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147812D2" w14:textId="10A913CC" w:rsidR="007151F2" w:rsidRPr="00427CC9" w:rsidRDefault="002619EC" w:rsidP="002619EC">
      <w:pPr>
        <w:pStyle w:val="Pagedecouverture"/>
        <w:rPr>
          <w:noProof/>
        </w:rPr>
      </w:pPr>
      <w:bookmarkStart w:id="0" w:name="LW_BM_COVERPAGE"/>
      <w:r>
        <w:rPr>
          <w:noProof/>
        </w:rPr>
        <w:pict w14:anchorId="111382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7E8D1D94-448E-4A43-A071-E63B0D5C2705" style="width:455.25pt;height:336.75pt">
            <v:imagedata r:id="rId8" o:title=""/>
          </v:shape>
        </w:pict>
      </w:r>
    </w:p>
    <w:bookmarkEnd w:id="0"/>
    <w:p w14:paraId="5D76B35E" w14:textId="77777777" w:rsidR="00D60876" w:rsidRPr="00427CC9" w:rsidRDefault="00D60876" w:rsidP="00D60876">
      <w:pPr>
        <w:rPr>
          <w:noProof/>
          <w:color w:val="000000" w:themeColor="text1"/>
          <w:lang w:val="fr-BE"/>
        </w:rPr>
        <w:sectPr w:rsidR="00D60876" w:rsidRPr="00427CC9" w:rsidSect="002619EC">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DCBF604" w14:textId="77777777" w:rsidR="0062492F" w:rsidRPr="00427CC9" w:rsidRDefault="00352428" w:rsidP="00B33E58">
      <w:pPr>
        <w:rPr>
          <w:noProof/>
        </w:rPr>
      </w:pPr>
      <w:bookmarkStart w:id="1" w:name="_Toc103872590"/>
      <w:bookmarkStart w:id="2" w:name="_Toc2053975131"/>
      <w:bookmarkStart w:id="3" w:name="_Toc1686835393"/>
      <w:bookmarkStart w:id="4" w:name="_Toc106053789"/>
      <w:bookmarkStart w:id="5" w:name="_GoBack"/>
      <w:bookmarkEnd w:id="5"/>
      <w:r>
        <w:rPr>
          <w:b/>
          <w:noProof/>
        </w:rPr>
        <w:lastRenderedPageBreak/>
        <w:t>1.</w:t>
      </w:r>
      <w:r>
        <w:rPr>
          <w:noProof/>
        </w:rPr>
        <w:tab/>
      </w:r>
      <w:r>
        <w:rPr>
          <w:b/>
          <w:smallCaps/>
          <w:noProof/>
        </w:rPr>
        <w:t>Vers un système énergétique numérique, vert et résilient</w:t>
      </w:r>
      <w:bookmarkEnd w:id="1"/>
      <w:bookmarkEnd w:id="2"/>
      <w:bookmarkEnd w:id="3"/>
      <w:bookmarkEnd w:id="4"/>
    </w:p>
    <w:p w14:paraId="4048A403" w14:textId="0478069E" w:rsidR="00137923" w:rsidRDefault="00C40C4C" w:rsidP="33E2182A">
      <w:pPr>
        <w:rPr>
          <w:noProof/>
          <w:color w:val="000000" w:themeColor="text1"/>
        </w:rPr>
      </w:pPr>
      <w:r>
        <w:rPr>
          <w:noProof/>
          <w:color w:val="000000" w:themeColor="text1"/>
        </w:rPr>
        <w:t>Pour mettre fin à la dépendance de l’UE à l’égard des combustibles fossiles russes, faire face à la crise climatique et permettre un accès abordable à l'énergie pour tous, le pacte vert pour l’Europe et REPowerEU exigent une transformation numérique et durable en profondeur de notre système énergétique. Ainsi, il nous faudra placer des panneaux solaires photovoltaïques sur les toits de tous les bâtiments commerciaux et publics d’ici 2027 et sur tous les nouveaux bâtiments résidentiels d’ici 2029</w:t>
      </w:r>
      <w:r>
        <w:rPr>
          <w:noProof/>
          <w:color w:val="000000" w:themeColor="text1"/>
          <w:vertAlign w:val="superscript"/>
          <w:lang w:val="en-GB"/>
        </w:rPr>
        <w:footnoteReference w:id="2"/>
      </w:r>
      <w:r>
        <w:rPr>
          <w:noProof/>
          <w:color w:val="000000" w:themeColor="text1"/>
        </w:rPr>
        <w:t>, installer 10 millions de pompes à chaleur au cours des cinq prochaines années</w:t>
      </w:r>
      <w:r>
        <w:rPr>
          <w:rStyle w:val="FootnoteReference"/>
          <w:noProof/>
          <w:color w:val="000000" w:themeColor="text1"/>
          <w:lang w:val="en-GB"/>
        </w:rPr>
        <w:footnoteReference w:id="3"/>
      </w:r>
      <w:r>
        <w:rPr>
          <w:noProof/>
          <w:color w:val="000000" w:themeColor="text1"/>
        </w:rPr>
        <w:t xml:space="preserve"> et remplacer 30 millions de voitures par des véhicules à émissions nulles sur les routes d’ici 2030</w:t>
      </w:r>
      <w:r>
        <w:rPr>
          <w:noProof/>
          <w:color w:val="000000" w:themeColor="text1"/>
          <w:vertAlign w:val="superscript"/>
          <w:lang w:val="en-GB"/>
        </w:rPr>
        <w:footnoteReference w:id="4"/>
      </w:r>
      <w:r>
        <w:rPr>
          <w:noProof/>
          <w:color w:val="000000" w:themeColor="text1"/>
        </w:rPr>
        <w:t xml:space="preserve">. Il ne sera possible de réduire les émissions de gaz à effet de serre de 55 % et d’atteindre une part de 45 % d’énergies renouvelables en 2030 que si le système énergétique y est prêt. </w:t>
      </w:r>
    </w:p>
    <w:p w14:paraId="04A9BB44" w14:textId="1579ABC5" w:rsidR="5C71E215" w:rsidRDefault="0043230A" w:rsidP="33E2182A">
      <w:pPr>
        <w:rPr>
          <w:noProof/>
          <w:color w:val="000000" w:themeColor="text1"/>
        </w:rPr>
      </w:pPr>
      <w:r>
        <w:rPr>
          <w:noProof/>
          <w:color w:val="000000" w:themeColor="text1"/>
        </w:rPr>
        <w:t xml:space="preserve">Pour atteindre ces objectifs, l’Europe doit construire un système énergétique qui soit beaucoup plus intelligent et plus interactif qu’aujourd’hui. L’utilisation efficace de l’énergie et des ressources, la décarbonation, l’électrification, l’intégration sectorielle et la décentralisation du système énergétique sont autant d’éléments qui demandent un effort considérable en matière de numérisation. La transformation numérique du système énergétique est une priorité politique, et une priorité pour laquelle le pacte vert pour l’Europe et le programme d’action à l’horizon 2030 pour la décennie numérique en Europe doivent </w:t>
      </w:r>
      <w:bookmarkStart w:id="6" w:name="_Int_m33bwQT2"/>
      <w:r>
        <w:rPr>
          <w:noProof/>
        </w:rPr>
        <w:t>aller de pair</w:t>
      </w:r>
      <w:bookmarkEnd w:id="6"/>
      <w:r>
        <w:rPr>
          <w:noProof/>
          <w:color w:val="000000" w:themeColor="text1"/>
        </w:rPr>
        <w:t>, en vue d’assurer une double transition. À l’échelle mondiale, l’UE promeut la double transition avec la stratégie «Global Gateway»</w:t>
      </w:r>
      <w:r>
        <w:rPr>
          <w:rStyle w:val="FootnoteReference"/>
          <w:noProof/>
          <w:color w:val="000000" w:themeColor="text1"/>
          <w:lang w:val="en-GB"/>
        </w:rPr>
        <w:footnoteReference w:id="5"/>
      </w:r>
      <w:r>
        <w:rPr>
          <w:noProof/>
          <w:color w:val="000000" w:themeColor="text1"/>
        </w:rPr>
        <w:t>.</w:t>
      </w:r>
    </w:p>
    <w:p w14:paraId="7E81E1F0" w14:textId="262DEC6A" w:rsidR="00325614" w:rsidRPr="00427CC9" w:rsidRDefault="00325614" w:rsidP="194D58CB">
      <w:pPr>
        <w:rPr>
          <w:noProof/>
          <w:color w:val="000000" w:themeColor="text1"/>
        </w:rPr>
      </w:pPr>
      <w:r>
        <w:rPr>
          <w:noProof/>
        </w:rPr>
        <w:t>Il faudra réaliser 584 milliards d’euros d’investissements dans le réseau électrique entre 2020 et 2030, en particulier dans le réseau de distribution. Une part importante de ces investissements devra être consacrée à la transition numérique. L’Agence internationale de l’énergie (AIE) a estimé que, à l’échelle mondiale, la participation active de la demande pourrait permettre d’éviter d’investir 270 milliards de dollars dans de nouvelles infrastructures électriques</w:t>
      </w:r>
      <w:r>
        <w:rPr>
          <w:rStyle w:val="FootnoteReference"/>
          <w:noProof/>
        </w:rPr>
        <w:footnoteReference w:id="6"/>
      </w:r>
      <w:r>
        <w:rPr>
          <w:noProof/>
        </w:rPr>
        <w:t>. Selon une autre étude, il faudrait consacrer à la numérisation environ 170  des quelque 400 milliards d’euros d’investissements</w:t>
      </w:r>
      <w:r>
        <w:rPr>
          <w:rStyle w:val="FootnoteReference"/>
          <w:noProof/>
          <w:color w:val="000000" w:themeColor="text1"/>
          <w:lang w:val="en-GB"/>
        </w:rPr>
        <w:footnoteReference w:id="7"/>
      </w:r>
      <w:r>
        <w:rPr>
          <w:noProof/>
        </w:rPr>
        <w:t xml:space="preserve"> prévus dans le réseau de distribution au cours de la période 2020-2030. </w:t>
      </w:r>
      <w:r>
        <w:rPr>
          <w:noProof/>
          <w:color w:val="000000" w:themeColor="text1"/>
        </w:rPr>
        <w:t>Utiliser notre réseau énergétique de la manière la plus intelligente possible permettra aussi d’optimiser l’utilisation de notre territoire lorsque les investissements dans les énergies renouvelables s'intensifieront.</w:t>
      </w:r>
    </w:p>
    <w:p w14:paraId="57C5A3E8" w14:textId="179E4109" w:rsidR="64C9C051" w:rsidRPr="003A0555" w:rsidRDefault="00325614">
      <w:pPr>
        <w:rPr>
          <w:noProof/>
          <w:szCs w:val="24"/>
        </w:rPr>
      </w:pPr>
      <w:r>
        <w:rPr>
          <w:noProof/>
        </w:rPr>
        <w:t>Les investissements dans des technologies numériques telles que les dispositifs et compteurs intelligents de l’internet des objets, la connectivité 5G et 6G, un espace paneuropéen de données dans le domaine de l’énergie alimenté par des serveurs informatiques nuage-périphérie ou encore des jumeaux numériques du système énergétique facilitent la transition vers une énergie propre, tout en nous permettant de bénéficier d’avantages dans notre vie quotidienne. Ces technologies peuvent par exemple nous permettre de visualiser notre consommation d’énergie en temps réel et de recevoir des conseils personnalisés sur la manière de la réduire. Il existe des outils numériques pour contrôler automatiquement les différentes températures ambiantes de la maison, recharger les voitures électriques et gérer les appareils afin de réduire le plus possible les prix de l’énergie, tout en maintenant un environnement intérieur confortable et sain. Grâce aux outils numériques, les pouvoirs publics peuvent également mieux cartographier, surveiller et combattre la précarité énergétique, tandis que le secteur de l’énergie peut optimiser ses opérations et donner la priorité à l’utilisation des énergies renouvelables.</w:t>
      </w:r>
    </w:p>
    <w:p w14:paraId="542DCE87" w14:textId="54D33DA8" w:rsidR="00E8208A" w:rsidRDefault="47C08226" w:rsidP="414B7552">
      <w:pPr>
        <w:rPr>
          <w:noProof/>
          <w:color w:val="000000" w:themeColor="text1"/>
        </w:rPr>
      </w:pPr>
      <w:r>
        <w:rPr>
          <w:noProof/>
          <w:color w:val="000000" w:themeColor="text1"/>
        </w:rPr>
        <w:t>Comme c’est le cas dans de nombreux autres secteurs, la transformation numérique est déjà en cours dans le secteur de l’énergie, ainsi les véhicules électriques, les installations photovoltaïques, les pompes à chaleur et de nombreux autres nouveaux appareils sont équipés d’une technologie intelligente qui génère des données et permet de les commander à distance. Le nombre d’appareils relevant de l’internet des objets actifs dans le monde devrait croître rapidement et dépasser les 25,4 milliards d’unités en 2030</w:t>
      </w:r>
      <w:r>
        <w:rPr>
          <w:rStyle w:val="FootnoteReference"/>
          <w:noProof/>
          <w:color w:val="000000" w:themeColor="text1"/>
          <w:lang w:val="en-GB"/>
        </w:rPr>
        <w:footnoteReference w:id="8"/>
      </w:r>
      <w:r>
        <w:rPr>
          <w:noProof/>
          <w:color w:val="000000" w:themeColor="text1"/>
        </w:rPr>
        <w:t xml:space="preserve">. 51 % des ménages et des </w:t>
      </w:r>
      <w:bookmarkStart w:id="7" w:name="_Int_n01MLuRQ"/>
      <w:r>
        <w:rPr>
          <w:noProof/>
          <w:color w:val="000000" w:themeColor="text1"/>
        </w:rPr>
        <w:t>PME</w:t>
      </w:r>
      <w:bookmarkEnd w:id="7"/>
      <w:r>
        <w:rPr>
          <w:noProof/>
          <w:color w:val="000000" w:themeColor="text1"/>
        </w:rPr>
        <w:t xml:space="preserve"> de l’UE sont équipés de compteurs d’électricité intelligents</w:t>
      </w:r>
      <w:r>
        <w:rPr>
          <w:rStyle w:val="FootnoteReference"/>
          <w:noProof/>
          <w:color w:val="000000" w:themeColor="text1"/>
          <w:lang w:val="en-GB"/>
        </w:rPr>
        <w:footnoteReference w:id="9"/>
      </w:r>
      <w:r>
        <w:rPr>
          <w:noProof/>
          <w:color w:val="000000" w:themeColor="text1"/>
        </w:rPr>
        <w:t xml:space="preserve">. Les politiques de l’UE dans le domaine du numérique et de l’énergie guident déjà la transformation numérique du secteur de l’énergie, étant donné que des questions telles que l’interopérabilité des données, la sécurité de l’approvisionnement et la cybersécurité ainsi que la protection de la vie privée et des consommateurs ne peuvent être laissées au seul marché et que la bonne mise en œuvre de cette transformation est essentielle. </w:t>
      </w:r>
    </w:p>
    <w:p w14:paraId="78320786" w14:textId="43B41325" w:rsidR="00502C27" w:rsidRDefault="00B0460C" w:rsidP="00E95DE0">
      <w:pPr>
        <w:rPr>
          <w:noProof/>
          <w:color w:val="000000" w:themeColor="text1"/>
        </w:rPr>
      </w:pPr>
      <w:r>
        <w:rPr>
          <w:noProof/>
          <w:color w:val="000000" w:themeColor="text1"/>
        </w:rPr>
        <w:t>Mais nous devons en faire davantage si nous entendons exploiter pleinement le potentiel des technologies numériques et accélérer la transformation numérique de notre système énergétique</w:t>
      </w:r>
      <w:bookmarkStart w:id="8" w:name="_Int_VzRD4oeN"/>
      <w:r>
        <w:rPr>
          <w:noProof/>
          <w:color w:val="000000" w:themeColor="text1"/>
        </w:rPr>
        <w:t xml:space="preserve"> tout en relevant les défis que cela engendre, en assurant le respect de la vie privée et la protection des données et en veillant à ce que la transition soit juste et ne laisse personne de côté.</w:t>
      </w:r>
      <w:bookmarkEnd w:id="8"/>
      <w:r>
        <w:rPr>
          <w:noProof/>
          <w:color w:val="000000" w:themeColor="text1"/>
        </w:rPr>
        <w:t xml:space="preserve"> Le partage de données dans la chaîne de valeur énergétique, et le couplage de ces données avec des modèles météorologiques, des schémas de mobilité, des services financiers et des systèmes de localisation géographique grâce à une capacité de calcul toujours plus puissante, rendront possibles des services innovants à de nouveaux niveaux de précision et d’adéquation et contribueront à la croissance et à l’emploi dans l’UE. </w:t>
      </w:r>
    </w:p>
    <w:p w14:paraId="7C58E350" w14:textId="3257A01C" w:rsidR="00E95DE0" w:rsidRDefault="00E95DE0" w:rsidP="00E95DE0">
      <w:pPr>
        <w:rPr>
          <w:noProof/>
          <w:color w:val="000000" w:themeColor="text1"/>
        </w:rPr>
      </w:pPr>
      <w:r>
        <w:rPr>
          <w:noProof/>
          <w:color w:val="000000" w:themeColor="text1"/>
        </w:rPr>
        <w:t>Une telle évolution permettra aux institutions financières de débloquer des investissements privés afin de soutenir la transition énergétique et aux consommateurs de gérer activement leur consommation ou leur production d’énergie et de tirer parti d’une participation directe au marché. Cela nécessite une vision stratégique et des actions concrètes dans les domaines suivants:</w:t>
      </w:r>
    </w:p>
    <w:p w14:paraId="79155ED5" w14:textId="6598A03D" w:rsidR="00E95DE0" w:rsidRPr="00427CC9" w:rsidRDefault="003172AE" w:rsidP="00E95DE0">
      <w:pPr>
        <w:pStyle w:val="ListParagraph"/>
        <w:numPr>
          <w:ilvl w:val="0"/>
          <w:numId w:val="1"/>
        </w:numPr>
        <w:jc w:val="both"/>
        <w:rPr>
          <w:noProof/>
          <w:color w:val="000000" w:themeColor="text1"/>
        </w:rPr>
      </w:pPr>
      <w:r>
        <w:rPr>
          <w:noProof/>
          <w:color w:val="000000" w:themeColor="text1"/>
        </w:rPr>
        <w:t xml:space="preserve">promouvoir la connectivité, l’interopérabilité et </w:t>
      </w:r>
      <w:r>
        <w:rPr>
          <w:b/>
          <w:noProof/>
          <w:color w:val="000000" w:themeColor="text1"/>
        </w:rPr>
        <w:t>l’échange fluide de données</w:t>
      </w:r>
      <w:r>
        <w:rPr>
          <w:noProof/>
          <w:color w:val="000000" w:themeColor="text1"/>
        </w:rPr>
        <w:t xml:space="preserve"> entre les différents acteurs, tout en assurant le respect de la vie privée et la protection des données; </w:t>
      </w:r>
    </w:p>
    <w:p w14:paraId="43E40B70" w14:textId="21ABC402" w:rsidR="00E95DE0" w:rsidRPr="00D1502E" w:rsidRDefault="00137923" w:rsidP="00E95DE0">
      <w:pPr>
        <w:pStyle w:val="ListParagraph"/>
        <w:numPr>
          <w:ilvl w:val="0"/>
          <w:numId w:val="1"/>
        </w:numPr>
        <w:jc w:val="both"/>
        <w:rPr>
          <w:noProof/>
          <w:color w:val="000000" w:themeColor="text1"/>
        </w:rPr>
      </w:pPr>
      <w:r>
        <w:rPr>
          <w:noProof/>
          <w:color w:val="000000" w:themeColor="text1"/>
        </w:rPr>
        <w:t xml:space="preserve">favoriser </w:t>
      </w:r>
      <w:r>
        <w:rPr>
          <w:b/>
          <w:noProof/>
          <w:color w:val="000000" w:themeColor="text1"/>
        </w:rPr>
        <w:t>l’augmentation et la meilleure coordination des investissements</w:t>
      </w:r>
      <w:r>
        <w:rPr>
          <w:noProof/>
          <w:color w:val="000000" w:themeColor="text1"/>
        </w:rPr>
        <w:t xml:space="preserve"> dans le réseau électrique afin de rendre le système énergétique plus intelligent et plus résilient, ainsi qu’un plan coordonné à l’échelle de l’Union pour accélérer le déploiement des solutions numériques nécessaires;</w:t>
      </w:r>
    </w:p>
    <w:p w14:paraId="1E979D7C" w14:textId="7EEC9E18" w:rsidR="00E95DE0" w:rsidRPr="00427CC9" w:rsidRDefault="00137923" w:rsidP="00E95DE0">
      <w:pPr>
        <w:pStyle w:val="ListParagraph"/>
        <w:numPr>
          <w:ilvl w:val="0"/>
          <w:numId w:val="1"/>
        </w:numPr>
        <w:jc w:val="both"/>
        <w:rPr>
          <w:noProof/>
          <w:color w:val="000000" w:themeColor="text1"/>
        </w:rPr>
      </w:pPr>
      <w:r>
        <w:rPr>
          <w:noProof/>
          <w:color w:val="000000" w:themeColor="text1"/>
        </w:rPr>
        <w:t xml:space="preserve">donner aux </w:t>
      </w:r>
      <w:r>
        <w:rPr>
          <w:b/>
          <w:noProof/>
          <w:color w:val="000000" w:themeColor="text1"/>
        </w:rPr>
        <w:t>consommateurs</w:t>
      </w:r>
      <w:r>
        <w:rPr>
          <w:noProof/>
          <w:color w:val="000000" w:themeColor="text1"/>
        </w:rPr>
        <w:t xml:space="preserve">, y compris les plus vulnérables ou ceux dont les compétences numériques sont limitées, de nouveaux moyens de s’engager dans la transition énergétique ou la possibilité de bénéficier de meilleurs services fondés sur les innovations numériques, tout en jouissant, pour ceux qui gèrent leur consommation en ligne, de la même protection contre les prix élevés de l’énergie qu’à l'heure actuelle pour une gestion hors ligne; </w:t>
      </w:r>
    </w:p>
    <w:p w14:paraId="398150B3" w14:textId="39CB6508" w:rsidR="00E95DE0" w:rsidRPr="00427CC9" w:rsidRDefault="00137923" w:rsidP="00E95DE0">
      <w:pPr>
        <w:pStyle w:val="ListParagraph"/>
        <w:numPr>
          <w:ilvl w:val="0"/>
          <w:numId w:val="1"/>
        </w:numPr>
        <w:jc w:val="both"/>
        <w:rPr>
          <w:noProof/>
          <w:color w:val="000000" w:themeColor="text1"/>
        </w:rPr>
      </w:pPr>
      <w:r>
        <w:rPr>
          <w:noProof/>
          <w:color w:val="000000" w:themeColor="text1"/>
        </w:rPr>
        <w:t xml:space="preserve">renforcer la </w:t>
      </w:r>
      <w:r>
        <w:rPr>
          <w:b/>
          <w:noProof/>
          <w:color w:val="000000" w:themeColor="text1"/>
        </w:rPr>
        <w:t>cybersécurité</w:t>
      </w:r>
      <w:r>
        <w:rPr>
          <w:noProof/>
          <w:color w:val="000000" w:themeColor="text1"/>
        </w:rPr>
        <w:t>, ce qui nécessite des efforts et des investissements continus;</w:t>
      </w:r>
    </w:p>
    <w:p w14:paraId="3101B4C6" w14:textId="6CF9684F" w:rsidR="00E95DE0" w:rsidRPr="00427CC9" w:rsidRDefault="00137923" w:rsidP="00E95DE0">
      <w:pPr>
        <w:pStyle w:val="ListParagraph"/>
        <w:numPr>
          <w:ilvl w:val="0"/>
          <w:numId w:val="1"/>
        </w:numPr>
        <w:jc w:val="both"/>
        <w:rPr>
          <w:noProof/>
          <w:color w:val="000000" w:themeColor="text1"/>
        </w:rPr>
      </w:pPr>
      <w:r>
        <w:rPr>
          <w:noProof/>
          <w:color w:val="000000" w:themeColor="text1"/>
        </w:rPr>
        <w:t xml:space="preserve">s’attaquer à la </w:t>
      </w:r>
      <w:r>
        <w:rPr>
          <w:b/>
          <w:noProof/>
          <w:color w:val="000000" w:themeColor="text1"/>
        </w:rPr>
        <w:t>consommation d’énergie des technologies numériques</w:t>
      </w:r>
      <w:r>
        <w:rPr>
          <w:noProof/>
          <w:color w:val="000000" w:themeColor="text1"/>
        </w:rPr>
        <w:t xml:space="preserve"> et promouvoir une plus grande efficacité et une plus grande circularité; </w:t>
      </w:r>
    </w:p>
    <w:p w14:paraId="2980F04A" w14:textId="66DACA4F" w:rsidR="00E95DE0" w:rsidRPr="00290434" w:rsidRDefault="00137923" w:rsidP="00ED591F">
      <w:pPr>
        <w:pStyle w:val="ListParagraph"/>
        <w:numPr>
          <w:ilvl w:val="0"/>
          <w:numId w:val="1"/>
        </w:numPr>
        <w:spacing w:after="240"/>
        <w:ind w:left="714" w:hanging="357"/>
        <w:jc w:val="both"/>
        <w:rPr>
          <w:noProof/>
        </w:rPr>
      </w:pPr>
      <w:r>
        <w:rPr>
          <w:noProof/>
          <w:color w:val="000000" w:themeColor="text1"/>
        </w:rPr>
        <w:t xml:space="preserve">concevoir une gouvernance efficace, au moyen d’une </w:t>
      </w:r>
      <w:r>
        <w:rPr>
          <w:b/>
          <w:noProof/>
          <w:color w:val="000000" w:themeColor="text1"/>
        </w:rPr>
        <w:t>planification structurelle et conjointe</w:t>
      </w:r>
      <w:r>
        <w:rPr>
          <w:noProof/>
          <w:color w:val="000000" w:themeColor="text1"/>
        </w:rPr>
        <w:t xml:space="preserve"> par les pouvoirs publics en coopération avec le secteur privé, de l’</w:t>
      </w:r>
      <w:r>
        <w:rPr>
          <w:b/>
          <w:noProof/>
          <w:color w:val="000000" w:themeColor="text1"/>
        </w:rPr>
        <w:t>apprentissage</w:t>
      </w:r>
      <w:r>
        <w:rPr>
          <w:noProof/>
          <w:color w:val="000000" w:themeColor="text1"/>
        </w:rPr>
        <w:t xml:space="preserve"> de tous les acteurs concernés, ainsi que d’un</w:t>
      </w:r>
      <w:r>
        <w:rPr>
          <w:b/>
          <w:noProof/>
          <w:color w:val="000000" w:themeColor="text1"/>
        </w:rPr>
        <w:t xml:space="preserve"> soutien permanent à la R&amp;I</w:t>
      </w:r>
      <w:r w:rsidR="002C248C">
        <w:rPr>
          <w:noProof/>
          <w:color w:val="000000" w:themeColor="text1"/>
        </w:rPr>
        <w:t>.</w:t>
      </w:r>
    </w:p>
    <w:p w14:paraId="528F10FC" w14:textId="71639854" w:rsidR="414B7552" w:rsidRDefault="00ED591F" w:rsidP="00ED591F">
      <w:pPr>
        <w:tabs>
          <w:tab w:val="left" w:pos="1248"/>
        </w:tabs>
        <w:spacing w:after="0"/>
        <w:rPr>
          <w:noProof/>
          <w:color w:val="000000" w:themeColor="text1"/>
        </w:rPr>
      </w:pPr>
      <w:r>
        <w:rPr>
          <w:noProof/>
        </w:rPr>
        <w:tab/>
      </w:r>
    </w:p>
    <w:p w14:paraId="558B8609" w14:textId="77777777" w:rsidR="00FD6842" w:rsidRPr="00427CC9" w:rsidRDefault="00352428" w:rsidP="00B33E58">
      <w:pPr>
        <w:rPr>
          <w:noProof/>
        </w:rPr>
      </w:pPr>
      <w:bookmarkStart w:id="9" w:name="_Toc103872591"/>
      <w:bookmarkStart w:id="10" w:name="_Toc1742530818"/>
      <w:bookmarkStart w:id="11" w:name="_Toc697010614"/>
      <w:bookmarkStart w:id="12" w:name="_Toc106053790"/>
      <w:r>
        <w:rPr>
          <w:b/>
          <w:noProof/>
        </w:rPr>
        <w:t>2.</w:t>
      </w:r>
      <w:r>
        <w:rPr>
          <w:noProof/>
        </w:rPr>
        <w:t xml:space="preserve"> </w:t>
      </w:r>
      <w:r>
        <w:rPr>
          <w:b/>
          <w:smallCaps/>
          <w:noProof/>
        </w:rPr>
        <w:t xml:space="preserve">Vers un cadre européen pour le partage de données à l’appui de services énergétiques innovants </w:t>
      </w:r>
      <w:bookmarkEnd w:id="9"/>
      <w:bookmarkEnd w:id="10"/>
      <w:bookmarkEnd w:id="11"/>
      <w:bookmarkEnd w:id="12"/>
    </w:p>
    <w:p w14:paraId="64A1F616" w14:textId="77777777" w:rsidR="000F2ED7" w:rsidRPr="00427CC9" w:rsidRDefault="14D22C5F" w:rsidP="00DB56F9">
      <w:pPr>
        <w:rPr>
          <w:rStyle w:val="eop"/>
          <w:noProof/>
          <w:color w:val="000000" w:themeColor="text1"/>
          <w:shd w:val="clear" w:color="auto" w:fill="FFFFFF"/>
        </w:rPr>
      </w:pPr>
      <w:r>
        <w:rPr>
          <w:rStyle w:val="normaltextrun"/>
          <w:noProof/>
          <w:color w:val="000000" w:themeColor="text1"/>
        </w:rPr>
        <w:t>Les éléments clés d’un système énergétique numérisé sont la disponibilité</w:t>
      </w:r>
      <w:r>
        <w:rPr>
          <w:noProof/>
        </w:rPr>
        <w:t xml:space="preserve"> </w:t>
      </w:r>
      <w:bookmarkStart w:id="13" w:name="_Int_NjzdfrGk"/>
      <w:r>
        <w:rPr>
          <w:rStyle w:val="normaltextrun"/>
          <w:noProof/>
          <w:color w:val="000000" w:themeColor="text1"/>
        </w:rPr>
        <w:t>de</w:t>
      </w:r>
      <w:bookmarkEnd w:id="13"/>
      <w:r>
        <w:rPr>
          <w:noProof/>
        </w:rPr>
        <w:t xml:space="preserve"> </w:t>
      </w:r>
      <w:r>
        <w:rPr>
          <w:noProof/>
          <w:color w:val="000000" w:themeColor="text1"/>
        </w:rPr>
        <w:t>données liées à l’énergie, l’accès à celles-ci et leur partage sur la base de transferts de données transparents et sécurisés entre des parties de confiance.</w:t>
      </w:r>
      <w:r>
        <w:rPr>
          <w:rStyle w:val="normaltextrun"/>
          <w:noProof/>
          <w:color w:val="000000" w:themeColor="text1"/>
          <w:shd w:val="clear" w:color="auto" w:fill="FFFFFF"/>
        </w:rPr>
        <w:t xml:space="preserve"> </w:t>
      </w:r>
      <w:r>
        <w:rPr>
          <w:rStyle w:val="normaltextrun"/>
          <w:noProof/>
          <w:color w:val="000000" w:themeColor="text1"/>
        </w:rPr>
        <w:t>Le renforcement de la coordination de</w:t>
      </w:r>
      <w:r>
        <w:rPr>
          <w:rStyle w:val="normaltextrun"/>
          <w:noProof/>
          <w:color w:val="000000" w:themeColor="text1"/>
          <w:shd w:val="clear" w:color="auto" w:fill="FFFFFF"/>
        </w:rPr>
        <w:t xml:space="preserve"> ces échanges et</w:t>
      </w:r>
      <w:r>
        <w:rPr>
          <w:rStyle w:val="normaltextrun"/>
          <w:noProof/>
          <w:color w:val="000000" w:themeColor="text1"/>
        </w:rPr>
        <w:t xml:space="preserve"> la mise en place</w:t>
      </w:r>
      <w:r>
        <w:rPr>
          <w:rStyle w:val="normaltextrun"/>
          <w:noProof/>
          <w:color w:val="000000" w:themeColor="text1"/>
          <w:shd w:val="clear" w:color="auto" w:fill="FFFFFF"/>
        </w:rPr>
        <w:t xml:space="preserve"> d’un cadre de coordination européen </w:t>
      </w:r>
      <w:r>
        <w:rPr>
          <w:rStyle w:val="normaltextrun"/>
          <w:noProof/>
          <w:color w:val="000000" w:themeColor="text1"/>
        </w:rPr>
        <w:t xml:space="preserve">pour </w:t>
      </w:r>
      <w:r>
        <w:rPr>
          <w:rStyle w:val="normaltextrun"/>
          <w:noProof/>
          <w:color w:val="000000" w:themeColor="text1"/>
          <w:shd w:val="clear" w:color="auto" w:fill="FFFFFF"/>
        </w:rPr>
        <w:t>renforcer l’interopérabilité entre les différents systèmes et solutions techniques permettront</w:t>
      </w:r>
      <w:r>
        <w:rPr>
          <w:rStyle w:val="normaltextrun"/>
          <w:noProof/>
          <w:color w:val="000000" w:themeColor="text1"/>
        </w:rPr>
        <w:t xml:space="preserve"> </w:t>
      </w:r>
      <w:r>
        <w:rPr>
          <w:rStyle w:val="normaltextrun"/>
          <w:noProof/>
          <w:color w:val="000000" w:themeColor="text1"/>
          <w:shd w:val="clear" w:color="auto" w:fill="FFFFFF"/>
        </w:rPr>
        <w:t xml:space="preserve">à des services plus innovants de faire leur entrée sur le marché. </w:t>
      </w:r>
      <w:r>
        <w:rPr>
          <w:rStyle w:val="normaltextrun"/>
          <w:noProof/>
        </w:rPr>
        <w:t xml:space="preserve">Des </w:t>
      </w:r>
      <w:r>
        <w:rPr>
          <w:rStyle w:val="normaltextrun"/>
          <w:noProof/>
          <w:shd w:val="clear" w:color="auto" w:fill="FFFFFF"/>
        </w:rPr>
        <w:t xml:space="preserve">principes d’application générale devront également être strictement </w:t>
      </w:r>
      <w:r>
        <w:rPr>
          <w:rStyle w:val="normaltextrun"/>
          <w:noProof/>
        </w:rPr>
        <w:t>respectés</w:t>
      </w:r>
      <w:r>
        <w:rPr>
          <w:rStyle w:val="normaltextrun"/>
          <w:noProof/>
          <w:shd w:val="clear" w:color="auto" w:fill="FFFFFF"/>
        </w:rPr>
        <w:t xml:space="preserve">, notamment en ce qui concerne </w:t>
      </w:r>
      <w:r>
        <w:rPr>
          <w:rStyle w:val="normaltextrun"/>
          <w:noProof/>
        </w:rPr>
        <w:t>la</w:t>
      </w:r>
      <w:r>
        <w:rPr>
          <w:rStyle w:val="normaltextrun"/>
          <w:noProof/>
          <w:shd w:val="clear" w:color="auto" w:fill="FFFFFF"/>
        </w:rPr>
        <w:t xml:space="preserve"> souveraineté des données de l’UE, la cybersécurité, la confidentialité des données, l’acceptation par les consommateurs et l’interopérabilité.</w:t>
      </w:r>
      <w:r>
        <w:rPr>
          <w:rStyle w:val="eop"/>
          <w:noProof/>
          <w:shd w:val="clear" w:color="auto" w:fill="FFFFFF"/>
        </w:rPr>
        <w:t xml:space="preserve"> </w:t>
      </w:r>
    </w:p>
    <w:p w14:paraId="346A9CA2" w14:textId="49715B24" w:rsidR="00DB56F9" w:rsidRPr="00427CC9" w:rsidRDefault="414B7552" w:rsidP="414B7552">
      <w:pPr>
        <w:rPr>
          <w:rStyle w:val="normaltextrun"/>
          <w:rFonts w:eastAsiaTheme="majorEastAsia"/>
          <w:noProof/>
          <w:color w:val="000000" w:themeColor="text1"/>
        </w:rPr>
      </w:pPr>
      <w:r>
        <w:rPr>
          <w:noProof/>
        </w:rPr>
        <w:t xml:space="preserve">C’est pourquoi </w:t>
      </w:r>
      <w:r>
        <w:rPr>
          <w:b/>
          <w:noProof/>
        </w:rPr>
        <w:t>l’Europe a besoin d’un espace européen commun des données</w:t>
      </w:r>
      <w:r>
        <w:rPr>
          <w:rStyle w:val="normaltextrun"/>
          <w:rFonts w:eastAsiaTheme="majorEastAsia"/>
          <w:noProof/>
          <w:vertAlign w:val="superscript"/>
        </w:rPr>
        <w:footnoteReference w:id="10"/>
      </w:r>
      <w:r>
        <w:rPr>
          <w:noProof/>
        </w:rPr>
        <w:t xml:space="preserve"> relatives à l’énergie </w:t>
      </w:r>
      <w:r>
        <w:rPr>
          <w:b/>
          <w:noProof/>
        </w:rPr>
        <w:t>et devra en amorcer le déploiement au plus tard en 2024.</w:t>
      </w:r>
      <w:r>
        <w:rPr>
          <w:rStyle w:val="normaltextrun"/>
          <w:noProof/>
        </w:rPr>
        <w:t xml:space="preserve"> </w:t>
      </w:r>
      <w:r>
        <w:rPr>
          <w:rStyle w:val="normaltextrun"/>
          <w:noProof/>
          <w:color w:val="000000" w:themeColor="text1"/>
        </w:rPr>
        <w:t>Le déploiement d’un cadre approprié de partage des données relatives à l’énergie pourrait faciliter la participation aux marchés de gros de plus de 580 GW de ressources énergétiques flexibles qui utilisent pleinement les solutions numériques d’ici 2050</w:t>
      </w:r>
      <w:r>
        <w:rPr>
          <w:rStyle w:val="FootnoteReference"/>
          <w:rFonts w:eastAsiaTheme="majorEastAsia"/>
          <w:noProof/>
          <w:color w:val="000000" w:themeColor="text1"/>
          <w:lang w:val="en-GB"/>
        </w:rPr>
        <w:footnoteReference w:id="11"/>
      </w:r>
      <w:r>
        <w:rPr>
          <w:rStyle w:val="normaltextrun"/>
          <w:noProof/>
        </w:rPr>
        <w:t>.</w:t>
      </w:r>
      <w:r>
        <w:rPr>
          <w:rStyle w:val="normaltextrun"/>
          <w:noProof/>
          <w:color w:val="000000" w:themeColor="text1"/>
        </w:rPr>
        <w:t xml:space="preserve"> On estime à plus de 90 % la part des besoins globaux de flexibilité dans les réseaux électriques de l’UE qui serait ainsi couverte. Permettre la recharge intelligente et bidirectionnelle des véhicules électriques, la participation des centrales électriques virtuelles aux marchés de l’énergie et l’exploitation du potentiel des communautés énergétiques, des bâtiments intelligents et du chauffage intelligent à l’aide de pompes à chaleur pourrait apporter la plus grande part de cette flexibilité. En outre, les batteries de voitures peuvent être utilisées pour stocker l’énergie excédentaire et la fournir au réseau en cas de besoin, grâce à un système qui permet de savoir quand le véhicule se trouve dans son garage, d’anticiper les périodes où il n’est pas utilisé et de surveiller la capacité de réserve disponible.</w:t>
      </w:r>
    </w:p>
    <w:p w14:paraId="7907C93E" w14:textId="01A04858" w:rsidR="00DB56F9" w:rsidRPr="004F715B" w:rsidRDefault="00DB56F9" w:rsidP="00DB56F9">
      <w:pPr>
        <w:rPr>
          <w:rStyle w:val="normaltextrun"/>
          <w:rFonts w:eastAsiaTheme="majorEastAsia"/>
          <w:noProof/>
          <w:color w:val="000000" w:themeColor="text1"/>
          <w:szCs w:val="24"/>
        </w:rPr>
      </w:pPr>
      <w:r>
        <w:rPr>
          <w:rStyle w:val="normaltextrun"/>
          <w:noProof/>
          <w:color w:val="000000" w:themeColor="text1"/>
        </w:rPr>
        <w:t>Le cadre réglementaire européen existant pour l’énergie a déjà préparé le terrain, et le paquet «Ajustement à l’objectif 55» présente des dispositions spécifiques concernant l’échange de données. Plus généralement, la proposition de règlement sur les données</w:t>
      </w:r>
      <w:r>
        <w:rPr>
          <w:rStyle w:val="FootnoteReference"/>
          <w:rFonts w:eastAsiaTheme="majorEastAsia"/>
          <w:noProof/>
          <w:color w:val="000000" w:themeColor="text1"/>
          <w:shd w:val="clear" w:color="auto" w:fill="FFFFFF"/>
          <w:lang w:val="en-GB"/>
        </w:rPr>
        <w:footnoteReference w:id="12"/>
      </w:r>
      <w:r>
        <w:rPr>
          <w:rStyle w:val="normaltextrun"/>
          <w:noProof/>
          <w:color w:val="000000" w:themeColor="text1"/>
        </w:rPr>
        <w:t xml:space="preserve"> établit de nouvelles règles précisant qui peut utiliser les données générées dans l'UE dans tous les secteurs économiques et accéder à ces données et définit plus clairement le droit des utilisateurs d’accéder librement aux données générées par leurs produits et de les utiliser, y compris le droit de partager ces données avec des tiers. En outre, le règlement sur la gouvernance des données</w:t>
      </w:r>
      <w:r>
        <w:rPr>
          <w:rStyle w:val="FootnoteReference"/>
          <w:rFonts w:eastAsiaTheme="majorEastAsia"/>
          <w:noProof/>
          <w:color w:val="000000" w:themeColor="text1"/>
          <w:lang w:val="en-GB"/>
        </w:rPr>
        <w:footnoteReference w:id="13"/>
      </w:r>
      <w:r>
        <w:rPr>
          <w:rStyle w:val="normaltextrun"/>
          <w:noProof/>
          <w:color w:val="000000" w:themeColor="text1"/>
        </w:rPr>
        <w:t xml:space="preserve"> vise à favoriser la disponibilité des données en renforçant les mécanismes de partage des données et en créant davantage de confiance dans les intermédiaires de données.</w:t>
      </w:r>
    </w:p>
    <w:p w14:paraId="3AC039EC" w14:textId="14D7B253" w:rsidR="00BF605D" w:rsidRDefault="00491D7D" w:rsidP="414B7552">
      <w:pPr>
        <w:rPr>
          <w:rStyle w:val="normaltextrun"/>
          <w:rFonts w:eastAsiaTheme="majorEastAsia"/>
          <w:noProof/>
          <w:color w:val="000000" w:themeColor="text1"/>
        </w:rPr>
      </w:pPr>
      <w:r>
        <w:rPr>
          <w:rStyle w:val="normaltextrun"/>
          <w:noProof/>
          <w:color w:val="000000" w:themeColor="text1"/>
        </w:rPr>
        <w:t xml:space="preserve">Pour mettre en œuvre la législation susmentionnée et permettre des échanges de données efficaces et efficients, il faudra adopter une approche coordonnée guidée par les pouvoirs publics. Le cadre pour le partage des données ne se limite pas à la normalisation, il nécessite un ensemble complexe de dispositions juridiques et de modalités opérationnelles, ainsi que des exigences et directives techniques. Une coordination étroite est nécessaire pour garantir des processus cohérents et harmonieux au niveau européen, de nature à compléter et coordonner les initiatives nationales et à leur ajouter de la valeur. Par conséquent, </w:t>
      </w:r>
      <w:r>
        <w:rPr>
          <w:rStyle w:val="normaltextrun"/>
          <w:b/>
          <w:noProof/>
          <w:color w:val="000000" w:themeColor="text1"/>
        </w:rPr>
        <w:t>l’objectif de ce domaine d’action est de créer un espace européen commun des données relatives à l’énergie</w:t>
      </w:r>
      <w:r>
        <w:rPr>
          <w:rStyle w:val="FootnoteReference"/>
          <w:rFonts w:eastAsiaTheme="majorEastAsia"/>
          <w:b/>
          <w:bCs/>
          <w:noProof/>
          <w:color w:val="000000" w:themeColor="text1"/>
          <w:lang w:val="en-GB"/>
        </w:rPr>
        <w:footnoteReference w:id="14"/>
      </w:r>
      <w:r>
        <w:rPr>
          <w:rStyle w:val="normaltextrun"/>
          <w:b/>
          <w:noProof/>
          <w:color w:val="000000" w:themeColor="text1"/>
        </w:rPr>
        <w:t xml:space="preserve"> et de garantir une gouvernance solide de cet espace, sous la forme d’un cadre européen coordonné pour le partage et l’utilisation des données énergétiques.</w:t>
      </w:r>
      <w:r>
        <w:rPr>
          <w:rStyle w:val="normaltextrun"/>
          <w:noProof/>
          <w:color w:val="000000" w:themeColor="text1"/>
        </w:rPr>
        <w:t xml:space="preserve"> Une phase préparatoire s’achèvera d’ici 2024, et le déploiement débutera immédiatement après. Le calendrier indicatif et les mesures nécessaires pour atteindre cet objectif sont présentés ci-dessous.</w:t>
      </w:r>
    </w:p>
    <w:p w14:paraId="31E0CB88" w14:textId="77777777" w:rsidR="00ED591F" w:rsidRPr="00150008" w:rsidRDefault="00ED591F" w:rsidP="414B7552">
      <w:pPr>
        <w:rPr>
          <w:rStyle w:val="normaltextrun"/>
          <w:rFonts w:eastAsiaTheme="majorEastAsia"/>
          <w:noProof/>
          <w:color w:val="000000" w:themeColor="text1"/>
          <w:lang w:val="fr-BE"/>
        </w:rPr>
      </w:pPr>
    </w:p>
    <w:p w14:paraId="7B7AE9DF" w14:textId="77777777" w:rsidR="00B75808" w:rsidRPr="00B33E58" w:rsidRDefault="00572BE7" w:rsidP="00B33E58">
      <w:pPr>
        <w:ind w:firstLine="720"/>
        <w:rPr>
          <w:rStyle w:val="normaltextrun"/>
          <w:b/>
          <w:noProof/>
        </w:rPr>
      </w:pPr>
      <w:r>
        <w:rPr>
          <w:rStyle w:val="normaltextrun"/>
          <w:b/>
          <w:noProof/>
        </w:rPr>
        <w:t>2.1</w:t>
      </w:r>
      <w:r>
        <w:rPr>
          <w:noProof/>
        </w:rPr>
        <w:tab/>
      </w:r>
      <w:r>
        <w:rPr>
          <w:b/>
          <w:noProof/>
        </w:rPr>
        <w:t>Stratégie de coordination de l’UE</w:t>
      </w:r>
    </w:p>
    <w:p w14:paraId="25A8EA70" w14:textId="2C7CFA2F" w:rsidR="00D84006" w:rsidRPr="00D84006" w:rsidRDefault="00D84006" w:rsidP="402E9E44">
      <w:pPr>
        <w:pStyle w:val="paragraph"/>
        <w:spacing w:before="0" w:beforeAutospacing="0" w:after="240" w:afterAutospacing="0"/>
        <w:jc w:val="both"/>
        <w:textAlignment w:val="baseline"/>
        <w:rPr>
          <w:rStyle w:val="normaltextrun"/>
          <w:rFonts w:eastAsiaTheme="majorEastAsia"/>
          <w:noProof/>
          <w:color w:val="000000" w:themeColor="text1"/>
        </w:rPr>
      </w:pPr>
      <w:r>
        <w:rPr>
          <w:rStyle w:val="normaltextrun"/>
          <w:noProof/>
          <w:color w:val="000000" w:themeColor="text1"/>
        </w:rPr>
        <w:t>Afin de promouvoir davantage la transformation numérique du secteur de l’énergie,</w:t>
      </w:r>
      <w:r>
        <w:rPr>
          <w:noProof/>
          <w:color w:val="000000" w:themeColor="text1"/>
        </w:rPr>
        <w:t xml:space="preserve"> </w:t>
      </w:r>
      <w:r>
        <w:rPr>
          <w:b/>
          <w:noProof/>
          <w:color w:val="000000" w:themeColor="text1"/>
        </w:rPr>
        <w:t>la Commission rétablira officiellement le groupe de travail existant sur les réseaux intelligents</w:t>
      </w:r>
      <w:r>
        <w:rPr>
          <w:rStyle w:val="FootnoteReference"/>
          <w:b/>
          <w:bCs/>
          <w:noProof/>
          <w:color w:val="000000" w:themeColor="text1"/>
          <w:lang w:val="en-GB"/>
        </w:rPr>
        <w:footnoteReference w:id="15"/>
      </w:r>
      <w:r>
        <w:rPr>
          <w:b/>
          <w:noProof/>
          <w:color w:val="000000" w:themeColor="text1"/>
        </w:rPr>
        <w:t xml:space="preserve"> (SGTF).</w:t>
      </w:r>
      <w:r>
        <w:rPr>
          <w:b/>
          <w:noProof/>
        </w:rPr>
        <w:t xml:space="preserve"> Rebaptisé «Smart Energy Expert Group»</w:t>
      </w:r>
      <w:r>
        <w:rPr>
          <w:noProof/>
        </w:rPr>
        <w:t xml:space="preserve">, </w:t>
      </w:r>
      <w:r>
        <w:rPr>
          <w:rStyle w:val="normaltextrun"/>
          <w:noProof/>
          <w:color w:val="000000" w:themeColor="text1"/>
        </w:rPr>
        <w:t>ce groupe aura des responsabilités élargies et veillera à associer à ses travaux tous les États membres et autres parties prenantes concernées.</w:t>
      </w:r>
    </w:p>
    <w:p w14:paraId="356B19BB" w14:textId="5679E97E" w:rsidR="00B75808" w:rsidRPr="00427CC9" w:rsidRDefault="00D84006" w:rsidP="16E2D048">
      <w:pPr>
        <w:pStyle w:val="paragraph"/>
        <w:spacing w:before="0" w:beforeAutospacing="0" w:after="240" w:afterAutospacing="0"/>
        <w:jc w:val="both"/>
        <w:textAlignment w:val="baseline"/>
        <w:rPr>
          <w:rStyle w:val="normaltextrun"/>
          <w:rFonts w:eastAsiaTheme="majorEastAsia"/>
          <w:noProof/>
          <w:color w:val="000000" w:themeColor="text1"/>
        </w:rPr>
      </w:pPr>
      <w:r>
        <w:rPr>
          <w:rStyle w:val="normaltextrun"/>
          <w:noProof/>
          <w:color w:val="000000" w:themeColor="text1"/>
        </w:rPr>
        <w:t xml:space="preserve">Au sein de ce groupe, </w:t>
      </w:r>
      <w:r>
        <w:rPr>
          <w:rStyle w:val="normaltextrun"/>
          <w:b/>
          <w:noProof/>
          <w:color w:val="000000" w:themeColor="text1"/>
        </w:rPr>
        <w:t>la Commission mettra en place, d’ici mars 2023 au plus tard, le groupe de travail «Data for Energy» (D4E).</w:t>
      </w:r>
      <w:r>
        <w:rPr>
          <w:rStyle w:val="normaltextrun"/>
          <w:noProof/>
          <w:color w:val="000000" w:themeColor="text1"/>
        </w:rPr>
        <w:t xml:space="preserve"> Ce groupe réunira la Commission, les </w:t>
      </w:r>
      <w:bookmarkStart w:id="14" w:name="_Int_ZxTwu5m6"/>
      <w:r>
        <w:rPr>
          <w:rStyle w:val="normaltextrun"/>
          <w:noProof/>
          <w:color w:val="000000" w:themeColor="text1"/>
        </w:rPr>
        <w:t xml:space="preserve">États </w:t>
      </w:r>
      <w:bookmarkEnd w:id="14"/>
      <w:r>
        <w:rPr>
          <w:rStyle w:val="normaltextrun"/>
          <w:noProof/>
          <w:color w:val="000000" w:themeColor="text1"/>
        </w:rPr>
        <w:t xml:space="preserve">membres et les parties prenantes publiques et privées concernées afin de mettre en place le cadre européen de partage des données relatives à l’énergie. Le groupe D4E contribuera à renforcer la coordination au niveau de l’UE en matière d’échanges de données pour le secteur de l’énergie, en définissant les principes moteurs et en assurant la cohérence entre les différentes priorités et initiatives de partage de données. En outre, le groupe D4E soutiendra la Commission dans l’élaboration et le déploiement d’un espace européen commun des données relatives à l’énergie. La gouvernance et les principaux éléments constitutifs de l’espace de données à venir seront donc conçus et gérés en partenariat. </w:t>
      </w:r>
    </w:p>
    <w:p w14:paraId="32DA2AEA" w14:textId="77777777" w:rsidR="00BF605D" w:rsidRPr="00427CC9" w:rsidRDefault="49DF5F5E" w:rsidP="00095A15">
      <w:pPr>
        <w:pStyle w:val="paragraph"/>
        <w:spacing w:before="0" w:beforeAutospacing="0" w:after="240" w:afterAutospacing="0"/>
        <w:jc w:val="both"/>
        <w:textAlignment w:val="baseline"/>
        <w:rPr>
          <w:noProof/>
          <w:color w:val="000000" w:themeColor="text1"/>
        </w:rPr>
      </w:pPr>
      <w:r>
        <w:rPr>
          <w:rStyle w:val="normaltextrun"/>
          <w:b/>
          <w:noProof/>
          <w:color w:val="000000" w:themeColor="text1"/>
        </w:rPr>
        <w:t>Le groupe D4E concentrera ses travaux sur le développement d’un portefeuille de cas d’utilisation européens de haut niveau</w:t>
      </w:r>
      <w:r>
        <w:rPr>
          <w:rStyle w:val="FootnoteReference"/>
          <w:noProof/>
          <w:color w:val="000000" w:themeColor="text1"/>
          <w:lang w:val="en-GB"/>
        </w:rPr>
        <w:footnoteReference w:id="16"/>
      </w:r>
      <w:r>
        <w:rPr>
          <w:noProof/>
          <w:color w:val="000000" w:themeColor="text1"/>
        </w:rPr>
        <w:t xml:space="preserve"> concernant les échanges de données dans le domaine de l’énergie qui sont essentiels en vue d’atteindre les objectifs du pacte vert et de la décennie numérique. Parmi les cas d’utilisation à haut niveau qui seront traités dès le départ</w:t>
      </w:r>
      <w:r>
        <w:rPr>
          <w:noProof/>
        </w:rPr>
        <w:t xml:space="preserve"> </w:t>
      </w:r>
      <w:bookmarkStart w:id="15" w:name="_Int_NOzkX66Y"/>
      <w:r>
        <w:rPr>
          <w:noProof/>
        </w:rPr>
        <w:t>figurent</w:t>
      </w:r>
      <w:bookmarkEnd w:id="15"/>
      <w:r>
        <w:rPr>
          <w:noProof/>
        </w:rPr>
        <w:t xml:space="preserve">: </w:t>
      </w:r>
      <w:r>
        <w:rPr>
          <w:noProof/>
          <w:color w:val="000000" w:themeColor="text1"/>
        </w:rPr>
        <w:t>les services de flexibilité pour les marchés et les réseaux énergétiques; la recharge intelligente et bidirectionnelle des véhicules électriques et les bâtiments intelligents et économes en énergie, notamment en stimulant les investissements privés et publics et en exploitant l’initiative proposée concernant les toitures solaires</w:t>
      </w:r>
      <w:r>
        <w:rPr>
          <w:noProof/>
        </w:rPr>
        <w:t>.</w:t>
      </w:r>
      <w:r>
        <w:rPr>
          <w:noProof/>
          <w:color w:val="000000" w:themeColor="text1"/>
        </w:rPr>
        <w:t xml:space="preserve"> D’autres cas d’utilisation de haut niveau pourront être envisagés ultérieurement dans le processus, à chaque fois que cela sera nécessaire. </w:t>
      </w:r>
    </w:p>
    <w:p w14:paraId="76AD2234" w14:textId="77777777" w:rsidR="005B1518" w:rsidRDefault="000F2ED7" w:rsidP="71B12D84">
      <w:pPr>
        <w:pStyle w:val="paragraph"/>
        <w:spacing w:before="0" w:beforeAutospacing="0" w:after="240" w:afterAutospacing="0"/>
        <w:jc w:val="both"/>
        <w:textAlignment w:val="baseline"/>
        <w:rPr>
          <w:noProof/>
          <w:color w:val="000000" w:themeColor="text1"/>
        </w:rPr>
      </w:pPr>
      <w:r>
        <w:rPr>
          <w:rStyle w:val="normaltextrun"/>
          <w:noProof/>
          <w:color w:val="000000" w:themeColor="text1"/>
          <w:shd w:val="clear" w:color="auto" w:fill="FFFFFF"/>
        </w:rPr>
        <w:t xml:space="preserve">Le groupe D4E continuera </w:t>
      </w:r>
      <w:r>
        <w:rPr>
          <w:rStyle w:val="normaltextrun"/>
          <w:noProof/>
          <w:color w:val="000000" w:themeColor="text1"/>
        </w:rPr>
        <w:t xml:space="preserve">à </w:t>
      </w:r>
      <w:r>
        <w:rPr>
          <w:rStyle w:val="normaltextrun"/>
          <w:noProof/>
          <w:color w:val="000000" w:themeColor="text1"/>
          <w:shd w:val="clear" w:color="auto" w:fill="FFFFFF"/>
        </w:rPr>
        <w:t xml:space="preserve">développer ces domaines prioritaires </w:t>
      </w:r>
      <w:r>
        <w:rPr>
          <w:rStyle w:val="normaltextrun"/>
          <w:noProof/>
          <w:color w:val="000000" w:themeColor="text1"/>
        </w:rPr>
        <w:t xml:space="preserve">en élaborant </w:t>
      </w:r>
      <w:r>
        <w:rPr>
          <w:rStyle w:val="normaltextrun"/>
          <w:noProof/>
          <w:color w:val="000000" w:themeColor="text1"/>
          <w:shd w:val="clear" w:color="auto" w:fill="FFFFFF"/>
        </w:rPr>
        <w:t>les modalités de mise en œuvre et les produits livrables nécessaires comme composantes du futur espace européen commun des données relatives à l’énergie</w:t>
      </w:r>
      <w:r>
        <w:rPr>
          <w:rStyle w:val="normaltextrun"/>
          <w:noProof/>
          <w:color w:val="000000" w:themeColor="text1"/>
        </w:rPr>
        <w:t>, et les proposera à la Commission pour approbation et suite à donner</w:t>
      </w:r>
      <w:r>
        <w:rPr>
          <w:rStyle w:val="normaltextrun"/>
          <w:noProof/>
          <w:color w:val="000000" w:themeColor="text1"/>
          <w:shd w:val="clear" w:color="auto" w:fill="FFFFFF"/>
        </w:rPr>
        <w:t xml:space="preserve">. </w:t>
      </w:r>
      <w:r>
        <w:rPr>
          <w:noProof/>
          <w:color w:val="000000" w:themeColor="text1"/>
        </w:rPr>
        <w:t>Ce faisant, le groupe D4E tirera parti d’autres initiatives et flux de travail entrepris au niveau européen</w:t>
      </w:r>
      <w:r>
        <w:rPr>
          <w:rStyle w:val="FootnoteReference"/>
          <w:noProof/>
          <w:color w:val="000000" w:themeColor="text1"/>
          <w:lang w:val="en-GB"/>
        </w:rPr>
        <w:footnoteReference w:id="17"/>
      </w:r>
      <w:r>
        <w:rPr>
          <w:noProof/>
          <w:color w:val="000000" w:themeColor="text1"/>
        </w:rPr>
        <w:t>. Ainsi, s’agissant par exemple de la recharge intelligente et bidirectionnelle des véhicules électriques, la Commission définira, d’ici 2023, un programme de travail commun pour le groupe D4E et le forum pour des transports durables</w:t>
      </w:r>
      <w:r>
        <w:rPr>
          <w:rStyle w:val="FootnoteReference"/>
          <w:noProof/>
          <w:color w:val="000000" w:themeColor="text1"/>
          <w:lang w:val="en-GB"/>
        </w:rPr>
        <w:footnoteReference w:id="18"/>
      </w:r>
      <w:r>
        <w:rPr>
          <w:noProof/>
          <w:color w:val="000000" w:themeColor="text1"/>
        </w:rPr>
        <w:t xml:space="preserve">, dans le but d’assurer l’alignement entre les espaces de données relatives à l’énergie et à la mobilité, en soutenant l’intégration des systèmes et en fournissant des services intersectoriels. En outre, le groupe D4E coopérera étroitement avec le </w:t>
      </w:r>
      <w:bookmarkStart w:id="16" w:name="_Hlk109817337"/>
      <w:r>
        <w:rPr>
          <w:noProof/>
          <w:color w:val="000000" w:themeColor="text1"/>
        </w:rPr>
        <w:t>groupe d’experts sur l’espace européen des données financières</w:t>
      </w:r>
      <w:bookmarkEnd w:id="16"/>
      <w:r>
        <w:rPr>
          <w:noProof/>
          <w:color w:val="000000" w:themeColor="text1"/>
        </w:rPr>
        <w:t xml:space="preserve">, dans le but de développer des cas d’utilisation d’intérêt commun et d’orienter davantage de ressources financières privées vers la transition énergétique. </w:t>
      </w:r>
    </w:p>
    <w:p w14:paraId="6B0624DE" w14:textId="118E9C83" w:rsidR="005F1857" w:rsidRPr="00427CC9" w:rsidRDefault="002C4A32" w:rsidP="4B276B17">
      <w:pPr>
        <w:pStyle w:val="paragraph"/>
        <w:spacing w:before="0" w:beforeAutospacing="0" w:after="240" w:afterAutospacing="0"/>
        <w:jc w:val="both"/>
        <w:textAlignment w:val="baseline"/>
        <w:rPr>
          <w:rStyle w:val="eop"/>
          <w:noProof/>
          <w:color w:val="000000" w:themeColor="text1"/>
        </w:rPr>
      </w:pPr>
      <w:r>
        <w:rPr>
          <w:noProof/>
          <w:color w:val="000000" w:themeColor="text1"/>
        </w:rPr>
        <w:t xml:space="preserve">Le groupe D4E aidera également la Commission européenne à mettre en œuvre la gouvernance de l’espace européen commun des données relatives à l’énergie. Cela se fera en étroite coordination avec le </w:t>
      </w:r>
      <w:r>
        <w:rPr>
          <w:rStyle w:val="normaltextrun"/>
          <w:noProof/>
          <w:color w:val="000000" w:themeColor="text1"/>
        </w:rPr>
        <w:t>comité européen de l’innovation dans le domaine des données</w:t>
      </w:r>
      <w:r>
        <w:rPr>
          <w:rStyle w:val="FootnoteReference"/>
          <w:rFonts w:eastAsiaTheme="majorEastAsia"/>
          <w:noProof/>
          <w:color w:val="000000" w:themeColor="text1"/>
          <w:lang w:val="en-GB"/>
        </w:rPr>
        <w:footnoteReference w:id="19"/>
      </w:r>
      <w:r>
        <w:rPr>
          <w:rStyle w:val="normaltextrun"/>
          <w:noProof/>
          <w:color w:val="000000" w:themeColor="text1"/>
        </w:rPr>
        <w:t xml:space="preserve"> et les organes de gouvernance émergents des autres espaces de données européens, afin de garantir des approches cohérentes et d’intégrer d’emblée des processus interopérables.</w:t>
      </w:r>
      <w:r>
        <w:rPr>
          <w:noProof/>
          <w:color w:val="000000" w:themeColor="text1"/>
        </w:rPr>
        <w:t xml:space="preserve"> Des flux de données transparents dans l’espace des données relatives à l’énergie, ainsi qu’entre cet espace et d’autres</w:t>
      </w:r>
      <w:r>
        <w:rPr>
          <w:rStyle w:val="FootnoteReference"/>
          <w:noProof/>
          <w:color w:val="000000" w:themeColor="text1"/>
          <w:lang w:val="en-GB"/>
        </w:rPr>
        <w:footnoteReference w:id="20"/>
      </w:r>
      <w:r>
        <w:rPr>
          <w:noProof/>
          <w:color w:val="000000" w:themeColor="text1"/>
        </w:rPr>
        <w:t>, sont essentiels pour créer de la valeur ajoutée le long des chaînes de valeur européennes et entre celles-ci. En outre, le centre de soutien aux espaces de données</w:t>
      </w:r>
      <w:r>
        <w:rPr>
          <w:rStyle w:val="FootnoteReference"/>
          <w:noProof/>
          <w:color w:val="000000" w:themeColor="text1"/>
          <w:lang w:val="en-GB"/>
        </w:rPr>
        <w:footnoteReference w:id="21"/>
      </w:r>
      <w:r>
        <w:rPr>
          <w:noProof/>
          <w:color w:val="000000" w:themeColor="text1"/>
        </w:rPr>
        <w:t xml:space="preserve"> fournira des conseils aux espaces de données sectoriels à venir et soutiendra leur création en mettant à disposition les technologies, les processus et les outils pertinents. Les principes directeurs et les recommandations du cadre d’interopérabilité européen</w:t>
      </w:r>
      <w:r>
        <w:rPr>
          <w:rStyle w:val="FootnoteReference"/>
          <w:noProof/>
          <w:color w:val="000000" w:themeColor="text1"/>
          <w:lang w:val="en-GB"/>
        </w:rPr>
        <w:footnoteReference w:id="22"/>
      </w:r>
      <w:r>
        <w:rPr>
          <w:noProof/>
          <w:color w:val="000000" w:themeColor="text1"/>
        </w:rPr>
        <w:t xml:space="preserve"> éclaireront les processus visant à assurer l’interopérabilité intersectorielle, dans la droite ligne de la proposition à venir de la Commission sur la coopération renforcée en matière d’interopérabilité.</w:t>
      </w:r>
    </w:p>
    <w:p w14:paraId="65C13BC7" w14:textId="77777777" w:rsidR="009767BB" w:rsidRPr="00B33E58" w:rsidRDefault="00572BE7" w:rsidP="00B33E58">
      <w:pPr>
        <w:ind w:firstLine="720"/>
        <w:rPr>
          <w:b/>
          <w:noProof/>
        </w:rPr>
      </w:pPr>
      <w:r>
        <w:rPr>
          <w:b/>
          <w:noProof/>
        </w:rPr>
        <w:t>2.2</w:t>
      </w:r>
      <w:r>
        <w:rPr>
          <w:noProof/>
        </w:rPr>
        <w:tab/>
      </w:r>
      <w:r>
        <w:rPr>
          <w:b/>
          <w:noProof/>
        </w:rPr>
        <w:t>Résultats immédiats et éléments de base afin de soutenir le processus</w:t>
      </w:r>
    </w:p>
    <w:p w14:paraId="411F271F" w14:textId="28A3DD21" w:rsidR="000F4C85" w:rsidRPr="00070E9F" w:rsidRDefault="6D52C8DF" w:rsidP="000F4C85">
      <w:pPr>
        <w:rPr>
          <w:noProof/>
          <w:sz w:val="20"/>
        </w:rPr>
      </w:pPr>
      <w:r>
        <w:rPr>
          <w:noProof/>
          <w:color w:val="000000" w:themeColor="text1"/>
        </w:rPr>
        <w:t xml:space="preserve">Le groupe D4E sera mis en place en parallèle avec plusieurs autres initiatives qui se renforceront mutuellement. Pour toutes ces initiatives, il est important que les consommateurs disposent d’un compteur d’électricité intelligent à leur domicile. Ce n’est toujours pas le cas dans de nombreux </w:t>
      </w:r>
      <w:bookmarkStart w:id="17" w:name="_Int_KftTg142"/>
      <w:r>
        <w:rPr>
          <w:noProof/>
          <w:color w:val="000000" w:themeColor="text1"/>
        </w:rPr>
        <w:t>États membres</w:t>
      </w:r>
      <w:bookmarkEnd w:id="17"/>
      <w:r>
        <w:rPr>
          <w:rStyle w:val="FootnoteReference"/>
          <w:noProof/>
          <w:color w:val="000000" w:themeColor="text1"/>
          <w:lang w:val="en-GB"/>
        </w:rPr>
        <w:footnoteReference w:id="23"/>
      </w:r>
      <w:r>
        <w:rPr>
          <w:noProof/>
          <w:color w:val="000000" w:themeColor="text1"/>
        </w:rPr>
        <w:t xml:space="preserve">, et il est donc d’autant plus urgent de redoubler d’efforts pour déployer plus largement ce type de compteurs. </w:t>
      </w:r>
      <w:r>
        <w:rPr>
          <w:noProof/>
        </w:rPr>
        <w:t>La Commission invite instamment les États membres qui n’ont pas encore achevé le déploiement complet des compteurs intelligents à intensifier leurs efforts et à élever leurs objectifs nationaux en ce qui concerne ce déploiement, en particulier lors de la mise à jour de leurs plans nationaux en matière d’énergie et de climat. Dans les cas où l’analyse coûts/avantages ne penchait pas en faveur du déploiement de compteurs intelligents, la Commission invite les États membres à revoir et à réitérer cette analyse à la lumière du pacte vert et de REPowerEU.</w:t>
      </w:r>
    </w:p>
    <w:p w14:paraId="632CA454" w14:textId="5AF4610B" w:rsidR="005F1857" w:rsidRPr="00427CC9" w:rsidRDefault="007969E9" w:rsidP="414B7552">
      <w:pPr>
        <w:pStyle w:val="paragraph"/>
        <w:spacing w:before="0" w:beforeAutospacing="0" w:after="0" w:afterAutospacing="0"/>
        <w:jc w:val="both"/>
        <w:textAlignment w:val="baseline"/>
        <w:rPr>
          <w:rStyle w:val="eop"/>
          <w:noProof/>
          <w:color w:val="000000" w:themeColor="text1"/>
        </w:rPr>
      </w:pPr>
      <w:r>
        <w:rPr>
          <w:noProof/>
          <w:color w:val="000000" w:themeColor="text1"/>
        </w:rPr>
        <w:t xml:space="preserve">Lorsqu’il conseillera la Commission, le </w:t>
      </w:r>
      <w:r>
        <w:rPr>
          <w:rStyle w:val="normaltextrun"/>
          <w:noProof/>
          <w:color w:val="000000" w:themeColor="text1"/>
        </w:rPr>
        <w:t>groupe D4E tiendra compte des activités qui favorisent l’amélioration des échanges de données. Parmi ces initiatives figurent notamment:</w:t>
      </w:r>
      <w:r>
        <w:rPr>
          <w:rStyle w:val="eop"/>
          <w:noProof/>
          <w:color w:val="000000" w:themeColor="text1"/>
        </w:rPr>
        <w:t xml:space="preserve"> </w:t>
      </w:r>
    </w:p>
    <w:p w14:paraId="42A92313" w14:textId="77777777" w:rsidR="00B57B16" w:rsidRPr="00427CC9" w:rsidRDefault="00BF605D" w:rsidP="009259F5">
      <w:pPr>
        <w:pStyle w:val="ListParagraph"/>
        <w:numPr>
          <w:ilvl w:val="0"/>
          <w:numId w:val="116"/>
        </w:numPr>
        <w:jc w:val="both"/>
        <w:rPr>
          <w:rStyle w:val="eop"/>
          <w:noProof/>
          <w:color w:val="000000" w:themeColor="text1"/>
          <w:szCs w:val="20"/>
        </w:rPr>
      </w:pPr>
      <w:r>
        <w:rPr>
          <w:rStyle w:val="normaltextrun"/>
          <w:noProof/>
          <w:color w:val="000000" w:themeColor="text1"/>
          <w:shd w:val="clear" w:color="auto" w:fill="FFFFFF"/>
        </w:rPr>
        <w:t>l’adoption</w:t>
      </w:r>
      <w:r>
        <w:rPr>
          <w:rStyle w:val="normaltextrun"/>
          <w:noProof/>
          <w:color w:val="000000" w:themeColor="text1"/>
        </w:rPr>
        <w:t xml:space="preserve"> par la Commission </w:t>
      </w:r>
      <w:r>
        <w:rPr>
          <w:rStyle w:val="normaltextrun"/>
          <w:b/>
          <w:noProof/>
          <w:color w:val="000000" w:themeColor="text1"/>
        </w:rPr>
        <w:t>d’un acte d’exécution relatif aux exigences d’interopérabilité et aux procédures non discriminatoires et transparentes pour l’accès aux données de relevés de consommation et aux données de consommation</w:t>
      </w:r>
      <w:r>
        <w:rPr>
          <w:rStyle w:val="normaltextrun"/>
          <w:noProof/>
          <w:color w:val="000000" w:themeColor="text1"/>
        </w:rPr>
        <w:t xml:space="preserve"> (conformément à l’article 24 de la directive «électricité»);</w:t>
      </w:r>
      <w:r>
        <w:rPr>
          <w:rStyle w:val="eop"/>
          <w:noProof/>
          <w:color w:val="000000" w:themeColor="text1"/>
        </w:rPr>
        <w:t xml:space="preserve"> </w:t>
      </w:r>
    </w:p>
    <w:p w14:paraId="6DB373B4" w14:textId="4F099E66" w:rsidR="00B57B16" w:rsidRPr="00427CC9" w:rsidRDefault="5F42DBFD" w:rsidP="009259F5">
      <w:pPr>
        <w:pStyle w:val="ListParagraph"/>
        <w:numPr>
          <w:ilvl w:val="0"/>
          <w:numId w:val="116"/>
        </w:numPr>
        <w:jc w:val="both"/>
        <w:rPr>
          <w:rStyle w:val="eop"/>
          <w:noProof/>
          <w:color w:val="000000" w:themeColor="text1"/>
        </w:rPr>
      </w:pPr>
      <w:r>
        <w:rPr>
          <w:rStyle w:val="normaltextrun"/>
          <w:noProof/>
          <w:color w:val="000000" w:themeColor="text1"/>
          <w:shd w:val="clear" w:color="auto" w:fill="FFFFFF"/>
        </w:rPr>
        <w:t>la préparation</w:t>
      </w:r>
      <w:r>
        <w:rPr>
          <w:rStyle w:val="normaltextrun"/>
          <w:noProof/>
          <w:color w:val="000000" w:themeColor="text1"/>
        </w:rPr>
        <w:t xml:space="preserve"> des </w:t>
      </w:r>
      <w:r>
        <w:rPr>
          <w:rStyle w:val="normaltextrun"/>
          <w:b/>
          <w:noProof/>
          <w:color w:val="000000" w:themeColor="text1"/>
        </w:rPr>
        <w:t xml:space="preserve">actes d’exécution relatifs aux exigences d’interopérabilité et aux procédures non discriminatoires et transparentes pour l’accès aux données nécessaires pour la participation active de la demande et le changement de fournisseur du client </w:t>
      </w:r>
      <w:r>
        <w:rPr>
          <w:rStyle w:val="normaltextrun"/>
          <w:noProof/>
          <w:color w:val="000000" w:themeColor="text1"/>
        </w:rPr>
        <w:t>(comme le prévoit l’article 24 de la directive «électricité»);</w:t>
      </w:r>
      <w:r>
        <w:rPr>
          <w:rStyle w:val="eop"/>
          <w:noProof/>
          <w:color w:val="000000" w:themeColor="text1"/>
        </w:rPr>
        <w:t xml:space="preserve"> </w:t>
      </w:r>
    </w:p>
    <w:p w14:paraId="186ABE7F" w14:textId="77777777" w:rsidR="00BF605D" w:rsidRPr="00427CC9" w:rsidRDefault="00F0229D" w:rsidP="009259F5">
      <w:pPr>
        <w:pStyle w:val="ListParagraph"/>
        <w:numPr>
          <w:ilvl w:val="0"/>
          <w:numId w:val="116"/>
        </w:numPr>
        <w:jc w:val="both"/>
        <w:rPr>
          <w:rStyle w:val="eop"/>
          <w:noProof/>
          <w:color w:val="000000" w:themeColor="text1"/>
        </w:rPr>
      </w:pPr>
      <w:r>
        <w:rPr>
          <w:rStyle w:val="normaltextrun"/>
          <w:noProof/>
          <w:color w:val="000000" w:themeColor="text1"/>
          <w:shd w:val="clear" w:color="auto" w:fill="FFFFFF"/>
        </w:rPr>
        <w:t>la promotion</w:t>
      </w:r>
      <w:r>
        <w:rPr>
          <w:rStyle w:val="normaltextrun"/>
          <w:noProof/>
          <w:color w:val="000000" w:themeColor="text1"/>
        </w:rPr>
        <w:t xml:space="preserve"> d’un </w:t>
      </w:r>
      <w:r>
        <w:rPr>
          <w:rStyle w:val="normaltextrun"/>
          <w:b/>
          <w:noProof/>
          <w:color w:val="000000" w:themeColor="text1"/>
        </w:rPr>
        <w:t>code de conduite pour les appareils intelligents, afin de permettre leur interopérabilité et de favoriser leur participation aux programmes de participation active de la demande</w:t>
      </w:r>
      <w:r>
        <w:rPr>
          <w:rStyle w:val="FootnoteReference"/>
          <w:rFonts w:eastAsiaTheme="majorEastAsia"/>
          <w:noProof/>
          <w:color w:val="000000" w:themeColor="text1"/>
          <w:lang w:val="en-GB"/>
        </w:rPr>
        <w:footnoteReference w:id="24"/>
      </w:r>
      <w:r>
        <w:rPr>
          <w:rStyle w:val="normaltextrun"/>
          <w:noProof/>
          <w:color w:val="000000" w:themeColor="text1"/>
        </w:rPr>
        <w:t xml:space="preserve">. </w:t>
      </w:r>
    </w:p>
    <w:p w14:paraId="521ADC96" w14:textId="77777777" w:rsidR="00BF605D" w:rsidRPr="00150008" w:rsidRDefault="00BF605D" w:rsidP="00BF605D">
      <w:pPr>
        <w:pStyle w:val="paragraph"/>
        <w:spacing w:before="0" w:beforeAutospacing="0" w:after="0" w:afterAutospacing="0"/>
        <w:jc w:val="both"/>
        <w:textAlignment w:val="baseline"/>
        <w:rPr>
          <w:noProof/>
          <w:color w:val="000000" w:themeColor="text1"/>
          <w:sz w:val="18"/>
          <w:szCs w:val="18"/>
          <w:lang w:val="fr-BE"/>
        </w:rPr>
      </w:pPr>
    </w:p>
    <w:p w14:paraId="39B0AF36" w14:textId="77777777" w:rsidR="0016104F" w:rsidRDefault="17693267" w:rsidP="35C3164F">
      <w:pPr>
        <w:pStyle w:val="paragraph"/>
        <w:spacing w:before="0" w:beforeAutospacing="0" w:after="240" w:afterAutospacing="0"/>
        <w:jc w:val="both"/>
        <w:rPr>
          <w:noProof/>
        </w:rPr>
      </w:pPr>
      <w:r>
        <w:rPr>
          <w:rStyle w:val="normaltextrun"/>
          <w:noProof/>
          <w:color w:val="000000" w:themeColor="text1"/>
        </w:rPr>
        <w:t xml:space="preserve">Les programmes de l’UE en matière de recherche et d’innovation et de numérisation continueront de jouer un rôle clé. La Commission a donc l’intention de soutenir, par l’entremise du </w:t>
      </w:r>
      <w:r>
        <w:rPr>
          <w:rStyle w:val="normaltextrun"/>
          <w:b/>
          <w:noProof/>
          <w:color w:val="000000" w:themeColor="text1"/>
        </w:rPr>
        <w:t>programme pour une Europe numérique</w:t>
      </w:r>
      <w:r>
        <w:rPr>
          <w:rStyle w:val="FootnoteReference"/>
          <w:rFonts w:eastAsiaTheme="majorEastAsia"/>
          <w:bCs/>
          <w:noProof/>
          <w:color w:val="000000" w:themeColor="text1"/>
          <w:lang w:val="en-GB"/>
        </w:rPr>
        <w:footnoteReference w:id="25"/>
      </w:r>
      <w:r>
        <w:rPr>
          <w:rStyle w:val="normaltextrun"/>
          <w:noProof/>
          <w:color w:val="000000" w:themeColor="text1"/>
        </w:rPr>
        <w:t xml:space="preserve">, le déploiement d’un espace européen commun des données relatives à l’énergie. Celui-ci s’appuiera sur les démonstrations et les résultats obtenus dans le cadre d’un ensemble de projets financés par </w:t>
      </w:r>
      <w:r>
        <w:rPr>
          <w:rStyle w:val="normaltextrun"/>
          <w:b/>
          <w:noProof/>
          <w:color w:val="000000" w:themeColor="text1"/>
        </w:rPr>
        <w:t>Horizon Europe</w:t>
      </w:r>
      <w:r>
        <w:rPr>
          <w:rStyle w:val="FootnoteReference"/>
          <w:rFonts w:eastAsiaTheme="majorEastAsia"/>
          <w:noProof/>
          <w:color w:val="000000" w:themeColor="text1"/>
          <w:lang w:val="en-GB"/>
        </w:rPr>
        <w:footnoteReference w:id="26"/>
      </w:r>
      <w:r>
        <w:rPr>
          <w:rStyle w:val="normaltextrun"/>
          <w:noProof/>
          <w:color w:val="000000" w:themeColor="text1"/>
        </w:rPr>
        <w:t>, ainsi que sur les cas d’utilisation élaborés par le groupe D4E. Le programme Horizon Europe soutient en outre des projets et initiatives clés de recherche et d’innovation</w:t>
      </w:r>
      <w:r>
        <w:rPr>
          <w:rStyle w:val="FootnoteReference"/>
          <w:rFonts w:eastAsiaTheme="majorEastAsia"/>
          <w:bCs/>
          <w:noProof/>
          <w:color w:val="000000" w:themeColor="text1"/>
          <w:lang w:val="en-GB"/>
        </w:rPr>
        <w:footnoteReference w:id="27"/>
      </w:r>
      <w:r>
        <w:rPr>
          <w:rStyle w:val="normaltextrun"/>
          <w:noProof/>
          <w:color w:val="000000" w:themeColor="text1"/>
        </w:rPr>
        <w:t xml:space="preserve"> qui apportent un éclairage précieux en ce qui concerne les bonnes pratiques et les recommandations, y compris des résultats concrets tels que des outils et des méthodologies.</w:t>
      </w:r>
      <w:r>
        <w:rPr>
          <w:noProof/>
          <w:color w:val="1F497D"/>
        </w:rPr>
        <w:t xml:space="preserve"> </w:t>
      </w:r>
      <w:r>
        <w:rPr>
          <w:rStyle w:val="normaltextrun"/>
          <w:noProof/>
          <w:color w:val="000000" w:themeColor="text1"/>
          <w:shd w:val="clear" w:color="auto" w:fill="FFFFFF"/>
        </w:rPr>
        <w:t>Ces</w:t>
      </w:r>
      <w:r>
        <w:rPr>
          <w:rStyle w:val="normaltextrun"/>
          <w:noProof/>
          <w:color w:val="000000" w:themeColor="text1"/>
        </w:rPr>
        <w:t xml:space="preserve"> apports, d’une part, </w:t>
      </w:r>
      <w:r>
        <w:rPr>
          <w:rStyle w:val="normaltextrun"/>
          <w:noProof/>
          <w:color w:val="000000" w:themeColor="text1"/>
          <w:shd w:val="clear" w:color="auto" w:fill="FFFFFF"/>
        </w:rPr>
        <w:t>amélioreront l’interopérabilité des solutions proposées par les projets Horizon Europe et, d’autre part, pourraient être encore renforcés et utilisés pour développer les cas d’utilisation de haut niveau</w:t>
      </w:r>
      <w:r>
        <w:rPr>
          <w:rStyle w:val="normaltextrun"/>
          <w:noProof/>
          <w:color w:val="000000" w:themeColor="text1"/>
        </w:rPr>
        <w:t xml:space="preserve"> et </w:t>
      </w:r>
      <w:r>
        <w:rPr>
          <w:rStyle w:val="normaltextrun"/>
          <w:noProof/>
          <w:color w:val="000000" w:themeColor="text1"/>
          <w:shd w:val="clear" w:color="auto" w:fill="FFFFFF"/>
        </w:rPr>
        <w:t>combler les lacunes recensées sur les marchés en vue du déploiement d’un espace de données à part entière</w:t>
      </w:r>
      <w:r>
        <w:rPr>
          <w:rStyle w:val="normaltextrun"/>
          <w:noProof/>
          <w:color w:val="000000" w:themeColor="text1"/>
        </w:rPr>
        <w:t>. Ce faisant, la Commission guidera les travaux du groupe D4E avec les résultats présentés par les projets et les programmes expérimentaux d’espaces de données énergétiques et de modèles communs pour les échanges de données et l’interopérabilité.</w:t>
      </w:r>
      <w:r>
        <w:rPr>
          <w:noProof/>
        </w:rPr>
        <w:t xml:space="preserve"> </w:t>
      </w:r>
    </w:p>
    <w:p w14:paraId="3C8AA72B" w14:textId="532A7FE8" w:rsidR="00807855" w:rsidRDefault="008233A7" w:rsidP="003D6056">
      <w:pPr>
        <w:pStyle w:val="paragraph"/>
        <w:spacing w:before="0" w:beforeAutospacing="0" w:after="240" w:afterAutospacing="0"/>
        <w:jc w:val="both"/>
        <w:rPr>
          <w:noProof/>
        </w:rPr>
      </w:pPr>
      <w:r>
        <w:rPr>
          <w:noProof/>
        </w:rPr>
        <w:t>L’Europe investit déjà dans les systèmes énergétiques et les réseaux intelligents de nouvelle génération en déployant des technologies numériques émergentes, y compris les jumeaux numériques, l’intelligence décentralisée et l’informatique de périphérie.</w:t>
      </w:r>
      <w:r>
        <w:rPr>
          <w:rStyle w:val="normaltextrun"/>
          <w:noProof/>
          <w:color w:val="000000" w:themeColor="text1"/>
        </w:rPr>
        <w:t xml:space="preserve"> </w:t>
      </w:r>
      <w:bookmarkStart w:id="18" w:name="_Toc103872592"/>
      <w:bookmarkStart w:id="19" w:name="_Toc106053791"/>
      <w:bookmarkStart w:id="20" w:name="_Toc291043092"/>
      <w:bookmarkStart w:id="21" w:name="_Toc1291740619"/>
      <w:r>
        <w:rPr>
          <w:noProof/>
        </w:rPr>
        <w:t>Il ne s’agit là que de quelques exemples d’utilisation intelligente des données disponibles dans les systèmes énergétiques numérisés, qui illustrent l’importance que revêtent le partage des données et les espaces de données dans le domaine de l’énergie. En recueillant de grandes quantités de données dans les villes et communautés intelligentes sur les plateformes de données locales (grâce à des dispositifs intelligents connectés à l’internet des objets, aux applications pour smartphones, aux médias sociaux, etc.), il est possible de créer de nombreux services destinés à l’optimisation de l’énergie et des infrastructures, à la gestion des bâtiments et des installations, à la planification de scénarios et à la gestion des catastrophes dans un quartier ou une ville. Il existe dans l’ensemble de l’Union, de nombreux exemples d’application de la numérisation au niveau local</w:t>
      </w:r>
      <w:r>
        <w:rPr>
          <w:rStyle w:val="FootnoteReference"/>
          <w:noProof/>
          <w:color w:val="1F497D"/>
        </w:rPr>
        <w:footnoteReference w:id="28"/>
      </w:r>
      <w:r>
        <w:rPr>
          <w:noProof/>
        </w:rPr>
        <w:t xml:space="preserve">. La Commission encourage les États membres, les régions, les villes et les entreprises à échanger les bonnes pratiques et à mettre en place une coordination en ce qui concerne l’extension du déploiement et la normalisation afin d’accélérer la transition écologique et de renforcer l’écosystème énergétique européen. </w:t>
      </w:r>
    </w:p>
    <w:p w14:paraId="68C62B38" w14:textId="77777777" w:rsidR="00807855" w:rsidRPr="00ED591F" w:rsidRDefault="00807855" w:rsidP="00E308A1">
      <w:pPr>
        <w:spacing w:after="0"/>
        <w:rPr>
          <w:rStyle w:val="normaltextrun"/>
          <w:noProof/>
          <w:color w:val="1F497D"/>
          <w:sz w:val="28"/>
          <w:szCs w:val="22"/>
        </w:rPr>
      </w:pPr>
    </w:p>
    <w:p w14:paraId="25EF62C9" w14:textId="77777777" w:rsidR="00393931" w:rsidRPr="00427CC9" w:rsidRDefault="00352428" w:rsidP="00742C12">
      <w:pPr>
        <w:pStyle w:val="paragraph"/>
        <w:spacing w:before="0" w:beforeAutospacing="0" w:after="240" w:afterAutospacing="0"/>
        <w:jc w:val="both"/>
        <w:rPr>
          <w:noProof/>
        </w:rPr>
      </w:pPr>
      <w:r>
        <w:rPr>
          <w:b/>
          <w:smallCaps/>
          <w:noProof/>
        </w:rPr>
        <w:t>3. Promouvoir les investissements dans les infrastructures électriques numériques</w:t>
      </w:r>
      <w:bookmarkEnd w:id="18"/>
      <w:bookmarkEnd w:id="19"/>
      <w:r>
        <w:rPr>
          <w:noProof/>
        </w:rPr>
        <w:t xml:space="preserve"> </w:t>
      </w:r>
      <w:bookmarkEnd w:id="20"/>
      <w:bookmarkEnd w:id="21"/>
    </w:p>
    <w:p w14:paraId="6BAD74BC" w14:textId="7A8424A6" w:rsidR="37AE6589" w:rsidRPr="00427CC9" w:rsidRDefault="00203F07" w:rsidP="00B20724">
      <w:pPr>
        <w:rPr>
          <w:noProof/>
          <w:color w:val="000000" w:themeColor="text1"/>
        </w:rPr>
      </w:pPr>
      <w:r>
        <w:rPr>
          <w:rStyle w:val="normaltextrun"/>
          <w:noProof/>
          <w:color w:val="000000" w:themeColor="text1"/>
        </w:rPr>
        <w:t xml:space="preserve">L’existence d’infrastructures énergétiques intelligentes et numériques est une exigence clé pour toutes les priorités des cas d’utilisation de haut niveau. Le réseau électrique doit interagir avec de nombreux acteurs ou dispositifs sur la base d’un niveau détaillé d’observabilité, et donc de disponibilité des données, pour permettre la flexibilité, la recharge intelligente et les bâtiments intelligents. </w:t>
      </w:r>
      <w:r>
        <w:rPr>
          <w:noProof/>
          <w:color w:val="000000" w:themeColor="text1"/>
        </w:rPr>
        <w:t xml:space="preserve">Le réseau électrique de l’UE s’est de plus en plus numérisé au cours de la dernière décennie, mais cette transition doit s’accélérer considérablement. La coordination et la coopération contribueront à garantir le meilleur rapport qualité-prix en favorisant le changement dans l’ensemble de l’UE et </w:t>
      </w:r>
      <w:r>
        <w:rPr>
          <w:rStyle w:val="normaltextrun"/>
          <w:noProof/>
          <w:color w:val="000000" w:themeColor="text1"/>
          <w:shd w:val="clear" w:color="auto" w:fill="FFFFFF"/>
        </w:rPr>
        <w:t>en contribuant à une</w:t>
      </w:r>
      <w:r>
        <w:rPr>
          <w:rStyle w:val="normaltextrun"/>
          <w:noProof/>
          <w:color w:val="000000" w:themeColor="text1"/>
        </w:rPr>
        <w:t xml:space="preserve"> </w:t>
      </w:r>
      <w:r>
        <w:rPr>
          <w:rStyle w:val="normaltextrun"/>
          <w:noProof/>
          <w:color w:val="000000" w:themeColor="text1"/>
          <w:shd w:val="clear" w:color="auto" w:fill="FFFFFF"/>
        </w:rPr>
        <w:t>numérisation efficace du réseau électrique</w:t>
      </w:r>
      <w:r>
        <w:rPr>
          <w:noProof/>
          <w:color w:val="000000" w:themeColor="text1"/>
        </w:rPr>
        <w:t xml:space="preserve">. </w:t>
      </w:r>
      <w:r>
        <w:rPr>
          <w:noProof/>
        </w:rPr>
        <w:t xml:space="preserve">Comme indiqué ci-dessus, pour atteindre les objectifs ambitieux du paquet législatif «Ajustement à l’objectif 55» et du plan «REPowerEU», des investissements à hauteur de 584 milliards d’euros seront nécessaires dans le réseau électrique entre 2020 et 2030. On estime qu’il faudrait consacrer à la numérisation environ 170 des quelque 400 milliards d’euros d’investissements prévus dans le réseau de distribution au cours de la période 2020-2030. </w:t>
      </w:r>
    </w:p>
    <w:p w14:paraId="78644794" w14:textId="0C1BC161" w:rsidR="002E20C9" w:rsidRPr="00427CC9" w:rsidRDefault="008F0E59" w:rsidP="33E2182A">
      <w:pPr>
        <w:spacing w:after="0"/>
        <w:rPr>
          <w:b/>
          <w:bCs/>
          <w:noProof/>
          <w:color w:val="000000" w:themeColor="text1"/>
        </w:rPr>
      </w:pPr>
      <w:r>
        <w:rPr>
          <w:noProof/>
          <w:color w:val="000000" w:themeColor="text1"/>
        </w:rPr>
        <w:t xml:space="preserve">Compte tenu de ces éléments, la Commission annonce aujourd’hui qu’elle </w:t>
      </w:r>
      <w:r>
        <w:rPr>
          <w:b/>
          <w:noProof/>
          <w:color w:val="000000" w:themeColor="text1"/>
        </w:rPr>
        <w:t>aidera les gestionnaires de réseau de transport (GRT) et les gestionnaires de réseau de distribution (GRD) de l’UE à créer</w:t>
      </w:r>
      <w:r>
        <w:rPr>
          <w:noProof/>
          <w:color w:val="000000" w:themeColor="text1"/>
        </w:rPr>
        <w:t xml:space="preserve"> </w:t>
      </w:r>
      <w:r>
        <w:rPr>
          <w:b/>
          <w:noProof/>
          <w:color w:val="000000" w:themeColor="text1"/>
        </w:rPr>
        <w:t>un «jumeau» numérique du réseau électrique européen</w:t>
      </w:r>
      <w:r>
        <w:rPr>
          <w:noProof/>
          <w:color w:val="000000" w:themeColor="text1"/>
        </w:rPr>
        <w:t xml:space="preserve">, c’est-à-dire un modèle virtuel sophistiqué du réseau électrique européen. L’objectif de ce double numérique sera d’améliorer l’efficacité et l’intelligence du réseau </w:t>
      </w:r>
      <w:bookmarkStart w:id="22" w:name="_Int_OyCJmNVD"/>
      <w:r>
        <w:rPr>
          <w:noProof/>
          <w:color w:val="000000" w:themeColor="text1"/>
        </w:rPr>
        <w:t>afin de rendre plus intelligents</w:t>
      </w:r>
      <w:bookmarkEnd w:id="22"/>
      <w:r>
        <w:rPr>
          <w:noProof/>
          <w:color w:val="000000" w:themeColor="text1"/>
        </w:rPr>
        <w:t xml:space="preserve"> non seulement les réseaux, mais aussi le </w:t>
      </w:r>
      <w:bookmarkStart w:id="23" w:name="_Int_jZFuNE37"/>
      <w:r>
        <w:rPr>
          <w:noProof/>
          <w:color w:val="000000" w:themeColor="text1"/>
        </w:rPr>
        <w:t>système énergétique dans son ensemble</w:t>
      </w:r>
      <w:bookmarkEnd w:id="23"/>
      <w:r>
        <w:rPr>
          <w:noProof/>
          <w:color w:val="000000" w:themeColor="text1"/>
        </w:rPr>
        <w:t xml:space="preserve">. Ce double numérique sera créé grâce à des investissements coordonnés dans cinq domaines: </w:t>
      </w:r>
      <w:r>
        <w:rPr>
          <w:noProof/>
        </w:rPr>
        <w:t>i) obse</w:t>
      </w:r>
      <w:r w:rsidR="007512DB">
        <w:rPr>
          <w:noProof/>
        </w:rPr>
        <w:t>rvabilité et contrôlabilité; ii</w:t>
      </w:r>
      <w:r>
        <w:rPr>
          <w:noProof/>
        </w:rPr>
        <w:t>)</w:t>
      </w:r>
      <w:r w:rsidR="007512DB">
        <w:rPr>
          <w:noProof/>
        </w:rPr>
        <w:t xml:space="preserve"> </w:t>
      </w:r>
      <w:r>
        <w:rPr>
          <w:noProof/>
        </w:rPr>
        <w:t>planification efficace des infrastructures et des réseaux; iii) opérations et simulations pour un réseau plus résilient; iv) gestion et prévisions actives du système pour favoriser la flexibilité et la participation active de la demande; et v) échanges de données entre les</w:t>
      </w:r>
      <w:bookmarkStart w:id="24" w:name="_Int_wygpnUzC"/>
      <w:r>
        <w:rPr>
          <w:noProof/>
        </w:rPr>
        <w:t xml:space="preserve"> GRT</w:t>
      </w:r>
      <w:bookmarkEnd w:id="24"/>
      <w:r>
        <w:rPr>
          <w:noProof/>
        </w:rPr>
        <w:t xml:space="preserve"> et les </w:t>
      </w:r>
      <w:bookmarkStart w:id="25" w:name="_Int_3SMz1fds"/>
      <w:r>
        <w:rPr>
          <w:noProof/>
        </w:rPr>
        <w:t>GRD</w:t>
      </w:r>
      <w:bookmarkEnd w:id="25"/>
      <w:r>
        <w:rPr>
          <w:noProof/>
        </w:rPr>
        <w:t>.</w:t>
      </w:r>
      <w:r>
        <w:rPr>
          <w:noProof/>
          <w:color w:val="000000" w:themeColor="text1"/>
        </w:rPr>
        <w:t xml:space="preserve"> </w:t>
      </w:r>
      <w:r>
        <w:rPr>
          <w:noProof/>
        </w:rPr>
        <w:t>Le double numérique ne sera pas créé d’un seul coup, mais représentera un effort soutenu en matière d’investissement et d’innovation au cours des années à venir.</w:t>
      </w:r>
      <w:r>
        <w:rPr>
          <w:noProof/>
          <w:shd w:val="clear" w:color="auto" w:fill="FFFFFF"/>
        </w:rPr>
        <w:t xml:space="preserve"> Tout au long de ce processus, des synergies seront assurées avec les futures initiatives relatives aux mondes virtuels, comme le métavers.</w:t>
      </w:r>
      <w:r>
        <w:rPr>
          <w:noProof/>
        </w:rPr>
        <w:t xml:space="preserve"> </w:t>
      </w:r>
      <w:r>
        <w:rPr>
          <w:noProof/>
          <w:color w:val="000000" w:themeColor="text1"/>
        </w:rPr>
        <w:t xml:space="preserve">Dans un premier temps, le Réseau européen des gestionnaires de réseau de transport d’électricité (REGRT-E) et l’entité des GRD de l’Union signeront une </w:t>
      </w:r>
      <w:r>
        <w:rPr>
          <w:b/>
          <w:noProof/>
          <w:color w:val="000000" w:themeColor="text1"/>
        </w:rPr>
        <w:t>déclaration d’intention</w:t>
      </w:r>
      <w:r>
        <w:rPr>
          <w:noProof/>
          <w:color w:val="000000" w:themeColor="text1"/>
        </w:rPr>
        <w:t>, qui lancera le développement d’un double numérique du réseau d’électricité à l’échelle de l’UE, avec une consultation complète des utilisateurs du réseau et des autres parties prenantes sur les résultats concrets à atteindre. La Commission entend soutenir le REGRT-E et l’entité des GRD de l’Union, de même que les investissements concrets des gestionnaires de réseau par divers moyens, dont Horizon Europe</w:t>
      </w:r>
      <w:bookmarkStart w:id="26" w:name="_Int_UU7ONf84"/>
      <w:bookmarkStart w:id="27" w:name="_Int_RzaTdPMi"/>
      <w:r>
        <w:rPr>
          <w:noProof/>
          <w:color w:val="000000" w:themeColor="text1"/>
        </w:rPr>
        <w:t xml:space="preserve">. </w:t>
      </w:r>
      <w:bookmarkEnd w:id="26"/>
      <w:bookmarkEnd w:id="27"/>
    </w:p>
    <w:p w14:paraId="3A1AFF90" w14:textId="77777777" w:rsidR="002E20C9" w:rsidRPr="00150008" w:rsidRDefault="002E20C9" w:rsidP="002E20C9">
      <w:pPr>
        <w:spacing w:after="0"/>
        <w:rPr>
          <w:rStyle w:val="normaltextrun"/>
          <w:noProof/>
          <w:color w:val="000000" w:themeColor="text1"/>
          <w:lang w:val="fr-BE"/>
        </w:rPr>
      </w:pPr>
    </w:p>
    <w:p w14:paraId="38CB0876" w14:textId="58E6AECA" w:rsidR="00716DE4" w:rsidRPr="00427CC9" w:rsidRDefault="0096719C" w:rsidP="414B7552">
      <w:pPr>
        <w:spacing w:after="0"/>
        <w:rPr>
          <w:rFonts w:eastAsiaTheme="majorEastAsia"/>
          <w:noProof/>
          <w:color w:val="000000" w:themeColor="text1"/>
        </w:rPr>
      </w:pPr>
      <w:r>
        <w:rPr>
          <w:noProof/>
        </w:rPr>
        <w:t>La promotion des investissements dans les réseaux énergétiques intelligents nécessite un cadre global, mais les réglementations de nombreux États membres ne semblent encourager ni la numérisation ni l’innovation</w:t>
      </w:r>
      <w:r>
        <w:rPr>
          <w:rStyle w:val="FootnoteReference"/>
          <w:noProof/>
          <w:color w:val="000000" w:themeColor="text1"/>
          <w:lang w:val="en-GB"/>
        </w:rPr>
        <w:footnoteReference w:id="29"/>
      </w:r>
      <w:r>
        <w:rPr>
          <w:noProof/>
        </w:rPr>
        <w:t>.</w:t>
      </w:r>
      <w:r>
        <w:rPr>
          <w:noProof/>
          <w:color w:val="000000" w:themeColor="text1"/>
          <w:vertAlign w:val="superscript"/>
        </w:rPr>
        <w:t xml:space="preserve"> </w:t>
      </w:r>
      <w:r>
        <w:rPr>
          <w:noProof/>
          <w:color w:val="000000" w:themeColor="text1"/>
        </w:rPr>
        <w:t>Afin de favoriser les investissements dans le réseau électrique européen, et notamment dans son double numérique, une approche coordonnée est également nécessaire pour aider les régulateurs nationaux à déterminer ce qui constitue un investissement efficace dans la numérisation et à fournir des incitations aux gestionnaires de réseau. En ce sens, la Commission veillera à ce que, d’ici 2023, un cadre réglementaire adapté à l’objectif poursuivi soit mis en place pour attirer et orienter de tels investissements.</w:t>
      </w:r>
      <w:r>
        <w:rPr>
          <w:b/>
          <w:noProof/>
          <w:color w:val="000000" w:themeColor="text1"/>
        </w:rPr>
        <w:t xml:space="preserve"> </w:t>
      </w:r>
      <w:r>
        <w:rPr>
          <w:noProof/>
          <w:color w:val="000000" w:themeColor="text1"/>
        </w:rPr>
        <w:t xml:space="preserve">En particulier, </w:t>
      </w:r>
      <w:r>
        <w:rPr>
          <w:b/>
          <w:noProof/>
          <w:color w:val="000000" w:themeColor="text1"/>
        </w:rPr>
        <w:t xml:space="preserve">la Commission soutiendra </w:t>
      </w:r>
      <w:bookmarkStart w:id="28" w:name="_Int_7xWKX0LR"/>
      <w:r>
        <w:rPr>
          <w:b/>
          <w:noProof/>
          <w:color w:val="000000" w:themeColor="text1"/>
        </w:rPr>
        <w:t>l’Agence de l’Union européenne pour la coopération des régulateurs de l’énergie (ACER</w:t>
      </w:r>
      <w:bookmarkEnd w:id="28"/>
      <w:r>
        <w:rPr>
          <w:b/>
          <w:noProof/>
          <w:color w:val="000000" w:themeColor="text1"/>
        </w:rPr>
        <w:t>)</w:t>
      </w:r>
      <w:r>
        <w:rPr>
          <w:b/>
          <w:bCs/>
          <w:noProof/>
          <w:color w:val="000000" w:themeColor="text1"/>
        </w:rPr>
        <w:t xml:space="preserve"> et les autorités de régulation nationales (ARN) dans les travaux qu’elles mènent pour définir des indicateurs communs pour les réseaux intelligents, ainsi que des objectifs pour ces indicateurs, de sorte que les ARN puissent surveiller les investissements intelligents et numériques dans le réseau électrique chaque année à compter de 2023</w:t>
      </w:r>
      <w:r>
        <w:rPr>
          <w:rStyle w:val="FootnoteReference"/>
          <w:rFonts w:eastAsiaTheme="majorEastAsia"/>
          <w:noProof/>
          <w:color w:val="000000" w:themeColor="text1"/>
          <w:lang w:val="en-GB"/>
        </w:rPr>
        <w:footnoteReference w:id="30"/>
      </w:r>
      <w:r>
        <w:rPr>
          <w:noProof/>
          <w:color w:val="000000" w:themeColor="text1"/>
        </w:rPr>
        <w:t xml:space="preserve"> et </w:t>
      </w:r>
      <w:r>
        <w:rPr>
          <w:b/>
          <w:bCs/>
          <w:noProof/>
          <w:color w:val="000000" w:themeColor="text1"/>
        </w:rPr>
        <w:t>mesurer les progrès accomplis vers la création du double numérique</w:t>
      </w:r>
      <w:r>
        <w:rPr>
          <w:rStyle w:val="FootnoteReference"/>
          <w:rFonts w:eastAsiaTheme="majorEastAsia"/>
          <w:b/>
          <w:bCs/>
          <w:noProof/>
          <w:color w:val="000000" w:themeColor="text1"/>
          <w:lang w:val="en-GB"/>
        </w:rPr>
        <w:footnoteReference w:id="31"/>
      </w:r>
      <w:r>
        <w:rPr>
          <w:noProof/>
          <w:color w:val="000000" w:themeColor="text1"/>
        </w:rPr>
        <w:t xml:space="preserve">. </w:t>
      </w:r>
    </w:p>
    <w:p w14:paraId="601065D7" w14:textId="77777777" w:rsidR="002E20C9" w:rsidRPr="00150008" w:rsidRDefault="002E20C9" w:rsidP="002E20C9">
      <w:pPr>
        <w:spacing w:after="0"/>
        <w:rPr>
          <w:noProof/>
          <w:color w:val="000000" w:themeColor="text1"/>
          <w:lang w:val="fr-BE"/>
        </w:rPr>
      </w:pPr>
    </w:p>
    <w:p w14:paraId="701FD42D" w14:textId="24CC5A52" w:rsidR="00716DE4" w:rsidRPr="00427CC9" w:rsidRDefault="5C8D50FC" w:rsidP="00716DE4">
      <w:pPr>
        <w:rPr>
          <w:noProof/>
          <w:color w:val="000000" w:themeColor="text1"/>
        </w:rPr>
      </w:pPr>
      <w:r>
        <w:rPr>
          <w:rStyle w:val="normaltextrun"/>
          <w:noProof/>
          <w:color w:val="000000" w:themeColor="text1"/>
          <w:shd w:val="clear" w:color="auto" w:fill="FFFFFF"/>
        </w:rPr>
        <w:t xml:space="preserve">Ces actions, et plus généralement la numérisation des infrastructures énergétiques, sont et seront soutenues par divers instruments au niveau de l’UE. </w:t>
      </w:r>
      <w:r>
        <w:rPr>
          <w:noProof/>
          <w:color w:val="000000" w:themeColor="text1"/>
        </w:rPr>
        <w:t>Le règlement RTE-E révisé offre davantage de possibilités de soutenir les réseaux électriques intelligents transfrontaliers. Il a mis à jour la définition des réseaux électriques intelligents ainsi que la catégorie connexe pour les PIC. Il a également simplifié les critères de sélection et le rôle des promoteurs de projets. Il est prévu, dans le cadre du volet numérique du MIE, de développer des concepts et de réaliser des études de faisabilité, susceptibles de déboucher sur des projets de mise en œuvre, pour des plateformes numériques opérationnelles paneuropéennes. Ces dernières prendront en charge le jumeau numérique européen cybersécurisé du réseau électrique et fourniront des technologies numériques et une connectivité permettant d’adapter les infrastructures énergétiques et de transport existantes en les dotant des infrastructures numériques transfrontières requises.</w:t>
      </w:r>
    </w:p>
    <w:p w14:paraId="101BB1D8" w14:textId="585644C9" w:rsidR="00905A79" w:rsidRDefault="414023C8" w:rsidP="006B2FC2">
      <w:pPr>
        <w:rPr>
          <w:noProof/>
          <w:color w:val="000000" w:themeColor="text1"/>
        </w:rPr>
      </w:pPr>
      <w:r>
        <w:rPr>
          <w:noProof/>
          <w:color w:val="000000" w:themeColor="text1"/>
        </w:rPr>
        <w:t>En outre, la numérisation des services administratifs nationaux et régionaux peut contribuer à rationaliser les processus d’autorisation pour le développement du réseau</w:t>
      </w:r>
      <w:r>
        <w:rPr>
          <w:rStyle w:val="FootnoteReference"/>
          <w:noProof/>
          <w:color w:val="000000" w:themeColor="text1"/>
          <w:lang w:val="en-GB" w:eastAsia="en-US"/>
        </w:rPr>
        <w:footnoteReference w:id="32"/>
      </w:r>
      <w:r>
        <w:rPr>
          <w:noProof/>
          <w:color w:val="000000" w:themeColor="text1"/>
        </w:rPr>
        <w:t xml:space="preserve"> en permettant la communication en ligne et en soutenant les activités des autorités nationales compétentes en matière d’octroi de permis et des guichets uniques</w:t>
      </w:r>
      <w:r>
        <w:rPr>
          <w:rStyle w:val="FootnoteReference"/>
          <w:noProof/>
          <w:color w:val="000000" w:themeColor="text1"/>
          <w:lang w:val="en-GB" w:eastAsia="en-US"/>
        </w:rPr>
        <w:footnoteReference w:id="33"/>
      </w:r>
      <w:r>
        <w:rPr>
          <w:noProof/>
          <w:color w:val="000000" w:themeColor="text1"/>
        </w:rPr>
        <w:t>. La Commission ouvrira les instruments d’appui technique à cet objectif. Les États membres peuvent demander l’assistance des instruments d’appui technique</w:t>
      </w:r>
      <w:r>
        <w:rPr>
          <w:rStyle w:val="FootnoteReference"/>
          <w:noProof/>
          <w:color w:val="000000" w:themeColor="text1"/>
          <w:lang w:val="en-GB" w:eastAsia="en-US"/>
        </w:rPr>
        <w:footnoteReference w:id="34"/>
      </w:r>
      <w:r>
        <w:rPr>
          <w:noProof/>
          <w:color w:val="000000" w:themeColor="text1"/>
        </w:rPr>
        <w:t xml:space="preserve"> par l’intermédiaire de leurs autorités de coordination</w:t>
      </w:r>
      <w:r>
        <w:rPr>
          <w:noProof/>
        </w:rPr>
        <w:t>.</w:t>
      </w:r>
      <w:r>
        <w:rPr>
          <w:noProof/>
          <w:color w:val="000000" w:themeColor="text1"/>
        </w:rPr>
        <w:t xml:space="preserve"> </w:t>
      </w:r>
      <w:bookmarkStart w:id="29" w:name="_Toc103872593"/>
      <w:bookmarkStart w:id="30" w:name="_Toc74019445"/>
      <w:bookmarkStart w:id="31" w:name="_Toc2106932071"/>
      <w:bookmarkStart w:id="32" w:name="_Toc106053792"/>
    </w:p>
    <w:p w14:paraId="0099B0C2" w14:textId="77777777" w:rsidR="00ED591F" w:rsidRPr="00150008" w:rsidRDefault="00ED591F" w:rsidP="00ED591F">
      <w:pPr>
        <w:spacing w:after="0"/>
        <w:rPr>
          <w:noProof/>
          <w:color w:val="000000" w:themeColor="text1"/>
          <w:sz w:val="28"/>
          <w:szCs w:val="22"/>
          <w:lang w:val="fr-BE" w:eastAsia="en-US"/>
        </w:rPr>
      </w:pPr>
    </w:p>
    <w:p w14:paraId="118269BD" w14:textId="77777777" w:rsidR="00406149" w:rsidRPr="00427CC9" w:rsidRDefault="65582335" w:rsidP="414B7552">
      <w:pPr>
        <w:rPr>
          <w:b/>
          <w:bCs/>
          <w:smallCaps/>
          <w:noProof/>
        </w:rPr>
      </w:pPr>
      <w:r>
        <w:rPr>
          <w:b/>
          <w:smallCaps/>
          <w:noProof/>
        </w:rPr>
        <w:t>4.</w:t>
      </w:r>
      <w:r>
        <w:rPr>
          <w:noProof/>
        </w:rPr>
        <w:tab/>
      </w:r>
      <w:r>
        <w:rPr>
          <w:b/>
          <w:smallCaps/>
          <w:noProof/>
        </w:rPr>
        <w:t>Des avantages pour les consommateurs: nouveaux services, compétences et autonomisation</w:t>
      </w:r>
      <w:bookmarkEnd w:id="29"/>
      <w:bookmarkEnd w:id="30"/>
      <w:bookmarkEnd w:id="31"/>
      <w:bookmarkEnd w:id="32"/>
    </w:p>
    <w:p w14:paraId="531F28F6" w14:textId="5122C8D5" w:rsidR="00BF791A" w:rsidRPr="00427CC9" w:rsidRDefault="00CF2377" w:rsidP="008D6A82">
      <w:pPr>
        <w:rPr>
          <w:noProof/>
          <w:color w:val="000000" w:themeColor="text1"/>
        </w:rPr>
      </w:pPr>
      <w:r>
        <w:rPr>
          <w:noProof/>
          <w:color w:val="000000" w:themeColor="text1"/>
        </w:rPr>
        <w:t xml:space="preserve">Les consommateurs sont au cœur des efforts que nous déployons pour numériser le système énergétique. La numérisation apporte des avantages aux ménages et aux PME sous la forme de services innovants fondés sur les données qui leur permettent, par exemple, de mieux gérer leurs factures, de connaître leur consommation d'énergie en temps réel, de partager avec leurs voisins l’électricité qu’ils produisent eux-mêmes ou de la revendre sur le marché, ou d’économiser de l’énergie (et de l’argent), ce qui est l’une des solutions les moins coûteuses, </w:t>
      </w:r>
      <w:bookmarkStart w:id="33" w:name="_Int_wpuDRe0V"/>
      <w:r>
        <w:rPr>
          <w:noProof/>
          <w:color w:val="000000" w:themeColor="text1"/>
        </w:rPr>
        <w:t>les plus sûres</w:t>
      </w:r>
      <w:bookmarkEnd w:id="33"/>
      <w:r>
        <w:rPr>
          <w:noProof/>
          <w:color w:val="000000" w:themeColor="text1"/>
        </w:rPr>
        <w:t xml:space="preserve"> et les plus propres pour faire face aux prix élevés et réduire notre dépendance à l’égard des importations de combustibles fossiles en provenance de Russie</w:t>
      </w:r>
      <w:r>
        <w:rPr>
          <w:noProof/>
        </w:rPr>
        <w:t>.</w:t>
      </w:r>
      <w:r>
        <w:rPr>
          <w:noProof/>
          <w:color w:val="000000" w:themeColor="text1"/>
        </w:rPr>
        <w:t xml:space="preserve"> </w:t>
      </w:r>
      <w:r>
        <w:rPr>
          <w:noProof/>
        </w:rPr>
        <w:t>L’inclusion numérique devrait se traduire</w:t>
      </w:r>
      <w:r w:rsidR="002C248C">
        <w:rPr>
          <w:noProof/>
        </w:rPr>
        <w:t>,</w:t>
      </w:r>
      <w:r>
        <w:rPr>
          <w:noProof/>
        </w:rPr>
        <w:t xml:space="preserve"> y compris pour les consommateurs les plus vulnérables, les moins favorisés financièrement et les plus isolés géographiquement</w:t>
      </w:r>
      <w:r w:rsidR="002C248C">
        <w:rPr>
          <w:noProof/>
        </w:rPr>
        <w:t>,</w:t>
      </w:r>
      <w:r>
        <w:rPr>
          <w:noProof/>
        </w:rPr>
        <w:t xml:space="preserve"> par un accès à un prix abordable aux nouveaux outils et technologies numériques, et par la possibilité de bénéficier de la transition numérique du système énergétique. </w:t>
      </w:r>
    </w:p>
    <w:p w14:paraId="5EF9D9B7" w14:textId="6CB4BEBE" w:rsidR="00CF72CB" w:rsidRDefault="00D30A37" w:rsidP="1FDFFB5E">
      <w:pPr>
        <w:rPr>
          <w:noProof/>
          <w:color w:val="000000" w:themeColor="text1"/>
        </w:rPr>
      </w:pPr>
      <w:r>
        <w:rPr>
          <w:noProof/>
          <w:color w:val="000000" w:themeColor="text1"/>
        </w:rPr>
        <w:t>Les informations numériques relatives à la consommation énergétique des appareils (via la base de données européenne sur l’étiquetage énergétique</w:t>
      </w:r>
      <w:r>
        <w:rPr>
          <w:rStyle w:val="FootnoteReference"/>
          <w:noProof/>
          <w:color w:val="000000" w:themeColor="text1"/>
        </w:rPr>
        <w:footnoteReference w:id="35"/>
      </w:r>
      <w:r>
        <w:rPr>
          <w:noProof/>
          <w:color w:val="000000" w:themeColor="text1"/>
        </w:rPr>
        <w:t>) ou des ménages (via les compteurs intelligents) peuvent aider les consommateurs dans les efforts qu’ils déploient pour réduire leur consommation d’énergie,</w:t>
      </w:r>
      <w:r>
        <w:rPr>
          <w:noProof/>
        </w:rPr>
        <w:t xml:space="preserve"> pour autant que ces outils numériques soient mis à la disposition de tous les consommateurs à un prix abordable.</w:t>
      </w:r>
      <w:r>
        <w:rPr>
          <w:noProof/>
          <w:color w:val="000000" w:themeColor="text1"/>
        </w:rPr>
        <w:t xml:space="preserve"> La conception durable des appareils numérique</w:t>
      </w:r>
      <w:r w:rsidR="00F60119">
        <w:rPr>
          <w:noProof/>
          <w:color w:val="000000" w:themeColor="text1"/>
        </w:rPr>
        <w:t>s</w:t>
      </w:r>
      <w:r>
        <w:rPr>
          <w:noProof/>
          <w:color w:val="000000" w:themeColor="text1"/>
        </w:rPr>
        <w:t>, associée à des informations claires sur leur empreinte environnementale, leur réparabilité et leur recyclabilité</w:t>
      </w:r>
      <w:r w:rsidR="00F60119">
        <w:rPr>
          <w:noProof/>
          <w:color w:val="000000" w:themeColor="text1"/>
        </w:rPr>
        <w:t>,</w:t>
      </w:r>
      <w:r>
        <w:rPr>
          <w:noProof/>
          <w:color w:val="000000" w:themeColor="text1"/>
        </w:rPr>
        <w:t xml:space="preserve"> peut contribuer à réduire l’utilisation de matières premières et à favoriser la transition vers une économie circulaire. Toutefois, l’interopérabilité est essentielle. Ainsi, les premiers résultats du projet DRIMPAC</w:t>
      </w:r>
      <w:r>
        <w:rPr>
          <w:rStyle w:val="FootnoteReference"/>
          <w:noProof/>
          <w:color w:val="000000" w:themeColor="text1"/>
          <w:lang w:val="en-GB" w:eastAsia="en-US"/>
        </w:rPr>
        <w:footnoteReference w:id="36"/>
      </w:r>
      <w:r>
        <w:rPr>
          <w:noProof/>
          <w:color w:val="000000" w:themeColor="text1"/>
        </w:rPr>
        <w:t xml:space="preserve"> ont montré que le fait de permettre aux petits consommateurs de s’engager plus facilement dans la participation active de la demande grâce à un cadre d’interopérabilité unifié peut réduire leurs factures d’énergie de 20 %, grâce, entre autres, à une baisse de 15 % de leur consommation d’énergie.</w:t>
      </w:r>
    </w:p>
    <w:p w14:paraId="7C494386" w14:textId="77777777" w:rsidR="002E563A" w:rsidRPr="00985FAC" w:rsidRDefault="002E563A" w:rsidP="002443C6">
      <w:pPr>
        <w:ind w:firstLine="720"/>
        <w:rPr>
          <w:b/>
          <w:bCs/>
          <w:noProof/>
        </w:rPr>
      </w:pPr>
      <w:r>
        <w:rPr>
          <w:b/>
          <w:noProof/>
        </w:rPr>
        <w:t>4.1</w:t>
      </w:r>
      <w:r>
        <w:rPr>
          <w:noProof/>
        </w:rPr>
        <w:tab/>
      </w:r>
      <w:r>
        <w:rPr>
          <w:b/>
          <w:noProof/>
        </w:rPr>
        <w:t xml:space="preserve">Un cadre juridique qui responsabilise et protège les consommateurs </w:t>
      </w:r>
    </w:p>
    <w:p w14:paraId="21B05568" w14:textId="044581D7" w:rsidR="00D543A4" w:rsidRDefault="4B4AD990" w:rsidP="0CD0FA79">
      <w:pPr>
        <w:rPr>
          <w:noProof/>
          <w:color w:val="000000" w:themeColor="text1"/>
        </w:rPr>
      </w:pPr>
      <w:r>
        <w:rPr>
          <w:noProof/>
          <w:color w:val="000000" w:themeColor="text1"/>
        </w:rPr>
        <w:t>Il est essentiel de veiller à ce que la numérisation ne porte pas atteinte au cadre de protection des consommateurs déjà en place sur le marché intérieur de l’électricité. Les protections qui existent hors ligne continueront d’exister en ligne, c’est-à-dire à l’ère numérique. Cela inclut le droit à une facturation précise et à des conditions contractuelles claires communiquées à l’avance. De même, la possibilité pour les États membres de fixer des prix réglementés, notamment pour les clients vulnérables et les personnes en situation de précarité énergétique, ne devrait pas être affectée de manière négative par la numérisation.</w:t>
      </w:r>
    </w:p>
    <w:p w14:paraId="04C935A6" w14:textId="142533DF" w:rsidR="00F86ADC" w:rsidRPr="00427CC9" w:rsidRDefault="781AB769" w:rsidP="0CD0FA79">
      <w:pPr>
        <w:rPr>
          <w:rFonts w:eastAsia="Calibri"/>
          <w:noProof/>
          <w:color w:val="000000" w:themeColor="text1"/>
        </w:rPr>
      </w:pPr>
      <w:r>
        <w:rPr>
          <w:noProof/>
          <w:color w:val="000000" w:themeColor="text1"/>
        </w:rPr>
        <w:t>Le cadre juridique de l’UE définit les droits des consommateurs, mais sa mise en œuvre est lente. Il ne s’agit pas seulement de règles de marché détaillées</w:t>
      </w:r>
      <w:r>
        <w:rPr>
          <w:rStyle w:val="FootnoteReference"/>
          <w:noProof/>
          <w:color w:val="000000" w:themeColor="text1"/>
          <w:lang w:val="en-GB" w:eastAsia="en-US"/>
        </w:rPr>
        <w:footnoteReference w:id="37"/>
      </w:r>
      <w:r>
        <w:rPr>
          <w:noProof/>
          <w:color w:val="000000" w:themeColor="text1"/>
        </w:rPr>
        <w:t>, d’interopérabilité ou d’échange de données. Les consommateurs doivent également pouvoir garder le contrôle sur les personnes qui peuvent accéder à leurs données. En vertu de la proposition de règlement sur les données</w:t>
      </w:r>
      <w:r>
        <w:rPr>
          <w:rStyle w:val="FootnoteReference"/>
          <w:noProof/>
          <w:color w:val="000000" w:themeColor="text1"/>
          <w:lang w:val="en-GB" w:eastAsia="en-US"/>
        </w:rPr>
        <w:footnoteReference w:id="38"/>
      </w:r>
      <w:r>
        <w:rPr>
          <w:noProof/>
          <w:color w:val="000000" w:themeColor="text1"/>
        </w:rPr>
        <w:t>, le partage de données nécessite le consentement du consommateur pour permettre l’accès de tiers à ses données. Ce point est essentiel pour garantir la confiance</w:t>
      </w:r>
      <w:bookmarkStart w:id="34" w:name="_Int_98Jw4NaL"/>
      <w:r>
        <w:rPr>
          <w:noProof/>
          <w:color w:val="000000" w:themeColor="text1"/>
        </w:rPr>
        <w:t>, les choix</w:t>
      </w:r>
      <w:bookmarkEnd w:id="34"/>
      <w:r>
        <w:rPr>
          <w:noProof/>
          <w:color w:val="000000" w:themeColor="text1"/>
        </w:rPr>
        <w:t xml:space="preserve"> et la vie privée des consommateurs, conformément aux principes et objectifs énoncés dans la proposition de déclaration européenne sur les droits et principes numériques</w:t>
      </w:r>
      <w:r>
        <w:rPr>
          <w:rStyle w:val="FootnoteReference"/>
          <w:noProof/>
          <w:color w:val="000000" w:themeColor="text1"/>
          <w:lang w:val="en-GB" w:eastAsia="en-US"/>
        </w:rPr>
        <w:footnoteReference w:id="39"/>
      </w:r>
      <w:r>
        <w:rPr>
          <w:noProof/>
        </w:rPr>
        <w:t>.</w:t>
      </w:r>
    </w:p>
    <w:p w14:paraId="361BE3FE" w14:textId="337CEAC5" w:rsidR="00D73B92" w:rsidRPr="00985FAC" w:rsidRDefault="6025FC54" w:rsidP="00D73B92">
      <w:pPr>
        <w:rPr>
          <w:rFonts w:eastAsia="Calibri"/>
          <w:noProof/>
          <w:color w:val="000000" w:themeColor="text1"/>
        </w:rPr>
      </w:pPr>
      <w:r>
        <w:rPr>
          <w:noProof/>
          <w:color w:val="000000" w:themeColor="text1"/>
        </w:rPr>
        <w:t>La protection des consommateurs doit être assurée de manière adéquate à la lumière de la numérisation du secteur de l’énergie. Ce point est particulièrement pertinent en ce qui concerne les pratiques commerciales fondées sur</w:t>
      </w:r>
      <w:r>
        <w:rPr>
          <w:noProof/>
        </w:rPr>
        <w:t xml:space="preserve"> les données qui pourraient exploiter les biais comportementaux des consommateurs ou les empêcher de faire des choix éclairés d’une quelconque autre manière. </w:t>
      </w:r>
      <w:r>
        <w:rPr>
          <w:noProof/>
          <w:color w:val="000000" w:themeColor="text1"/>
        </w:rPr>
        <w:t>La directive «électricité» aborde la question des droits des consommateurs en ce qui concerne l</w:t>
      </w:r>
      <w:r w:rsidR="007512DB">
        <w:rPr>
          <w:noProof/>
          <w:color w:val="000000" w:themeColor="text1"/>
        </w:rPr>
        <w:t>es produits ou services groupés</w:t>
      </w:r>
      <w:r>
        <w:rPr>
          <w:noProof/>
          <w:color w:val="000000" w:themeColor="text1"/>
        </w:rPr>
        <w:t xml:space="preserve">. </w:t>
      </w:r>
      <w:r>
        <w:rPr>
          <w:noProof/>
        </w:rPr>
        <w:t>La législation générale de l’UE en matière de protection des consommateurs, telle que les directives relatives aux</w:t>
      </w:r>
      <w:r>
        <w:rPr>
          <w:b/>
          <w:noProof/>
        </w:rPr>
        <w:t xml:space="preserve"> </w:t>
      </w:r>
      <w:r>
        <w:rPr>
          <w:noProof/>
        </w:rPr>
        <w:t>pratiques commerciales déloyales</w:t>
      </w:r>
      <w:r>
        <w:rPr>
          <w:noProof/>
          <w:vertAlign w:val="superscript"/>
          <w:lang w:val="en-GB"/>
        </w:rPr>
        <w:footnoteReference w:id="40"/>
      </w:r>
      <w:r>
        <w:rPr>
          <w:noProof/>
        </w:rPr>
        <w:t>, aux droits des consommateurs</w:t>
      </w:r>
      <w:r>
        <w:rPr>
          <w:noProof/>
          <w:vertAlign w:val="superscript"/>
          <w:lang w:val="en-GB"/>
        </w:rPr>
        <w:footnoteReference w:id="41"/>
      </w:r>
      <w:r>
        <w:rPr>
          <w:noProof/>
        </w:rPr>
        <w:t xml:space="preserve"> et aux clauses abusives dans les contrats</w:t>
      </w:r>
      <w:r>
        <w:rPr>
          <w:noProof/>
          <w:vertAlign w:val="superscript"/>
          <w:lang w:val="en-GB"/>
        </w:rPr>
        <w:footnoteReference w:id="42"/>
      </w:r>
      <w:r>
        <w:rPr>
          <w:noProof/>
        </w:rPr>
        <w:t xml:space="preserve">, vise à garantir que les consommateurs aient accès à des informations claires et ne soient pas soumis à des pratiques commerciales trompeuses ou agressives en ligne ou hors ligne. Afin de garantir que le cadre juridique existant reste adapté, la Commission a lancé un </w:t>
      </w:r>
      <w:r>
        <w:rPr>
          <w:b/>
          <w:noProof/>
        </w:rPr>
        <w:t>bilan de qualité de la législation de l’UE en matière de protection des consommateurs concernant l’équité numérique</w:t>
      </w:r>
      <w:r>
        <w:rPr>
          <w:noProof/>
        </w:rPr>
        <w:t>. Cette évaluation examinera si les règles existantes traitent adéquatement des questions qui sont également pertinentes dans un secteur de l’énergie plus numérisé, telles que les vulnérabilités des consommateurs dans l’environnement numérique, la manipulation du choix, les difficultés liées aux annulations de contrats, etc.</w:t>
      </w:r>
    </w:p>
    <w:p w14:paraId="67065413" w14:textId="77777777" w:rsidR="001A6D97" w:rsidRPr="00B33E58" w:rsidRDefault="6B6F7C03" w:rsidP="002443C6">
      <w:pPr>
        <w:ind w:firstLine="720"/>
        <w:rPr>
          <w:b/>
          <w:bCs/>
          <w:noProof/>
        </w:rPr>
      </w:pPr>
      <w:r>
        <w:rPr>
          <w:b/>
          <w:noProof/>
        </w:rPr>
        <w:t>4.2</w:t>
      </w:r>
      <w:r>
        <w:rPr>
          <w:noProof/>
        </w:rPr>
        <w:tab/>
      </w:r>
      <w:r>
        <w:rPr>
          <w:b/>
          <w:noProof/>
        </w:rPr>
        <w:t>Outils numériques conçus pour et avec les consommateurs</w:t>
      </w:r>
    </w:p>
    <w:p w14:paraId="78D43DB5" w14:textId="08769D44" w:rsidR="000F4C85" w:rsidRPr="00427CC9" w:rsidRDefault="7786563A" w:rsidP="48CB7990">
      <w:pPr>
        <w:rPr>
          <w:rFonts w:eastAsia="Calibri"/>
          <w:noProof/>
          <w:color w:val="000000" w:themeColor="text1"/>
        </w:rPr>
      </w:pPr>
      <w:r>
        <w:rPr>
          <w:noProof/>
          <w:color w:val="000000" w:themeColor="text1"/>
        </w:rPr>
        <w:t>En 2021, 54 % seulement des citoyens</w:t>
      </w:r>
      <w:r>
        <w:rPr>
          <w:noProof/>
          <w:color w:val="000000" w:themeColor="text1"/>
          <w:vertAlign w:val="superscript"/>
        </w:rPr>
        <w:t xml:space="preserve"> </w:t>
      </w:r>
      <w:r>
        <w:rPr>
          <w:noProof/>
          <w:color w:val="000000" w:themeColor="text1"/>
        </w:rPr>
        <w:t>possédaient des compétences numériques de base</w:t>
      </w:r>
      <w:r>
        <w:rPr>
          <w:rStyle w:val="FootnoteReference"/>
          <w:noProof/>
          <w:color w:val="000000" w:themeColor="text1"/>
          <w:lang w:val="en-GB" w:eastAsia="en-US"/>
        </w:rPr>
        <w:footnoteReference w:id="43"/>
      </w:r>
      <w:r>
        <w:rPr>
          <w:noProof/>
          <w:color w:val="000000" w:themeColor="text1"/>
        </w:rPr>
        <w:t>. Or, dans un marché de l’énergie numérisé, ils seront bien plus nombreux à avoir besoin de telles compétences, qui les aideront à faire des choix éclairés et à s’assurer qu’ils ne passent pas à côté d’occasions de devenir plus compétitifs ou de réduire leur facture énergétique. Par exemple, la maîtrise de compétences numériques aidera les PME et les ménages à comprendre comment se livrer à la participation active de la demande, comment optimiser leur propre utilisation de l’électricité produite sur place ou ce qu’implique la recharge d’un véhicule électrique</w:t>
      </w:r>
      <w:r>
        <w:rPr>
          <w:noProof/>
        </w:rPr>
        <w:t xml:space="preserve">. </w:t>
      </w:r>
      <w:r>
        <w:rPr>
          <w:noProof/>
          <w:color w:val="000000" w:themeColor="text1"/>
        </w:rPr>
        <w:t xml:space="preserve"> </w:t>
      </w:r>
    </w:p>
    <w:p w14:paraId="01503CAC" w14:textId="3BB8B784" w:rsidR="0029116A" w:rsidRDefault="005C09BE" w:rsidP="00070E9F">
      <w:pPr>
        <w:rPr>
          <w:noProof/>
        </w:rPr>
      </w:pPr>
      <w:r>
        <w:rPr>
          <w:noProof/>
          <w:color w:val="000000" w:themeColor="text1"/>
        </w:rPr>
        <w:t xml:space="preserve">Tous les consommateurs ne sont pas enclins à participer à la transition énergétique, ni en mesure de le faire de la même manière ou avec le même degré d’implication. Par conséquent, il est important de veiller à ne laisser personne de côté dans le cadre de la transition numérique et, partant, de créer des outils numériques axés sur le consommateur conçus pour répondre aux besoins, aux compétences, aux conditions, aux habitudes et aux attentes des différentes catégories de participants au marché. </w:t>
      </w:r>
      <w:r>
        <w:rPr>
          <w:noProof/>
          <w:color w:val="000000" w:themeColor="text1"/>
          <w:u w:val="single"/>
        </w:rPr>
        <w:t xml:space="preserve">Les outils créés devraient refléter la réalité de l'évolution démographique, </w:t>
      </w:r>
      <w:r w:rsidR="00F60119">
        <w:rPr>
          <w:noProof/>
          <w:color w:val="000000" w:themeColor="text1"/>
          <w:u w:val="single"/>
        </w:rPr>
        <w:t>dans le contexte de laquelle</w:t>
      </w:r>
      <w:r>
        <w:rPr>
          <w:noProof/>
          <w:color w:val="000000" w:themeColor="text1"/>
          <w:u w:val="single"/>
        </w:rPr>
        <w:t xml:space="preserve"> un nombre croissant de personnes plus âgées ont besoin d’un </w:t>
      </w:r>
      <w:r w:rsidR="00F60119">
        <w:rPr>
          <w:noProof/>
          <w:color w:val="000000" w:themeColor="text1"/>
          <w:u w:val="single"/>
        </w:rPr>
        <w:t>soutien</w:t>
      </w:r>
      <w:r>
        <w:rPr>
          <w:noProof/>
          <w:color w:val="000000" w:themeColor="text1"/>
          <w:u w:val="single"/>
        </w:rPr>
        <w:t xml:space="preserve"> spécifique </w:t>
      </w:r>
      <w:r w:rsidR="00F60119">
        <w:rPr>
          <w:noProof/>
          <w:color w:val="000000" w:themeColor="text1"/>
          <w:u w:val="single"/>
        </w:rPr>
        <w:t>aux fins de</w:t>
      </w:r>
      <w:r>
        <w:rPr>
          <w:noProof/>
          <w:color w:val="000000" w:themeColor="text1"/>
          <w:u w:val="single"/>
        </w:rPr>
        <w:t xml:space="preserve"> la transition numérique.</w:t>
      </w:r>
    </w:p>
    <w:p w14:paraId="7E3445F5" w14:textId="36266597" w:rsidR="00F86ADC" w:rsidRDefault="006E0342" w:rsidP="48CB7990">
      <w:pPr>
        <w:rPr>
          <w:rFonts w:eastAsia="Calibri"/>
          <w:noProof/>
          <w:color w:val="000000" w:themeColor="text1"/>
        </w:rPr>
      </w:pPr>
      <w:r>
        <w:rPr>
          <w:noProof/>
          <w:color w:val="000000" w:themeColor="text1"/>
        </w:rPr>
        <w:t>La Commission a récemment lancé, dans le cadre du groupe de travail «Réseaux intelligents», une nouvelle activité visant à étudier plus avant l’utilisation potentielle par les consommateurs des outils et technologies numériques et à recommander des mesures pour renforcer le rôle de la flexibilité et de l’autonomisation des consommateurs sur le marché de l’énergie</w:t>
      </w:r>
      <w:r>
        <w:rPr>
          <w:noProof/>
        </w:rPr>
        <w:t xml:space="preserve">. </w:t>
      </w:r>
      <w:r>
        <w:rPr>
          <w:noProof/>
          <w:color w:val="000000" w:themeColor="text1"/>
        </w:rPr>
        <w:t xml:space="preserve">Afin de soutenir cette nouvelle activité, </w:t>
      </w:r>
      <w:r>
        <w:rPr>
          <w:b/>
          <w:noProof/>
          <w:color w:val="000000" w:themeColor="text1"/>
        </w:rPr>
        <w:t>la Commission européenne veillera à ce que les principaux projets de R&amp;I collaborent pour dégager – d’ici la mi-2023</w:t>
      </w:r>
      <w:r>
        <w:rPr>
          <w:noProof/>
          <w:color w:val="000000" w:themeColor="text1"/>
        </w:rPr>
        <w:t xml:space="preserve"> – </w:t>
      </w:r>
      <w:r>
        <w:rPr>
          <w:b/>
          <w:noProof/>
          <w:color w:val="000000" w:themeColor="text1"/>
        </w:rPr>
        <w:t>des stratégies visant à associer les consommateurs à la conception et à l’utilisation d’outils numériques accessibles et abordables</w:t>
      </w:r>
      <w:r>
        <w:rPr>
          <w:noProof/>
          <w:color w:val="000000" w:themeColor="text1"/>
        </w:rPr>
        <w:t xml:space="preserve"> et à définir des indicateurs permettant d’évaluer cette participation au fil du temps.</w:t>
      </w:r>
    </w:p>
    <w:p w14:paraId="2866EE1A" w14:textId="13CC1385" w:rsidR="004D22F3" w:rsidRPr="00450D26" w:rsidRDefault="004D22F3" w:rsidP="00450D26">
      <w:pPr>
        <w:rPr>
          <w:rFonts w:eastAsia="Calibri"/>
          <w:noProof/>
          <w:color w:val="000000" w:themeColor="text1"/>
        </w:rPr>
      </w:pPr>
      <w:r>
        <w:rPr>
          <w:rStyle w:val="normaltextrun"/>
          <w:noProof/>
        </w:rPr>
        <w:t>En collaboration avec les États membres, la Commission européenne élaborera également d’ici 2023 un cadre de référence commun comprenant une mise en œuvre de référence à code source libre («open source») pour une application destinée aux consommateurs qui leur permettra de diminuer volontairement leur consommation d’énergie et les aidera à réduire leurs coûts énergétiques. Il en résultera une application de référence normalisée qui sera élaborée en étroite collaboration avec les fournisseurs d’énergie et qui s’appuiera sur des applications et services déjà disponibles sur le marché.</w:t>
      </w:r>
      <w:r>
        <w:rPr>
          <w:rStyle w:val="eop"/>
          <w:noProof/>
        </w:rPr>
        <w:t xml:space="preserve"> </w:t>
      </w:r>
    </w:p>
    <w:p w14:paraId="648D3F6C" w14:textId="412B2B3D" w:rsidR="004D22F3" w:rsidRDefault="004D22F3" w:rsidP="00450D26">
      <w:pPr>
        <w:pStyle w:val="paragraph"/>
        <w:spacing w:before="0" w:beforeAutospacing="0" w:after="0" w:afterAutospacing="0"/>
        <w:jc w:val="both"/>
        <w:textAlignment w:val="baseline"/>
        <w:rPr>
          <w:rStyle w:val="eop"/>
          <w:noProof/>
        </w:rPr>
      </w:pPr>
      <w:r>
        <w:rPr>
          <w:rStyle w:val="normaltextrun"/>
          <w:noProof/>
        </w:rPr>
        <w:t>Sur cette base, les États membres seront encouragés à mettre à disposition de telles applications afin de fournir aux consommateurs des conseils et astuces plus personnalisés en matière d’économies d’énergie, fondés sur des informations génériques au sujet des différents appareils ainsi que sur les données relatives à la consommation et aux conditions météorologiques disponibles localement. Ces applications pourraient également leur fournir toutes les informations nécessaires pour faire face aux crises énergétiques (par exemple, soutien financier, services de conseil ou assistance en cas de litige avec un fournisseur). Au fur et à mesure de leur évolution, le niveau d’intelligence de ces applications sera augmenté en utilisant des données précises sur la consommation d’électricité aux niveaux individuel et collectif provenant d’appareils ménagers intelligents, de prises intelligentes, de compteurs intelligents et d’autres dispositifs intelligents de surveillance et de mesure, et en intégrant l’intelligence artificielle. Pour le développement de ces applications, sur la base du cadre de référence élaboré avec les États membres, la Commission européenne mettra à disposition des fonds au titre du programme pour une Europe numérique. </w:t>
      </w:r>
      <w:r>
        <w:rPr>
          <w:rStyle w:val="eop"/>
          <w:noProof/>
        </w:rPr>
        <w:t xml:space="preserve"> </w:t>
      </w:r>
    </w:p>
    <w:p w14:paraId="7C58D502" w14:textId="77777777" w:rsidR="000B6CD4" w:rsidRPr="00450D26" w:rsidRDefault="000B6CD4" w:rsidP="00450D26">
      <w:pPr>
        <w:pStyle w:val="paragraph"/>
        <w:spacing w:before="0" w:beforeAutospacing="0" w:after="0" w:afterAutospacing="0"/>
        <w:jc w:val="both"/>
        <w:textAlignment w:val="baseline"/>
        <w:rPr>
          <w:rFonts w:ascii="Segoe UI" w:hAnsi="Segoe UI" w:cs="Segoe UI"/>
          <w:noProof/>
          <w:sz w:val="18"/>
          <w:szCs w:val="18"/>
        </w:rPr>
      </w:pPr>
    </w:p>
    <w:p w14:paraId="366CC00B" w14:textId="77777777" w:rsidR="00450DC8" w:rsidRPr="00B33E58" w:rsidRDefault="00572BE7" w:rsidP="00B33E58">
      <w:pPr>
        <w:ind w:firstLine="720"/>
        <w:rPr>
          <w:b/>
          <w:noProof/>
        </w:rPr>
      </w:pPr>
      <w:bookmarkStart w:id="35" w:name="_Toc103872594"/>
      <w:bookmarkStart w:id="36" w:name="_Toc105777784"/>
      <w:bookmarkStart w:id="37" w:name="_Toc106053793"/>
      <w:bookmarkStart w:id="38" w:name="_Toc1970391800"/>
      <w:bookmarkStart w:id="39" w:name="_Toc1996261225"/>
      <w:r>
        <w:rPr>
          <w:b/>
          <w:noProof/>
        </w:rPr>
        <w:t>4.3</w:t>
      </w:r>
      <w:r>
        <w:rPr>
          <w:noProof/>
        </w:rPr>
        <w:tab/>
      </w:r>
      <w:r>
        <w:rPr>
          <w:b/>
          <w:noProof/>
        </w:rPr>
        <w:t>Communautés énergétiques et initiatives locales dans le domaine de l’énergie</w:t>
      </w:r>
      <w:bookmarkEnd w:id="35"/>
      <w:bookmarkEnd w:id="36"/>
      <w:bookmarkEnd w:id="37"/>
      <w:r>
        <w:rPr>
          <w:b/>
          <w:noProof/>
        </w:rPr>
        <w:t xml:space="preserve"> </w:t>
      </w:r>
      <w:bookmarkEnd w:id="38"/>
      <w:bookmarkEnd w:id="39"/>
    </w:p>
    <w:p w14:paraId="05102491" w14:textId="547626B5" w:rsidR="005C608A" w:rsidRPr="00427CC9" w:rsidRDefault="008F1764" w:rsidP="005C608A">
      <w:pPr>
        <w:rPr>
          <w:noProof/>
          <w:color w:val="000000" w:themeColor="text1"/>
        </w:rPr>
      </w:pPr>
      <w:r>
        <w:rPr>
          <w:noProof/>
          <w:color w:val="000000" w:themeColor="text1"/>
        </w:rPr>
        <w:t xml:space="preserve">Les outils numériques jouent un rôle important dans le développement de schémas d’autoconsommation collective et de communautés énergétiques. Les systèmes énergétiques collectifs qui font intervenir toute une communauté, un village ou une ville peuvent permettre à ces consommateurs d’entrer en contact et de développer collectivement leur interaction potentielle avec le système électrique. Par exemple, de tels programmes pourraient permettre à une communauté: i) de mieux surveiller ses performances en matière de consommation énergétique, ou ii) de partager des panneaux solaires ou de s’engager d’une autre façon dans le partage de l’énergie ou le commerce entre pairs de l’électricité produite à partir de projets d’investissement conjoints susceptibles de la rendre moins dépendante des prix élevés de l’électricité fixés sur le marché de gros. La Commission s’efforcera d’utiliser au mieux les outils numériques pour soutenir les communautés énergétiques et les systèmes de consommation locale d’électricité produite localement. Elle veillera en outre à promouvoir le partage des connaissances concernant les outils numériques existants, </w:t>
      </w:r>
      <w:r>
        <w:rPr>
          <w:noProof/>
          <w:color w:val="000000" w:themeColor="text1"/>
          <w:u w:val="single"/>
        </w:rPr>
        <w:t>en s’appuyant sur des programmes adaptés aux besoins des différents groupes démographiques</w:t>
      </w:r>
      <w:r>
        <w:rPr>
          <w:noProof/>
          <w:color w:val="000000" w:themeColor="text1"/>
        </w:rPr>
        <w:t xml:space="preserve">. Afin d’atteindre ces objectifs, la Commission: </w:t>
      </w:r>
    </w:p>
    <w:p w14:paraId="5757757D" w14:textId="77777777" w:rsidR="00317B83" w:rsidRPr="00427CC9" w:rsidRDefault="38AC5CCE" w:rsidP="2DEA7F00">
      <w:pPr>
        <w:pStyle w:val="ListParagraph"/>
        <w:numPr>
          <w:ilvl w:val="0"/>
          <w:numId w:val="116"/>
        </w:numPr>
        <w:jc w:val="both"/>
        <w:rPr>
          <w:noProof/>
          <w:color w:val="000000" w:themeColor="text1"/>
        </w:rPr>
      </w:pPr>
      <w:r>
        <w:rPr>
          <w:rStyle w:val="normaltextrun"/>
          <w:noProof/>
          <w:color w:val="000000" w:themeColor="text1"/>
          <w:shd w:val="clear" w:color="auto" w:fill="FFFFFF"/>
        </w:rPr>
        <w:t xml:space="preserve">dans le </w:t>
      </w:r>
      <w:r>
        <w:rPr>
          <w:noProof/>
        </w:rPr>
        <w:t>contexte</w:t>
      </w:r>
      <w:r>
        <w:rPr>
          <w:rStyle w:val="normaltextrun"/>
          <w:noProof/>
          <w:color w:val="000000" w:themeColor="text1"/>
          <w:shd w:val="clear" w:color="auto" w:fill="FFFFFF"/>
        </w:rPr>
        <w:t xml:space="preserve"> du projet de référentiel des communautés énergétiques, </w:t>
      </w:r>
      <w:r>
        <w:rPr>
          <w:rStyle w:val="normaltextrun"/>
          <w:b/>
          <w:noProof/>
          <w:color w:val="000000" w:themeColor="text1"/>
          <w:shd w:val="clear" w:color="auto" w:fill="FFFFFF"/>
        </w:rPr>
        <w:t>recensera et sélectionnera des outils numériques</w:t>
      </w:r>
      <w:r>
        <w:rPr>
          <w:rStyle w:val="normaltextrun"/>
          <w:noProof/>
          <w:color w:val="000000" w:themeColor="text1"/>
          <w:shd w:val="clear" w:color="auto" w:fill="FFFFFF"/>
        </w:rPr>
        <w:t xml:space="preserve"> et </w:t>
      </w:r>
      <w:r>
        <w:rPr>
          <w:rStyle w:val="normaltextrun"/>
          <w:b/>
          <w:noProof/>
          <w:color w:val="000000" w:themeColor="text1"/>
          <w:shd w:val="clear" w:color="auto" w:fill="FFFFFF"/>
        </w:rPr>
        <w:t xml:space="preserve">produira des orientations sur le partage de l’énergie et les accords d’échange entre pairs. </w:t>
      </w:r>
      <w:r>
        <w:rPr>
          <w:rStyle w:val="normaltextrun"/>
          <w:noProof/>
          <w:color w:val="000000" w:themeColor="text1"/>
          <w:shd w:val="clear" w:color="auto" w:fill="FFFFFF"/>
        </w:rPr>
        <w:t xml:space="preserve">Ces outils et ces orientations amélioreront la compréhension et les compétences des décideurs, des </w:t>
      </w:r>
      <w:bookmarkStart w:id="40" w:name="_Int_Heqa7dBO"/>
      <w:r>
        <w:rPr>
          <w:rStyle w:val="normaltextrun"/>
          <w:noProof/>
          <w:color w:val="000000" w:themeColor="text1"/>
          <w:shd w:val="clear" w:color="auto" w:fill="FFFFFF"/>
        </w:rPr>
        <w:t>régulateurs</w:t>
      </w:r>
      <w:bookmarkEnd w:id="40"/>
      <w:r>
        <w:rPr>
          <w:rStyle w:val="normaltextrun"/>
          <w:noProof/>
          <w:color w:val="000000" w:themeColor="text1"/>
          <w:shd w:val="clear" w:color="auto" w:fill="FFFFFF"/>
        </w:rPr>
        <w:t xml:space="preserve"> et des communautés locales afin qu’ils puissent développer et soutenir </w:t>
      </w:r>
      <w:r>
        <w:rPr>
          <w:noProof/>
        </w:rPr>
        <w:t xml:space="preserve">des </w:t>
      </w:r>
      <w:bookmarkStart w:id="41" w:name="_Int_AADWQK4b"/>
      <w:r>
        <w:rPr>
          <w:rStyle w:val="normaltextrun"/>
          <w:noProof/>
          <w:color w:val="000000" w:themeColor="text1"/>
          <w:shd w:val="clear" w:color="auto" w:fill="FFFFFF"/>
        </w:rPr>
        <w:t>modèles commerciaux basés sur les données</w:t>
      </w:r>
      <w:bookmarkEnd w:id="41"/>
      <w:r>
        <w:rPr>
          <w:rStyle w:val="normaltextrun"/>
          <w:noProof/>
          <w:color w:val="000000" w:themeColor="text1"/>
          <w:shd w:val="clear" w:color="auto" w:fill="FFFFFF"/>
        </w:rPr>
        <w:t xml:space="preserve"> et sur les technologies de l’information et de la communication (TIC); </w:t>
      </w:r>
    </w:p>
    <w:p w14:paraId="514319B2" w14:textId="61F96B07" w:rsidR="00F161A9" w:rsidRPr="00427CC9" w:rsidRDefault="00A74E03" w:rsidP="00417ED2">
      <w:pPr>
        <w:pStyle w:val="ListParagraph"/>
        <w:numPr>
          <w:ilvl w:val="0"/>
          <w:numId w:val="116"/>
        </w:numPr>
        <w:jc w:val="both"/>
        <w:rPr>
          <w:noProof/>
          <w:color w:val="000000" w:themeColor="text1"/>
        </w:rPr>
      </w:pPr>
      <w:r>
        <w:rPr>
          <w:b/>
          <w:noProof/>
          <w:color w:val="000000" w:themeColor="text1"/>
        </w:rPr>
        <w:t>développera une plateforme d’expérimentation unique en son genre</w:t>
      </w:r>
      <w:r>
        <w:rPr>
          <w:noProof/>
          <w:color w:val="000000" w:themeColor="text1"/>
        </w:rPr>
        <w:t xml:space="preserve"> pour tester et simuler des communautés énergétiques en combinaison avec des activités innovantes telles que le commerce d’énergie basé sur la technologie des chaînes de blocs. Cette plateforme d’expérimentation pourrait également aider à mieux comprendre les réponses comportementales aux signaux de prix afin d’optimiser les avantages pour les communautés et de cerner les possibles </w:t>
      </w:r>
      <w:bookmarkStart w:id="42" w:name="_Int_me7kiUVs"/>
      <w:r>
        <w:rPr>
          <w:noProof/>
          <w:color w:val="000000" w:themeColor="text1"/>
        </w:rPr>
        <w:t>obstacles juridiques, réglementaires, fiscaux</w:t>
      </w:r>
      <w:bookmarkEnd w:id="42"/>
      <w:r>
        <w:rPr>
          <w:noProof/>
          <w:color w:val="000000" w:themeColor="text1"/>
        </w:rPr>
        <w:t xml:space="preserve"> ou techniques</w:t>
      </w:r>
      <w:r>
        <w:rPr>
          <w:noProof/>
        </w:rPr>
        <w:t>.</w:t>
      </w:r>
      <w:r>
        <w:rPr>
          <w:noProof/>
          <w:color w:val="000000" w:themeColor="text1"/>
        </w:rPr>
        <w:t xml:space="preserve"> </w:t>
      </w:r>
    </w:p>
    <w:p w14:paraId="163DA0FA" w14:textId="77777777" w:rsidR="00A97D30" w:rsidRPr="00150008" w:rsidRDefault="00A97D30">
      <w:pPr>
        <w:rPr>
          <w:noProof/>
          <w:color w:val="000000" w:themeColor="text1"/>
          <w:lang w:val="fr-BE"/>
        </w:rPr>
      </w:pPr>
    </w:p>
    <w:p w14:paraId="55554C18" w14:textId="77777777" w:rsidR="00742EFD" w:rsidRPr="00B33E58" w:rsidRDefault="3AC0DCEE" w:rsidP="002443C6">
      <w:pPr>
        <w:ind w:firstLine="720"/>
        <w:rPr>
          <w:b/>
          <w:bCs/>
          <w:noProof/>
        </w:rPr>
      </w:pPr>
      <w:bookmarkStart w:id="43" w:name="_Toc103872595"/>
      <w:bookmarkStart w:id="44" w:name="_Toc105777785"/>
      <w:bookmarkStart w:id="45" w:name="_Toc106053794"/>
      <w:bookmarkStart w:id="46" w:name="_Toc61978171"/>
      <w:bookmarkStart w:id="47" w:name="_Toc1838977823"/>
      <w:r>
        <w:rPr>
          <w:b/>
          <w:noProof/>
        </w:rPr>
        <w:t>4.4</w:t>
      </w:r>
      <w:r>
        <w:rPr>
          <w:noProof/>
        </w:rPr>
        <w:tab/>
      </w:r>
      <w:r>
        <w:rPr>
          <w:b/>
          <w:noProof/>
        </w:rPr>
        <w:t>Une main-d’œuvre qualifiée pour accélérer la transition numérique</w:t>
      </w:r>
      <w:bookmarkEnd w:id="43"/>
      <w:bookmarkEnd w:id="44"/>
      <w:bookmarkEnd w:id="45"/>
      <w:r>
        <w:rPr>
          <w:b/>
          <w:noProof/>
        </w:rPr>
        <w:t xml:space="preserve"> </w:t>
      </w:r>
      <w:bookmarkEnd w:id="46"/>
      <w:bookmarkEnd w:id="47"/>
    </w:p>
    <w:p w14:paraId="6C66CDCA" w14:textId="57EB7EE5" w:rsidR="004D22F3" w:rsidRDefault="3EDBC9A4" w:rsidP="004D22F3">
      <w:pPr>
        <w:rPr>
          <w:noProof/>
          <w:color w:val="000000" w:themeColor="text1"/>
        </w:rPr>
      </w:pPr>
      <w:r>
        <w:rPr>
          <w:noProof/>
          <w:color w:val="000000" w:themeColor="text1"/>
        </w:rPr>
        <w:t>Il existe un risque que les nouveaux services basés sur les données et les solutions technologiques innovantes ne soient pas mis en œuvre assez rapidement faute de travailleurs qualifiés et de professionnels formés pour aider à leur déploiement</w:t>
      </w:r>
      <w:r>
        <w:rPr>
          <w:noProof/>
          <w:color w:val="000000" w:themeColor="text1"/>
          <w:vertAlign w:val="superscript"/>
          <w:lang w:val="en-GB"/>
        </w:rPr>
        <w:footnoteReference w:id="44"/>
      </w:r>
      <w:r>
        <w:rPr>
          <w:noProof/>
          <w:color w:val="000000" w:themeColor="text1"/>
        </w:rPr>
        <w:t>. L’intégration des thèmes liés à la transition énergétique dans l’enseignement et la formation ordinaires constitue un défi dans l’ensemble de l’UE. En effet, ce manque de main-d’œuvre pourrait entraver le déploiement de technologies énergétiques propres et freiner la croissance et la compétitivité du secteur.</w:t>
      </w:r>
      <w:r>
        <w:rPr>
          <w:noProof/>
          <w:color w:val="000000" w:themeColor="text1"/>
          <w:sz w:val="19"/>
          <w:vertAlign w:val="superscript"/>
        </w:rPr>
        <w:t xml:space="preserve"> </w:t>
      </w:r>
      <w:r>
        <w:rPr>
          <w:noProof/>
          <w:color w:val="000000" w:themeColor="text1"/>
        </w:rPr>
        <w:t>S’appuyant sur la stratégie 2020 en matière de compétences, la recommandation du Conseil relative à une transition équitable vers la neutralité climatique et le plan de coopération sectorielle en matière de compétences pour la numérisation de la chaîne de valeur de l’énergie</w:t>
      </w:r>
      <w:r>
        <w:rPr>
          <w:rStyle w:val="FootnoteReference"/>
          <w:noProof/>
          <w:color w:val="000000" w:themeColor="text1"/>
          <w:sz w:val="19"/>
          <w:szCs w:val="19"/>
          <w:lang w:val="en-GB"/>
        </w:rPr>
        <w:footnoteReference w:id="45"/>
      </w:r>
      <w:r>
        <w:rPr>
          <w:noProof/>
          <w:color w:val="000000" w:themeColor="text1"/>
        </w:rPr>
        <w:t>, la Commission européenne soutiendra la mise en place – d’ici fin 2023 – d’</w:t>
      </w:r>
      <w:r>
        <w:rPr>
          <w:b/>
          <w:noProof/>
          <w:color w:val="000000" w:themeColor="text1"/>
        </w:rPr>
        <w:t>un partenariat à grande échelle sur la numérisation de la chaîne de valeur de l’énergie dans le cadre du pacte de l’UE sur les compétences</w:t>
      </w:r>
      <w:bookmarkStart w:id="48" w:name="_Int_QMRYOfij"/>
      <w:r>
        <w:rPr>
          <w:noProof/>
          <w:color w:val="000000" w:themeColor="text1"/>
        </w:rPr>
        <w:t xml:space="preserve">. </w:t>
      </w:r>
      <w:bookmarkEnd w:id="48"/>
      <w:r>
        <w:rPr>
          <w:noProof/>
          <w:color w:val="000000" w:themeColor="text1"/>
        </w:rPr>
        <w:t>Les synergies avec le futur partenariat à grande échelle sur les énergies renouvelables terrestres</w:t>
      </w:r>
      <w:r>
        <w:rPr>
          <w:rStyle w:val="FootnoteReference"/>
          <w:noProof/>
          <w:color w:val="000000" w:themeColor="text1"/>
          <w:lang w:val="en-GB"/>
        </w:rPr>
        <w:footnoteReference w:id="46"/>
      </w:r>
      <w:r>
        <w:rPr>
          <w:noProof/>
          <w:color w:val="000000" w:themeColor="text1"/>
        </w:rPr>
        <w:t>, le partenariat à grande échelle en matière d’écosystème numérique, la communauté des compétences numériques et de l’emploi, les initiatives pour les compétences numériques dans le domaine de l’énergie dans le cadre du programme pour une Europe numérique et d’autres alliances sectorielles pertinentes en matière de compétences et initiatives connexes seront exploitées.</w:t>
      </w:r>
      <w:bookmarkStart w:id="49" w:name="_Toc103872596"/>
      <w:bookmarkStart w:id="50" w:name="_Toc106053795"/>
      <w:bookmarkStart w:id="51" w:name="_Toc2075375670"/>
      <w:bookmarkStart w:id="52" w:name="_Toc677034918"/>
      <w:r>
        <w:rPr>
          <w:noProof/>
          <w:color w:val="000000" w:themeColor="text1"/>
        </w:rPr>
        <w:t xml:space="preserve"> </w:t>
      </w:r>
    </w:p>
    <w:p w14:paraId="09260C73" w14:textId="1DE72869" w:rsidR="00ED591F" w:rsidRDefault="004D22F3" w:rsidP="00A97D30">
      <w:pPr>
        <w:rPr>
          <w:rStyle w:val="FootnoteReference"/>
          <w:rFonts w:eastAsia="Calibri"/>
          <w:noProof/>
          <w:color w:val="000000" w:themeColor="text1"/>
        </w:rPr>
      </w:pPr>
      <w:r>
        <w:rPr>
          <w:noProof/>
          <w:color w:val="000000" w:themeColor="text1"/>
        </w:rPr>
        <w:t>Plus généralement, la Commission mène un dialogue structuré avec les États membres afin d’accélérer les engagements et les réformes dans le domaine des compétences et de l’éducation numériques. Pour aller de l’avant en s’appuyant sur ce processus et sur les nombreuses autres actions de la Commission dans ce domaine, cette dernière a proposé que 2023 soit l’Année des compétences.</w:t>
      </w:r>
    </w:p>
    <w:p w14:paraId="45C6F53A" w14:textId="77777777" w:rsidR="00ED591F" w:rsidRPr="00ED591F" w:rsidRDefault="00ED591F" w:rsidP="00ED591F">
      <w:pPr>
        <w:spacing w:after="0"/>
        <w:rPr>
          <w:b/>
          <w:smallCaps/>
          <w:noProof/>
          <w:sz w:val="28"/>
          <w:szCs w:val="28"/>
        </w:rPr>
      </w:pPr>
    </w:p>
    <w:p w14:paraId="0EF3EBED" w14:textId="2BED32EA" w:rsidR="00406149" w:rsidRPr="00427CC9" w:rsidRDefault="00352428" w:rsidP="00B33E58">
      <w:pPr>
        <w:rPr>
          <w:noProof/>
        </w:rPr>
      </w:pPr>
      <w:r>
        <w:rPr>
          <w:b/>
          <w:smallCaps/>
          <w:noProof/>
        </w:rPr>
        <w:t>5.</w:t>
      </w:r>
      <w:r>
        <w:rPr>
          <w:noProof/>
        </w:rPr>
        <w:tab/>
      </w:r>
      <w:r>
        <w:rPr>
          <w:b/>
          <w:smallCaps/>
          <w:noProof/>
        </w:rPr>
        <w:t xml:space="preserve">Renforcer la cybersécurité et la résilience dans le système énergétique </w:t>
      </w:r>
      <w:bookmarkEnd w:id="49"/>
      <w:bookmarkEnd w:id="50"/>
      <w:bookmarkEnd w:id="51"/>
      <w:bookmarkEnd w:id="52"/>
    </w:p>
    <w:p w14:paraId="3EAE93F4" w14:textId="77777777" w:rsidR="003A5832" w:rsidRPr="00427CC9" w:rsidRDefault="003A5832" w:rsidP="15F8FDB1">
      <w:pPr>
        <w:rPr>
          <w:noProof/>
          <w:color w:val="000000" w:themeColor="text1"/>
        </w:rPr>
      </w:pPr>
      <w:r>
        <w:rPr>
          <w:noProof/>
          <w:color w:val="000000" w:themeColor="text1"/>
        </w:rPr>
        <w:t>La cybersécurité est une condition essentielle à la fiabilité du système énergétique de plus en plus numérisé. Elle joue un rôle clé pour que le système énergétique reste sûr et robuste face aux cyberincidents et aux attaques majeures, en couvrant l’ensemble de la chaîne de valeur du système énergétique, de la production au consommateur en passant par le transport et la distribution, y compris toutes les interfaces numériques qui la jalonnent.</w:t>
      </w:r>
    </w:p>
    <w:p w14:paraId="4A6EBB9A" w14:textId="77777777" w:rsidR="003A5832" w:rsidRPr="00427CC9" w:rsidRDefault="6ADBC6A2" w:rsidP="15F8FDB1">
      <w:pPr>
        <w:rPr>
          <w:b/>
          <w:bCs/>
          <w:noProof/>
          <w:color w:val="000000" w:themeColor="text1"/>
        </w:rPr>
      </w:pPr>
      <w:bookmarkStart w:id="53" w:name="_Int_cpIr9KlI"/>
      <w:r>
        <w:rPr>
          <w:noProof/>
          <w:color w:val="000000" w:themeColor="text1"/>
        </w:rPr>
        <w:t>Les exigences</w:t>
      </w:r>
      <w:bookmarkEnd w:id="53"/>
      <w:r>
        <w:rPr>
          <w:noProof/>
          <w:color w:val="000000" w:themeColor="text1"/>
        </w:rPr>
        <w:t xml:space="preserve"> et les coûts associés à la lutte contre les risques de cybersécurité doivent être abordés de manière à garantir un marché accessible et concurrentiel pour les nouveaux services et produits. Outre le rôle essentiel des grandes infrastructures de production et de transport d’électricité (existantes et nouvelles, telles que les parcs éoliens et les réseaux en mer, comme indiqué dans la stratégie sur les énergies renouvelables en mer</w:t>
      </w:r>
      <w:r>
        <w:rPr>
          <w:rStyle w:val="FootnoteReference"/>
          <w:noProof/>
          <w:color w:val="000000" w:themeColor="text1"/>
          <w:lang w:val="en-GB"/>
        </w:rPr>
        <w:footnoteReference w:id="47"/>
      </w:r>
      <w:r>
        <w:rPr>
          <w:noProof/>
          <w:color w:val="000000" w:themeColor="text1"/>
        </w:rPr>
        <w:t xml:space="preserve">), une production et une consommation d’énergie plus décentralisées et connectées à l’internet des objets augmentent la «surface d’attaque» de l’ensemble du système énergétique, et donc les risques liés au cyberespace. </w:t>
      </w:r>
    </w:p>
    <w:p w14:paraId="650C8F25" w14:textId="77777777" w:rsidR="00F60119" w:rsidRDefault="278E1DCE" w:rsidP="276D3997">
      <w:pPr>
        <w:rPr>
          <w:noProof/>
        </w:rPr>
      </w:pPr>
      <w:r w:rsidRPr="00F60119">
        <w:rPr>
          <w:noProof/>
        </w:rPr>
        <w:t>L’UE a adopté une approche systémique afin de renforcer la cybersécurité des réseaux énergétiques. Celle-ci combine des mesures spécifiques à l’énergie tout en s’appuyant sur le cadre intersectoriel de cybersécurité. La directive révisée concernant des mesures destinées à assurer un niveau élevé commun de sécurité des réseaux et des systèmes d’information dans l’Union (directive SRI 2) devrait être adoptée prochainement. Elle pointe le secteur de l’énergie comme l’une des infrastructures critiques de l’UE et prévoit des mesures en matière de cybersécurité, des obligations liées à la sécurité de la chaîne d’approvisionnement et des mesures de gestion des risques.</w:t>
      </w:r>
    </w:p>
    <w:p w14:paraId="7F5212D7" w14:textId="29FDCE3C" w:rsidR="0009580D" w:rsidRDefault="0009580D" w:rsidP="276D3997">
      <w:pPr>
        <w:rPr>
          <w:noProof/>
          <w:color w:val="000000" w:themeColor="text1"/>
        </w:rPr>
      </w:pPr>
      <w:r>
        <w:rPr>
          <w:noProof/>
          <w:color w:val="000000" w:themeColor="text1"/>
        </w:rPr>
        <w:t>En outre, la directive SRI 2 offre la possibilité de mener des évaluations coordonnées des risques liés aux chaînes d'approvisionnement critiques et le Conseil, dans ses conclusions sur la mise en place d'une posture cyber de l'Union européenne, a invité la Commission, le haut représentant et le groupe de coopération SRI, à procéder, d'ici au deuxième trimestre de 2023, «à une évaluation des risques ainsi qu'à élaborer des scénarios de risque du point de vue de la cybersécurité portant sur une situation de menace ou d'attaque éventuelle contre des États membres ou des pays partenaires».</w:t>
      </w:r>
      <w:r>
        <w:rPr>
          <w:noProof/>
        </w:rPr>
        <w:t xml:space="preserve"> </w:t>
      </w:r>
      <w:r>
        <w:rPr>
          <w:noProof/>
          <w:color w:val="000000" w:themeColor="text1"/>
        </w:rPr>
        <w:t>Après consultation du groupe de coopération SRI et de l’ENISA</w:t>
      </w:r>
      <w:r w:rsidR="00F60119">
        <w:rPr>
          <w:noProof/>
          <w:color w:val="000000" w:themeColor="text1"/>
        </w:rPr>
        <w:t xml:space="preserve">, </w:t>
      </w:r>
      <w:r>
        <w:rPr>
          <w:noProof/>
          <w:color w:val="FF0000"/>
        </w:rPr>
        <w:t xml:space="preserve">ainsi que des autres parties prenantes concernées, et </w:t>
      </w:r>
      <w:r>
        <w:rPr>
          <w:b/>
          <w:noProof/>
          <w:color w:val="FF0000"/>
        </w:rPr>
        <w:t>en s'appuyant, s'il y a lieu, sur cette évaluation des risques et sur ces scénarios de risque</w:t>
      </w:r>
      <w:r>
        <w:rPr>
          <w:noProof/>
        </w:rPr>
        <w:t>, la Commission recensera les services, systèmes ou produits TIC spécifiques susceptibles d’être soumis en priorité à des évaluations coordonnées des risques.</w:t>
      </w:r>
      <w:r>
        <w:rPr>
          <w:noProof/>
          <w:color w:val="000000" w:themeColor="text1"/>
        </w:rPr>
        <w:t xml:space="preserve"> Dans ce contexte, la Commission accordera toute l’attention nécessaire aux </w:t>
      </w:r>
      <w:r>
        <w:rPr>
          <w:b/>
          <w:noProof/>
          <w:color w:val="000000" w:themeColor="text1"/>
        </w:rPr>
        <w:t>risques qui pèsent sur la chaîne d’approvisionnement en énergie renouvelable et par le réseau, y compris l’éolien en mer</w:t>
      </w:r>
      <w:r>
        <w:rPr>
          <w:noProof/>
          <w:color w:val="000000" w:themeColor="text1"/>
        </w:rPr>
        <w:t>.</w:t>
      </w:r>
      <w:r>
        <w:rPr>
          <w:b/>
          <w:noProof/>
          <w:color w:val="000000" w:themeColor="text1"/>
        </w:rPr>
        <w:t xml:space="preserve"> </w:t>
      </w:r>
      <w:r>
        <w:rPr>
          <w:noProof/>
          <w:color w:val="000000" w:themeColor="text1"/>
        </w:rPr>
        <w:t>Ces évaluations devraient couvrir les facteurs de risque aussi bien techniques que non techniques, tels que l’exercice d’une influence indue par un État tiers sur des fournisseurs et des prestataires de service, en s'appuyant sur les facteurs recensés dans l’évaluation coordonnée des risques au niveau de l’UE relative à la sécurité des réseaux 5G.</w:t>
      </w:r>
    </w:p>
    <w:p w14:paraId="00F30D61" w14:textId="1A970FDF" w:rsidR="006120BD" w:rsidRDefault="7FDA80F7" w:rsidP="00846EF0">
      <w:pPr>
        <w:rPr>
          <w:noProof/>
          <w:color w:val="000000" w:themeColor="text1"/>
        </w:rPr>
      </w:pPr>
      <w:r>
        <w:rPr>
          <w:noProof/>
          <w:color w:val="000000" w:themeColor="text1"/>
        </w:rPr>
        <w:t xml:space="preserve">Afin d’accroître la résilience aux risques de cybersécurité dans le système électrique, la Commission (en collaboration avec l’ACER, le REGRT-E et l’entité des GRD de l’UE) entend </w:t>
      </w:r>
      <w:r>
        <w:rPr>
          <w:b/>
          <w:noProof/>
          <w:color w:val="000000" w:themeColor="text1"/>
        </w:rPr>
        <w:t>proposer un acte délégué sous la forme d’un code de réseau pour les aspects de la cybersécurité des flux transfrontaliers d’électricité</w:t>
      </w:r>
      <w:r>
        <w:rPr>
          <w:noProof/>
          <w:color w:val="000000" w:themeColor="text1"/>
        </w:rPr>
        <w:t xml:space="preserve"> découlant des exigences de l’article 59, paragraphe 2, point e), du règlement «électricité», comprenant des règles relatives aux exigences minimales communes, à la planification, au suivi et à la gestion des crises, en vue de son adoption début 2023. De même, avec la proposition de modification du règlement sur la sécurité de l’approvisionnement en gaz</w:t>
      </w:r>
      <w:r>
        <w:rPr>
          <w:rStyle w:val="FootnoteReference"/>
          <w:noProof/>
          <w:color w:val="000000" w:themeColor="text1"/>
          <w:lang w:val="en-GB"/>
        </w:rPr>
        <w:footnoteReference w:id="48"/>
      </w:r>
      <w:r>
        <w:rPr>
          <w:noProof/>
          <w:color w:val="000000" w:themeColor="text1"/>
        </w:rPr>
        <w:t xml:space="preserve">, la Commission entend adapter le système gazier à de nouveaux risques, notamment les cyberattaques, et la Commission entend, une fois cet amendement adopté, proposer </w:t>
      </w:r>
      <w:r>
        <w:rPr>
          <w:b/>
          <w:noProof/>
          <w:color w:val="000000" w:themeColor="text1"/>
        </w:rPr>
        <w:t>un acte délégué sur la cybersécurité des réseaux de gaz et d’hydrogène</w:t>
      </w:r>
      <w:r>
        <w:rPr>
          <w:noProof/>
          <w:color w:val="000000" w:themeColor="text1"/>
        </w:rPr>
        <w:t>.</w:t>
      </w:r>
    </w:p>
    <w:p w14:paraId="6080295E" w14:textId="41A028D9" w:rsidR="1C5D1AEC" w:rsidRDefault="00D2768F" w:rsidP="414B7552">
      <w:pPr>
        <w:rPr>
          <w:rFonts w:eastAsia="Calibri"/>
          <w:noProof/>
          <w:color w:val="000000" w:themeColor="text1"/>
        </w:rPr>
      </w:pPr>
      <w:bookmarkStart w:id="54" w:name="_Hlk116853682"/>
      <w:r>
        <w:rPr>
          <w:noProof/>
        </w:rPr>
        <w:t xml:space="preserve">En parallèle, la Commission propose une recommandation du Conseil visant à </w:t>
      </w:r>
      <w:r>
        <w:rPr>
          <w:b/>
          <w:noProof/>
        </w:rPr>
        <w:t>renforcer la résilience des infrastructures critiques</w:t>
      </w:r>
      <w:r>
        <w:rPr>
          <w:noProof/>
        </w:rPr>
        <w:t xml:space="preserve"> dans un certain nombre de secteurs prioritaires, y compris celui de l’énergie, contre d’éventuelles attaques physiques, cybernétiques ou hybrides. Cette proposition portera entre autres sur une approche harmonisée permettant de recenser les infrastructures énergétiques critiques, sur l’échange d’informations et sur la consolidation des capacités nécessaires pour anticiper toute perturbation, s’y préparer, y faire face, et se rétablir, ce qui renforcera la résilience des infrastructures énergétiques critiques. </w:t>
      </w:r>
      <w:bookmarkStart w:id="55" w:name="_Hlk108705032"/>
      <w:bookmarkEnd w:id="54"/>
      <w:r w:rsidR="00A93BC7">
        <w:rPr>
          <w:noProof/>
        </w:rPr>
        <w:t xml:space="preserve">Enfin, la Commission a adopté une proposition de </w:t>
      </w:r>
      <w:r w:rsidR="00A93BC7">
        <w:rPr>
          <w:b/>
          <w:noProof/>
        </w:rPr>
        <w:t>législation sur la cyber-résilience</w:t>
      </w:r>
      <w:r w:rsidR="00A93BC7">
        <w:rPr>
          <w:noProof/>
        </w:rPr>
        <w:t xml:space="preserve"> qui établirait des </w:t>
      </w:r>
      <w:r w:rsidR="00A93BC7">
        <w:rPr>
          <w:rStyle w:val="normaltextrun"/>
          <w:noProof/>
          <w:shd w:val="clear" w:color="auto" w:fill="FFFFFF"/>
        </w:rPr>
        <w:t>règles harmonisées en matière de cybersécurité pour la mise sur le marché de produits comportant des éléments numériques dans l’Union, et définirait un devoir de vigilance pour l’ensemble du cycle de vie de ces produits, ainsi que des règles correspondantes en matière de surveillance et de contrôle des marchés</w:t>
      </w:r>
      <w:r w:rsidR="00A93BC7">
        <w:rPr>
          <w:noProof/>
        </w:rPr>
        <w:t>. Ces exigences seraient axées sur l’objectif, neutres sur le plan technologique et résistantes à l’épreuve du temps. Le cas échéant, la législation couvrirait également les dispositifs intégrés dans le cycle d’approvisionnement en énergie; par exemple, des systèmes de commande industriels numériques utilisés pour commander la fréquence dans le réseau électrique. La législation sur la cyber-résilience ne fera pas qu’améliorer la sécurité de base des appareils numérisés, mais elle contribuera aussi à accroître la confiance entre les différents opérateurs. La Commission encouragera donc les parties prenantes à utiliser au mieux ces systèmes</w:t>
      </w:r>
      <w:bookmarkEnd w:id="55"/>
      <w:r w:rsidR="00A93BC7">
        <w:rPr>
          <w:noProof/>
          <w:color w:val="000000" w:themeColor="text1"/>
        </w:rPr>
        <w:t xml:space="preserve">.  </w:t>
      </w:r>
    </w:p>
    <w:p w14:paraId="205D86FE" w14:textId="77777777" w:rsidR="00ED591F" w:rsidRPr="00150008" w:rsidRDefault="00ED591F" w:rsidP="00ED591F">
      <w:pPr>
        <w:spacing w:after="0"/>
        <w:rPr>
          <w:noProof/>
          <w:color w:val="000000" w:themeColor="text1"/>
          <w:sz w:val="28"/>
          <w:szCs w:val="28"/>
          <w:lang w:val="fr-BE"/>
        </w:rPr>
      </w:pPr>
    </w:p>
    <w:p w14:paraId="2FBFF2B3" w14:textId="77777777" w:rsidR="00406149" w:rsidRPr="00427CC9" w:rsidRDefault="2DC5F5F1" w:rsidP="00B33E58">
      <w:pPr>
        <w:rPr>
          <w:noProof/>
        </w:rPr>
      </w:pPr>
      <w:bookmarkStart w:id="56" w:name="_Toc103872597"/>
      <w:bookmarkStart w:id="57" w:name="_Toc1228064636"/>
      <w:bookmarkStart w:id="58" w:name="_Toc2142393751"/>
      <w:bookmarkStart w:id="59" w:name="_Toc106053796"/>
      <w:r>
        <w:rPr>
          <w:b/>
          <w:smallCaps/>
          <w:noProof/>
        </w:rPr>
        <w:t>6.</w:t>
      </w:r>
      <w:r>
        <w:rPr>
          <w:noProof/>
        </w:rPr>
        <w:tab/>
      </w:r>
      <w:r>
        <w:rPr>
          <w:b/>
          <w:smallCaps/>
          <w:noProof/>
        </w:rPr>
        <w:t>Consommation énergétique du secteur des TIC</w:t>
      </w:r>
      <w:bookmarkEnd w:id="56"/>
      <w:bookmarkEnd w:id="57"/>
      <w:bookmarkEnd w:id="58"/>
      <w:bookmarkEnd w:id="59"/>
    </w:p>
    <w:p w14:paraId="71CE7C44" w14:textId="2A2D97BF" w:rsidR="00D72D22" w:rsidRPr="00427CC9" w:rsidRDefault="5D77B7A0" w:rsidP="414B7552">
      <w:pPr>
        <w:rPr>
          <w:noProof/>
        </w:rPr>
      </w:pPr>
      <w:r>
        <w:rPr>
          <w:noProof/>
          <w:color w:val="000000" w:themeColor="text1"/>
        </w:rPr>
        <w:t>Si le secteur des TIC apporte des bénéfices nets globaux à notre économie, y compris en permettant des réductions d’émissions</w:t>
      </w:r>
      <w:bookmarkStart w:id="60" w:name="_Ref113007734"/>
      <w:r>
        <w:rPr>
          <w:rStyle w:val="FootnoteReference"/>
          <w:noProof/>
          <w:color w:val="000000" w:themeColor="text1"/>
          <w:lang w:val="en-GB" w:eastAsia="en-US"/>
        </w:rPr>
        <w:footnoteReference w:id="49"/>
      </w:r>
      <w:bookmarkEnd w:id="60"/>
      <w:r>
        <w:rPr>
          <w:noProof/>
          <w:color w:val="000000" w:themeColor="text1"/>
        </w:rPr>
        <w:t>, il représente aussi environ 7 % de la consommation mondiale d’électricité, et cette part devrait atteindre 13 % d’ici 2030.</w:t>
      </w:r>
      <w:r>
        <w:rPr>
          <w:noProof/>
        </w:rPr>
        <w:t>.</w:t>
      </w:r>
      <w:r>
        <w:rPr>
          <w:noProof/>
          <w:color w:val="000000" w:themeColor="text1"/>
        </w:rPr>
        <w:t xml:space="preserve"> Cette consommation au niveau mondial est actuellement comparable à la consommation cumulée de l’ensemble des populations allemande, française, italienne, espagnole et polonaise, et nécessite donc une planification globale eu égard à la demande qu’elle fait peser sur nos réseaux électriques</w:t>
      </w:r>
      <w:r>
        <w:rPr>
          <w:rStyle w:val="FootnoteReference"/>
          <w:noProof/>
          <w:color w:val="000000" w:themeColor="text1"/>
          <w:lang w:val="en-GB" w:eastAsia="en-US"/>
        </w:rPr>
        <w:footnoteReference w:id="50"/>
      </w:r>
      <w:r>
        <w:rPr>
          <w:noProof/>
          <w:color w:val="000000" w:themeColor="text1"/>
        </w:rPr>
        <w:t xml:space="preserve">. Faire en sorte que les besoins énergétiques croissants du secteur des TIC soient satisfaits en synergie avec l’objectif plus large de neutralité climatique est donc un élément essentiel de la double transition écologique et numérique. Il est important d’examiner: i) la consommation d’énergie et de ressources tout au long de la chaîne de valeur des TIC; et ii) les principales sources supplémentaires émergentes de consommation d’énergie liée aux TIC. Des solutions existent déjà, comme la réutilisation de la chaleur résiduelle des centres de données ou le passage à des modèles circulaires (durées de vie plus longues, réparabilité, réutilisation et recyclabilité). </w:t>
      </w:r>
      <w:r>
        <w:rPr>
          <w:noProof/>
        </w:rPr>
        <w:t>En ce qui concerne les nouvelles technologies telles que les technologies à haute performance et l’informatique quantique, la Commission accordera une attention particulière à leur consommation énergétique et est fermement déterminée à orienter les investissements vers les solutions les plus efficaces sur le plan énergétique.</w:t>
      </w:r>
    </w:p>
    <w:p w14:paraId="1982223C" w14:textId="7BC98089" w:rsidR="003475F0" w:rsidRPr="00B33E58" w:rsidRDefault="00572BE7" w:rsidP="00B33E58">
      <w:pPr>
        <w:ind w:firstLine="720"/>
        <w:rPr>
          <w:b/>
          <w:noProof/>
        </w:rPr>
      </w:pPr>
      <w:bookmarkStart w:id="61" w:name="_Toc103872598"/>
      <w:bookmarkStart w:id="62" w:name="_Toc2138005340"/>
      <w:bookmarkStart w:id="63" w:name="_Toc1179226438"/>
      <w:bookmarkStart w:id="64" w:name="_Toc105777788"/>
      <w:bookmarkStart w:id="65" w:name="_Toc106053797"/>
      <w:bookmarkStart w:id="66" w:name="_Toc105447854"/>
      <w:bookmarkStart w:id="67" w:name="_Toc105576252"/>
      <w:r>
        <w:rPr>
          <w:b/>
          <w:noProof/>
        </w:rPr>
        <w:t>6.1</w:t>
      </w:r>
      <w:r>
        <w:rPr>
          <w:noProof/>
        </w:rPr>
        <w:tab/>
      </w:r>
      <w:bookmarkEnd w:id="61"/>
      <w:bookmarkEnd w:id="62"/>
      <w:bookmarkEnd w:id="63"/>
      <w:bookmarkEnd w:id="64"/>
      <w:bookmarkEnd w:id="65"/>
      <w:bookmarkEnd w:id="66"/>
      <w:bookmarkEnd w:id="67"/>
      <w:r>
        <w:rPr>
          <w:b/>
          <w:noProof/>
        </w:rPr>
        <w:t>Conception, production, utilisation et fin de vie</w:t>
      </w:r>
    </w:p>
    <w:p w14:paraId="30681012" w14:textId="2E09ED0A" w:rsidR="00F73A2C" w:rsidRPr="00427CC9" w:rsidRDefault="009833BF" w:rsidP="001C0894">
      <w:pPr>
        <w:rPr>
          <w:noProof/>
          <w:color w:val="000000" w:themeColor="text1"/>
        </w:rPr>
      </w:pPr>
      <w:r>
        <w:rPr>
          <w:noProof/>
          <w:color w:val="000000" w:themeColor="text1"/>
        </w:rPr>
        <w:t xml:space="preserve">Le cadre proposé par le </w:t>
      </w:r>
      <w:r>
        <w:rPr>
          <w:b/>
          <w:noProof/>
          <w:color w:val="000000" w:themeColor="text1"/>
        </w:rPr>
        <w:t>règlement sur l’écoconception pour des produits durables</w:t>
      </w:r>
      <w:r>
        <w:rPr>
          <w:rStyle w:val="FootnoteReference"/>
          <w:b/>
          <w:bCs/>
          <w:noProof/>
          <w:color w:val="000000" w:themeColor="text1"/>
          <w:lang w:val="en-GB" w:eastAsia="en-US"/>
        </w:rPr>
        <w:footnoteReference w:id="51"/>
      </w:r>
      <w:r>
        <w:rPr>
          <w:noProof/>
          <w:color w:val="000000" w:themeColor="text1"/>
        </w:rPr>
        <w:t xml:space="preserve"> vise i) à établir des </w:t>
      </w:r>
      <w:r>
        <w:rPr>
          <w:b/>
          <w:noProof/>
          <w:color w:val="000000" w:themeColor="text1"/>
        </w:rPr>
        <w:t>règles européennes en vue de faire en sorte que seuls des produits «circulaires» soient mis sur le marché de l’UE</w:t>
      </w:r>
      <w:r>
        <w:rPr>
          <w:noProof/>
          <w:color w:val="000000" w:themeColor="text1"/>
        </w:rPr>
        <w:t xml:space="preserve"> (c’est-à-dire des produits qui soient plus durables, qui puissent être facilement réutilisés, réparés et recyclés, et qui soient composés autant que possible de matériaux recyclés); ii) à créer un cadre pour les </w:t>
      </w:r>
      <w:r>
        <w:rPr>
          <w:b/>
          <w:noProof/>
          <w:color w:val="000000" w:themeColor="text1"/>
        </w:rPr>
        <w:t>passeports numériques de produits</w:t>
      </w:r>
      <w:r>
        <w:rPr>
          <w:noProof/>
          <w:color w:val="000000" w:themeColor="text1"/>
        </w:rPr>
        <w:t xml:space="preserve"> fournissant des informations minimales au sujet, entre autres, des aspects liés à l’énergie; et iii) à fixer des </w:t>
      </w:r>
      <w:r>
        <w:rPr>
          <w:b/>
          <w:noProof/>
          <w:color w:val="000000" w:themeColor="text1"/>
        </w:rPr>
        <w:t>exigences minimales obligatoires en matière de durabilité des marchés publics de produits</w:t>
      </w:r>
      <w:r>
        <w:rPr>
          <w:noProof/>
          <w:color w:val="000000" w:themeColor="text1"/>
        </w:rPr>
        <w:t xml:space="preserve">, pour une sélection de groupes de produits, y compris les produits électroniques et TIC. Pour faire face à la consommation d’énergie des dispositifs TIC en fonctionnement, la Commission </w:t>
      </w:r>
      <w:r>
        <w:rPr>
          <w:b/>
          <w:noProof/>
          <w:color w:val="000000" w:themeColor="text1"/>
        </w:rPr>
        <w:t>élaborera un schéma d’étiquetage énergétique pour les ordinateurs</w:t>
      </w:r>
      <w:r>
        <w:rPr>
          <w:noProof/>
          <w:color w:val="000000" w:themeColor="text1"/>
        </w:rPr>
        <w:t>,</w:t>
      </w:r>
      <w:r>
        <w:rPr>
          <w:rStyle w:val="FootnoteReference"/>
          <w:noProof/>
          <w:color w:val="000000" w:themeColor="text1"/>
          <w:lang w:val="en-GB" w:eastAsia="en-US"/>
        </w:rPr>
        <w:footnoteReference w:id="52"/>
      </w:r>
      <w:r>
        <w:rPr>
          <w:noProof/>
          <w:color w:val="000000" w:themeColor="text1"/>
        </w:rPr>
        <w:t xml:space="preserve"> qui tiendra compte des différentes utilisations des ordinateurs telles que i) le travail de bureau; ii) les jeux; et iii) la conception</w:t>
      </w:r>
      <w:bookmarkStart w:id="68" w:name="_Int_HThByOfG"/>
      <w:r>
        <w:rPr>
          <w:noProof/>
          <w:color w:val="000000" w:themeColor="text1"/>
        </w:rPr>
        <w:t xml:space="preserve"> graphique</w:t>
      </w:r>
      <w:bookmarkEnd w:id="68"/>
      <w:r>
        <w:rPr>
          <w:noProof/>
          <w:color w:val="000000" w:themeColor="text1"/>
        </w:rPr>
        <w:t xml:space="preserve"> et le montage </w:t>
      </w:r>
      <w:bookmarkStart w:id="69" w:name="_Int_RiPoqorN"/>
      <w:r>
        <w:rPr>
          <w:noProof/>
          <w:color w:val="000000" w:themeColor="text1"/>
        </w:rPr>
        <w:t>vidéo</w:t>
      </w:r>
      <w:bookmarkEnd w:id="69"/>
      <w:r>
        <w:rPr>
          <w:noProof/>
          <w:color w:val="000000" w:themeColor="text1"/>
        </w:rPr>
        <w:t xml:space="preserve"> respectivement. Le plan de travail de la Commission en matière d’écoconception pour la période 2022-2024 annoncera également de nouvelles dispositions s’appliquant à des catégories de produits actuellement non réglementées, comme les smartphones et les tablettes, qui contribuent à améliorer leur durabilité et leur réparabilité</w:t>
      </w:r>
      <w:r>
        <w:rPr>
          <w:rStyle w:val="FootnoteReference"/>
          <w:noProof/>
          <w:color w:val="000000" w:themeColor="text1"/>
          <w:lang w:val="en-GB" w:eastAsia="en-US"/>
        </w:rPr>
        <w:footnoteReference w:id="53"/>
      </w:r>
      <w:r>
        <w:rPr>
          <w:noProof/>
        </w:rPr>
        <w:t>.</w:t>
      </w:r>
      <w:r>
        <w:rPr>
          <w:noProof/>
          <w:color w:val="000000" w:themeColor="text1"/>
        </w:rPr>
        <w:t xml:space="preserve"> </w:t>
      </w:r>
      <w:r>
        <w:rPr>
          <w:noProof/>
        </w:rPr>
        <w:t>La passation de marchés publics écologiques et les achats verts contribuent à stimuler la constitution d’une masse critique de demande en faveur de biens et de services plus durables, qui autrement ne parviendraient que difficilement jusqu’au marché.</w:t>
      </w:r>
    </w:p>
    <w:p w14:paraId="233D45D4" w14:textId="77777777" w:rsidR="003475F0" w:rsidRPr="00B33E58" w:rsidRDefault="00572BE7" w:rsidP="00B33E58">
      <w:pPr>
        <w:ind w:firstLine="720"/>
        <w:rPr>
          <w:b/>
          <w:noProof/>
        </w:rPr>
      </w:pPr>
      <w:bookmarkStart w:id="70" w:name="_Toc103872600"/>
      <w:bookmarkStart w:id="71" w:name="_Toc105447856"/>
      <w:bookmarkStart w:id="72" w:name="_Toc105576254"/>
      <w:bookmarkStart w:id="73" w:name="_Toc1710725487"/>
      <w:bookmarkStart w:id="74" w:name="_Toc1760429533"/>
      <w:bookmarkStart w:id="75" w:name="_Toc105777790"/>
      <w:bookmarkStart w:id="76" w:name="_Toc106053799"/>
      <w:r>
        <w:rPr>
          <w:b/>
          <w:noProof/>
        </w:rPr>
        <w:t>6.2</w:t>
      </w:r>
      <w:r>
        <w:rPr>
          <w:noProof/>
        </w:rPr>
        <w:tab/>
      </w:r>
      <w:r>
        <w:rPr>
          <w:b/>
          <w:noProof/>
        </w:rPr>
        <w:t>Consommation énergétique des réseaux de télécommunications</w:t>
      </w:r>
      <w:bookmarkEnd w:id="70"/>
      <w:bookmarkEnd w:id="71"/>
      <w:bookmarkEnd w:id="72"/>
      <w:bookmarkEnd w:id="73"/>
      <w:bookmarkEnd w:id="74"/>
      <w:bookmarkEnd w:id="75"/>
      <w:bookmarkEnd w:id="76"/>
    </w:p>
    <w:p w14:paraId="00AC8DD7" w14:textId="5FD5B760" w:rsidR="00A55FC6" w:rsidRDefault="6F2301DD" w:rsidP="414B7552">
      <w:pPr>
        <w:rPr>
          <w:noProof/>
          <w:color w:val="000000" w:themeColor="text1"/>
        </w:rPr>
      </w:pPr>
      <w:bookmarkStart w:id="77" w:name="_Int_LwhQmxpb"/>
      <w:r>
        <w:rPr>
          <w:noProof/>
          <w:color w:val="000000" w:themeColor="text1"/>
        </w:rPr>
        <w:t>De plus en plus</w:t>
      </w:r>
      <w:bookmarkEnd w:id="77"/>
      <w:r>
        <w:rPr>
          <w:noProof/>
        </w:rPr>
        <w:t xml:space="preserve"> de</w:t>
      </w:r>
      <w:r>
        <w:rPr>
          <w:noProof/>
          <w:color w:val="000000" w:themeColor="text1"/>
        </w:rPr>
        <w:t xml:space="preserve"> dispositifs TIC sont connectés, à la fois les uns aux autres et à l’internet. Plus de 60 % de l’ensemble du trafic internet est utilisé pour la diffusion vidéo en continu, les jeux en ligne et les réseaux sociaux étant les deuxième et troisième principales sources de trafic. En 2019, la Commission a évoqué, dans sa communication intitulée «</w:t>
      </w:r>
      <w:r>
        <w:rPr>
          <w:i/>
          <w:noProof/>
          <w:color w:val="000000" w:themeColor="text1"/>
        </w:rPr>
        <w:t>Façonner l’avenir numérique de l’Europe</w:t>
      </w:r>
      <w:r>
        <w:rPr>
          <w:noProof/>
          <w:color w:val="000000" w:themeColor="text1"/>
        </w:rPr>
        <w:t xml:space="preserve">», la possibilité d’introduire des </w:t>
      </w:r>
      <w:r>
        <w:rPr>
          <w:i/>
          <w:noProof/>
          <w:color w:val="000000" w:themeColor="text1"/>
        </w:rPr>
        <w:t>«mesures de transparence sur l’empreinte environnementale des opérateurs de télécommunications»</w:t>
      </w:r>
      <w:r>
        <w:rPr>
          <w:noProof/>
          <w:color w:val="000000" w:themeColor="text1"/>
        </w:rPr>
        <w:t xml:space="preserve"> au niveau de l’Union</w:t>
      </w:r>
      <w:r>
        <w:rPr>
          <w:noProof/>
          <w:color w:val="000000" w:themeColor="text1"/>
          <w:vertAlign w:val="superscript"/>
          <w:lang w:val="en-GB"/>
        </w:rPr>
        <w:footnoteReference w:id="54"/>
      </w:r>
      <w:r>
        <w:rPr>
          <w:noProof/>
          <w:color w:val="000000" w:themeColor="text1"/>
        </w:rPr>
        <w:t>. Plus récente, la proposition de déclaration sur les droits et principes numériques européens souligne que «[p]our être en mesure de faire des choix responsables, toute personne devrait avoir accès à des informations exactes et faciles à comprendre sur l’incidence environnementale et la consommation d’énergie des produits et services numériques»</w:t>
      </w:r>
      <w:r>
        <w:rPr>
          <w:noProof/>
          <w:color w:val="000000" w:themeColor="text1"/>
          <w:vertAlign w:val="superscript"/>
          <w:lang w:val="en-GB"/>
        </w:rPr>
        <w:footnoteReference w:id="55"/>
      </w:r>
      <w:r>
        <w:rPr>
          <w:noProof/>
          <w:color w:val="000000" w:themeColor="text1"/>
        </w:rPr>
        <w:t>.</w:t>
      </w:r>
      <w:r>
        <w:rPr>
          <w:noProof/>
          <w:color w:val="000000" w:themeColor="text1"/>
          <w:vertAlign w:val="superscript"/>
        </w:rPr>
        <w:t xml:space="preserve"> </w:t>
      </w:r>
      <w:r>
        <w:rPr>
          <w:noProof/>
          <w:color w:val="000000" w:themeColor="text1"/>
        </w:rPr>
        <w:t xml:space="preserve">La Commission collaborera, en consultation avec </w:t>
      </w:r>
      <w:r>
        <w:rPr>
          <w:noProof/>
          <w:color w:val="000000"/>
        </w:rPr>
        <w:t xml:space="preserve">la communauté scientifique et les parties prenantes </w:t>
      </w:r>
      <w:r>
        <w:rPr>
          <w:noProof/>
          <w:color w:val="000000" w:themeColor="text1"/>
        </w:rPr>
        <w:t xml:space="preserve">afin de stimuler la transparence grâce à </w:t>
      </w:r>
      <w:r>
        <w:rPr>
          <w:b/>
          <w:noProof/>
          <w:color w:val="000000" w:themeColor="text1"/>
        </w:rPr>
        <w:t>l’élaboration d’indicateurs communs pour mesurer l’empreinte environnementale des services de communications électroniques</w:t>
      </w:r>
      <w:r>
        <w:rPr>
          <w:noProof/>
        </w:rPr>
        <w:t>, en s’appuyant sur le travail déjà effectué par les régulateurs et les fournisseurs de communications électroniques</w:t>
      </w:r>
      <w:r>
        <w:rPr>
          <w:noProof/>
          <w:color w:val="000000" w:themeColor="text1"/>
        </w:rPr>
        <w:t xml:space="preserve">. </w:t>
      </w:r>
      <w:r>
        <w:rPr>
          <w:noProof/>
        </w:rPr>
        <w:t>La durabilité accrue de certains réseaux de télécommunications peut être prise en considération lors de l’évaluation du soutien public.</w:t>
      </w:r>
    </w:p>
    <w:p w14:paraId="76CA30F1" w14:textId="1C0042CA" w:rsidR="0078044B" w:rsidRDefault="00A55FC6" w:rsidP="414B7552">
      <w:pPr>
        <w:rPr>
          <w:noProof/>
          <w:color w:val="000000" w:themeColor="text1"/>
        </w:rPr>
      </w:pPr>
      <w:r>
        <w:rPr>
          <w:noProof/>
          <w:color w:val="000000" w:themeColor="text1"/>
        </w:rPr>
        <w:t xml:space="preserve">Un </w:t>
      </w:r>
      <w:r>
        <w:rPr>
          <w:b/>
          <w:noProof/>
          <w:color w:val="000000" w:themeColor="text1"/>
        </w:rPr>
        <w:t>code de conduite de l’UE pour la durabilité des réseaux de télécommunications</w:t>
      </w:r>
      <w:r>
        <w:rPr>
          <w:noProof/>
          <w:color w:val="000000" w:themeColor="text1"/>
        </w:rPr>
        <w:t xml:space="preserve"> peut contribuer à orienter les investissements vers des infrastructures économes en énergie. La Commission travaillera à l’établissement d’un tel code de conduite de l’UE d’ici à 2025 en s’appuyant sur les travaux réalisés pour mesurer l’impact environnemental des services de communications électroniques. </w:t>
      </w:r>
    </w:p>
    <w:p w14:paraId="45C48477" w14:textId="77777777" w:rsidR="00AA776A" w:rsidRDefault="3BFF5ED3" w:rsidP="00AA776A">
      <w:pPr>
        <w:rPr>
          <w:noProof/>
          <w:color w:val="000000" w:themeColor="text1"/>
        </w:rPr>
      </w:pPr>
      <w:r>
        <w:rPr>
          <w:noProof/>
          <w:color w:val="000000" w:themeColor="text1"/>
        </w:rPr>
        <w:t xml:space="preserve">En outre, dans le cadre du présent plan d’action, la Commission financera une étude et préparera une </w:t>
      </w:r>
      <w:r>
        <w:rPr>
          <w:b/>
          <w:noProof/>
          <w:color w:val="000000" w:themeColor="text1"/>
        </w:rPr>
        <w:t>campagne de communication et de sensibilisation</w:t>
      </w:r>
      <w:r>
        <w:rPr>
          <w:noProof/>
          <w:color w:val="000000" w:themeColor="text1"/>
        </w:rPr>
        <w:t xml:space="preserve"> sur la consommation énergétique responsable dans les comportements numériques quotidiens (par exemple s’agissant de la diffusion vidéo en continu, de l’utilisation responsable des courriers électroniques, ou de l’archivage des fichiers numériques).</w:t>
      </w:r>
    </w:p>
    <w:p w14:paraId="1F1A9270" w14:textId="77777777" w:rsidR="003F1FCF" w:rsidRPr="00B33E58" w:rsidRDefault="00572BE7" w:rsidP="00B33E58">
      <w:pPr>
        <w:ind w:firstLine="720"/>
        <w:rPr>
          <w:b/>
          <w:noProof/>
        </w:rPr>
      </w:pPr>
      <w:bookmarkStart w:id="78" w:name="_Toc103872601"/>
      <w:bookmarkStart w:id="79" w:name="_Toc105447857"/>
      <w:bookmarkStart w:id="80" w:name="_Toc105576255"/>
      <w:bookmarkStart w:id="81" w:name="_Toc1897069628"/>
      <w:bookmarkStart w:id="82" w:name="_Toc765462982"/>
      <w:bookmarkStart w:id="83" w:name="_Toc105777791"/>
      <w:bookmarkStart w:id="84" w:name="_Toc106053800"/>
      <w:r>
        <w:rPr>
          <w:b/>
          <w:noProof/>
        </w:rPr>
        <w:t>6.3</w:t>
      </w:r>
      <w:r>
        <w:rPr>
          <w:noProof/>
        </w:rPr>
        <w:tab/>
      </w:r>
      <w:r>
        <w:rPr>
          <w:b/>
          <w:noProof/>
        </w:rPr>
        <w:t>Consommation énergétique des centres de données</w:t>
      </w:r>
      <w:bookmarkEnd w:id="78"/>
      <w:bookmarkEnd w:id="79"/>
      <w:bookmarkEnd w:id="80"/>
      <w:bookmarkEnd w:id="81"/>
      <w:bookmarkEnd w:id="82"/>
      <w:bookmarkEnd w:id="83"/>
      <w:bookmarkEnd w:id="84"/>
    </w:p>
    <w:p w14:paraId="597097EC" w14:textId="77777777" w:rsidR="004D5A11" w:rsidRPr="00427CC9" w:rsidRDefault="644BDA48" w:rsidP="001C0894">
      <w:pPr>
        <w:spacing w:after="0"/>
        <w:rPr>
          <w:rFonts w:eastAsia="Calibri"/>
          <w:noProof/>
          <w:color w:val="000000" w:themeColor="text1"/>
        </w:rPr>
      </w:pPr>
      <w:bookmarkStart w:id="85" w:name="_Int_7dvjBJgP"/>
      <w:r>
        <w:rPr>
          <w:noProof/>
          <w:color w:val="000000" w:themeColor="text1"/>
        </w:rPr>
        <w:t>La Commission s’est fixé comme objectif stratégique de faire en sorte que les centres de données soient neutres sur le plan climatique et économes en énergie et en ressources d’ici 2030. De plus en plus</w:t>
      </w:r>
      <w:bookmarkEnd w:id="85"/>
      <w:r>
        <w:rPr>
          <w:noProof/>
        </w:rPr>
        <w:t xml:space="preserve"> </w:t>
      </w:r>
      <w:r>
        <w:rPr>
          <w:noProof/>
          <w:color w:val="000000" w:themeColor="text1"/>
        </w:rPr>
        <w:t>de tâches de calcul et de capacités de stockage sont assurées dans le nuage ou à l’aide d’ordinateurs à haute performance. Cela signifie que les centres de données sont devenus un élément essentiel de l’infrastructure des systèmes de TIC et que la consommation d’énergie des centres de données de l’UE devrait augmenter de plus de 200 % entre 2020 et 2030</w:t>
      </w:r>
      <w:r>
        <w:rPr>
          <w:rStyle w:val="FootnoteReference"/>
          <w:rFonts w:eastAsia="Calibri"/>
          <w:noProof/>
          <w:color w:val="000000" w:themeColor="text1"/>
          <w:lang w:val="en-GB" w:eastAsia="en-US"/>
        </w:rPr>
        <w:footnoteReference w:id="56"/>
      </w:r>
      <w:r>
        <w:rPr>
          <w:noProof/>
          <w:color w:val="000000" w:themeColor="text1"/>
        </w:rPr>
        <w:t>. En 2018, les centres de données représentaient 2,7 % de la demande d’électricité dans l’UE</w:t>
      </w:r>
      <w:r>
        <w:rPr>
          <w:noProof/>
          <w:color w:val="000000" w:themeColor="text1"/>
          <w:vertAlign w:val="superscript"/>
          <w:lang w:val="en-GB" w:eastAsia="en-US"/>
        </w:rPr>
        <w:footnoteReference w:id="57"/>
      </w:r>
      <w:r>
        <w:rPr>
          <w:noProof/>
          <w:color w:val="000000" w:themeColor="text1"/>
        </w:rPr>
        <w:t xml:space="preserve">. La Commission prend bonne note des améliorations significatives qu’a réalisées le secteur des centres de données ces dernières décennies en matière d’efficacité énergétique. Toutefois, pour rendre possible la double transition numérique et écologique, ni les pouvoirs publics, ni les gestionnaires de réseau ne devraient avoir à choisir entre, d’une part, attirer de meilleurs réseaux de télécommunications et des centres de données (à grande échelle) et, d’autre part, veiller à ce que les entreprises et les ménages aient accès à l’électricité. La Commission a déjà reconnu le rôle stratégique des centres de données dans la stratégie numérique, qui énonce l’objectif de </w:t>
      </w:r>
      <w:r>
        <w:rPr>
          <w:i/>
          <w:noProof/>
        </w:rPr>
        <w:t>«rendre ces infrastructures neutres sur le plan climatique et efficaces sur le plan énergétique d’ici à 2030»</w:t>
      </w:r>
      <w:r>
        <w:rPr>
          <w:rStyle w:val="FootnoteReference"/>
          <w:rFonts w:eastAsia="Calibri"/>
          <w:noProof/>
          <w:color w:val="000000" w:themeColor="text1"/>
          <w:lang w:val="en-GB" w:eastAsia="en-US"/>
        </w:rPr>
        <w:footnoteReference w:id="58"/>
      </w:r>
      <w:r>
        <w:rPr>
          <w:noProof/>
        </w:rPr>
        <w:t>.</w:t>
      </w:r>
      <w:r>
        <w:rPr>
          <w:noProof/>
          <w:color w:val="000000" w:themeColor="text1"/>
        </w:rPr>
        <w:t xml:space="preserve"> Cet objectif a été complété par un autre, à savoir mettre en place 10 000 nœuds périphériques climatiquement neutres et hautement sécurisés d’ici à 2030</w:t>
      </w:r>
      <w:r>
        <w:rPr>
          <w:rStyle w:val="FootnoteReference"/>
          <w:rFonts w:eastAsia="Calibri"/>
          <w:noProof/>
          <w:color w:val="000000" w:themeColor="text1"/>
          <w:lang w:val="en-GB" w:eastAsia="en-US"/>
        </w:rPr>
        <w:footnoteReference w:id="59"/>
      </w:r>
      <w:r>
        <w:rPr>
          <w:noProof/>
        </w:rPr>
        <w:t>.</w:t>
      </w:r>
      <w:r>
        <w:rPr>
          <w:noProof/>
          <w:color w:val="000000" w:themeColor="text1"/>
        </w:rPr>
        <w:t xml:space="preserve"> La Commission a déjà pris un certain nombre de mesures pour y parvenir</w:t>
      </w:r>
      <w:r>
        <w:rPr>
          <w:rStyle w:val="FootnoteReference"/>
          <w:rFonts w:eastAsia="Calibri"/>
          <w:noProof/>
          <w:color w:val="000000" w:themeColor="text1"/>
          <w:lang w:val="en-GB" w:eastAsia="en-US"/>
        </w:rPr>
        <w:footnoteReference w:id="60"/>
      </w:r>
      <w:r>
        <w:rPr>
          <w:noProof/>
          <w:color w:val="000000" w:themeColor="text1"/>
        </w:rPr>
        <w:t>. Elle entend également mener les actions suivantes:</w:t>
      </w:r>
    </w:p>
    <w:p w14:paraId="4F810C47" w14:textId="67D96652" w:rsidR="00D76CE7" w:rsidRPr="00427CC9" w:rsidRDefault="111C5ED7" w:rsidP="00985FAC">
      <w:pPr>
        <w:pStyle w:val="ListParagraph"/>
        <w:numPr>
          <w:ilvl w:val="0"/>
          <w:numId w:val="191"/>
        </w:numPr>
        <w:ind w:left="709"/>
        <w:jc w:val="both"/>
        <w:rPr>
          <w:noProof/>
          <w:color w:val="000000" w:themeColor="text1"/>
        </w:rPr>
      </w:pPr>
      <w:r>
        <w:rPr>
          <w:noProof/>
          <w:color w:val="000000" w:themeColor="text1"/>
        </w:rPr>
        <w:t xml:space="preserve">d’ici 2025, elle introduira un </w:t>
      </w:r>
      <w:r>
        <w:rPr>
          <w:b/>
          <w:noProof/>
          <w:color w:val="000000" w:themeColor="text1"/>
        </w:rPr>
        <w:t>système de label environnemental pour les centres de données</w:t>
      </w:r>
      <w:r>
        <w:rPr>
          <w:noProof/>
          <w:color w:val="000000" w:themeColor="text1"/>
        </w:rPr>
        <w:t xml:space="preserve"> fondé sur les </w:t>
      </w:r>
      <w:r>
        <w:rPr>
          <w:b/>
          <w:noProof/>
          <w:color w:val="000000" w:themeColor="text1"/>
        </w:rPr>
        <w:t>exigences en matière de surveillance et de déclaration de la consommation d’énergie auxquels ils sont soumis</w:t>
      </w:r>
      <w:r>
        <w:rPr>
          <w:noProof/>
          <w:color w:val="000000" w:themeColor="text1"/>
        </w:rPr>
        <w:t>, comme proposé dans le cadre de la révision de la directive sur l’efficacité énergétique (DEE)</w:t>
      </w:r>
      <w:r>
        <w:rPr>
          <w:noProof/>
          <w:color w:val="000000" w:themeColor="text1"/>
          <w:vertAlign w:val="superscript"/>
          <w:lang w:val="en-GB" w:eastAsia="en-US"/>
        </w:rPr>
        <w:footnoteReference w:id="61"/>
      </w:r>
      <w:r>
        <w:rPr>
          <w:noProof/>
          <w:color w:val="000000" w:themeColor="text1"/>
        </w:rPr>
        <w:t xml:space="preserve">. </w:t>
      </w:r>
      <w:r>
        <w:rPr>
          <w:noProof/>
        </w:rPr>
        <w:t>Ce système pourra faciliter la prise ultérieure de décision aux niveaux des États membres et de l’UE pour faire en sorte que les centres de données exploités dans le marché intérieur soient économes en énergie et durables.</w:t>
      </w:r>
    </w:p>
    <w:p w14:paraId="24C0EDF1" w14:textId="43F48A49" w:rsidR="00AB48ED" w:rsidRPr="00427CC9" w:rsidRDefault="111C5ED7" w:rsidP="00985FAC">
      <w:pPr>
        <w:pStyle w:val="ListParagraph"/>
        <w:numPr>
          <w:ilvl w:val="0"/>
          <w:numId w:val="191"/>
        </w:numPr>
        <w:ind w:left="709"/>
        <w:jc w:val="both"/>
        <w:rPr>
          <w:noProof/>
          <w:color w:val="000000" w:themeColor="text1"/>
        </w:rPr>
      </w:pPr>
      <w:r>
        <w:rPr>
          <w:noProof/>
          <w:color w:val="000000" w:themeColor="text1"/>
        </w:rPr>
        <w:t xml:space="preserve">elle étudiera la possibilité d’introduire des </w:t>
      </w:r>
      <w:r>
        <w:rPr>
          <w:b/>
          <w:noProof/>
          <w:color w:val="000000" w:themeColor="text1"/>
        </w:rPr>
        <w:t>lignes de déclaration distinctes dans les normes de durabilité de l’UE pour les émissions indirectes de gaz à effet de serre résultant de l’achat de services infonuagiques et de services de centres de données</w:t>
      </w:r>
      <w:r>
        <w:rPr>
          <w:noProof/>
          <w:color w:val="000000" w:themeColor="text1"/>
        </w:rPr>
        <w:t xml:space="preserve">, au titre de la directive relative à la publication d’informations en matière de durabilité par les entreprises; </w:t>
      </w:r>
    </w:p>
    <w:p w14:paraId="1874EA7B" w14:textId="1769D9C7" w:rsidR="00D76CE7" w:rsidRPr="00D34A85" w:rsidRDefault="111C5ED7" w:rsidP="00985FAC">
      <w:pPr>
        <w:pStyle w:val="ListParagraph"/>
        <w:numPr>
          <w:ilvl w:val="0"/>
          <w:numId w:val="191"/>
        </w:numPr>
        <w:ind w:left="709"/>
        <w:jc w:val="both"/>
        <w:rPr>
          <w:noProof/>
          <w:color w:val="000000" w:themeColor="text1"/>
        </w:rPr>
      </w:pPr>
      <w:r>
        <w:rPr>
          <w:noProof/>
          <w:color w:val="000000" w:themeColor="text1"/>
        </w:rPr>
        <w:t xml:space="preserve">elle améliorera les exigences relatives aux </w:t>
      </w:r>
      <w:r>
        <w:rPr>
          <w:b/>
          <w:noProof/>
          <w:color w:val="000000" w:themeColor="text1"/>
        </w:rPr>
        <w:t>conditions d’exploitation des serveurs et des produits de stockage de données et examinera l’opportunité d’introduire une étiquette énergétique pour ces produits</w:t>
      </w:r>
      <w:r>
        <w:rPr>
          <w:noProof/>
          <w:color w:val="000000" w:themeColor="text1"/>
        </w:rPr>
        <w:t xml:space="preserve"> dans le cadre de la révision des </w:t>
      </w:r>
      <w:r>
        <w:rPr>
          <w:b/>
          <w:noProof/>
          <w:color w:val="000000" w:themeColor="text1"/>
        </w:rPr>
        <w:t>règles d’écoconception les concernant</w:t>
      </w:r>
      <w:r>
        <w:rPr>
          <w:rStyle w:val="FootnoteReference"/>
          <w:b/>
          <w:bCs/>
          <w:noProof/>
          <w:color w:val="000000" w:themeColor="text1"/>
          <w:lang w:val="en-GB" w:eastAsia="en-US"/>
        </w:rPr>
        <w:footnoteReference w:id="62"/>
      </w:r>
      <w:r>
        <w:rPr>
          <w:noProof/>
        </w:rPr>
        <w:t>;</w:t>
      </w:r>
    </w:p>
    <w:p w14:paraId="645054FD" w14:textId="77777777" w:rsidR="001E79A2" w:rsidRDefault="111C5ED7" w:rsidP="001E79A2">
      <w:pPr>
        <w:pStyle w:val="ListParagraph"/>
        <w:numPr>
          <w:ilvl w:val="0"/>
          <w:numId w:val="191"/>
        </w:numPr>
        <w:ind w:left="709"/>
        <w:jc w:val="both"/>
        <w:rPr>
          <w:noProof/>
        </w:rPr>
      </w:pPr>
      <w:r>
        <w:rPr>
          <w:noProof/>
        </w:rPr>
        <w:t xml:space="preserve">elle encouragera la réutilisation de la chaleur résiduelle des centres de données pour chauffer les logements et les entreprises, dans le cadre des directives révisées sur l’efficacité énergétique et sur les énergies renouvelables, ainsi que dans les </w:t>
      </w:r>
      <w:r>
        <w:rPr>
          <w:b/>
          <w:noProof/>
        </w:rPr>
        <w:t>orientations fournies dans le cadre des plans nationaux en matière d'énergie et de climat</w:t>
      </w:r>
      <w:r>
        <w:rPr>
          <w:noProof/>
        </w:rPr>
        <w:t xml:space="preserve"> des États membres, afin de garantir que ces centres jouent un rôle positif pour les communautés qui les entourent;</w:t>
      </w:r>
    </w:p>
    <w:p w14:paraId="452D7E3D" w14:textId="756D8C10" w:rsidR="00AD6235" w:rsidRDefault="465209F2" w:rsidP="001E79A2">
      <w:pPr>
        <w:pStyle w:val="ListParagraph"/>
        <w:numPr>
          <w:ilvl w:val="0"/>
          <w:numId w:val="191"/>
        </w:numPr>
        <w:ind w:left="709"/>
        <w:jc w:val="both"/>
        <w:rPr>
          <w:noProof/>
        </w:rPr>
      </w:pPr>
      <w:r>
        <w:rPr>
          <w:noProof/>
        </w:rPr>
        <w:t xml:space="preserve">elle compte également financer la R&amp;I dans des systèmes à même de stocker la chaleur résiduelle produite par les centres de données pendant la saison estivale pour chauffer les ménages et les entreprises en hiver. Pour soutenir ces initiatives, elle </w:t>
      </w:r>
      <w:bookmarkStart w:id="86" w:name="_Hlk108690653"/>
      <w:r>
        <w:rPr>
          <w:noProof/>
        </w:rPr>
        <w:t>lancera une étude fin 2022 sur l’optimisation de l’intégration globale des centres de données dans les systèmes d’énergie et d’eau.</w:t>
      </w:r>
      <w:bookmarkStart w:id="87" w:name="_Toc103872602"/>
      <w:bookmarkStart w:id="88" w:name="_Toc105447858"/>
      <w:bookmarkStart w:id="89" w:name="_Toc105576256"/>
      <w:bookmarkStart w:id="90" w:name="_Toc727656940"/>
      <w:bookmarkStart w:id="91" w:name="_Toc1849758815"/>
      <w:bookmarkStart w:id="92" w:name="_Toc105777792"/>
      <w:bookmarkStart w:id="93" w:name="_Toc106053801"/>
      <w:bookmarkEnd w:id="86"/>
    </w:p>
    <w:p w14:paraId="06A33E33" w14:textId="77777777" w:rsidR="001E79A2" w:rsidRDefault="001E79A2" w:rsidP="001E79A2">
      <w:pPr>
        <w:pStyle w:val="ListParagraph"/>
        <w:ind w:left="709"/>
        <w:jc w:val="both"/>
        <w:rPr>
          <w:noProof/>
        </w:rPr>
      </w:pPr>
    </w:p>
    <w:p w14:paraId="36153BA1" w14:textId="61CB0937" w:rsidR="00336316" w:rsidRPr="00B33E58" w:rsidRDefault="00572BE7" w:rsidP="00B33E58">
      <w:pPr>
        <w:ind w:firstLine="720"/>
        <w:rPr>
          <w:b/>
          <w:noProof/>
        </w:rPr>
      </w:pPr>
      <w:r>
        <w:rPr>
          <w:b/>
          <w:noProof/>
        </w:rPr>
        <w:t>6.4</w:t>
      </w:r>
      <w:r>
        <w:rPr>
          <w:noProof/>
        </w:rPr>
        <w:tab/>
      </w:r>
      <w:r>
        <w:rPr>
          <w:b/>
          <w:noProof/>
        </w:rPr>
        <w:t>Consommation énergétique des cryptomonnaies</w:t>
      </w:r>
      <w:bookmarkEnd w:id="87"/>
      <w:bookmarkEnd w:id="88"/>
      <w:bookmarkEnd w:id="89"/>
      <w:bookmarkEnd w:id="90"/>
      <w:bookmarkEnd w:id="91"/>
      <w:bookmarkEnd w:id="92"/>
      <w:bookmarkEnd w:id="93"/>
    </w:p>
    <w:p w14:paraId="679D52FF" w14:textId="02A183C2" w:rsidR="005C2326" w:rsidRDefault="006A1BB5" w:rsidP="00A97D30">
      <w:pPr>
        <w:spacing w:after="0"/>
        <w:rPr>
          <w:b/>
          <w:bCs/>
          <w:noProof/>
          <w:color w:val="000000" w:themeColor="text1"/>
        </w:rPr>
      </w:pPr>
      <w:r>
        <w:rPr>
          <w:noProof/>
          <w:color w:val="000000" w:themeColor="text1"/>
        </w:rPr>
        <w:t>La hausse substantielle de l’utilisation des cryptomonnaies a fait quasiment doubler leur consommation d'énergie par rapport à il y a deux ans</w:t>
      </w:r>
      <w:r>
        <w:rPr>
          <w:rStyle w:val="FootnoteReference"/>
          <w:noProof/>
          <w:color w:val="000000" w:themeColor="text1"/>
          <w:lang w:val="en-GB" w:eastAsia="en-US"/>
        </w:rPr>
        <w:footnoteReference w:id="63"/>
      </w:r>
      <w:r>
        <w:rPr>
          <w:noProof/>
          <w:color w:val="000000" w:themeColor="text1"/>
        </w:rPr>
        <w:t>, la portant à environ 0,4 % de la consommation mondiale d’électricité</w:t>
      </w:r>
      <w:r>
        <w:rPr>
          <w:noProof/>
          <w:vertAlign w:val="superscript"/>
        </w:rPr>
        <w:footnoteReference w:id="64"/>
      </w:r>
      <w:r>
        <w:rPr>
          <w:noProof/>
          <w:color w:val="000000" w:themeColor="text1"/>
        </w:rPr>
        <w:t xml:space="preserve">. </w:t>
      </w:r>
      <w:bookmarkStart w:id="94" w:name="_Int_ivUHPCFk"/>
      <w:r>
        <w:rPr>
          <w:noProof/>
          <w:color w:val="000000" w:themeColor="text1"/>
        </w:rPr>
        <w:t>Il convient de veiller à ce que seules les versions les plus économes en énergie des technologies sous-jacentes aux cryptomonnaies et aux chaînes de blocs soient utilisées sur les marchés et les bourses de l’énergie. Le</w:t>
      </w:r>
      <w:bookmarkEnd w:id="94"/>
      <w:r>
        <w:rPr>
          <w:noProof/>
          <w:color w:val="000000" w:themeColor="text1"/>
        </w:rPr>
        <w:t xml:space="preserve"> </w:t>
      </w:r>
      <w:r>
        <w:rPr>
          <w:noProof/>
        </w:rPr>
        <w:t>mécanisme consensuel</w:t>
      </w:r>
      <w:bookmarkStart w:id="95" w:name="_Int_AXySjRye"/>
      <w:r>
        <w:rPr>
          <w:noProof/>
          <w:color w:val="000000" w:themeColor="text1"/>
        </w:rPr>
        <w:t>, mais relativement obsolète</w:t>
      </w:r>
      <w:r>
        <w:rPr>
          <w:noProof/>
        </w:rPr>
        <w:t>,</w:t>
      </w:r>
      <w:bookmarkEnd w:id="95"/>
      <w:r>
        <w:rPr>
          <w:noProof/>
          <w:color w:val="000000" w:themeColor="text1"/>
        </w:rPr>
        <w:t xml:space="preserve"> de la preuve de travail (proof-of-work), qui est néanmoins utilisé par la cryptomonnaie la plus populaire (à savoir, le Bitcoin)</w:t>
      </w:r>
      <w:r>
        <w:rPr>
          <w:noProof/>
          <w:color w:val="000000" w:themeColor="text1"/>
          <w:vertAlign w:val="superscript"/>
          <w:lang w:val="en-GB"/>
        </w:rPr>
        <w:footnoteReference w:id="65"/>
      </w:r>
      <w:r>
        <w:rPr>
          <w:noProof/>
          <w:color w:val="000000" w:themeColor="text1"/>
        </w:rPr>
        <w:t>, est le plus énergivore</w:t>
      </w:r>
      <w:r>
        <w:rPr>
          <w:noProof/>
        </w:rPr>
        <w:t>.</w:t>
      </w:r>
      <w:r>
        <w:rPr>
          <w:noProof/>
          <w:color w:val="000000" w:themeColor="text1"/>
        </w:rPr>
        <w:t xml:space="preserve"> L’Europe n’étant actuellement à l’origine que d’environ 10 % des activités mondiales de minage par la preuve de travail, une coopération internationale est nécessaire pour s’attaquer efficacement au niveau mondial au problème de la consommation énergétique de ces activités. </w:t>
      </w:r>
    </w:p>
    <w:p w14:paraId="1985F3BB" w14:textId="77777777" w:rsidR="00B94E2B" w:rsidRPr="00150008" w:rsidRDefault="00B94E2B" w:rsidP="00A97D30">
      <w:pPr>
        <w:spacing w:after="0"/>
        <w:rPr>
          <w:b/>
          <w:bCs/>
          <w:noProof/>
          <w:color w:val="000000" w:themeColor="text1"/>
          <w:lang w:val="fr-BE" w:eastAsia="en-US"/>
        </w:rPr>
      </w:pPr>
    </w:p>
    <w:p w14:paraId="42E40069" w14:textId="67EA2042" w:rsidR="00EC6221" w:rsidRDefault="111C5ED7" w:rsidP="00A97D30">
      <w:pPr>
        <w:spacing w:after="0"/>
        <w:rPr>
          <w:noProof/>
          <w:color w:val="000000" w:themeColor="text1"/>
        </w:rPr>
      </w:pPr>
      <w:r>
        <w:rPr>
          <w:noProof/>
          <w:color w:val="000000" w:themeColor="text1"/>
        </w:rPr>
        <w:t>Outre les mesures concernant les centres de données et les services en nuage (voir la section ci-dessus), la proposition de règlement portant sur les marchés des crypto-actifs (MiCA), sur laquelle un accord politique a été conclu par les colégislateurs le 30 juin 2022, imposera aux acteurs du marché des crypto-actifs de divulguer des informations sur l’empreinte environnementale et climatique de leurs crypto-actifs. L’Autorité européenne des marchés financiers élaborera des projets de normes techniques de réglementation sur le contenu, les méthodes et la présentation pour les informations relatives aux principales incidences négatives sur l’environnement et le climat</w:t>
      </w:r>
      <w:r>
        <w:rPr>
          <w:rStyle w:val="FootnoteReference"/>
          <w:noProof/>
          <w:color w:val="000000" w:themeColor="text1"/>
          <w:lang w:val="en-GB" w:eastAsia="en-US"/>
        </w:rPr>
        <w:footnoteReference w:id="66"/>
      </w:r>
      <w:r>
        <w:rPr>
          <w:noProof/>
        </w:rPr>
        <w:t>.</w:t>
      </w:r>
      <w:r>
        <w:rPr>
          <w:noProof/>
          <w:color w:val="000000" w:themeColor="text1"/>
        </w:rPr>
        <w:t xml:space="preserve"> De plus, la Commission </w:t>
      </w:r>
      <w:r>
        <w:rPr>
          <w:b/>
          <w:noProof/>
          <w:color w:val="000000" w:themeColor="text1"/>
        </w:rPr>
        <w:t xml:space="preserve">élaborera d’ici 2025 un rapport qui comprendra une description de l’incidence environnementale et climatique des nouvelles technologies sur le marché des crypto-actifs. </w:t>
      </w:r>
      <w:r>
        <w:rPr>
          <w:noProof/>
          <w:color w:val="000000" w:themeColor="text1"/>
        </w:rPr>
        <w:t xml:space="preserve">Ce rapport comprendra également </w:t>
      </w:r>
      <w:r>
        <w:rPr>
          <w:b/>
          <w:noProof/>
          <w:color w:val="000000" w:themeColor="text1"/>
        </w:rPr>
        <w:t>une évaluation des options stratégiques susceptibles d’atténuer les effets négatifs sur le climat des technologies utilisées sur le marché des crypto-actifs, notamment en lien avec les mécanismes de consensus.</w:t>
      </w:r>
      <w:r>
        <w:rPr>
          <w:noProof/>
          <w:color w:val="000000" w:themeColor="text1"/>
        </w:rPr>
        <w:t xml:space="preserve"> </w:t>
      </w:r>
    </w:p>
    <w:p w14:paraId="3FF08DD1" w14:textId="77777777" w:rsidR="00EC6221" w:rsidRPr="00150008" w:rsidRDefault="00EC6221" w:rsidP="00A97D30">
      <w:pPr>
        <w:spacing w:after="0"/>
        <w:rPr>
          <w:noProof/>
          <w:color w:val="000000" w:themeColor="text1"/>
          <w:lang w:val="fr-BE" w:eastAsia="en-US"/>
        </w:rPr>
      </w:pPr>
    </w:p>
    <w:p w14:paraId="077E45A8" w14:textId="77777777" w:rsidR="00EC6221" w:rsidRPr="00150008" w:rsidRDefault="00EC6221" w:rsidP="00A97D30">
      <w:pPr>
        <w:spacing w:after="0"/>
        <w:rPr>
          <w:b/>
          <w:bCs/>
          <w:noProof/>
          <w:color w:val="000000" w:themeColor="text1"/>
          <w:lang w:val="fr-BE" w:eastAsia="en-US"/>
        </w:rPr>
      </w:pPr>
    </w:p>
    <w:p w14:paraId="1A32C057" w14:textId="261B19B1" w:rsidR="00ED591F" w:rsidRDefault="00EC6221" w:rsidP="00ED591F">
      <w:pPr>
        <w:rPr>
          <w:bCs/>
          <w:noProof/>
          <w:color w:val="000000" w:themeColor="text1"/>
        </w:rPr>
      </w:pPr>
      <w:r>
        <w:rPr>
          <w:noProof/>
          <w:color w:val="000000" w:themeColor="text1"/>
        </w:rPr>
        <w:t xml:space="preserve">Dans l’intervalle, au vu de la crise énergétique actuelle et des risques accrus pour l’hiver à venir, la Commission invite instamment les États membres i) à mettre en œuvre des mesures ciblées et proportionnées en vue de </w:t>
      </w:r>
      <w:r>
        <w:rPr>
          <w:b/>
          <w:noProof/>
          <w:color w:val="000000" w:themeColor="text1"/>
        </w:rPr>
        <w:t>réduire la consommation d’électricité des activités de minage des crypto-actifs</w:t>
      </w:r>
      <w:r>
        <w:rPr>
          <w:noProof/>
          <w:color w:val="000000" w:themeColor="text1"/>
        </w:rPr>
        <w:t>, conformément à la proposition de règlement du Conseil sur une intervention d’urgence pour faire face aux prix élevés de l’énergie, et, ii) également dans une perspective à plus long terme, à abolir les allègements fiscaux et les autres mesures fiscales en faveur des activités de minage des cryptomonnaies actuellement en vigueur dans certains États membres. En outre, pour le cas où un délestage électrique serait nécessaire, les États membres doivent se tenir prêts à interrompre le minage de crypto-actifs.</w:t>
      </w:r>
    </w:p>
    <w:p w14:paraId="5ADF3916" w14:textId="55E4C606" w:rsidR="002B5914" w:rsidRDefault="00765E04" w:rsidP="00952A0B">
      <w:pPr>
        <w:rPr>
          <w:noProof/>
        </w:rPr>
      </w:pPr>
      <w:r>
        <w:rPr>
          <w:noProof/>
        </w:rPr>
        <w:t>Le 15 septembre 2022, Ethereum, la deuxième cryptomonnaie la plus importante au monde, a réussi sa mise à niveau, attendue de longue date, vers le protocole dit de preuve d’enjeu, qui devrait aboutir, selon l’entreprise, à réduire la consommation d’énergie de plus de 99 %. Si, jusqu’à présent, seules les cryptomonnaies ayant une capitalisation boursière plus faible utilisaient le mécanisme de consensus susmentionné moins énergivore, cette transition montre que le monde des cryptomonnaies peut évoluer vers un système plus efficace. Mais cela demande d'aller encore plus loin. Pour réduire la consommation d’énergie, la Commission encouragera les mécanismes de consensus «respectueux de l’environnement» en s’appuyant sur l’infrastructure européenne de services de chaînes de blocs en tant que norme de référence en Europe et dans le monde.</w:t>
      </w:r>
    </w:p>
    <w:p w14:paraId="63770D1D" w14:textId="4550FAB7" w:rsidR="002B5914" w:rsidRPr="00952A0B" w:rsidRDefault="002B5914" w:rsidP="00A97D30">
      <w:pPr>
        <w:spacing w:after="0"/>
        <w:rPr>
          <w:noProof/>
        </w:rPr>
      </w:pPr>
      <w:r>
        <w:rPr>
          <w:noProof/>
        </w:rPr>
        <w:t>La Commission coopérera au niveau international avec les organis</w:t>
      </w:r>
      <w:r w:rsidR="00664000">
        <w:rPr>
          <w:noProof/>
        </w:rPr>
        <w:t>ations</w:t>
      </w:r>
      <w:r>
        <w:rPr>
          <w:noProof/>
        </w:rPr>
        <w:t xml:space="preserve"> de normalisation et s’appuiera sur leur expertise technique pour mettre au point un </w:t>
      </w:r>
      <w:r>
        <w:rPr>
          <w:b/>
          <w:noProof/>
        </w:rPr>
        <w:t>label d’efficacité énergétique pour les chaînes de blocs</w:t>
      </w:r>
      <w:r>
        <w:rPr>
          <w:noProof/>
        </w:rPr>
        <w:t>.</w:t>
      </w:r>
    </w:p>
    <w:p w14:paraId="2B1B7237" w14:textId="77777777" w:rsidR="007E2BCB" w:rsidRDefault="007E2BCB" w:rsidP="00B33E58">
      <w:pPr>
        <w:rPr>
          <w:noProof/>
        </w:rPr>
      </w:pPr>
      <w:bookmarkStart w:id="96" w:name="_Toc103878054"/>
      <w:bookmarkStart w:id="97" w:name="_Toc103878055"/>
      <w:bookmarkStart w:id="98" w:name="_Toc103878056"/>
      <w:bookmarkStart w:id="99" w:name="_Toc103878057"/>
      <w:bookmarkStart w:id="100" w:name="_Toc106053803"/>
      <w:bookmarkEnd w:id="96"/>
      <w:bookmarkEnd w:id="97"/>
      <w:bookmarkEnd w:id="98"/>
      <w:bookmarkEnd w:id="99"/>
    </w:p>
    <w:p w14:paraId="56F96280" w14:textId="77777777" w:rsidR="000473DB" w:rsidRPr="00427CC9" w:rsidRDefault="00352428" w:rsidP="00B33E58">
      <w:pPr>
        <w:rPr>
          <w:noProof/>
        </w:rPr>
      </w:pPr>
      <w:r>
        <w:rPr>
          <w:b/>
          <w:smallCaps/>
          <w:noProof/>
        </w:rPr>
        <w:t>7. Approche coordonnée à l’échelle de l’UE</w:t>
      </w:r>
      <w:bookmarkEnd w:id="100"/>
    </w:p>
    <w:p w14:paraId="38449D05" w14:textId="77777777" w:rsidR="003B6DA2" w:rsidRPr="00427CC9" w:rsidRDefault="003B6DA2" w:rsidP="1D75EFF6">
      <w:pPr>
        <w:rPr>
          <w:rStyle w:val="eop"/>
          <w:noProof/>
          <w:color w:val="000000" w:themeColor="text1"/>
        </w:rPr>
      </w:pPr>
      <w:r>
        <w:rPr>
          <w:noProof/>
          <w:color w:val="000000" w:themeColor="text1"/>
        </w:rPr>
        <w:t xml:space="preserve">La numérisation est un processus continu qui modifie profondément la société et le système énergétique. Elle requiert une planification minutieuse à tous les niveaux ainsi qu’un dialogue spécifique et des orientations politiques sur la meilleure façon de réaliser les objectifs des politiques numérique et écologique de l’UE. </w:t>
      </w:r>
      <w:r>
        <w:rPr>
          <w:rStyle w:val="eop"/>
          <w:noProof/>
          <w:color w:val="000000" w:themeColor="text1"/>
        </w:rPr>
        <w:t>La rapidité et le caractère mondial de la numérisation supposent de donner la priorité aux éléments suivants: i) le soutien aux synergies dans le contexte de la double transition au moyen des principaux cadres de l’UE applicables à la planification de la double transition par les États membres, et des instruments de financement de l’UE; ii) une coopération plus étroite au niveau de l’UE entre les pouvoirs publics ainsi qu’entre les acteurs des secteurs énergétique et numérique sur toute la chaîne de valeur de l’énergie, et iii) une coopération plus étroite au niveau international avec les pays et organisations internationales engagés dans la même direction.</w:t>
      </w:r>
    </w:p>
    <w:p w14:paraId="3B489E76" w14:textId="77777777" w:rsidR="00045992" w:rsidRPr="00B33E58" w:rsidRDefault="00572BE7" w:rsidP="00B33E58">
      <w:pPr>
        <w:ind w:firstLine="720"/>
        <w:rPr>
          <w:b/>
          <w:noProof/>
        </w:rPr>
      </w:pPr>
      <w:r>
        <w:rPr>
          <w:b/>
          <w:noProof/>
        </w:rPr>
        <w:t>7.1</w:t>
      </w:r>
      <w:r>
        <w:rPr>
          <w:noProof/>
        </w:rPr>
        <w:tab/>
        <w:t xml:space="preserve"> </w:t>
      </w:r>
      <w:r>
        <w:rPr>
          <w:b/>
          <w:noProof/>
        </w:rPr>
        <w:t xml:space="preserve">Soutenir REPowerEU et la reprise après la pandémie de COVID19 </w:t>
      </w:r>
    </w:p>
    <w:p w14:paraId="6BF3DFF1" w14:textId="584886C6" w:rsidR="004E0F19" w:rsidRDefault="6BE1F682" w:rsidP="1D75EFF6">
      <w:pPr>
        <w:spacing w:after="120"/>
        <w:rPr>
          <w:noProof/>
        </w:rPr>
      </w:pPr>
      <w:r>
        <w:rPr>
          <w:noProof/>
          <w:color w:val="000000" w:themeColor="text1"/>
        </w:rPr>
        <w:t>Dans leurs plans pour la reprise et la résilience (PRR), les États membres ont reconnu le potentiel de synergies entre le pacte vert et le programme d’action à l’horizon 2030 pour la décennie numérique. Ainsi, de nombreux PRR font référence à l’utilisation de solutions numériques pour: i) accélérer la décarbonation des réseaux énergétiques; ii) intégrer les compteurs intelligents dans les systèmes énergétiques; ou iii) rendre les réseaux électriques plus intelligents</w:t>
      </w:r>
      <w:r>
        <w:rPr>
          <w:rStyle w:val="FootnoteReference"/>
          <w:noProof/>
          <w:color w:val="000000" w:themeColor="text1"/>
          <w:lang w:val="en-GB"/>
        </w:rPr>
        <w:footnoteReference w:id="67"/>
      </w:r>
      <w:r>
        <w:rPr>
          <w:noProof/>
          <w:color w:val="000000" w:themeColor="text1"/>
        </w:rPr>
        <w:t xml:space="preserve">. La facilité pour la reprise et la résilience (FRR) peut également être un outil essentiel pour contribuer à la mise en œuvre du plan REPowerEU, car il s’agit d’un instrument d’une grande souplesse pour relever les défis dans un large éventail de domaines politiques à moyen terme. </w:t>
      </w:r>
    </w:p>
    <w:p w14:paraId="05E320E8" w14:textId="432F10EB" w:rsidR="004E0F19" w:rsidRDefault="00CF5A5A" w:rsidP="0005789E">
      <w:pPr>
        <w:rPr>
          <w:noProof/>
          <w:color w:val="000000" w:themeColor="text1"/>
        </w:rPr>
      </w:pPr>
      <w:r>
        <w:rPr>
          <w:noProof/>
        </w:rPr>
        <w:t>En mai 2022, la Commission a présenté une proposition législative visant à ajouter des chapitres REPowerEU aux plans nationaux pour la reprise et la résilience, afin de soutenir les réformes et les investissements spécifiques nécessaires à la mise en œuvre de REPowerEU</w:t>
      </w:r>
      <w:r>
        <w:rPr>
          <w:noProof/>
          <w:color w:val="000000" w:themeColor="text1"/>
          <w:vertAlign w:val="superscript"/>
        </w:rPr>
        <w:footnoteReference w:id="68"/>
      </w:r>
      <w:r>
        <w:rPr>
          <w:noProof/>
        </w:rPr>
        <w:t>.</w:t>
      </w:r>
      <w:r>
        <w:rPr>
          <w:noProof/>
          <w:color w:val="000000" w:themeColor="text1"/>
        </w:rPr>
        <w:t xml:space="preserve"> Par conséquent, dans le contexte des dialogues en cours entre l’UE et les États membres sur la manière dont les PRR peuvent contribuer à la réalisation des objectifs de REPowerEU, la Commission</w:t>
      </w:r>
      <w:r>
        <w:rPr>
          <w:b/>
          <w:noProof/>
          <w:color w:val="000000" w:themeColor="text1"/>
        </w:rPr>
        <w:t xml:space="preserve"> invite les États membres à définir, le cas échéant, des mesures dans le domaine de la numérisation du système énergétique</w:t>
      </w:r>
      <w:r>
        <w:rPr>
          <w:noProof/>
          <w:color w:val="000000" w:themeColor="text1"/>
        </w:rPr>
        <w:t>.</w:t>
      </w:r>
    </w:p>
    <w:p w14:paraId="75721D99" w14:textId="77777777" w:rsidR="004E26BA" w:rsidRPr="00B33E58" w:rsidRDefault="001D2809" w:rsidP="00B33E58">
      <w:pPr>
        <w:ind w:firstLine="720"/>
        <w:rPr>
          <w:b/>
          <w:noProof/>
        </w:rPr>
      </w:pPr>
      <w:bookmarkStart w:id="101" w:name="_Toc105777795"/>
      <w:bookmarkStart w:id="102" w:name="_Toc106053804"/>
      <w:bookmarkStart w:id="103" w:name="_Toc746205218"/>
      <w:bookmarkStart w:id="104" w:name="_Toc2024426999"/>
      <w:r>
        <w:rPr>
          <w:b/>
          <w:noProof/>
        </w:rPr>
        <w:t>7.2</w:t>
      </w:r>
      <w:r>
        <w:rPr>
          <w:noProof/>
        </w:rPr>
        <w:tab/>
      </w:r>
      <w:r>
        <w:rPr>
          <w:b/>
          <w:noProof/>
        </w:rPr>
        <w:t xml:space="preserve">Synergies entre les stratégies énergétique et numérique </w:t>
      </w:r>
      <w:bookmarkEnd w:id="101"/>
      <w:bookmarkEnd w:id="102"/>
      <w:r>
        <w:rPr>
          <w:b/>
          <w:noProof/>
        </w:rPr>
        <w:t xml:space="preserve">de l’UE </w:t>
      </w:r>
    </w:p>
    <w:p w14:paraId="35E67510" w14:textId="6F9F0526" w:rsidR="00AE3D5D" w:rsidRPr="00427CC9" w:rsidRDefault="00FC2AC8" w:rsidP="00985FAC">
      <w:pPr>
        <w:rPr>
          <w:noProof/>
          <w:color w:val="000000" w:themeColor="text1"/>
        </w:rPr>
      </w:pPr>
      <w:r>
        <w:rPr>
          <w:noProof/>
          <w:color w:val="000000" w:themeColor="text1"/>
        </w:rPr>
        <w:t xml:space="preserve">Dans les années à venir, il est important de développer les synergies entre les transitions écologique et numérique dans le cadre des deux principaux instruments au niveau de l’UE qui guident le pacte vert pour l’Europe et le programme d’action à l’horizon 2030 pour la décennie numérique, à savoir: i) les plans nationaux en matière d’énergie et de climat (PNEC) – et </w:t>
      </w:r>
      <w:bookmarkStart w:id="105" w:name="_Int_BreHLyFt"/>
      <w:r>
        <w:rPr>
          <w:noProof/>
          <w:color w:val="000000" w:themeColor="text1"/>
        </w:rPr>
        <w:t>en particulier leur</w:t>
      </w:r>
      <w:bookmarkEnd w:id="105"/>
      <w:r>
        <w:rPr>
          <w:noProof/>
          <w:color w:val="000000" w:themeColor="text1"/>
        </w:rPr>
        <w:t xml:space="preserve"> mise à jour prévue pour juin 2024 afin de refléter l’ambition accrue du cadre révisé pour 2030; et ii) les feuilles de route nationales pour la décennie numérique. Parmi ces synergies, figure l’utilisation de données et d’outils pour l’intégration et la planification du système énergétique. On peut citer également l’intégration optimale des infrastructures numériques telles que les centres de données et les infrastructures en nuage dans les systèmes globaux d’énergie et de chauffage, parallèlement aux utilisations concurrentes de ces systèmes, par exemple par le recours à des centres de données économes en énergie et à la réutilisation de leur chaleur résiduelle pour les entreprises et les ménages, ainsi qu’à l’attribution de fréquences dans les réseaux de télécommunications pour les solutions de réseaux énergétiques intelligents. La manière d’exploiter pleinement ces synergies sera examinée dans les orientations en vue de la mise à jour par les États membres de leurs PNEC, que la Commission prévoit de publier d’ici à la fin de l’année. </w:t>
      </w:r>
    </w:p>
    <w:p w14:paraId="6525B1AA" w14:textId="1D92BF42" w:rsidR="007417DB" w:rsidRDefault="1AA5D67D" w:rsidP="00232A7F">
      <w:pPr>
        <w:pStyle w:val="ListBullet1"/>
        <w:numPr>
          <w:ilvl w:val="0"/>
          <w:numId w:val="0"/>
        </w:numPr>
        <w:rPr>
          <w:noProof/>
          <w:color w:val="000000" w:themeColor="text1"/>
        </w:rPr>
      </w:pPr>
      <w:r>
        <w:rPr>
          <w:rStyle w:val="normaltextrun"/>
          <w:noProof/>
          <w:color w:val="000000" w:themeColor="text1"/>
        </w:rPr>
        <w:t xml:space="preserve">En outre, </w:t>
      </w:r>
      <w:r>
        <w:rPr>
          <w:rStyle w:val="normaltextrun"/>
          <w:noProof/>
          <w:color w:val="000000" w:themeColor="text1"/>
          <w:shd w:val="clear" w:color="auto" w:fill="FFFFFF"/>
        </w:rPr>
        <w:t xml:space="preserve">la Commission </w:t>
      </w:r>
      <w:r>
        <w:rPr>
          <w:rStyle w:val="normaltextrun"/>
          <w:b/>
          <w:noProof/>
          <w:color w:val="000000" w:themeColor="text1"/>
          <w:shd w:val="clear" w:color="auto" w:fill="FFFFFF"/>
        </w:rPr>
        <w:t>fera appel au groupe d’experts «Énergie intelligente» pour mettre en place un dialogue structuré à haut niveau avec les représentants nationaux sur le thème «numérisation de l’énergie: état des lieux, progrès, possibilités et défis»</w:t>
      </w:r>
      <w:r>
        <w:rPr>
          <w:rStyle w:val="normaltextrun"/>
          <w:noProof/>
          <w:color w:val="000000" w:themeColor="text1"/>
          <w:shd w:val="clear" w:color="auto" w:fill="FFFFFF"/>
        </w:rPr>
        <w:t xml:space="preserve">. </w:t>
      </w:r>
      <w:r>
        <w:rPr>
          <w:noProof/>
          <w:color w:val="000000" w:themeColor="text1"/>
        </w:rPr>
        <w:t>Le groupe d’experts</w:t>
      </w:r>
      <w:r>
        <w:rPr>
          <w:noProof/>
        </w:rPr>
        <w:t xml:space="preserve"> lancera une analyse complémentaire entre la Commission et les États membres </w:t>
      </w:r>
      <w:r>
        <w:rPr>
          <w:noProof/>
          <w:color w:val="000000" w:themeColor="text1"/>
        </w:rPr>
        <w:t>sur la base à la fois des PNEC et des dialogues de coopération prévus en lien avec les feuilles de route nationales pour la décennie numérique. Cette analyse visera à établir une stratégie, des trajectoires et des jalons communs pour améliorer la numérisation du système énergétique grâce à un cadre de planification et de suivi cohérent</w:t>
      </w:r>
      <w:r>
        <w:rPr>
          <w:noProof/>
          <w:color w:val="000000" w:themeColor="text1"/>
          <w:shd w:val="clear" w:color="auto" w:fill="E6E6E6"/>
        </w:rPr>
        <w:t>.</w:t>
      </w:r>
      <w:r>
        <w:rPr>
          <w:noProof/>
          <w:color w:val="000000" w:themeColor="text1"/>
        </w:rPr>
        <w:t xml:space="preserve"> </w:t>
      </w:r>
    </w:p>
    <w:p w14:paraId="721DB234" w14:textId="10826EDD" w:rsidR="003F0E95" w:rsidRDefault="009558AF" w:rsidP="00302B67">
      <w:pPr>
        <w:spacing w:after="0"/>
        <w:rPr>
          <w:noProof/>
          <w:color w:val="1F497D"/>
        </w:rPr>
      </w:pPr>
      <w:r>
        <w:rPr>
          <w:noProof/>
          <w:color w:val="000000" w:themeColor="text1"/>
        </w:rPr>
        <w:t>Afin d'aider à quantifier les avantages de la numérisation du système énergétique, la Commission poursuivra sa coopération étroite avec la Coalition européenne pour le numérique vert en vue de mettre au point des outils et des méthodologies permettant d’estimer et de mesurer l’incidence nette des technologies numériques génériques, par exemple dans le secteur de l’énergie.</w:t>
      </w:r>
      <w:r>
        <w:rPr>
          <w:noProof/>
          <w:color w:val="1F497D"/>
        </w:rPr>
        <w:t xml:space="preserve"> </w:t>
      </w:r>
    </w:p>
    <w:p w14:paraId="155B3560" w14:textId="77777777" w:rsidR="00302B67" w:rsidRPr="00C951EB" w:rsidRDefault="00302B67" w:rsidP="00302B67">
      <w:pPr>
        <w:spacing w:after="0"/>
        <w:rPr>
          <w:noProof/>
          <w:color w:val="000000" w:themeColor="text1"/>
        </w:rPr>
      </w:pPr>
    </w:p>
    <w:p w14:paraId="784A60DC" w14:textId="0CB58348" w:rsidR="00825B38" w:rsidRPr="00427CC9" w:rsidRDefault="00825B38" w:rsidP="00232A7F">
      <w:pPr>
        <w:pStyle w:val="ListBullet1"/>
        <w:numPr>
          <w:ilvl w:val="0"/>
          <w:numId w:val="0"/>
        </w:numPr>
        <w:rPr>
          <w:noProof/>
          <w:color w:val="000000" w:themeColor="text1"/>
        </w:rPr>
      </w:pPr>
      <w:r>
        <w:rPr>
          <w:noProof/>
          <w:color w:val="000000" w:themeColor="text1"/>
        </w:rPr>
        <w:t xml:space="preserve">La Commission s’appuiera également sur les travaux exploratoires et l’expertise de l’Organe des régulateurs européens des communications électroniques et envisagera de mettre en place des plateformes pour assurer la coordination et la coopération entre les secteurs de l’énergie et des télécommunications afin de faciliter la transition vers une énergie propre. La coopération dans ce domaine contribuera également à la numérisation du système énergétique. Par exemple, </w:t>
      </w:r>
      <w:r>
        <w:rPr>
          <w:noProof/>
        </w:rPr>
        <w:t>ComReg, l’organisme officiel chargé de la réglementation des communications électroniques en Irlande, a annoncé dès 2019 que la majeure partie de sa bande de fréquences 400 MHz était attribuée à des solutions de réseaux intelligents.</w:t>
      </w:r>
    </w:p>
    <w:p w14:paraId="5872CE62" w14:textId="77777777" w:rsidR="00FE4192" w:rsidRPr="00B33E58" w:rsidRDefault="00572BE7" w:rsidP="00B33E58">
      <w:pPr>
        <w:ind w:firstLine="720"/>
        <w:rPr>
          <w:b/>
          <w:noProof/>
        </w:rPr>
      </w:pPr>
      <w:bookmarkStart w:id="106" w:name="_Toc105777796"/>
      <w:bookmarkStart w:id="107" w:name="_Toc106053805"/>
      <w:r>
        <w:rPr>
          <w:b/>
          <w:noProof/>
        </w:rPr>
        <w:t>7.3</w:t>
      </w:r>
      <w:r>
        <w:rPr>
          <w:noProof/>
        </w:rPr>
        <w:tab/>
      </w:r>
      <w:r>
        <w:rPr>
          <w:b/>
          <w:noProof/>
        </w:rPr>
        <w:t xml:space="preserve">Connecter </w:t>
      </w:r>
      <w:bookmarkEnd w:id="103"/>
      <w:bookmarkEnd w:id="104"/>
      <w:r>
        <w:rPr>
          <w:b/>
          <w:noProof/>
        </w:rPr>
        <w:t xml:space="preserve">les innovateurs locaux et régionaux </w:t>
      </w:r>
      <w:bookmarkEnd w:id="106"/>
      <w:bookmarkEnd w:id="107"/>
    </w:p>
    <w:p w14:paraId="4764662F" w14:textId="2A7A299D" w:rsidR="002B7883" w:rsidRPr="00427CC9" w:rsidRDefault="693F80C6" w:rsidP="0031041E">
      <w:pPr>
        <w:rPr>
          <w:rFonts w:eastAsia="Times"/>
          <w:noProof/>
          <w:color w:val="000000" w:themeColor="text1"/>
        </w:rPr>
      </w:pPr>
      <w:r>
        <w:rPr>
          <w:noProof/>
          <w:color w:val="000000" w:themeColor="text1"/>
        </w:rPr>
        <w:t xml:space="preserve">La construction d’une vision et d’une voie communes pour la numérisation du système énergétique ne sera couronnée de succès que si l’UE et ses États membres peuvent s’appuyer sur des écosystèmes d’innovation dans le cadre desquels de nombreux acteurs du numérique et de l’énergie aux niveaux européen, national, </w:t>
      </w:r>
      <w:bookmarkStart w:id="108" w:name="_Int_alcnQGgL"/>
      <w:r>
        <w:rPr>
          <w:noProof/>
          <w:color w:val="000000" w:themeColor="text1"/>
        </w:rPr>
        <w:t>régional</w:t>
      </w:r>
      <w:bookmarkEnd w:id="108"/>
      <w:r>
        <w:rPr>
          <w:noProof/>
          <w:color w:val="000000" w:themeColor="text1"/>
        </w:rPr>
        <w:t xml:space="preserve"> et local coopèrent. Le soutien au niveau de l’UE peut contribuer à cette coopération en accélérant l’innovation et l’entrée sur le marché des solutions numériques. </w:t>
      </w:r>
      <w:r>
        <w:rPr>
          <w:noProof/>
        </w:rPr>
        <w:t>C’est la r</w:t>
      </w:r>
      <w:r>
        <w:rPr>
          <w:noProof/>
          <w:color w:val="000000" w:themeColor="text1"/>
        </w:rPr>
        <w:t xml:space="preserve">aison pour laquelle </w:t>
      </w:r>
      <w:r>
        <w:rPr>
          <w:b/>
          <w:bCs/>
          <w:noProof/>
          <w:color w:val="000000" w:themeColor="text1"/>
        </w:rPr>
        <w:t>la</w:t>
      </w:r>
      <w:r>
        <w:rPr>
          <w:noProof/>
          <w:color w:val="000000" w:themeColor="text1"/>
        </w:rPr>
        <w:t xml:space="preserve"> </w:t>
      </w:r>
      <w:r>
        <w:rPr>
          <w:b/>
          <w:noProof/>
          <w:color w:val="000000" w:themeColor="text1"/>
        </w:rPr>
        <w:t xml:space="preserve">Commission créera </w:t>
      </w:r>
      <w:r>
        <w:rPr>
          <w:rStyle w:val="normaltextrun"/>
          <w:b/>
          <w:noProof/>
          <w:color w:val="000000" w:themeColor="text1"/>
          <w:shd w:val="clear" w:color="auto" w:fill="FFFFFF"/>
        </w:rPr>
        <w:t>une plateforme baptisée «GEDI-EU» («Gathering Energy and Digital Innovators from across the EU»)</w:t>
      </w:r>
      <w:r>
        <w:rPr>
          <w:b/>
          <w:noProof/>
          <w:color w:val="000000" w:themeColor="text1"/>
        </w:rPr>
        <w:t>, en vue de promouvoir une coopération structurelle</w:t>
      </w:r>
      <w:r>
        <w:rPr>
          <w:noProof/>
          <w:color w:val="000000" w:themeColor="text1"/>
        </w:rPr>
        <w:t xml:space="preserve"> entre, d’une part, les </w:t>
      </w:r>
      <w:r>
        <w:rPr>
          <w:b/>
          <w:noProof/>
          <w:color w:val="000000" w:themeColor="text1"/>
        </w:rPr>
        <w:t>pôles européens d’innovation numérique</w:t>
      </w:r>
      <w:r>
        <w:rPr>
          <w:noProof/>
          <w:color w:val="000000" w:themeColor="text1"/>
        </w:rPr>
        <w:t xml:space="preserve"> et les </w:t>
      </w:r>
      <w:bookmarkStart w:id="109" w:name="_Int_24JXGBNk"/>
      <w:r>
        <w:rPr>
          <w:b/>
          <w:noProof/>
          <w:color w:val="000000" w:themeColor="text1"/>
        </w:rPr>
        <w:t xml:space="preserve">installations d’essai et d’expérimentation </w:t>
      </w:r>
      <w:bookmarkEnd w:id="109"/>
      <w:r>
        <w:rPr>
          <w:b/>
          <w:noProof/>
          <w:color w:val="000000" w:themeColor="text1"/>
        </w:rPr>
        <w:t>de l’intelligence artificielle</w:t>
      </w:r>
      <w:r>
        <w:rPr>
          <w:noProof/>
          <w:color w:val="000000" w:themeColor="text1"/>
        </w:rPr>
        <w:t xml:space="preserve"> </w:t>
      </w:r>
      <w:bookmarkStart w:id="110" w:name="_Int_lMrb7Lrs"/>
      <w:bookmarkEnd w:id="110"/>
      <w:r>
        <w:rPr>
          <w:noProof/>
          <w:color w:val="000000" w:themeColor="text1"/>
        </w:rPr>
        <w:t>mis sur pied dans le cadre du programme pour une Europe numérique et centrés sur l’énergie</w:t>
      </w:r>
      <w:r>
        <w:rPr>
          <w:rStyle w:val="FootnoteReference"/>
          <w:rFonts w:eastAsia="Times"/>
          <w:noProof/>
          <w:color w:val="000000" w:themeColor="text1"/>
          <w:lang w:val="en-GB"/>
        </w:rPr>
        <w:footnoteReference w:id="69"/>
      </w:r>
      <w:r>
        <w:rPr>
          <w:noProof/>
          <w:color w:val="000000" w:themeColor="text1"/>
        </w:rPr>
        <w:t xml:space="preserve">, et, d’autre part, le réseau européen d’innovateurs et d’organismes de recherche dans le secteur de l’énergie </w:t>
      </w:r>
      <w:r>
        <w:rPr>
          <w:b/>
          <w:noProof/>
          <w:color w:val="000000" w:themeColor="text1"/>
        </w:rPr>
        <w:t>mis en place dans le cadre du plan stratégique pour les technologies énergétiques (plan SET)</w:t>
      </w:r>
      <w:r>
        <w:rPr>
          <w:rStyle w:val="FootnoteReference"/>
          <w:rFonts w:eastAsia="Times"/>
          <w:b/>
          <w:bCs/>
          <w:noProof/>
          <w:color w:val="000000" w:themeColor="text1"/>
          <w:lang w:val="en-GB"/>
        </w:rPr>
        <w:footnoteReference w:id="70"/>
      </w:r>
      <w:r>
        <w:rPr>
          <w:noProof/>
          <w:color w:val="000000" w:themeColor="text1"/>
        </w:rPr>
        <w:t xml:space="preserve">. La plateforme coopérera étroitement avec les villes en tant que bénéficiaires, </w:t>
      </w:r>
      <w:bookmarkStart w:id="111" w:name="_Int_YJL8JSV3"/>
      <w:r>
        <w:rPr>
          <w:noProof/>
          <w:color w:val="000000" w:themeColor="text1"/>
        </w:rPr>
        <w:t>investisseurs</w:t>
      </w:r>
      <w:bookmarkEnd w:id="111"/>
      <w:r>
        <w:rPr>
          <w:noProof/>
          <w:color w:val="000000" w:themeColor="text1"/>
        </w:rPr>
        <w:t xml:space="preserve"> et incubateurs de technologies numériques dans le secteur de l’énergie, par exemple dans le cadre de la coopération des villes et communautés intelligentes.</w:t>
      </w:r>
    </w:p>
    <w:p w14:paraId="71B0F815" w14:textId="77777777" w:rsidR="00456C5B" w:rsidRDefault="002B7883" w:rsidP="0031041E">
      <w:pPr>
        <w:rPr>
          <w:noProof/>
          <w:color w:val="000000" w:themeColor="text1"/>
        </w:rPr>
      </w:pPr>
      <w:r>
        <w:rPr>
          <w:rStyle w:val="normaltextrun"/>
          <w:noProof/>
          <w:color w:val="000000" w:themeColor="text1"/>
          <w:shd w:val="clear" w:color="auto" w:fill="FFFFFF"/>
        </w:rPr>
        <w:t xml:space="preserve">Les activités de la plateforme viseront i) à élaborer un programme commun de besoins prioritaires et d’intérêts mutuels; ii) à soutenir les communautés de la connaissance, par le partage vertical (UE-local), horizontal (local-local) et intersectoriel des bonnes pratiques et le renforcement des compétences; et iii) à renforcer l’interopérabilité des nouveaux produits ou services grâce à la conception simultanée par des innovateurs sur la plateforme, en vue de faciliter l’adoption par le marché dans l’ensemble de l’UE. </w:t>
      </w:r>
      <w:r>
        <w:rPr>
          <w:noProof/>
          <w:color w:val="000000" w:themeColor="text1"/>
        </w:rPr>
        <w:t>La plateforme rendra compte au groupe d’experts sur l’énergie intelligente. Elle encouragera en outre le partage des bonnes pratiques et recommandera des mesures futures, par exemple dans le cadre d’ateliers d’experts et à l’occasion d’un événement annuel à haut niveau.</w:t>
      </w:r>
    </w:p>
    <w:p w14:paraId="2D2A23C2" w14:textId="77777777" w:rsidR="00232A7F" w:rsidRPr="00B33E58" w:rsidRDefault="00572BE7" w:rsidP="00B33E58">
      <w:pPr>
        <w:ind w:firstLine="720"/>
        <w:rPr>
          <w:b/>
          <w:noProof/>
        </w:rPr>
      </w:pPr>
      <w:bookmarkStart w:id="112" w:name="_Toc105777797"/>
      <w:bookmarkStart w:id="113" w:name="_Toc106053806"/>
      <w:bookmarkStart w:id="114" w:name="_Toc1370774551"/>
      <w:bookmarkStart w:id="115" w:name="_Toc1892474523"/>
      <w:r>
        <w:rPr>
          <w:b/>
          <w:noProof/>
        </w:rPr>
        <w:t>7.4</w:t>
      </w:r>
      <w:r>
        <w:rPr>
          <w:noProof/>
        </w:rPr>
        <w:tab/>
      </w:r>
      <w:r>
        <w:rPr>
          <w:b/>
          <w:noProof/>
        </w:rPr>
        <w:t xml:space="preserve"> Établir des partenariats internationaux pour la transition écologique et numérique </w:t>
      </w:r>
    </w:p>
    <w:p w14:paraId="19DBE1AF" w14:textId="5101F439" w:rsidR="00B1032E" w:rsidRDefault="00232A7F">
      <w:pPr>
        <w:spacing w:after="0"/>
        <w:rPr>
          <w:rStyle w:val="eop"/>
          <w:noProof/>
          <w:color w:val="000000" w:themeColor="text1"/>
        </w:rPr>
      </w:pPr>
      <w:r>
        <w:rPr>
          <w:rStyle w:val="normaltextrun"/>
          <w:noProof/>
          <w:color w:val="000000" w:themeColor="text1"/>
        </w:rPr>
        <w:t xml:space="preserve">Les normes techniques interopérables, la cybersécurité, la protection des données et d’autres caractéristiques clés de la numérisation du système énergétique doivent être assurées au niveau mondial, dans des enceintes internationales et en coopération avec les pays partenaires. L’Équipe </w:t>
      </w:r>
      <w:r>
        <w:rPr>
          <w:rStyle w:val="eop"/>
          <w:noProof/>
          <w:color w:val="000000" w:themeColor="text1"/>
        </w:rPr>
        <w:t>Europe devra être bien coordonnée et exposer clairement ses projets afin de contribuer à éviter l’adoption de normes incompatibles et à forger un consensus mondial sur le choix des technologies et des services marqués par un</w:t>
      </w:r>
      <w:r w:rsidR="00664000">
        <w:rPr>
          <w:rStyle w:val="eop"/>
          <w:noProof/>
          <w:color w:val="000000" w:themeColor="text1"/>
        </w:rPr>
        <w:t xml:space="preserve"> rythme d’innovation rapide.</w:t>
      </w:r>
    </w:p>
    <w:p w14:paraId="530316C8" w14:textId="48996DCD" w:rsidR="00664000" w:rsidRDefault="00664000">
      <w:pPr>
        <w:spacing w:after="0"/>
        <w:rPr>
          <w:rStyle w:val="eop"/>
          <w:noProof/>
          <w:color w:val="000000" w:themeColor="text1"/>
        </w:rPr>
      </w:pPr>
    </w:p>
    <w:p w14:paraId="44AA9322" w14:textId="40530140" w:rsidR="00572BE7" w:rsidRPr="00985FAC" w:rsidRDefault="00232A7F">
      <w:pPr>
        <w:spacing w:after="0"/>
        <w:rPr>
          <w:rStyle w:val="normaltextrun"/>
          <w:rFonts w:eastAsiaTheme="majorEastAsia"/>
          <w:noProof/>
        </w:rPr>
      </w:pPr>
      <w:r>
        <w:rPr>
          <w:noProof/>
        </w:rPr>
        <w:t xml:space="preserve">Les </w:t>
      </w:r>
      <w:r>
        <w:rPr>
          <w:noProof/>
          <w:color w:val="000000" w:themeColor="text1"/>
        </w:rPr>
        <w:t>technologies énergétiques numériques innovantes peuvent favoriser le développement durable au niveau mondial ainsi que la compétitivité de l’UE</w:t>
      </w:r>
      <w:r w:rsidR="00664000">
        <w:rPr>
          <w:noProof/>
          <w:color w:val="000000" w:themeColor="text1"/>
        </w:rPr>
        <w:t>,</w:t>
      </w:r>
      <w:r>
        <w:rPr>
          <w:noProof/>
          <w:color w:val="000000" w:themeColor="text1"/>
        </w:rPr>
        <w:t xml:space="preserve"> dans le sens où une plus forte collaboration internationale est synonyme de nouvelles chaînes de valeur mondiales pour les composants et </w:t>
      </w:r>
      <w:r>
        <w:rPr>
          <w:noProof/>
        </w:rPr>
        <w:t>les</w:t>
      </w:r>
      <w:bookmarkStart w:id="116" w:name="_Int_d67kniFw"/>
      <w:r>
        <w:rPr>
          <w:noProof/>
          <w:color w:val="000000" w:themeColor="text1"/>
        </w:rPr>
        <w:t xml:space="preserve"> services, et</w:t>
      </w:r>
      <w:bookmarkEnd w:id="116"/>
      <w:r>
        <w:rPr>
          <w:noProof/>
          <w:color w:val="000000" w:themeColor="text1"/>
        </w:rPr>
        <w:t xml:space="preserve"> contribue à diffuser une approche européenne des normes, des produits et des services qui soit fondée sur des valeurs. </w:t>
      </w:r>
      <w:r>
        <w:rPr>
          <w:rStyle w:val="normaltextrun"/>
          <w:noProof/>
          <w:color w:val="000000" w:themeColor="text1"/>
        </w:rPr>
        <w:t xml:space="preserve">Pour faire progresser la transition écologique et numérique avec les pays partenaires dans le cadre de contacts bilatéraux, </w:t>
      </w:r>
      <w:r>
        <w:rPr>
          <w:rStyle w:val="normaltextrun"/>
          <w:b/>
          <w:noProof/>
          <w:color w:val="000000" w:themeColor="text1"/>
        </w:rPr>
        <w:t xml:space="preserve">la Commission intégrera des aspects numériques et verts dans les projets, </w:t>
      </w:r>
      <w:bookmarkStart w:id="117" w:name="_Int_24ss4mjM"/>
      <w:r>
        <w:rPr>
          <w:rStyle w:val="normaltextrun"/>
          <w:b/>
          <w:noProof/>
          <w:color w:val="000000" w:themeColor="text1"/>
        </w:rPr>
        <w:t xml:space="preserve">partenariats et </w:t>
      </w:r>
      <w:bookmarkEnd w:id="117"/>
      <w:r>
        <w:rPr>
          <w:rStyle w:val="normaltextrun"/>
          <w:b/>
          <w:noProof/>
          <w:color w:val="000000" w:themeColor="text1"/>
        </w:rPr>
        <w:t>accords de coopération liés à l’énergie</w:t>
      </w:r>
      <w:r>
        <w:rPr>
          <w:rStyle w:val="normaltextrun"/>
          <w:noProof/>
          <w:color w:val="000000" w:themeColor="text1"/>
        </w:rPr>
        <w:t xml:space="preserve">. Les pays de l’Espace économique européen, le Royaume-Uni, le Japon et les États-Unis, entre autres, pourraient être des partenaires de coopération. </w:t>
      </w:r>
    </w:p>
    <w:p w14:paraId="5EDB4808" w14:textId="77777777" w:rsidR="00572BE7" w:rsidRPr="00150008" w:rsidRDefault="00572BE7" w:rsidP="00572BE7">
      <w:pPr>
        <w:spacing w:after="0"/>
        <w:textAlignment w:val="baseline"/>
        <w:rPr>
          <w:rStyle w:val="normaltextrun"/>
          <w:rFonts w:eastAsiaTheme="majorEastAsia"/>
          <w:noProof/>
          <w:color w:val="000000" w:themeColor="text1"/>
          <w:lang w:val="fr-BE"/>
        </w:rPr>
      </w:pPr>
    </w:p>
    <w:p w14:paraId="11CB044F" w14:textId="73B670D7" w:rsidR="00ED591F" w:rsidRDefault="172DF185" w:rsidP="33E2182A">
      <w:pPr>
        <w:spacing w:after="0"/>
        <w:textAlignment w:val="baseline"/>
        <w:rPr>
          <w:rStyle w:val="normaltextrun"/>
          <w:rFonts w:eastAsiaTheme="majorEastAsia"/>
          <w:noProof/>
          <w:color w:val="000000" w:themeColor="text1"/>
        </w:rPr>
      </w:pPr>
      <w:r>
        <w:rPr>
          <w:rStyle w:val="normaltextrun"/>
          <w:noProof/>
          <w:color w:val="000000" w:themeColor="text1"/>
          <w:shd w:val="clear" w:color="auto" w:fill="FFFFFF"/>
        </w:rPr>
        <w:t xml:space="preserve">La Commission continuera de participer activement à des forums multilatéraux et internationaux, tels que </w:t>
      </w:r>
      <w:r>
        <w:rPr>
          <w:rStyle w:val="eop"/>
          <w:noProof/>
          <w:color w:val="000000" w:themeColor="text1"/>
        </w:rPr>
        <w:t xml:space="preserve">les </w:t>
      </w:r>
      <w:bookmarkStart w:id="118" w:name="_Int_FIu5aVqR"/>
      <w:r>
        <w:rPr>
          <w:rStyle w:val="eop"/>
          <w:noProof/>
          <w:color w:val="000000" w:themeColor="text1"/>
        </w:rPr>
        <w:t>Nations unies</w:t>
      </w:r>
      <w:r>
        <w:rPr>
          <w:rStyle w:val="FootnoteReference"/>
          <w:noProof/>
          <w:color w:val="000000" w:themeColor="text1"/>
          <w:lang w:val="en-GB"/>
        </w:rPr>
        <w:footnoteReference w:id="71"/>
      </w:r>
      <w:bookmarkEnd w:id="118"/>
      <w:r>
        <w:rPr>
          <w:rStyle w:val="eop"/>
          <w:noProof/>
          <w:color w:val="000000" w:themeColor="text1"/>
        </w:rPr>
        <w:t xml:space="preserve">, le G7, </w:t>
      </w:r>
      <w:r>
        <w:rPr>
          <w:rStyle w:val="normaltextrun"/>
          <w:noProof/>
          <w:color w:val="000000" w:themeColor="text1"/>
          <w:shd w:val="clear" w:color="auto" w:fill="FFFFFF"/>
        </w:rPr>
        <w:t xml:space="preserve">la conférence ministérielle sur l’énergie propre, Mission Innovation et le réseau d’action international pour les réseaux intelligents (ISGAN, ou «International Smart Grid Action Network»). Elle s’appuiera également </w:t>
      </w:r>
      <w:r>
        <w:rPr>
          <w:rStyle w:val="eop"/>
          <w:noProof/>
          <w:color w:val="000000" w:themeColor="text1"/>
        </w:rPr>
        <w:t>sur les importants travaux de l’</w:t>
      </w:r>
      <w:bookmarkStart w:id="119" w:name="_Int_x0oZaYvb"/>
      <w:r>
        <w:rPr>
          <w:rStyle w:val="eop"/>
          <w:noProof/>
          <w:color w:val="000000" w:themeColor="text1"/>
        </w:rPr>
        <w:t>AIE</w:t>
      </w:r>
      <w:bookmarkEnd w:id="119"/>
      <w:r>
        <w:rPr>
          <w:rStyle w:val="eop"/>
          <w:noProof/>
          <w:color w:val="000000" w:themeColor="text1"/>
        </w:rPr>
        <w:t xml:space="preserve"> et </w:t>
      </w:r>
      <w:r>
        <w:rPr>
          <w:noProof/>
        </w:rPr>
        <w:t>de</w:t>
      </w:r>
      <w:bookmarkStart w:id="120" w:name="_Int_jVbNFhzx"/>
      <w:r>
        <w:rPr>
          <w:rStyle w:val="eop"/>
          <w:noProof/>
          <w:color w:val="000000" w:themeColor="text1"/>
        </w:rPr>
        <w:t xml:space="preserve"> l’Agence internationale pour les énergies renouvelables (IRENA</w:t>
      </w:r>
      <w:bookmarkEnd w:id="120"/>
      <w:r>
        <w:rPr>
          <w:rStyle w:val="eop"/>
          <w:noProof/>
          <w:color w:val="000000" w:themeColor="text1"/>
        </w:rPr>
        <w:t xml:space="preserve">). Ce faisant, la Commission s’efforcera </w:t>
      </w:r>
      <w:r>
        <w:rPr>
          <w:rStyle w:val="normaltextrun"/>
          <w:noProof/>
          <w:color w:val="000000" w:themeColor="text1"/>
          <w:shd w:val="clear" w:color="auto" w:fill="FFFFFF"/>
        </w:rPr>
        <w:t>de renforcer la coopération internationale et de favoriser la numérisation de l’énergie</w:t>
      </w:r>
      <w:r>
        <w:rPr>
          <w:rStyle w:val="eop"/>
          <w:noProof/>
          <w:color w:val="000000" w:themeColor="text1"/>
        </w:rPr>
        <w:t xml:space="preserve"> en tant que question horizontale ou en valorisant des solutions spécifiques</w:t>
      </w:r>
      <w:r>
        <w:rPr>
          <w:rStyle w:val="normaltextrun"/>
          <w:noProof/>
          <w:color w:val="000000" w:themeColor="text1"/>
          <w:shd w:val="clear" w:color="auto" w:fill="FFFFFF"/>
        </w:rPr>
        <w:t>.</w:t>
      </w:r>
      <w:r>
        <w:rPr>
          <w:rStyle w:val="normaltextrun"/>
          <w:noProof/>
          <w:color w:val="000000" w:themeColor="text1"/>
        </w:rPr>
        <w:t xml:space="preserve"> La Commission encouragera en outre la coopération internationale</w:t>
      </w:r>
      <w:bookmarkStart w:id="121" w:name="_Int_pDk1lGKT"/>
      <w:r>
        <w:rPr>
          <w:rStyle w:val="normaltextrun"/>
          <w:noProof/>
          <w:color w:val="000000" w:themeColor="text1"/>
        </w:rPr>
        <w:t>, notamment au moyen</w:t>
      </w:r>
      <w:bookmarkEnd w:id="121"/>
      <w:r>
        <w:rPr>
          <w:noProof/>
        </w:rPr>
        <w:t xml:space="preserve"> d’</w:t>
      </w:r>
      <w:r>
        <w:rPr>
          <w:rStyle w:val="normaltextrun"/>
          <w:noProof/>
          <w:color w:val="000000" w:themeColor="text1"/>
        </w:rPr>
        <w:t>activités conjointes de recherche et d’innovation soutenues dans le cadre d’Horizon Europe, et s’appuiera sur les expériences existantes, telles que la plateforme à haut niveau UE-Inde sur les réseaux intelligents</w:t>
      </w:r>
      <w:r>
        <w:rPr>
          <w:rStyle w:val="FootnoteReference"/>
          <w:rFonts w:eastAsiaTheme="majorEastAsia"/>
          <w:noProof/>
          <w:color w:val="000000" w:themeColor="text1"/>
          <w:lang w:val="en-GB"/>
        </w:rPr>
        <w:footnoteReference w:id="72"/>
      </w:r>
      <w:r>
        <w:rPr>
          <w:rStyle w:val="normaltextrun"/>
          <w:noProof/>
          <w:color w:val="000000" w:themeColor="text1"/>
        </w:rPr>
        <w:t xml:space="preserve">. </w:t>
      </w:r>
    </w:p>
    <w:p w14:paraId="26543DA3" w14:textId="77777777" w:rsidR="0005789E" w:rsidRPr="00150008" w:rsidRDefault="0005789E" w:rsidP="33E2182A">
      <w:pPr>
        <w:spacing w:after="0"/>
        <w:textAlignment w:val="baseline"/>
        <w:rPr>
          <w:rStyle w:val="normaltextrun"/>
          <w:rFonts w:eastAsiaTheme="majorEastAsia"/>
          <w:noProof/>
          <w:color w:val="000000" w:themeColor="text1"/>
          <w:lang w:val="fr-BE"/>
        </w:rPr>
      </w:pPr>
    </w:p>
    <w:p w14:paraId="1C790863" w14:textId="77777777" w:rsidR="00232A7F" w:rsidRPr="00150008" w:rsidRDefault="00232A7F" w:rsidP="007513CC">
      <w:pPr>
        <w:pStyle w:val="Heading4"/>
        <w:rPr>
          <w:rFonts w:ascii="Times New Roman" w:eastAsia="Calibri" w:hAnsi="Times New Roman" w:cs="Times New Roman"/>
          <w:noProof/>
          <w:color w:val="000000" w:themeColor="text1"/>
          <w:lang w:val="fr-BE"/>
        </w:rPr>
      </w:pPr>
    </w:p>
    <w:p w14:paraId="6A43831F" w14:textId="77777777" w:rsidR="359555B4" w:rsidRPr="00B33E58" w:rsidRDefault="00572BE7" w:rsidP="00B33E58">
      <w:pPr>
        <w:ind w:firstLine="720"/>
        <w:rPr>
          <w:b/>
          <w:noProof/>
        </w:rPr>
      </w:pPr>
      <w:r>
        <w:rPr>
          <w:b/>
          <w:noProof/>
        </w:rPr>
        <w:t>7.5</w:t>
      </w:r>
      <w:r>
        <w:rPr>
          <w:noProof/>
        </w:rPr>
        <w:tab/>
      </w:r>
      <w:r>
        <w:rPr>
          <w:b/>
          <w:noProof/>
        </w:rPr>
        <w:t xml:space="preserve"> Soutien financier en vue d’une adoption plus rapide des technologies énergétiques numériques </w:t>
      </w:r>
      <w:bookmarkEnd w:id="112"/>
      <w:bookmarkEnd w:id="113"/>
      <w:bookmarkEnd w:id="114"/>
      <w:bookmarkEnd w:id="115"/>
    </w:p>
    <w:p w14:paraId="3B0A2F34" w14:textId="77777777" w:rsidR="007912B4" w:rsidRPr="00427CC9" w:rsidRDefault="740C260B" w:rsidP="37AE6589">
      <w:pPr>
        <w:rPr>
          <w:noProof/>
          <w:color w:val="000000" w:themeColor="text1"/>
        </w:rPr>
      </w:pPr>
      <w:r>
        <w:rPr>
          <w:noProof/>
          <w:color w:val="000000" w:themeColor="text1"/>
        </w:rPr>
        <w:t xml:space="preserve">Pour garantir que l’innovation dans les technologies numériques – et l’innovation rendue possible par ces technologies – soit reprise dans le secteur de l’énergie, un soutien continu et ciblé à leur développement et à leur utilisation est essentiel. </w:t>
      </w:r>
    </w:p>
    <w:p w14:paraId="10C1A9CC" w14:textId="77777777" w:rsidR="007912B4" w:rsidRPr="00427CC9" w:rsidRDefault="00A66800" w:rsidP="37AE6589">
      <w:pPr>
        <w:rPr>
          <w:noProof/>
          <w:color w:val="000000" w:themeColor="text1"/>
        </w:rPr>
      </w:pPr>
      <w:r>
        <w:rPr>
          <w:noProof/>
          <w:color w:val="000000" w:themeColor="text1"/>
        </w:rPr>
        <w:t xml:space="preserve">Il est particulièrement important de garantir un soutien public et privé à la R&amp;I au niveau de l’UE et dans les États membres, et de dégager des synergies entre les deux. Le plan SET peut y contribuer. La révision du plan SET prévue pour l’année prochaine abordera le rôle de catalyseur des technologies numériques. </w:t>
      </w:r>
      <w:r>
        <w:rPr>
          <w:b/>
          <w:noProof/>
          <w:color w:val="000000" w:themeColor="text1"/>
        </w:rPr>
        <w:t>La Commission invite les États membres: i) à accroître leur soutien à la R&amp;I en vue de mener les activités d’expérimentation et de pilotage des technologies numériques dans le secteur de l’énergie, et ii) à promouvoir la coopération entre les parties prenantes des secteurs du numérique et de l’énergie par l’entremise de programmes nationaux de R&amp;I.</w:t>
      </w:r>
      <w:r>
        <w:rPr>
          <w:noProof/>
          <w:color w:val="000000" w:themeColor="text1"/>
        </w:rPr>
        <w:t xml:space="preserve"> </w:t>
      </w:r>
    </w:p>
    <w:p w14:paraId="709BAAA8" w14:textId="3FABEB8A" w:rsidR="007151F2" w:rsidRPr="00427CC9" w:rsidRDefault="6F4C990B" w:rsidP="00CD2CFB">
      <w:pPr>
        <w:rPr>
          <w:noProof/>
          <w:color w:val="000000" w:themeColor="text1"/>
        </w:rPr>
      </w:pPr>
      <w:r>
        <w:rPr>
          <w:noProof/>
          <w:color w:val="000000" w:themeColor="text1"/>
        </w:rPr>
        <w:t xml:space="preserve">Au niveau de l’UE, la Commission entend inclure dans le </w:t>
      </w:r>
      <w:r>
        <w:rPr>
          <w:b/>
          <w:noProof/>
          <w:color w:val="000000" w:themeColor="text1"/>
        </w:rPr>
        <w:t>programme de travail d’Horizon Europe pour 2023-2024 une initiative phare visant à soutenir la numérisation du système énergétique, qui tienne compte des priorités clés du présent plan d’action</w:t>
      </w:r>
      <w:r>
        <w:rPr>
          <w:noProof/>
          <w:color w:val="000000" w:themeColor="text1"/>
        </w:rPr>
        <w:t xml:space="preserve">. En outre, Horizon Europe soutiendra l’adoption des technologies numériques pour promouvoir la compétitivité des technologies énergétiques propres dans l’UE, notamment en utilisant les technologies numériques pour favoriser l’amélioration des performances ou la réduction des coûts technologiques. Par ailleurs, la mission de l’UE «Villes neutres pour le climat et intelligentes» visant à établir 100 villes climatiquement neutres d’ici 2030 sera soutenue par le financement du développement de jumeaux numériques de certaines villes qui engloberont des infrastructures énergétiques. Dans la mesure du possible, la Commission encouragera/soutiendra l’utilisation de l’open source afin de garantir l’accessibilité et l’adoption du marché. Qui plus est, le Conseil européen de l’innovation (CEI) soutient les jeunes pousses et les entreprises en expansion qui développent et appliquent les technologies numériques dans le secteur de l’énergie en 2022 et 2023. </w:t>
      </w:r>
      <w:bookmarkStart w:id="122" w:name="_Int_U6JvfH4i"/>
      <w:r>
        <w:rPr>
          <w:rStyle w:val="normaltextrun"/>
          <w:noProof/>
          <w:color w:val="000000" w:themeColor="text1"/>
          <w:shd w:val="clear" w:color="auto" w:fill="FFFFFF"/>
        </w:rPr>
        <w:t>S’agissant de la</w:t>
      </w:r>
      <w:bookmarkEnd w:id="122"/>
      <w:r>
        <w:rPr>
          <w:rStyle w:val="normaltextrun"/>
          <w:noProof/>
          <w:color w:val="000000" w:themeColor="text1"/>
          <w:shd w:val="clear" w:color="auto" w:fill="FFFFFF"/>
        </w:rPr>
        <w:t xml:space="preserve"> cybersécurité, le nouveau centre européen des compétences en matière de cybersécurité</w:t>
      </w:r>
      <w:bookmarkStart w:id="123" w:name="_Int_Z3XQImls"/>
      <w:r>
        <w:rPr>
          <w:rStyle w:val="FootnoteReference"/>
          <w:rFonts w:eastAsiaTheme="majorEastAsia"/>
          <w:noProof/>
          <w:color w:val="000000" w:themeColor="text1"/>
          <w:shd w:val="clear" w:color="auto" w:fill="FFFFFF"/>
        </w:rPr>
        <w:footnoteReference w:id="73"/>
      </w:r>
      <w:bookmarkEnd w:id="123"/>
      <w:r>
        <w:rPr>
          <w:rStyle w:val="normaltextrun"/>
          <w:noProof/>
          <w:color w:val="000000" w:themeColor="text1"/>
          <w:shd w:val="clear" w:color="auto" w:fill="FFFFFF"/>
        </w:rPr>
        <w:t xml:space="preserve"> et le réseau de centres de coopération, cofinancés par Horizon Europe, le </w:t>
      </w:r>
      <w:r>
        <w:rPr>
          <w:rStyle w:val="normaltextrun"/>
          <w:b/>
          <w:noProof/>
          <w:color w:val="000000" w:themeColor="text1"/>
          <w:shd w:val="clear" w:color="auto" w:fill="FFFFFF"/>
        </w:rPr>
        <w:t>programme pour une Europe numérique</w:t>
      </w:r>
      <w:r>
        <w:rPr>
          <w:rStyle w:val="normaltextrun"/>
          <w:noProof/>
          <w:color w:val="000000" w:themeColor="text1"/>
          <w:shd w:val="clear" w:color="auto" w:fill="FFFFFF"/>
        </w:rPr>
        <w:t xml:space="preserve"> et les États membres, visent à accroître le renforcement des capacités, </w:t>
      </w:r>
      <w:bookmarkStart w:id="124" w:name="_Int_HVWsLCgM"/>
      <w:r>
        <w:rPr>
          <w:rStyle w:val="normaltextrun"/>
          <w:noProof/>
          <w:color w:val="000000" w:themeColor="text1"/>
          <w:shd w:val="clear" w:color="auto" w:fill="FFFFFF"/>
        </w:rPr>
        <w:t xml:space="preserve">l’innovation </w:t>
      </w:r>
      <w:bookmarkEnd w:id="124"/>
      <w:r>
        <w:rPr>
          <w:rStyle w:val="normaltextrun"/>
          <w:noProof/>
          <w:color w:val="000000" w:themeColor="text1"/>
          <w:shd w:val="clear" w:color="auto" w:fill="FFFFFF"/>
        </w:rPr>
        <w:t>et les investissements</w:t>
      </w:r>
      <w:r>
        <w:rPr>
          <w:rStyle w:val="normaltextrun"/>
          <w:noProof/>
        </w:rPr>
        <w:t>.</w:t>
      </w:r>
      <w:r>
        <w:rPr>
          <w:rStyle w:val="normaltextrun"/>
          <w:noProof/>
          <w:color w:val="000000" w:themeColor="text1"/>
          <w:shd w:val="clear" w:color="auto" w:fill="FFFFFF"/>
        </w:rPr>
        <w:t xml:space="preserve"> L</w:t>
      </w:r>
      <w:r>
        <w:rPr>
          <w:rStyle w:val="eop"/>
          <w:noProof/>
          <w:color w:val="000000" w:themeColor="text1"/>
          <w:shd w:val="clear" w:color="auto" w:fill="FFFFFF"/>
        </w:rPr>
        <w:t>e programme pour une Europe numérique soutient également les opérateurs d’infrastructures critiques (y compris dans le secteur de l’énergie).</w:t>
      </w:r>
    </w:p>
    <w:p w14:paraId="1EEEEE09" w14:textId="77777777" w:rsidR="06757401" w:rsidRDefault="06757401">
      <w:pPr>
        <w:rPr>
          <w:noProof/>
          <w:color w:val="000000" w:themeColor="text1"/>
          <w:szCs w:val="24"/>
        </w:rPr>
      </w:pPr>
      <w:r>
        <w:rPr>
          <w:noProof/>
          <w:color w:val="000000" w:themeColor="text1"/>
        </w:rPr>
        <w:t xml:space="preserve">La </w:t>
      </w:r>
      <w:r>
        <w:rPr>
          <w:b/>
          <w:noProof/>
          <w:color w:val="000000" w:themeColor="text1"/>
        </w:rPr>
        <w:t>politique de cohésion</w:t>
      </w:r>
      <w:r>
        <w:rPr>
          <w:noProof/>
          <w:color w:val="000000" w:themeColor="text1"/>
        </w:rPr>
        <w:t xml:space="preserve"> soutient les investissements des États membres, des régions et des autorités locales. L’aide financière ciblera la transformation numérique dans tous les secteurs, y compris l’énergie, en mettant particulièrement l’accent sur les systèmes énergétiques intelligents et les réseaux intelligents. </w:t>
      </w:r>
      <w:r>
        <w:rPr>
          <w:b/>
          <w:noProof/>
          <w:color w:val="000000" w:themeColor="text1"/>
        </w:rPr>
        <w:t>Copernicus</w:t>
      </w:r>
      <w:r>
        <w:rPr>
          <w:noProof/>
          <w:color w:val="000000" w:themeColor="text1"/>
        </w:rPr>
        <w:t>, la composante d’observation de la Terre du programme spatial de l’Union et Destination Terre, fournit des données environnementales qui permettent, par exemple, une meilleure localisation et un meilleur fonctionnement de la production d’énergie renouvelable.</w:t>
      </w:r>
    </w:p>
    <w:p w14:paraId="4F2EA49D" w14:textId="255E836C" w:rsidR="00762857" w:rsidRDefault="43B39654">
      <w:pPr>
        <w:rPr>
          <w:noProof/>
          <w:color w:val="000000" w:themeColor="text1"/>
          <w:szCs w:val="24"/>
        </w:rPr>
      </w:pPr>
      <w:r>
        <w:rPr>
          <w:noProof/>
          <w:color w:val="000000" w:themeColor="text1"/>
        </w:rPr>
        <w:t xml:space="preserve">Le </w:t>
      </w:r>
      <w:r>
        <w:rPr>
          <w:b/>
          <w:noProof/>
          <w:color w:val="000000" w:themeColor="text1"/>
        </w:rPr>
        <w:t>sous-programme LIFE «Transition énergétique propre» (TEP)</w:t>
      </w:r>
      <w:r>
        <w:rPr>
          <w:noProof/>
          <w:color w:val="000000" w:themeColor="text1"/>
        </w:rPr>
        <w:t xml:space="preserve"> soutient le développement de solutions de services énergétiques intelligents pour autonomiser les citoyens et les communautés dans le système énergétique, permettre un meilleur contrôle de la consommation énergétique et induire ainsi une modification des comportements et une demande pour la rénovation des bâtiments. En outre, le sous-programme LIFE TEP soutient l’adoption et l’intégration par le marché de solutions capables de rendre le parc immobilier de l’UE plus intelligent et de favoriser son inclusion dans un système énergétique numérisé afin d’épuiser pleinement le potentiel d’optimisation et de flexibilité que recèlent les bâtiments et systèmes de bâtiment. Cela suppose notamment de combler les lacunes liées à la disponibilité des données,</w:t>
      </w:r>
      <w:r>
        <w:rPr>
          <w:noProof/>
        </w:rPr>
        <w:t xml:space="preserve"> à l’</w:t>
      </w:r>
      <w:bookmarkStart w:id="125" w:name="_Toc103872605"/>
      <w:bookmarkStart w:id="126" w:name="_Toc1606994797"/>
      <w:bookmarkStart w:id="127" w:name="_Toc798637343"/>
      <w:bookmarkStart w:id="128" w:name="_Toc106053807"/>
      <w:r>
        <w:rPr>
          <w:noProof/>
          <w:color w:val="000000" w:themeColor="text1"/>
        </w:rPr>
        <w:t>interopérabilité, à l’acceptation par les utilisateurs et aux compétences.</w:t>
      </w:r>
    </w:p>
    <w:p w14:paraId="35E49E33" w14:textId="77777777" w:rsidR="00ED591F" w:rsidRDefault="00ED591F" w:rsidP="00ED591F">
      <w:pPr>
        <w:spacing w:after="0"/>
        <w:rPr>
          <w:noProof/>
          <w:color w:val="000000" w:themeColor="text1"/>
          <w:szCs w:val="24"/>
        </w:rPr>
      </w:pPr>
    </w:p>
    <w:p w14:paraId="4B6DF09A" w14:textId="77777777" w:rsidR="00AB2DEB" w:rsidRPr="00427CC9" w:rsidRDefault="00883CAE" w:rsidP="00B33E58">
      <w:pPr>
        <w:rPr>
          <w:noProof/>
        </w:rPr>
      </w:pPr>
      <w:r>
        <w:rPr>
          <w:b/>
          <w:smallCaps/>
          <w:noProof/>
        </w:rPr>
        <w:t xml:space="preserve">8. </w:t>
      </w:r>
      <w:r>
        <w:rPr>
          <w:noProof/>
        </w:rPr>
        <w:tab/>
      </w:r>
      <w:r>
        <w:rPr>
          <w:b/>
          <w:smallCaps/>
          <w:noProof/>
        </w:rPr>
        <w:t>Conclusion</w:t>
      </w:r>
      <w:bookmarkEnd w:id="125"/>
      <w:bookmarkEnd w:id="126"/>
      <w:bookmarkEnd w:id="127"/>
      <w:bookmarkEnd w:id="128"/>
    </w:p>
    <w:p w14:paraId="58E0232D" w14:textId="4770C84B" w:rsidR="006A17BC" w:rsidRDefault="00AB2DEB" w:rsidP="006A17BC">
      <w:pPr>
        <w:rPr>
          <w:noProof/>
          <w:color w:val="000000" w:themeColor="text1"/>
        </w:rPr>
      </w:pPr>
      <w:r>
        <w:rPr>
          <w:noProof/>
          <w:color w:val="000000" w:themeColor="text1"/>
        </w:rPr>
        <w:t>L’invasion de l’Ukraine par la Russie et l’explosion actuelle des prix de l’énergie n’ont fait qu’accroître la nécessité pour l’UE de renforcer rapidement son indépendance vis-à-vis des importations russes de combustibles fossiles ainsi que sa souveraineté et sa sécurité stratégiques en créant un système énergétique numérique. À l’heure où l’électrification et la décarbonation du système énergétique de l’UE s’accélèrent, il est capital d’accroître la numérisation de ce dernier pour atteindre les objectifs climatiques de l’Union à l’horizon 2030 et 2050 et ce, de manière efficace par rapport aux coûts. Le présent plan d’action répond à l’ambition exprimée dans le rapport de prospective stratégique en ce qui concerne la double transition écologique et numérique, à savoir que les technologies numériques contribuent à créer une société neutre pour le climat et économe en ressources, tout en permettant à tous de bénéficier de cette transition.</w:t>
      </w:r>
    </w:p>
    <w:p w14:paraId="42659CFB" w14:textId="69066BAA" w:rsidR="00A9438A" w:rsidRDefault="6AE7987A" w:rsidP="00A9438A">
      <w:pPr>
        <w:rPr>
          <w:noProof/>
          <w:color w:val="000000" w:themeColor="text1"/>
        </w:rPr>
      </w:pPr>
      <w:r>
        <w:rPr>
          <w:noProof/>
          <w:color w:val="000000" w:themeColor="text1"/>
        </w:rPr>
        <w:t xml:space="preserve">Comme indiqué dans le présent plan d’action, cela exigera des actions tant à moyen terme qu’à long terme ainsi qu’une gouvernance encadrée. Cette stratégie fera intervenir un grand nombre de parties prenantes, </w:t>
      </w:r>
      <w:r>
        <w:rPr>
          <w:noProof/>
        </w:rPr>
        <w:t>d’</w:t>
      </w:r>
      <w:bookmarkStart w:id="129" w:name="_Int_UrwOkSrJ"/>
      <w:r>
        <w:rPr>
          <w:noProof/>
          <w:color w:val="000000" w:themeColor="text1"/>
        </w:rPr>
        <w:t>entreprises</w:t>
      </w:r>
      <w:bookmarkEnd w:id="129"/>
      <w:r>
        <w:rPr>
          <w:noProof/>
          <w:color w:val="000000" w:themeColor="text1"/>
        </w:rPr>
        <w:t xml:space="preserve"> et de partenaires internationaux et exigera une utilisation judicieuse de fonds publics limités et davantage d’investissements privés. Il n’y aura pas de transition vers l’énergie propre sans plan pour le numérique. La Commission invite donc le Parlement européen et le Conseil à approuver le présent plan d’action, et les États membres à contribuer à sa mise en œuvre rapide.</w:t>
      </w:r>
    </w:p>
    <w:p w14:paraId="4F44286B" w14:textId="77777777" w:rsidR="00D7257B" w:rsidRDefault="00D7257B" w:rsidP="006B2FC2">
      <w:pPr>
        <w:spacing w:after="160" w:line="259" w:lineRule="auto"/>
        <w:jc w:val="left"/>
        <w:rPr>
          <w:b/>
          <w:smallCaps/>
          <w:noProof/>
          <w:szCs w:val="24"/>
        </w:rPr>
      </w:pPr>
      <w:r>
        <w:rPr>
          <w:noProof/>
        </w:rPr>
        <w:br w:type="page"/>
      </w:r>
      <w:bookmarkStart w:id="130" w:name="_Toc103872606"/>
      <w:bookmarkStart w:id="131" w:name="_Toc106053808"/>
      <w:bookmarkStart w:id="132" w:name="_Toc588224516"/>
      <w:bookmarkStart w:id="133" w:name="_Toc994827918"/>
      <w:r>
        <w:rPr>
          <w:b/>
          <w:smallCaps/>
          <w:noProof/>
        </w:rPr>
        <w:t xml:space="preserve">Annexe: Transition numérique du système énergétique: actions clés de la Commission et échéancier indicatif </w:t>
      </w:r>
      <w:bookmarkEnd w:id="130"/>
      <w:bookmarkEnd w:id="131"/>
      <w:bookmarkEnd w:id="132"/>
      <w:bookmarkEnd w:id="133"/>
    </w:p>
    <w:p w14:paraId="04CF658B" w14:textId="77777777" w:rsidR="00B81D9C" w:rsidRPr="00B81D9C" w:rsidRDefault="00B81D9C" w:rsidP="00D7257B">
      <w:pPr>
        <w:rPr>
          <w:noProof/>
          <w:color w:val="000000" w:themeColor="text1"/>
          <w:sz w:val="18"/>
          <w:szCs w:val="18"/>
        </w:rPr>
      </w:pPr>
      <w:r>
        <w:rPr>
          <w:noProof/>
          <w:color w:val="000000" w:themeColor="text1"/>
        </w:rPr>
        <w:t>La Commission entend mener les actions suivantes:</w:t>
      </w:r>
    </w:p>
    <w:tbl>
      <w:tblPr>
        <w:tblW w:w="90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363"/>
        <w:gridCol w:w="1701"/>
      </w:tblGrid>
      <w:tr w:rsidR="00D7257B" w:rsidRPr="00427CC9" w14:paraId="31472951" w14:textId="77777777" w:rsidTr="007167D8">
        <w:tc>
          <w:tcPr>
            <w:tcW w:w="90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37742B7" w14:textId="77777777" w:rsidR="00D7257B" w:rsidRPr="00427CC9" w:rsidRDefault="00D7257B" w:rsidP="007167D8">
            <w:pPr>
              <w:spacing w:after="0"/>
              <w:jc w:val="center"/>
              <w:textAlignment w:val="baseline"/>
              <w:rPr>
                <w:b/>
                <w:bCs/>
                <w:noProof/>
                <w:color w:val="000000" w:themeColor="text1"/>
                <w:szCs w:val="24"/>
              </w:rPr>
            </w:pPr>
            <w:r>
              <w:rPr>
                <w:b/>
                <w:noProof/>
                <w:color w:val="000000" w:themeColor="text1"/>
              </w:rPr>
              <w:t>Cadre de l’UE pour le partage de données</w:t>
            </w:r>
          </w:p>
        </w:tc>
      </w:tr>
      <w:tr w:rsidR="00D7257B" w:rsidRPr="00427CC9" w14:paraId="7708EAB9"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6BE896F" w14:textId="4EC9DF6E" w:rsidR="00D7257B" w:rsidRPr="00427CC9" w:rsidRDefault="003A0599">
            <w:pPr>
              <w:spacing w:after="0"/>
              <w:textAlignment w:val="baseline"/>
              <w:rPr>
                <w:noProof/>
                <w:color w:val="000000" w:themeColor="text1"/>
                <w:szCs w:val="24"/>
              </w:rPr>
            </w:pPr>
            <w:r>
              <w:rPr>
                <w:noProof/>
                <w:color w:val="000000" w:themeColor="text1"/>
                <w:sz w:val="22"/>
              </w:rPr>
              <w:t>Créer formellement le groupe d’experts sur l’énergie intelligente, et mettre en place le groupe «Data for Energy (D4E)», en tant que l’un de ses groupes de travail permanents.</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6AB5C84" w14:textId="77777777" w:rsidR="00D7257B" w:rsidRPr="00427CC9" w:rsidRDefault="00D7257B" w:rsidP="007167D8">
            <w:pPr>
              <w:spacing w:after="0"/>
              <w:textAlignment w:val="baseline"/>
              <w:rPr>
                <w:noProof/>
                <w:color w:val="000000" w:themeColor="text1"/>
                <w:szCs w:val="24"/>
              </w:rPr>
            </w:pPr>
            <w:r>
              <w:rPr>
                <w:noProof/>
                <w:color w:val="000000" w:themeColor="text1"/>
                <w:sz w:val="22"/>
              </w:rPr>
              <w:t xml:space="preserve">T1 2023 </w:t>
            </w:r>
          </w:p>
        </w:tc>
      </w:tr>
      <w:tr w:rsidR="00EF5E05" w:rsidRPr="00427CC9" w14:paraId="16F5396A"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C21B2F2" w14:textId="77EC26B7" w:rsidR="00EF5E05" w:rsidRPr="00985FAC" w:rsidRDefault="00EF5E05" w:rsidP="00985FAC">
            <w:pPr>
              <w:spacing w:after="0" w:line="276" w:lineRule="auto"/>
              <w:rPr>
                <w:noProof/>
                <w:sz w:val="22"/>
              </w:rPr>
            </w:pPr>
            <w:r>
              <w:rPr>
                <w:noProof/>
                <w:sz w:val="22"/>
              </w:rPr>
              <w:t>Établir la gouvernance de l’espace européen commun des données relatives à l’énergie.</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3DAAB95" w14:textId="77777777" w:rsidR="00EF5E05" w:rsidRPr="00427CC9" w:rsidRDefault="00EF5E05" w:rsidP="007167D8">
            <w:pPr>
              <w:spacing w:after="0"/>
              <w:textAlignment w:val="baseline"/>
              <w:rPr>
                <w:noProof/>
                <w:color w:val="000000" w:themeColor="text1"/>
                <w:sz w:val="22"/>
                <w:szCs w:val="22"/>
              </w:rPr>
            </w:pPr>
            <w:r>
              <w:rPr>
                <w:noProof/>
                <w:color w:val="000000" w:themeColor="text1"/>
                <w:sz w:val="22"/>
              </w:rPr>
              <w:t>2024</w:t>
            </w:r>
          </w:p>
        </w:tc>
      </w:tr>
      <w:tr w:rsidR="00D7257B" w:rsidRPr="00427CC9" w14:paraId="3B28B1B0"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BD4B8D2" w14:textId="77777777" w:rsidR="00D7257B" w:rsidRPr="00427CC9" w:rsidRDefault="00624F8D" w:rsidP="00624F8D">
            <w:pPr>
              <w:spacing w:after="0"/>
              <w:textAlignment w:val="baseline"/>
              <w:rPr>
                <w:noProof/>
                <w:color w:val="000000" w:themeColor="text1"/>
                <w:szCs w:val="24"/>
              </w:rPr>
            </w:pPr>
            <w:r>
              <w:rPr>
                <w:noProof/>
                <w:color w:val="000000" w:themeColor="text1"/>
                <w:sz w:val="22"/>
              </w:rPr>
              <w:t>Adopter un acte d’exécution relatif aux exigences d’interopérabilité et les procédures pour l’accès aux données de relevés de consommation et aux données de consommation.</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AC32329" w14:textId="77777777" w:rsidR="00D7257B" w:rsidRPr="00427CC9" w:rsidRDefault="00D7257B" w:rsidP="007167D8">
            <w:pPr>
              <w:spacing w:after="0"/>
              <w:jc w:val="left"/>
              <w:textAlignment w:val="baseline"/>
              <w:rPr>
                <w:noProof/>
                <w:color w:val="000000" w:themeColor="text1"/>
                <w:szCs w:val="24"/>
              </w:rPr>
            </w:pPr>
            <w:r>
              <w:rPr>
                <w:noProof/>
                <w:color w:val="000000" w:themeColor="text1"/>
                <w:sz w:val="22"/>
              </w:rPr>
              <w:t>T3 2022 (soumission à la procédure de comitologie)</w:t>
            </w:r>
          </w:p>
        </w:tc>
      </w:tr>
      <w:tr w:rsidR="00D7257B" w:rsidRPr="00427CC9" w14:paraId="1D41E342"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33585F4" w14:textId="77777777" w:rsidR="00D7257B" w:rsidRPr="00427CC9" w:rsidRDefault="00624F8D" w:rsidP="007167D8">
            <w:pPr>
              <w:spacing w:after="0"/>
              <w:textAlignment w:val="baseline"/>
              <w:rPr>
                <w:noProof/>
                <w:color w:val="000000" w:themeColor="text1"/>
                <w:szCs w:val="24"/>
              </w:rPr>
            </w:pPr>
            <w:r>
              <w:rPr>
                <w:noProof/>
                <w:color w:val="000000" w:themeColor="text1"/>
                <w:sz w:val="22"/>
              </w:rPr>
              <w:t>Préparer le terrain pour l’adoption d’actes d’exécution sur les exigences d’interopérabilité et les procédures pour l’accès aux données nécessaires pour la participation active de la demande et le changement de fournisseur du client.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760B363" w14:textId="77777777" w:rsidR="00D7257B" w:rsidRDefault="00D7257B" w:rsidP="007167D8">
            <w:pPr>
              <w:spacing w:after="0"/>
              <w:textAlignment w:val="baseline"/>
              <w:rPr>
                <w:noProof/>
                <w:color w:val="000000" w:themeColor="text1"/>
                <w:sz w:val="22"/>
                <w:szCs w:val="22"/>
              </w:rPr>
            </w:pPr>
            <w:r>
              <w:rPr>
                <w:noProof/>
                <w:color w:val="000000" w:themeColor="text1"/>
                <w:sz w:val="22"/>
              </w:rPr>
              <w:t>T3 2022</w:t>
            </w:r>
          </w:p>
          <w:p w14:paraId="33CEBD53" w14:textId="77777777" w:rsidR="00D7257B" w:rsidRPr="00427CC9" w:rsidRDefault="00D7257B" w:rsidP="007167D8">
            <w:pPr>
              <w:spacing w:after="0"/>
              <w:textAlignment w:val="baseline"/>
              <w:rPr>
                <w:noProof/>
                <w:color w:val="000000" w:themeColor="text1"/>
                <w:szCs w:val="24"/>
              </w:rPr>
            </w:pPr>
            <w:r>
              <w:rPr>
                <w:noProof/>
                <w:color w:val="000000" w:themeColor="text1"/>
                <w:sz w:val="22"/>
              </w:rPr>
              <w:t>(début d’activité)</w:t>
            </w:r>
          </w:p>
        </w:tc>
      </w:tr>
      <w:tr w:rsidR="00D7257B" w:rsidRPr="00427CC9" w14:paraId="690D9FFA"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3B8271C" w14:textId="77777777" w:rsidR="00D7257B" w:rsidRPr="00427CC9" w:rsidRDefault="008F2FF2" w:rsidP="007167D8">
            <w:pPr>
              <w:spacing w:after="0"/>
              <w:textAlignment w:val="baseline"/>
              <w:rPr>
                <w:noProof/>
                <w:color w:val="000000" w:themeColor="text1"/>
              </w:rPr>
            </w:pPr>
            <w:r>
              <w:rPr>
                <w:noProof/>
                <w:color w:val="000000" w:themeColor="text1"/>
                <w:sz w:val="22"/>
              </w:rPr>
              <w:t xml:space="preserve">Promouvoir un code de conduite pour les appareils intelligents afin de permettre leur interopérabilité et de favoriser </w:t>
            </w:r>
            <w:bookmarkStart w:id="134" w:name="_Int_b1bCRrGJ"/>
            <w:r>
              <w:rPr>
                <w:noProof/>
                <w:color w:val="000000" w:themeColor="text1"/>
                <w:sz w:val="22"/>
              </w:rPr>
              <w:t>leur</w:t>
            </w:r>
            <w:bookmarkEnd w:id="134"/>
            <w:r>
              <w:rPr>
                <w:noProof/>
                <w:color w:val="000000" w:themeColor="text1"/>
                <w:sz w:val="22"/>
              </w:rPr>
              <w:t xml:space="preserve"> intégration aux mécanismes de participation active de la demande.</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AC0FF44" w14:textId="77777777" w:rsidR="00D7257B" w:rsidRPr="00427CC9" w:rsidRDefault="00D7257B" w:rsidP="007167D8">
            <w:pPr>
              <w:spacing w:after="0"/>
              <w:textAlignment w:val="baseline"/>
              <w:rPr>
                <w:noProof/>
                <w:color w:val="000000" w:themeColor="text1"/>
                <w:szCs w:val="24"/>
              </w:rPr>
            </w:pPr>
            <w:r>
              <w:rPr>
                <w:noProof/>
                <w:color w:val="000000" w:themeColor="text1"/>
                <w:sz w:val="22"/>
              </w:rPr>
              <w:t>T4 2023 </w:t>
            </w:r>
          </w:p>
        </w:tc>
      </w:tr>
      <w:tr w:rsidR="00D7257B" w:rsidRPr="00427CC9" w14:paraId="4BA2829D"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ABF3693" w14:textId="77777777" w:rsidR="00D7257B" w:rsidRPr="00427CC9" w:rsidRDefault="008F2FF2" w:rsidP="008F2FF2">
            <w:pPr>
              <w:spacing w:after="0"/>
              <w:textAlignment w:val="baseline"/>
              <w:rPr>
                <w:noProof/>
                <w:color w:val="000000" w:themeColor="text1"/>
                <w:szCs w:val="24"/>
              </w:rPr>
            </w:pPr>
            <w:r>
              <w:rPr>
                <w:rStyle w:val="normaltextrun"/>
                <w:noProof/>
                <w:color w:val="000000" w:themeColor="text1"/>
                <w:sz w:val="22"/>
                <w:shd w:val="clear" w:color="auto" w:fill="FFFFFF"/>
              </w:rPr>
              <w:t>Soutenir le déploiement de l’espace européen commun des données relatives à l’énergie au moyen d’un appel à propositions lancé dans le cadre du programme pour une Europe numérique.</w:t>
            </w:r>
            <w:r>
              <w:rPr>
                <w:noProof/>
                <w:color w:val="000000" w:themeColor="text1"/>
                <w:sz w:val="20"/>
              </w:rPr>
              <w:t xml:space="preserve">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49D8FCD" w14:textId="77777777" w:rsidR="00D7257B" w:rsidRPr="00427CC9" w:rsidRDefault="00D7257B" w:rsidP="007167D8">
            <w:pPr>
              <w:spacing w:after="0"/>
              <w:textAlignment w:val="baseline"/>
              <w:rPr>
                <w:noProof/>
                <w:color w:val="000000" w:themeColor="text1"/>
                <w:szCs w:val="24"/>
              </w:rPr>
            </w:pPr>
            <w:r>
              <w:rPr>
                <w:noProof/>
                <w:color w:val="000000" w:themeColor="text1"/>
                <w:sz w:val="22"/>
              </w:rPr>
              <w:t>2024 </w:t>
            </w:r>
          </w:p>
        </w:tc>
      </w:tr>
      <w:tr w:rsidR="00D7257B" w:rsidRPr="00427CC9" w14:paraId="7AB6B782" w14:textId="77777777" w:rsidTr="007167D8">
        <w:tc>
          <w:tcPr>
            <w:tcW w:w="90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7080BBA" w14:textId="77777777" w:rsidR="00D7257B" w:rsidRPr="00427CC9" w:rsidRDefault="00D7257B" w:rsidP="007167D8">
            <w:pPr>
              <w:spacing w:after="0"/>
              <w:jc w:val="center"/>
              <w:textAlignment w:val="baseline"/>
              <w:rPr>
                <w:noProof/>
                <w:color w:val="000000" w:themeColor="text1"/>
                <w:sz w:val="22"/>
                <w:szCs w:val="22"/>
              </w:rPr>
            </w:pPr>
            <w:r>
              <w:rPr>
                <w:b/>
                <w:noProof/>
                <w:color w:val="000000" w:themeColor="text1"/>
              </w:rPr>
              <w:t>Promouvoir les investissements dans les infrastructures électriques numériques</w:t>
            </w:r>
          </w:p>
        </w:tc>
      </w:tr>
      <w:tr w:rsidR="00D7257B" w:rsidRPr="00427CC9" w14:paraId="3ECDDAF6"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EAAE75E" w14:textId="77777777" w:rsidR="00D7257B" w:rsidRPr="008F2FF2" w:rsidRDefault="008F2FF2" w:rsidP="007167D8">
            <w:pPr>
              <w:spacing w:after="0"/>
              <w:textAlignment w:val="baseline"/>
              <w:rPr>
                <w:noProof/>
                <w:color w:val="000000" w:themeColor="text1"/>
                <w:sz w:val="22"/>
                <w:szCs w:val="22"/>
              </w:rPr>
            </w:pPr>
            <w:r>
              <w:rPr>
                <w:noProof/>
                <w:sz w:val="22"/>
              </w:rPr>
              <w:t>Soutenir les GRT et GRD de l’UE dans la création d’un double numérique du réseau électrique européen.</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D7AE5C8" w14:textId="0ED83CE5" w:rsidR="00D7257B" w:rsidRPr="00427CC9" w:rsidRDefault="00D7257B">
            <w:pPr>
              <w:spacing w:after="0"/>
              <w:jc w:val="left"/>
              <w:textAlignment w:val="baseline"/>
              <w:rPr>
                <w:noProof/>
                <w:color w:val="000000" w:themeColor="text1"/>
                <w:sz w:val="22"/>
                <w:szCs w:val="22"/>
              </w:rPr>
            </w:pPr>
            <w:r>
              <w:rPr>
                <w:noProof/>
                <w:color w:val="000000" w:themeColor="text1"/>
                <w:sz w:val="22"/>
              </w:rPr>
              <w:t xml:space="preserve">dès 2022 </w:t>
            </w:r>
          </w:p>
        </w:tc>
      </w:tr>
      <w:tr w:rsidR="00D7257B" w:rsidRPr="00427CC9" w14:paraId="60560762"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7A55D6C5" w14:textId="77777777" w:rsidR="00D7257B" w:rsidRPr="00622798" w:rsidRDefault="00D7257B" w:rsidP="008F2FF2">
            <w:pPr>
              <w:spacing w:after="0"/>
              <w:textAlignment w:val="baseline"/>
              <w:rPr>
                <w:noProof/>
                <w:color w:val="000000" w:themeColor="text1"/>
                <w:sz w:val="22"/>
                <w:szCs w:val="22"/>
              </w:rPr>
            </w:pPr>
            <w:r>
              <w:rPr>
                <w:noProof/>
                <w:color w:val="000000" w:themeColor="text1"/>
                <w:sz w:val="22"/>
              </w:rPr>
              <w:t>Soutenir l’ACER et les autorités de régulation nationales dans la définition d’indicateurs communs de réseaux intelligents.</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A1D47BD" w14:textId="77777777" w:rsidR="00D7257B" w:rsidRPr="00427CC9" w:rsidRDefault="008F2FF2" w:rsidP="007167D8">
            <w:pPr>
              <w:spacing w:after="0"/>
              <w:textAlignment w:val="baseline"/>
              <w:rPr>
                <w:noProof/>
                <w:color w:val="000000" w:themeColor="text1"/>
                <w:sz w:val="22"/>
                <w:szCs w:val="22"/>
              </w:rPr>
            </w:pPr>
            <w:r>
              <w:rPr>
                <w:noProof/>
                <w:color w:val="000000" w:themeColor="text1"/>
                <w:sz w:val="22"/>
              </w:rPr>
              <w:t>D’ici 2023</w:t>
            </w:r>
          </w:p>
        </w:tc>
      </w:tr>
      <w:tr w:rsidR="009558AF" w:rsidRPr="00427CC9" w14:paraId="1AE97C17"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F661FC1" w14:textId="77777777" w:rsidR="009558AF" w:rsidRPr="00622798" w:rsidRDefault="009558AF" w:rsidP="008F2FF2">
            <w:pPr>
              <w:spacing w:after="0"/>
              <w:textAlignment w:val="baseline"/>
              <w:rPr>
                <w:noProof/>
                <w:color w:val="000000" w:themeColor="text1"/>
                <w:sz w:val="22"/>
              </w:rPr>
            </w:pPr>
            <w:r>
              <w:rPr>
                <w:noProof/>
                <w:color w:val="000000" w:themeColor="text1"/>
                <w:sz w:val="22"/>
              </w:rPr>
              <w:t xml:space="preserve">Soutenir, dans le cadre du volet numérique du MIE, l’élaboration de concepts et la réalisation d’études de faisabilité pour les plateformes numériques opérationnelles paneuropéennes.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BDD1131" w14:textId="77777777" w:rsidR="009558AF" w:rsidRPr="00622798" w:rsidRDefault="009558AF" w:rsidP="007167D8">
            <w:pPr>
              <w:spacing w:after="0"/>
              <w:textAlignment w:val="baseline"/>
              <w:rPr>
                <w:noProof/>
                <w:color w:val="000000" w:themeColor="text1"/>
                <w:sz w:val="22"/>
                <w:szCs w:val="22"/>
              </w:rPr>
            </w:pPr>
            <w:r>
              <w:rPr>
                <w:noProof/>
                <w:color w:val="000000" w:themeColor="text1"/>
                <w:sz w:val="22"/>
              </w:rPr>
              <w:t>D’ici 2024</w:t>
            </w:r>
          </w:p>
        </w:tc>
      </w:tr>
      <w:tr w:rsidR="00D7257B" w:rsidRPr="00427CC9" w14:paraId="5C637EAB" w14:textId="77777777" w:rsidTr="007167D8">
        <w:tc>
          <w:tcPr>
            <w:tcW w:w="90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A4A386E" w14:textId="77777777" w:rsidR="00D7257B" w:rsidRPr="00427CC9" w:rsidRDefault="00D7257B" w:rsidP="007167D8">
            <w:pPr>
              <w:spacing w:after="0"/>
              <w:jc w:val="center"/>
              <w:textAlignment w:val="baseline"/>
              <w:rPr>
                <w:b/>
                <w:noProof/>
                <w:color w:val="000000" w:themeColor="text1"/>
                <w:sz w:val="22"/>
                <w:szCs w:val="22"/>
              </w:rPr>
            </w:pPr>
            <w:r>
              <w:rPr>
                <w:b/>
                <w:noProof/>
                <w:color w:val="000000" w:themeColor="text1"/>
                <w:sz w:val="22"/>
              </w:rPr>
              <w:t>Garantir des avantages pour les consommateurs: nouveaux services, compétences et autonomisation</w:t>
            </w:r>
          </w:p>
        </w:tc>
      </w:tr>
      <w:tr w:rsidR="00D7257B" w:rsidRPr="00427CC9" w14:paraId="455DB910"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FFF547D" w14:textId="75041025" w:rsidR="00D7257B" w:rsidRPr="008F2FF2" w:rsidRDefault="00B81D9C" w:rsidP="00B81D9C">
            <w:pPr>
              <w:spacing w:after="0"/>
              <w:textAlignment w:val="baseline"/>
              <w:rPr>
                <w:noProof/>
                <w:color w:val="000000" w:themeColor="text1"/>
                <w:sz w:val="22"/>
                <w:szCs w:val="22"/>
              </w:rPr>
            </w:pPr>
            <w:r>
              <w:rPr>
                <w:noProof/>
                <w:color w:val="000000" w:themeColor="text1"/>
                <w:sz w:val="22"/>
              </w:rPr>
              <w:t>Veiller à ce que les projets de R&amp;I clés collaborent</w:t>
            </w:r>
            <w:r>
              <w:rPr>
                <w:noProof/>
              </w:rPr>
              <w:t xml:space="preserve"> </w:t>
            </w:r>
            <w:r>
              <w:rPr>
                <w:noProof/>
                <w:color w:val="000000" w:themeColor="text1"/>
                <w:sz w:val="22"/>
              </w:rPr>
              <w:t xml:space="preserve">à la définition de stratégies visant à associer les consommateurs à la conception et à l’utilisation d’outils numériques.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1592E9B" w14:textId="77777777" w:rsidR="00D7257B" w:rsidRPr="00427CC9" w:rsidRDefault="008F2FF2" w:rsidP="007167D8">
            <w:pPr>
              <w:spacing w:after="0"/>
              <w:textAlignment w:val="baseline"/>
              <w:rPr>
                <w:noProof/>
                <w:color w:val="000000" w:themeColor="text1"/>
                <w:sz w:val="22"/>
                <w:szCs w:val="22"/>
              </w:rPr>
            </w:pPr>
            <w:r>
              <w:rPr>
                <w:noProof/>
                <w:color w:val="000000" w:themeColor="text1"/>
                <w:sz w:val="22"/>
              </w:rPr>
              <w:t>T2 2023</w:t>
            </w:r>
          </w:p>
        </w:tc>
      </w:tr>
      <w:tr w:rsidR="00D7257B" w:rsidRPr="00427CC9" w14:paraId="6C4A701C"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79182F7" w14:textId="50BF892B" w:rsidR="00D7257B" w:rsidRPr="00427CC9" w:rsidRDefault="00D7257B" w:rsidP="00B92C13">
            <w:pPr>
              <w:spacing w:after="0"/>
              <w:textAlignment w:val="baseline"/>
              <w:rPr>
                <w:rStyle w:val="normaltextrun"/>
                <w:rFonts w:eastAsiaTheme="majorEastAsia"/>
                <w:bCs/>
                <w:noProof/>
                <w:color w:val="000000" w:themeColor="text1"/>
                <w:sz w:val="22"/>
                <w:shd w:val="clear" w:color="auto" w:fill="FFFFFF"/>
              </w:rPr>
            </w:pPr>
            <w:r>
              <w:rPr>
                <w:rStyle w:val="normaltextrun"/>
                <w:noProof/>
                <w:color w:val="000000" w:themeColor="text1"/>
                <w:sz w:val="22"/>
                <w:shd w:val="clear" w:color="auto" w:fill="FFFFFF"/>
              </w:rPr>
              <w:t>Recenser et sélectionner des outils numériques et produire des orientations pour le partage de l’énergie et les échanges entre pairs au profit des communautés énergétiques et de leurs membres dans le cadre du référentiel des communautés énergétiques.</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45A03A3" w14:textId="77777777" w:rsidR="00D7257B" w:rsidRPr="00427CC9" w:rsidRDefault="00D7257B" w:rsidP="007167D8">
            <w:pPr>
              <w:spacing w:after="0"/>
              <w:textAlignment w:val="baseline"/>
              <w:rPr>
                <w:noProof/>
                <w:color w:val="000000" w:themeColor="text1"/>
                <w:sz w:val="22"/>
                <w:szCs w:val="22"/>
              </w:rPr>
            </w:pPr>
            <w:r>
              <w:rPr>
                <w:noProof/>
                <w:color w:val="000000" w:themeColor="text1"/>
                <w:sz w:val="22"/>
              </w:rPr>
              <w:t>2023-2024</w:t>
            </w:r>
          </w:p>
        </w:tc>
      </w:tr>
      <w:tr w:rsidR="00D7257B" w:rsidRPr="00427CC9" w14:paraId="558062AF"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7EBBD196" w14:textId="40CB4E26" w:rsidR="00D7257B" w:rsidRPr="00427CC9" w:rsidRDefault="00D7257B" w:rsidP="007167D8">
            <w:pPr>
              <w:spacing w:after="0"/>
              <w:textAlignment w:val="baseline"/>
              <w:rPr>
                <w:rStyle w:val="normaltextrun"/>
                <w:rFonts w:eastAsiaTheme="majorEastAsia"/>
                <w:bCs/>
                <w:noProof/>
                <w:color w:val="000000" w:themeColor="text1"/>
                <w:sz w:val="22"/>
                <w:shd w:val="clear" w:color="auto" w:fill="FFFFFF"/>
              </w:rPr>
            </w:pPr>
            <w:r>
              <w:rPr>
                <w:rStyle w:val="normaltextrun"/>
                <w:noProof/>
                <w:color w:val="000000" w:themeColor="text1"/>
                <w:sz w:val="22"/>
                <w:shd w:val="clear" w:color="auto" w:fill="FFFFFF"/>
              </w:rPr>
              <w:t>Développer une plateforme d’expérimentation afin de tester et de simuler des communautés énergétiques.</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6646B98" w14:textId="77777777" w:rsidR="00D7257B" w:rsidRPr="00427CC9" w:rsidRDefault="00D7257B" w:rsidP="007167D8">
            <w:pPr>
              <w:spacing w:after="0"/>
              <w:textAlignment w:val="baseline"/>
              <w:rPr>
                <w:noProof/>
                <w:color w:val="000000" w:themeColor="text1"/>
                <w:sz w:val="22"/>
                <w:szCs w:val="22"/>
              </w:rPr>
            </w:pPr>
            <w:r>
              <w:rPr>
                <w:noProof/>
                <w:color w:val="000000" w:themeColor="text1"/>
                <w:sz w:val="22"/>
              </w:rPr>
              <w:t>2023-2024</w:t>
            </w:r>
          </w:p>
        </w:tc>
      </w:tr>
      <w:tr w:rsidR="00D7257B" w:rsidRPr="00427CC9" w14:paraId="193DA469"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956C3D1" w14:textId="28207113" w:rsidR="00D7257B" w:rsidRPr="00427CC9" w:rsidRDefault="00D7257B" w:rsidP="00B92C13">
            <w:pPr>
              <w:spacing w:after="0"/>
              <w:textAlignment w:val="baseline"/>
              <w:rPr>
                <w:i/>
                <w:iCs/>
                <w:noProof/>
                <w:color w:val="000000" w:themeColor="text1"/>
                <w:szCs w:val="24"/>
              </w:rPr>
            </w:pPr>
            <w:r>
              <w:rPr>
                <w:rStyle w:val="normaltextrun"/>
                <w:noProof/>
                <w:color w:val="000000" w:themeColor="text1"/>
                <w:sz w:val="22"/>
                <w:bdr w:val="none" w:sz="0" w:space="0" w:color="auto" w:frame="1"/>
              </w:rPr>
              <w:t>Soutenir la mise en place d’un partenariat à grande échelle dans le cadre du pacte pour les compétences.</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0A30683" w14:textId="77777777" w:rsidR="00D7257B" w:rsidRPr="00427CC9" w:rsidRDefault="00B92C13" w:rsidP="007167D8">
            <w:pPr>
              <w:spacing w:after="0"/>
              <w:textAlignment w:val="baseline"/>
              <w:rPr>
                <w:noProof/>
                <w:color w:val="000000" w:themeColor="text1"/>
                <w:szCs w:val="24"/>
              </w:rPr>
            </w:pPr>
            <w:r>
              <w:rPr>
                <w:noProof/>
                <w:color w:val="000000" w:themeColor="text1"/>
                <w:sz w:val="22"/>
              </w:rPr>
              <w:t xml:space="preserve">Fin 2023 </w:t>
            </w:r>
          </w:p>
        </w:tc>
      </w:tr>
      <w:tr w:rsidR="00D7257B" w:rsidRPr="00427CC9" w14:paraId="5FF91391" w14:textId="77777777" w:rsidTr="007167D8">
        <w:tc>
          <w:tcPr>
            <w:tcW w:w="90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6CD91B4C" w14:textId="77777777" w:rsidR="00D7257B" w:rsidRPr="00427CC9" w:rsidRDefault="00D7257B" w:rsidP="007167D8">
            <w:pPr>
              <w:spacing w:after="0"/>
              <w:jc w:val="center"/>
              <w:textAlignment w:val="baseline"/>
              <w:rPr>
                <w:noProof/>
                <w:color w:val="000000" w:themeColor="text1"/>
                <w:szCs w:val="24"/>
              </w:rPr>
            </w:pPr>
            <w:r>
              <w:rPr>
                <w:b/>
                <w:noProof/>
                <w:color w:val="000000" w:themeColor="text1"/>
              </w:rPr>
              <w:t>Renforcer la cybersécurité et la cyberrésilience dans le système énergétique</w:t>
            </w:r>
          </w:p>
        </w:tc>
      </w:tr>
      <w:tr w:rsidR="00D7257B" w:rsidRPr="00427CC9" w14:paraId="046BE90B"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1707D4F" w14:textId="77777777" w:rsidR="00D7257B" w:rsidRPr="00150008" w:rsidRDefault="00D7257B" w:rsidP="007167D8">
            <w:pPr>
              <w:rPr>
                <w:noProof/>
                <w:color w:val="000000" w:themeColor="text1"/>
                <w:szCs w:val="24"/>
                <w:lang w:val="fr-BE" w:eastAsia="en-GB"/>
              </w:rPr>
            </w:pP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3844586" w14:textId="77777777" w:rsidR="00D7257B" w:rsidRPr="00150008" w:rsidRDefault="00D7257B" w:rsidP="007167D8">
            <w:pPr>
              <w:rPr>
                <w:noProof/>
                <w:color w:val="000000" w:themeColor="text1"/>
                <w:szCs w:val="24"/>
                <w:lang w:val="fr-BE" w:eastAsia="en-GB"/>
              </w:rPr>
            </w:pPr>
          </w:p>
        </w:tc>
      </w:tr>
      <w:tr w:rsidR="00D7257B" w:rsidRPr="00427CC9" w14:paraId="451A245E"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3AD809C9" w14:textId="0A6B02E2" w:rsidR="00D7257B" w:rsidRPr="00427CC9" w:rsidRDefault="00D7257B" w:rsidP="007167D8">
            <w:pPr>
              <w:rPr>
                <w:noProof/>
                <w:color w:val="000000" w:themeColor="text1"/>
                <w:sz w:val="22"/>
                <w:szCs w:val="24"/>
              </w:rPr>
            </w:pPr>
            <w:r>
              <w:rPr>
                <w:noProof/>
                <w:color w:val="000000" w:themeColor="text1"/>
                <w:sz w:val="22"/>
              </w:rPr>
              <w:t>Proposer un acte délégué sur la cybersécurité des flux transfrontaliers d’électricité.</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CFC461B" w14:textId="77777777" w:rsidR="00D7257B" w:rsidRPr="00427CC9" w:rsidRDefault="00E70B48" w:rsidP="00E70B48">
            <w:pPr>
              <w:rPr>
                <w:noProof/>
                <w:color w:val="000000" w:themeColor="text1"/>
                <w:sz w:val="22"/>
                <w:szCs w:val="24"/>
              </w:rPr>
            </w:pPr>
            <w:r>
              <w:rPr>
                <w:noProof/>
                <w:color w:val="000000" w:themeColor="text1"/>
                <w:sz w:val="22"/>
              </w:rPr>
              <w:t xml:space="preserve">T1 2023 </w:t>
            </w:r>
          </w:p>
        </w:tc>
      </w:tr>
      <w:tr w:rsidR="00D7257B" w:rsidRPr="00427CC9" w14:paraId="59C2DDE5"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6F20A95" w14:textId="5DBD9669" w:rsidR="00D7257B" w:rsidRPr="00427CC9" w:rsidRDefault="00B92C13" w:rsidP="00641EDE">
            <w:pPr>
              <w:spacing w:after="0"/>
              <w:textAlignment w:val="baseline"/>
              <w:rPr>
                <w:i/>
                <w:iCs/>
                <w:noProof/>
                <w:color w:val="000000" w:themeColor="text1"/>
              </w:rPr>
            </w:pPr>
            <w:r>
              <w:rPr>
                <w:noProof/>
                <w:color w:val="000000" w:themeColor="text1"/>
                <w:sz w:val="22"/>
              </w:rPr>
              <w:t>Proposer un acte délégué sur la cybersécurité pour les réseaux de gaz (sous réserve de confirmation au terme de la procédure législative).</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E8CC733" w14:textId="77777777" w:rsidR="00D7257B" w:rsidRPr="00427CC9" w:rsidRDefault="00641EDE" w:rsidP="00985FAC">
            <w:pPr>
              <w:spacing w:after="0"/>
              <w:jc w:val="left"/>
              <w:textAlignment w:val="baseline"/>
              <w:rPr>
                <w:noProof/>
                <w:color w:val="000000" w:themeColor="text1"/>
              </w:rPr>
            </w:pPr>
            <w:r>
              <w:rPr>
                <w:noProof/>
                <w:color w:val="000000" w:themeColor="text1"/>
                <w:sz w:val="22"/>
              </w:rPr>
              <w:t>Sous réserve de confirmation</w:t>
            </w:r>
          </w:p>
        </w:tc>
      </w:tr>
      <w:tr w:rsidR="00D7257B" w:rsidRPr="00427CC9" w14:paraId="3BE90565" w14:textId="77777777" w:rsidTr="007167D8">
        <w:tc>
          <w:tcPr>
            <w:tcW w:w="90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A46098C" w14:textId="77777777" w:rsidR="00D7257B" w:rsidRPr="00427CC9" w:rsidRDefault="00D7257B" w:rsidP="007167D8">
            <w:pPr>
              <w:spacing w:after="0"/>
              <w:jc w:val="center"/>
              <w:textAlignment w:val="baseline"/>
              <w:rPr>
                <w:b/>
                <w:noProof/>
                <w:color w:val="000000" w:themeColor="text1"/>
                <w:szCs w:val="24"/>
              </w:rPr>
            </w:pPr>
            <w:r>
              <w:rPr>
                <w:i/>
                <w:noProof/>
                <w:color w:val="000000" w:themeColor="text1"/>
                <w:sz w:val="22"/>
              </w:rPr>
              <w:t xml:space="preserve"> </w:t>
            </w:r>
            <w:r>
              <w:rPr>
                <w:b/>
                <w:noProof/>
                <w:color w:val="000000" w:themeColor="text1"/>
              </w:rPr>
              <w:t>Contrôler la consommation d’énergie du secteur des TIC</w:t>
            </w:r>
          </w:p>
        </w:tc>
      </w:tr>
      <w:tr w:rsidR="00D7257B" w:rsidRPr="00427CC9" w14:paraId="24183147"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69B1194" w14:textId="687C711E" w:rsidR="00D7257B" w:rsidRPr="00427CC9" w:rsidRDefault="00D7257B">
            <w:pPr>
              <w:spacing w:after="0"/>
              <w:textAlignment w:val="baseline"/>
              <w:rPr>
                <w:i/>
                <w:iCs/>
                <w:noProof/>
                <w:color w:val="000000" w:themeColor="text1"/>
                <w:szCs w:val="24"/>
              </w:rPr>
            </w:pPr>
            <w:r>
              <w:rPr>
                <w:noProof/>
                <w:color w:val="000000" w:themeColor="text1"/>
                <w:sz w:val="22"/>
              </w:rPr>
              <w:t>Établir un système d’étiquetage énergétique pour les ordinateurs et évaluer l’opportunité d’une révision du règlement relatif à l’écoconception des serveurs et produits de stockage de données.</w:t>
            </w:r>
            <w:r>
              <w:rPr>
                <w:noProof/>
                <w:sz w:val="22"/>
              </w:rPr>
              <w:t xml:space="preserve"> Examiner la possibilité de développer des indicateurs communs pour mesurer l’empreinte environnementale des services de communications électroniques.</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25FE33DB" w14:textId="77777777" w:rsidR="00D7257B" w:rsidRPr="00427CC9" w:rsidRDefault="00D7257B" w:rsidP="007167D8">
            <w:pPr>
              <w:spacing w:after="0"/>
              <w:textAlignment w:val="baseline"/>
              <w:rPr>
                <w:noProof/>
                <w:color w:val="000000" w:themeColor="text1"/>
                <w:szCs w:val="24"/>
              </w:rPr>
            </w:pPr>
            <w:r>
              <w:rPr>
                <w:noProof/>
                <w:color w:val="000000" w:themeColor="text1"/>
                <w:sz w:val="22"/>
              </w:rPr>
              <w:t>T4 2023 </w:t>
            </w:r>
          </w:p>
        </w:tc>
      </w:tr>
      <w:tr w:rsidR="009D7FF3" w:rsidRPr="00427CC9" w14:paraId="39496E39"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593E9EE" w14:textId="3FFC1B50" w:rsidR="009D7FF3" w:rsidRPr="00450D26" w:rsidRDefault="00067D0D">
            <w:pPr>
              <w:spacing w:after="0"/>
              <w:textAlignment w:val="baseline"/>
              <w:rPr>
                <w:rStyle w:val="normaltextrun"/>
                <w:noProof/>
                <w:color w:val="000000" w:themeColor="text1"/>
                <w:sz w:val="22"/>
                <w:shd w:val="clear" w:color="auto" w:fill="FFFFFF"/>
              </w:rPr>
            </w:pPr>
            <w:r>
              <w:rPr>
                <w:rStyle w:val="normaltextrun"/>
                <w:noProof/>
                <w:color w:val="000000" w:themeColor="text1"/>
                <w:sz w:val="22"/>
                <w:shd w:val="clear" w:color="auto" w:fill="FFFFFF"/>
              </w:rPr>
              <w:t>Établir un code de conduite de l’UE pour la durabilité des réseaux de télécommunications.</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682216F" w14:textId="560B7CEC" w:rsidR="009D7FF3" w:rsidRPr="00450D26" w:rsidRDefault="009D7FF3" w:rsidP="007167D8">
            <w:pPr>
              <w:spacing w:after="0"/>
              <w:textAlignment w:val="baseline"/>
              <w:rPr>
                <w:noProof/>
                <w:color w:val="000000" w:themeColor="text1"/>
                <w:sz w:val="22"/>
              </w:rPr>
            </w:pPr>
            <w:r>
              <w:rPr>
                <w:noProof/>
                <w:color w:val="000000" w:themeColor="text1"/>
                <w:sz w:val="22"/>
              </w:rPr>
              <w:t xml:space="preserve">T4 2025 </w:t>
            </w:r>
          </w:p>
        </w:tc>
      </w:tr>
      <w:tr w:rsidR="00D7257B" w:rsidRPr="00427CC9" w14:paraId="15383884"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A8EB377" w14:textId="77777777" w:rsidR="00D7257B" w:rsidRPr="00427CC9" w:rsidRDefault="00D7257B" w:rsidP="007167D8">
            <w:pPr>
              <w:spacing w:after="0"/>
              <w:textAlignment w:val="baseline"/>
              <w:rPr>
                <w:rStyle w:val="normaltextrun"/>
                <w:rFonts w:eastAsia="Calibri"/>
                <w:bCs/>
                <w:noProof/>
                <w:color w:val="000000" w:themeColor="text1"/>
                <w:sz w:val="22"/>
                <w:shd w:val="clear" w:color="auto" w:fill="FFFFFF"/>
              </w:rPr>
            </w:pPr>
            <w:r>
              <w:rPr>
                <w:rStyle w:val="normaltextrun"/>
                <w:noProof/>
                <w:color w:val="000000" w:themeColor="text1"/>
                <w:sz w:val="22"/>
                <w:shd w:val="clear" w:color="auto" w:fill="FFFFFF"/>
              </w:rPr>
              <w:t xml:space="preserve">Financer une étude et préparer une campagne de communication et de sensibilisation </w:t>
            </w:r>
            <w:r>
              <w:rPr>
                <w:noProof/>
                <w:sz w:val="22"/>
              </w:rPr>
              <w:t>sur la consommation d’énergie responsable dans les comportements numériques quotidiens.</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7F87BBB0" w14:textId="77777777" w:rsidR="00D7257B" w:rsidRPr="00427CC9" w:rsidRDefault="00D7257B" w:rsidP="007167D8">
            <w:pPr>
              <w:spacing w:after="0"/>
              <w:textAlignment w:val="baseline"/>
              <w:rPr>
                <w:noProof/>
                <w:color w:val="000000" w:themeColor="text1"/>
                <w:sz w:val="22"/>
                <w:szCs w:val="22"/>
              </w:rPr>
            </w:pPr>
            <w:r>
              <w:rPr>
                <w:noProof/>
                <w:color w:val="000000" w:themeColor="text1"/>
                <w:sz w:val="22"/>
              </w:rPr>
              <w:t>2022-2023</w:t>
            </w:r>
          </w:p>
        </w:tc>
      </w:tr>
      <w:tr w:rsidR="00D7257B" w:rsidRPr="00427CC9" w14:paraId="3306B3F6"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8DCD0E2" w14:textId="2FFE43D5" w:rsidR="00D7257B" w:rsidRPr="00E70B48" w:rsidRDefault="00C664E9" w:rsidP="007167D8">
            <w:pPr>
              <w:spacing w:after="0"/>
              <w:textAlignment w:val="baseline"/>
              <w:rPr>
                <w:noProof/>
                <w:color w:val="000000" w:themeColor="text1"/>
                <w:sz w:val="22"/>
                <w:szCs w:val="22"/>
              </w:rPr>
            </w:pPr>
            <w:r>
              <w:rPr>
                <w:noProof/>
                <w:sz w:val="22"/>
              </w:rPr>
              <w:t>Proposer des obligations contraignantes et des exigences de transparence, ainsi que des dispositions pour promouvoir la réutilisation de la chaleur résiduelle, pour les centres de données.</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A463908" w14:textId="77777777" w:rsidR="00D7257B" w:rsidRPr="00427CC9" w:rsidRDefault="00E70B48" w:rsidP="007167D8">
            <w:pPr>
              <w:spacing w:after="0"/>
              <w:textAlignment w:val="baseline"/>
              <w:rPr>
                <w:noProof/>
                <w:color w:val="000000" w:themeColor="text1"/>
                <w:sz w:val="22"/>
                <w:szCs w:val="22"/>
              </w:rPr>
            </w:pPr>
            <w:r>
              <w:rPr>
                <w:noProof/>
                <w:color w:val="000000" w:themeColor="text1"/>
                <w:sz w:val="22"/>
              </w:rPr>
              <w:t>T4 2022</w:t>
            </w:r>
          </w:p>
        </w:tc>
      </w:tr>
      <w:tr w:rsidR="00044D53" w:rsidRPr="00427CC9" w14:paraId="623F9705"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332A5DB" w14:textId="77777777" w:rsidR="00044D53" w:rsidRPr="00044D53" w:rsidRDefault="00044D53" w:rsidP="007167D8">
            <w:pPr>
              <w:spacing w:after="0"/>
              <w:textAlignment w:val="baseline"/>
              <w:rPr>
                <w:noProof/>
                <w:sz w:val="22"/>
              </w:rPr>
            </w:pPr>
            <w:r>
              <w:rPr>
                <w:noProof/>
                <w:sz w:val="22"/>
              </w:rPr>
              <w:t>Explorer et préparer l’introduction d’un système de label environnemental pour les centres de données.</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91192F4" w14:textId="77777777" w:rsidR="00044D53" w:rsidRDefault="00044D53" w:rsidP="007167D8">
            <w:pPr>
              <w:spacing w:after="0"/>
              <w:textAlignment w:val="baseline"/>
              <w:rPr>
                <w:noProof/>
                <w:color w:val="000000" w:themeColor="text1"/>
                <w:sz w:val="22"/>
                <w:szCs w:val="22"/>
              </w:rPr>
            </w:pPr>
            <w:r>
              <w:rPr>
                <w:noProof/>
                <w:color w:val="000000" w:themeColor="text1"/>
                <w:sz w:val="22"/>
              </w:rPr>
              <w:t>2025</w:t>
            </w:r>
          </w:p>
        </w:tc>
      </w:tr>
      <w:tr w:rsidR="003B1E61" w:rsidRPr="00427CC9" w14:paraId="331EB94A"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96128A3" w14:textId="63F4DD2B" w:rsidR="003B1E61" w:rsidRPr="00044D53" w:rsidRDefault="002C248C" w:rsidP="002C248C">
            <w:pPr>
              <w:spacing w:after="0"/>
              <w:textAlignment w:val="baseline"/>
              <w:rPr>
                <w:rStyle w:val="normaltextrun"/>
                <w:rFonts w:eastAsiaTheme="majorEastAsia"/>
                <w:noProof/>
                <w:color w:val="000000" w:themeColor="text1"/>
                <w:sz w:val="22"/>
                <w:shd w:val="clear" w:color="auto" w:fill="FFFFFF"/>
              </w:rPr>
            </w:pPr>
            <w:r>
              <w:rPr>
                <w:rStyle w:val="normaltextrun"/>
                <w:noProof/>
                <w:color w:val="000000" w:themeColor="text1"/>
                <w:sz w:val="22"/>
                <w:shd w:val="clear" w:color="auto" w:fill="FFFFFF"/>
              </w:rPr>
              <w:t xml:space="preserve">Créer un label d’efficacité </w:t>
            </w:r>
            <w:r w:rsidR="003B1E61">
              <w:rPr>
                <w:rStyle w:val="normaltextrun"/>
                <w:noProof/>
                <w:color w:val="000000" w:themeColor="text1"/>
                <w:sz w:val="22"/>
                <w:shd w:val="clear" w:color="auto" w:fill="FFFFFF"/>
              </w:rPr>
              <w:t>énergétique pour l</w:t>
            </w:r>
            <w:r>
              <w:rPr>
                <w:rStyle w:val="normaltextrun"/>
                <w:noProof/>
                <w:color w:val="000000" w:themeColor="text1"/>
                <w:sz w:val="22"/>
                <w:shd w:val="clear" w:color="auto" w:fill="FFFFFF"/>
              </w:rPr>
              <w:t>es</w:t>
            </w:r>
            <w:r w:rsidR="003B1E61">
              <w:rPr>
                <w:rStyle w:val="normaltextrun"/>
                <w:noProof/>
                <w:color w:val="000000" w:themeColor="text1"/>
                <w:sz w:val="22"/>
                <w:shd w:val="clear" w:color="auto" w:fill="FFFFFF"/>
              </w:rPr>
              <w:t xml:space="preserve"> chaîne</w:t>
            </w:r>
            <w:r>
              <w:rPr>
                <w:rStyle w:val="normaltextrun"/>
                <w:noProof/>
                <w:color w:val="000000" w:themeColor="text1"/>
                <w:sz w:val="22"/>
                <w:shd w:val="clear" w:color="auto" w:fill="FFFFFF"/>
              </w:rPr>
              <w:t>s</w:t>
            </w:r>
            <w:r w:rsidR="003B1E61">
              <w:rPr>
                <w:rStyle w:val="normaltextrun"/>
                <w:noProof/>
                <w:color w:val="000000" w:themeColor="text1"/>
                <w:sz w:val="22"/>
                <w:shd w:val="clear" w:color="auto" w:fill="FFFFFF"/>
              </w:rPr>
              <w:t xml:space="preserve"> de blocs.</w:t>
            </w:r>
            <w:r w:rsidR="003B1E61">
              <w:rPr>
                <w:noProof/>
                <w:sz w:val="22"/>
              </w:rPr>
              <w:t xml:space="preserve"> </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F60E42F" w14:textId="1D307466" w:rsidR="003B1E61" w:rsidRDefault="003B1E61" w:rsidP="003B1E61">
            <w:pPr>
              <w:spacing w:after="0"/>
              <w:textAlignment w:val="baseline"/>
              <w:rPr>
                <w:noProof/>
                <w:color w:val="000000" w:themeColor="text1"/>
                <w:sz w:val="22"/>
                <w:szCs w:val="22"/>
              </w:rPr>
            </w:pPr>
            <w:r>
              <w:rPr>
                <w:noProof/>
                <w:color w:val="000000" w:themeColor="text1"/>
                <w:sz w:val="22"/>
              </w:rPr>
              <w:t>2025</w:t>
            </w:r>
          </w:p>
        </w:tc>
      </w:tr>
      <w:tr w:rsidR="003B1E61" w:rsidRPr="00427CC9" w14:paraId="576E900D" w14:textId="77777777" w:rsidTr="007167D8">
        <w:tc>
          <w:tcPr>
            <w:tcW w:w="90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3CB71A09" w14:textId="77777777" w:rsidR="003B1E61" w:rsidRPr="00427CC9" w:rsidRDefault="003B1E61" w:rsidP="003B1E61">
            <w:pPr>
              <w:spacing w:after="0"/>
              <w:jc w:val="center"/>
              <w:textAlignment w:val="baseline"/>
              <w:rPr>
                <w:b/>
                <w:noProof/>
                <w:color w:val="000000" w:themeColor="text1"/>
                <w:sz w:val="22"/>
                <w:szCs w:val="22"/>
              </w:rPr>
            </w:pPr>
            <w:r>
              <w:rPr>
                <w:b/>
                <w:noProof/>
                <w:color w:val="000000" w:themeColor="text1"/>
              </w:rPr>
              <w:t>Approche coordonnée à l’échelle de l’UE</w:t>
            </w:r>
          </w:p>
        </w:tc>
      </w:tr>
      <w:tr w:rsidR="003B1E61" w:rsidRPr="00427CC9" w14:paraId="5E1E21C1"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0C28D4F" w14:textId="4F33BF2F" w:rsidR="003B1E61" w:rsidRPr="00427CC9" w:rsidRDefault="003B1E61" w:rsidP="003B1E61">
            <w:pPr>
              <w:spacing w:after="0"/>
              <w:textAlignment w:val="baseline"/>
              <w:rPr>
                <w:noProof/>
                <w:color w:val="000000" w:themeColor="text1"/>
                <w:sz w:val="22"/>
                <w:szCs w:val="22"/>
              </w:rPr>
            </w:pPr>
            <w:r>
              <w:rPr>
                <w:noProof/>
                <w:color w:val="000000" w:themeColor="text1"/>
                <w:sz w:val="22"/>
              </w:rPr>
              <w:t>Créer une plateforme visant à rassembler des innovateurs des secteurs de l’énergie et du numérique de l’ensemble de l’UE («</w:t>
            </w:r>
            <w:r>
              <w:rPr>
                <w:rStyle w:val="normaltextrun"/>
                <w:noProof/>
                <w:color w:val="000000" w:themeColor="text1"/>
                <w:sz w:val="22"/>
                <w:shd w:val="clear" w:color="auto" w:fill="FFFFFF"/>
              </w:rPr>
              <w:t>Gathering Energy and Digital Innovators from across the EU», ou GEDI-EU).</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52B3FDD8" w14:textId="77777777" w:rsidR="003B1E61" w:rsidRPr="00427CC9" w:rsidRDefault="003B1E61" w:rsidP="003B1E61">
            <w:pPr>
              <w:spacing w:after="0"/>
              <w:textAlignment w:val="baseline"/>
              <w:rPr>
                <w:noProof/>
                <w:color w:val="000000" w:themeColor="text1"/>
                <w:sz w:val="22"/>
                <w:szCs w:val="22"/>
              </w:rPr>
            </w:pPr>
            <w:r>
              <w:rPr>
                <w:noProof/>
                <w:color w:val="000000" w:themeColor="text1"/>
                <w:sz w:val="22"/>
              </w:rPr>
              <w:t>2022</w:t>
            </w:r>
          </w:p>
        </w:tc>
      </w:tr>
      <w:tr w:rsidR="003B1E61" w:rsidRPr="00427CC9" w14:paraId="1B29D49E"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0E9A1DD" w14:textId="0EE4D771" w:rsidR="003B1E61" w:rsidRPr="00E4559B" w:rsidRDefault="003B1E61" w:rsidP="003B1E61">
            <w:pPr>
              <w:spacing w:after="0"/>
              <w:textAlignment w:val="baseline"/>
              <w:rPr>
                <w:rStyle w:val="normaltextrun"/>
                <w:rFonts w:eastAsiaTheme="majorEastAsia"/>
                <w:noProof/>
                <w:color w:val="000000" w:themeColor="text1"/>
                <w:sz w:val="22"/>
                <w:szCs w:val="22"/>
                <w:shd w:val="clear" w:color="auto" w:fill="FFFFFF"/>
              </w:rPr>
            </w:pPr>
            <w:r>
              <w:rPr>
                <w:rStyle w:val="normaltextrun"/>
                <w:noProof/>
                <w:color w:val="000000" w:themeColor="text1"/>
                <w:sz w:val="22"/>
                <w:shd w:val="clear" w:color="auto" w:fill="FFFFFF"/>
              </w:rPr>
              <w:t xml:space="preserve">Apporter un soutien financier à la R&amp;I et à l’adoption des technologies numériques par le marché du secteur de l’énergie, au moyen du programme pour une Europe numérique, </w:t>
            </w:r>
            <w:r>
              <w:rPr>
                <w:noProof/>
              </w:rPr>
              <w:t>du programme</w:t>
            </w:r>
            <w:bookmarkStart w:id="135" w:name="_Int_SmbAKIkI"/>
            <w:r>
              <w:rPr>
                <w:rStyle w:val="normaltextrun"/>
                <w:noProof/>
                <w:color w:val="000000" w:themeColor="text1"/>
                <w:sz w:val="22"/>
                <w:shd w:val="clear" w:color="auto" w:fill="FFFFFF"/>
              </w:rPr>
              <w:t xml:space="preserve"> LIFE</w:t>
            </w:r>
            <w:bookmarkEnd w:id="135"/>
            <w:r>
              <w:rPr>
                <w:rStyle w:val="normaltextrun"/>
                <w:noProof/>
                <w:color w:val="000000" w:themeColor="text1"/>
                <w:sz w:val="22"/>
                <w:shd w:val="clear" w:color="auto" w:fill="FFFFFF"/>
              </w:rPr>
              <w:t>, de la politique de cohésion</w:t>
            </w:r>
            <w:r>
              <w:rPr>
                <w:rStyle w:val="normaltextrun"/>
                <w:noProof/>
                <w:color w:val="000000" w:themeColor="text1"/>
                <w:sz w:val="22"/>
              </w:rPr>
              <w:t xml:space="preserve"> et d’un programme phare pour la numérisation de l’énergie dans le programme Horizon Europe.</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1DF355A8" w14:textId="77777777" w:rsidR="003B1E61" w:rsidRPr="00427CC9" w:rsidRDefault="003B1E61" w:rsidP="003B1E61">
            <w:pPr>
              <w:spacing w:after="0"/>
              <w:textAlignment w:val="baseline"/>
              <w:rPr>
                <w:noProof/>
                <w:color w:val="000000" w:themeColor="text1"/>
                <w:sz w:val="22"/>
                <w:szCs w:val="22"/>
              </w:rPr>
            </w:pPr>
            <w:r>
              <w:rPr>
                <w:noProof/>
                <w:color w:val="000000" w:themeColor="text1"/>
                <w:sz w:val="22"/>
              </w:rPr>
              <w:t>2023-2024</w:t>
            </w:r>
          </w:p>
        </w:tc>
      </w:tr>
      <w:tr w:rsidR="009558AF" w:rsidRPr="00427CC9" w14:paraId="7B8DF50F" w14:textId="77777777" w:rsidTr="007167D8">
        <w:tc>
          <w:tcPr>
            <w:tcW w:w="736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ECE746C" w14:textId="77777777" w:rsidR="009558AF" w:rsidRPr="00E4559B" w:rsidRDefault="009558AF" w:rsidP="009558AF">
            <w:pPr>
              <w:spacing w:after="0"/>
              <w:textAlignment w:val="baseline"/>
              <w:rPr>
                <w:rStyle w:val="normaltextrun"/>
                <w:rFonts w:eastAsiaTheme="majorEastAsia"/>
                <w:noProof/>
                <w:color w:val="000000" w:themeColor="text1"/>
                <w:sz w:val="22"/>
                <w:szCs w:val="22"/>
                <w:shd w:val="clear" w:color="auto" w:fill="FFFFFF"/>
              </w:rPr>
            </w:pPr>
            <w:r>
              <w:rPr>
                <w:rStyle w:val="normaltextrun"/>
                <w:noProof/>
                <w:sz w:val="22"/>
                <w:shd w:val="clear" w:color="auto" w:fill="FFFFFF"/>
              </w:rPr>
              <w:t xml:space="preserve">Créer, en coopération avec la Coalition européenne pour le numérique vert, </w:t>
            </w:r>
            <w:r>
              <w:rPr>
                <w:rStyle w:val="normaltextrun"/>
                <w:noProof/>
                <w:color w:val="000000" w:themeColor="text1"/>
                <w:sz w:val="22"/>
                <w:shd w:val="clear" w:color="auto" w:fill="FFFFFF"/>
              </w:rPr>
              <w:t>des outils et des méthodologies permettant de mesurer l’incidence nette des technologies numériques génériques dans le secteur de l’énergie, sur l’environnement et le climat.</w:t>
            </w:r>
          </w:p>
        </w:tc>
        <w:tc>
          <w:tcPr>
            <w:tcW w:w="170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1552C36" w14:textId="77777777" w:rsidR="009558AF" w:rsidRPr="00E4559B" w:rsidRDefault="009558AF" w:rsidP="009558AF">
            <w:pPr>
              <w:spacing w:after="0"/>
              <w:textAlignment w:val="baseline"/>
              <w:rPr>
                <w:noProof/>
                <w:color w:val="000000" w:themeColor="text1"/>
                <w:sz w:val="22"/>
                <w:szCs w:val="22"/>
              </w:rPr>
            </w:pPr>
            <w:r>
              <w:rPr>
                <w:noProof/>
                <w:color w:val="000000" w:themeColor="text1"/>
                <w:sz w:val="22"/>
              </w:rPr>
              <w:t>2023-2024</w:t>
            </w:r>
          </w:p>
        </w:tc>
      </w:tr>
    </w:tbl>
    <w:p w14:paraId="0FFF3617" w14:textId="77777777" w:rsidR="00D7257B" w:rsidRPr="00427CC9" w:rsidRDefault="00D7257B" w:rsidP="00D7257B">
      <w:pPr>
        <w:spacing w:after="0"/>
        <w:textAlignment w:val="baseline"/>
        <w:rPr>
          <w:noProof/>
          <w:color w:val="000000" w:themeColor="text1"/>
          <w:sz w:val="18"/>
          <w:szCs w:val="18"/>
        </w:rPr>
      </w:pPr>
      <w:r>
        <w:rPr>
          <w:noProof/>
          <w:color w:val="000000" w:themeColor="text1"/>
          <w:sz w:val="2"/>
        </w:rPr>
        <w:t xml:space="preserve"> </w:t>
      </w:r>
    </w:p>
    <w:p w14:paraId="4CCACAB9" w14:textId="77777777" w:rsidR="00D7257B" w:rsidRPr="00427CC9" w:rsidRDefault="00D7257B" w:rsidP="00D7257B">
      <w:pPr>
        <w:rPr>
          <w:noProof/>
          <w:color w:val="000000" w:themeColor="text1"/>
          <w:lang w:val="en-GB" w:eastAsia="en-US"/>
        </w:rPr>
      </w:pPr>
    </w:p>
    <w:p w14:paraId="1AD00828" w14:textId="77777777" w:rsidR="00D7257B" w:rsidRPr="00427CC9" w:rsidRDefault="00D7257B" w:rsidP="00A9438A">
      <w:pPr>
        <w:rPr>
          <w:noProof/>
          <w:color w:val="000000" w:themeColor="text1"/>
          <w:lang w:val="en-GB" w:eastAsia="en-US"/>
        </w:rPr>
      </w:pPr>
    </w:p>
    <w:sectPr w:rsidR="00D7257B" w:rsidRPr="00427CC9" w:rsidSect="00D60876">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F10A6A9" w16cid:durableId="26F7032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63DF3C" w14:textId="77777777" w:rsidR="00662B84" w:rsidRDefault="00662B84" w:rsidP="007151F2">
      <w:pPr>
        <w:spacing w:after="0"/>
      </w:pPr>
      <w:r>
        <w:separator/>
      </w:r>
    </w:p>
  </w:endnote>
  <w:endnote w:type="continuationSeparator" w:id="0">
    <w:p w14:paraId="36B76699" w14:textId="77777777" w:rsidR="00662B84" w:rsidRDefault="00662B84" w:rsidP="007151F2">
      <w:pPr>
        <w:spacing w:after="0"/>
      </w:pPr>
      <w:r>
        <w:continuationSeparator/>
      </w:r>
    </w:p>
  </w:endnote>
  <w:endnote w:type="continuationNotice" w:id="1">
    <w:p w14:paraId="3C274B17" w14:textId="77777777" w:rsidR="00662B84" w:rsidRDefault="00662B8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2E3A9" w14:textId="77777777" w:rsidR="002619EC" w:rsidRPr="002619EC" w:rsidRDefault="002619EC" w:rsidP="002619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E290C" w14:textId="567D4618" w:rsidR="002C248C" w:rsidRPr="002619EC" w:rsidRDefault="002619EC" w:rsidP="002619EC">
    <w:pPr>
      <w:pStyle w:val="FooterCoverPage"/>
      <w:rPr>
        <w:rFonts w:ascii="Arial" w:hAnsi="Arial" w:cs="Arial"/>
        <w:b/>
        <w:sz w:val="48"/>
      </w:rPr>
    </w:pPr>
    <w:r w:rsidRPr="002619EC">
      <w:rPr>
        <w:rFonts w:ascii="Arial" w:hAnsi="Arial" w:cs="Arial"/>
        <w:b/>
        <w:sz w:val="48"/>
      </w:rPr>
      <w:t>FR</w:t>
    </w:r>
    <w:r w:rsidRPr="002619EC">
      <w:rPr>
        <w:rFonts w:ascii="Arial" w:hAnsi="Arial" w:cs="Arial"/>
        <w:b/>
        <w:sz w:val="48"/>
      </w:rPr>
      <w:tab/>
    </w:r>
    <w:r w:rsidRPr="002619EC">
      <w:rPr>
        <w:rFonts w:ascii="Arial" w:hAnsi="Arial" w:cs="Arial"/>
        <w:b/>
        <w:sz w:val="48"/>
      </w:rPr>
      <w:tab/>
    </w:r>
    <w:r w:rsidRPr="002619EC">
      <w:tab/>
    </w:r>
    <w:r w:rsidRPr="002619E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5A425" w14:textId="77777777" w:rsidR="002619EC" w:rsidRPr="002619EC" w:rsidRDefault="002619EC" w:rsidP="002619E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7351A" w14:textId="77777777" w:rsidR="0016104F" w:rsidRDefault="0016104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7327269"/>
      <w:docPartObj>
        <w:docPartGallery w:val="Page Numbers (Bottom of Page)"/>
        <w:docPartUnique/>
      </w:docPartObj>
    </w:sdtPr>
    <w:sdtEndPr>
      <w:rPr>
        <w:noProof/>
      </w:rPr>
    </w:sdtEndPr>
    <w:sdtContent>
      <w:p w14:paraId="1FE07BBA" w14:textId="7D6D107F" w:rsidR="0016104F" w:rsidRDefault="0016104F">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2619EC">
          <w:rPr>
            <w:noProof/>
          </w:rPr>
          <w:t>1</w:t>
        </w:r>
        <w:r>
          <w:rPr>
            <w:color w:val="2B579A"/>
            <w:shd w:val="clear" w:color="auto" w:fill="E6E6E6"/>
          </w:rPr>
          <w:fldChar w:fldCharType="end"/>
        </w:r>
      </w:p>
    </w:sdtContent>
  </w:sdt>
  <w:p w14:paraId="01F759BA" w14:textId="77777777" w:rsidR="0016104F" w:rsidRDefault="0016104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0036B" w14:textId="77777777" w:rsidR="0016104F" w:rsidRDefault="001610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B5B6ED" w14:textId="77777777" w:rsidR="00662B84" w:rsidRDefault="00662B84" w:rsidP="007151F2">
      <w:pPr>
        <w:spacing w:after="0"/>
      </w:pPr>
      <w:r>
        <w:separator/>
      </w:r>
    </w:p>
  </w:footnote>
  <w:footnote w:type="continuationSeparator" w:id="0">
    <w:p w14:paraId="7E8CC68B" w14:textId="77777777" w:rsidR="00662B84" w:rsidRDefault="00662B84" w:rsidP="007151F2">
      <w:pPr>
        <w:spacing w:after="0"/>
      </w:pPr>
      <w:r>
        <w:continuationSeparator/>
      </w:r>
    </w:p>
  </w:footnote>
  <w:footnote w:type="continuationNotice" w:id="1">
    <w:p w14:paraId="7F49252A" w14:textId="77777777" w:rsidR="00662B84" w:rsidRDefault="00662B84">
      <w:pPr>
        <w:spacing w:after="0"/>
      </w:pPr>
    </w:p>
  </w:footnote>
  <w:footnote w:id="2">
    <w:p w14:paraId="4C6A058A" w14:textId="26FA1C32" w:rsidR="0016104F" w:rsidRDefault="0016104F" w:rsidP="00884F9A">
      <w:pPr>
        <w:pStyle w:val="FootnoteText"/>
        <w:spacing w:after="0"/>
      </w:pPr>
      <w:r>
        <w:rPr>
          <w:vertAlign w:val="superscript"/>
        </w:rPr>
        <w:footnoteRef/>
      </w:r>
      <w:r>
        <w:tab/>
        <w:t>Stratégie de l’UE pour l’énergie solaire, COM(2022)221.</w:t>
      </w:r>
    </w:p>
  </w:footnote>
  <w:footnote w:id="3">
    <w:p w14:paraId="1A636FFA" w14:textId="62A412AF" w:rsidR="0016104F" w:rsidRDefault="0016104F" w:rsidP="00884F9A">
      <w:pPr>
        <w:pStyle w:val="FootnoteText"/>
        <w:spacing w:after="0"/>
      </w:pPr>
      <w:r>
        <w:rPr>
          <w:rStyle w:val="FootnoteReference"/>
        </w:rPr>
        <w:footnoteRef/>
      </w:r>
      <w:r>
        <w:tab/>
        <w:t xml:space="preserve">Communication REPowerEU COM(2022) 230 final. </w:t>
      </w:r>
    </w:p>
  </w:footnote>
  <w:footnote w:id="4">
    <w:p w14:paraId="73CB926C" w14:textId="7B4AA1FF" w:rsidR="0016104F" w:rsidRDefault="0016104F" w:rsidP="00884F9A">
      <w:pPr>
        <w:pStyle w:val="FootnoteText"/>
        <w:spacing w:after="0"/>
        <w:rPr>
          <w:szCs w:val="24"/>
        </w:rPr>
      </w:pPr>
      <w:r>
        <w:rPr>
          <w:vertAlign w:val="superscript"/>
        </w:rPr>
        <w:footnoteRef/>
      </w:r>
      <w:r>
        <w:rPr>
          <w:vertAlign w:val="superscript"/>
        </w:rPr>
        <w:t xml:space="preserve"> </w:t>
      </w:r>
      <w:r>
        <w:tab/>
        <w:t>Stratégie de mobilité durable et intelligente, COM(2020)789 final.</w:t>
      </w:r>
    </w:p>
  </w:footnote>
  <w:footnote w:id="5">
    <w:p w14:paraId="06EF1F91" w14:textId="5F90485E" w:rsidR="00DA69D0" w:rsidRPr="00DA69D0" w:rsidRDefault="00DA69D0" w:rsidP="00B1032E">
      <w:pPr>
        <w:pStyle w:val="FootnoteText"/>
        <w:jc w:val="left"/>
      </w:pPr>
      <w:r>
        <w:footnoteRef/>
      </w:r>
      <w:r>
        <w:t xml:space="preserve"> </w:t>
      </w:r>
      <w:r>
        <w:tab/>
        <w:t>La stratégie «Global Gateway», JOIN(2021) 30 final.</w:t>
      </w:r>
    </w:p>
  </w:footnote>
  <w:footnote w:id="6">
    <w:p w14:paraId="63BD39CF" w14:textId="77777777" w:rsidR="0016104F" w:rsidRPr="00416C9B" w:rsidRDefault="0016104F" w:rsidP="00325614">
      <w:pPr>
        <w:pStyle w:val="FootnoteText"/>
        <w:spacing w:after="0"/>
      </w:pPr>
      <w:r>
        <w:rPr>
          <w:rStyle w:val="FootnoteReference"/>
        </w:rPr>
        <w:footnoteRef/>
      </w:r>
      <w:r>
        <w:tab/>
        <w:t xml:space="preserve">Agence internationale de l’énergie, Digitalization and Energy, 2017 – </w:t>
      </w:r>
      <w:hyperlink r:id="rId1" w:history="1">
        <w:r>
          <w:rPr>
            <w:rStyle w:val="Hyperlink"/>
          </w:rPr>
          <w:t>https://iea.blob.core.windows.net/assets/b1e6600c-4e40-4d9c-809d-1d1724c763d5/DigitalizationandEnergy3.pdf</w:t>
        </w:r>
      </w:hyperlink>
      <w:r>
        <w:t xml:space="preserve"> </w:t>
      </w:r>
    </w:p>
  </w:footnote>
  <w:footnote w:id="7">
    <w:p w14:paraId="6D5FAEB6" w14:textId="284C7B26" w:rsidR="0016104F" w:rsidRPr="00150008" w:rsidRDefault="0016104F" w:rsidP="00325614">
      <w:pPr>
        <w:pStyle w:val="FootnoteText"/>
        <w:spacing w:after="0"/>
        <w:rPr>
          <w:lang w:val="en-US"/>
        </w:rPr>
      </w:pPr>
      <w:r>
        <w:rPr>
          <w:rStyle w:val="FootnoteReference"/>
        </w:rPr>
        <w:footnoteRef/>
      </w:r>
      <w:r>
        <w:tab/>
        <w:t xml:space="preserve">Chiffre pour l’UE et le Royaume-Uni. </w:t>
      </w:r>
      <w:r w:rsidRPr="00150008">
        <w:rPr>
          <w:lang w:val="en-US"/>
        </w:rPr>
        <w:t xml:space="preserve">Source: </w:t>
      </w:r>
      <w:hyperlink r:id="rId2" w:history="1">
        <w:r w:rsidRPr="00150008">
          <w:rPr>
            <w:rStyle w:val="Hyperlink"/>
            <w:lang w:val="en-US"/>
          </w:rPr>
          <w:t>Connecting the dots:</w:t>
        </w:r>
      </w:hyperlink>
      <w:hyperlink r:id="rId3" w:history="1">
        <w:r w:rsidRPr="00150008">
          <w:rPr>
            <w:rStyle w:val="Hyperlink"/>
            <w:lang w:val="en-US"/>
          </w:rPr>
          <w:t>Distribution grid investment to power the energy transition - Eurelectric – Powering People</w:t>
        </w:r>
      </w:hyperlink>
      <w:r w:rsidRPr="00150008">
        <w:rPr>
          <w:rStyle w:val="Hyperlink"/>
          <w:lang w:val="en-US"/>
        </w:rPr>
        <w:t xml:space="preserve"> </w:t>
      </w:r>
    </w:p>
  </w:footnote>
  <w:footnote w:id="8">
    <w:p w14:paraId="0ABE6745" w14:textId="76949BA9" w:rsidR="0016104F" w:rsidRDefault="0016104F" w:rsidP="009259F5">
      <w:pPr>
        <w:pStyle w:val="FootnoteText"/>
        <w:spacing w:after="0"/>
      </w:pPr>
      <w:r>
        <w:rPr>
          <w:rStyle w:val="FootnoteReference"/>
        </w:rPr>
        <w:footnoteRef/>
      </w:r>
      <w:r>
        <w:t xml:space="preserve"> </w:t>
      </w:r>
      <w:r>
        <w:tab/>
      </w:r>
      <w:hyperlink r:id="rId4">
        <w:r>
          <w:rPr>
            <w:rStyle w:val="Hyperlink"/>
          </w:rPr>
          <w:t>https://www.cbi.eu/market-information/outsourcing-itobpo/industrial-internet-things/market-potential</w:t>
        </w:r>
      </w:hyperlink>
      <w:r>
        <w:t>, 7</w:t>
      </w:r>
      <w:r w:rsidR="002C248C">
        <w:t> </w:t>
      </w:r>
      <w:r>
        <w:t>juin</w:t>
      </w:r>
      <w:r w:rsidR="002C248C">
        <w:t> </w:t>
      </w:r>
      <w:r>
        <w:t>2022</w:t>
      </w:r>
      <w:r w:rsidR="002C248C">
        <w:t>.</w:t>
      </w:r>
    </w:p>
  </w:footnote>
  <w:footnote w:id="9">
    <w:p w14:paraId="458C6BF4" w14:textId="187A1944" w:rsidR="0016104F" w:rsidRDefault="0016104F" w:rsidP="009259F5">
      <w:pPr>
        <w:pStyle w:val="FootnoteText"/>
        <w:spacing w:after="0"/>
      </w:pPr>
      <w:r>
        <w:rPr>
          <w:rStyle w:val="FootnoteReference"/>
        </w:rPr>
        <w:footnoteRef/>
      </w:r>
      <w:r>
        <w:tab/>
        <w:t>Estimation basée sur le rapport d’analyse comparative des compteurs intelligents (mars 2020), Commission européenne, direction générale de l’énergie, Alaton, C., Tounquet, F., Benchmarking smart metering deployment in the EU-28: rapport final; Office des publications, </w:t>
      </w:r>
      <w:hyperlink r:id="rId5" w:tgtFrame="_blank" w:history="1">
        <w:r>
          <w:rPr>
            <w:rStyle w:val="Hyperlink"/>
          </w:rPr>
          <w:t>https://data.europa.eu/doi/10.2833/492070</w:t>
        </w:r>
      </w:hyperlink>
    </w:p>
  </w:footnote>
  <w:footnote w:id="10">
    <w:p w14:paraId="2D29055D" w14:textId="77777777" w:rsidR="0016104F" w:rsidRPr="00834979" w:rsidRDefault="0016104F" w:rsidP="00985FAC">
      <w:pPr>
        <w:pStyle w:val="FootnoteText"/>
        <w:spacing w:after="0"/>
      </w:pPr>
      <w:r>
        <w:rPr>
          <w:rStyle w:val="FootnoteReference"/>
        </w:rPr>
        <w:footnoteRef/>
      </w:r>
      <w:r>
        <w:tab/>
        <w:t>La stratégie européenne pour les données [COM(2020) 66 final] annonçait la création d’espaces européens communs des données dans neuf secteurs, dont l’énergie.</w:t>
      </w:r>
    </w:p>
  </w:footnote>
  <w:footnote w:id="11">
    <w:p w14:paraId="19BF82F3" w14:textId="77777777" w:rsidR="0016104F" w:rsidRPr="00F16C70" w:rsidRDefault="0016104F" w:rsidP="00D34A85">
      <w:pPr>
        <w:pStyle w:val="FootnoteText"/>
        <w:spacing w:after="0"/>
      </w:pPr>
      <w:r>
        <w:rPr>
          <w:rStyle w:val="FootnoteReference"/>
        </w:rPr>
        <w:footnoteRef/>
      </w:r>
      <w:r>
        <w:tab/>
        <w:t xml:space="preserve">«Digitalisation of energy flexibility», rapport du centre d’expertise sur la transition énergétique (EnTEC), </w:t>
      </w:r>
      <w:hyperlink r:id="rId6" w:history="1">
        <w:r>
          <w:rPr>
            <w:rStyle w:val="Hyperlink"/>
          </w:rPr>
          <w:t>https://op.europa.eu/en/publication-detail/-/publication/c230dd32-a5a2-11ec-83e1-01aa75ed71a1/language-en</w:t>
        </w:r>
      </w:hyperlink>
      <w:r>
        <w:t xml:space="preserve"> (en anglais). </w:t>
      </w:r>
    </w:p>
  </w:footnote>
  <w:footnote w:id="12">
    <w:p w14:paraId="6005C8D4" w14:textId="77777777" w:rsidR="0016104F" w:rsidRDefault="0016104F" w:rsidP="0031041E">
      <w:pPr>
        <w:pStyle w:val="FootnoteText"/>
        <w:spacing w:after="0"/>
      </w:pPr>
      <w:r>
        <w:rPr>
          <w:rStyle w:val="FootnoteReference"/>
        </w:rPr>
        <w:footnoteRef/>
      </w:r>
      <w:r>
        <w:tab/>
        <w:t>COM(2022) 68 final.</w:t>
      </w:r>
    </w:p>
  </w:footnote>
  <w:footnote w:id="13">
    <w:p w14:paraId="58F65AEF" w14:textId="77777777" w:rsidR="0016104F" w:rsidRPr="00697F14" w:rsidRDefault="0016104F" w:rsidP="00985FAC">
      <w:pPr>
        <w:pStyle w:val="FootnoteText"/>
        <w:spacing w:after="0"/>
      </w:pPr>
      <w:r>
        <w:rPr>
          <w:rStyle w:val="FootnoteReference"/>
        </w:rPr>
        <w:footnoteRef/>
      </w:r>
      <w:r>
        <w:tab/>
        <w:t xml:space="preserve">COM(2020) 767 final. </w:t>
      </w:r>
    </w:p>
  </w:footnote>
  <w:footnote w:id="14">
    <w:p w14:paraId="179DB886" w14:textId="77777777" w:rsidR="0016104F" w:rsidRDefault="0016104F" w:rsidP="004E0230">
      <w:pPr>
        <w:pStyle w:val="FootnoteText"/>
        <w:spacing w:after="0"/>
      </w:pPr>
      <w:r>
        <w:rPr>
          <w:rStyle w:val="FootnoteReference"/>
        </w:rPr>
        <w:footnoteRef/>
      </w:r>
      <w:r>
        <w:tab/>
        <w:t xml:space="preserve">Un espace européen commun des données rassemble les infrastructures de données et les cadres de gouvernance pertinents, afin de faciliter la mise en commun et le partage des données. Il comprendra le déploiement de moyens et de services de partage de données, de structures de </w:t>
      </w:r>
      <w:r>
        <w:rPr>
          <w:color w:val="000000" w:themeColor="text1"/>
        </w:rPr>
        <w:t>gouvernance</w:t>
      </w:r>
      <w:r>
        <w:t xml:space="preserve"> des données et améliorera la disponibilité, la qualité et l’interopérabilité des données. De plus amples détails sont fournis dans le document de travail des services de la Commission sur les espaces européens communs des données [SWD(2022) 45 final].</w:t>
      </w:r>
    </w:p>
  </w:footnote>
  <w:footnote w:id="15">
    <w:p w14:paraId="502018EB" w14:textId="77777777" w:rsidR="0016104F" w:rsidRPr="00D3410C" w:rsidRDefault="0016104F" w:rsidP="00D84006">
      <w:pPr>
        <w:pStyle w:val="FootnoteText"/>
        <w:spacing w:after="0"/>
      </w:pPr>
      <w:r>
        <w:rPr>
          <w:rStyle w:val="FootnoteReference"/>
        </w:rPr>
        <w:footnoteRef/>
      </w:r>
      <w:r>
        <w:tab/>
        <w:t>Le groupe de travail sur les réseaux intelligents est un groupe d’experts informel qui conseille la Commission sur les cadres politiques et réglementaires pour le développement et le déploiement des réseaux intelligents (</w:t>
      </w:r>
      <w:hyperlink r:id="rId7" w:history="1">
        <w:r>
          <w:rPr>
            <w:rStyle w:val="Hyperlink"/>
          </w:rPr>
          <w:t>https://ec.europa.eu/transparency/expert-groups-register/screen/expert-groups/consult?do=groupDetail.groupDetail&amp;groupID=2892&amp;lang=fr</w:t>
        </w:r>
      </w:hyperlink>
      <w:r>
        <w:t xml:space="preserve">). </w:t>
      </w:r>
    </w:p>
  </w:footnote>
  <w:footnote w:id="16">
    <w:p w14:paraId="1292D692" w14:textId="77777777" w:rsidR="0016104F" w:rsidRPr="00E75AEF" w:rsidRDefault="0016104F" w:rsidP="0031041E">
      <w:pPr>
        <w:pStyle w:val="FootnoteText"/>
        <w:spacing w:after="0"/>
      </w:pPr>
      <w:r>
        <w:rPr>
          <w:rStyle w:val="FootnoteReference"/>
        </w:rPr>
        <w:footnoteRef/>
      </w:r>
      <w:r>
        <w:tab/>
        <w:t>La notion de cas d’utilisation de haut niveau fait référence aux principaux domaines prioritaires à traiter. Chaque cas d’utilisation de haut niveau englobera, dans la pratique, plusieurs cas d’utilisation qui décriront plus en détail les acteurs, les processus et les flux de données pertinents pour chaque arrangement commercial et opérationnel spécifique.</w:t>
      </w:r>
    </w:p>
  </w:footnote>
  <w:footnote w:id="17">
    <w:p w14:paraId="263E5D3B" w14:textId="77777777" w:rsidR="0016104F" w:rsidRPr="008021F0" w:rsidRDefault="0016104F" w:rsidP="0031041E">
      <w:pPr>
        <w:pStyle w:val="FootnoteText"/>
        <w:spacing w:after="0"/>
      </w:pPr>
      <w:r>
        <w:rPr>
          <w:rStyle w:val="FootnoteReference"/>
        </w:rPr>
        <w:footnoteRef/>
      </w:r>
      <w:r>
        <w:tab/>
        <w:t>Celui-ci inclura entre autres les travaux en cours du groupe de travail sur les réseaux intelligents, les travaux en cours relatifs à un code de réseau sur la flexibilité de la demande (</w:t>
      </w:r>
      <w:hyperlink r:id="rId8" w:tgtFrame="_blank" w:history="1">
        <w:r>
          <w:rPr>
            <w:rStyle w:val="Hyperlink"/>
          </w:rPr>
          <w:t>https://www.acer.europa.eu/sites/default/files/documents/Media/News/Documents/2022%2006%2001%20FG%20Request%20to%20ACER_final.pdf</w:t>
        </w:r>
      </w:hyperlink>
      <w:r>
        <w:t>), les travaux liés à la proposition de règlement de la Commission sur le déploiement d’une infrastructure pour carburants alternatifs (</w:t>
      </w:r>
      <w:hyperlink r:id="rId9" w:tgtFrame="_blank" w:history="1">
        <w:r>
          <w:rPr>
            <w:rStyle w:val="Hyperlink"/>
          </w:rPr>
          <w:t>https://eur-lex.europa.eu/legal-content/FR/ALL/?uri=COM:2021:559:FIN</w:t>
        </w:r>
      </w:hyperlink>
      <w:r>
        <w:t>) et les résultats obtenus par le forum pour des transports durables, ainsi que l’activité et des produits du groupe d’experts sur l’espace européen des données financières (</w:t>
      </w:r>
      <w:hyperlink r:id="rId10" w:history="1">
        <w:r>
          <w:rPr>
            <w:rStyle w:val="Hyperlink"/>
          </w:rPr>
          <w:t>https://ec.europa.eu/transparency/expert-groups-register/screen/expert-groups/consult?lang=fr&amp;groupID=3763</w:t>
        </w:r>
      </w:hyperlink>
      <w:r>
        <w:t>) et du groupe des institutions financières pour l’efficacité énergétique (EEFIG) (</w:t>
      </w:r>
      <w:hyperlink r:id="rId11" w:tgtFrame="_blank" w:history="1">
        <w:r>
          <w:rPr>
            <w:rStyle w:val="Hyperlink"/>
          </w:rPr>
          <w:t>https://eefig.ec.europa.eu/index_en</w:t>
        </w:r>
      </w:hyperlink>
      <w:r>
        <w:t xml:space="preserve">). </w:t>
      </w:r>
    </w:p>
  </w:footnote>
  <w:footnote w:id="18">
    <w:p w14:paraId="418B7122" w14:textId="77777777" w:rsidR="0016104F" w:rsidRPr="006E11B2" w:rsidRDefault="0016104F" w:rsidP="009259F5">
      <w:pPr>
        <w:pStyle w:val="FootnoteText"/>
        <w:spacing w:after="0"/>
      </w:pPr>
      <w:r>
        <w:rPr>
          <w:rStyle w:val="FootnoteReference"/>
        </w:rPr>
        <w:footnoteRef/>
      </w:r>
      <w:r>
        <w:tab/>
        <w:t>En particulier, le groupe de travail «Common Data Approach for Electromobility and other Alternative Fuels (STF on Data)», qui se concentre sur la cartographie des éléments politiques et techniques nécessaires à la mise en place d’un écosystème de données ouvertes pour l’électromobilité (</w:t>
      </w:r>
      <w:hyperlink r:id="rId12" w:history="1">
        <w:r>
          <w:rPr>
            <w:rStyle w:val="Hyperlink"/>
          </w:rPr>
          <w:t>https://transport.ec.europa.eu/transport-themes/clean-transport-urban-transport/sustainable-transport-forum-stf_en</w:t>
        </w:r>
      </w:hyperlink>
      <w:r>
        <w:t xml:space="preserve">). </w:t>
      </w:r>
    </w:p>
  </w:footnote>
  <w:footnote w:id="19">
    <w:p w14:paraId="1D7FF0E2" w14:textId="77777777" w:rsidR="0016104F" w:rsidRPr="00211024" w:rsidRDefault="0016104F" w:rsidP="009259F5">
      <w:pPr>
        <w:pStyle w:val="FootnoteText"/>
        <w:spacing w:after="0"/>
      </w:pPr>
      <w:r>
        <w:rPr>
          <w:rStyle w:val="FootnoteReference"/>
        </w:rPr>
        <w:footnoteRef/>
      </w:r>
      <w:r>
        <w:tab/>
        <w:t xml:space="preserve">Groupe d’experts qui sera établi </w:t>
      </w:r>
      <w:r>
        <w:rPr>
          <w:color w:val="000000" w:themeColor="text1"/>
        </w:rPr>
        <w:t>conformément</w:t>
      </w:r>
      <w:r>
        <w:t xml:space="preserve"> aux dispositions de la proposition de règlement sur la gouvernance des données.</w:t>
      </w:r>
    </w:p>
  </w:footnote>
  <w:footnote w:id="20">
    <w:p w14:paraId="5048C52C" w14:textId="77777777" w:rsidR="0016104F" w:rsidRPr="00FD7512" w:rsidRDefault="0016104F" w:rsidP="009259F5">
      <w:pPr>
        <w:pStyle w:val="FootnoteText"/>
        <w:spacing w:after="0"/>
      </w:pPr>
      <w:r>
        <w:rPr>
          <w:rStyle w:val="FootnoteReference"/>
        </w:rPr>
        <w:footnoteRef/>
      </w:r>
      <w:r>
        <w:tab/>
      </w:r>
      <w:r>
        <w:rPr>
          <w:color w:val="000000" w:themeColor="text1"/>
        </w:rPr>
        <w:t xml:space="preserve">En tant qu’espaces de données dédiés à la mobilité, à la construction et aux bâtiments, et au secteur financier. </w:t>
      </w:r>
    </w:p>
  </w:footnote>
  <w:footnote w:id="21">
    <w:p w14:paraId="12C1163C" w14:textId="77777777" w:rsidR="0016104F" w:rsidRPr="0074718F" w:rsidRDefault="0016104F" w:rsidP="009259F5">
      <w:pPr>
        <w:pStyle w:val="FootnoteText"/>
        <w:spacing w:after="0"/>
      </w:pPr>
      <w:r>
        <w:rPr>
          <w:rStyle w:val="FootnoteReference"/>
        </w:rPr>
        <w:footnoteRef/>
      </w:r>
      <w:r>
        <w:tab/>
        <w:t>Le centre de soutien aux espaces de données est mis en place avec le soutien du programme pour une Europe numérique (</w:t>
      </w:r>
      <w:hyperlink r:id="rId13" w:history="1">
        <w:r>
          <w:rPr>
            <w:rStyle w:val="Hyperlink"/>
          </w:rPr>
          <w:t>https://ec.europa.eu/info/funding-tenders/opportunities/portal/screen/opportunities/topic-details/digital-2021-cloud-ai-01-suppcentre</w:t>
        </w:r>
      </w:hyperlink>
      <w:r>
        <w:t xml:space="preserve">; en anglais). </w:t>
      </w:r>
    </w:p>
  </w:footnote>
  <w:footnote w:id="22">
    <w:p w14:paraId="147EA8D5" w14:textId="77777777" w:rsidR="0016104F" w:rsidRPr="00FC34DF" w:rsidRDefault="0016104F" w:rsidP="009259F5">
      <w:pPr>
        <w:pStyle w:val="FootnoteText"/>
        <w:spacing w:after="0"/>
      </w:pPr>
      <w:r>
        <w:rPr>
          <w:rStyle w:val="FootnoteReference"/>
        </w:rPr>
        <w:footnoteRef/>
      </w:r>
      <w:r>
        <w:tab/>
      </w:r>
      <w:hyperlink r:id="rId14" w:history="1">
        <w:r>
          <w:rPr>
            <w:rStyle w:val="Hyperlink"/>
          </w:rPr>
          <w:t>https://joinup.ec.europa.eu/collection/nifo-national-interoperability-framework-observatory/3-interoperability-layers</w:t>
        </w:r>
      </w:hyperlink>
      <w:r>
        <w:t xml:space="preserve"> (en anglais). </w:t>
      </w:r>
    </w:p>
  </w:footnote>
  <w:footnote w:id="23">
    <w:p w14:paraId="5A1FAD39" w14:textId="77777777" w:rsidR="0016104F" w:rsidRDefault="0016104F" w:rsidP="00D34A85">
      <w:pPr>
        <w:pStyle w:val="FootnoteText"/>
        <w:spacing w:after="0"/>
      </w:pPr>
      <w:r>
        <w:rPr>
          <w:rStyle w:val="FootnoteReference"/>
        </w:rPr>
        <w:footnoteRef/>
      </w:r>
      <w:r>
        <w:t xml:space="preserve"> Fin 2020, le taux d’installation de compteurs électriques intelligents pour les ménages atteignait plus de 80 % dans onze États membres: le Danemark, l’Estonie, l’Espagne, la Finlande, l’Italie et la Suède enregistraient un taux de déploiement de 98 % ou plus, suivis par le Luxembourg, Malte, les Pays-Bas, la France et la Slovénie, avec des taux de déploiement compris entre 83 % et 93 %. Les plans de déploiement des compteurs intelligents et les taux de déploiement réels divergent considérablement, ce qui donne à penser qu’un certain nombre de consommateurs de l’UE n’auront pas accès aux compteurs intelligents dans un avenir proche (source: ACER/CEER, Market Monitoring Report, 2021).</w:t>
      </w:r>
    </w:p>
  </w:footnote>
  <w:footnote w:id="24">
    <w:p w14:paraId="35FE371D" w14:textId="77777777" w:rsidR="0016104F" w:rsidRPr="007E341B" w:rsidRDefault="0016104F" w:rsidP="0031041E">
      <w:pPr>
        <w:pStyle w:val="FootnoteText"/>
        <w:spacing w:after="0"/>
      </w:pPr>
      <w:r>
        <w:rPr>
          <w:rStyle w:val="FootnoteReference"/>
        </w:rPr>
        <w:footnoteRef/>
      </w:r>
      <w:r>
        <w:tab/>
        <w:t xml:space="preserve">Cela facilitera l’agrégation de la flexibilité provenant des dispositifs intelligents des ménages et des entreprises. Pour de plus amples informations, voir: </w:t>
      </w:r>
      <w:hyperlink r:id="rId15" w:history="1">
        <w:r>
          <w:rPr>
            <w:rStyle w:val="Hyperlink"/>
          </w:rPr>
          <w:t>https://ses.jrc.ec.europa.eu/development-of-policy-proposals-for-energy-smart-appliances</w:t>
        </w:r>
      </w:hyperlink>
      <w:r>
        <w:t xml:space="preserve"> (en anglais).</w:t>
      </w:r>
      <w:r>
        <w:rPr>
          <w:rStyle w:val="Hyperlink"/>
        </w:rPr>
        <w:t xml:space="preserve"> </w:t>
      </w:r>
    </w:p>
  </w:footnote>
  <w:footnote w:id="25">
    <w:p w14:paraId="749526DA" w14:textId="77777777" w:rsidR="0016104F" w:rsidRPr="006C7B6E" w:rsidRDefault="0016104F" w:rsidP="00147057">
      <w:pPr>
        <w:pStyle w:val="FootnoteText"/>
        <w:spacing w:after="0"/>
      </w:pPr>
      <w:r>
        <w:rPr>
          <w:rStyle w:val="FootnoteReference"/>
        </w:rPr>
        <w:footnoteRef/>
      </w:r>
      <w:r>
        <w:tab/>
        <w:t xml:space="preserve">Cela concerne entre autres le soutien proposé en vue du déploiement d’un espace européen commun des données relatives à l’énergie doté d’un budget de 8 millions d’euros ainsi que l’aide apportée par le </w:t>
      </w:r>
      <w:r>
        <w:rPr>
          <w:rStyle w:val="normaltextrun"/>
        </w:rPr>
        <w:t>centre de soutien aux espaces de données, et la coopération avec celui-ci, en vue de l’interopérabilité des espaces de données (par exemple, mobilité, communautés intelligentes)</w:t>
      </w:r>
      <w:r>
        <w:t>.</w:t>
      </w:r>
      <w:r>
        <w:rPr>
          <w:rStyle w:val="normaltextrun"/>
        </w:rPr>
        <w:t xml:space="preserve"> </w:t>
      </w:r>
    </w:p>
  </w:footnote>
  <w:footnote w:id="26">
    <w:p w14:paraId="190078CD" w14:textId="77777777" w:rsidR="0016104F" w:rsidRPr="001F0F54" w:rsidRDefault="0016104F" w:rsidP="009259F5">
      <w:pPr>
        <w:pStyle w:val="FootnoteText"/>
        <w:spacing w:after="0"/>
      </w:pPr>
      <w:r>
        <w:rPr>
          <w:rStyle w:val="FootnoteReference"/>
        </w:rPr>
        <w:footnoteRef/>
      </w:r>
      <w:r>
        <w:t xml:space="preserve"> </w:t>
      </w:r>
      <w:r>
        <w:tab/>
        <w:t>Le programme de travail Horizon Europe 2021 soutient cinq projets dotés d’un budget de 40 millions d’euros, destinés à jeter les bases du déploiement d’un espace européen commun des données relatives à l’énergie (</w:t>
      </w:r>
      <w:hyperlink r:id="rId16" w:history="1">
        <w:r>
          <w:rPr>
            <w:rStyle w:val="Hyperlink"/>
          </w:rPr>
          <w:t>https://ec.europa.eu/info/funding-tenders/opportunities/portal/screen/opportunities/topic-details/horizon-cl5-2021-d3-01-01</w:t>
        </w:r>
      </w:hyperlink>
      <w:r>
        <w:t>).</w:t>
      </w:r>
    </w:p>
  </w:footnote>
  <w:footnote w:id="27">
    <w:p w14:paraId="422710D6" w14:textId="77777777" w:rsidR="0016104F" w:rsidRDefault="0016104F" w:rsidP="00D34A85">
      <w:pPr>
        <w:pStyle w:val="FootnoteText"/>
        <w:spacing w:after="0"/>
      </w:pPr>
      <w:r>
        <w:rPr>
          <w:rStyle w:val="FootnoteReference"/>
        </w:rPr>
        <w:footnoteRef/>
      </w:r>
      <w:r>
        <w:t xml:space="preserve"> </w:t>
      </w:r>
      <w:r>
        <w:tab/>
        <w:t>Par exemple, les projets qui coopèrent dans le cadre de l’initiative Bridge pour fournir des conseils stratégiques en matière de réseaux intelligents: (</w:t>
      </w:r>
      <w:hyperlink r:id="rId17" w:history="1">
        <w:r>
          <w:rPr>
            <w:rStyle w:val="Hyperlink"/>
          </w:rPr>
          <w:t>https://bridge-smart-grid-storage-systems-digital-projects.ec.europa.eu/</w:t>
        </w:r>
      </w:hyperlink>
      <w:r>
        <w:t xml:space="preserve">). </w:t>
      </w:r>
    </w:p>
  </w:footnote>
  <w:footnote w:id="28">
    <w:p w14:paraId="3EEB4C20" w14:textId="25A91661" w:rsidR="0016104F" w:rsidRDefault="0016104F" w:rsidP="00807855">
      <w:pPr>
        <w:pStyle w:val="FootnoteText"/>
      </w:pPr>
      <w:r>
        <w:rPr>
          <w:rStyle w:val="FootnoteReference"/>
        </w:rPr>
        <w:footnoteRef/>
      </w:r>
      <w:r>
        <w:tab/>
        <w:t xml:space="preserve">Voir les exemples figurant dans le document de travail des services de la Commission accompagnant la présente communication. </w:t>
      </w:r>
    </w:p>
  </w:footnote>
  <w:footnote w:id="29">
    <w:p w14:paraId="5CFD32DC" w14:textId="0B4B2F55" w:rsidR="0016104F" w:rsidRPr="00150008" w:rsidRDefault="0016104F" w:rsidP="00D34A85">
      <w:pPr>
        <w:pStyle w:val="FootnoteText"/>
        <w:spacing w:after="0"/>
        <w:rPr>
          <w:lang w:val="en-US"/>
        </w:rPr>
      </w:pPr>
      <w:r>
        <w:rPr>
          <w:rStyle w:val="FootnoteReference"/>
        </w:rPr>
        <w:footnoteRef/>
      </w:r>
      <w:r w:rsidRPr="00150008">
        <w:rPr>
          <w:lang w:val="en-US"/>
        </w:rPr>
        <w:t xml:space="preserve"> </w:t>
      </w:r>
      <w:r w:rsidRPr="00150008">
        <w:rPr>
          <w:lang w:val="en-US"/>
        </w:rPr>
        <w:tab/>
        <w:t>Position on incentivising smart investments to improve the efficient use of electricity transmission assets, ACER, novembre 2021.</w:t>
      </w:r>
    </w:p>
  </w:footnote>
  <w:footnote w:id="30">
    <w:p w14:paraId="08B8E06D" w14:textId="77777777" w:rsidR="0016104F" w:rsidRDefault="0016104F" w:rsidP="00D34A85">
      <w:pPr>
        <w:pStyle w:val="FootnoteText"/>
        <w:spacing w:after="0"/>
      </w:pPr>
      <w:r>
        <w:rPr>
          <w:rStyle w:val="FootnoteReference"/>
        </w:rPr>
        <w:footnoteRef/>
      </w:r>
      <w:r>
        <w:t xml:space="preserve"> </w:t>
      </w:r>
      <w:r>
        <w:tab/>
      </w:r>
      <w:r>
        <w:rPr>
          <w:rStyle w:val="normaltextrun"/>
        </w:rPr>
        <w:t>Les indicateurs communs fourniront également des orientations sur</w:t>
      </w:r>
      <w:r>
        <w:t xml:space="preserve"> la transposition de l’article 59, paragraphe 1, point l), de la directive «électricité».</w:t>
      </w:r>
    </w:p>
  </w:footnote>
  <w:footnote w:id="31">
    <w:p w14:paraId="37866EC5" w14:textId="77777777" w:rsidR="0016104F" w:rsidRPr="00AE43CD" w:rsidRDefault="0016104F" w:rsidP="0096719C">
      <w:pPr>
        <w:pStyle w:val="FootnoteText"/>
        <w:spacing w:after="0"/>
      </w:pPr>
      <w:r>
        <w:rPr>
          <w:rStyle w:val="FootnoteReference"/>
        </w:rPr>
        <w:footnoteRef/>
      </w:r>
      <w:r>
        <w:t xml:space="preserve"> </w:t>
      </w:r>
      <w:r>
        <w:tab/>
        <w:t xml:space="preserve">Étant donné que les deux actions se dérouleront en parallèle et que des indicateurs </w:t>
      </w:r>
      <w:r>
        <w:rPr>
          <w:color w:val="000000" w:themeColor="text1"/>
        </w:rPr>
        <w:t>communs de réseaux intelligents seront définis dans les cinq mêmes domaines que ceux des investissements coordonnés en vue de la création du double numérique.</w:t>
      </w:r>
    </w:p>
  </w:footnote>
  <w:footnote w:id="32">
    <w:p w14:paraId="363B0C7C" w14:textId="41C2DDA7" w:rsidR="0016104F" w:rsidRDefault="0016104F" w:rsidP="00D34A85">
      <w:pPr>
        <w:pStyle w:val="FootnoteText"/>
        <w:spacing w:after="0"/>
      </w:pPr>
    </w:p>
  </w:footnote>
  <w:footnote w:id="33">
    <w:p w14:paraId="125AC6FE" w14:textId="77777777" w:rsidR="0016104F" w:rsidRDefault="0016104F" w:rsidP="00D34A85">
      <w:pPr>
        <w:pStyle w:val="FootnoteText"/>
        <w:spacing w:after="0"/>
      </w:pPr>
      <w:r>
        <w:rPr>
          <w:rStyle w:val="FootnoteReference"/>
        </w:rPr>
        <w:footnoteRef/>
      </w:r>
      <w:r>
        <w:tab/>
        <w:t>Par exemple, en créant des portails d’applications électroniques et des référentiels communs de données pertinentes relatives aux permis pour les infrastructures énergétiques et les projets reposant sur les énergies renouvelables, des guichets uniques pour les promoteurs de projets, ou en améliorant la transparence quant à la disponibilité de capacités réseau pour l’adoption de projets d’énergies renouvelables supplémentaires dans des zones locales spécifiques.</w:t>
      </w:r>
    </w:p>
  </w:footnote>
  <w:footnote w:id="34">
    <w:p w14:paraId="3F90BEDD" w14:textId="77777777" w:rsidR="0016104F" w:rsidRDefault="0016104F" w:rsidP="009259F5">
      <w:pPr>
        <w:pStyle w:val="FootnoteText"/>
        <w:spacing w:after="0"/>
      </w:pPr>
      <w:r>
        <w:rPr>
          <w:rStyle w:val="FootnoteReference"/>
        </w:rPr>
        <w:footnoteRef/>
      </w:r>
      <w:r>
        <w:tab/>
      </w:r>
      <w:hyperlink r:id="rId18" w:history="1">
        <w:r>
          <w:rPr>
            <w:rStyle w:val="Hyperlink"/>
          </w:rPr>
          <w:t>https://ec.europa.eu/info/funding-tenders/find-funding/eu-funding-programmes/technical-support-instrument/technical-support-instrument-tsi_fr</w:t>
        </w:r>
      </w:hyperlink>
      <w:r>
        <w:t xml:space="preserve"> </w:t>
      </w:r>
    </w:p>
  </w:footnote>
  <w:footnote w:id="35">
    <w:p w14:paraId="614987D5" w14:textId="77777777" w:rsidR="0016104F" w:rsidRDefault="0016104F" w:rsidP="009259F5">
      <w:pPr>
        <w:pStyle w:val="FootnoteText"/>
        <w:spacing w:after="0"/>
      </w:pPr>
      <w:r>
        <w:rPr>
          <w:rStyle w:val="FootnoteReference"/>
        </w:rPr>
        <w:footnoteRef/>
      </w:r>
      <w:r>
        <w:tab/>
      </w:r>
      <w:hyperlink r:id="rId19" w:history="1">
        <w:r>
          <w:rPr>
            <w:rStyle w:val="Hyperlink"/>
          </w:rPr>
          <w:t>https://ec.europa.eu/info/energy-climate-change-environment/standards-tools-and-labels/products-labelling-rules-and-requirements/energy-label-and-ecodesign/product-database_fr</w:t>
        </w:r>
      </w:hyperlink>
      <w:r>
        <w:t xml:space="preserve"> </w:t>
      </w:r>
    </w:p>
  </w:footnote>
  <w:footnote w:id="36">
    <w:p w14:paraId="6D4FBF06" w14:textId="77777777" w:rsidR="0016104F" w:rsidRDefault="0016104F" w:rsidP="00D34A85">
      <w:pPr>
        <w:pStyle w:val="FootnoteText"/>
        <w:spacing w:after="0"/>
      </w:pPr>
      <w:r>
        <w:rPr>
          <w:rStyle w:val="FootnoteReference"/>
        </w:rPr>
        <w:footnoteRef/>
      </w:r>
      <w:r w:rsidRPr="00150008">
        <w:rPr>
          <w:lang w:val="en-US"/>
        </w:rPr>
        <w:tab/>
      </w:r>
      <w:r w:rsidRPr="00150008">
        <w:rPr>
          <w:color w:val="000000" w:themeColor="text1"/>
          <w:lang w:val="en-US"/>
        </w:rPr>
        <w:t xml:space="preserve">«Unified Demand Response Interoperability framework enabling Market Participation of Active energy Consumers». </w:t>
      </w:r>
      <w:r>
        <w:rPr>
          <w:color w:val="000000" w:themeColor="text1"/>
        </w:rPr>
        <w:t>Pour de plus amples informations, voir le</w:t>
      </w:r>
      <w:r>
        <w:t xml:space="preserve"> Results Pack de CORDIS sur la numérisation du système énergétique – Collection thématique de résultats de recherche innovants financés par l’UE.</w:t>
      </w:r>
    </w:p>
  </w:footnote>
  <w:footnote w:id="37">
    <w:p w14:paraId="57D2C67E" w14:textId="77777777" w:rsidR="0016104F" w:rsidRDefault="0016104F" w:rsidP="00D34A85">
      <w:pPr>
        <w:pStyle w:val="FootnoteText"/>
        <w:spacing w:after="0"/>
      </w:pPr>
      <w:r>
        <w:rPr>
          <w:rStyle w:val="FootnoteReference"/>
        </w:rPr>
        <w:footnoteRef/>
      </w:r>
      <w:r>
        <w:tab/>
        <w:t>En particulier, les travaux préparatoires en cours en vue de la mise en place d’un éventuel code de réseau sur la flexibilité de la demande.</w:t>
      </w:r>
    </w:p>
  </w:footnote>
  <w:footnote w:id="38">
    <w:p w14:paraId="4C15B48D" w14:textId="77777777" w:rsidR="0016104F" w:rsidRPr="00985FAC" w:rsidRDefault="0016104F" w:rsidP="005D3028">
      <w:pPr>
        <w:pStyle w:val="FootnoteText"/>
        <w:spacing w:after="0"/>
      </w:pPr>
      <w:r>
        <w:rPr>
          <w:rStyle w:val="FootnoteReference"/>
        </w:rPr>
        <w:footnoteRef/>
      </w:r>
      <w:r>
        <w:tab/>
        <w:t>COM(2022) 68 final.</w:t>
      </w:r>
    </w:p>
  </w:footnote>
  <w:footnote w:id="39">
    <w:p w14:paraId="77BC6AD3" w14:textId="77777777" w:rsidR="0016104F" w:rsidRDefault="0016104F" w:rsidP="009259F5">
      <w:pPr>
        <w:pStyle w:val="FootnoteText"/>
        <w:spacing w:after="0"/>
      </w:pPr>
      <w:r>
        <w:rPr>
          <w:rStyle w:val="FootnoteReference"/>
        </w:rPr>
        <w:footnoteRef/>
      </w:r>
      <w:r>
        <w:tab/>
        <w:t xml:space="preserve">COM(2022) 28 final. </w:t>
      </w:r>
    </w:p>
  </w:footnote>
  <w:footnote w:id="40">
    <w:p w14:paraId="771FA69D" w14:textId="77777777" w:rsidR="0016104F" w:rsidRPr="000269C6" w:rsidRDefault="0016104F" w:rsidP="00C4681E">
      <w:pPr>
        <w:pStyle w:val="FootnoteText"/>
        <w:spacing w:after="0"/>
      </w:pPr>
      <w:r>
        <w:rPr>
          <w:rStyle w:val="FootnoteReference"/>
        </w:rPr>
        <w:footnoteRef/>
      </w:r>
      <w:r>
        <w:tab/>
        <w:t>Directive 2005/29/CE relative aux pratiques commerciales déloyales des entreprises vis-à-vis des consommateurs dans le marché intérieur.</w:t>
      </w:r>
    </w:p>
  </w:footnote>
  <w:footnote w:id="41">
    <w:p w14:paraId="1447D996" w14:textId="77777777" w:rsidR="0016104F" w:rsidRPr="00E26760" w:rsidRDefault="0016104F" w:rsidP="00C4681E">
      <w:pPr>
        <w:pStyle w:val="FootnoteText"/>
        <w:spacing w:after="0"/>
      </w:pPr>
      <w:r>
        <w:rPr>
          <w:rStyle w:val="FootnoteReference"/>
        </w:rPr>
        <w:footnoteRef/>
      </w:r>
      <w:r>
        <w:tab/>
        <w:t>Directive 2011/83/UE relative aux droits des consommateurs.</w:t>
      </w:r>
    </w:p>
  </w:footnote>
  <w:footnote w:id="42">
    <w:p w14:paraId="23730F68" w14:textId="77777777" w:rsidR="0016104F" w:rsidRPr="00A8618E" w:rsidRDefault="0016104F" w:rsidP="00985FAC">
      <w:pPr>
        <w:pStyle w:val="FootnoteText"/>
        <w:spacing w:after="0"/>
      </w:pPr>
      <w:r>
        <w:rPr>
          <w:rStyle w:val="FootnoteReference"/>
        </w:rPr>
        <w:footnoteRef/>
      </w:r>
      <w:r>
        <w:tab/>
        <w:t xml:space="preserve">Directive 93/13/CEE du Conseil concernant les clauses abusives dans les contrats conclus avec les consommateurs. </w:t>
      </w:r>
    </w:p>
  </w:footnote>
  <w:footnote w:id="43">
    <w:p w14:paraId="17A20C1B" w14:textId="77777777" w:rsidR="0016104F" w:rsidRPr="00007C7F" w:rsidRDefault="0016104F" w:rsidP="0031041E">
      <w:pPr>
        <w:pStyle w:val="FootnoteText"/>
        <w:spacing w:after="0"/>
      </w:pPr>
      <w:r>
        <w:rPr>
          <w:rStyle w:val="FootnoteReference"/>
        </w:rPr>
        <w:footnoteRef/>
      </w:r>
      <w:r>
        <w:tab/>
        <w:t>Résultats 2022 de l’indice de l’économie et de la société numériques (DESI), p. 14 de l’analyse européenne 2022, extrait de: https://digital-strategy.ec.europa.eu/fr/policies/desi</w:t>
      </w:r>
    </w:p>
  </w:footnote>
  <w:footnote w:id="44">
    <w:p w14:paraId="092CA194" w14:textId="77777777" w:rsidR="0016104F" w:rsidRPr="006861BB" w:rsidRDefault="0016104F" w:rsidP="0BED5035">
      <w:pPr>
        <w:pStyle w:val="FootnoteText"/>
        <w:spacing w:after="0"/>
        <w:rPr>
          <w:sz w:val="18"/>
          <w:szCs w:val="18"/>
        </w:rPr>
      </w:pPr>
      <w:r>
        <w:rPr>
          <w:rStyle w:val="FootnoteReference"/>
        </w:rPr>
        <w:footnoteRef/>
      </w:r>
      <w:r>
        <w:tab/>
        <w:t>Sur la base des résultats de la consultation publique, la Commission a constaté que les lacunes dans le développement des compétences et le manque de travailleurs qualifiés adéquats constituaient le principal obstacle à l’adoption des technologies numériques</w:t>
      </w:r>
      <w:r>
        <w:rPr>
          <w:sz w:val="24"/>
        </w:rPr>
        <w:t xml:space="preserve"> </w:t>
      </w:r>
      <w:r>
        <w:t>(</w:t>
      </w:r>
      <w:r>
        <w:rPr>
          <w:color w:val="0563C1"/>
          <w:u w:val="single"/>
        </w:rPr>
        <w:t>rapport de synthèse</w:t>
      </w:r>
      <w:r>
        <w:t xml:space="preserve"> disponible dans «Donnez votre avis»).</w:t>
      </w:r>
    </w:p>
  </w:footnote>
  <w:footnote w:id="45">
    <w:p w14:paraId="6AE6D87E" w14:textId="77777777" w:rsidR="0016104F" w:rsidRDefault="0016104F" w:rsidP="00D34A85">
      <w:pPr>
        <w:pStyle w:val="FootnoteText"/>
        <w:spacing w:after="0"/>
      </w:pPr>
      <w:r>
        <w:rPr>
          <w:rStyle w:val="FootnoteReference"/>
        </w:rPr>
        <w:footnoteRef/>
      </w:r>
      <w:r>
        <w:tab/>
        <w:t xml:space="preserve">Le plan de coopération sectorielle en matière de compétences est l’une des initiatives clés de la nouvelle stratégie en matière de compétences pour l’Europe. Il prévoit que les parties prenantes coopéreront dans le cadre de partenariats sectoriels, aussi appelés «alliances sectorielles pour les compétences». Les partenariats de chaque projet développeront une stratégie sectorielle en matière de compétences afin de soutenir la stratégie globale de croissance du secteur au niveau de l’UE (qui sera déployée plus avant aux niveaux national et régional).  </w:t>
      </w:r>
    </w:p>
  </w:footnote>
  <w:footnote w:id="46">
    <w:p w14:paraId="1B8E142F" w14:textId="262A1A5F" w:rsidR="0016104F" w:rsidRDefault="0016104F">
      <w:pPr>
        <w:pStyle w:val="FootnoteText"/>
      </w:pPr>
      <w:r>
        <w:rPr>
          <w:rStyle w:val="FootnoteReference"/>
        </w:rPr>
        <w:footnoteRef/>
      </w:r>
      <w:r>
        <w:t xml:space="preserve"> </w:t>
      </w:r>
      <w:r>
        <w:tab/>
        <w:t xml:space="preserve">Un financement de l’UE destiné aux possibilités de formation en vue de l’acquisition de compétences numériques dans le domaine de l’énergie est disponible dans le cadre du programme pour une Europe numérique, appel ouvert </w:t>
      </w:r>
      <w:hyperlink r:id="rId20" w:history="1">
        <w:r>
          <w:rPr>
            <w:rStyle w:val="Hyperlink"/>
          </w:rPr>
          <w:t>DIGITAL-2022-SKILLS-03</w:t>
        </w:r>
      </w:hyperlink>
    </w:p>
  </w:footnote>
  <w:footnote w:id="47">
    <w:p w14:paraId="35800205" w14:textId="77777777" w:rsidR="0016104F" w:rsidRDefault="0016104F" w:rsidP="009259F5">
      <w:pPr>
        <w:pStyle w:val="FootnoteText"/>
        <w:spacing w:after="0"/>
      </w:pPr>
      <w:r>
        <w:rPr>
          <w:rStyle w:val="FootnoteReference"/>
        </w:rPr>
        <w:footnoteRef/>
      </w:r>
      <w:r>
        <w:tab/>
        <w:t xml:space="preserve">COM(2020) 741 final. </w:t>
      </w:r>
    </w:p>
  </w:footnote>
  <w:footnote w:id="48">
    <w:p w14:paraId="73555662" w14:textId="77777777" w:rsidR="0016104F" w:rsidRDefault="0016104F" w:rsidP="00D34A85">
      <w:pPr>
        <w:pStyle w:val="FootnoteText"/>
        <w:spacing w:after="0"/>
      </w:pPr>
      <w:r>
        <w:rPr>
          <w:rStyle w:val="FootnoteReference"/>
        </w:rPr>
        <w:footnoteRef/>
      </w:r>
      <w:r>
        <w:tab/>
        <w:t xml:space="preserve">Proposition de modification du règlement (UE) 2017/1938 concernant des mesures visant à garantir la sécurité de l’approvisionnement en gaz naturel, décembre 2021. </w:t>
      </w:r>
    </w:p>
  </w:footnote>
  <w:footnote w:id="49">
    <w:p w14:paraId="47CFB3B9" w14:textId="77777777" w:rsidR="0016104F" w:rsidRPr="003C3F8B" w:rsidRDefault="0016104F" w:rsidP="00985FAC">
      <w:pPr>
        <w:pStyle w:val="FootnoteText"/>
        <w:spacing w:after="0"/>
      </w:pPr>
      <w:r>
        <w:rPr>
          <w:rStyle w:val="FootnoteReference"/>
        </w:rPr>
        <w:footnoteRef/>
      </w:r>
      <w:r>
        <w:tab/>
        <w:t>En 2022, la Commission européenne a lancé la Coalition européenne pour le numérique vert, laquelle compte actuellement 34 signataires qui s’engagent à travailler, avec des experts et des universitaires, sur des méthodes scientifiques permettant de mesurer l’incidence environnementale nette des solutions numériques dans les secteurs prioritaires, dont les secteurs de l’énergie et de l’électricité. D’ici fin 2022, 18 études de cas réelles seront examinées. Celles-ci contribueront à valider et à affiner le développement itératif de la méthode de mesure de l’incidence environnementale nette dans tous les secteurs. Les premiers calculs des effets environnementaux des solutions numériques vertes pour les systèmes énergétiques ainsi que le projet de lignes directrices pour le déploiement de la numérisation avec des effets positifs seront disponibles en 2023.</w:t>
      </w:r>
    </w:p>
  </w:footnote>
  <w:footnote w:id="50">
    <w:p w14:paraId="1CD3A48C" w14:textId="14FB1039" w:rsidR="0016104F" w:rsidRPr="00302B67" w:rsidRDefault="0016104F" w:rsidP="00AD1F12">
      <w:pPr>
        <w:pStyle w:val="FootnoteText"/>
        <w:rPr>
          <w:color w:val="000000" w:themeColor="text1"/>
        </w:rPr>
      </w:pPr>
      <w:r>
        <w:rPr>
          <w:rStyle w:val="FootnoteReference"/>
        </w:rPr>
        <w:footnoteRef/>
      </w:r>
      <w:r>
        <w:t xml:space="preserve"> </w:t>
      </w:r>
      <w:r>
        <w:rPr>
          <w:color w:val="000000" w:themeColor="text1"/>
        </w:rPr>
        <w:t>En outre, l’empreinte énergétique des TIC représente 3 à 5 % des émissions mondiales de CO2, ce qui les place au même niveau que l’industrie aéronautique</w:t>
      </w:r>
      <w:r>
        <w:t>.</w:t>
      </w:r>
      <w:r>
        <w:rPr>
          <w:color w:val="000000" w:themeColor="text1"/>
        </w:rPr>
        <w:t xml:space="preserve"> </w:t>
      </w:r>
      <w:r>
        <w:t>Les analyses les plus récentes indiquent qu’en 2020, la consommation d’énergie des appareils grand public représentait environ 50 % de la consommation d’énergie globale des technologies de l’information et de la communication, les deux plus gros contributeurs étant respectivement la production d’appareils TIC (+/- 20 %) et l’exploitation des centres de données (+/- 15 %).</w:t>
      </w:r>
      <w:r>
        <w:rPr>
          <w:color w:val="000000" w:themeColor="text1"/>
        </w:rPr>
        <w:t xml:space="preserve"> Toutefois, cette situation devrait changer radicalement d’ici 2030, car la consommation énergétique globale des technologies de l’information et de la communication devrait augmenter de 50 % au cours de cette décennie. Les trois principaux contributeurs en 2030 seraient alors l’exploitation des appareils grand public (33 %), l’exploitation des centres de données (30 %) et l’exploitation des réseaux (27 %).</w:t>
      </w:r>
    </w:p>
  </w:footnote>
  <w:footnote w:id="51">
    <w:p w14:paraId="48DDC440" w14:textId="77777777" w:rsidR="0016104F" w:rsidRDefault="0016104F" w:rsidP="009259F5">
      <w:pPr>
        <w:pStyle w:val="FootnoteText"/>
        <w:spacing w:after="0"/>
      </w:pPr>
      <w:r>
        <w:rPr>
          <w:rStyle w:val="FootnoteReference"/>
        </w:rPr>
        <w:footnoteRef/>
      </w:r>
      <w:r>
        <w:tab/>
        <w:t>Proposition de règlement établissant un cadre pour la fixation d’exigences en matière d’écoconception applicables aux produits durables et abrogeant la directive 2009/125/CE, COM(2022) 142 final.</w:t>
      </w:r>
    </w:p>
  </w:footnote>
  <w:footnote w:id="52">
    <w:p w14:paraId="7279F8E8" w14:textId="7033901B" w:rsidR="0016104F" w:rsidRPr="00855628" w:rsidRDefault="0016104F" w:rsidP="00D34A85">
      <w:pPr>
        <w:pStyle w:val="FootnoteText"/>
        <w:spacing w:after="0"/>
      </w:pPr>
      <w:r>
        <w:rPr>
          <w:rStyle w:val="FootnoteReference"/>
        </w:rPr>
        <w:footnoteRef/>
      </w:r>
      <w:r>
        <w:tab/>
        <w:t>Il convient de noter que les dispositifs d’affichage électroniques, la seule catégorie d’appareils électroniques dont la consommation énergétique est supérieure à celle des ordinateurs de bureau et des ordinateurs portables, sont déjà visés dans l’EU par un système d’étiquetage énergétique existant.</w:t>
      </w:r>
    </w:p>
  </w:footnote>
  <w:footnote w:id="53">
    <w:p w14:paraId="4C4EBE36" w14:textId="77777777" w:rsidR="0016104F" w:rsidRPr="00150008" w:rsidRDefault="0016104F" w:rsidP="00622798">
      <w:pPr>
        <w:pStyle w:val="FootnoteText"/>
        <w:spacing w:after="0"/>
        <w:rPr>
          <w:lang w:val="en-US"/>
        </w:rPr>
      </w:pPr>
      <w:r>
        <w:rPr>
          <w:rStyle w:val="FootnoteReference"/>
        </w:rPr>
        <w:footnoteRef/>
      </w:r>
      <w:r w:rsidRPr="00150008">
        <w:rPr>
          <w:lang w:val="en-US"/>
        </w:rPr>
        <w:t xml:space="preserve"> </w:t>
      </w:r>
      <w:r w:rsidRPr="00150008">
        <w:rPr>
          <w:lang w:val="en-US"/>
        </w:rPr>
        <w:tab/>
        <w:t xml:space="preserve">See </w:t>
      </w:r>
      <w:hyperlink r:id="rId21" w:history="1">
        <w:r w:rsidRPr="00150008">
          <w:rPr>
            <w:rStyle w:val="Hyperlink"/>
            <w:lang w:val="en-US"/>
          </w:rPr>
          <w:t>https://ec.europa.eu/info/news/ecodesign-and-energy-labelling-working-plan-2022-2024-2022-apr-06_fr</w:t>
        </w:r>
      </w:hyperlink>
      <w:r w:rsidRPr="00150008">
        <w:rPr>
          <w:lang w:val="en-US"/>
        </w:rPr>
        <w:t xml:space="preserve"> </w:t>
      </w:r>
    </w:p>
  </w:footnote>
  <w:footnote w:id="54">
    <w:p w14:paraId="5DEEFA46" w14:textId="77777777" w:rsidR="0016104F" w:rsidRPr="00187FB7" w:rsidRDefault="0016104F" w:rsidP="00D34A85">
      <w:pPr>
        <w:pStyle w:val="FootnoteText"/>
        <w:spacing w:after="0"/>
      </w:pPr>
      <w:r>
        <w:rPr>
          <w:rStyle w:val="FootnoteReference"/>
        </w:rPr>
        <w:footnoteRef/>
      </w:r>
      <w:r>
        <w:tab/>
        <w:t xml:space="preserve">Voir </w:t>
      </w:r>
      <w:hyperlink r:id="rId22" w:history="1">
        <w:r>
          <w:rPr>
            <w:rStyle w:val="Hyperlink"/>
          </w:rPr>
          <w:t>https://ec.europa.eu/info/strategy/priorities-2019-2024/europe-fit-digital-age/shaping-europe-digital-future_fr</w:t>
        </w:r>
      </w:hyperlink>
      <w:r>
        <w:t xml:space="preserve"> </w:t>
      </w:r>
    </w:p>
  </w:footnote>
  <w:footnote w:id="55">
    <w:p w14:paraId="340441FF" w14:textId="77777777" w:rsidR="0016104F" w:rsidRPr="0052674B" w:rsidRDefault="0016104F" w:rsidP="002F4EFE">
      <w:pPr>
        <w:pStyle w:val="FootnoteText"/>
        <w:spacing w:after="0"/>
      </w:pPr>
      <w:r>
        <w:rPr>
          <w:rStyle w:val="FootnoteReference"/>
        </w:rPr>
        <w:footnoteRef/>
      </w:r>
      <w:r>
        <w:tab/>
        <w:t xml:space="preserve">COM(2022) 28 final.  </w:t>
      </w:r>
    </w:p>
  </w:footnote>
  <w:footnote w:id="56">
    <w:p w14:paraId="09D064F9" w14:textId="77777777" w:rsidR="0016104F" w:rsidRPr="00A17A1B" w:rsidRDefault="0016104F" w:rsidP="00D34A85">
      <w:pPr>
        <w:pStyle w:val="FootnoteText"/>
        <w:spacing w:after="0"/>
      </w:pPr>
      <w:r>
        <w:rPr>
          <w:rStyle w:val="FootnoteReference"/>
        </w:rPr>
        <w:footnoteRef/>
      </w:r>
      <w:r>
        <w:tab/>
        <w:t xml:space="preserve">À cet égard, il convient de noter que si la part des centres de données en nuage représentait 10 % de la consommation d’énergie des centres de données en 2010, celle-ci est passée à 35 % en 2018 et devrait atteindre 60 % en 2025. Voir </w:t>
      </w:r>
      <w:hyperlink r:id="rId23" w:history="1">
        <w:r>
          <w:rPr>
            <w:rStyle w:val="Hyperlink"/>
          </w:rPr>
          <w:t>https://ec.europa.eu/newsroom/dae/document.cfm?doc_id=71330</w:t>
        </w:r>
      </w:hyperlink>
      <w:r>
        <w:t xml:space="preserve"> (en anglais). </w:t>
      </w:r>
    </w:p>
  </w:footnote>
  <w:footnote w:id="57">
    <w:p w14:paraId="1ABE54DD" w14:textId="77777777" w:rsidR="0016104F" w:rsidRDefault="0016104F" w:rsidP="00BB2DB0">
      <w:pPr>
        <w:pStyle w:val="FootnoteText"/>
        <w:spacing w:after="0"/>
      </w:pPr>
      <w:r>
        <w:rPr>
          <w:rStyle w:val="FootnoteReference"/>
        </w:rPr>
        <w:footnoteRef/>
      </w:r>
      <w:r>
        <w:tab/>
        <w:t xml:space="preserve">Ce pourcentage atteindra 3,21 % d’ici 2030 si le développement se poursuit au rythme actuel: </w:t>
      </w:r>
      <w:hyperlink r:id="rId24" w:history="1">
        <w:r>
          <w:rPr>
            <w:rStyle w:val="Hyperlink"/>
          </w:rPr>
          <w:t>https://digital-strategy.ec.europa.eu/en/library/energy-efficient-cloud-computing-technologies-and-policies-eco-friendly-cloud-market</w:t>
        </w:r>
      </w:hyperlink>
      <w:r>
        <w:t xml:space="preserve"> (en anglais). </w:t>
      </w:r>
    </w:p>
  </w:footnote>
  <w:footnote w:id="58">
    <w:p w14:paraId="12CA62CD" w14:textId="77777777" w:rsidR="0016104F" w:rsidRPr="00150008" w:rsidRDefault="0016104F" w:rsidP="00985FAC">
      <w:pPr>
        <w:pStyle w:val="FootnoteText"/>
        <w:spacing w:after="0"/>
        <w:rPr>
          <w:lang w:val="en-US"/>
        </w:rPr>
      </w:pPr>
      <w:r>
        <w:rPr>
          <w:rStyle w:val="FootnoteReference"/>
        </w:rPr>
        <w:footnoteRef/>
      </w:r>
      <w:r w:rsidRPr="00150008">
        <w:rPr>
          <w:lang w:val="en-US"/>
        </w:rPr>
        <w:tab/>
        <w:t>COM(2021) 118 final.</w:t>
      </w:r>
    </w:p>
  </w:footnote>
  <w:footnote w:id="59">
    <w:p w14:paraId="793D1501" w14:textId="77777777" w:rsidR="0016104F" w:rsidRPr="00150008" w:rsidRDefault="0016104F" w:rsidP="00985FAC">
      <w:pPr>
        <w:pStyle w:val="FootnoteText"/>
        <w:spacing w:after="0"/>
        <w:rPr>
          <w:lang w:val="en-US"/>
        </w:rPr>
      </w:pPr>
      <w:r>
        <w:rPr>
          <w:rStyle w:val="FootnoteReference"/>
        </w:rPr>
        <w:footnoteRef/>
      </w:r>
      <w:r w:rsidRPr="00150008">
        <w:rPr>
          <w:lang w:val="en-US"/>
        </w:rPr>
        <w:tab/>
        <w:t>Voir https://ec.europa.eu/info/strategy/priorities-2019-2024/europe-fit-digital-age/europes-digital-decade-digital-targets-2030_fr</w:t>
      </w:r>
    </w:p>
  </w:footnote>
  <w:footnote w:id="60">
    <w:p w14:paraId="375BD2F5" w14:textId="7411CEDE" w:rsidR="0016104F" w:rsidRPr="006D04C6" w:rsidRDefault="0016104F" w:rsidP="00D34A85">
      <w:pPr>
        <w:pStyle w:val="FootnoteText"/>
        <w:spacing w:after="0"/>
      </w:pPr>
      <w:r>
        <w:rPr>
          <w:rStyle w:val="FootnoteReference"/>
        </w:rPr>
        <w:footnoteRef/>
      </w:r>
      <w:r>
        <w:tab/>
        <w:t>Par l’entremise, notamment, du code de conduite de l’UE sur l’efficacité énergétique des centres de données, d’un nombre important d’études et de projets de recherche, du règlement (UE) 2019/424 établissant des exigences d’écoconception applicables aux serveurs et aux produits de stockage de données, de la taxinomie de l’UE pour une finance durable, qui comprend des critères pour les centres de données, ainsi que du règlement européen sur les semi-conducteurs.</w:t>
      </w:r>
    </w:p>
  </w:footnote>
  <w:footnote w:id="61">
    <w:p w14:paraId="433B09F9" w14:textId="77777777" w:rsidR="0016104F" w:rsidRDefault="0016104F" w:rsidP="00D34A85">
      <w:pPr>
        <w:pStyle w:val="FootnoteText"/>
        <w:spacing w:after="0"/>
        <w:rPr>
          <w:rFonts w:eastAsia="Calibri"/>
        </w:rPr>
      </w:pPr>
      <w:r>
        <w:rPr>
          <w:rStyle w:val="FootnoteReference"/>
        </w:rPr>
        <w:footnoteRef/>
      </w:r>
      <w:r>
        <w:tab/>
      </w:r>
      <w:r>
        <w:rPr>
          <w:color w:val="000000" w:themeColor="text1"/>
        </w:rPr>
        <w:t xml:space="preserve">Directive (UE) 2012/27 sur l’efficacité énergétique, </w:t>
      </w:r>
      <w:r>
        <w:t>article 11, paragraphe 10.</w:t>
      </w:r>
    </w:p>
  </w:footnote>
  <w:footnote w:id="62">
    <w:p w14:paraId="7CC8C363" w14:textId="77777777" w:rsidR="0016104F" w:rsidRPr="00D27212" w:rsidRDefault="0016104F" w:rsidP="00D34A85">
      <w:pPr>
        <w:pStyle w:val="FootnoteText"/>
        <w:spacing w:after="0"/>
      </w:pPr>
      <w:r>
        <w:rPr>
          <w:rStyle w:val="FootnoteReference"/>
        </w:rPr>
        <w:footnoteRef/>
      </w:r>
      <w:r>
        <w:tab/>
      </w:r>
      <w:r>
        <w:rPr>
          <w:color w:val="000000" w:themeColor="text1"/>
        </w:rPr>
        <w:t>Règlement (UE) 2019/424.</w:t>
      </w:r>
    </w:p>
  </w:footnote>
  <w:footnote w:id="63">
    <w:p w14:paraId="61CC7C8C" w14:textId="61CC1486" w:rsidR="0016104F" w:rsidRPr="00985FAC" w:rsidRDefault="0016104F" w:rsidP="00985FAC">
      <w:pPr>
        <w:pStyle w:val="FootnoteText"/>
        <w:spacing w:after="0"/>
      </w:pPr>
      <w:r>
        <w:rPr>
          <w:rStyle w:val="FootnoteReference"/>
        </w:rPr>
        <w:footnoteRef/>
      </w:r>
      <w:r>
        <w:tab/>
        <w:t>Sur la base des données de juin 2022.</w:t>
      </w:r>
    </w:p>
  </w:footnote>
  <w:footnote w:id="64">
    <w:p w14:paraId="7CD30051" w14:textId="3AE2AC19" w:rsidR="0016104F" w:rsidRDefault="0016104F" w:rsidP="006633CC">
      <w:pPr>
        <w:pStyle w:val="FootnoteText"/>
        <w:spacing w:after="0"/>
      </w:pPr>
      <w:r>
        <w:rPr>
          <w:rStyle w:val="FootnoteReference"/>
        </w:rPr>
        <w:footnoteRef/>
      </w:r>
      <w:r>
        <w:tab/>
        <w:t xml:space="preserve">Voir le Cambridge Bitcoin Electricity Consumption Index: </w:t>
      </w:r>
      <w:hyperlink r:id="rId25" w:history="1">
        <w:r>
          <w:rPr>
            <w:rStyle w:val="Hyperlink"/>
          </w:rPr>
          <w:t>https://ccaf.io/cbeci/index</w:t>
        </w:r>
      </w:hyperlink>
      <w:r>
        <w:rPr>
          <w:rStyle w:val="Hyperlink"/>
        </w:rPr>
        <w:t xml:space="preserve"> </w:t>
      </w:r>
      <w:r>
        <w:t xml:space="preserve"> </w:t>
      </w:r>
    </w:p>
  </w:footnote>
  <w:footnote w:id="65">
    <w:p w14:paraId="45C00E20" w14:textId="77777777" w:rsidR="0016104F" w:rsidRPr="008E304C" w:rsidRDefault="0016104F" w:rsidP="00970143">
      <w:pPr>
        <w:pStyle w:val="FootnoteText"/>
        <w:spacing w:after="0"/>
      </w:pPr>
      <w:r>
        <w:rPr>
          <w:rStyle w:val="FootnoteReference"/>
        </w:rPr>
        <w:footnoteRef/>
      </w:r>
      <w:r>
        <w:tab/>
        <w:t xml:space="preserve">Voir par exemple </w:t>
      </w:r>
      <w:hyperlink r:id="rId26" w:anchor=":~:text=1.,which%20keeps%20a%20running%20estimate" w:history="1">
        <w:r>
          <w:rPr>
            <w:rStyle w:val="Hyperlink"/>
          </w:rPr>
          <w:t>https://www.bloomberg.com/professional/blog/why-bitcoins-energy-problem-is-so-hard-to-fix-quicktake/#:~:text=1.,which%20keeps%20a%20running%20estimate</w:t>
        </w:r>
      </w:hyperlink>
      <w:r>
        <w:t xml:space="preserve">. Le fonctionnement des mécanismes modernes de consensus de la chaîne de blocs nécessite beaucoup moins d’énergie que celui utilisé pour le Bitcoin (par exemple le mécanisme de la «preuve d’enjeu» [«proof of stake»)]. </w:t>
      </w:r>
    </w:p>
  </w:footnote>
  <w:footnote w:id="66">
    <w:p w14:paraId="73EAAE46" w14:textId="77777777" w:rsidR="0016104F" w:rsidRPr="00970143" w:rsidRDefault="0016104F" w:rsidP="0031041E">
      <w:pPr>
        <w:pStyle w:val="FootnoteText"/>
        <w:spacing w:after="0"/>
      </w:pPr>
      <w:r>
        <w:rPr>
          <w:rStyle w:val="FootnoteReference"/>
        </w:rPr>
        <w:footnoteRef/>
      </w:r>
      <w:r>
        <w:tab/>
        <w:t>Le texte final du règlement MiCA a été approuvé par les colégislateurs le 30 juin 2022.</w:t>
      </w:r>
    </w:p>
  </w:footnote>
  <w:footnote w:id="67">
    <w:p w14:paraId="0D2CACAB" w14:textId="5FBACA50" w:rsidR="0016104F" w:rsidRPr="0072669C" w:rsidRDefault="0016104F" w:rsidP="0072669C">
      <w:pPr>
        <w:pStyle w:val="FootnoteText"/>
        <w:spacing w:after="0"/>
      </w:pPr>
      <w:r>
        <w:rPr>
          <w:rStyle w:val="FootnoteReference"/>
        </w:rPr>
        <w:footnoteRef/>
      </w:r>
      <w:r>
        <w:tab/>
        <w:t xml:space="preserve">Recovery and Resilience Scoreboard. Thematic Analysis: Digital public services, Commission européenne, décembre 2021. </w:t>
      </w:r>
    </w:p>
  </w:footnote>
  <w:footnote w:id="68">
    <w:p w14:paraId="05E8CBB4" w14:textId="4E3D33B9" w:rsidR="0016104F" w:rsidRPr="00485D34" w:rsidRDefault="0016104F" w:rsidP="00240F0C">
      <w:pPr>
        <w:pStyle w:val="FootnoteText"/>
        <w:spacing w:after="0"/>
      </w:pPr>
      <w:r>
        <w:rPr>
          <w:rStyle w:val="FootnoteReference"/>
          <w:rFonts w:eastAsiaTheme="majorEastAsia"/>
        </w:rPr>
        <w:footnoteRef/>
      </w:r>
      <w:r>
        <w:t xml:space="preserve"> </w:t>
      </w:r>
      <w:r>
        <w:tab/>
        <w:t xml:space="preserve">Proposition de la Commission COM(2022) 231 final, modifiant le règlement en ce qui concerne les chapitres REPowerEU des plans pour la reprise et la résilience, ainsi que les orientations relatives aux PRR dans le contexte de REPowerEU (en anglais).  </w:t>
      </w:r>
    </w:p>
  </w:footnote>
  <w:footnote w:id="69">
    <w:p w14:paraId="2AB0B5D9" w14:textId="77777777" w:rsidR="0016104F" w:rsidRDefault="0016104F" w:rsidP="00D34A85">
      <w:pPr>
        <w:pStyle w:val="FootnoteText"/>
        <w:spacing w:after="0"/>
      </w:pPr>
      <w:r>
        <w:rPr>
          <w:rStyle w:val="FootnoteReference"/>
        </w:rPr>
        <w:footnoteRef/>
      </w:r>
      <w:r>
        <w:tab/>
        <w:t>Sur les 136 pôles européens d’innovation numérique qui seront cofinancés via le programme pour une Europe numérique et débuteront leurs travaux en septembre 2022, 34 porteront (mais pas exclusivement) sur la numérisation du secteur de l’énergie. Ce nombre pourrait augmenter en 2023.</w:t>
      </w:r>
    </w:p>
  </w:footnote>
  <w:footnote w:id="70">
    <w:p w14:paraId="583D0E5D" w14:textId="77777777" w:rsidR="0016104F" w:rsidRDefault="0016104F" w:rsidP="009259F5">
      <w:pPr>
        <w:pStyle w:val="FootnoteText"/>
        <w:spacing w:after="0"/>
      </w:pPr>
      <w:r>
        <w:rPr>
          <w:rStyle w:val="FootnoteReference"/>
        </w:rPr>
        <w:footnoteRef/>
      </w:r>
      <w:r>
        <w:tab/>
      </w:r>
      <w:r>
        <w:rPr>
          <w:color w:val="000000" w:themeColor="text1"/>
        </w:rPr>
        <w:t xml:space="preserve">À savoir, le partenariat européen pour la technologie et l’innovation – réseaux intelligents pour la transition énergétique, le cofinancement de l’Espace européen de la recherche (EER) Net Smart Grids Plus et l’Alliance européenne de la recherche énergétique (EERA). </w:t>
      </w:r>
      <w:r>
        <w:t>En outre, la plateforme s’appuiera également sur les activités du partenariat européen pour la transition vers une énergie propre dans le cadre du groupe Horizon Europe sur le climat, l’énergie et la mobilité.</w:t>
      </w:r>
    </w:p>
  </w:footnote>
  <w:footnote w:id="71">
    <w:p w14:paraId="395CD908" w14:textId="77777777" w:rsidR="0016104F" w:rsidRPr="006861BB" w:rsidRDefault="0016104F" w:rsidP="00232A7F">
      <w:pPr>
        <w:pStyle w:val="FootnoteText"/>
        <w:spacing w:after="0"/>
      </w:pPr>
      <w:r>
        <w:rPr>
          <w:rStyle w:val="FootnoteReference"/>
        </w:rPr>
        <w:footnoteRef/>
      </w:r>
      <w:r>
        <w:tab/>
        <w:t>Coalition pour la durabilité environnementale numérique (CODES), www.sparkblue.org/CODES</w:t>
      </w:r>
    </w:p>
  </w:footnote>
  <w:footnote w:id="72">
    <w:p w14:paraId="39FEDA2E" w14:textId="77777777" w:rsidR="0016104F" w:rsidRPr="00150008" w:rsidRDefault="0016104F" w:rsidP="00D34A85">
      <w:pPr>
        <w:pStyle w:val="FootnoteText"/>
        <w:spacing w:after="0"/>
        <w:rPr>
          <w:lang w:val="en-US"/>
        </w:rPr>
      </w:pPr>
      <w:r>
        <w:rPr>
          <w:rStyle w:val="FootnoteReference"/>
        </w:rPr>
        <w:footnoteRef/>
      </w:r>
      <w:r w:rsidRPr="00150008">
        <w:rPr>
          <w:lang w:val="en-US"/>
        </w:rPr>
        <w:t xml:space="preserve"> </w:t>
      </w:r>
      <w:r w:rsidRPr="00150008">
        <w:rPr>
          <w:lang w:val="en-US"/>
        </w:rPr>
        <w:tab/>
      </w:r>
      <w:hyperlink r:id="rId27" w:history="1">
        <w:r w:rsidRPr="00150008">
          <w:rPr>
            <w:rStyle w:val="Hyperlink"/>
            <w:lang w:val="en-US"/>
          </w:rPr>
          <w:t>EU-India High Level Platform on Smart Grids - Florence School of Regulation (eui.eu)</w:t>
        </w:r>
      </w:hyperlink>
    </w:p>
  </w:footnote>
  <w:footnote w:id="73">
    <w:p w14:paraId="682987DD" w14:textId="77777777" w:rsidR="0016104F" w:rsidRDefault="0016104F" w:rsidP="00D34A85">
      <w:pPr>
        <w:pStyle w:val="FootnoteText"/>
        <w:spacing w:after="0"/>
      </w:pPr>
      <w:r>
        <w:rPr>
          <w:rStyle w:val="FootnoteReference"/>
        </w:rPr>
        <w:footnoteRef/>
      </w:r>
      <w:r>
        <w:tab/>
        <w:t xml:space="preserve">Centre européen de compétences en matière de cybersécurité: </w:t>
      </w:r>
      <w:hyperlink r:id="rId28" w:tgtFrame="_blank" w:history="1">
        <w:r>
          <w:rPr>
            <w:rStyle w:val="Hyperlink"/>
          </w:rPr>
          <w:t>https://digital-strategy.ec.europa.eu/en/policies/cybersecurity-competence-centre</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0BA23" w14:textId="77777777" w:rsidR="002619EC" w:rsidRPr="002619EC" w:rsidRDefault="002619EC" w:rsidP="002619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2BE7F" w14:textId="77777777" w:rsidR="002619EC" w:rsidRPr="002619EC" w:rsidRDefault="002619EC" w:rsidP="002619E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1EA23" w14:textId="77777777" w:rsidR="002619EC" w:rsidRPr="002619EC" w:rsidRDefault="002619EC" w:rsidP="002619E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213F1" w14:textId="77777777" w:rsidR="0016104F" w:rsidRDefault="0016104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5C4B2" w14:textId="77777777" w:rsidR="0016104F" w:rsidRDefault="0016104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8F9C0" w14:textId="77777777" w:rsidR="0016104F" w:rsidRDefault="001610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D6B75"/>
    <w:multiLevelType w:val="multilevel"/>
    <w:tmpl w:val="8C288212"/>
    <w:lvl w:ilvl="0">
      <w:start w:val="6"/>
      <w:numFmt w:val="decimal"/>
      <w:lvlText w:val="%1."/>
      <w:lvlJc w:val="left"/>
      <w:pPr>
        <w:tabs>
          <w:tab w:val="num" w:pos="720"/>
        </w:tabs>
        <w:ind w:left="720" w:hanging="360"/>
      </w:pPr>
      <w:rPr>
        <w:b/>
        <w:bCs/>
      </w:rPr>
    </w:lvl>
    <w:lvl w:ilvl="1">
      <w:numFmt w:val="bullet"/>
      <w:lvlText w:val="•"/>
      <w:lvlJc w:val="left"/>
      <w:pPr>
        <w:ind w:left="1880" w:hanging="80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500A18"/>
    <w:multiLevelType w:val="multilevel"/>
    <w:tmpl w:val="DE723F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CA46BF"/>
    <w:multiLevelType w:val="hybridMultilevel"/>
    <w:tmpl w:val="F66E6AF6"/>
    <w:lvl w:ilvl="0" w:tplc="79C854DE">
      <w:start w:val="1"/>
      <w:numFmt w:val="lowerRoman"/>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32310F4"/>
    <w:multiLevelType w:val="hybridMultilevel"/>
    <w:tmpl w:val="28D286E2"/>
    <w:lvl w:ilvl="0" w:tplc="1BDAED00">
      <w:start w:val="1"/>
      <w:numFmt w:val="bullet"/>
      <w:lvlText w:val=""/>
      <w:lvlJc w:val="left"/>
      <w:pPr>
        <w:ind w:left="720" w:hanging="360"/>
      </w:pPr>
      <w:rPr>
        <w:rFonts w:ascii="Symbol" w:hAnsi="Symbol" w:hint="default"/>
      </w:rPr>
    </w:lvl>
    <w:lvl w:ilvl="1" w:tplc="D19615F4">
      <w:start w:val="1"/>
      <w:numFmt w:val="bullet"/>
      <w:lvlText w:val="o"/>
      <w:lvlJc w:val="left"/>
      <w:pPr>
        <w:ind w:left="1440" w:hanging="360"/>
      </w:pPr>
      <w:rPr>
        <w:rFonts w:ascii="Courier New" w:hAnsi="Courier New" w:hint="default"/>
      </w:rPr>
    </w:lvl>
    <w:lvl w:ilvl="2" w:tplc="8132D2F6">
      <w:start w:val="1"/>
      <w:numFmt w:val="bullet"/>
      <w:lvlText w:val=""/>
      <w:lvlJc w:val="left"/>
      <w:pPr>
        <w:ind w:left="2160" w:hanging="360"/>
      </w:pPr>
      <w:rPr>
        <w:rFonts w:ascii="Wingdings" w:hAnsi="Wingdings" w:hint="default"/>
      </w:rPr>
    </w:lvl>
    <w:lvl w:ilvl="3" w:tplc="A7AABE84">
      <w:start w:val="1"/>
      <w:numFmt w:val="bullet"/>
      <w:lvlText w:val=""/>
      <w:lvlJc w:val="left"/>
      <w:pPr>
        <w:ind w:left="2880" w:hanging="360"/>
      </w:pPr>
      <w:rPr>
        <w:rFonts w:ascii="Symbol" w:hAnsi="Symbol" w:hint="default"/>
      </w:rPr>
    </w:lvl>
    <w:lvl w:ilvl="4" w:tplc="74B4B5E0">
      <w:start w:val="1"/>
      <w:numFmt w:val="bullet"/>
      <w:lvlText w:val="o"/>
      <w:lvlJc w:val="left"/>
      <w:pPr>
        <w:ind w:left="3600" w:hanging="360"/>
      </w:pPr>
      <w:rPr>
        <w:rFonts w:ascii="Courier New" w:hAnsi="Courier New" w:hint="default"/>
      </w:rPr>
    </w:lvl>
    <w:lvl w:ilvl="5" w:tplc="CD6079D6">
      <w:start w:val="1"/>
      <w:numFmt w:val="bullet"/>
      <w:lvlText w:val=""/>
      <w:lvlJc w:val="left"/>
      <w:pPr>
        <w:ind w:left="4320" w:hanging="360"/>
      </w:pPr>
      <w:rPr>
        <w:rFonts w:ascii="Wingdings" w:hAnsi="Wingdings" w:hint="default"/>
      </w:rPr>
    </w:lvl>
    <w:lvl w:ilvl="6" w:tplc="91223B82">
      <w:start w:val="1"/>
      <w:numFmt w:val="bullet"/>
      <w:lvlText w:val=""/>
      <w:lvlJc w:val="left"/>
      <w:pPr>
        <w:ind w:left="5040" w:hanging="360"/>
      </w:pPr>
      <w:rPr>
        <w:rFonts w:ascii="Symbol" w:hAnsi="Symbol" w:hint="default"/>
      </w:rPr>
    </w:lvl>
    <w:lvl w:ilvl="7" w:tplc="49407938">
      <w:start w:val="1"/>
      <w:numFmt w:val="bullet"/>
      <w:lvlText w:val="o"/>
      <w:lvlJc w:val="left"/>
      <w:pPr>
        <w:ind w:left="5760" w:hanging="360"/>
      </w:pPr>
      <w:rPr>
        <w:rFonts w:ascii="Courier New" w:hAnsi="Courier New" w:hint="default"/>
      </w:rPr>
    </w:lvl>
    <w:lvl w:ilvl="8" w:tplc="D0A60B9E">
      <w:start w:val="1"/>
      <w:numFmt w:val="bullet"/>
      <w:lvlText w:val=""/>
      <w:lvlJc w:val="left"/>
      <w:pPr>
        <w:ind w:left="6480" w:hanging="360"/>
      </w:pPr>
      <w:rPr>
        <w:rFonts w:ascii="Wingdings" w:hAnsi="Wingdings" w:hint="default"/>
      </w:rPr>
    </w:lvl>
  </w:abstractNum>
  <w:abstractNum w:abstractNumId="4" w15:restartNumberingAfterBreak="0">
    <w:nsid w:val="036747C9"/>
    <w:multiLevelType w:val="hybridMultilevel"/>
    <w:tmpl w:val="6332EA46"/>
    <w:lvl w:ilvl="0" w:tplc="37EE1730">
      <w:start w:val="1"/>
      <w:numFmt w:val="decimal"/>
      <w:lvlText w:val="%1."/>
      <w:lvlJc w:val="left"/>
      <w:pPr>
        <w:ind w:left="720" w:hanging="360"/>
      </w:pPr>
    </w:lvl>
    <w:lvl w:ilvl="1" w:tplc="ED64D98C">
      <w:start w:val="1"/>
      <w:numFmt w:val="lowerLetter"/>
      <w:lvlText w:val="%2."/>
      <w:lvlJc w:val="left"/>
      <w:pPr>
        <w:ind w:left="1440" w:hanging="360"/>
      </w:pPr>
    </w:lvl>
    <w:lvl w:ilvl="2" w:tplc="4F56232A">
      <w:start w:val="1"/>
      <w:numFmt w:val="lowerRoman"/>
      <w:lvlText w:val="%3."/>
      <w:lvlJc w:val="right"/>
      <w:pPr>
        <w:ind w:left="2160" w:hanging="180"/>
      </w:pPr>
    </w:lvl>
    <w:lvl w:ilvl="3" w:tplc="54220C26">
      <w:start w:val="1"/>
      <w:numFmt w:val="decimal"/>
      <w:lvlText w:val="%4."/>
      <w:lvlJc w:val="left"/>
      <w:pPr>
        <w:ind w:left="2880" w:hanging="360"/>
      </w:pPr>
    </w:lvl>
    <w:lvl w:ilvl="4" w:tplc="7F7A04F2">
      <w:start w:val="1"/>
      <w:numFmt w:val="lowerLetter"/>
      <w:lvlText w:val="%5."/>
      <w:lvlJc w:val="left"/>
      <w:pPr>
        <w:ind w:left="3600" w:hanging="360"/>
      </w:pPr>
    </w:lvl>
    <w:lvl w:ilvl="5" w:tplc="2A36E098">
      <w:start w:val="1"/>
      <w:numFmt w:val="lowerRoman"/>
      <w:lvlText w:val="%6."/>
      <w:lvlJc w:val="right"/>
      <w:pPr>
        <w:ind w:left="4320" w:hanging="180"/>
      </w:pPr>
    </w:lvl>
    <w:lvl w:ilvl="6" w:tplc="ED2064B2">
      <w:start w:val="1"/>
      <w:numFmt w:val="decimal"/>
      <w:lvlText w:val="%7."/>
      <w:lvlJc w:val="left"/>
      <w:pPr>
        <w:ind w:left="5040" w:hanging="360"/>
      </w:pPr>
    </w:lvl>
    <w:lvl w:ilvl="7" w:tplc="7464B690">
      <w:start w:val="1"/>
      <w:numFmt w:val="lowerLetter"/>
      <w:lvlText w:val="%8."/>
      <w:lvlJc w:val="left"/>
      <w:pPr>
        <w:ind w:left="5760" w:hanging="360"/>
      </w:pPr>
    </w:lvl>
    <w:lvl w:ilvl="8" w:tplc="38E869C2">
      <w:start w:val="1"/>
      <w:numFmt w:val="lowerRoman"/>
      <w:lvlText w:val="%9."/>
      <w:lvlJc w:val="right"/>
      <w:pPr>
        <w:ind w:left="6480" w:hanging="180"/>
      </w:pPr>
    </w:lvl>
  </w:abstractNum>
  <w:abstractNum w:abstractNumId="5" w15:restartNumberingAfterBreak="0">
    <w:nsid w:val="03748F24"/>
    <w:multiLevelType w:val="hybridMultilevel"/>
    <w:tmpl w:val="4050A65C"/>
    <w:lvl w:ilvl="0" w:tplc="84DC8F02">
      <w:start w:val="1"/>
      <w:numFmt w:val="bullet"/>
      <w:lvlText w:val="·"/>
      <w:lvlJc w:val="left"/>
      <w:pPr>
        <w:ind w:left="720" w:hanging="360"/>
      </w:pPr>
      <w:rPr>
        <w:rFonts w:ascii="Symbol" w:hAnsi="Symbol" w:hint="default"/>
      </w:rPr>
    </w:lvl>
    <w:lvl w:ilvl="1" w:tplc="C73E36C6">
      <w:start w:val="1"/>
      <w:numFmt w:val="bullet"/>
      <w:lvlText w:val="o"/>
      <w:lvlJc w:val="left"/>
      <w:pPr>
        <w:ind w:left="1440" w:hanging="360"/>
      </w:pPr>
      <w:rPr>
        <w:rFonts w:ascii="Courier New" w:hAnsi="Courier New" w:hint="default"/>
      </w:rPr>
    </w:lvl>
    <w:lvl w:ilvl="2" w:tplc="A4E095A4">
      <w:start w:val="1"/>
      <w:numFmt w:val="bullet"/>
      <w:lvlText w:val=""/>
      <w:lvlJc w:val="left"/>
      <w:pPr>
        <w:ind w:left="2160" w:hanging="360"/>
      </w:pPr>
      <w:rPr>
        <w:rFonts w:ascii="Wingdings" w:hAnsi="Wingdings" w:hint="default"/>
      </w:rPr>
    </w:lvl>
    <w:lvl w:ilvl="3" w:tplc="41CA34BA">
      <w:start w:val="1"/>
      <w:numFmt w:val="bullet"/>
      <w:lvlText w:val=""/>
      <w:lvlJc w:val="left"/>
      <w:pPr>
        <w:ind w:left="2880" w:hanging="360"/>
      </w:pPr>
      <w:rPr>
        <w:rFonts w:ascii="Symbol" w:hAnsi="Symbol" w:hint="default"/>
      </w:rPr>
    </w:lvl>
    <w:lvl w:ilvl="4" w:tplc="20640D68">
      <w:start w:val="1"/>
      <w:numFmt w:val="bullet"/>
      <w:lvlText w:val="o"/>
      <w:lvlJc w:val="left"/>
      <w:pPr>
        <w:ind w:left="3600" w:hanging="360"/>
      </w:pPr>
      <w:rPr>
        <w:rFonts w:ascii="Courier New" w:hAnsi="Courier New" w:hint="default"/>
      </w:rPr>
    </w:lvl>
    <w:lvl w:ilvl="5" w:tplc="A1E8AAE0">
      <w:start w:val="1"/>
      <w:numFmt w:val="bullet"/>
      <w:lvlText w:val=""/>
      <w:lvlJc w:val="left"/>
      <w:pPr>
        <w:ind w:left="4320" w:hanging="360"/>
      </w:pPr>
      <w:rPr>
        <w:rFonts w:ascii="Wingdings" w:hAnsi="Wingdings" w:hint="default"/>
      </w:rPr>
    </w:lvl>
    <w:lvl w:ilvl="6" w:tplc="E9E47200">
      <w:start w:val="1"/>
      <w:numFmt w:val="bullet"/>
      <w:lvlText w:val=""/>
      <w:lvlJc w:val="left"/>
      <w:pPr>
        <w:ind w:left="5040" w:hanging="360"/>
      </w:pPr>
      <w:rPr>
        <w:rFonts w:ascii="Symbol" w:hAnsi="Symbol" w:hint="default"/>
      </w:rPr>
    </w:lvl>
    <w:lvl w:ilvl="7" w:tplc="03B800DA">
      <w:start w:val="1"/>
      <w:numFmt w:val="bullet"/>
      <w:lvlText w:val="o"/>
      <w:lvlJc w:val="left"/>
      <w:pPr>
        <w:ind w:left="5760" w:hanging="360"/>
      </w:pPr>
      <w:rPr>
        <w:rFonts w:ascii="Courier New" w:hAnsi="Courier New" w:hint="default"/>
      </w:rPr>
    </w:lvl>
    <w:lvl w:ilvl="8" w:tplc="2AA8EDA6">
      <w:start w:val="1"/>
      <w:numFmt w:val="bullet"/>
      <w:lvlText w:val=""/>
      <w:lvlJc w:val="left"/>
      <w:pPr>
        <w:ind w:left="6480" w:hanging="360"/>
      </w:pPr>
      <w:rPr>
        <w:rFonts w:ascii="Wingdings" w:hAnsi="Wingdings" w:hint="default"/>
      </w:rPr>
    </w:lvl>
  </w:abstractNum>
  <w:abstractNum w:abstractNumId="6" w15:restartNumberingAfterBreak="0">
    <w:nsid w:val="042B0C29"/>
    <w:multiLevelType w:val="multilevel"/>
    <w:tmpl w:val="75363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4AD0DD1"/>
    <w:multiLevelType w:val="hybridMultilevel"/>
    <w:tmpl w:val="744632D8"/>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8" w15:restartNumberingAfterBreak="0">
    <w:nsid w:val="05EE26DE"/>
    <w:multiLevelType w:val="multilevel"/>
    <w:tmpl w:val="A5346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6121204"/>
    <w:multiLevelType w:val="hybridMultilevel"/>
    <w:tmpl w:val="179C2750"/>
    <w:lvl w:ilvl="0" w:tplc="EDD6E9D4">
      <w:start w:val="5"/>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78475F8"/>
    <w:multiLevelType w:val="multilevel"/>
    <w:tmpl w:val="0BDA1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7933B50"/>
    <w:multiLevelType w:val="multilevel"/>
    <w:tmpl w:val="F0989774"/>
    <w:lvl w:ilvl="0">
      <w:start w:val="4"/>
      <w:numFmt w:val="decimal"/>
      <w:lvlText w:val="%1."/>
      <w:lvlJc w:val="left"/>
      <w:pPr>
        <w:tabs>
          <w:tab w:val="num" w:pos="720"/>
        </w:tabs>
        <w:ind w:left="720" w:hanging="360"/>
      </w:pPr>
      <w:rPr>
        <w:b/>
        <w:bCs/>
      </w:rPr>
    </w:lvl>
    <w:lvl w:ilvl="1">
      <w:numFmt w:val="bullet"/>
      <w:lvlText w:val="-"/>
      <w:lvlJc w:val="left"/>
      <w:pPr>
        <w:ind w:left="1440" w:hanging="360"/>
      </w:pPr>
      <w:rPr>
        <w:rFonts w:ascii="Times New Roman" w:eastAsia="Times New Roman" w:hAnsi="Times New Roman" w:cs="Times New Roman" w:hint="default"/>
        <w:i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7A03C43"/>
    <w:multiLevelType w:val="hybridMultilevel"/>
    <w:tmpl w:val="46161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838C2F2"/>
    <w:multiLevelType w:val="hybridMultilevel"/>
    <w:tmpl w:val="1402E0E6"/>
    <w:lvl w:ilvl="0" w:tplc="6B089406">
      <w:start w:val="1"/>
      <w:numFmt w:val="bullet"/>
      <w:lvlText w:val=""/>
      <w:lvlJc w:val="left"/>
      <w:pPr>
        <w:ind w:left="720" w:hanging="360"/>
      </w:pPr>
      <w:rPr>
        <w:rFonts w:ascii="Symbol" w:hAnsi="Symbol" w:hint="default"/>
      </w:rPr>
    </w:lvl>
    <w:lvl w:ilvl="1" w:tplc="31609452">
      <w:start w:val="1"/>
      <w:numFmt w:val="bullet"/>
      <w:lvlText w:val="o"/>
      <w:lvlJc w:val="left"/>
      <w:pPr>
        <w:ind w:left="1440" w:hanging="360"/>
      </w:pPr>
      <w:rPr>
        <w:rFonts w:ascii="Courier New" w:hAnsi="Courier New" w:hint="default"/>
      </w:rPr>
    </w:lvl>
    <w:lvl w:ilvl="2" w:tplc="9956280C">
      <w:start w:val="1"/>
      <w:numFmt w:val="bullet"/>
      <w:lvlText w:val=""/>
      <w:lvlJc w:val="left"/>
      <w:pPr>
        <w:ind w:left="2160" w:hanging="360"/>
      </w:pPr>
      <w:rPr>
        <w:rFonts w:ascii="Wingdings" w:hAnsi="Wingdings" w:hint="default"/>
      </w:rPr>
    </w:lvl>
    <w:lvl w:ilvl="3" w:tplc="C7021662">
      <w:start w:val="1"/>
      <w:numFmt w:val="bullet"/>
      <w:lvlText w:val=""/>
      <w:lvlJc w:val="left"/>
      <w:pPr>
        <w:ind w:left="2880" w:hanging="360"/>
      </w:pPr>
      <w:rPr>
        <w:rFonts w:ascii="Symbol" w:hAnsi="Symbol" w:hint="default"/>
      </w:rPr>
    </w:lvl>
    <w:lvl w:ilvl="4" w:tplc="01C66E6E">
      <w:start w:val="1"/>
      <w:numFmt w:val="bullet"/>
      <w:lvlText w:val="o"/>
      <w:lvlJc w:val="left"/>
      <w:pPr>
        <w:ind w:left="3600" w:hanging="360"/>
      </w:pPr>
      <w:rPr>
        <w:rFonts w:ascii="Courier New" w:hAnsi="Courier New" w:hint="default"/>
      </w:rPr>
    </w:lvl>
    <w:lvl w:ilvl="5" w:tplc="E6A0252A">
      <w:start w:val="1"/>
      <w:numFmt w:val="bullet"/>
      <w:lvlText w:val=""/>
      <w:lvlJc w:val="left"/>
      <w:pPr>
        <w:ind w:left="4320" w:hanging="360"/>
      </w:pPr>
      <w:rPr>
        <w:rFonts w:ascii="Wingdings" w:hAnsi="Wingdings" w:hint="default"/>
      </w:rPr>
    </w:lvl>
    <w:lvl w:ilvl="6" w:tplc="3AF8A34C">
      <w:start w:val="1"/>
      <w:numFmt w:val="bullet"/>
      <w:lvlText w:val=""/>
      <w:lvlJc w:val="left"/>
      <w:pPr>
        <w:ind w:left="5040" w:hanging="360"/>
      </w:pPr>
      <w:rPr>
        <w:rFonts w:ascii="Symbol" w:hAnsi="Symbol" w:hint="default"/>
      </w:rPr>
    </w:lvl>
    <w:lvl w:ilvl="7" w:tplc="4C0CF184">
      <w:start w:val="1"/>
      <w:numFmt w:val="bullet"/>
      <w:lvlText w:val="o"/>
      <w:lvlJc w:val="left"/>
      <w:pPr>
        <w:ind w:left="5760" w:hanging="360"/>
      </w:pPr>
      <w:rPr>
        <w:rFonts w:ascii="Courier New" w:hAnsi="Courier New" w:hint="default"/>
      </w:rPr>
    </w:lvl>
    <w:lvl w:ilvl="8" w:tplc="0DF6F1D0">
      <w:start w:val="1"/>
      <w:numFmt w:val="bullet"/>
      <w:lvlText w:val=""/>
      <w:lvlJc w:val="left"/>
      <w:pPr>
        <w:ind w:left="6480" w:hanging="360"/>
      </w:pPr>
      <w:rPr>
        <w:rFonts w:ascii="Wingdings" w:hAnsi="Wingdings" w:hint="default"/>
      </w:rPr>
    </w:lvl>
  </w:abstractNum>
  <w:abstractNum w:abstractNumId="14" w15:restartNumberingAfterBreak="0">
    <w:nsid w:val="088F1188"/>
    <w:multiLevelType w:val="multilevel"/>
    <w:tmpl w:val="9E908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8BB0FF8"/>
    <w:multiLevelType w:val="hybridMultilevel"/>
    <w:tmpl w:val="CF768A08"/>
    <w:lvl w:ilvl="0" w:tplc="42E80C3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9041926"/>
    <w:multiLevelType w:val="hybridMultilevel"/>
    <w:tmpl w:val="0F42B374"/>
    <w:lvl w:ilvl="0" w:tplc="FFFFFFFF">
      <w:start w:val="1"/>
      <w:numFmt w:val="lowerRoman"/>
      <w:lvlText w:val="%1."/>
      <w:lvlJc w:val="right"/>
      <w:pPr>
        <w:ind w:left="720" w:hanging="360"/>
      </w:pPr>
    </w:lvl>
    <w:lvl w:ilvl="1" w:tplc="ABA6AE5A">
      <w:start w:val="1"/>
      <w:numFmt w:val="lowerLetter"/>
      <w:lvlText w:val="%2."/>
      <w:lvlJc w:val="left"/>
      <w:pPr>
        <w:ind w:left="1440" w:hanging="360"/>
      </w:pPr>
    </w:lvl>
    <w:lvl w:ilvl="2" w:tplc="59E06DD6">
      <w:start w:val="1"/>
      <w:numFmt w:val="lowerRoman"/>
      <w:lvlText w:val="%3."/>
      <w:lvlJc w:val="right"/>
      <w:pPr>
        <w:ind w:left="2160" w:hanging="180"/>
      </w:pPr>
    </w:lvl>
    <w:lvl w:ilvl="3" w:tplc="2BC0B0E8">
      <w:start w:val="1"/>
      <w:numFmt w:val="decimal"/>
      <w:lvlText w:val="%4."/>
      <w:lvlJc w:val="left"/>
      <w:pPr>
        <w:ind w:left="2880" w:hanging="360"/>
      </w:pPr>
    </w:lvl>
    <w:lvl w:ilvl="4" w:tplc="4C1648AE">
      <w:start w:val="1"/>
      <w:numFmt w:val="lowerLetter"/>
      <w:lvlText w:val="%5."/>
      <w:lvlJc w:val="left"/>
      <w:pPr>
        <w:ind w:left="3600" w:hanging="360"/>
      </w:pPr>
    </w:lvl>
    <w:lvl w:ilvl="5" w:tplc="C64288AE">
      <w:start w:val="1"/>
      <w:numFmt w:val="lowerRoman"/>
      <w:lvlText w:val="%6."/>
      <w:lvlJc w:val="right"/>
      <w:pPr>
        <w:ind w:left="4320" w:hanging="180"/>
      </w:pPr>
    </w:lvl>
    <w:lvl w:ilvl="6" w:tplc="224C20C4">
      <w:start w:val="1"/>
      <w:numFmt w:val="decimal"/>
      <w:lvlText w:val="%7."/>
      <w:lvlJc w:val="left"/>
      <w:pPr>
        <w:ind w:left="5040" w:hanging="360"/>
      </w:pPr>
    </w:lvl>
    <w:lvl w:ilvl="7" w:tplc="5C0CABEE">
      <w:start w:val="1"/>
      <w:numFmt w:val="lowerLetter"/>
      <w:lvlText w:val="%8."/>
      <w:lvlJc w:val="left"/>
      <w:pPr>
        <w:ind w:left="5760" w:hanging="360"/>
      </w:pPr>
    </w:lvl>
    <w:lvl w:ilvl="8" w:tplc="4DC25C3E">
      <w:start w:val="1"/>
      <w:numFmt w:val="lowerRoman"/>
      <w:lvlText w:val="%9."/>
      <w:lvlJc w:val="right"/>
      <w:pPr>
        <w:ind w:left="6480" w:hanging="180"/>
      </w:pPr>
    </w:lvl>
  </w:abstractNum>
  <w:abstractNum w:abstractNumId="17" w15:restartNumberingAfterBreak="0">
    <w:nsid w:val="09A65386"/>
    <w:multiLevelType w:val="hybridMultilevel"/>
    <w:tmpl w:val="7112612E"/>
    <w:lvl w:ilvl="0" w:tplc="43A2008C">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AA5D3B7"/>
    <w:multiLevelType w:val="hybridMultilevel"/>
    <w:tmpl w:val="CAAA5674"/>
    <w:lvl w:ilvl="0" w:tplc="20B2B864">
      <w:start w:val="1"/>
      <w:numFmt w:val="bullet"/>
      <w:lvlText w:val="·"/>
      <w:lvlJc w:val="left"/>
      <w:pPr>
        <w:ind w:left="720" w:hanging="360"/>
      </w:pPr>
      <w:rPr>
        <w:rFonts w:ascii="Symbol" w:hAnsi="Symbol" w:hint="default"/>
      </w:rPr>
    </w:lvl>
    <w:lvl w:ilvl="1" w:tplc="6DDC0BA0">
      <w:start w:val="1"/>
      <w:numFmt w:val="bullet"/>
      <w:lvlText w:val="o"/>
      <w:lvlJc w:val="left"/>
      <w:pPr>
        <w:ind w:left="1440" w:hanging="360"/>
      </w:pPr>
      <w:rPr>
        <w:rFonts w:ascii="Courier New" w:hAnsi="Courier New" w:hint="default"/>
      </w:rPr>
    </w:lvl>
    <w:lvl w:ilvl="2" w:tplc="6518C7A2">
      <w:start w:val="1"/>
      <w:numFmt w:val="bullet"/>
      <w:lvlText w:val=""/>
      <w:lvlJc w:val="left"/>
      <w:pPr>
        <w:ind w:left="2160" w:hanging="360"/>
      </w:pPr>
      <w:rPr>
        <w:rFonts w:ascii="Wingdings" w:hAnsi="Wingdings" w:hint="default"/>
      </w:rPr>
    </w:lvl>
    <w:lvl w:ilvl="3" w:tplc="322C4E58">
      <w:start w:val="1"/>
      <w:numFmt w:val="bullet"/>
      <w:lvlText w:val=""/>
      <w:lvlJc w:val="left"/>
      <w:pPr>
        <w:ind w:left="2880" w:hanging="360"/>
      </w:pPr>
      <w:rPr>
        <w:rFonts w:ascii="Symbol" w:hAnsi="Symbol" w:hint="default"/>
      </w:rPr>
    </w:lvl>
    <w:lvl w:ilvl="4" w:tplc="02468606">
      <w:start w:val="1"/>
      <w:numFmt w:val="bullet"/>
      <w:lvlText w:val="o"/>
      <w:lvlJc w:val="left"/>
      <w:pPr>
        <w:ind w:left="3600" w:hanging="360"/>
      </w:pPr>
      <w:rPr>
        <w:rFonts w:ascii="Courier New" w:hAnsi="Courier New" w:hint="default"/>
      </w:rPr>
    </w:lvl>
    <w:lvl w:ilvl="5" w:tplc="0EC8842A">
      <w:start w:val="1"/>
      <w:numFmt w:val="bullet"/>
      <w:lvlText w:val=""/>
      <w:lvlJc w:val="left"/>
      <w:pPr>
        <w:ind w:left="4320" w:hanging="360"/>
      </w:pPr>
      <w:rPr>
        <w:rFonts w:ascii="Wingdings" w:hAnsi="Wingdings" w:hint="default"/>
      </w:rPr>
    </w:lvl>
    <w:lvl w:ilvl="6" w:tplc="C828254E">
      <w:start w:val="1"/>
      <w:numFmt w:val="bullet"/>
      <w:lvlText w:val=""/>
      <w:lvlJc w:val="left"/>
      <w:pPr>
        <w:ind w:left="5040" w:hanging="360"/>
      </w:pPr>
      <w:rPr>
        <w:rFonts w:ascii="Symbol" w:hAnsi="Symbol" w:hint="default"/>
      </w:rPr>
    </w:lvl>
    <w:lvl w:ilvl="7" w:tplc="7490317A">
      <w:start w:val="1"/>
      <w:numFmt w:val="bullet"/>
      <w:lvlText w:val="o"/>
      <w:lvlJc w:val="left"/>
      <w:pPr>
        <w:ind w:left="5760" w:hanging="360"/>
      </w:pPr>
      <w:rPr>
        <w:rFonts w:ascii="Courier New" w:hAnsi="Courier New" w:hint="default"/>
      </w:rPr>
    </w:lvl>
    <w:lvl w:ilvl="8" w:tplc="8C24CAA6">
      <w:start w:val="1"/>
      <w:numFmt w:val="bullet"/>
      <w:lvlText w:val=""/>
      <w:lvlJc w:val="left"/>
      <w:pPr>
        <w:ind w:left="6480" w:hanging="360"/>
      </w:pPr>
      <w:rPr>
        <w:rFonts w:ascii="Wingdings" w:hAnsi="Wingdings" w:hint="default"/>
      </w:rPr>
    </w:lvl>
  </w:abstractNum>
  <w:abstractNum w:abstractNumId="19" w15:restartNumberingAfterBreak="0">
    <w:nsid w:val="0B6D04ED"/>
    <w:multiLevelType w:val="multilevel"/>
    <w:tmpl w:val="2A0EC3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B8760A3"/>
    <w:multiLevelType w:val="hybridMultilevel"/>
    <w:tmpl w:val="1A50CC6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0C456F9A"/>
    <w:multiLevelType w:val="multilevel"/>
    <w:tmpl w:val="4F8038C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D907EA0"/>
    <w:multiLevelType w:val="hybridMultilevel"/>
    <w:tmpl w:val="1D0CCD12"/>
    <w:lvl w:ilvl="0" w:tplc="08090019">
      <w:start w:val="1"/>
      <w:numFmt w:val="lowerLetter"/>
      <w:lvlText w:val="%1."/>
      <w:lvlJc w:val="left"/>
      <w:pPr>
        <w:ind w:left="774" w:hanging="360"/>
      </w:pPr>
      <w:rPr>
        <w:rFonts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23" w15:restartNumberingAfterBreak="0">
    <w:nsid w:val="0DF46941"/>
    <w:multiLevelType w:val="hybridMultilevel"/>
    <w:tmpl w:val="EA56A230"/>
    <w:lvl w:ilvl="0" w:tplc="2B04830C">
      <w:numFmt w:val="bullet"/>
      <w:lvlText w:val="-"/>
      <w:lvlJc w:val="left"/>
      <w:pPr>
        <w:ind w:left="720" w:hanging="360"/>
      </w:pPr>
      <w:rPr>
        <w:rFonts w:ascii="Times New Roman" w:eastAsiaTheme="majorEastAsia"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0DFC1D92"/>
    <w:multiLevelType w:val="hybridMultilevel"/>
    <w:tmpl w:val="6826FD40"/>
    <w:lvl w:ilvl="0" w:tplc="FFFFFFFF">
      <w:start w:val="1"/>
      <w:numFmt w:val="bullet"/>
      <w:lvlText w:val="-"/>
      <w:lvlJc w:val="left"/>
      <w:pPr>
        <w:ind w:left="720" w:hanging="360"/>
      </w:pPr>
      <w:rPr>
        <w:rFonts w:ascii="Calibri" w:hAnsi="Calibri"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0F444634"/>
    <w:multiLevelType w:val="hybridMultilevel"/>
    <w:tmpl w:val="5B80CA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0FF56330"/>
    <w:multiLevelType w:val="hybridMultilevel"/>
    <w:tmpl w:val="A7701CA2"/>
    <w:lvl w:ilvl="0" w:tplc="BBB6A954">
      <w:start w:val="1"/>
      <w:numFmt w:val="decimal"/>
      <w:pStyle w:val="Heading1"/>
      <w:lvlText w:val=""/>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rPr>
        <w:b/>
        <w:bCs/>
        <w14:glow w14:rad="0">
          <w14:srgbClr w14:val="000000"/>
        </w14:glow>
        <w14:scene3d>
          <w14:camera w14:prst="orthographicFront"/>
          <w14:lightRig w14:rig="threePt" w14:dir="t">
            <w14:rot w14:lat="0" w14:lon="0" w14:rev="0"/>
          </w14:lightRig>
        </w14:scene3d>
      </w:rPr>
    </w:lvl>
    <w:lvl w:ilvl="8" w:tplc="0809001B">
      <w:numFmt w:val="decimal"/>
      <w:lvlText w:val=""/>
      <w:lvlJc w:val="left"/>
    </w:lvl>
  </w:abstractNum>
  <w:abstractNum w:abstractNumId="27" w15:restartNumberingAfterBreak="0">
    <w:nsid w:val="109E398F"/>
    <w:multiLevelType w:val="hybridMultilevel"/>
    <w:tmpl w:val="A4643CCA"/>
    <w:lvl w:ilvl="0" w:tplc="08090013">
      <w:numFmt w:val="decimal"/>
      <w:lvlText w:val=""/>
      <w:lvlJc w:val="left"/>
    </w:lvl>
    <w:lvl w:ilvl="1" w:tplc="08090019">
      <w:numFmt w:val="none"/>
      <w:lvlText w:val=""/>
      <w:lvlJc w:val="left"/>
      <w:pPr>
        <w:tabs>
          <w:tab w:val="num" w:pos="360"/>
        </w:tabs>
      </w:pPr>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none"/>
      <w:lvlText w:val=""/>
      <w:lvlJc w:val="left"/>
      <w:pPr>
        <w:tabs>
          <w:tab w:val="num" w:pos="360"/>
        </w:tabs>
      </w:pPr>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28" w15:restartNumberingAfterBreak="0">
    <w:nsid w:val="10F3653A"/>
    <w:multiLevelType w:val="multilevel"/>
    <w:tmpl w:val="7A162F1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13281828"/>
    <w:multiLevelType w:val="multilevel"/>
    <w:tmpl w:val="CDFE20A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135676B9"/>
    <w:multiLevelType w:val="hybridMultilevel"/>
    <w:tmpl w:val="4B52EA2A"/>
    <w:lvl w:ilvl="0" w:tplc="05CCC61A">
      <w:start w:val="2"/>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1" w15:restartNumberingAfterBreak="0">
    <w:nsid w:val="168E52C7"/>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16D47D34"/>
    <w:multiLevelType w:val="hybridMultilevel"/>
    <w:tmpl w:val="84588B52"/>
    <w:lvl w:ilvl="0" w:tplc="DEBEAF7A">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33" w15:restartNumberingAfterBreak="0">
    <w:nsid w:val="16E0561E"/>
    <w:multiLevelType w:val="hybridMultilevel"/>
    <w:tmpl w:val="E3A6E2A2"/>
    <w:lvl w:ilvl="0" w:tplc="08090001">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34" w15:restartNumberingAfterBreak="0">
    <w:nsid w:val="17031620"/>
    <w:multiLevelType w:val="multilevel"/>
    <w:tmpl w:val="0430F68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176C2554"/>
    <w:multiLevelType w:val="hybridMultilevel"/>
    <w:tmpl w:val="8230FE86"/>
    <w:lvl w:ilvl="0" w:tplc="F796D560">
      <w:numFmt w:val="decimal"/>
      <w:lvlText w:val=""/>
      <w:lvlJc w:val="left"/>
    </w:lvl>
    <w:lvl w:ilvl="1" w:tplc="3C0AB3A0">
      <w:numFmt w:val="decimal"/>
      <w:lvlText w:val=""/>
      <w:lvlJc w:val="left"/>
    </w:lvl>
    <w:lvl w:ilvl="2" w:tplc="A84E6096">
      <w:numFmt w:val="decimal"/>
      <w:lvlText w:val=""/>
      <w:lvlJc w:val="left"/>
    </w:lvl>
    <w:lvl w:ilvl="3" w:tplc="C944C780">
      <w:numFmt w:val="decimal"/>
      <w:lvlText w:val=""/>
      <w:lvlJc w:val="left"/>
    </w:lvl>
    <w:lvl w:ilvl="4" w:tplc="307C7AF0">
      <w:numFmt w:val="decimal"/>
      <w:lvlText w:val=""/>
      <w:lvlJc w:val="left"/>
    </w:lvl>
    <w:lvl w:ilvl="5" w:tplc="B3B01482">
      <w:numFmt w:val="decimal"/>
      <w:lvlText w:val=""/>
      <w:lvlJc w:val="left"/>
    </w:lvl>
    <w:lvl w:ilvl="6" w:tplc="2916BF8C">
      <w:numFmt w:val="decimal"/>
      <w:lvlText w:val=""/>
      <w:lvlJc w:val="left"/>
    </w:lvl>
    <w:lvl w:ilvl="7" w:tplc="12DA8B16">
      <w:numFmt w:val="decimal"/>
      <w:lvlText w:val=""/>
      <w:lvlJc w:val="left"/>
    </w:lvl>
    <w:lvl w:ilvl="8" w:tplc="3D1229B4">
      <w:numFmt w:val="decimal"/>
      <w:lvlText w:val=""/>
      <w:lvlJc w:val="left"/>
    </w:lvl>
  </w:abstractNum>
  <w:abstractNum w:abstractNumId="36" w15:restartNumberingAfterBreak="0">
    <w:nsid w:val="1936557E"/>
    <w:multiLevelType w:val="multilevel"/>
    <w:tmpl w:val="F65233D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198D7D49"/>
    <w:multiLevelType w:val="hybridMultilevel"/>
    <w:tmpl w:val="27B6B868"/>
    <w:lvl w:ilvl="0" w:tplc="0809000F">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38" w15:restartNumberingAfterBreak="0">
    <w:nsid w:val="1BAB26AC"/>
    <w:multiLevelType w:val="hybridMultilevel"/>
    <w:tmpl w:val="C294484E"/>
    <w:lvl w:ilvl="0" w:tplc="08090019">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39" w15:restartNumberingAfterBreak="0">
    <w:nsid w:val="1BC87636"/>
    <w:multiLevelType w:val="hybridMultilevel"/>
    <w:tmpl w:val="78BC3DB0"/>
    <w:lvl w:ilvl="0" w:tplc="08090001">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40" w15:restartNumberingAfterBreak="0">
    <w:nsid w:val="1C7747CF"/>
    <w:multiLevelType w:val="multilevel"/>
    <w:tmpl w:val="08C2371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1C8E30D1"/>
    <w:multiLevelType w:val="hybridMultilevel"/>
    <w:tmpl w:val="1BA0489C"/>
    <w:lvl w:ilvl="0" w:tplc="08090001">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42" w15:restartNumberingAfterBreak="0">
    <w:nsid w:val="1D2F5385"/>
    <w:multiLevelType w:val="multilevel"/>
    <w:tmpl w:val="CAA265C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1DD825D5"/>
    <w:multiLevelType w:val="multilevel"/>
    <w:tmpl w:val="368C124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1E1E1E1F"/>
    <w:multiLevelType w:val="hybridMultilevel"/>
    <w:tmpl w:val="18A6DD4A"/>
    <w:lvl w:ilvl="0" w:tplc="42006954">
      <w:numFmt w:val="bullet"/>
      <w:lvlText w:val=""/>
      <w:lvlJc w:val="left"/>
      <w:pPr>
        <w:ind w:left="720" w:hanging="360"/>
      </w:pPr>
      <w:rPr>
        <w:rFonts w:ascii="Wingdings" w:eastAsia="Calibri" w:hAnsi="Wing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1E723B23"/>
    <w:multiLevelType w:val="multilevel"/>
    <w:tmpl w:val="D72681B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1EA487D4"/>
    <w:multiLevelType w:val="hybridMultilevel"/>
    <w:tmpl w:val="0BD0AA54"/>
    <w:lvl w:ilvl="0" w:tplc="D79869BC">
      <w:numFmt w:val="decimal"/>
      <w:lvlText w:val=""/>
      <w:lvlJc w:val="left"/>
    </w:lvl>
    <w:lvl w:ilvl="1" w:tplc="F192342C">
      <w:numFmt w:val="decimal"/>
      <w:lvlText w:val=""/>
      <w:lvlJc w:val="left"/>
    </w:lvl>
    <w:lvl w:ilvl="2" w:tplc="F3046938">
      <w:numFmt w:val="decimal"/>
      <w:lvlText w:val=""/>
      <w:lvlJc w:val="left"/>
    </w:lvl>
    <w:lvl w:ilvl="3" w:tplc="E6469690">
      <w:numFmt w:val="decimal"/>
      <w:lvlText w:val=""/>
      <w:lvlJc w:val="left"/>
    </w:lvl>
    <w:lvl w:ilvl="4" w:tplc="BBBC974C">
      <w:numFmt w:val="decimal"/>
      <w:lvlText w:val=""/>
      <w:lvlJc w:val="left"/>
    </w:lvl>
    <w:lvl w:ilvl="5" w:tplc="CAE674D4">
      <w:numFmt w:val="decimal"/>
      <w:lvlText w:val=""/>
      <w:lvlJc w:val="left"/>
    </w:lvl>
    <w:lvl w:ilvl="6" w:tplc="8B04BB94">
      <w:numFmt w:val="decimal"/>
      <w:lvlText w:val=""/>
      <w:lvlJc w:val="left"/>
    </w:lvl>
    <w:lvl w:ilvl="7" w:tplc="C1405CA8">
      <w:numFmt w:val="decimal"/>
      <w:lvlText w:val=""/>
      <w:lvlJc w:val="left"/>
    </w:lvl>
    <w:lvl w:ilvl="8" w:tplc="2B7813AE">
      <w:numFmt w:val="decimal"/>
      <w:lvlText w:val=""/>
      <w:lvlJc w:val="left"/>
    </w:lvl>
  </w:abstractNum>
  <w:abstractNum w:abstractNumId="47" w15:restartNumberingAfterBreak="0">
    <w:nsid w:val="1EF25C02"/>
    <w:multiLevelType w:val="hybridMultilevel"/>
    <w:tmpl w:val="CADCEED8"/>
    <w:lvl w:ilvl="0" w:tplc="0809000F">
      <w:numFmt w:val="decimal"/>
      <w:lvlText w:val=""/>
      <w:lvlJc w:val="left"/>
    </w:lvl>
    <w:lvl w:ilvl="1" w:tplc="02CA78AE">
      <w:numFmt w:val="decimal"/>
      <w:lvlText w:val=""/>
      <w:lvlJc w:val="left"/>
    </w:lvl>
    <w:lvl w:ilvl="2" w:tplc="179070BA">
      <w:numFmt w:val="decimal"/>
      <w:lvlText w:val=""/>
      <w:lvlJc w:val="left"/>
    </w:lvl>
    <w:lvl w:ilvl="3" w:tplc="F7AE6F2C">
      <w:numFmt w:val="decimal"/>
      <w:lvlText w:val=""/>
      <w:lvlJc w:val="left"/>
    </w:lvl>
    <w:lvl w:ilvl="4" w:tplc="800EFA5C">
      <w:numFmt w:val="decimal"/>
      <w:lvlText w:val=""/>
      <w:lvlJc w:val="left"/>
    </w:lvl>
    <w:lvl w:ilvl="5" w:tplc="2D022EA8">
      <w:numFmt w:val="decimal"/>
      <w:lvlText w:val=""/>
      <w:lvlJc w:val="left"/>
    </w:lvl>
    <w:lvl w:ilvl="6" w:tplc="59EE8E00">
      <w:numFmt w:val="decimal"/>
      <w:lvlText w:val=""/>
      <w:lvlJc w:val="left"/>
    </w:lvl>
    <w:lvl w:ilvl="7" w:tplc="0CCA08A2">
      <w:numFmt w:val="decimal"/>
      <w:lvlText w:val=""/>
      <w:lvlJc w:val="left"/>
    </w:lvl>
    <w:lvl w:ilvl="8" w:tplc="9620BACE">
      <w:numFmt w:val="decimal"/>
      <w:lvlText w:val=""/>
      <w:lvlJc w:val="left"/>
    </w:lvl>
  </w:abstractNum>
  <w:abstractNum w:abstractNumId="48" w15:restartNumberingAfterBreak="0">
    <w:nsid w:val="203E1C3A"/>
    <w:multiLevelType w:val="multilevel"/>
    <w:tmpl w:val="438849F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20F17A40"/>
    <w:multiLevelType w:val="multilevel"/>
    <w:tmpl w:val="91748D0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215316DA"/>
    <w:multiLevelType w:val="hybridMultilevel"/>
    <w:tmpl w:val="C23AC752"/>
    <w:lvl w:ilvl="0" w:tplc="CD42D5F2">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51" w15:restartNumberingAfterBreak="0">
    <w:nsid w:val="2160215C"/>
    <w:multiLevelType w:val="hybridMultilevel"/>
    <w:tmpl w:val="14CA123E"/>
    <w:lvl w:ilvl="0" w:tplc="422E630A">
      <w:numFmt w:val="decimal"/>
      <w:lvlText w:val=""/>
      <w:lvlJc w:val="left"/>
    </w:lvl>
    <w:lvl w:ilvl="1" w:tplc="D6F4DCBA">
      <w:numFmt w:val="decimal"/>
      <w:lvlText w:val=""/>
      <w:lvlJc w:val="left"/>
    </w:lvl>
    <w:lvl w:ilvl="2" w:tplc="699CF49E">
      <w:numFmt w:val="decimal"/>
      <w:lvlText w:val=""/>
      <w:lvlJc w:val="left"/>
    </w:lvl>
    <w:lvl w:ilvl="3" w:tplc="E2FEBD68">
      <w:numFmt w:val="decimal"/>
      <w:lvlText w:val=""/>
      <w:lvlJc w:val="left"/>
    </w:lvl>
    <w:lvl w:ilvl="4" w:tplc="C2B40656">
      <w:numFmt w:val="decimal"/>
      <w:lvlText w:val=""/>
      <w:lvlJc w:val="left"/>
    </w:lvl>
    <w:lvl w:ilvl="5" w:tplc="8B3AB188">
      <w:numFmt w:val="decimal"/>
      <w:lvlText w:val=""/>
      <w:lvlJc w:val="left"/>
    </w:lvl>
    <w:lvl w:ilvl="6" w:tplc="5724603A">
      <w:numFmt w:val="decimal"/>
      <w:lvlText w:val=""/>
      <w:lvlJc w:val="left"/>
    </w:lvl>
    <w:lvl w:ilvl="7" w:tplc="280A5AA6">
      <w:numFmt w:val="decimal"/>
      <w:lvlText w:val=""/>
      <w:lvlJc w:val="left"/>
    </w:lvl>
    <w:lvl w:ilvl="8" w:tplc="261C6404">
      <w:numFmt w:val="decimal"/>
      <w:lvlText w:val=""/>
      <w:lvlJc w:val="left"/>
    </w:lvl>
  </w:abstractNum>
  <w:abstractNum w:abstractNumId="52" w15:restartNumberingAfterBreak="0">
    <w:nsid w:val="21DD6666"/>
    <w:multiLevelType w:val="multilevel"/>
    <w:tmpl w:val="2FA4FAF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237A2780"/>
    <w:multiLevelType w:val="hybridMultilevel"/>
    <w:tmpl w:val="15CEF24E"/>
    <w:lvl w:ilvl="0" w:tplc="1BFA8740">
      <w:numFmt w:val="decimal"/>
      <w:lvlText w:val=""/>
      <w:lvlJc w:val="left"/>
    </w:lvl>
    <w:lvl w:ilvl="1" w:tplc="3EC0D778">
      <w:numFmt w:val="decimal"/>
      <w:lvlText w:val=""/>
      <w:lvlJc w:val="left"/>
    </w:lvl>
    <w:lvl w:ilvl="2" w:tplc="A8126D46">
      <w:numFmt w:val="decimal"/>
      <w:lvlText w:val=""/>
      <w:lvlJc w:val="left"/>
    </w:lvl>
    <w:lvl w:ilvl="3" w:tplc="6E82F782">
      <w:numFmt w:val="decimal"/>
      <w:lvlText w:val=""/>
      <w:lvlJc w:val="left"/>
    </w:lvl>
    <w:lvl w:ilvl="4" w:tplc="BF362C1A">
      <w:numFmt w:val="decimal"/>
      <w:lvlText w:val=""/>
      <w:lvlJc w:val="left"/>
    </w:lvl>
    <w:lvl w:ilvl="5" w:tplc="6E14536E">
      <w:numFmt w:val="decimal"/>
      <w:lvlText w:val=""/>
      <w:lvlJc w:val="left"/>
    </w:lvl>
    <w:lvl w:ilvl="6" w:tplc="0FB873E4">
      <w:numFmt w:val="decimal"/>
      <w:lvlText w:val=""/>
      <w:lvlJc w:val="left"/>
    </w:lvl>
    <w:lvl w:ilvl="7" w:tplc="8162FC16">
      <w:numFmt w:val="decimal"/>
      <w:lvlText w:val=""/>
      <w:lvlJc w:val="left"/>
    </w:lvl>
    <w:lvl w:ilvl="8" w:tplc="71DEBC20">
      <w:numFmt w:val="decimal"/>
      <w:lvlText w:val=""/>
      <w:lvlJc w:val="left"/>
    </w:lvl>
  </w:abstractNum>
  <w:abstractNum w:abstractNumId="54" w15:restartNumberingAfterBreak="0">
    <w:nsid w:val="2394233C"/>
    <w:multiLevelType w:val="hybridMultilevel"/>
    <w:tmpl w:val="69BCD6E0"/>
    <w:lvl w:ilvl="0" w:tplc="0809000F">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55" w15:restartNumberingAfterBreak="0">
    <w:nsid w:val="24DD6800"/>
    <w:multiLevelType w:val="multilevel"/>
    <w:tmpl w:val="2446FF2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257A6951"/>
    <w:multiLevelType w:val="multilevel"/>
    <w:tmpl w:val="F9F86B2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2613630C"/>
    <w:multiLevelType w:val="hybridMultilevel"/>
    <w:tmpl w:val="CADCEED8"/>
    <w:lvl w:ilvl="0" w:tplc="0809000F">
      <w:numFmt w:val="decimal"/>
      <w:lvlText w:val=""/>
      <w:lvlJc w:val="left"/>
    </w:lvl>
    <w:lvl w:ilvl="1" w:tplc="02CA78AE">
      <w:numFmt w:val="decimal"/>
      <w:lvlText w:val=""/>
      <w:lvlJc w:val="left"/>
    </w:lvl>
    <w:lvl w:ilvl="2" w:tplc="179070BA">
      <w:numFmt w:val="decimal"/>
      <w:lvlText w:val=""/>
      <w:lvlJc w:val="left"/>
    </w:lvl>
    <w:lvl w:ilvl="3" w:tplc="F7AE6F2C">
      <w:numFmt w:val="decimal"/>
      <w:lvlText w:val=""/>
      <w:lvlJc w:val="left"/>
    </w:lvl>
    <w:lvl w:ilvl="4" w:tplc="800EFA5C">
      <w:numFmt w:val="decimal"/>
      <w:lvlText w:val=""/>
      <w:lvlJc w:val="left"/>
    </w:lvl>
    <w:lvl w:ilvl="5" w:tplc="2D022EA8">
      <w:numFmt w:val="decimal"/>
      <w:lvlText w:val=""/>
      <w:lvlJc w:val="left"/>
    </w:lvl>
    <w:lvl w:ilvl="6" w:tplc="59EE8E00">
      <w:numFmt w:val="decimal"/>
      <w:lvlText w:val=""/>
      <w:lvlJc w:val="left"/>
    </w:lvl>
    <w:lvl w:ilvl="7" w:tplc="0CCA08A2">
      <w:numFmt w:val="decimal"/>
      <w:lvlText w:val=""/>
      <w:lvlJc w:val="left"/>
    </w:lvl>
    <w:lvl w:ilvl="8" w:tplc="9620BACE">
      <w:numFmt w:val="decimal"/>
      <w:lvlText w:val=""/>
      <w:lvlJc w:val="left"/>
    </w:lvl>
  </w:abstractNum>
  <w:abstractNum w:abstractNumId="58" w15:restartNumberingAfterBreak="0">
    <w:nsid w:val="26D6A749"/>
    <w:multiLevelType w:val="hybridMultilevel"/>
    <w:tmpl w:val="D9682BA8"/>
    <w:lvl w:ilvl="0" w:tplc="516AD064">
      <w:numFmt w:val="decimal"/>
      <w:lvlText w:val=""/>
      <w:lvlJc w:val="left"/>
    </w:lvl>
    <w:lvl w:ilvl="1" w:tplc="1174FD78">
      <w:numFmt w:val="decimal"/>
      <w:lvlText w:val=""/>
      <w:lvlJc w:val="left"/>
    </w:lvl>
    <w:lvl w:ilvl="2" w:tplc="7354BA68">
      <w:numFmt w:val="decimal"/>
      <w:lvlText w:val=""/>
      <w:lvlJc w:val="left"/>
    </w:lvl>
    <w:lvl w:ilvl="3" w:tplc="C36C9D24">
      <w:numFmt w:val="decimal"/>
      <w:lvlText w:val=""/>
      <w:lvlJc w:val="left"/>
    </w:lvl>
    <w:lvl w:ilvl="4" w:tplc="E1786F46">
      <w:numFmt w:val="decimal"/>
      <w:lvlText w:val=""/>
      <w:lvlJc w:val="left"/>
    </w:lvl>
    <w:lvl w:ilvl="5" w:tplc="5FAE2696">
      <w:numFmt w:val="decimal"/>
      <w:lvlText w:val=""/>
      <w:lvlJc w:val="left"/>
    </w:lvl>
    <w:lvl w:ilvl="6" w:tplc="B816D26C">
      <w:numFmt w:val="decimal"/>
      <w:lvlText w:val=""/>
      <w:lvlJc w:val="left"/>
    </w:lvl>
    <w:lvl w:ilvl="7" w:tplc="26BC7ECC">
      <w:numFmt w:val="decimal"/>
      <w:lvlText w:val=""/>
      <w:lvlJc w:val="left"/>
    </w:lvl>
    <w:lvl w:ilvl="8" w:tplc="FE6C12F2">
      <w:numFmt w:val="decimal"/>
      <w:lvlText w:val=""/>
      <w:lvlJc w:val="left"/>
    </w:lvl>
  </w:abstractNum>
  <w:abstractNum w:abstractNumId="59" w15:restartNumberingAfterBreak="0">
    <w:nsid w:val="26E9646A"/>
    <w:multiLevelType w:val="hybridMultilevel"/>
    <w:tmpl w:val="8BA0E09C"/>
    <w:lvl w:ilvl="0" w:tplc="5DA600F2">
      <w:start w:val="1"/>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26F705E5"/>
    <w:multiLevelType w:val="hybridMultilevel"/>
    <w:tmpl w:val="9F5AC152"/>
    <w:lvl w:ilvl="0" w:tplc="F8B032B8">
      <w:numFmt w:val="decimal"/>
      <w:lvlText w:val=""/>
      <w:lvlJc w:val="left"/>
    </w:lvl>
    <w:lvl w:ilvl="1" w:tplc="1174FD78">
      <w:numFmt w:val="decimal"/>
      <w:lvlText w:val=""/>
      <w:lvlJc w:val="left"/>
    </w:lvl>
    <w:lvl w:ilvl="2" w:tplc="7354BA68">
      <w:numFmt w:val="decimal"/>
      <w:lvlText w:val=""/>
      <w:lvlJc w:val="left"/>
    </w:lvl>
    <w:lvl w:ilvl="3" w:tplc="C36C9D24">
      <w:numFmt w:val="decimal"/>
      <w:lvlText w:val=""/>
      <w:lvlJc w:val="left"/>
    </w:lvl>
    <w:lvl w:ilvl="4" w:tplc="E1786F46">
      <w:numFmt w:val="decimal"/>
      <w:lvlText w:val=""/>
      <w:lvlJc w:val="left"/>
    </w:lvl>
    <w:lvl w:ilvl="5" w:tplc="5FAE2696">
      <w:numFmt w:val="decimal"/>
      <w:lvlText w:val=""/>
      <w:lvlJc w:val="left"/>
    </w:lvl>
    <w:lvl w:ilvl="6" w:tplc="B816D26C">
      <w:numFmt w:val="decimal"/>
      <w:lvlText w:val=""/>
      <w:lvlJc w:val="left"/>
    </w:lvl>
    <w:lvl w:ilvl="7" w:tplc="26BC7ECC">
      <w:numFmt w:val="decimal"/>
      <w:lvlText w:val=""/>
      <w:lvlJc w:val="left"/>
    </w:lvl>
    <w:lvl w:ilvl="8" w:tplc="FE6C12F2">
      <w:numFmt w:val="decimal"/>
      <w:lvlText w:val=""/>
      <w:lvlJc w:val="left"/>
    </w:lvl>
  </w:abstractNum>
  <w:abstractNum w:abstractNumId="61" w15:restartNumberingAfterBreak="0">
    <w:nsid w:val="27400248"/>
    <w:multiLevelType w:val="hybridMultilevel"/>
    <w:tmpl w:val="4C34BDF8"/>
    <w:lvl w:ilvl="0" w:tplc="8E9ED1B8">
      <w:numFmt w:val="decimal"/>
      <w:lvlText w:val=""/>
      <w:lvlJc w:val="left"/>
    </w:lvl>
    <w:lvl w:ilvl="1" w:tplc="38C41232">
      <w:numFmt w:val="decimal"/>
      <w:lvlText w:val=""/>
      <w:lvlJc w:val="left"/>
    </w:lvl>
    <w:lvl w:ilvl="2" w:tplc="5A5E6456">
      <w:numFmt w:val="decimal"/>
      <w:lvlText w:val=""/>
      <w:lvlJc w:val="left"/>
    </w:lvl>
    <w:lvl w:ilvl="3" w:tplc="BCD4B9B8">
      <w:numFmt w:val="decimal"/>
      <w:lvlText w:val=""/>
      <w:lvlJc w:val="left"/>
    </w:lvl>
    <w:lvl w:ilvl="4" w:tplc="7B40D602">
      <w:numFmt w:val="decimal"/>
      <w:lvlText w:val=""/>
      <w:lvlJc w:val="left"/>
    </w:lvl>
    <w:lvl w:ilvl="5" w:tplc="8C2AB542">
      <w:numFmt w:val="decimal"/>
      <w:lvlText w:val=""/>
      <w:lvlJc w:val="left"/>
    </w:lvl>
    <w:lvl w:ilvl="6" w:tplc="3A066BEE">
      <w:numFmt w:val="decimal"/>
      <w:lvlText w:val=""/>
      <w:lvlJc w:val="left"/>
    </w:lvl>
    <w:lvl w:ilvl="7" w:tplc="25965A44">
      <w:numFmt w:val="decimal"/>
      <w:lvlText w:val=""/>
      <w:lvlJc w:val="left"/>
    </w:lvl>
    <w:lvl w:ilvl="8" w:tplc="3A924E36">
      <w:numFmt w:val="decimal"/>
      <w:lvlText w:val=""/>
      <w:lvlJc w:val="left"/>
    </w:lvl>
  </w:abstractNum>
  <w:abstractNum w:abstractNumId="62" w15:restartNumberingAfterBreak="0">
    <w:nsid w:val="27E36D97"/>
    <w:multiLevelType w:val="hybridMultilevel"/>
    <w:tmpl w:val="537E78D4"/>
    <w:lvl w:ilvl="0" w:tplc="CD42D5F2">
      <w:numFmt w:val="decimal"/>
      <w:lvlText w:val=""/>
      <w:lvlJc w:val="left"/>
    </w:lvl>
    <w:lvl w:ilvl="1" w:tplc="1E400466">
      <w:numFmt w:val="decimal"/>
      <w:lvlText w:val=""/>
      <w:lvlJc w:val="left"/>
    </w:lvl>
    <w:lvl w:ilvl="2" w:tplc="06425802">
      <w:numFmt w:val="decimal"/>
      <w:lvlText w:val=""/>
      <w:lvlJc w:val="left"/>
    </w:lvl>
    <w:lvl w:ilvl="3" w:tplc="E028FDA2">
      <w:numFmt w:val="decimal"/>
      <w:lvlText w:val=""/>
      <w:lvlJc w:val="left"/>
    </w:lvl>
    <w:lvl w:ilvl="4" w:tplc="D24097D0">
      <w:numFmt w:val="decimal"/>
      <w:lvlText w:val=""/>
      <w:lvlJc w:val="left"/>
    </w:lvl>
    <w:lvl w:ilvl="5" w:tplc="878ECCBE">
      <w:numFmt w:val="decimal"/>
      <w:lvlText w:val=""/>
      <w:lvlJc w:val="left"/>
    </w:lvl>
    <w:lvl w:ilvl="6" w:tplc="09B6D8FA">
      <w:numFmt w:val="decimal"/>
      <w:lvlText w:val=""/>
      <w:lvlJc w:val="left"/>
    </w:lvl>
    <w:lvl w:ilvl="7" w:tplc="72024348">
      <w:numFmt w:val="decimal"/>
      <w:lvlText w:val=""/>
      <w:lvlJc w:val="left"/>
    </w:lvl>
    <w:lvl w:ilvl="8" w:tplc="9C223018">
      <w:numFmt w:val="decimal"/>
      <w:lvlText w:val=""/>
      <w:lvlJc w:val="left"/>
    </w:lvl>
  </w:abstractNum>
  <w:abstractNum w:abstractNumId="63" w15:restartNumberingAfterBreak="0">
    <w:nsid w:val="27F8189C"/>
    <w:multiLevelType w:val="hybridMultilevel"/>
    <w:tmpl w:val="512430D4"/>
    <w:lvl w:ilvl="0" w:tplc="0809000F">
      <w:numFmt w:val="decimal"/>
      <w:lvlText w:val=""/>
      <w:lvlJc w:val="left"/>
    </w:lvl>
    <w:lvl w:ilvl="1" w:tplc="02CA78AE">
      <w:numFmt w:val="decimal"/>
      <w:lvlText w:val=""/>
      <w:lvlJc w:val="left"/>
    </w:lvl>
    <w:lvl w:ilvl="2" w:tplc="179070BA">
      <w:numFmt w:val="decimal"/>
      <w:lvlText w:val=""/>
      <w:lvlJc w:val="left"/>
    </w:lvl>
    <w:lvl w:ilvl="3" w:tplc="F7AE6F2C">
      <w:numFmt w:val="decimal"/>
      <w:lvlText w:val=""/>
      <w:lvlJc w:val="left"/>
    </w:lvl>
    <w:lvl w:ilvl="4" w:tplc="800EFA5C">
      <w:numFmt w:val="decimal"/>
      <w:lvlText w:val=""/>
      <w:lvlJc w:val="left"/>
    </w:lvl>
    <w:lvl w:ilvl="5" w:tplc="2D022EA8">
      <w:numFmt w:val="decimal"/>
      <w:lvlText w:val=""/>
      <w:lvlJc w:val="left"/>
    </w:lvl>
    <w:lvl w:ilvl="6" w:tplc="59EE8E00">
      <w:numFmt w:val="decimal"/>
      <w:lvlText w:val=""/>
      <w:lvlJc w:val="left"/>
    </w:lvl>
    <w:lvl w:ilvl="7" w:tplc="0CCA08A2">
      <w:numFmt w:val="decimal"/>
      <w:lvlText w:val=""/>
      <w:lvlJc w:val="left"/>
    </w:lvl>
    <w:lvl w:ilvl="8" w:tplc="9620BACE">
      <w:numFmt w:val="decimal"/>
      <w:lvlText w:val=""/>
      <w:lvlJc w:val="left"/>
    </w:lvl>
  </w:abstractNum>
  <w:abstractNum w:abstractNumId="64" w15:restartNumberingAfterBreak="0">
    <w:nsid w:val="281D0CFE"/>
    <w:multiLevelType w:val="multilevel"/>
    <w:tmpl w:val="2E1411F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282548F1"/>
    <w:multiLevelType w:val="multilevel"/>
    <w:tmpl w:val="F79E322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284227DB"/>
    <w:multiLevelType w:val="hybridMultilevel"/>
    <w:tmpl w:val="7A3A9A54"/>
    <w:lvl w:ilvl="0" w:tplc="39781660">
      <w:numFmt w:val="decimal"/>
      <w:lvlText w:val=""/>
      <w:lvlJc w:val="left"/>
    </w:lvl>
    <w:lvl w:ilvl="1" w:tplc="A1A029CC">
      <w:numFmt w:val="decimal"/>
      <w:lvlText w:val=""/>
      <w:lvlJc w:val="left"/>
    </w:lvl>
    <w:lvl w:ilvl="2" w:tplc="F28CA5A4">
      <w:numFmt w:val="decimal"/>
      <w:lvlText w:val=""/>
      <w:lvlJc w:val="left"/>
    </w:lvl>
    <w:lvl w:ilvl="3" w:tplc="ED48A5CA">
      <w:numFmt w:val="decimal"/>
      <w:lvlText w:val=""/>
      <w:lvlJc w:val="left"/>
    </w:lvl>
    <w:lvl w:ilvl="4" w:tplc="C6FE80FC">
      <w:numFmt w:val="decimal"/>
      <w:lvlText w:val=""/>
      <w:lvlJc w:val="left"/>
    </w:lvl>
    <w:lvl w:ilvl="5" w:tplc="B1EE9604">
      <w:numFmt w:val="decimal"/>
      <w:lvlText w:val=""/>
      <w:lvlJc w:val="left"/>
    </w:lvl>
    <w:lvl w:ilvl="6" w:tplc="BC3CEE6A">
      <w:numFmt w:val="decimal"/>
      <w:lvlText w:val=""/>
      <w:lvlJc w:val="left"/>
    </w:lvl>
    <w:lvl w:ilvl="7" w:tplc="D790654A">
      <w:numFmt w:val="decimal"/>
      <w:lvlText w:val=""/>
      <w:lvlJc w:val="left"/>
    </w:lvl>
    <w:lvl w:ilvl="8" w:tplc="559CB530">
      <w:numFmt w:val="decimal"/>
      <w:lvlText w:val=""/>
      <w:lvlJc w:val="left"/>
    </w:lvl>
  </w:abstractNum>
  <w:abstractNum w:abstractNumId="67" w15:restartNumberingAfterBreak="0">
    <w:nsid w:val="28B90D9F"/>
    <w:multiLevelType w:val="hybridMultilevel"/>
    <w:tmpl w:val="5A108F22"/>
    <w:lvl w:ilvl="0" w:tplc="08090005">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68" w15:restartNumberingAfterBreak="0">
    <w:nsid w:val="29060E54"/>
    <w:multiLevelType w:val="hybridMultilevel"/>
    <w:tmpl w:val="DF7401F8"/>
    <w:lvl w:ilvl="0" w:tplc="08090001">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69" w15:restartNumberingAfterBreak="0">
    <w:nsid w:val="29D17036"/>
    <w:multiLevelType w:val="multilevel"/>
    <w:tmpl w:val="26EED22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2AFA61DB"/>
    <w:multiLevelType w:val="multilevel"/>
    <w:tmpl w:val="8E76CEB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2CE2286B"/>
    <w:multiLevelType w:val="multilevel"/>
    <w:tmpl w:val="8F8C5F3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2D3B1EB7"/>
    <w:multiLevelType w:val="hybridMultilevel"/>
    <w:tmpl w:val="999EBC8A"/>
    <w:lvl w:ilvl="0" w:tplc="79C854DE">
      <w:numFmt w:val="decimal"/>
      <w:lvlText w:val=""/>
      <w:lvlJc w:val="left"/>
    </w:lvl>
    <w:lvl w:ilvl="1" w:tplc="24342B24">
      <w:numFmt w:val="decimal"/>
      <w:lvlText w:val=""/>
      <w:lvlJc w:val="left"/>
    </w:lvl>
    <w:lvl w:ilvl="2" w:tplc="8286B7B2">
      <w:numFmt w:val="decimal"/>
      <w:lvlText w:val=""/>
      <w:lvlJc w:val="left"/>
    </w:lvl>
    <w:lvl w:ilvl="3" w:tplc="975E57A0">
      <w:numFmt w:val="decimal"/>
      <w:lvlText w:val=""/>
      <w:lvlJc w:val="left"/>
    </w:lvl>
    <w:lvl w:ilvl="4" w:tplc="F26E21C4">
      <w:numFmt w:val="decimal"/>
      <w:lvlText w:val=""/>
      <w:lvlJc w:val="left"/>
    </w:lvl>
    <w:lvl w:ilvl="5" w:tplc="E3AA84C8">
      <w:numFmt w:val="decimal"/>
      <w:lvlText w:val=""/>
      <w:lvlJc w:val="left"/>
    </w:lvl>
    <w:lvl w:ilvl="6" w:tplc="6E4E0C40">
      <w:numFmt w:val="decimal"/>
      <w:lvlText w:val=""/>
      <w:lvlJc w:val="left"/>
    </w:lvl>
    <w:lvl w:ilvl="7" w:tplc="5C2EAD66">
      <w:numFmt w:val="decimal"/>
      <w:lvlText w:val=""/>
      <w:lvlJc w:val="left"/>
    </w:lvl>
    <w:lvl w:ilvl="8" w:tplc="D8360C04">
      <w:numFmt w:val="decimal"/>
      <w:lvlText w:val=""/>
      <w:lvlJc w:val="left"/>
    </w:lvl>
  </w:abstractNum>
  <w:abstractNum w:abstractNumId="73" w15:restartNumberingAfterBreak="0">
    <w:nsid w:val="2DA721C6"/>
    <w:multiLevelType w:val="hybridMultilevel"/>
    <w:tmpl w:val="B2504940"/>
    <w:lvl w:ilvl="0" w:tplc="08090001">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74" w15:restartNumberingAfterBreak="0">
    <w:nsid w:val="2E647CD8"/>
    <w:multiLevelType w:val="hybridMultilevel"/>
    <w:tmpl w:val="7D849E2C"/>
    <w:lvl w:ilvl="0" w:tplc="43A2008C">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75" w15:restartNumberingAfterBreak="0">
    <w:nsid w:val="30696BF7"/>
    <w:multiLevelType w:val="hybridMultilevel"/>
    <w:tmpl w:val="40626170"/>
    <w:lvl w:ilvl="0" w:tplc="94DA03D4">
      <w:numFmt w:val="decimal"/>
      <w:lvlText w:val=""/>
      <w:lvlJc w:val="left"/>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76" w15:restartNumberingAfterBreak="0">
    <w:nsid w:val="306A1D33"/>
    <w:multiLevelType w:val="hybridMultilevel"/>
    <w:tmpl w:val="A3D484E2"/>
    <w:lvl w:ilvl="0" w:tplc="4B1CE3BE">
      <w:numFmt w:val="decimal"/>
      <w:lvlText w:val=""/>
      <w:lvlJc w:val="left"/>
    </w:lvl>
    <w:lvl w:ilvl="1" w:tplc="B268B944">
      <w:numFmt w:val="decimal"/>
      <w:lvlText w:val=""/>
      <w:lvlJc w:val="left"/>
    </w:lvl>
    <w:lvl w:ilvl="2" w:tplc="DEF4EAC0">
      <w:numFmt w:val="decimal"/>
      <w:lvlText w:val=""/>
      <w:lvlJc w:val="left"/>
    </w:lvl>
    <w:lvl w:ilvl="3" w:tplc="82102746">
      <w:numFmt w:val="decimal"/>
      <w:lvlText w:val=""/>
      <w:lvlJc w:val="left"/>
    </w:lvl>
    <w:lvl w:ilvl="4" w:tplc="F2CAE370">
      <w:numFmt w:val="decimal"/>
      <w:lvlText w:val=""/>
      <w:lvlJc w:val="left"/>
    </w:lvl>
    <w:lvl w:ilvl="5" w:tplc="BAB8BFE6">
      <w:numFmt w:val="decimal"/>
      <w:lvlText w:val=""/>
      <w:lvlJc w:val="left"/>
    </w:lvl>
    <w:lvl w:ilvl="6" w:tplc="67C20758">
      <w:numFmt w:val="decimal"/>
      <w:lvlText w:val=""/>
      <w:lvlJc w:val="left"/>
    </w:lvl>
    <w:lvl w:ilvl="7" w:tplc="3C62C878">
      <w:numFmt w:val="decimal"/>
      <w:lvlText w:val=""/>
      <w:lvlJc w:val="left"/>
    </w:lvl>
    <w:lvl w:ilvl="8" w:tplc="56CE7926">
      <w:numFmt w:val="decimal"/>
      <w:lvlText w:val=""/>
      <w:lvlJc w:val="left"/>
    </w:lvl>
  </w:abstractNum>
  <w:abstractNum w:abstractNumId="77" w15:restartNumberingAfterBreak="0">
    <w:nsid w:val="30EE5E27"/>
    <w:multiLevelType w:val="hybridMultilevel"/>
    <w:tmpl w:val="CF743692"/>
    <w:lvl w:ilvl="0" w:tplc="4320B4FC">
      <w:numFmt w:val="decimal"/>
      <w:lvlText w:val=""/>
      <w:lvlJc w:val="left"/>
    </w:lvl>
    <w:lvl w:ilvl="1" w:tplc="080C0019">
      <w:numFmt w:val="decimal"/>
      <w:lvlText w:val=""/>
      <w:lvlJc w:val="left"/>
    </w:lvl>
    <w:lvl w:ilvl="2" w:tplc="080C001B">
      <w:numFmt w:val="decimal"/>
      <w:lvlText w:val=""/>
      <w:lvlJc w:val="left"/>
    </w:lvl>
    <w:lvl w:ilvl="3" w:tplc="080C000F">
      <w:numFmt w:val="decimal"/>
      <w:lvlText w:val=""/>
      <w:lvlJc w:val="left"/>
    </w:lvl>
    <w:lvl w:ilvl="4" w:tplc="080C0019">
      <w:numFmt w:val="decimal"/>
      <w:lvlText w:val=""/>
      <w:lvlJc w:val="left"/>
    </w:lvl>
    <w:lvl w:ilvl="5" w:tplc="080C001B">
      <w:numFmt w:val="decimal"/>
      <w:lvlText w:val=""/>
      <w:lvlJc w:val="left"/>
    </w:lvl>
    <w:lvl w:ilvl="6" w:tplc="080C000F">
      <w:numFmt w:val="decimal"/>
      <w:lvlText w:val=""/>
      <w:lvlJc w:val="left"/>
    </w:lvl>
    <w:lvl w:ilvl="7" w:tplc="080C0019">
      <w:numFmt w:val="decimal"/>
      <w:lvlText w:val=""/>
      <w:lvlJc w:val="left"/>
    </w:lvl>
    <w:lvl w:ilvl="8" w:tplc="080C001B">
      <w:numFmt w:val="decimal"/>
      <w:lvlText w:val=""/>
      <w:lvlJc w:val="left"/>
    </w:lvl>
  </w:abstractNum>
  <w:abstractNum w:abstractNumId="78" w15:restartNumberingAfterBreak="0">
    <w:nsid w:val="33016B26"/>
    <w:multiLevelType w:val="hybridMultilevel"/>
    <w:tmpl w:val="3EB407A0"/>
    <w:lvl w:ilvl="0" w:tplc="FFFFFFFF">
      <w:numFmt w:val="decimal"/>
      <w:lvlText w:val=""/>
      <w:lvlJc w:val="left"/>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79" w15:restartNumberingAfterBreak="0">
    <w:nsid w:val="333357C1"/>
    <w:multiLevelType w:val="hybridMultilevel"/>
    <w:tmpl w:val="AD369DC6"/>
    <w:lvl w:ilvl="0" w:tplc="08090005">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80" w15:restartNumberingAfterBreak="0">
    <w:nsid w:val="33AF0338"/>
    <w:multiLevelType w:val="hybridMultilevel"/>
    <w:tmpl w:val="5B14881A"/>
    <w:lvl w:ilvl="0" w:tplc="08090019">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81" w15:restartNumberingAfterBreak="0">
    <w:nsid w:val="344337EB"/>
    <w:multiLevelType w:val="multilevel"/>
    <w:tmpl w:val="F528826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347FD88D"/>
    <w:multiLevelType w:val="hybridMultilevel"/>
    <w:tmpl w:val="F2766158"/>
    <w:lvl w:ilvl="0" w:tplc="CF72FA86">
      <w:numFmt w:val="decimal"/>
      <w:lvlText w:val=""/>
      <w:lvlJc w:val="left"/>
    </w:lvl>
    <w:lvl w:ilvl="1" w:tplc="B00E8828">
      <w:numFmt w:val="decimal"/>
      <w:lvlText w:val=""/>
      <w:lvlJc w:val="left"/>
    </w:lvl>
    <w:lvl w:ilvl="2" w:tplc="D4EE5B7A">
      <w:numFmt w:val="decimal"/>
      <w:lvlText w:val=""/>
      <w:lvlJc w:val="left"/>
    </w:lvl>
    <w:lvl w:ilvl="3" w:tplc="DD3E251C">
      <w:numFmt w:val="decimal"/>
      <w:lvlText w:val=""/>
      <w:lvlJc w:val="left"/>
    </w:lvl>
    <w:lvl w:ilvl="4" w:tplc="FAB0FE1C">
      <w:numFmt w:val="decimal"/>
      <w:lvlText w:val=""/>
      <w:lvlJc w:val="left"/>
    </w:lvl>
    <w:lvl w:ilvl="5" w:tplc="06E0239A">
      <w:numFmt w:val="decimal"/>
      <w:lvlText w:val=""/>
      <w:lvlJc w:val="left"/>
    </w:lvl>
    <w:lvl w:ilvl="6" w:tplc="2C3665C2">
      <w:numFmt w:val="decimal"/>
      <w:lvlText w:val=""/>
      <w:lvlJc w:val="left"/>
    </w:lvl>
    <w:lvl w:ilvl="7" w:tplc="1EA05DBE">
      <w:numFmt w:val="decimal"/>
      <w:lvlText w:val=""/>
      <w:lvlJc w:val="left"/>
    </w:lvl>
    <w:lvl w:ilvl="8" w:tplc="AE882406">
      <w:numFmt w:val="decimal"/>
      <w:lvlText w:val=""/>
      <w:lvlJc w:val="left"/>
    </w:lvl>
  </w:abstractNum>
  <w:abstractNum w:abstractNumId="83" w15:restartNumberingAfterBreak="0">
    <w:nsid w:val="34AF6E56"/>
    <w:multiLevelType w:val="hybridMultilevel"/>
    <w:tmpl w:val="5B80CA9E"/>
    <w:lvl w:ilvl="0" w:tplc="0809000F">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84" w15:restartNumberingAfterBreak="0">
    <w:nsid w:val="369364E9"/>
    <w:multiLevelType w:val="multilevel"/>
    <w:tmpl w:val="399A38E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36F519CE"/>
    <w:multiLevelType w:val="hybridMultilevel"/>
    <w:tmpl w:val="CD5AA7F4"/>
    <w:lvl w:ilvl="0" w:tplc="D0BAF21A">
      <w:numFmt w:val="decimal"/>
      <w:lvlText w:val=""/>
      <w:lvlJc w:val="left"/>
    </w:lvl>
    <w:lvl w:ilvl="1" w:tplc="04130003">
      <w:numFmt w:val="decimal"/>
      <w:lvlText w:val=""/>
      <w:lvlJc w:val="left"/>
    </w:lvl>
    <w:lvl w:ilvl="2" w:tplc="04130005">
      <w:numFmt w:val="decimal"/>
      <w:lvlText w:val=""/>
      <w:lvlJc w:val="left"/>
    </w:lvl>
    <w:lvl w:ilvl="3" w:tplc="04130001">
      <w:numFmt w:val="decimal"/>
      <w:lvlText w:val=""/>
      <w:lvlJc w:val="left"/>
    </w:lvl>
    <w:lvl w:ilvl="4" w:tplc="04130003">
      <w:numFmt w:val="decimal"/>
      <w:lvlText w:val=""/>
      <w:lvlJc w:val="left"/>
    </w:lvl>
    <w:lvl w:ilvl="5" w:tplc="04130005">
      <w:numFmt w:val="decimal"/>
      <w:lvlText w:val=""/>
      <w:lvlJc w:val="left"/>
    </w:lvl>
    <w:lvl w:ilvl="6" w:tplc="04130001">
      <w:numFmt w:val="decimal"/>
      <w:lvlText w:val=""/>
      <w:lvlJc w:val="left"/>
    </w:lvl>
    <w:lvl w:ilvl="7" w:tplc="04130003">
      <w:numFmt w:val="decimal"/>
      <w:lvlText w:val=""/>
      <w:lvlJc w:val="left"/>
    </w:lvl>
    <w:lvl w:ilvl="8" w:tplc="04130005">
      <w:numFmt w:val="decimal"/>
      <w:lvlText w:val=""/>
      <w:lvlJc w:val="left"/>
    </w:lvl>
  </w:abstractNum>
  <w:abstractNum w:abstractNumId="86" w15:restartNumberingAfterBreak="0">
    <w:nsid w:val="373D09F3"/>
    <w:multiLevelType w:val="hybridMultilevel"/>
    <w:tmpl w:val="B0C4D0CC"/>
    <w:lvl w:ilvl="0" w:tplc="B5C0F3C4">
      <w:numFmt w:val="decimal"/>
      <w:lvlText w:val=""/>
      <w:lvlJc w:val="left"/>
    </w:lvl>
    <w:lvl w:ilvl="1" w:tplc="35569AB2">
      <w:numFmt w:val="decimal"/>
      <w:lvlText w:val=""/>
      <w:lvlJc w:val="left"/>
    </w:lvl>
    <w:lvl w:ilvl="2" w:tplc="4F5272C0">
      <w:numFmt w:val="decimal"/>
      <w:lvlText w:val=""/>
      <w:lvlJc w:val="left"/>
    </w:lvl>
    <w:lvl w:ilvl="3" w:tplc="BB369578">
      <w:numFmt w:val="decimal"/>
      <w:lvlText w:val=""/>
      <w:lvlJc w:val="left"/>
    </w:lvl>
    <w:lvl w:ilvl="4" w:tplc="8D7EC2AA">
      <w:numFmt w:val="decimal"/>
      <w:lvlText w:val=""/>
      <w:lvlJc w:val="left"/>
    </w:lvl>
    <w:lvl w:ilvl="5" w:tplc="90720978">
      <w:numFmt w:val="decimal"/>
      <w:lvlText w:val=""/>
      <w:lvlJc w:val="left"/>
    </w:lvl>
    <w:lvl w:ilvl="6" w:tplc="C1184E1A">
      <w:numFmt w:val="decimal"/>
      <w:lvlText w:val=""/>
      <w:lvlJc w:val="left"/>
    </w:lvl>
    <w:lvl w:ilvl="7" w:tplc="8E34CC78">
      <w:numFmt w:val="decimal"/>
      <w:lvlText w:val=""/>
      <w:lvlJc w:val="left"/>
    </w:lvl>
    <w:lvl w:ilvl="8" w:tplc="8DAC9460">
      <w:numFmt w:val="decimal"/>
      <w:lvlText w:val=""/>
      <w:lvlJc w:val="left"/>
    </w:lvl>
  </w:abstractNum>
  <w:abstractNum w:abstractNumId="87" w15:restartNumberingAfterBreak="0">
    <w:nsid w:val="37E63B70"/>
    <w:multiLevelType w:val="hybridMultilevel"/>
    <w:tmpl w:val="3B06D86A"/>
    <w:lvl w:ilvl="0" w:tplc="A5008712">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88" w15:restartNumberingAfterBreak="0">
    <w:nsid w:val="388C1AE5"/>
    <w:multiLevelType w:val="multilevel"/>
    <w:tmpl w:val="1780E63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38DE4B54"/>
    <w:multiLevelType w:val="multilevel"/>
    <w:tmpl w:val="3E1E893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390C4FBD"/>
    <w:multiLevelType w:val="multilevel"/>
    <w:tmpl w:val="850247F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39121E99"/>
    <w:multiLevelType w:val="hybridMultilevel"/>
    <w:tmpl w:val="88EEA202"/>
    <w:lvl w:ilvl="0" w:tplc="0809000F">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92" w15:restartNumberingAfterBreak="0">
    <w:nsid w:val="3A7730C4"/>
    <w:multiLevelType w:val="multilevel"/>
    <w:tmpl w:val="F208CCE4"/>
    <w:name w:val="ListBullet1Numbering"/>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3A9D50E9"/>
    <w:multiLevelType w:val="hybridMultilevel"/>
    <w:tmpl w:val="9FF895F2"/>
    <w:lvl w:ilvl="0" w:tplc="0C800E86">
      <w:numFmt w:val="decimal"/>
      <w:pStyle w:val="ListBullet1"/>
      <w:lvlText w:val=""/>
      <w:lvlJc w:val="left"/>
    </w:lvl>
    <w:lvl w:ilvl="1" w:tplc="8B20B70A">
      <w:numFmt w:val="decimal"/>
      <w:pStyle w:val="ListBullet1Level2"/>
      <w:lvlText w:val=""/>
      <w:lvlJc w:val="left"/>
    </w:lvl>
    <w:lvl w:ilvl="2" w:tplc="69FEBE40">
      <w:numFmt w:val="decimal"/>
      <w:pStyle w:val="ListBullet1Level3"/>
      <w:lvlText w:val=""/>
      <w:lvlJc w:val="left"/>
    </w:lvl>
    <w:lvl w:ilvl="3" w:tplc="1A9C1DFC">
      <w:numFmt w:val="decimal"/>
      <w:pStyle w:val="ListBullet1Level4"/>
      <w:lvlText w:val=""/>
      <w:lvlJc w:val="left"/>
    </w:lvl>
    <w:lvl w:ilvl="4" w:tplc="D5AEFA4C">
      <w:numFmt w:val="decimal"/>
      <w:lvlText w:val=""/>
      <w:lvlJc w:val="left"/>
    </w:lvl>
    <w:lvl w:ilvl="5" w:tplc="D9D0AB62">
      <w:numFmt w:val="decimal"/>
      <w:lvlText w:val=""/>
      <w:lvlJc w:val="left"/>
    </w:lvl>
    <w:lvl w:ilvl="6" w:tplc="7A7EBDC0">
      <w:numFmt w:val="decimal"/>
      <w:lvlText w:val=""/>
      <w:lvlJc w:val="left"/>
    </w:lvl>
    <w:lvl w:ilvl="7" w:tplc="E97A8F76">
      <w:numFmt w:val="decimal"/>
      <w:lvlText w:val=""/>
      <w:lvlJc w:val="left"/>
    </w:lvl>
    <w:lvl w:ilvl="8" w:tplc="148A685E">
      <w:numFmt w:val="decimal"/>
      <w:lvlText w:val=""/>
      <w:lvlJc w:val="left"/>
    </w:lvl>
  </w:abstractNum>
  <w:abstractNum w:abstractNumId="94" w15:restartNumberingAfterBreak="0">
    <w:nsid w:val="3BDB1097"/>
    <w:multiLevelType w:val="hybridMultilevel"/>
    <w:tmpl w:val="07D82780"/>
    <w:lvl w:ilvl="0" w:tplc="DBD8791E">
      <w:numFmt w:val="decimal"/>
      <w:lvlText w:val=""/>
      <w:lvlJc w:val="left"/>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95" w15:restartNumberingAfterBreak="0">
    <w:nsid w:val="3C3B6BFC"/>
    <w:multiLevelType w:val="multilevel"/>
    <w:tmpl w:val="E25EEE4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3C4B4E5F"/>
    <w:multiLevelType w:val="multilevel"/>
    <w:tmpl w:val="8D06A56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3C7524C8"/>
    <w:multiLevelType w:val="hybridMultilevel"/>
    <w:tmpl w:val="7B68CE30"/>
    <w:lvl w:ilvl="0" w:tplc="BCD24DBE">
      <w:numFmt w:val="decimal"/>
      <w:lvlText w:val=""/>
      <w:lvlJc w:val="left"/>
    </w:lvl>
    <w:lvl w:ilvl="1" w:tplc="D402EEE4">
      <w:numFmt w:val="decimal"/>
      <w:lvlText w:val=""/>
      <w:lvlJc w:val="left"/>
    </w:lvl>
    <w:lvl w:ilvl="2" w:tplc="655292DC">
      <w:numFmt w:val="decimal"/>
      <w:lvlText w:val=""/>
      <w:lvlJc w:val="left"/>
    </w:lvl>
    <w:lvl w:ilvl="3" w:tplc="6B50705A">
      <w:numFmt w:val="decimal"/>
      <w:lvlText w:val=""/>
      <w:lvlJc w:val="left"/>
    </w:lvl>
    <w:lvl w:ilvl="4" w:tplc="993E7878">
      <w:numFmt w:val="decimal"/>
      <w:lvlText w:val=""/>
      <w:lvlJc w:val="left"/>
    </w:lvl>
    <w:lvl w:ilvl="5" w:tplc="1A78DD76">
      <w:numFmt w:val="decimal"/>
      <w:lvlText w:val=""/>
      <w:lvlJc w:val="left"/>
    </w:lvl>
    <w:lvl w:ilvl="6" w:tplc="841A42A0">
      <w:numFmt w:val="decimal"/>
      <w:lvlText w:val=""/>
      <w:lvlJc w:val="left"/>
    </w:lvl>
    <w:lvl w:ilvl="7" w:tplc="7640EC30">
      <w:numFmt w:val="decimal"/>
      <w:lvlText w:val=""/>
      <w:lvlJc w:val="left"/>
    </w:lvl>
    <w:lvl w:ilvl="8" w:tplc="9FBA2800">
      <w:numFmt w:val="decimal"/>
      <w:lvlText w:val=""/>
      <w:lvlJc w:val="left"/>
    </w:lvl>
  </w:abstractNum>
  <w:abstractNum w:abstractNumId="98" w15:restartNumberingAfterBreak="0">
    <w:nsid w:val="3C820321"/>
    <w:multiLevelType w:val="hybridMultilevel"/>
    <w:tmpl w:val="F718EDBC"/>
    <w:lvl w:ilvl="0" w:tplc="475277F8">
      <w:numFmt w:val="decimal"/>
      <w:lvlText w:val=""/>
      <w:lvlJc w:val="left"/>
    </w:lvl>
    <w:lvl w:ilvl="1" w:tplc="080C0003">
      <w:numFmt w:val="decimal"/>
      <w:lvlText w:val=""/>
      <w:lvlJc w:val="left"/>
    </w:lvl>
    <w:lvl w:ilvl="2" w:tplc="080C0005">
      <w:numFmt w:val="decimal"/>
      <w:lvlText w:val=""/>
      <w:lvlJc w:val="left"/>
    </w:lvl>
    <w:lvl w:ilvl="3" w:tplc="080C0001">
      <w:numFmt w:val="decimal"/>
      <w:lvlText w:val=""/>
      <w:lvlJc w:val="left"/>
    </w:lvl>
    <w:lvl w:ilvl="4" w:tplc="080C0003">
      <w:numFmt w:val="decimal"/>
      <w:lvlText w:val=""/>
      <w:lvlJc w:val="left"/>
    </w:lvl>
    <w:lvl w:ilvl="5" w:tplc="080C0005">
      <w:numFmt w:val="decimal"/>
      <w:lvlText w:val=""/>
      <w:lvlJc w:val="left"/>
    </w:lvl>
    <w:lvl w:ilvl="6" w:tplc="080C0001">
      <w:numFmt w:val="decimal"/>
      <w:lvlText w:val=""/>
      <w:lvlJc w:val="left"/>
    </w:lvl>
    <w:lvl w:ilvl="7" w:tplc="080C0003">
      <w:numFmt w:val="decimal"/>
      <w:lvlText w:val=""/>
      <w:lvlJc w:val="left"/>
    </w:lvl>
    <w:lvl w:ilvl="8" w:tplc="080C0005">
      <w:numFmt w:val="decimal"/>
      <w:lvlText w:val=""/>
      <w:lvlJc w:val="left"/>
    </w:lvl>
  </w:abstractNum>
  <w:abstractNum w:abstractNumId="99" w15:restartNumberingAfterBreak="0">
    <w:nsid w:val="3CAB3A04"/>
    <w:multiLevelType w:val="hybridMultilevel"/>
    <w:tmpl w:val="F1420B02"/>
    <w:lvl w:ilvl="0" w:tplc="08090017">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00" w15:restartNumberingAfterBreak="0">
    <w:nsid w:val="3CFE2DF5"/>
    <w:multiLevelType w:val="hybridMultilevel"/>
    <w:tmpl w:val="82E2B4A0"/>
    <w:lvl w:ilvl="0" w:tplc="CE1CC572">
      <w:numFmt w:val="decimal"/>
      <w:lvlText w:val=""/>
      <w:lvlJc w:val="left"/>
    </w:lvl>
    <w:lvl w:ilvl="1" w:tplc="53402F7E">
      <w:numFmt w:val="decimal"/>
      <w:lvlText w:val=""/>
      <w:lvlJc w:val="left"/>
    </w:lvl>
    <w:lvl w:ilvl="2" w:tplc="3C90F0F6">
      <w:numFmt w:val="decimal"/>
      <w:lvlText w:val=""/>
      <w:lvlJc w:val="left"/>
    </w:lvl>
    <w:lvl w:ilvl="3" w:tplc="A7005AEE">
      <w:numFmt w:val="decimal"/>
      <w:lvlText w:val=""/>
      <w:lvlJc w:val="left"/>
    </w:lvl>
    <w:lvl w:ilvl="4" w:tplc="D146EFA0">
      <w:numFmt w:val="decimal"/>
      <w:lvlText w:val=""/>
      <w:lvlJc w:val="left"/>
    </w:lvl>
    <w:lvl w:ilvl="5" w:tplc="9488B13C">
      <w:numFmt w:val="decimal"/>
      <w:lvlText w:val=""/>
      <w:lvlJc w:val="left"/>
    </w:lvl>
    <w:lvl w:ilvl="6" w:tplc="E28243CE">
      <w:numFmt w:val="decimal"/>
      <w:lvlText w:val=""/>
      <w:lvlJc w:val="left"/>
    </w:lvl>
    <w:lvl w:ilvl="7" w:tplc="8DDA8F64">
      <w:numFmt w:val="decimal"/>
      <w:lvlText w:val=""/>
      <w:lvlJc w:val="left"/>
    </w:lvl>
    <w:lvl w:ilvl="8" w:tplc="80301F6A">
      <w:numFmt w:val="decimal"/>
      <w:lvlText w:val=""/>
      <w:lvlJc w:val="left"/>
    </w:lvl>
  </w:abstractNum>
  <w:abstractNum w:abstractNumId="101" w15:restartNumberingAfterBreak="0">
    <w:nsid w:val="3D7D34BB"/>
    <w:multiLevelType w:val="multilevel"/>
    <w:tmpl w:val="3A4868C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3E463CAB"/>
    <w:multiLevelType w:val="hybridMultilevel"/>
    <w:tmpl w:val="6C822548"/>
    <w:lvl w:ilvl="0" w:tplc="0809000F">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03" w15:restartNumberingAfterBreak="0">
    <w:nsid w:val="3E6D1DC6"/>
    <w:multiLevelType w:val="multilevel"/>
    <w:tmpl w:val="B2BE925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15:restartNumberingAfterBreak="0">
    <w:nsid w:val="3E772BEE"/>
    <w:multiLevelType w:val="multilevel"/>
    <w:tmpl w:val="EB9C4D3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15:restartNumberingAfterBreak="0">
    <w:nsid w:val="40B39412"/>
    <w:multiLevelType w:val="hybridMultilevel"/>
    <w:tmpl w:val="F260CCA0"/>
    <w:lvl w:ilvl="0" w:tplc="BCC6A0F6">
      <w:numFmt w:val="decimal"/>
      <w:lvlText w:val=""/>
      <w:lvlJc w:val="left"/>
    </w:lvl>
    <w:lvl w:ilvl="1" w:tplc="73D2CF62">
      <w:numFmt w:val="decimal"/>
      <w:lvlText w:val=""/>
      <w:lvlJc w:val="left"/>
    </w:lvl>
    <w:lvl w:ilvl="2" w:tplc="573A9C5A">
      <w:numFmt w:val="decimal"/>
      <w:lvlText w:val=""/>
      <w:lvlJc w:val="left"/>
    </w:lvl>
    <w:lvl w:ilvl="3" w:tplc="A290E9B0">
      <w:numFmt w:val="decimal"/>
      <w:lvlText w:val=""/>
      <w:lvlJc w:val="left"/>
    </w:lvl>
    <w:lvl w:ilvl="4" w:tplc="AFBAF280">
      <w:numFmt w:val="decimal"/>
      <w:lvlText w:val=""/>
      <w:lvlJc w:val="left"/>
    </w:lvl>
    <w:lvl w:ilvl="5" w:tplc="9A426C5E">
      <w:numFmt w:val="decimal"/>
      <w:lvlText w:val=""/>
      <w:lvlJc w:val="left"/>
    </w:lvl>
    <w:lvl w:ilvl="6" w:tplc="B130183E">
      <w:numFmt w:val="decimal"/>
      <w:lvlText w:val=""/>
      <w:lvlJc w:val="left"/>
    </w:lvl>
    <w:lvl w:ilvl="7" w:tplc="4E105024">
      <w:numFmt w:val="decimal"/>
      <w:lvlText w:val=""/>
      <w:lvlJc w:val="left"/>
    </w:lvl>
    <w:lvl w:ilvl="8" w:tplc="0A14EA6E">
      <w:numFmt w:val="decimal"/>
      <w:lvlText w:val=""/>
      <w:lvlJc w:val="left"/>
    </w:lvl>
  </w:abstractNum>
  <w:abstractNum w:abstractNumId="106" w15:restartNumberingAfterBreak="0">
    <w:nsid w:val="40D85ED4"/>
    <w:multiLevelType w:val="multilevel"/>
    <w:tmpl w:val="79FE72D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15:restartNumberingAfterBreak="0">
    <w:nsid w:val="41411FD1"/>
    <w:multiLevelType w:val="hybridMultilevel"/>
    <w:tmpl w:val="941803EE"/>
    <w:lvl w:ilvl="0" w:tplc="6B089406">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8" w15:restartNumberingAfterBreak="0">
    <w:nsid w:val="4169262B"/>
    <w:multiLevelType w:val="multilevel"/>
    <w:tmpl w:val="8C28821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42C70CC6"/>
    <w:multiLevelType w:val="multilevel"/>
    <w:tmpl w:val="2E1411F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42D07249"/>
    <w:multiLevelType w:val="multilevel"/>
    <w:tmpl w:val="632E645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43247591"/>
    <w:multiLevelType w:val="multilevel"/>
    <w:tmpl w:val="3C6C8CB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15:restartNumberingAfterBreak="0">
    <w:nsid w:val="438C1D06"/>
    <w:multiLevelType w:val="hybridMultilevel"/>
    <w:tmpl w:val="BB6486AC"/>
    <w:lvl w:ilvl="0" w:tplc="97F871D6">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13" w15:restartNumberingAfterBreak="0">
    <w:nsid w:val="4560274E"/>
    <w:multiLevelType w:val="multilevel"/>
    <w:tmpl w:val="22C09FA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49296EB4"/>
    <w:multiLevelType w:val="hybridMultilevel"/>
    <w:tmpl w:val="5B80CA9E"/>
    <w:lvl w:ilvl="0" w:tplc="0809000F">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15" w15:restartNumberingAfterBreak="0">
    <w:nsid w:val="497F4B39"/>
    <w:multiLevelType w:val="multilevel"/>
    <w:tmpl w:val="3B92D08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4AC94E8A"/>
    <w:multiLevelType w:val="multilevel"/>
    <w:tmpl w:val="A7E8225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15:restartNumberingAfterBreak="0">
    <w:nsid w:val="4BC466A4"/>
    <w:multiLevelType w:val="hybridMultilevel"/>
    <w:tmpl w:val="00F8711A"/>
    <w:lvl w:ilvl="0" w:tplc="5606BCEE">
      <w:numFmt w:val="decimal"/>
      <w:lvlText w:val=""/>
      <w:lvlJc w:val="left"/>
    </w:lvl>
    <w:lvl w:ilvl="1" w:tplc="6988E0D2">
      <w:numFmt w:val="decimal"/>
      <w:lvlText w:val=""/>
      <w:lvlJc w:val="left"/>
    </w:lvl>
    <w:lvl w:ilvl="2" w:tplc="8B502558">
      <w:numFmt w:val="decimal"/>
      <w:lvlText w:val=""/>
      <w:lvlJc w:val="left"/>
    </w:lvl>
    <w:lvl w:ilvl="3" w:tplc="05A29816">
      <w:numFmt w:val="decimal"/>
      <w:lvlText w:val=""/>
      <w:lvlJc w:val="left"/>
    </w:lvl>
    <w:lvl w:ilvl="4" w:tplc="2494B13C">
      <w:numFmt w:val="decimal"/>
      <w:lvlText w:val=""/>
      <w:lvlJc w:val="left"/>
    </w:lvl>
    <w:lvl w:ilvl="5" w:tplc="DE90DB98">
      <w:numFmt w:val="decimal"/>
      <w:lvlText w:val=""/>
      <w:lvlJc w:val="left"/>
    </w:lvl>
    <w:lvl w:ilvl="6" w:tplc="EBBE6746">
      <w:numFmt w:val="decimal"/>
      <w:lvlText w:val=""/>
      <w:lvlJc w:val="left"/>
    </w:lvl>
    <w:lvl w:ilvl="7" w:tplc="5BF8B41E">
      <w:numFmt w:val="decimal"/>
      <w:lvlText w:val=""/>
      <w:lvlJc w:val="left"/>
    </w:lvl>
    <w:lvl w:ilvl="8" w:tplc="7F6E0AFE">
      <w:numFmt w:val="decimal"/>
      <w:lvlText w:val=""/>
      <w:lvlJc w:val="left"/>
    </w:lvl>
  </w:abstractNum>
  <w:abstractNum w:abstractNumId="118" w15:restartNumberingAfterBreak="0">
    <w:nsid w:val="4C620D51"/>
    <w:multiLevelType w:val="hybridMultilevel"/>
    <w:tmpl w:val="1AD47B32"/>
    <w:lvl w:ilvl="0" w:tplc="2EF828E4">
      <w:numFmt w:val="decimal"/>
      <w:lvlText w:val=""/>
      <w:lvlJc w:val="left"/>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119" w15:restartNumberingAfterBreak="0">
    <w:nsid w:val="4DD063DD"/>
    <w:multiLevelType w:val="hybridMultilevel"/>
    <w:tmpl w:val="FFFFFFFF"/>
    <w:lvl w:ilvl="0" w:tplc="A7F4BAB2">
      <w:numFmt w:val="decimal"/>
      <w:lvlText w:val=""/>
      <w:lvlJc w:val="left"/>
    </w:lvl>
    <w:lvl w:ilvl="1" w:tplc="E7184592">
      <w:numFmt w:val="decimal"/>
      <w:lvlText w:val=""/>
      <w:lvlJc w:val="left"/>
    </w:lvl>
    <w:lvl w:ilvl="2" w:tplc="4EC685DC">
      <w:numFmt w:val="decimal"/>
      <w:lvlText w:val=""/>
      <w:lvlJc w:val="left"/>
    </w:lvl>
    <w:lvl w:ilvl="3" w:tplc="BD8E9722">
      <w:numFmt w:val="decimal"/>
      <w:lvlText w:val=""/>
      <w:lvlJc w:val="left"/>
    </w:lvl>
    <w:lvl w:ilvl="4" w:tplc="739EFC7E">
      <w:numFmt w:val="decimal"/>
      <w:lvlText w:val=""/>
      <w:lvlJc w:val="left"/>
    </w:lvl>
    <w:lvl w:ilvl="5" w:tplc="0EE02AF4">
      <w:numFmt w:val="decimal"/>
      <w:lvlText w:val=""/>
      <w:lvlJc w:val="left"/>
    </w:lvl>
    <w:lvl w:ilvl="6" w:tplc="4CE453F0">
      <w:numFmt w:val="decimal"/>
      <w:lvlText w:val=""/>
      <w:lvlJc w:val="left"/>
    </w:lvl>
    <w:lvl w:ilvl="7" w:tplc="AE4C5074">
      <w:numFmt w:val="decimal"/>
      <w:lvlText w:val=""/>
      <w:lvlJc w:val="left"/>
    </w:lvl>
    <w:lvl w:ilvl="8" w:tplc="DA14B90E">
      <w:numFmt w:val="decimal"/>
      <w:lvlText w:val=""/>
      <w:lvlJc w:val="left"/>
    </w:lvl>
  </w:abstractNum>
  <w:abstractNum w:abstractNumId="120" w15:restartNumberingAfterBreak="0">
    <w:nsid w:val="505D45AF"/>
    <w:multiLevelType w:val="hybridMultilevel"/>
    <w:tmpl w:val="38209AA0"/>
    <w:lvl w:ilvl="0" w:tplc="08090019">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21" w15:restartNumberingAfterBreak="0">
    <w:nsid w:val="50A63AEE"/>
    <w:multiLevelType w:val="hybridMultilevel"/>
    <w:tmpl w:val="0D10624A"/>
    <w:lvl w:ilvl="0" w:tplc="0809000F">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22" w15:restartNumberingAfterBreak="0">
    <w:nsid w:val="53CE5045"/>
    <w:multiLevelType w:val="multilevel"/>
    <w:tmpl w:val="710A201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15:restartNumberingAfterBreak="0">
    <w:nsid w:val="553215EF"/>
    <w:multiLevelType w:val="multilevel"/>
    <w:tmpl w:val="3AE82F3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15:restartNumberingAfterBreak="0">
    <w:nsid w:val="55F60D48"/>
    <w:multiLevelType w:val="multilevel"/>
    <w:tmpl w:val="4BB2767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56136593"/>
    <w:multiLevelType w:val="multilevel"/>
    <w:tmpl w:val="22F4674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578674C5"/>
    <w:multiLevelType w:val="multilevel"/>
    <w:tmpl w:val="062663D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15:restartNumberingAfterBreak="0">
    <w:nsid w:val="5A59535D"/>
    <w:multiLevelType w:val="hybridMultilevel"/>
    <w:tmpl w:val="A870735E"/>
    <w:lvl w:ilvl="0" w:tplc="0413000F">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28" w15:restartNumberingAfterBreak="0">
    <w:nsid w:val="5B464327"/>
    <w:multiLevelType w:val="hybridMultilevel"/>
    <w:tmpl w:val="46BCF3EC"/>
    <w:lvl w:ilvl="0" w:tplc="0413000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9" w15:restartNumberingAfterBreak="0">
    <w:nsid w:val="5B977A81"/>
    <w:multiLevelType w:val="multilevel"/>
    <w:tmpl w:val="1430D0E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15:restartNumberingAfterBreak="0">
    <w:nsid w:val="5C4F1364"/>
    <w:multiLevelType w:val="hybridMultilevel"/>
    <w:tmpl w:val="887C7E66"/>
    <w:lvl w:ilvl="0" w:tplc="0809000F">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131" w15:restartNumberingAfterBreak="0">
    <w:nsid w:val="5C685EAC"/>
    <w:multiLevelType w:val="multilevel"/>
    <w:tmpl w:val="811EE05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15:restartNumberingAfterBreak="0">
    <w:nsid w:val="60777202"/>
    <w:multiLevelType w:val="multilevel"/>
    <w:tmpl w:val="0B04F81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61106BA7"/>
    <w:multiLevelType w:val="multilevel"/>
    <w:tmpl w:val="80A83A1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15:restartNumberingAfterBreak="0">
    <w:nsid w:val="62D41E7C"/>
    <w:multiLevelType w:val="hybridMultilevel"/>
    <w:tmpl w:val="CEBC9886"/>
    <w:lvl w:ilvl="0" w:tplc="0470B8EC">
      <w:numFmt w:val="decimal"/>
      <w:lvlText w:val=""/>
      <w:lvlJc w:val="left"/>
    </w:lvl>
    <w:lvl w:ilvl="1" w:tplc="18090003">
      <w:numFmt w:val="decimal"/>
      <w:lvlText w:val=""/>
      <w:lvlJc w:val="left"/>
    </w:lvl>
    <w:lvl w:ilvl="2" w:tplc="18090005">
      <w:numFmt w:val="decimal"/>
      <w:lvlText w:val=""/>
      <w:lvlJc w:val="left"/>
    </w:lvl>
    <w:lvl w:ilvl="3" w:tplc="18090001">
      <w:numFmt w:val="decimal"/>
      <w:lvlText w:val=""/>
      <w:lvlJc w:val="left"/>
    </w:lvl>
    <w:lvl w:ilvl="4" w:tplc="18090003">
      <w:numFmt w:val="decimal"/>
      <w:lvlText w:val=""/>
      <w:lvlJc w:val="left"/>
    </w:lvl>
    <w:lvl w:ilvl="5" w:tplc="18090005">
      <w:numFmt w:val="decimal"/>
      <w:lvlText w:val=""/>
      <w:lvlJc w:val="left"/>
    </w:lvl>
    <w:lvl w:ilvl="6" w:tplc="18090001">
      <w:numFmt w:val="decimal"/>
      <w:lvlText w:val=""/>
      <w:lvlJc w:val="left"/>
    </w:lvl>
    <w:lvl w:ilvl="7" w:tplc="18090003">
      <w:numFmt w:val="decimal"/>
      <w:lvlText w:val=""/>
      <w:lvlJc w:val="left"/>
    </w:lvl>
    <w:lvl w:ilvl="8" w:tplc="18090005">
      <w:numFmt w:val="decimal"/>
      <w:lvlText w:val=""/>
      <w:lvlJc w:val="left"/>
    </w:lvl>
  </w:abstractNum>
  <w:abstractNum w:abstractNumId="135" w15:restartNumberingAfterBreak="0">
    <w:nsid w:val="635C09C9"/>
    <w:multiLevelType w:val="multilevel"/>
    <w:tmpl w:val="07E897F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15:restartNumberingAfterBreak="0">
    <w:nsid w:val="643D53C1"/>
    <w:multiLevelType w:val="hybridMultilevel"/>
    <w:tmpl w:val="86D4EF2E"/>
    <w:lvl w:ilvl="0" w:tplc="43A2008C">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37" w15:restartNumberingAfterBreak="0">
    <w:nsid w:val="64BB2BC2"/>
    <w:multiLevelType w:val="multilevel"/>
    <w:tmpl w:val="E176F4A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15:restartNumberingAfterBreak="0">
    <w:nsid w:val="64FA2894"/>
    <w:multiLevelType w:val="multilevel"/>
    <w:tmpl w:val="F45291A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15:restartNumberingAfterBreak="0">
    <w:nsid w:val="66D669F2"/>
    <w:multiLevelType w:val="hybridMultilevel"/>
    <w:tmpl w:val="130E4E5C"/>
    <w:lvl w:ilvl="0" w:tplc="080C0011">
      <w:numFmt w:val="decimal"/>
      <w:lvlText w:val=""/>
      <w:lvlJc w:val="left"/>
    </w:lvl>
    <w:lvl w:ilvl="1" w:tplc="080C0019">
      <w:numFmt w:val="decimal"/>
      <w:lvlText w:val=""/>
      <w:lvlJc w:val="left"/>
    </w:lvl>
    <w:lvl w:ilvl="2" w:tplc="080C001B">
      <w:numFmt w:val="decimal"/>
      <w:lvlText w:val=""/>
      <w:lvlJc w:val="left"/>
    </w:lvl>
    <w:lvl w:ilvl="3" w:tplc="080C000F">
      <w:numFmt w:val="decimal"/>
      <w:lvlText w:val=""/>
      <w:lvlJc w:val="left"/>
    </w:lvl>
    <w:lvl w:ilvl="4" w:tplc="080C0019">
      <w:numFmt w:val="decimal"/>
      <w:lvlText w:val=""/>
      <w:lvlJc w:val="left"/>
    </w:lvl>
    <w:lvl w:ilvl="5" w:tplc="080C001B">
      <w:numFmt w:val="decimal"/>
      <w:lvlText w:val=""/>
      <w:lvlJc w:val="left"/>
    </w:lvl>
    <w:lvl w:ilvl="6" w:tplc="080C000F">
      <w:numFmt w:val="decimal"/>
      <w:lvlText w:val=""/>
      <w:lvlJc w:val="left"/>
    </w:lvl>
    <w:lvl w:ilvl="7" w:tplc="080C0019">
      <w:numFmt w:val="decimal"/>
      <w:lvlText w:val=""/>
      <w:lvlJc w:val="left"/>
    </w:lvl>
    <w:lvl w:ilvl="8" w:tplc="080C001B">
      <w:numFmt w:val="decimal"/>
      <w:lvlText w:val=""/>
      <w:lvlJc w:val="left"/>
    </w:lvl>
  </w:abstractNum>
  <w:abstractNum w:abstractNumId="140" w15:restartNumberingAfterBreak="0">
    <w:nsid w:val="676D7EAD"/>
    <w:multiLevelType w:val="hybridMultilevel"/>
    <w:tmpl w:val="F6D60120"/>
    <w:lvl w:ilvl="0" w:tplc="D0BAF21A">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1" w15:restartNumberingAfterBreak="0">
    <w:nsid w:val="681669F8"/>
    <w:multiLevelType w:val="multilevel"/>
    <w:tmpl w:val="3766967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2" w15:restartNumberingAfterBreak="0">
    <w:nsid w:val="684A2467"/>
    <w:multiLevelType w:val="hybridMultilevel"/>
    <w:tmpl w:val="74F43422"/>
    <w:lvl w:ilvl="0" w:tplc="0809000F">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143" w15:restartNumberingAfterBreak="0">
    <w:nsid w:val="68AC5A66"/>
    <w:multiLevelType w:val="multilevel"/>
    <w:tmpl w:val="7142671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4" w15:restartNumberingAfterBreak="0">
    <w:nsid w:val="68CD3BB7"/>
    <w:multiLevelType w:val="hybridMultilevel"/>
    <w:tmpl w:val="1A4AFBD0"/>
    <w:lvl w:ilvl="0" w:tplc="13A8925C">
      <w:numFmt w:val="decimal"/>
      <w:lvlText w:val=""/>
      <w:lvlJc w:val="left"/>
    </w:lvl>
    <w:lvl w:ilvl="1" w:tplc="677C9016">
      <w:numFmt w:val="decimal"/>
      <w:lvlText w:val=""/>
      <w:lvlJc w:val="left"/>
    </w:lvl>
    <w:lvl w:ilvl="2" w:tplc="2BC68F66">
      <w:numFmt w:val="decimal"/>
      <w:lvlText w:val=""/>
      <w:lvlJc w:val="left"/>
    </w:lvl>
    <w:lvl w:ilvl="3" w:tplc="E27E7D14">
      <w:numFmt w:val="decimal"/>
      <w:lvlText w:val=""/>
      <w:lvlJc w:val="left"/>
    </w:lvl>
    <w:lvl w:ilvl="4" w:tplc="0E540258">
      <w:numFmt w:val="decimal"/>
      <w:lvlText w:val=""/>
      <w:lvlJc w:val="left"/>
    </w:lvl>
    <w:lvl w:ilvl="5" w:tplc="65E69084">
      <w:numFmt w:val="decimal"/>
      <w:lvlText w:val=""/>
      <w:lvlJc w:val="left"/>
    </w:lvl>
    <w:lvl w:ilvl="6" w:tplc="C494FCB2">
      <w:numFmt w:val="decimal"/>
      <w:lvlText w:val=""/>
      <w:lvlJc w:val="left"/>
    </w:lvl>
    <w:lvl w:ilvl="7" w:tplc="D4F8D6BC">
      <w:numFmt w:val="decimal"/>
      <w:lvlText w:val=""/>
      <w:lvlJc w:val="left"/>
    </w:lvl>
    <w:lvl w:ilvl="8" w:tplc="98826394">
      <w:numFmt w:val="decimal"/>
      <w:lvlText w:val=""/>
      <w:lvlJc w:val="left"/>
    </w:lvl>
  </w:abstractNum>
  <w:abstractNum w:abstractNumId="145" w15:restartNumberingAfterBreak="0">
    <w:nsid w:val="691A4815"/>
    <w:multiLevelType w:val="hybridMultilevel"/>
    <w:tmpl w:val="CB1A4066"/>
    <w:lvl w:ilvl="0" w:tplc="835E5678">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6" w15:restartNumberingAfterBreak="0">
    <w:nsid w:val="692E5F88"/>
    <w:multiLevelType w:val="multilevel"/>
    <w:tmpl w:val="74A209A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7" w15:restartNumberingAfterBreak="0">
    <w:nsid w:val="6A324368"/>
    <w:multiLevelType w:val="hybridMultilevel"/>
    <w:tmpl w:val="3F202084"/>
    <w:lvl w:ilvl="0" w:tplc="08090019">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48" w15:restartNumberingAfterBreak="0">
    <w:nsid w:val="6BC232ED"/>
    <w:multiLevelType w:val="hybridMultilevel"/>
    <w:tmpl w:val="D2187094"/>
    <w:lvl w:ilvl="0" w:tplc="3F4CC72C">
      <w:numFmt w:val="bullet"/>
      <w:lvlText w:val="-"/>
      <w:lvlJc w:val="left"/>
      <w:rPr>
        <w:rFonts w:ascii="Arial" w:eastAsiaTheme="minorHAnsi" w:hAnsi="Arial" w:cs="Aria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9" w15:restartNumberingAfterBreak="0">
    <w:nsid w:val="6C3029EE"/>
    <w:multiLevelType w:val="multilevel"/>
    <w:tmpl w:val="B202A1D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0" w15:restartNumberingAfterBreak="0">
    <w:nsid w:val="6DC3266B"/>
    <w:multiLevelType w:val="hybridMultilevel"/>
    <w:tmpl w:val="46D01BDE"/>
    <w:lvl w:ilvl="0" w:tplc="080C0003">
      <w:numFmt w:val="decimal"/>
      <w:lvlText w:val=""/>
      <w:lvlJc w:val="left"/>
    </w:lvl>
    <w:lvl w:ilvl="1" w:tplc="080C0003">
      <w:numFmt w:val="decimal"/>
      <w:lvlText w:val=""/>
      <w:lvlJc w:val="left"/>
    </w:lvl>
    <w:lvl w:ilvl="2" w:tplc="080C0005">
      <w:numFmt w:val="decimal"/>
      <w:lvlText w:val=""/>
      <w:lvlJc w:val="left"/>
    </w:lvl>
    <w:lvl w:ilvl="3" w:tplc="080C0001">
      <w:numFmt w:val="decimal"/>
      <w:lvlText w:val=""/>
      <w:lvlJc w:val="left"/>
    </w:lvl>
    <w:lvl w:ilvl="4" w:tplc="080C0003">
      <w:numFmt w:val="decimal"/>
      <w:lvlText w:val=""/>
      <w:lvlJc w:val="left"/>
    </w:lvl>
    <w:lvl w:ilvl="5" w:tplc="080C0005">
      <w:numFmt w:val="decimal"/>
      <w:lvlText w:val=""/>
      <w:lvlJc w:val="left"/>
    </w:lvl>
    <w:lvl w:ilvl="6" w:tplc="080C0001">
      <w:numFmt w:val="decimal"/>
      <w:lvlText w:val=""/>
      <w:lvlJc w:val="left"/>
    </w:lvl>
    <w:lvl w:ilvl="7" w:tplc="080C0003">
      <w:numFmt w:val="decimal"/>
      <w:lvlText w:val=""/>
      <w:lvlJc w:val="left"/>
    </w:lvl>
    <w:lvl w:ilvl="8" w:tplc="080C0005">
      <w:numFmt w:val="decimal"/>
      <w:lvlText w:val=""/>
      <w:lvlJc w:val="left"/>
    </w:lvl>
  </w:abstractNum>
  <w:abstractNum w:abstractNumId="151" w15:restartNumberingAfterBreak="0">
    <w:nsid w:val="6E545059"/>
    <w:multiLevelType w:val="multilevel"/>
    <w:tmpl w:val="688EA06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2" w15:restartNumberingAfterBreak="0">
    <w:nsid w:val="7016A7D4"/>
    <w:multiLevelType w:val="hybridMultilevel"/>
    <w:tmpl w:val="F2ECECDE"/>
    <w:lvl w:ilvl="0" w:tplc="AF70E28C">
      <w:numFmt w:val="decimal"/>
      <w:lvlText w:val=""/>
      <w:lvlJc w:val="left"/>
    </w:lvl>
    <w:lvl w:ilvl="1" w:tplc="A0F09F00">
      <w:numFmt w:val="decimal"/>
      <w:lvlText w:val=""/>
      <w:lvlJc w:val="left"/>
    </w:lvl>
    <w:lvl w:ilvl="2" w:tplc="382666FE">
      <w:numFmt w:val="decimal"/>
      <w:lvlText w:val=""/>
      <w:lvlJc w:val="left"/>
    </w:lvl>
    <w:lvl w:ilvl="3" w:tplc="A6F20948">
      <w:numFmt w:val="decimal"/>
      <w:lvlText w:val=""/>
      <w:lvlJc w:val="left"/>
    </w:lvl>
    <w:lvl w:ilvl="4" w:tplc="901035F4">
      <w:numFmt w:val="decimal"/>
      <w:lvlText w:val=""/>
      <w:lvlJc w:val="left"/>
    </w:lvl>
    <w:lvl w:ilvl="5" w:tplc="6146443C">
      <w:numFmt w:val="decimal"/>
      <w:lvlText w:val=""/>
      <w:lvlJc w:val="left"/>
    </w:lvl>
    <w:lvl w:ilvl="6" w:tplc="43D823A0">
      <w:numFmt w:val="decimal"/>
      <w:lvlText w:val=""/>
      <w:lvlJc w:val="left"/>
    </w:lvl>
    <w:lvl w:ilvl="7" w:tplc="F97A6192">
      <w:numFmt w:val="decimal"/>
      <w:lvlText w:val=""/>
      <w:lvlJc w:val="left"/>
    </w:lvl>
    <w:lvl w:ilvl="8" w:tplc="A75E3ED2">
      <w:numFmt w:val="decimal"/>
      <w:lvlText w:val=""/>
      <w:lvlJc w:val="left"/>
    </w:lvl>
  </w:abstractNum>
  <w:abstractNum w:abstractNumId="153" w15:restartNumberingAfterBreak="0">
    <w:nsid w:val="70EC6AD1"/>
    <w:multiLevelType w:val="multilevel"/>
    <w:tmpl w:val="5AC0E40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4" w15:restartNumberingAfterBreak="0">
    <w:nsid w:val="723076B8"/>
    <w:multiLevelType w:val="multilevel"/>
    <w:tmpl w:val="6BB67C8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5" w15:restartNumberingAfterBreak="0">
    <w:nsid w:val="723CC901"/>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6" w15:restartNumberingAfterBreak="0">
    <w:nsid w:val="72447080"/>
    <w:multiLevelType w:val="multilevel"/>
    <w:tmpl w:val="5C44EFD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7" w15:restartNumberingAfterBreak="0">
    <w:nsid w:val="7320559E"/>
    <w:multiLevelType w:val="multilevel"/>
    <w:tmpl w:val="9F284BA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8" w15:restartNumberingAfterBreak="0">
    <w:nsid w:val="734B6152"/>
    <w:multiLevelType w:val="multilevel"/>
    <w:tmpl w:val="8B5266C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9" w15:restartNumberingAfterBreak="0">
    <w:nsid w:val="739740F8"/>
    <w:multiLevelType w:val="hybridMultilevel"/>
    <w:tmpl w:val="E9CE1666"/>
    <w:lvl w:ilvl="0" w:tplc="08090001">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160" w15:restartNumberingAfterBreak="0">
    <w:nsid w:val="73F962E8"/>
    <w:multiLevelType w:val="hybridMultilevel"/>
    <w:tmpl w:val="D0922166"/>
    <w:lvl w:ilvl="0" w:tplc="FFFFFFFF">
      <w:numFmt w:val="decimal"/>
      <w:lvlText w:val=""/>
      <w:lvlJc w:val="left"/>
    </w:lvl>
    <w:lvl w:ilvl="1" w:tplc="04090003">
      <w:numFmt w:val="decimal"/>
      <w:lvlText w:val=""/>
      <w:lvlJc w:val="left"/>
    </w:lvl>
    <w:lvl w:ilvl="2" w:tplc="04090005">
      <w:numFmt w:val="decimal"/>
      <w:lvlText w:val=""/>
      <w:lvlJc w:val="left"/>
    </w:lvl>
    <w:lvl w:ilvl="3" w:tplc="04090001">
      <w:numFmt w:val="decimal"/>
      <w:lvlText w:val=""/>
      <w:lvlJc w:val="left"/>
    </w:lvl>
    <w:lvl w:ilvl="4" w:tplc="04090003">
      <w:numFmt w:val="decimal"/>
      <w:lvlText w:val=""/>
      <w:lvlJc w:val="left"/>
    </w:lvl>
    <w:lvl w:ilvl="5" w:tplc="04090005">
      <w:numFmt w:val="decimal"/>
      <w:lvlText w:val=""/>
      <w:lvlJc w:val="left"/>
    </w:lvl>
    <w:lvl w:ilvl="6" w:tplc="04090001">
      <w:numFmt w:val="decimal"/>
      <w:lvlText w:val=""/>
      <w:lvlJc w:val="left"/>
    </w:lvl>
    <w:lvl w:ilvl="7" w:tplc="04090003">
      <w:numFmt w:val="decimal"/>
      <w:lvlText w:val=""/>
      <w:lvlJc w:val="left"/>
    </w:lvl>
    <w:lvl w:ilvl="8" w:tplc="04090005">
      <w:numFmt w:val="decimal"/>
      <w:lvlText w:val=""/>
      <w:lvlJc w:val="left"/>
    </w:lvl>
  </w:abstractNum>
  <w:abstractNum w:abstractNumId="161" w15:restartNumberingAfterBreak="0">
    <w:nsid w:val="74150E70"/>
    <w:multiLevelType w:val="hybridMultilevel"/>
    <w:tmpl w:val="46BCF3EC"/>
    <w:lvl w:ilvl="0" w:tplc="0413000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2" w15:restartNumberingAfterBreak="0">
    <w:nsid w:val="747A3AFA"/>
    <w:multiLevelType w:val="multilevel"/>
    <w:tmpl w:val="941A111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3" w15:restartNumberingAfterBreak="0">
    <w:nsid w:val="74BF191E"/>
    <w:multiLevelType w:val="multilevel"/>
    <w:tmpl w:val="B4886F8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4" w15:restartNumberingAfterBreak="0">
    <w:nsid w:val="758F455B"/>
    <w:multiLevelType w:val="multilevel"/>
    <w:tmpl w:val="E69EE37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5" w15:restartNumberingAfterBreak="0">
    <w:nsid w:val="75A32FCA"/>
    <w:multiLevelType w:val="hybridMultilevel"/>
    <w:tmpl w:val="A214813A"/>
    <w:lvl w:ilvl="0" w:tplc="EDBAAE0C">
      <w:numFmt w:val="decimal"/>
      <w:lvlText w:val=""/>
      <w:lvlJc w:val="left"/>
    </w:lvl>
    <w:lvl w:ilvl="1" w:tplc="08090019">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66" w15:restartNumberingAfterBreak="0">
    <w:nsid w:val="76141C9D"/>
    <w:multiLevelType w:val="multilevel"/>
    <w:tmpl w:val="2A600BD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7" w15:restartNumberingAfterBreak="0">
    <w:nsid w:val="764B63FC"/>
    <w:multiLevelType w:val="multilevel"/>
    <w:tmpl w:val="0A86FE3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8" w15:restartNumberingAfterBreak="0">
    <w:nsid w:val="76A56793"/>
    <w:multiLevelType w:val="hybridMultilevel"/>
    <w:tmpl w:val="607E3072"/>
    <w:lvl w:ilvl="0" w:tplc="008EB76C">
      <w:numFmt w:val="decimal"/>
      <w:lvlText w:val=""/>
      <w:lvlJc w:val="left"/>
    </w:lvl>
    <w:lvl w:ilvl="1" w:tplc="4F12B9AA">
      <w:numFmt w:val="decimal"/>
      <w:lvlText w:val=""/>
      <w:lvlJc w:val="left"/>
    </w:lvl>
    <w:lvl w:ilvl="2" w:tplc="43AECEB4">
      <w:numFmt w:val="decimal"/>
      <w:lvlText w:val=""/>
      <w:lvlJc w:val="left"/>
    </w:lvl>
    <w:lvl w:ilvl="3" w:tplc="71F8C09C">
      <w:numFmt w:val="decimal"/>
      <w:lvlText w:val=""/>
      <w:lvlJc w:val="left"/>
    </w:lvl>
    <w:lvl w:ilvl="4" w:tplc="B9D6F450">
      <w:numFmt w:val="decimal"/>
      <w:lvlText w:val=""/>
      <w:lvlJc w:val="left"/>
    </w:lvl>
    <w:lvl w:ilvl="5" w:tplc="2814D054">
      <w:numFmt w:val="decimal"/>
      <w:lvlText w:val="ࠉࠉࠉࠉࠉࠉࠉࠉࠉࠉࠉࠉࠉࠉࠉ"/>
      <w:lvlJc w:val="left"/>
      <w:rPr>
        <w:dstrike w:val="0"/>
      </w:rPr>
    </w:lvl>
    <w:lvl w:ilvl="6" w:tplc="D3C237D8">
      <w:start w:val="4157"/>
      <w:numFmt w:val="decimal"/>
      <w:lvlText w:val="l xmlns:xsi=&quot;http://www.w3.org/"/>
      <w:lvlJc w:val="left"/>
      <w:rPr>
        <w:w w:val="27233"/>
      </w:rPr>
    </w:lvl>
    <w:lvl w:ilvl="7" w:tplc="EA5C9080">
      <w:start w:val="6553705"/>
      <mc:AlternateContent>
        <mc:Choice Requires="w14">
          <w:numFmt w:val="custom" w:format="Α, Β, Γ, ..."/>
        </mc:Choice>
        <mc:Fallback>
          <w:numFmt w:val="decimal"/>
        </mc:Fallback>
      </mc:AlternateContent>
      <w:lvlText w:val=""/>
      <w:lvlJc w:val="left"/>
    </w:lvl>
    <w:lvl w:ilvl="8" w:tplc="FFC4D058">
      <w:numFmt w:val="decimal"/>
      <w:lvlText w:val=""/>
      <w:lvlJc w:val="left"/>
    </w:lvl>
  </w:abstractNum>
  <w:abstractNum w:abstractNumId="169" w15:restartNumberingAfterBreak="0">
    <w:nsid w:val="76BE18B1"/>
    <w:multiLevelType w:val="multilevel"/>
    <w:tmpl w:val="3C6C8CB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0" w15:restartNumberingAfterBreak="0">
    <w:nsid w:val="77FF398A"/>
    <w:multiLevelType w:val="hybridMultilevel"/>
    <w:tmpl w:val="59F438DE"/>
    <w:lvl w:ilvl="0" w:tplc="FFFFFFFF">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171" w15:restartNumberingAfterBreak="0">
    <w:nsid w:val="78A930B1"/>
    <w:multiLevelType w:val="multilevel"/>
    <w:tmpl w:val="2E1411F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2" w15:restartNumberingAfterBreak="0">
    <w:nsid w:val="78E71A67"/>
    <w:multiLevelType w:val="multilevel"/>
    <w:tmpl w:val="2AE4EFE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3" w15:restartNumberingAfterBreak="0">
    <w:nsid w:val="79841422"/>
    <w:multiLevelType w:val="hybridMultilevel"/>
    <w:tmpl w:val="5C4416FC"/>
    <w:lvl w:ilvl="0" w:tplc="0413000F">
      <w:numFmt w:val="decimal"/>
      <w:lvlText w:val=""/>
      <w:lvlJc w:val="left"/>
    </w:lvl>
    <w:lvl w:ilvl="1" w:tplc="04130019">
      <w:numFmt w:val="decimal"/>
      <w:lvlText w:val=""/>
      <w:lvlJc w:val="left"/>
    </w:lvl>
    <w:lvl w:ilvl="2" w:tplc="0413001B">
      <w:numFmt w:val="decimal"/>
      <w:lvlText w:val=""/>
      <w:lvlJc w:val="left"/>
    </w:lvl>
    <w:lvl w:ilvl="3" w:tplc="0413000F">
      <w:numFmt w:val="decimal"/>
      <w:lvlText w:val=""/>
      <w:lvlJc w:val="left"/>
    </w:lvl>
    <w:lvl w:ilvl="4" w:tplc="04130019">
      <w:numFmt w:val="decimal"/>
      <w:lvlText w:val=""/>
      <w:lvlJc w:val="left"/>
    </w:lvl>
    <w:lvl w:ilvl="5" w:tplc="0413001B">
      <w:numFmt w:val="decimal"/>
      <w:lvlText w:val=""/>
      <w:lvlJc w:val="left"/>
    </w:lvl>
    <w:lvl w:ilvl="6" w:tplc="0413000F">
      <w:numFmt w:val="decimal"/>
      <w:lvlText w:val=""/>
      <w:lvlJc w:val="left"/>
    </w:lvl>
    <w:lvl w:ilvl="7" w:tplc="04130019">
      <w:numFmt w:val="decimal"/>
      <w:lvlText w:val=""/>
      <w:lvlJc w:val="left"/>
    </w:lvl>
    <w:lvl w:ilvl="8" w:tplc="0413001B">
      <w:numFmt w:val="decimal"/>
      <w:lvlText w:val=""/>
      <w:lvlJc w:val="left"/>
    </w:lvl>
  </w:abstractNum>
  <w:abstractNum w:abstractNumId="174" w15:restartNumberingAfterBreak="0">
    <w:nsid w:val="799B7740"/>
    <w:multiLevelType w:val="hybridMultilevel"/>
    <w:tmpl w:val="537E78D4"/>
    <w:lvl w:ilvl="0" w:tplc="CD42D5F2">
      <w:numFmt w:val="decimal"/>
      <w:lvlText w:val=""/>
      <w:lvlJc w:val="left"/>
    </w:lvl>
    <w:lvl w:ilvl="1" w:tplc="1E400466">
      <w:numFmt w:val="decimal"/>
      <w:lvlText w:val=""/>
      <w:lvlJc w:val="left"/>
    </w:lvl>
    <w:lvl w:ilvl="2" w:tplc="06425802">
      <w:numFmt w:val="decimal"/>
      <w:lvlText w:val=""/>
      <w:lvlJc w:val="left"/>
    </w:lvl>
    <w:lvl w:ilvl="3" w:tplc="E028FDA2">
      <w:numFmt w:val="decimal"/>
      <w:lvlText w:val=""/>
      <w:lvlJc w:val="left"/>
    </w:lvl>
    <w:lvl w:ilvl="4" w:tplc="D24097D0">
      <w:numFmt w:val="decimal"/>
      <w:lvlText w:val=""/>
      <w:lvlJc w:val="left"/>
    </w:lvl>
    <w:lvl w:ilvl="5" w:tplc="878ECCBE">
      <w:numFmt w:val="decimal"/>
      <w:lvlText w:val=""/>
      <w:lvlJc w:val="left"/>
    </w:lvl>
    <w:lvl w:ilvl="6" w:tplc="09B6D8FA">
      <w:numFmt w:val="decimal"/>
      <w:lvlText w:val=""/>
      <w:lvlJc w:val="left"/>
    </w:lvl>
    <w:lvl w:ilvl="7" w:tplc="72024348">
      <w:numFmt w:val="decimal"/>
      <w:lvlText w:val=""/>
      <w:lvlJc w:val="left"/>
    </w:lvl>
    <w:lvl w:ilvl="8" w:tplc="9C223018">
      <w:numFmt w:val="decimal"/>
      <w:lvlText w:val=""/>
      <w:lvlJc w:val="left"/>
    </w:lvl>
  </w:abstractNum>
  <w:abstractNum w:abstractNumId="175" w15:restartNumberingAfterBreak="0">
    <w:nsid w:val="7ACD4EC6"/>
    <w:multiLevelType w:val="hybridMultilevel"/>
    <w:tmpl w:val="56A21764"/>
    <w:lvl w:ilvl="0" w:tplc="78F23E9C">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176" w15:restartNumberingAfterBreak="0">
    <w:nsid w:val="7ADD3F2F"/>
    <w:multiLevelType w:val="hybridMultilevel"/>
    <w:tmpl w:val="7C6CD80A"/>
    <w:lvl w:ilvl="0" w:tplc="7850FBDC">
      <w:numFmt w:val="decimal"/>
      <w:lvlText w:val=""/>
      <w:lvlJc w:val="left"/>
    </w:lvl>
    <w:lvl w:ilvl="1" w:tplc="08090001">
      <w:numFmt w:val="decimal"/>
      <w:lvlText w:val=""/>
      <w:lvlJc w:val="left"/>
    </w:lvl>
    <w:lvl w:ilvl="2" w:tplc="0809001B">
      <w:numFmt w:val="decimal"/>
      <w:lvlText w:val=""/>
      <w:lvlJc w:val="left"/>
    </w:lvl>
    <w:lvl w:ilvl="3" w:tplc="0809000F">
      <w:numFmt w:val="decimal"/>
      <w:lvlText w:val=""/>
      <w:lvlJc w:val="left"/>
    </w:lvl>
    <w:lvl w:ilvl="4" w:tplc="08090019">
      <w:numFmt w:val="decimal"/>
      <w:lvlText w:val=""/>
      <w:lvlJc w:val="left"/>
    </w:lvl>
    <w:lvl w:ilvl="5" w:tplc="0809001B">
      <w:numFmt w:val="decimal"/>
      <w:lvlText w:val=""/>
      <w:lvlJc w:val="left"/>
    </w:lvl>
    <w:lvl w:ilvl="6" w:tplc="0809000F">
      <w:numFmt w:val="decimal"/>
      <w:lvlText w:val=""/>
      <w:lvlJc w:val="left"/>
    </w:lvl>
    <w:lvl w:ilvl="7" w:tplc="08090019">
      <w:numFmt w:val="decimal"/>
      <w:lvlText w:val=""/>
      <w:lvlJc w:val="left"/>
    </w:lvl>
    <w:lvl w:ilvl="8" w:tplc="0809001B">
      <w:numFmt w:val="decimal"/>
      <w:lvlText w:val=""/>
      <w:lvlJc w:val="left"/>
    </w:lvl>
  </w:abstractNum>
  <w:abstractNum w:abstractNumId="177" w15:restartNumberingAfterBreak="0">
    <w:nsid w:val="7ADE64F5"/>
    <w:multiLevelType w:val="multilevel"/>
    <w:tmpl w:val="931059B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8" w15:restartNumberingAfterBreak="0">
    <w:nsid w:val="7C6BF338"/>
    <w:multiLevelType w:val="hybridMultilevel"/>
    <w:tmpl w:val="58CE5F72"/>
    <w:lvl w:ilvl="0" w:tplc="262CB184">
      <w:numFmt w:val="decimal"/>
      <w:lvlText w:val=""/>
      <w:lvlJc w:val="left"/>
    </w:lvl>
    <w:lvl w:ilvl="1" w:tplc="BB4E39BE">
      <w:numFmt w:val="decimal"/>
      <w:lvlText w:val=""/>
      <w:lvlJc w:val="left"/>
    </w:lvl>
    <w:lvl w:ilvl="2" w:tplc="B1465C78">
      <w:numFmt w:val="decimal"/>
      <w:lvlText w:val=""/>
      <w:lvlJc w:val="left"/>
    </w:lvl>
    <w:lvl w:ilvl="3" w:tplc="DE32E25A">
      <w:numFmt w:val="decimal"/>
      <w:lvlText w:val=""/>
      <w:lvlJc w:val="left"/>
    </w:lvl>
    <w:lvl w:ilvl="4" w:tplc="184C85A4">
      <w:numFmt w:val="decimal"/>
      <w:lvlText w:val=""/>
      <w:lvlJc w:val="left"/>
    </w:lvl>
    <w:lvl w:ilvl="5" w:tplc="881633CE">
      <w:numFmt w:val="decimal"/>
      <w:lvlText w:val=""/>
      <w:lvlJc w:val="left"/>
    </w:lvl>
    <w:lvl w:ilvl="6" w:tplc="AE70B5BA">
      <w:numFmt w:val="decimal"/>
      <w:lvlText w:val=""/>
      <w:lvlJc w:val="left"/>
    </w:lvl>
    <w:lvl w:ilvl="7" w:tplc="4468983E">
      <w:numFmt w:val="decimal"/>
      <w:lvlText w:val=""/>
      <w:lvlJc w:val="left"/>
    </w:lvl>
    <w:lvl w:ilvl="8" w:tplc="20EE9C68">
      <w:numFmt w:val="decimal"/>
      <w:lvlText w:val=""/>
      <w:lvlJc w:val="left"/>
    </w:lvl>
  </w:abstractNum>
  <w:abstractNum w:abstractNumId="179" w15:restartNumberingAfterBreak="0">
    <w:nsid w:val="7CC01ADD"/>
    <w:multiLevelType w:val="multilevel"/>
    <w:tmpl w:val="273A271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0" w15:restartNumberingAfterBreak="0">
    <w:nsid w:val="7CD672AF"/>
    <w:multiLevelType w:val="hybridMultilevel"/>
    <w:tmpl w:val="F21E073E"/>
    <w:lvl w:ilvl="0" w:tplc="79C854DE">
      <w:start w:val="1"/>
      <w:numFmt w:val="lowerRoman"/>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1" w15:restartNumberingAfterBreak="0">
    <w:nsid w:val="7E6E90B6"/>
    <w:multiLevelType w:val="hybridMultilevel"/>
    <w:tmpl w:val="3E24394E"/>
    <w:lvl w:ilvl="0" w:tplc="BC36F02C">
      <w:numFmt w:val="decimal"/>
      <w:lvlText w:val=""/>
      <w:lvlJc w:val="left"/>
    </w:lvl>
    <w:lvl w:ilvl="1" w:tplc="6700020A">
      <w:numFmt w:val="decimal"/>
      <w:lvlText w:val=""/>
      <w:lvlJc w:val="left"/>
    </w:lvl>
    <w:lvl w:ilvl="2" w:tplc="72E8A8C6">
      <w:numFmt w:val="decimal"/>
      <w:lvlText w:val=""/>
      <w:lvlJc w:val="left"/>
    </w:lvl>
    <w:lvl w:ilvl="3" w:tplc="58E6F63E">
      <w:numFmt w:val="decimal"/>
      <w:lvlText w:val=""/>
      <w:lvlJc w:val="left"/>
    </w:lvl>
    <w:lvl w:ilvl="4" w:tplc="74403C8C">
      <w:numFmt w:val="decimal"/>
      <w:lvlText w:val=""/>
      <w:lvlJc w:val="left"/>
    </w:lvl>
    <w:lvl w:ilvl="5" w:tplc="55E4878A">
      <w:numFmt w:val="decimal"/>
      <w:lvlText w:val=""/>
      <w:lvlJc w:val="left"/>
    </w:lvl>
    <w:lvl w:ilvl="6" w:tplc="226CECD4">
      <w:numFmt w:val="decimal"/>
      <w:lvlText w:val=""/>
      <w:lvlJc w:val="left"/>
    </w:lvl>
    <w:lvl w:ilvl="7" w:tplc="167CEF40">
      <w:numFmt w:val="decimal"/>
      <w:lvlText w:val=""/>
      <w:lvlJc w:val="left"/>
    </w:lvl>
    <w:lvl w:ilvl="8" w:tplc="1F6CFAD0">
      <w:numFmt w:val="decimal"/>
      <w:lvlText w:val=""/>
      <w:lvlJc w:val="left"/>
    </w:lvl>
  </w:abstractNum>
  <w:abstractNum w:abstractNumId="182" w15:restartNumberingAfterBreak="0">
    <w:nsid w:val="7E7B09A1"/>
    <w:multiLevelType w:val="hybridMultilevel"/>
    <w:tmpl w:val="2FD43160"/>
    <w:lvl w:ilvl="0" w:tplc="08090001">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abstractNum w:abstractNumId="183" w15:restartNumberingAfterBreak="0">
    <w:nsid w:val="7F042184"/>
    <w:multiLevelType w:val="hybridMultilevel"/>
    <w:tmpl w:val="1B9A522C"/>
    <w:lvl w:ilvl="0" w:tplc="08090001">
      <w:numFmt w:val="decimal"/>
      <w:lvlText w:val=""/>
      <w:lvlJc w:val="left"/>
    </w:lvl>
    <w:lvl w:ilvl="1" w:tplc="08090003">
      <w:numFmt w:val="decimal"/>
      <w:lvlText w:val=""/>
      <w:lvlJc w:val="left"/>
    </w:lvl>
    <w:lvl w:ilvl="2" w:tplc="08090005">
      <w:numFmt w:val="decimal"/>
      <w:lvlText w:val=""/>
      <w:lvlJc w:val="left"/>
    </w:lvl>
    <w:lvl w:ilvl="3" w:tplc="08090001">
      <w:numFmt w:val="decimal"/>
      <w:lvlText w:val=""/>
      <w:lvlJc w:val="left"/>
    </w:lvl>
    <w:lvl w:ilvl="4" w:tplc="08090003">
      <w:numFmt w:val="decimal"/>
      <w:lvlText w:val=""/>
      <w:lvlJc w:val="left"/>
    </w:lvl>
    <w:lvl w:ilvl="5" w:tplc="08090005">
      <w:numFmt w:val="decimal"/>
      <w:lvlText w:val=""/>
      <w:lvlJc w:val="left"/>
    </w:lvl>
    <w:lvl w:ilvl="6" w:tplc="08090001">
      <w:numFmt w:val="decimal"/>
      <w:lvlText w:val=""/>
      <w:lvlJc w:val="left"/>
    </w:lvl>
    <w:lvl w:ilvl="7" w:tplc="08090003">
      <w:numFmt w:val="decimal"/>
      <w:lvlText w:val=""/>
      <w:lvlJc w:val="left"/>
    </w:lvl>
    <w:lvl w:ilvl="8" w:tplc="08090005">
      <w:numFmt w:val="decimal"/>
      <w:lvlText w:val=""/>
      <w:lvlJc w:val="left"/>
    </w:lvl>
  </w:abstractNum>
  <w:num w:numId="1">
    <w:abstractNumId w:val="13"/>
  </w:num>
  <w:num w:numId="2">
    <w:abstractNumId w:val="119"/>
  </w:num>
  <w:num w:numId="3">
    <w:abstractNumId w:val="4"/>
  </w:num>
  <w:num w:numId="4">
    <w:abstractNumId w:val="112"/>
  </w:num>
  <w:num w:numId="5">
    <w:abstractNumId w:val="53"/>
  </w:num>
  <w:num w:numId="6">
    <w:abstractNumId w:val="68"/>
  </w:num>
  <w:num w:numId="7">
    <w:abstractNumId w:val="176"/>
  </w:num>
  <w:num w:numId="8">
    <w:abstractNumId w:val="20"/>
  </w:num>
  <w:num w:numId="9">
    <w:abstractNumId w:val="24"/>
  </w:num>
  <w:num w:numId="10">
    <w:abstractNumId w:val="121"/>
  </w:num>
  <w:num w:numId="11">
    <w:abstractNumId w:val="114"/>
  </w:num>
  <w:num w:numId="12">
    <w:abstractNumId w:val="83"/>
  </w:num>
  <w:num w:numId="13">
    <w:abstractNumId w:val="25"/>
  </w:num>
  <w:num w:numId="14">
    <w:abstractNumId w:val="182"/>
  </w:num>
  <w:num w:numId="15">
    <w:abstractNumId w:val="9"/>
  </w:num>
  <w:num w:numId="16">
    <w:abstractNumId w:val="32"/>
  </w:num>
  <w:num w:numId="17">
    <w:abstractNumId w:val="54"/>
  </w:num>
  <w:num w:numId="18">
    <w:abstractNumId w:val="173"/>
  </w:num>
  <w:num w:numId="19">
    <w:abstractNumId w:val="85"/>
  </w:num>
  <w:num w:numId="20">
    <w:abstractNumId w:val="128"/>
  </w:num>
  <w:num w:numId="21">
    <w:abstractNumId w:val="161"/>
  </w:num>
  <w:num w:numId="22">
    <w:abstractNumId w:val="127"/>
  </w:num>
  <w:num w:numId="23">
    <w:abstractNumId w:val="140"/>
  </w:num>
  <w:num w:numId="24">
    <w:abstractNumId w:val="165"/>
  </w:num>
  <w:num w:numId="25">
    <w:abstractNumId w:val="170"/>
  </w:num>
  <w:num w:numId="26">
    <w:abstractNumId w:val="163"/>
  </w:num>
  <w:num w:numId="27">
    <w:abstractNumId w:val="71"/>
  </w:num>
  <w:num w:numId="28">
    <w:abstractNumId w:val="132"/>
  </w:num>
  <w:num w:numId="29">
    <w:abstractNumId w:val="65"/>
  </w:num>
  <w:num w:numId="30">
    <w:abstractNumId w:val="177"/>
  </w:num>
  <w:num w:numId="31">
    <w:abstractNumId w:val="133"/>
  </w:num>
  <w:num w:numId="32">
    <w:abstractNumId w:val="162"/>
  </w:num>
  <w:num w:numId="33">
    <w:abstractNumId w:val="103"/>
  </w:num>
  <w:num w:numId="34">
    <w:abstractNumId w:val="8"/>
  </w:num>
  <w:num w:numId="35">
    <w:abstractNumId w:val="96"/>
  </w:num>
  <w:num w:numId="36">
    <w:abstractNumId w:val="95"/>
  </w:num>
  <w:num w:numId="37">
    <w:abstractNumId w:val="10"/>
  </w:num>
  <w:num w:numId="38">
    <w:abstractNumId w:val="12"/>
  </w:num>
  <w:num w:numId="39">
    <w:abstractNumId w:val="118"/>
  </w:num>
  <w:num w:numId="40">
    <w:abstractNumId w:val="75"/>
  </w:num>
  <w:num w:numId="41">
    <w:abstractNumId w:val="168"/>
  </w:num>
  <w:num w:numId="42">
    <w:abstractNumId w:val="76"/>
  </w:num>
  <w:num w:numId="43">
    <w:abstractNumId w:val="3"/>
  </w:num>
  <w:num w:numId="44">
    <w:abstractNumId w:val="75"/>
  </w:num>
  <w:num w:numId="45">
    <w:abstractNumId w:val="16"/>
  </w:num>
  <w:num w:numId="46">
    <w:abstractNumId w:val="61"/>
  </w:num>
  <w:num w:numId="47">
    <w:abstractNumId w:val="41"/>
  </w:num>
  <w:num w:numId="48">
    <w:abstractNumId w:val="79"/>
  </w:num>
  <w:num w:numId="49">
    <w:abstractNumId w:val="67"/>
  </w:num>
  <w:num w:numId="50">
    <w:abstractNumId w:val="43"/>
  </w:num>
  <w:num w:numId="51">
    <w:abstractNumId w:val="19"/>
  </w:num>
  <w:num w:numId="52">
    <w:abstractNumId w:val="33"/>
  </w:num>
  <w:num w:numId="53">
    <w:abstractNumId w:val="101"/>
  </w:num>
  <w:num w:numId="54">
    <w:abstractNumId w:val="141"/>
  </w:num>
  <w:num w:numId="55">
    <w:abstractNumId w:val="158"/>
  </w:num>
  <w:num w:numId="56">
    <w:abstractNumId w:val="36"/>
  </w:num>
  <w:num w:numId="57">
    <w:abstractNumId w:val="122"/>
  </w:num>
  <w:num w:numId="58">
    <w:abstractNumId w:val="115"/>
  </w:num>
  <w:num w:numId="59">
    <w:abstractNumId w:val="40"/>
  </w:num>
  <w:num w:numId="60">
    <w:abstractNumId w:val="11"/>
  </w:num>
  <w:num w:numId="61">
    <w:abstractNumId w:val="166"/>
  </w:num>
  <w:num w:numId="62">
    <w:abstractNumId w:val="108"/>
  </w:num>
  <w:num w:numId="63">
    <w:abstractNumId w:val="179"/>
  </w:num>
  <w:num w:numId="64">
    <w:abstractNumId w:val="80"/>
  </w:num>
  <w:num w:numId="65">
    <w:abstractNumId w:val="147"/>
  </w:num>
  <w:num w:numId="66">
    <w:abstractNumId w:val="38"/>
  </w:num>
  <w:num w:numId="67">
    <w:abstractNumId w:val="146"/>
  </w:num>
  <w:num w:numId="68">
    <w:abstractNumId w:val="149"/>
  </w:num>
  <w:num w:numId="69">
    <w:abstractNumId w:val="48"/>
  </w:num>
  <w:num w:numId="70">
    <w:abstractNumId w:val="164"/>
  </w:num>
  <w:num w:numId="71">
    <w:abstractNumId w:val="42"/>
  </w:num>
  <w:num w:numId="72">
    <w:abstractNumId w:val="37"/>
  </w:num>
  <w:num w:numId="73">
    <w:abstractNumId w:val="102"/>
  </w:num>
  <w:num w:numId="74">
    <w:abstractNumId w:val="159"/>
  </w:num>
  <w:num w:numId="75">
    <w:abstractNumId w:val="99"/>
  </w:num>
  <w:num w:numId="76">
    <w:abstractNumId w:val="73"/>
  </w:num>
  <w:num w:numId="77">
    <w:abstractNumId w:val="87"/>
  </w:num>
  <w:num w:numId="78">
    <w:abstractNumId w:val="7"/>
  </w:num>
  <w:num w:numId="79">
    <w:abstractNumId w:val="120"/>
  </w:num>
  <w:num w:numId="80">
    <w:abstractNumId w:val="41"/>
  </w:num>
  <w:num w:numId="81">
    <w:abstractNumId w:val="124"/>
  </w:num>
  <w:num w:numId="82">
    <w:abstractNumId w:val="92"/>
  </w:num>
  <w:num w:numId="83">
    <w:abstractNumId w:val="92"/>
  </w:num>
  <w:num w:numId="84">
    <w:abstractNumId w:val="93"/>
  </w:num>
  <w:num w:numId="85">
    <w:abstractNumId w:val="56"/>
  </w:num>
  <w:num w:numId="86">
    <w:abstractNumId w:val="34"/>
  </w:num>
  <w:num w:numId="87">
    <w:abstractNumId w:val="22"/>
  </w:num>
  <w:num w:numId="88">
    <w:abstractNumId w:val="175"/>
  </w:num>
  <w:num w:numId="89">
    <w:abstractNumId w:val="142"/>
  </w:num>
  <w:num w:numId="90">
    <w:abstractNumId w:val="126"/>
  </w:num>
  <w:num w:numId="91">
    <w:abstractNumId w:val="130"/>
  </w:num>
  <w:num w:numId="92">
    <w:abstractNumId w:val="17"/>
  </w:num>
  <w:num w:numId="93">
    <w:abstractNumId w:val="77"/>
  </w:num>
  <w:num w:numId="94">
    <w:abstractNumId w:val="78"/>
  </w:num>
  <w:num w:numId="95">
    <w:abstractNumId w:val="94"/>
  </w:num>
  <w:num w:numId="96">
    <w:abstractNumId w:val="47"/>
  </w:num>
  <w:num w:numId="97">
    <w:abstractNumId w:val="174"/>
  </w:num>
  <w:num w:numId="98">
    <w:abstractNumId w:val="117"/>
  </w:num>
  <w:num w:numId="99">
    <w:abstractNumId w:val="110"/>
  </w:num>
  <w:num w:numId="100">
    <w:abstractNumId w:val="23"/>
  </w:num>
  <w:num w:numId="101">
    <w:abstractNumId w:val="113"/>
  </w:num>
  <w:num w:numId="102">
    <w:abstractNumId w:val="138"/>
  </w:num>
  <w:num w:numId="103">
    <w:abstractNumId w:val="84"/>
  </w:num>
  <w:num w:numId="104">
    <w:abstractNumId w:val="154"/>
  </w:num>
  <w:num w:numId="105">
    <w:abstractNumId w:val="125"/>
  </w:num>
  <w:num w:numId="106">
    <w:abstractNumId w:val="69"/>
  </w:num>
  <w:num w:numId="107">
    <w:abstractNumId w:val="172"/>
  </w:num>
  <w:num w:numId="108">
    <w:abstractNumId w:val="29"/>
  </w:num>
  <w:num w:numId="109">
    <w:abstractNumId w:val="157"/>
  </w:num>
  <w:num w:numId="110">
    <w:abstractNumId w:val="171"/>
  </w:num>
  <w:num w:numId="111">
    <w:abstractNumId w:val="109"/>
  </w:num>
  <w:num w:numId="112">
    <w:abstractNumId w:val="64"/>
  </w:num>
  <w:num w:numId="113">
    <w:abstractNumId w:val="63"/>
  </w:num>
  <w:num w:numId="114">
    <w:abstractNumId w:val="111"/>
  </w:num>
  <w:num w:numId="115">
    <w:abstractNumId w:val="116"/>
  </w:num>
  <w:num w:numId="116">
    <w:abstractNumId w:val="14"/>
  </w:num>
  <w:num w:numId="117">
    <w:abstractNumId w:val="167"/>
  </w:num>
  <w:num w:numId="118">
    <w:abstractNumId w:val="88"/>
  </w:num>
  <w:num w:numId="119">
    <w:abstractNumId w:val="169"/>
  </w:num>
  <w:num w:numId="120">
    <w:abstractNumId w:val="135"/>
  </w:num>
  <w:num w:numId="121">
    <w:abstractNumId w:val="6"/>
  </w:num>
  <w:num w:numId="122">
    <w:abstractNumId w:val="123"/>
  </w:num>
  <w:num w:numId="123">
    <w:abstractNumId w:val="151"/>
  </w:num>
  <w:num w:numId="124">
    <w:abstractNumId w:val="70"/>
  </w:num>
  <w:num w:numId="125">
    <w:abstractNumId w:val="104"/>
  </w:num>
  <w:num w:numId="126">
    <w:abstractNumId w:val="1"/>
  </w:num>
  <w:num w:numId="127">
    <w:abstractNumId w:val="131"/>
  </w:num>
  <w:num w:numId="128">
    <w:abstractNumId w:val="49"/>
  </w:num>
  <w:num w:numId="129">
    <w:abstractNumId w:val="90"/>
  </w:num>
  <w:num w:numId="130">
    <w:abstractNumId w:val="143"/>
  </w:num>
  <w:num w:numId="131">
    <w:abstractNumId w:val="28"/>
  </w:num>
  <w:num w:numId="132">
    <w:abstractNumId w:val="153"/>
  </w:num>
  <w:num w:numId="133">
    <w:abstractNumId w:val="21"/>
  </w:num>
  <w:num w:numId="134">
    <w:abstractNumId w:val="23"/>
  </w:num>
  <w:num w:numId="135">
    <w:abstractNumId w:val="100"/>
  </w:num>
  <w:num w:numId="136">
    <w:abstractNumId w:val="126"/>
  </w:num>
  <w:num w:numId="1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40"/>
  </w:num>
  <w:num w:numId="139">
    <w:abstractNumId w:val="11"/>
  </w:num>
  <w:num w:numId="140">
    <w:abstractNumId w:val="16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0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7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3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91"/>
  </w:num>
  <w:num w:numId="145">
    <w:abstractNumId w:val="136"/>
  </w:num>
  <w:num w:numId="146">
    <w:abstractNumId w:val="137"/>
  </w:num>
  <w:num w:numId="147">
    <w:abstractNumId w:val="106"/>
  </w:num>
  <w:num w:numId="148">
    <w:abstractNumId w:val="55"/>
  </w:num>
  <w:num w:numId="149">
    <w:abstractNumId w:val="81"/>
  </w:num>
  <w:num w:numId="150">
    <w:abstractNumId w:val="45"/>
  </w:num>
  <w:num w:numId="151">
    <w:abstractNumId w:val="52"/>
  </w:num>
  <w:num w:numId="152">
    <w:abstractNumId w:val="129"/>
  </w:num>
  <w:num w:numId="153">
    <w:abstractNumId w:val="89"/>
  </w:num>
  <w:num w:numId="154">
    <w:abstractNumId w:val="74"/>
  </w:num>
  <w:num w:numId="155">
    <w:abstractNumId w:val="57"/>
  </w:num>
  <w:num w:numId="156">
    <w:abstractNumId w:val="0"/>
  </w:num>
  <w:num w:numId="157">
    <w:abstractNumId w:val="86"/>
  </w:num>
  <w:num w:numId="158">
    <w:abstractNumId w:val="18"/>
  </w:num>
  <w:num w:numId="159">
    <w:abstractNumId w:val="105"/>
  </w:num>
  <w:num w:numId="160">
    <w:abstractNumId w:val="46"/>
  </w:num>
  <w:num w:numId="161">
    <w:abstractNumId w:val="35"/>
  </w:num>
  <w:num w:numId="162">
    <w:abstractNumId w:val="152"/>
  </w:num>
  <w:num w:numId="163">
    <w:abstractNumId w:val="178"/>
  </w:num>
  <w:num w:numId="164">
    <w:abstractNumId w:val="82"/>
  </w:num>
  <w:num w:numId="165">
    <w:abstractNumId w:val="58"/>
  </w:num>
  <w:num w:numId="166">
    <w:abstractNumId w:val="156"/>
  </w:num>
  <w:num w:numId="167">
    <w:abstractNumId w:val="5"/>
  </w:num>
  <w:num w:numId="168">
    <w:abstractNumId w:val="66"/>
  </w:num>
  <w:num w:numId="169">
    <w:abstractNumId w:val="155"/>
  </w:num>
  <w:num w:numId="170">
    <w:abstractNumId w:val="31"/>
  </w:num>
  <w:num w:numId="171">
    <w:abstractNumId w:val="39"/>
  </w:num>
  <w:num w:numId="172">
    <w:abstractNumId w:val="60"/>
  </w:num>
  <w:num w:numId="173">
    <w:abstractNumId w:val="72"/>
  </w:num>
  <w:num w:numId="174">
    <w:abstractNumId w:val="181"/>
  </w:num>
  <w:num w:numId="175">
    <w:abstractNumId w:val="27"/>
  </w:num>
  <w:num w:numId="176">
    <w:abstractNumId w:val="160"/>
  </w:num>
  <w:num w:numId="177">
    <w:abstractNumId w:val="50"/>
  </w:num>
  <w:num w:numId="178">
    <w:abstractNumId w:val="62"/>
  </w:num>
  <w:num w:numId="179">
    <w:abstractNumId w:val="134"/>
  </w:num>
  <w:num w:numId="180">
    <w:abstractNumId w:val="97"/>
  </w:num>
  <w:num w:numId="181">
    <w:abstractNumId w:val="144"/>
  </w:num>
  <w:num w:numId="182">
    <w:abstractNumId w:val="51"/>
  </w:num>
  <w:num w:numId="183">
    <w:abstractNumId w:val="139"/>
  </w:num>
  <w:num w:numId="184">
    <w:abstractNumId w:val="98"/>
  </w:num>
  <w:num w:numId="185">
    <w:abstractNumId w:val="183"/>
  </w:num>
  <w:num w:numId="186">
    <w:abstractNumId w:val="26"/>
  </w:num>
  <w:num w:numId="187">
    <w:abstractNumId w:val="150"/>
  </w:num>
  <w:num w:numId="188">
    <w:abstractNumId w:val="15"/>
  </w:num>
  <w:num w:numId="189">
    <w:abstractNumId w:val="148"/>
  </w:num>
  <w:num w:numId="190">
    <w:abstractNumId w:val="107"/>
  </w:num>
  <w:num w:numId="191">
    <w:abstractNumId w:val="2"/>
  </w:num>
  <w:num w:numId="192">
    <w:abstractNumId w:val="180"/>
  </w:num>
  <w:num w:numId="193">
    <w:abstractNumId w:val="59"/>
  </w:num>
  <w:num w:numId="194">
    <w:abstractNumId w:val="145"/>
  </w:num>
  <w:num w:numId="195">
    <w:abstractNumId w:val="30"/>
  </w:num>
  <w:num w:numId="196">
    <w:abstractNumId w:val="44"/>
  </w:num>
  <w:numIdMacAtCleanup w:val="1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US" w:vendorID="64" w:dllVersion="6" w:nlCheck="1" w:checkStyle="1"/>
  <w:activeWritingStyle w:appName="MSWord" w:lang="en-IE" w:vendorID="64" w:dllVersion="6" w:nlCheck="1" w:checkStyle="1"/>
  <w:activeWritingStyle w:appName="MSWord" w:lang="en-GB" w:vendorID="64" w:dllVersion="6" w:nlCheck="1" w:checkStyle="1"/>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FR" w:vendorID="64" w:dllVersion="131078" w:nlCheck="1" w:checkStyle="0"/>
  <w:revisionView w:markup="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E8D1D94-448E-4A43-A071-E63B0D5C2705"/>
    <w:docVar w:name="LW_COVERPAGE_TYPE" w:val="1"/>
    <w:docVar w:name="LW_CROSSREFERENCE" w:val="{SWD(2022) 341 final}"/>
    <w:docVar w:name="LW_DocType" w:val="NORMAL"/>
    <w:docVar w:name="LW_EMISSION" w:val="18.10.2022"/>
    <w:docVar w:name="LW_EMISSION_ISODATE" w:val="2022-10-18"/>
    <w:docVar w:name="LW_EMISSION_LOCATION" w:val="STR"/>
    <w:docVar w:name="LW_EMISSION_PREFIX" w:val="Strasbourg,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2) 55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ransition numérique du système énergétique - Plan d'action de l'UE"/>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C20B11"/>
    <w:rsid w:val="000006D6"/>
    <w:rsid w:val="000020A2"/>
    <w:rsid w:val="000020C2"/>
    <w:rsid w:val="00002E6B"/>
    <w:rsid w:val="000037AC"/>
    <w:rsid w:val="00003B2B"/>
    <w:rsid w:val="00003E9F"/>
    <w:rsid w:val="0000477E"/>
    <w:rsid w:val="000055C3"/>
    <w:rsid w:val="00005731"/>
    <w:rsid w:val="00006309"/>
    <w:rsid w:val="0000645D"/>
    <w:rsid w:val="000068D6"/>
    <w:rsid w:val="00007997"/>
    <w:rsid w:val="00007C7F"/>
    <w:rsid w:val="00010217"/>
    <w:rsid w:val="00011B14"/>
    <w:rsid w:val="00011DCD"/>
    <w:rsid w:val="000129D7"/>
    <w:rsid w:val="00012EC5"/>
    <w:rsid w:val="00013679"/>
    <w:rsid w:val="0001367B"/>
    <w:rsid w:val="00013932"/>
    <w:rsid w:val="00013D6D"/>
    <w:rsid w:val="00014373"/>
    <w:rsid w:val="00014699"/>
    <w:rsid w:val="00015095"/>
    <w:rsid w:val="000150A9"/>
    <w:rsid w:val="00016A8E"/>
    <w:rsid w:val="00017006"/>
    <w:rsid w:val="000174EB"/>
    <w:rsid w:val="0002118E"/>
    <w:rsid w:val="000213CF"/>
    <w:rsid w:val="00021CA3"/>
    <w:rsid w:val="000228FB"/>
    <w:rsid w:val="00023B9C"/>
    <w:rsid w:val="0002488A"/>
    <w:rsid w:val="000257BA"/>
    <w:rsid w:val="0002585D"/>
    <w:rsid w:val="000264EA"/>
    <w:rsid w:val="000265A9"/>
    <w:rsid w:val="000267A1"/>
    <w:rsid w:val="00026925"/>
    <w:rsid w:val="000269C6"/>
    <w:rsid w:val="00026BE0"/>
    <w:rsid w:val="00026D68"/>
    <w:rsid w:val="00027307"/>
    <w:rsid w:val="00027414"/>
    <w:rsid w:val="00027631"/>
    <w:rsid w:val="00027B95"/>
    <w:rsid w:val="00030367"/>
    <w:rsid w:val="00030FF5"/>
    <w:rsid w:val="00032778"/>
    <w:rsid w:val="00032E97"/>
    <w:rsid w:val="000333A5"/>
    <w:rsid w:val="000335BF"/>
    <w:rsid w:val="00034425"/>
    <w:rsid w:val="00034FF3"/>
    <w:rsid w:val="00036472"/>
    <w:rsid w:val="0003658A"/>
    <w:rsid w:val="000367E6"/>
    <w:rsid w:val="00037618"/>
    <w:rsid w:val="00037892"/>
    <w:rsid w:val="00037897"/>
    <w:rsid w:val="00037B6C"/>
    <w:rsid w:val="00037EDB"/>
    <w:rsid w:val="00040677"/>
    <w:rsid w:val="000406E5"/>
    <w:rsid w:val="0004072F"/>
    <w:rsid w:val="000410D1"/>
    <w:rsid w:val="000417D8"/>
    <w:rsid w:val="0004295F"/>
    <w:rsid w:val="00042F25"/>
    <w:rsid w:val="0004340D"/>
    <w:rsid w:val="000437C7"/>
    <w:rsid w:val="00044D53"/>
    <w:rsid w:val="00045992"/>
    <w:rsid w:val="00045BDE"/>
    <w:rsid w:val="00046CCD"/>
    <w:rsid w:val="00047131"/>
    <w:rsid w:val="00047228"/>
    <w:rsid w:val="000473DB"/>
    <w:rsid w:val="00047BA0"/>
    <w:rsid w:val="0005046F"/>
    <w:rsid w:val="000518AE"/>
    <w:rsid w:val="00051F76"/>
    <w:rsid w:val="000521E7"/>
    <w:rsid w:val="00052676"/>
    <w:rsid w:val="000526A6"/>
    <w:rsid w:val="00052CEC"/>
    <w:rsid w:val="00053AE3"/>
    <w:rsid w:val="00053F6A"/>
    <w:rsid w:val="00054026"/>
    <w:rsid w:val="00054790"/>
    <w:rsid w:val="00054DCE"/>
    <w:rsid w:val="00055658"/>
    <w:rsid w:val="000559A9"/>
    <w:rsid w:val="00055A5C"/>
    <w:rsid w:val="00056BF7"/>
    <w:rsid w:val="00056DB8"/>
    <w:rsid w:val="0005789E"/>
    <w:rsid w:val="0006074E"/>
    <w:rsid w:val="00060AB8"/>
    <w:rsid w:val="00061CDB"/>
    <w:rsid w:val="000624D5"/>
    <w:rsid w:val="000627BC"/>
    <w:rsid w:val="00062891"/>
    <w:rsid w:val="00062AB4"/>
    <w:rsid w:val="0006312F"/>
    <w:rsid w:val="0006321D"/>
    <w:rsid w:val="000655B4"/>
    <w:rsid w:val="000656D7"/>
    <w:rsid w:val="000659DD"/>
    <w:rsid w:val="00066990"/>
    <w:rsid w:val="00067B47"/>
    <w:rsid w:val="00067D0D"/>
    <w:rsid w:val="00067D1F"/>
    <w:rsid w:val="000708BB"/>
    <w:rsid w:val="00070E9F"/>
    <w:rsid w:val="000710FC"/>
    <w:rsid w:val="00071953"/>
    <w:rsid w:val="00071D40"/>
    <w:rsid w:val="00071F88"/>
    <w:rsid w:val="00072683"/>
    <w:rsid w:val="000726C8"/>
    <w:rsid w:val="0007293D"/>
    <w:rsid w:val="000730EB"/>
    <w:rsid w:val="00073A5E"/>
    <w:rsid w:val="000743C6"/>
    <w:rsid w:val="00074AF3"/>
    <w:rsid w:val="00076309"/>
    <w:rsid w:val="0007719A"/>
    <w:rsid w:val="0008122F"/>
    <w:rsid w:val="000816EC"/>
    <w:rsid w:val="000819EB"/>
    <w:rsid w:val="000819F3"/>
    <w:rsid w:val="00082A97"/>
    <w:rsid w:val="00082DFA"/>
    <w:rsid w:val="000832E4"/>
    <w:rsid w:val="00083703"/>
    <w:rsid w:val="00083C01"/>
    <w:rsid w:val="00083C46"/>
    <w:rsid w:val="00083F35"/>
    <w:rsid w:val="00084892"/>
    <w:rsid w:val="00084A88"/>
    <w:rsid w:val="00085D37"/>
    <w:rsid w:val="000861DA"/>
    <w:rsid w:val="00086D0E"/>
    <w:rsid w:val="00086E69"/>
    <w:rsid w:val="00087A6C"/>
    <w:rsid w:val="00087B4B"/>
    <w:rsid w:val="00087F39"/>
    <w:rsid w:val="00087F4D"/>
    <w:rsid w:val="00090770"/>
    <w:rsid w:val="00090E57"/>
    <w:rsid w:val="000914A3"/>
    <w:rsid w:val="00091EB8"/>
    <w:rsid w:val="00092244"/>
    <w:rsid w:val="000923C5"/>
    <w:rsid w:val="000924B5"/>
    <w:rsid w:val="00092F4C"/>
    <w:rsid w:val="000932BC"/>
    <w:rsid w:val="00093629"/>
    <w:rsid w:val="00093CBF"/>
    <w:rsid w:val="00093DF8"/>
    <w:rsid w:val="00094328"/>
    <w:rsid w:val="00094DCD"/>
    <w:rsid w:val="0009580D"/>
    <w:rsid w:val="00095A15"/>
    <w:rsid w:val="00096B0C"/>
    <w:rsid w:val="00096B2A"/>
    <w:rsid w:val="00097B82"/>
    <w:rsid w:val="00097D73"/>
    <w:rsid w:val="000A0A0E"/>
    <w:rsid w:val="000A0EEF"/>
    <w:rsid w:val="000A1643"/>
    <w:rsid w:val="000A166D"/>
    <w:rsid w:val="000A16DC"/>
    <w:rsid w:val="000A1AC8"/>
    <w:rsid w:val="000A1D74"/>
    <w:rsid w:val="000A263D"/>
    <w:rsid w:val="000A2B14"/>
    <w:rsid w:val="000A2C6F"/>
    <w:rsid w:val="000A32C9"/>
    <w:rsid w:val="000A365E"/>
    <w:rsid w:val="000A4DF8"/>
    <w:rsid w:val="000A511B"/>
    <w:rsid w:val="000A5779"/>
    <w:rsid w:val="000A5AE3"/>
    <w:rsid w:val="000A5E35"/>
    <w:rsid w:val="000A659D"/>
    <w:rsid w:val="000A6D10"/>
    <w:rsid w:val="000A6D8F"/>
    <w:rsid w:val="000A7262"/>
    <w:rsid w:val="000A74F3"/>
    <w:rsid w:val="000B018D"/>
    <w:rsid w:val="000B0FA1"/>
    <w:rsid w:val="000B10AE"/>
    <w:rsid w:val="000B1102"/>
    <w:rsid w:val="000B199B"/>
    <w:rsid w:val="000B26F0"/>
    <w:rsid w:val="000B287A"/>
    <w:rsid w:val="000B3BFA"/>
    <w:rsid w:val="000B3E20"/>
    <w:rsid w:val="000B3EFF"/>
    <w:rsid w:val="000B42BD"/>
    <w:rsid w:val="000B4AAC"/>
    <w:rsid w:val="000B4C28"/>
    <w:rsid w:val="000B632D"/>
    <w:rsid w:val="000B6CD4"/>
    <w:rsid w:val="000B6D29"/>
    <w:rsid w:val="000B6EF3"/>
    <w:rsid w:val="000B6FEF"/>
    <w:rsid w:val="000B7C54"/>
    <w:rsid w:val="000C2361"/>
    <w:rsid w:val="000C2784"/>
    <w:rsid w:val="000C373D"/>
    <w:rsid w:val="000C3EBC"/>
    <w:rsid w:val="000C4DCB"/>
    <w:rsid w:val="000C5DE7"/>
    <w:rsid w:val="000C62F3"/>
    <w:rsid w:val="000C65C4"/>
    <w:rsid w:val="000C7612"/>
    <w:rsid w:val="000C7715"/>
    <w:rsid w:val="000C7CA3"/>
    <w:rsid w:val="000C7E5B"/>
    <w:rsid w:val="000D06BA"/>
    <w:rsid w:val="000D07F4"/>
    <w:rsid w:val="000D0B28"/>
    <w:rsid w:val="000D0C6C"/>
    <w:rsid w:val="000D1305"/>
    <w:rsid w:val="000D24A9"/>
    <w:rsid w:val="000D300A"/>
    <w:rsid w:val="000D30D3"/>
    <w:rsid w:val="000D35B6"/>
    <w:rsid w:val="000D3E08"/>
    <w:rsid w:val="000D3FB5"/>
    <w:rsid w:val="000D4B7D"/>
    <w:rsid w:val="000D4FA1"/>
    <w:rsid w:val="000D53D2"/>
    <w:rsid w:val="000D618A"/>
    <w:rsid w:val="000D67FC"/>
    <w:rsid w:val="000D7233"/>
    <w:rsid w:val="000D7472"/>
    <w:rsid w:val="000D77EF"/>
    <w:rsid w:val="000E0148"/>
    <w:rsid w:val="000E022D"/>
    <w:rsid w:val="000E0325"/>
    <w:rsid w:val="000E0B4C"/>
    <w:rsid w:val="000E1070"/>
    <w:rsid w:val="000E1EAE"/>
    <w:rsid w:val="000E207C"/>
    <w:rsid w:val="000E23C0"/>
    <w:rsid w:val="000E266C"/>
    <w:rsid w:val="000E37AF"/>
    <w:rsid w:val="000E5205"/>
    <w:rsid w:val="000E5650"/>
    <w:rsid w:val="000E56B2"/>
    <w:rsid w:val="000E56C8"/>
    <w:rsid w:val="000E58A1"/>
    <w:rsid w:val="000E673E"/>
    <w:rsid w:val="000E700E"/>
    <w:rsid w:val="000E76C1"/>
    <w:rsid w:val="000E7DBF"/>
    <w:rsid w:val="000F0ED2"/>
    <w:rsid w:val="000F14F8"/>
    <w:rsid w:val="000F1546"/>
    <w:rsid w:val="000F2E43"/>
    <w:rsid w:val="000F2ED7"/>
    <w:rsid w:val="000F3036"/>
    <w:rsid w:val="000F3D94"/>
    <w:rsid w:val="000F3EED"/>
    <w:rsid w:val="000F4C85"/>
    <w:rsid w:val="000F4F79"/>
    <w:rsid w:val="000F4FD1"/>
    <w:rsid w:val="000F5A2C"/>
    <w:rsid w:val="000F5D16"/>
    <w:rsid w:val="000F6DF2"/>
    <w:rsid w:val="0010023B"/>
    <w:rsid w:val="00100ACE"/>
    <w:rsid w:val="00101888"/>
    <w:rsid w:val="00101BA5"/>
    <w:rsid w:val="001021A6"/>
    <w:rsid w:val="001024CA"/>
    <w:rsid w:val="00102F44"/>
    <w:rsid w:val="0010311B"/>
    <w:rsid w:val="00103310"/>
    <w:rsid w:val="001033F5"/>
    <w:rsid w:val="001048F3"/>
    <w:rsid w:val="001049F0"/>
    <w:rsid w:val="00105AF3"/>
    <w:rsid w:val="0010641A"/>
    <w:rsid w:val="0010790E"/>
    <w:rsid w:val="001102FF"/>
    <w:rsid w:val="001108A0"/>
    <w:rsid w:val="00110BBF"/>
    <w:rsid w:val="00111382"/>
    <w:rsid w:val="001118A7"/>
    <w:rsid w:val="0011204B"/>
    <w:rsid w:val="00112EEE"/>
    <w:rsid w:val="00113040"/>
    <w:rsid w:val="00113274"/>
    <w:rsid w:val="001132A2"/>
    <w:rsid w:val="00114456"/>
    <w:rsid w:val="00114946"/>
    <w:rsid w:val="00114BF8"/>
    <w:rsid w:val="00114F06"/>
    <w:rsid w:val="001151C0"/>
    <w:rsid w:val="00115EC3"/>
    <w:rsid w:val="00117736"/>
    <w:rsid w:val="001200BD"/>
    <w:rsid w:val="00121078"/>
    <w:rsid w:val="00121BF0"/>
    <w:rsid w:val="00121CDA"/>
    <w:rsid w:val="001220A8"/>
    <w:rsid w:val="0012262F"/>
    <w:rsid w:val="00123788"/>
    <w:rsid w:val="0012492E"/>
    <w:rsid w:val="00125D64"/>
    <w:rsid w:val="001260AD"/>
    <w:rsid w:val="001261A5"/>
    <w:rsid w:val="001261CD"/>
    <w:rsid w:val="0012628E"/>
    <w:rsid w:val="001262D1"/>
    <w:rsid w:val="00126707"/>
    <w:rsid w:val="0012676B"/>
    <w:rsid w:val="00126C1D"/>
    <w:rsid w:val="001271B7"/>
    <w:rsid w:val="00127434"/>
    <w:rsid w:val="00131261"/>
    <w:rsid w:val="00132076"/>
    <w:rsid w:val="0013254B"/>
    <w:rsid w:val="00133D9F"/>
    <w:rsid w:val="00134E9E"/>
    <w:rsid w:val="00135191"/>
    <w:rsid w:val="001360C6"/>
    <w:rsid w:val="001365FF"/>
    <w:rsid w:val="00136832"/>
    <w:rsid w:val="00137032"/>
    <w:rsid w:val="00137368"/>
    <w:rsid w:val="001374BF"/>
    <w:rsid w:val="00137923"/>
    <w:rsid w:val="0014011E"/>
    <w:rsid w:val="001401A0"/>
    <w:rsid w:val="001413B7"/>
    <w:rsid w:val="00141989"/>
    <w:rsid w:val="00141FA2"/>
    <w:rsid w:val="00142BD2"/>
    <w:rsid w:val="00142EEE"/>
    <w:rsid w:val="00143161"/>
    <w:rsid w:val="00143291"/>
    <w:rsid w:val="001441BC"/>
    <w:rsid w:val="00145A73"/>
    <w:rsid w:val="00145AD1"/>
    <w:rsid w:val="00145D79"/>
    <w:rsid w:val="0014639B"/>
    <w:rsid w:val="001463E6"/>
    <w:rsid w:val="00146D8E"/>
    <w:rsid w:val="00147057"/>
    <w:rsid w:val="00147075"/>
    <w:rsid w:val="001471BB"/>
    <w:rsid w:val="00147277"/>
    <w:rsid w:val="00150008"/>
    <w:rsid w:val="001501AB"/>
    <w:rsid w:val="00150AD0"/>
    <w:rsid w:val="00150B48"/>
    <w:rsid w:val="00150D73"/>
    <w:rsid w:val="00150FA3"/>
    <w:rsid w:val="001512EC"/>
    <w:rsid w:val="00151C7A"/>
    <w:rsid w:val="00152078"/>
    <w:rsid w:val="001523E5"/>
    <w:rsid w:val="00152748"/>
    <w:rsid w:val="001529E9"/>
    <w:rsid w:val="0015329F"/>
    <w:rsid w:val="001534CB"/>
    <w:rsid w:val="00153FFA"/>
    <w:rsid w:val="00155733"/>
    <w:rsid w:val="00155FF2"/>
    <w:rsid w:val="001601DE"/>
    <w:rsid w:val="001606B0"/>
    <w:rsid w:val="0016104F"/>
    <w:rsid w:val="001614DB"/>
    <w:rsid w:val="001625E4"/>
    <w:rsid w:val="00163AF9"/>
    <w:rsid w:val="00163CCD"/>
    <w:rsid w:val="0016537D"/>
    <w:rsid w:val="00165422"/>
    <w:rsid w:val="0016548B"/>
    <w:rsid w:val="00166F0D"/>
    <w:rsid w:val="0016731D"/>
    <w:rsid w:val="00169ED2"/>
    <w:rsid w:val="00170835"/>
    <w:rsid w:val="001708E3"/>
    <w:rsid w:val="00170BC5"/>
    <w:rsid w:val="00170E24"/>
    <w:rsid w:val="00172407"/>
    <w:rsid w:val="001728D8"/>
    <w:rsid w:val="00172E32"/>
    <w:rsid w:val="00174A67"/>
    <w:rsid w:val="00175DD2"/>
    <w:rsid w:val="00177837"/>
    <w:rsid w:val="00177D9D"/>
    <w:rsid w:val="00180508"/>
    <w:rsid w:val="00180A68"/>
    <w:rsid w:val="00181BFA"/>
    <w:rsid w:val="00182BCC"/>
    <w:rsid w:val="00183A88"/>
    <w:rsid w:val="00183E37"/>
    <w:rsid w:val="001843BA"/>
    <w:rsid w:val="00184D8E"/>
    <w:rsid w:val="00185066"/>
    <w:rsid w:val="00185B21"/>
    <w:rsid w:val="00185E78"/>
    <w:rsid w:val="00185F12"/>
    <w:rsid w:val="001860F4"/>
    <w:rsid w:val="00187E40"/>
    <w:rsid w:val="00187FB7"/>
    <w:rsid w:val="00190C78"/>
    <w:rsid w:val="0019173B"/>
    <w:rsid w:val="00192977"/>
    <w:rsid w:val="001929B1"/>
    <w:rsid w:val="001936F1"/>
    <w:rsid w:val="00193A77"/>
    <w:rsid w:val="00193B0C"/>
    <w:rsid w:val="00195528"/>
    <w:rsid w:val="00195583"/>
    <w:rsid w:val="001957E7"/>
    <w:rsid w:val="00196014"/>
    <w:rsid w:val="001967F4"/>
    <w:rsid w:val="00197519"/>
    <w:rsid w:val="001976E5"/>
    <w:rsid w:val="00197E7D"/>
    <w:rsid w:val="001A04C4"/>
    <w:rsid w:val="001A08B8"/>
    <w:rsid w:val="001A2801"/>
    <w:rsid w:val="001A6BB4"/>
    <w:rsid w:val="001A6D97"/>
    <w:rsid w:val="001A717B"/>
    <w:rsid w:val="001B003F"/>
    <w:rsid w:val="001B02DE"/>
    <w:rsid w:val="001B0432"/>
    <w:rsid w:val="001B1C40"/>
    <w:rsid w:val="001B2B15"/>
    <w:rsid w:val="001B3D29"/>
    <w:rsid w:val="001B5CAD"/>
    <w:rsid w:val="001B6D40"/>
    <w:rsid w:val="001B6D73"/>
    <w:rsid w:val="001B74E1"/>
    <w:rsid w:val="001B7FEA"/>
    <w:rsid w:val="001C0717"/>
    <w:rsid w:val="001C0894"/>
    <w:rsid w:val="001C0DAF"/>
    <w:rsid w:val="001C15ED"/>
    <w:rsid w:val="001C1BFF"/>
    <w:rsid w:val="001C1C76"/>
    <w:rsid w:val="001C1D7C"/>
    <w:rsid w:val="001C2762"/>
    <w:rsid w:val="001C28ED"/>
    <w:rsid w:val="001C2DFD"/>
    <w:rsid w:val="001C361A"/>
    <w:rsid w:val="001C47EB"/>
    <w:rsid w:val="001C4924"/>
    <w:rsid w:val="001C5197"/>
    <w:rsid w:val="001C586B"/>
    <w:rsid w:val="001C5919"/>
    <w:rsid w:val="001C5C10"/>
    <w:rsid w:val="001C5D6C"/>
    <w:rsid w:val="001C5EEC"/>
    <w:rsid w:val="001C651E"/>
    <w:rsid w:val="001C6866"/>
    <w:rsid w:val="001C6941"/>
    <w:rsid w:val="001C6966"/>
    <w:rsid w:val="001D05C4"/>
    <w:rsid w:val="001D13BB"/>
    <w:rsid w:val="001D1D28"/>
    <w:rsid w:val="001D2809"/>
    <w:rsid w:val="001D2FB7"/>
    <w:rsid w:val="001D39E6"/>
    <w:rsid w:val="001D420B"/>
    <w:rsid w:val="001D4957"/>
    <w:rsid w:val="001D57D3"/>
    <w:rsid w:val="001D6111"/>
    <w:rsid w:val="001D63E4"/>
    <w:rsid w:val="001D65A7"/>
    <w:rsid w:val="001D6730"/>
    <w:rsid w:val="001D6E23"/>
    <w:rsid w:val="001D7274"/>
    <w:rsid w:val="001D7736"/>
    <w:rsid w:val="001D78B8"/>
    <w:rsid w:val="001D795C"/>
    <w:rsid w:val="001E04B4"/>
    <w:rsid w:val="001E074E"/>
    <w:rsid w:val="001E0B34"/>
    <w:rsid w:val="001E1B9F"/>
    <w:rsid w:val="001E21EA"/>
    <w:rsid w:val="001E2508"/>
    <w:rsid w:val="001E2DAA"/>
    <w:rsid w:val="001E3055"/>
    <w:rsid w:val="001E339D"/>
    <w:rsid w:val="001E3647"/>
    <w:rsid w:val="001E3F48"/>
    <w:rsid w:val="001E40E5"/>
    <w:rsid w:val="001E5D60"/>
    <w:rsid w:val="001E688F"/>
    <w:rsid w:val="001E6A2B"/>
    <w:rsid w:val="001E6F5C"/>
    <w:rsid w:val="001E7135"/>
    <w:rsid w:val="001E713A"/>
    <w:rsid w:val="001E7256"/>
    <w:rsid w:val="001E79A2"/>
    <w:rsid w:val="001E7CAD"/>
    <w:rsid w:val="001E7F86"/>
    <w:rsid w:val="001F0AE4"/>
    <w:rsid w:val="001F0F54"/>
    <w:rsid w:val="001F26E5"/>
    <w:rsid w:val="001F2C6F"/>
    <w:rsid w:val="001F302E"/>
    <w:rsid w:val="001F3F2C"/>
    <w:rsid w:val="001F4B6A"/>
    <w:rsid w:val="001F4E24"/>
    <w:rsid w:val="001F4FF4"/>
    <w:rsid w:val="001F685D"/>
    <w:rsid w:val="0020047C"/>
    <w:rsid w:val="00201561"/>
    <w:rsid w:val="00201B81"/>
    <w:rsid w:val="002020D5"/>
    <w:rsid w:val="00202337"/>
    <w:rsid w:val="00202A63"/>
    <w:rsid w:val="00203828"/>
    <w:rsid w:val="0020388F"/>
    <w:rsid w:val="00203F07"/>
    <w:rsid w:val="00204125"/>
    <w:rsid w:val="00204C2E"/>
    <w:rsid w:val="002051BF"/>
    <w:rsid w:val="00205897"/>
    <w:rsid w:val="00205A79"/>
    <w:rsid w:val="00205BBA"/>
    <w:rsid w:val="00205C7B"/>
    <w:rsid w:val="00206362"/>
    <w:rsid w:val="00206CEC"/>
    <w:rsid w:val="0020748C"/>
    <w:rsid w:val="00210614"/>
    <w:rsid w:val="00211024"/>
    <w:rsid w:val="002110BC"/>
    <w:rsid w:val="0021144F"/>
    <w:rsid w:val="00211C19"/>
    <w:rsid w:val="00211D08"/>
    <w:rsid w:val="00212576"/>
    <w:rsid w:val="00213453"/>
    <w:rsid w:val="00213A69"/>
    <w:rsid w:val="00213DE2"/>
    <w:rsid w:val="00213E7E"/>
    <w:rsid w:val="0021405B"/>
    <w:rsid w:val="00214396"/>
    <w:rsid w:val="00214592"/>
    <w:rsid w:val="00214ACD"/>
    <w:rsid w:val="00215FE6"/>
    <w:rsid w:val="00216137"/>
    <w:rsid w:val="002166DF"/>
    <w:rsid w:val="002179D1"/>
    <w:rsid w:val="00220A71"/>
    <w:rsid w:val="00223850"/>
    <w:rsid w:val="0022545A"/>
    <w:rsid w:val="00226B09"/>
    <w:rsid w:val="002304A7"/>
    <w:rsid w:val="0023059A"/>
    <w:rsid w:val="00230C62"/>
    <w:rsid w:val="00230F21"/>
    <w:rsid w:val="0023115A"/>
    <w:rsid w:val="002314C7"/>
    <w:rsid w:val="00232A7F"/>
    <w:rsid w:val="00232DC4"/>
    <w:rsid w:val="002333FF"/>
    <w:rsid w:val="00234112"/>
    <w:rsid w:val="00234800"/>
    <w:rsid w:val="00235387"/>
    <w:rsid w:val="002353DF"/>
    <w:rsid w:val="002353F9"/>
    <w:rsid w:val="00235B36"/>
    <w:rsid w:val="00235B97"/>
    <w:rsid w:val="002368CB"/>
    <w:rsid w:val="00237551"/>
    <w:rsid w:val="00237E70"/>
    <w:rsid w:val="00240F0C"/>
    <w:rsid w:val="00241270"/>
    <w:rsid w:val="002414BA"/>
    <w:rsid w:val="002429DF"/>
    <w:rsid w:val="00243873"/>
    <w:rsid w:val="002443C6"/>
    <w:rsid w:val="00244894"/>
    <w:rsid w:val="00244CF5"/>
    <w:rsid w:val="00246297"/>
    <w:rsid w:val="00246654"/>
    <w:rsid w:val="00247AB3"/>
    <w:rsid w:val="002500DB"/>
    <w:rsid w:val="0025289A"/>
    <w:rsid w:val="00253E43"/>
    <w:rsid w:val="00254669"/>
    <w:rsid w:val="0025471F"/>
    <w:rsid w:val="00254FAB"/>
    <w:rsid w:val="00255AFB"/>
    <w:rsid w:val="00255DE7"/>
    <w:rsid w:val="00255F33"/>
    <w:rsid w:val="00255F51"/>
    <w:rsid w:val="00256087"/>
    <w:rsid w:val="002567BC"/>
    <w:rsid w:val="002577FB"/>
    <w:rsid w:val="00257E3F"/>
    <w:rsid w:val="00260166"/>
    <w:rsid w:val="00260640"/>
    <w:rsid w:val="00261341"/>
    <w:rsid w:val="002619EC"/>
    <w:rsid w:val="002624E3"/>
    <w:rsid w:val="00263D46"/>
    <w:rsid w:val="00263F5A"/>
    <w:rsid w:val="0026408D"/>
    <w:rsid w:val="00264CAD"/>
    <w:rsid w:val="00265216"/>
    <w:rsid w:val="00265823"/>
    <w:rsid w:val="00265A26"/>
    <w:rsid w:val="00265B8D"/>
    <w:rsid w:val="00266EC4"/>
    <w:rsid w:val="002706B1"/>
    <w:rsid w:val="0027100E"/>
    <w:rsid w:val="00271796"/>
    <w:rsid w:val="002717FC"/>
    <w:rsid w:val="00271890"/>
    <w:rsid w:val="00271BA0"/>
    <w:rsid w:val="002721A9"/>
    <w:rsid w:val="00272676"/>
    <w:rsid w:val="00272B38"/>
    <w:rsid w:val="00273553"/>
    <w:rsid w:val="00273B0F"/>
    <w:rsid w:val="0027400C"/>
    <w:rsid w:val="00274963"/>
    <w:rsid w:val="00274B4E"/>
    <w:rsid w:val="00275BC0"/>
    <w:rsid w:val="00275F9D"/>
    <w:rsid w:val="002764CA"/>
    <w:rsid w:val="0027705D"/>
    <w:rsid w:val="0027B95E"/>
    <w:rsid w:val="0028006D"/>
    <w:rsid w:val="00280ABC"/>
    <w:rsid w:val="00281931"/>
    <w:rsid w:val="00282C1B"/>
    <w:rsid w:val="00282C92"/>
    <w:rsid w:val="00282E0F"/>
    <w:rsid w:val="0028343A"/>
    <w:rsid w:val="00283B08"/>
    <w:rsid w:val="002842A0"/>
    <w:rsid w:val="00284A93"/>
    <w:rsid w:val="00284AA6"/>
    <w:rsid w:val="0028641A"/>
    <w:rsid w:val="0028641E"/>
    <w:rsid w:val="0028680F"/>
    <w:rsid w:val="00287803"/>
    <w:rsid w:val="0029028A"/>
    <w:rsid w:val="00290574"/>
    <w:rsid w:val="0029116A"/>
    <w:rsid w:val="00291BBD"/>
    <w:rsid w:val="00292779"/>
    <w:rsid w:val="00292E04"/>
    <w:rsid w:val="00293D85"/>
    <w:rsid w:val="00293E07"/>
    <w:rsid w:val="00294096"/>
    <w:rsid w:val="00294298"/>
    <w:rsid w:val="00294F09"/>
    <w:rsid w:val="00294FC8"/>
    <w:rsid w:val="00295D53"/>
    <w:rsid w:val="00297018"/>
    <w:rsid w:val="00297DDA"/>
    <w:rsid w:val="002A0517"/>
    <w:rsid w:val="002A187F"/>
    <w:rsid w:val="002A1A78"/>
    <w:rsid w:val="002A1B5A"/>
    <w:rsid w:val="002A2CCF"/>
    <w:rsid w:val="002A4597"/>
    <w:rsid w:val="002A4811"/>
    <w:rsid w:val="002A4A36"/>
    <w:rsid w:val="002A506C"/>
    <w:rsid w:val="002A50B9"/>
    <w:rsid w:val="002A5160"/>
    <w:rsid w:val="002A5CBB"/>
    <w:rsid w:val="002A63E5"/>
    <w:rsid w:val="002A6B28"/>
    <w:rsid w:val="002B19F8"/>
    <w:rsid w:val="002B23CD"/>
    <w:rsid w:val="002B31E3"/>
    <w:rsid w:val="002B454D"/>
    <w:rsid w:val="002B47A9"/>
    <w:rsid w:val="002B5902"/>
    <w:rsid w:val="002B5914"/>
    <w:rsid w:val="002B5C23"/>
    <w:rsid w:val="002B5DC2"/>
    <w:rsid w:val="002B63D1"/>
    <w:rsid w:val="002B66DA"/>
    <w:rsid w:val="002B6714"/>
    <w:rsid w:val="002B7777"/>
    <w:rsid w:val="002B7883"/>
    <w:rsid w:val="002B7B25"/>
    <w:rsid w:val="002C0049"/>
    <w:rsid w:val="002C01F2"/>
    <w:rsid w:val="002C04F3"/>
    <w:rsid w:val="002C0D37"/>
    <w:rsid w:val="002C248C"/>
    <w:rsid w:val="002C264D"/>
    <w:rsid w:val="002C40EA"/>
    <w:rsid w:val="002C4A32"/>
    <w:rsid w:val="002C56A3"/>
    <w:rsid w:val="002C56EA"/>
    <w:rsid w:val="002C5AA2"/>
    <w:rsid w:val="002C5F7B"/>
    <w:rsid w:val="002C7ACB"/>
    <w:rsid w:val="002D05D6"/>
    <w:rsid w:val="002D07A3"/>
    <w:rsid w:val="002D0E7E"/>
    <w:rsid w:val="002D1140"/>
    <w:rsid w:val="002D1164"/>
    <w:rsid w:val="002D19B6"/>
    <w:rsid w:val="002D1DBC"/>
    <w:rsid w:val="002D3330"/>
    <w:rsid w:val="002D40A7"/>
    <w:rsid w:val="002D44F9"/>
    <w:rsid w:val="002D45F6"/>
    <w:rsid w:val="002D4619"/>
    <w:rsid w:val="002D49D7"/>
    <w:rsid w:val="002D4F4F"/>
    <w:rsid w:val="002D54BD"/>
    <w:rsid w:val="002D5D48"/>
    <w:rsid w:val="002D6132"/>
    <w:rsid w:val="002D6264"/>
    <w:rsid w:val="002D6AA6"/>
    <w:rsid w:val="002D6BEC"/>
    <w:rsid w:val="002D6D5D"/>
    <w:rsid w:val="002D6EC7"/>
    <w:rsid w:val="002D7160"/>
    <w:rsid w:val="002D73D5"/>
    <w:rsid w:val="002D792B"/>
    <w:rsid w:val="002D7C7C"/>
    <w:rsid w:val="002E0065"/>
    <w:rsid w:val="002E115E"/>
    <w:rsid w:val="002E156B"/>
    <w:rsid w:val="002E1966"/>
    <w:rsid w:val="002E1F93"/>
    <w:rsid w:val="002E20C9"/>
    <w:rsid w:val="002E27E1"/>
    <w:rsid w:val="002E2F24"/>
    <w:rsid w:val="002E340B"/>
    <w:rsid w:val="002E4B03"/>
    <w:rsid w:val="002E563A"/>
    <w:rsid w:val="002E5CA0"/>
    <w:rsid w:val="002E65A1"/>
    <w:rsid w:val="002E6CA0"/>
    <w:rsid w:val="002E7708"/>
    <w:rsid w:val="002E7EDB"/>
    <w:rsid w:val="002F04C2"/>
    <w:rsid w:val="002F14CF"/>
    <w:rsid w:val="002F168C"/>
    <w:rsid w:val="002F19DB"/>
    <w:rsid w:val="002F1A62"/>
    <w:rsid w:val="002F1AFE"/>
    <w:rsid w:val="002F4202"/>
    <w:rsid w:val="002F48AE"/>
    <w:rsid w:val="002F4B95"/>
    <w:rsid w:val="002F4B98"/>
    <w:rsid w:val="002F4E92"/>
    <w:rsid w:val="002F4EFE"/>
    <w:rsid w:val="002F50ED"/>
    <w:rsid w:val="002F521B"/>
    <w:rsid w:val="002F5808"/>
    <w:rsid w:val="002F6A3A"/>
    <w:rsid w:val="002F6C66"/>
    <w:rsid w:val="002F7343"/>
    <w:rsid w:val="002F7763"/>
    <w:rsid w:val="002F7F1B"/>
    <w:rsid w:val="00300B74"/>
    <w:rsid w:val="003010CD"/>
    <w:rsid w:val="00301111"/>
    <w:rsid w:val="00301AA0"/>
    <w:rsid w:val="00302B67"/>
    <w:rsid w:val="00303EA0"/>
    <w:rsid w:val="00304DF4"/>
    <w:rsid w:val="00305240"/>
    <w:rsid w:val="0030579F"/>
    <w:rsid w:val="00306369"/>
    <w:rsid w:val="00306688"/>
    <w:rsid w:val="00306815"/>
    <w:rsid w:val="00306D3D"/>
    <w:rsid w:val="00307878"/>
    <w:rsid w:val="0031041E"/>
    <w:rsid w:val="003105B8"/>
    <w:rsid w:val="0031078B"/>
    <w:rsid w:val="00310F08"/>
    <w:rsid w:val="0031154B"/>
    <w:rsid w:val="00312246"/>
    <w:rsid w:val="00312EF6"/>
    <w:rsid w:val="00312F77"/>
    <w:rsid w:val="00313CE0"/>
    <w:rsid w:val="00313CF8"/>
    <w:rsid w:val="003145B0"/>
    <w:rsid w:val="003146B6"/>
    <w:rsid w:val="00314722"/>
    <w:rsid w:val="003152CA"/>
    <w:rsid w:val="003163A4"/>
    <w:rsid w:val="00316484"/>
    <w:rsid w:val="00316ADC"/>
    <w:rsid w:val="003172AE"/>
    <w:rsid w:val="00317451"/>
    <w:rsid w:val="00317B83"/>
    <w:rsid w:val="00317F94"/>
    <w:rsid w:val="0031F727"/>
    <w:rsid w:val="00320045"/>
    <w:rsid w:val="00320705"/>
    <w:rsid w:val="00321B66"/>
    <w:rsid w:val="003225FC"/>
    <w:rsid w:val="003226E8"/>
    <w:rsid w:val="00322F24"/>
    <w:rsid w:val="003234FD"/>
    <w:rsid w:val="00323B51"/>
    <w:rsid w:val="00324ADE"/>
    <w:rsid w:val="00325614"/>
    <w:rsid w:val="003256C2"/>
    <w:rsid w:val="00325CB2"/>
    <w:rsid w:val="003261E0"/>
    <w:rsid w:val="00326383"/>
    <w:rsid w:val="003263C4"/>
    <w:rsid w:val="00326511"/>
    <w:rsid w:val="003268ED"/>
    <w:rsid w:val="00326F90"/>
    <w:rsid w:val="003279CD"/>
    <w:rsid w:val="00330989"/>
    <w:rsid w:val="00330F69"/>
    <w:rsid w:val="003314E6"/>
    <w:rsid w:val="003318FA"/>
    <w:rsid w:val="00332D32"/>
    <w:rsid w:val="0033427C"/>
    <w:rsid w:val="003343F5"/>
    <w:rsid w:val="00334768"/>
    <w:rsid w:val="003349CE"/>
    <w:rsid w:val="003349D0"/>
    <w:rsid w:val="00335174"/>
    <w:rsid w:val="00335328"/>
    <w:rsid w:val="003353B3"/>
    <w:rsid w:val="00335F31"/>
    <w:rsid w:val="00336124"/>
    <w:rsid w:val="00336157"/>
    <w:rsid w:val="00336316"/>
    <w:rsid w:val="0033792F"/>
    <w:rsid w:val="00337A9A"/>
    <w:rsid w:val="00337DC8"/>
    <w:rsid w:val="003407A8"/>
    <w:rsid w:val="00340DA4"/>
    <w:rsid w:val="00341050"/>
    <w:rsid w:val="00341410"/>
    <w:rsid w:val="00341531"/>
    <w:rsid w:val="003418A9"/>
    <w:rsid w:val="00341A23"/>
    <w:rsid w:val="00342A6D"/>
    <w:rsid w:val="003436A0"/>
    <w:rsid w:val="0034408C"/>
    <w:rsid w:val="003463DC"/>
    <w:rsid w:val="00346683"/>
    <w:rsid w:val="00347067"/>
    <w:rsid w:val="00347445"/>
    <w:rsid w:val="003475F0"/>
    <w:rsid w:val="00350C50"/>
    <w:rsid w:val="00350FAB"/>
    <w:rsid w:val="00352428"/>
    <w:rsid w:val="0035349E"/>
    <w:rsid w:val="0035380F"/>
    <w:rsid w:val="003539A8"/>
    <w:rsid w:val="00353BB0"/>
    <w:rsid w:val="00353EB3"/>
    <w:rsid w:val="00355791"/>
    <w:rsid w:val="00355EC0"/>
    <w:rsid w:val="0035645C"/>
    <w:rsid w:val="00356A9C"/>
    <w:rsid w:val="00356CFC"/>
    <w:rsid w:val="00357B1F"/>
    <w:rsid w:val="00357B34"/>
    <w:rsid w:val="00360B58"/>
    <w:rsid w:val="00361425"/>
    <w:rsid w:val="00361769"/>
    <w:rsid w:val="00362740"/>
    <w:rsid w:val="003627DF"/>
    <w:rsid w:val="003652BE"/>
    <w:rsid w:val="00365372"/>
    <w:rsid w:val="00365816"/>
    <w:rsid w:val="00365AE5"/>
    <w:rsid w:val="00366211"/>
    <w:rsid w:val="003662E3"/>
    <w:rsid w:val="00366F3C"/>
    <w:rsid w:val="00367023"/>
    <w:rsid w:val="00367162"/>
    <w:rsid w:val="00370EBC"/>
    <w:rsid w:val="003716DA"/>
    <w:rsid w:val="00371C3A"/>
    <w:rsid w:val="00371C59"/>
    <w:rsid w:val="00372523"/>
    <w:rsid w:val="00372CDF"/>
    <w:rsid w:val="00372FF7"/>
    <w:rsid w:val="0037349D"/>
    <w:rsid w:val="00374513"/>
    <w:rsid w:val="00375EC8"/>
    <w:rsid w:val="00376111"/>
    <w:rsid w:val="00376168"/>
    <w:rsid w:val="00376BB4"/>
    <w:rsid w:val="00376D3E"/>
    <w:rsid w:val="00377A97"/>
    <w:rsid w:val="00380368"/>
    <w:rsid w:val="0038045C"/>
    <w:rsid w:val="00380584"/>
    <w:rsid w:val="00380A89"/>
    <w:rsid w:val="00380B03"/>
    <w:rsid w:val="00380E72"/>
    <w:rsid w:val="003811AB"/>
    <w:rsid w:val="00381BCD"/>
    <w:rsid w:val="00382075"/>
    <w:rsid w:val="00382285"/>
    <w:rsid w:val="00382B8A"/>
    <w:rsid w:val="00383238"/>
    <w:rsid w:val="00384223"/>
    <w:rsid w:val="00385566"/>
    <w:rsid w:val="00385677"/>
    <w:rsid w:val="00385B70"/>
    <w:rsid w:val="0038616C"/>
    <w:rsid w:val="003863F8"/>
    <w:rsid w:val="0038647D"/>
    <w:rsid w:val="003864C5"/>
    <w:rsid w:val="00387195"/>
    <w:rsid w:val="00387478"/>
    <w:rsid w:val="00387800"/>
    <w:rsid w:val="00390B79"/>
    <w:rsid w:val="00390BEB"/>
    <w:rsid w:val="00390C56"/>
    <w:rsid w:val="00390CC4"/>
    <w:rsid w:val="00390F9B"/>
    <w:rsid w:val="00391A5C"/>
    <w:rsid w:val="00392234"/>
    <w:rsid w:val="003929E2"/>
    <w:rsid w:val="00392A0B"/>
    <w:rsid w:val="003938E1"/>
    <w:rsid w:val="00393931"/>
    <w:rsid w:val="00393A84"/>
    <w:rsid w:val="00393B08"/>
    <w:rsid w:val="00394189"/>
    <w:rsid w:val="003943CA"/>
    <w:rsid w:val="00394598"/>
    <w:rsid w:val="0039466D"/>
    <w:rsid w:val="0039502C"/>
    <w:rsid w:val="00395238"/>
    <w:rsid w:val="003967D4"/>
    <w:rsid w:val="003970FE"/>
    <w:rsid w:val="00397B41"/>
    <w:rsid w:val="00397E1C"/>
    <w:rsid w:val="003A03F0"/>
    <w:rsid w:val="003A0555"/>
    <w:rsid w:val="003A0599"/>
    <w:rsid w:val="003A060D"/>
    <w:rsid w:val="003A10AE"/>
    <w:rsid w:val="003A11AC"/>
    <w:rsid w:val="003A25C1"/>
    <w:rsid w:val="003A2E96"/>
    <w:rsid w:val="003A30C4"/>
    <w:rsid w:val="003A32F5"/>
    <w:rsid w:val="003A52BC"/>
    <w:rsid w:val="003A5832"/>
    <w:rsid w:val="003A62C7"/>
    <w:rsid w:val="003A67E6"/>
    <w:rsid w:val="003A6BCC"/>
    <w:rsid w:val="003A7059"/>
    <w:rsid w:val="003A79D1"/>
    <w:rsid w:val="003B0904"/>
    <w:rsid w:val="003B1E61"/>
    <w:rsid w:val="003B225E"/>
    <w:rsid w:val="003B2AEF"/>
    <w:rsid w:val="003B2C58"/>
    <w:rsid w:val="003B2C70"/>
    <w:rsid w:val="003B2CB2"/>
    <w:rsid w:val="003B33D0"/>
    <w:rsid w:val="003B433B"/>
    <w:rsid w:val="003B4F47"/>
    <w:rsid w:val="003B571E"/>
    <w:rsid w:val="003B58B2"/>
    <w:rsid w:val="003B6BDC"/>
    <w:rsid w:val="003B6DA2"/>
    <w:rsid w:val="003B6F1E"/>
    <w:rsid w:val="003B711A"/>
    <w:rsid w:val="003B71F1"/>
    <w:rsid w:val="003B76A3"/>
    <w:rsid w:val="003B7BF5"/>
    <w:rsid w:val="003BAB3D"/>
    <w:rsid w:val="003C0AA7"/>
    <w:rsid w:val="003C1865"/>
    <w:rsid w:val="003C19AA"/>
    <w:rsid w:val="003C1BFB"/>
    <w:rsid w:val="003C1D84"/>
    <w:rsid w:val="003C21A6"/>
    <w:rsid w:val="003C2A5A"/>
    <w:rsid w:val="003C2CB8"/>
    <w:rsid w:val="003C3097"/>
    <w:rsid w:val="003C349D"/>
    <w:rsid w:val="003C34B1"/>
    <w:rsid w:val="003C3F8B"/>
    <w:rsid w:val="003C4289"/>
    <w:rsid w:val="003C4588"/>
    <w:rsid w:val="003C49B6"/>
    <w:rsid w:val="003C4E0E"/>
    <w:rsid w:val="003C5D09"/>
    <w:rsid w:val="003C62FA"/>
    <w:rsid w:val="003C6663"/>
    <w:rsid w:val="003C6A9D"/>
    <w:rsid w:val="003C6CBE"/>
    <w:rsid w:val="003C6D20"/>
    <w:rsid w:val="003D030A"/>
    <w:rsid w:val="003D0936"/>
    <w:rsid w:val="003D14FA"/>
    <w:rsid w:val="003D35C3"/>
    <w:rsid w:val="003D43FE"/>
    <w:rsid w:val="003D47DE"/>
    <w:rsid w:val="003D546B"/>
    <w:rsid w:val="003D5B7F"/>
    <w:rsid w:val="003D6056"/>
    <w:rsid w:val="003D6C60"/>
    <w:rsid w:val="003E0195"/>
    <w:rsid w:val="003E09B1"/>
    <w:rsid w:val="003E0C90"/>
    <w:rsid w:val="003E0DB1"/>
    <w:rsid w:val="003E1EAA"/>
    <w:rsid w:val="003E2207"/>
    <w:rsid w:val="003E32EC"/>
    <w:rsid w:val="003E3429"/>
    <w:rsid w:val="003E490B"/>
    <w:rsid w:val="003E545B"/>
    <w:rsid w:val="003E550D"/>
    <w:rsid w:val="003E6561"/>
    <w:rsid w:val="003E6C8B"/>
    <w:rsid w:val="003E7361"/>
    <w:rsid w:val="003E75EA"/>
    <w:rsid w:val="003E7963"/>
    <w:rsid w:val="003F0C93"/>
    <w:rsid w:val="003F0E95"/>
    <w:rsid w:val="003F1090"/>
    <w:rsid w:val="003F1A7E"/>
    <w:rsid w:val="003F1FCF"/>
    <w:rsid w:val="003F203D"/>
    <w:rsid w:val="003F20B4"/>
    <w:rsid w:val="003F223F"/>
    <w:rsid w:val="003F2262"/>
    <w:rsid w:val="003F22EF"/>
    <w:rsid w:val="003F3089"/>
    <w:rsid w:val="003F38F0"/>
    <w:rsid w:val="003F3951"/>
    <w:rsid w:val="003F46E3"/>
    <w:rsid w:val="003F485F"/>
    <w:rsid w:val="003F4C91"/>
    <w:rsid w:val="003F545F"/>
    <w:rsid w:val="003F57C9"/>
    <w:rsid w:val="003F5FD7"/>
    <w:rsid w:val="003F6030"/>
    <w:rsid w:val="003F650F"/>
    <w:rsid w:val="003F7087"/>
    <w:rsid w:val="003F7169"/>
    <w:rsid w:val="003F7967"/>
    <w:rsid w:val="004003FA"/>
    <w:rsid w:val="00400F77"/>
    <w:rsid w:val="00401116"/>
    <w:rsid w:val="00401AB3"/>
    <w:rsid w:val="00402279"/>
    <w:rsid w:val="00402638"/>
    <w:rsid w:val="00402B0A"/>
    <w:rsid w:val="00402BB3"/>
    <w:rsid w:val="00402C5D"/>
    <w:rsid w:val="00402FB8"/>
    <w:rsid w:val="004048C0"/>
    <w:rsid w:val="00404B87"/>
    <w:rsid w:val="00404C11"/>
    <w:rsid w:val="00405128"/>
    <w:rsid w:val="00405674"/>
    <w:rsid w:val="00405797"/>
    <w:rsid w:val="00406149"/>
    <w:rsid w:val="0040632D"/>
    <w:rsid w:val="00410B78"/>
    <w:rsid w:val="00412443"/>
    <w:rsid w:val="00412703"/>
    <w:rsid w:val="00412B9B"/>
    <w:rsid w:val="00413386"/>
    <w:rsid w:val="0041341B"/>
    <w:rsid w:val="00413554"/>
    <w:rsid w:val="00413E2C"/>
    <w:rsid w:val="0041413E"/>
    <w:rsid w:val="0041470B"/>
    <w:rsid w:val="00415008"/>
    <w:rsid w:val="0041688F"/>
    <w:rsid w:val="00416C9B"/>
    <w:rsid w:val="00417A12"/>
    <w:rsid w:val="00417C96"/>
    <w:rsid w:val="00417ED2"/>
    <w:rsid w:val="004207F2"/>
    <w:rsid w:val="004209E4"/>
    <w:rsid w:val="004210E7"/>
    <w:rsid w:val="00421175"/>
    <w:rsid w:val="004216E4"/>
    <w:rsid w:val="00422A79"/>
    <w:rsid w:val="004235EF"/>
    <w:rsid w:val="00423984"/>
    <w:rsid w:val="00423D7D"/>
    <w:rsid w:val="00424181"/>
    <w:rsid w:val="00424325"/>
    <w:rsid w:val="00424652"/>
    <w:rsid w:val="00424DF0"/>
    <w:rsid w:val="00424E5B"/>
    <w:rsid w:val="00425321"/>
    <w:rsid w:val="00425413"/>
    <w:rsid w:val="0042569B"/>
    <w:rsid w:val="00426E5B"/>
    <w:rsid w:val="004278B7"/>
    <w:rsid w:val="00427A03"/>
    <w:rsid w:val="00427CC9"/>
    <w:rsid w:val="004300F4"/>
    <w:rsid w:val="004309DA"/>
    <w:rsid w:val="00430AAE"/>
    <w:rsid w:val="0043230A"/>
    <w:rsid w:val="004337B0"/>
    <w:rsid w:val="00433E8D"/>
    <w:rsid w:val="00434537"/>
    <w:rsid w:val="00434B79"/>
    <w:rsid w:val="00435017"/>
    <w:rsid w:val="00435084"/>
    <w:rsid w:val="004353D8"/>
    <w:rsid w:val="00435E86"/>
    <w:rsid w:val="004367DA"/>
    <w:rsid w:val="00437094"/>
    <w:rsid w:val="00440634"/>
    <w:rsid w:val="004407FA"/>
    <w:rsid w:val="00440812"/>
    <w:rsid w:val="004410BB"/>
    <w:rsid w:val="00441852"/>
    <w:rsid w:val="00441B2E"/>
    <w:rsid w:val="00442A12"/>
    <w:rsid w:val="00443396"/>
    <w:rsid w:val="00444CEF"/>
    <w:rsid w:val="00444E78"/>
    <w:rsid w:val="00444F31"/>
    <w:rsid w:val="00445FFA"/>
    <w:rsid w:val="00447611"/>
    <w:rsid w:val="00450415"/>
    <w:rsid w:val="00450C2E"/>
    <w:rsid w:val="00450D26"/>
    <w:rsid w:val="00450DC8"/>
    <w:rsid w:val="00450F2B"/>
    <w:rsid w:val="00451682"/>
    <w:rsid w:val="00452C7E"/>
    <w:rsid w:val="0045388D"/>
    <w:rsid w:val="004540F6"/>
    <w:rsid w:val="00454C96"/>
    <w:rsid w:val="004550D4"/>
    <w:rsid w:val="00455316"/>
    <w:rsid w:val="00455BB5"/>
    <w:rsid w:val="00456C5B"/>
    <w:rsid w:val="00456E8E"/>
    <w:rsid w:val="0045777E"/>
    <w:rsid w:val="0046032E"/>
    <w:rsid w:val="00460479"/>
    <w:rsid w:val="00460615"/>
    <w:rsid w:val="0046174A"/>
    <w:rsid w:val="0046195B"/>
    <w:rsid w:val="004623E0"/>
    <w:rsid w:val="00463416"/>
    <w:rsid w:val="0046383C"/>
    <w:rsid w:val="00463981"/>
    <w:rsid w:val="00463C2F"/>
    <w:rsid w:val="00464281"/>
    <w:rsid w:val="00464FC8"/>
    <w:rsid w:val="00465465"/>
    <w:rsid w:val="00465BCC"/>
    <w:rsid w:val="00466023"/>
    <w:rsid w:val="00466153"/>
    <w:rsid w:val="004671EF"/>
    <w:rsid w:val="0046751B"/>
    <w:rsid w:val="0046767D"/>
    <w:rsid w:val="00467AA7"/>
    <w:rsid w:val="00470B2F"/>
    <w:rsid w:val="00470BAC"/>
    <w:rsid w:val="00470F21"/>
    <w:rsid w:val="0047124C"/>
    <w:rsid w:val="004719D4"/>
    <w:rsid w:val="00471B17"/>
    <w:rsid w:val="004740D5"/>
    <w:rsid w:val="00476030"/>
    <w:rsid w:val="00477017"/>
    <w:rsid w:val="004773DD"/>
    <w:rsid w:val="00477CF0"/>
    <w:rsid w:val="00477F52"/>
    <w:rsid w:val="0048040B"/>
    <w:rsid w:val="00480A33"/>
    <w:rsid w:val="00480A59"/>
    <w:rsid w:val="00480F5F"/>
    <w:rsid w:val="004812FE"/>
    <w:rsid w:val="00482170"/>
    <w:rsid w:val="00482F6E"/>
    <w:rsid w:val="004832A6"/>
    <w:rsid w:val="00483C6C"/>
    <w:rsid w:val="00483E09"/>
    <w:rsid w:val="00483F4D"/>
    <w:rsid w:val="0048488A"/>
    <w:rsid w:val="00484ABE"/>
    <w:rsid w:val="00484F97"/>
    <w:rsid w:val="00485199"/>
    <w:rsid w:val="004854A0"/>
    <w:rsid w:val="00485B03"/>
    <w:rsid w:val="00486338"/>
    <w:rsid w:val="004864F7"/>
    <w:rsid w:val="004865A5"/>
    <w:rsid w:val="00486710"/>
    <w:rsid w:val="004877CE"/>
    <w:rsid w:val="00490DAA"/>
    <w:rsid w:val="00491422"/>
    <w:rsid w:val="00491861"/>
    <w:rsid w:val="00491D7D"/>
    <w:rsid w:val="004925E5"/>
    <w:rsid w:val="00492D75"/>
    <w:rsid w:val="00492E1D"/>
    <w:rsid w:val="00494DD7"/>
    <w:rsid w:val="00495354"/>
    <w:rsid w:val="00495B7C"/>
    <w:rsid w:val="00495FE1"/>
    <w:rsid w:val="0049672D"/>
    <w:rsid w:val="004967ED"/>
    <w:rsid w:val="00496B3E"/>
    <w:rsid w:val="004A079C"/>
    <w:rsid w:val="004A0967"/>
    <w:rsid w:val="004A1493"/>
    <w:rsid w:val="004A15AC"/>
    <w:rsid w:val="004A19A7"/>
    <w:rsid w:val="004A1A80"/>
    <w:rsid w:val="004A381D"/>
    <w:rsid w:val="004A4E94"/>
    <w:rsid w:val="004A5911"/>
    <w:rsid w:val="004A5B86"/>
    <w:rsid w:val="004A6F32"/>
    <w:rsid w:val="004A7A50"/>
    <w:rsid w:val="004B014F"/>
    <w:rsid w:val="004B0307"/>
    <w:rsid w:val="004B19A6"/>
    <w:rsid w:val="004B254D"/>
    <w:rsid w:val="004B25B3"/>
    <w:rsid w:val="004B2D01"/>
    <w:rsid w:val="004B3214"/>
    <w:rsid w:val="004B4ADC"/>
    <w:rsid w:val="004B5D8E"/>
    <w:rsid w:val="004B7011"/>
    <w:rsid w:val="004B7A89"/>
    <w:rsid w:val="004B7DC9"/>
    <w:rsid w:val="004C08D2"/>
    <w:rsid w:val="004C1435"/>
    <w:rsid w:val="004C180C"/>
    <w:rsid w:val="004C1FB0"/>
    <w:rsid w:val="004C324B"/>
    <w:rsid w:val="004C3329"/>
    <w:rsid w:val="004C4168"/>
    <w:rsid w:val="004C527D"/>
    <w:rsid w:val="004C55A1"/>
    <w:rsid w:val="004C5C13"/>
    <w:rsid w:val="004C5CBE"/>
    <w:rsid w:val="004C69B1"/>
    <w:rsid w:val="004D06CD"/>
    <w:rsid w:val="004D169D"/>
    <w:rsid w:val="004D1919"/>
    <w:rsid w:val="004D22F3"/>
    <w:rsid w:val="004D2CFB"/>
    <w:rsid w:val="004D2F47"/>
    <w:rsid w:val="004D3458"/>
    <w:rsid w:val="004D34E6"/>
    <w:rsid w:val="004D3E72"/>
    <w:rsid w:val="004D43CA"/>
    <w:rsid w:val="004D47DC"/>
    <w:rsid w:val="004D5A11"/>
    <w:rsid w:val="004D5DA6"/>
    <w:rsid w:val="004D6083"/>
    <w:rsid w:val="004D630D"/>
    <w:rsid w:val="004D6819"/>
    <w:rsid w:val="004D69A9"/>
    <w:rsid w:val="004D7A25"/>
    <w:rsid w:val="004E0230"/>
    <w:rsid w:val="004E02CA"/>
    <w:rsid w:val="004E08BA"/>
    <w:rsid w:val="004E0C16"/>
    <w:rsid w:val="004E0F19"/>
    <w:rsid w:val="004E1121"/>
    <w:rsid w:val="004E160C"/>
    <w:rsid w:val="004E250C"/>
    <w:rsid w:val="004E25BC"/>
    <w:rsid w:val="004E26BA"/>
    <w:rsid w:val="004E2A76"/>
    <w:rsid w:val="004E341E"/>
    <w:rsid w:val="004E3863"/>
    <w:rsid w:val="004E3BC1"/>
    <w:rsid w:val="004E459F"/>
    <w:rsid w:val="004E49BC"/>
    <w:rsid w:val="004E5153"/>
    <w:rsid w:val="004E5871"/>
    <w:rsid w:val="004E5CD9"/>
    <w:rsid w:val="004E5D6E"/>
    <w:rsid w:val="004E65C6"/>
    <w:rsid w:val="004E7D84"/>
    <w:rsid w:val="004ECB2E"/>
    <w:rsid w:val="004F0D11"/>
    <w:rsid w:val="004F0EB4"/>
    <w:rsid w:val="004F1737"/>
    <w:rsid w:val="004F17DB"/>
    <w:rsid w:val="004F279F"/>
    <w:rsid w:val="004F2AAB"/>
    <w:rsid w:val="004F3ECA"/>
    <w:rsid w:val="004F3FCB"/>
    <w:rsid w:val="004F463D"/>
    <w:rsid w:val="004F4FCC"/>
    <w:rsid w:val="004F535A"/>
    <w:rsid w:val="004F5F3E"/>
    <w:rsid w:val="004F6056"/>
    <w:rsid w:val="004F6376"/>
    <w:rsid w:val="004F6A32"/>
    <w:rsid w:val="004F6F7E"/>
    <w:rsid w:val="004F715B"/>
    <w:rsid w:val="004F769A"/>
    <w:rsid w:val="004F79AC"/>
    <w:rsid w:val="005000C2"/>
    <w:rsid w:val="00500422"/>
    <w:rsid w:val="00501171"/>
    <w:rsid w:val="0050120C"/>
    <w:rsid w:val="00501243"/>
    <w:rsid w:val="00501459"/>
    <w:rsid w:val="00501EE7"/>
    <w:rsid w:val="00502100"/>
    <w:rsid w:val="00502141"/>
    <w:rsid w:val="00502A63"/>
    <w:rsid w:val="00502C27"/>
    <w:rsid w:val="005037EC"/>
    <w:rsid w:val="00503C52"/>
    <w:rsid w:val="0050434E"/>
    <w:rsid w:val="005049CF"/>
    <w:rsid w:val="00504FD7"/>
    <w:rsid w:val="005053B4"/>
    <w:rsid w:val="00506A58"/>
    <w:rsid w:val="00506A94"/>
    <w:rsid w:val="0050767C"/>
    <w:rsid w:val="005076DD"/>
    <w:rsid w:val="00510709"/>
    <w:rsid w:val="00510752"/>
    <w:rsid w:val="00510D05"/>
    <w:rsid w:val="00510F39"/>
    <w:rsid w:val="00511581"/>
    <w:rsid w:val="00512385"/>
    <w:rsid w:val="005132C4"/>
    <w:rsid w:val="005133BD"/>
    <w:rsid w:val="005138D5"/>
    <w:rsid w:val="005139AC"/>
    <w:rsid w:val="00513BBF"/>
    <w:rsid w:val="00513C2A"/>
    <w:rsid w:val="0051411B"/>
    <w:rsid w:val="00514214"/>
    <w:rsid w:val="00514240"/>
    <w:rsid w:val="0051491A"/>
    <w:rsid w:val="00514A50"/>
    <w:rsid w:val="0051586E"/>
    <w:rsid w:val="00515B0F"/>
    <w:rsid w:val="005163D1"/>
    <w:rsid w:val="00520044"/>
    <w:rsid w:val="005215A0"/>
    <w:rsid w:val="00522C04"/>
    <w:rsid w:val="00522C5A"/>
    <w:rsid w:val="00523246"/>
    <w:rsid w:val="00523388"/>
    <w:rsid w:val="005233EA"/>
    <w:rsid w:val="00523826"/>
    <w:rsid w:val="005248CF"/>
    <w:rsid w:val="00524FEA"/>
    <w:rsid w:val="005252D3"/>
    <w:rsid w:val="00525506"/>
    <w:rsid w:val="00525BD1"/>
    <w:rsid w:val="00525C94"/>
    <w:rsid w:val="00526998"/>
    <w:rsid w:val="005273AE"/>
    <w:rsid w:val="005273D2"/>
    <w:rsid w:val="0052EEB9"/>
    <w:rsid w:val="00530C48"/>
    <w:rsid w:val="00530D67"/>
    <w:rsid w:val="00530EB7"/>
    <w:rsid w:val="00531BE0"/>
    <w:rsid w:val="00531CDD"/>
    <w:rsid w:val="005324EB"/>
    <w:rsid w:val="00532F2A"/>
    <w:rsid w:val="0053332D"/>
    <w:rsid w:val="00534350"/>
    <w:rsid w:val="00535819"/>
    <w:rsid w:val="00536DF7"/>
    <w:rsid w:val="00537097"/>
    <w:rsid w:val="005377A6"/>
    <w:rsid w:val="00540004"/>
    <w:rsid w:val="00540572"/>
    <w:rsid w:val="00541251"/>
    <w:rsid w:val="005415A4"/>
    <w:rsid w:val="005419F6"/>
    <w:rsid w:val="00541F49"/>
    <w:rsid w:val="00542CEC"/>
    <w:rsid w:val="00543295"/>
    <w:rsid w:val="00544C94"/>
    <w:rsid w:val="00544DBD"/>
    <w:rsid w:val="00544F32"/>
    <w:rsid w:val="00545B92"/>
    <w:rsid w:val="00545EA6"/>
    <w:rsid w:val="0054615F"/>
    <w:rsid w:val="0055083C"/>
    <w:rsid w:val="00550E91"/>
    <w:rsid w:val="0055113E"/>
    <w:rsid w:val="00551EEF"/>
    <w:rsid w:val="005527E3"/>
    <w:rsid w:val="00553685"/>
    <w:rsid w:val="00553B78"/>
    <w:rsid w:val="00553E35"/>
    <w:rsid w:val="005546ED"/>
    <w:rsid w:val="005548CE"/>
    <w:rsid w:val="00555B59"/>
    <w:rsid w:val="00555EF1"/>
    <w:rsid w:val="00556F24"/>
    <w:rsid w:val="00557177"/>
    <w:rsid w:val="0055734E"/>
    <w:rsid w:val="00557867"/>
    <w:rsid w:val="00557889"/>
    <w:rsid w:val="00557E5C"/>
    <w:rsid w:val="00560549"/>
    <w:rsid w:val="00560D7E"/>
    <w:rsid w:val="00561F98"/>
    <w:rsid w:val="00562578"/>
    <w:rsid w:val="00562CB2"/>
    <w:rsid w:val="00562DD7"/>
    <w:rsid w:val="0056339F"/>
    <w:rsid w:val="0056347F"/>
    <w:rsid w:val="0056468F"/>
    <w:rsid w:val="005652B0"/>
    <w:rsid w:val="00565760"/>
    <w:rsid w:val="00565A8A"/>
    <w:rsid w:val="005660F2"/>
    <w:rsid w:val="00566356"/>
    <w:rsid w:val="005666E6"/>
    <w:rsid w:val="005667A1"/>
    <w:rsid w:val="005668BE"/>
    <w:rsid w:val="00566D23"/>
    <w:rsid w:val="00567385"/>
    <w:rsid w:val="00570126"/>
    <w:rsid w:val="005703EC"/>
    <w:rsid w:val="005708CC"/>
    <w:rsid w:val="00570F19"/>
    <w:rsid w:val="00571008"/>
    <w:rsid w:val="0057119E"/>
    <w:rsid w:val="00571260"/>
    <w:rsid w:val="00572637"/>
    <w:rsid w:val="0057269B"/>
    <w:rsid w:val="00572BE7"/>
    <w:rsid w:val="00572C47"/>
    <w:rsid w:val="00573860"/>
    <w:rsid w:val="005738BB"/>
    <w:rsid w:val="00573AE4"/>
    <w:rsid w:val="00574846"/>
    <w:rsid w:val="0057572C"/>
    <w:rsid w:val="00575745"/>
    <w:rsid w:val="00575842"/>
    <w:rsid w:val="00575B7A"/>
    <w:rsid w:val="00575C03"/>
    <w:rsid w:val="00576D3E"/>
    <w:rsid w:val="00576DB4"/>
    <w:rsid w:val="00576FCE"/>
    <w:rsid w:val="005770BB"/>
    <w:rsid w:val="00577B33"/>
    <w:rsid w:val="00577FDE"/>
    <w:rsid w:val="00580D16"/>
    <w:rsid w:val="005813B9"/>
    <w:rsid w:val="005813E0"/>
    <w:rsid w:val="005815AB"/>
    <w:rsid w:val="0058194C"/>
    <w:rsid w:val="00581C70"/>
    <w:rsid w:val="00582C50"/>
    <w:rsid w:val="00582CF5"/>
    <w:rsid w:val="00583025"/>
    <w:rsid w:val="0058315F"/>
    <w:rsid w:val="00583359"/>
    <w:rsid w:val="005837E9"/>
    <w:rsid w:val="00583B19"/>
    <w:rsid w:val="00583FBF"/>
    <w:rsid w:val="005841D5"/>
    <w:rsid w:val="00584A49"/>
    <w:rsid w:val="00584C6B"/>
    <w:rsid w:val="00586704"/>
    <w:rsid w:val="005869C1"/>
    <w:rsid w:val="00586E82"/>
    <w:rsid w:val="00586F38"/>
    <w:rsid w:val="00586FC4"/>
    <w:rsid w:val="005871E1"/>
    <w:rsid w:val="00587263"/>
    <w:rsid w:val="00587945"/>
    <w:rsid w:val="00587E86"/>
    <w:rsid w:val="00587FA8"/>
    <w:rsid w:val="0058A0FA"/>
    <w:rsid w:val="005916D8"/>
    <w:rsid w:val="0059181A"/>
    <w:rsid w:val="00591F0E"/>
    <w:rsid w:val="00593441"/>
    <w:rsid w:val="005938EF"/>
    <w:rsid w:val="00594E51"/>
    <w:rsid w:val="0059519F"/>
    <w:rsid w:val="00595B3C"/>
    <w:rsid w:val="00595FB9"/>
    <w:rsid w:val="00596567"/>
    <w:rsid w:val="00596B3B"/>
    <w:rsid w:val="005973B8"/>
    <w:rsid w:val="005977D2"/>
    <w:rsid w:val="005978F0"/>
    <w:rsid w:val="005A0DBC"/>
    <w:rsid w:val="005A130B"/>
    <w:rsid w:val="005A1453"/>
    <w:rsid w:val="005A1725"/>
    <w:rsid w:val="005A1B5C"/>
    <w:rsid w:val="005A1EE1"/>
    <w:rsid w:val="005A2610"/>
    <w:rsid w:val="005A2D66"/>
    <w:rsid w:val="005A30AC"/>
    <w:rsid w:val="005A4065"/>
    <w:rsid w:val="005A4508"/>
    <w:rsid w:val="005A582B"/>
    <w:rsid w:val="005A5977"/>
    <w:rsid w:val="005A602B"/>
    <w:rsid w:val="005A65EE"/>
    <w:rsid w:val="005A7105"/>
    <w:rsid w:val="005A7216"/>
    <w:rsid w:val="005A7486"/>
    <w:rsid w:val="005A7C5D"/>
    <w:rsid w:val="005B0231"/>
    <w:rsid w:val="005B08F3"/>
    <w:rsid w:val="005B1484"/>
    <w:rsid w:val="005B14B8"/>
    <w:rsid w:val="005B1518"/>
    <w:rsid w:val="005B1718"/>
    <w:rsid w:val="005B17AF"/>
    <w:rsid w:val="005B1883"/>
    <w:rsid w:val="005B1E3C"/>
    <w:rsid w:val="005B2E8F"/>
    <w:rsid w:val="005B3055"/>
    <w:rsid w:val="005B4A9D"/>
    <w:rsid w:val="005B4DDF"/>
    <w:rsid w:val="005B5166"/>
    <w:rsid w:val="005B6785"/>
    <w:rsid w:val="005B7021"/>
    <w:rsid w:val="005B741E"/>
    <w:rsid w:val="005C09BE"/>
    <w:rsid w:val="005C0D1C"/>
    <w:rsid w:val="005C0E91"/>
    <w:rsid w:val="005C0F5E"/>
    <w:rsid w:val="005C110F"/>
    <w:rsid w:val="005C17CD"/>
    <w:rsid w:val="005C1AE9"/>
    <w:rsid w:val="005C2326"/>
    <w:rsid w:val="005C24AF"/>
    <w:rsid w:val="005C289A"/>
    <w:rsid w:val="005C36EF"/>
    <w:rsid w:val="005C4A20"/>
    <w:rsid w:val="005C5131"/>
    <w:rsid w:val="005C608A"/>
    <w:rsid w:val="005C6374"/>
    <w:rsid w:val="005C6916"/>
    <w:rsid w:val="005C7132"/>
    <w:rsid w:val="005C7B73"/>
    <w:rsid w:val="005D0BCA"/>
    <w:rsid w:val="005D27D2"/>
    <w:rsid w:val="005D2894"/>
    <w:rsid w:val="005D296D"/>
    <w:rsid w:val="005D3028"/>
    <w:rsid w:val="005D31B7"/>
    <w:rsid w:val="005D3B75"/>
    <w:rsid w:val="005D46C9"/>
    <w:rsid w:val="005D58C4"/>
    <w:rsid w:val="005D5979"/>
    <w:rsid w:val="005D610B"/>
    <w:rsid w:val="005D69C2"/>
    <w:rsid w:val="005D75D2"/>
    <w:rsid w:val="005D7EC9"/>
    <w:rsid w:val="005E1C1E"/>
    <w:rsid w:val="005E1CFE"/>
    <w:rsid w:val="005E1D84"/>
    <w:rsid w:val="005E30AE"/>
    <w:rsid w:val="005E4789"/>
    <w:rsid w:val="005E486B"/>
    <w:rsid w:val="005E5C68"/>
    <w:rsid w:val="005E62FA"/>
    <w:rsid w:val="005E6DE7"/>
    <w:rsid w:val="005E7814"/>
    <w:rsid w:val="005E7AA5"/>
    <w:rsid w:val="005E7D0A"/>
    <w:rsid w:val="005E8028"/>
    <w:rsid w:val="005F045F"/>
    <w:rsid w:val="005F1670"/>
    <w:rsid w:val="005F1857"/>
    <w:rsid w:val="005F21A3"/>
    <w:rsid w:val="005F26B1"/>
    <w:rsid w:val="005F2737"/>
    <w:rsid w:val="005F35BC"/>
    <w:rsid w:val="005F585C"/>
    <w:rsid w:val="005F63D2"/>
    <w:rsid w:val="005F6AB5"/>
    <w:rsid w:val="005F6B75"/>
    <w:rsid w:val="005F70D3"/>
    <w:rsid w:val="005F739A"/>
    <w:rsid w:val="005F7E89"/>
    <w:rsid w:val="00600AA7"/>
    <w:rsid w:val="00600CD7"/>
    <w:rsid w:val="0060166B"/>
    <w:rsid w:val="0060198C"/>
    <w:rsid w:val="00601B75"/>
    <w:rsid w:val="006020B7"/>
    <w:rsid w:val="006021DE"/>
    <w:rsid w:val="00603618"/>
    <w:rsid w:val="00603F0B"/>
    <w:rsid w:val="00604C1A"/>
    <w:rsid w:val="00604F53"/>
    <w:rsid w:val="006058EE"/>
    <w:rsid w:val="00606025"/>
    <w:rsid w:val="00606318"/>
    <w:rsid w:val="006065B8"/>
    <w:rsid w:val="0060683D"/>
    <w:rsid w:val="00606AE9"/>
    <w:rsid w:val="00606C48"/>
    <w:rsid w:val="0060715E"/>
    <w:rsid w:val="00607988"/>
    <w:rsid w:val="00611114"/>
    <w:rsid w:val="006120BD"/>
    <w:rsid w:val="00612385"/>
    <w:rsid w:val="0061244C"/>
    <w:rsid w:val="00614C7B"/>
    <w:rsid w:val="006158AF"/>
    <w:rsid w:val="00615E98"/>
    <w:rsid w:val="0061658D"/>
    <w:rsid w:val="00616B6A"/>
    <w:rsid w:val="00616C5C"/>
    <w:rsid w:val="00617029"/>
    <w:rsid w:val="006179E9"/>
    <w:rsid w:val="00617C27"/>
    <w:rsid w:val="0062011C"/>
    <w:rsid w:val="00620AB5"/>
    <w:rsid w:val="00621CBE"/>
    <w:rsid w:val="00622798"/>
    <w:rsid w:val="00623966"/>
    <w:rsid w:val="00623B5D"/>
    <w:rsid w:val="00624836"/>
    <w:rsid w:val="0062492F"/>
    <w:rsid w:val="00624B86"/>
    <w:rsid w:val="00624BA6"/>
    <w:rsid w:val="00624D09"/>
    <w:rsid w:val="00624F8D"/>
    <w:rsid w:val="00625A3D"/>
    <w:rsid w:val="006267A6"/>
    <w:rsid w:val="006278DE"/>
    <w:rsid w:val="00631CF4"/>
    <w:rsid w:val="00632EDD"/>
    <w:rsid w:val="00632FA5"/>
    <w:rsid w:val="006342C0"/>
    <w:rsid w:val="00634DD7"/>
    <w:rsid w:val="00634FCF"/>
    <w:rsid w:val="00636DEA"/>
    <w:rsid w:val="00637EC2"/>
    <w:rsid w:val="00641B2E"/>
    <w:rsid w:val="00641EDE"/>
    <w:rsid w:val="006421DB"/>
    <w:rsid w:val="0064226C"/>
    <w:rsid w:val="00642615"/>
    <w:rsid w:val="006427FF"/>
    <w:rsid w:val="00642C0F"/>
    <w:rsid w:val="00642CEB"/>
    <w:rsid w:val="0064478B"/>
    <w:rsid w:val="00644D25"/>
    <w:rsid w:val="006452F3"/>
    <w:rsid w:val="0064548E"/>
    <w:rsid w:val="00645590"/>
    <w:rsid w:val="00645C51"/>
    <w:rsid w:val="00646E1B"/>
    <w:rsid w:val="00647FC6"/>
    <w:rsid w:val="0065039E"/>
    <w:rsid w:val="00650701"/>
    <w:rsid w:val="00651478"/>
    <w:rsid w:val="0065195B"/>
    <w:rsid w:val="00651A78"/>
    <w:rsid w:val="0065216C"/>
    <w:rsid w:val="00652795"/>
    <w:rsid w:val="006535A3"/>
    <w:rsid w:val="00653679"/>
    <w:rsid w:val="0065452B"/>
    <w:rsid w:val="006546B5"/>
    <w:rsid w:val="00654BCC"/>
    <w:rsid w:val="00654DCF"/>
    <w:rsid w:val="00655283"/>
    <w:rsid w:val="0065550B"/>
    <w:rsid w:val="00655AE2"/>
    <w:rsid w:val="0065699A"/>
    <w:rsid w:val="00656B15"/>
    <w:rsid w:val="00657DFC"/>
    <w:rsid w:val="00660423"/>
    <w:rsid w:val="0066070A"/>
    <w:rsid w:val="00660CF6"/>
    <w:rsid w:val="006612AA"/>
    <w:rsid w:val="00662626"/>
    <w:rsid w:val="006626B7"/>
    <w:rsid w:val="00662A00"/>
    <w:rsid w:val="00662B84"/>
    <w:rsid w:val="0066308B"/>
    <w:rsid w:val="006633CC"/>
    <w:rsid w:val="00663965"/>
    <w:rsid w:val="00664000"/>
    <w:rsid w:val="00664B78"/>
    <w:rsid w:val="00665532"/>
    <w:rsid w:val="00667441"/>
    <w:rsid w:val="00667DEC"/>
    <w:rsid w:val="006707ED"/>
    <w:rsid w:val="006716CF"/>
    <w:rsid w:val="00671A8D"/>
    <w:rsid w:val="00671B50"/>
    <w:rsid w:val="00672482"/>
    <w:rsid w:val="006727DA"/>
    <w:rsid w:val="006728EB"/>
    <w:rsid w:val="00672A4E"/>
    <w:rsid w:val="006734A7"/>
    <w:rsid w:val="006739D5"/>
    <w:rsid w:val="00673A10"/>
    <w:rsid w:val="00674468"/>
    <w:rsid w:val="00674AB6"/>
    <w:rsid w:val="00675553"/>
    <w:rsid w:val="0067576D"/>
    <w:rsid w:val="00675F2E"/>
    <w:rsid w:val="00676203"/>
    <w:rsid w:val="00676449"/>
    <w:rsid w:val="00677424"/>
    <w:rsid w:val="006777F7"/>
    <w:rsid w:val="00681930"/>
    <w:rsid w:val="00681C5F"/>
    <w:rsid w:val="0068243D"/>
    <w:rsid w:val="00683EBB"/>
    <w:rsid w:val="00684362"/>
    <w:rsid w:val="0068445B"/>
    <w:rsid w:val="006856B3"/>
    <w:rsid w:val="00685B5B"/>
    <w:rsid w:val="00686116"/>
    <w:rsid w:val="006861BB"/>
    <w:rsid w:val="0069094A"/>
    <w:rsid w:val="00690EDF"/>
    <w:rsid w:val="00690FEC"/>
    <w:rsid w:val="0069213A"/>
    <w:rsid w:val="00692B3E"/>
    <w:rsid w:val="00692CAC"/>
    <w:rsid w:val="006935B8"/>
    <w:rsid w:val="00693637"/>
    <w:rsid w:val="00693BDF"/>
    <w:rsid w:val="00694039"/>
    <w:rsid w:val="00694C68"/>
    <w:rsid w:val="006957A2"/>
    <w:rsid w:val="00696E2C"/>
    <w:rsid w:val="00696F07"/>
    <w:rsid w:val="0069745E"/>
    <w:rsid w:val="00697F14"/>
    <w:rsid w:val="006A078D"/>
    <w:rsid w:val="006A166B"/>
    <w:rsid w:val="006A17BC"/>
    <w:rsid w:val="006A1BB5"/>
    <w:rsid w:val="006A1FDF"/>
    <w:rsid w:val="006A22B5"/>
    <w:rsid w:val="006A244E"/>
    <w:rsid w:val="006A2722"/>
    <w:rsid w:val="006A2DC4"/>
    <w:rsid w:val="006A3778"/>
    <w:rsid w:val="006A3801"/>
    <w:rsid w:val="006A4932"/>
    <w:rsid w:val="006A4AB4"/>
    <w:rsid w:val="006A4F38"/>
    <w:rsid w:val="006A56D5"/>
    <w:rsid w:val="006A5B2C"/>
    <w:rsid w:val="006A5D23"/>
    <w:rsid w:val="006A5DB3"/>
    <w:rsid w:val="006A635C"/>
    <w:rsid w:val="006A6AEF"/>
    <w:rsid w:val="006A7E7B"/>
    <w:rsid w:val="006B04CE"/>
    <w:rsid w:val="006B15CE"/>
    <w:rsid w:val="006B16D3"/>
    <w:rsid w:val="006B179D"/>
    <w:rsid w:val="006B1BFA"/>
    <w:rsid w:val="006B1D8E"/>
    <w:rsid w:val="006B25A5"/>
    <w:rsid w:val="006B280F"/>
    <w:rsid w:val="006B2C70"/>
    <w:rsid w:val="006B2FC2"/>
    <w:rsid w:val="006B3408"/>
    <w:rsid w:val="006B3A7B"/>
    <w:rsid w:val="006B3FCB"/>
    <w:rsid w:val="006B431B"/>
    <w:rsid w:val="006B46EF"/>
    <w:rsid w:val="006B496C"/>
    <w:rsid w:val="006B5823"/>
    <w:rsid w:val="006B5BD3"/>
    <w:rsid w:val="006C0C15"/>
    <w:rsid w:val="006C268B"/>
    <w:rsid w:val="006C33B5"/>
    <w:rsid w:val="006C3631"/>
    <w:rsid w:val="006C493B"/>
    <w:rsid w:val="006C4E3C"/>
    <w:rsid w:val="006C5000"/>
    <w:rsid w:val="006C6646"/>
    <w:rsid w:val="006C677F"/>
    <w:rsid w:val="006C6829"/>
    <w:rsid w:val="006C6C86"/>
    <w:rsid w:val="006C7435"/>
    <w:rsid w:val="006C7B6E"/>
    <w:rsid w:val="006D019E"/>
    <w:rsid w:val="006D01F3"/>
    <w:rsid w:val="006D04C6"/>
    <w:rsid w:val="006D1270"/>
    <w:rsid w:val="006D1C8D"/>
    <w:rsid w:val="006D1FF4"/>
    <w:rsid w:val="006D2660"/>
    <w:rsid w:val="006D2B30"/>
    <w:rsid w:val="006D315A"/>
    <w:rsid w:val="006D38C6"/>
    <w:rsid w:val="006D4729"/>
    <w:rsid w:val="006D47FA"/>
    <w:rsid w:val="006D4B7E"/>
    <w:rsid w:val="006D5902"/>
    <w:rsid w:val="006D5CAF"/>
    <w:rsid w:val="006D5CDC"/>
    <w:rsid w:val="006D6274"/>
    <w:rsid w:val="006D643B"/>
    <w:rsid w:val="006D67AB"/>
    <w:rsid w:val="006D785D"/>
    <w:rsid w:val="006E0342"/>
    <w:rsid w:val="006E0628"/>
    <w:rsid w:val="006E11B2"/>
    <w:rsid w:val="006E21D5"/>
    <w:rsid w:val="006E2EC9"/>
    <w:rsid w:val="006E352D"/>
    <w:rsid w:val="006E4AC6"/>
    <w:rsid w:val="006E4FEF"/>
    <w:rsid w:val="006E5543"/>
    <w:rsid w:val="006E605A"/>
    <w:rsid w:val="006E609A"/>
    <w:rsid w:val="006E6DCE"/>
    <w:rsid w:val="006F0931"/>
    <w:rsid w:val="006F1914"/>
    <w:rsid w:val="006F22B7"/>
    <w:rsid w:val="006F2ED1"/>
    <w:rsid w:val="006F3178"/>
    <w:rsid w:val="006F33F8"/>
    <w:rsid w:val="006F346C"/>
    <w:rsid w:val="006F38A4"/>
    <w:rsid w:val="006F5B6E"/>
    <w:rsid w:val="006F5C42"/>
    <w:rsid w:val="006F6B22"/>
    <w:rsid w:val="006F6C0B"/>
    <w:rsid w:val="006F6FF1"/>
    <w:rsid w:val="006F7120"/>
    <w:rsid w:val="006F79B0"/>
    <w:rsid w:val="0070026C"/>
    <w:rsid w:val="00701265"/>
    <w:rsid w:val="00701ACC"/>
    <w:rsid w:val="00702F62"/>
    <w:rsid w:val="00702F90"/>
    <w:rsid w:val="0070348A"/>
    <w:rsid w:val="00703581"/>
    <w:rsid w:val="0070375D"/>
    <w:rsid w:val="00703A49"/>
    <w:rsid w:val="0070495D"/>
    <w:rsid w:val="007049CD"/>
    <w:rsid w:val="00706504"/>
    <w:rsid w:val="00706655"/>
    <w:rsid w:val="00706A2A"/>
    <w:rsid w:val="00706E96"/>
    <w:rsid w:val="0071011F"/>
    <w:rsid w:val="00711D3E"/>
    <w:rsid w:val="00711EB9"/>
    <w:rsid w:val="00712982"/>
    <w:rsid w:val="00712D69"/>
    <w:rsid w:val="00712D98"/>
    <w:rsid w:val="0071301E"/>
    <w:rsid w:val="00713459"/>
    <w:rsid w:val="00713A6F"/>
    <w:rsid w:val="00714518"/>
    <w:rsid w:val="00714871"/>
    <w:rsid w:val="007151F2"/>
    <w:rsid w:val="0071572B"/>
    <w:rsid w:val="007161F0"/>
    <w:rsid w:val="007167D8"/>
    <w:rsid w:val="00716DE4"/>
    <w:rsid w:val="0071727D"/>
    <w:rsid w:val="00717E55"/>
    <w:rsid w:val="00720057"/>
    <w:rsid w:val="0072170F"/>
    <w:rsid w:val="00721C92"/>
    <w:rsid w:val="00721D81"/>
    <w:rsid w:val="00722062"/>
    <w:rsid w:val="00722461"/>
    <w:rsid w:val="007225C2"/>
    <w:rsid w:val="00722600"/>
    <w:rsid w:val="0072294D"/>
    <w:rsid w:val="00722C3F"/>
    <w:rsid w:val="007244A5"/>
    <w:rsid w:val="007245FB"/>
    <w:rsid w:val="00724728"/>
    <w:rsid w:val="00724E22"/>
    <w:rsid w:val="00724FA7"/>
    <w:rsid w:val="0072527E"/>
    <w:rsid w:val="0072532A"/>
    <w:rsid w:val="00725B45"/>
    <w:rsid w:val="0072669C"/>
    <w:rsid w:val="00730369"/>
    <w:rsid w:val="00730C2B"/>
    <w:rsid w:val="00730E69"/>
    <w:rsid w:val="00732070"/>
    <w:rsid w:val="007321A9"/>
    <w:rsid w:val="00732CE5"/>
    <w:rsid w:val="007335AE"/>
    <w:rsid w:val="007335C0"/>
    <w:rsid w:val="00733E2B"/>
    <w:rsid w:val="007342C5"/>
    <w:rsid w:val="00734C4E"/>
    <w:rsid w:val="0073539C"/>
    <w:rsid w:val="00735947"/>
    <w:rsid w:val="0073595D"/>
    <w:rsid w:val="00735B13"/>
    <w:rsid w:val="00736080"/>
    <w:rsid w:val="007360C8"/>
    <w:rsid w:val="007376CD"/>
    <w:rsid w:val="00740B54"/>
    <w:rsid w:val="00740BC8"/>
    <w:rsid w:val="0074100E"/>
    <w:rsid w:val="007416A6"/>
    <w:rsid w:val="007417DB"/>
    <w:rsid w:val="00742C12"/>
    <w:rsid w:val="00742EFD"/>
    <w:rsid w:val="00743201"/>
    <w:rsid w:val="0074342C"/>
    <w:rsid w:val="00743A53"/>
    <w:rsid w:val="00743C37"/>
    <w:rsid w:val="00744E16"/>
    <w:rsid w:val="007460ED"/>
    <w:rsid w:val="0074718F"/>
    <w:rsid w:val="007512DB"/>
    <w:rsid w:val="007513CC"/>
    <w:rsid w:val="0075163A"/>
    <w:rsid w:val="00752FEF"/>
    <w:rsid w:val="007530C9"/>
    <w:rsid w:val="00753A50"/>
    <w:rsid w:val="00753AFD"/>
    <w:rsid w:val="00754700"/>
    <w:rsid w:val="00754F75"/>
    <w:rsid w:val="007553C1"/>
    <w:rsid w:val="00755F63"/>
    <w:rsid w:val="007564B2"/>
    <w:rsid w:val="00756AAA"/>
    <w:rsid w:val="00756D02"/>
    <w:rsid w:val="00757225"/>
    <w:rsid w:val="00757722"/>
    <w:rsid w:val="00761CCC"/>
    <w:rsid w:val="00761E1C"/>
    <w:rsid w:val="00761E66"/>
    <w:rsid w:val="00762090"/>
    <w:rsid w:val="00762142"/>
    <w:rsid w:val="00762857"/>
    <w:rsid w:val="00762936"/>
    <w:rsid w:val="00763BED"/>
    <w:rsid w:val="00764D48"/>
    <w:rsid w:val="00765824"/>
    <w:rsid w:val="00765E04"/>
    <w:rsid w:val="007662E4"/>
    <w:rsid w:val="00766615"/>
    <w:rsid w:val="00766B47"/>
    <w:rsid w:val="00767CE8"/>
    <w:rsid w:val="00769B4B"/>
    <w:rsid w:val="0076EE16"/>
    <w:rsid w:val="00770C21"/>
    <w:rsid w:val="00771179"/>
    <w:rsid w:val="007716C0"/>
    <w:rsid w:val="007717DF"/>
    <w:rsid w:val="00772375"/>
    <w:rsid w:val="007723FA"/>
    <w:rsid w:val="00772A54"/>
    <w:rsid w:val="00772E32"/>
    <w:rsid w:val="00773B67"/>
    <w:rsid w:val="00773BF3"/>
    <w:rsid w:val="00773C87"/>
    <w:rsid w:val="00773E63"/>
    <w:rsid w:val="00774029"/>
    <w:rsid w:val="00774BF0"/>
    <w:rsid w:val="00774F7C"/>
    <w:rsid w:val="007769E3"/>
    <w:rsid w:val="0077727E"/>
    <w:rsid w:val="007802EA"/>
    <w:rsid w:val="00780336"/>
    <w:rsid w:val="0078044B"/>
    <w:rsid w:val="00780F4E"/>
    <w:rsid w:val="007823CA"/>
    <w:rsid w:val="00782B22"/>
    <w:rsid w:val="00783AC4"/>
    <w:rsid w:val="007842DA"/>
    <w:rsid w:val="00784796"/>
    <w:rsid w:val="007848B6"/>
    <w:rsid w:val="00784A9A"/>
    <w:rsid w:val="00784AB6"/>
    <w:rsid w:val="0078729E"/>
    <w:rsid w:val="00787808"/>
    <w:rsid w:val="007909CE"/>
    <w:rsid w:val="007912B4"/>
    <w:rsid w:val="00791423"/>
    <w:rsid w:val="00791510"/>
    <w:rsid w:val="007915AC"/>
    <w:rsid w:val="00791C9E"/>
    <w:rsid w:val="007926E8"/>
    <w:rsid w:val="007928B6"/>
    <w:rsid w:val="00792A70"/>
    <w:rsid w:val="00792F16"/>
    <w:rsid w:val="00793722"/>
    <w:rsid w:val="00793948"/>
    <w:rsid w:val="007943EA"/>
    <w:rsid w:val="007947A0"/>
    <w:rsid w:val="00794F8C"/>
    <w:rsid w:val="007953C8"/>
    <w:rsid w:val="00795A9B"/>
    <w:rsid w:val="0079646E"/>
    <w:rsid w:val="007969E9"/>
    <w:rsid w:val="00796EF5"/>
    <w:rsid w:val="007977DB"/>
    <w:rsid w:val="00797F8B"/>
    <w:rsid w:val="007A09E5"/>
    <w:rsid w:val="007A12A1"/>
    <w:rsid w:val="007A16CF"/>
    <w:rsid w:val="007A1A61"/>
    <w:rsid w:val="007A1C07"/>
    <w:rsid w:val="007A3326"/>
    <w:rsid w:val="007A3618"/>
    <w:rsid w:val="007A47C7"/>
    <w:rsid w:val="007A55BA"/>
    <w:rsid w:val="007A5818"/>
    <w:rsid w:val="007A6307"/>
    <w:rsid w:val="007A6B83"/>
    <w:rsid w:val="007A712F"/>
    <w:rsid w:val="007A7CE3"/>
    <w:rsid w:val="007A7EDF"/>
    <w:rsid w:val="007B032F"/>
    <w:rsid w:val="007B0372"/>
    <w:rsid w:val="007B1D68"/>
    <w:rsid w:val="007B2898"/>
    <w:rsid w:val="007B34F4"/>
    <w:rsid w:val="007B479C"/>
    <w:rsid w:val="007B4BDD"/>
    <w:rsid w:val="007B55C6"/>
    <w:rsid w:val="007B5630"/>
    <w:rsid w:val="007B5C72"/>
    <w:rsid w:val="007B68DE"/>
    <w:rsid w:val="007B6BBD"/>
    <w:rsid w:val="007B7514"/>
    <w:rsid w:val="007B7A7B"/>
    <w:rsid w:val="007C0F14"/>
    <w:rsid w:val="007C17B0"/>
    <w:rsid w:val="007C1BF1"/>
    <w:rsid w:val="007C1E2B"/>
    <w:rsid w:val="007C253B"/>
    <w:rsid w:val="007C2D5A"/>
    <w:rsid w:val="007C3B84"/>
    <w:rsid w:val="007C3EEE"/>
    <w:rsid w:val="007C4B9B"/>
    <w:rsid w:val="007C4CFA"/>
    <w:rsid w:val="007C5FF9"/>
    <w:rsid w:val="007C66A5"/>
    <w:rsid w:val="007C6B1D"/>
    <w:rsid w:val="007C701B"/>
    <w:rsid w:val="007C7B3D"/>
    <w:rsid w:val="007C7F98"/>
    <w:rsid w:val="007D17FB"/>
    <w:rsid w:val="007D1AEF"/>
    <w:rsid w:val="007D2493"/>
    <w:rsid w:val="007D2E1C"/>
    <w:rsid w:val="007D34D1"/>
    <w:rsid w:val="007D41FA"/>
    <w:rsid w:val="007D42A6"/>
    <w:rsid w:val="007D43DF"/>
    <w:rsid w:val="007D58D3"/>
    <w:rsid w:val="007D61D3"/>
    <w:rsid w:val="007D6432"/>
    <w:rsid w:val="007D6550"/>
    <w:rsid w:val="007D6D9C"/>
    <w:rsid w:val="007D71F3"/>
    <w:rsid w:val="007D7C69"/>
    <w:rsid w:val="007D7E05"/>
    <w:rsid w:val="007E0012"/>
    <w:rsid w:val="007E1005"/>
    <w:rsid w:val="007E1168"/>
    <w:rsid w:val="007E22CD"/>
    <w:rsid w:val="007E2824"/>
    <w:rsid w:val="007E29F7"/>
    <w:rsid w:val="007E2BCB"/>
    <w:rsid w:val="007E341B"/>
    <w:rsid w:val="007E45D9"/>
    <w:rsid w:val="007E485E"/>
    <w:rsid w:val="007E52CC"/>
    <w:rsid w:val="007E58F6"/>
    <w:rsid w:val="007E59AB"/>
    <w:rsid w:val="007E5B88"/>
    <w:rsid w:val="007E620E"/>
    <w:rsid w:val="007E648A"/>
    <w:rsid w:val="007E69FE"/>
    <w:rsid w:val="007E6BEB"/>
    <w:rsid w:val="007E6D8B"/>
    <w:rsid w:val="007E77A8"/>
    <w:rsid w:val="007F031B"/>
    <w:rsid w:val="007F0874"/>
    <w:rsid w:val="007F0B23"/>
    <w:rsid w:val="007F0B54"/>
    <w:rsid w:val="007F0C24"/>
    <w:rsid w:val="007F0C2E"/>
    <w:rsid w:val="007F15D8"/>
    <w:rsid w:val="007F167A"/>
    <w:rsid w:val="007F1A93"/>
    <w:rsid w:val="007F1CA8"/>
    <w:rsid w:val="007F224B"/>
    <w:rsid w:val="007F24F4"/>
    <w:rsid w:val="007F3DA8"/>
    <w:rsid w:val="007F44A9"/>
    <w:rsid w:val="007F4F0F"/>
    <w:rsid w:val="007F6933"/>
    <w:rsid w:val="007F6B75"/>
    <w:rsid w:val="00800DBE"/>
    <w:rsid w:val="008021F0"/>
    <w:rsid w:val="008025EF"/>
    <w:rsid w:val="00802CA7"/>
    <w:rsid w:val="00803E62"/>
    <w:rsid w:val="008041B2"/>
    <w:rsid w:val="00804D59"/>
    <w:rsid w:val="008050E1"/>
    <w:rsid w:val="00805306"/>
    <w:rsid w:val="008059AD"/>
    <w:rsid w:val="00805F01"/>
    <w:rsid w:val="00806FE8"/>
    <w:rsid w:val="0080753E"/>
    <w:rsid w:val="008076C5"/>
    <w:rsid w:val="00807855"/>
    <w:rsid w:val="00807CDC"/>
    <w:rsid w:val="00810313"/>
    <w:rsid w:val="00810420"/>
    <w:rsid w:val="008109A2"/>
    <w:rsid w:val="00810FD0"/>
    <w:rsid w:val="0081113A"/>
    <w:rsid w:val="0081155F"/>
    <w:rsid w:val="0081280F"/>
    <w:rsid w:val="00812964"/>
    <w:rsid w:val="00813C8E"/>
    <w:rsid w:val="00813ECA"/>
    <w:rsid w:val="00814166"/>
    <w:rsid w:val="00814788"/>
    <w:rsid w:val="00814922"/>
    <w:rsid w:val="008152B3"/>
    <w:rsid w:val="008152DF"/>
    <w:rsid w:val="00815431"/>
    <w:rsid w:val="0081543A"/>
    <w:rsid w:val="008162B0"/>
    <w:rsid w:val="00816364"/>
    <w:rsid w:val="00816405"/>
    <w:rsid w:val="00816640"/>
    <w:rsid w:val="00816C41"/>
    <w:rsid w:val="0081784A"/>
    <w:rsid w:val="00817D51"/>
    <w:rsid w:val="00817DAF"/>
    <w:rsid w:val="00817DE4"/>
    <w:rsid w:val="00820192"/>
    <w:rsid w:val="0082052F"/>
    <w:rsid w:val="00820F3A"/>
    <w:rsid w:val="008217C8"/>
    <w:rsid w:val="00821AAE"/>
    <w:rsid w:val="00821B84"/>
    <w:rsid w:val="008233A7"/>
    <w:rsid w:val="0082349C"/>
    <w:rsid w:val="00823925"/>
    <w:rsid w:val="00824431"/>
    <w:rsid w:val="008249D6"/>
    <w:rsid w:val="00824F01"/>
    <w:rsid w:val="008251E7"/>
    <w:rsid w:val="008252EF"/>
    <w:rsid w:val="00825AE8"/>
    <w:rsid w:val="00825AEF"/>
    <w:rsid w:val="00825B38"/>
    <w:rsid w:val="00826554"/>
    <w:rsid w:val="008269BB"/>
    <w:rsid w:val="00826EAD"/>
    <w:rsid w:val="008270BE"/>
    <w:rsid w:val="0082737B"/>
    <w:rsid w:val="00827380"/>
    <w:rsid w:val="008278E7"/>
    <w:rsid w:val="00827BF2"/>
    <w:rsid w:val="00830651"/>
    <w:rsid w:val="00830AE4"/>
    <w:rsid w:val="008312A2"/>
    <w:rsid w:val="0083132C"/>
    <w:rsid w:val="008319AC"/>
    <w:rsid w:val="00831B97"/>
    <w:rsid w:val="00833023"/>
    <w:rsid w:val="0083409C"/>
    <w:rsid w:val="008346E6"/>
    <w:rsid w:val="00834979"/>
    <w:rsid w:val="00835983"/>
    <w:rsid w:val="00835EC5"/>
    <w:rsid w:val="00836BF2"/>
    <w:rsid w:val="00837557"/>
    <w:rsid w:val="00841203"/>
    <w:rsid w:val="008412C6"/>
    <w:rsid w:val="00841D0C"/>
    <w:rsid w:val="00841E20"/>
    <w:rsid w:val="00842104"/>
    <w:rsid w:val="00842BF9"/>
    <w:rsid w:val="00842C67"/>
    <w:rsid w:val="008431EB"/>
    <w:rsid w:val="00843848"/>
    <w:rsid w:val="00844CE4"/>
    <w:rsid w:val="00845C90"/>
    <w:rsid w:val="008461C0"/>
    <w:rsid w:val="00846EF0"/>
    <w:rsid w:val="00847448"/>
    <w:rsid w:val="0084759B"/>
    <w:rsid w:val="0084765C"/>
    <w:rsid w:val="008479D4"/>
    <w:rsid w:val="00850992"/>
    <w:rsid w:val="00851A95"/>
    <w:rsid w:val="008520F8"/>
    <w:rsid w:val="008523E8"/>
    <w:rsid w:val="00852C6A"/>
    <w:rsid w:val="0085370A"/>
    <w:rsid w:val="00853792"/>
    <w:rsid w:val="0085379C"/>
    <w:rsid w:val="00853820"/>
    <w:rsid w:val="008548BF"/>
    <w:rsid w:val="00855628"/>
    <w:rsid w:val="008569F4"/>
    <w:rsid w:val="00856C3A"/>
    <w:rsid w:val="00860059"/>
    <w:rsid w:val="008606DB"/>
    <w:rsid w:val="00860BFB"/>
    <w:rsid w:val="00860CCD"/>
    <w:rsid w:val="00860E3D"/>
    <w:rsid w:val="00861CCC"/>
    <w:rsid w:val="00861F83"/>
    <w:rsid w:val="00861FFA"/>
    <w:rsid w:val="0086251C"/>
    <w:rsid w:val="00862CAE"/>
    <w:rsid w:val="00863107"/>
    <w:rsid w:val="0086336F"/>
    <w:rsid w:val="008633CC"/>
    <w:rsid w:val="00864700"/>
    <w:rsid w:val="00866FE3"/>
    <w:rsid w:val="00871015"/>
    <w:rsid w:val="0087185B"/>
    <w:rsid w:val="00874303"/>
    <w:rsid w:val="00874643"/>
    <w:rsid w:val="00874AD1"/>
    <w:rsid w:val="00874BB9"/>
    <w:rsid w:val="00875911"/>
    <w:rsid w:val="00875E34"/>
    <w:rsid w:val="00876F88"/>
    <w:rsid w:val="00877500"/>
    <w:rsid w:val="008777C6"/>
    <w:rsid w:val="00877D3B"/>
    <w:rsid w:val="008803F6"/>
    <w:rsid w:val="008806D3"/>
    <w:rsid w:val="00880C3F"/>
    <w:rsid w:val="00880D2A"/>
    <w:rsid w:val="0088159A"/>
    <w:rsid w:val="0088380B"/>
    <w:rsid w:val="00883C38"/>
    <w:rsid w:val="00883CAE"/>
    <w:rsid w:val="008840DB"/>
    <w:rsid w:val="0088433F"/>
    <w:rsid w:val="00884F65"/>
    <w:rsid w:val="00884F76"/>
    <w:rsid w:val="00884F9A"/>
    <w:rsid w:val="00886644"/>
    <w:rsid w:val="00886AB0"/>
    <w:rsid w:val="008875FF"/>
    <w:rsid w:val="0088763A"/>
    <w:rsid w:val="0088787E"/>
    <w:rsid w:val="00887CDC"/>
    <w:rsid w:val="00887DE4"/>
    <w:rsid w:val="008903EA"/>
    <w:rsid w:val="00890EE2"/>
    <w:rsid w:val="00891AEA"/>
    <w:rsid w:val="00892017"/>
    <w:rsid w:val="00892427"/>
    <w:rsid w:val="00892B43"/>
    <w:rsid w:val="008933FD"/>
    <w:rsid w:val="008954EE"/>
    <w:rsid w:val="00895915"/>
    <w:rsid w:val="00896A47"/>
    <w:rsid w:val="0089760C"/>
    <w:rsid w:val="00897808"/>
    <w:rsid w:val="00897FC7"/>
    <w:rsid w:val="008A0DD3"/>
    <w:rsid w:val="008A1549"/>
    <w:rsid w:val="008A214C"/>
    <w:rsid w:val="008A2333"/>
    <w:rsid w:val="008A30AE"/>
    <w:rsid w:val="008A31D2"/>
    <w:rsid w:val="008A4CBA"/>
    <w:rsid w:val="008A4F10"/>
    <w:rsid w:val="008A5848"/>
    <w:rsid w:val="008A641B"/>
    <w:rsid w:val="008A6442"/>
    <w:rsid w:val="008A6695"/>
    <w:rsid w:val="008A6ED0"/>
    <w:rsid w:val="008A7B7E"/>
    <w:rsid w:val="008B0229"/>
    <w:rsid w:val="008B22BF"/>
    <w:rsid w:val="008B282A"/>
    <w:rsid w:val="008B2B09"/>
    <w:rsid w:val="008B2C84"/>
    <w:rsid w:val="008B2D71"/>
    <w:rsid w:val="008B34BC"/>
    <w:rsid w:val="008B3ED6"/>
    <w:rsid w:val="008B4058"/>
    <w:rsid w:val="008B41D2"/>
    <w:rsid w:val="008B4BAE"/>
    <w:rsid w:val="008B5C19"/>
    <w:rsid w:val="008B5EC0"/>
    <w:rsid w:val="008B6608"/>
    <w:rsid w:val="008B75A2"/>
    <w:rsid w:val="008C0EF3"/>
    <w:rsid w:val="008C1065"/>
    <w:rsid w:val="008C19AF"/>
    <w:rsid w:val="008C1BBF"/>
    <w:rsid w:val="008C1CAA"/>
    <w:rsid w:val="008C29ED"/>
    <w:rsid w:val="008C2FB2"/>
    <w:rsid w:val="008C4439"/>
    <w:rsid w:val="008C4BE8"/>
    <w:rsid w:val="008C4ED5"/>
    <w:rsid w:val="008C51B7"/>
    <w:rsid w:val="008C572F"/>
    <w:rsid w:val="008C6CEA"/>
    <w:rsid w:val="008C74B9"/>
    <w:rsid w:val="008C78E3"/>
    <w:rsid w:val="008D0A4E"/>
    <w:rsid w:val="008D13B2"/>
    <w:rsid w:val="008D1E43"/>
    <w:rsid w:val="008D2211"/>
    <w:rsid w:val="008D2233"/>
    <w:rsid w:val="008D26D2"/>
    <w:rsid w:val="008D343D"/>
    <w:rsid w:val="008D361C"/>
    <w:rsid w:val="008D3C48"/>
    <w:rsid w:val="008D3FC6"/>
    <w:rsid w:val="008D4028"/>
    <w:rsid w:val="008D5DC0"/>
    <w:rsid w:val="008D5F3F"/>
    <w:rsid w:val="008D5F57"/>
    <w:rsid w:val="008D66A2"/>
    <w:rsid w:val="008D6A82"/>
    <w:rsid w:val="008D6EF8"/>
    <w:rsid w:val="008D704F"/>
    <w:rsid w:val="008D76DD"/>
    <w:rsid w:val="008D7D19"/>
    <w:rsid w:val="008D7EAE"/>
    <w:rsid w:val="008E06D6"/>
    <w:rsid w:val="008E2399"/>
    <w:rsid w:val="008E39FF"/>
    <w:rsid w:val="008E3ABA"/>
    <w:rsid w:val="008E3B17"/>
    <w:rsid w:val="008E3D19"/>
    <w:rsid w:val="008E4952"/>
    <w:rsid w:val="008E4CD8"/>
    <w:rsid w:val="008E60C3"/>
    <w:rsid w:val="008E6296"/>
    <w:rsid w:val="008E75C1"/>
    <w:rsid w:val="008F00DA"/>
    <w:rsid w:val="008F028E"/>
    <w:rsid w:val="008F03BA"/>
    <w:rsid w:val="008F0E2A"/>
    <w:rsid w:val="008F0E59"/>
    <w:rsid w:val="008F1764"/>
    <w:rsid w:val="008F1D6D"/>
    <w:rsid w:val="008F212C"/>
    <w:rsid w:val="008F25D0"/>
    <w:rsid w:val="008F2FF2"/>
    <w:rsid w:val="008F30F5"/>
    <w:rsid w:val="008F3602"/>
    <w:rsid w:val="008F3D82"/>
    <w:rsid w:val="008F4772"/>
    <w:rsid w:val="008F48D5"/>
    <w:rsid w:val="008F4AAC"/>
    <w:rsid w:val="008F5784"/>
    <w:rsid w:val="008F57F5"/>
    <w:rsid w:val="008F583B"/>
    <w:rsid w:val="008F67B3"/>
    <w:rsid w:val="008F6F35"/>
    <w:rsid w:val="008F71E6"/>
    <w:rsid w:val="008F7949"/>
    <w:rsid w:val="008F7F4E"/>
    <w:rsid w:val="00900F4D"/>
    <w:rsid w:val="00901512"/>
    <w:rsid w:val="00901C15"/>
    <w:rsid w:val="00902408"/>
    <w:rsid w:val="00903CF0"/>
    <w:rsid w:val="00904583"/>
    <w:rsid w:val="00904BF0"/>
    <w:rsid w:val="00905A79"/>
    <w:rsid w:val="00905C47"/>
    <w:rsid w:val="00905DC8"/>
    <w:rsid w:val="00906508"/>
    <w:rsid w:val="00906A88"/>
    <w:rsid w:val="00906FF3"/>
    <w:rsid w:val="00907272"/>
    <w:rsid w:val="009079AD"/>
    <w:rsid w:val="00907C60"/>
    <w:rsid w:val="0091019D"/>
    <w:rsid w:val="0091045E"/>
    <w:rsid w:val="009104DB"/>
    <w:rsid w:val="00912AD4"/>
    <w:rsid w:val="009132E2"/>
    <w:rsid w:val="0091334A"/>
    <w:rsid w:val="009134B9"/>
    <w:rsid w:val="009135A9"/>
    <w:rsid w:val="00913688"/>
    <w:rsid w:val="00913F28"/>
    <w:rsid w:val="00914C97"/>
    <w:rsid w:val="009156D6"/>
    <w:rsid w:val="009157C6"/>
    <w:rsid w:val="00915884"/>
    <w:rsid w:val="00915A71"/>
    <w:rsid w:val="00915D1A"/>
    <w:rsid w:val="00916B9E"/>
    <w:rsid w:val="00916C6B"/>
    <w:rsid w:val="009203F4"/>
    <w:rsid w:val="00920920"/>
    <w:rsid w:val="0092163F"/>
    <w:rsid w:val="00922121"/>
    <w:rsid w:val="009225AE"/>
    <w:rsid w:val="00922691"/>
    <w:rsid w:val="00922E8D"/>
    <w:rsid w:val="00922F4B"/>
    <w:rsid w:val="009233D7"/>
    <w:rsid w:val="00923B4B"/>
    <w:rsid w:val="00923E10"/>
    <w:rsid w:val="009240DE"/>
    <w:rsid w:val="00925077"/>
    <w:rsid w:val="009259F5"/>
    <w:rsid w:val="00926936"/>
    <w:rsid w:val="00926A4A"/>
    <w:rsid w:val="009272B0"/>
    <w:rsid w:val="00927BFA"/>
    <w:rsid w:val="009317DD"/>
    <w:rsid w:val="00931884"/>
    <w:rsid w:val="00931D8C"/>
    <w:rsid w:val="00932218"/>
    <w:rsid w:val="0093260E"/>
    <w:rsid w:val="009328D6"/>
    <w:rsid w:val="00932EEC"/>
    <w:rsid w:val="009339DE"/>
    <w:rsid w:val="00934820"/>
    <w:rsid w:val="00934A55"/>
    <w:rsid w:val="00935002"/>
    <w:rsid w:val="009363EF"/>
    <w:rsid w:val="00936651"/>
    <w:rsid w:val="009366F2"/>
    <w:rsid w:val="00937220"/>
    <w:rsid w:val="00937E9B"/>
    <w:rsid w:val="00940332"/>
    <w:rsid w:val="00941114"/>
    <w:rsid w:val="00941A32"/>
    <w:rsid w:val="00941DE5"/>
    <w:rsid w:val="0094346B"/>
    <w:rsid w:val="00943649"/>
    <w:rsid w:val="00945248"/>
    <w:rsid w:val="00945DA1"/>
    <w:rsid w:val="00946021"/>
    <w:rsid w:val="009463DE"/>
    <w:rsid w:val="00946ACC"/>
    <w:rsid w:val="00947BFF"/>
    <w:rsid w:val="00947C64"/>
    <w:rsid w:val="00950480"/>
    <w:rsid w:val="00950496"/>
    <w:rsid w:val="009511A3"/>
    <w:rsid w:val="009513DF"/>
    <w:rsid w:val="00951416"/>
    <w:rsid w:val="00951B67"/>
    <w:rsid w:val="00952977"/>
    <w:rsid w:val="00952A0B"/>
    <w:rsid w:val="00953950"/>
    <w:rsid w:val="00953BA3"/>
    <w:rsid w:val="00953DA7"/>
    <w:rsid w:val="00953F68"/>
    <w:rsid w:val="009542D1"/>
    <w:rsid w:val="00954B53"/>
    <w:rsid w:val="00954BC4"/>
    <w:rsid w:val="00954C72"/>
    <w:rsid w:val="00955467"/>
    <w:rsid w:val="009558AF"/>
    <w:rsid w:val="009561B3"/>
    <w:rsid w:val="00956C99"/>
    <w:rsid w:val="009570A7"/>
    <w:rsid w:val="009572DD"/>
    <w:rsid w:val="00957D2B"/>
    <w:rsid w:val="00960FBA"/>
    <w:rsid w:val="0096199A"/>
    <w:rsid w:val="00961EA5"/>
    <w:rsid w:val="009620DA"/>
    <w:rsid w:val="009625B3"/>
    <w:rsid w:val="009630C7"/>
    <w:rsid w:val="00963196"/>
    <w:rsid w:val="009639A8"/>
    <w:rsid w:val="00963B01"/>
    <w:rsid w:val="00963C99"/>
    <w:rsid w:val="009650A7"/>
    <w:rsid w:val="0096561C"/>
    <w:rsid w:val="009667FD"/>
    <w:rsid w:val="0096719C"/>
    <w:rsid w:val="0096760D"/>
    <w:rsid w:val="00970143"/>
    <w:rsid w:val="00970E9E"/>
    <w:rsid w:val="0097198F"/>
    <w:rsid w:val="00973913"/>
    <w:rsid w:val="00973928"/>
    <w:rsid w:val="00974121"/>
    <w:rsid w:val="009747FC"/>
    <w:rsid w:val="00974839"/>
    <w:rsid w:val="00974AFE"/>
    <w:rsid w:val="009757D1"/>
    <w:rsid w:val="00975C5C"/>
    <w:rsid w:val="009763FE"/>
    <w:rsid w:val="009767BB"/>
    <w:rsid w:val="00976B49"/>
    <w:rsid w:val="00976CC0"/>
    <w:rsid w:val="00977319"/>
    <w:rsid w:val="00977343"/>
    <w:rsid w:val="009779FD"/>
    <w:rsid w:val="009811B2"/>
    <w:rsid w:val="0098136B"/>
    <w:rsid w:val="00981500"/>
    <w:rsid w:val="00981878"/>
    <w:rsid w:val="00981AB9"/>
    <w:rsid w:val="0098264E"/>
    <w:rsid w:val="009827B9"/>
    <w:rsid w:val="00982993"/>
    <w:rsid w:val="009833BF"/>
    <w:rsid w:val="00984259"/>
    <w:rsid w:val="009850CE"/>
    <w:rsid w:val="00985194"/>
    <w:rsid w:val="00985FAC"/>
    <w:rsid w:val="00986428"/>
    <w:rsid w:val="009909E1"/>
    <w:rsid w:val="00990AB7"/>
    <w:rsid w:val="00991503"/>
    <w:rsid w:val="009917D8"/>
    <w:rsid w:val="00991A21"/>
    <w:rsid w:val="00993020"/>
    <w:rsid w:val="00993B87"/>
    <w:rsid w:val="00994023"/>
    <w:rsid w:val="00994A04"/>
    <w:rsid w:val="00994F1B"/>
    <w:rsid w:val="00994FDC"/>
    <w:rsid w:val="00995E57"/>
    <w:rsid w:val="00996AA9"/>
    <w:rsid w:val="00996C2B"/>
    <w:rsid w:val="00997303"/>
    <w:rsid w:val="009977AF"/>
    <w:rsid w:val="009A04B2"/>
    <w:rsid w:val="009A0E6C"/>
    <w:rsid w:val="009A1C56"/>
    <w:rsid w:val="009A2EDE"/>
    <w:rsid w:val="009A3AFE"/>
    <w:rsid w:val="009A43F3"/>
    <w:rsid w:val="009A47B1"/>
    <w:rsid w:val="009A59A5"/>
    <w:rsid w:val="009A5B37"/>
    <w:rsid w:val="009A6275"/>
    <w:rsid w:val="009A687D"/>
    <w:rsid w:val="009A6E92"/>
    <w:rsid w:val="009A7166"/>
    <w:rsid w:val="009A71A7"/>
    <w:rsid w:val="009A71BE"/>
    <w:rsid w:val="009A7429"/>
    <w:rsid w:val="009A7444"/>
    <w:rsid w:val="009B05B7"/>
    <w:rsid w:val="009B0A99"/>
    <w:rsid w:val="009B197F"/>
    <w:rsid w:val="009B1A18"/>
    <w:rsid w:val="009B216A"/>
    <w:rsid w:val="009B22BF"/>
    <w:rsid w:val="009B2426"/>
    <w:rsid w:val="009B257A"/>
    <w:rsid w:val="009B2788"/>
    <w:rsid w:val="009B2A42"/>
    <w:rsid w:val="009B3CD1"/>
    <w:rsid w:val="009B3F6D"/>
    <w:rsid w:val="009B4608"/>
    <w:rsid w:val="009B469E"/>
    <w:rsid w:val="009B495C"/>
    <w:rsid w:val="009B499D"/>
    <w:rsid w:val="009B4DBA"/>
    <w:rsid w:val="009B4F13"/>
    <w:rsid w:val="009B5F30"/>
    <w:rsid w:val="009B70C0"/>
    <w:rsid w:val="009C02D1"/>
    <w:rsid w:val="009C0651"/>
    <w:rsid w:val="009C0652"/>
    <w:rsid w:val="009C0A85"/>
    <w:rsid w:val="009C0E85"/>
    <w:rsid w:val="009C10F8"/>
    <w:rsid w:val="009C1778"/>
    <w:rsid w:val="009C19CB"/>
    <w:rsid w:val="009C20DF"/>
    <w:rsid w:val="009C24AB"/>
    <w:rsid w:val="009C24D1"/>
    <w:rsid w:val="009C2522"/>
    <w:rsid w:val="009C2C78"/>
    <w:rsid w:val="009C2EEB"/>
    <w:rsid w:val="009C3D65"/>
    <w:rsid w:val="009C3FFA"/>
    <w:rsid w:val="009C437E"/>
    <w:rsid w:val="009C5186"/>
    <w:rsid w:val="009C6174"/>
    <w:rsid w:val="009C61ED"/>
    <w:rsid w:val="009C65FC"/>
    <w:rsid w:val="009C69AA"/>
    <w:rsid w:val="009C6E28"/>
    <w:rsid w:val="009C7D2D"/>
    <w:rsid w:val="009CD3F8"/>
    <w:rsid w:val="009D03B8"/>
    <w:rsid w:val="009D060E"/>
    <w:rsid w:val="009D0AC7"/>
    <w:rsid w:val="009D0FF5"/>
    <w:rsid w:val="009D15D8"/>
    <w:rsid w:val="009D19C1"/>
    <w:rsid w:val="009D1D43"/>
    <w:rsid w:val="009D1FEE"/>
    <w:rsid w:val="009D373D"/>
    <w:rsid w:val="009D3766"/>
    <w:rsid w:val="009D4592"/>
    <w:rsid w:val="009D48BC"/>
    <w:rsid w:val="009D4C4A"/>
    <w:rsid w:val="009D4E5C"/>
    <w:rsid w:val="009D5177"/>
    <w:rsid w:val="009D5CD8"/>
    <w:rsid w:val="009D698A"/>
    <w:rsid w:val="009D6D74"/>
    <w:rsid w:val="009D7D7A"/>
    <w:rsid w:val="009D7FF3"/>
    <w:rsid w:val="009E0621"/>
    <w:rsid w:val="009E0B49"/>
    <w:rsid w:val="009E1A45"/>
    <w:rsid w:val="009E1F29"/>
    <w:rsid w:val="009E219A"/>
    <w:rsid w:val="009E2AC3"/>
    <w:rsid w:val="009E38DC"/>
    <w:rsid w:val="009E390D"/>
    <w:rsid w:val="009E42A7"/>
    <w:rsid w:val="009E5255"/>
    <w:rsid w:val="009E5C81"/>
    <w:rsid w:val="009E6217"/>
    <w:rsid w:val="009E63F2"/>
    <w:rsid w:val="009E6A25"/>
    <w:rsid w:val="009E6CCC"/>
    <w:rsid w:val="009E739D"/>
    <w:rsid w:val="009E797B"/>
    <w:rsid w:val="009E7BC1"/>
    <w:rsid w:val="009E7C15"/>
    <w:rsid w:val="009F0451"/>
    <w:rsid w:val="009F0630"/>
    <w:rsid w:val="009F0B8B"/>
    <w:rsid w:val="009F1C1D"/>
    <w:rsid w:val="009F1EF7"/>
    <w:rsid w:val="009F1F51"/>
    <w:rsid w:val="009F2A36"/>
    <w:rsid w:val="009F36D3"/>
    <w:rsid w:val="009F3BF1"/>
    <w:rsid w:val="009F419D"/>
    <w:rsid w:val="009F4391"/>
    <w:rsid w:val="009F443F"/>
    <w:rsid w:val="009F53FF"/>
    <w:rsid w:val="009F5579"/>
    <w:rsid w:val="009F5842"/>
    <w:rsid w:val="009F5B62"/>
    <w:rsid w:val="009F5BBD"/>
    <w:rsid w:val="009F6BB1"/>
    <w:rsid w:val="009F72A1"/>
    <w:rsid w:val="00A00224"/>
    <w:rsid w:val="00A0109F"/>
    <w:rsid w:val="00A01224"/>
    <w:rsid w:val="00A01C2E"/>
    <w:rsid w:val="00A01E9A"/>
    <w:rsid w:val="00A02CF9"/>
    <w:rsid w:val="00A03226"/>
    <w:rsid w:val="00A038C5"/>
    <w:rsid w:val="00A0462B"/>
    <w:rsid w:val="00A04F34"/>
    <w:rsid w:val="00A05266"/>
    <w:rsid w:val="00A0567A"/>
    <w:rsid w:val="00A05927"/>
    <w:rsid w:val="00A05F0B"/>
    <w:rsid w:val="00A06A11"/>
    <w:rsid w:val="00A11CBE"/>
    <w:rsid w:val="00A11DA2"/>
    <w:rsid w:val="00A122A0"/>
    <w:rsid w:val="00A1257B"/>
    <w:rsid w:val="00A127A2"/>
    <w:rsid w:val="00A134DB"/>
    <w:rsid w:val="00A13C55"/>
    <w:rsid w:val="00A13F9E"/>
    <w:rsid w:val="00A14193"/>
    <w:rsid w:val="00A14286"/>
    <w:rsid w:val="00A14969"/>
    <w:rsid w:val="00A166C7"/>
    <w:rsid w:val="00A16943"/>
    <w:rsid w:val="00A17685"/>
    <w:rsid w:val="00A17A1B"/>
    <w:rsid w:val="00A1868C"/>
    <w:rsid w:val="00A1C73E"/>
    <w:rsid w:val="00A1DDE4"/>
    <w:rsid w:val="00A215BB"/>
    <w:rsid w:val="00A21EE0"/>
    <w:rsid w:val="00A222A7"/>
    <w:rsid w:val="00A23F72"/>
    <w:rsid w:val="00A24475"/>
    <w:rsid w:val="00A254F2"/>
    <w:rsid w:val="00A256DF"/>
    <w:rsid w:val="00A26585"/>
    <w:rsid w:val="00A26794"/>
    <w:rsid w:val="00A26988"/>
    <w:rsid w:val="00A26C76"/>
    <w:rsid w:val="00A27699"/>
    <w:rsid w:val="00A27B44"/>
    <w:rsid w:val="00A27C0B"/>
    <w:rsid w:val="00A30402"/>
    <w:rsid w:val="00A31842"/>
    <w:rsid w:val="00A32645"/>
    <w:rsid w:val="00A32ADA"/>
    <w:rsid w:val="00A331F0"/>
    <w:rsid w:val="00A3333D"/>
    <w:rsid w:val="00A33936"/>
    <w:rsid w:val="00A339F6"/>
    <w:rsid w:val="00A33AC7"/>
    <w:rsid w:val="00A33EE3"/>
    <w:rsid w:val="00A34A7B"/>
    <w:rsid w:val="00A35204"/>
    <w:rsid w:val="00A3643F"/>
    <w:rsid w:val="00A3663B"/>
    <w:rsid w:val="00A366C2"/>
    <w:rsid w:val="00A3692F"/>
    <w:rsid w:val="00A36AF4"/>
    <w:rsid w:val="00A3B2F5"/>
    <w:rsid w:val="00A419FE"/>
    <w:rsid w:val="00A41C04"/>
    <w:rsid w:val="00A42156"/>
    <w:rsid w:val="00A42738"/>
    <w:rsid w:val="00A42945"/>
    <w:rsid w:val="00A43611"/>
    <w:rsid w:val="00A43949"/>
    <w:rsid w:val="00A4433D"/>
    <w:rsid w:val="00A4437A"/>
    <w:rsid w:val="00A452AE"/>
    <w:rsid w:val="00A453D3"/>
    <w:rsid w:val="00A4603D"/>
    <w:rsid w:val="00A46AAA"/>
    <w:rsid w:val="00A47311"/>
    <w:rsid w:val="00A475C9"/>
    <w:rsid w:val="00A478B2"/>
    <w:rsid w:val="00A5014E"/>
    <w:rsid w:val="00A50371"/>
    <w:rsid w:val="00A50629"/>
    <w:rsid w:val="00A5076E"/>
    <w:rsid w:val="00A510FE"/>
    <w:rsid w:val="00A51365"/>
    <w:rsid w:val="00A51A2C"/>
    <w:rsid w:val="00A51DFC"/>
    <w:rsid w:val="00A524BF"/>
    <w:rsid w:val="00A52764"/>
    <w:rsid w:val="00A532F7"/>
    <w:rsid w:val="00A53907"/>
    <w:rsid w:val="00A53D5F"/>
    <w:rsid w:val="00A5427D"/>
    <w:rsid w:val="00A54298"/>
    <w:rsid w:val="00A54F3D"/>
    <w:rsid w:val="00A55A05"/>
    <w:rsid w:val="00A55ED5"/>
    <w:rsid w:val="00A55FC6"/>
    <w:rsid w:val="00A56136"/>
    <w:rsid w:val="00A56F5D"/>
    <w:rsid w:val="00A57444"/>
    <w:rsid w:val="00A5976F"/>
    <w:rsid w:val="00A6018A"/>
    <w:rsid w:val="00A60266"/>
    <w:rsid w:val="00A6045B"/>
    <w:rsid w:val="00A60CAE"/>
    <w:rsid w:val="00A61200"/>
    <w:rsid w:val="00A613E8"/>
    <w:rsid w:val="00A624D8"/>
    <w:rsid w:val="00A62635"/>
    <w:rsid w:val="00A631D4"/>
    <w:rsid w:val="00A6459F"/>
    <w:rsid w:val="00A64A6C"/>
    <w:rsid w:val="00A64D06"/>
    <w:rsid w:val="00A65EBC"/>
    <w:rsid w:val="00A6645E"/>
    <w:rsid w:val="00A66800"/>
    <w:rsid w:val="00A66C93"/>
    <w:rsid w:val="00A67561"/>
    <w:rsid w:val="00A67A8E"/>
    <w:rsid w:val="00A67DAB"/>
    <w:rsid w:val="00A70838"/>
    <w:rsid w:val="00A70F53"/>
    <w:rsid w:val="00A71455"/>
    <w:rsid w:val="00A72205"/>
    <w:rsid w:val="00A723EF"/>
    <w:rsid w:val="00A72C10"/>
    <w:rsid w:val="00A72D14"/>
    <w:rsid w:val="00A73062"/>
    <w:rsid w:val="00A740FE"/>
    <w:rsid w:val="00A74C4C"/>
    <w:rsid w:val="00A74E03"/>
    <w:rsid w:val="00A7557E"/>
    <w:rsid w:val="00A7566A"/>
    <w:rsid w:val="00A75A37"/>
    <w:rsid w:val="00A76532"/>
    <w:rsid w:val="00A77584"/>
    <w:rsid w:val="00A8028A"/>
    <w:rsid w:val="00A81563"/>
    <w:rsid w:val="00A81E20"/>
    <w:rsid w:val="00A81E21"/>
    <w:rsid w:val="00A826A3"/>
    <w:rsid w:val="00A828DE"/>
    <w:rsid w:val="00A82B9A"/>
    <w:rsid w:val="00A82FA0"/>
    <w:rsid w:val="00A83453"/>
    <w:rsid w:val="00A8396D"/>
    <w:rsid w:val="00A83FCF"/>
    <w:rsid w:val="00A84B30"/>
    <w:rsid w:val="00A856E8"/>
    <w:rsid w:val="00A8575F"/>
    <w:rsid w:val="00A85EE6"/>
    <w:rsid w:val="00A86378"/>
    <w:rsid w:val="00A86B26"/>
    <w:rsid w:val="00A87016"/>
    <w:rsid w:val="00A8722B"/>
    <w:rsid w:val="00A87A7C"/>
    <w:rsid w:val="00A87B67"/>
    <w:rsid w:val="00A87FC2"/>
    <w:rsid w:val="00A902C4"/>
    <w:rsid w:val="00A91B82"/>
    <w:rsid w:val="00A920CD"/>
    <w:rsid w:val="00A92ABE"/>
    <w:rsid w:val="00A92E70"/>
    <w:rsid w:val="00A937CE"/>
    <w:rsid w:val="00A939F4"/>
    <w:rsid w:val="00A93BC7"/>
    <w:rsid w:val="00A94234"/>
    <w:rsid w:val="00A9438A"/>
    <w:rsid w:val="00A94A8B"/>
    <w:rsid w:val="00A94D61"/>
    <w:rsid w:val="00A9549D"/>
    <w:rsid w:val="00A954B5"/>
    <w:rsid w:val="00A95602"/>
    <w:rsid w:val="00A971DF"/>
    <w:rsid w:val="00A97710"/>
    <w:rsid w:val="00A978C9"/>
    <w:rsid w:val="00A97BF2"/>
    <w:rsid w:val="00A97D30"/>
    <w:rsid w:val="00AA08FF"/>
    <w:rsid w:val="00AA0CE7"/>
    <w:rsid w:val="00AA14A5"/>
    <w:rsid w:val="00AA18B5"/>
    <w:rsid w:val="00AA1972"/>
    <w:rsid w:val="00AA1A93"/>
    <w:rsid w:val="00AA207D"/>
    <w:rsid w:val="00AA25C3"/>
    <w:rsid w:val="00AA2DD7"/>
    <w:rsid w:val="00AA3A90"/>
    <w:rsid w:val="00AA4125"/>
    <w:rsid w:val="00AA522D"/>
    <w:rsid w:val="00AA53B0"/>
    <w:rsid w:val="00AA544F"/>
    <w:rsid w:val="00AA57A2"/>
    <w:rsid w:val="00AA5C6A"/>
    <w:rsid w:val="00AA6D87"/>
    <w:rsid w:val="00AA6F6B"/>
    <w:rsid w:val="00AA7045"/>
    <w:rsid w:val="00AA74AB"/>
    <w:rsid w:val="00AA759F"/>
    <w:rsid w:val="00AA776A"/>
    <w:rsid w:val="00AA7A1D"/>
    <w:rsid w:val="00AA7C3E"/>
    <w:rsid w:val="00AB0D8C"/>
    <w:rsid w:val="00AB1E4D"/>
    <w:rsid w:val="00AB2134"/>
    <w:rsid w:val="00AB293F"/>
    <w:rsid w:val="00AB2DEB"/>
    <w:rsid w:val="00AB48ED"/>
    <w:rsid w:val="00AB4D1F"/>
    <w:rsid w:val="00AB586D"/>
    <w:rsid w:val="00AB5F03"/>
    <w:rsid w:val="00AB668C"/>
    <w:rsid w:val="00AB7518"/>
    <w:rsid w:val="00AB7668"/>
    <w:rsid w:val="00AC0472"/>
    <w:rsid w:val="00AC146A"/>
    <w:rsid w:val="00AC1568"/>
    <w:rsid w:val="00AC1DB0"/>
    <w:rsid w:val="00AC1DCE"/>
    <w:rsid w:val="00AC240A"/>
    <w:rsid w:val="00AC3673"/>
    <w:rsid w:val="00AC445C"/>
    <w:rsid w:val="00AC4D1F"/>
    <w:rsid w:val="00AC4D21"/>
    <w:rsid w:val="00AC7A29"/>
    <w:rsid w:val="00AC7F0D"/>
    <w:rsid w:val="00AC7F3D"/>
    <w:rsid w:val="00AD0DC9"/>
    <w:rsid w:val="00AD11F2"/>
    <w:rsid w:val="00AD16D5"/>
    <w:rsid w:val="00AD1F12"/>
    <w:rsid w:val="00AD1F26"/>
    <w:rsid w:val="00AD2102"/>
    <w:rsid w:val="00AD2DB7"/>
    <w:rsid w:val="00AD2DD7"/>
    <w:rsid w:val="00AD307C"/>
    <w:rsid w:val="00AD5387"/>
    <w:rsid w:val="00AD56B7"/>
    <w:rsid w:val="00AD5761"/>
    <w:rsid w:val="00AD6235"/>
    <w:rsid w:val="00AD7551"/>
    <w:rsid w:val="00AD7598"/>
    <w:rsid w:val="00AD78E5"/>
    <w:rsid w:val="00AE015D"/>
    <w:rsid w:val="00AE05B5"/>
    <w:rsid w:val="00AE0674"/>
    <w:rsid w:val="00AE0729"/>
    <w:rsid w:val="00AE1052"/>
    <w:rsid w:val="00AE2598"/>
    <w:rsid w:val="00AE3018"/>
    <w:rsid w:val="00AE3025"/>
    <w:rsid w:val="00AE359A"/>
    <w:rsid w:val="00AE3D5D"/>
    <w:rsid w:val="00AE4046"/>
    <w:rsid w:val="00AE43CD"/>
    <w:rsid w:val="00AE525C"/>
    <w:rsid w:val="00AE5834"/>
    <w:rsid w:val="00AE59A7"/>
    <w:rsid w:val="00AE5AA6"/>
    <w:rsid w:val="00AE610E"/>
    <w:rsid w:val="00AE767C"/>
    <w:rsid w:val="00AE7B8B"/>
    <w:rsid w:val="00AF064F"/>
    <w:rsid w:val="00AF069F"/>
    <w:rsid w:val="00AF0EDA"/>
    <w:rsid w:val="00AF2551"/>
    <w:rsid w:val="00AF2B96"/>
    <w:rsid w:val="00AF33B4"/>
    <w:rsid w:val="00AF33E8"/>
    <w:rsid w:val="00AF352A"/>
    <w:rsid w:val="00AF3A48"/>
    <w:rsid w:val="00AF3DB8"/>
    <w:rsid w:val="00AF5696"/>
    <w:rsid w:val="00AF5780"/>
    <w:rsid w:val="00AF5AC7"/>
    <w:rsid w:val="00AF6180"/>
    <w:rsid w:val="00AF691F"/>
    <w:rsid w:val="00AF69E8"/>
    <w:rsid w:val="00AF6AB3"/>
    <w:rsid w:val="00AF74E0"/>
    <w:rsid w:val="00AF78D3"/>
    <w:rsid w:val="00AF7CF1"/>
    <w:rsid w:val="00B00426"/>
    <w:rsid w:val="00B0066F"/>
    <w:rsid w:val="00B013AB"/>
    <w:rsid w:val="00B014FC"/>
    <w:rsid w:val="00B01D1F"/>
    <w:rsid w:val="00B01D9C"/>
    <w:rsid w:val="00B01DDA"/>
    <w:rsid w:val="00B02DF1"/>
    <w:rsid w:val="00B02DFE"/>
    <w:rsid w:val="00B0344F"/>
    <w:rsid w:val="00B035FE"/>
    <w:rsid w:val="00B036CD"/>
    <w:rsid w:val="00B0460C"/>
    <w:rsid w:val="00B04E63"/>
    <w:rsid w:val="00B05633"/>
    <w:rsid w:val="00B058B8"/>
    <w:rsid w:val="00B05B8E"/>
    <w:rsid w:val="00B0686A"/>
    <w:rsid w:val="00B075AA"/>
    <w:rsid w:val="00B078DE"/>
    <w:rsid w:val="00B07A4E"/>
    <w:rsid w:val="00B10018"/>
    <w:rsid w:val="00B1032E"/>
    <w:rsid w:val="00B10C50"/>
    <w:rsid w:val="00B114D5"/>
    <w:rsid w:val="00B120E0"/>
    <w:rsid w:val="00B128FF"/>
    <w:rsid w:val="00B130CB"/>
    <w:rsid w:val="00B1325F"/>
    <w:rsid w:val="00B133D5"/>
    <w:rsid w:val="00B14109"/>
    <w:rsid w:val="00B14F1B"/>
    <w:rsid w:val="00B156E2"/>
    <w:rsid w:val="00B16631"/>
    <w:rsid w:val="00B16910"/>
    <w:rsid w:val="00B1718D"/>
    <w:rsid w:val="00B1732A"/>
    <w:rsid w:val="00B20374"/>
    <w:rsid w:val="00B20724"/>
    <w:rsid w:val="00B211E9"/>
    <w:rsid w:val="00B219F3"/>
    <w:rsid w:val="00B21C0F"/>
    <w:rsid w:val="00B22F90"/>
    <w:rsid w:val="00B2318C"/>
    <w:rsid w:val="00B2472E"/>
    <w:rsid w:val="00B24B82"/>
    <w:rsid w:val="00B2577D"/>
    <w:rsid w:val="00B25ADD"/>
    <w:rsid w:val="00B26056"/>
    <w:rsid w:val="00B26299"/>
    <w:rsid w:val="00B26580"/>
    <w:rsid w:val="00B2780F"/>
    <w:rsid w:val="00B27E57"/>
    <w:rsid w:val="00B30525"/>
    <w:rsid w:val="00B3093E"/>
    <w:rsid w:val="00B30F23"/>
    <w:rsid w:val="00B316C4"/>
    <w:rsid w:val="00B318E0"/>
    <w:rsid w:val="00B31C41"/>
    <w:rsid w:val="00B3247B"/>
    <w:rsid w:val="00B334D5"/>
    <w:rsid w:val="00B3372B"/>
    <w:rsid w:val="00B33E58"/>
    <w:rsid w:val="00B33E67"/>
    <w:rsid w:val="00B34230"/>
    <w:rsid w:val="00B34529"/>
    <w:rsid w:val="00B34953"/>
    <w:rsid w:val="00B353C1"/>
    <w:rsid w:val="00B361CE"/>
    <w:rsid w:val="00B368AB"/>
    <w:rsid w:val="00B36CBE"/>
    <w:rsid w:val="00B36EEA"/>
    <w:rsid w:val="00B371E0"/>
    <w:rsid w:val="00B377B0"/>
    <w:rsid w:val="00B37938"/>
    <w:rsid w:val="00B40193"/>
    <w:rsid w:val="00B4076D"/>
    <w:rsid w:val="00B40AA6"/>
    <w:rsid w:val="00B419BA"/>
    <w:rsid w:val="00B4229E"/>
    <w:rsid w:val="00B43690"/>
    <w:rsid w:val="00B43DE3"/>
    <w:rsid w:val="00B44FCE"/>
    <w:rsid w:val="00B45000"/>
    <w:rsid w:val="00B4534F"/>
    <w:rsid w:val="00B45779"/>
    <w:rsid w:val="00B4655F"/>
    <w:rsid w:val="00B507BB"/>
    <w:rsid w:val="00B50EE9"/>
    <w:rsid w:val="00B51ACD"/>
    <w:rsid w:val="00B52A4D"/>
    <w:rsid w:val="00B52DF5"/>
    <w:rsid w:val="00B52F53"/>
    <w:rsid w:val="00B5366C"/>
    <w:rsid w:val="00B53CB0"/>
    <w:rsid w:val="00B53FE1"/>
    <w:rsid w:val="00B545F4"/>
    <w:rsid w:val="00B548C6"/>
    <w:rsid w:val="00B54B18"/>
    <w:rsid w:val="00B54CDD"/>
    <w:rsid w:val="00B55A1D"/>
    <w:rsid w:val="00B560C3"/>
    <w:rsid w:val="00B56945"/>
    <w:rsid w:val="00B57B16"/>
    <w:rsid w:val="00B60272"/>
    <w:rsid w:val="00B609E3"/>
    <w:rsid w:val="00B61438"/>
    <w:rsid w:val="00B614FA"/>
    <w:rsid w:val="00B61933"/>
    <w:rsid w:val="00B61B11"/>
    <w:rsid w:val="00B61E92"/>
    <w:rsid w:val="00B62239"/>
    <w:rsid w:val="00B626E6"/>
    <w:rsid w:val="00B64AC1"/>
    <w:rsid w:val="00B64AD4"/>
    <w:rsid w:val="00B65A6F"/>
    <w:rsid w:val="00B65D46"/>
    <w:rsid w:val="00B65E56"/>
    <w:rsid w:val="00B65FA4"/>
    <w:rsid w:val="00B6687C"/>
    <w:rsid w:val="00B669BF"/>
    <w:rsid w:val="00B66B5E"/>
    <w:rsid w:val="00B66D27"/>
    <w:rsid w:val="00B67031"/>
    <w:rsid w:val="00B71A77"/>
    <w:rsid w:val="00B71AC1"/>
    <w:rsid w:val="00B7205A"/>
    <w:rsid w:val="00B721DD"/>
    <w:rsid w:val="00B72519"/>
    <w:rsid w:val="00B73005"/>
    <w:rsid w:val="00B7381E"/>
    <w:rsid w:val="00B747EE"/>
    <w:rsid w:val="00B74838"/>
    <w:rsid w:val="00B749C9"/>
    <w:rsid w:val="00B74C54"/>
    <w:rsid w:val="00B74C63"/>
    <w:rsid w:val="00B74FF4"/>
    <w:rsid w:val="00B7526C"/>
    <w:rsid w:val="00B7572E"/>
    <w:rsid w:val="00B75808"/>
    <w:rsid w:val="00B76A2A"/>
    <w:rsid w:val="00B77C54"/>
    <w:rsid w:val="00B77E85"/>
    <w:rsid w:val="00B80511"/>
    <w:rsid w:val="00B80AAA"/>
    <w:rsid w:val="00B80ED8"/>
    <w:rsid w:val="00B8121C"/>
    <w:rsid w:val="00B8194C"/>
    <w:rsid w:val="00B81CFF"/>
    <w:rsid w:val="00B81D9C"/>
    <w:rsid w:val="00B832BF"/>
    <w:rsid w:val="00B839A4"/>
    <w:rsid w:val="00B83A2B"/>
    <w:rsid w:val="00B83BA5"/>
    <w:rsid w:val="00B85313"/>
    <w:rsid w:val="00B8577C"/>
    <w:rsid w:val="00B8605A"/>
    <w:rsid w:val="00B86173"/>
    <w:rsid w:val="00B8634E"/>
    <w:rsid w:val="00B86B99"/>
    <w:rsid w:val="00B87A68"/>
    <w:rsid w:val="00B910CD"/>
    <w:rsid w:val="00B91BBA"/>
    <w:rsid w:val="00B92667"/>
    <w:rsid w:val="00B92C13"/>
    <w:rsid w:val="00B93455"/>
    <w:rsid w:val="00B9370B"/>
    <w:rsid w:val="00B9399A"/>
    <w:rsid w:val="00B9404F"/>
    <w:rsid w:val="00B9405E"/>
    <w:rsid w:val="00B94654"/>
    <w:rsid w:val="00B94E2B"/>
    <w:rsid w:val="00B95837"/>
    <w:rsid w:val="00B95EE3"/>
    <w:rsid w:val="00B96EBF"/>
    <w:rsid w:val="00B9728D"/>
    <w:rsid w:val="00B973F3"/>
    <w:rsid w:val="00B97A04"/>
    <w:rsid w:val="00BA076F"/>
    <w:rsid w:val="00BA094E"/>
    <w:rsid w:val="00BA0D14"/>
    <w:rsid w:val="00BA1924"/>
    <w:rsid w:val="00BA287F"/>
    <w:rsid w:val="00BA497A"/>
    <w:rsid w:val="00BA4ADB"/>
    <w:rsid w:val="00BA56C3"/>
    <w:rsid w:val="00BA5C38"/>
    <w:rsid w:val="00BA5C9A"/>
    <w:rsid w:val="00BA6F9D"/>
    <w:rsid w:val="00BA73D4"/>
    <w:rsid w:val="00BA793C"/>
    <w:rsid w:val="00BB010F"/>
    <w:rsid w:val="00BB0A79"/>
    <w:rsid w:val="00BB12D2"/>
    <w:rsid w:val="00BB18C4"/>
    <w:rsid w:val="00BB1A71"/>
    <w:rsid w:val="00BB2DB0"/>
    <w:rsid w:val="00BB2DFB"/>
    <w:rsid w:val="00BB2E18"/>
    <w:rsid w:val="00BB3155"/>
    <w:rsid w:val="00BB3936"/>
    <w:rsid w:val="00BB3A25"/>
    <w:rsid w:val="00BB480E"/>
    <w:rsid w:val="00BB4C7A"/>
    <w:rsid w:val="00BB6204"/>
    <w:rsid w:val="00BB678B"/>
    <w:rsid w:val="00BB70A4"/>
    <w:rsid w:val="00BC0335"/>
    <w:rsid w:val="00BC0667"/>
    <w:rsid w:val="00BC1873"/>
    <w:rsid w:val="00BC21E8"/>
    <w:rsid w:val="00BC48A9"/>
    <w:rsid w:val="00BC4C28"/>
    <w:rsid w:val="00BC5F26"/>
    <w:rsid w:val="00BC66BC"/>
    <w:rsid w:val="00BC6C97"/>
    <w:rsid w:val="00BC7678"/>
    <w:rsid w:val="00BC79BD"/>
    <w:rsid w:val="00BD08D2"/>
    <w:rsid w:val="00BD1BE0"/>
    <w:rsid w:val="00BD1CC9"/>
    <w:rsid w:val="00BD1E44"/>
    <w:rsid w:val="00BD2252"/>
    <w:rsid w:val="00BD27D1"/>
    <w:rsid w:val="00BD2B15"/>
    <w:rsid w:val="00BD3107"/>
    <w:rsid w:val="00BD3338"/>
    <w:rsid w:val="00BD37D6"/>
    <w:rsid w:val="00BD385A"/>
    <w:rsid w:val="00BD3D2E"/>
    <w:rsid w:val="00BD56DD"/>
    <w:rsid w:val="00BD7146"/>
    <w:rsid w:val="00BD7445"/>
    <w:rsid w:val="00BE029C"/>
    <w:rsid w:val="00BE1229"/>
    <w:rsid w:val="00BE1CD6"/>
    <w:rsid w:val="00BE25E2"/>
    <w:rsid w:val="00BE26C1"/>
    <w:rsid w:val="00BE3147"/>
    <w:rsid w:val="00BE3337"/>
    <w:rsid w:val="00BE4A23"/>
    <w:rsid w:val="00BE5065"/>
    <w:rsid w:val="00BE5B71"/>
    <w:rsid w:val="00BE6454"/>
    <w:rsid w:val="00BE6BCE"/>
    <w:rsid w:val="00BE7070"/>
    <w:rsid w:val="00BE7277"/>
    <w:rsid w:val="00BE731A"/>
    <w:rsid w:val="00BF0643"/>
    <w:rsid w:val="00BF0A4C"/>
    <w:rsid w:val="00BF0DDD"/>
    <w:rsid w:val="00BF11B7"/>
    <w:rsid w:val="00BF15F1"/>
    <w:rsid w:val="00BF17E9"/>
    <w:rsid w:val="00BF1855"/>
    <w:rsid w:val="00BF19E7"/>
    <w:rsid w:val="00BF1B05"/>
    <w:rsid w:val="00BF224C"/>
    <w:rsid w:val="00BF2609"/>
    <w:rsid w:val="00BF3ACF"/>
    <w:rsid w:val="00BF3CBB"/>
    <w:rsid w:val="00BF3F22"/>
    <w:rsid w:val="00BF424C"/>
    <w:rsid w:val="00BF4523"/>
    <w:rsid w:val="00BF4BBE"/>
    <w:rsid w:val="00BF4E61"/>
    <w:rsid w:val="00BF4FAF"/>
    <w:rsid w:val="00BF5E75"/>
    <w:rsid w:val="00BF5F05"/>
    <w:rsid w:val="00BF605D"/>
    <w:rsid w:val="00BF6B99"/>
    <w:rsid w:val="00BF791A"/>
    <w:rsid w:val="00BF7A0D"/>
    <w:rsid w:val="00C0002F"/>
    <w:rsid w:val="00C0006F"/>
    <w:rsid w:val="00C0026E"/>
    <w:rsid w:val="00C00BCD"/>
    <w:rsid w:val="00C018E3"/>
    <w:rsid w:val="00C01C7D"/>
    <w:rsid w:val="00C01D7E"/>
    <w:rsid w:val="00C03D0E"/>
    <w:rsid w:val="00C03D5C"/>
    <w:rsid w:val="00C040F3"/>
    <w:rsid w:val="00C041BB"/>
    <w:rsid w:val="00C044E0"/>
    <w:rsid w:val="00C0467A"/>
    <w:rsid w:val="00C05B78"/>
    <w:rsid w:val="00C0656B"/>
    <w:rsid w:val="00C0693C"/>
    <w:rsid w:val="00C06B95"/>
    <w:rsid w:val="00C0717D"/>
    <w:rsid w:val="00C07267"/>
    <w:rsid w:val="00C077AF"/>
    <w:rsid w:val="00C0796B"/>
    <w:rsid w:val="00C107D5"/>
    <w:rsid w:val="00C10895"/>
    <w:rsid w:val="00C10CF6"/>
    <w:rsid w:val="00C10DF8"/>
    <w:rsid w:val="00C11043"/>
    <w:rsid w:val="00C113D7"/>
    <w:rsid w:val="00C11595"/>
    <w:rsid w:val="00C11AEE"/>
    <w:rsid w:val="00C11C63"/>
    <w:rsid w:val="00C11FB8"/>
    <w:rsid w:val="00C12094"/>
    <w:rsid w:val="00C120A8"/>
    <w:rsid w:val="00C12292"/>
    <w:rsid w:val="00C132B9"/>
    <w:rsid w:val="00C1362C"/>
    <w:rsid w:val="00C13846"/>
    <w:rsid w:val="00C16B95"/>
    <w:rsid w:val="00C177FD"/>
    <w:rsid w:val="00C17928"/>
    <w:rsid w:val="00C179A1"/>
    <w:rsid w:val="00C1D3CD"/>
    <w:rsid w:val="00C202D6"/>
    <w:rsid w:val="00C20B11"/>
    <w:rsid w:val="00C220D9"/>
    <w:rsid w:val="00C224F8"/>
    <w:rsid w:val="00C225C0"/>
    <w:rsid w:val="00C22933"/>
    <w:rsid w:val="00C22A1F"/>
    <w:rsid w:val="00C23167"/>
    <w:rsid w:val="00C23684"/>
    <w:rsid w:val="00C239A3"/>
    <w:rsid w:val="00C2449C"/>
    <w:rsid w:val="00C246E3"/>
    <w:rsid w:val="00C250BD"/>
    <w:rsid w:val="00C25C0C"/>
    <w:rsid w:val="00C25DB6"/>
    <w:rsid w:val="00C25F0B"/>
    <w:rsid w:val="00C2613C"/>
    <w:rsid w:val="00C2725E"/>
    <w:rsid w:val="00C27687"/>
    <w:rsid w:val="00C27EFB"/>
    <w:rsid w:val="00C30E89"/>
    <w:rsid w:val="00C31135"/>
    <w:rsid w:val="00C3123E"/>
    <w:rsid w:val="00C313AD"/>
    <w:rsid w:val="00C314A8"/>
    <w:rsid w:val="00C3155E"/>
    <w:rsid w:val="00C3157A"/>
    <w:rsid w:val="00C31B1E"/>
    <w:rsid w:val="00C32C9C"/>
    <w:rsid w:val="00C337B7"/>
    <w:rsid w:val="00C34ED7"/>
    <w:rsid w:val="00C3560F"/>
    <w:rsid w:val="00C36B53"/>
    <w:rsid w:val="00C3700A"/>
    <w:rsid w:val="00C371B7"/>
    <w:rsid w:val="00C3771A"/>
    <w:rsid w:val="00C408E4"/>
    <w:rsid w:val="00C40C4C"/>
    <w:rsid w:val="00C40DBA"/>
    <w:rsid w:val="00C410CB"/>
    <w:rsid w:val="00C4138D"/>
    <w:rsid w:val="00C418BE"/>
    <w:rsid w:val="00C420A1"/>
    <w:rsid w:val="00C420AF"/>
    <w:rsid w:val="00C4283D"/>
    <w:rsid w:val="00C42D26"/>
    <w:rsid w:val="00C42FFC"/>
    <w:rsid w:val="00C43341"/>
    <w:rsid w:val="00C43592"/>
    <w:rsid w:val="00C438F2"/>
    <w:rsid w:val="00C443DF"/>
    <w:rsid w:val="00C457F8"/>
    <w:rsid w:val="00C45B22"/>
    <w:rsid w:val="00C45C93"/>
    <w:rsid w:val="00C45D9E"/>
    <w:rsid w:val="00C4681E"/>
    <w:rsid w:val="00C477E2"/>
    <w:rsid w:val="00C47909"/>
    <w:rsid w:val="00C5065F"/>
    <w:rsid w:val="00C506A9"/>
    <w:rsid w:val="00C50F76"/>
    <w:rsid w:val="00C5291B"/>
    <w:rsid w:val="00C532E7"/>
    <w:rsid w:val="00C5389E"/>
    <w:rsid w:val="00C539C8"/>
    <w:rsid w:val="00C53FED"/>
    <w:rsid w:val="00C5419A"/>
    <w:rsid w:val="00C54250"/>
    <w:rsid w:val="00C546FD"/>
    <w:rsid w:val="00C54B81"/>
    <w:rsid w:val="00C54D0E"/>
    <w:rsid w:val="00C5599F"/>
    <w:rsid w:val="00C55C33"/>
    <w:rsid w:val="00C55CB5"/>
    <w:rsid w:val="00C564BF"/>
    <w:rsid w:val="00C567C7"/>
    <w:rsid w:val="00C5689E"/>
    <w:rsid w:val="00C56CCA"/>
    <w:rsid w:val="00C56ED6"/>
    <w:rsid w:val="00C57393"/>
    <w:rsid w:val="00C57456"/>
    <w:rsid w:val="00C5785C"/>
    <w:rsid w:val="00C578C8"/>
    <w:rsid w:val="00C609EF"/>
    <w:rsid w:val="00C610EA"/>
    <w:rsid w:val="00C611AD"/>
    <w:rsid w:val="00C61CF7"/>
    <w:rsid w:val="00C62024"/>
    <w:rsid w:val="00C62930"/>
    <w:rsid w:val="00C62DF9"/>
    <w:rsid w:val="00C63E5F"/>
    <w:rsid w:val="00C647FE"/>
    <w:rsid w:val="00C65E2A"/>
    <w:rsid w:val="00C664E9"/>
    <w:rsid w:val="00C6686B"/>
    <w:rsid w:val="00C66CA0"/>
    <w:rsid w:val="00C66D97"/>
    <w:rsid w:val="00C66F8C"/>
    <w:rsid w:val="00C672FF"/>
    <w:rsid w:val="00C67B43"/>
    <w:rsid w:val="00C70449"/>
    <w:rsid w:val="00C704E5"/>
    <w:rsid w:val="00C7062C"/>
    <w:rsid w:val="00C7090F"/>
    <w:rsid w:val="00C70A6C"/>
    <w:rsid w:val="00C70D0B"/>
    <w:rsid w:val="00C70F2A"/>
    <w:rsid w:val="00C73162"/>
    <w:rsid w:val="00C7374E"/>
    <w:rsid w:val="00C73DB2"/>
    <w:rsid w:val="00C742D0"/>
    <w:rsid w:val="00C75350"/>
    <w:rsid w:val="00C759C0"/>
    <w:rsid w:val="00C76041"/>
    <w:rsid w:val="00C76573"/>
    <w:rsid w:val="00C76D53"/>
    <w:rsid w:val="00C77262"/>
    <w:rsid w:val="00C77550"/>
    <w:rsid w:val="00C8007A"/>
    <w:rsid w:val="00C8013B"/>
    <w:rsid w:val="00C80782"/>
    <w:rsid w:val="00C807BD"/>
    <w:rsid w:val="00C815A6"/>
    <w:rsid w:val="00C816C4"/>
    <w:rsid w:val="00C8251E"/>
    <w:rsid w:val="00C826B8"/>
    <w:rsid w:val="00C82B22"/>
    <w:rsid w:val="00C82C4E"/>
    <w:rsid w:val="00C82FA6"/>
    <w:rsid w:val="00C835B2"/>
    <w:rsid w:val="00C83DD0"/>
    <w:rsid w:val="00C84070"/>
    <w:rsid w:val="00C84C0A"/>
    <w:rsid w:val="00C84E2B"/>
    <w:rsid w:val="00C84E8A"/>
    <w:rsid w:val="00C857D7"/>
    <w:rsid w:val="00C85AAB"/>
    <w:rsid w:val="00C85C1B"/>
    <w:rsid w:val="00C869FE"/>
    <w:rsid w:val="00C87088"/>
    <w:rsid w:val="00C872C4"/>
    <w:rsid w:val="00C87B3B"/>
    <w:rsid w:val="00C90A6F"/>
    <w:rsid w:val="00C90BCB"/>
    <w:rsid w:val="00C91240"/>
    <w:rsid w:val="00C913A6"/>
    <w:rsid w:val="00C920CC"/>
    <w:rsid w:val="00C923F4"/>
    <w:rsid w:val="00C92879"/>
    <w:rsid w:val="00C93050"/>
    <w:rsid w:val="00C93A3F"/>
    <w:rsid w:val="00C93D45"/>
    <w:rsid w:val="00C943F0"/>
    <w:rsid w:val="00C9449A"/>
    <w:rsid w:val="00C949E9"/>
    <w:rsid w:val="00C951EB"/>
    <w:rsid w:val="00C95253"/>
    <w:rsid w:val="00C95517"/>
    <w:rsid w:val="00C96304"/>
    <w:rsid w:val="00C96449"/>
    <w:rsid w:val="00C9665B"/>
    <w:rsid w:val="00C979FF"/>
    <w:rsid w:val="00C97EE8"/>
    <w:rsid w:val="00CA0206"/>
    <w:rsid w:val="00CA0C9C"/>
    <w:rsid w:val="00CA0CD5"/>
    <w:rsid w:val="00CA0F2F"/>
    <w:rsid w:val="00CA10BF"/>
    <w:rsid w:val="00CA139F"/>
    <w:rsid w:val="00CA1995"/>
    <w:rsid w:val="00CA284B"/>
    <w:rsid w:val="00CA2A9F"/>
    <w:rsid w:val="00CA3189"/>
    <w:rsid w:val="00CA335F"/>
    <w:rsid w:val="00CA386D"/>
    <w:rsid w:val="00CA40A7"/>
    <w:rsid w:val="00CA44B1"/>
    <w:rsid w:val="00CA4939"/>
    <w:rsid w:val="00CA5693"/>
    <w:rsid w:val="00CA671B"/>
    <w:rsid w:val="00CA6BAD"/>
    <w:rsid w:val="00CA6D8D"/>
    <w:rsid w:val="00CA6E3E"/>
    <w:rsid w:val="00CA6EF7"/>
    <w:rsid w:val="00CA73D4"/>
    <w:rsid w:val="00CA77E9"/>
    <w:rsid w:val="00CB157A"/>
    <w:rsid w:val="00CB2003"/>
    <w:rsid w:val="00CB28A6"/>
    <w:rsid w:val="00CB2D08"/>
    <w:rsid w:val="00CB3B0F"/>
    <w:rsid w:val="00CB3D19"/>
    <w:rsid w:val="00CB4BBF"/>
    <w:rsid w:val="00CB51F0"/>
    <w:rsid w:val="00CB5C59"/>
    <w:rsid w:val="00CB6579"/>
    <w:rsid w:val="00CB6E84"/>
    <w:rsid w:val="00CB6F5A"/>
    <w:rsid w:val="00CB787E"/>
    <w:rsid w:val="00CB7C7F"/>
    <w:rsid w:val="00CC06A1"/>
    <w:rsid w:val="00CC11E0"/>
    <w:rsid w:val="00CC12BD"/>
    <w:rsid w:val="00CC18C8"/>
    <w:rsid w:val="00CC1AE8"/>
    <w:rsid w:val="00CC23B5"/>
    <w:rsid w:val="00CC2E4D"/>
    <w:rsid w:val="00CC3D8D"/>
    <w:rsid w:val="00CC47B7"/>
    <w:rsid w:val="00CC4EF0"/>
    <w:rsid w:val="00CC60ED"/>
    <w:rsid w:val="00CC616B"/>
    <w:rsid w:val="00CC6297"/>
    <w:rsid w:val="00CC6376"/>
    <w:rsid w:val="00CC69EE"/>
    <w:rsid w:val="00CC7741"/>
    <w:rsid w:val="00CC7875"/>
    <w:rsid w:val="00CC7947"/>
    <w:rsid w:val="00CD0BA6"/>
    <w:rsid w:val="00CD163E"/>
    <w:rsid w:val="00CD261A"/>
    <w:rsid w:val="00CD28D7"/>
    <w:rsid w:val="00CD2CFB"/>
    <w:rsid w:val="00CD2E3A"/>
    <w:rsid w:val="00CD352C"/>
    <w:rsid w:val="00CD3AF5"/>
    <w:rsid w:val="00CD4A31"/>
    <w:rsid w:val="00CD59CD"/>
    <w:rsid w:val="00CD5D25"/>
    <w:rsid w:val="00CD64A3"/>
    <w:rsid w:val="00CD6523"/>
    <w:rsid w:val="00CD6C09"/>
    <w:rsid w:val="00CD6FF6"/>
    <w:rsid w:val="00CD7130"/>
    <w:rsid w:val="00CD79A6"/>
    <w:rsid w:val="00CD7CCA"/>
    <w:rsid w:val="00CD7EE5"/>
    <w:rsid w:val="00CE095E"/>
    <w:rsid w:val="00CE0C3E"/>
    <w:rsid w:val="00CE1B35"/>
    <w:rsid w:val="00CE2868"/>
    <w:rsid w:val="00CE2E63"/>
    <w:rsid w:val="00CE386A"/>
    <w:rsid w:val="00CE43D0"/>
    <w:rsid w:val="00CE5C46"/>
    <w:rsid w:val="00CE5CC8"/>
    <w:rsid w:val="00CE651B"/>
    <w:rsid w:val="00CE6648"/>
    <w:rsid w:val="00CE6E5F"/>
    <w:rsid w:val="00CE7B56"/>
    <w:rsid w:val="00CE7C9E"/>
    <w:rsid w:val="00CF0049"/>
    <w:rsid w:val="00CF0B06"/>
    <w:rsid w:val="00CF1D76"/>
    <w:rsid w:val="00CF217A"/>
    <w:rsid w:val="00CF2377"/>
    <w:rsid w:val="00CF25B0"/>
    <w:rsid w:val="00CF29B3"/>
    <w:rsid w:val="00CF33E7"/>
    <w:rsid w:val="00CF396C"/>
    <w:rsid w:val="00CF3CB0"/>
    <w:rsid w:val="00CF5155"/>
    <w:rsid w:val="00CF545F"/>
    <w:rsid w:val="00CF5A5A"/>
    <w:rsid w:val="00CF6480"/>
    <w:rsid w:val="00CF6B83"/>
    <w:rsid w:val="00CF72CB"/>
    <w:rsid w:val="00CF7663"/>
    <w:rsid w:val="00D004F5"/>
    <w:rsid w:val="00D00CA6"/>
    <w:rsid w:val="00D00D4A"/>
    <w:rsid w:val="00D013A9"/>
    <w:rsid w:val="00D02CFD"/>
    <w:rsid w:val="00D03152"/>
    <w:rsid w:val="00D035DB"/>
    <w:rsid w:val="00D03641"/>
    <w:rsid w:val="00D052EB"/>
    <w:rsid w:val="00D054AD"/>
    <w:rsid w:val="00D05B43"/>
    <w:rsid w:val="00D05BC5"/>
    <w:rsid w:val="00D05CD2"/>
    <w:rsid w:val="00D06E8A"/>
    <w:rsid w:val="00D10BAD"/>
    <w:rsid w:val="00D11D34"/>
    <w:rsid w:val="00D12171"/>
    <w:rsid w:val="00D1275F"/>
    <w:rsid w:val="00D12908"/>
    <w:rsid w:val="00D12A5C"/>
    <w:rsid w:val="00D1331F"/>
    <w:rsid w:val="00D13650"/>
    <w:rsid w:val="00D1366C"/>
    <w:rsid w:val="00D13946"/>
    <w:rsid w:val="00D13F52"/>
    <w:rsid w:val="00D14616"/>
    <w:rsid w:val="00D147F6"/>
    <w:rsid w:val="00D14F79"/>
    <w:rsid w:val="00D1502E"/>
    <w:rsid w:val="00D151D2"/>
    <w:rsid w:val="00D1535C"/>
    <w:rsid w:val="00D20E07"/>
    <w:rsid w:val="00D215A5"/>
    <w:rsid w:val="00D216D0"/>
    <w:rsid w:val="00D21938"/>
    <w:rsid w:val="00D22ADF"/>
    <w:rsid w:val="00D22DC5"/>
    <w:rsid w:val="00D23502"/>
    <w:rsid w:val="00D23987"/>
    <w:rsid w:val="00D258CF"/>
    <w:rsid w:val="00D259E9"/>
    <w:rsid w:val="00D25C05"/>
    <w:rsid w:val="00D26195"/>
    <w:rsid w:val="00D27212"/>
    <w:rsid w:val="00D2768F"/>
    <w:rsid w:val="00D277CA"/>
    <w:rsid w:val="00D27C80"/>
    <w:rsid w:val="00D30443"/>
    <w:rsid w:val="00D30A37"/>
    <w:rsid w:val="00D30AD1"/>
    <w:rsid w:val="00D30E3A"/>
    <w:rsid w:val="00D3250B"/>
    <w:rsid w:val="00D329BD"/>
    <w:rsid w:val="00D3410C"/>
    <w:rsid w:val="00D34A85"/>
    <w:rsid w:val="00D34E6A"/>
    <w:rsid w:val="00D35C1A"/>
    <w:rsid w:val="00D35EB0"/>
    <w:rsid w:val="00D3669C"/>
    <w:rsid w:val="00D36B8A"/>
    <w:rsid w:val="00D377B7"/>
    <w:rsid w:val="00D37AC1"/>
    <w:rsid w:val="00D37E1D"/>
    <w:rsid w:val="00D37EAC"/>
    <w:rsid w:val="00D4160A"/>
    <w:rsid w:val="00D417DF"/>
    <w:rsid w:val="00D418AD"/>
    <w:rsid w:val="00D41B74"/>
    <w:rsid w:val="00D41C02"/>
    <w:rsid w:val="00D41F7F"/>
    <w:rsid w:val="00D42FD0"/>
    <w:rsid w:val="00D4366E"/>
    <w:rsid w:val="00D43E5F"/>
    <w:rsid w:val="00D44761"/>
    <w:rsid w:val="00D44BB1"/>
    <w:rsid w:val="00D44CAF"/>
    <w:rsid w:val="00D44DDB"/>
    <w:rsid w:val="00D455B8"/>
    <w:rsid w:val="00D45DA6"/>
    <w:rsid w:val="00D4658B"/>
    <w:rsid w:val="00D4685B"/>
    <w:rsid w:val="00D47810"/>
    <w:rsid w:val="00D47955"/>
    <w:rsid w:val="00D47C21"/>
    <w:rsid w:val="00D501C1"/>
    <w:rsid w:val="00D503BE"/>
    <w:rsid w:val="00D5077F"/>
    <w:rsid w:val="00D5293E"/>
    <w:rsid w:val="00D5318E"/>
    <w:rsid w:val="00D531BB"/>
    <w:rsid w:val="00D53FE7"/>
    <w:rsid w:val="00D543A4"/>
    <w:rsid w:val="00D552DC"/>
    <w:rsid w:val="00D55330"/>
    <w:rsid w:val="00D55883"/>
    <w:rsid w:val="00D5616D"/>
    <w:rsid w:val="00D56566"/>
    <w:rsid w:val="00D56ABF"/>
    <w:rsid w:val="00D573C7"/>
    <w:rsid w:val="00D57BE5"/>
    <w:rsid w:val="00D607F7"/>
    <w:rsid w:val="00D60876"/>
    <w:rsid w:val="00D609F5"/>
    <w:rsid w:val="00D613AC"/>
    <w:rsid w:val="00D6251C"/>
    <w:rsid w:val="00D62D40"/>
    <w:rsid w:val="00D62EF8"/>
    <w:rsid w:val="00D63439"/>
    <w:rsid w:val="00D63AD3"/>
    <w:rsid w:val="00D63C7B"/>
    <w:rsid w:val="00D64659"/>
    <w:rsid w:val="00D6575A"/>
    <w:rsid w:val="00D65A49"/>
    <w:rsid w:val="00D661DC"/>
    <w:rsid w:val="00D669FD"/>
    <w:rsid w:val="00D66B1A"/>
    <w:rsid w:val="00D7071A"/>
    <w:rsid w:val="00D7079C"/>
    <w:rsid w:val="00D7257B"/>
    <w:rsid w:val="00D72735"/>
    <w:rsid w:val="00D7296B"/>
    <w:rsid w:val="00D72D22"/>
    <w:rsid w:val="00D731EB"/>
    <w:rsid w:val="00D73B92"/>
    <w:rsid w:val="00D74AEA"/>
    <w:rsid w:val="00D75515"/>
    <w:rsid w:val="00D76CE7"/>
    <w:rsid w:val="00D76E14"/>
    <w:rsid w:val="00D76FD6"/>
    <w:rsid w:val="00D7742D"/>
    <w:rsid w:val="00D7752D"/>
    <w:rsid w:val="00D77D7E"/>
    <w:rsid w:val="00D806D2"/>
    <w:rsid w:val="00D809B6"/>
    <w:rsid w:val="00D81487"/>
    <w:rsid w:val="00D81659"/>
    <w:rsid w:val="00D8247F"/>
    <w:rsid w:val="00D827E4"/>
    <w:rsid w:val="00D8284C"/>
    <w:rsid w:val="00D82C8A"/>
    <w:rsid w:val="00D83262"/>
    <w:rsid w:val="00D832BA"/>
    <w:rsid w:val="00D833A7"/>
    <w:rsid w:val="00D84006"/>
    <w:rsid w:val="00D8436F"/>
    <w:rsid w:val="00D84D2A"/>
    <w:rsid w:val="00D84E41"/>
    <w:rsid w:val="00D84F1D"/>
    <w:rsid w:val="00D851C5"/>
    <w:rsid w:val="00D8523A"/>
    <w:rsid w:val="00D852A7"/>
    <w:rsid w:val="00D86856"/>
    <w:rsid w:val="00D86997"/>
    <w:rsid w:val="00D901CC"/>
    <w:rsid w:val="00D902A0"/>
    <w:rsid w:val="00D90BAE"/>
    <w:rsid w:val="00D91177"/>
    <w:rsid w:val="00D912AB"/>
    <w:rsid w:val="00D9174A"/>
    <w:rsid w:val="00D91BF3"/>
    <w:rsid w:val="00D91DFA"/>
    <w:rsid w:val="00D923AB"/>
    <w:rsid w:val="00D924BB"/>
    <w:rsid w:val="00D92A42"/>
    <w:rsid w:val="00D92A8E"/>
    <w:rsid w:val="00D938B5"/>
    <w:rsid w:val="00D93A61"/>
    <w:rsid w:val="00D94455"/>
    <w:rsid w:val="00D94DD3"/>
    <w:rsid w:val="00D9557A"/>
    <w:rsid w:val="00D9564D"/>
    <w:rsid w:val="00D95AFA"/>
    <w:rsid w:val="00D960A6"/>
    <w:rsid w:val="00D968DD"/>
    <w:rsid w:val="00D96D01"/>
    <w:rsid w:val="00DA0999"/>
    <w:rsid w:val="00DA0B47"/>
    <w:rsid w:val="00DA10F1"/>
    <w:rsid w:val="00DA130B"/>
    <w:rsid w:val="00DA1A8B"/>
    <w:rsid w:val="00DA2110"/>
    <w:rsid w:val="00DA36B2"/>
    <w:rsid w:val="00DA3ADA"/>
    <w:rsid w:val="00DA4A7A"/>
    <w:rsid w:val="00DA502F"/>
    <w:rsid w:val="00DA5078"/>
    <w:rsid w:val="00DA5095"/>
    <w:rsid w:val="00DA546A"/>
    <w:rsid w:val="00DA5CBD"/>
    <w:rsid w:val="00DA5E23"/>
    <w:rsid w:val="00DA69D0"/>
    <w:rsid w:val="00DB02E9"/>
    <w:rsid w:val="00DB0D25"/>
    <w:rsid w:val="00DB0D6B"/>
    <w:rsid w:val="00DB0DAC"/>
    <w:rsid w:val="00DB0E91"/>
    <w:rsid w:val="00DB1019"/>
    <w:rsid w:val="00DB301D"/>
    <w:rsid w:val="00DB3D19"/>
    <w:rsid w:val="00DB4579"/>
    <w:rsid w:val="00DB4AA3"/>
    <w:rsid w:val="00DB4B17"/>
    <w:rsid w:val="00DB5105"/>
    <w:rsid w:val="00DB56F9"/>
    <w:rsid w:val="00DB5763"/>
    <w:rsid w:val="00DB58E7"/>
    <w:rsid w:val="00DB6593"/>
    <w:rsid w:val="00DB6825"/>
    <w:rsid w:val="00DB6C76"/>
    <w:rsid w:val="00DB7948"/>
    <w:rsid w:val="00DB7D1F"/>
    <w:rsid w:val="00DC0254"/>
    <w:rsid w:val="00DC0448"/>
    <w:rsid w:val="00DC0653"/>
    <w:rsid w:val="00DC11BE"/>
    <w:rsid w:val="00DC186E"/>
    <w:rsid w:val="00DC278A"/>
    <w:rsid w:val="00DC3315"/>
    <w:rsid w:val="00DC3FE2"/>
    <w:rsid w:val="00DC4A12"/>
    <w:rsid w:val="00DC4A4F"/>
    <w:rsid w:val="00DC644B"/>
    <w:rsid w:val="00DC652B"/>
    <w:rsid w:val="00DC6D01"/>
    <w:rsid w:val="00DC6FE0"/>
    <w:rsid w:val="00DD0010"/>
    <w:rsid w:val="00DD0288"/>
    <w:rsid w:val="00DD0648"/>
    <w:rsid w:val="00DD123F"/>
    <w:rsid w:val="00DD134A"/>
    <w:rsid w:val="00DD136B"/>
    <w:rsid w:val="00DD19B7"/>
    <w:rsid w:val="00DD2A42"/>
    <w:rsid w:val="00DD2CC2"/>
    <w:rsid w:val="00DD381C"/>
    <w:rsid w:val="00DD3A09"/>
    <w:rsid w:val="00DD3FB3"/>
    <w:rsid w:val="00DD51B0"/>
    <w:rsid w:val="00DD5913"/>
    <w:rsid w:val="00DD599E"/>
    <w:rsid w:val="00DD6096"/>
    <w:rsid w:val="00DE048B"/>
    <w:rsid w:val="00DE0E6C"/>
    <w:rsid w:val="00DE108B"/>
    <w:rsid w:val="00DE159F"/>
    <w:rsid w:val="00DE15B6"/>
    <w:rsid w:val="00DE1FA3"/>
    <w:rsid w:val="00DE262B"/>
    <w:rsid w:val="00DE2F03"/>
    <w:rsid w:val="00DE351F"/>
    <w:rsid w:val="00DE4D20"/>
    <w:rsid w:val="00DE5520"/>
    <w:rsid w:val="00DE583F"/>
    <w:rsid w:val="00DE5F80"/>
    <w:rsid w:val="00DE6995"/>
    <w:rsid w:val="00DF0715"/>
    <w:rsid w:val="00DF0928"/>
    <w:rsid w:val="00DF1020"/>
    <w:rsid w:val="00DF13C1"/>
    <w:rsid w:val="00DF2E47"/>
    <w:rsid w:val="00DF2F8D"/>
    <w:rsid w:val="00DF341C"/>
    <w:rsid w:val="00DF36D7"/>
    <w:rsid w:val="00DF3839"/>
    <w:rsid w:val="00DF383F"/>
    <w:rsid w:val="00DF4869"/>
    <w:rsid w:val="00DF4B73"/>
    <w:rsid w:val="00DF50F7"/>
    <w:rsid w:val="00DF51E9"/>
    <w:rsid w:val="00DF55C0"/>
    <w:rsid w:val="00DF577A"/>
    <w:rsid w:val="00DF5CE9"/>
    <w:rsid w:val="00DF64B3"/>
    <w:rsid w:val="00DF64E3"/>
    <w:rsid w:val="00DF6733"/>
    <w:rsid w:val="00DF770F"/>
    <w:rsid w:val="00DF7FFC"/>
    <w:rsid w:val="00E0038D"/>
    <w:rsid w:val="00E006AC"/>
    <w:rsid w:val="00E006F9"/>
    <w:rsid w:val="00E00964"/>
    <w:rsid w:val="00E01168"/>
    <w:rsid w:val="00E01906"/>
    <w:rsid w:val="00E01B16"/>
    <w:rsid w:val="00E01EAF"/>
    <w:rsid w:val="00E0277C"/>
    <w:rsid w:val="00E02913"/>
    <w:rsid w:val="00E03744"/>
    <w:rsid w:val="00E0377A"/>
    <w:rsid w:val="00E050A6"/>
    <w:rsid w:val="00E0548B"/>
    <w:rsid w:val="00E069E8"/>
    <w:rsid w:val="00E06BAA"/>
    <w:rsid w:val="00E100F3"/>
    <w:rsid w:val="00E104D8"/>
    <w:rsid w:val="00E1084C"/>
    <w:rsid w:val="00E11CF2"/>
    <w:rsid w:val="00E12164"/>
    <w:rsid w:val="00E12BDC"/>
    <w:rsid w:val="00E13091"/>
    <w:rsid w:val="00E13AC4"/>
    <w:rsid w:val="00E14004"/>
    <w:rsid w:val="00E150BA"/>
    <w:rsid w:val="00E157C8"/>
    <w:rsid w:val="00E15D26"/>
    <w:rsid w:val="00E15F50"/>
    <w:rsid w:val="00E16B59"/>
    <w:rsid w:val="00E16E07"/>
    <w:rsid w:val="00E17035"/>
    <w:rsid w:val="00E178C8"/>
    <w:rsid w:val="00E17EAA"/>
    <w:rsid w:val="00E20703"/>
    <w:rsid w:val="00E20BFC"/>
    <w:rsid w:val="00E20EA3"/>
    <w:rsid w:val="00E21311"/>
    <w:rsid w:val="00E21825"/>
    <w:rsid w:val="00E2268C"/>
    <w:rsid w:val="00E22C0C"/>
    <w:rsid w:val="00E22E2E"/>
    <w:rsid w:val="00E22FD0"/>
    <w:rsid w:val="00E230CF"/>
    <w:rsid w:val="00E23E01"/>
    <w:rsid w:val="00E24B27"/>
    <w:rsid w:val="00E25982"/>
    <w:rsid w:val="00E25CC9"/>
    <w:rsid w:val="00E261C8"/>
    <w:rsid w:val="00E26760"/>
    <w:rsid w:val="00E271EF"/>
    <w:rsid w:val="00E2790A"/>
    <w:rsid w:val="00E27A33"/>
    <w:rsid w:val="00E308A1"/>
    <w:rsid w:val="00E30906"/>
    <w:rsid w:val="00E30A69"/>
    <w:rsid w:val="00E30BC4"/>
    <w:rsid w:val="00E3121F"/>
    <w:rsid w:val="00E316F0"/>
    <w:rsid w:val="00E318C6"/>
    <w:rsid w:val="00E3202C"/>
    <w:rsid w:val="00E321A0"/>
    <w:rsid w:val="00E32335"/>
    <w:rsid w:val="00E3277A"/>
    <w:rsid w:val="00E32A91"/>
    <w:rsid w:val="00E32D46"/>
    <w:rsid w:val="00E33871"/>
    <w:rsid w:val="00E33C24"/>
    <w:rsid w:val="00E34878"/>
    <w:rsid w:val="00E34CF8"/>
    <w:rsid w:val="00E35107"/>
    <w:rsid w:val="00E36196"/>
    <w:rsid w:val="00E368BD"/>
    <w:rsid w:val="00E36ADD"/>
    <w:rsid w:val="00E36C4E"/>
    <w:rsid w:val="00E378C4"/>
    <w:rsid w:val="00E37E42"/>
    <w:rsid w:val="00E40AFA"/>
    <w:rsid w:val="00E40C75"/>
    <w:rsid w:val="00E40CBC"/>
    <w:rsid w:val="00E40F7F"/>
    <w:rsid w:val="00E411AD"/>
    <w:rsid w:val="00E417C2"/>
    <w:rsid w:val="00E41BEC"/>
    <w:rsid w:val="00E41D6D"/>
    <w:rsid w:val="00E4277D"/>
    <w:rsid w:val="00E4482C"/>
    <w:rsid w:val="00E44A39"/>
    <w:rsid w:val="00E4559B"/>
    <w:rsid w:val="00E4643F"/>
    <w:rsid w:val="00E472D4"/>
    <w:rsid w:val="00E50679"/>
    <w:rsid w:val="00E51A76"/>
    <w:rsid w:val="00E51D43"/>
    <w:rsid w:val="00E52257"/>
    <w:rsid w:val="00E525A5"/>
    <w:rsid w:val="00E52748"/>
    <w:rsid w:val="00E5304B"/>
    <w:rsid w:val="00E53285"/>
    <w:rsid w:val="00E53CE1"/>
    <w:rsid w:val="00E549DE"/>
    <w:rsid w:val="00E5527B"/>
    <w:rsid w:val="00E55749"/>
    <w:rsid w:val="00E55D65"/>
    <w:rsid w:val="00E5607D"/>
    <w:rsid w:val="00E562B5"/>
    <w:rsid w:val="00E5793A"/>
    <w:rsid w:val="00E57C5C"/>
    <w:rsid w:val="00E57F02"/>
    <w:rsid w:val="00E6040A"/>
    <w:rsid w:val="00E616B7"/>
    <w:rsid w:val="00E62724"/>
    <w:rsid w:val="00E62B91"/>
    <w:rsid w:val="00E62E5C"/>
    <w:rsid w:val="00E635D6"/>
    <w:rsid w:val="00E6421B"/>
    <w:rsid w:val="00E64250"/>
    <w:rsid w:val="00E644AC"/>
    <w:rsid w:val="00E6450A"/>
    <w:rsid w:val="00E647B4"/>
    <w:rsid w:val="00E649DF"/>
    <w:rsid w:val="00E654BE"/>
    <w:rsid w:val="00E6560D"/>
    <w:rsid w:val="00E65BEF"/>
    <w:rsid w:val="00E6661B"/>
    <w:rsid w:val="00E666D5"/>
    <w:rsid w:val="00E70B48"/>
    <w:rsid w:val="00E70D17"/>
    <w:rsid w:val="00E7148B"/>
    <w:rsid w:val="00E71C95"/>
    <w:rsid w:val="00E71CE4"/>
    <w:rsid w:val="00E72661"/>
    <w:rsid w:val="00E72689"/>
    <w:rsid w:val="00E72F79"/>
    <w:rsid w:val="00E73497"/>
    <w:rsid w:val="00E73991"/>
    <w:rsid w:val="00E74232"/>
    <w:rsid w:val="00E74BAF"/>
    <w:rsid w:val="00E74F82"/>
    <w:rsid w:val="00E758A7"/>
    <w:rsid w:val="00E759B7"/>
    <w:rsid w:val="00E75A2B"/>
    <w:rsid w:val="00E761BF"/>
    <w:rsid w:val="00E7636E"/>
    <w:rsid w:val="00E76596"/>
    <w:rsid w:val="00E77EB6"/>
    <w:rsid w:val="00E77EBA"/>
    <w:rsid w:val="00E80822"/>
    <w:rsid w:val="00E80A68"/>
    <w:rsid w:val="00E80B59"/>
    <w:rsid w:val="00E80CEE"/>
    <w:rsid w:val="00E80E53"/>
    <w:rsid w:val="00E81602"/>
    <w:rsid w:val="00E8162D"/>
    <w:rsid w:val="00E8167B"/>
    <w:rsid w:val="00E81BB0"/>
    <w:rsid w:val="00E81DE9"/>
    <w:rsid w:val="00E82026"/>
    <w:rsid w:val="00E8208A"/>
    <w:rsid w:val="00E82326"/>
    <w:rsid w:val="00E8248F"/>
    <w:rsid w:val="00E8252C"/>
    <w:rsid w:val="00E82673"/>
    <w:rsid w:val="00E82E09"/>
    <w:rsid w:val="00E83575"/>
    <w:rsid w:val="00E83989"/>
    <w:rsid w:val="00E83F5D"/>
    <w:rsid w:val="00E84B7B"/>
    <w:rsid w:val="00E861D5"/>
    <w:rsid w:val="00E87EE0"/>
    <w:rsid w:val="00E9031C"/>
    <w:rsid w:val="00E9068E"/>
    <w:rsid w:val="00E91382"/>
    <w:rsid w:val="00E91B2E"/>
    <w:rsid w:val="00E92576"/>
    <w:rsid w:val="00E92758"/>
    <w:rsid w:val="00E9372B"/>
    <w:rsid w:val="00E94130"/>
    <w:rsid w:val="00E94B13"/>
    <w:rsid w:val="00E950DA"/>
    <w:rsid w:val="00E9534B"/>
    <w:rsid w:val="00E95DE0"/>
    <w:rsid w:val="00E95EB3"/>
    <w:rsid w:val="00E96916"/>
    <w:rsid w:val="00E97120"/>
    <w:rsid w:val="00EA03B1"/>
    <w:rsid w:val="00EA04A8"/>
    <w:rsid w:val="00EA099C"/>
    <w:rsid w:val="00EA0B30"/>
    <w:rsid w:val="00EA1073"/>
    <w:rsid w:val="00EA1550"/>
    <w:rsid w:val="00EA1FB9"/>
    <w:rsid w:val="00EA2246"/>
    <w:rsid w:val="00EA36AE"/>
    <w:rsid w:val="00EA3A2C"/>
    <w:rsid w:val="00EA3DA2"/>
    <w:rsid w:val="00EA3F41"/>
    <w:rsid w:val="00EA434B"/>
    <w:rsid w:val="00EA44D4"/>
    <w:rsid w:val="00EA47D3"/>
    <w:rsid w:val="00EA4F65"/>
    <w:rsid w:val="00EA5BBB"/>
    <w:rsid w:val="00EA5D0A"/>
    <w:rsid w:val="00EA614C"/>
    <w:rsid w:val="00EA7607"/>
    <w:rsid w:val="00EA7747"/>
    <w:rsid w:val="00EB03CE"/>
    <w:rsid w:val="00EB1758"/>
    <w:rsid w:val="00EB17B8"/>
    <w:rsid w:val="00EB1AAE"/>
    <w:rsid w:val="00EB2528"/>
    <w:rsid w:val="00EB2E19"/>
    <w:rsid w:val="00EB3027"/>
    <w:rsid w:val="00EB44B3"/>
    <w:rsid w:val="00EB4A69"/>
    <w:rsid w:val="00EB51F8"/>
    <w:rsid w:val="00EB5219"/>
    <w:rsid w:val="00EB5A04"/>
    <w:rsid w:val="00EB5D26"/>
    <w:rsid w:val="00EB5D58"/>
    <w:rsid w:val="00EB5D7E"/>
    <w:rsid w:val="00EB5FF1"/>
    <w:rsid w:val="00EB6DC5"/>
    <w:rsid w:val="00EB7A68"/>
    <w:rsid w:val="00EB7EB4"/>
    <w:rsid w:val="00EC0061"/>
    <w:rsid w:val="00EC03DF"/>
    <w:rsid w:val="00EC062B"/>
    <w:rsid w:val="00EC0791"/>
    <w:rsid w:val="00EC0A1F"/>
    <w:rsid w:val="00EC10B3"/>
    <w:rsid w:val="00EC1111"/>
    <w:rsid w:val="00EC1526"/>
    <w:rsid w:val="00EC19E5"/>
    <w:rsid w:val="00EC2EC4"/>
    <w:rsid w:val="00EC303A"/>
    <w:rsid w:val="00EC3827"/>
    <w:rsid w:val="00EC3E2C"/>
    <w:rsid w:val="00EC4408"/>
    <w:rsid w:val="00EC44E3"/>
    <w:rsid w:val="00EC4C6C"/>
    <w:rsid w:val="00EC57F4"/>
    <w:rsid w:val="00EC6221"/>
    <w:rsid w:val="00EC6BF1"/>
    <w:rsid w:val="00EC70D9"/>
    <w:rsid w:val="00EC7364"/>
    <w:rsid w:val="00EC7ACA"/>
    <w:rsid w:val="00EC7D34"/>
    <w:rsid w:val="00ED023A"/>
    <w:rsid w:val="00ED02C8"/>
    <w:rsid w:val="00ED061C"/>
    <w:rsid w:val="00ED0E17"/>
    <w:rsid w:val="00ED0F84"/>
    <w:rsid w:val="00ED0FF4"/>
    <w:rsid w:val="00ED139B"/>
    <w:rsid w:val="00ED2558"/>
    <w:rsid w:val="00ED2BFB"/>
    <w:rsid w:val="00ED2E79"/>
    <w:rsid w:val="00ED2F0D"/>
    <w:rsid w:val="00ED4AE5"/>
    <w:rsid w:val="00ED591F"/>
    <w:rsid w:val="00ED637F"/>
    <w:rsid w:val="00ED6CD6"/>
    <w:rsid w:val="00ED6D35"/>
    <w:rsid w:val="00ED7432"/>
    <w:rsid w:val="00ED795C"/>
    <w:rsid w:val="00ED7B41"/>
    <w:rsid w:val="00EE010D"/>
    <w:rsid w:val="00EE037A"/>
    <w:rsid w:val="00EE0713"/>
    <w:rsid w:val="00EE081F"/>
    <w:rsid w:val="00EE0AB9"/>
    <w:rsid w:val="00EE0E04"/>
    <w:rsid w:val="00EE1638"/>
    <w:rsid w:val="00EE193E"/>
    <w:rsid w:val="00EE1B6E"/>
    <w:rsid w:val="00EE251D"/>
    <w:rsid w:val="00EE342E"/>
    <w:rsid w:val="00EE3728"/>
    <w:rsid w:val="00EE3A7A"/>
    <w:rsid w:val="00EE3C0E"/>
    <w:rsid w:val="00EE4297"/>
    <w:rsid w:val="00EE4E1B"/>
    <w:rsid w:val="00EE4F40"/>
    <w:rsid w:val="00EE53EF"/>
    <w:rsid w:val="00EE5502"/>
    <w:rsid w:val="00EE6FDC"/>
    <w:rsid w:val="00EE75FC"/>
    <w:rsid w:val="00EE7CB2"/>
    <w:rsid w:val="00EF07B4"/>
    <w:rsid w:val="00EF189F"/>
    <w:rsid w:val="00EF1FA1"/>
    <w:rsid w:val="00EF2492"/>
    <w:rsid w:val="00EF25C6"/>
    <w:rsid w:val="00EF2AA3"/>
    <w:rsid w:val="00EF2C40"/>
    <w:rsid w:val="00EF345E"/>
    <w:rsid w:val="00EF34E2"/>
    <w:rsid w:val="00EF3A54"/>
    <w:rsid w:val="00EF3A66"/>
    <w:rsid w:val="00EF3C69"/>
    <w:rsid w:val="00EF3EBF"/>
    <w:rsid w:val="00EF4CAE"/>
    <w:rsid w:val="00EF596D"/>
    <w:rsid w:val="00EF5E05"/>
    <w:rsid w:val="00EF65A9"/>
    <w:rsid w:val="00EF7B22"/>
    <w:rsid w:val="00F000F7"/>
    <w:rsid w:val="00F00ECC"/>
    <w:rsid w:val="00F01389"/>
    <w:rsid w:val="00F01E65"/>
    <w:rsid w:val="00F0206D"/>
    <w:rsid w:val="00F0229D"/>
    <w:rsid w:val="00F02EC9"/>
    <w:rsid w:val="00F0314D"/>
    <w:rsid w:val="00F03289"/>
    <w:rsid w:val="00F03C3E"/>
    <w:rsid w:val="00F04B30"/>
    <w:rsid w:val="00F04C10"/>
    <w:rsid w:val="00F057CF"/>
    <w:rsid w:val="00F06A6B"/>
    <w:rsid w:val="00F07654"/>
    <w:rsid w:val="00F07FC9"/>
    <w:rsid w:val="00F102D7"/>
    <w:rsid w:val="00F10449"/>
    <w:rsid w:val="00F10C45"/>
    <w:rsid w:val="00F11E9D"/>
    <w:rsid w:val="00F12DC9"/>
    <w:rsid w:val="00F12EB7"/>
    <w:rsid w:val="00F13507"/>
    <w:rsid w:val="00F145E3"/>
    <w:rsid w:val="00F14B6E"/>
    <w:rsid w:val="00F158C9"/>
    <w:rsid w:val="00F15954"/>
    <w:rsid w:val="00F1599B"/>
    <w:rsid w:val="00F159EF"/>
    <w:rsid w:val="00F161A9"/>
    <w:rsid w:val="00F16911"/>
    <w:rsid w:val="00F16B97"/>
    <w:rsid w:val="00F16C70"/>
    <w:rsid w:val="00F17737"/>
    <w:rsid w:val="00F202DF"/>
    <w:rsid w:val="00F20310"/>
    <w:rsid w:val="00F209C6"/>
    <w:rsid w:val="00F2161C"/>
    <w:rsid w:val="00F22053"/>
    <w:rsid w:val="00F2241E"/>
    <w:rsid w:val="00F233E3"/>
    <w:rsid w:val="00F23466"/>
    <w:rsid w:val="00F23885"/>
    <w:rsid w:val="00F23F0A"/>
    <w:rsid w:val="00F241FC"/>
    <w:rsid w:val="00F2422B"/>
    <w:rsid w:val="00F2438A"/>
    <w:rsid w:val="00F24677"/>
    <w:rsid w:val="00F24BF1"/>
    <w:rsid w:val="00F25699"/>
    <w:rsid w:val="00F25F21"/>
    <w:rsid w:val="00F26ADB"/>
    <w:rsid w:val="00F30162"/>
    <w:rsid w:val="00F30304"/>
    <w:rsid w:val="00F304CD"/>
    <w:rsid w:val="00F304F7"/>
    <w:rsid w:val="00F30798"/>
    <w:rsid w:val="00F30E07"/>
    <w:rsid w:val="00F31817"/>
    <w:rsid w:val="00F31B3C"/>
    <w:rsid w:val="00F31C41"/>
    <w:rsid w:val="00F323EC"/>
    <w:rsid w:val="00F32696"/>
    <w:rsid w:val="00F33752"/>
    <w:rsid w:val="00F3395E"/>
    <w:rsid w:val="00F33A1F"/>
    <w:rsid w:val="00F33EEE"/>
    <w:rsid w:val="00F3490B"/>
    <w:rsid w:val="00F35044"/>
    <w:rsid w:val="00F36237"/>
    <w:rsid w:val="00F364BE"/>
    <w:rsid w:val="00F36EF4"/>
    <w:rsid w:val="00F372F6"/>
    <w:rsid w:val="00F375FD"/>
    <w:rsid w:val="00F37DA7"/>
    <w:rsid w:val="00F402FC"/>
    <w:rsid w:val="00F40E5C"/>
    <w:rsid w:val="00F413C5"/>
    <w:rsid w:val="00F433ED"/>
    <w:rsid w:val="00F43A53"/>
    <w:rsid w:val="00F43DC2"/>
    <w:rsid w:val="00F45A13"/>
    <w:rsid w:val="00F469E3"/>
    <w:rsid w:val="00F46E48"/>
    <w:rsid w:val="00F508DF"/>
    <w:rsid w:val="00F5199E"/>
    <w:rsid w:val="00F51DD9"/>
    <w:rsid w:val="00F52C38"/>
    <w:rsid w:val="00F52F21"/>
    <w:rsid w:val="00F5329F"/>
    <w:rsid w:val="00F53374"/>
    <w:rsid w:val="00F53BA8"/>
    <w:rsid w:val="00F53F41"/>
    <w:rsid w:val="00F5509B"/>
    <w:rsid w:val="00F5536F"/>
    <w:rsid w:val="00F55BDF"/>
    <w:rsid w:val="00F56BA6"/>
    <w:rsid w:val="00F56E27"/>
    <w:rsid w:val="00F57640"/>
    <w:rsid w:val="00F5769C"/>
    <w:rsid w:val="00F60119"/>
    <w:rsid w:val="00F607AA"/>
    <w:rsid w:val="00F6097E"/>
    <w:rsid w:val="00F60DB1"/>
    <w:rsid w:val="00F61000"/>
    <w:rsid w:val="00F61263"/>
    <w:rsid w:val="00F621EC"/>
    <w:rsid w:val="00F622C1"/>
    <w:rsid w:val="00F62369"/>
    <w:rsid w:val="00F629EA"/>
    <w:rsid w:val="00F63594"/>
    <w:rsid w:val="00F63BAA"/>
    <w:rsid w:val="00F644DE"/>
    <w:rsid w:val="00F64CDE"/>
    <w:rsid w:val="00F65732"/>
    <w:rsid w:val="00F66CDF"/>
    <w:rsid w:val="00F6755A"/>
    <w:rsid w:val="00F70C6D"/>
    <w:rsid w:val="00F7148D"/>
    <w:rsid w:val="00F71590"/>
    <w:rsid w:val="00F721E1"/>
    <w:rsid w:val="00F72320"/>
    <w:rsid w:val="00F72AB7"/>
    <w:rsid w:val="00F72AE8"/>
    <w:rsid w:val="00F72B87"/>
    <w:rsid w:val="00F73412"/>
    <w:rsid w:val="00F73A2C"/>
    <w:rsid w:val="00F74333"/>
    <w:rsid w:val="00F746ED"/>
    <w:rsid w:val="00F74EB5"/>
    <w:rsid w:val="00F74FA7"/>
    <w:rsid w:val="00F76364"/>
    <w:rsid w:val="00F76454"/>
    <w:rsid w:val="00F774AA"/>
    <w:rsid w:val="00F778A0"/>
    <w:rsid w:val="00F7BECE"/>
    <w:rsid w:val="00F8080B"/>
    <w:rsid w:val="00F8119C"/>
    <w:rsid w:val="00F820C2"/>
    <w:rsid w:val="00F82644"/>
    <w:rsid w:val="00F82FB0"/>
    <w:rsid w:val="00F839FF"/>
    <w:rsid w:val="00F83C8D"/>
    <w:rsid w:val="00F83DF2"/>
    <w:rsid w:val="00F83EDB"/>
    <w:rsid w:val="00F8407B"/>
    <w:rsid w:val="00F844E5"/>
    <w:rsid w:val="00F84B79"/>
    <w:rsid w:val="00F84FE9"/>
    <w:rsid w:val="00F85778"/>
    <w:rsid w:val="00F8630E"/>
    <w:rsid w:val="00F86ADC"/>
    <w:rsid w:val="00F87695"/>
    <w:rsid w:val="00F87721"/>
    <w:rsid w:val="00F87AFD"/>
    <w:rsid w:val="00F8EDFB"/>
    <w:rsid w:val="00F90C38"/>
    <w:rsid w:val="00F91729"/>
    <w:rsid w:val="00F91E93"/>
    <w:rsid w:val="00F92170"/>
    <w:rsid w:val="00F9340A"/>
    <w:rsid w:val="00F93467"/>
    <w:rsid w:val="00F935F4"/>
    <w:rsid w:val="00F94CD3"/>
    <w:rsid w:val="00F94E0F"/>
    <w:rsid w:val="00F955F6"/>
    <w:rsid w:val="00F962F0"/>
    <w:rsid w:val="00F964A9"/>
    <w:rsid w:val="00F96BD8"/>
    <w:rsid w:val="00F9722E"/>
    <w:rsid w:val="00F979F2"/>
    <w:rsid w:val="00F97A3C"/>
    <w:rsid w:val="00FA02CC"/>
    <w:rsid w:val="00FA092C"/>
    <w:rsid w:val="00FA277D"/>
    <w:rsid w:val="00FA2CFC"/>
    <w:rsid w:val="00FA2F0B"/>
    <w:rsid w:val="00FA3231"/>
    <w:rsid w:val="00FA3DF2"/>
    <w:rsid w:val="00FA4C9E"/>
    <w:rsid w:val="00FA4D9C"/>
    <w:rsid w:val="00FA52B1"/>
    <w:rsid w:val="00FA537A"/>
    <w:rsid w:val="00FA6247"/>
    <w:rsid w:val="00FA6CED"/>
    <w:rsid w:val="00FA6EA3"/>
    <w:rsid w:val="00FA74A9"/>
    <w:rsid w:val="00FB11AF"/>
    <w:rsid w:val="00FB11D5"/>
    <w:rsid w:val="00FB16B6"/>
    <w:rsid w:val="00FB1A4D"/>
    <w:rsid w:val="00FB2480"/>
    <w:rsid w:val="00FB2796"/>
    <w:rsid w:val="00FB2B2C"/>
    <w:rsid w:val="00FB2D1B"/>
    <w:rsid w:val="00FB3176"/>
    <w:rsid w:val="00FB3691"/>
    <w:rsid w:val="00FB5B5C"/>
    <w:rsid w:val="00FB6E12"/>
    <w:rsid w:val="00FB7D08"/>
    <w:rsid w:val="00FC0357"/>
    <w:rsid w:val="00FC0E8D"/>
    <w:rsid w:val="00FC104F"/>
    <w:rsid w:val="00FC12A6"/>
    <w:rsid w:val="00FC1B47"/>
    <w:rsid w:val="00FC287B"/>
    <w:rsid w:val="00FC2AC8"/>
    <w:rsid w:val="00FC34DF"/>
    <w:rsid w:val="00FC3556"/>
    <w:rsid w:val="00FC3757"/>
    <w:rsid w:val="00FC38CB"/>
    <w:rsid w:val="00FC3E87"/>
    <w:rsid w:val="00FC3F2F"/>
    <w:rsid w:val="00FC3F5D"/>
    <w:rsid w:val="00FC4376"/>
    <w:rsid w:val="00FC4D35"/>
    <w:rsid w:val="00FC5664"/>
    <w:rsid w:val="00FC5B7B"/>
    <w:rsid w:val="00FC5BDA"/>
    <w:rsid w:val="00FC6252"/>
    <w:rsid w:val="00FC6857"/>
    <w:rsid w:val="00FC74A4"/>
    <w:rsid w:val="00FD1C3E"/>
    <w:rsid w:val="00FD2016"/>
    <w:rsid w:val="00FD2D66"/>
    <w:rsid w:val="00FD2ED8"/>
    <w:rsid w:val="00FD3986"/>
    <w:rsid w:val="00FD3B02"/>
    <w:rsid w:val="00FD4518"/>
    <w:rsid w:val="00FD4DE3"/>
    <w:rsid w:val="00FD5466"/>
    <w:rsid w:val="00FD5EE1"/>
    <w:rsid w:val="00FD6209"/>
    <w:rsid w:val="00FD6625"/>
    <w:rsid w:val="00FD6842"/>
    <w:rsid w:val="00FD6A12"/>
    <w:rsid w:val="00FD6B4C"/>
    <w:rsid w:val="00FD7512"/>
    <w:rsid w:val="00FD7B08"/>
    <w:rsid w:val="00FE0015"/>
    <w:rsid w:val="00FE0F74"/>
    <w:rsid w:val="00FE17A4"/>
    <w:rsid w:val="00FE1B3E"/>
    <w:rsid w:val="00FE1D0A"/>
    <w:rsid w:val="00FE1D1F"/>
    <w:rsid w:val="00FE225B"/>
    <w:rsid w:val="00FE2A22"/>
    <w:rsid w:val="00FE384B"/>
    <w:rsid w:val="00FE3B3D"/>
    <w:rsid w:val="00FE40BC"/>
    <w:rsid w:val="00FE4192"/>
    <w:rsid w:val="00FE4878"/>
    <w:rsid w:val="00FE5422"/>
    <w:rsid w:val="00FE56FA"/>
    <w:rsid w:val="00FE7048"/>
    <w:rsid w:val="00FE71FC"/>
    <w:rsid w:val="00FE74CA"/>
    <w:rsid w:val="00FE7713"/>
    <w:rsid w:val="00FE79AE"/>
    <w:rsid w:val="00FF01EC"/>
    <w:rsid w:val="00FF0312"/>
    <w:rsid w:val="00FF0A47"/>
    <w:rsid w:val="00FF0B1B"/>
    <w:rsid w:val="00FF10DD"/>
    <w:rsid w:val="00FF1157"/>
    <w:rsid w:val="00FF1A5A"/>
    <w:rsid w:val="00FF3D4D"/>
    <w:rsid w:val="00FF3EFF"/>
    <w:rsid w:val="00FF5871"/>
    <w:rsid w:val="00FF5D85"/>
    <w:rsid w:val="00FF624A"/>
    <w:rsid w:val="00FF6B12"/>
    <w:rsid w:val="00FF6DFD"/>
    <w:rsid w:val="00FF6E72"/>
    <w:rsid w:val="00FF72F9"/>
    <w:rsid w:val="00FF736E"/>
    <w:rsid w:val="00FF7458"/>
    <w:rsid w:val="00FF7D70"/>
    <w:rsid w:val="011161FD"/>
    <w:rsid w:val="011AA711"/>
    <w:rsid w:val="0135615A"/>
    <w:rsid w:val="01440C65"/>
    <w:rsid w:val="014420A3"/>
    <w:rsid w:val="014C786A"/>
    <w:rsid w:val="01723580"/>
    <w:rsid w:val="017A00A3"/>
    <w:rsid w:val="017D57B3"/>
    <w:rsid w:val="0180894F"/>
    <w:rsid w:val="018D873B"/>
    <w:rsid w:val="01A67365"/>
    <w:rsid w:val="01ACFB9C"/>
    <w:rsid w:val="01B32692"/>
    <w:rsid w:val="01B3B669"/>
    <w:rsid w:val="01CAC097"/>
    <w:rsid w:val="01D56E46"/>
    <w:rsid w:val="01D7D765"/>
    <w:rsid w:val="01DBF89F"/>
    <w:rsid w:val="01E4A685"/>
    <w:rsid w:val="01EEE845"/>
    <w:rsid w:val="01F7841C"/>
    <w:rsid w:val="01F9F461"/>
    <w:rsid w:val="01FAF951"/>
    <w:rsid w:val="02140F17"/>
    <w:rsid w:val="02184E1D"/>
    <w:rsid w:val="021A5932"/>
    <w:rsid w:val="022B158A"/>
    <w:rsid w:val="022CF9EE"/>
    <w:rsid w:val="022FA564"/>
    <w:rsid w:val="0232935C"/>
    <w:rsid w:val="02417211"/>
    <w:rsid w:val="024FAFCC"/>
    <w:rsid w:val="0259185D"/>
    <w:rsid w:val="025D1791"/>
    <w:rsid w:val="025E71AC"/>
    <w:rsid w:val="0273E5E8"/>
    <w:rsid w:val="0276956E"/>
    <w:rsid w:val="027EB11F"/>
    <w:rsid w:val="027EC28B"/>
    <w:rsid w:val="028678D5"/>
    <w:rsid w:val="02B9F0CC"/>
    <w:rsid w:val="02C266A0"/>
    <w:rsid w:val="02CA414F"/>
    <w:rsid w:val="02D622D2"/>
    <w:rsid w:val="02E0D945"/>
    <w:rsid w:val="02E34173"/>
    <w:rsid w:val="02EAAF6D"/>
    <w:rsid w:val="02F0CD57"/>
    <w:rsid w:val="02FDB05E"/>
    <w:rsid w:val="0300BC3C"/>
    <w:rsid w:val="0307ED3D"/>
    <w:rsid w:val="0321310A"/>
    <w:rsid w:val="033A5065"/>
    <w:rsid w:val="034AAA39"/>
    <w:rsid w:val="035BE356"/>
    <w:rsid w:val="036690F8"/>
    <w:rsid w:val="0366D45B"/>
    <w:rsid w:val="036C1BAE"/>
    <w:rsid w:val="036EC002"/>
    <w:rsid w:val="03783FF9"/>
    <w:rsid w:val="0381625E"/>
    <w:rsid w:val="0383E2FC"/>
    <w:rsid w:val="0384DE73"/>
    <w:rsid w:val="038752DC"/>
    <w:rsid w:val="0387B954"/>
    <w:rsid w:val="038D198E"/>
    <w:rsid w:val="039189CC"/>
    <w:rsid w:val="0395D012"/>
    <w:rsid w:val="0398B546"/>
    <w:rsid w:val="0399B71C"/>
    <w:rsid w:val="039BCE9B"/>
    <w:rsid w:val="03A745BA"/>
    <w:rsid w:val="03CABE65"/>
    <w:rsid w:val="03CEA19D"/>
    <w:rsid w:val="03CFC4B0"/>
    <w:rsid w:val="03D7C05A"/>
    <w:rsid w:val="03E27CC6"/>
    <w:rsid w:val="03E647AB"/>
    <w:rsid w:val="03E9D079"/>
    <w:rsid w:val="03EB71A5"/>
    <w:rsid w:val="03F09C02"/>
    <w:rsid w:val="03F63B30"/>
    <w:rsid w:val="03F713EB"/>
    <w:rsid w:val="03FB32D1"/>
    <w:rsid w:val="04095815"/>
    <w:rsid w:val="0413BDCC"/>
    <w:rsid w:val="041EC6C9"/>
    <w:rsid w:val="041FE3B7"/>
    <w:rsid w:val="04240F1E"/>
    <w:rsid w:val="043688C2"/>
    <w:rsid w:val="0440D965"/>
    <w:rsid w:val="0449FF08"/>
    <w:rsid w:val="04599CA6"/>
    <w:rsid w:val="045D3239"/>
    <w:rsid w:val="0468AB4E"/>
    <w:rsid w:val="046ADC52"/>
    <w:rsid w:val="046B4211"/>
    <w:rsid w:val="0470D641"/>
    <w:rsid w:val="047CD516"/>
    <w:rsid w:val="0492B8FE"/>
    <w:rsid w:val="049A30B0"/>
    <w:rsid w:val="049B9D1D"/>
    <w:rsid w:val="04A0407E"/>
    <w:rsid w:val="04A08866"/>
    <w:rsid w:val="04AEE006"/>
    <w:rsid w:val="04B25FB7"/>
    <w:rsid w:val="04C1CC05"/>
    <w:rsid w:val="04C2E948"/>
    <w:rsid w:val="04C933E4"/>
    <w:rsid w:val="04DD047D"/>
    <w:rsid w:val="04DD83E9"/>
    <w:rsid w:val="04E10480"/>
    <w:rsid w:val="04E1EF99"/>
    <w:rsid w:val="04E6CAFE"/>
    <w:rsid w:val="04EBBCB7"/>
    <w:rsid w:val="04F24FA3"/>
    <w:rsid w:val="04F64C27"/>
    <w:rsid w:val="05069B74"/>
    <w:rsid w:val="0526830C"/>
    <w:rsid w:val="052B82FE"/>
    <w:rsid w:val="0536B188"/>
    <w:rsid w:val="056106C2"/>
    <w:rsid w:val="0568294C"/>
    <w:rsid w:val="056E40BA"/>
    <w:rsid w:val="05714B18"/>
    <w:rsid w:val="057F7B91"/>
    <w:rsid w:val="058398E9"/>
    <w:rsid w:val="05866667"/>
    <w:rsid w:val="05895823"/>
    <w:rsid w:val="058E7B04"/>
    <w:rsid w:val="05949C95"/>
    <w:rsid w:val="059BBD2B"/>
    <w:rsid w:val="05A3AAB1"/>
    <w:rsid w:val="05AD2EF0"/>
    <w:rsid w:val="05B2C283"/>
    <w:rsid w:val="05B51C76"/>
    <w:rsid w:val="05CA23C2"/>
    <w:rsid w:val="05D19CCB"/>
    <w:rsid w:val="05D36ABA"/>
    <w:rsid w:val="05D7043B"/>
    <w:rsid w:val="05D98B6E"/>
    <w:rsid w:val="05DD4B3C"/>
    <w:rsid w:val="05E1152A"/>
    <w:rsid w:val="05E58CF9"/>
    <w:rsid w:val="05E86ECF"/>
    <w:rsid w:val="05F69427"/>
    <w:rsid w:val="060B3D3B"/>
    <w:rsid w:val="060C39F8"/>
    <w:rsid w:val="060FBF95"/>
    <w:rsid w:val="060FDEFF"/>
    <w:rsid w:val="0613D69C"/>
    <w:rsid w:val="061B5C7F"/>
    <w:rsid w:val="0622983A"/>
    <w:rsid w:val="062B9EC3"/>
    <w:rsid w:val="062F8362"/>
    <w:rsid w:val="063087AA"/>
    <w:rsid w:val="063A5582"/>
    <w:rsid w:val="0648CC8C"/>
    <w:rsid w:val="0648DB50"/>
    <w:rsid w:val="064B85F0"/>
    <w:rsid w:val="064D47D1"/>
    <w:rsid w:val="0655706C"/>
    <w:rsid w:val="065E96CA"/>
    <w:rsid w:val="066FC8A8"/>
    <w:rsid w:val="06757401"/>
    <w:rsid w:val="0688263E"/>
    <w:rsid w:val="068E6B31"/>
    <w:rsid w:val="0690FDE3"/>
    <w:rsid w:val="06A0F600"/>
    <w:rsid w:val="06A6AF42"/>
    <w:rsid w:val="06B1D1AE"/>
    <w:rsid w:val="06BAB833"/>
    <w:rsid w:val="06C8CBDC"/>
    <w:rsid w:val="06CD000C"/>
    <w:rsid w:val="06D05703"/>
    <w:rsid w:val="06D43B39"/>
    <w:rsid w:val="06D59085"/>
    <w:rsid w:val="06DC545D"/>
    <w:rsid w:val="06DFDBB9"/>
    <w:rsid w:val="06EBA631"/>
    <w:rsid w:val="06EBBF40"/>
    <w:rsid w:val="06F28220"/>
    <w:rsid w:val="070A6527"/>
    <w:rsid w:val="070ADA61"/>
    <w:rsid w:val="070DB3FD"/>
    <w:rsid w:val="071053F2"/>
    <w:rsid w:val="0716015D"/>
    <w:rsid w:val="07392383"/>
    <w:rsid w:val="07405BC4"/>
    <w:rsid w:val="0746ACF4"/>
    <w:rsid w:val="0748FF51"/>
    <w:rsid w:val="0749ABBB"/>
    <w:rsid w:val="0754CF39"/>
    <w:rsid w:val="075916CB"/>
    <w:rsid w:val="0778202E"/>
    <w:rsid w:val="077B3875"/>
    <w:rsid w:val="078A3013"/>
    <w:rsid w:val="0790C62F"/>
    <w:rsid w:val="07969355"/>
    <w:rsid w:val="07992AEE"/>
    <w:rsid w:val="079B6ABD"/>
    <w:rsid w:val="07A130CB"/>
    <w:rsid w:val="07A1C8CC"/>
    <w:rsid w:val="07A21312"/>
    <w:rsid w:val="07A35870"/>
    <w:rsid w:val="07C10549"/>
    <w:rsid w:val="07C16DB6"/>
    <w:rsid w:val="07C5A8B5"/>
    <w:rsid w:val="07C659D6"/>
    <w:rsid w:val="07CA9051"/>
    <w:rsid w:val="07CBF364"/>
    <w:rsid w:val="07E64513"/>
    <w:rsid w:val="07E7F20B"/>
    <w:rsid w:val="07EC9937"/>
    <w:rsid w:val="07FA411C"/>
    <w:rsid w:val="0801AFA1"/>
    <w:rsid w:val="08103946"/>
    <w:rsid w:val="08149311"/>
    <w:rsid w:val="08151E6B"/>
    <w:rsid w:val="081E4C8A"/>
    <w:rsid w:val="081E7E48"/>
    <w:rsid w:val="082B29C6"/>
    <w:rsid w:val="082C8D5F"/>
    <w:rsid w:val="082D1320"/>
    <w:rsid w:val="082EC11C"/>
    <w:rsid w:val="084B5294"/>
    <w:rsid w:val="0860FE2B"/>
    <w:rsid w:val="08632597"/>
    <w:rsid w:val="08648C6D"/>
    <w:rsid w:val="086EA071"/>
    <w:rsid w:val="087BAC1A"/>
    <w:rsid w:val="088A271F"/>
    <w:rsid w:val="089F967E"/>
    <w:rsid w:val="089FE51A"/>
    <w:rsid w:val="08A85462"/>
    <w:rsid w:val="08AC8F9E"/>
    <w:rsid w:val="08B07463"/>
    <w:rsid w:val="08B15820"/>
    <w:rsid w:val="08B7642A"/>
    <w:rsid w:val="08BFDFFA"/>
    <w:rsid w:val="08C0EF73"/>
    <w:rsid w:val="08C4E4D4"/>
    <w:rsid w:val="08C8601B"/>
    <w:rsid w:val="08D3AF4D"/>
    <w:rsid w:val="08DC9E37"/>
    <w:rsid w:val="08DDB256"/>
    <w:rsid w:val="08E395C9"/>
    <w:rsid w:val="08E8896E"/>
    <w:rsid w:val="08EB782B"/>
    <w:rsid w:val="08F274D0"/>
    <w:rsid w:val="08F41FFE"/>
    <w:rsid w:val="08F4E72C"/>
    <w:rsid w:val="08F70829"/>
    <w:rsid w:val="08F9428F"/>
    <w:rsid w:val="08FDF80F"/>
    <w:rsid w:val="090420E9"/>
    <w:rsid w:val="0905F2E3"/>
    <w:rsid w:val="090DF36F"/>
    <w:rsid w:val="0923476D"/>
    <w:rsid w:val="09302C3B"/>
    <w:rsid w:val="0930CE91"/>
    <w:rsid w:val="09346417"/>
    <w:rsid w:val="09461F66"/>
    <w:rsid w:val="094B0751"/>
    <w:rsid w:val="094B8FD1"/>
    <w:rsid w:val="094C7C25"/>
    <w:rsid w:val="09617916"/>
    <w:rsid w:val="09622A37"/>
    <w:rsid w:val="0962BE9E"/>
    <w:rsid w:val="09635255"/>
    <w:rsid w:val="09740819"/>
    <w:rsid w:val="0978BD4D"/>
    <w:rsid w:val="097B75D9"/>
    <w:rsid w:val="097CA59A"/>
    <w:rsid w:val="09807C12"/>
    <w:rsid w:val="098DD0DB"/>
    <w:rsid w:val="09938D01"/>
    <w:rsid w:val="09996A5E"/>
    <w:rsid w:val="09A45D95"/>
    <w:rsid w:val="09A876E7"/>
    <w:rsid w:val="09B099C3"/>
    <w:rsid w:val="09B1D038"/>
    <w:rsid w:val="09C2E44C"/>
    <w:rsid w:val="09C497A5"/>
    <w:rsid w:val="09C5B93B"/>
    <w:rsid w:val="09CBEF9F"/>
    <w:rsid w:val="09DCD138"/>
    <w:rsid w:val="09EF4F37"/>
    <w:rsid w:val="09F22D7E"/>
    <w:rsid w:val="0A19C367"/>
    <w:rsid w:val="0A2806D0"/>
    <w:rsid w:val="0A2CDA32"/>
    <w:rsid w:val="0A357E8B"/>
    <w:rsid w:val="0A4EE018"/>
    <w:rsid w:val="0A55ACB0"/>
    <w:rsid w:val="0A5E413E"/>
    <w:rsid w:val="0A7F47FC"/>
    <w:rsid w:val="0A857573"/>
    <w:rsid w:val="0A911F77"/>
    <w:rsid w:val="0A919867"/>
    <w:rsid w:val="0AAB1E58"/>
    <w:rsid w:val="0AB45028"/>
    <w:rsid w:val="0AB85B1E"/>
    <w:rsid w:val="0AB8A9FB"/>
    <w:rsid w:val="0AC6D03D"/>
    <w:rsid w:val="0ACA6676"/>
    <w:rsid w:val="0AD3BC6B"/>
    <w:rsid w:val="0ADB1228"/>
    <w:rsid w:val="0AE62263"/>
    <w:rsid w:val="0AE6C259"/>
    <w:rsid w:val="0AED7FA5"/>
    <w:rsid w:val="0AF2C7C0"/>
    <w:rsid w:val="0B0C7C17"/>
    <w:rsid w:val="0B1015E3"/>
    <w:rsid w:val="0B104AB6"/>
    <w:rsid w:val="0B402DDB"/>
    <w:rsid w:val="0B488CAA"/>
    <w:rsid w:val="0B56422A"/>
    <w:rsid w:val="0B60BCC4"/>
    <w:rsid w:val="0B63282F"/>
    <w:rsid w:val="0B6DDB5E"/>
    <w:rsid w:val="0B6FAD86"/>
    <w:rsid w:val="0B7C95A9"/>
    <w:rsid w:val="0B7D9763"/>
    <w:rsid w:val="0B8655FF"/>
    <w:rsid w:val="0B8BA71C"/>
    <w:rsid w:val="0B92BCE8"/>
    <w:rsid w:val="0B958C07"/>
    <w:rsid w:val="0B96EF7E"/>
    <w:rsid w:val="0B9B2180"/>
    <w:rsid w:val="0B9D6730"/>
    <w:rsid w:val="0B9E1B40"/>
    <w:rsid w:val="0B9F72EA"/>
    <w:rsid w:val="0BA92135"/>
    <w:rsid w:val="0BAB6618"/>
    <w:rsid w:val="0BAD2BD9"/>
    <w:rsid w:val="0BB123B2"/>
    <w:rsid w:val="0BB30F1D"/>
    <w:rsid w:val="0BBAE42D"/>
    <w:rsid w:val="0BC3EF19"/>
    <w:rsid w:val="0BC92C53"/>
    <w:rsid w:val="0BD3761C"/>
    <w:rsid w:val="0BD8804D"/>
    <w:rsid w:val="0BD9CF4C"/>
    <w:rsid w:val="0BE6D246"/>
    <w:rsid w:val="0BEB6ACB"/>
    <w:rsid w:val="0BED5035"/>
    <w:rsid w:val="0BEEC2F3"/>
    <w:rsid w:val="0BFA0CA4"/>
    <w:rsid w:val="0C03AEAE"/>
    <w:rsid w:val="0C1818B6"/>
    <w:rsid w:val="0C1C38EC"/>
    <w:rsid w:val="0C246217"/>
    <w:rsid w:val="0C2527FC"/>
    <w:rsid w:val="0C2689FC"/>
    <w:rsid w:val="0C28D412"/>
    <w:rsid w:val="0C3E4FAE"/>
    <w:rsid w:val="0C3EA49C"/>
    <w:rsid w:val="0C436046"/>
    <w:rsid w:val="0C4E0664"/>
    <w:rsid w:val="0C64535C"/>
    <w:rsid w:val="0C694779"/>
    <w:rsid w:val="0C69915C"/>
    <w:rsid w:val="0C7F85C0"/>
    <w:rsid w:val="0C8EFFC6"/>
    <w:rsid w:val="0C92BDE7"/>
    <w:rsid w:val="0C967611"/>
    <w:rsid w:val="0CA82BFE"/>
    <w:rsid w:val="0CADC7DC"/>
    <w:rsid w:val="0CB2F356"/>
    <w:rsid w:val="0CBF8D2A"/>
    <w:rsid w:val="0CC219EB"/>
    <w:rsid w:val="0CC5BAC3"/>
    <w:rsid w:val="0CCA0C52"/>
    <w:rsid w:val="0CD0FA79"/>
    <w:rsid w:val="0CDEE783"/>
    <w:rsid w:val="0CDF0A2C"/>
    <w:rsid w:val="0CE69D60"/>
    <w:rsid w:val="0CE6D21D"/>
    <w:rsid w:val="0CFB44B4"/>
    <w:rsid w:val="0D0425ED"/>
    <w:rsid w:val="0D08FFDE"/>
    <w:rsid w:val="0D0D9D90"/>
    <w:rsid w:val="0D0FBF06"/>
    <w:rsid w:val="0D104CA3"/>
    <w:rsid w:val="0D2363BF"/>
    <w:rsid w:val="0D25E456"/>
    <w:rsid w:val="0D2CA223"/>
    <w:rsid w:val="0D2DD1DC"/>
    <w:rsid w:val="0D32BFDF"/>
    <w:rsid w:val="0D4251FA"/>
    <w:rsid w:val="0D511F84"/>
    <w:rsid w:val="0D760CC9"/>
    <w:rsid w:val="0D82EA9A"/>
    <w:rsid w:val="0D83BC2E"/>
    <w:rsid w:val="0D8EAACE"/>
    <w:rsid w:val="0D9A4B10"/>
    <w:rsid w:val="0D9E9168"/>
    <w:rsid w:val="0DA98C55"/>
    <w:rsid w:val="0DB65672"/>
    <w:rsid w:val="0DBB6CCF"/>
    <w:rsid w:val="0DC15BB5"/>
    <w:rsid w:val="0DC2D855"/>
    <w:rsid w:val="0DD1B6E7"/>
    <w:rsid w:val="0DDC7B32"/>
    <w:rsid w:val="0DDEC5D9"/>
    <w:rsid w:val="0DEA37F7"/>
    <w:rsid w:val="0DED30C6"/>
    <w:rsid w:val="0DEE8344"/>
    <w:rsid w:val="0DF49CA0"/>
    <w:rsid w:val="0E044599"/>
    <w:rsid w:val="0E110A50"/>
    <w:rsid w:val="0E13FA82"/>
    <w:rsid w:val="0E1ACEB2"/>
    <w:rsid w:val="0E20FCB5"/>
    <w:rsid w:val="0E313BB6"/>
    <w:rsid w:val="0E3C0042"/>
    <w:rsid w:val="0E42B25E"/>
    <w:rsid w:val="0E47B6A5"/>
    <w:rsid w:val="0E4F5B5D"/>
    <w:rsid w:val="0E5BD91F"/>
    <w:rsid w:val="0E611292"/>
    <w:rsid w:val="0E6FE86A"/>
    <w:rsid w:val="0E82C813"/>
    <w:rsid w:val="0E8C6FD2"/>
    <w:rsid w:val="0E95B243"/>
    <w:rsid w:val="0E974029"/>
    <w:rsid w:val="0E982E60"/>
    <w:rsid w:val="0E9AC8F1"/>
    <w:rsid w:val="0E9C039E"/>
    <w:rsid w:val="0EA4FCB4"/>
    <w:rsid w:val="0EA7343A"/>
    <w:rsid w:val="0EB079E0"/>
    <w:rsid w:val="0ED51D1D"/>
    <w:rsid w:val="0EDE0EB2"/>
    <w:rsid w:val="0EE05C7B"/>
    <w:rsid w:val="0EE10CAF"/>
    <w:rsid w:val="0EF1B1AE"/>
    <w:rsid w:val="0EF66E5A"/>
    <w:rsid w:val="0F063F78"/>
    <w:rsid w:val="0F06C6FA"/>
    <w:rsid w:val="0F2BBEC4"/>
    <w:rsid w:val="0F2EA154"/>
    <w:rsid w:val="0F34A887"/>
    <w:rsid w:val="0F3644A6"/>
    <w:rsid w:val="0F3C8065"/>
    <w:rsid w:val="0F3C95DE"/>
    <w:rsid w:val="0F3F765D"/>
    <w:rsid w:val="0F43FDDE"/>
    <w:rsid w:val="0F4784FB"/>
    <w:rsid w:val="0F488192"/>
    <w:rsid w:val="0F490263"/>
    <w:rsid w:val="0F4EEC3E"/>
    <w:rsid w:val="0F5665B7"/>
    <w:rsid w:val="0F5BF283"/>
    <w:rsid w:val="0F5F2D53"/>
    <w:rsid w:val="0F627023"/>
    <w:rsid w:val="0F6F4BC2"/>
    <w:rsid w:val="0F72A35E"/>
    <w:rsid w:val="0F7E746A"/>
    <w:rsid w:val="0F7F34BE"/>
    <w:rsid w:val="0F81ED9A"/>
    <w:rsid w:val="0F8649E8"/>
    <w:rsid w:val="0F87C14B"/>
    <w:rsid w:val="0F91541C"/>
    <w:rsid w:val="0F99E1CE"/>
    <w:rsid w:val="0F99F34B"/>
    <w:rsid w:val="0FB18EDB"/>
    <w:rsid w:val="0FB80710"/>
    <w:rsid w:val="0FB8A9D7"/>
    <w:rsid w:val="0FBAF4E5"/>
    <w:rsid w:val="0FBBC20C"/>
    <w:rsid w:val="0FDFCCC0"/>
    <w:rsid w:val="0FE3499D"/>
    <w:rsid w:val="0FE43328"/>
    <w:rsid w:val="0FE67045"/>
    <w:rsid w:val="0FE8360C"/>
    <w:rsid w:val="0FF1DDF4"/>
    <w:rsid w:val="1005D90D"/>
    <w:rsid w:val="100B1188"/>
    <w:rsid w:val="1014CF13"/>
    <w:rsid w:val="101B64C0"/>
    <w:rsid w:val="10345A24"/>
    <w:rsid w:val="1037E029"/>
    <w:rsid w:val="103C8002"/>
    <w:rsid w:val="103DCB35"/>
    <w:rsid w:val="1048ECB4"/>
    <w:rsid w:val="104FDAEB"/>
    <w:rsid w:val="10541994"/>
    <w:rsid w:val="105511E1"/>
    <w:rsid w:val="1056C301"/>
    <w:rsid w:val="105B646F"/>
    <w:rsid w:val="106460EE"/>
    <w:rsid w:val="106E7F32"/>
    <w:rsid w:val="107130E1"/>
    <w:rsid w:val="10942E1C"/>
    <w:rsid w:val="10A3FAC2"/>
    <w:rsid w:val="10ACBEEB"/>
    <w:rsid w:val="10B1C13E"/>
    <w:rsid w:val="10CBC45B"/>
    <w:rsid w:val="10D886A9"/>
    <w:rsid w:val="10DE197D"/>
    <w:rsid w:val="10DFCC51"/>
    <w:rsid w:val="10E0690B"/>
    <w:rsid w:val="10E85F34"/>
    <w:rsid w:val="10EEA3F2"/>
    <w:rsid w:val="10F989F2"/>
    <w:rsid w:val="11052937"/>
    <w:rsid w:val="1105F771"/>
    <w:rsid w:val="110EDD55"/>
    <w:rsid w:val="111B4E66"/>
    <w:rsid w:val="111C5ED7"/>
    <w:rsid w:val="112AD4E3"/>
    <w:rsid w:val="113FBCDC"/>
    <w:rsid w:val="1141EBF3"/>
    <w:rsid w:val="114844F1"/>
    <w:rsid w:val="114ECB70"/>
    <w:rsid w:val="1165AC36"/>
    <w:rsid w:val="116783B6"/>
    <w:rsid w:val="11744BC7"/>
    <w:rsid w:val="117A19F6"/>
    <w:rsid w:val="117F5767"/>
    <w:rsid w:val="11832F46"/>
    <w:rsid w:val="118B8DF7"/>
    <w:rsid w:val="11A47809"/>
    <w:rsid w:val="11B00480"/>
    <w:rsid w:val="11B27B4F"/>
    <w:rsid w:val="11B3AD93"/>
    <w:rsid w:val="11B3E064"/>
    <w:rsid w:val="11B46AE7"/>
    <w:rsid w:val="11C338C6"/>
    <w:rsid w:val="11C761CC"/>
    <w:rsid w:val="11C7DBDA"/>
    <w:rsid w:val="11E2E09D"/>
    <w:rsid w:val="11E526D1"/>
    <w:rsid w:val="11F29362"/>
    <w:rsid w:val="11F851D3"/>
    <w:rsid w:val="11F8A482"/>
    <w:rsid w:val="1206677B"/>
    <w:rsid w:val="12110764"/>
    <w:rsid w:val="121C2B4F"/>
    <w:rsid w:val="121F01C2"/>
    <w:rsid w:val="123AC67B"/>
    <w:rsid w:val="123E0876"/>
    <w:rsid w:val="1257FB9D"/>
    <w:rsid w:val="127CA964"/>
    <w:rsid w:val="127D3366"/>
    <w:rsid w:val="12928FBF"/>
    <w:rsid w:val="129602DE"/>
    <w:rsid w:val="129778E5"/>
    <w:rsid w:val="12A9506D"/>
    <w:rsid w:val="12B5147F"/>
    <w:rsid w:val="12BDEB1C"/>
    <w:rsid w:val="12BF64C0"/>
    <w:rsid w:val="12C4B568"/>
    <w:rsid w:val="12C91FF4"/>
    <w:rsid w:val="12CA109A"/>
    <w:rsid w:val="12D214D7"/>
    <w:rsid w:val="12E0DBB0"/>
    <w:rsid w:val="12E65612"/>
    <w:rsid w:val="12EC02CE"/>
    <w:rsid w:val="13094635"/>
    <w:rsid w:val="130D8E55"/>
    <w:rsid w:val="131E1107"/>
    <w:rsid w:val="131E1F35"/>
    <w:rsid w:val="132E2B9A"/>
    <w:rsid w:val="1340B2F5"/>
    <w:rsid w:val="13421AD2"/>
    <w:rsid w:val="13428AB3"/>
    <w:rsid w:val="13577E57"/>
    <w:rsid w:val="135B74F5"/>
    <w:rsid w:val="135BACE9"/>
    <w:rsid w:val="136543A3"/>
    <w:rsid w:val="13661020"/>
    <w:rsid w:val="136D4DC4"/>
    <w:rsid w:val="13877BAD"/>
    <w:rsid w:val="138BD8C9"/>
    <w:rsid w:val="139BD589"/>
    <w:rsid w:val="13A61FF4"/>
    <w:rsid w:val="13C13B8D"/>
    <w:rsid w:val="13C3882E"/>
    <w:rsid w:val="13C3C11B"/>
    <w:rsid w:val="13C44CD5"/>
    <w:rsid w:val="13CABAD2"/>
    <w:rsid w:val="13DA98FF"/>
    <w:rsid w:val="13E07896"/>
    <w:rsid w:val="13E3C835"/>
    <w:rsid w:val="13EE676A"/>
    <w:rsid w:val="13F22C1E"/>
    <w:rsid w:val="1414BEF8"/>
    <w:rsid w:val="14156DB3"/>
    <w:rsid w:val="1421934E"/>
    <w:rsid w:val="142F73FC"/>
    <w:rsid w:val="14339F0B"/>
    <w:rsid w:val="14512253"/>
    <w:rsid w:val="14527A75"/>
    <w:rsid w:val="14581326"/>
    <w:rsid w:val="146403C1"/>
    <w:rsid w:val="1464F055"/>
    <w:rsid w:val="1470A0A1"/>
    <w:rsid w:val="148E5D5F"/>
    <w:rsid w:val="148E8D99"/>
    <w:rsid w:val="1491955D"/>
    <w:rsid w:val="149C4E43"/>
    <w:rsid w:val="14A4DCDE"/>
    <w:rsid w:val="14CB1C3F"/>
    <w:rsid w:val="14CEC8BE"/>
    <w:rsid w:val="14D22C5F"/>
    <w:rsid w:val="14D5BC8C"/>
    <w:rsid w:val="14DDC6D7"/>
    <w:rsid w:val="14E35735"/>
    <w:rsid w:val="14E5518A"/>
    <w:rsid w:val="14F16A3A"/>
    <w:rsid w:val="14F2A463"/>
    <w:rsid w:val="14F62547"/>
    <w:rsid w:val="14F8D8BA"/>
    <w:rsid w:val="14FD676F"/>
    <w:rsid w:val="150E3570"/>
    <w:rsid w:val="1510C6AA"/>
    <w:rsid w:val="15194828"/>
    <w:rsid w:val="151B956C"/>
    <w:rsid w:val="152ACB43"/>
    <w:rsid w:val="152ACF88"/>
    <w:rsid w:val="1538EE16"/>
    <w:rsid w:val="153A1124"/>
    <w:rsid w:val="1550F7F5"/>
    <w:rsid w:val="15713BDD"/>
    <w:rsid w:val="15739933"/>
    <w:rsid w:val="15801A7F"/>
    <w:rsid w:val="158B1151"/>
    <w:rsid w:val="158C8E78"/>
    <w:rsid w:val="1599F31B"/>
    <w:rsid w:val="1599F44A"/>
    <w:rsid w:val="15A95102"/>
    <w:rsid w:val="15AC524A"/>
    <w:rsid w:val="15B22199"/>
    <w:rsid w:val="15B8E4F7"/>
    <w:rsid w:val="15CA7E28"/>
    <w:rsid w:val="15CB445D"/>
    <w:rsid w:val="15CCD45D"/>
    <w:rsid w:val="15D290F7"/>
    <w:rsid w:val="15E423AD"/>
    <w:rsid w:val="15ED218A"/>
    <w:rsid w:val="15EF7B58"/>
    <w:rsid w:val="15F60D01"/>
    <w:rsid w:val="15F8FDB1"/>
    <w:rsid w:val="1603FB5A"/>
    <w:rsid w:val="16172B7B"/>
    <w:rsid w:val="161B4704"/>
    <w:rsid w:val="1625491F"/>
    <w:rsid w:val="16261373"/>
    <w:rsid w:val="163A6681"/>
    <w:rsid w:val="1641F788"/>
    <w:rsid w:val="164AD013"/>
    <w:rsid w:val="164DC443"/>
    <w:rsid w:val="165936CD"/>
    <w:rsid w:val="165CACA3"/>
    <w:rsid w:val="1662BD6F"/>
    <w:rsid w:val="16698E9A"/>
    <w:rsid w:val="167FC9A3"/>
    <w:rsid w:val="1685EC72"/>
    <w:rsid w:val="16917248"/>
    <w:rsid w:val="16969089"/>
    <w:rsid w:val="169B9847"/>
    <w:rsid w:val="16AB9901"/>
    <w:rsid w:val="16BC0E82"/>
    <w:rsid w:val="16BDCB94"/>
    <w:rsid w:val="16C1174F"/>
    <w:rsid w:val="16DEF141"/>
    <w:rsid w:val="16E19AF8"/>
    <w:rsid w:val="16E2B08A"/>
    <w:rsid w:val="16E2D048"/>
    <w:rsid w:val="16E470A8"/>
    <w:rsid w:val="16E9CFF4"/>
    <w:rsid w:val="16EBAE9D"/>
    <w:rsid w:val="16ED197A"/>
    <w:rsid w:val="16F355F2"/>
    <w:rsid w:val="16FA2855"/>
    <w:rsid w:val="16FC2A0B"/>
    <w:rsid w:val="17093201"/>
    <w:rsid w:val="170C05DE"/>
    <w:rsid w:val="17207399"/>
    <w:rsid w:val="172DF185"/>
    <w:rsid w:val="172FF12B"/>
    <w:rsid w:val="173DB70B"/>
    <w:rsid w:val="173EEECD"/>
    <w:rsid w:val="1744E30A"/>
    <w:rsid w:val="1766E44B"/>
    <w:rsid w:val="17693267"/>
    <w:rsid w:val="17763219"/>
    <w:rsid w:val="177A1F37"/>
    <w:rsid w:val="1781BC43"/>
    <w:rsid w:val="1792FCDB"/>
    <w:rsid w:val="179AA7C3"/>
    <w:rsid w:val="17A7A03A"/>
    <w:rsid w:val="17B1E17F"/>
    <w:rsid w:val="17B65EA6"/>
    <w:rsid w:val="17C252AC"/>
    <w:rsid w:val="17C3A4E6"/>
    <w:rsid w:val="17D2B32A"/>
    <w:rsid w:val="17DCF61F"/>
    <w:rsid w:val="17E05916"/>
    <w:rsid w:val="17E3461E"/>
    <w:rsid w:val="17EE646F"/>
    <w:rsid w:val="17EE98EB"/>
    <w:rsid w:val="17F3C70F"/>
    <w:rsid w:val="17F7DFDD"/>
    <w:rsid w:val="17FF233B"/>
    <w:rsid w:val="18042826"/>
    <w:rsid w:val="1806DF29"/>
    <w:rsid w:val="180E5399"/>
    <w:rsid w:val="1823268B"/>
    <w:rsid w:val="18269AC7"/>
    <w:rsid w:val="1841AB37"/>
    <w:rsid w:val="184ED0D1"/>
    <w:rsid w:val="184F1371"/>
    <w:rsid w:val="1855DDD5"/>
    <w:rsid w:val="185A82E4"/>
    <w:rsid w:val="18603D49"/>
    <w:rsid w:val="1861D4E6"/>
    <w:rsid w:val="1863BFF6"/>
    <w:rsid w:val="18640CEE"/>
    <w:rsid w:val="18708ED8"/>
    <w:rsid w:val="187CB071"/>
    <w:rsid w:val="188723E2"/>
    <w:rsid w:val="1888B914"/>
    <w:rsid w:val="188B3095"/>
    <w:rsid w:val="189003F3"/>
    <w:rsid w:val="1890F227"/>
    <w:rsid w:val="18910A34"/>
    <w:rsid w:val="18977EB9"/>
    <w:rsid w:val="189B23E0"/>
    <w:rsid w:val="18A53438"/>
    <w:rsid w:val="18A7D63F"/>
    <w:rsid w:val="18A90678"/>
    <w:rsid w:val="18A90E75"/>
    <w:rsid w:val="18B17DC6"/>
    <w:rsid w:val="18BD8651"/>
    <w:rsid w:val="18BEE6B8"/>
    <w:rsid w:val="18C29D44"/>
    <w:rsid w:val="18C525C3"/>
    <w:rsid w:val="18C805F9"/>
    <w:rsid w:val="18C819AB"/>
    <w:rsid w:val="18D121C0"/>
    <w:rsid w:val="18E1B21C"/>
    <w:rsid w:val="18E72097"/>
    <w:rsid w:val="18F4072D"/>
    <w:rsid w:val="18F67233"/>
    <w:rsid w:val="190427D9"/>
    <w:rsid w:val="190BB1C2"/>
    <w:rsid w:val="19159BD0"/>
    <w:rsid w:val="191891F1"/>
    <w:rsid w:val="192EDC07"/>
    <w:rsid w:val="1933FB3F"/>
    <w:rsid w:val="1948A625"/>
    <w:rsid w:val="194D58CB"/>
    <w:rsid w:val="194F0BB8"/>
    <w:rsid w:val="194FF816"/>
    <w:rsid w:val="1954F093"/>
    <w:rsid w:val="195BF4C3"/>
    <w:rsid w:val="195D72A5"/>
    <w:rsid w:val="19637FC9"/>
    <w:rsid w:val="19661E2B"/>
    <w:rsid w:val="1971BBC1"/>
    <w:rsid w:val="197403FC"/>
    <w:rsid w:val="198328CD"/>
    <w:rsid w:val="198B6E24"/>
    <w:rsid w:val="198BB863"/>
    <w:rsid w:val="198C2F15"/>
    <w:rsid w:val="199875F4"/>
    <w:rsid w:val="19A04527"/>
    <w:rsid w:val="19AC8755"/>
    <w:rsid w:val="19ADFFFC"/>
    <w:rsid w:val="19AF5787"/>
    <w:rsid w:val="19B05605"/>
    <w:rsid w:val="19C4D80E"/>
    <w:rsid w:val="19C50931"/>
    <w:rsid w:val="19C57ABA"/>
    <w:rsid w:val="19C83B53"/>
    <w:rsid w:val="19CB14F3"/>
    <w:rsid w:val="19D0AF52"/>
    <w:rsid w:val="19D7D28F"/>
    <w:rsid w:val="19E28CA2"/>
    <w:rsid w:val="19ECB94B"/>
    <w:rsid w:val="19ED7FCE"/>
    <w:rsid w:val="19F1AE36"/>
    <w:rsid w:val="19F77B9D"/>
    <w:rsid w:val="1A001035"/>
    <w:rsid w:val="1A01B8D4"/>
    <w:rsid w:val="1A03E86F"/>
    <w:rsid w:val="1A083BDE"/>
    <w:rsid w:val="1A1B6B92"/>
    <w:rsid w:val="1A1E5D1D"/>
    <w:rsid w:val="1A25C809"/>
    <w:rsid w:val="1A28EF3B"/>
    <w:rsid w:val="1A2DDF94"/>
    <w:rsid w:val="1A2F5A3D"/>
    <w:rsid w:val="1A36BA2E"/>
    <w:rsid w:val="1A49F73B"/>
    <w:rsid w:val="1A4C3EC9"/>
    <w:rsid w:val="1A549F65"/>
    <w:rsid w:val="1A5761AA"/>
    <w:rsid w:val="1A595DE1"/>
    <w:rsid w:val="1A603242"/>
    <w:rsid w:val="1A67175E"/>
    <w:rsid w:val="1A6A81EF"/>
    <w:rsid w:val="1A6C837F"/>
    <w:rsid w:val="1A81FF34"/>
    <w:rsid w:val="1A82E559"/>
    <w:rsid w:val="1A92A56C"/>
    <w:rsid w:val="1A9F8D48"/>
    <w:rsid w:val="1AA49C51"/>
    <w:rsid w:val="1AA5D67D"/>
    <w:rsid w:val="1AB55605"/>
    <w:rsid w:val="1ACAEEA6"/>
    <w:rsid w:val="1ACEBC05"/>
    <w:rsid w:val="1AD36355"/>
    <w:rsid w:val="1AD6927C"/>
    <w:rsid w:val="1AE99E5B"/>
    <w:rsid w:val="1AE9BC56"/>
    <w:rsid w:val="1AEB7927"/>
    <w:rsid w:val="1AF09460"/>
    <w:rsid w:val="1AF16D75"/>
    <w:rsid w:val="1AFEF164"/>
    <w:rsid w:val="1B213566"/>
    <w:rsid w:val="1B286F4E"/>
    <w:rsid w:val="1B2A5D87"/>
    <w:rsid w:val="1B322B4A"/>
    <w:rsid w:val="1B344655"/>
    <w:rsid w:val="1B361213"/>
    <w:rsid w:val="1B36836A"/>
    <w:rsid w:val="1B38C2C3"/>
    <w:rsid w:val="1B3D99F7"/>
    <w:rsid w:val="1B42BCA7"/>
    <w:rsid w:val="1B4B989A"/>
    <w:rsid w:val="1B58E10C"/>
    <w:rsid w:val="1B5EC1E6"/>
    <w:rsid w:val="1B6788FE"/>
    <w:rsid w:val="1B6871AC"/>
    <w:rsid w:val="1B712205"/>
    <w:rsid w:val="1B712EB5"/>
    <w:rsid w:val="1B736AF3"/>
    <w:rsid w:val="1B762E25"/>
    <w:rsid w:val="1B7EA57D"/>
    <w:rsid w:val="1B82B662"/>
    <w:rsid w:val="1BA104A6"/>
    <w:rsid w:val="1BA2C032"/>
    <w:rsid w:val="1BC131C0"/>
    <w:rsid w:val="1BC3F0DD"/>
    <w:rsid w:val="1BD215CF"/>
    <w:rsid w:val="1BD99856"/>
    <w:rsid w:val="1BDA5094"/>
    <w:rsid w:val="1BE2F7B1"/>
    <w:rsid w:val="1BE4A7B1"/>
    <w:rsid w:val="1BED4C95"/>
    <w:rsid w:val="1BF0BCE4"/>
    <w:rsid w:val="1BF7FA0B"/>
    <w:rsid w:val="1BFFBC74"/>
    <w:rsid w:val="1C106DBD"/>
    <w:rsid w:val="1C1F2A3B"/>
    <w:rsid w:val="1C23078C"/>
    <w:rsid w:val="1C36F0D7"/>
    <w:rsid w:val="1C3A4594"/>
    <w:rsid w:val="1C44C2D0"/>
    <w:rsid w:val="1C552D66"/>
    <w:rsid w:val="1C5D1AEC"/>
    <w:rsid w:val="1C767EC4"/>
    <w:rsid w:val="1C7891F7"/>
    <w:rsid w:val="1C823069"/>
    <w:rsid w:val="1C839439"/>
    <w:rsid w:val="1C894110"/>
    <w:rsid w:val="1C8B1D13"/>
    <w:rsid w:val="1C8B467C"/>
    <w:rsid w:val="1C8B909B"/>
    <w:rsid w:val="1C9328E2"/>
    <w:rsid w:val="1C988E53"/>
    <w:rsid w:val="1C9D19A5"/>
    <w:rsid w:val="1CBC2B07"/>
    <w:rsid w:val="1CCC0B10"/>
    <w:rsid w:val="1CCE52C8"/>
    <w:rsid w:val="1CD544F4"/>
    <w:rsid w:val="1CD9681A"/>
    <w:rsid w:val="1CE78196"/>
    <w:rsid w:val="1CE836D8"/>
    <w:rsid w:val="1CF46A79"/>
    <w:rsid w:val="1D184CFC"/>
    <w:rsid w:val="1D31465E"/>
    <w:rsid w:val="1D37A8D2"/>
    <w:rsid w:val="1D4A19AE"/>
    <w:rsid w:val="1D520CC9"/>
    <w:rsid w:val="1D5369A5"/>
    <w:rsid w:val="1D5BAD0D"/>
    <w:rsid w:val="1D6665EF"/>
    <w:rsid w:val="1D66D30C"/>
    <w:rsid w:val="1D6787F3"/>
    <w:rsid w:val="1D72F93C"/>
    <w:rsid w:val="1D74F7B4"/>
    <w:rsid w:val="1D75EFF6"/>
    <w:rsid w:val="1D7F0840"/>
    <w:rsid w:val="1D917522"/>
    <w:rsid w:val="1D97A05D"/>
    <w:rsid w:val="1D98EC0C"/>
    <w:rsid w:val="1D9A7898"/>
    <w:rsid w:val="1D9E6259"/>
    <w:rsid w:val="1DA22807"/>
    <w:rsid w:val="1DA53FC8"/>
    <w:rsid w:val="1DAFFB07"/>
    <w:rsid w:val="1DB5E651"/>
    <w:rsid w:val="1DB95B8B"/>
    <w:rsid w:val="1DBE44A2"/>
    <w:rsid w:val="1DC31DFC"/>
    <w:rsid w:val="1DCB32A1"/>
    <w:rsid w:val="1DCBB8B5"/>
    <w:rsid w:val="1DD4C4BD"/>
    <w:rsid w:val="1DE4864F"/>
    <w:rsid w:val="1DEA8E6D"/>
    <w:rsid w:val="1DEC65A0"/>
    <w:rsid w:val="1DED3C2C"/>
    <w:rsid w:val="1DF02567"/>
    <w:rsid w:val="1DF0FDC7"/>
    <w:rsid w:val="1E013273"/>
    <w:rsid w:val="1E0C1887"/>
    <w:rsid w:val="1E0FE09F"/>
    <w:rsid w:val="1E18E30E"/>
    <w:rsid w:val="1E1AFC22"/>
    <w:rsid w:val="1E237E3F"/>
    <w:rsid w:val="1E2490B3"/>
    <w:rsid w:val="1E2EF943"/>
    <w:rsid w:val="1E41472D"/>
    <w:rsid w:val="1E4ED741"/>
    <w:rsid w:val="1E4FDE57"/>
    <w:rsid w:val="1E64E781"/>
    <w:rsid w:val="1E65AB3D"/>
    <w:rsid w:val="1E666CA1"/>
    <w:rsid w:val="1E6690B9"/>
    <w:rsid w:val="1E678940"/>
    <w:rsid w:val="1E6AF619"/>
    <w:rsid w:val="1E6BF351"/>
    <w:rsid w:val="1E732D00"/>
    <w:rsid w:val="1E7350C0"/>
    <w:rsid w:val="1E7E0BD2"/>
    <w:rsid w:val="1E8692A3"/>
    <w:rsid w:val="1EA5923A"/>
    <w:rsid w:val="1EAA84CA"/>
    <w:rsid w:val="1EADC351"/>
    <w:rsid w:val="1EB0B785"/>
    <w:rsid w:val="1EB23392"/>
    <w:rsid w:val="1EB2CB3A"/>
    <w:rsid w:val="1EC0F0D8"/>
    <w:rsid w:val="1EC51F59"/>
    <w:rsid w:val="1EC56DF1"/>
    <w:rsid w:val="1ECC86B6"/>
    <w:rsid w:val="1ED1166A"/>
    <w:rsid w:val="1ED1716F"/>
    <w:rsid w:val="1EDD9D3D"/>
    <w:rsid w:val="1EED59E1"/>
    <w:rsid w:val="1EF003F6"/>
    <w:rsid w:val="1EF54749"/>
    <w:rsid w:val="1EF841D4"/>
    <w:rsid w:val="1EF85131"/>
    <w:rsid w:val="1EF92AD2"/>
    <w:rsid w:val="1EFC05B0"/>
    <w:rsid w:val="1F009698"/>
    <w:rsid w:val="1F01C8B0"/>
    <w:rsid w:val="1F04AFC7"/>
    <w:rsid w:val="1F0B7143"/>
    <w:rsid w:val="1F0CA09B"/>
    <w:rsid w:val="1F1CC900"/>
    <w:rsid w:val="1F1EF570"/>
    <w:rsid w:val="1F20C694"/>
    <w:rsid w:val="1F2C2B5B"/>
    <w:rsid w:val="1F2FD5E0"/>
    <w:rsid w:val="1F339A0C"/>
    <w:rsid w:val="1F37AEA8"/>
    <w:rsid w:val="1F3946A6"/>
    <w:rsid w:val="1F3B5E44"/>
    <w:rsid w:val="1F3D93C1"/>
    <w:rsid w:val="1F527C3F"/>
    <w:rsid w:val="1F5CC9B5"/>
    <w:rsid w:val="1F6CD29E"/>
    <w:rsid w:val="1F78D3AC"/>
    <w:rsid w:val="1F7A81B5"/>
    <w:rsid w:val="1F88C728"/>
    <w:rsid w:val="1F89FCAC"/>
    <w:rsid w:val="1F975B9C"/>
    <w:rsid w:val="1F9C83C4"/>
    <w:rsid w:val="1FAAB418"/>
    <w:rsid w:val="1FB33355"/>
    <w:rsid w:val="1FB5089E"/>
    <w:rsid w:val="1FB569AF"/>
    <w:rsid w:val="1FBBEC84"/>
    <w:rsid w:val="1FBE21A4"/>
    <w:rsid w:val="1FC2E73E"/>
    <w:rsid w:val="1FC4231D"/>
    <w:rsid w:val="1FC84518"/>
    <w:rsid w:val="1FCB3647"/>
    <w:rsid w:val="1FCC9C36"/>
    <w:rsid w:val="1FD0D184"/>
    <w:rsid w:val="1FDD4077"/>
    <w:rsid w:val="1FDFFB5E"/>
    <w:rsid w:val="1FE0FD4B"/>
    <w:rsid w:val="1FFAAF7C"/>
    <w:rsid w:val="1FFF565F"/>
    <w:rsid w:val="2005E160"/>
    <w:rsid w:val="200633CC"/>
    <w:rsid w:val="2009679F"/>
    <w:rsid w:val="200DCEE6"/>
    <w:rsid w:val="201F09BD"/>
    <w:rsid w:val="2029FA27"/>
    <w:rsid w:val="202D69E6"/>
    <w:rsid w:val="20354105"/>
    <w:rsid w:val="2037CC4E"/>
    <w:rsid w:val="2039EFB0"/>
    <w:rsid w:val="203C4BE0"/>
    <w:rsid w:val="204279A1"/>
    <w:rsid w:val="20436E76"/>
    <w:rsid w:val="2046BC55"/>
    <w:rsid w:val="2048D9B1"/>
    <w:rsid w:val="2049CB89"/>
    <w:rsid w:val="204B7A35"/>
    <w:rsid w:val="204D2730"/>
    <w:rsid w:val="2053CE87"/>
    <w:rsid w:val="20570BA4"/>
    <w:rsid w:val="20587CBF"/>
    <w:rsid w:val="2059B8A8"/>
    <w:rsid w:val="205F53B9"/>
    <w:rsid w:val="20615252"/>
    <w:rsid w:val="207C3E82"/>
    <w:rsid w:val="20816BCE"/>
    <w:rsid w:val="2084061F"/>
    <w:rsid w:val="20916AFA"/>
    <w:rsid w:val="20A23274"/>
    <w:rsid w:val="20AA934C"/>
    <w:rsid w:val="20B792D2"/>
    <w:rsid w:val="20C02F3B"/>
    <w:rsid w:val="20C5D030"/>
    <w:rsid w:val="20C80AF7"/>
    <w:rsid w:val="20CAD43B"/>
    <w:rsid w:val="20CC3D2B"/>
    <w:rsid w:val="20D7B5F5"/>
    <w:rsid w:val="20DE9974"/>
    <w:rsid w:val="20F1723D"/>
    <w:rsid w:val="20F5C72F"/>
    <w:rsid w:val="20FC9876"/>
    <w:rsid w:val="20FDED7B"/>
    <w:rsid w:val="20FF1912"/>
    <w:rsid w:val="21060561"/>
    <w:rsid w:val="2108EF8E"/>
    <w:rsid w:val="210D3BE5"/>
    <w:rsid w:val="211F58CF"/>
    <w:rsid w:val="2123A3D6"/>
    <w:rsid w:val="212423A3"/>
    <w:rsid w:val="212757B2"/>
    <w:rsid w:val="212C5323"/>
    <w:rsid w:val="21322575"/>
    <w:rsid w:val="214190C7"/>
    <w:rsid w:val="21541FDB"/>
    <w:rsid w:val="21550BE4"/>
    <w:rsid w:val="215AB882"/>
    <w:rsid w:val="216925AD"/>
    <w:rsid w:val="217173EE"/>
    <w:rsid w:val="21809B4D"/>
    <w:rsid w:val="2182BD80"/>
    <w:rsid w:val="2187F708"/>
    <w:rsid w:val="21995C40"/>
    <w:rsid w:val="219D2C9A"/>
    <w:rsid w:val="21A1CA1B"/>
    <w:rsid w:val="21AF61E8"/>
    <w:rsid w:val="21BD984B"/>
    <w:rsid w:val="21BE2F75"/>
    <w:rsid w:val="21C55F26"/>
    <w:rsid w:val="21D5C848"/>
    <w:rsid w:val="21D68440"/>
    <w:rsid w:val="21DE3708"/>
    <w:rsid w:val="21E12C44"/>
    <w:rsid w:val="21F4BD81"/>
    <w:rsid w:val="21F647E3"/>
    <w:rsid w:val="21F71E40"/>
    <w:rsid w:val="21FCB936"/>
    <w:rsid w:val="21FD0EB3"/>
    <w:rsid w:val="21FEAB9A"/>
    <w:rsid w:val="21FF97AB"/>
    <w:rsid w:val="221E914A"/>
    <w:rsid w:val="2226DAC8"/>
    <w:rsid w:val="222FA61C"/>
    <w:rsid w:val="224A4194"/>
    <w:rsid w:val="224DFB14"/>
    <w:rsid w:val="22628434"/>
    <w:rsid w:val="2262C957"/>
    <w:rsid w:val="2262EF5D"/>
    <w:rsid w:val="226B1180"/>
    <w:rsid w:val="227201C2"/>
    <w:rsid w:val="2293A1DB"/>
    <w:rsid w:val="2298D92A"/>
    <w:rsid w:val="22A60C99"/>
    <w:rsid w:val="22AEA455"/>
    <w:rsid w:val="22BAFE1F"/>
    <w:rsid w:val="22C32813"/>
    <w:rsid w:val="22D3E9C2"/>
    <w:rsid w:val="22E6ABA8"/>
    <w:rsid w:val="22E6F7B8"/>
    <w:rsid w:val="22EA13D9"/>
    <w:rsid w:val="22F0830E"/>
    <w:rsid w:val="22F4BDFA"/>
    <w:rsid w:val="22FAE983"/>
    <w:rsid w:val="2309EBE5"/>
    <w:rsid w:val="230D444F"/>
    <w:rsid w:val="230E52AA"/>
    <w:rsid w:val="23134440"/>
    <w:rsid w:val="2322BAAF"/>
    <w:rsid w:val="2323CB82"/>
    <w:rsid w:val="232628D3"/>
    <w:rsid w:val="232C4688"/>
    <w:rsid w:val="2343281F"/>
    <w:rsid w:val="23444B26"/>
    <w:rsid w:val="2349C368"/>
    <w:rsid w:val="234A1C7C"/>
    <w:rsid w:val="23513254"/>
    <w:rsid w:val="2363CBE7"/>
    <w:rsid w:val="236BD28B"/>
    <w:rsid w:val="236F3A3F"/>
    <w:rsid w:val="237EE13C"/>
    <w:rsid w:val="2389DB25"/>
    <w:rsid w:val="239444CF"/>
    <w:rsid w:val="23B9E6D9"/>
    <w:rsid w:val="23BD1426"/>
    <w:rsid w:val="23C273DF"/>
    <w:rsid w:val="23C2F3B0"/>
    <w:rsid w:val="23D9D3D2"/>
    <w:rsid w:val="23DF4CDD"/>
    <w:rsid w:val="23F9ACD4"/>
    <w:rsid w:val="23FDE253"/>
    <w:rsid w:val="23FE76BB"/>
    <w:rsid w:val="23FE803F"/>
    <w:rsid w:val="2401ED7A"/>
    <w:rsid w:val="2406E1E1"/>
    <w:rsid w:val="240B4181"/>
    <w:rsid w:val="2414D662"/>
    <w:rsid w:val="241BF097"/>
    <w:rsid w:val="242AD870"/>
    <w:rsid w:val="24363751"/>
    <w:rsid w:val="2441BD68"/>
    <w:rsid w:val="24483B88"/>
    <w:rsid w:val="24600C97"/>
    <w:rsid w:val="24692500"/>
    <w:rsid w:val="246EFCB8"/>
    <w:rsid w:val="24753EE2"/>
    <w:rsid w:val="247DDC01"/>
    <w:rsid w:val="248BC09D"/>
    <w:rsid w:val="2493AE23"/>
    <w:rsid w:val="24A7A026"/>
    <w:rsid w:val="24B048BF"/>
    <w:rsid w:val="24B098A1"/>
    <w:rsid w:val="24B1FD35"/>
    <w:rsid w:val="24B35FB5"/>
    <w:rsid w:val="24BD0BBD"/>
    <w:rsid w:val="24BD4037"/>
    <w:rsid w:val="24C768A6"/>
    <w:rsid w:val="24D3F634"/>
    <w:rsid w:val="24D550DE"/>
    <w:rsid w:val="24E1200E"/>
    <w:rsid w:val="24EB1D48"/>
    <w:rsid w:val="24EF1664"/>
    <w:rsid w:val="250269F7"/>
    <w:rsid w:val="25080977"/>
    <w:rsid w:val="250E6EDD"/>
    <w:rsid w:val="251DFFDF"/>
    <w:rsid w:val="25217516"/>
    <w:rsid w:val="2524CEA6"/>
    <w:rsid w:val="2529E402"/>
    <w:rsid w:val="252CBCAD"/>
    <w:rsid w:val="25344101"/>
    <w:rsid w:val="2534BF31"/>
    <w:rsid w:val="25352C96"/>
    <w:rsid w:val="2535DF2E"/>
    <w:rsid w:val="2539569C"/>
    <w:rsid w:val="2542C277"/>
    <w:rsid w:val="254BA12F"/>
    <w:rsid w:val="25573BD4"/>
    <w:rsid w:val="255D785E"/>
    <w:rsid w:val="255E4440"/>
    <w:rsid w:val="25638A68"/>
    <w:rsid w:val="25649AAC"/>
    <w:rsid w:val="25812C46"/>
    <w:rsid w:val="2594FBE4"/>
    <w:rsid w:val="25959B3E"/>
    <w:rsid w:val="259C8C1B"/>
    <w:rsid w:val="25A2DB01"/>
    <w:rsid w:val="25A8B1E5"/>
    <w:rsid w:val="25AA9FC8"/>
    <w:rsid w:val="25ADAE6D"/>
    <w:rsid w:val="25B5A681"/>
    <w:rsid w:val="25BA2763"/>
    <w:rsid w:val="25BBDA9F"/>
    <w:rsid w:val="25BE0F15"/>
    <w:rsid w:val="25C7EC4B"/>
    <w:rsid w:val="25D6F519"/>
    <w:rsid w:val="25E29975"/>
    <w:rsid w:val="25E4AD7B"/>
    <w:rsid w:val="25F19963"/>
    <w:rsid w:val="26041C20"/>
    <w:rsid w:val="26062BB8"/>
    <w:rsid w:val="2609AABD"/>
    <w:rsid w:val="261CCBDA"/>
    <w:rsid w:val="261D6819"/>
    <w:rsid w:val="26234AD8"/>
    <w:rsid w:val="262521F4"/>
    <w:rsid w:val="2638EA87"/>
    <w:rsid w:val="26414C2D"/>
    <w:rsid w:val="26421DAD"/>
    <w:rsid w:val="2645701B"/>
    <w:rsid w:val="264C11F5"/>
    <w:rsid w:val="265EBE8F"/>
    <w:rsid w:val="26604F07"/>
    <w:rsid w:val="267D34D7"/>
    <w:rsid w:val="268DB2A4"/>
    <w:rsid w:val="269132A8"/>
    <w:rsid w:val="2692FF78"/>
    <w:rsid w:val="2695DB5F"/>
    <w:rsid w:val="269694C2"/>
    <w:rsid w:val="26A2823F"/>
    <w:rsid w:val="26A42AC7"/>
    <w:rsid w:val="26A4934C"/>
    <w:rsid w:val="26B213F6"/>
    <w:rsid w:val="26B82E57"/>
    <w:rsid w:val="26B90C08"/>
    <w:rsid w:val="26BE2AA2"/>
    <w:rsid w:val="26C142BB"/>
    <w:rsid w:val="26CFC1A5"/>
    <w:rsid w:val="26D2A8C9"/>
    <w:rsid w:val="26DC284F"/>
    <w:rsid w:val="26E6CB61"/>
    <w:rsid w:val="26EE37C4"/>
    <w:rsid w:val="26EF3036"/>
    <w:rsid w:val="26EFE05A"/>
    <w:rsid w:val="26F1B738"/>
    <w:rsid w:val="26FC4D24"/>
    <w:rsid w:val="27064D09"/>
    <w:rsid w:val="2716ED9F"/>
    <w:rsid w:val="27241FE4"/>
    <w:rsid w:val="273CE0E3"/>
    <w:rsid w:val="275CC2FA"/>
    <w:rsid w:val="27684766"/>
    <w:rsid w:val="276D3997"/>
    <w:rsid w:val="277C9E59"/>
    <w:rsid w:val="278E1DCE"/>
    <w:rsid w:val="2791B6C7"/>
    <w:rsid w:val="279BDC65"/>
    <w:rsid w:val="27A225E5"/>
    <w:rsid w:val="27AD016A"/>
    <w:rsid w:val="27B0D55B"/>
    <w:rsid w:val="27BBD1A2"/>
    <w:rsid w:val="27BCC79C"/>
    <w:rsid w:val="27C91123"/>
    <w:rsid w:val="27CE7F16"/>
    <w:rsid w:val="27D3FF1E"/>
    <w:rsid w:val="27D73A9D"/>
    <w:rsid w:val="27D9C236"/>
    <w:rsid w:val="27DE84D3"/>
    <w:rsid w:val="27DFF98A"/>
    <w:rsid w:val="27E400E2"/>
    <w:rsid w:val="27E78303"/>
    <w:rsid w:val="27EDBDBC"/>
    <w:rsid w:val="27F10754"/>
    <w:rsid w:val="27F469AF"/>
    <w:rsid w:val="281B25B0"/>
    <w:rsid w:val="281E06B2"/>
    <w:rsid w:val="282D7887"/>
    <w:rsid w:val="283D6DFF"/>
    <w:rsid w:val="28411B39"/>
    <w:rsid w:val="2847595B"/>
    <w:rsid w:val="2847DB01"/>
    <w:rsid w:val="284EE5EA"/>
    <w:rsid w:val="284F8E89"/>
    <w:rsid w:val="2855A191"/>
    <w:rsid w:val="2857CF01"/>
    <w:rsid w:val="2861434C"/>
    <w:rsid w:val="2869BEC5"/>
    <w:rsid w:val="2874C6EA"/>
    <w:rsid w:val="287A8515"/>
    <w:rsid w:val="2886A84D"/>
    <w:rsid w:val="288C176A"/>
    <w:rsid w:val="288D4C1A"/>
    <w:rsid w:val="288DDFB1"/>
    <w:rsid w:val="28A68742"/>
    <w:rsid w:val="28B3903A"/>
    <w:rsid w:val="28B3A0D0"/>
    <w:rsid w:val="28B78CD9"/>
    <w:rsid w:val="28B9AB45"/>
    <w:rsid w:val="28BC2E13"/>
    <w:rsid w:val="28C329F1"/>
    <w:rsid w:val="28C74841"/>
    <w:rsid w:val="28C9182D"/>
    <w:rsid w:val="28CAE903"/>
    <w:rsid w:val="28D87C6E"/>
    <w:rsid w:val="28DCC805"/>
    <w:rsid w:val="28EC80CD"/>
    <w:rsid w:val="28F9375C"/>
    <w:rsid w:val="290B89B6"/>
    <w:rsid w:val="290C974C"/>
    <w:rsid w:val="290D4C70"/>
    <w:rsid w:val="290E6D61"/>
    <w:rsid w:val="291165E2"/>
    <w:rsid w:val="291B16A9"/>
    <w:rsid w:val="291FE293"/>
    <w:rsid w:val="2928A2AD"/>
    <w:rsid w:val="292DA66E"/>
    <w:rsid w:val="292F6143"/>
    <w:rsid w:val="29394E37"/>
    <w:rsid w:val="2948D1CB"/>
    <w:rsid w:val="2950B60F"/>
    <w:rsid w:val="295A5B5E"/>
    <w:rsid w:val="2960050C"/>
    <w:rsid w:val="2978ECEF"/>
    <w:rsid w:val="297B7F6F"/>
    <w:rsid w:val="297BA5E8"/>
    <w:rsid w:val="297F00F3"/>
    <w:rsid w:val="297FB6D0"/>
    <w:rsid w:val="2983F9D4"/>
    <w:rsid w:val="29A7F4FD"/>
    <w:rsid w:val="29B741C2"/>
    <w:rsid w:val="29BB7DEC"/>
    <w:rsid w:val="29BEEBD0"/>
    <w:rsid w:val="29CE8426"/>
    <w:rsid w:val="29D29A01"/>
    <w:rsid w:val="29E1947D"/>
    <w:rsid w:val="29EDFC3F"/>
    <w:rsid w:val="29F4E639"/>
    <w:rsid w:val="29FE96D8"/>
    <w:rsid w:val="29FFCF66"/>
    <w:rsid w:val="2A04DA39"/>
    <w:rsid w:val="2A110A09"/>
    <w:rsid w:val="2A163021"/>
    <w:rsid w:val="2A1E6C23"/>
    <w:rsid w:val="2A2832A3"/>
    <w:rsid w:val="2A335D0A"/>
    <w:rsid w:val="2A33E83A"/>
    <w:rsid w:val="2A3A13E5"/>
    <w:rsid w:val="2A4A0816"/>
    <w:rsid w:val="2A547580"/>
    <w:rsid w:val="2A56A314"/>
    <w:rsid w:val="2A56CAD3"/>
    <w:rsid w:val="2A5BCCA0"/>
    <w:rsid w:val="2A661103"/>
    <w:rsid w:val="2A6868D2"/>
    <w:rsid w:val="2A6F6544"/>
    <w:rsid w:val="2A747EA5"/>
    <w:rsid w:val="2A765889"/>
    <w:rsid w:val="2A7DA519"/>
    <w:rsid w:val="2A81DADC"/>
    <w:rsid w:val="2AA4E12D"/>
    <w:rsid w:val="2AAB7B3E"/>
    <w:rsid w:val="2AABD817"/>
    <w:rsid w:val="2AAE3A0E"/>
    <w:rsid w:val="2ABBACCD"/>
    <w:rsid w:val="2AC61004"/>
    <w:rsid w:val="2AD32221"/>
    <w:rsid w:val="2AE84951"/>
    <w:rsid w:val="2AFEE41F"/>
    <w:rsid w:val="2B02EFA7"/>
    <w:rsid w:val="2B0CCFCA"/>
    <w:rsid w:val="2B0D17DF"/>
    <w:rsid w:val="2B0DA37A"/>
    <w:rsid w:val="2B13E6CB"/>
    <w:rsid w:val="2B1524D6"/>
    <w:rsid w:val="2B16DBC0"/>
    <w:rsid w:val="2B22C5B6"/>
    <w:rsid w:val="2B29AFF9"/>
    <w:rsid w:val="2B2F7E67"/>
    <w:rsid w:val="2B40E3C0"/>
    <w:rsid w:val="2B44D0B8"/>
    <w:rsid w:val="2B4A6A1F"/>
    <w:rsid w:val="2B538DEE"/>
    <w:rsid w:val="2B56A15A"/>
    <w:rsid w:val="2B5C1E33"/>
    <w:rsid w:val="2B5CF84A"/>
    <w:rsid w:val="2B5ED0D8"/>
    <w:rsid w:val="2B5EF2C0"/>
    <w:rsid w:val="2B6E2258"/>
    <w:rsid w:val="2B6EAD36"/>
    <w:rsid w:val="2B6F0530"/>
    <w:rsid w:val="2B7C6E01"/>
    <w:rsid w:val="2B826614"/>
    <w:rsid w:val="2B83781B"/>
    <w:rsid w:val="2B90B69A"/>
    <w:rsid w:val="2B92C757"/>
    <w:rsid w:val="2B94498C"/>
    <w:rsid w:val="2B9BC43B"/>
    <w:rsid w:val="2BA56843"/>
    <w:rsid w:val="2BA64D87"/>
    <w:rsid w:val="2BA71C9B"/>
    <w:rsid w:val="2BABDE7F"/>
    <w:rsid w:val="2BAEC5DE"/>
    <w:rsid w:val="2BAF1BAF"/>
    <w:rsid w:val="2BB3FD39"/>
    <w:rsid w:val="2BB4972D"/>
    <w:rsid w:val="2BBFB3E7"/>
    <w:rsid w:val="2BC07246"/>
    <w:rsid w:val="2BE10000"/>
    <w:rsid w:val="2BE45AFB"/>
    <w:rsid w:val="2BEBDC4B"/>
    <w:rsid w:val="2BEF062A"/>
    <w:rsid w:val="2BF011EE"/>
    <w:rsid w:val="2BF089A2"/>
    <w:rsid w:val="2BF3C15A"/>
    <w:rsid w:val="2BF5125B"/>
    <w:rsid w:val="2BFCA228"/>
    <w:rsid w:val="2C097A31"/>
    <w:rsid w:val="2C0AED22"/>
    <w:rsid w:val="2C22B331"/>
    <w:rsid w:val="2C2546E8"/>
    <w:rsid w:val="2C2AD8E5"/>
    <w:rsid w:val="2C2F082A"/>
    <w:rsid w:val="2C312CE8"/>
    <w:rsid w:val="2C3413F5"/>
    <w:rsid w:val="2C3BEFF9"/>
    <w:rsid w:val="2C43E94C"/>
    <w:rsid w:val="2C47BDCB"/>
    <w:rsid w:val="2C4F5757"/>
    <w:rsid w:val="2C5401D4"/>
    <w:rsid w:val="2C5636F0"/>
    <w:rsid w:val="2C58CF82"/>
    <w:rsid w:val="2C5A1659"/>
    <w:rsid w:val="2C61A91B"/>
    <w:rsid w:val="2C638983"/>
    <w:rsid w:val="2C64C0CB"/>
    <w:rsid w:val="2C6C48AF"/>
    <w:rsid w:val="2C6CEAD5"/>
    <w:rsid w:val="2C7CC397"/>
    <w:rsid w:val="2C7FBB48"/>
    <w:rsid w:val="2C84ADC1"/>
    <w:rsid w:val="2C8E03B3"/>
    <w:rsid w:val="2C902135"/>
    <w:rsid w:val="2C973619"/>
    <w:rsid w:val="2C9A2D68"/>
    <w:rsid w:val="2C9E5837"/>
    <w:rsid w:val="2CA6D1A2"/>
    <w:rsid w:val="2CAC6CEE"/>
    <w:rsid w:val="2CB13F9E"/>
    <w:rsid w:val="2CB3E5A9"/>
    <w:rsid w:val="2CBD9F45"/>
    <w:rsid w:val="2CC3DDE9"/>
    <w:rsid w:val="2CC42437"/>
    <w:rsid w:val="2CC79F23"/>
    <w:rsid w:val="2CCDF8FC"/>
    <w:rsid w:val="2CD746E9"/>
    <w:rsid w:val="2CE46468"/>
    <w:rsid w:val="2CE6CBAF"/>
    <w:rsid w:val="2CF1553A"/>
    <w:rsid w:val="2CF3E293"/>
    <w:rsid w:val="2D03E63F"/>
    <w:rsid w:val="2D0B51C0"/>
    <w:rsid w:val="2D1D76EA"/>
    <w:rsid w:val="2D1DECF7"/>
    <w:rsid w:val="2D251EC3"/>
    <w:rsid w:val="2D4138A4"/>
    <w:rsid w:val="2D4B17C5"/>
    <w:rsid w:val="2D4DE985"/>
    <w:rsid w:val="2D597E93"/>
    <w:rsid w:val="2D5CEC5E"/>
    <w:rsid w:val="2D63DF78"/>
    <w:rsid w:val="2D669CA9"/>
    <w:rsid w:val="2D69EC9E"/>
    <w:rsid w:val="2D74815E"/>
    <w:rsid w:val="2D7CD061"/>
    <w:rsid w:val="2D872564"/>
    <w:rsid w:val="2D9A35DE"/>
    <w:rsid w:val="2D9E3E8F"/>
    <w:rsid w:val="2DB697BA"/>
    <w:rsid w:val="2DC33BF9"/>
    <w:rsid w:val="2DC5F5F1"/>
    <w:rsid w:val="2DD11924"/>
    <w:rsid w:val="2DD5C344"/>
    <w:rsid w:val="2DE0C671"/>
    <w:rsid w:val="2DE5592D"/>
    <w:rsid w:val="2DE6B9F3"/>
    <w:rsid w:val="2DEA7F00"/>
    <w:rsid w:val="2DFDB0C6"/>
    <w:rsid w:val="2E0F0F17"/>
    <w:rsid w:val="2E101BC6"/>
    <w:rsid w:val="2E1C42EE"/>
    <w:rsid w:val="2E2079AC"/>
    <w:rsid w:val="2E25543D"/>
    <w:rsid w:val="2E260469"/>
    <w:rsid w:val="2E284804"/>
    <w:rsid w:val="2E2D9B1E"/>
    <w:rsid w:val="2E34B406"/>
    <w:rsid w:val="2E357EC9"/>
    <w:rsid w:val="2E3632D1"/>
    <w:rsid w:val="2E3DA628"/>
    <w:rsid w:val="2E46CC43"/>
    <w:rsid w:val="2E477C43"/>
    <w:rsid w:val="2E4E86F0"/>
    <w:rsid w:val="2E6651EC"/>
    <w:rsid w:val="2E6B54AF"/>
    <w:rsid w:val="2E6C05C2"/>
    <w:rsid w:val="2E7DFE43"/>
    <w:rsid w:val="2E800724"/>
    <w:rsid w:val="2E88CD64"/>
    <w:rsid w:val="2E8EA4DF"/>
    <w:rsid w:val="2E8F9808"/>
    <w:rsid w:val="2E9C828B"/>
    <w:rsid w:val="2E9D2247"/>
    <w:rsid w:val="2EA34883"/>
    <w:rsid w:val="2EAADC54"/>
    <w:rsid w:val="2EABB9C8"/>
    <w:rsid w:val="2EAC1B82"/>
    <w:rsid w:val="2EBC33ED"/>
    <w:rsid w:val="2EBD98D3"/>
    <w:rsid w:val="2ED8D9CA"/>
    <w:rsid w:val="2ED8ECD1"/>
    <w:rsid w:val="2EDC8233"/>
    <w:rsid w:val="2EE9B83B"/>
    <w:rsid w:val="2EFBC241"/>
    <w:rsid w:val="2F0134E9"/>
    <w:rsid w:val="2F06BF8C"/>
    <w:rsid w:val="2F0765EB"/>
    <w:rsid w:val="2F140746"/>
    <w:rsid w:val="2F29A7FD"/>
    <w:rsid w:val="2F342DC4"/>
    <w:rsid w:val="2F445F3E"/>
    <w:rsid w:val="2F47A1FA"/>
    <w:rsid w:val="2F4B7234"/>
    <w:rsid w:val="2F5002CA"/>
    <w:rsid w:val="2F56F968"/>
    <w:rsid w:val="2F62BCE5"/>
    <w:rsid w:val="2F7919B1"/>
    <w:rsid w:val="2F7C7C45"/>
    <w:rsid w:val="2F89C90A"/>
    <w:rsid w:val="2F930DD5"/>
    <w:rsid w:val="2F93A92C"/>
    <w:rsid w:val="2F985DCA"/>
    <w:rsid w:val="2FA18E85"/>
    <w:rsid w:val="2FC0078F"/>
    <w:rsid w:val="2FC00B57"/>
    <w:rsid w:val="2FD08EBC"/>
    <w:rsid w:val="2FE8AABA"/>
    <w:rsid w:val="2FED0CDF"/>
    <w:rsid w:val="2FF2D627"/>
    <w:rsid w:val="300A24A9"/>
    <w:rsid w:val="3028F5FC"/>
    <w:rsid w:val="302E9AA8"/>
    <w:rsid w:val="303B07AD"/>
    <w:rsid w:val="303BE50A"/>
    <w:rsid w:val="303D519A"/>
    <w:rsid w:val="3048EB1E"/>
    <w:rsid w:val="3052D57D"/>
    <w:rsid w:val="3066B072"/>
    <w:rsid w:val="307E7E9B"/>
    <w:rsid w:val="307ED14A"/>
    <w:rsid w:val="30800A31"/>
    <w:rsid w:val="30848229"/>
    <w:rsid w:val="30875FFF"/>
    <w:rsid w:val="3095F9F5"/>
    <w:rsid w:val="309C3219"/>
    <w:rsid w:val="309D1B2E"/>
    <w:rsid w:val="30A74D53"/>
    <w:rsid w:val="30A78701"/>
    <w:rsid w:val="30B53BAB"/>
    <w:rsid w:val="30C69D54"/>
    <w:rsid w:val="30CE3BDB"/>
    <w:rsid w:val="30D1BCB6"/>
    <w:rsid w:val="30E35D84"/>
    <w:rsid w:val="30F83515"/>
    <w:rsid w:val="30FFE3A9"/>
    <w:rsid w:val="3100B9A4"/>
    <w:rsid w:val="310D2AE6"/>
    <w:rsid w:val="310FF32D"/>
    <w:rsid w:val="3132C392"/>
    <w:rsid w:val="3138A239"/>
    <w:rsid w:val="313D2778"/>
    <w:rsid w:val="313D34B4"/>
    <w:rsid w:val="314CB92F"/>
    <w:rsid w:val="314EFB40"/>
    <w:rsid w:val="316007F4"/>
    <w:rsid w:val="3164A58E"/>
    <w:rsid w:val="316C54C8"/>
    <w:rsid w:val="316EF61D"/>
    <w:rsid w:val="316F2253"/>
    <w:rsid w:val="3175E56E"/>
    <w:rsid w:val="318326D5"/>
    <w:rsid w:val="31839454"/>
    <w:rsid w:val="3183FED4"/>
    <w:rsid w:val="319444BA"/>
    <w:rsid w:val="31958DAF"/>
    <w:rsid w:val="31967E8D"/>
    <w:rsid w:val="319EE1F7"/>
    <w:rsid w:val="31A5E5B9"/>
    <w:rsid w:val="31BE32B5"/>
    <w:rsid w:val="31CB0535"/>
    <w:rsid w:val="31D35049"/>
    <w:rsid w:val="31DDF8DC"/>
    <w:rsid w:val="31DED92A"/>
    <w:rsid w:val="31F2125F"/>
    <w:rsid w:val="31F76DD4"/>
    <w:rsid w:val="32026425"/>
    <w:rsid w:val="32090015"/>
    <w:rsid w:val="320AE14B"/>
    <w:rsid w:val="320F79EE"/>
    <w:rsid w:val="3218602F"/>
    <w:rsid w:val="32186A6F"/>
    <w:rsid w:val="321D3424"/>
    <w:rsid w:val="321DF82E"/>
    <w:rsid w:val="321EE17A"/>
    <w:rsid w:val="32292F8C"/>
    <w:rsid w:val="322BDE82"/>
    <w:rsid w:val="3230EA6B"/>
    <w:rsid w:val="3231AC08"/>
    <w:rsid w:val="324313E5"/>
    <w:rsid w:val="32501F29"/>
    <w:rsid w:val="3253963E"/>
    <w:rsid w:val="3258401D"/>
    <w:rsid w:val="32587DFE"/>
    <w:rsid w:val="326407C7"/>
    <w:rsid w:val="32660116"/>
    <w:rsid w:val="3271E031"/>
    <w:rsid w:val="3274C151"/>
    <w:rsid w:val="3276FF32"/>
    <w:rsid w:val="32809653"/>
    <w:rsid w:val="329415F9"/>
    <w:rsid w:val="32ADE0D5"/>
    <w:rsid w:val="32B1E757"/>
    <w:rsid w:val="32B44D3C"/>
    <w:rsid w:val="32B654A9"/>
    <w:rsid w:val="32BFA533"/>
    <w:rsid w:val="32C550DD"/>
    <w:rsid w:val="32C86563"/>
    <w:rsid w:val="32D121E9"/>
    <w:rsid w:val="32D5C04B"/>
    <w:rsid w:val="32DE793A"/>
    <w:rsid w:val="32E75B69"/>
    <w:rsid w:val="32F01E58"/>
    <w:rsid w:val="32F6068A"/>
    <w:rsid w:val="32FBD855"/>
    <w:rsid w:val="32FF2205"/>
    <w:rsid w:val="33000F72"/>
    <w:rsid w:val="3301048A"/>
    <w:rsid w:val="33098F67"/>
    <w:rsid w:val="330BFFFF"/>
    <w:rsid w:val="3311933E"/>
    <w:rsid w:val="33211DDC"/>
    <w:rsid w:val="33315BD5"/>
    <w:rsid w:val="3333A4FC"/>
    <w:rsid w:val="3333CD8C"/>
    <w:rsid w:val="333C2F77"/>
    <w:rsid w:val="333D4197"/>
    <w:rsid w:val="33439374"/>
    <w:rsid w:val="335146D3"/>
    <w:rsid w:val="3353A5EC"/>
    <w:rsid w:val="335B104D"/>
    <w:rsid w:val="335B5527"/>
    <w:rsid w:val="3362FBEF"/>
    <w:rsid w:val="33639D07"/>
    <w:rsid w:val="336D157F"/>
    <w:rsid w:val="337DDD09"/>
    <w:rsid w:val="337E5D16"/>
    <w:rsid w:val="33940721"/>
    <w:rsid w:val="339BC87F"/>
    <w:rsid w:val="33A411E7"/>
    <w:rsid w:val="33A96D16"/>
    <w:rsid w:val="33BD2492"/>
    <w:rsid w:val="33C02DCE"/>
    <w:rsid w:val="33D3A694"/>
    <w:rsid w:val="33D3C265"/>
    <w:rsid w:val="33D3C837"/>
    <w:rsid w:val="33E2182A"/>
    <w:rsid w:val="33E73008"/>
    <w:rsid w:val="33EB7DE0"/>
    <w:rsid w:val="33EBDE4B"/>
    <w:rsid w:val="33EF71D9"/>
    <w:rsid w:val="33F39569"/>
    <w:rsid w:val="340083C4"/>
    <w:rsid w:val="3412466E"/>
    <w:rsid w:val="34282914"/>
    <w:rsid w:val="3434B968"/>
    <w:rsid w:val="34363C86"/>
    <w:rsid w:val="34378043"/>
    <w:rsid w:val="344025EB"/>
    <w:rsid w:val="344BC373"/>
    <w:rsid w:val="34581E7B"/>
    <w:rsid w:val="34588C88"/>
    <w:rsid w:val="3461BB9D"/>
    <w:rsid w:val="3462D151"/>
    <w:rsid w:val="346C5EAC"/>
    <w:rsid w:val="3476BDB0"/>
    <w:rsid w:val="347CEAEA"/>
    <w:rsid w:val="347D09C4"/>
    <w:rsid w:val="347EFA58"/>
    <w:rsid w:val="348B8472"/>
    <w:rsid w:val="348E5D0E"/>
    <w:rsid w:val="349316D3"/>
    <w:rsid w:val="349545ED"/>
    <w:rsid w:val="3497DCEF"/>
    <w:rsid w:val="34A05E53"/>
    <w:rsid w:val="34A22E44"/>
    <w:rsid w:val="34B67D46"/>
    <w:rsid w:val="34C484D6"/>
    <w:rsid w:val="34C6060B"/>
    <w:rsid w:val="34CBFB0A"/>
    <w:rsid w:val="34CCEB3C"/>
    <w:rsid w:val="34D9C8D3"/>
    <w:rsid w:val="34EF487B"/>
    <w:rsid w:val="34F89B48"/>
    <w:rsid w:val="34F8F525"/>
    <w:rsid w:val="3506D848"/>
    <w:rsid w:val="3507C76B"/>
    <w:rsid w:val="350D6F14"/>
    <w:rsid w:val="351EE973"/>
    <w:rsid w:val="35251732"/>
    <w:rsid w:val="35262698"/>
    <w:rsid w:val="3529E581"/>
    <w:rsid w:val="35399868"/>
    <w:rsid w:val="353BB9B6"/>
    <w:rsid w:val="353BED66"/>
    <w:rsid w:val="354A4767"/>
    <w:rsid w:val="354A67DA"/>
    <w:rsid w:val="355F7F4A"/>
    <w:rsid w:val="35625AE2"/>
    <w:rsid w:val="3567F373"/>
    <w:rsid w:val="3587B449"/>
    <w:rsid w:val="358FA8C6"/>
    <w:rsid w:val="359555B4"/>
    <w:rsid w:val="35A69885"/>
    <w:rsid w:val="35B194FE"/>
    <w:rsid w:val="35B21F37"/>
    <w:rsid w:val="35B9C769"/>
    <w:rsid w:val="35C3164F"/>
    <w:rsid w:val="35D8F33A"/>
    <w:rsid w:val="35E33940"/>
    <w:rsid w:val="35F13C2A"/>
    <w:rsid w:val="36003773"/>
    <w:rsid w:val="3612220A"/>
    <w:rsid w:val="36123376"/>
    <w:rsid w:val="3614AA0D"/>
    <w:rsid w:val="3616B960"/>
    <w:rsid w:val="36190AC0"/>
    <w:rsid w:val="361F4B50"/>
    <w:rsid w:val="361F96B8"/>
    <w:rsid w:val="3625500A"/>
    <w:rsid w:val="362B1E9A"/>
    <w:rsid w:val="3631164E"/>
    <w:rsid w:val="363E479A"/>
    <w:rsid w:val="364DCED7"/>
    <w:rsid w:val="3656C1CE"/>
    <w:rsid w:val="3657248E"/>
    <w:rsid w:val="3661134E"/>
    <w:rsid w:val="3667162B"/>
    <w:rsid w:val="36731143"/>
    <w:rsid w:val="3674E259"/>
    <w:rsid w:val="36946B8D"/>
    <w:rsid w:val="36991A0E"/>
    <w:rsid w:val="369C8321"/>
    <w:rsid w:val="369F977A"/>
    <w:rsid w:val="36A0364B"/>
    <w:rsid w:val="36A275A8"/>
    <w:rsid w:val="36A2A9CB"/>
    <w:rsid w:val="36AA02B8"/>
    <w:rsid w:val="36B0604A"/>
    <w:rsid w:val="36B34372"/>
    <w:rsid w:val="36B5A80F"/>
    <w:rsid w:val="36BA966F"/>
    <w:rsid w:val="36C393F4"/>
    <w:rsid w:val="36D02546"/>
    <w:rsid w:val="36D64AC9"/>
    <w:rsid w:val="36D6A412"/>
    <w:rsid w:val="36D89405"/>
    <w:rsid w:val="36D9F592"/>
    <w:rsid w:val="36DC7CA9"/>
    <w:rsid w:val="36DFF604"/>
    <w:rsid w:val="37099B47"/>
    <w:rsid w:val="370E0DB0"/>
    <w:rsid w:val="3713532C"/>
    <w:rsid w:val="37168508"/>
    <w:rsid w:val="371A2E47"/>
    <w:rsid w:val="372B93D1"/>
    <w:rsid w:val="37361418"/>
    <w:rsid w:val="373D405B"/>
    <w:rsid w:val="3769A2F9"/>
    <w:rsid w:val="376BB10B"/>
    <w:rsid w:val="376F682C"/>
    <w:rsid w:val="377342C7"/>
    <w:rsid w:val="377EE290"/>
    <w:rsid w:val="37861455"/>
    <w:rsid w:val="37942C41"/>
    <w:rsid w:val="379A2D6F"/>
    <w:rsid w:val="37A35DA7"/>
    <w:rsid w:val="37AE3EE2"/>
    <w:rsid w:val="37AE6589"/>
    <w:rsid w:val="37B6BC00"/>
    <w:rsid w:val="37D475AD"/>
    <w:rsid w:val="37D4D435"/>
    <w:rsid w:val="37D578A6"/>
    <w:rsid w:val="37DD4F49"/>
    <w:rsid w:val="37DD81E9"/>
    <w:rsid w:val="37DEF667"/>
    <w:rsid w:val="37E7966E"/>
    <w:rsid w:val="37F915B8"/>
    <w:rsid w:val="38069E61"/>
    <w:rsid w:val="380F7CB3"/>
    <w:rsid w:val="3818C6C9"/>
    <w:rsid w:val="38203D7B"/>
    <w:rsid w:val="382D437F"/>
    <w:rsid w:val="382DE21D"/>
    <w:rsid w:val="38304082"/>
    <w:rsid w:val="383098B2"/>
    <w:rsid w:val="38375AC9"/>
    <w:rsid w:val="384419C6"/>
    <w:rsid w:val="384CC8FE"/>
    <w:rsid w:val="38567C60"/>
    <w:rsid w:val="38579140"/>
    <w:rsid w:val="3862761F"/>
    <w:rsid w:val="3866871A"/>
    <w:rsid w:val="3871851B"/>
    <w:rsid w:val="38772F9D"/>
    <w:rsid w:val="3883D99C"/>
    <w:rsid w:val="3885E048"/>
    <w:rsid w:val="38871B28"/>
    <w:rsid w:val="388C84F3"/>
    <w:rsid w:val="38A49054"/>
    <w:rsid w:val="38AC5CCE"/>
    <w:rsid w:val="38BDE37C"/>
    <w:rsid w:val="38C1C645"/>
    <w:rsid w:val="38D46C2A"/>
    <w:rsid w:val="38D5A74A"/>
    <w:rsid w:val="38D755B2"/>
    <w:rsid w:val="38EA72F4"/>
    <w:rsid w:val="38EB24D7"/>
    <w:rsid w:val="39145D79"/>
    <w:rsid w:val="391C1FFF"/>
    <w:rsid w:val="391CFBBB"/>
    <w:rsid w:val="391D8329"/>
    <w:rsid w:val="391E5050"/>
    <w:rsid w:val="391FA894"/>
    <w:rsid w:val="3921F710"/>
    <w:rsid w:val="3924DF63"/>
    <w:rsid w:val="39279CB9"/>
    <w:rsid w:val="392D7D15"/>
    <w:rsid w:val="392E5114"/>
    <w:rsid w:val="393B5748"/>
    <w:rsid w:val="393D385E"/>
    <w:rsid w:val="393D972B"/>
    <w:rsid w:val="393E7AE7"/>
    <w:rsid w:val="3948A69D"/>
    <w:rsid w:val="3949C2CC"/>
    <w:rsid w:val="394B5DC3"/>
    <w:rsid w:val="394DBABE"/>
    <w:rsid w:val="395BD7F3"/>
    <w:rsid w:val="396487C3"/>
    <w:rsid w:val="3971A29B"/>
    <w:rsid w:val="39775F26"/>
    <w:rsid w:val="397F4BB1"/>
    <w:rsid w:val="3981FEA3"/>
    <w:rsid w:val="39872333"/>
    <w:rsid w:val="398A69D6"/>
    <w:rsid w:val="39931155"/>
    <w:rsid w:val="399E8F0D"/>
    <w:rsid w:val="399FEBBC"/>
    <w:rsid w:val="39A09714"/>
    <w:rsid w:val="39B8446F"/>
    <w:rsid w:val="39B96DE2"/>
    <w:rsid w:val="39BC2344"/>
    <w:rsid w:val="39BC3C00"/>
    <w:rsid w:val="39BD0829"/>
    <w:rsid w:val="39BD233D"/>
    <w:rsid w:val="39BE4377"/>
    <w:rsid w:val="39C270AE"/>
    <w:rsid w:val="39C32185"/>
    <w:rsid w:val="39D1DFAA"/>
    <w:rsid w:val="39D2C207"/>
    <w:rsid w:val="39D97EF2"/>
    <w:rsid w:val="39DA03A9"/>
    <w:rsid w:val="39E624E4"/>
    <w:rsid w:val="39E7E470"/>
    <w:rsid w:val="39F0ED4F"/>
    <w:rsid w:val="39FFCE38"/>
    <w:rsid w:val="3A00D68F"/>
    <w:rsid w:val="3A0D098B"/>
    <w:rsid w:val="3A0D889B"/>
    <w:rsid w:val="3A146E54"/>
    <w:rsid w:val="3A147677"/>
    <w:rsid w:val="3A17C64C"/>
    <w:rsid w:val="3A1DA62C"/>
    <w:rsid w:val="3A25E350"/>
    <w:rsid w:val="3A3A92BC"/>
    <w:rsid w:val="3A3F7DFD"/>
    <w:rsid w:val="3A4C692F"/>
    <w:rsid w:val="3A587EED"/>
    <w:rsid w:val="3A5AAB5B"/>
    <w:rsid w:val="3A5B4808"/>
    <w:rsid w:val="3A65BFE8"/>
    <w:rsid w:val="3A6ABC77"/>
    <w:rsid w:val="3A707530"/>
    <w:rsid w:val="3A727F0C"/>
    <w:rsid w:val="3A73B7E8"/>
    <w:rsid w:val="3A77B452"/>
    <w:rsid w:val="3A80E9DD"/>
    <w:rsid w:val="3A862FC1"/>
    <w:rsid w:val="3AA162F0"/>
    <w:rsid w:val="3AACE2E9"/>
    <w:rsid w:val="3AB38608"/>
    <w:rsid w:val="3AC0DCEE"/>
    <w:rsid w:val="3AC94D76"/>
    <w:rsid w:val="3ACB906F"/>
    <w:rsid w:val="3AD5170C"/>
    <w:rsid w:val="3AD85B73"/>
    <w:rsid w:val="3AE57A8A"/>
    <w:rsid w:val="3AE5A499"/>
    <w:rsid w:val="3AE7087D"/>
    <w:rsid w:val="3AEA9E69"/>
    <w:rsid w:val="3AF759E1"/>
    <w:rsid w:val="3B007DE6"/>
    <w:rsid w:val="3B19BB4C"/>
    <w:rsid w:val="3B30F51E"/>
    <w:rsid w:val="3B35AE6D"/>
    <w:rsid w:val="3B48537C"/>
    <w:rsid w:val="3B4D7CFA"/>
    <w:rsid w:val="3B4F276F"/>
    <w:rsid w:val="3B51EAAF"/>
    <w:rsid w:val="3B52343A"/>
    <w:rsid w:val="3B5AD917"/>
    <w:rsid w:val="3B66A046"/>
    <w:rsid w:val="3B6C0C9D"/>
    <w:rsid w:val="3B6C70D3"/>
    <w:rsid w:val="3B891839"/>
    <w:rsid w:val="3B8AFB4C"/>
    <w:rsid w:val="3B963735"/>
    <w:rsid w:val="3B9819E2"/>
    <w:rsid w:val="3BA41E74"/>
    <w:rsid w:val="3BA5938D"/>
    <w:rsid w:val="3BAC7154"/>
    <w:rsid w:val="3BAE10EC"/>
    <w:rsid w:val="3BBD6DB3"/>
    <w:rsid w:val="3BBEBBEA"/>
    <w:rsid w:val="3BC8CE82"/>
    <w:rsid w:val="3BD36F05"/>
    <w:rsid w:val="3BD46CD9"/>
    <w:rsid w:val="3BD9966D"/>
    <w:rsid w:val="3BE3C2F2"/>
    <w:rsid w:val="3BE88B80"/>
    <w:rsid w:val="3BEFF4CD"/>
    <w:rsid w:val="3BFF5ED3"/>
    <w:rsid w:val="3C09C5B5"/>
    <w:rsid w:val="3C0C1474"/>
    <w:rsid w:val="3C11D3FE"/>
    <w:rsid w:val="3C1B008C"/>
    <w:rsid w:val="3C1F1BEB"/>
    <w:rsid w:val="3C22EE12"/>
    <w:rsid w:val="3C244094"/>
    <w:rsid w:val="3C24B8C4"/>
    <w:rsid w:val="3C2ED9DD"/>
    <w:rsid w:val="3C314E4E"/>
    <w:rsid w:val="3C35BE53"/>
    <w:rsid w:val="3C3D3351"/>
    <w:rsid w:val="3C56981C"/>
    <w:rsid w:val="3C678EC9"/>
    <w:rsid w:val="3C6AB55E"/>
    <w:rsid w:val="3C8CB7DA"/>
    <w:rsid w:val="3C944493"/>
    <w:rsid w:val="3C975523"/>
    <w:rsid w:val="3CA057D2"/>
    <w:rsid w:val="3CA8081C"/>
    <w:rsid w:val="3CA9A4D1"/>
    <w:rsid w:val="3CA9F1B6"/>
    <w:rsid w:val="3CB81403"/>
    <w:rsid w:val="3CBC99DC"/>
    <w:rsid w:val="3CC153D5"/>
    <w:rsid w:val="3CC47B6D"/>
    <w:rsid w:val="3CCEB8F0"/>
    <w:rsid w:val="3CCFDA9F"/>
    <w:rsid w:val="3CD10A18"/>
    <w:rsid w:val="3CDDCE6A"/>
    <w:rsid w:val="3CE423DD"/>
    <w:rsid w:val="3CE540BF"/>
    <w:rsid w:val="3CF05A09"/>
    <w:rsid w:val="3CFE1AFD"/>
    <w:rsid w:val="3D03FC27"/>
    <w:rsid w:val="3D0901AA"/>
    <w:rsid w:val="3D105191"/>
    <w:rsid w:val="3D1392C4"/>
    <w:rsid w:val="3D248BDB"/>
    <w:rsid w:val="3D44AA4D"/>
    <w:rsid w:val="3D4577A4"/>
    <w:rsid w:val="3D5714DD"/>
    <w:rsid w:val="3D624795"/>
    <w:rsid w:val="3D625C0D"/>
    <w:rsid w:val="3D63FD16"/>
    <w:rsid w:val="3D7218B7"/>
    <w:rsid w:val="3D7E1225"/>
    <w:rsid w:val="3D823E21"/>
    <w:rsid w:val="3D825821"/>
    <w:rsid w:val="3D8DBDE1"/>
    <w:rsid w:val="3D8FDDF9"/>
    <w:rsid w:val="3D91433B"/>
    <w:rsid w:val="3D96D728"/>
    <w:rsid w:val="3D9ADCDC"/>
    <w:rsid w:val="3DA59616"/>
    <w:rsid w:val="3DB80618"/>
    <w:rsid w:val="3DBCED5D"/>
    <w:rsid w:val="3DBE738E"/>
    <w:rsid w:val="3DC72967"/>
    <w:rsid w:val="3DCF0B5A"/>
    <w:rsid w:val="3DD4FB60"/>
    <w:rsid w:val="3DDD9D15"/>
    <w:rsid w:val="3DDED025"/>
    <w:rsid w:val="3DEE4B25"/>
    <w:rsid w:val="3DF0B7D3"/>
    <w:rsid w:val="3DFC807E"/>
    <w:rsid w:val="3E0320A9"/>
    <w:rsid w:val="3E10E777"/>
    <w:rsid w:val="3E2D395B"/>
    <w:rsid w:val="3E327470"/>
    <w:rsid w:val="3E332584"/>
    <w:rsid w:val="3E4791EA"/>
    <w:rsid w:val="3E5897AF"/>
    <w:rsid w:val="3E58DA61"/>
    <w:rsid w:val="3E5FF3A2"/>
    <w:rsid w:val="3E6144EA"/>
    <w:rsid w:val="3E63DAC2"/>
    <w:rsid w:val="3E67FE52"/>
    <w:rsid w:val="3E7E56F6"/>
    <w:rsid w:val="3E8915AE"/>
    <w:rsid w:val="3E9011C8"/>
    <w:rsid w:val="3E9C7DDC"/>
    <w:rsid w:val="3EA1BAEA"/>
    <w:rsid w:val="3EA81BFA"/>
    <w:rsid w:val="3EAB5811"/>
    <w:rsid w:val="3EB3B943"/>
    <w:rsid w:val="3EBD078F"/>
    <w:rsid w:val="3EBE182B"/>
    <w:rsid w:val="3EC27AFC"/>
    <w:rsid w:val="3ED4236C"/>
    <w:rsid w:val="3EDBC9A4"/>
    <w:rsid w:val="3EDDE5B3"/>
    <w:rsid w:val="3EE23A58"/>
    <w:rsid w:val="3EE4CE3A"/>
    <w:rsid w:val="3EE5F8FE"/>
    <w:rsid w:val="3EEE6F26"/>
    <w:rsid w:val="3F08C2BB"/>
    <w:rsid w:val="3F1403F5"/>
    <w:rsid w:val="3F202C42"/>
    <w:rsid w:val="3F32C0E1"/>
    <w:rsid w:val="3F37756B"/>
    <w:rsid w:val="3F43E653"/>
    <w:rsid w:val="3F447591"/>
    <w:rsid w:val="3F5381C2"/>
    <w:rsid w:val="3F58BDBE"/>
    <w:rsid w:val="3F5B94DB"/>
    <w:rsid w:val="3F5F2A0F"/>
    <w:rsid w:val="3F5FC042"/>
    <w:rsid w:val="3F71E61B"/>
    <w:rsid w:val="3F96D8D7"/>
    <w:rsid w:val="3F977DCB"/>
    <w:rsid w:val="3F9B1BF7"/>
    <w:rsid w:val="3FA2F17B"/>
    <w:rsid w:val="3FAEEC30"/>
    <w:rsid w:val="3FBC44FD"/>
    <w:rsid w:val="3FC035AB"/>
    <w:rsid w:val="3FC8A379"/>
    <w:rsid w:val="3FD81120"/>
    <w:rsid w:val="3FDBD2F7"/>
    <w:rsid w:val="3FDD2BCD"/>
    <w:rsid w:val="3FE23219"/>
    <w:rsid w:val="3FE46803"/>
    <w:rsid w:val="3FF278C8"/>
    <w:rsid w:val="3FF44E50"/>
    <w:rsid w:val="400033E0"/>
    <w:rsid w:val="4008ACE7"/>
    <w:rsid w:val="401591F9"/>
    <w:rsid w:val="401A7CA0"/>
    <w:rsid w:val="4021D68D"/>
    <w:rsid w:val="4025014A"/>
    <w:rsid w:val="402AC381"/>
    <w:rsid w:val="402E9E44"/>
    <w:rsid w:val="402EFADB"/>
    <w:rsid w:val="403274D6"/>
    <w:rsid w:val="4036464C"/>
    <w:rsid w:val="403892F1"/>
    <w:rsid w:val="403B45DA"/>
    <w:rsid w:val="403F74E3"/>
    <w:rsid w:val="4053CF5F"/>
    <w:rsid w:val="405D8B41"/>
    <w:rsid w:val="405E1364"/>
    <w:rsid w:val="4067F436"/>
    <w:rsid w:val="4068B512"/>
    <w:rsid w:val="4069E9B5"/>
    <w:rsid w:val="4070A481"/>
    <w:rsid w:val="407C4B0F"/>
    <w:rsid w:val="40897E47"/>
    <w:rsid w:val="408FBED2"/>
    <w:rsid w:val="40980C17"/>
    <w:rsid w:val="409A02FD"/>
    <w:rsid w:val="409ABAF9"/>
    <w:rsid w:val="409B38D8"/>
    <w:rsid w:val="40AFD456"/>
    <w:rsid w:val="40B8E913"/>
    <w:rsid w:val="40BBB2F4"/>
    <w:rsid w:val="40BE4687"/>
    <w:rsid w:val="40C1FA0C"/>
    <w:rsid w:val="40C70DBB"/>
    <w:rsid w:val="40CD11E2"/>
    <w:rsid w:val="40CE3A2B"/>
    <w:rsid w:val="40DC3A43"/>
    <w:rsid w:val="40E7522A"/>
    <w:rsid w:val="40F07CC4"/>
    <w:rsid w:val="40F5C707"/>
    <w:rsid w:val="40F85F4E"/>
    <w:rsid w:val="41032106"/>
    <w:rsid w:val="4123DE07"/>
    <w:rsid w:val="4138B76E"/>
    <w:rsid w:val="414023C8"/>
    <w:rsid w:val="41459676"/>
    <w:rsid w:val="414B7552"/>
    <w:rsid w:val="415669DD"/>
    <w:rsid w:val="4158155E"/>
    <w:rsid w:val="415B4952"/>
    <w:rsid w:val="415FCF4A"/>
    <w:rsid w:val="41628E1E"/>
    <w:rsid w:val="4164DA1D"/>
    <w:rsid w:val="4180B732"/>
    <w:rsid w:val="41856604"/>
    <w:rsid w:val="4188DC50"/>
    <w:rsid w:val="418A706D"/>
    <w:rsid w:val="4194938C"/>
    <w:rsid w:val="4194D008"/>
    <w:rsid w:val="4199F2F2"/>
    <w:rsid w:val="41A784CA"/>
    <w:rsid w:val="41A8BF41"/>
    <w:rsid w:val="41AD1834"/>
    <w:rsid w:val="41AFF0B1"/>
    <w:rsid w:val="41BDBB23"/>
    <w:rsid w:val="41C65679"/>
    <w:rsid w:val="41D0EC79"/>
    <w:rsid w:val="41D5E6F0"/>
    <w:rsid w:val="41D6B52B"/>
    <w:rsid w:val="41E9D2DE"/>
    <w:rsid w:val="41EA7A2E"/>
    <w:rsid w:val="41F0B6DA"/>
    <w:rsid w:val="41F21ED0"/>
    <w:rsid w:val="41F29B75"/>
    <w:rsid w:val="420A39F6"/>
    <w:rsid w:val="42159C75"/>
    <w:rsid w:val="421E45DC"/>
    <w:rsid w:val="42232772"/>
    <w:rsid w:val="422855E0"/>
    <w:rsid w:val="422DAFBE"/>
    <w:rsid w:val="4235D35E"/>
    <w:rsid w:val="4238F92E"/>
    <w:rsid w:val="423F5356"/>
    <w:rsid w:val="42408FAC"/>
    <w:rsid w:val="42423D01"/>
    <w:rsid w:val="4246FB61"/>
    <w:rsid w:val="424E0BDD"/>
    <w:rsid w:val="4254B974"/>
    <w:rsid w:val="4254C075"/>
    <w:rsid w:val="425E1600"/>
    <w:rsid w:val="425F6886"/>
    <w:rsid w:val="42789253"/>
    <w:rsid w:val="427A8A00"/>
    <w:rsid w:val="427E6DF6"/>
    <w:rsid w:val="42882010"/>
    <w:rsid w:val="4288EB32"/>
    <w:rsid w:val="428AFDAE"/>
    <w:rsid w:val="428E00B6"/>
    <w:rsid w:val="428FA9C8"/>
    <w:rsid w:val="428FE98B"/>
    <w:rsid w:val="42A7AEC0"/>
    <w:rsid w:val="42AA53C2"/>
    <w:rsid w:val="42AB42C4"/>
    <w:rsid w:val="42AF82E7"/>
    <w:rsid w:val="42B08171"/>
    <w:rsid w:val="42B3952E"/>
    <w:rsid w:val="42BA0154"/>
    <w:rsid w:val="42BF2E57"/>
    <w:rsid w:val="42CDAE0E"/>
    <w:rsid w:val="42CDE221"/>
    <w:rsid w:val="42CEEA83"/>
    <w:rsid w:val="42D32266"/>
    <w:rsid w:val="42D4246B"/>
    <w:rsid w:val="42DADF3D"/>
    <w:rsid w:val="42DC09D7"/>
    <w:rsid w:val="42EDAD4E"/>
    <w:rsid w:val="42EEF0A2"/>
    <w:rsid w:val="42F49D04"/>
    <w:rsid w:val="42F8A404"/>
    <w:rsid w:val="4316F0CA"/>
    <w:rsid w:val="43270B5E"/>
    <w:rsid w:val="432FCB5B"/>
    <w:rsid w:val="433BC74D"/>
    <w:rsid w:val="433D30F4"/>
    <w:rsid w:val="434DD734"/>
    <w:rsid w:val="434E266B"/>
    <w:rsid w:val="435D0FAD"/>
    <w:rsid w:val="43653849"/>
    <w:rsid w:val="438B1C07"/>
    <w:rsid w:val="438D82C1"/>
    <w:rsid w:val="43931AA9"/>
    <w:rsid w:val="43A0902C"/>
    <w:rsid w:val="43A44ED2"/>
    <w:rsid w:val="43A5CAD0"/>
    <w:rsid w:val="43AE2397"/>
    <w:rsid w:val="43B39654"/>
    <w:rsid w:val="43B717D3"/>
    <w:rsid w:val="43B7227C"/>
    <w:rsid w:val="43BF0CB5"/>
    <w:rsid w:val="43C2DC80"/>
    <w:rsid w:val="43C39B1E"/>
    <w:rsid w:val="43C988A9"/>
    <w:rsid w:val="43CF379A"/>
    <w:rsid w:val="43D8CA5B"/>
    <w:rsid w:val="43DC88F6"/>
    <w:rsid w:val="43DE3B3F"/>
    <w:rsid w:val="43DE6B27"/>
    <w:rsid w:val="43E5A799"/>
    <w:rsid w:val="43EBB851"/>
    <w:rsid w:val="43ECF368"/>
    <w:rsid w:val="43F3DDA3"/>
    <w:rsid w:val="43FCBB28"/>
    <w:rsid w:val="44062582"/>
    <w:rsid w:val="4408714A"/>
    <w:rsid w:val="440A00DA"/>
    <w:rsid w:val="4410D3A3"/>
    <w:rsid w:val="4416A199"/>
    <w:rsid w:val="441940BB"/>
    <w:rsid w:val="4419D9B0"/>
    <w:rsid w:val="442DFFF7"/>
    <w:rsid w:val="44630168"/>
    <w:rsid w:val="44674D37"/>
    <w:rsid w:val="446941AB"/>
    <w:rsid w:val="4477C62B"/>
    <w:rsid w:val="447E692A"/>
    <w:rsid w:val="44820D8B"/>
    <w:rsid w:val="4497FBDD"/>
    <w:rsid w:val="449E5355"/>
    <w:rsid w:val="44A46865"/>
    <w:rsid w:val="44A7602C"/>
    <w:rsid w:val="44A961E2"/>
    <w:rsid w:val="44AC747A"/>
    <w:rsid w:val="44B3573D"/>
    <w:rsid w:val="44BC8A49"/>
    <w:rsid w:val="44E4BDCB"/>
    <w:rsid w:val="44F4C46D"/>
    <w:rsid w:val="4504ACAF"/>
    <w:rsid w:val="4506E86E"/>
    <w:rsid w:val="4512A7D0"/>
    <w:rsid w:val="45136361"/>
    <w:rsid w:val="451C0668"/>
    <w:rsid w:val="452A7E1E"/>
    <w:rsid w:val="452C71FC"/>
    <w:rsid w:val="4541A632"/>
    <w:rsid w:val="454C92EC"/>
    <w:rsid w:val="4554F424"/>
    <w:rsid w:val="45626DA3"/>
    <w:rsid w:val="4569A6AE"/>
    <w:rsid w:val="456D4000"/>
    <w:rsid w:val="456EE5CF"/>
    <w:rsid w:val="45702B23"/>
    <w:rsid w:val="45717B37"/>
    <w:rsid w:val="45764569"/>
    <w:rsid w:val="45773EE7"/>
    <w:rsid w:val="4577593C"/>
    <w:rsid w:val="4578B985"/>
    <w:rsid w:val="457F01B3"/>
    <w:rsid w:val="458AF8E7"/>
    <w:rsid w:val="458FA148"/>
    <w:rsid w:val="4591AC50"/>
    <w:rsid w:val="45B43320"/>
    <w:rsid w:val="45B5B9EB"/>
    <w:rsid w:val="45B92FDC"/>
    <w:rsid w:val="45BBC0C5"/>
    <w:rsid w:val="45BCA3DC"/>
    <w:rsid w:val="45CBFE8B"/>
    <w:rsid w:val="45E1877B"/>
    <w:rsid w:val="45E7DD40"/>
    <w:rsid w:val="45F484DB"/>
    <w:rsid w:val="4603BC2D"/>
    <w:rsid w:val="460AC328"/>
    <w:rsid w:val="4618EC5F"/>
    <w:rsid w:val="461EA5A2"/>
    <w:rsid w:val="4625C2BE"/>
    <w:rsid w:val="462D87D4"/>
    <w:rsid w:val="465209F2"/>
    <w:rsid w:val="4662A8C2"/>
    <w:rsid w:val="4663A286"/>
    <w:rsid w:val="46640E89"/>
    <w:rsid w:val="4664A23C"/>
    <w:rsid w:val="46711324"/>
    <w:rsid w:val="467DEBB5"/>
    <w:rsid w:val="467F4B45"/>
    <w:rsid w:val="46808E2C"/>
    <w:rsid w:val="4688BE43"/>
    <w:rsid w:val="468B9192"/>
    <w:rsid w:val="468FAC7C"/>
    <w:rsid w:val="46912C46"/>
    <w:rsid w:val="4693BBB0"/>
    <w:rsid w:val="46A4EFB9"/>
    <w:rsid w:val="46AD71A0"/>
    <w:rsid w:val="46AFABF3"/>
    <w:rsid w:val="46B88CF0"/>
    <w:rsid w:val="46BD1C8F"/>
    <w:rsid w:val="46CE3595"/>
    <w:rsid w:val="46F57105"/>
    <w:rsid w:val="46F844FB"/>
    <w:rsid w:val="46FB3BE0"/>
    <w:rsid w:val="46FEF65C"/>
    <w:rsid w:val="470156FB"/>
    <w:rsid w:val="470372B6"/>
    <w:rsid w:val="47062117"/>
    <w:rsid w:val="470AB630"/>
    <w:rsid w:val="4719D0FD"/>
    <w:rsid w:val="4725B430"/>
    <w:rsid w:val="47271499"/>
    <w:rsid w:val="472F05FA"/>
    <w:rsid w:val="4739048A"/>
    <w:rsid w:val="4741131B"/>
    <w:rsid w:val="474D0CC3"/>
    <w:rsid w:val="474EF838"/>
    <w:rsid w:val="47607A1C"/>
    <w:rsid w:val="4765A0B9"/>
    <w:rsid w:val="47699B1D"/>
    <w:rsid w:val="476F0485"/>
    <w:rsid w:val="4772B7BD"/>
    <w:rsid w:val="477BED80"/>
    <w:rsid w:val="4786051A"/>
    <w:rsid w:val="478621D7"/>
    <w:rsid w:val="478D3255"/>
    <w:rsid w:val="47949679"/>
    <w:rsid w:val="4795F017"/>
    <w:rsid w:val="479AA22A"/>
    <w:rsid w:val="479DDE4A"/>
    <w:rsid w:val="47A3E625"/>
    <w:rsid w:val="47AADFEC"/>
    <w:rsid w:val="47ACF909"/>
    <w:rsid w:val="47AEB7E2"/>
    <w:rsid w:val="47B2ECCA"/>
    <w:rsid w:val="47B3E449"/>
    <w:rsid w:val="47B4247F"/>
    <w:rsid w:val="47B53FA3"/>
    <w:rsid w:val="47B685E7"/>
    <w:rsid w:val="47BAD9E1"/>
    <w:rsid w:val="47BC4BA6"/>
    <w:rsid w:val="47BEEE1D"/>
    <w:rsid w:val="47C08226"/>
    <w:rsid w:val="47C2F4B7"/>
    <w:rsid w:val="47CDB9DF"/>
    <w:rsid w:val="47CF2A46"/>
    <w:rsid w:val="47D428AE"/>
    <w:rsid w:val="47F1DEEA"/>
    <w:rsid w:val="47F909F4"/>
    <w:rsid w:val="480F6722"/>
    <w:rsid w:val="4810D585"/>
    <w:rsid w:val="481DD8B1"/>
    <w:rsid w:val="481E2BAD"/>
    <w:rsid w:val="482A0A18"/>
    <w:rsid w:val="483E9676"/>
    <w:rsid w:val="4855BC0C"/>
    <w:rsid w:val="4867320D"/>
    <w:rsid w:val="4872DFDB"/>
    <w:rsid w:val="4876E4AD"/>
    <w:rsid w:val="487D2A46"/>
    <w:rsid w:val="487D8987"/>
    <w:rsid w:val="48843DEE"/>
    <w:rsid w:val="48885871"/>
    <w:rsid w:val="4888D293"/>
    <w:rsid w:val="488C94E6"/>
    <w:rsid w:val="4893056D"/>
    <w:rsid w:val="48935E5C"/>
    <w:rsid w:val="489869CF"/>
    <w:rsid w:val="489C75EB"/>
    <w:rsid w:val="48A311D7"/>
    <w:rsid w:val="48A90334"/>
    <w:rsid w:val="48B3A432"/>
    <w:rsid w:val="48BE4414"/>
    <w:rsid w:val="48C95367"/>
    <w:rsid w:val="48CB7990"/>
    <w:rsid w:val="48D95F75"/>
    <w:rsid w:val="48E38C4E"/>
    <w:rsid w:val="48E6B6DA"/>
    <w:rsid w:val="48EAC899"/>
    <w:rsid w:val="48F3DBDA"/>
    <w:rsid w:val="48F87C9A"/>
    <w:rsid w:val="48FB8EA9"/>
    <w:rsid w:val="48FFA004"/>
    <w:rsid w:val="49097809"/>
    <w:rsid w:val="491599B4"/>
    <w:rsid w:val="491F84AA"/>
    <w:rsid w:val="49204D5B"/>
    <w:rsid w:val="492503AA"/>
    <w:rsid w:val="49277128"/>
    <w:rsid w:val="492A33EA"/>
    <w:rsid w:val="49315A7C"/>
    <w:rsid w:val="4935B843"/>
    <w:rsid w:val="4937C07F"/>
    <w:rsid w:val="4952B983"/>
    <w:rsid w:val="496EC8A5"/>
    <w:rsid w:val="497BED3E"/>
    <w:rsid w:val="49827022"/>
    <w:rsid w:val="4984810D"/>
    <w:rsid w:val="49873142"/>
    <w:rsid w:val="499EB76A"/>
    <w:rsid w:val="49B01F0D"/>
    <w:rsid w:val="49B21F36"/>
    <w:rsid w:val="49C69549"/>
    <w:rsid w:val="49CDDA42"/>
    <w:rsid w:val="49D13BDE"/>
    <w:rsid w:val="49DF5F5E"/>
    <w:rsid w:val="49E1EC8C"/>
    <w:rsid w:val="49EF39F5"/>
    <w:rsid w:val="49F6C27C"/>
    <w:rsid w:val="49FEB81F"/>
    <w:rsid w:val="4A0150FD"/>
    <w:rsid w:val="4A15D1D5"/>
    <w:rsid w:val="4A1BEC82"/>
    <w:rsid w:val="4A21A1CB"/>
    <w:rsid w:val="4A288FF7"/>
    <w:rsid w:val="4A2908EC"/>
    <w:rsid w:val="4A3121CD"/>
    <w:rsid w:val="4A49A4B0"/>
    <w:rsid w:val="4A4E4505"/>
    <w:rsid w:val="4A4F1430"/>
    <w:rsid w:val="4A50400D"/>
    <w:rsid w:val="4A544BB4"/>
    <w:rsid w:val="4A55A7BD"/>
    <w:rsid w:val="4A599F7A"/>
    <w:rsid w:val="4A5B5939"/>
    <w:rsid w:val="4A5FD25A"/>
    <w:rsid w:val="4A658969"/>
    <w:rsid w:val="4A681A6B"/>
    <w:rsid w:val="4A72B364"/>
    <w:rsid w:val="4A7A3BF4"/>
    <w:rsid w:val="4A9B332A"/>
    <w:rsid w:val="4A9C016F"/>
    <w:rsid w:val="4A9D0822"/>
    <w:rsid w:val="4AA160AE"/>
    <w:rsid w:val="4AA32BB7"/>
    <w:rsid w:val="4AA3435D"/>
    <w:rsid w:val="4AA57731"/>
    <w:rsid w:val="4AB03252"/>
    <w:rsid w:val="4AB6CE7F"/>
    <w:rsid w:val="4ABB4E93"/>
    <w:rsid w:val="4AC0B8B8"/>
    <w:rsid w:val="4ACD2D3E"/>
    <w:rsid w:val="4AE5E321"/>
    <w:rsid w:val="4AE76FDE"/>
    <w:rsid w:val="4AEA8162"/>
    <w:rsid w:val="4AEBCBD2"/>
    <w:rsid w:val="4AED8933"/>
    <w:rsid w:val="4AF9B180"/>
    <w:rsid w:val="4B01C480"/>
    <w:rsid w:val="4B021B0E"/>
    <w:rsid w:val="4B02884E"/>
    <w:rsid w:val="4B02FEBD"/>
    <w:rsid w:val="4B03AFB0"/>
    <w:rsid w:val="4B122D1B"/>
    <w:rsid w:val="4B212C95"/>
    <w:rsid w:val="4B276B17"/>
    <w:rsid w:val="4B27DD82"/>
    <w:rsid w:val="4B35DD2F"/>
    <w:rsid w:val="4B3AD6F2"/>
    <w:rsid w:val="4B3CAC45"/>
    <w:rsid w:val="4B3ECDBC"/>
    <w:rsid w:val="4B444E54"/>
    <w:rsid w:val="4B4AD990"/>
    <w:rsid w:val="4B4E99A8"/>
    <w:rsid w:val="4B6CCF3C"/>
    <w:rsid w:val="4B708396"/>
    <w:rsid w:val="4B71EF7B"/>
    <w:rsid w:val="4B790A03"/>
    <w:rsid w:val="4B7E0D17"/>
    <w:rsid w:val="4B8F0EAC"/>
    <w:rsid w:val="4BA286D6"/>
    <w:rsid w:val="4BAA809D"/>
    <w:rsid w:val="4BAAE150"/>
    <w:rsid w:val="4BAC32B7"/>
    <w:rsid w:val="4BAD8B13"/>
    <w:rsid w:val="4BB2A674"/>
    <w:rsid w:val="4BB9CE35"/>
    <w:rsid w:val="4BC8D281"/>
    <w:rsid w:val="4BD01A7A"/>
    <w:rsid w:val="4BD15917"/>
    <w:rsid w:val="4BD21845"/>
    <w:rsid w:val="4BD24159"/>
    <w:rsid w:val="4BE1A179"/>
    <w:rsid w:val="4BE5030D"/>
    <w:rsid w:val="4BED80BB"/>
    <w:rsid w:val="4BF545D1"/>
    <w:rsid w:val="4BF5ACFF"/>
    <w:rsid w:val="4BFFB95A"/>
    <w:rsid w:val="4C065133"/>
    <w:rsid w:val="4C096A00"/>
    <w:rsid w:val="4C0EC86A"/>
    <w:rsid w:val="4C11356B"/>
    <w:rsid w:val="4C146995"/>
    <w:rsid w:val="4C167D2A"/>
    <w:rsid w:val="4C1F0722"/>
    <w:rsid w:val="4C24EFB3"/>
    <w:rsid w:val="4C3579C4"/>
    <w:rsid w:val="4C3740C6"/>
    <w:rsid w:val="4C38166D"/>
    <w:rsid w:val="4C3823EC"/>
    <w:rsid w:val="4C3B472A"/>
    <w:rsid w:val="4C40B018"/>
    <w:rsid w:val="4C4360AA"/>
    <w:rsid w:val="4C47D6BF"/>
    <w:rsid w:val="4C4C0992"/>
    <w:rsid w:val="4C54FB15"/>
    <w:rsid w:val="4C639759"/>
    <w:rsid w:val="4C653445"/>
    <w:rsid w:val="4C6BC0A1"/>
    <w:rsid w:val="4C7131E8"/>
    <w:rsid w:val="4C718143"/>
    <w:rsid w:val="4C7600D3"/>
    <w:rsid w:val="4C8470F9"/>
    <w:rsid w:val="4C851716"/>
    <w:rsid w:val="4C9E5E02"/>
    <w:rsid w:val="4CACF819"/>
    <w:rsid w:val="4CB8CF9F"/>
    <w:rsid w:val="4CC2E37C"/>
    <w:rsid w:val="4CCEC993"/>
    <w:rsid w:val="4CD16ED5"/>
    <w:rsid w:val="4CEB3B60"/>
    <w:rsid w:val="4CF396FE"/>
    <w:rsid w:val="4CF3BA37"/>
    <w:rsid w:val="4CFA439B"/>
    <w:rsid w:val="4CFA662B"/>
    <w:rsid w:val="4D15BBCA"/>
    <w:rsid w:val="4D15E661"/>
    <w:rsid w:val="4D1A016F"/>
    <w:rsid w:val="4D218B5B"/>
    <w:rsid w:val="4D38A9A4"/>
    <w:rsid w:val="4D42CDEC"/>
    <w:rsid w:val="4D431213"/>
    <w:rsid w:val="4D487FA6"/>
    <w:rsid w:val="4D4F4001"/>
    <w:rsid w:val="4D5CBF2B"/>
    <w:rsid w:val="4D5F55B4"/>
    <w:rsid w:val="4D728754"/>
    <w:rsid w:val="4D7A3170"/>
    <w:rsid w:val="4D83FFD0"/>
    <w:rsid w:val="4D90A94D"/>
    <w:rsid w:val="4D9378FB"/>
    <w:rsid w:val="4D975ED0"/>
    <w:rsid w:val="4DA5A232"/>
    <w:rsid w:val="4DAD5D0E"/>
    <w:rsid w:val="4DB09B79"/>
    <w:rsid w:val="4DB15801"/>
    <w:rsid w:val="4DB39F1A"/>
    <w:rsid w:val="4DB69220"/>
    <w:rsid w:val="4DC4CB3E"/>
    <w:rsid w:val="4DC62742"/>
    <w:rsid w:val="4DCA6A46"/>
    <w:rsid w:val="4DCD0465"/>
    <w:rsid w:val="4DCDD52B"/>
    <w:rsid w:val="4DCE814D"/>
    <w:rsid w:val="4DD3DDBC"/>
    <w:rsid w:val="4DD90170"/>
    <w:rsid w:val="4DE428F4"/>
    <w:rsid w:val="4DEDB697"/>
    <w:rsid w:val="4DF51C2E"/>
    <w:rsid w:val="4E003776"/>
    <w:rsid w:val="4E11D134"/>
    <w:rsid w:val="4E1E7CE1"/>
    <w:rsid w:val="4E1FB069"/>
    <w:rsid w:val="4E2D6CCE"/>
    <w:rsid w:val="4E371BCB"/>
    <w:rsid w:val="4E3B56AB"/>
    <w:rsid w:val="4E3E85EC"/>
    <w:rsid w:val="4E4328A6"/>
    <w:rsid w:val="4E4558F0"/>
    <w:rsid w:val="4E455CD9"/>
    <w:rsid w:val="4E4B8EC0"/>
    <w:rsid w:val="4E4D9E31"/>
    <w:rsid w:val="4E5890A7"/>
    <w:rsid w:val="4E5902B9"/>
    <w:rsid w:val="4E59EAF0"/>
    <w:rsid w:val="4E5F9B8A"/>
    <w:rsid w:val="4E6AC1E5"/>
    <w:rsid w:val="4E6C2AD9"/>
    <w:rsid w:val="4E744B0F"/>
    <w:rsid w:val="4E76C6EA"/>
    <w:rsid w:val="4E771FB8"/>
    <w:rsid w:val="4E77F8FB"/>
    <w:rsid w:val="4E7A653A"/>
    <w:rsid w:val="4E818D1A"/>
    <w:rsid w:val="4E896525"/>
    <w:rsid w:val="4E9168C8"/>
    <w:rsid w:val="4E968B6B"/>
    <w:rsid w:val="4EA24FA7"/>
    <w:rsid w:val="4EADABBD"/>
    <w:rsid w:val="4EC06412"/>
    <w:rsid w:val="4EC6296E"/>
    <w:rsid w:val="4EC77A8A"/>
    <w:rsid w:val="4ECF20E9"/>
    <w:rsid w:val="4EE3D817"/>
    <w:rsid w:val="4EE3EC03"/>
    <w:rsid w:val="4EEDCC54"/>
    <w:rsid w:val="4F0235D1"/>
    <w:rsid w:val="4F036F93"/>
    <w:rsid w:val="4F0EF5CE"/>
    <w:rsid w:val="4F12E2CC"/>
    <w:rsid w:val="4F18ECE8"/>
    <w:rsid w:val="4F1CA4D0"/>
    <w:rsid w:val="4F3978C2"/>
    <w:rsid w:val="4F39E91A"/>
    <w:rsid w:val="4F3C4F1F"/>
    <w:rsid w:val="4F3FB7AD"/>
    <w:rsid w:val="4F4677E6"/>
    <w:rsid w:val="4F46B7C8"/>
    <w:rsid w:val="4F50B8D9"/>
    <w:rsid w:val="4F53403C"/>
    <w:rsid w:val="4F54D1A2"/>
    <w:rsid w:val="4F55B891"/>
    <w:rsid w:val="4F56D920"/>
    <w:rsid w:val="4F5BD69D"/>
    <w:rsid w:val="4F5EA076"/>
    <w:rsid w:val="4F5F77C7"/>
    <w:rsid w:val="4F6185B3"/>
    <w:rsid w:val="4F697CBF"/>
    <w:rsid w:val="4F72E3A2"/>
    <w:rsid w:val="4F839262"/>
    <w:rsid w:val="4F8FDA64"/>
    <w:rsid w:val="4F986C41"/>
    <w:rsid w:val="4F9CA0E9"/>
    <w:rsid w:val="4FAAE4DB"/>
    <w:rsid w:val="4FC0DBBD"/>
    <w:rsid w:val="4FC803E1"/>
    <w:rsid w:val="4FC8AD1E"/>
    <w:rsid w:val="4FD427A8"/>
    <w:rsid w:val="4FEE90DD"/>
    <w:rsid w:val="4FF74002"/>
    <w:rsid w:val="4FF870F4"/>
    <w:rsid w:val="50275587"/>
    <w:rsid w:val="503748BF"/>
    <w:rsid w:val="5037F701"/>
    <w:rsid w:val="50412A2C"/>
    <w:rsid w:val="50432C6C"/>
    <w:rsid w:val="5056F0D4"/>
    <w:rsid w:val="505C61AC"/>
    <w:rsid w:val="5066F509"/>
    <w:rsid w:val="50676E6A"/>
    <w:rsid w:val="506E0EB5"/>
    <w:rsid w:val="506F2467"/>
    <w:rsid w:val="50790951"/>
    <w:rsid w:val="508109CC"/>
    <w:rsid w:val="5088277A"/>
    <w:rsid w:val="508BC51C"/>
    <w:rsid w:val="5093FCD7"/>
    <w:rsid w:val="50982FCE"/>
    <w:rsid w:val="50A0C7E6"/>
    <w:rsid w:val="50B1C79A"/>
    <w:rsid w:val="50C1CEDE"/>
    <w:rsid w:val="50C3F81E"/>
    <w:rsid w:val="50CB04B7"/>
    <w:rsid w:val="50CFDE1C"/>
    <w:rsid w:val="50D9D2E3"/>
    <w:rsid w:val="50F05F44"/>
    <w:rsid w:val="50F472FA"/>
    <w:rsid w:val="50FDC804"/>
    <w:rsid w:val="50FFCBA3"/>
    <w:rsid w:val="510B950F"/>
    <w:rsid w:val="510E8E14"/>
    <w:rsid w:val="5112D6A0"/>
    <w:rsid w:val="51232F2B"/>
    <w:rsid w:val="5125517A"/>
    <w:rsid w:val="5127F63D"/>
    <w:rsid w:val="51285815"/>
    <w:rsid w:val="512A46EF"/>
    <w:rsid w:val="512F289A"/>
    <w:rsid w:val="51446716"/>
    <w:rsid w:val="514A3860"/>
    <w:rsid w:val="514ABEE2"/>
    <w:rsid w:val="51504AFE"/>
    <w:rsid w:val="5153F859"/>
    <w:rsid w:val="515DD15F"/>
    <w:rsid w:val="51705B7B"/>
    <w:rsid w:val="5189C934"/>
    <w:rsid w:val="51901CC6"/>
    <w:rsid w:val="51A09CF7"/>
    <w:rsid w:val="51A3E9FD"/>
    <w:rsid w:val="51B2A3EB"/>
    <w:rsid w:val="51B531CD"/>
    <w:rsid w:val="51B57478"/>
    <w:rsid w:val="51B59B1E"/>
    <w:rsid w:val="51B70A0B"/>
    <w:rsid w:val="51C0A860"/>
    <w:rsid w:val="51C13750"/>
    <w:rsid w:val="51C32566"/>
    <w:rsid w:val="51C340D3"/>
    <w:rsid w:val="51C47EFA"/>
    <w:rsid w:val="51D0832F"/>
    <w:rsid w:val="51D34EB0"/>
    <w:rsid w:val="51D40DCA"/>
    <w:rsid w:val="51D9070B"/>
    <w:rsid w:val="51D9F305"/>
    <w:rsid w:val="51DC3C0E"/>
    <w:rsid w:val="51E99D71"/>
    <w:rsid w:val="51EBB9DB"/>
    <w:rsid w:val="51F97FE3"/>
    <w:rsid w:val="51FEFDF3"/>
    <w:rsid w:val="520EB72B"/>
    <w:rsid w:val="521D5B56"/>
    <w:rsid w:val="521EF0F2"/>
    <w:rsid w:val="522D219D"/>
    <w:rsid w:val="522F55A0"/>
    <w:rsid w:val="522FD32A"/>
    <w:rsid w:val="523104F4"/>
    <w:rsid w:val="524338A0"/>
    <w:rsid w:val="5250E2FD"/>
    <w:rsid w:val="5251350C"/>
    <w:rsid w:val="525BBB7E"/>
    <w:rsid w:val="525F103B"/>
    <w:rsid w:val="5265A2EE"/>
    <w:rsid w:val="526B21EB"/>
    <w:rsid w:val="5290C341"/>
    <w:rsid w:val="529AC9F6"/>
    <w:rsid w:val="529FEE00"/>
    <w:rsid w:val="52A85360"/>
    <w:rsid w:val="52AD7CDE"/>
    <w:rsid w:val="52B56A64"/>
    <w:rsid w:val="52B8AF27"/>
    <w:rsid w:val="52C64F09"/>
    <w:rsid w:val="52C6A53B"/>
    <w:rsid w:val="52CB4D15"/>
    <w:rsid w:val="52CD29E3"/>
    <w:rsid w:val="52D2FA8D"/>
    <w:rsid w:val="52DBFD6A"/>
    <w:rsid w:val="52DF3A59"/>
    <w:rsid w:val="52E85821"/>
    <w:rsid w:val="52F2CC20"/>
    <w:rsid w:val="52F4741A"/>
    <w:rsid w:val="52F60123"/>
    <w:rsid w:val="52F80832"/>
    <w:rsid w:val="52FC4620"/>
    <w:rsid w:val="530C4134"/>
    <w:rsid w:val="531058EF"/>
    <w:rsid w:val="53242599"/>
    <w:rsid w:val="5327C7B8"/>
    <w:rsid w:val="5328036D"/>
    <w:rsid w:val="5332DDA4"/>
    <w:rsid w:val="533324C7"/>
    <w:rsid w:val="5333A680"/>
    <w:rsid w:val="5337A45C"/>
    <w:rsid w:val="5337CC95"/>
    <w:rsid w:val="533CE9D3"/>
    <w:rsid w:val="53454267"/>
    <w:rsid w:val="534C16C9"/>
    <w:rsid w:val="534CBF7A"/>
    <w:rsid w:val="5352BF8B"/>
    <w:rsid w:val="5367AA3D"/>
    <w:rsid w:val="536D7595"/>
    <w:rsid w:val="536EDC26"/>
    <w:rsid w:val="5371A495"/>
    <w:rsid w:val="537B8190"/>
    <w:rsid w:val="538E54BA"/>
    <w:rsid w:val="5391AEA5"/>
    <w:rsid w:val="53948D74"/>
    <w:rsid w:val="539861D1"/>
    <w:rsid w:val="53AD97E7"/>
    <w:rsid w:val="53B68164"/>
    <w:rsid w:val="53CD7E73"/>
    <w:rsid w:val="53CFC570"/>
    <w:rsid w:val="53D094A2"/>
    <w:rsid w:val="53DD3974"/>
    <w:rsid w:val="53E47FAF"/>
    <w:rsid w:val="53E88926"/>
    <w:rsid w:val="53F126BE"/>
    <w:rsid w:val="53F6C526"/>
    <w:rsid w:val="53FDCC7C"/>
    <w:rsid w:val="53FFC7CB"/>
    <w:rsid w:val="540057B6"/>
    <w:rsid w:val="540820CF"/>
    <w:rsid w:val="540E6930"/>
    <w:rsid w:val="5439ABCA"/>
    <w:rsid w:val="5441205A"/>
    <w:rsid w:val="544764E9"/>
    <w:rsid w:val="54485CF4"/>
    <w:rsid w:val="545D2D1C"/>
    <w:rsid w:val="5469DFED"/>
    <w:rsid w:val="546F8A64"/>
    <w:rsid w:val="547335FA"/>
    <w:rsid w:val="5476A666"/>
    <w:rsid w:val="547D7E9D"/>
    <w:rsid w:val="5481CE8A"/>
    <w:rsid w:val="54862771"/>
    <w:rsid w:val="549028FB"/>
    <w:rsid w:val="54945D5A"/>
    <w:rsid w:val="549A4676"/>
    <w:rsid w:val="54A73AE2"/>
    <w:rsid w:val="54AEB7B9"/>
    <w:rsid w:val="54B3C73E"/>
    <w:rsid w:val="54C756ED"/>
    <w:rsid w:val="54C7C0AE"/>
    <w:rsid w:val="54D51432"/>
    <w:rsid w:val="54EAD66B"/>
    <w:rsid w:val="54EBF842"/>
    <w:rsid w:val="54F29C7D"/>
    <w:rsid w:val="54FE1C19"/>
    <w:rsid w:val="550081D8"/>
    <w:rsid w:val="55019D9B"/>
    <w:rsid w:val="55020741"/>
    <w:rsid w:val="55124B53"/>
    <w:rsid w:val="551D0D2E"/>
    <w:rsid w:val="5520411E"/>
    <w:rsid w:val="55258137"/>
    <w:rsid w:val="552D1F5C"/>
    <w:rsid w:val="5532238D"/>
    <w:rsid w:val="553552F6"/>
    <w:rsid w:val="553FF4AC"/>
    <w:rsid w:val="55582FEB"/>
    <w:rsid w:val="55595069"/>
    <w:rsid w:val="55647E94"/>
    <w:rsid w:val="5571B847"/>
    <w:rsid w:val="558C8033"/>
    <w:rsid w:val="55937300"/>
    <w:rsid w:val="55981E8C"/>
    <w:rsid w:val="5599C551"/>
    <w:rsid w:val="55A096C1"/>
    <w:rsid w:val="55A5AC45"/>
    <w:rsid w:val="55AABE35"/>
    <w:rsid w:val="55ADCAF1"/>
    <w:rsid w:val="55B760E2"/>
    <w:rsid w:val="55B9440F"/>
    <w:rsid w:val="55BF814A"/>
    <w:rsid w:val="55C1C6D6"/>
    <w:rsid w:val="55C41F6D"/>
    <w:rsid w:val="55C5EB31"/>
    <w:rsid w:val="55C843BB"/>
    <w:rsid w:val="55D083FD"/>
    <w:rsid w:val="55D13927"/>
    <w:rsid w:val="55DF0632"/>
    <w:rsid w:val="55EB8AD9"/>
    <w:rsid w:val="55F74C44"/>
    <w:rsid w:val="5607214E"/>
    <w:rsid w:val="560A4E2D"/>
    <w:rsid w:val="5615F35B"/>
    <w:rsid w:val="5618E3AA"/>
    <w:rsid w:val="561C2D26"/>
    <w:rsid w:val="562C5680"/>
    <w:rsid w:val="5634DAFD"/>
    <w:rsid w:val="56371F23"/>
    <w:rsid w:val="5641AA4B"/>
    <w:rsid w:val="564289B5"/>
    <w:rsid w:val="56431F21"/>
    <w:rsid w:val="5650131A"/>
    <w:rsid w:val="56584E14"/>
    <w:rsid w:val="565AD2A8"/>
    <w:rsid w:val="565EED26"/>
    <w:rsid w:val="566CA742"/>
    <w:rsid w:val="5681D658"/>
    <w:rsid w:val="5696B1F6"/>
    <w:rsid w:val="569B8A6D"/>
    <w:rsid w:val="56A3F452"/>
    <w:rsid w:val="56AA051B"/>
    <w:rsid w:val="56B4F93A"/>
    <w:rsid w:val="56BA8EB8"/>
    <w:rsid w:val="56E3932A"/>
    <w:rsid w:val="5701C058"/>
    <w:rsid w:val="570B3011"/>
    <w:rsid w:val="570EDCA6"/>
    <w:rsid w:val="57110696"/>
    <w:rsid w:val="5716DE41"/>
    <w:rsid w:val="5717925B"/>
    <w:rsid w:val="571F1D20"/>
    <w:rsid w:val="5723FECD"/>
    <w:rsid w:val="5730145C"/>
    <w:rsid w:val="57332413"/>
    <w:rsid w:val="574B181F"/>
    <w:rsid w:val="574C250E"/>
    <w:rsid w:val="574D18CF"/>
    <w:rsid w:val="574DDDB4"/>
    <w:rsid w:val="574EE358"/>
    <w:rsid w:val="57533143"/>
    <w:rsid w:val="575E5221"/>
    <w:rsid w:val="575EF675"/>
    <w:rsid w:val="5768DCED"/>
    <w:rsid w:val="5768EED0"/>
    <w:rsid w:val="576BF2D1"/>
    <w:rsid w:val="57705446"/>
    <w:rsid w:val="5779353D"/>
    <w:rsid w:val="577E7C3D"/>
    <w:rsid w:val="5788D035"/>
    <w:rsid w:val="578F71BA"/>
    <w:rsid w:val="579E33B6"/>
    <w:rsid w:val="57A2F9F1"/>
    <w:rsid w:val="57BAD012"/>
    <w:rsid w:val="57BBD067"/>
    <w:rsid w:val="57C68C18"/>
    <w:rsid w:val="57C8F6DE"/>
    <w:rsid w:val="57CF00F1"/>
    <w:rsid w:val="57D691E4"/>
    <w:rsid w:val="57E97E82"/>
    <w:rsid w:val="57F524B8"/>
    <w:rsid w:val="57F8DAE5"/>
    <w:rsid w:val="57FB38BC"/>
    <w:rsid w:val="57FF7829"/>
    <w:rsid w:val="5801662B"/>
    <w:rsid w:val="580A3F78"/>
    <w:rsid w:val="5837F8B1"/>
    <w:rsid w:val="583AB51E"/>
    <w:rsid w:val="583B2BF3"/>
    <w:rsid w:val="584CBFF6"/>
    <w:rsid w:val="585AB8A4"/>
    <w:rsid w:val="58696FE2"/>
    <w:rsid w:val="5883DDEB"/>
    <w:rsid w:val="58978E00"/>
    <w:rsid w:val="5899EFA4"/>
    <w:rsid w:val="589A3A5F"/>
    <w:rsid w:val="589C1F56"/>
    <w:rsid w:val="589F5FE0"/>
    <w:rsid w:val="58A7AD31"/>
    <w:rsid w:val="58A9FECE"/>
    <w:rsid w:val="58B8B818"/>
    <w:rsid w:val="58C4595C"/>
    <w:rsid w:val="58C58BB0"/>
    <w:rsid w:val="58D5C865"/>
    <w:rsid w:val="58D62BA2"/>
    <w:rsid w:val="58DBB2F5"/>
    <w:rsid w:val="58E0FA25"/>
    <w:rsid w:val="58FDEAD6"/>
    <w:rsid w:val="590954F5"/>
    <w:rsid w:val="590BB65E"/>
    <w:rsid w:val="590F68C6"/>
    <w:rsid w:val="5915B5F6"/>
    <w:rsid w:val="5919217A"/>
    <w:rsid w:val="5920DC7A"/>
    <w:rsid w:val="592F2ABE"/>
    <w:rsid w:val="593A2EEC"/>
    <w:rsid w:val="593E10B3"/>
    <w:rsid w:val="594B600B"/>
    <w:rsid w:val="594CDEBE"/>
    <w:rsid w:val="59540A85"/>
    <w:rsid w:val="59544FD1"/>
    <w:rsid w:val="596A35EB"/>
    <w:rsid w:val="596FEB56"/>
    <w:rsid w:val="5971927A"/>
    <w:rsid w:val="5972EA33"/>
    <w:rsid w:val="5974D4F5"/>
    <w:rsid w:val="5983C3CD"/>
    <w:rsid w:val="59841ED2"/>
    <w:rsid w:val="59862ADD"/>
    <w:rsid w:val="598D4A23"/>
    <w:rsid w:val="598DA3A9"/>
    <w:rsid w:val="599850AB"/>
    <w:rsid w:val="59A78F3C"/>
    <w:rsid w:val="59B0D459"/>
    <w:rsid w:val="59C12EE8"/>
    <w:rsid w:val="59CDA3B2"/>
    <w:rsid w:val="59CF117F"/>
    <w:rsid w:val="59EB2268"/>
    <w:rsid w:val="59F8C9C3"/>
    <w:rsid w:val="5A01D2DE"/>
    <w:rsid w:val="5A0274FA"/>
    <w:rsid w:val="5A2A4454"/>
    <w:rsid w:val="5A355754"/>
    <w:rsid w:val="5A46B49A"/>
    <w:rsid w:val="5A4797D5"/>
    <w:rsid w:val="5A4FCE43"/>
    <w:rsid w:val="5A583FDF"/>
    <w:rsid w:val="5A5BD329"/>
    <w:rsid w:val="5A5DFE78"/>
    <w:rsid w:val="5A63E268"/>
    <w:rsid w:val="5A6D9165"/>
    <w:rsid w:val="5A7CF020"/>
    <w:rsid w:val="5A83145E"/>
    <w:rsid w:val="5A843E95"/>
    <w:rsid w:val="5A888097"/>
    <w:rsid w:val="5A8F4F72"/>
    <w:rsid w:val="5A8F7E5C"/>
    <w:rsid w:val="5A8FC4F1"/>
    <w:rsid w:val="5A90B703"/>
    <w:rsid w:val="5A9E5C1B"/>
    <w:rsid w:val="5AA04B80"/>
    <w:rsid w:val="5AB2F987"/>
    <w:rsid w:val="5AB30B63"/>
    <w:rsid w:val="5AB7DE45"/>
    <w:rsid w:val="5AB83B47"/>
    <w:rsid w:val="5ACB60C9"/>
    <w:rsid w:val="5ACFF6AF"/>
    <w:rsid w:val="5AD7337F"/>
    <w:rsid w:val="5AE20ADE"/>
    <w:rsid w:val="5AEC334D"/>
    <w:rsid w:val="5AF72D0F"/>
    <w:rsid w:val="5AFF6A7F"/>
    <w:rsid w:val="5AFF82F2"/>
    <w:rsid w:val="5B01CAE7"/>
    <w:rsid w:val="5B024838"/>
    <w:rsid w:val="5B099608"/>
    <w:rsid w:val="5B09B907"/>
    <w:rsid w:val="5B1106CA"/>
    <w:rsid w:val="5B1D214B"/>
    <w:rsid w:val="5B265645"/>
    <w:rsid w:val="5B30F928"/>
    <w:rsid w:val="5B3A2F07"/>
    <w:rsid w:val="5B3C05E2"/>
    <w:rsid w:val="5B3F3DE5"/>
    <w:rsid w:val="5B49D4DA"/>
    <w:rsid w:val="5B4E6E5F"/>
    <w:rsid w:val="5B517149"/>
    <w:rsid w:val="5B5A597E"/>
    <w:rsid w:val="5B5B6B9C"/>
    <w:rsid w:val="5B6A00BE"/>
    <w:rsid w:val="5B700D9D"/>
    <w:rsid w:val="5B70720E"/>
    <w:rsid w:val="5B7C1174"/>
    <w:rsid w:val="5B7F52FB"/>
    <w:rsid w:val="5B890F25"/>
    <w:rsid w:val="5B9B16DF"/>
    <w:rsid w:val="5BABCC23"/>
    <w:rsid w:val="5BAC285C"/>
    <w:rsid w:val="5BB0A576"/>
    <w:rsid w:val="5BBF9F50"/>
    <w:rsid w:val="5BC0EB8E"/>
    <w:rsid w:val="5BC9976E"/>
    <w:rsid w:val="5BD0595C"/>
    <w:rsid w:val="5BD0B7C4"/>
    <w:rsid w:val="5BD2C2BE"/>
    <w:rsid w:val="5BD8699D"/>
    <w:rsid w:val="5BDA922B"/>
    <w:rsid w:val="5BDB2C94"/>
    <w:rsid w:val="5BF9CED9"/>
    <w:rsid w:val="5BFE401B"/>
    <w:rsid w:val="5BFF9B65"/>
    <w:rsid w:val="5C09746E"/>
    <w:rsid w:val="5C0F1872"/>
    <w:rsid w:val="5C208B7E"/>
    <w:rsid w:val="5C20D819"/>
    <w:rsid w:val="5C2A9CB8"/>
    <w:rsid w:val="5C3311EB"/>
    <w:rsid w:val="5C3DBC58"/>
    <w:rsid w:val="5C42F23B"/>
    <w:rsid w:val="5C45D6E1"/>
    <w:rsid w:val="5C4BB42D"/>
    <w:rsid w:val="5C574DEB"/>
    <w:rsid w:val="5C672265"/>
    <w:rsid w:val="5C6C3DEA"/>
    <w:rsid w:val="5C71E215"/>
    <w:rsid w:val="5C7296F0"/>
    <w:rsid w:val="5C81256B"/>
    <w:rsid w:val="5C81B4B8"/>
    <w:rsid w:val="5C8D50FC"/>
    <w:rsid w:val="5C90D713"/>
    <w:rsid w:val="5C945571"/>
    <w:rsid w:val="5C9474D9"/>
    <w:rsid w:val="5C9B3AE0"/>
    <w:rsid w:val="5C9CE6EA"/>
    <w:rsid w:val="5CA5D0A3"/>
    <w:rsid w:val="5CA5F06D"/>
    <w:rsid w:val="5CCD3FE4"/>
    <w:rsid w:val="5CCD7404"/>
    <w:rsid w:val="5CD5CEB0"/>
    <w:rsid w:val="5CE0E1D0"/>
    <w:rsid w:val="5CE378F7"/>
    <w:rsid w:val="5CE9CAA9"/>
    <w:rsid w:val="5CEA8BF9"/>
    <w:rsid w:val="5CEDA679"/>
    <w:rsid w:val="5CF0A514"/>
    <w:rsid w:val="5CF6F82F"/>
    <w:rsid w:val="5D07D5A3"/>
    <w:rsid w:val="5D0984CA"/>
    <w:rsid w:val="5D0D3C62"/>
    <w:rsid w:val="5D0EA35E"/>
    <w:rsid w:val="5D122AA6"/>
    <w:rsid w:val="5D167565"/>
    <w:rsid w:val="5D1F103F"/>
    <w:rsid w:val="5D206983"/>
    <w:rsid w:val="5D34D5FD"/>
    <w:rsid w:val="5D3D8BC0"/>
    <w:rsid w:val="5D459570"/>
    <w:rsid w:val="5D462520"/>
    <w:rsid w:val="5D4E3567"/>
    <w:rsid w:val="5D503044"/>
    <w:rsid w:val="5D5D220F"/>
    <w:rsid w:val="5D5E925B"/>
    <w:rsid w:val="5D6AC30C"/>
    <w:rsid w:val="5D6C07C9"/>
    <w:rsid w:val="5D6DAB82"/>
    <w:rsid w:val="5D6DF0D9"/>
    <w:rsid w:val="5D744AD1"/>
    <w:rsid w:val="5D77B7A0"/>
    <w:rsid w:val="5D8112A1"/>
    <w:rsid w:val="5D82BB90"/>
    <w:rsid w:val="5D8C3DAA"/>
    <w:rsid w:val="5D92CB87"/>
    <w:rsid w:val="5D934051"/>
    <w:rsid w:val="5D95FF25"/>
    <w:rsid w:val="5DAEC722"/>
    <w:rsid w:val="5DBA06C8"/>
    <w:rsid w:val="5DBDBC78"/>
    <w:rsid w:val="5DC429A0"/>
    <w:rsid w:val="5DC497CB"/>
    <w:rsid w:val="5DC6BF43"/>
    <w:rsid w:val="5DC765B3"/>
    <w:rsid w:val="5DD3A875"/>
    <w:rsid w:val="5DE29BC6"/>
    <w:rsid w:val="5DF68BB9"/>
    <w:rsid w:val="5DF9C780"/>
    <w:rsid w:val="5DFA6262"/>
    <w:rsid w:val="5E0E1402"/>
    <w:rsid w:val="5E1FF320"/>
    <w:rsid w:val="5E27F4FE"/>
    <w:rsid w:val="5E2CF5CB"/>
    <w:rsid w:val="5E2F3143"/>
    <w:rsid w:val="5E2FCA25"/>
    <w:rsid w:val="5E3B670F"/>
    <w:rsid w:val="5E49BA54"/>
    <w:rsid w:val="5E5085DB"/>
    <w:rsid w:val="5E517A75"/>
    <w:rsid w:val="5E5A8226"/>
    <w:rsid w:val="5E616E75"/>
    <w:rsid w:val="5E671162"/>
    <w:rsid w:val="5E6E67DC"/>
    <w:rsid w:val="5E708AAC"/>
    <w:rsid w:val="5E72C45D"/>
    <w:rsid w:val="5E7B8E4C"/>
    <w:rsid w:val="5E922D1C"/>
    <w:rsid w:val="5E9B6A69"/>
    <w:rsid w:val="5E9FDD1D"/>
    <w:rsid w:val="5EA1C3DB"/>
    <w:rsid w:val="5EA227B9"/>
    <w:rsid w:val="5EAA5CE4"/>
    <w:rsid w:val="5EAECCDF"/>
    <w:rsid w:val="5EAFB796"/>
    <w:rsid w:val="5EBB1E62"/>
    <w:rsid w:val="5EBE938B"/>
    <w:rsid w:val="5EC801FE"/>
    <w:rsid w:val="5EC8F2CA"/>
    <w:rsid w:val="5EC9A71C"/>
    <w:rsid w:val="5EE27541"/>
    <w:rsid w:val="5EF132C6"/>
    <w:rsid w:val="5EF261B4"/>
    <w:rsid w:val="5EF2B476"/>
    <w:rsid w:val="5EF2C4F0"/>
    <w:rsid w:val="5EFCB724"/>
    <w:rsid w:val="5EFF1ED3"/>
    <w:rsid w:val="5F085886"/>
    <w:rsid w:val="5F0A5079"/>
    <w:rsid w:val="5F16E906"/>
    <w:rsid w:val="5F1BB7F1"/>
    <w:rsid w:val="5F1E2B2E"/>
    <w:rsid w:val="5F1F9968"/>
    <w:rsid w:val="5F21128C"/>
    <w:rsid w:val="5F21CEA7"/>
    <w:rsid w:val="5F220578"/>
    <w:rsid w:val="5F2A3213"/>
    <w:rsid w:val="5F2D3E63"/>
    <w:rsid w:val="5F2FAC5E"/>
    <w:rsid w:val="5F31C712"/>
    <w:rsid w:val="5F34AA99"/>
    <w:rsid w:val="5F42DBFD"/>
    <w:rsid w:val="5F462293"/>
    <w:rsid w:val="5F4A2A72"/>
    <w:rsid w:val="5F50E82A"/>
    <w:rsid w:val="5F628FA4"/>
    <w:rsid w:val="5F7113CA"/>
    <w:rsid w:val="5F781B6D"/>
    <w:rsid w:val="5F794C7B"/>
    <w:rsid w:val="5F7D39CD"/>
    <w:rsid w:val="5F93B213"/>
    <w:rsid w:val="5F977B9A"/>
    <w:rsid w:val="5FA4139B"/>
    <w:rsid w:val="5FA87797"/>
    <w:rsid w:val="5FABF216"/>
    <w:rsid w:val="5FAC5FA7"/>
    <w:rsid w:val="5FAD5237"/>
    <w:rsid w:val="5FB3026E"/>
    <w:rsid w:val="5FD4BA1E"/>
    <w:rsid w:val="5FD66FB6"/>
    <w:rsid w:val="5FD7CBA8"/>
    <w:rsid w:val="5FE3A844"/>
    <w:rsid w:val="5FEC94CA"/>
    <w:rsid w:val="5FECEDB3"/>
    <w:rsid w:val="5FED0D9A"/>
    <w:rsid w:val="5FFEE56D"/>
    <w:rsid w:val="6003AC6D"/>
    <w:rsid w:val="6004AC53"/>
    <w:rsid w:val="6006ED5A"/>
    <w:rsid w:val="6007EF21"/>
    <w:rsid w:val="601200C5"/>
    <w:rsid w:val="601D0C7D"/>
    <w:rsid w:val="6025FC54"/>
    <w:rsid w:val="602D19A5"/>
    <w:rsid w:val="602D75AF"/>
    <w:rsid w:val="602DDC7C"/>
    <w:rsid w:val="6051C819"/>
    <w:rsid w:val="6059DED3"/>
    <w:rsid w:val="605A797B"/>
    <w:rsid w:val="6069DC7C"/>
    <w:rsid w:val="606E5B6F"/>
    <w:rsid w:val="607272E8"/>
    <w:rsid w:val="60790340"/>
    <w:rsid w:val="607D4776"/>
    <w:rsid w:val="6085DD26"/>
    <w:rsid w:val="6090F98E"/>
    <w:rsid w:val="6099AF0A"/>
    <w:rsid w:val="60A13E9F"/>
    <w:rsid w:val="60A263CE"/>
    <w:rsid w:val="60A70719"/>
    <w:rsid w:val="60ABC75C"/>
    <w:rsid w:val="60AF0F61"/>
    <w:rsid w:val="60B6CD33"/>
    <w:rsid w:val="60B8987F"/>
    <w:rsid w:val="60C300BC"/>
    <w:rsid w:val="60C6B7D1"/>
    <w:rsid w:val="60D438A5"/>
    <w:rsid w:val="60E6F6D2"/>
    <w:rsid w:val="60EC2F2F"/>
    <w:rsid w:val="60EC462D"/>
    <w:rsid w:val="61049026"/>
    <w:rsid w:val="61094271"/>
    <w:rsid w:val="610D33B3"/>
    <w:rsid w:val="61142D7E"/>
    <w:rsid w:val="611BDFFD"/>
    <w:rsid w:val="61212A9F"/>
    <w:rsid w:val="6128B3BE"/>
    <w:rsid w:val="61292B82"/>
    <w:rsid w:val="612ABF0E"/>
    <w:rsid w:val="612D158E"/>
    <w:rsid w:val="61316842"/>
    <w:rsid w:val="614D0F10"/>
    <w:rsid w:val="6153085C"/>
    <w:rsid w:val="615362DB"/>
    <w:rsid w:val="6154B78D"/>
    <w:rsid w:val="6169E059"/>
    <w:rsid w:val="616A1547"/>
    <w:rsid w:val="6178C681"/>
    <w:rsid w:val="617ACBC5"/>
    <w:rsid w:val="61944AE7"/>
    <w:rsid w:val="6197BF2B"/>
    <w:rsid w:val="619BFF93"/>
    <w:rsid w:val="61A18D88"/>
    <w:rsid w:val="61A9B670"/>
    <w:rsid w:val="61AA5CEB"/>
    <w:rsid w:val="61ABCA5E"/>
    <w:rsid w:val="61B495B2"/>
    <w:rsid w:val="61B8362A"/>
    <w:rsid w:val="61BB442B"/>
    <w:rsid w:val="61BD54D6"/>
    <w:rsid w:val="61C9376E"/>
    <w:rsid w:val="61D8E419"/>
    <w:rsid w:val="61DD1AE3"/>
    <w:rsid w:val="61E00E4F"/>
    <w:rsid w:val="61E120CB"/>
    <w:rsid w:val="61E86DEF"/>
    <w:rsid w:val="61FB8C65"/>
    <w:rsid w:val="61FB94B9"/>
    <w:rsid w:val="6206EA66"/>
    <w:rsid w:val="6209C847"/>
    <w:rsid w:val="6212654A"/>
    <w:rsid w:val="6212BEC0"/>
    <w:rsid w:val="62152A24"/>
    <w:rsid w:val="6215615A"/>
    <w:rsid w:val="62179701"/>
    <w:rsid w:val="621F1979"/>
    <w:rsid w:val="622CAB0D"/>
    <w:rsid w:val="6235D223"/>
    <w:rsid w:val="62410133"/>
    <w:rsid w:val="6248465D"/>
    <w:rsid w:val="62494699"/>
    <w:rsid w:val="624B8B6D"/>
    <w:rsid w:val="624E73F6"/>
    <w:rsid w:val="6253D324"/>
    <w:rsid w:val="6255CBF0"/>
    <w:rsid w:val="6257F44E"/>
    <w:rsid w:val="626C8F42"/>
    <w:rsid w:val="627576B0"/>
    <w:rsid w:val="6276961D"/>
    <w:rsid w:val="62781FE5"/>
    <w:rsid w:val="62AD9B5B"/>
    <w:rsid w:val="62B466D6"/>
    <w:rsid w:val="62B72598"/>
    <w:rsid w:val="62B8171F"/>
    <w:rsid w:val="62D8E879"/>
    <w:rsid w:val="62DB2357"/>
    <w:rsid w:val="62DC3213"/>
    <w:rsid w:val="62DCC905"/>
    <w:rsid w:val="62E03324"/>
    <w:rsid w:val="62E3262F"/>
    <w:rsid w:val="62E4F2F9"/>
    <w:rsid w:val="63128BB9"/>
    <w:rsid w:val="6314CAEC"/>
    <w:rsid w:val="631E26EC"/>
    <w:rsid w:val="632A2727"/>
    <w:rsid w:val="632BB0D6"/>
    <w:rsid w:val="6334DF98"/>
    <w:rsid w:val="6338EEEE"/>
    <w:rsid w:val="633955B0"/>
    <w:rsid w:val="633AD47E"/>
    <w:rsid w:val="633FAAB0"/>
    <w:rsid w:val="634C8BD6"/>
    <w:rsid w:val="6358629C"/>
    <w:rsid w:val="6358D02B"/>
    <w:rsid w:val="635CD4B3"/>
    <w:rsid w:val="636969E4"/>
    <w:rsid w:val="63773BE0"/>
    <w:rsid w:val="63776EE6"/>
    <w:rsid w:val="63794FB7"/>
    <w:rsid w:val="637F3842"/>
    <w:rsid w:val="639DB28E"/>
    <w:rsid w:val="639EBBCC"/>
    <w:rsid w:val="63A17DAA"/>
    <w:rsid w:val="63A5994B"/>
    <w:rsid w:val="63B2F2C7"/>
    <w:rsid w:val="63CAAA50"/>
    <w:rsid w:val="63D56388"/>
    <w:rsid w:val="63D56B9D"/>
    <w:rsid w:val="63D5F7EB"/>
    <w:rsid w:val="63E65DD1"/>
    <w:rsid w:val="63E6DB16"/>
    <w:rsid w:val="63EF157F"/>
    <w:rsid w:val="63F61563"/>
    <w:rsid w:val="64012A55"/>
    <w:rsid w:val="640A61F5"/>
    <w:rsid w:val="6412667E"/>
    <w:rsid w:val="6413FA9B"/>
    <w:rsid w:val="64226312"/>
    <w:rsid w:val="64310DEF"/>
    <w:rsid w:val="644056EB"/>
    <w:rsid w:val="64467D6E"/>
    <w:rsid w:val="644BCAF7"/>
    <w:rsid w:val="644BDA48"/>
    <w:rsid w:val="6454D87B"/>
    <w:rsid w:val="645B6083"/>
    <w:rsid w:val="646122F1"/>
    <w:rsid w:val="6462B78F"/>
    <w:rsid w:val="64789966"/>
    <w:rsid w:val="647A5EA9"/>
    <w:rsid w:val="648036D5"/>
    <w:rsid w:val="649643EC"/>
    <w:rsid w:val="649A8FFB"/>
    <w:rsid w:val="649E2686"/>
    <w:rsid w:val="649FDCCB"/>
    <w:rsid w:val="64A17547"/>
    <w:rsid w:val="64A57232"/>
    <w:rsid w:val="64A64CC5"/>
    <w:rsid w:val="64AE9902"/>
    <w:rsid w:val="64BDE0F9"/>
    <w:rsid w:val="64C9C051"/>
    <w:rsid w:val="64DCEA49"/>
    <w:rsid w:val="64E77D87"/>
    <w:rsid w:val="64EC09C9"/>
    <w:rsid w:val="64F1AE46"/>
    <w:rsid w:val="64F997AA"/>
    <w:rsid w:val="65071B1F"/>
    <w:rsid w:val="650C98E9"/>
    <w:rsid w:val="6511D987"/>
    <w:rsid w:val="6521388D"/>
    <w:rsid w:val="652563F7"/>
    <w:rsid w:val="6526E83A"/>
    <w:rsid w:val="652BB577"/>
    <w:rsid w:val="6531374B"/>
    <w:rsid w:val="653619EF"/>
    <w:rsid w:val="653ABE5A"/>
    <w:rsid w:val="653AFE91"/>
    <w:rsid w:val="653F0238"/>
    <w:rsid w:val="6540F010"/>
    <w:rsid w:val="6541F925"/>
    <w:rsid w:val="654D3385"/>
    <w:rsid w:val="65582335"/>
    <w:rsid w:val="6563FA8D"/>
    <w:rsid w:val="656567DD"/>
    <w:rsid w:val="656E6057"/>
    <w:rsid w:val="6583C846"/>
    <w:rsid w:val="6588D4E1"/>
    <w:rsid w:val="6589293E"/>
    <w:rsid w:val="65898CF3"/>
    <w:rsid w:val="658AA829"/>
    <w:rsid w:val="659A13D5"/>
    <w:rsid w:val="659A8CD2"/>
    <w:rsid w:val="65A3C814"/>
    <w:rsid w:val="65A819FC"/>
    <w:rsid w:val="65AD76FC"/>
    <w:rsid w:val="65AEE3A3"/>
    <w:rsid w:val="65B077EC"/>
    <w:rsid w:val="65B63892"/>
    <w:rsid w:val="65BA95B8"/>
    <w:rsid w:val="65C324B5"/>
    <w:rsid w:val="65D44AF3"/>
    <w:rsid w:val="65E34D9F"/>
    <w:rsid w:val="65E3DFCF"/>
    <w:rsid w:val="65E7585F"/>
    <w:rsid w:val="65ED1A57"/>
    <w:rsid w:val="65EE86B3"/>
    <w:rsid w:val="65F3262C"/>
    <w:rsid w:val="6606B176"/>
    <w:rsid w:val="6607F332"/>
    <w:rsid w:val="660B96F7"/>
    <w:rsid w:val="660F5385"/>
    <w:rsid w:val="6611DD88"/>
    <w:rsid w:val="66155D93"/>
    <w:rsid w:val="661E5524"/>
    <w:rsid w:val="662729C8"/>
    <w:rsid w:val="662BD545"/>
    <w:rsid w:val="66312200"/>
    <w:rsid w:val="66371847"/>
    <w:rsid w:val="663D28A4"/>
    <w:rsid w:val="6649D3BE"/>
    <w:rsid w:val="6653DDB4"/>
    <w:rsid w:val="665FBA30"/>
    <w:rsid w:val="668173CC"/>
    <w:rsid w:val="668D7EA7"/>
    <w:rsid w:val="6693DC70"/>
    <w:rsid w:val="669A6251"/>
    <w:rsid w:val="669F68CA"/>
    <w:rsid w:val="66A3839A"/>
    <w:rsid w:val="66B48EC7"/>
    <w:rsid w:val="66C3B9A0"/>
    <w:rsid w:val="66C671FF"/>
    <w:rsid w:val="66CBA928"/>
    <w:rsid w:val="66CCF093"/>
    <w:rsid w:val="66CD07A9"/>
    <w:rsid w:val="66D28788"/>
    <w:rsid w:val="66D2E386"/>
    <w:rsid w:val="66D38BA4"/>
    <w:rsid w:val="66E3176A"/>
    <w:rsid w:val="66E455CD"/>
    <w:rsid w:val="66E4D6EF"/>
    <w:rsid w:val="66F12FF2"/>
    <w:rsid w:val="66F4EBCA"/>
    <w:rsid w:val="66F8D56B"/>
    <w:rsid w:val="66FA1280"/>
    <w:rsid w:val="67136A6B"/>
    <w:rsid w:val="67169852"/>
    <w:rsid w:val="671C8170"/>
    <w:rsid w:val="6724121E"/>
    <w:rsid w:val="672936FE"/>
    <w:rsid w:val="673E17E8"/>
    <w:rsid w:val="674D4793"/>
    <w:rsid w:val="67549D9C"/>
    <w:rsid w:val="67589773"/>
    <w:rsid w:val="676BEFB7"/>
    <w:rsid w:val="676DA189"/>
    <w:rsid w:val="67719935"/>
    <w:rsid w:val="6777D443"/>
    <w:rsid w:val="679117E8"/>
    <w:rsid w:val="67956DAF"/>
    <w:rsid w:val="679804BD"/>
    <w:rsid w:val="67D27CC9"/>
    <w:rsid w:val="67D29134"/>
    <w:rsid w:val="67D51E19"/>
    <w:rsid w:val="67ECCE5C"/>
    <w:rsid w:val="67F39E76"/>
    <w:rsid w:val="67F433D3"/>
    <w:rsid w:val="67F70766"/>
    <w:rsid w:val="67FAC8F7"/>
    <w:rsid w:val="67FB8BFC"/>
    <w:rsid w:val="68007BA8"/>
    <w:rsid w:val="6816A9C4"/>
    <w:rsid w:val="6819A3EE"/>
    <w:rsid w:val="681ADD8D"/>
    <w:rsid w:val="681F1E49"/>
    <w:rsid w:val="6827FB3F"/>
    <w:rsid w:val="682B049B"/>
    <w:rsid w:val="683C4DF6"/>
    <w:rsid w:val="68442F56"/>
    <w:rsid w:val="68462794"/>
    <w:rsid w:val="6847FFB5"/>
    <w:rsid w:val="685E82F9"/>
    <w:rsid w:val="686233D5"/>
    <w:rsid w:val="68648280"/>
    <w:rsid w:val="686501B0"/>
    <w:rsid w:val="68657968"/>
    <w:rsid w:val="68682946"/>
    <w:rsid w:val="687490A6"/>
    <w:rsid w:val="687EA16C"/>
    <w:rsid w:val="68A41D3C"/>
    <w:rsid w:val="68B2A717"/>
    <w:rsid w:val="68B483AA"/>
    <w:rsid w:val="68C0F5BF"/>
    <w:rsid w:val="68C5BE81"/>
    <w:rsid w:val="68CB415B"/>
    <w:rsid w:val="68CBE445"/>
    <w:rsid w:val="68D62692"/>
    <w:rsid w:val="68F17C36"/>
    <w:rsid w:val="68F61A62"/>
    <w:rsid w:val="68FF0B75"/>
    <w:rsid w:val="6902A459"/>
    <w:rsid w:val="690F69A8"/>
    <w:rsid w:val="69123D54"/>
    <w:rsid w:val="691386DA"/>
    <w:rsid w:val="69283C60"/>
    <w:rsid w:val="693296C3"/>
    <w:rsid w:val="6936FF84"/>
    <w:rsid w:val="693D646A"/>
    <w:rsid w:val="693F80C6"/>
    <w:rsid w:val="694C0A89"/>
    <w:rsid w:val="6952C004"/>
    <w:rsid w:val="6953CFAC"/>
    <w:rsid w:val="695FC62D"/>
    <w:rsid w:val="69612AE9"/>
    <w:rsid w:val="6966D17B"/>
    <w:rsid w:val="6968E39B"/>
    <w:rsid w:val="697E3400"/>
    <w:rsid w:val="6985EDEC"/>
    <w:rsid w:val="69881C64"/>
    <w:rsid w:val="6992E41B"/>
    <w:rsid w:val="6992F5C4"/>
    <w:rsid w:val="69A38045"/>
    <w:rsid w:val="69A59BE7"/>
    <w:rsid w:val="69A938BE"/>
    <w:rsid w:val="69AAD85F"/>
    <w:rsid w:val="69B55641"/>
    <w:rsid w:val="69BE897C"/>
    <w:rsid w:val="69D491A7"/>
    <w:rsid w:val="69E7CBE8"/>
    <w:rsid w:val="69EC24DB"/>
    <w:rsid w:val="69F24BF9"/>
    <w:rsid w:val="69FE0436"/>
    <w:rsid w:val="6A156A48"/>
    <w:rsid w:val="6A187F98"/>
    <w:rsid w:val="6A26A51F"/>
    <w:rsid w:val="6A2C542D"/>
    <w:rsid w:val="6A354CF6"/>
    <w:rsid w:val="6A44647E"/>
    <w:rsid w:val="6A46A816"/>
    <w:rsid w:val="6A48D716"/>
    <w:rsid w:val="6A4DE95F"/>
    <w:rsid w:val="6A5A5E95"/>
    <w:rsid w:val="6A6319CD"/>
    <w:rsid w:val="6A692AFB"/>
    <w:rsid w:val="6A71F6F3"/>
    <w:rsid w:val="6A79B0DF"/>
    <w:rsid w:val="6AA0CA31"/>
    <w:rsid w:val="6AA52D29"/>
    <w:rsid w:val="6AADD641"/>
    <w:rsid w:val="6AB26BC7"/>
    <w:rsid w:val="6AC26270"/>
    <w:rsid w:val="6AC7F8F9"/>
    <w:rsid w:val="6ACF8BC4"/>
    <w:rsid w:val="6ADBC6A2"/>
    <w:rsid w:val="6AE7987A"/>
    <w:rsid w:val="6AE7DAEA"/>
    <w:rsid w:val="6AE8CEB6"/>
    <w:rsid w:val="6AF7F264"/>
    <w:rsid w:val="6B158E49"/>
    <w:rsid w:val="6B189FE1"/>
    <w:rsid w:val="6B25A5C3"/>
    <w:rsid w:val="6B32C501"/>
    <w:rsid w:val="6B3803F7"/>
    <w:rsid w:val="6B3B06E4"/>
    <w:rsid w:val="6B3E0025"/>
    <w:rsid w:val="6B44CB46"/>
    <w:rsid w:val="6B478F55"/>
    <w:rsid w:val="6B5126A2"/>
    <w:rsid w:val="6B59BF77"/>
    <w:rsid w:val="6B6BEB16"/>
    <w:rsid w:val="6B6D37E8"/>
    <w:rsid w:val="6B6F7C03"/>
    <w:rsid w:val="6B76F4BD"/>
    <w:rsid w:val="6B8591C3"/>
    <w:rsid w:val="6B9D35FB"/>
    <w:rsid w:val="6BA54087"/>
    <w:rsid w:val="6BA65D85"/>
    <w:rsid w:val="6BB0ADA5"/>
    <w:rsid w:val="6BBAD849"/>
    <w:rsid w:val="6BC11C41"/>
    <w:rsid w:val="6BCC5876"/>
    <w:rsid w:val="6BCFD7C5"/>
    <w:rsid w:val="6BCFE587"/>
    <w:rsid w:val="6BD0887A"/>
    <w:rsid w:val="6BD51323"/>
    <w:rsid w:val="6BE0DE92"/>
    <w:rsid w:val="6BE1A749"/>
    <w:rsid w:val="6BE1F682"/>
    <w:rsid w:val="6BEE6697"/>
    <w:rsid w:val="6BF16A0A"/>
    <w:rsid w:val="6BF16FB6"/>
    <w:rsid w:val="6BF6BEF1"/>
    <w:rsid w:val="6C089F66"/>
    <w:rsid w:val="6C11BB4A"/>
    <w:rsid w:val="6C17729F"/>
    <w:rsid w:val="6C183794"/>
    <w:rsid w:val="6C1845C8"/>
    <w:rsid w:val="6C297AEB"/>
    <w:rsid w:val="6C2DB93E"/>
    <w:rsid w:val="6C4484BB"/>
    <w:rsid w:val="6C483B12"/>
    <w:rsid w:val="6C4B1CDF"/>
    <w:rsid w:val="6C59739A"/>
    <w:rsid w:val="6C5AC60C"/>
    <w:rsid w:val="6C5F879A"/>
    <w:rsid w:val="6C7D02B6"/>
    <w:rsid w:val="6C897F38"/>
    <w:rsid w:val="6C8AE8D0"/>
    <w:rsid w:val="6C8D0012"/>
    <w:rsid w:val="6C932040"/>
    <w:rsid w:val="6C946B69"/>
    <w:rsid w:val="6CAD5BE4"/>
    <w:rsid w:val="6CC29981"/>
    <w:rsid w:val="6CC7E437"/>
    <w:rsid w:val="6CD49F71"/>
    <w:rsid w:val="6CE397CE"/>
    <w:rsid w:val="6CE4DD19"/>
    <w:rsid w:val="6CEB79BA"/>
    <w:rsid w:val="6D0314EB"/>
    <w:rsid w:val="6D155924"/>
    <w:rsid w:val="6D1DF63F"/>
    <w:rsid w:val="6D250927"/>
    <w:rsid w:val="6D2B0F8C"/>
    <w:rsid w:val="6D2EB92F"/>
    <w:rsid w:val="6D308287"/>
    <w:rsid w:val="6D31D946"/>
    <w:rsid w:val="6D3B0159"/>
    <w:rsid w:val="6D496F9E"/>
    <w:rsid w:val="6D4C530C"/>
    <w:rsid w:val="6D502414"/>
    <w:rsid w:val="6D52C8DF"/>
    <w:rsid w:val="6D58AF8F"/>
    <w:rsid w:val="6D5D8B61"/>
    <w:rsid w:val="6D62BC07"/>
    <w:rsid w:val="6D64E63A"/>
    <w:rsid w:val="6D7C5220"/>
    <w:rsid w:val="6D7F7C12"/>
    <w:rsid w:val="6D8780D6"/>
    <w:rsid w:val="6D987E97"/>
    <w:rsid w:val="6DBC0C2A"/>
    <w:rsid w:val="6DC015E2"/>
    <w:rsid w:val="6DC6ED88"/>
    <w:rsid w:val="6DD2A1BB"/>
    <w:rsid w:val="6DDE64D9"/>
    <w:rsid w:val="6DEEDCDA"/>
    <w:rsid w:val="6DF62C6E"/>
    <w:rsid w:val="6DF8B1C7"/>
    <w:rsid w:val="6DFEC401"/>
    <w:rsid w:val="6E05DF86"/>
    <w:rsid w:val="6E1314E2"/>
    <w:rsid w:val="6E1B31A7"/>
    <w:rsid w:val="6E442419"/>
    <w:rsid w:val="6E51C3E1"/>
    <w:rsid w:val="6E541922"/>
    <w:rsid w:val="6E5FA986"/>
    <w:rsid w:val="6E6FBFCA"/>
    <w:rsid w:val="6E6FFA1D"/>
    <w:rsid w:val="6E747911"/>
    <w:rsid w:val="6E75AC5D"/>
    <w:rsid w:val="6E768EBC"/>
    <w:rsid w:val="6E7E318E"/>
    <w:rsid w:val="6E813802"/>
    <w:rsid w:val="6E88F090"/>
    <w:rsid w:val="6E8925E7"/>
    <w:rsid w:val="6E8B74D4"/>
    <w:rsid w:val="6E940C84"/>
    <w:rsid w:val="6E9B4C72"/>
    <w:rsid w:val="6EAD0BB7"/>
    <w:rsid w:val="6EB1231A"/>
    <w:rsid w:val="6ECFFA8A"/>
    <w:rsid w:val="6EE968D1"/>
    <w:rsid w:val="6F0203C8"/>
    <w:rsid w:val="6F0234D2"/>
    <w:rsid w:val="6F026C76"/>
    <w:rsid w:val="6F0CB69F"/>
    <w:rsid w:val="6F1C9108"/>
    <w:rsid w:val="6F21039A"/>
    <w:rsid w:val="6F227AA7"/>
    <w:rsid w:val="6F2301DD"/>
    <w:rsid w:val="6F274278"/>
    <w:rsid w:val="6F2BA2AA"/>
    <w:rsid w:val="6F2C061C"/>
    <w:rsid w:val="6F344EF8"/>
    <w:rsid w:val="6F3E31D5"/>
    <w:rsid w:val="6F410B3A"/>
    <w:rsid w:val="6F43ECD6"/>
    <w:rsid w:val="6F4C990B"/>
    <w:rsid w:val="6F54F540"/>
    <w:rsid w:val="6F6EF97A"/>
    <w:rsid w:val="6F73F846"/>
    <w:rsid w:val="6F754E1B"/>
    <w:rsid w:val="6F78B36E"/>
    <w:rsid w:val="6F8CDBF8"/>
    <w:rsid w:val="6F99ECC6"/>
    <w:rsid w:val="6F9A3B42"/>
    <w:rsid w:val="6FA126F3"/>
    <w:rsid w:val="6FA64511"/>
    <w:rsid w:val="6FAE71D7"/>
    <w:rsid w:val="6FBB784D"/>
    <w:rsid w:val="6FBF6965"/>
    <w:rsid w:val="6FC25ADE"/>
    <w:rsid w:val="6FD7DF0B"/>
    <w:rsid w:val="6FE1C25B"/>
    <w:rsid w:val="6FF0F10F"/>
    <w:rsid w:val="6FF146EA"/>
    <w:rsid w:val="70006F3C"/>
    <w:rsid w:val="70079194"/>
    <w:rsid w:val="70245BF1"/>
    <w:rsid w:val="7024C0F1"/>
    <w:rsid w:val="70392B09"/>
    <w:rsid w:val="703D5167"/>
    <w:rsid w:val="703E9CE1"/>
    <w:rsid w:val="704D6A18"/>
    <w:rsid w:val="7050E5C8"/>
    <w:rsid w:val="70534C6F"/>
    <w:rsid w:val="705A0599"/>
    <w:rsid w:val="706685E3"/>
    <w:rsid w:val="706B2E66"/>
    <w:rsid w:val="70739F96"/>
    <w:rsid w:val="70810CB0"/>
    <w:rsid w:val="70811060"/>
    <w:rsid w:val="70827EE8"/>
    <w:rsid w:val="709BB5F7"/>
    <w:rsid w:val="709E9DFD"/>
    <w:rsid w:val="70A63AE9"/>
    <w:rsid w:val="70A6FDCD"/>
    <w:rsid w:val="70AEAB4F"/>
    <w:rsid w:val="70B03961"/>
    <w:rsid w:val="70B130DE"/>
    <w:rsid w:val="70B158FA"/>
    <w:rsid w:val="70B22410"/>
    <w:rsid w:val="70B483BF"/>
    <w:rsid w:val="70BF4C93"/>
    <w:rsid w:val="70CC5EB1"/>
    <w:rsid w:val="70CFCA06"/>
    <w:rsid w:val="70D61FC1"/>
    <w:rsid w:val="70D90902"/>
    <w:rsid w:val="70E2A60B"/>
    <w:rsid w:val="70F5F137"/>
    <w:rsid w:val="70FA863A"/>
    <w:rsid w:val="7105D587"/>
    <w:rsid w:val="710795F7"/>
    <w:rsid w:val="71119C49"/>
    <w:rsid w:val="7113E758"/>
    <w:rsid w:val="7114765F"/>
    <w:rsid w:val="7118AAB3"/>
    <w:rsid w:val="712E1646"/>
    <w:rsid w:val="71356031"/>
    <w:rsid w:val="71419F12"/>
    <w:rsid w:val="71498272"/>
    <w:rsid w:val="714F2127"/>
    <w:rsid w:val="715B130C"/>
    <w:rsid w:val="7162061B"/>
    <w:rsid w:val="7163C8C0"/>
    <w:rsid w:val="716E38A7"/>
    <w:rsid w:val="7172D888"/>
    <w:rsid w:val="71735EAA"/>
    <w:rsid w:val="717CA87F"/>
    <w:rsid w:val="7180B7AD"/>
    <w:rsid w:val="7180DF4F"/>
    <w:rsid w:val="7180ED18"/>
    <w:rsid w:val="718CC170"/>
    <w:rsid w:val="71B12D84"/>
    <w:rsid w:val="71B3A919"/>
    <w:rsid w:val="71DABB48"/>
    <w:rsid w:val="71DB6626"/>
    <w:rsid w:val="71DCAA11"/>
    <w:rsid w:val="71E23D77"/>
    <w:rsid w:val="71F21454"/>
    <w:rsid w:val="71F38596"/>
    <w:rsid w:val="72128E30"/>
    <w:rsid w:val="72133258"/>
    <w:rsid w:val="72184C9B"/>
    <w:rsid w:val="721A9738"/>
    <w:rsid w:val="721A9FD9"/>
    <w:rsid w:val="7224CFED"/>
    <w:rsid w:val="7225BCE2"/>
    <w:rsid w:val="7235802D"/>
    <w:rsid w:val="72534FE3"/>
    <w:rsid w:val="725D4028"/>
    <w:rsid w:val="7261276C"/>
    <w:rsid w:val="7264E612"/>
    <w:rsid w:val="726B0165"/>
    <w:rsid w:val="726B5095"/>
    <w:rsid w:val="726B9A67"/>
    <w:rsid w:val="726EBAD7"/>
    <w:rsid w:val="7273B3AE"/>
    <w:rsid w:val="727B8A87"/>
    <w:rsid w:val="728CB008"/>
    <w:rsid w:val="729206AE"/>
    <w:rsid w:val="72B31522"/>
    <w:rsid w:val="72D28ABC"/>
    <w:rsid w:val="72E1BDFF"/>
    <w:rsid w:val="72E317C0"/>
    <w:rsid w:val="72E36D5E"/>
    <w:rsid w:val="72E3FCC1"/>
    <w:rsid w:val="72EDFFBF"/>
    <w:rsid w:val="72FA62FE"/>
    <w:rsid w:val="7308ECD9"/>
    <w:rsid w:val="730BD724"/>
    <w:rsid w:val="730E1F9D"/>
    <w:rsid w:val="7317EB3C"/>
    <w:rsid w:val="7318AF86"/>
    <w:rsid w:val="731B2412"/>
    <w:rsid w:val="732AEEB6"/>
    <w:rsid w:val="7331DB05"/>
    <w:rsid w:val="734F797A"/>
    <w:rsid w:val="7354742D"/>
    <w:rsid w:val="735A2B9D"/>
    <w:rsid w:val="7363A0B7"/>
    <w:rsid w:val="736502CC"/>
    <w:rsid w:val="7373A961"/>
    <w:rsid w:val="73895EC6"/>
    <w:rsid w:val="738A55B9"/>
    <w:rsid w:val="738F001B"/>
    <w:rsid w:val="73996ADC"/>
    <w:rsid w:val="739A8914"/>
    <w:rsid w:val="73A8124D"/>
    <w:rsid w:val="73AF66B0"/>
    <w:rsid w:val="73B2E2CA"/>
    <w:rsid w:val="73BBBF84"/>
    <w:rsid w:val="73BCB094"/>
    <w:rsid w:val="73C370D5"/>
    <w:rsid w:val="73C3A219"/>
    <w:rsid w:val="73DCAEE7"/>
    <w:rsid w:val="73E24CF2"/>
    <w:rsid w:val="73E8B913"/>
    <w:rsid w:val="73EB46C4"/>
    <w:rsid w:val="73FC6243"/>
    <w:rsid w:val="7404954F"/>
    <w:rsid w:val="74049EDF"/>
    <w:rsid w:val="740C260B"/>
    <w:rsid w:val="74146321"/>
    <w:rsid w:val="741A6636"/>
    <w:rsid w:val="7430EAFD"/>
    <w:rsid w:val="7432A99C"/>
    <w:rsid w:val="7433F7B9"/>
    <w:rsid w:val="74355D08"/>
    <w:rsid w:val="743ADFD1"/>
    <w:rsid w:val="743F2FE2"/>
    <w:rsid w:val="743F461C"/>
    <w:rsid w:val="7446E495"/>
    <w:rsid w:val="744891BB"/>
    <w:rsid w:val="744C82D3"/>
    <w:rsid w:val="744E3876"/>
    <w:rsid w:val="74537CB7"/>
    <w:rsid w:val="74575010"/>
    <w:rsid w:val="74593488"/>
    <w:rsid w:val="745D62FF"/>
    <w:rsid w:val="745E4DF7"/>
    <w:rsid w:val="745EE7D2"/>
    <w:rsid w:val="745FCB77"/>
    <w:rsid w:val="7463CA3C"/>
    <w:rsid w:val="747BBA1C"/>
    <w:rsid w:val="7485585D"/>
    <w:rsid w:val="7485AC4D"/>
    <w:rsid w:val="74934808"/>
    <w:rsid w:val="74A12767"/>
    <w:rsid w:val="74A2E2D8"/>
    <w:rsid w:val="74A51466"/>
    <w:rsid w:val="74A9C403"/>
    <w:rsid w:val="74B48A7F"/>
    <w:rsid w:val="74B6D74A"/>
    <w:rsid w:val="74BB32EA"/>
    <w:rsid w:val="74C0DDC8"/>
    <w:rsid w:val="74D219F7"/>
    <w:rsid w:val="74D6B026"/>
    <w:rsid w:val="74DF09B7"/>
    <w:rsid w:val="74FB0BBE"/>
    <w:rsid w:val="750747D4"/>
    <w:rsid w:val="7508A2D2"/>
    <w:rsid w:val="750A042E"/>
    <w:rsid w:val="750B770B"/>
    <w:rsid w:val="751D070B"/>
    <w:rsid w:val="752012E9"/>
    <w:rsid w:val="75222F4D"/>
    <w:rsid w:val="752CF485"/>
    <w:rsid w:val="7544CE2F"/>
    <w:rsid w:val="754AD85F"/>
    <w:rsid w:val="754C22CD"/>
    <w:rsid w:val="75581CEF"/>
    <w:rsid w:val="756335AA"/>
    <w:rsid w:val="756957C6"/>
    <w:rsid w:val="7572A89E"/>
    <w:rsid w:val="7574350C"/>
    <w:rsid w:val="757AE8A1"/>
    <w:rsid w:val="757BCA68"/>
    <w:rsid w:val="758AFD8B"/>
    <w:rsid w:val="75A078FB"/>
    <w:rsid w:val="75A56059"/>
    <w:rsid w:val="75AD7359"/>
    <w:rsid w:val="75B63964"/>
    <w:rsid w:val="75B7B207"/>
    <w:rsid w:val="75B83354"/>
    <w:rsid w:val="75B85D76"/>
    <w:rsid w:val="75B99558"/>
    <w:rsid w:val="75BC6F24"/>
    <w:rsid w:val="75BF225A"/>
    <w:rsid w:val="75C905FB"/>
    <w:rsid w:val="75CC68AF"/>
    <w:rsid w:val="75D0BFD7"/>
    <w:rsid w:val="75D5D12C"/>
    <w:rsid w:val="75D8BB97"/>
    <w:rsid w:val="75E1B08A"/>
    <w:rsid w:val="75E3E397"/>
    <w:rsid w:val="75EE954D"/>
    <w:rsid w:val="76103CB7"/>
    <w:rsid w:val="7616F3A1"/>
    <w:rsid w:val="761BA5F5"/>
    <w:rsid w:val="761C4882"/>
    <w:rsid w:val="7628816D"/>
    <w:rsid w:val="7631CFFC"/>
    <w:rsid w:val="763FDBD4"/>
    <w:rsid w:val="7643F25C"/>
    <w:rsid w:val="7655619E"/>
    <w:rsid w:val="765F1EB7"/>
    <w:rsid w:val="765F2309"/>
    <w:rsid w:val="76703AE3"/>
    <w:rsid w:val="767B713D"/>
    <w:rsid w:val="768B2710"/>
    <w:rsid w:val="76911248"/>
    <w:rsid w:val="769134E7"/>
    <w:rsid w:val="7693D949"/>
    <w:rsid w:val="76B042D1"/>
    <w:rsid w:val="76BB3DC5"/>
    <w:rsid w:val="76CBAEFE"/>
    <w:rsid w:val="76CCAA61"/>
    <w:rsid w:val="76CE372C"/>
    <w:rsid w:val="76CF532E"/>
    <w:rsid w:val="76D291FF"/>
    <w:rsid w:val="76E1D67D"/>
    <w:rsid w:val="76E2B179"/>
    <w:rsid w:val="76F0D593"/>
    <w:rsid w:val="76F4AD6C"/>
    <w:rsid w:val="76F56E13"/>
    <w:rsid w:val="770C535D"/>
    <w:rsid w:val="771C1A12"/>
    <w:rsid w:val="771E38F1"/>
    <w:rsid w:val="7722C82E"/>
    <w:rsid w:val="7724CEBC"/>
    <w:rsid w:val="77283BE1"/>
    <w:rsid w:val="77347CF8"/>
    <w:rsid w:val="7744994C"/>
    <w:rsid w:val="776514AA"/>
    <w:rsid w:val="776A4C4D"/>
    <w:rsid w:val="776CAC84"/>
    <w:rsid w:val="77709159"/>
    <w:rsid w:val="777A02E5"/>
    <w:rsid w:val="777B42DE"/>
    <w:rsid w:val="777B4568"/>
    <w:rsid w:val="77818459"/>
    <w:rsid w:val="7786563A"/>
    <w:rsid w:val="77984253"/>
    <w:rsid w:val="779C2E8A"/>
    <w:rsid w:val="77A00DEB"/>
    <w:rsid w:val="77B4CECA"/>
    <w:rsid w:val="77BA58F4"/>
    <w:rsid w:val="77C1F0DA"/>
    <w:rsid w:val="77C5A207"/>
    <w:rsid w:val="77C64DAC"/>
    <w:rsid w:val="77D32CAB"/>
    <w:rsid w:val="77D8C829"/>
    <w:rsid w:val="77E285CA"/>
    <w:rsid w:val="77E8B22A"/>
    <w:rsid w:val="77EB83EF"/>
    <w:rsid w:val="77F1A826"/>
    <w:rsid w:val="77FC02F4"/>
    <w:rsid w:val="77FEF69E"/>
    <w:rsid w:val="77FF1CFD"/>
    <w:rsid w:val="7800B4A4"/>
    <w:rsid w:val="780CA236"/>
    <w:rsid w:val="781AB769"/>
    <w:rsid w:val="782BCBD6"/>
    <w:rsid w:val="782FEE81"/>
    <w:rsid w:val="7843E0B3"/>
    <w:rsid w:val="7847AEEB"/>
    <w:rsid w:val="784C5CC9"/>
    <w:rsid w:val="784EC357"/>
    <w:rsid w:val="78509796"/>
    <w:rsid w:val="7852E394"/>
    <w:rsid w:val="785314FC"/>
    <w:rsid w:val="7855481B"/>
    <w:rsid w:val="785AB719"/>
    <w:rsid w:val="785E5441"/>
    <w:rsid w:val="785F1649"/>
    <w:rsid w:val="78625A3E"/>
    <w:rsid w:val="78676053"/>
    <w:rsid w:val="78681CFB"/>
    <w:rsid w:val="786B491B"/>
    <w:rsid w:val="788495A7"/>
    <w:rsid w:val="788534D9"/>
    <w:rsid w:val="7894FE66"/>
    <w:rsid w:val="78A0F888"/>
    <w:rsid w:val="78AB2A62"/>
    <w:rsid w:val="78B533D5"/>
    <w:rsid w:val="78BDB67F"/>
    <w:rsid w:val="78C14294"/>
    <w:rsid w:val="78C1F0A0"/>
    <w:rsid w:val="78C6A56D"/>
    <w:rsid w:val="78C8E89E"/>
    <w:rsid w:val="78C9CFF4"/>
    <w:rsid w:val="78D0098B"/>
    <w:rsid w:val="78DA2671"/>
    <w:rsid w:val="78DBBF54"/>
    <w:rsid w:val="78E45CD6"/>
    <w:rsid w:val="78E4711D"/>
    <w:rsid w:val="78EBBB4D"/>
    <w:rsid w:val="78ECA8E4"/>
    <w:rsid w:val="7907B0DD"/>
    <w:rsid w:val="7910D3BB"/>
    <w:rsid w:val="79174804"/>
    <w:rsid w:val="79230124"/>
    <w:rsid w:val="79250571"/>
    <w:rsid w:val="79290506"/>
    <w:rsid w:val="79371E1D"/>
    <w:rsid w:val="793747FA"/>
    <w:rsid w:val="793F43F0"/>
    <w:rsid w:val="794367C5"/>
    <w:rsid w:val="794BC5F2"/>
    <w:rsid w:val="794FA94B"/>
    <w:rsid w:val="7957F40C"/>
    <w:rsid w:val="795E2D9F"/>
    <w:rsid w:val="796A1AB4"/>
    <w:rsid w:val="797707E6"/>
    <w:rsid w:val="7978C069"/>
    <w:rsid w:val="7984882D"/>
    <w:rsid w:val="79A11C89"/>
    <w:rsid w:val="79A3E69B"/>
    <w:rsid w:val="79A81EFA"/>
    <w:rsid w:val="79A880FE"/>
    <w:rsid w:val="79A8B7F7"/>
    <w:rsid w:val="79ABFBE1"/>
    <w:rsid w:val="79B17C9F"/>
    <w:rsid w:val="79B200D3"/>
    <w:rsid w:val="79B2DCD5"/>
    <w:rsid w:val="79B5CBD4"/>
    <w:rsid w:val="79B6F3B8"/>
    <w:rsid w:val="79C331DC"/>
    <w:rsid w:val="79C62765"/>
    <w:rsid w:val="79CAEC78"/>
    <w:rsid w:val="79CC2201"/>
    <w:rsid w:val="79DB0124"/>
    <w:rsid w:val="79DB785D"/>
    <w:rsid w:val="79E60DC6"/>
    <w:rsid w:val="79E98E1F"/>
    <w:rsid w:val="79FD37F6"/>
    <w:rsid w:val="79FEC7F5"/>
    <w:rsid w:val="79FFAEA7"/>
    <w:rsid w:val="7A0C8B16"/>
    <w:rsid w:val="7A0FBC13"/>
    <w:rsid w:val="7A1D4413"/>
    <w:rsid w:val="7A1E189F"/>
    <w:rsid w:val="7A22E1AC"/>
    <w:rsid w:val="7A278176"/>
    <w:rsid w:val="7A2D2774"/>
    <w:rsid w:val="7A498EC2"/>
    <w:rsid w:val="7A54394A"/>
    <w:rsid w:val="7A57CB72"/>
    <w:rsid w:val="7A7042C9"/>
    <w:rsid w:val="7A7AA0B8"/>
    <w:rsid w:val="7A86EB04"/>
    <w:rsid w:val="7A90CE31"/>
    <w:rsid w:val="7A91E607"/>
    <w:rsid w:val="7A92937D"/>
    <w:rsid w:val="7A9B6BC7"/>
    <w:rsid w:val="7AA1F7FA"/>
    <w:rsid w:val="7AA614A1"/>
    <w:rsid w:val="7AAE12B7"/>
    <w:rsid w:val="7AC3FA0B"/>
    <w:rsid w:val="7ACBFA79"/>
    <w:rsid w:val="7AD035EB"/>
    <w:rsid w:val="7AED1A5C"/>
    <w:rsid w:val="7AEDF33D"/>
    <w:rsid w:val="7AF8EF39"/>
    <w:rsid w:val="7AFE1B1A"/>
    <w:rsid w:val="7B0D0380"/>
    <w:rsid w:val="7B0E162E"/>
    <w:rsid w:val="7B0EB16A"/>
    <w:rsid w:val="7B1220F2"/>
    <w:rsid w:val="7B1968EB"/>
    <w:rsid w:val="7B238A54"/>
    <w:rsid w:val="7B32891C"/>
    <w:rsid w:val="7B3BC98D"/>
    <w:rsid w:val="7B48FA1F"/>
    <w:rsid w:val="7B5D60FB"/>
    <w:rsid w:val="7B66BAF7"/>
    <w:rsid w:val="7B678FF2"/>
    <w:rsid w:val="7B6A6F3F"/>
    <w:rsid w:val="7B7B7F37"/>
    <w:rsid w:val="7B827F98"/>
    <w:rsid w:val="7B9AD30B"/>
    <w:rsid w:val="7BA21EE1"/>
    <w:rsid w:val="7BA23CDD"/>
    <w:rsid w:val="7BA85B77"/>
    <w:rsid w:val="7BC3FF21"/>
    <w:rsid w:val="7BDD1462"/>
    <w:rsid w:val="7BE09B9A"/>
    <w:rsid w:val="7BEC9D23"/>
    <w:rsid w:val="7BEE4BCB"/>
    <w:rsid w:val="7BF01A2A"/>
    <w:rsid w:val="7BF1C1A7"/>
    <w:rsid w:val="7BF60DA6"/>
    <w:rsid w:val="7BFB8D05"/>
    <w:rsid w:val="7BFC29FA"/>
    <w:rsid w:val="7BFC6A51"/>
    <w:rsid w:val="7C057B44"/>
    <w:rsid w:val="7C08856B"/>
    <w:rsid w:val="7C0E8B25"/>
    <w:rsid w:val="7C1C2653"/>
    <w:rsid w:val="7C1FECF4"/>
    <w:rsid w:val="7C3CBC3B"/>
    <w:rsid w:val="7C46A20F"/>
    <w:rsid w:val="7C46B1FF"/>
    <w:rsid w:val="7C4A7BEA"/>
    <w:rsid w:val="7C4D06BB"/>
    <w:rsid w:val="7C52E4D1"/>
    <w:rsid w:val="7C717EC8"/>
    <w:rsid w:val="7C7A6F62"/>
    <w:rsid w:val="7C8C9BF1"/>
    <w:rsid w:val="7C8E9B22"/>
    <w:rsid w:val="7C9556CA"/>
    <w:rsid w:val="7CA1015A"/>
    <w:rsid w:val="7CAAF380"/>
    <w:rsid w:val="7CAE538B"/>
    <w:rsid w:val="7CB3575B"/>
    <w:rsid w:val="7CBC537A"/>
    <w:rsid w:val="7CC6855F"/>
    <w:rsid w:val="7CD0AFFD"/>
    <w:rsid w:val="7CD331DD"/>
    <w:rsid w:val="7CD39423"/>
    <w:rsid w:val="7CE21FDC"/>
    <w:rsid w:val="7CFAEDDC"/>
    <w:rsid w:val="7CFBB825"/>
    <w:rsid w:val="7D0022C3"/>
    <w:rsid w:val="7D038CA6"/>
    <w:rsid w:val="7D094D4F"/>
    <w:rsid w:val="7D0AACC2"/>
    <w:rsid w:val="7D1BC8BD"/>
    <w:rsid w:val="7D2B037B"/>
    <w:rsid w:val="7D2E939C"/>
    <w:rsid w:val="7D319EF3"/>
    <w:rsid w:val="7D48C759"/>
    <w:rsid w:val="7D48E2F0"/>
    <w:rsid w:val="7D4E0C01"/>
    <w:rsid w:val="7D57C9CC"/>
    <w:rsid w:val="7D5AEAFF"/>
    <w:rsid w:val="7D61C524"/>
    <w:rsid w:val="7D6AE925"/>
    <w:rsid w:val="7D6C055C"/>
    <w:rsid w:val="7D6F21DC"/>
    <w:rsid w:val="7D740653"/>
    <w:rsid w:val="7D753B38"/>
    <w:rsid w:val="7D870C04"/>
    <w:rsid w:val="7D9AA420"/>
    <w:rsid w:val="7D9FC72E"/>
    <w:rsid w:val="7D9FEBF7"/>
    <w:rsid w:val="7DB68FE7"/>
    <w:rsid w:val="7DC5ED55"/>
    <w:rsid w:val="7DD1FD7F"/>
    <w:rsid w:val="7DD39A1C"/>
    <w:rsid w:val="7DDD3C10"/>
    <w:rsid w:val="7DE1164D"/>
    <w:rsid w:val="7DE82EF2"/>
    <w:rsid w:val="7DEDEA57"/>
    <w:rsid w:val="7DF11DBB"/>
    <w:rsid w:val="7DF8F33B"/>
    <w:rsid w:val="7E172EF4"/>
    <w:rsid w:val="7E18094C"/>
    <w:rsid w:val="7E1E7B37"/>
    <w:rsid w:val="7E2330A8"/>
    <w:rsid w:val="7E3221B6"/>
    <w:rsid w:val="7E3E4954"/>
    <w:rsid w:val="7E4EBF4E"/>
    <w:rsid w:val="7E5D9FC2"/>
    <w:rsid w:val="7E6B4478"/>
    <w:rsid w:val="7E736A4F"/>
    <w:rsid w:val="7E9273B2"/>
    <w:rsid w:val="7E92DF5F"/>
    <w:rsid w:val="7E9A5615"/>
    <w:rsid w:val="7EAD81A3"/>
    <w:rsid w:val="7EAF5F9F"/>
    <w:rsid w:val="7EAFCDBB"/>
    <w:rsid w:val="7EBA9747"/>
    <w:rsid w:val="7EC2AFC6"/>
    <w:rsid w:val="7EC6D3DC"/>
    <w:rsid w:val="7ECA1B91"/>
    <w:rsid w:val="7ED475CF"/>
    <w:rsid w:val="7EDA67FC"/>
    <w:rsid w:val="7EDACAE9"/>
    <w:rsid w:val="7EEAB67E"/>
    <w:rsid w:val="7EFB0828"/>
    <w:rsid w:val="7F12E2F4"/>
    <w:rsid w:val="7F22AF29"/>
    <w:rsid w:val="7F25EFE1"/>
    <w:rsid w:val="7F2805AA"/>
    <w:rsid w:val="7F471AF4"/>
    <w:rsid w:val="7F528486"/>
    <w:rsid w:val="7F62E68E"/>
    <w:rsid w:val="7F66406A"/>
    <w:rsid w:val="7F69DF6A"/>
    <w:rsid w:val="7F6CC6B7"/>
    <w:rsid w:val="7F6D38AA"/>
    <w:rsid w:val="7F778040"/>
    <w:rsid w:val="7F7E7447"/>
    <w:rsid w:val="7F7E81EA"/>
    <w:rsid w:val="7F7F0877"/>
    <w:rsid w:val="7F8BAEB8"/>
    <w:rsid w:val="7F9DD58E"/>
    <w:rsid w:val="7FA36FBB"/>
    <w:rsid w:val="7FADB3C1"/>
    <w:rsid w:val="7FD2E69E"/>
    <w:rsid w:val="7FDA80F7"/>
    <w:rsid w:val="7FDBC891"/>
    <w:rsid w:val="7FE1DDC3"/>
    <w:rsid w:val="7FE52724"/>
    <w:rsid w:val="7FE98CEC"/>
    <w:rsid w:val="7FF36756"/>
    <w:rsid w:val="7FFCF421"/>
    <w:rsid w:val="7FFE725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F24C0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9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0"/>
    <w:qFormat/>
    <w:rsid w:val="002C01F2"/>
    <w:pPr>
      <w:spacing w:after="240" w:line="240" w:lineRule="auto"/>
      <w:jc w:val="both"/>
    </w:pPr>
    <w:rPr>
      <w:rFonts w:ascii="Times New Roman" w:eastAsia="Times New Roman" w:hAnsi="Times New Roman" w:cs="Times New Roman"/>
      <w:sz w:val="24"/>
      <w:szCs w:val="20"/>
      <w:lang w:eastAsia="fr-BE"/>
    </w:rPr>
  </w:style>
  <w:style w:type="paragraph" w:styleId="Heading1">
    <w:name w:val="heading 1"/>
    <w:basedOn w:val="Normal"/>
    <w:next w:val="Normal"/>
    <w:link w:val="Heading1Char"/>
    <w:uiPriority w:val="9"/>
    <w:qFormat/>
    <w:rsid w:val="005133BD"/>
    <w:pPr>
      <w:keepNext/>
      <w:keepLines/>
      <w:numPr>
        <w:numId w:val="186"/>
      </w:numPr>
      <w:spacing w:before="240" w:after="0"/>
      <w:jc w:val="left"/>
      <w:outlineLvl w:val="0"/>
    </w:pPr>
    <w:rPr>
      <w:rFonts w:asciiTheme="majorHAnsi" w:eastAsiaTheme="majorEastAsia" w:hAnsiTheme="majorHAnsi" w:cstheme="majorBidi"/>
      <w:color w:val="2E74B5" w:themeColor="accent1" w:themeShade="BF"/>
      <w:sz w:val="32"/>
      <w:szCs w:val="32"/>
      <w:lang w:eastAsia="en-US"/>
    </w:rPr>
  </w:style>
  <w:style w:type="paragraph" w:styleId="Heading2">
    <w:name w:val="heading 2"/>
    <w:basedOn w:val="Normal"/>
    <w:next w:val="Normal"/>
    <w:link w:val="Heading2Char"/>
    <w:uiPriority w:val="9"/>
    <w:unhideWhenUsed/>
    <w:qFormat/>
    <w:rsid w:val="00572BE7"/>
    <w:pPr>
      <w:keepNext/>
      <w:keepLines/>
      <w:spacing w:before="40" w:after="0"/>
      <w:jc w:val="left"/>
      <w:outlineLvl w:val="1"/>
    </w:pPr>
    <w:rPr>
      <w:rFonts w:asciiTheme="majorHAnsi" w:eastAsiaTheme="majorEastAsia" w:hAnsiTheme="majorHAnsi" w:cstheme="majorBidi"/>
      <w:color w:val="000000" w:themeColor="text1"/>
      <w:sz w:val="26"/>
      <w:szCs w:val="26"/>
      <w:lang w:eastAsia="en-US"/>
    </w:rPr>
  </w:style>
  <w:style w:type="paragraph" w:styleId="Heading3">
    <w:name w:val="heading 3"/>
    <w:basedOn w:val="Normal"/>
    <w:next w:val="Normal"/>
    <w:link w:val="Heading3Char"/>
    <w:uiPriority w:val="9"/>
    <w:unhideWhenUsed/>
    <w:qFormat/>
    <w:rsid w:val="0062492F"/>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semiHidden/>
    <w:unhideWhenUsed/>
    <w:qFormat/>
    <w:rsid w:val="001A6BB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1,Normal bullet 2,Bullet list,Numbered List,List Paragraph1,1st level - Bullet List Paragraph,Lettre d'introduction,Paragrafo elenco,Llista Nivell1,Lista de nivel 1,Table of contents numbered,Paragraphe de liste PBLH,BULLET 1,List11,L"/>
    <w:basedOn w:val="Normal"/>
    <w:link w:val="ListParagraphChar"/>
    <w:uiPriority w:val="34"/>
    <w:qFormat/>
    <w:rsid w:val="00C20B11"/>
    <w:pPr>
      <w:spacing w:after="0"/>
      <w:ind w:left="720"/>
      <w:jc w:val="left"/>
    </w:pPr>
    <w:rPr>
      <w:rFonts w:eastAsia="Calibri"/>
      <w:szCs w:val="24"/>
      <w:lang w:eastAsia="en-GB"/>
    </w:rPr>
  </w:style>
  <w:style w:type="character" w:customStyle="1" w:styleId="ListParagraphChar">
    <w:name w:val="List Paragraph Char"/>
    <w:aliases w:val="List1 Char,Normal bullet 2 Char,Bullet list Char,Numbered List Char,List Paragraph1 Char,1st level - Bullet List Paragraph Char,Lettre d'introduction Char,Paragrafo elenco Char,Llista Nivell1 Char,Lista de nivel 1 Char,BULLET 1 Char"/>
    <w:basedOn w:val="DefaultParagraphFont"/>
    <w:link w:val="ListParagraph"/>
    <w:uiPriority w:val="34"/>
    <w:qFormat/>
    <w:rsid w:val="00C20B11"/>
    <w:rPr>
      <w:rFonts w:ascii="Times New Roman" w:eastAsia="Calibri" w:hAnsi="Times New Roman" w:cs="Times New Roman"/>
      <w:sz w:val="24"/>
      <w:szCs w:val="24"/>
      <w:lang w:val="fr-FR" w:eastAsia="en-GB"/>
    </w:rPr>
  </w:style>
  <w:style w:type="character" w:customStyle="1" w:styleId="Heading1Char">
    <w:name w:val="Heading 1 Char"/>
    <w:basedOn w:val="DefaultParagraphFont"/>
    <w:link w:val="Heading1"/>
    <w:uiPriority w:val="9"/>
    <w:rsid w:val="005133B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72BE7"/>
    <w:rPr>
      <w:rFonts w:asciiTheme="majorHAnsi" w:eastAsiaTheme="majorEastAsia" w:hAnsiTheme="majorHAnsi" w:cstheme="majorBidi"/>
      <w:color w:val="000000" w:themeColor="text1"/>
      <w:sz w:val="26"/>
      <w:szCs w:val="26"/>
    </w:rPr>
  </w:style>
  <w:style w:type="table" w:styleId="TableGrid">
    <w:name w:val="Table Grid"/>
    <w:basedOn w:val="TableNormal"/>
    <w:uiPriority w:val="39"/>
    <w:rsid w:val="00CD2CF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ject">
    <w:name w:val="Subject"/>
    <w:basedOn w:val="Normal"/>
    <w:uiPriority w:val="99"/>
    <w:rsid w:val="00B8634E"/>
    <w:pPr>
      <w:spacing w:after="480"/>
      <w:ind w:left="1531" w:hanging="1531"/>
      <w:contextualSpacing/>
      <w:jc w:val="left"/>
    </w:pPr>
    <w:rPr>
      <w:b/>
    </w:rPr>
  </w:style>
  <w:style w:type="character" w:customStyle="1" w:styleId="normaltextrun">
    <w:name w:val="normaltextrun"/>
    <w:basedOn w:val="DefaultParagraphFont"/>
    <w:rsid w:val="00B8634E"/>
  </w:style>
  <w:style w:type="paragraph" w:customStyle="1" w:styleId="Copies">
    <w:name w:val="Copies"/>
    <w:basedOn w:val="Normal"/>
    <w:uiPriority w:val="99"/>
    <w:rsid w:val="008162B0"/>
    <w:pPr>
      <w:tabs>
        <w:tab w:val="left" w:pos="5669"/>
      </w:tabs>
      <w:spacing w:before="480" w:after="0"/>
      <w:ind w:left="1984" w:hanging="1984"/>
      <w:contextualSpacing/>
      <w:jc w:val="left"/>
    </w:pPr>
  </w:style>
  <w:style w:type="paragraph" w:customStyle="1" w:styleId="paragraph">
    <w:name w:val="paragraph"/>
    <w:basedOn w:val="Normal"/>
    <w:rsid w:val="008162B0"/>
    <w:pPr>
      <w:spacing w:before="100" w:beforeAutospacing="1" w:after="100" w:afterAutospacing="1"/>
      <w:jc w:val="left"/>
    </w:pPr>
    <w:rPr>
      <w:szCs w:val="24"/>
      <w:lang w:eastAsia="en-GB"/>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Char"/>
    <w:basedOn w:val="Normal"/>
    <w:link w:val="FootnoteTextChar"/>
    <w:uiPriority w:val="99"/>
    <w:qFormat/>
    <w:rsid w:val="007151F2"/>
    <w:pPr>
      <w:spacing w:after="120"/>
      <w:ind w:left="357" w:hanging="357"/>
    </w:pPr>
    <w:rPr>
      <w:sz w:val="20"/>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basedOn w:val="DefaultParagraphFont"/>
    <w:link w:val="FootnoteText"/>
    <w:uiPriority w:val="99"/>
    <w:qFormat/>
    <w:rsid w:val="007151F2"/>
    <w:rPr>
      <w:rFonts w:ascii="Times New Roman" w:eastAsia="Times New Roman" w:hAnsi="Times New Roman" w:cs="Times New Roman"/>
      <w:sz w:val="20"/>
      <w:szCs w:val="20"/>
      <w:lang w:val="fr-FR" w:eastAsia="fr-BE"/>
    </w:rPr>
  </w:style>
  <w:style w:type="character" w:styleId="FootnoteReference">
    <w:name w:val="footnote reference"/>
    <w:aliases w:val="Nota Char,Char1 Char,(NECG) Footnote Reference Char,fr Char,Appel note de bas de p Char,o Char,Style 6 Char,Signature Ch Char,Footnote symbol,Footnote reference number,Footnote,Times 10 Point,Exposant 3 Point,Ref,de nota al pie,SUPERS"/>
    <w:basedOn w:val="DefaultParagraphFont"/>
    <w:link w:val="Nota"/>
    <w:uiPriority w:val="99"/>
    <w:qFormat/>
    <w:rsid w:val="007151F2"/>
    <w:rPr>
      <w:vertAlign w:val="superscript"/>
    </w:rPr>
  </w:style>
  <w:style w:type="paragraph" w:customStyle="1" w:styleId="Nota">
    <w:name w:val="Nota"/>
    <w:aliases w:val="Char1,(NECG) Footnote Reference,fr,Appel note de bas de p,o,Style 6,Signature Ch, Char1"/>
    <w:basedOn w:val="Normal"/>
    <w:link w:val="FootnoteReference"/>
    <w:uiPriority w:val="99"/>
    <w:rsid w:val="007151F2"/>
    <w:pPr>
      <w:spacing w:after="160" w:line="240" w:lineRule="exact"/>
    </w:pPr>
    <w:rPr>
      <w:rFonts w:asciiTheme="minorHAnsi" w:eastAsiaTheme="minorHAnsi" w:hAnsiTheme="minorHAnsi" w:cstheme="minorBidi"/>
      <w:sz w:val="22"/>
      <w:szCs w:val="22"/>
      <w:vertAlign w:val="superscript"/>
      <w:lang w:eastAsia="en-US"/>
    </w:rPr>
  </w:style>
  <w:style w:type="paragraph" w:styleId="NormalWeb">
    <w:name w:val="Normal (Web)"/>
    <w:basedOn w:val="Normal"/>
    <w:uiPriority w:val="99"/>
    <w:unhideWhenUsed/>
    <w:rsid w:val="0062492F"/>
    <w:pPr>
      <w:spacing w:before="100" w:beforeAutospacing="1" w:after="100" w:afterAutospacing="1"/>
      <w:jc w:val="left"/>
    </w:pPr>
    <w:rPr>
      <w:szCs w:val="24"/>
      <w:lang w:eastAsia="en-GB"/>
    </w:rPr>
  </w:style>
  <w:style w:type="paragraph" w:customStyle="1" w:styleId="logo">
    <w:name w:val="logo"/>
    <w:basedOn w:val="Normal"/>
    <w:link w:val="logoChar"/>
    <w:rsid w:val="0062492F"/>
    <w:pPr>
      <w:spacing w:before="100" w:beforeAutospacing="1" w:after="100" w:afterAutospacing="1"/>
      <w:jc w:val="left"/>
    </w:pPr>
    <w:rPr>
      <w:szCs w:val="24"/>
      <w:lang w:eastAsia="en-GB"/>
    </w:rPr>
  </w:style>
  <w:style w:type="paragraph" w:customStyle="1" w:styleId="emission">
    <w:name w:val="emission"/>
    <w:basedOn w:val="Normal"/>
    <w:rsid w:val="0062492F"/>
    <w:pPr>
      <w:spacing w:before="100" w:beforeAutospacing="1" w:after="100" w:afterAutospacing="1"/>
      <w:jc w:val="left"/>
    </w:pPr>
    <w:rPr>
      <w:szCs w:val="24"/>
      <w:lang w:eastAsia="en-GB"/>
    </w:rPr>
  </w:style>
  <w:style w:type="paragraph" w:customStyle="1" w:styleId="rfrenceinstitutionnelle">
    <w:name w:val="rfrenceinstitutionnelle"/>
    <w:basedOn w:val="Normal"/>
    <w:rsid w:val="0062492F"/>
    <w:pPr>
      <w:spacing w:before="100" w:beforeAutospacing="1" w:after="100" w:afterAutospacing="1"/>
      <w:jc w:val="left"/>
    </w:pPr>
    <w:rPr>
      <w:szCs w:val="24"/>
      <w:lang w:eastAsia="en-GB"/>
    </w:rPr>
  </w:style>
  <w:style w:type="paragraph" w:customStyle="1" w:styleId="typedudocumentcp">
    <w:name w:val="typedudocument_cp"/>
    <w:basedOn w:val="Normal"/>
    <w:rsid w:val="0062492F"/>
    <w:pPr>
      <w:spacing w:before="100" w:beforeAutospacing="1" w:after="100" w:afterAutospacing="1"/>
      <w:jc w:val="left"/>
    </w:pPr>
    <w:rPr>
      <w:szCs w:val="24"/>
      <w:lang w:eastAsia="en-GB"/>
    </w:rPr>
  </w:style>
  <w:style w:type="paragraph" w:styleId="TOCHeading">
    <w:name w:val="TOC Heading"/>
    <w:basedOn w:val="Heading1"/>
    <w:next w:val="Normal"/>
    <w:uiPriority w:val="39"/>
    <w:unhideWhenUsed/>
    <w:qFormat/>
    <w:rsid w:val="0062492F"/>
    <w:pPr>
      <w:spacing w:line="259" w:lineRule="auto"/>
      <w:outlineLvl w:val="9"/>
    </w:pPr>
  </w:style>
  <w:style w:type="paragraph" w:styleId="TOC1">
    <w:name w:val="toc 1"/>
    <w:basedOn w:val="Normal"/>
    <w:next w:val="Normal"/>
    <w:autoRedefine/>
    <w:uiPriority w:val="39"/>
    <w:unhideWhenUsed/>
    <w:rsid w:val="00DB56F9"/>
    <w:pPr>
      <w:tabs>
        <w:tab w:val="right" w:leader="dot" w:pos="9016"/>
      </w:tabs>
      <w:spacing w:after="100"/>
    </w:pPr>
  </w:style>
  <w:style w:type="paragraph" w:styleId="TOC2">
    <w:name w:val="toc 2"/>
    <w:basedOn w:val="Normal"/>
    <w:next w:val="Normal"/>
    <w:autoRedefine/>
    <w:uiPriority w:val="39"/>
    <w:unhideWhenUsed/>
    <w:rsid w:val="00011DCD"/>
    <w:pPr>
      <w:tabs>
        <w:tab w:val="right" w:leader="dot" w:pos="9016"/>
      </w:tabs>
      <w:spacing w:after="100"/>
      <w:ind w:left="284"/>
    </w:pPr>
    <w:rPr>
      <w:noProof/>
    </w:rPr>
  </w:style>
  <w:style w:type="character" w:styleId="Hyperlink">
    <w:name w:val="Hyperlink"/>
    <w:basedOn w:val="DefaultParagraphFont"/>
    <w:uiPriority w:val="99"/>
    <w:unhideWhenUsed/>
    <w:rsid w:val="0062492F"/>
    <w:rPr>
      <w:color w:val="0563C1" w:themeColor="hyperlink"/>
      <w:u w:val="single"/>
    </w:rPr>
  </w:style>
  <w:style w:type="character" w:customStyle="1" w:styleId="eop">
    <w:name w:val="eop"/>
    <w:basedOn w:val="DefaultParagraphFont"/>
    <w:rsid w:val="0062492F"/>
  </w:style>
  <w:style w:type="character" w:customStyle="1" w:styleId="Heading3Char">
    <w:name w:val="Heading 3 Char"/>
    <w:basedOn w:val="DefaultParagraphFont"/>
    <w:link w:val="Heading3"/>
    <w:uiPriority w:val="9"/>
    <w:rsid w:val="0062492F"/>
    <w:rPr>
      <w:rFonts w:asciiTheme="majorHAnsi" w:eastAsiaTheme="majorEastAsia" w:hAnsiTheme="majorHAnsi" w:cstheme="majorBidi"/>
      <w:color w:val="1F4D78" w:themeColor="accent1" w:themeShade="7F"/>
      <w:sz w:val="24"/>
      <w:szCs w:val="24"/>
      <w:lang w:val="fr-FR" w:eastAsia="fr-BE"/>
    </w:rPr>
  </w:style>
  <w:style w:type="paragraph" w:styleId="TOC3">
    <w:name w:val="toc 3"/>
    <w:basedOn w:val="Normal"/>
    <w:next w:val="Normal"/>
    <w:autoRedefine/>
    <w:uiPriority w:val="39"/>
    <w:unhideWhenUsed/>
    <w:rsid w:val="00A21EE0"/>
    <w:pPr>
      <w:tabs>
        <w:tab w:val="right" w:leader="dot" w:pos="9016"/>
      </w:tabs>
      <w:spacing w:after="100"/>
      <w:ind w:left="480"/>
    </w:pPr>
  </w:style>
  <w:style w:type="character" w:styleId="CommentReference">
    <w:name w:val="annotation reference"/>
    <w:basedOn w:val="DefaultParagraphFont"/>
    <w:uiPriority w:val="99"/>
    <w:semiHidden/>
    <w:rsid w:val="0062492F"/>
    <w:rPr>
      <w:sz w:val="16"/>
      <w:szCs w:val="16"/>
    </w:rPr>
  </w:style>
  <w:style w:type="paragraph" w:styleId="CommentText">
    <w:name w:val="annotation text"/>
    <w:basedOn w:val="Normal"/>
    <w:link w:val="CommentTextChar"/>
    <w:uiPriority w:val="99"/>
    <w:rsid w:val="0062492F"/>
    <w:rPr>
      <w:sz w:val="20"/>
    </w:rPr>
  </w:style>
  <w:style w:type="character" w:customStyle="1" w:styleId="CommentTextChar">
    <w:name w:val="Comment Text Char"/>
    <w:basedOn w:val="DefaultParagraphFont"/>
    <w:link w:val="CommentText"/>
    <w:uiPriority w:val="99"/>
    <w:rsid w:val="0062492F"/>
    <w:rPr>
      <w:rFonts w:ascii="Times New Roman" w:eastAsia="Times New Roman" w:hAnsi="Times New Roman" w:cs="Times New Roman"/>
      <w:sz w:val="20"/>
      <w:szCs w:val="20"/>
      <w:lang w:eastAsia="fr-BE"/>
    </w:rPr>
  </w:style>
  <w:style w:type="paragraph" w:styleId="BalloonText">
    <w:name w:val="Balloon Text"/>
    <w:basedOn w:val="Normal"/>
    <w:link w:val="BalloonTextChar"/>
    <w:uiPriority w:val="99"/>
    <w:semiHidden/>
    <w:unhideWhenUsed/>
    <w:rsid w:val="0062492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492F"/>
    <w:rPr>
      <w:rFonts w:ascii="Segoe UI" w:eastAsia="Times New Roman" w:hAnsi="Segoe UI" w:cs="Segoe UI"/>
      <w:sz w:val="18"/>
      <w:szCs w:val="18"/>
      <w:lang w:val="fr-FR" w:eastAsia="fr-BE"/>
    </w:rPr>
  </w:style>
  <w:style w:type="character" w:styleId="Strong">
    <w:name w:val="Strong"/>
    <w:basedOn w:val="DefaultParagraphFont"/>
    <w:uiPriority w:val="22"/>
    <w:qFormat/>
    <w:rsid w:val="0062492F"/>
    <w:rPr>
      <w:b/>
      <w:bCs/>
    </w:rPr>
  </w:style>
  <w:style w:type="paragraph" w:styleId="CommentSubject">
    <w:name w:val="annotation subject"/>
    <w:basedOn w:val="CommentText"/>
    <w:next w:val="CommentText"/>
    <w:link w:val="CommentSubjectChar"/>
    <w:uiPriority w:val="99"/>
    <w:semiHidden/>
    <w:unhideWhenUsed/>
    <w:rsid w:val="000D77EF"/>
    <w:rPr>
      <w:b/>
      <w:bCs/>
    </w:rPr>
  </w:style>
  <w:style w:type="character" w:customStyle="1" w:styleId="CommentSubjectChar">
    <w:name w:val="Comment Subject Char"/>
    <w:basedOn w:val="CommentTextChar"/>
    <w:link w:val="CommentSubject"/>
    <w:uiPriority w:val="99"/>
    <w:semiHidden/>
    <w:rsid w:val="000D77EF"/>
    <w:rPr>
      <w:rFonts w:ascii="Times New Roman" w:eastAsia="Times New Roman" w:hAnsi="Times New Roman" w:cs="Times New Roman"/>
      <w:b/>
      <w:bCs/>
      <w:sz w:val="20"/>
      <w:szCs w:val="20"/>
      <w:lang w:val="fr-FR" w:eastAsia="fr-BE"/>
    </w:rPr>
  </w:style>
  <w:style w:type="paragraph" w:styleId="Revision">
    <w:name w:val="Revision"/>
    <w:hidden/>
    <w:uiPriority w:val="99"/>
    <w:semiHidden/>
    <w:rsid w:val="00011DCD"/>
    <w:pPr>
      <w:spacing w:after="0" w:line="240" w:lineRule="auto"/>
    </w:pPr>
    <w:rPr>
      <w:rFonts w:ascii="Times New Roman" w:eastAsia="Times New Roman" w:hAnsi="Times New Roman" w:cs="Times New Roman"/>
      <w:sz w:val="24"/>
      <w:szCs w:val="20"/>
      <w:lang w:eastAsia="fr-BE"/>
    </w:rPr>
  </w:style>
  <w:style w:type="character" w:customStyle="1" w:styleId="Heading4Char">
    <w:name w:val="Heading 4 Char"/>
    <w:basedOn w:val="DefaultParagraphFont"/>
    <w:link w:val="Heading4"/>
    <w:uiPriority w:val="9"/>
    <w:semiHidden/>
    <w:rsid w:val="001A6BB4"/>
    <w:rPr>
      <w:rFonts w:asciiTheme="majorHAnsi" w:eastAsiaTheme="majorEastAsia" w:hAnsiTheme="majorHAnsi" w:cstheme="majorBidi"/>
      <w:i/>
      <w:iCs/>
      <w:color w:val="2E74B5" w:themeColor="accent1" w:themeShade="BF"/>
      <w:sz w:val="24"/>
      <w:szCs w:val="20"/>
      <w:lang w:val="fr-FR" w:eastAsia="fr-BE"/>
    </w:rPr>
  </w:style>
  <w:style w:type="paragraph" w:styleId="TOC4">
    <w:name w:val="toc 4"/>
    <w:basedOn w:val="Normal"/>
    <w:next w:val="Normal"/>
    <w:autoRedefine/>
    <w:uiPriority w:val="39"/>
    <w:unhideWhenUsed/>
    <w:rsid w:val="00DD2A42"/>
    <w:pPr>
      <w:tabs>
        <w:tab w:val="right" w:leader="dot" w:pos="9016"/>
      </w:tabs>
      <w:spacing w:after="100"/>
      <w:ind w:left="720"/>
    </w:pPr>
  </w:style>
  <w:style w:type="character" w:customStyle="1" w:styleId="superscript">
    <w:name w:val="superscript"/>
    <w:basedOn w:val="DefaultParagraphFont"/>
    <w:rsid w:val="00EA03B1"/>
  </w:style>
  <w:style w:type="paragraph" w:styleId="Subtitle">
    <w:name w:val="Subtitle"/>
    <w:basedOn w:val="Normal"/>
    <w:next w:val="Normal"/>
    <w:link w:val="SubtitleChar"/>
    <w:uiPriority w:val="11"/>
    <w:qFormat/>
    <w:rsid w:val="00187FB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187FB7"/>
    <w:rPr>
      <w:rFonts w:eastAsiaTheme="minorEastAsia"/>
      <w:color w:val="5A5A5A" w:themeColor="text1" w:themeTint="A5"/>
      <w:spacing w:val="15"/>
      <w:lang w:val="fr-FR" w:eastAsia="fr-BE"/>
    </w:rPr>
  </w:style>
  <w:style w:type="paragraph" w:styleId="Caption">
    <w:name w:val="caption"/>
    <w:basedOn w:val="Normal"/>
    <w:next w:val="Normal"/>
    <w:uiPriority w:val="35"/>
    <w:unhideWhenUsed/>
    <w:qFormat/>
    <w:rsid w:val="00187FB7"/>
    <w:pPr>
      <w:spacing w:after="200"/>
    </w:pPr>
    <w:rPr>
      <w:i/>
      <w:iCs/>
      <w:color w:val="44546A" w:themeColor="text2"/>
      <w:sz w:val="18"/>
      <w:szCs w:val="18"/>
    </w:rPr>
  </w:style>
  <w:style w:type="paragraph" w:styleId="Header">
    <w:name w:val="header"/>
    <w:basedOn w:val="Normal"/>
    <w:link w:val="HeaderChar"/>
    <w:uiPriority w:val="99"/>
    <w:unhideWhenUsed/>
    <w:rsid w:val="00C0026E"/>
    <w:pPr>
      <w:tabs>
        <w:tab w:val="center" w:pos="4680"/>
        <w:tab w:val="right" w:pos="9360"/>
      </w:tabs>
      <w:spacing w:after="0"/>
    </w:pPr>
  </w:style>
  <w:style w:type="character" w:customStyle="1" w:styleId="HeaderChar">
    <w:name w:val="Header Char"/>
    <w:basedOn w:val="DefaultParagraphFont"/>
    <w:link w:val="Header"/>
    <w:uiPriority w:val="99"/>
    <w:rsid w:val="00C0026E"/>
    <w:rPr>
      <w:rFonts w:ascii="Times New Roman" w:eastAsia="Times New Roman" w:hAnsi="Times New Roman" w:cs="Times New Roman"/>
      <w:sz w:val="24"/>
      <w:szCs w:val="20"/>
      <w:lang w:val="fr-FR" w:eastAsia="fr-BE"/>
    </w:rPr>
  </w:style>
  <w:style w:type="paragraph" w:styleId="Footer">
    <w:name w:val="footer"/>
    <w:basedOn w:val="Normal"/>
    <w:link w:val="FooterChar"/>
    <w:uiPriority w:val="99"/>
    <w:unhideWhenUsed/>
    <w:rsid w:val="00C0026E"/>
    <w:pPr>
      <w:tabs>
        <w:tab w:val="center" w:pos="4680"/>
        <w:tab w:val="right" w:pos="9360"/>
      </w:tabs>
      <w:spacing w:after="0"/>
    </w:pPr>
  </w:style>
  <w:style w:type="character" w:customStyle="1" w:styleId="FooterChar">
    <w:name w:val="Footer Char"/>
    <w:basedOn w:val="DefaultParagraphFont"/>
    <w:link w:val="Footer"/>
    <w:uiPriority w:val="99"/>
    <w:rsid w:val="00C0026E"/>
    <w:rPr>
      <w:rFonts w:ascii="Times New Roman" w:eastAsia="Times New Roman" w:hAnsi="Times New Roman" w:cs="Times New Roman"/>
      <w:sz w:val="24"/>
      <w:szCs w:val="20"/>
      <w:lang w:val="fr-FR" w:eastAsia="fr-BE"/>
    </w:rPr>
  </w:style>
  <w:style w:type="paragraph" w:customStyle="1" w:styleId="Text2">
    <w:name w:val="Text 2"/>
    <w:basedOn w:val="Normal"/>
    <w:uiPriority w:val="90"/>
    <w:qFormat/>
    <w:rsid w:val="00C91240"/>
    <w:pPr>
      <w:ind w:left="1077"/>
    </w:pPr>
  </w:style>
  <w:style w:type="character" w:customStyle="1" w:styleId="scxw204674439">
    <w:name w:val="scxw204674439"/>
    <w:basedOn w:val="DefaultParagraphFont"/>
    <w:rsid w:val="008F583B"/>
  </w:style>
  <w:style w:type="character" w:customStyle="1" w:styleId="tabchar">
    <w:name w:val="tabchar"/>
    <w:basedOn w:val="DefaultParagraphFont"/>
    <w:rsid w:val="007161F0"/>
  </w:style>
  <w:style w:type="paragraph" w:customStyle="1" w:styleId="ListBullet1">
    <w:name w:val="List Bullet 1"/>
    <w:basedOn w:val="Normal"/>
    <w:uiPriority w:val="1"/>
    <w:rsid w:val="007C7B3D"/>
    <w:pPr>
      <w:numPr>
        <w:numId w:val="84"/>
      </w:numPr>
    </w:pPr>
    <w:rPr>
      <w:lang w:eastAsia="en-IE"/>
    </w:rPr>
  </w:style>
  <w:style w:type="paragraph" w:customStyle="1" w:styleId="ListBullet1Level2">
    <w:name w:val="List Bullet 1 (Level 2)"/>
    <w:basedOn w:val="Normal"/>
    <w:uiPriority w:val="1"/>
    <w:rsid w:val="007C7B3D"/>
    <w:pPr>
      <w:numPr>
        <w:ilvl w:val="1"/>
        <w:numId w:val="84"/>
      </w:numPr>
    </w:pPr>
    <w:rPr>
      <w:lang w:eastAsia="en-IE"/>
    </w:rPr>
  </w:style>
  <w:style w:type="paragraph" w:customStyle="1" w:styleId="ListBullet1Level3">
    <w:name w:val="List Bullet 1 (Level 3)"/>
    <w:basedOn w:val="Normal"/>
    <w:uiPriority w:val="1"/>
    <w:semiHidden/>
    <w:unhideWhenUsed/>
    <w:rsid w:val="007C7B3D"/>
    <w:pPr>
      <w:numPr>
        <w:ilvl w:val="2"/>
        <w:numId w:val="84"/>
      </w:numPr>
    </w:pPr>
    <w:rPr>
      <w:lang w:eastAsia="en-IE"/>
    </w:rPr>
  </w:style>
  <w:style w:type="paragraph" w:customStyle="1" w:styleId="ListBullet1Level4">
    <w:name w:val="List Bullet 1 (Level 4)"/>
    <w:basedOn w:val="Normal"/>
    <w:uiPriority w:val="1"/>
    <w:semiHidden/>
    <w:unhideWhenUsed/>
    <w:rsid w:val="007C7B3D"/>
    <w:pPr>
      <w:numPr>
        <w:ilvl w:val="3"/>
        <w:numId w:val="84"/>
      </w:numPr>
    </w:pPr>
    <w:rPr>
      <w:lang w:eastAsia="en-IE"/>
    </w:rPr>
  </w:style>
  <w:style w:type="character" w:customStyle="1" w:styleId="Mention1">
    <w:name w:val="Mention1"/>
    <w:basedOn w:val="DefaultParagraphFont"/>
    <w:uiPriority w:val="99"/>
    <w:unhideWhenUsed/>
    <w:rsid w:val="00C30E89"/>
    <w:rPr>
      <w:color w:val="2B579A"/>
      <w:shd w:val="clear" w:color="auto" w:fill="E6E6E6"/>
    </w:rPr>
  </w:style>
  <w:style w:type="paragraph" w:styleId="NoSpacing">
    <w:name w:val="No Spacing"/>
    <w:uiPriority w:val="1"/>
    <w:qFormat/>
    <w:rsid w:val="00C30E89"/>
    <w:pPr>
      <w:spacing w:after="0" w:line="240" w:lineRule="auto"/>
    </w:pPr>
  </w:style>
  <w:style w:type="character" w:customStyle="1" w:styleId="Mention10">
    <w:name w:val="Mention10"/>
    <w:basedOn w:val="DefaultParagraphFont"/>
    <w:uiPriority w:val="99"/>
    <w:unhideWhenUsed/>
    <w:rsid w:val="00FC4D35"/>
    <w:rPr>
      <w:color w:val="2B579A"/>
      <w:shd w:val="clear" w:color="auto" w:fill="E6E6E6"/>
    </w:rPr>
  </w:style>
  <w:style w:type="character" w:customStyle="1" w:styleId="UnresolvedMention1">
    <w:name w:val="Unresolved Mention1"/>
    <w:basedOn w:val="DefaultParagraphFont"/>
    <w:uiPriority w:val="99"/>
    <w:semiHidden/>
    <w:unhideWhenUsed/>
    <w:rsid w:val="00273553"/>
    <w:rPr>
      <w:color w:val="605E5C"/>
      <w:shd w:val="clear" w:color="auto" w:fill="E1DFDD"/>
    </w:rPr>
  </w:style>
  <w:style w:type="character" w:customStyle="1" w:styleId="Mention2">
    <w:name w:val="Mention2"/>
    <w:basedOn w:val="DefaultParagraphFont"/>
    <w:uiPriority w:val="99"/>
    <w:unhideWhenUsed/>
    <w:rsid w:val="0031154B"/>
    <w:rPr>
      <w:color w:val="2B579A"/>
      <w:shd w:val="clear" w:color="auto" w:fill="E6E6E6"/>
    </w:rPr>
  </w:style>
  <w:style w:type="character" w:customStyle="1" w:styleId="UnresolvedMention2">
    <w:name w:val="Unresolved Mention2"/>
    <w:basedOn w:val="DefaultParagraphFont"/>
    <w:uiPriority w:val="99"/>
    <w:semiHidden/>
    <w:unhideWhenUsed/>
    <w:rsid w:val="0031154B"/>
    <w:rPr>
      <w:color w:val="605E5C"/>
      <w:shd w:val="clear" w:color="auto" w:fill="E1DFDD"/>
    </w:rPr>
  </w:style>
  <w:style w:type="character" w:customStyle="1" w:styleId="scxw172618891">
    <w:name w:val="scxw172618891"/>
    <w:basedOn w:val="DefaultParagraphFont"/>
    <w:rsid w:val="00FE1D0A"/>
  </w:style>
  <w:style w:type="character" w:styleId="FollowedHyperlink">
    <w:name w:val="FollowedHyperlink"/>
    <w:basedOn w:val="DefaultParagraphFont"/>
    <w:uiPriority w:val="99"/>
    <w:semiHidden/>
    <w:unhideWhenUsed/>
    <w:rsid w:val="00EC3827"/>
    <w:rPr>
      <w:color w:val="954F72" w:themeColor="followedHyperlink"/>
      <w:u w:val="single"/>
    </w:rPr>
  </w:style>
  <w:style w:type="character" w:customStyle="1" w:styleId="Mention3">
    <w:name w:val="Mention3"/>
    <w:basedOn w:val="DefaultParagraphFont"/>
    <w:uiPriority w:val="99"/>
    <w:rsid w:val="00DB56F9"/>
    <w:rPr>
      <w:color w:val="2B579A"/>
      <w:shd w:val="clear" w:color="auto" w:fill="E6E6E6"/>
    </w:rPr>
  </w:style>
  <w:style w:type="character" w:customStyle="1" w:styleId="Mention4">
    <w:name w:val="Mention4"/>
    <w:basedOn w:val="DefaultParagraphFont"/>
    <w:uiPriority w:val="99"/>
    <w:unhideWhenUsed/>
    <w:rsid w:val="007926E8"/>
    <w:rPr>
      <w:color w:val="2B579A"/>
      <w:shd w:val="clear" w:color="auto" w:fill="E6E6E6"/>
    </w:rPr>
  </w:style>
  <w:style w:type="character" w:customStyle="1" w:styleId="Mention5">
    <w:name w:val="Mention5"/>
    <w:basedOn w:val="DefaultParagraphFont"/>
    <w:uiPriority w:val="99"/>
    <w:unhideWhenUsed/>
    <w:rsid w:val="00E30BC4"/>
    <w:rPr>
      <w:color w:val="2B579A"/>
      <w:shd w:val="clear" w:color="auto" w:fill="E6E6E6"/>
    </w:rPr>
  </w:style>
  <w:style w:type="character" w:customStyle="1" w:styleId="UnresolvedMention3">
    <w:name w:val="Unresolved Mention3"/>
    <w:basedOn w:val="DefaultParagraphFont"/>
    <w:uiPriority w:val="99"/>
    <w:semiHidden/>
    <w:unhideWhenUsed/>
    <w:rsid w:val="004F0D11"/>
    <w:rPr>
      <w:color w:val="605E5C"/>
      <w:shd w:val="clear" w:color="auto" w:fill="E1DFDD"/>
    </w:rPr>
  </w:style>
  <w:style w:type="character" w:customStyle="1" w:styleId="Mention6">
    <w:name w:val="Mention6"/>
    <w:basedOn w:val="DefaultParagraphFont"/>
    <w:uiPriority w:val="99"/>
    <w:unhideWhenUsed/>
    <w:rsid w:val="004F0D11"/>
    <w:rPr>
      <w:color w:val="2B579A"/>
      <w:shd w:val="clear" w:color="auto" w:fill="E6E6E6"/>
    </w:rPr>
  </w:style>
  <w:style w:type="character" w:customStyle="1" w:styleId="Mention60">
    <w:name w:val="Mention60"/>
    <w:basedOn w:val="DefaultParagraphFont"/>
    <w:uiPriority w:val="99"/>
    <w:unhideWhenUsed/>
    <w:rsid w:val="004F0D11"/>
    <w:rPr>
      <w:color w:val="2B579A"/>
      <w:shd w:val="clear" w:color="auto" w:fill="E6E6E6"/>
    </w:rPr>
  </w:style>
  <w:style w:type="character" w:customStyle="1" w:styleId="Mention600">
    <w:name w:val="Mention600"/>
    <w:basedOn w:val="DefaultParagraphFont"/>
    <w:uiPriority w:val="99"/>
    <w:unhideWhenUsed/>
    <w:rsid w:val="00A51365"/>
    <w:rPr>
      <w:color w:val="2B579A"/>
      <w:shd w:val="clear" w:color="auto" w:fill="E6E6E6"/>
    </w:rPr>
  </w:style>
  <w:style w:type="character" w:customStyle="1" w:styleId="Mention6000">
    <w:name w:val="Mention6000"/>
    <w:basedOn w:val="DefaultParagraphFont"/>
    <w:uiPriority w:val="99"/>
    <w:unhideWhenUsed/>
    <w:rsid w:val="00A26C76"/>
    <w:rPr>
      <w:color w:val="2B579A"/>
      <w:shd w:val="clear" w:color="auto" w:fill="E6E6E6"/>
    </w:rPr>
  </w:style>
  <w:style w:type="character" w:customStyle="1" w:styleId="Mention7">
    <w:name w:val="Mention7"/>
    <w:basedOn w:val="DefaultParagraphFont"/>
    <w:uiPriority w:val="99"/>
    <w:unhideWhenUsed/>
    <w:rsid w:val="00A26C76"/>
    <w:rPr>
      <w:color w:val="2B579A"/>
      <w:shd w:val="clear" w:color="auto" w:fill="E6E6E6"/>
    </w:rPr>
  </w:style>
  <w:style w:type="character" w:customStyle="1" w:styleId="Mention60000">
    <w:name w:val="Mention60000"/>
    <w:basedOn w:val="DefaultParagraphFont"/>
    <w:uiPriority w:val="99"/>
    <w:unhideWhenUsed/>
    <w:rsid w:val="008F57F5"/>
    <w:rPr>
      <w:color w:val="2B579A"/>
      <w:shd w:val="clear" w:color="auto" w:fill="E6E6E6"/>
    </w:rPr>
  </w:style>
  <w:style w:type="character" w:customStyle="1" w:styleId="UnresolvedMention4">
    <w:name w:val="Unresolved Mention4"/>
    <w:basedOn w:val="DefaultParagraphFont"/>
    <w:uiPriority w:val="99"/>
    <w:semiHidden/>
    <w:unhideWhenUsed/>
    <w:rsid w:val="00B31C41"/>
    <w:rPr>
      <w:color w:val="605E5C"/>
      <w:shd w:val="clear" w:color="auto" w:fill="E1DFDD"/>
    </w:rPr>
  </w:style>
  <w:style w:type="character" w:customStyle="1" w:styleId="Mention8">
    <w:name w:val="Mention8"/>
    <w:basedOn w:val="DefaultParagraphFont"/>
    <w:uiPriority w:val="99"/>
    <w:unhideWhenUsed/>
    <w:rsid w:val="00B31C41"/>
    <w:rPr>
      <w:color w:val="2B579A"/>
      <w:shd w:val="clear" w:color="auto" w:fill="E6E6E6"/>
    </w:rPr>
  </w:style>
  <w:style w:type="character" w:customStyle="1" w:styleId="Mention11">
    <w:name w:val="Mention11"/>
    <w:basedOn w:val="DefaultParagraphFont"/>
    <w:uiPriority w:val="99"/>
    <w:unhideWhenUsed/>
    <w:rsid w:val="00D901CC"/>
    <w:rPr>
      <w:color w:val="2B579A"/>
      <w:shd w:val="clear" w:color="auto" w:fill="E6E6E6"/>
    </w:rPr>
  </w:style>
  <w:style w:type="character" w:customStyle="1" w:styleId="UnresolvedMention5">
    <w:name w:val="Unresolved Mention5"/>
    <w:basedOn w:val="DefaultParagraphFont"/>
    <w:uiPriority w:val="99"/>
    <w:semiHidden/>
    <w:unhideWhenUsed/>
    <w:rsid w:val="00390F9B"/>
    <w:rPr>
      <w:color w:val="605E5C"/>
      <w:shd w:val="clear" w:color="auto" w:fill="E1DFDD"/>
    </w:rPr>
  </w:style>
  <w:style w:type="character" w:customStyle="1" w:styleId="Mention9">
    <w:name w:val="Mention9"/>
    <w:basedOn w:val="DefaultParagraphFont"/>
    <w:uiPriority w:val="99"/>
    <w:unhideWhenUsed/>
    <w:rsid w:val="00B54B18"/>
    <w:rPr>
      <w:color w:val="2B579A"/>
      <w:shd w:val="clear" w:color="auto" w:fill="E1DFDD"/>
    </w:rPr>
  </w:style>
  <w:style w:type="character" w:customStyle="1" w:styleId="scxw48135657">
    <w:name w:val="scxw48135657"/>
    <w:basedOn w:val="DefaultParagraphFont"/>
    <w:rsid w:val="00E71C95"/>
  </w:style>
  <w:style w:type="character" w:customStyle="1" w:styleId="Marker">
    <w:name w:val="Marker"/>
    <w:basedOn w:val="DefaultParagraphFont"/>
    <w:rsid w:val="00D60876"/>
    <w:rPr>
      <w:color w:val="0000FF"/>
      <w:shd w:val="clear" w:color="auto" w:fill="auto"/>
    </w:rPr>
  </w:style>
  <w:style w:type="paragraph" w:customStyle="1" w:styleId="Pagedecouverture">
    <w:name w:val="Page de couverture"/>
    <w:basedOn w:val="Normal"/>
    <w:next w:val="Normal"/>
    <w:rsid w:val="00D60876"/>
    <w:pPr>
      <w:spacing w:after="0"/>
    </w:pPr>
    <w:rPr>
      <w:rFonts w:eastAsiaTheme="minorHAnsi"/>
      <w:szCs w:val="22"/>
      <w:lang w:eastAsia="en-US"/>
    </w:rPr>
  </w:style>
  <w:style w:type="paragraph" w:customStyle="1" w:styleId="FooterCoverPage">
    <w:name w:val="Footer Cover Page"/>
    <w:basedOn w:val="Normal"/>
    <w:link w:val="FooterCoverPageChar"/>
    <w:rsid w:val="00D60876"/>
    <w:pPr>
      <w:shd w:val="clear" w:color="auto" w:fill="FFFFFF"/>
      <w:tabs>
        <w:tab w:val="center" w:pos="4535"/>
        <w:tab w:val="right" w:pos="9071"/>
        <w:tab w:val="right" w:pos="9921"/>
      </w:tabs>
      <w:spacing w:before="360" w:after="0"/>
      <w:ind w:left="-850" w:right="-850"/>
      <w:jc w:val="left"/>
      <w:textAlignment w:val="baseline"/>
    </w:pPr>
  </w:style>
  <w:style w:type="character" w:customStyle="1" w:styleId="logoChar">
    <w:name w:val="logo Char"/>
    <w:basedOn w:val="DefaultParagraphFont"/>
    <w:link w:val="logo"/>
    <w:rsid w:val="00D60876"/>
    <w:rPr>
      <w:rFonts w:ascii="Times New Roman" w:eastAsia="Times New Roman" w:hAnsi="Times New Roman" w:cs="Times New Roman"/>
      <w:sz w:val="24"/>
      <w:szCs w:val="24"/>
      <w:lang w:eastAsia="en-GB"/>
    </w:rPr>
  </w:style>
  <w:style w:type="character" w:customStyle="1" w:styleId="FooterCoverPageChar">
    <w:name w:val="Footer Cover Page Char"/>
    <w:basedOn w:val="logoChar"/>
    <w:link w:val="FooterCoverPage"/>
    <w:rsid w:val="00D60876"/>
    <w:rPr>
      <w:rFonts w:ascii="Times New Roman" w:eastAsia="Times New Roman" w:hAnsi="Times New Roman" w:cs="Times New Roman"/>
      <w:sz w:val="24"/>
      <w:szCs w:val="20"/>
      <w:shd w:val="clear" w:color="auto" w:fill="FFFFFF"/>
      <w:lang w:eastAsia="fr-BE"/>
    </w:rPr>
  </w:style>
  <w:style w:type="paragraph" w:customStyle="1" w:styleId="FooterSensitivity">
    <w:name w:val="Footer Sensitivity"/>
    <w:basedOn w:val="Normal"/>
    <w:link w:val="FooterSensitivityChar"/>
    <w:rsid w:val="00D60876"/>
    <w:pPr>
      <w:pBdr>
        <w:top w:val="single" w:sz="4" w:space="1" w:color="auto"/>
        <w:left w:val="single" w:sz="4" w:space="4" w:color="auto"/>
        <w:bottom w:val="single" w:sz="4" w:space="1" w:color="auto"/>
        <w:right w:val="single" w:sz="4" w:space="4" w:color="auto"/>
      </w:pBdr>
      <w:shd w:val="clear" w:color="auto" w:fill="FFFFFF"/>
      <w:spacing w:before="360" w:after="0"/>
      <w:ind w:left="113" w:right="113"/>
      <w:jc w:val="center"/>
      <w:textAlignment w:val="baseline"/>
    </w:pPr>
    <w:rPr>
      <w:b/>
      <w:sz w:val="32"/>
    </w:rPr>
  </w:style>
  <w:style w:type="character" w:customStyle="1" w:styleId="FooterSensitivityChar">
    <w:name w:val="Footer Sensitivity Char"/>
    <w:basedOn w:val="logoChar"/>
    <w:link w:val="FooterSensitivity"/>
    <w:rsid w:val="00D60876"/>
    <w:rPr>
      <w:rFonts w:ascii="Times New Roman" w:eastAsia="Times New Roman" w:hAnsi="Times New Roman" w:cs="Times New Roman"/>
      <w:b/>
      <w:sz w:val="32"/>
      <w:szCs w:val="20"/>
      <w:shd w:val="clear" w:color="auto" w:fill="FFFFFF"/>
      <w:lang w:eastAsia="fr-BE"/>
    </w:rPr>
  </w:style>
  <w:style w:type="paragraph" w:customStyle="1" w:styleId="HeaderCoverPage">
    <w:name w:val="Header Cover Page"/>
    <w:basedOn w:val="Normal"/>
    <w:link w:val="HeaderCoverPageChar"/>
    <w:rsid w:val="00D60876"/>
    <w:pPr>
      <w:shd w:val="clear" w:color="auto" w:fill="FFFFFF"/>
      <w:tabs>
        <w:tab w:val="center" w:pos="4535"/>
        <w:tab w:val="right" w:pos="9071"/>
      </w:tabs>
      <w:spacing w:after="120"/>
      <w:textAlignment w:val="baseline"/>
    </w:pPr>
  </w:style>
  <w:style w:type="character" w:customStyle="1" w:styleId="HeaderCoverPageChar">
    <w:name w:val="Header Cover Page Char"/>
    <w:basedOn w:val="logoChar"/>
    <w:link w:val="HeaderCoverPage"/>
    <w:rsid w:val="00D60876"/>
    <w:rPr>
      <w:rFonts w:ascii="Times New Roman" w:eastAsia="Times New Roman" w:hAnsi="Times New Roman" w:cs="Times New Roman"/>
      <w:sz w:val="24"/>
      <w:szCs w:val="20"/>
      <w:shd w:val="clear" w:color="auto" w:fill="FFFFFF"/>
      <w:lang w:eastAsia="fr-BE"/>
    </w:rPr>
  </w:style>
  <w:style w:type="paragraph" w:customStyle="1" w:styleId="HeaderSensitivity">
    <w:name w:val="Header Sensitivity"/>
    <w:basedOn w:val="Normal"/>
    <w:link w:val="HeaderSensitivityChar"/>
    <w:rsid w:val="00D60876"/>
    <w:pPr>
      <w:pBdr>
        <w:top w:val="single" w:sz="4" w:space="1" w:color="auto"/>
        <w:left w:val="single" w:sz="4" w:space="4" w:color="auto"/>
        <w:bottom w:val="single" w:sz="4" w:space="1" w:color="auto"/>
        <w:right w:val="single" w:sz="4" w:space="4" w:color="auto"/>
      </w:pBdr>
      <w:shd w:val="clear" w:color="auto" w:fill="FFFFFF"/>
      <w:spacing w:after="120"/>
      <w:ind w:left="113" w:right="113"/>
      <w:jc w:val="center"/>
      <w:textAlignment w:val="baseline"/>
    </w:pPr>
    <w:rPr>
      <w:b/>
      <w:sz w:val="32"/>
    </w:rPr>
  </w:style>
  <w:style w:type="character" w:customStyle="1" w:styleId="HeaderSensitivityChar">
    <w:name w:val="Header Sensitivity Char"/>
    <w:basedOn w:val="logoChar"/>
    <w:link w:val="HeaderSensitivity"/>
    <w:rsid w:val="00D60876"/>
    <w:rPr>
      <w:rFonts w:ascii="Times New Roman" w:eastAsia="Times New Roman" w:hAnsi="Times New Roman" w:cs="Times New Roman"/>
      <w:b/>
      <w:sz w:val="32"/>
      <w:szCs w:val="20"/>
      <w:shd w:val="clear" w:color="auto" w:fill="FFFFFF"/>
      <w:lang w:eastAsia="fr-BE"/>
    </w:rPr>
  </w:style>
  <w:style w:type="paragraph" w:customStyle="1" w:styleId="HeaderSensitivityRight">
    <w:name w:val="Header Sensitivity Right"/>
    <w:basedOn w:val="Normal"/>
    <w:link w:val="HeaderSensitivityRightChar"/>
    <w:rsid w:val="001C0DAF"/>
    <w:pPr>
      <w:spacing w:after="120"/>
      <w:jc w:val="right"/>
    </w:pPr>
    <w:rPr>
      <w:sz w:val="28"/>
    </w:rPr>
  </w:style>
  <w:style w:type="character" w:customStyle="1" w:styleId="HeaderSensitivityRightChar">
    <w:name w:val="Header Sensitivity Right Char"/>
    <w:basedOn w:val="logoChar"/>
    <w:link w:val="HeaderSensitivityRight"/>
    <w:rsid w:val="00D60876"/>
    <w:rPr>
      <w:rFonts w:ascii="Times New Roman" w:eastAsia="Times New Roman" w:hAnsi="Times New Roman" w:cs="Times New Roman"/>
      <w:sz w:val="28"/>
      <w:szCs w:val="20"/>
      <w:lang w:eastAsia="fr-BE"/>
    </w:rPr>
  </w:style>
  <w:style w:type="character" w:customStyle="1" w:styleId="Mention12">
    <w:name w:val="Mention12"/>
    <w:basedOn w:val="DefaultParagraphFont"/>
    <w:uiPriority w:val="99"/>
    <w:unhideWhenUsed/>
    <w:rsid w:val="00C06B95"/>
    <w:rPr>
      <w:color w:val="2B579A"/>
      <w:shd w:val="clear" w:color="auto" w:fill="E6E6E6"/>
    </w:rPr>
  </w:style>
  <w:style w:type="character" w:customStyle="1" w:styleId="UnresolvedMention6">
    <w:name w:val="Unresolved Mention6"/>
    <w:basedOn w:val="DefaultParagraphFont"/>
    <w:uiPriority w:val="99"/>
    <w:semiHidden/>
    <w:unhideWhenUsed/>
    <w:rsid w:val="00780F4E"/>
    <w:rPr>
      <w:color w:val="605E5C"/>
      <w:shd w:val="clear" w:color="auto" w:fill="E1DFDD"/>
    </w:rPr>
  </w:style>
  <w:style w:type="paragraph" w:customStyle="1" w:styleId="title-bold">
    <w:name w:val="title-bold"/>
    <w:basedOn w:val="Normal"/>
    <w:rsid w:val="00070E9F"/>
    <w:pPr>
      <w:spacing w:before="100" w:beforeAutospacing="1" w:after="100" w:afterAutospacing="1"/>
      <w:jc w:val="left"/>
    </w:pPr>
    <w:rPr>
      <w:szCs w:val="24"/>
      <w:lang w:eastAsia="en-GB"/>
    </w:rPr>
  </w:style>
  <w:style w:type="character" w:customStyle="1" w:styleId="UnresolvedMention7">
    <w:name w:val="Unresolved Mention7"/>
    <w:basedOn w:val="DefaultParagraphFont"/>
    <w:uiPriority w:val="99"/>
    <w:semiHidden/>
    <w:unhideWhenUsed/>
    <w:rsid w:val="00BD08D2"/>
    <w:rPr>
      <w:color w:val="605E5C"/>
      <w:shd w:val="clear" w:color="auto" w:fill="E1DFDD"/>
    </w:rPr>
  </w:style>
  <w:style w:type="character" w:customStyle="1" w:styleId="Mention13">
    <w:name w:val="Mention13"/>
    <w:basedOn w:val="DefaultParagraphFont"/>
    <w:uiPriority w:val="99"/>
    <w:unhideWhenUsed/>
    <w:rsid w:val="009D698A"/>
    <w:rPr>
      <w:color w:val="2B579A"/>
      <w:shd w:val="clear" w:color="auto" w:fill="E6E6E6"/>
    </w:rPr>
  </w:style>
  <w:style w:type="character" w:customStyle="1" w:styleId="UnresolvedMention8">
    <w:name w:val="Unresolved Mention8"/>
    <w:basedOn w:val="DefaultParagraphFont"/>
    <w:uiPriority w:val="99"/>
    <w:semiHidden/>
    <w:unhideWhenUsed/>
    <w:rsid w:val="0023115A"/>
    <w:rPr>
      <w:color w:val="605E5C"/>
      <w:shd w:val="clear" w:color="auto" w:fill="E1DFDD"/>
    </w:rPr>
  </w:style>
  <w:style w:type="character" w:customStyle="1" w:styleId="UnresolvedMention9">
    <w:name w:val="Unresolved Mention9"/>
    <w:basedOn w:val="DefaultParagraphFont"/>
    <w:uiPriority w:val="99"/>
    <w:semiHidden/>
    <w:unhideWhenUsed/>
    <w:rsid w:val="00CA0C9C"/>
    <w:rPr>
      <w:color w:val="605E5C"/>
      <w:shd w:val="clear" w:color="auto" w:fill="E1DFDD"/>
    </w:rPr>
  </w:style>
  <w:style w:type="character" w:customStyle="1" w:styleId="UnresolvedMention10">
    <w:name w:val="Unresolved Mention10"/>
    <w:basedOn w:val="DefaultParagraphFont"/>
    <w:uiPriority w:val="99"/>
    <w:semiHidden/>
    <w:unhideWhenUsed/>
    <w:rsid w:val="00EA7747"/>
    <w:rPr>
      <w:color w:val="605E5C"/>
      <w:shd w:val="clear" w:color="auto" w:fill="E1DFDD"/>
    </w:rPr>
  </w:style>
  <w:style w:type="character" w:customStyle="1" w:styleId="Mention14">
    <w:name w:val="Mention14"/>
    <w:basedOn w:val="DefaultParagraphFont"/>
    <w:uiPriority w:val="99"/>
    <w:unhideWhenUsed/>
    <w:rsid w:val="00466153"/>
    <w:rPr>
      <w:color w:val="2B579A"/>
      <w:shd w:val="clear" w:color="auto" w:fill="E6E6E6"/>
    </w:rPr>
  </w:style>
  <w:style w:type="character" w:customStyle="1" w:styleId="UnresolvedMention11">
    <w:name w:val="Unresolved Mention11"/>
    <w:basedOn w:val="DefaultParagraphFont"/>
    <w:uiPriority w:val="99"/>
    <w:semiHidden/>
    <w:unhideWhenUsed/>
    <w:rsid w:val="00471B17"/>
    <w:rPr>
      <w:color w:val="605E5C"/>
      <w:shd w:val="clear" w:color="auto" w:fill="E1DFDD"/>
    </w:rPr>
  </w:style>
  <w:style w:type="character" w:customStyle="1" w:styleId="UnresolvedMention100">
    <w:name w:val="Unresolved Mention100"/>
    <w:basedOn w:val="DefaultParagraphFont"/>
    <w:uiPriority w:val="99"/>
    <w:semiHidden/>
    <w:unhideWhenUsed/>
    <w:rsid w:val="00177837"/>
    <w:rPr>
      <w:color w:val="605E5C"/>
      <w:shd w:val="clear" w:color="auto" w:fill="E1DFDD"/>
    </w:rPr>
  </w:style>
  <w:style w:type="character" w:customStyle="1" w:styleId="UnresolvedMention1000">
    <w:name w:val="Unresolved Mention1000"/>
    <w:basedOn w:val="DefaultParagraphFont"/>
    <w:uiPriority w:val="99"/>
    <w:semiHidden/>
    <w:unhideWhenUsed/>
    <w:rsid w:val="00994F1B"/>
    <w:rPr>
      <w:color w:val="605E5C"/>
      <w:shd w:val="clear" w:color="auto" w:fill="E1DFDD"/>
    </w:rPr>
  </w:style>
  <w:style w:type="character" w:customStyle="1" w:styleId="Mention15">
    <w:name w:val="Mention15"/>
    <w:basedOn w:val="DefaultParagraphFont"/>
    <w:uiPriority w:val="99"/>
    <w:unhideWhenUsed/>
    <w:rsid w:val="00FE0F74"/>
    <w:rPr>
      <w:color w:val="2B579A"/>
      <w:shd w:val="clear" w:color="auto" w:fill="E6E6E6"/>
    </w:rPr>
  </w:style>
  <w:style w:type="character" w:customStyle="1" w:styleId="UnresolvedMention12">
    <w:name w:val="Unresolved Mention12"/>
    <w:basedOn w:val="DefaultParagraphFont"/>
    <w:uiPriority w:val="99"/>
    <w:semiHidden/>
    <w:unhideWhenUsed/>
    <w:rsid w:val="009C0E85"/>
    <w:rPr>
      <w:color w:val="605E5C"/>
      <w:shd w:val="clear" w:color="auto" w:fill="E1DFDD"/>
    </w:rPr>
  </w:style>
  <w:style w:type="character" w:customStyle="1" w:styleId="UnresolvedMention">
    <w:name w:val="Unresolved Mention"/>
    <w:basedOn w:val="DefaultParagraphFont"/>
    <w:uiPriority w:val="99"/>
    <w:semiHidden/>
    <w:unhideWhenUsed/>
    <w:rsid w:val="00DA69D0"/>
    <w:rPr>
      <w:color w:val="605E5C"/>
      <w:shd w:val="clear" w:color="auto" w:fill="E1DFDD"/>
    </w:rPr>
  </w:style>
  <w:style w:type="paragraph" w:customStyle="1" w:styleId="Disclaimer">
    <w:name w:val="Disclaimer"/>
    <w:basedOn w:val="Normal"/>
    <w:rsid w:val="001C0DA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1C0DAF"/>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1C0DAF"/>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1C0DAF"/>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6941">
      <w:bodyDiv w:val="1"/>
      <w:marLeft w:val="0"/>
      <w:marRight w:val="0"/>
      <w:marTop w:val="0"/>
      <w:marBottom w:val="0"/>
      <w:divBdr>
        <w:top w:val="none" w:sz="0" w:space="0" w:color="auto"/>
        <w:left w:val="none" w:sz="0" w:space="0" w:color="auto"/>
        <w:bottom w:val="none" w:sz="0" w:space="0" w:color="auto"/>
        <w:right w:val="none" w:sz="0" w:space="0" w:color="auto"/>
      </w:divBdr>
      <w:divsChild>
        <w:div w:id="634986402">
          <w:marLeft w:val="2160"/>
          <w:marRight w:val="0"/>
          <w:marTop w:val="0"/>
          <w:marBottom w:val="0"/>
          <w:divBdr>
            <w:top w:val="none" w:sz="0" w:space="0" w:color="auto"/>
            <w:left w:val="none" w:sz="0" w:space="0" w:color="auto"/>
            <w:bottom w:val="none" w:sz="0" w:space="0" w:color="auto"/>
            <w:right w:val="none" w:sz="0" w:space="0" w:color="auto"/>
          </w:divBdr>
        </w:div>
        <w:div w:id="698359008">
          <w:marLeft w:val="2160"/>
          <w:marRight w:val="0"/>
          <w:marTop w:val="0"/>
          <w:marBottom w:val="0"/>
          <w:divBdr>
            <w:top w:val="none" w:sz="0" w:space="0" w:color="auto"/>
            <w:left w:val="none" w:sz="0" w:space="0" w:color="auto"/>
            <w:bottom w:val="none" w:sz="0" w:space="0" w:color="auto"/>
            <w:right w:val="none" w:sz="0" w:space="0" w:color="auto"/>
          </w:divBdr>
        </w:div>
        <w:div w:id="741561245">
          <w:marLeft w:val="2160"/>
          <w:marRight w:val="0"/>
          <w:marTop w:val="0"/>
          <w:marBottom w:val="0"/>
          <w:divBdr>
            <w:top w:val="none" w:sz="0" w:space="0" w:color="auto"/>
            <w:left w:val="none" w:sz="0" w:space="0" w:color="auto"/>
            <w:bottom w:val="none" w:sz="0" w:space="0" w:color="auto"/>
            <w:right w:val="none" w:sz="0" w:space="0" w:color="auto"/>
          </w:divBdr>
        </w:div>
        <w:div w:id="855464519">
          <w:marLeft w:val="720"/>
          <w:marRight w:val="0"/>
          <w:marTop w:val="0"/>
          <w:marBottom w:val="0"/>
          <w:divBdr>
            <w:top w:val="none" w:sz="0" w:space="0" w:color="auto"/>
            <w:left w:val="none" w:sz="0" w:space="0" w:color="auto"/>
            <w:bottom w:val="none" w:sz="0" w:space="0" w:color="auto"/>
            <w:right w:val="none" w:sz="0" w:space="0" w:color="auto"/>
          </w:divBdr>
        </w:div>
        <w:div w:id="1748576289">
          <w:marLeft w:val="720"/>
          <w:marRight w:val="0"/>
          <w:marTop w:val="0"/>
          <w:marBottom w:val="0"/>
          <w:divBdr>
            <w:top w:val="none" w:sz="0" w:space="0" w:color="auto"/>
            <w:left w:val="none" w:sz="0" w:space="0" w:color="auto"/>
            <w:bottom w:val="none" w:sz="0" w:space="0" w:color="auto"/>
            <w:right w:val="none" w:sz="0" w:space="0" w:color="auto"/>
          </w:divBdr>
        </w:div>
        <w:div w:id="1910847325">
          <w:marLeft w:val="720"/>
          <w:marRight w:val="0"/>
          <w:marTop w:val="0"/>
          <w:marBottom w:val="0"/>
          <w:divBdr>
            <w:top w:val="none" w:sz="0" w:space="0" w:color="auto"/>
            <w:left w:val="none" w:sz="0" w:space="0" w:color="auto"/>
            <w:bottom w:val="none" w:sz="0" w:space="0" w:color="auto"/>
            <w:right w:val="none" w:sz="0" w:space="0" w:color="auto"/>
          </w:divBdr>
        </w:div>
        <w:div w:id="2005472697">
          <w:marLeft w:val="720"/>
          <w:marRight w:val="0"/>
          <w:marTop w:val="0"/>
          <w:marBottom w:val="0"/>
          <w:divBdr>
            <w:top w:val="none" w:sz="0" w:space="0" w:color="auto"/>
            <w:left w:val="none" w:sz="0" w:space="0" w:color="auto"/>
            <w:bottom w:val="none" w:sz="0" w:space="0" w:color="auto"/>
            <w:right w:val="none" w:sz="0" w:space="0" w:color="auto"/>
          </w:divBdr>
        </w:div>
        <w:div w:id="2020692087">
          <w:marLeft w:val="720"/>
          <w:marRight w:val="0"/>
          <w:marTop w:val="0"/>
          <w:marBottom w:val="0"/>
          <w:divBdr>
            <w:top w:val="none" w:sz="0" w:space="0" w:color="auto"/>
            <w:left w:val="none" w:sz="0" w:space="0" w:color="auto"/>
            <w:bottom w:val="none" w:sz="0" w:space="0" w:color="auto"/>
            <w:right w:val="none" w:sz="0" w:space="0" w:color="auto"/>
          </w:divBdr>
        </w:div>
      </w:divsChild>
    </w:div>
    <w:div w:id="5254692">
      <w:bodyDiv w:val="1"/>
      <w:marLeft w:val="0"/>
      <w:marRight w:val="0"/>
      <w:marTop w:val="0"/>
      <w:marBottom w:val="0"/>
      <w:divBdr>
        <w:top w:val="none" w:sz="0" w:space="0" w:color="auto"/>
        <w:left w:val="none" w:sz="0" w:space="0" w:color="auto"/>
        <w:bottom w:val="none" w:sz="0" w:space="0" w:color="auto"/>
        <w:right w:val="none" w:sz="0" w:space="0" w:color="auto"/>
      </w:divBdr>
    </w:div>
    <w:div w:id="40178152">
      <w:bodyDiv w:val="1"/>
      <w:marLeft w:val="0"/>
      <w:marRight w:val="0"/>
      <w:marTop w:val="0"/>
      <w:marBottom w:val="0"/>
      <w:divBdr>
        <w:top w:val="none" w:sz="0" w:space="0" w:color="auto"/>
        <w:left w:val="none" w:sz="0" w:space="0" w:color="auto"/>
        <w:bottom w:val="none" w:sz="0" w:space="0" w:color="auto"/>
        <w:right w:val="none" w:sz="0" w:space="0" w:color="auto"/>
      </w:divBdr>
      <w:divsChild>
        <w:div w:id="428936925">
          <w:marLeft w:val="0"/>
          <w:marRight w:val="0"/>
          <w:marTop w:val="0"/>
          <w:marBottom w:val="0"/>
          <w:divBdr>
            <w:top w:val="none" w:sz="0" w:space="0" w:color="auto"/>
            <w:left w:val="none" w:sz="0" w:space="0" w:color="auto"/>
            <w:bottom w:val="none" w:sz="0" w:space="0" w:color="auto"/>
            <w:right w:val="none" w:sz="0" w:space="0" w:color="auto"/>
          </w:divBdr>
        </w:div>
        <w:div w:id="655260219">
          <w:marLeft w:val="0"/>
          <w:marRight w:val="0"/>
          <w:marTop w:val="0"/>
          <w:marBottom w:val="0"/>
          <w:divBdr>
            <w:top w:val="none" w:sz="0" w:space="0" w:color="auto"/>
            <w:left w:val="none" w:sz="0" w:space="0" w:color="auto"/>
            <w:bottom w:val="none" w:sz="0" w:space="0" w:color="auto"/>
            <w:right w:val="none" w:sz="0" w:space="0" w:color="auto"/>
          </w:divBdr>
        </w:div>
        <w:div w:id="990791258">
          <w:marLeft w:val="0"/>
          <w:marRight w:val="0"/>
          <w:marTop w:val="0"/>
          <w:marBottom w:val="0"/>
          <w:divBdr>
            <w:top w:val="none" w:sz="0" w:space="0" w:color="auto"/>
            <w:left w:val="none" w:sz="0" w:space="0" w:color="auto"/>
            <w:bottom w:val="none" w:sz="0" w:space="0" w:color="auto"/>
            <w:right w:val="none" w:sz="0" w:space="0" w:color="auto"/>
          </w:divBdr>
        </w:div>
        <w:div w:id="1050809659">
          <w:marLeft w:val="0"/>
          <w:marRight w:val="0"/>
          <w:marTop w:val="0"/>
          <w:marBottom w:val="0"/>
          <w:divBdr>
            <w:top w:val="none" w:sz="0" w:space="0" w:color="auto"/>
            <w:left w:val="none" w:sz="0" w:space="0" w:color="auto"/>
            <w:bottom w:val="none" w:sz="0" w:space="0" w:color="auto"/>
            <w:right w:val="none" w:sz="0" w:space="0" w:color="auto"/>
          </w:divBdr>
        </w:div>
        <w:div w:id="1084760030">
          <w:marLeft w:val="0"/>
          <w:marRight w:val="0"/>
          <w:marTop w:val="0"/>
          <w:marBottom w:val="0"/>
          <w:divBdr>
            <w:top w:val="none" w:sz="0" w:space="0" w:color="auto"/>
            <w:left w:val="none" w:sz="0" w:space="0" w:color="auto"/>
            <w:bottom w:val="none" w:sz="0" w:space="0" w:color="auto"/>
            <w:right w:val="none" w:sz="0" w:space="0" w:color="auto"/>
          </w:divBdr>
        </w:div>
        <w:div w:id="1606383642">
          <w:marLeft w:val="0"/>
          <w:marRight w:val="0"/>
          <w:marTop w:val="0"/>
          <w:marBottom w:val="0"/>
          <w:divBdr>
            <w:top w:val="none" w:sz="0" w:space="0" w:color="auto"/>
            <w:left w:val="none" w:sz="0" w:space="0" w:color="auto"/>
            <w:bottom w:val="none" w:sz="0" w:space="0" w:color="auto"/>
            <w:right w:val="none" w:sz="0" w:space="0" w:color="auto"/>
          </w:divBdr>
          <w:divsChild>
            <w:div w:id="1007444140">
              <w:marLeft w:val="0"/>
              <w:marRight w:val="0"/>
              <w:marTop w:val="0"/>
              <w:marBottom w:val="0"/>
              <w:divBdr>
                <w:top w:val="none" w:sz="0" w:space="0" w:color="auto"/>
                <w:left w:val="none" w:sz="0" w:space="0" w:color="auto"/>
                <w:bottom w:val="none" w:sz="0" w:space="0" w:color="auto"/>
                <w:right w:val="none" w:sz="0" w:space="0" w:color="auto"/>
              </w:divBdr>
            </w:div>
            <w:div w:id="1548756714">
              <w:marLeft w:val="0"/>
              <w:marRight w:val="0"/>
              <w:marTop w:val="0"/>
              <w:marBottom w:val="0"/>
              <w:divBdr>
                <w:top w:val="none" w:sz="0" w:space="0" w:color="auto"/>
                <w:left w:val="none" w:sz="0" w:space="0" w:color="auto"/>
                <w:bottom w:val="none" w:sz="0" w:space="0" w:color="auto"/>
                <w:right w:val="none" w:sz="0" w:space="0" w:color="auto"/>
              </w:divBdr>
            </w:div>
            <w:div w:id="1969778438">
              <w:marLeft w:val="0"/>
              <w:marRight w:val="0"/>
              <w:marTop w:val="0"/>
              <w:marBottom w:val="0"/>
              <w:divBdr>
                <w:top w:val="none" w:sz="0" w:space="0" w:color="auto"/>
                <w:left w:val="none" w:sz="0" w:space="0" w:color="auto"/>
                <w:bottom w:val="none" w:sz="0" w:space="0" w:color="auto"/>
                <w:right w:val="none" w:sz="0" w:space="0" w:color="auto"/>
              </w:divBdr>
            </w:div>
            <w:div w:id="2031566745">
              <w:marLeft w:val="0"/>
              <w:marRight w:val="0"/>
              <w:marTop w:val="0"/>
              <w:marBottom w:val="0"/>
              <w:divBdr>
                <w:top w:val="none" w:sz="0" w:space="0" w:color="auto"/>
                <w:left w:val="none" w:sz="0" w:space="0" w:color="auto"/>
                <w:bottom w:val="none" w:sz="0" w:space="0" w:color="auto"/>
                <w:right w:val="none" w:sz="0" w:space="0" w:color="auto"/>
              </w:divBdr>
            </w:div>
            <w:div w:id="2102987036">
              <w:marLeft w:val="0"/>
              <w:marRight w:val="0"/>
              <w:marTop w:val="0"/>
              <w:marBottom w:val="0"/>
              <w:divBdr>
                <w:top w:val="none" w:sz="0" w:space="0" w:color="auto"/>
                <w:left w:val="none" w:sz="0" w:space="0" w:color="auto"/>
                <w:bottom w:val="none" w:sz="0" w:space="0" w:color="auto"/>
                <w:right w:val="none" w:sz="0" w:space="0" w:color="auto"/>
              </w:divBdr>
            </w:div>
          </w:divsChild>
        </w:div>
        <w:div w:id="1733963637">
          <w:marLeft w:val="0"/>
          <w:marRight w:val="0"/>
          <w:marTop w:val="0"/>
          <w:marBottom w:val="0"/>
          <w:divBdr>
            <w:top w:val="none" w:sz="0" w:space="0" w:color="auto"/>
            <w:left w:val="none" w:sz="0" w:space="0" w:color="auto"/>
            <w:bottom w:val="none" w:sz="0" w:space="0" w:color="auto"/>
            <w:right w:val="none" w:sz="0" w:space="0" w:color="auto"/>
          </w:divBdr>
        </w:div>
        <w:div w:id="2015570793">
          <w:marLeft w:val="0"/>
          <w:marRight w:val="0"/>
          <w:marTop w:val="0"/>
          <w:marBottom w:val="0"/>
          <w:divBdr>
            <w:top w:val="none" w:sz="0" w:space="0" w:color="auto"/>
            <w:left w:val="none" w:sz="0" w:space="0" w:color="auto"/>
            <w:bottom w:val="none" w:sz="0" w:space="0" w:color="auto"/>
            <w:right w:val="none" w:sz="0" w:space="0" w:color="auto"/>
          </w:divBdr>
          <w:divsChild>
            <w:div w:id="205678689">
              <w:marLeft w:val="0"/>
              <w:marRight w:val="0"/>
              <w:marTop w:val="0"/>
              <w:marBottom w:val="0"/>
              <w:divBdr>
                <w:top w:val="none" w:sz="0" w:space="0" w:color="auto"/>
                <w:left w:val="none" w:sz="0" w:space="0" w:color="auto"/>
                <w:bottom w:val="none" w:sz="0" w:space="0" w:color="auto"/>
                <w:right w:val="none" w:sz="0" w:space="0" w:color="auto"/>
              </w:divBdr>
            </w:div>
            <w:div w:id="503668817">
              <w:marLeft w:val="0"/>
              <w:marRight w:val="0"/>
              <w:marTop w:val="0"/>
              <w:marBottom w:val="0"/>
              <w:divBdr>
                <w:top w:val="none" w:sz="0" w:space="0" w:color="auto"/>
                <w:left w:val="none" w:sz="0" w:space="0" w:color="auto"/>
                <w:bottom w:val="none" w:sz="0" w:space="0" w:color="auto"/>
                <w:right w:val="none" w:sz="0" w:space="0" w:color="auto"/>
              </w:divBdr>
            </w:div>
            <w:div w:id="1386249371">
              <w:marLeft w:val="0"/>
              <w:marRight w:val="0"/>
              <w:marTop w:val="0"/>
              <w:marBottom w:val="0"/>
              <w:divBdr>
                <w:top w:val="none" w:sz="0" w:space="0" w:color="auto"/>
                <w:left w:val="none" w:sz="0" w:space="0" w:color="auto"/>
                <w:bottom w:val="none" w:sz="0" w:space="0" w:color="auto"/>
                <w:right w:val="none" w:sz="0" w:space="0" w:color="auto"/>
              </w:divBdr>
            </w:div>
            <w:div w:id="1402562154">
              <w:marLeft w:val="0"/>
              <w:marRight w:val="0"/>
              <w:marTop w:val="0"/>
              <w:marBottom w:val="0"/>
              <w:divBdr>
                <w:top w:val="none" w:sz="0" w:space="0" w:color="auto"/>
                <w:left w:val="none" w:sz="0" w:space="0" w:color="auto"/>
                <w:bottom w:val="none" w:sz="0" w:space="0" w:color="auto"/>
                <w:right w:val="none" w:sz="0" w:space="0" w:color="auto"/>
              </w:divBdr>
            </w:div>
            <w:div w:id="155126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5557">
      <w:bodyDiv w:val="1"/>
      <w:marLeft w:val="0"/>
      <w:marRight w:val="0"/>
      <w:marTop w:val="0"/>
      <w:marBottom w:val="0"/>
      <w:divBdr>
        <w:top w:val="none" w:sz="0" w:space="0" w:color="auto"/>
        <w:left w:val="none" w:sz="0" w:space="0" w:color="auto"/>
        <w:bottom w:val="none" w:sz="0" w:space="0" w:color="auto"/>
        <w:right w:val="none" w:sz="0" w:space="0" w:color="auto"/>
      </w:divBdr>
    </w:div>
    <w:div w:id="81610896">
      <w:bodyDiv w:val="1"/>
      <w:marLeft w:val="0"/>
      <w:marRight w:val="0"/>
      <w:marTop w:val="0"/>
      <w:marBottom w:val="0"/>
      <w:divBdr>
        <w:top w:val="none" w:sz="0" w:space="0" w:color="auto"/>
        <w:left w:val="none" w:sz="0" w:space="0" w:color="auto"/>
        <w:bottom w:val="none" w:sz="0" w:space="0" w:color="auto"/>
        <w:right w:val="none" w:sz="0" w:space="0" w:color="auto"/>
      </w:divBdr>
    </w:div>
    <w:div w:id="83646098">
      <w:bodyDiv w:val="1"/>
      <w:marLeft w:val="0"/>
      <w:marRight w:val="0"/>
      <w:marTop w:val="0"/>
      <w:marBottom w:val="0"/>
      <w:divBdr>
        <w:top w:val="none" w:sz="0" w:space="0" w:color="auto"/>
        <w:left w:val="none" w:sz="0" w:space="0" w:color="auto"/>
        <w:bottom w:val="none" w:sz="0" w:space="0" w:color="auto"/>
        <w:right w:val="none" w:sz="0" w:space="0" w:color="auto"/>
      </w:divBdr>
    </w:div>
    <w:div w:id="91440148">
      <w:bodyDiv w:val="1"/>
      <w:marLeft w:val="0"/>
      <w:marRight w:val="0"/>
      <w:marTop w:val="0"/>
      <w:marBottom w:val="0"/>
      <w:divBdr>
        <w:top w:val="none" w:sz="0" w:space="0" w:color="auto"/>
        <w:left w:val="none" w:sz="0" w:space="0" w:color="auto"/>
        <w:bottom w:val="none" w:sz="0" w:space="0" w:color="auto"/>
        <w:right w:val="none" w:sz="0" w:space="0" w:color="auto"/>
      </w:divBdr>
    </w:div>
    <w:div w:id="124396591">
      <w:bodyDiv w:val="1"/>
      <w:marLeft w:val="0"/>
      <w:marRight w:val="0"/>
      <w:marTop w:val="0"/>
      <w:marBottom w:val="0"/>
      <w:divBdr>
        <w:top w:val="none" w:sz="0" w:space="0" w:color="auto"/>
        <w:left w:val="none" w:sz="0" w:space="0" w:color="auto"/>
        <w:bottom w:val="none" w:sz="0" w:space="0" w:color="auto"/>
        <w:right w:val="none" w:sz="0" w:space="0" w:color="auto"/>
      </w:divBdr>
    </w:div>
    <w:div w:id="134372169">
      <w:bodyDiv w:val="1"/>
      <w:marLeft w:val="0"/>
      <w:marRight w:val="0"/>
      <w:marTop w:val="0"/>
      <w:marBottom w:val="0"/>
      <w:divBdr>
        <w:top w:val="none" w:sz="0" w:space="0" w:color="auto"/>
        <w:left w:val="none" w:sz="0" w:space="0" w:color="auto"/>
        <w:bottom w:val="none" w:sz="0" w:space="0" w:color="auto"/>
        <w:right w:val="none" w:sz="0" w:space="0" w:color="auto"/>
      </w:divBdr>
    </w:div>
    <w:div w:id="148256504">
      <w:bodyDiv w:val="1"/>
      <w:marLeft w:val="0"/>
      <w:marRight w:val="0"/>
      <w:marTop w:val="0"/>
      <w:marBottom w:val="0"/>
      <w:divBdr>
        <w:top w:val="none" w:sz="0" w:space="0" w:color="auto"/>
        <w:left w:val="none" w:sz="0" w:space="0" w:color="auto"/>
        <w:bottom w:val="none" w:sz="0" w:space="0" w:color="auto"/>
        <w:right w:val="none" w:sz="0" w:space="0" w:color="auto"/>
      </w:divBdr>
      <w:divsChild>
        <w:div w:id="696278580">
          <w:marLeft w:val="0"/>
          <w:marRight w:val="0"/>
          <w:marTop w:val="0"/>
          <w:marBottom w:val="0"/>
          <w:divBdr>
            <w:top w:val="none" w:sz="0" w:space="0" w:color="auto"/>
            <w:left w:val="none" w:sz="0" w:space="0" w:color="auto"/>
            <w:bottom w:val="none" w:sz="0" w:space="0" w:color="auto"/>
            <w:right w:val="none" w:sz="0" w:space="0" w:color="auto"/>
          </w:divBdr>
          <w:divsChild>
            <w:div w:id="7297010">
              <w:marLeft w:val="0"/>
              <w:marRight w:val="0"/>
              <w:marTop w:val="0"/>
              <w:marBottom w:val="0"/>
              <w:divBdr>
                <w:top w:val="none" w:sz="0" w:space="0" w:color="auto"/>
                <w:left w:val="none" w:sz="0" w:space="0" w:color="auto"/>
                <w:bottom w:val="none" w:sz="0" w:space="0" w:color="auto"/>
                <w:right w:val="none" w:sz="0" w:space="0" w:color="auto"/>
              </w:divBdr>
            </w:div>
            <w:div w:id="254244627">
              <w:marLeft w:val="0"/>
              <w:marRight w:val="0"/>
              <w:marTop w:val="0"/>
              <w:marBottom w:val="0"/>
              <w:divBdr>
                <w:top w:val="none" w:sz="0" w:space="0" w:color="auto"/>
                <w:left w:val="none" w:sz="0" w:space="0" w:color="auto"/>
                <w:bottom w:val="none" w:sz="0" w:space="0" w:color="auto"/>
                <w:right w:val="none" w:sz="0" w:space="0" w:color="auto"/>
              </w:divBdr>
            </w:div>
            <w:div w:id="1411078013">
              <w:marLeft w:val="0"/>
              <w:marRight w:val="0"/>
              <w:marTop w:val="0"/>
              <w:marBottom w:val="0"/>
              <w:divBdr>
                <w:top w:val="none" w:sz="0" w:space="0" w:color="auto"/>
                <w:left w:val="none" w:sz="0" w:space="0" w:color="auto"/>
                <w:bottom w:val="none" w:sz="0" w:space="0" w:color="auto"/>
                <w:right w:val="none" w:sz="0" w:space="0" w:color="auto"/>
              </w:divBdr>
            </w:div>
            <w:div w:id="1526863077">
              <w:marLeft w:val="0"/>
              <w:marRight w:val="0"/>
              <w:marTop w:val="0"/>
              <w:marBottom w:val="0"/>
              <w:divBdr>
                <w:top w:val="none" w:sz="0" w:space="0" w:color="auto"/>
                <w:left w:val="none" w:sz="0" w:space="0" w:color="auto"/>
                <w:bottom w:val="none" w:sz="0" w:space="0" w:color="auto"/>
                <w:right w:val="none" w:sz="0" w:space="0" w:color="auto"/>
              </w:divBdr>
            </w:div>
          </w:divsChild>
        </w:div>
        <w:div w:id="1724714485">
          <w:marLeft w:val="0"/>
          <w:marRight w:val="0"/>
          <w:marTop w:val="0"/>
          <w:marBottom w:val="0"/>
          <w:divBdr>
            <w:top w:val="none" w:sz="0" w:space="0" w:color="auto"/>
            <w:left w:val="none" w:sz="0" w:space="0" w:color="auto"/>
            <w:bottom w:val="none" w:sz="0" w:space="0" w:color="auto"/>
            <w:right w:val="none" w:sz="0" w:space="0" w:color="auto"/>
          </w:divBdr>
          <w:divsChild>
            <w:div w:id="1120494114">
              <w:marLeft w:val="0"/>
              <w:marRight w:val="0"/>
              <w:marTop w:val="0"/>
              <w:marBottom w:val="0"/>
              <w:divBdr>
                <w:top w:val="none" w:sz="0" w:space="0" w:color="auto"/>
                <w:left w:val="none" w:sz="0" w:space="0" w:color="auto"/>
                <w:bottom w:val="none" w:sz="0" w:space="0" w:color="auto"/>
                <w:right w:val="none" w:sz="0" w:space="0" w:color="auto"/>
              </w:divBdr>
            </w:div>
            <w:div w:id="1401903936">
              <w:marLeft w:val="0"/>
              <w:marRight w:val="0"/>
              <w:marTop w:val="0"/>
              <w:marBottom w:val="0"/>
              <w:divBdr>
                <w:top w:val="none" w:sz="0" w:space="0" w:color="auto"/>
                <w:left w:val="none" w:sz="0" w:space="0" w:color="auto"/>
                <w:bottom w:val="none" w:sz="0" w:space="0" w:color="auto"/>
                <w:right w:val="none" w:sz="0" w:space="0" w:color="auto"/>
              </w:divBdr>
            </w:div>
            <w:div w:id="184905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0551">
      <w:bodyDiv w:val="1"/>
      <w:marLeft w:val="0"/>
      <w:marRight w:val="0"/>
      <w:marTop w:val="0"/>
      <w:marBottom w:val="0"/>
      <w:divBdr>
        <w:top w:val="none" w:sz="0" w:space="0" w:color="auto"/>
        <w:left w:val="none" w:sz="0" w:space="0" w:color="auto"/>
        <w:bottom w:val="none" w:sz="0" w:space="0" w:color="auto"/>
        <w:right w:val="none" w:sz="0" w:space="0" w:color="auto"/>
      </w:divBdr>
      <w:divsChild>
        <w:div w:id="1041637193">
          <w:marLeft w:val="0"/>
          <w:marRight w:val="0"/>
          <w:marTop w:val="0"/>
          <w:marBottom w:val="0"/>
          <w:divBdr>
            <w:top w:val="none" w:sz="0" w:space="0" w:color="auto"/>
            <w:left w:val="none" w:sz="0" w:space="0" w:color="auto"/>
            <w:bottom w:val="none" w:sz="0" w:space="0" w:color="auto"/>
            <w:right w:val="none" w:sz="0" w:space="0" w:color="auto"/>
          </w:divBdr>
          <w:divsChild>
            <w:div w:id="198590570">
              <w:marLeft w:val="-75"/>
              <w:marRight w:val="0"/>
              <w:marTop w:val="30"/>
              <w:marBottom w:val="30"/>
              <w:divBdr>
                <w:top w:val="none" w:sz="0" w:space="0" w:color="auto"/>
                <w:left w:val="none" w:sz="0" w:space="0" w:color="auto"/>
                <w:bottom w:val="none" w:sz="0" w:space="0" w:color="auto"/>
                <w:right w:val="none" w:sz="0" w:space="0" w:color="auto"/>
              </w:divBdr>
              <w:divsChild>
                <w:div w:id="19821655">
                  <w:marLeft w:val="0"/>
                  <w:marRight w:val="0"/>
                  <w:marTop w:val="0"/>
                  <w:marBottom w:val="0"/>
                  <w:divBdr>
                    <w:top w:val="none" w:sz="0" w:space="0" w:color="auto"/>
                    <w:left w:val="none" w:sz="0" w:space="0" w:color="auto"/>
                    <w:bottom w:val="none" w:sz="0" w:space="0" w:color="auto"/>
                    <w:right w:val="none" w:sz="0" w:space="0" w:color="auto"/>
                  </w:divBdr>
                  <w:divsChild>
                    <w:div w:id="1601982413">
                      <w:marLeft w:val="0"/>
                      <w:marRight w:val="0"/>
                      <w:marTop w:val="0"/>
                      <w:marBottom w:val="0"/>
                      <w:divBdr>
                        <w:top w:val="none" w:sz="0" w:space="0" w:color="auto"/>
                        <w:left w:val="none" w:sz="0" w:space="0" w:color="auto"/>
                        <w:bottom w:val="none" w:sz="0" w:space="0" w:color="auto"/>
                        <w:right w:val="none" w:sz="0" w:space="0" w:color="auto"/>
                      </w:divBdr>
                    </w:div>
                  </w:divsChild>
                </w:div>
                <w:div w:id="26683586">
                  <w:marLeft w:val="0"/>
                  <w:marRight w:val="0"/>
                  <w:marTop w:val="0"/>
                  <w:marBottom w:val="0"/>
                  <w:divBdr>
                    <w:top w:val="none" w:sz="0" w:space="0" w:color="auto"/>
                    <w:left w:val="none" w:sz="0" w:space="0" w:color="auto"/>
                    <w:bottom w:val="none" w:sz="0" w:space="0" w:color="auto"/>
                    <w:right w:val="none" w:sz="0" w:space="0" w:color="auto"/>
                  </w:divBdr>
                  <w:divsChild>
                    <w:div w:id="156194225">
                      <w:marLeft w:val="0"/>
                      <w:marRight w:val="0"/>
                      <w:marTop w:val="0"/>
                      <w:marBottom w:val="0"/>
                      <w:divBdr>
                        <w:top w:val="none" w:sz="0" w:space="0" w:color="auto"/>
                        <w:left w:val="none" w:sz="0" w:space="0" w:color="auto"/>
                        <w:bottom w:val="none" w:sz="0" w:space="0" w:color="auto"/>
                        <w:right w:val="none" w:sz="0" w:space="0" w:color="auto"/>
                      </w:divBdr>
                    </w:div>
                  </w:divsChild>
                </w:div>
                <w:div w:id="58024402">
                  <w:marLeft w:val="0"/>
                  <w:marRight w:val="0"/>
                  <w:marTop w:val="0"/>
                  <w:marBottom w:val="0"/>
                  <w:divBdr>
                    <w:top w:val="none" w:sz="0" w:space="0" w:color="auto"/>
                    <w:left w:val="none" w:sz="0" w:space="0" w:color="auto"/>
                    <w:bottom w:val="none" w:sz="0" w:space="0" w:color="auto"/>
                    <w:right w:val="none" w:sz="0" w:space="0" w:color="auto"/>
                  </w:divBdr>
                  <w:divsChild>
                    <w:div w:id="1242519044">
                      <w:marLeft w:val="0"/>
                      <w:marRight w:val="0"/>
                      <w:marTop w:val="0"/>
                      <w:marBottom w:val="0"/>
                      <w:divBdr>
                        <w:top w:val="none" w:sz="0" w:space="0" w:color="auto"/>
                        <w:left w:val="none" w:sz="0" w:space="0" w:color="auto"/>
                        <w:bottom w:val="none" w:sz="0" w:space="0" w:color="auto"/>
                        <w:right w:val="none" w:sz="0" w:space="0" w:color="auto"/>
                      </w:divBdr>
                    </w:div>
                  </w:divsChild>
                </w:div>
                <w:div w:id="79067377">
                  <w:marLeft w:val="0"/>
                  <w:marRight w:val="0"/>
                  <w:marTop w:val="0"/>
                  <w:marBottom w:val="0"/>
                  <w:divBdr>
                    <w:top w:val="none" w:sz="0" w:space="0" w:color="auto"/>
                    <w:left w:val="none" w:sz="0" w:space="0" w:color="auto"/>
                    <w:bottom w:val="none" w:sz="0" w:space="0" w:color="auto"/>
                    <w:right w:val="none" w:sz="0" w:space="0" w:color="auto"/>
                  </w:divBdr>
                  <w:divsChild>
                    <w:div w:id="1356423238">
                      <w:marLeft w:val="0"/>
                      <w:marRight w:val="0"/>
                      <w:marTop w:val="0"/>
                      <w:marBottom w:val="0"/>
                      <w:divBdr>
                        <w:top w:val="none" w:sz="0" w:space="0" w:color="auto"/>
                        <w:left w:val="none" w:sz="0" w:space="0" w:color="auto"/>
                        <w:bottom w:val="none" w:sz="0" w:space="0" w:color="auto"/>
                        <w:right w:val="none" w:sz="0" w:space="0" w:color="auto"/>
                      </w:divBdr>
                    </w:div>
                  </w:divsChild>
                </w:div>
                <w:div w:id="104353115">
                  <w:marLeft w:val="0"/>
                  <w:marRight w:val="0"/>
                  <w:marTop w:val="0"/>
                  <w:marBottom w:val="0"/>
                  <w:divBdr>
                    <w:top w:val="none" w:sz="0" w:space="0" w:color="auto"/>
                    <w:left w:val="none" w:sz="0" w:space="0" w:color="auto"/>
                    <w:bottom w:val="none" w:sz="0" w:space="0" w:color="auto"/>
                    <w:right w:val="none" w:sz="0" w:space="0" w:color="auto"/>
                  </w:divBdr>
                  <w:divsChild>
                    <w:div w:id="510529440">
                      <w:marLeft w:val="0"/>
                      <w:marRight w:val="0"/>
                      <w:marTop w:val="0"/>
                      <w:marBottom w:val="0"/>
                      <w:divBdr>
                        <w:top w:val="none" w:sz="0" w:space="0" w:color="auto"/>
                        <w:left w:val="none" w:sz="0" w:space="0" w:color="auto"/>
                        <w:bottom w:val="none" w:sz="0" w:space="0" w:color="auto"/>
                        <w:right w:val="none" w:sz="0" w:space="0" w:color="auto"/>
                      </w:divBdr>
                    </w:div>
                  </w:divsChild>
                </w:div>
                <w:div w:id="127406989">
                  <w:marLeft w:val="0"/>
                  <w:marRight w:val="0"/>
                  <w:marTop w:val="0"/>
                  <w:marBottom w:val="0"/>
                  <w:divBdr>
                    <w:top w:val="none" w:sz="0" w:space="0" w:color="auto"/>
                    <w:left w:val="none" w:sz="0" w:space="0" w:color="auto"/>
                    <w:bottom w:val="none" w:sz="0" w:space="0" w:color="auto"/>
                    <w:right w:val="none" w:sz="0" w:space="0" w:color="auto"/>
                  </w:divBdr>
                  <w:divsChild>
                    <w:div w:id="1469005608">
                      <w:marLeft w:val="0"/>
                      <w:marRight w:val="0"/>
                      <w:marTop w:val="0"/>
                      <w:marBottom w:val="0"/>
                      <w:divBdr>
                        <w:top w:val="none" w:sz="0" w:space="0" w:color="auto"/>
                        <w:left w:val="none" w:sz="0" w:space="0" w:color="auto"/>
                        <w:bottom w:val="none" w:sz="0" w:space="0" w:color="auto"/>
                        <w:right w:val="none" w:sz="0" w:space="0" w:color="auto"/>
                      </w:divBdr>
                    </w:div>
                  </w:divsChild>
                </w:div>
                <w:div w:id="141122810">
                  <w:marLeft w:val="0"/>
                  <w:marRight w:val="0"/>
                  <w:marTop w:val="0"/>
                  <w:marBottom w:val="0"/>
                  <w:divBdr>
                    <w:top w:val="none" w:sz="0" w:space="0" w:color="auto"/>
                    <w:left w:val="none" w:sz="0" w:space="0" w:color="auto"/>
                    <w:bottom w:val="none" w:sz="0" w:space="0" w:color="auto"/>
                    <w:right w:val="none" w:sz="0" w:space="0" w:color="auto"/>
                  </w:divBdr>
                  <w:divsChild>
                    <w:div w:id="559095420">
                      <w:marLeft w:val="0"/>
                      <w:marRight w:val="0"/>
                      <w:marTop w:val="0"/>
                      <w:marBottom w:val="0"/>
                      <w:divBdr>
                        <w:top w:val="none" w:sz="0" w:space="0" w:color="auto"/>
                        <w:left w:val="none" w:sz="0" w:space="0" w:color="auto"/>
                        <w:bottom w:val="none" w:sz="0" w:space="0" w:color="auto"/>
                        <w:right w:val="none" w:sz="0" w:space="0" w:color="auto"/>
                      </w:divBdr>
                    </w:div>
                  </w:divsChild>
                </w:div>
                <w:div w:id="153567013">
                  <w:marLeft w:val="0"/>
                  <w:marRight w:val="0"/>
                  <w:marTop w:val="0"/>
                  <w:marBottom w:val="0"/>
                  <w:divBdr>
                    <w:top w:val="none" w:sz="0" w:space="0" w:color="auto"/>
                    <w:left w:val="none" w:sz="0" w:space="0" w:color="auto"/>
                    <w:bottom w:val="none" w:sz="0" w:space="0" w:color="auto"/>
                    <w:right w:val="none" w:sz="0" w:space="0" w:color="auto"/>
                  </w:divBdr>
                  <w:divsChild>
                    <w:div w:id="1530148307">
                      <w:marLeft w:val="0"/>
                      <w:marRight w:val="0"/>
                      <w:marTop w:val="0"/>
                      <w:marBottom w:val="0"/>
                      <w:divBdr>
                        <w:top w:val="none" w:sz="0" w:space="0" w:color="auto"/>
                        <w:left w:val="none" w:sz="0" w:space="0" w:color="auto"/>
                        <w:bottom w:val="none" w:sz="0" w:space="0" w:color="auto"/>
                        <w:right w:val="none" w:sz="0" w:space="0" w:color="auto"/>
                      </w:divBdr>
                    </w:div>
                  </w:divsChild>
                </w:div>
                <w:div w:id="184178342">
                  <w:marLeft w:val="0"/>
                  <w:marRight w:val="0"/>
                  <w:marTop w:val="0"/>
                  <w:marBottom w:val="0"/>
                  <w:divBdr>
                    <w:top w:val="none" w:sz="0" w:space="0" w:color="auto"/>
                    <w:left w:val="none" w:sz="0" w:space="0" w:color="auto"/>
                    <w:bottom w:val="none" w:sz="0" w:space="0" w:color="auto"/>
                    <w:right w:val="none" w:sz="0" w:space="0" w:color="auto"/>
                  </w:divBdr>
                  <w:divsChild>
                    <w:div w:id="542056140">
                      <w:marLeft w:val="0"/>
                      <w:marRight w:val="0"/>
                      <w:marTop w:val="0"/>
                      <w:marBottom w:val="0"/>
                      <w:divBdr>
                        <w:top w:val="none" w:sz="0" w:space="0" w:color="auto"/>
                        <w:left w:val="none" w:sz="0" w:space="0" w:color="auto"/>
                        <w:bottom w:val="none" w:sz="0" w:space="0" w:color="auto"/>
                        <w:right w:val="none" w:sz="0" w:space="0" w:color="auto"/>
                      </w:divBdr>
                    </w:div>
                  </w:divsChild>
                </w:div>
                <w:div w:id="189494275">
                  <w:marLeft w:val="0"/>
                  <w:marRight w:val="0"/>
                  <w:marTop w:val="0"/>
                  <w:marBottom w:val="0"/>
                  <w:divBdr>
                    <w:top w:val="none" w:sz="0" w:space="0" w:color="auto"/>
                    <w:left w:val="none" w:sz="0" w:space="0" w:color="auto"/>
                    <w:bottom w:val="none" w:sz="0" w:space="0" w:color="auto"/>
                    <w:right w:val="none" w:sz="0" w:space="0" w:color="auto"/>
                  </w:divBdr>
                  <w:divsChild>
                    <w:div w:id="949238878">
                      <w:marLeft w:val="0"/>
                      <w:marRight w:val="0"/>
                      <w:marTop w:val="0"/>
                      <w:marBottom w:val="0"/>
                      <w:divBdr>
                        <w:top w:val="none" w:sz="0" w:space="0" w:color="auto"/>
                        <w:left w:val="none" w:sz="0" w:space="0" w:color="auto"/>
                        <w:bottom w:val="none" w:sz="0" w:space="0" w:color="auto"/>
                        <w:right w:val="none" w:sz="0" w:space="0" w:color="auto"/>
                      </w:divBdr>
                    </w:div>
                  </w:divsChild>
                </w:div>
                <w:div w:id="215170819">
                  <w:marLeft w:val="0"/>
                  <w:marRight w:val="0"/>
                  <w:marTop w:val="0"/>
                  <w:marBottom w:val="0"/>
                  <w:divBdr>
                    <w:top w:val="none" w:sz="0" w:space="0" w:color="auto"/>
                    <w:left w:val="none" w:sz="0" w:space="0" w:color="auto"/>
                    <w:bottom w:val="none" w:sz="0" w:space="0" w:color="auto"/>
                    <w:right w:val="none" w:sz="0" w:space="0" w:color="auto"/>
                  </w:divBdr>
                  <w:divsChild>
                    <w:div w:id="2080244686">
                      <w:marLeft w:val="0"/>
                      <w:marRight w:val="0"/>
                      <w:marTop w:val="0"/>
                      <w:marBottom w:val="0"/>
                      <w:divBdr>
                        <w:top w:val="none" w:sz="0" w:space="0" w:color="auto"/>
                        <w:left w:val="none" w:sz="0" w:space="0" w:color="auto"/>
                        <w:bottom w:val="none" w:sz="0" w:space="0" w:color="auto"/>
                        <w:right w:val="none" w:sz="0" w:space="0" w:color="auto"/>
                      </w:divBdr>
                    </w:div>
                  </w:divsChild>
                </w:div>
                <w:div w:id="222914433">
                  <w:marLeft w:val="0"/>
                  <w:marRight w:val="0"/>
                  <w:marTop w:val="0"/>
                  <w:marBottom w:val="0"/>
                  <w:divBdr>
                    <w:top w:val="none" w:sz="0" w:space="0" w:color="auto"/>
                    <w:left w:val="none" w:sz="0" w:space="0" w:color="auto"/>
                    <w:bottom w:val="none" w:sz="0" w:space="0" w:color="auto"/>
                    <w:right w:val="none" w:sz="0" w:space="0" w:color="auto"/>
                  </w:divBdr>
                  <w:divsChild>
                    <w:div w:id="1208952218">
                      <w:marLeft w:val="0"/>
                      <w:marRight w:val="0"/>
                      <w:marTop w:val="0"/>
                      <w:marBottom w:val="0"/>
                      <w:divBdr>
                        <w:top w:val="none" w:sz="0" w:space="0" w:color="auto"/>
                        <w:left w:val="none" w:sz="0" w:space="0" w:color="auto"/>
                        <w:bottom w:val="none" w:sz="0" w:space="0" w:color="auto"/>
                        <w:right w:val="none" w:sz="0" w:space="0" w:color="auto"/>
                      </w:divBdr>
                    </w:div>
                  </w:divsChild>
                </w:div>
                <w:div w:id="239750511">
                  <w:marLeft w:val="0"/>
                  <w:marRight w:val="0"/>
                  <w:marTop w:val="0"/>
                  <w:marBottom w:val="0"/>
                  <w:divBdr>
                    <w:top w:val="none" w:sz="0" w:space="0" w:color="auto"/>
                    <w:left w:val="none" w:sz="0" w:space="0" w:color="auto"/>
                    <w:bottom w:val="none" w:sz="0" w:space="0" w:color="auto"/>
                    <w:right w:val="none" w:sz="0" w:space="0" w:color="auto"/>
                  </w:divBdr>
                  <w:divsChild>
                    <w:div w:id="1994946899">
                      <w:marLeft w:val="0"/>
                      <w:marRight w:val="0"/>
                      <w:marTop w:val="0"/>
                      <w:marBottom w:val="0"/>
                      <w:divBdr>
                        <w:top w:val="none" w:sz="0" w:space="0" w:color="auto"/>
                        <w:left w:val="none" w:sz="0" w:space="0" w:color="auto"/>
                        <w:bottom w:val="none" w:sz="0" w:space="0" w:color="auto"/>
                        <w:right w:val="none" w:sz="0" w:space="0" w:color="auto"/>
                      </w:divBdr>
                    </w:div>
                  </w:divsChild>
                </w:div>
                <w:div w:id="251663149">
                  <w:marLeft w:val="0"/>
                  <w:marRight w:val="0"/>
                  <w:marTop w:val="0"/>
                  <w:marBottom w:val="0"/>
                  <w:divBdr>
                    <w:top w:val="none" w:sz="0" w:space="0" w:color="auto"/>
                    <w:left w:val="none" w:sz="0" w:space="0" w:color="auto"/>
                    <w:bottom w:val="none" w:sz="0" w:space="0" w:color="auto"/>
                    <w:right w:val="none" w:sz="0" w:space="0" w:color="auto"/>
                  </w:divBdr>
                  <w:divsChild>
                    <w:div w:id="678192943">
                      <w:marLeft w:val="0"/>
                      <w:marRight w:val="0"/>
                      <w:marTop w:val="0"/>
                      <w:marBottom w:val="0"/>
                      <w:divBdr>
                        <w:top w:val="none" w:sz="0" w:space="0" w:color="auto"/>
                        <w:left w:val="none" w:sz="0" w:space="0" w:color="auto"/>
                        <w:bottom w:val="none" w:sz="0" w:space="0" w:color="auto"/>
                        <w:right w:val="none" w:sz="0" w:space="0" w:color="auto"/>
                      </w:divBdr>
                    </w:div>
                  </w:divsChild>
                </w:div>
                <w:div w:id="276721583">
                  <w:marLeft w:val="0"/>
                  <w:marRight w:val="0"/>
                  <w:marTop w:val="0"/>
                  <w:marBottom w:val="0"/>
                  <w:divBdr>
                    <w:top w:val="none" w:sz="0" w:space="0" w:color="auto"/>
                    <w:left w:val="none" w:sz="0" w:space="0" w:color="auto"/>
                    <w:bottom w:val="none" w:sz="0" w:space="0" w:color="auto"/>
                    <w:right w:val="none" w:sz="0" w:space="0" w:color="auto"/>
                  </w:divBdr>
                  <w:divsChild>
                    <w:div w:id="1466893302">
                      <w:marLeft w:val="0"/>
                      <w:marRight w:val="0"/>
                      <w:marTop w:val="0"/>
                      <w:marBottom w:val="0"/>
                      <w:divBdr>
                        <w:top w:val="none" w:sz="0" w:space="0" w:color="auto"/>
                        <w:left w:val="none" w:sz="0" w:space="0" w:color="auto"/>
                        <w:bottom w:val="none" w:sz="0" w:space="0" w:color="auto"/>
                        <w:right w:val="none" w:sz="0" w:space="0" w:color="auto"/>
                      </w:divBdr>
                    </w:div>
                  </w:divsChild>
                </w:div>
                <w:div w:id="297028490">
                  <w:marLeft w:val="0"/>
                  <w:marRight w:val="0"/>
                  <w:marTop w:val="0"/>
                  <w:marBottom w:val="0"/>
                  <w:divBdr>
                    <w:top w:val="none" w:sz="0" w:space="0" w:color="auto"/>
                    <w:left w:val="none" w:sz="0" w:space="0" w:color="auto"/>
                    <w:bottom w:val="none" w:sz="0" w:space="0" w:color="auto"/>
                    <w:right w:val="none" w:sz="0" w:space="0" w:color="auto"/>
                  </w:divBdr>
                  <w:divsChild>
                    <w:div w:id="1203320886">
                      <w:marLeft w:val="0"/>
                      <w:marRight w:val="0"/>
                      <w:marTop w:val="0"/>
                      <w:marBottom w:val="0"/>
                      <w:divBdr>
                        <w:top w:val="none" w:sz="0" w:space="0" w:color="auto"/>
                        <w:left w:val="none" w:sz="0" w:space="0" w:color="auto"/>
                        <w:bottom w:val="none" w:sz="0" w:space="0" w:color="auto"/>
                        <w:right w:val="none" w:sz="0" w:space="0" w:color="auto"/>
                      </w:divBdr>
                    </w:div>
                  </w:divsChild>
                </w:div>
                <w:div w:id="307826875">
                  <w:marLeft w:val="0"/>
                  <w:marRight w:val="0"/>
                  <w:marTop w:val="0"/>
                  <w:marBottom w:val="0"/>
                  <w:divBdr>
                    <w:top w:val="none" w:sz="0" w:space="0" w:color="auto"/>
                    <w:left w:val="none" w:sz="0" w:space="0" w:color="auto"/>
                    <w:bottom w:val="none" w:sz="0" w:space="0" w:color="auto"/>
                    <w:right w:val="none" w:sz="0" w:space="0" w:color="auto"/>
                  </w:divBdr>
                  <w:divsChild>
                    <w:div w:id="388192156">
                      <w:marLeft w:val="0"/>
                      <w:marRight w:val="0"/>
                      <w:marTop w:val="0"/>
                      <w:marBottom w:val="0"/>
                      <w:divBdr>
                        <w:top w:val="none" w:sz="0" w:space="0" w:color="auto"/>
                        <w:left w:val="none" w:sz="0" w:space="0" w:color="auto"/>
                        <w:bottom w:val="none" w:sz="0" w:space="0" w:color="auto"/>
                        <w:right w:val="none" w:sz="0" w:space="0" w:color="auto"/>
                      </w:divBdr>
                    </w:div>
                  </w:divsChild>
                </w:div>
                <w:div w:id="328095074">
                  <w:marLeft w:val="0"/>
                  <w:marRight w:val="0"/>
                  <w:marTop w:val="0"/>
                  <w:marBottom w:val="0"/>
                  <w:divBdr>
                    <w:top w:val="none" w:sz="0" w:space="0" w:color="auto"/>
                    <w:left w:val="none" w:sz="0" w:space="0" w:color="auto"/>
                    <w:bottom w:val="none" w:sz="0" w:space="0" w:color="auto"/>
                    <w:right w:val="none" w:sz="0" w:space="0" w:color="auto"/>
                  </w:divBdr>
                  <w:divsChild>
                    <w:div w:id="148864503">
                      <w:marLeft w:val="0"/>
                      <w:marRight w:val="0"/>
                      <w:marTop w:val="0"/>
                      <w:marBottom w:val="0"/>
                      <w:divBdr>
                        <w:top w:val="none" w:sz="0" w:space="0" w:color="auto"/>
                        <w:left w:val="none" w:sz="0" w:space="0" w:color="auto"/>
                        <w:bottom w:val="none" w:sz="0" w:space="0" w:color="auto"/>
                        <w:right w:val="none" w:sz="0" w:space="0" w:color="auto"/>
                      </w:divBdr>
                    </w:div>
                  </w:divsChild>
                </w:div>
                <w:div w:id="384253532">
                  <w:marLeft w:val="0"/>
                  <w:marRight w:val="0"/>
                  <w:marTop w:val="0"/>
                  <w:marBottom w:val="0"/>
                  <w:divBdr>
                    <w:top w:val="none" w:sz="0" w:space="0" w:color="auto"/>
                    <w:left w:val="none" w:sz="0" w:space="0" w:color="auto"/>
                    <w:bottom w:val="none" w:sz="0" w:space="0" w:color="auto"/>
                    <w:right w:val="none" w:sz="0" w:space="0" w:color="auto"/>
                  </w:divBdr>
                  <w:divsChild>
                    <w:div w:id="1344697643">
                      <w:marLeft w:val="0"/>
                      <w:marRight w:val="0"/>
                      <w:marTop w:val="0"/>
                      <w:marBottom w:val="0"/>
                      <w:divBdr>
                        <w:top w:val="none" w:sz="0" w:space="0" w:color="auto"/>
                        <w:left w:val="none" w:sz="0" w:space="0" w:color="auto"/>
                        <w:bottom w:val="none" w:sz="0" w:space="0" w:color="auto"/>
                        <w:right w:val="none" w:sz="0" w:space="0" w:color="auto"/>
                      </w:divBdr>
                    </w:div>
                  </w:divsChild>
                </w:div>
                <w:div w:id="394281586">
                  <w:marLeft w:val="0"/>
                  <w:marRight w:val="0"/>
                  <w:marTop w:val="0"/>
                  <w:marBottom w:val="0"/>
                  <w:divBdr>
                    <w:top w:val="none" w:sz="0" w:space="0" w:color="auto"/>
                    <w:left w:val="none" w:sz="0" w:space="0" w:color="auto"/>
                    <w:bottom w:val="none" w:sz="0" w:space="0" w:color="auto"/>
                    <w:right w:val="none" w:sz="0" w:space="0" w:color="auto"/>
                  </w:divBdr>
                  <w:divsChild>
                    <w:div w:id="1631009313">
                      <w:marLeft w:val="0"/>
                      <w:marRight w:val="0"/>
                      <w:marTop w:val="0"/>
                      <w:marBottom w:val="0"/>
                      <w:divBdr>
                        <w:top w:val="none" w:sz="0" w:space="0" w:color="auto"/>
                        <w:left w:val="none" w:sz="0" w:space="0" w:color="auto"/>
                        <w:bottom w:val="none" w:sz="0" w:space="0" w:color="auto"/>
                        <w:right w:val="none" w:sz="0" w:space="0" w:color="auto"/>
                      </w:divBdr>
                    </w:div>
                  </w:divsChild>
                </w:div>
                <w:div w:id="405956777">
                  <w:marLeft w:val="0"/>
                  <w:marRight w:val="0"/>
                  <w:marTop w:val="0"/>
                  <w:marBottom w:val="0"/>
                  <w:divBdr>
                    <w:top w:val="none" w:sz="0" w:space="0" w:color="auto"/>
                    <w:left w:val="none" w:sz="0" w:space="0" w:color="auto"/>
                    <w:bottom w:val="none" w:sz="0" w:space="0" w:color="auto"/>
                    <w:right w:val="none" w:sz="0" w:space="0" w:color="auto"/>
                  </w:divBdr>
                  <w:divsChild>
                    <w:div w:id="1252857648">
                      <w:marLeft w:val="0"/>
                      <w:marRight w:val="0"/>
                      <w:marTop w:val="0"/>
                      <w:marBottom w:val="0"/>
                      <w:divBdr>
                        <w:top w:val="none" w:sz="0" w:space="0" w:color="auto"/>
                        <w:left w:val="none" w:sz="0" w:space="0" w:color="auto"/>
                        <w:bottom w:val="none" w:sz="0" w:space="0" w:color="auto"/>
                        <w:right w:val="none" w:sz="0" w:space="0" w:color="auto"/>
                      </w:divBdr>
                    </w:div>
                  </w:divsChild>
                </w:div>
                <w:div w:id="435247829">
                  <w:marLeft w:val="0"/>
                  <w:marRight w:val="0"/>
                  <w:marTop w:val="0"/>
                  <w:marBottom w:val="0"/>
                  <w:divBdr>
                    <w:top w:val="none" w:sz="0" w:space="0" w:color="auto"/>
                    <w:left w:val="none" w:sz="0" w:space="0" w:color="auto"/>
                    <w:bottom w:val="none" w:sz="0" w:space="0" w:color="auto"/>
                    <w:right w:val="none" w:sz="0" w:space="0" w:color="auto"/>
                  </w:divBdr>
                  <w:divsChild>
                    <w:div w:id="166945830">
                      <w:marLeft w:val="0"/>
                      <w:marRight w:val="0"/>
                      <w:marTop w:val="0"/>
                      <w:marBottom w:val="0"/>
                      <w:divBdr>
                        <w:top w:val="none" w:sz="0" w:space="0" w:color="auto"/>
                        <w:left w:val="none" w:sz="0" w:space="0" w:color="auto"/>
                        <w:bottom w:val="none" w:sz="0" w:space="0" w:color="auto"/>
                        <w:right w:val="none" w:sz="0" w:space="0" w:color="auto"/>
                      </w:divBdr>
                    </w:div>
                  </w:divsChild>
                </w:div>
                <w:div w:id="438524418">
                  <w:marLeft w:val="0"/>
                  <w:marRight w:val="0"/>
                  <w:marTop w:val="0"/>
                  <w:marBottom w:val="0"/>
                  <w:divBdr>
                    <w:top w:val="none" w:sz="0" w:space="0" w:color="auto"/>
                    <w:left w:val="none" w:sz="0" w:space="0" w:color="auto"/>
                    <w:bottom w:val="none" w:sz="0" w:space="0" w:color="auto"/>
                    <w:right w:val="none" w:sz="0" w:space="0" w:color="auto"/>
                  </w:divBdr>
                  <w:divsChild>
                    <w:div w:id="1345401403">
                      <w:marLeft w:val="0"/>
                      <w:marRight w:val="0"/>
                      <w:marTop w:val="0"/>
                      <w:marBottom w:val="0"/>
                      <w:divBdr>
                        <w:top w:val="none" w:sz="0" w:space="0" w:color="auto"/>
                        <w:left w:val="none" w:sz="0" w:space="0" w:color="auto"/>
                        <w:bottom w:val="none" w:sz="0" w:space="0" w:color="auto"/>
                        <w:right w:val="none" w:sz="0" w:space="0" w:color="auto"/>
                      </w:divBdr>
                    </w:div>
                  </w:divsChild>
                </w:div>
                <w:div w:id="446777094">
                  <w:marLeft w:val="0"/>
                  <w:marRight w:val="0"/>
                  <w:marTop w:val="0"/>
                  <w:marBottom w:val="0"/>
                  <w:divBdr>
                    <w:top w:val="none" w:sz="0" w:space="0" w:color="auto"/>
                    <w:left w:val="none" w:sz="0" w:space="0" w:color="auto"/>
                    <w:bottom w:val="none" w:sz="0" w:space="0" w:color="auto"/>
                    <w:right w:val="none" w:sz="0" w:space="0" w:color="auto"/>
                  </w:divBdr>
                  <w:divsChild>
                    <w:div w:id="1376079965">
                      <w:marLeft w:val="0"/>
                      <w:marRight w:val="0"/>
                      <w:marTop w:val="0"/>
                      <w:marBottom w:val="0"/>
                      <w:divBdr>
                        <w:top w:val="none" w:sz="0" w:space="0" w:color="auto"/>
                        <w:left w:val="none" w:sz="0" w:space="0" w:color="auto"/>
                        <w:bottom w:val="none" w:sz="0" w:space="0" w:color="auto"/>
                        <w:right w:val="none" w:sz="0" w:space="0" w:color="auto"/>
                      </w:divBdr>
                    </w:div>
                  </w:divsChild>
                </w:div>
                <w:div w:id="447164457">
                  <w:marLeft w:val="0"/>
                  <w:marRight w:val="0"/>
                  <w:marTop w:val="0"/>
                  <w:marBottom w:val="0"/>
                  <w:divBdr>
                    <w:top w:val="none" w:sz="0" w:space="0" w:color="auto"/>
                    <w:left w:val="none" w:sz="0" w:space="0" w:color="auto"/>
                    <w:bottom w:val="none" w:sz="0" w:space="0" w:color="auto"/>
                    <w:right w:val="none" w:sz="0" w:space="0" w:color="auto"/>
                  </w:divBdr>
                  <w:divsChild>
                    <w:div w:id="461458645">
                      <w:marLeft w:val="0"/>
                      <w:marRight w:val="0"/>
                      <w:marTop w:val="0"/>
                      <w:marBottom w:val="0"/>
                      <w:divBdr>
                        <w:top w:val="none" w:sz="0" w:space="0" w:color="auto"/>
                        <w:left w:val="none" w:sz="0" w:space="0" w:color="auto"/>
                        <w:bottom w:val="none" w:sz="0" w:space="0" w:color="auto"/>
                        <w:right w:val="none" w:sz="0" w:space="0" w:color="auto"/>
                      </w:divBdr>
                    </w:div>
                  </w:divsChild>
                </w:div>
                <w:div w:id="460225237">
                  <w:marLeft w:val="0"/>
                  <w:marRight w:val="0"/>
                  <w:marTop w:val="0"/>
                  <w:marBottom w:val="0"/>
                  <w:divBdr>
                    <w:top w:val="none" w:sz="0" w:space="0" w:color="auto"/>
                    <w:left w:val="none" w:sz="0" w:space="0" w:color="auto"/>
                    <w:bottom w:val="none" w:sz="0" w:space="0" w:color="auto"/>
                    <w:right w:val="none" w:sz="0" w:space="0" w:color="auto"/>
                  </w:divBdr>
                  <w:divsChild>
                    <w:div w:id="1804346965">
                      <w:marLeft w:val="0"/>
                      <w:marRight w:val="0"/>
                      <w:marTop w:val="0"/>
                      <w:marBottom w:val="0"/>
                      <w:divBdr>
                        <w:top w:val="none" w:sz="0" w:space="0" w:color="auto"/>
                        <w:left w:val="none" w:sz="0" w:space="0" w:color="auto"/>
                        <w:bottom w:val="none" w:sz="0" w:space="0" w:color="auto"/>
                        <w:right w:val="none" w:sz="0" w:space="0" w:color="auto"/>
                      </w:divBdr>
                    </w:div>
                  </w:divsChild>
                </w:div>
                <w:div w:id="506948591">
                  <w:marLeft w:val="0"/>
                  <w:marRight w:val="0"/>
                  <w:marTop w:val="0"/>
                  <w:marBottom w:val="0"/>
                  <w:divBdr>
                    <w:top w:val="none" w:sz="0" w:space="0" w:color="auto"/>
                    <w:left w:val="none" w:sz="0" w:space="0" w:color="auto"/>
                    <w:bottom w:val="none" w:sz="0" w:space="0" w:color="auto"/>
                    <w:right w:val="none" w:sz="0" w:space="0" w:color="auto"/>
                  </w:divBdr>
                  <w:divsChild>
                    <w:div w:id="1584799777">
                      <w:marLeft w:val="0"/>
                      <w:marRight w:val="0"/>
                      <w:marTop w:val="0"/>
                      <w:marBottom w:val="0"/>
                      <w:divBdr>
                        <w:top w:val="none" w:sz="0" w:space="0" w:color="auto"/>
                        <w:left w:val="none" w:sz="0" w:space="0" w:color="auto"/>
                        <w:bottom w:val="none" w:sz="0" w:space="0" w:color="auto"/>
                        <w:right w:val="none" w:sz="0" w:space="0" w:color="auto"/>
                      </w:divBdr>
                    </w:div>
                  </w:divsChild>
                </w:div>
                <w:div w:id="517891731">
                  <w:marLeft w:val="0"/>
                  <w:marRight w:val="0"/>
                  <w:marTop w:val="0"/>
                  <w:marBottom w:val="0"/>
                  <w:divBdr>
                    <w:top w:val="none" w:sz="0" w:space="0" w:color="auto"/>
                    <w:left w:val="none" w:sz="0" w:space="0" w:color="auto"/>
                    <w:bottom w:val="none" w:sz="0" w:space="0" w:color="auto"/>
                    <w:right w:val="none" w:sz="0" w:space="0" w:color="auto"/>
                  </w:divBdr>
                  <w:divsChild>
                    <w:div w:id="1985816519">
                      <w:marLeft w:val="0"/>
                      <w:marRight w:val="0"/>
                      <w:marTop w:val="0"/>
                      <w:marBottom w:val="0"/>
                      <w:divBdr>
                        <w:top w:val="none" w:sz="0" w:space="0" w:color="auto"/>
                        <w:left w:val="none" w:sz="0" w:space="0" w:color="auto"/>
                        <w:bottom w:val="none" w:sz="0" w:space="0" w:color="auto"/>
                        <w:right w:val="none" w:sz="0" w:space="0" w:color="auto"/>
                      </w:divBdr>
                    </w:div>
                  </w:divsChild>
                </w:div>
                <w:div w:id="523206579">
                  <w:marLeft w:val="0"/>
                  <w:marRight w:val="0"/>
                  <w:marTop w:val="0"/>
                  <w:marBottom w:val="0"/>
                  <w:divBdr>
                    <w:top w:val="none" w:sz="0" w:space="0" w:color="auto"/>
                    <w:left w:val="none" w:sz="0" w:space="0" w:color="auto"/>
                    <w:bottom w:val="none" w:sz="0" w:space="0" w:color="auto"/>
                    <w:right w:val="none" w:sz="0" w:space="0" w:color="auto"/>
                  </w:divBdr>
                  <w:divsChild>
                    <w:div w:id="814180894">
                      <w:marLeft w:val="0"/>
                      <w:marRight w:val="0"/>
                      <w:marTop w:val="0"/>
                      <w:marBottom w:val="0"/>
                      <w:divBdr>
                        <w:top w:val="none" w:sz="0" w:space="0" w:color="auto"/>
                        <w:left w:val="none" w:sz="0" w:space="0" w:color="auto"/>
                        <w:bottom w:val="none" w:sz="0" w:space="0" w:color="auto"/>
                        <w:right w:val="none" w:sz="0" w:space="0" w:color="auto"/>
                      </w:divBdr>
                    </w:div>
                  </w:divsChild>
                </w:div>
                <w:div w:id="526797973">
                  <w:marLeft w:val="0"/>
                  <w:marRight w:val="0"/>
                  <w:marTop w:val="0"/>
                  <w:marBottom w:val="0"/>
                  <w:divBdr>
                    <w:top w:val="none" w:sz="0" w:space="0" w:color="auto"/>
                    <w:left w:val="none" w:sz="0" w:space="0" w:color="auto"/>
                    <w:bottom w:val="none" w:sz="0" w:space="0" w:color="auto"/>
                    <w:right w:val="none" w:sz="0" w:space="0" w:color="auto"/>
                  </w:divBdr>
                  <w:divsChild>
                    <w:div w:id="586615970">
                      <w:marLeft w:val="0"/>
                      <w:marRight w:val="0"/>
                      <w:marTop w:val="0"/>
                      <w:marBottom w:val="0"/>
                      <w:divBdr>
                        <w:top w:val="none" w:sz="0" w:space="0" w:color="auto"/>
                        <w:left w:val="none" w:sz="0" w:space="0" w:color="auto"/>
                        <w:bottom w:val="none" w:sz="0" w:space="0" w:color="auto"/>
                        <w:right w:val="none" w:sz="0" w:space="0" w:color="auto"/>
                      </w:divBdr>
                    </w:div>
                  </w:divsChild>
                </w:div>
                <w:div w:id="539367907">
                  <w:marLeft w:val="0"/>
                  <w:marRight w:val="0"/>
                  <w:marTop w:val="0"/>
                  <w:marBottom w:val="0"/>
                  <w:divBdr>
                    <w:top w:val="none" w:sz="0" w:space="0" w:color="auto"/>
                    <w:left w:val="none" w:sz="0" w:space="0" w:color="auto"/>
                    <w:bottom w:val="none" w:sz="0" w:space="0" w:color="auto"/>
                    <w:right w:val="none" w:sz="0" w:space="0" w:color="auto"/>
                  </w:divBdr>
                  <w:divsChild>
                    <w:div w:id="1756591283">
                      <w:marLeft w:val="0"/>
                      <w:marRight w:val="0"/>
                      <w:marTop w:val="0"/>
                      <w:marBottom w:val="0"/>
                      <w:divBdr>
                        <w:top w:val="none" w:sz="0" w:space="0" w:color="auto"/>
                        <w:left w:val="none" w:sz="0" w:space="0" w:color="auto"/>
                        <w:bottom w:val="none" w:sz="0" w:space="0" w:color="auto"/>
                        <w:right w:val="none" w:sz="0" w:space="0" w:color="auto"/>
                      </w:divBdr>
                    </w:div>
                  </w:divsChild>
                </w:div>
                <w:div w:id="546574047">
                  <w:marLeft w:val="0"/>
                  <w:marRight w:val="0"/>
                  <w:marTop w:val="0"/>
                  <w:marBottom w:val="0"/>
                  <w:divBdr>
                    <w:top w:val="none" w:sz="0" w:space="0" w:color="auto"/>
                    <w:left w:val="none" w:sz="0" w:space="0" w:color="auto"/>
                    <w:bottom w:val="none" w:sz="0" w:space="0" w:color="auto"/>
                    <w:right w:val="none" w:sz="0" w:space="0" w:color="auto"/>
                  </w:divBdr>
                  <w:divsChild>
                    <w:div w:id="859971033">
                      <w:marLeft w:val="0"/>
                      <w:marRight w:val="0"/>
                      <w:marTop w:val="0"/>
                      <w:marBottom w:val="0"/>
                      <w:divBdr>
                        <w:top w:val="none" w:sz="0" w:space="0" w:color="auto"/>
                        <w:left w:val="none" w:sz="0" w:space="0" w:color="auto"/>
                        <w:bottom w:val="none" w:sz="0" w:space="0" w:color="auto"/>
                        <w:right w:val="none" w:sz="0" w:space="0" w:color="auto"/>
                      </w:divBdr>
                    </w:div>
                  </w:divsChild>
                </w:div>
                <w:div w:id="546650813">
                  <w:marLeft w:val="0"/>
                  <w:marRight w:val="0"/>
                  <w:marTop w:val="0"/>
                  <w:marBottom w:val="0"/>
                  <w:divBdr>
                    <w:top w:val="none" w:sz="0" w:space="0" w:color="auto"/>
                    <w:left w:val="none" w:sz="0" w:space="0" w:color="auto"/>
                    <w:bottom w:val="none" w:sz="0" w:space="0" w:color="auto"/>
                    <w:right w:val="none" w:sz="0" w:space="0" w:color="auto"/>
                  </w:divBdr>
                  <w:divsChild>
                    <w:div w:id="258757772">
                      <w:marLeft w:val="0"/>
                      <w:marRight w:val="0"/>
                      <w:marTop w:val="0"/>
                      <w:marBottom w:val="0"/>
                      <w:divBdr>
                        <w:top w:val="none" w:sz="0" w:space="0" w:color="auto"/>
                        <w:left w:val="none" w:sz="0" w:space="0" w:color="auto"/>
                        <w:bottom w:val="none" w:sz="0" w:space="0" w:color="auto"/>
                        <w:right w:val="none" w:sz="0" w:space="0" w:color="auto"/>
                      </w:divBdr>
                    </w:div>
                  </w:divsChild>
                </w:div>
                <w:div w:id="564223809">
                  <w:marLeft w:val="0"/>
                  <w:marRight w:val="0"/>
                  <w:marTop w:val="0"/>
                  <w:marBottom w:val="0"/>
                  <w:divBdr>
                    <w:top w:val="none" w:sz="0" w:space="0" w:color="auto"/>
                    <w:left w:val="none" w:sz="0" w:space="0" w:color="auto"/>
                    <w:bottom w:val="none" w:sz="0" w:space="0" w:color="auto"/>
                    <w:right w:val="none" w:sz="0" w:space="0" w:color="auto"/>
                  </w:divBdr>
                  <w:divsChild>
                    <w:div w:id="1489861772">
                      <w:marLeft w:val="0"/>
                      <w:marRight w:val="0"/>
                      <w:marTop w:val="0"/>
                      <w:marBottom w:val="0"/>
                      <w:divBdr>
                        <w:top w:val="none" w:sz="0" w:space="0" w:color="auto"/>
                        <w:left w:val="none" w:sz="0" w:space="0" w:color="auto"/>
                        <w:bottom w:val="none" w:sz="0" w:space="0" w:color="auto"/>
                        <w:right w:val="none" w:sz="0" w:space="0" w:color="auto"/>
                      </w:divBdr>
                    </w:div>
                  </w:divsChild>
                </w:div>
                <w:div w:id="570314213">
                  <w:marLeft w:val="0"/>
                  <w:marRight w:val="0"/>
                  <w:marTop w:val="0"/>
                  <w:marBottom w:val="0"/>
                  <w:divBdr>
                    <w:top w:val="none" w:sz="0" w:space="0" w:color="auto"/>
                    <w:left w:val="none" w:sz="0" w:space="0" w:color="auto"/>
                    <w:bottom w:val="none" w:sz="0" w:space="0" w:color="auto"/>
                    <w:right w:val="none" w:sz="0" w:space="0" w:color="auto"/>
                  </w:divBdr>
                  <w:divsChild>
                    <w:div w:id="549805130">
                      <w:marLeft w:val="0"/>
                      <w:marRight w:val="0"/>
                      <w:marTop w:val="0"/>
                      <w:marBottom w:val="0"/>
                      <w:divBdr>
                        <w:top w:val="none" w:sz="0" w:space="0" w:color="auto"/>
                        <w:left w:val="none" w:sz="0" w:space="0" w:color="auto"/>
                        <w:bottom w:val="none" w:sz="0" w:space="0" w:color="auto"/>
                        <w:right w:val="none" w:sz="0" w:space="0" w:color="auto"/>
                      </w:divBdr>
                    </w:div>
                  </w:divsChild>
                </w:div>
                <w:div w:id="613093713">
                  <w:marLeft w:val="0"/>
                  <w:marRight w:val="0"/>
                  <w:marTop w:val="0"/>
                  <w:marBottom w:val="0"/>
                  <w:divBdr>
                    <w:top w:val="none" w:sz="0" w:space="0" w:color="auto"/>
                    <w:left w:val="none" w:sz="0" w:space="0" w:color="auto"/>
                    <w:bottom w:val="none" w:sz="0" w:space="0" w:color="auto"/>
                    <w:right w:val="none" w:sz="0" w:space="0" w:color="auto"/>
                  </w:divBdr>
                  <w:divsChild>
                    <w:div w:id="1741978273">
                      <w:marLeft w:val="0"/>
                      <w:marRight w:val="0"/>
                      <w:marTop w:val="0"/>
                      <w:marBottom w:val="0"/>
                      <w:divBdr>
                        <w:top w:val="none" w:sz="0" w:space="0" w:color="auto"/>
                        <w:left w:val="none" w:sz="0" w:space="0" w:color="auto"/>
                        <w:bottom w:val="none" w:sz="0" w:space="0" w:color="auto"/>
                        <w:right w:val="none" w:sz="0" w:space="0" w:color="auto"/>
                      </w:divBdr>
                    </w:div>
                  </w:divsChild>
                </w:div>
                <w:div w:id="637881257">
                  <w:marLeft w:val="0"/>
                  <w:marRight w:val="0"/>
                  <w:marTop w:val="0"/>
                  <w:marBottom w:val="0"/>
                  <w:divBdr>
                    <w:top w:val="none" w:sz="0" w:space="0" w:color="auto"/>
                    <w:left w:val="none" w:sz="0" w:space="0" w:color="auto"/>
                    <w:bottom w:val="none" w:sz="0" w:space="0" w:color="auto"/>
                    <w:right w:val="none" w:sz="0" w:space="0" w:color="auto"/>
                  </w:divBdr>
                  <w:divsChild>
                    <w:div w:id="364599587">
                      <w:marLeft w:val="0"/>
                      <w:marRight w:val="0"/>
                      <w:marTop w:val="0"/>
                      <w:marBottom w:val="0"/>
                      <w:divBdr>
                        <w:top w:val="none" w:sz="0" w:space="0" w:color="auto"/>
                        <w:left w:val="none" w:sz="0" w:space="0" w:color="auto"/>
                        <w:bottom w:val="none" w:sz="0" w:space="0" w:color="auto"/>
                        <w:right w:val="none" w:sz="0" w:space="0" w:color="auto"/>
                      </w:divBdr>
                    </w:div>
                  </w:divsChild>
                </w:div>
                <w:div w:id="646780458">
                  <w:marLeft w:val="0"/>
                  <w:marRight w:val="0"/>
                  <w:marTop w:val="0"/>
                  <w:marBottom w:val="0"/>
                  <w:divBdr>
                    <w:top w:val="none" w:sz="0" w:space="0" w:color="auto"/>
                    <w:left w:val="none" w:sz="0" w:space="0" w:color="auto"/>
                    <w:bottom w:val="none" w:sz="0" w:space="0" w:color="auto"/>
                    <w:right w:val="none" w:sz="0" w:space="0" w:color="auto"/>
                  </w:divBdr>
                  <w:divsChild>
                    <w:div w:id="931544660">
                      <w:marLeft w:val="0"/>
                      <w:marRight w:val="0"/>
                      <w:marTop w:val="0"/>
                      <w:marBottom w:val="0"/>
                      <w:divBdr>
                        <w:top w:val="none" w:sz="0" w:space="0" w:color="auto"/>
                        <w:left w:val="none" w:sz="0" w:space="0" w:color="auto"/>
                        <w:bottom w:val="none" w:sz="0" w:space="0" w:color="auto"/>
                        <w:right w:val="none" w:sz="0" w:space="0" w:color="auto"/>
                      </w:divBdr>
                    </w:div>
                  </w:divsChild>
                </w:div>
                <w:div w:id="679433776">
                  <w:marLeft w:val="0"/>
                  <w:marRight w:val="0"/>
                  <w:marTop w:val="0"/>
                  <w:marBottom w:val="0"/>
                  <w:divBdr>
                    <w:top w:val="none" w:sz="0" w:space="0" w:color="auto"/>
                    <w:left w:val="none" w:sz="0" w:space="0" w:color="auto"/>
                    <w:bottom w:val="none" w:sz="0" w:space="0" w:color="auto"/>
                    <w:right w:val="none" w:sz="0" w:space="0" w:color="auto"/>
                  </w:divBdr>
                  <w:divsChild>
                    <w:div w:id="944194359">
                      <w:marLeft w:val="0"/>
                      <w:marRight w:val="0"/>
                      <w:marTop w:val="0"/>
                      <w:marBottom w:val="0"/>
                      <w:divBdr>
                        <w:top w:val="none" w:sz="0" w:space="0" w:color="auto"/>
                        <w:left w:val="none" w:sz="0" w:space="0" w:color="auto"/>
                        <w:bottom w:val="none" w:sz="0" w:space="0" w:color="auto"/>
                        <w:right w:val="none" w:sz="0" w:space="0" w:color="auto"/>
                      </w:divBdr>
                    </w:div>
                  </w:divsChild>
                </w:div>
                <w:div w:id="712119595">
                  <w:marLeft w:val="0"/>
                  <w:marRight w:val="0"/>
                  <w:marTop w:val="0"/>
                  <w:marBottom w:val="0"/>
                  <w:divBdr>
                    <w:top w:val="none" w:sz="0" w:space="0" w:color="auto"/>
                    <w:left w:val="none" w:sz="0" w:space="0" w:color="auto"/>
                    <w:bottom w:val="none" w:sz="0" w:space="0" w:color="auto"/>
                    <w:right w:val="none" w:sz="0" w:space="0" w:color="auto"/>
                  </w:divBdr>
                  <w:divsChild>
                    <w:div w:id="1191064694">
                      <w:marLeft w:val="0"/>
                      <w:marRight w:val="0"/>
                      <w:marTop w:val="0"/>
                      <w:marBottom w:val="0"/>
                      <w:divBdr>
                        <w:top w:val="none" w:sz="0" w:space="0" w:color="auto"/>
                        <w:left w:val="none" w:sz="0" w:space="0" w:color="auto"/>
                        <w:bottom w:val="none" w:sz="0" w:space="0" w:color="auto"/>
                        <w:right w:val="none" w:sz="0" w:space="0" w:color="auto"/>
                      </w:divBdr>
                    </w:div>
                  </w:divsChild>
                </w:div>
                <w:div w:id="736056600">
                  <w:marLeft w:val="0"/>
                  <w:marRight w:val="0"/>
                  <w:marTop w:val="0"/>
                  <w:marBottom w:val="0"/>
                  <w:divBdr>
                    <w:top w:val="none" w:sz="0" w:space="0" w:color="auto"/>
                    <w:left w:val="none" w:sz="0" w:space="0" w:color="auto"/>
                    <w:bottom w:val="none" w:sz="0" w:space="0" w:color="auto"/>
                    <w:right w:val="none" w:sz="0" w:space="0" w:color="auto"/>
                  </w:divBdr>
                  <w:divsChild>
                    <w:div w:id="1277983540">
                      <w:marLeft w:val="0"/>
                      <w:marRight w:val="0"/>
                      <w:marTop w:val="0"/>
                      <w:marBottom w:val="0"/>
                      <w:divBdr>
                        <w:top w:val="none" w:sz="0" w:space="0" w:color="auto"/>
                        <w:left w:val="none" w:sz="0" w:space="0" w:color="auto"/>
                        <w:bottom w:val="none" w:sz="0" w:space="0" w:color="auto"/>
                        <w:right w:val="none" w:sz="0" w:space="0" w:color="auto"/>
                      </w:divBdr>
                    </w:div>
                  </w:divsChild>
                </w:div>
                <w:div w:id="751271452">
                  <w:marLeft w:val="0"/>
                  <w:marRight w:val="0"/>
                  <w:marTop w:val="0"/>
                  <w:marBottom w:val="0"/>
                  <w:divBdr>
                    <w:top w:val="none" w:sz="0" w:space="0" w:color="auto"/>
                    <w:left w:val="none" w:sz="0" w:space="0" w:color="auto"/>
                    <w:bottom w:val="none" w:sz="0" w:space="0" w:color="auto"/>
                    <w:right w:val="none" w:sz="0" w:space="0" w:color="auto"/>
                  </w:divBdr>
                  <w:divsChild>
                    <w:div w:id="465247605">
                      <w:marLeft w:val="0"/>
                      <w:marRight w:val="0"/>
                      <w:marTop w:val="0"/>
                      <w:marBottom w:val="0"/>
                      <w:divBdr>
                        <w:top w:val="none" w:sz="0" w:space="0" w:color="auto"/>
                        <w:left w:val="none" w:sz="0" w:space="0" w:color="auto"/>
                        <w:bottom w:val="none" w:sz="0" w:space="0" w:color="auto"/>
                        <w:right w:val="none" w:sz="0" w:space="0" w:color="auto"/>
                      </w:divBdr>
                    </w:div>
                  </w:divsChild>
                </w:div>
                <w:div w:id="780496748">
                  <w:marLeft w:val="0"/>
                  <w:marRight w:val="0"/>
                  <w:marTop w:val="0"/>
                  <w:marBottom w:val="0"/>
                  <w:divBdr>
                    <w:top w:val="none" w:sz="0" w:space="0" w:color="auto"/>
                    <w:left w:val="none" w:sz="0" w:space="0" w:color="auto"/>
                    <w:bottom w:val="none" w:sz="0" w:space="0" w:color="auto"/>
                    <w:right w:val="none" w:sz="0" w:space="0" w:color="auto"/>
                  </w:divBdr>
                  <w:divsChild>
                    <w:div w:id="1248149917">
                      <w:marLeft w:val="0"/>
                      <w:marRight w:val="0"/>
                      <w:marTop w:val="0"/>
                      <w:marBottom w:val="0"/>
                      <w:divBdr>
                        <w:top w:val="none" w:sz="0" w:space="0" w:color="auto"/>
                        <w:left w:val="none" w:sz="0" w:space="0" w:color="auto"/>
                        <w:bottom w:val="none" w:sz="0" w:space="0" w:color="auto"/>
                        <w:right w:val="none" w:sz="0" w:space="0" w:color="auto"/>
                      </w:divBdr>
                    </w:div>
                  </w:divsChild>
                </w:div>
                <w:div w:id="800462605">
                  <w:marLeft w:val="0"/>
                  <w:marRight w:val="0"/>
                  <w:marTop w:val="0"/>
                  <w:marBottom w:val="0"/>
                  <w:divBdr>
                    <w:top w:val="none" w:sz="0" w:space="0" w:color="auto"/>
                    <w:left w:val="none" w:sz="0" w:space="0" w:color="auto"/>
                    <w:bottom w:val="none" w:sz="0" w:space="0" w:color="auto"/>
                    <w:right w:val="none" w:sz="0" w:space="0" w:color="auto"/>
                  </w:divBdr>
                  <w:divsChild>
                    <w:div w:id="749621778">
                      <w:marLeft w:val="0"/>
                      <w:marRight w:val="0"/>
                      <w:marTop w:val="0"/>
                      <w:marBottom w:val="0"/>
                      <w:divBdr>
                        <w:top w:val="none" w:sz="0" w:space="0" w:color="auto"/>
                        <w:left w:val="none" w:sz="0" w:space="0" w:color="auto"/>
                        <w:bottom w:val="none" w:sz="0" w:space="0" w:color="auto"/>
                        <w:right w:val="none" w:sz="0" w:space="0" w:color="auto"/>
                      </w:divBdr>
                    </w:div>
                  </w:divsChild>
                </w:div>
                <w:div w:id="858086228">
                  <w:marLeft w:val="0"/>
                  <w:marRight w:val="0"/>
                  <w:marTop w:val="0"/>
                  <w:marBottom w:val="0"/>
                  <w:divBdr>
                    <w:top w:val="none" w:sz="0" w:space="0" w:color="auto"/>
                    <w:left w:val="none" w:sz="0" w:space="0" w:color="auto"/>
                    <w:bottom w:val="none" w:sz="0" w:space="0" w:color="auto"/>
                    <w:right w:val="none" w:sz="0" w:space="0" w:color="auto"/>
                  </w:divBdr>
                  <w:divsChild>
                    <w:div w:id="592662845">
                      <w:marLeft w:val="0"/>
                      <w:marRight w:val="0"/>
                      <w:marTop w:val="0"/>
                      <w:marBottom w:val="0"/>
                      <w:divBdr>
                        <w:top w:val="none" w:sz="0" w:space="0" w:color="auto"/>
                        <w:left w:val="none" w:sz="0" w:space="0" w:color="auto"/>
                        <w:bottom w:val="none" w:sz="0" w:space="0" w:color="auto"/>
                        <w:right w:val="none" w:sz="0" w:space="0" w:color="auto"/>
                      </w:divBdr>
                    </w:div>
                  </w:divsChild>
                </w:div>
                <w:div w:id="860777350">
                  <w:marLeft w:val="0"/>
                  <w:marRight w:val="0"/>
                  <w:marTop w:val="0"/>
                  <w:marBottom w:val="0"/>
                  <w:divBdr>
                    <w:top w:val="none" w:sz="0" w:space="0" w:color="auto"/>
                    <w:left w:val="none" w:sz="0" w:space="0" w:color="auto"/>
                    <w:bottom w:val="none" w:sz="0" w:space="0" w:color="auto"/>
                    <w:right w:val="none" w:sz="0" w:space="0" w:color="auto"/>
                  </w:divBdr>
                  <w:divsChild>
                    <w:div w:id="2112508818">
                      <w:marLeft w:val="0"/>
                      <w:marRight w:val="0"/>
                      <w:marTop w:val="0"/>
                      <w:marBottom w:val="0"/>
                      <w:divBdr>
                        <w:top w:val="none" w:sz="0" w:space="0" w:color="auto"/>
                        <w:left w:val="none" w:sz="0" w:space="0" w:color="auto"/>
                        <w:bottom w:val="none" w:sz="0" w:space="0" w:color="auto"/>
                        <w:right w:val="none" w:sz="0" w:space="0" w:color="auto"/>
                      </w:divBdr>
                    </w:div>
                  </w:divsChild>
                </w:div>
                <w:div w:id="881407656">
                  <w:marLeft w:val="0"/>
                  <w:marRight w:val="0"/>
                  <w:marTop w:val="0"/>
                  <w:marBottom w:val="0"/>
                  <w:divBdr>
                    <w:top w:val="none" w:sz="0" w:space="0" w:color="auto"/>
                    <w:left w:val="none" w:sz="0" w:space="0" w:color="auto"/>
                    <w:bottom w:val="none" w:sz="0" w:space="0" w:color="auto"/>
                    <w:right w:val="none" w:sz="0" w:space="0" w:color="auto"/>
                  </w:divBdr>
                  <w:divsChild>
                    <w:div w:id="1050425049">
                      <w:marLeft w:val="0"/>
                      <w:marRight w:val="0"/>
                      <w:marTop w:val="0"/>
                      <w:marBottom w:val="0"/>
                      <w:divBdr>
                        <w:top w:val="none" w:sz="0" w:space="0" w:color="auto"/>
                        <w:left w:val="none" w:sz="0" w:space="0" w:color="auto"/>
                        <w:bottom w:val="none" w:sz="0" w:space="0" w:color="auto"/>
                        <w:right w:val="none" w:sz="0" w:space="0" w:color="auto"/>
                      </w:divBdr>
                    </w:div>
                  </w:divsChild>
                </w:div>
                <w:div w:id="892619474">
                  <w:marLeft w:val="0"/>
                  <w:marRight w:val="0"/>
                  <w:marTop w:val="0"/>
                  <w:marBottom w:val="0"/>
                  <w:divBdr>
                    <w:top w:val="none" w:sz="0" w:space="0" w:color="auto"/>
                    <w:left w:val="none" w:sz="0" w:space="0" w:color="auto"/>
                    <w:bottom w:val="none" w:sz="0" w:space="0" w:color="auto"/>
                    <w:right w:val="none" w:sz="0" w:space="0" w:color="auto"/>
                  </w:divBdr>
                  <w:divsChild>
                    <w:div w:id="939721239">
                      <w:marLeft w:val="0"/>
                      <w:marRight w:val="0"/>
                      <w:marTop w:val="0"/>
                      <w:marBottom w:val="0"/>
                      <w:divBdr>
                        <w:top w:val="none" w:sz="0" w:space="0" w:color="auto"/>
                        <w:left w:val="none" w:sz="0" w:space="0" w:color="auto"/>
                        <w:bottom w:val="none" w:sz="0" w:space="0" w:color="auto"/>
                        <w:right w:val="none" w:sz="0" w:space="0" w:color="auto"/>
                      </w:divBdr>
                    </w:div>
                  </w:divsChild>
                </w:div>
                <w:div w:id="902714946">
                  <w:marLeft w:val="0"/>
                  <w:marRight w:val="0"/>
                  <w:marTop w:val="0"/>
                  <w:marBottom w:val="0"/>
                  <w:divBdr>
                    <w:top w:val="none" w:sz="0" w:space="0" w:color="auto"/>
                    <w:left w:val="none" w:sz="0" w:space="0" w:color="auto"/>
                    <w:bottom w:val="none" w:sz="0" w:space="0" w:color="auto"/>
                    <w:right w:val="none" w:sz="0" w:space="0" w:color="auto"/>
                  </w:divBdr>
                  <w:divsChild>
                    <w:div w:id="877932679">
                      <w:marLeft w:val="0"/>
                      <w:marRight w:val="0"/>
                      <w:marTop w:val="0"/>
                      <w:marBottom w:val="0"/>
                      <w:divBdr>
                        <w:top w:val="none" w:sz="0" w:space="0" w:color="auto"/>
                        <w:left w:val="none" w:sz="0" w:space="0" w:color="auto"/>
                        <w:bottom w:val="none" w:sz="0" w:space="0" w:color="auto"/>
                        <w:right w:val="none" w:sz="0" w:space="0" w:color="auto"/>
                      </w:divBdr>
                    </w:div>
                  </w:divsChild>
                </w:div>
                <w:div w:id="903873865">
                  <w:marLeft w:val="0"/>
                  <w:marRight w:val="0"/>
                  <w:marTop w:val="0"/>
                  <w:marBottom w:val="0"/>
                  <w:divBdr>
                    <w:top w:val="none" w:sz="0" w:space="0" w:color="auto"/>
                    <w:left w:val="none" w:sz="0" w:space="0" w:color="auto"/>
                    <w:bottom w:val="none" w:sz="0" w:space="0" w:color="auto"/>
                    <w:right w:val="none" w:sz="0" w:space="0" w:color="auto"/>
                  </w:divBdr>
                  <w:divsChild>
                    <w:div w:id="525675948">
                      <w:marLeft w:val="0"/>
                      <w:marRight w:val="0"/>
                      <w:marTop w:val="0"/>
                      <w:marBottom w:val="0"/>
                      <w:divBdr>
                        <w:top w:val="none" w:sz="0" w:space="0" w:color="auto"/>
                        <w:left w:val="none" w:sz="0" w:space="0" w:color="auto"/>
                        <w:bottom w:val="none" w:sz="0" w:space="0" w:color="auto"/>
                        <w:right w:val="none" w:sz="0" w:space="0" w:color="auto"/>
                      </w:divBdr>
                    </w:div>
                  </w:divsChild>
                </w:div>
                <w:div w:id="908928101">
                  <w:marLeft w:val="0"/>
                  <w:marRight w:val="0"/>
                  <w:marTop w:val="0"/>
                  <w:marBottom w:val="0"/>
                  <w:divBdr>
                    <w:top w:val="none" w:sz="0" w:space="0" w:color="auto"/>
                    <w:left w:val="none" w:sz="0" w:space="0" w:color="auto"/>
                    <w:bottom w:val="none" w:sz="0" w:space="0" w:color="auto"/>
                    <w:right w:val="none" w:sz="0" w:space="0" w:color="auto"/>
                  </w:divBdr>
                  <w:divsChild>
                    <w:div w:id="2090930215">
                      <w:marLeft w:val="0"/>
                      <w:marRight w:val="0"/>
                      <w:marTop w:val="0"/>
                      <w:marBottom w:val="0"/>
                      <w:divBdr>
                        <w:top w:val="none" w:sz="0" w:space="0" w:color="auto"/>
                        <w:left w:val="none" w:sz="0" w:space="0" w:color="auto"/>
                        <w:bottom w:val="none" w:sz="0" w:space="0" w:color="auto"/>
                        <w:right w:val="none" w:sz="0" w:space="0" w:color="auto"/>
                      </w:divBdr>
                    </w:div>
                  </w:divsChild>
                </w:div>
                <w:div w:id="968972648">
                  <w:marLeft w:val="0"/>
                  <w:marRight w:val="0"/>
                  <w:marTop w:val="0"/>
                  <w:marBottom w:val="0"/>
                  <w:divBdr>
                    <w:top w:val="none" w:sz="0" w:space="0" w:color="auto"/>
                    <w:left w:val="none" w:sz="0" w:space="0" w:color="auto"/>
                    <w:bottom w:val="none" w:sz="0" w:space="0" w:color="auto"/>
                    <w:right w:val="none" w:sz="0" w:space="0" w:color="auto"/>
                  </w:divBdr>
                  <w:divsChild>
                    <w:div w:id="168369332">
                      <w:marLeft w:val="0"/>
                      <w:marRight w:val="0"/>
                      <w:marTop w:val="0"/>
                      <w:marBottom w:val="0"/>
                      <w:divBdr>
                        <w:top w:val="none" w:sz="0" w:space="0" w:color="auto"/>
                        <w:left w:val="none" w:sz="0" w:space="0" w:color="auto"/>
                        <w:bottom w:val="none" w:sz="0" w:space="0" w:color="auto"/>
                        <w:right w:val="none" w:sz="0" w:space="0" w:color="auto"/>
                      </w:divBdr>
                    </w:div>
                  </w:divsChild>
                </w:div>
                <w:div w:id="970207801">
                  <w:marLeft w:val="0"/>
                  <w:marRight w:val="0"/>
                  <w:marTop w:val="0"/>
                  <w:marBottom w:val="0"/>
                  <w:divBdr>
                    <w:top w:val="none" w:sz="0" w:space="0" w:color="auto"/>
                    <w:left w:val="none" w:sz="0" w:space="0" w:color="auto"/>
                    <w:bottom w:val="none" w:sz="0" w:space="0" w:color="auto"/>
                    <w:right w:val="none" w:sz="0" w:space="0" w:color="auto"/>
                  </w:divBdr>
                  <w:divsChild>
                    <w:div w:id="2084377015">
                      <w:marLeft w:val="0"/>
                      <w:marRight w:val="0"/>
                      <w:marTop w:val="0"/>
                      <w:marBottom w:val="0"/>
                      <w:divBdr>
                        <w:top w:val="none" w:sz="0" w:space="0" w:color="auto"/>
                        <w:left w:val="none" w:sz="0" w:space="0" w:color="auto"/>
                        <w:bottom w:val="none" w:sz="0" w:space="0" w:color="auto"/>
                        <w:right w:val="none" w:sz="0" w:space="0" w:color="auto"/>
                      </w:divBdr>
                    </w:div>
                  </w:divsChild>
                </w:div>
                <w:div w:id="970675035">
                  <w:marLeft w:val="0"/>
                  <w:marRight w:val="0"/>
                  <w:marTop w:val="0"/>
                  <w:marBottom w:val="0"/>
                  <w:divBdr>
                    <w:top w:val="none" w:sz="0" w:space="0" w:color="auto"/>
                    <w:left w:val="none" w:sz="0" w:space="0" w:color="auto"/>
                    <w:bottom w:val="none" w:sz="0" w:space="0" w:color="auto"/>
                    <w:right w:val="none" w:sz="0" w:space="0" w:color="auto"/>
                  </w:divBdr>
                  <w:divsChild>
                    <w:div w:id="885141872">
                      <w:marLeft w:val="0"/>
                      <w:marRight w:val="0"/>
                      <w:marTop w:val="0"/>
                      <w:marBottom w:val="0"/>
                      <w:divBdr>
                        <w:top w:val="none" w:sz="0" w:space="0" w:color="auto"/>
                        <w:left w:val="none" w:sz="0" w:space="0" w:color="auto"/>
                        <w:bottom w:val="none" w:sz="0" w:space="0" w:color="auto"/>
                        <w:right w:val="none" w:sz="0" w:space="0" w:color="auto"/>
                      </w:divBdr>
                    </w:div>
                  </w:divsChild>
                </w:div>
                <w:div w:id="1015578074">
                  <w:marLeft w:val="0"/>
                  <w:marRight w:val="0"/>
                  <w:marTop w:val="0"/>
                  <w:marBottom w:val="0"/>
                  <w:divBdr>
                    <w:top w:val="none" w:sz="0" w:space="0" w:color="auto"/>
                    <w:left w:val="none" w:sz="0" w:space="0" w:color="auto"/>
                    <w:bottom w:val="none" w:sz="0" w:space="0" w:color="auto"/>
                    <w:right w:val="none" w:sz="0" w:space="0" w:color="auto"/>
                  </w:divBdr>
                  <w:divsChild>
                    <w:div w:id="480930421">
                      <w:marLeft w:val="0"/>
                      <w:marRight w:val="0"/>
                      <w:marTop w:val="0"/>
                      <w:marBottom w:val="0"/>
                      <w:divBdr>
                        <w:top w:val="none" w:sz="0" w:space="0" w:color="auto"/>
                        <w:left w:val="none" w:sz="0" w:space="0" w:color="auto"/>
                        <w:bottom w:val="none" w:sz="0" w:space="0" w:color="auto"/>
                        <w:right w:val="none" w:sz="0" w:space="0" w:color="auto"/>
                      </w:divBdr>
                    </w:div>
                  </w:divsChild>
                </w:div>
                <w:div w:id="1029843153">
                  <w:marLeft w:val="0"/>
                  <w:marRight w:val="0"/>
                  <w:marTop w:val="0"/>
                  <w:marBottom w:val="0"/>
                  <w:divBdr>
                    <w:top w:val="none" w:sz="0" w:space="0" w:color="auto"/>
                    <w:left w:val="none" w:sz="0" w:space="0" w:color="auto"/>
                    <w:bottom w:val="none" w:sz="0" w:space="0" w:color="auto"/>
                    <w:right w:val="none" w:sz="0" w:space="0" w:color="auto"/>
                  </w:divBdr>
                  <w:divsChild>
                    <w:div w:id="412245197">
                      <w:marLeft w:val="0"/>
                      <w:marRight w:val="0"/>
                      <w:marTop w:val="0"/>
                      <w:marBottom w:val="0"/>
                      <w:divBdr>
                        <w:top w:val="none" w:sz="0" w:space="0" w:color="auto"/>
                        <w:left w:val="none" w:sz="0" w:space="0" w:color="auto"/>
                        <w:bottom w:val="none" w:sz="0" w:space="0" w:color="auto"/>
                        <w:right w:val="none" w:sz="0" w:space="0" w:color="auto"/>
                      </w:divBdr>
                    </w:div>
                  </w:divsChild>
                </w:div>
                <w:div w:id="1043677953">
                  <w:marLeft w:val="0"/>
                  <w:marRight w:val="0"/>
                  <w:marTop w:val="0"/>
                  <w:marBottom w:val="0"/>
                  <w:divBdr>
                    <w:top w:val="none" w:sz="0" w:space="0" w:color="auto"/>
                    <w:left w:val="none" w:sz="0" w:space="0" w:color="auto"/>
                    <w:bottom w:val="none" w:sz="0" w:space="0" w:color="auto"/>
                    <w:right w:val="none" w:sz="0" w:space="0" w:color="auto"/>
                  </w:divBdr>
                  <w:divsChild>
                    <w:div w:id="1622223746">
                      <w:marLeft w:val="0"/>
                      <w:marRight w:val="0"/>
                      <w:marTop w:val="0"/>
                      <w:marBottom w:val="0"/>
                      <w:divBdr>
                        <w:top w:val="none" w:sz="0" w:space="0" w:color="auto"/>
                        <w:left w:val="none" w:sz="0" w:space="0" w:color="auto"/>
                        <w:bottom w:val="none" w:sz="0" w:space="0" w:color="auto"/>
                        <w:right w:val="none" w:sz="0" w:space="0" w:color="auto"/>
                      </w:divBdr>
                    </w:div>
                  </w:divsChild>
                </w:div>
                <w:div w:id="1046370353">
                  <w:marLeft w:val="0"/>
                  <w:marRight w:val="0"/>
                  <w:marTop w:val="0"/>
                  <w:marBottom w:val="0"/>
                  <w:divBdr>
                    <w:top w:val="none" w:sz="0" w:space="0" w:color="auto"/>
                    <w:left w:val="none" w:sz="0" w:space="0" w:color="auto"/>
                    <w:bottom w:val="none" w:sz="0" w:space="0" w:color="auto"/>
                    <w:right w:val="none" w:sz="0" w:space="0" w:color="auto"/>
                  </w:divBdr>
                  <w:divsChild>
                    <w:div w:id="1530870503">
                      <w:marLeft w:val="0"/>
                      <w:marRight w:val="0"/>
                      <w:marTop w:val="0"/>
                      <w:marBottom w:val="0"/>
                      <w:divBdr>
                        <w:top w:val="none" w:sz="0" w:space="0" w:color="auto"/>
                        <w:left w:val="none" w:sz="0" w:space="0" w:color="auto"/>
                        <w:bottom w:val="none" w:sz="0" w:space="0" w:color="auto"/>
                        <w:right w:val="none" w:sz="0" w:space="0" w:color="auto"/>
                      </w:divBdr>
                    </w:div>
                  </w:divsChild>
                </w:div>
                <w:div w:id="1053381857">
                  <w:marLeft w:val="0"/>
                  <w:marRight w:val="0"/>
                  <w:marTop w:val="0"/>
                  <w:marBottom w:val="0"/>
                  <w:divBdr>
                    <w:top w:val="none" w:sz="0" w:space="0" w:color="auto"/>
                    <w:left w:val="none" w:sz="0" w:space="0" w:color="auto"/>
                    <w:bottom w:val="none" w:sz="0" w:space="0" w:color="auto"/>
                    <w:right w:val="none" w:sz="0" w:space="0" w:color="auto"/>
                  </w:divBdr>
                  <w:divsChild>
                    <w:div w:id="1870801517">
                      <w:marLeft w:val="0"/>
                      <w:marRight w:val="0"/>
                      <w:marTop w:val="0"/>
                      <w:marBottom w:val="0"/>
                      <w:divBdr>
                        <w:top w:val="none" w:sz="0" w:space="0" w:color="auto"/>
                        <w:left w:val="none" w:sz="0" w:space="0" w:color="auto"/>
                        <w:bottom w:val="none" w:sz="0" w:space="0" w:color="auto"/>
                        <w:right w:val="none" w:sz="0" w:space="0" w:color="auto"/>
                      </w:divBdr>
                    </w:div>
                  </w:divsChild>
                </w:div>
                <w:div w:id="1105808840">
                  <w:marLeft w:val="0"/>
                  <w:marRight w:val="0"/>
                  <w:marTop w:val="0"/>
                  <w:marBottom w:val="0"/>
                  <w:divBdr>
                    <w:top w:val="none" w:sz="0" w:space="0" w:color="auto"/>
                    <w:left w:val="none" w:sz="0" w:space="0" w:color="auto"/>
                    <w:bottom w:val="none" w:sz="0" w:space="0" w:color="auto"/>
                    <w:right w:val="none" w:sz="0" w:space="0" w:color="auto"/>
                  </w:divBdr>
                  <w:divsChild>
                    <w:div w:id="1277251588">
                      <w:marLeft w:val="0"/>
                      <w:marRight w:val="0"/>
                      <w:marTop w:val="0"/>
                      <w:marBottom w:val="0"/>
                      <w:divBdr>
                        <w:top w:val="none" w:sz="0" w:space="0" w:color="auto"/>
                        <w:left w:val="none" w:sz="0" w:space="0" w:color="auto"/>
                        <w:bottom w:val="none" w:sz="0" w:space="0" w:color="auto"/>
                        <w:right w:val="none" w:sz="0" w:space="0" w:color="auto"/>
                      </w:divBdr>
                    </w:div>
                  </w:divsChild>
                </w:div>
                <w:div w:id="1166746520">
                  <w:marLeft w:val="0"/>
                  <w:marRight w:val="0"/>
                  <w:marTop w:val="0"/>
                  <w:marBottom w:val="0"/>
                  <w:divBdr>
                    <w:top w:val="none" w:sz="0" w:space="0" w:color="auto"/>
                    <w:left w:val="none" w:sz="0" w:space="0" w:color="auto"/>
                    <w:bottom w:val="none" w:sz="0" w:space="0" w:color="auto"/>
                    <w:right w:val="none" w:sz="0" w:space="0" w:color="auto"/>
                  </w:divBdr>
                  <w:divsChild>
                    <w:div w:id="433094426">
                      <w:marLeft w:val="0"/>
                      <w:marRight w:val="0"/>
                      <w:marTop w:val="0"/>
                      <w:marBottom w:val="0"/>
                      <w:divBdr>
                        <w:top w:val="none" w:sz="0" w:space="0" w:color="auto"/>
                        <w:left w:val="none" w:sz="0" w:space="0" w:color="auto"/>
                        <w:bottom w:val="none" w:sz="0" w:space="0" w:color="auto"/>
                        <w:right w:val="none" w:sz="0" w:space="0" w:color="auto"/>
                      </w:divBdr>
                    </w:div>
                  </w:divsChild>
                </w:div>
                <w:div w:id="1193953476">
                  <w:marLeft w:val="0"/>
                  <w:marRight w:val="0"/>
                  <w:marTop w:val="0"/>
                  <w:marBottom w:val="0"/>
                  <w:divBdr>
                    <w:top w:val="none" w:sz="0" w:space="0" w:color="auto"/>
                    <w:left w:val="none" w:sz="0" w:space="0" w:color="auto"/>
                    <w:bottom w:val="none" w:sz="0" w:space="0" w:color="auto"/>
                    <w:right w:val="none" w:sz="0" w:space="0" w:color="auto"/>
                  </w:divBdr>
                  <w:divsChild>
                    <w:div w:id="552423488">
                      <w:marLeft w:val="0"/>
                      <w:marRight w:val="0"/>
                      <w:marTop w:val="0"/>
                      <w:marBottom w:val="0"/>
                      <w:divBdr>
                        <w:top w:val="none" w:sz="0" w:space="0" w:color="auto"/>
                        <w:left w:val="none" w:sz="0" w:space="0" w:color="auto"/>
                        <w:bottom w:val="none" w:sz="0" w:space="0" w:color="auto"/>
                        <w:right w:val="none" w:sz="0" w:space="0" w:color="auto"/>
                      </w:divBdr>
                    </w:div>
                  </w:divsChild>
                </w:div>
                <w:div w:id="1299190114">
                  <w:marLeft w:val="0"/>
                  <w:marRight w:val="0"/>
                  <w:marTop w:val="0"/>
                  <w:marBottom w:val="0"/>
                  <w:divBdr>
                    <w:top w:val="none" w:sz="0" w:space="0" w:color="auto"/>
                    <w:left w:val="none" w:sz="0" w:space="0" w:color="auto"/>
                    <w:bottom w:val="none" w:sz="0" w:space="0" w:color="auto"/>
                    <w:right w:val="none" w:sz="0" w:space="0" w:color="auto"/>
                  </w:divBdr>
                  <w:divsChild>
                    <w:div w:id="1314215330">
                      <w:marLeft w:val="0"/>
                      <w:marRight w:val="0"/>
                      <w:marTop w:val="0"/>
                      <w:marBottom w:val="0"/>
                      <w:divBdr>
                        <w:top w:val="none" w:sz="0" w:space="0" w:color="auto"/>
                        <w:left w:val="none" w:sz="0" w:space="0" w:color="auto"/>
                        <w:bottom w:val="none" w:sz="0" w:space="0" w:color="auto"/>
                        <w:right w:val="none" w:sz="0" w:space="0" w:color="auto"/>
                      </w:divBdr>
                    </w:div>
                  </w:divsChild>
                </w:div>
                <w:div w:id="1304198098">
                  <w:marLeft w:val="0"/>
                  <w:marRight w:val="0"/>
                  <w:marTop w:val="0"/>
                  <w:marBottom w:val="0"/>
                  <w:divBdr>
                    <w:top w:val="none" w:sz="0" w:space="0" w:color="auto"/>
                    <w:left w:val="none" w:sz="0" w:space="0" w:color="auto"/>
                    <w:bottom w:val="none" w:sz="0" w:space="0" w:color="auto"/>
                    <w:right w:val="none" w:sz="0" w:space="0" w:color="auto"/>
                  </w:divBdr>
                  <w:divsChild>
                    <w:div w:id="1874340485">
                      <w:marLeft w:val="0"/>
                      <w:marRight w:val="0"/>
                      <w:marTop w:val="0"/>
                      <w:marBottom w:val="0"/>
                      <w:divBdr>
                        <w:top w:val="none" w:sz="0" w:space="0" w:color="auto"/>
                        <w:left w:val="none" w:sz="0" w:space="0" w:color="auto"/>
                        <w:bottom w:val="none" w:sz="0" w:space="0" w:color="auto"/>
                        <w:right w:val="none" w:sz="0" w:space="0" w:color="auto"/>
                      </w:divBdr>
                    </w:div>
                  </w:divsChild>
                </w:div>
                <w:div w:id="1323584132">
                  <w:marLeft w:val="0"/>
                  <w:marRight w:val="0"/>
                  <w:marTop w:val="0"/>
                  <w:marBottom w:val="0"/>
                  <w:divBdr>
                    <w:top w:val="none" w:sz="0" w:space="0" w:color="auto"/>
                    <w:left w:val="none" w:sz="0" w:space="0" w:color="auto"/>
                    <w:bottom w:val="none" w:sz="0" w:space="0" w:color="auto"/>
                    <w:right w:val="none" w:sz="0" w:space="0" w:color="auto"/>
                  </w:divBdr>
                  <w:divsChild>
                    <w:div w:id="1489663386">
                      <w:marLeft w:val="0"/>
                      <w:marRight w:val="0"/>
                      <w:marTop w:val="0"/>
                      <w:marBottom w:val="0"/>
                      <w:divBdr>
                        <w:top w:val="none" w:sz="0" w:space="0" w:color="auto"/>
                        <w:left w:val="none" w:sz="0" w:space="0" w:color="auto"/>
                        <w:bottom w:val="none" w:sz="0" w:space="0" w:color="auto"/>
                        <w:right w:val="none" w:sz="0" w:space="0" w:color="auto"/>
                      </w:divBdr>
                    </w:div>
                  </w:divsChild>
                </w:div>
                <w:div w:id="1325553040">
                  <w:marLeft w:val="0"/>
                  <w:marRight w:val="0"/>
                  <w:marTop w:val="0"/>
                  <w:marBottom w:val="0"/>
                  <w:divBdr>
                    <w:top w:val="none" w:sz="0" w:space="0" w:color="auto"/>
                    <w:left w:val="none" w:sz="0" w:space="0" w:color="auto"/>
                    <w:bottom w:val="none" w:sz="0" w:space="0" w:color="auto"/>
                    <w:right w:val="none" w:sz="0" w:space="0" w:color="auto"/>
                  </w:divBdr>
                  <w:divsChild>
                    <w:div w:id="1783724373">
                      <w:marLeft w:val="0"/>
                      <w:marRight w:val="0"/>
                      <w:marTop w:val="0"/>
                      <w:marBottom w:val="0"/>
                      <w:divBdr>
                        <w:top w:val="none" w:sz="0" w:space="0" w:color="auto"/>
                        <w:left w:val="none" w:sz="0" w:space="0" w:color="auto"/>
                        <w:bottom w:val="none" w:sz="0" w:space="0" w:color="auto"/>
                        <w:right w:val="none" w:sz="0" w:space="0" w:color="auto"/>
                      </w:divBdr>
                    </w:div>
                  </w:divsChild>
                </w:div>
                <w:div w:id="1330215092">
                  <w:marLeft w:val="0"/>
                  <w:marRight w:val="0"/>
                  <w:marTop w:val="0"/>
                  <w:marBottom w:val="0"/>
                  <w:divBdr>
                    <w:top w:val="none" w:sz="0" w:space="0" w:color="auto"/>
                    <w:left w:val="none" w:sz="0" w:space="0" w:color="auto"/>
                    <w:bottom w:val="none" w:sz="0" w:space="0" w:color="auto"/>
                    <w:right w:val="none" w:sz="0" w:space="0" w:color="auto"/>
                  </w:divBdr>
                  <w:divsChild>
                    <w:div w:id="338777486">
                      <w:marLeft w:val="0"/>
                      <w:marRight w:val="0"/>
                      <w:marTop w:val="0"/>
                      <w:marBottom w:val="0"/>
                      <w:divBdr>
                        <w:top w:val="none" w:sz="0" w:space="0" w:color="auto"/>
                        <w:left w:val="none" w:sz="0" w:space="0" w:color="auto"/>
                        <w:bottom w:val="none" w:sz="0" w:space="0" w:color="auto"/>
                        <w:right w:val="none" w:sz="0" w:space="0" w:color="auto"/>
                      </w:divBdr>
                    </w:div>
                  </w:divsChild>
                </w:div>
                <w:div w:id="1369835887">
                  <w:marLeft w:val="0"/>
                  <w:marRight w:val="0"/>
                  <w:marTop w:val="0"/>
                  <w:marBottom w:val="0"/>
                  <w:divBdr>
                    <w:top w:val="none" w:sz="0" w:space="0" w:color="auto"/>
                    <w:left w:val="none" w:sz="0" w:space="0" w:color="auto"/>
                    <w:bottom w:val="none" w:sz="0" w:space="0" w:color="auto"/>
                    <w:right w:val="none" w:sz="0" w:space="0" w:color="auto"/>
                  </w:divBdr>
                  <w:divsChild>
                    <w:div w:id="1037971868">
                      <w:marLeft w:val="0"/>
                      <w:marRight w:val="0"/>
                      <w:marTop w:val="0"/>
                      <w:marBottom w:val="0"/>
                      <w:divBdr>
                        <w:top w:val="none" w:sz="0" w:space="0" w:color="auto"/>
                        <w:left w:val="none" w:sz="0" w:space="0" w:color="auto"/>
                        <w:bottom w:val="none" w:sz="0" w:space="0" w:color="auto"/>
                        <w:right w:val="none" w:sz="0" w:space="0" w:color="auto"/>
                      </w:divBdr>
                    </w:div>
                  </w:divsChild>
                </w:div>
                <w:div w:id="1394042489">
                  <w:marLeft w:val="0"/>
                  <w:marRight w:val="0"/>
                  <w:marTop w:val="0"/>
                  <w:marBottom w:val="0"/>
                  <w:divBdr>
                    <w:top w:val="none" w:sz="0" w:space="0" w:color="auto"/>
                    <w:left w:val="none" w:sz="0" w:space="0" w:color="auto"/>
                    <w:bottom w:val="none" w:sz="0" w:space="0" w:color="auto"/>
                    <w:right w:val="none" w:sz="0" w:space="0" w:color="auto"/>
                  </w:divBdr>
                  <w:divsChild>
                    <w:div w:id="2078161953">
                      <w:marLeft w:val="0"/>
                      <w:marRight w:val="0"/>
                      <w:marTop w:val="0"/>
                      <w:marBottom w:val="0"/>
                      <w:divBdr>
                        <w:top w:val="none" w:sz="0" w:space="0" w:color="auto"/>
                        <w:left w:val="none" w:sz="0" w:space="0" w:color="auto"/>
                        <w:bottom w:val="none" w:sz="0" w:space="0" w:color="auto"/>
                        <w:right w:val="none" w:sz="0" w:space="0" w:color="auto"/>
                      </w:divBdr>
                    </w:div>
                  </w:divsChild>
                </w:div>
                <w:div w:id="1424955949">
                  <w:marLeft w:val="0"/>
                  <w:marRight w:val="0"/>
                  <w:marTop w:val="0"/>
                  <w:marBottom w:val="0"/>
                  <w:divBdr>
                    <w:top w:val="none" w:sz="0" w:space="0" w:color="auto"/>
                    <w:left w:val="none" w:sz="0" w:space="0" w:color="auto"/>
                    <w:bottom w:val="none" w:sz="0" w:space="0" w:color="auto"/>
                    <w:right w:val="none" w:sz="0" w:space="0" w:color="auto"/>
                  </w:divBdr>
                  <w:divsChild>
                    <w:div w:id="106504623">
                      <w:marLeft w:val="0"/>
                      <w:marRight w:val="0"/>
                      <w:marTop w:val="0"/>
                      <w:marBottom w:val="0"/>
                      <w:divBdr>
                        <w:top w:val="none" w:sz="0" w:space="0" w:color="auto"/>
                        <w:left w:val="none" w:sz="0" w:space="0" w:color="auto"/>
                        <w:bottom w:val="none" w:sz="0" w:space="0" w:color="auto"/>
                        <w:right w:val="none" w:sz="0" w:space="0" w:color="auto"/>
                      </w:divBdr>
                    </w:div>
                  </w:divsChild>
                </w:div>
                <w:div w:id="1436054135">
                  <w:marLeft w:val="0"/>
                  <w:marRight w:val="0"/>
                  <w:marTop w:val="0"/>
                  <w:marBottom w:val="0"/>
                  <w:divBdr>
                    <w:top w:val="none" w:sz="0" w:space="0" w:color="auto"/>
                    <w:left w:val="none" w:sz="0" w:space="0" w:color="auto"/>
                    <w:bottom w:val="none" w:sz="0" w:space="0" w:color="auto"/>
                    <w:right w:val="none" w:sz="0" w:space="0" w:color="auto"/>
                  </w:divBdr>
                  <w:divsChild>
                    <w:div w:id="51932029">
                      <w:marLeft w:val="0"/>
                      <w:marRight w:val="0"/>
                      <w:marTop w:val="0"/>
                      <w:marBottom w:val="0"/>
                      <w:divBdr>
                        <w:top w:val="none" w:sz="0" w:space="0" w:color="auto"/>
                        <w:left w:val="none" w:sz="0" w:space="0" w:color="auto"/>
                        <w:bottom w:val="none" w:sz="0" w:space="0" w:color="auto"/>
                        <w:right w:val="none" w:sz="0" w:space="0" w:color="auto"/>
                      </w:divBdr>
                    </w:div>
                  </w:divsChild>
                </w:div>
                <w:div w:id="1472597972">
                  <w:marLeft w:val="0"/>
                  <w:marRight w:val="0"/>
                  <w:marTop w:val="0"/>
                  <w:marBottom w:val="0"/>
                  <w:divBdr>
                    <w:top w:val="none" w:sz="0" w:space="0" w:color="auto"/>
                    <w:left w:val="none" w:sz="0" w:space="0" w:color="auto"/>
                    <w:bottom w:val="none" w:sz="0" w:space="0" w:color="auto"/>
                    <w:right w:val="none" w:sz="0" w:space="0" w:color="auto"/>
                  </w:divBdr>
                  <w:divsChild>
                    <w:div w:id="1289387666">
                      <w:marLeft w:val="0"/>
                      <w:marRight w:val="0"/>
                      <w:marTop w:val="0"/>
                      <w:marBottom w:val="0"/>
                      <w:divBdr>
                        <w:top w:val="none" w:sz="0" w:space="0" w:color="auto"/>
                        <w:left w:val="none" w:sz="0" w:space="0" w:color="auto"/>
                        <w:bottom w:val="none" w:sz="0" w:space="0" w:color="auto"/>
                        <w:right w:val="none" w:sz="0" w:space="0" w:color="auto"/>
                      </w:divBdr>
                    </w:div>
                  </w:divsChild>
                </w:div>
                <w:div w:id="1515265741">
                  <w:marLeft w:val="0"/>
                  <w:marRight w:val="0"/>
                  <w:marTop w:val="0"/>
                  <w:marBottom w:val="0"/>
                  <w:divBdr>
                    <w:top w:val="none" w:sz="0" w:space="0" w:color="auto"/>
                    <w:left w:val="none" w:sz="0" w:space="0" w:color="auto"/>
                    <w:bottom w:val="none" w:sz="0" w:space="0" w:color="auto"/>
                    <w:right w:val="none" w:sz="0" w:space="0" w:color="auto"/>
                  </w:divBdr>
                  <w:divsChild>
                    <w:div w:id="637565356">
                      <w:marLeft w:val="0"/>
                      <w:marRight w:val="0"/>
                      <w:marTop w:val="0"/>
                      <w:marBottom w:val="0"/>
                      <w:divBdr>
                        <w:top w:val="none" w:sz="0" w:space="0" w:color="auto"/>
                        <w:left w:val="none" w:sz="0" w:space="0" w:color="auto"/>
                        <w:bottom w:val="none" w:sz="0" w:space="0" w:color="auto"/>
                        <w:right w:val="none" w:sz="0" w:space="0" w:color="auto"/>
                      </w:divBdr>
                    </w:div>
                  </w:divsChild>
                </w:div>
                <w:div w:id="1541212317">
                  <w:marLeft w:val="0"/>
                  <w:marRight w:val="0"/>
                  <w:marTop w:val="0"/>
                  <w:marBottom w:val="0"/>
                  <w:divBdr>
                    <w:top w:val="none" w:sz="0" w:space="0" w:color="auto"/>
                    <w:left w:val="none" w:sz="0" w:space="0" w:color="auto"/>
                    <w:bottom w:val="none" w:sz="0" w:space="0" w:color="auto"/>
                    <w:right w:val="none" w:sz="0" w:space="0" w:color="auto"/>
                  </w:divBdr>
                  <w:divsChild>
                    <w:div w:id="1001617519">
                      <w:marLeft w:val="0"/>
                      <w:marRight w:val="0"/>
                      <w:marTop w:val="0"/>
                      <w:marBottom w:val="0"/>
                      <w:divBdr>
                        <w:top w:val="none" w:sz="0" w:space="0" w:color="auto"/>
                        <w:left w:val="none" w:sz="0" w:space="0" w:color="auto"/>
                        <w:bottom w:val="none" w:sz="0" w:space="0" w:color="auto"/>
                        <w:right w:val="none" w:sz="0" w:space="0" w:color="auto"/>
                      </w:divBdr>
                    </w:div>
                  </w:divsChild>
                </w:div>
                <w:div w:id="1546060491">
                  <w:marLeft w:val="0"/>
                  <w:marRight w:val="0"/>
                  <w:marTop w:val="0"/>
                  <w:marBottom w:val="0"/>
                  <w:divBdr>
                    <w:top w:val="none" w:sz="0" w:space="0" w:color="auto"/>
                    <w:left w:val="none" w:sz="0" w:space="0" w:color="auto"/>
                    <w:bottom w:val="none" w:sz="0" w:space="0" w:color="auto"/>
                    <w:right w:val="none" w:sz="0" w:space="0" w:color="auto"/>
                  </w:divBdr>
                  <w:divsChild>
                    <w:div w:id="988244355">
                      <w:marLeft w:val="0"/>
                      <w:marRight w:val="0"/>
                      <w:marTop w:val="0"/>
                      <w:marBottom w:val="0"/>
                      <w:divBdr>
                        <w:top w:val="none" w:sz="0" w:space="0" w:color="auto"/>
                        <w:left w:val="none" w:sz="0" w:space="0" w:color="auto"/>
                        <w:bottom w:val="none" w:sz="0" w:space="0" w:color="auto"/>
                        <w:right w:val="none" w:sz="0" w:space="0" w:color="auto"/>
                      </w:divBdr>
                    </w:div>
                  </w:divsChild>
                </w:div>
                <w:div w:id="1562789260">
                  <w:marLeft w:val="0"/>
                  <w:marRight w:val="0"/>
                  <w:marTop w:val="0"/>
                  <w:marBottom w:val="0"/>
                  <w:divBdr>
                    <w:top w:val="none" w:sz="0" w:space="0" w:color="auto"/>
                    <w:left w:val="none" w:sz="0" w:space="0" w:color="auto"/>
                    <w:bottom w:val="none" w:sz="0" w:space="0" w:color="auto"/>
                    <w:right w:val="none" w:sz="0" w:space="0" w:color="auto"/>
                  </w:divBdr>
                  <w:divsChild>
                    <w:div w:id="2037582851">
                      <w:marLeft w:val="0"/>
                      <w:marRight w:val="0"/>
                      <w:marTop w:val="0"/>
                      <w:marBottom w:val="0"/>
                      <w:divBdr>
                        <w:top w:val="none" w:sz="0" w:space="0" w:color="auto"/>
                        <w:left w:val="none" w:sz="0" w:space="0" w:color="auto"/>
                        <w:bottom w:val="none" w:sz="0" w:space="0" w:color="auto"/>
                        <w:right w:val="none" w:sz="0" w:space="0" w:color="auto"/>
                      </w:divBdr>
                    </w:div>
                  </w:divsChild>
                </w:div>
                <w:div w:id="1583757964">
                  <w:marLeft w:val="0"/>
                  <w:marRight w:val="0"/>
                  <w:marTop w:val="0"/>
                  <w:marBottom w:val="0"/>
                  <w:divBdr>
                    <w:top w:val="none" w:sz="0" w:space="0" w:color="auto"/>
                    <w:left w:val="none" w:sz="0" w:space="0" w:color="auto"/>
                    <w:bottom w:val="none" w:sz="0" w:space="0" w:color="auto"/>
                    <w:right w:val="none" w:sz="0" w:space="0" w:color="auto"/>
                  </w:divBdr>
                  <w:divsChild>
                    <w:div w:id="1585263565">
                      <w:marLeft w:val="0"/>
                      <w:marRight w:val="0"/>
                      <w:marTop w:val="0"/>
                      <w:marBottom w:val="0"/>
                      <w:divBdr>
                        <w:top w:val="none" w:sz="0" w:space="0" w:color="auto"/>
                        <w:left w:val="none" w:sz="0" w:space="0" w:color="auto"/>
                        <w:bottom w:val="none" w:sz="0" w:space="0" w:color="auto"/>
                        <w:right w:val="none" w:sz="0" w:space="0" w:color="auto"/>
                      </w:divBdr>
                    </w:div>
                  </w:divsChild>
                </w:div>
                <w:div w:id="1596403102">
                  <w:marLeft w:val="0"/>
                  <w:marRight w:val="0"/>
                  <w:marTop w:val="0"/>
                  <w:marBottom w:val="0"/>
                  <w:divBdr>
                    <w:top w:val="none" w:sz="0" w:space="0" w:color="auto"/>
                    <w:left w:val="none" w:sz="0" w:space="0" w:color="auto"/>
                    <w:bottom w:val="none" w:sz="0" w:space="0" w:color="auto"/>
                    <w:right w:val="none" w:sz="0" w:space="0" w:color="auto"/>
                  </w:divBdr>
                  <w:divsChild>
                    <w:div w:id="127675064">
                      <w:marLeft w:val="0"/>
                      <w:marRight w:val="0"/>
                      <w:marTop w:val="0"/>
                      <w:marBottom w:val="0"/>
                      <w:divBdr>
                        <w:top w:val="none" w:sz="0" w:space="0" w:color="auto"/>
                        <w:left w:val="none" w:sz="0" w:space="0" w:color="auto"/>
                        <w:bottom w:val="none" w:sz="0" w:space="0" w:color="auto"/>
                        <w:right w:val="none" w:sz="0" w:space="0" w:color="auto"/>
                      </w:divBdr>
                    </w:div>
                    <w:div w:id="1862936632">
                      <w:marLeft w:val="0"/>
                      <w:marRight w:val="0"/>
                      <w:marTop w:val="0"/>
                      <w:marBottom w:val="0"/>
                      <w:divBdr>
                        <w:top w:val="none" w:sz="0" w:space="0" w:color="auto"/>
                        <w:left w:val="none" w:sz="0" w:space="0" w:color="auto"/>
                        <w:bottom w:val="none" w:sz="0" w:space="0" w:color="auto"/>
                        <w:right w:val="none" w:sz="0" w:space="0" w:color="auto"/>
                      </w:divBdr>
                    </w:div>
                  </w:divsChild>
                </w:div>
                <w:div w:id="1601639947">
                  <w:marLeft w:val="0"/>
                  <w:marRight w:val="0"/>
                  <w:marTop w:val="0"/>
                  <w:marBottom w:val="0"/>
                  <w:divBdr>
                    <w:top w:val="none" w:sz="0" w:space="0" w:color="auto"/>
                    <w:left w:val="none" w:sz="0" w:space="0" w:color="auto"/>
                    <w:bottom w:val="none" w:sz="0" w:space="0" w:color="auto"/>
                    <w:right w:val="none" w:sz="0" w:space="0" w:color="auto"/>
                  </w:divBdr>
                  <w:divsChild>
                    <w:div w:id="865019045">
                      <w:marLeft w:val="0"/>
                      <w:marRight w:val="0"/>
                      <w:marTop w:val="0"/>
                      <w:marBottom w:val="0"/>
                      <w:divBdr>
                        <w:top w:val="none" w:sz="0" w:space="0" w:color="auto"/>
                        <w:left w:val="none" w:sz="0" w:space="0" w:color="auto"/>
                        <w:bottom w:val="none" w:sz="0" w:space="0" w:color="auto"/>
                        <w:right w:val="none" w:sz="0" w:space="0" w:color="auto"/>
                      </w:divBdr>
                    </w:div>
                  </w:divsChild>
                </w:div>
                <w:div w:id="1614556665">
                  <w:marLeft w:val="0"/>
                  <w:marRight w:val="0"/>
                  <w:marTop w:val="0"/>
                  <w:marBottom w:val="0"/>
                  <w:divBdr>
                    <w:top w:val="none" w:sz="0" w:space="0" w:color="auto"/>
                    <w:left w:val="none" w:sz="0" w:space="0" w:color="auto"/>
                    <w:bottom w:val="none" w:sz="0" w:space="0" w:color="auto"/>
                    <w:right w:val="none" w:sz="0" w:space="0" w:color="auto"/>
                  </w:divBdr>
                  <w:divsChild>
                    <w:div w:id="1804272002">
                      <w:marLeft w:val="0"/>
                      <w:marRight w:val="0"/>
                      <w:marTop w:val="0"/>
                      <w:marBottom w:val="0"/>
                      <w:divBdr>
                        <w:top w:val="none" w:sz="0" w:space="0" w:color="auto"/>
                        <w:left w:val="none" w:sz="0" w:space="0" w:color="auto"/>
                        <w:bottom w:val="none" w:sz="0" w:space="0" w:color="auto"/>
                        <w:right w:val="none" w:sz="0" w:space="0" w:color="auto"/>
                      </w:divBdr>
                    </w:div>
                  </w:divsChild>
                </w:div>
                <w:div w:id="1632129667">
                  <w:marLeft w:val="0"/>
                  <w:marRight w:val="0"/>
                  <w:marTop w:val="0"/>
                  <w:marBottom w:val="0"/>
                  <w:divBdr>
                    <w:top w:val="none" w:sz="0" w:space="0" w:color="auto"/>
                    <w:left w:val="none" w:sz="0" w:space="0" w:color="auto"/>
                    <w:bottom w:val="none" w:sz="0" w:space="0" w:color="auto"/>
                    <w:right w:val="none" w:sz="0" w:space="0" w:color="auto"/>
                  </w:divBdr>
                  <w:divsChild>
                    <w:div w:id="749083328">
                      <w:marLeft w:val="0"/>
                      <w:marRight w:val="0"/>
                      <w:marTop w:val="0"/>
                      <w:marBottom w:val="0"/>
                      <w:divBdr>
                        <w:top w:val="none" w:sz="0" w:space="0" w:color="auto"/>
                        <w:left w:val="none" w:sz="0" w:space="0" w:color="auto"/>
                        <w:bottom w:val="none" w:sz="0" w:space="0" w:color="auto"/>
                        <w:right w:val="none" w:sz="0" w:space="0" w:color="auto"/>
                      </w:divBdr>
                    </w:div>
                    <w:div w:id="1200242578">
                      <w:marLeft w:val="0"/>
                      <w:marRight w:val="0"/>
                      <w:marTop w:val="0"/>
                      <w:marBottom w:val="0"/>
                      <w:divBdr>
                        <w:top w:val="none" w:sz="0" w:space="0" w:color="auto"/>
                        <w:left w:val="none" w:sz="0" w:space="0" w:color="auto"/>
                        <w:bottom w:val="none" w:sz="0" w:space="0" w:color="auto"/>
                        <w:right w:val="none" w:sz="0" w:space="0" w:color="auto"/>
                      </w:divBdr>
                    </w:div>
                  </w:divsChild>
                </w:div>
                <w:div w:id="1666472663">
                  <w:marLeft w:val="0"/>
                  <w:marRight w:val="0"/>
                  <w:marTop w:val="0"/>
                  <w:marBottom w:val="0"/>
                  <w:divBdr>
                    <w:top w:val="none" w:sz="0" w:space="0" w:color="auto"/>
                    <w:left w:val="none" w:sz="0" w:space="0" w:color="auto"/>
                    <w:bottom w:val="none" w:sz="0" w:space="0" w:color="auto"/>
                    <w:right w:val="none" w:sz="0" w:space="0" w:color="auto"/>
                  </w:divBdr>
                  <w:divsChild>
                    <w:div w:id="923688919">
                      <w:marLeft w:val="0"/>
                      <w:marRight w:val="0"/>
                      <w:marTop w:val="0"/>
                      <w:marBottom w:val="0"/>
                      <w:divBdr>
                        <w:top w:val="none" w:sz="0" w:space="0" w:color="auto"/>
                        <w:left w:val="none" w:sz="0" w:space="0" w:color="auto"/>
                        <w:bottom w:val="none" w:sz="0" w:space="0" w:color="auto"/>
                        <w:right w:val="none" w:sz="0" w:space="0" w:color="auto"/>
                      </w:divBdr>
                    </w:div>
                  </w:divsChild>
                </w:div>
                <w:div w:id="1675306332">
                  <w:marLeft w:val="0"/>
                  <w:marRight w:val="0"/>
                  <w:marTop w:val="0"/>
                  <w:marBottom w:val="0"/>
                  <w:divBdr>
                    <w:top w:val="none" w:sz="0" w:space="0" w:color="auto"/>
                    <w:left w:val="none" w:sz="0" w:space="0" w:color="auto"/>
                    <w:bottom w:val="none" w:sz="0" w:space="0" w:color="auto"/>
                    <w:right w:val="none" w:sz="0" w:space="0" w:color="auto"/>
                  </w:divBdr>
                  <w:divsChild>
                    <w:div w:id="1763911919">
                      <w:marLeft w:val="0"/>
                      <w:marRight w:val="0"/>
                      <w:marTop w:val="0"/>
                      <w:marBottom w:val="0"/>
                      <w:divBdr>
                        <w:top w:val="none" w:sz="0" w:space="0" w:color="auto"/>
                        <w:left w:val="none" w:sz="0" w:space="0" w:color="auto"/>
                        <w:bottom w:val="none" w:sz="0" w:space="0" w:color="auto"/>
                        <w:right w:val="none" w:sz="0" w:space="0" w:color="auto"/>
                      </w:divBdr>
                    </w:div>
                  </w:divsChild>
                </w:div>
                <w:div w:id="1690254723">
                  <w:marLeft w:val="0"/>
                  <w:marRight w:val="0"/>
                  <w:marTop w:val="0"/>
                  <w:marBottom w:val="0"/>
                  <w:divBdr>
                    <w:top w:val="none" w:sz="0" w:space="0" w:color="auto"/>
                    <w:left w:val="none" w:sz="0" w:space="0" w:color="auto"/>
                    <w:bottom w:val="none" w:sz="0" w:space="0" w:color="auto"/>
                    <w:right w:val="none" w:sz="0" w:space="0" w:color="auto"/>
                  </w:divBdr>
                  <w:divsChild>
                    <w:div w:id="431900546">
                      <w:marLeft w:val="0"/>
                      <w:marRight w:val="0"/>
                      <w:marTop w:val="0"/>
                      <w:marBottom w:val="0"/>
                      <w:divBdr>
                        <w:top w:val="none" w:sz="0" w:space="0" w:color="auto"/>
                        <w:left w:val="none" w:sz="0" w:space="0" w:color="auto"/>
                        <w:bottom w:val="none" w:sz="0" w:space="0" w:color="auto"/>
                        <w:right w:val="none" w:sz="0" w:space="0" w:color="auto"/>
                      </w:divBdr>
                    </w:div>
                  </w:divsChild>
                </w:div>
                <w:div w:id="1703943207">
                  <w:marLeft w:val="0"/>
                  <w:marRight w:val="0"/>
                  <w:marTop w:val="0"/>
                  <w:marBottom w:val="0"/>
                  <w:divBdr>
                    <w:top w:val="none" w:sz="0" w:space="0" w:color="auto"/>
                    <w:left w:val="none" w:sz="0" w:space="0" w:color="auto"/>
                    <w:bottom w:val="none" w:sz="0" w:space="0" w:color="auto"/>
                    <w:right w:val="none" w:sz="0" w:space="0" w:color="auto"/>
                  </w:divBdr>
                  <w:divsChild>
                    <w:div w:id="1498184001">
                      <w:marLeft w:val="0"/>
                      <w:marRight w:val="0"/>
                      <w:marTop w:val="0"/>
                      <w:marBottom w:val="0"/>
                      <w:divBdr>
                        <w:top w:val="none" w:sz="0" w:space="0" w:color="auto"/>
                        <w:left w:val="none" w:sz="0" w:space="0" w:color="auto"/>
                        <w:bottom w:val="none" w:sz="0" w:space="0" w:color="auto"/>
                        <w:right w:val="none" w:sz="0" w:space="0" w:color="auto"/>
                      </w:divBdr>
                    </w:div>
                  </w:divsChild>
                </w:div>
                <w:div w:id="1708140841">
                  <w:marLeft w:val="0"/>
                  <w:marRight w:val="0"/>
                  <w:marTop w:val="0"/>
                  <w:marBottom w:val="0"/>
                  <w:divBdr>
                    <w:top w:val="none" w:sz="0" w:space="0" w:color="auto"/>
                    <w:left w:val="none" w:sz="0" w:space="0" w:color="auto"/>
                    <w:bottom w:val="none" w:sz="0" w:space="0" w:color="auto"/>
                    <w:right w:val="none" w:sz="0" w:space="0" w:color="auto"/>
                  </w:divBdr>
                  <w:divsChild>
                    <w:div w:id="2054185473">
                      <w:marLeft w:val="0"/>
                      <w:marRight w:val="0"/>
                      <w:marTop w:val="0"/>
                      <w:marBottom w:val="0"/>
                      <w:divBdr>
                        <w:top w:val="none" w:sz="0" w:space="0" w:color="auto"/>
                        <w:left w:val="none" w:sz="0" w:space="0" w:color="auto"/>
                        <w:bottom w:val="none" w:sz="0" w:space="0" w:color="auto"/>
                        <w:right w:val="none" w:sz="0" w:space="0" w:color="auto"/>
                      </w:divBdr>
                    </w:div>
                  </w:divsChild>
                </w:div>
                <w:div w:id="1720058455">
                  <w:marLeft w:val="0"/>
                  <w:marRight w:val="0"/>
                  <w:marTop w:val="0"/>
                  <w:marBottom w:val="0"/>
                  <w:divBdr>
                    <w:top w:val="none" w:sz="0" w:space="0" w:color="auto"/>
                    <w:left w:val="none" w:sz="0" w:space="0" w:color="auto"/>
                    <w:bottom w:val="none" w:sz="0" w:space="0" w:color="auto"/>
                    <w:right w:val="none" w:sz="0" w:space="0" w:color="auto"/>
                  </w:divBdr>
                  <w:divsChild>
                    <w:div w:id="34895983">
                      <w:marLeft w:val="0"/>
                      <w:marRight w:val="0"/>
                      <w:marTop w:val="0"/>
                      <w:marBottom w:val="0"/>
                      <w:divBdr>
                        <w:top w:val="none" w:sz="0" w:space="0" w:color="auto"/>
                        <w:left w:val="none" w:sz="0" w:space="0" w:color="auto"/>
                        <w:bottom w:val="none" w:sz="0" w:space="0" w:color="auto"/>
                        <w:right w:val="none" w:sz="0" w:space="0" w:color="auto"/>
                      </w:divBdr>
                    </w:div>
                  </w:divsChild>
                </w:div>
                <w:div w:id="1772123104">
                  <w:marLeft w:val="0"/>
                  <w:marRight w:val="0"/>
                  <w:marTop w:val="0"/>
                  <w:marBottom w:val="0"/>
                  <w:divBdr>
                    <w:top w:val="none" w:sz="0" w:space="0" w:color="auto"/>
                    <w:left w:val="none" w:sz="0" w:space="0" w:color="auto"/>
                    <w:bottom w:val="none" w:sz="0" w:space="0" w:color="auto"/>
                    <w:right w:val="none" w:sz="0" w:space="0" w:color="auto"/>
                  </w:divBdr>
                  <w:divsChild>
                    <w:div w:id="1064110113">
                      <w:marLeft w:val="0"/>
                      <w:marRight w:val="0"/>
                      <w:marTop w:val="0"/>
                      <w:marBottom w:val="0"/>
                      <w:divBdr>
                        <w:top w:val="none" w:sz="0" w:space="0" w:color="auto"/>
                        <w:left w:val="none" w:sz="0" w:space="0" w:color="auto"/>
                        <w:bottom w:val="none" w:sz="0" w:space="0" w:color="auto"/>
                        <w:right w:val="none" w:sz="0" w:space="0" w:color="auto"/>
                      </w:divBdr>
                    </w:div>
                  </w:divsChild>
                </w:div>
                <w:div w:id="1775054671">
                  <w:marLeft w:val="0"/>
                  <w:marRight w:val="0"/>
                  <w:marTop w:val="0"/>
                  <w:marBottom w:val="0"/>
                  <w:divBdr>
                    <w:top w:val="none" w:sz="0" w:space="0" w:color="auto"/>
                    <w:left w:val="none" w:sz="0" w:space="0" w:color="auto"/>
                    <w:bottom w:val="none" w:sz="0" w:space="0" w:color="auto"/>
                    <w:right w:val="none" w:sz="0" w:space="0" w:color="auto"/>
                  </w:divBdr>
                  <w:divsChild>
                    <w:div w:id="19938094">
                      <w:marLeft w:val="0"/>
                      <w:marRight w:val="0"/>
                      <w:marTop w:val="0"/>
                      <w:marBottom w:val="0"/>
                      <w:divBdr>
                        <w:top w:val="none" w:sz="0" w:space="0" w:color="auto"/>
                        <w:left w:val="none" w:sz="0" w:space="0" w:color="auto"/>
                        <w:bottom w:val="none" w:sz="0" w:space="0" w:color="auto"/>
                        <w:right w:val="none" w:sz="0" w:space="0" w:color="auto"/>
                      </w:divBdr>
                    </w:div>
                  </w:divsChild>
                </w:div>
                <w:div w:id="1833838441">
                  <w:marLeft w:val="0"/>
                  <w:marRight w:val="0"/>
                  <w:marTop w:val="0"/>
                  <w:marBottom w:val="0"/>
                  <w:divBdr>
                    <w:top w:val="none" w:sz="0" w:space="0" w:color="auto"/>
                    <w:left w:val="none" w:sz="0" w:space="0" w:color="auto"/>
                    <w:bottom w:val="none" w:sz="0" w:space="0" w:color="auto"/>
                    <w:right w:val="none" w:sz="0" w:space="0" w:color="auto"/>
                  </w:divBdr>
                  <w:divsChild>
                    <w:div w:id="1053970257">
                      <w:marLeft w:val="0"/>
                      <w:marRight w:val="0"/>
                      <w:marTop w:val="0"/>
                      <w:marBottom w:val="0"/>
                      <w:divBdr>
                        <w:top w:val="none" w:sz="0" w:space="0" w:color="auto"/>
                        <w:left w:val="none" w:sz="0" w:space="0" w:color="auto"/>
                        <w:bottom w:val="none" w:sz="0" w:space="0" w:color="auto"/>
                        <w:right w:val="none" w:sz="0" w:space="0" w:color="auto"/>
                      </w:divBdr>
                    </w:div>
                  </w:divsChild>
                </w:div>
                <w:div w:id="1834560790">
                  <w:marLeft w:val="0"/>
                  <w:marRight w:val="0"/>
                  <w:marTop w:val="0"/>
                  <w:marBottom w:val="0"/>
                  <w:divBdr>
                    <w:top w:val="none" w:sz="0" w:space="0" w:color="auto"/>
                    <w:left w:val="none" w:sz="0" w:space="0" w:color="auto"/>
                    <w:bottom w:val="none" w:sz="0" w:space="0" w:color="auto"/>
                    <w:right w:val="none" w:sz="0" w:space="0" w:color="auto"/>
                  </w:divBdr>
                  <w:divsChild>
                    <w:div w:id="734864886">
                      <w:marLeft w:val="0"/>
                      <w:marRight w:val="0"/>
                      <w:marTop w:val="0"/>
                      <w:marBottom w:val="0"/>
                      <w:divBdr>
                        <w:top w:val="none" w:sz="0" w:space="0" w:color="auto"/>
                        <w:left w:val="none" w:sz="0" w:space="0" w:color="auto"/>
                        <w:bottom w:val="none" w:sz="0" w:space="0" w:color="auto"/>
                        <w:right w:val="none" w:sz="0" w:space="0" w:color="auto"/>
                      </w:divBdr>
                    </w:div>
                  </w:divsChild>
                </w:div>
                <w:div w:id="1881897391">
                  <w:marLeft w:val="0"/>
                  <w:marRight w:val="0"/>
                  <w:marTop w:val="0"/>
                  <w:marBottom w:val="0"/>
                  <w:divBdr>
                    <w:top w:val="none" w:sz="0" w:space="0" w:color="auto"/>
                    <w:left w:val="none" w:sz="0" w:space="0" w:color="auto"/>
                    <w:bottom w:val="none" w:sz="0" w:space="0" w:color="auto"/>
                    <w:right w:val="none" w:sz="0" w:space="0" w:color="auto"/>
                  </w:divBdr>
                  <w:divsChild>
                    <w:div w:id="1686708723">
                      <w:marLeft w:val="0"/>
                      <w:marRight w:val="0"/>
                      <w:marTop w:val="0"/>
                      <w:marBottom w:val="0"/>
                      <w:divBdr>
                        <w:top w:val="none" w:sz="0" w:space="0" w:color="auto"/>
                        <w:left w:val="none" w:sz="0" w:space="0" w:color="auto"/>
                        <w:bottom w:val="none" w:sz="0" w:space="0" w:color="auto"/>
                        <w:right w:val="none" w:sz="0" w:space="0" w:color="auto"/>
                      </w:divBdr>
                    </w:div>
                  </w:divsChild>
                </w:div>
                <w:div w:id="1913739451">
                  <w:marLeft w:val="0"/>
                  <w:marRight w:val="0"/>
                  <w:marTop w:val="0"/>
                  <w:marBottom w:val="0"/>
                  <w:divBdr>
                    <w:top w:val="none" w:sz="0" w:space="0" w:color="auto"/>
                    <w:left w:val="none" w:sz="0" w:space="0" w:color="auto"/>
                    <w:bottom w:val="none" w:sz="0" w:space="0" w:color="auto"/>
                    <w:right w:val="none" w:sz="0" w:space="0" w:color="auto"/>
                  </w:divBdr>
                  <w:divsChild>
                    <w:div w:id="884290213">
                      <w:marLeft w:val="0"/>
                      <w:marRight w:val="0"/>
                      <w:marTop w:val="0"/>
                      <w:marBottom w:val="0"/>
                      <w:divBdr>
                        <w:top w:val="none" w:sz="0" w:space="0" w:color="auto"/>
                        <w:left w:val="none" w:sz="0" w:space="0" w:color="auto"/>
                        <w:bottom w:val="none" w:sz="0" w:space="0" w:color="auto"/>
                        <w:right w:val="none" w:sz="0" w:space="0" w:color="auto"/>
                      </w:divBdr>
                    </w:div>
                  </w:divsChild>
                </w:div>
                <w:div w:id="1925798255">
                  <w:marLeft w:val="0"/>
                  <w:marRight w:val="0"/>
                  <w:marTop w:val="0"/>
                  <w:marBottom w:val="0"/>
                  <w:divBdr>
                    <w:top w:val="none" w:sz="0" w:space="0" w:color="auto"/>
                    <w:left w:val="none" w:sz="0" w:space="0" w:color="auto"/>
                    <w:bottom w:val="none" w:sz="0" w:space="0" w:color="auto"/>
                    <w:right w:val="none" w:sz="0" w:space="0" w:color="auto"/>
                  </w:divBdr>
                  <w:divsChild>
                    <w:div w:id="1139110826">
                      <w:marLeft w:val="0"/>
                      <w:marRight w:val="0"/>
                      <w:marTop w:val="0"/>
                      <w:marBottom w:val="0"/>
                      <w:divBdr>
                        <w:top w:val="none" w:sz="0" w:space="0" w:color="auto"/>
                        <w:left w:val="none" w:sz="0" w:space="0" w:color="auto"/>
                        <w:bottom w:val="none" w:sz="0" w:space="0" w:color="auto"/>
                        <w:right w:val="none" w:sz="0" w:space="0" w:color="auto"/>
                      </w:divBdr>
                    </w:div>
                  </w:divsChild>
                </w:div>
                <w:div w:id="1931157944">
                  <w:marLeft w:val="0"/>
                  <w:marRight w:val="0"/>
                  <w:marTop w:val="0"/>
                  <w:marBottom w:val="0"/>
                  <w:divBdr>
                    <w:top w:val="none" w:sz="0" w:space="0" w:color="auto"/>
                    <w:left w:val="none" w:sz="0" w:space="0" w:color="auto"/>
                    <w:bottom w:val="none" w:sz="0" w:space="0" w:color="auto"/>
                    <w:right w:val="none" w:sz="0" w:space="0" w:color="auto"/>
                  </w:divBdr>
                  <w:divsChild>
                    <w:div w:id="388919901">
                      <w:marLeft w:val="0"/>
                      <w:marRight w:val="0"/>
                      <w:marTop w:val="0"/>
                      <w:marBottom w:val="0"/>
                      <w:divBdr>
                        <w:top w:val="none" w:sz="0" w:space="0" w:color="auto"/>
                        <w:left w:val="none" w:sz="0" w:space="0" w:color="auto"/>
                        <w:bottom w:val="none" w:sz="0" w:space="0" w:color="auto"/>
                        <w:right w:val="none" w:sz="0" w:space="0" w:color="auto"/>
                      </w:divBdr>
                    </w:div>
                  </w:divsChild>
                </w:div>
                <w:div w:id="1955792280">
                  <w:marLeft w:val="0"/>
                  <w:marRight w:val="0"/>
                  <w:marTop w:val="0"/>
                  <w:marBottom w:val="0"/>
                  <w:divBdr>
                    <w:top w:val="none" w:sz="0" w:space="0" w:color="auto"/>
                    <w:left w:val="none" w:sz="0" w:space="0" w:color="auto"/>
                    <w:bottom w:val="none" w:sz="0" w:space="0" w:color="auto"/>
                    <w:right w:val="none" w:sz="0" w:space="0" w:color="auto"/>
                  </w:divBdr>
                  <w:divsChild>
                    <w:div w:id="496575664">
                      <w:marLeft w:val="0"/>
                      <w:marRight w:val="0"/>
                      <w:marTop w:val="0"/>
                      <w:marBottom w:val="0"/>
                      <w:divBdr>
                        <w:top w:val="none" w:sz="0" w:space="0" w:color="auto"/>
                        <w:left w:val="none" w:sz="0" w:space="0" w:color="auto"/>
                        <w:bottom w:val="none" w:sz="0" w:space="0" w:color="auto"/>
                        <w:right w:val="none" w:sz="0" w:space="0" w:color="auto"/>
                      </w:divBdr>
                    </w:div>
                  </w:divsChild>
                </w:div>
                <w:div w:id="1960187848">
                  <w:marLeft w:val="0"/>
                  <w:marRight w:val="0"/>
                  <w:marTop w:val="0"/>
                  <w:marBottom w:val="0"/>
                  <w:divBdr>
                    <w:top w:val="none" w:sz="0" w:space="0" w:color="auto"/>
                    <w:left w:val="none" w:sz="0" w:space="0" w:color="auto"/>
                    <w:bottom w:val="none" w:sz="0" w:space="0" w:color="auto"/>
                    <w:right w:val="none" w:sz="0" w:space="0" w:color="auto"/>
                  </w:divBdr>
                  <w:divsChild>
                    <w:div w:id="224220959">
                      <w:marLeft w:val="0"/>
                      <w:marRight w:val="0"/>
                      <w:marTop w:val="0"/>
                      <w:marBottom w:val="0"/>
                      <w:divBdr>
                        <w:top w:val="none" w:sz="0" w:space="0" w:color="auto"/>
                        <w:left w:val="none" w:sz="0" w:space="0" w:color="auto"/>
                        <w:bottom w:val="none" w:sz="0" w:space="0" w:color="auto"/>
                        <w:right w:val="none" w:sz="0" w:space="0" w:color="auto"/>
                      </w:divBdr>
                    </w:div>
                  </w:divsChild>
                </w:div>
                <w:div w:id="1961372785">
                  <w:marLeft w:val="0"/>
                  <w:marRight w:val="0"/>
                  <w:marTop w:val="0"/>
                  <w:marBottom w:val="0"/>
                  <w:divBdr>
                    <w:top w:val="none" w:sz="0" w:space="0" w:color="auto"/>
                    <w:left w:val="none" w:sz="0" w:space="0" w:color="auto"/>
                    <w:bottom w:val="none" w:sz="0" w:space="0" w:color="auto"/>
                    <w:right w:val="none" w:sz="0" w:space="0" w:color="auto"/>
                  </w:divBdr>
                  <w:divsChild>
                    <w:div w:id="680857647">
                      <w:marLeft w:val="0"/>
                      <w:marRight w:val="0"/>
                      <w:marTop w:val="0"/>
                      <w:marBottom w:val="0"/>
                      <w:divBdr>
                        <w:top w:val="none" w:sz="0" w:space="0" w:color="auto"/>
                        <w:left w:val="none" w:sz="0" w:space="0" w:color="auto"/>
                        <w:bottom w:val="none" w:sz="0" w:space="0" w:color="auto"/>
                        <w:right w:val="none" w:sz="0" w:space="0" w:color="auto"/>
                      </w:divBdr>
                    </w:div>
                  </w:divsChild>
                </w:div>
                <w:div w:id="2009019295">
                  <w:marLeft w:val="0"/>
                  <w:marRight w:val="0"/>
                  <w:marTop w:val="0"/>
                  <w:marBottom w:val="0"/>
                  <w:divBdr>
                    <w:top w:val="none" w:sz="0" w:space="0" w:color="auto"/>
                    <w:left w:val="none" w:sz="0" w:space="0" w:color="auto"/>
                    <w:bottom w:val="none" w:sz="0" w:space="0" w:color="auto"/>
                    <w:right w:val="none" w:sz="0" w:space="0" w:color="auto"/>
                  </w:divBdr>
                  <w:divsChild>
                    <w:div w:id="1359088570">
                      <w:marLeft w:val="0"/>
                      <w:marRight w:val="0"/>
                      <w:marTop w:val="0"/>
                      <w:marBottom w:val="0"/>
                      <w:divBdr>
                        <w:top w:val="none" w:sz="0" w:space="0" w:color="auto"/>
                        <w:left w:val="none" w:sz="0" w:space="0" w:color="auto"/>
                        <w:bottom w:val="none" w:sz="0" w:space="0" w:color="auto"/>
                        <w:right w:val="none" w:sz="0" w:space="0" w:color="auto"/>
                      </w:divBdr>
                    </w:div>
                  </w:divsChild>
                </w:div>
                <w:div w:id="2025670598">
                  <w:marLeft w:val="0"/>
                  <w:marRight w:val="0"/>
                  <w:marTop w:val="0"/>
                  <w:marBottom w:val="0"/>
                  <w:divBdr>
                    <w:top w:val="none" w:sz="0" w:space="0" w:color="auto"/>
                    <w:left w:val="none" w:sz="0" w:space="0" w:color="auto"/>
                    <w:bottom w:val="none" w:sz="0" w:space="0" w:color="auto"/>
                    <w:right w:val="none" w:sz="0" w:space="0" w:color="auto"/>
                  </w:divBdr>
                  <w:divsChild>
                    <w:div w:id="1815296214">
                      <w:marLeft w:val="0"/>
                      <w:marRight w:val="0"/>
                      <w:marTop w:val="0"/>
                      <w:marBottom w:val="0"/>
                      <w:divBdr>
                        <w:top w:val="none" w:sz="0" w:space="0" w:color="auto"/>
                        <w:left w:val="none" w:sz="0" w:space="0" w:color="auto"/>
                        <w:bottom w:val="none" w:sz="0" w:space="0" w:color="auto"/>
                        <w:right w:val="none" w:sz="0" w:space="0" w:color="auto"/>
                      </w:divBdr>
                    </w:div>
                  </w:divsChild>
                </w:div>
                <w:div w:id="2045519459">
                  <w:marLeft w:val="0"/>
                  <w:marRight w:val="0"/>
                  <w:marTop w:val="0"/>
                  <w:marBottom w:val="0"/>
                  <w:divBdr>
                    <w:top w:val="none" w:sz="0" w:space="0" w:color="auto"/>
                    <w:left w:val="none" w:sz="0" w:space="0" w:color="auto"/>
                    <w:bottom w:val="none" w:sz="0" w:space="0" w:color="auto"/>
                    <w:right w:val="none" w:sz="0" w:space="0" w:color="auto"/>
                  </w:divBdr>
                  <w:divsChild>
                    <w:div w:id="1169830772">
                      <w:marLeft w:val="0"/>
                      <w:marRight w:val="0"/>
                      <w:marTop w:val="0"/>
                      <w:marBottom w:val="0"/>
                      <w:divBdr>
                        <w:top w:val="none" w:sz="0" w:space="0" w:color="auto"/>
                        <w:left w:val="none" w:sz="0" w:space="0" w:color="auto"/>
                        <w:bottom w:val="none" w:sz="0" w:space="0" w:color="auto"/>
                        <w:right w:val="none" w:sz="0" w:space="0" w:color="auto"/>
                      </w:divBdr>
                    </w:div>
                  </w:divsChild>
                </w:div>
                <w:div w:id="2061439289">
                  <w:marLeft w:val="0"/>
                  <w:marRight w:val="0"/>
                  <w:marTop w:val="0"/>
                  <w:marBottom w:val="0"/>
                  <w:divBdr>
                    <w:top w:val="none" w:sz="0" w:space="0" w:color="auto"/>
                    <w:left w:val="none" w:sz="0" w:space="0" w:color="auto"/>
                    <w:bottom w:val="none" w:sz="0" w:space="0" w:color="auto"/>
                    <w:right w:val="none" w:sz="0" w:space="0" w:color="auto"/>
                  </w:divBdr>
                  <w:divsChild>
                    <w:div w:id="103430892">
                      <w:marLeft w:val="0"/>
                      <w:marRight w:val="0"/>
                      <w:marTop w:val="0"/>
                      <w:marBottom w:val="0"/>
                      <w:divBdr>
                        <w:top w:val="none" w:sz="0" w:space="0" w:color="auto"/>
                        <w:left w:val="none" w:sz="0" w:space="0" w:color="auto"/>
                        <w:bottom w:val="none" w:sz="0" w:space="0" w:color="auto"/>
                        <w:right w:val="none" w:sz="0" w:space="0" w:color="auto"/>
                      </w:divBdr>
                    </w:div>
                    <w:div w:id="813524239">
                      <w:marLeft w:val="0"/>
                      <w:marRight w:val="0"/>
                      <w:marTop w:val="0"/>
                      <w:marBottom w:val="0"/>
                      <w:divBdr>
                        <w:top w:val="none" w:sz="0" w:space="0" w:color="auto"/>
                        <w:left w:val="none" w:sz="0" w:space="0" w:color="auto"/>
                        <w:bottom w:val="none" w:sz="0" w:space="0" w:color="auto"/>
                        <w:right w:val="none" w:sz="0" w:space="0" w:color="auto"/>
                      </w:divBdr>
                    </w:div>
                  </w:divsChild>
                </w:div>
                <w:div w:id="2082867822">
                  <w:marLeft w:val="0"/>
                  <w:marRight w:val="0"/>
                  <w:marTop w:val="0"/>
                  <w:marBottom w:val="0"/>
                  <w:divBdr>
                    <w:top w:val="none" w:sz="0" w:space="0" w:color="auto"/>
                    <w:left w:val="none" w:sz="0" w:space="0" w:color="auto"/>
                    <w:bottom w:val="none" w:sz="0" w:space="0" w:color="auto"/>
                    <w:right w:val="none" w:sz="0" w:space="0" w:color="auto"/>
                  </w:divBdr>
                  <w:divsChild>
                    <w:div w:id="1545602295">
                      <w:marLeft w:val="0"/>
                      <w:marRight w:val="0"/>
                      <w:marTop w:val="0"/>
                      <w:marBottom w:val="0"/>
                      <w:divBdr>
                        <w:top w:val="none" w:sz="0" w:space="0" w:color="auto"/>
                        <w:left w:val="none" w:sz="0" w:space="0" w:color="auto"/>
                        <w:bottom w:val="none" w:sz="0" w:space="0" w:color="auto"/>
                        <w:right w:val="none" w:sz="0" w:space="0" w:color="auto"/>
                      </w:divBdr>
                    </w:div>
                  </w:divsChild>
                </w:div>
                <w:div w:id="2095005043">
                  <w:marLeft w:val="0"/>
                  <w:marRight w:val="0"/>
                  <w:marTop w:val="0"/>
                  <w:marBottom w:val="0"/>
                  <w:divBdr>
                    <w:top w:val="none" w:sz="0" w:space="0" w:color="auto"/>
                    <w:left w:val="none" w:sz="0" w:space="0" w:color="auto"/>
                    <w:bottom w:val="none" w:sz="0" w:space="0" w:color="auto"/>
                    <w:right w:val="none" w:sz="0" w:space="0" w:color="auto"/>
                  </w:divBdr>
                  <w:divsChild>
                    <w:div w:id="191384554">
                      <w:marLeft w:val="0"/>
                      <w:marRight w:val="0"/>
                      <w:marTop w:val="0"/>
                      <w:marBottom w:val="0"/>
                      <w:divBdr>
                        <w:top w:val="none" w:sz="0" w:space="0" w:color="auto"/>
                        <w:left w:val="none" w:sz="0" w:space="0" w:color="auto"/>
                        <w:bottom w:val="none" w:sz="0" w:space="0" w:color="auto"/>
                        <w:right w:val="none" w:sz="0" w:space="0" w:color="auto"/>
                      </w:divBdr>
                    </w:div>
                  </w:divsChild>
                </w:div>
                <w:div w:id="2096122823">
                  <w:marLeft w:val="0"/>
                  <w:marRight w:val="0"/>
                  <w:marTop w:val="0"/>
                  <w:marBottom w:val="0"/>
                  <w:divBdr>
                    <w:top w:val="none" w:sz="0" w:space="0" w:color="auto"/>
                    <w:left w:val="none" w:sz="0" w:space="0" w:color="auto"/>
                    <w:bottom w:val="none" w:sz="0" w:space="0" w:color="auto"/>
                    <w:right w:val="none" w:sz="0" w:space="0" w:color="auto"/>
                  </w:divBdr>
                  <w:divsChild>
                    <w:div w:id="29183054">
                      <w:marLeft w:val="0"/>
                      <w:marRight w:val="0"/>
                      <w:marTop w:val="0"/>
                      <w:marBottom w:val="0"/>
                      <w:divBdr>
                        <w:top w:val="none" w:sz="0" w:space="0" w:color="auto"/>
                        <w:left w:val="none" w:sz="0" w:space="0" w:color="auto"/>
                        <w:bottom w:val="none" w:sz="0" w:space="0" w:color="auto"/>
                        <w:right w:val="none" w:sz="0" w:space="0" w:color="auto"/>
                      </w:divBdr>
                    </w:div>
                  </w:divsChild>
                </w:div>
                <w:div w:id="2103795563">
                  <w:marLeft w:val="0"/>
                  <w:marRight w:val="0"/>
                  <w:marTop w:val="0"/>
                  <w:marBottom w:val="0"/>
                  <w:divBdr>
                    <w:top w:val="none" w:sz="0" w:space="0" w:color="auto"/>
                    <w:left w:val="none" w:sz="0" w:space="0" w:color="auto"/>
                    <w:bottom w:val="none" w:sz="0" w:space="0" w:color="auto"/>
                    <w:right w:val="none" w:sz="0" w:space="0" w:color="auto"/>
                  </w:divBdr>
                  <w:divsChild>
                    <w:div w:id="505444364">
                      <w:marLeft w:val="0"/>
                      <w:marRight w:val="0"/>
                      <w:marTop w:val="0"/>
                      <w:marBottom w:val="0"/>
                      <w:divBdr>
                        <w:top w:val="none" w:sz="0" w:space="0" w:color="auto"/>
                        <w:left w:val="none" w:sz="0" w:space="0" w:color="auto"/>
                        <w:bottom w:val="none" w:sz="0" w:space="0" w:color="auto"/>
                        <w:right w:val="none" w:sz="0" w:space="0" w:color="auto"/>
                      </w:divBdr>
                    </w:div>
                  </w:divsChild>
                </w:div>
                <w:div w:id="2137747569">
                  <w:marLeft w:val="0"/>
                  <w:marRight w:val="0"/>
                  <w:marTop w:val="0"/>
                  <w:marBottom w:val="0"/>
                  <w:divBdr>
                    <w:top w:val="none" w:sz="0" w:space="0" w:color="auto"/>
                    <w:left w:val="none" w:sz="0" w:space="0" w:color="auto"/>
                    <w:bottom w:val="none" w:sz="0" w:space="0" w:color="auto"/>
                    <w:right w:val="none" w:sz="0" w:space="0" w:color="auto"/>
                  </w:divBdr>
                  <w:divsChild>
                    <w:div w:id="1452239102">
                      <w:marLeft w:val="0"/>
                      <w:marRight w:val="0"/>
                      <w:marTop w:val="0"/>
                      <w:marBottom w:val="0"/>
                      <w:divBdr>
                        <w:top w:val="none" w:sz="0" w:space="0" w:color="auto"/>
                        <w:left w:val="none" w:sz="0" w:space="0" w:color="auto"/>
                        <w:bottom w:val="none" w:sz="0" w:space="0" w:color="auto"/>
                        <w:right w:val="none" w:sz="0" w:space="0" w:color="auto"/>
                      </w:divBdr>
                    </w:div>
                  </w:divsChild>
                </w:div>
                <w:div w:id="2145661148">
                  <w:marLeft w:val="0"/>
                  <w:marRight w:val="0"/>
                  <w:marTop w:val="0"/>
                  <w:marBottom w:val="0"/>
                  <w:divBdr>
                    <w:top w:val="none" w:sz="0" w:space="0" w:color="auto"/>
                    <w:left w:val="none" w:sz="0" w:space="0" w:color="auto"/>
                    <w:bottom w:val="none" w:sz="0" w:space="0" w:color="auto"/>
                    <w:right w:val="none" w:sz="0" w:space="0" w:color="auto"/>
                  </w:divBdr>
                  <w:divsChild>
                    <w:div w:id="111702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453625">
          <w:marLeft w:val="0"/>
          <w:marRight w:val="0"/>
          <w:marTop w:val="0"/>
          <w:marBottom w:val="0"/>
          <w:divBdr>
            <w:top w:val="none" w:sz="0" w:space="0" w:color="auto"/>
            <w:left w:val="none" w:sz="0" w:space="0" w:color="auto"/>
            <w:bottom w:val="none" w:sz="0" w:space="0" w:color="auto"/>
            <w:right w:val="none" w:sz="0" w:space="0" w:color="auto"/>
          </w:divBdr>
        </w:div>
        <w:div w:id="1735808376">
          <w:marLeft w:val="0"/>
          <w:marRight w:val="0"/>
          <w:marTop w:val="0"/>
          <w:marBottom w:val="0"/>
          <w:divBdr>
            <w:top w:val="none" w:sz="0" w:space="0" w:color="auto"/>
            <w:left w:val="none" w:sz="0" w:space="0" w:color="auto"/>
            <w:bottom w:val="none" w:sz="0" w:space="0" w:color="auto"/>
            <w:right w:val="none" w:sz="0" w:space="0" w:color="auto"/>
          </w:divBdr>
        </w:div>
        <w:div w:id="1889681482">
          <w:marLeft w:val="0"/>
          <w:marRight w:val="0"/>
          <w:marTop w:val="0"/>
          <w:marBottom w:val="0"/>
          <w:divBdr>
            <w:top w:val="none" w:sz="0" w:space="0" w:color="auto"/>
            <w:left w:val="none" w:sz="0" w:space="0" w:color="auto"/>
            <w:bottom w:val="none" w:sz="0" w:space="0" w:color="auto"/>
            <w:right w:val="none" w:sz="0" w:space="0" w:color="auto"/>
          </w:divBdr>
        </w:div>
      </w:divsChild>
    </w:div>
    <w:div w:id="197939609">
      <w:bodyDiv w:val="1"/>
      <w:marLeft w:val="0"/>
      <w:marRight w:val="0"/>
      <w:marTop w:val="0"/>
      <w:marBottom w:val="0"/>
      <w:divBdr>
        <w:top w:val="none" w:sz="0" w:space="0" w:color="auto"/>
        <w:left w:val="none" w:sz="0" w:space="0" w:color="auto"/>
        <w:bottom w:val="none" w:sz="0" w:space="0" w:color="auto"/>
        <w:right w:val="none" w:sz="0" w:space="0" w:color="auto"/>
      </w:divBdr>
    </w:div>
    <w:div w:id="201747753">
      <w:bodyDiv w:val="1"/>
      <w:marLeft w:val="0"/>
      <w:marRight w:val="0"/>
      <w:marTop w:val="0"/>
      <w:marBottom w:val="0"/>
      <w:divBdr>
        <w:top w:val="none" w:sz="0" w:space="0" w:color="auto"/>
        <w:left w:val="none" w:sz="0" w:space="0" w:color="auto"/>
        <w:bottom w:val="none" w:sz="0" w:space="0" w:color="auto"/>
        <w:right w:val="none" w:sz="0" w:space="0" w:color="auto"/>
      </w:divBdr>
    </w:div>
    <w:div w:id="272444176">
      <w:bodyDiv w:val="1"/>
      <w:marLeft w:val="0"/>
      <w:marRight w:val="0"/>
      <w:marTop w:val="0"/>
      <w:marBottom w:val="0"/>
      <w:divBdr>
        <w:top w:val="none" w:sz="0" w:space="0" w:color="auto"/>
        <w:left w:val="none" w:sz="0" w:space="0" w:color="auto"/>
        <w:bottom w:val="none" w:sz="0" w:space="0" w:color="auto"/>
        <w:right w:val="none" w:sz="0" w:space="0" w:color="auto"/>
      </w:divBdr>
      <w:divsChild>
        <w:div w:id="210307442">
          <w:marLeft w:val="0"/>
          <w:marRight w:val="0"/>
          <w:marTop w:val="0"/>
          <w:marBottom w:val="0"/>
          <w:divBdr>
            <w:top w:val="none" w:sz="0" w:space="0" w:color="auto"/>
            <w:left w:val="none" w:sz="0" w:space="0" w:color="auto"/>
            <w:bottom w:val="none" w:sz="0" w:space="0" w:color="auto"/>
            <w:right w:val="none" w:sz="0" w:space="0" w:color="auto"/>
          </w:divBdr>
        </w:div>
        <w:div w:id="288829780">
          <w:marLeft w:val="0"/>
          <w:marRight w:val="0"/>
          <w:marTop w:val="0"/>
          <w:marBottom w:val="0"/>
          <w:divBdr>
            <w:top w:val="none" w:sz="0" w:space="0" w:color="auto"/>
            <w:left w:val="none" w:sz="0" w:space="0" w:color="auto"/>
            <w:bottom w:val="none" w:sz="0" w:space="0" w:color="auto"/>
            <w:right w:val="none" w:sz="0" w:space="0" w:color="auto"/>
          </w:divBdr>
        </w:div>
        <w:div w:id="622809386">
          <w:marLeft w:val="0"/>
          <w:marRight w:val="0"/>
          <w:marTop w:val="0"/>
          <w:marBottom w:val="0"/>
          <w:divBdr>
            <w:top w:val="none" w:sz="0" w:space="0" w:color="auto"/>
            <w:left w:val="none" w:sz="0" w:space="0" w:color="auto"/>
            <w:bottom w:val="none" w:sz="0" w:space="0" w:color="auto"/>
            <w:right w:val="none" w:sz="0" w:space="0" w:color="auto"/>
          </w:divBdr>
          <w:divsChild>
            <w:div w:id="1304896228">
              <w:marLeft w:val="0"/>
              <w:marRight w:val="0"/>
              <w:marTop w:val="0"/>
              <w:marBottom w:val="0"/>
              <w:divBdr>
                <w:top w:val="none" w:sz="0" w:space="0" w:color="auto"/>
                <w:left w:val="none" w:sz="0" w:space="0" w:color="auto"/>
                <w:bottom w:val="none" w:sz="0" w:space="0" w:color="auto"/>
                <w:right w:val="none" w:sz="0" w:space="0" w:color="auto"/>
              </w:divBdr>
            </w:div>
            <w:div w:id="1328094953">
              <w:marLeft w:val="0"/>
              <w:marRight w:val="0"/>
              <w:marTop w:val="0"/>
              <w:marBottom w:val="0"/>
              <w:divBdr>
                <w:top w:val="none" w:sz="0" w:space="0" w:color="auto"/>
                <w:left w:val="none" w:sz="0" w:space="0" w:color="auto"/>
                <w:bottom w:val="none" w:sz="0" w:space="0" w:color="auto"/>
                <w:right w:val="none" w:sz="0" w:space="0" w:color="auto"/>
              </w:divBdr>
            </w:div>
            <w:div w:id="1621956444">
              <w:marLeft w:val="0"/>
              <w:marRight w:val="0"/>
              <w:marTop w:val="0"/>
              <w:marBottom w:val="0"/>
              <w:divBdr>
                <w:top w:val="none" w:sz="0" w:space="0" w:color="auto"/>
                <w:left w:val="none" w:sz="0" w:space="0" w:color="auto"/>
                <w:bottom w:val="none" w:sz="0" w:space="0" w:color="auto"/>
                <w:right w:val="none" w:sz="0" w:space="0" w:color="auto"/>
              </w:divBdr>
            </w:div>
            <w:div w:id="2139833075">
              <w:marLeft w:val="0"/>
              <w:marRight w:val="0"/>
              <w:marTop w:val="0"/>
              <w:marBottom w:val="0"/>
              <w:divBdr>
                <w:top w:val="none" w:sz="0" w:space="0" w:color="auto"/>
                <w:left w:val="none" w:sz="0" w:space="0" w:color="auto"/>
                <w:bottom w:val="none" w:sz="0" w:space="0" w:color="auto"/>
                <w:right w:val="none" w:sz="0" w:space="0" w:color="auto"/>
              </w:divBdr>
            </w:div>
          </w:divsChild>
        </w:div>
        <w:div w:id="1332415098">
          <w:marLeft w:val="0"/>
          <w:marRight w:val="0"/>
          <w:marTop w:val="0"/>
          <w:marBottom w:val="0"/>
          <w:divBdr>
            <w:top w:val="none" w:sz="0" w:space="0" w:color="auto"/>
            <w:left w:val="none" w:sz="0" w:space="0" w:color="auto"/>
            <w:bottom w:val="none" w:sz="0" w:space="0" w:color="auto"/>
            <w:right w:val="none" w:sz="0" w:space="0" w:color="auto"/>
          </w:divBdr>
        </w:div>
        <w:div w:id="1433668642">
          <w:marLeft w:val="0"/>
          <w:marRight w:val="0"/>
          <w:marTop w:val="0"/>
          <w:marBottom w:val="0"/>
          <w:divBdr>
            <w:top w:val="none" w:sz="0" w:space="0" w:color="auto"/>
            <w:left w:val="none" w:sz="0" w:space="0" w:color="auto"/>
            <w:bottom w:val="none" w:sz="0" w:space="0" w:color="auto"/>
            <w:right w:val="none" w:sz="0" w:space="0" w:color="auto"/>
          </w:divBdr>
          <w:divsChild>
            <w:div w:id="165874571">
              <w:marLeft w:val="0"/>
              <w:marRight w:val="0"/>
              <w:marTop w:val="0"/>
              <w:marBottom w:val="0"/>
              <w:divBdr>
                <w:top w:val="none" w:sz="0" w:space="0" w:color="auto"/>
                <w:left w:val="none" w:sz="0" w:space="0" w:color="auto"/>
                <w:bottom w:val="none" w:sz="0" w:space="0" w:color="auto"/>
                <w:right w:val="none" w:sz="0" w:space="0" w:color="auto"/>
              </w:divBdr>
            </w:div>
            <w:div w:id="475993289">
              <w:marLeft w:val="0"/>
              <w:marRight w:val="0"/>
              <w:marTop w:val="0"/>
              <w:marBottom w:val="0"/>
              <w:divBdr>
                <w:top w:val="none" w:sz="0" w:space="0" w:color="auto"/>
                <w:left w:val="none" w:sz="0" w:space="0" w:color="auto"/>
                <w:bottom w:val="none" w:sz="0" w:space="0" w:color="auto"/>
                <w:right w:val="none" w:sz="0" w:space="0" w:color="auto"/>
              </w:divBdr>
            </w:div>
            <w:div w:id="1165821616">
              <w:marLeft w:val="0"/>
              <w:marRight w:val="0"/>
              <w:marTop w:val="0"/>
              <w:marBottom w:val="0"/>
              <w:divBdr>
                <w:top w:val="none" w:sz="0" w:space="0" w:color="auto"/>
                <w:left w:val="none" w:sz="0" w:space="0" w:color="auto"/>
                <w:bottom w:val="none" w:sz="0" w:space="0" w:color="auto"/>
                <w:right w:val="none" w:sz="0" w:space="0" w:color="auto"/>
              </w:divBdr>
            </w:div>
            <w:div w:id="1773280939">
              <w:marLeft w:val="0"/>
              <w:marRight w:val="0"/>
              <w:marTop w:val="0"/>
              <w:marBottom w:val="0"/>
              <w:divBdr>
                <w:top w:val="none" w:sz="0" w:space="0" w:color="auto"/>
                <w:left w:val="none" w:sz="0" w:space="0" w:color="auto"/>
                <w:bottom w:val="none" w:sz="0" w:space="0" w:color="auto"/>
                <w:right w:val="none" w:sz="0" w:space="0" w:color="auto"/>
              </w:divBdr>
            </w:div>
            <w:div w:id="1988169159">
              <w:marLeft w:val="0"/>
              <w:marRight w:val="0"/>
              <w:marTop w:val="0"/>
              <w:marBottom w:val="0"/>
              <w:divBdr>
                <w:top w:val="none" w:sz="0" w:space="0" w:color="auto"/>
                <w:left w:val="none" w:sz="0" w:space="0" w:color="auto"/>
                <w:bottom w:val="none" w:sz="0" w:space="0" w:color="auto"/>
                <w:right w:val="none" w:sz="0" w:space="0" w:color="auto"/>
              </w:divBdr>
            </w:div>
          </w:divsChild>
        </w:div>
        <w:div w:id="1444425425">
          <w:marLeft w:val="0"/>
          <w:marRight w:val="0"/>
          <w:marTop w:val="0"/>
          <w:marBottom w:val="0"/>
          <w:divBdr>
            <w:top w:val="none" w:sz="0" w:space="0" w:color="auto"/>
            <w:left w:val="none" w:sz="0" w:space="0" w:color="auto"/>
            <w:bottom w:val="none" w:sz="0" w:space="0" w:color="auto"/>
            <w:right w:val="none" w:sz="0" w:space="0" w:color="auto"/>
          </w:divBdr>
        </w:div>
        <w:div w:id="1446536002">
          <w:marLeft w:val="0"/>
          <w:marRight w:val="0"/>
          <w:marTop w:val="0"/>
          <w:marBottom w:val="0"/>
          <w:divBdr>
            <w:top w:val="none" w:sz="0" w:space="0" w:color="auto"/>
            <w:left w:val="none" w:sz="0" w:space="0" w:color="auto"/>
            <w:bottom w:val="none" w:sz="0" w:space="0" w:color="auto"/>
            <w:right w:val="none" w:sz="0" w:space="0" w:color="auto"/>
          </w:divBdr>
          <w:divsChild>
            <w:div w:id="160826178">
              <w:marLeft w:val="0"/>
              <w:marRight w:val="0"/>
              <w:marTop w:val="0"/>
              <w:marBottom w:val="0"/>
              <w:divBdr>
                <w:top w:val="none" w:sz="0" w:space="0" w:color="auto"/>
                <w:left w:val="none" w:sz="0" w:space="0" w:color="auto"/>
                <w:bottom w:val="none" w:sz="0" w:space="0" w:color="auto"/>
                <w:right w:val="none" w:sz="0" w:space="0" w:color="auto"/>
              </w:divBdr>
            </w:div>
            <w:div w:id="699354873">
              <w:marLeft w:val="0"/>
              <w:marRight w:val="0"/>
              <w:marTop w:val="0"/>
              <w:marBottom w:val="0"/>
              <w:divBdr>
                <w:top w:val="none" w:sz="0" w:space="0" w:color="auto"/>
                <w:left w:val="none" w:sz="0" w:space="0" w:color="auto"/>
                <w:bottom w:val="none" w:sz="0" w:space="0" w:color="auto"/>
                <w:right w:val="none" w:sz="0" w:space="0" w:color="auto"/>
              </w:divBdr>
            </w:div>
            <w:div w:id="1022317251">
              <w:marLeft w:val="0"/>
              <w:marRight w:val="0"/>
              <w:marTop w:val="0"/>
              <w:marBottom w:val="0"/>
              <w:divBdr>
                <w:top w:val="none" w:sz="0" w:space="0" w:color="auto"/>
                <w:left w:val="none" w:sz="0" w:space="0" w:color="auto"/>
                <w:bottom w:val="none" w:sz="0" w:space="0" w:color="auto"/>
                <w:right w:val="none" w:sz="0" w:space="0" w:color="auto"/>
              </w:divBdr>
            </w:div>
            <w:div w:id="1385331085">
              <w:marLeft w:val="0"/>
              <w:marRight w:val="0"/>
              <w:marTop w:val="0"/>
              <w:marBottom w:val="0"/>
              <w:divBdr>
                <w:top w:val="none" w:sz="0" w:space="0" w:color="auto"/>
                <w:left w:val="none" w:sz="0" w:space="0" w:color="auto"/>
                <w:bottom w:val="none" w:sz="0" w:space="0" w:color="auto"/>
                <w:right w:val="none" w:sz="0" w:space="0" w:color="auto"/>
              </w:divBdr>
            </w:div>
            <w:div w:id="1767574814">
              <w:marLeft w:val="0"/>
              <w:marRight w:val="0"/>
              <w:marTop w:val="0"/>
              <w:marBottom w:val="0"/>
              <w:divBdr>
                <w:top w:val="none" w:sz="0" w:space="0" w:color="auto"/>
                <w:left w:val="none" w:sz="0" w:space="0" w:color="auto"/>
                <w:bottom w:val="none" w:sz="0" w:space="0" w:color="auto"/>
                <w:right w:val="none" w:sz="0" w:space="0" w:color="auto"/>
              </w:divBdr>
            </w:div>
          </w:divsChild>
        </w:div>
        <w:div w:id="1564943962">
          <w:marLeft w:val="0"/>
          <w:marRight w:val="0"/>
          <w:marTop w:val="0"/>
          <w:marBottom w:val="0"/>
          <w:divBdr>
            <w:top w:val="none" w:sz="0" w:space="0" w:color="auto"/>
            <w:left w:val="none" w:sz="0" w:space="0" w:color="auto"/>
            <w:bottom w:val="none" w:sz="0" w:space="0" w:color="auto"/>
            <w:right w:val="none" w:sz="0" w:space="0" w:color="auto"/>
          </w:divBdr>
          <w:divsChild>
            <w:div w:id="1312521908">
              <w:marLeft w:val="0"/>
              <w:marRight w:val="0"/>
              <w:marTop w:val="0"/>
              <w:marBottom w:val="0"/>
              <w:divBdr>
                <w:top w:val="none" w:sz="0" w:space="0" w:color="auto"/>
                <w:left w:val="none" w:sz="0" w:space="0" w:color="auto"/>
                <w:bottom w:val="none" w:sz="0" w:space="0" w:color="auto"/>
                <w:right w:val="none" w:sz="0" w:space="0" w:color="auto"/>
              </w:divBdr>
            </w:div>
          </w:divsChild>
        </w:div>
        <w:div w:id="1888490404">
          <w:marLeft w:val="0"/>
          <w:marRight w:val="0"/>
          <w:marTop w:val="0"/>
          <w:marBottom w:val="0"/>
          <w:divBdr>
            <w:top w:val="none" w:sz="0" w:space="0" w:color="auto"/>
            <w:left w:val="none" w:sz="0" w:space="0" w:color="auto"/>
            <w:bottom w:val="none" w:sz="0" w:space="0" w:color="auto"/>
            <w:right w:val="none" w:sz="0" w:space="0" w:color="auto"/>
          </w:divBdr>
        </w:div>
        <w:div w:id="1971934418">
          <w:marLeft w:val="0"/>
          <w:marRight w:val="0"/>
          <w:marTop w:val="0"/>
          <w:marBottom w:val="0"/>
          <w:divBdr>
            <w:top w:val="none" w:sz="0" w:space="0" w:color="auto"/>
            <w:left w:val="none" w:sz="0" w:space="0" w:color="auto"/>
            <w:bottom w:val="none" w:sz="0" w:space="0" w:color="auto"/>
            <w:right w:val="none" w:sz="0" w:space="0" w:color="auto"/>
          </w:divBdr>
        </w:div>
        <w:div w:id="2015259098">
          <w:marLeft w:val="0"/>
          <w:marRight w:val="0"/>
          <w:marTop w:val="0"/>
          <w:marBottom w:val="0"/>
          <w:divBdr>
            <w:top w:val="none" w:sz="0" w:space="0" w:color="auto"/>
            <w:left w:val="none" w:sz="0" w:space="0" w:color="auto"/>
            <w:bottom w:val="none" w:sz="0" w:space="0" w:color="auto"/>
            <w:right w:val="none" w:sz="0" w:space="0" w:color="auto"/>
          </w:divBdr>
          <w:divsChild>
            <w:div w:id="113212975">
              <w:marLeft w:val="0"/>
              <w:marRight w:val="0"/>
              <w:marTop w:val="0"/>
              <w:marBottom w:val="0"/>
              <w:divBdr>
                <w:top w:val="none" w:sz="0" w:space="0" w:color="auto"/>
                <w:left w:val="none" w:sz="0" w:space="0" w:color="auto"/>
                <w:bottom w:val="none" w:sz="0" w:space="0" w:color="auto"/>
                <w:right w:val="none" w:sz="0" w:space="0" w:color="auto"/>
              </w:divBdr>
            </w:div>
            <w:div w:id="396364492">
              <w:marLeft w:val="0"/>
              <w:marRight w:val="0"/>
              <w:marTop w:val="0"/>
              <w:marBottom w:val="0"/>
              <w:divBdr>
                <w:top w:val="none" w:sz="0" w:space="0" w:color="auto"/>
                <w:left w:val="none" w:sz="0" w:space="0" w:color="auto"/>
                <w:bottom w:val="none" w:sz="0" w:space="0" w:color="auto"/>
                <w:right w:val="none" w:sz="0" w:space="0" w:color="auto"/>
              </w:divBdr>
            </w:div>
            <w:div w:id="760492042">
              <w:marLeft w:val="0"/>
              <w:marRight w:val="0"/>
              <w:marTop w:val="0"/>
              <w:marBottom w:val="0"/>
              <w:divBdr>
                <w:top w:val="none" w:sz="0" w:space="0" w:color="auto"/>
                <w:left w:val="none" w:sz="0" w:space="0" w:color="auto"/>
                <w:bottom w:val="none" w:sz="0" w:space="0" w:color="auto"/>
                <w:right w:val="none" w:sz="0" w:space="0" w:color="auto"/>
              </w:divBdr>
            </w:div>
          </w:divsChild>
        </w:div>
        <w:div w:id="2141803488">
          <w:marLeft w:val="0"/>
          <w:marRight w:val="0"/>
          <w:marTop w:val="0"/>
          <w:marBottom w:val="0"/>
          <w:divBdr>
            <w:top w:val="none" w:sz="0" w:space="0" w:color="auto"/>
            <w:left w:val="none" w:sz="0" w:space="0" w:color="auto"/>
            <w:bottom w:val="none" w:sz="0" w:space="0" w:color="auto"/>
            <w:right w:val="none" w:sz="0" w:space="0" w:color="auto"/>
          </w:divBdr>
        </w:div>
      </w:divsChild>
    </w:div>
    <w:div w:id="305404606">
      <w:bodyDiv w:val="1"/>
      <w:marLeft w:val="0"/>
      <w:marRight w:val="0"/>
      <w:marTop w:val="0"/>
      <w:marBottom w:val="0"/>
      <w:divBdr>
        <w:top w:val="none" w:sz="0" w:space="0" w:color="auto"/>
        <w:left w:val="none" w:sz="0" w:space="0" w:color="auto"/>
        <w:bottom w:val="none" w:sz="0" w:space="0" w:color="auto"/>
        <w:right w:val="none" w:sz="0" w:space="0" w:color="auto"/>
      </w:divBdr>
    </w:div>
    <w:div w:id="403797607">
      <w:bodyDiv w:val="1"/>
      <w:marLeft w:val="0"/>
      <w:marRight w:val="0"/>
      <w:marTop w:val="0"/>
      <w:marBottom w:val="0"/>
      <w:divBdr>
        <w:top w:val="none" w:sz="0" w:space="0" w:color="auto"/>
        <w:left w:val="none" w:sz="0" w:space="0" w:color="auto"/>
        <w:bottom w:val="none" w:sz="0" w:space="0" w:color="auto"/>
        <w:right w:val="none" w:sz="0" w:space="0" w:color="auto"/>
      </w:divBdr>
      <w:divsChild>
        <w:div w:id="17320532">
          <w:marLeft w:val="0"/>
          <w:marRight w:val="0"/>
          <w:marTop w:val="0"/>
          <w:marBottom w:val="0"/>
          <w:divBdr>
            <w:top w:val="none" w:sz="0" w:space="0" w:color="auto"/>
            <w:left w:val="none" w:sz="0" w:space="0" w:color="auto"/>
            <w:bottom w:val="none" w:sz="0" w:space="0" w:color="auto"/>
            <w:right w:val="none" w:sz="0" w:space="0" w:color="auto"/>
          </w:divBdr>
        </w:div>
        <w:div w:id="51588634">
          <w:marLeft w:val="0"/>
          <w:marRight w:val="0"/>
          <w:marTop w:val="0"/>
          <w:marBottom w:val="0"/>
          <w:divBdr>
            <w:top w:val="none" w:sz="0" w:space="0" w:color="auto"/>
            <w:left w:val="none" w:sz="0" w:space="0" w:color="auto"/>
            <w:bottom w:val="none" w:sz="0" w:space="0" w:color="auto"/>
            <w:right w:val="none" w:sz="0" w:space="0" w:color="auto"/>
          </w:divBdr>
        </w:div>
        <w:div w:id="57872875">
          <w:marLeft w:val="0"/>
          <w:marRight w:val="0"/>
          <w:marTop w:val="0"/>
          <w:marBottom w:val="0"/>
          <w:divBdr>
            <w:top w:val="none" w:sz="0" w:space="0" w:color="auto"/>
            <w:left w:val="none" w:sz="0" w:space="0" w:color="auto"/>
            <w:bottom w:val="none" w:sz="0" w:space="0" w:color="auto"/>
            <w:right w:val="none" w:sz="0" w:space="0" w:color="auto"/>
          </w:divBdr>
        </w:div>
        <w:div w:id="70081877">
          <w:marLeft w:val="0"/>
          <w:marRight w:val="0"/>
          <w:marTop w:val="0"/>
          <w:marBottom w:val="0"/>
          <w:divBdr>
            <w:top w:val="none" w:sz="0" w:space="0" w:color="auto"/>
            <w:left w:val="none" w:sz="0" w:space="0" w:color="auto"/>
            <w:bottom w:val="none" w:sz="0" w:space="0" w:color="auto"/>
            <w:right w:val="none" w:sz="0" w:space="0" w:color="auto"/>
          </w:divBdr>
        </w:div>
        <w:div w:id="178979262">
          <w:marLeft w:val="0"/>
          <w:marRight w:val="0"/>
          <w:marTop w:val="0"/>
          <w:marBottom w:val="0"/>
          <w:divBdr>
            <w:top w:val="none" w:sz="0" w:space="0" w:color="auto"/>
            <w:left w:val="none" w:sz="0" w:space="0" w:color="auto"/>
            <w:bottom w:val="none" w:sz="0" w:space="0" w:color="auto"/>
            <w:right w:val="none" w:sz="0" w:space="0" w:color="auto"/>
          </w:divBdr>
        </w:div>
        <w:div w:id="222764931">
          <w:marLeft w:val="0"/>
          <w:marRight w:val="0"/>
          <w:marTop w:val="0"/>
          <w:marBottom w:val="0"/>
          <w:divBdr>
            <w:top w:val="none" w:sz="0" w:space="0" w:color="auto"/>
            <w:left w:val="none" w:sz="0" w:space="0" w:color="auto"/>
            <w:bottom w:val="none" w:sz="0" w:space="0" w:color="auto"/>
            <w:right w:val="none" w:sz="0" w:space="0" w:color="auto"/>
          </w:divBdr>
        </w:div>
        <w:div w:id="231356933">
          <w:marLeft w:val="0"/>
          <w:marRight w:val="0"/>
          <w:marTop w:val="0"/>
          <w:marBottom w:val="0"/>
          <w:divBdr>
            <w:top w:val="none" w:sz="0" w:space="0" w:color="auto"/>
            <w:left w:val="none" w:sz="0" w:space="0" w:color="auto"/>
            <w:bottom w:val="none" w:sz="0" w:space="0" w:color="auto"/>
            <w:right w:val="none" w:sz="0" w:space="0" w:color="auto"/>
          </w:divBdr>
        </w:div>
        <w:div w:id="249851919">
          <w:marLeft w:val="0"/>
          <w:marRight w:val="0"/>
          <w:marTop w:val="0"/>
          <w:marBottom w:val="0"/>
          <w:divBdr>
            <w:top w:val="none" w:sz="0" w:space="0" w:color="auto"/>
            <w:left w:val="none" w:sz="0" w:space="0" w:color="auto"/>
            <w:bottom w:val="none" w:sz="0" w:space="0" w:color="auto"/>
            <w:right w:val="none" w:sz="0" w:space="0" w:color="auto"/>
          </w:divBdr>
        </w:div>
        <w:div w:id="269288842">
          <w:marLeft w:val="0"/>
          <w:marRight w:val="0"/>
          <w:marTop w:val="0"/>
          <w:marBottom w:val="0"/>
          <w:divBdr>
            <w:top w:val="none" w:sz="0" w:space="0" w:color="auto"/>
            <w:left w:val="none" w:sz="0" w:space="0" w:color="auto"/>
            <w:bottom w:val="none" w:sz="0" w:space="0" w:color="auto"/>
            <w:right w:val="none" w:sz="0" w:space="0" w:color="auto"/>
          </w:divBdr>
        </w:div>
        <w:div w:id="280261859">
          <w:marLeft w:val="0"/>
          <w:marRight w:val="0"/>
          <w:marTop w:val="0"/>
          <w:marBottom w:val="0"/>
          <w:divBdr>
            <w:top w:val="none" w:sz="0" w:space="0" w:color="auto"/>
            <w:left w:val="none" w:sz="0" w:space="0" w:color="auto"/>
            <w:bottom w:val="none" w:sz="0" w:space="0" w:color="auto"/>
            <w:right w:val="none" w:sz="0" w:space="0" w:color="auto"/>
          </w:divBdr>
        </w:div>
        <w:div w:id="328682063">
          <w:marLeft w:val="0"/>
          <w:marRight w:val="0"/>
          <w:marTop w:val="0"/>
          <w:marBottom w:val="0"/>
          <w:divBdr>
            <w:top w:val="none" w:sz="0" w:space="0" w:color="auto"/>
            <w:left w:val="none" w:sz="0" w:space="0" w:color="auto"/>
            <w:bottom w:val="none" w:sz="0" w:space="0" w:color="auto"/>
            <w:right w:val="none" w:sz="0" w:space="0" w:color="auto"/>
          </w:divBdr>
        </w:div>
        <w:div w:id="334648861">
          <w:marLeft w:val="0"/>
          <w:marRight w:val="0"/>
          <w:marTop w:val="0"/>
          <w:marBottom w:val="0"/>
          <w:divBdr>
            <w:top w:val="none" w:sz="0" w:space="0" w:color="auto"/>
            <w:left w:val="none" w:sz="0" w:space="0" w:color="auto"/>
            <w:bottom w:val="none" w:sz="0" w:space="0" w:color="auto"/>
            <w:right w:val="none" w:sz="0" w:space="0" w:color="auto"/>
          </w:divBdr>
        </w:div>
        <w:div w:id="354888622">
          <w:marLeft w:val="0"/>
          <w:marRight w:val="0"/>
          <w:marTop w:val="0"/>
          <w:marBottom w:val="0"/>
          <w:divBdr>
            <w:top w:val="none" w:sz="0" w:space="0" w:color="auto"/>
            <w:left w:val="none" w:sz="0" w:space="0" w:color="auto"/>
            <w:bottom w:val="none" w:sz="0" w:space="0" w:color="auto"/>
            <w:right w:val="none" w:sz="0" w:space="0" w:color="auto"/>
          </w:divBdr>
        </w:div>
        <w:div w:id="399328685">
          <w:marLeft w:val="0"/>
          <w:marRight w:val="0"/>
          <w:marTop w:val="0"/>
          <w:marBottom w:val="0"/>
          <w:divBdr>
            <w:top w:val="none" w:sz="0" w:space="0" w:color="auto"/>
            <w:left w:val="none" w:sz="0" w:space="0" w:color="auto"/>
            <w:bottom w:val="none" w:sz="0" w:space="0" w:color="auto"/>
            <w:right w:val="none" w:sz="0" w:space="0" w:color="auto"/>
          </w:divBdr>
        </w:div>
        <w:div w:id="406878960">
          <w:marLeft w:val="0"/>
          <w:marRight w:val="0"/>
          <w:marTop w:val="0"/>
          <w:marBottom w:val="0"/>
          <w:divBdr>
            <w:top w:val="none" w:sz="0" w:space="0" w:color="auto"/>
            <w:left w:val="none" w:sz="0" w:space="0" w:color="auto"/>
            <w:bottom w:val="none" w:sz="0" w:space="0" w:color="auto"/>
            <w:right w:val="none" w:sz="0" w:space="0" w:color="auto"/>
          </w:divBdr>
        </w:div>
        <w:div w:id="470438311">
          <w:marLeft w:val="0"/>
          <w:marRight w:val="0"/>
          <w:marTop w:val="0"/>
          <w:marBottom w:val="0"/>
          <w:divBdr>
            <w:top w:val="none" w:sz="0" w:space="0" w:color="auto"/>
            <w:left w:val="none" w:sz="0" w:space="0" w:color="auto"/>
            <w:bottom w:val="none" w:sz="0" w:space="0" w:color="auto"/>
            <w:right w:val="none" w:sz="0" w:space="0" w:color="auto"/>
          </w:divBdr>
        </w:div>
        <w:div w:id="514421863">
          <w:marLeft w:val="0"/>
          <w:marRight w:val="0"/>
          <w:marTop w:val="0"/>
          <w:marBottom w:val="0"/>
          <w:divBdr>
            <w:top w:val="none" w:sz="0" w:space="0" w:color="auto"/>
            <w:left w:val="none" w:sz="0" w:space="0" w:color="auto"/>
            <w:bottom w:val="none" w:sz="0" w:space="0" w:color="auto"/>
            <w:right w:val="none" w:sz="0" w:space="0" w:color="auto"/>
          </w:divBdr>
        </w:div>
        <w:div w:id="623847805">
          <w:marLeft w:val="0"/>
          <w:marRight w:val="0"/>
          <w:marTop w:val="0"/>
          <w:marBottom w:val="0"/>
          <w:divBdr>
            <w:top w:val="none" w:sz="0" w:space="0" w:color="auto"/>
            <w:left w:val="none" w:sz="0" w:space="0" w:color="auto"/>
            <w:bottom w:val="none" w:sz="0" w:space="0" w:color="auto"/>
            <w:right w:val="none" w:sz="0" w:space="0" w:color="auto"/>
          </w:divBdr>
        </w:div>
        <w:div w:id="646862112">
          <w:marLeft w:val="0"/>
          <w:marRight w:val="0"/>
          <w:marTop w:val="0"/>
          <w:marBottom w:val="0"/>
          <w:divBdr>
            <w:top w:val="none" w:sz="0" w:space="0" w:color="auto"/>
            <w:left w:val="none" w:sz="0" w:space="0" w:color="auto"/>
            <w:bottom w:val="none" w:sz="0" w:space="0" w:color="auto"/>
            <w:right w:val="none" w:sz="0" w:space="0" w:color="auto"/>
          </w:divBdr>
        </w:div>
        <w:div w:id="654844837">
          <w:marLeft w:val="0"/>
          <w:marRight w:val="0"/>
          <w:marTop w:val="0"/>
          <w:marBottom w:val="0"/>
          <w:divBdr>
            <w:top w:val="none" w:sz="0" w:space="0" w:color="auto"/>
            <w:left w:val="none" w:sz="0" w:space="0" w:color="auto"/>
            <w:bottom w:val="none" w:sz="0" w:space="0" w:color="auto"/>
            <w:right w:val="none" w:sz="0" w:space="0" w:color="auto"/>
          </w:divBdr>
          <w:divsChild>
            <w:div w:id="1854302703">
              <w:marLeft w:val="0"/>
              <w:marRight w:val="0"/>
              <w:marTop w:val="0"/>
              <w:marBottom w:val="0"/>
              <w:divBdr>
                <w:top w:val="none" w:sz="0" w:space="0" w:color="auto"/>
                <w:left w:val="none" w:sz="0" w:space="0" w:color="auto"/>
                <w:bottom w:val="none" w:sz="0" w:space="0" w:color="auto"/>
                <w:right w:val="none" w:sz="0" w:space="0" w:color="auto"/>
              </w:divBdr>
            </w:div>
          </w:divsChild>
        </w:div>
        <w:div w:id="707461326">
          <w:marLeft w:val="0"/>
          <w:marRight w:val="0"/>
          <w:marTop w:val="0"/>
          <w:marBottom w:val="0"/>
          <w:divBdr>
            <w:top w:val="none" w:sz="0" w:space="0" w:color="auto"/>
            <w:left w:val="none" w:sz="0" w:space="0" w:color="auto"/>
            <w:bottom w:val="none" w:sz="0" w:space="0" w:color="auto"/>
            <w:right w:val="none" w:sz="0" w:space="0" w:color="auto"/>
          </w:divBdr>
        </w:div>
        <w:div w:id="817310224">
          <w:marLeft w:val="0"/>
          <w:marRight w:val="0"/>
          <w:marTop w:val="0"/>
          <w:marBottom w:val="0"/>
          <w:divBdr>
            <w:top w:val="none" w:sz="0" w:space="0" w:color="auto"/>
            <w:left w:val="none" w:sz="0" w:space="0" w:color="auto"/>
            <w:bottom w:val="none" w:sz="0" w:space="0" w:color="auto"/>
            <w:right w:val="none" w:sz="0" w:space="0" w:color="auto"/>
          </w:divBdr>
        </w:div>
        <w:div w:id="858198891">
          <w:marLeft w:val="0"/>
          <w:marRight w:val="0"/>
          <w:marTop w:val="0"/>
          <w:marBottom w:val="0"/>
          <w:divBdr>
            <w:top w:val="none" w:sz="0" w:space="0" w:color="auto"/>
            <w:left w:val="none" w:sz="0" w:space="0" w:color="auto"/>
            <w:bottom w:val="none" w:sz="0" w:space="0" w:color="auto"/>
            <w:right w:val="none" w:sz="0" w:space="0" w:color="auto"/>
          </w:divBdr>
        </w:div>
        <w:div w:id="906693126">
          <w:marLeft w:val="0"/>
          <w:marRight w:val="0"/>
          <w:marTop w:val="0"/>
          <w:marBottom w:val="0"/>
          <w:divBdr>
            <w:top w:val="none" w:sz="0" w:space="0" w:color="auto"/>
            <w:left w:val="none" w:sz="0" w:space="0" w:color="auto"/>
            <w:bottom w:val="none" w:sz="0" w:space="0" w:color="auto"/>
            <w:right w:val="none" w:sz="0" w:space="0" w:color="auto"/>
          </w:divBdr>
          <w:divsChild>
            <w:div w:id="213322224">
              <w:marLeft w:val="0"/>
              <w:marRight w:val="0"/>
              <w:marTop w:val="0"/>
              <w:marBottom w:val="0"/>
              <w:divBdr>
                <w:top w:val="none" w:sz="0" w:space="0" w:color="auto"/>
                <w:left w:val="none" w:sz="0" w:space="0" w:color="auto"/>
                <w:bottom w:val="none" w:sz="0" w:space="0" w:color="auto"/>
                <w:right w:val="none" w:sz="0" w:space="0" w:color="auto"/>
              </w:divBdr>
            </w:div>
            <w:div w:id="286861488">
              <w:marLeft w:val="0"/>
              <w:marRight w:val="0"/>
              <w:marTop w:val="0"/>
              <w:marBottom w:val="0"/>
              <w:divBdr>
                <w:top w:val="none" w:sz="0" w:space="0" w:color="auto"/>
                <w:left w:val="none" w:sz="0" w:space="0" w:color="auto"/>
                <w:bottom w:val="none" w:sz="0" w:space="0" w:color="auto"/>
                <w:right w:val="none" w:sz="0" w:space="0" w:color="auto"/>
              </w:divBdr>
            </w:div>
            <w:div w:id="458690308">
              <w:marLeft w:val="0"/>
              <w:marRight w:val="0"/>
              <w:marTop w:val="0"/>
              <w:marBottom w:val="0"/>
              <w:divBdr>
                <w:top w:val="none" w:sz="0" w:space="0" w:color="auto"/>
                <w:left w:val="none" w:sz="0" w:space="0" w:color="auto"/>
                <w:bottom w:val="none" w:sz="0" w:space="0" w:color="auto"/>
                <w:right w:val="none" w:sz="0" w:space="0" w:color="auto"/>
              </w:divBdr>
            </w:div>
            <w:div w:id="1324822038">
              <w:marLeft w:val="0"/>
              <w:marRight w:val="0"/>
              <w:marTop w:val="0"/>
              <w:marBottom w:val="0"/>
              <w:divBdr>
                <w:top w:val="none" w:sz="0" w:space="0" w:color="auto"/>
                <w:left w:val="none" w:sz="0" w:space="0" w:color="auto"/>
                <w:bottom w:val="none" w:sz="0" w:space="0" w:color="auto"/>
                <w:right w:val="none" w:sz="0" w:space="0" w:color="auto"/>
              </w:divBdr>
            </w:div>
            <w:div w:id="1980264419">
              <w:marLeft w:val="0"/>
              <w:marRight w:val="0"/>
              <w:marTop w:val="0"/>
              <w:marBottom w:val="0"/>
              <w:divBdr>
                <w:top w:val="none" w:sz="0" w:space="0" w:color="auto"/>
                <w:left w:val="none" w:sz="0" w:space="0" w:color="auto"/>
                <w:bottom w:val="none" w:sz="0" w:space="0" w:color="auto"/>
                <w:right w:val="none" w:sz="0" w:space="0" w:color="auto"/>
              </w:divBdr>
            </w:div>
          </w:divsChild>
        </w:div>
        <w:div w:id="936445607">
          <w:marLeft w:val="0"/>
          <w:marRight w:val="0"/>
          <w:marTop w:val="0"/>
          <w:marBottom w:val="0"/>
          <w:divBdr>
            <w:top w:val="none" w:sz="0" w:space="0" w:color="auto"/>
            <w:left w:val="none" w:sz="0" w:space="0" w:color="auto"/>
            <w:bottom w:val="none" w:sz="0" w:space="0" w:color="auto"/>
            <w:right w:val="none" w:sz="0" w:space="0" w:color="auto"/>
          </w:divBdr>
        </w:div>
        <w:div w:id="994651772">
          <w:marLeft w:val="0"/>
          <w:marRight w:val="0"/>
          <w:marTop w:val="0"/>
          <w:marBottom w:val="0"/>
          <w:divBdr>
            <w:top w:val="none" w:sz="0" w:space="0" w:color="auto"/>
            <w:left w:val="none" w:sz="0" w:space="0" w:color="auto"/>
            <w:bottom w:val="none" w:sz="0" w:space="0" w:color="auto"/>
            <w:right w:val="none" w:sz="0" w:space="0" w:color="auto"/>
          </w:divBdr>
        </w:div>
        <w:div w:id="1055079361">
          <w:marLeft w:val="0"/>
          <w:marRight w:val="0"/>
          <w:marTop w:val="0"/>
          <w:marBottom w:val="0"/>
          <w:divBdr>
            <w:top w:val="none" w:sz="0" w:space="0" w:color="auto"/>
            <w:left w:val="none" w:sz="0" w:space="0" w:color="auto"/>
            <w:bottom w:val="none" w:sz="0" w:space="0" w:color="auto"/>
            <w:right w:val="none" w:sz="0" w:space="0" w:color="auto"/>
          </w:divBdr>
        </w:div>
        <w:div w:id="1105879944">
          <w:marLeft w:val="0"/>
          <w:marRight w:val="0"/>
          <w:marTop w:val="0"/>
          <w:marBottom w:val="0"/>
          <w:divBdr>
            <w:top w:val="none" w:sz="0" w:space="0" w:color="auto"/>
            <w:left w:val="none" w:sz="0" w:space="0" w:color="auto"/>
            <w:bottom w:val="none" w:sz="0" w:space="0" w:color="auto"/>
            <w:right w:val="none" w:sz="0" w:space="0" w:color="auto"/>
          </w:divBdr>
        </w:div>
        <w:div w:id="1121801943">
          <w:marLeft w:val="0"/>
          <w:marRight w:val="0"/>
          <w:marTop w:val="0"/>
          <w:marBottom w:val="0"/>
          <w:divBdr>
            <w:top w:val="none" w:sz="0" w:space="0" w:color="auto"/>
            <w:left w:val="none" w:sz="0" w:space="0" w:color="auto"/>
            <w:bottom w:val="none" w:sz="0" w:space="0" w:color="auto"/>
            <w:right w:val="none" w:sz="0" w:space="0" w:color="auto"/>
          </w:divBdr>
        </w:div>
        <w:div w:id="1138494705">
          <w:marLeft w:val="0"/>
          <w:marRight w:val="0"/>
          <w:marTop w:val="0"/>
          <w:marBottom w:val="0"/>
          <w:divBdr>
            <w:top w:val="none" w:sz="0" w:space="0" w:color="auto"/>
            <w:left w:val="none" w:sz="0" w:space="0" w:color="auto"/>
            <w:bottom w:val="none" w:sz="0" w:space="0" w:color="auto"/>
            <w:right w:val="none" w:sz="0" w:space="0" w:color="auto"/>
          </w:divBdr>
        </w:div>
        <w:div w:id="1178807902">
          <w:marLeft w:val="0"/>
          <w:marRight w:val="0"/>
          <w:marTop w:val="0"/>
          <w:marBottom w:val="0"/>
          <w:divBdr>
            <w:top w:val="none" w:sz="0" w:space="0" w:color="auto"/>
            <w:left w:val="none" w:sz="0" w:space="0" w:color="auto"/>
            <w:bottom w:val="none" w:sz="0" w:space="0" w:color="auto"/>
            <w:right w:val="none" w:sz="0" w:space="0" w:color="auto"/>
          </w:divBdr>
          <w:divsChild>
            <w:div w:id="825364806">
              <w:marLeft w:val="0"/>
              <w:marRight w:val="0"/>
              <w:marTop w:val="0"/>
              <w:marBottom w:val="0"/>
              <w:divBdr>
                <w:top w:val="none" w:sz="0" w:space="0" w:color="auto"/>
                <w:left w:val="none" w:sz="0" w:space="0" w:color="auto"/>
                <w:bottom w:val="none" w:sz="0" w:space="0" w:color="auto"/>
                <w:right w:val="none" w:sz="0" w:space="0" w:color="auto"/>
              </w:divBdr>
            </w:div>
            <w:div w:id="880214923">
              <w:marLeft w:val="0"/>
              <w:marRight w:val="0"/>
              <w:marTop w:val="0"/>
              <w:marBottom w:val="0"/>
              <w:divBdr>
                <w:top w:val="none" w:sz="0" w:space="0" w:color="auto"/>
                <w:left w:val="none" w:sz="0" w:space="0" w:color="auto"/>
                <w:bottom w:val="none" w:sz="0" w:space="0" w:color="auto"/>
                <w:right w:val="none" w:sz="0" w:space="0" w:color="auto"/>
              </w:divBdr>
            </w:div>
            <w:div w:id="1293487600">
              <w:marLeft w:val="0"/>
              <w:marRight w:val="0"/>
              <w:marTop w:val="0"/>
              <w:marBottom w:val="0"/>
              <w:divBdr>
                <w:top w:val="none" w:sz="0" w:space="0" w:color="auto"/>
                <w:left w:val="none" w:sz="0" w:space="0" w:color="auto"/>
                <w:bottom w:val="none" w:sz="0" w:space="0" w:color="auto"/>
                <w:right w:val="none" w:sz="0" w:space="0" w:color="auto"/>
              </w:divBdr>
            </w:div>
            <w:div w:id="1644046632">
              <w:marLeft w:val="0"/>
              <w:marRight w:val="0"/>
              <w:marTop w:val="0"/>
              <w:marBottom w:val="0"/>
              <w:divBdr>
                <w:top w:val="none" w:sz="0" w:space="0" w:color="auto"/>
                <w:left w:val="none" w:sz="0" w:space="0" w:color="auto"/>
                <w:bottom w:val="none" w:sz="0" w:space="0" w:color="auto"/>
                <w:right w:val="none" w:sz="0" w:space="0" w:color="auto"/>
              </w:divBdr>
            </w:div>
            <w:div w:id="1760175041">
              <w:marLeft w:val="0"/>
              <w:marRight w:val="0"/>
              <w:marTop w:val="0"/>
              <w:marBottom w:val="0"/>
              <w:divBdr>
                <w:top w:val="none" w:sz="0" w:space="0" w:color="auto"/>
                <w:left w:val="none" w:sz="0" w:space="0" w:color="auto"/>
                <w:bottom w:val="none" w:sz="0" w:space="0" w:color="auto"/>
                <w:right w:val="none" w:sz="0" w:space="0" w:color="auto"/>
              </w:divBdr>
            </w:div>
          </w:divsChild>
        </w:div>
        <w:div w:id="1208882843">
          <w:marLeft w:val="0"/>
          <w:marRight w:val="0"/>
          <w:marTop w:val="0"/>
          <w:marBottom w:val="0"/>
          <w:divBdr>
            <w:top w:val="none" w:sz="0" w:space="0" w:color="auto"/>
            <w:left w:val="none" w:sz="0" w:space="0" w:color="auto"/>
            <w:bottom w:val="none" w:sz="0" w:space="0" w:color="auto"/>
            <w:right w:val="none" w:sz="0" w:space="0" w:color="auto"/>
          </w:divBdr>
        </w:div>
        <w:div w:id="1229455854">
          <w:marLeft w:val="0"/>
          <w:marRight w:val="0"/>
          <w:marTop w:val="0"/>
          <w:marBottom w:val="0"/>
          <w:divBdr>
            <w:top w:val="none" w:sz="0" w:space="0" w:color="auto"/>
            <w:left w:val="none" w:sz="0" w:space="0" w:color="auto"/>
            <w:bottom w:val="none" w:sz="0" w:space="0" w:color="auto"/>
            <w:right w:val="none" w:sz="0" w:space="0" w:color="auto"/>
          </w:divBdr>
        </w:div>
        <w:div w:id="1256477112">
          <w:marLeft w:val="0"/>
          <w:marRight w:val="0"/>
          <w:marTop w:val="0"/>
          <w:marBottom w:val="0"/>
          <w:divBdr>
            <w:top w:val="none" w:sz="0" w:space="0" w:color="auto"/>
            <w:left w:val="none" w:sz="0" w:space="0" w:color="auto"/>
            <w:bottom w:val="none" w:sz="0" w:space="0" w:color="auto"/>
            <w:right w:val="none" w:sz="0" w:space="0" w:color="auto"/>
          </w:divBdr>
        </w:div>
        <w:div w:id="1261182033">
          <w:marLeft w:val="0"/>
          <w:marRight w:val="0"/>
          <w:marTop w:val="0"/>
          <w:marBottom w:val="0"/>
          <w:divBdr>
            <w:top w:val="none" w:sz="0" w:space="0" w:color="auto"/>
            <w:left w:val="none" w:sz="0" w:space="0" w:color="auto"/>
            <w:bottom w:val="none" w:sz="0" w:space="0" w:color="auto"/>
            <w:right w:val="none" w:sz="0" w:space="0" w:color="auto"/>
          </w:divBdr>
        </w:div>
        <w:div w:id="1294366246">
          <w:marLeft w:val="0"/>
          <w:marRight w:val="0"/>
          <w:marTop w:val="0"/>
          <w:marBottom w:val="0"/>
          <w:divBdr>
            <w:top w:val="none" w:sz="0" w:space="0" w:color="auto"/>
            <w:left w:val="none" w:sz="0" w:space="0" w:color="auto"/>
            <w:bottom w:val="none" w:sz="0" w:space="0" w:color="auto"/>
            <w:right w:val="none" w:sz="0" w:space="0" w:color="auto"/>
          </w:divBdr>
        </w:div>
        <w:div w:id="1395853645">
          <w:marLeft w:val="0"/>
          <w:marRight w:val="0"/>
          <w:marTop w:val="0"/>
          <w:marBottom w:val="0"/>
          <w:divBdr>
            <w:top w:val="none" w:sz="0" w:space="0" w:color="auto"/>
            <w:left w:val="none" w:sz="0" w:space="0" w:color="auto"/>
            <w:bottom w:val="none" w:sz="0" w:space="0" w:color="auto"/>
            <w:right w:val="none" w:sz="0" w:space="0" w:color="auto"/>
          </w:divBdr>
        </w:div>
        <w:div w:id="1448892488">
          <w:marLeft w:val="0"/>
          <w:marRight w:val="0"/>
          <w:marTop w:val="0"/>
          <w:marBottom w:val="0"/>
          <w:divBdr>
            <w:top w:val="none" w:sz="0" w:space="0" w:color="auto"/>
            <w:left w:val="none" w:sz="0" w:space="0" w:color="auto"/>
            <w:bottom w:val="none" w:sz="0" w:space="0" w:color="auto"/>
            <w:right w:val="none" w:sz="0" w:space="0" w:color="auto"/>
          </w:divBdr>
        </w:div>
        <w:div w:id="1450052009">
          <w:marLeft w:val="0"/>
          <w:marRight w:val="0"/>
          <w:marTop w:val="0"/>
          <w:marBottom w:val="0"/>
          <w:divBdr>
            <w:top w:val="none" w:sz="0" w:space="0" w:color="auto"/>
            <w:left w:val="none" w:sz="0" w:space="0" w:color="auto"/>
            <w:bottom w:val="none" w:sz="0" w:space="0" w:color="auto"/>
            <w:right w:val="none" w:sz="0" w:space="0" w:color="auto"/>
          </w:divBdr>
        </w:div>
        <w:div w:id="1485047613">
          <w:marLeft w:val="0"/>
          <w:marRight w:val="0"/>
          <w:marTop w:val="0"/>
          <w:marBottom w:val="0"/>
          <w:divBdr>
            <w:top w:val="none" w:sz="0" w:space="0" w:color="auto"/>
            <w:left w:val="none" w:sz="0" w:space="0" w:color="auto"/>
            <w:bottom w:val="none" w:sz="0" w:space="0" w:color="auto"/>
            <w:right w:val="none" w:sz="0" w:space="0" w:color="auto"/>
          </w:divBdr>
        </w:div>
        <w:div w:id="1498109481">
          <w:marLeft w:val="0"/>
          <w:marRight w:val="0"/>
          <w:marTop w:val="0"/>
          <w:marBottom w:val="0"/>
          <w:divBdr>
            <w:top w:val="none" w:sz="0" w:space="0" w:color="auto"/>
            <w:left w:val="none" w:sz="0" w:space="0" w:color="auto"/>
            <w:bottom w:val="none" w:sz="0" w:space="0" w:color="auto"/>
            <w:right w:val="none" w:sz="0" w:space="0" w:color="auto"/>
          </w:divBdr>
          <w:divsChild>
            <w:div w:id="112329113">
              <w:marLeft w:val="0"/>
              <w:marRight w:val="0"/>
              <w:marTop w:val="0"/>
              <w:marBottom w:val="0"/>
              <w:divBdr>
                <w:top w:val="none" w:sz="0" w:space="0" w:color="auto"/>
                <w:left w:val="none" w:sz="0" w:space="0" w:color="auto"/>
                <w:bottom w:val="none" w:sz="0" w:space="0" w:color="auto"/>
                <w:right w:val="none" w:sz="0" w:space="0" w:color="auto"/>
              </w:divBdr>
            </w:div>
            <w:div w:id="800849972">
              <w:marLeft w:val="0"/>
              <w:marRight w:val="0"/>
              <w:marTop w:val="0"/>
              <w:marBottom w:val="0"/>
              <w:divBdr>
                <w:top w:val="none" w:sz="0" w:space="0" w:color="auto"/>
                <w:left w:val="none" w:sz="0" w:space="0" w:color="auto"/>
                <w:bottom w:val="none" w:sz="0" w:space="0" w:color="auto"/>
                <w:right w:val="none" w:sz="0" w:space="0" w:color="auto"/>
              </w:divBdr>
            </w:div>
            <w:div w:id="1223255432">
              <w:marLeft w:val="0"/>
              <w:marRight w:val="0"/>
              <w:marTop w:val="0"/>
              <w:marBottom w:val="0"/>
              <w:divBdr>
                <w:top w:val="none" w:sz="0" w:space="0" w:color="auto"/>
                <w:left w:val="none" w:sz="0" w:space="0" w:color="auto"/>
                <w:bottom w:val="none" w:sz="0" w:space="0" w:color="auto"/>
                <w:right w:val="none" w:sz="0" w:space="0" w:color="auto"/>
              </w:divBdr>
            </w:div>
            <w:div w:id="1637834271">
              <w:marLeft w:val="0"/>
              <w:marRight w:val="0"/>
              <w:marTop w:val="0"/>
              <w:marBottom w:val="0"/>
              <w:divBdr>
                <w:top w:val="none" w:sz="0" w:space="0" w:color="auto"/>
                <w:left w:val="none" w:sz="0" w:space="0" w:color="auto"/>
                <w:bottom w:val="none" w:sz="0" w:space="0" w:color="auto"/>
                <w:right w:val="none" w:sz="0" w:space="0" w:color="auto"/>
              </w:divBdr>
            </w:div>
            <w:div w:id="2070570530">
              <w:marLeft w:val="0"/>
              <w:marRight w:val="0"/>
              <w:marTop w:val="0"/>
              <w:marBottom w:val="0"/>
              <w:divBdr>
                <w:top w:val="none" w:sz="0" w:space="0" w:color="auto"/>
                <w:left w:val="none" w:sz="0" w:space="0" w:color="auto"/>
                <w:bottom w:val="none" w:sz="0" w:space="0" w:color="auto"/>
                <w:right w:val="none" w:sz="0" w:space="0" w:color="auto"/>
              </w:divBdr>
            </w:div>
          </w:divsChild>
        </w:div>
        <w:div w:id="1525052694">
          <w:marLeft w:val="0"/>
          <w:marRight w:val="0"/>
          <w:marTop w:val="0"/>
          <w:marBottom w:val="0"/>
          <w:divBdr>
            <w:top w:val="none" w:sz="0" w:space="0" w:color="auto"/>
            <w:left w:val="none" w:sz="0" w:space="0" w:color="auto"/>
            <w:bottom w:val="none" w:sz="0" w:space="0" w:color="auto"/>
            <w:right w:val="none" w:sz="0" w:space="0" w:color="auto"/>
          </w:divBdr>
        </w:div>
        <w:div w:id="1598095654">
          <w:marLeft w:val="0"/>
          <w:marRight w:val="0"/>
          <w:marTop w:val="0"/>
          <w:marBottom w:val="0"/>
          <w:divBdr>
            <w:top w:val="none" w:sz="0" w:space="0" w:color="auto"/>
            <w:left w:val="none" w:sz="0" w:space="0" w:color="auto"/>
            <w:bottom w:val="none" w:sz="0" w:space="0" w:color="auto"/>
            <w:right w:val="none" w:sz="0" w:space="0" w:color="auto"/>
          </w:divBdr>
        </w:div>
        <w:div w:id="1619489630">
          <w:marLeft w:val="0"/>
          <w:marRight w:val="0"/>
          <w:marTop w:val="0"/>
          <w:marBottom w:val="0"/>
          <w:divBdr>
            <w:top w:val="none" w:sz="0" w:space="0" w:color="auto"/>
            <w:left w:val="none" w:sz="0" w:space="0" w:color="auto"/>
            <w:bottom w:val="none" w:sz="0" w:space="0" w:color="auto"/>
            <w:right w:val="none" w:sz="0" w:space="0" w:color="auto"/>
          </w:divBdr>
        </w:div>
        <w:div w:id="1670523035">
          <w:marLeft w:val="0"/>
          <w:marRight w:val="0"/>
          <w:marTop w:val="0"/>
          <w:marBottom w:val="0"/>
          <w:divBdr>
            <w:top w:val="none" w:sz="0" w:space="0" w:color="auto"/>
            <w:left w:val="none" w:sz="0" w:space="0" w:color="auto"/>
            <w:bottom w:val="none" w:sz="0" w:space="0" w:color="auto"/>
            <w:right w:val="none" w:sz="0" w:space="0" w:color="auto"/>
          </w:divBdr>
        </w:div>
        <w:div w:id="1680036131">
          <w:marLeft w:val="0"/>
          <w:marRight w:val="0"/>
          <w:marTop w:val="0"/>
          <w:marBottom w:val="0"/>
          <w:divBdr>
            <w:top w:val="none" w:sz="0" w:space="0" w:color="auto"/>
            <w:left w:val="none" w:sz="0" w:space="0" w:color="auto"/>
            <w:bottom w:val="none" w:sz="0" w:space="0" w:color="auto"/>
            <w:right w:val="none" w:sz="0" w:space="0" w:color="auto"/>
          </w:divBdr>
        </w:div>
        <w:div w:id="1736128735">
          <w:marLeft w:val="0"/>
          <w:marRight w:val="0"/>
          <w:marTop w:val="0"/>
          <w:marBottom w:val="0"/>
          <w:divBdr>
            <w:top w:val="none" w:sz="0" w:space="0" w:color="auto"/>
            <w:left w:val="none" w:sz="0" w:space="0" w:color="auto"/>
            <w:bottom w:val="none" w:sz="0" w:space="0" w:color="auto"/>
            <w:right w:val="none" w:sz="0" w:space="0" w:color="auto"/>
          </w:divBdr>
        </w:div>
        <w:div w:id="1876235160">
          <w:marLeft w:val="0"/>
          <w:marRight w:val="0"/>
          <w:marTop w:val="0"/>
          <w:marBottom w:val="0"/>
          <w:divBdr>
            <w:top w:val="none" w:sz="0" w:space="0" w:color="auto"/>
            <w:left w:val="none" w:sz="0" w:space="0" w:color="auto"/>
            <w:bottom w:val="none" w:sz="0" w:space="0" w:color="auto"/>
            <w:right w:val="none" w:sz="0" w:space="0" w:color="auto"/>
          </w:divBdr>
        </w:div>
        <w:div w:id="1885287455">
          <w:marLeft w:val="0"/>
          <w:marRight w:val="0"/>
          <w:marTop w:val="0"/>
          <w:marBottom w:val="0"/>
          <w:divBdr>
            <w:top w:val="none" w:sz="0" w:space="0" w:color="auto"/>
            <w:left w:val="none" w:sz="0" w:space="0" w:color="auto"/>
            <w:bottom w:val="none" w:sz="0" w:space="0" w:color="auto"/>
            <w:right w:val="none" w:sz="0" w:space="0" w:color="auto"/>
          </w:divBdr>
        </w:div>
        <w:div w:id="1898466120">
          <w:marLeft w:val="0"/>
          <w:marRight w:val="0"/>
          <w:marTop w:val="0"/>
          <w:marBottom w:val="0"/>
          <w:divBdr>
            <w:top w:val="none" w:sz="0" w:space="0" w:color="auto"/>
            <w:left w:val="none" w:sz="0" w:space="0" w:color="auto"/>
            <w:bottom w:val="none" w:sz="0" w:space="0" w:color="auto"/>
            <w:right w:val="none" w:sz="0" w:space="0" w:color="auto"/>
          </w:divBdr>
        </w:div>
        <w:div w:id="1928341970">
          <w:marLeft w:val="0"/>
          <w:marRight w:val="0"/>
          <w:marTop w:val="0"/>
          <w:marBottom w:val="0"/>
          <w:divBdr>
            <w:top w:val="none" w:sz="0" w:space="0" w:color="auto"/>
            <w:left w:val="none" w:sz="0" w:space="0" w:color="auto"/>
            <w:bottom w:val="none" w:sz="0" w:space="0" w:color="auto"/>
            <w:right w:val="none" w:sz="0" w:space="0" w:color="auto"/>
          </w:divBdr>
        </w:div>
        <w:div w:id="1937862587">
          <w:marLeft w:val="0"/>
          <w:marRight w:val="0"/>
          <w:marTop w:val="0"/>
          <w:marBottom w:val="0"/>
          <w:divBdr>
            <w:top w:val="none" w:sz="0" w:space="0" w:color="auto"/>
            <w:left w:val="none" w:sz="0" w:space="0" w:color="auto"/>
            <w:bottom w:val="none" w:sz="0" w:space="0" w:color="auto"/>
            <w:right w:val="none" w:sz="0" w:space="0" w:color="auto"/>
          </w:divBdr>
        </w:div>
        <w:div w:id="1983734103">
          <w:marLeft w:val="0"/>
          <w:marRight w:val="0"/>
          <w:marTop w:val="0"/>
          <w:marBottom w:val="0"/>
          <w:divBdr>
            <w:top w:val="none" w:sz="0" w:space="0" w:color="auto"/>
            <w:left w:val="none" w:sz="0" w:space="0" w:color="auto"/>
            <w:bottom w:val="none" w:sz="0" w:space="0" w:color="auto"/>
            <w:right w:val="none" w:sz="0" w:space="0" w:color="auto"/>
          </w:divBdr>
        </w:div>
        <w:div w:id="1987279826">
          <w:marLeft w:val="0"/>
          <w:marRight w:val="0"/>
          <w:marTop w:val="0"/>
          <w:marBottom w:val="0"/>
          <w:divBdr>
            <w:top w:val="none" w:sz="0" w:space="0" w:color="auto"/>
            <w:left w:val="none" w:sz="0" w:space="0" w:color="auto"/>
            <w:bottom w:val="none" w:sz="0" w:space="0" w:color="auto"/>
            <w:right w:val="none" w:sz="0" w:space="0" w:color="auto"/>
          </w:divBdr>
        </w:div>
        <w:div w:id="2027367037">
          <w:marLeft w:val="0"/>
          <w:marRight w:val="0"/>
          <w:marTop w:val="0"/>
          <w:marBottom w:val="0"/>
          <w:divBdr>
            <w:top w:val="none" w:sz="0" w:space="0" w:color="auto"/>
            <w:left w:val="none" w:sz="0" w:space="0" w:color="auto"/>
            <w:bottom w:val="none" w:sz="0" w:space="0" w:color="auto"/>
            <w:right w:val="none" w:sz="0" w:space="0" w:color="auto"/>
          </w:divBdr>
        </w:div>
        <w:div w:id="2045715434">
          <w:marLeft w:val="0"/>
          <w:marRight w:val="0"/>
          <w:marTop w:val="0"/>
          <w:marBottom w:val="0"/>
          <w:divBdr>
            <w:top w:val="none" w:sz="0" w:space="0" w:color="auto"/>
            <w:left w:val="none" w:sz="0" w:space="0" w:color="auto"/>
            <w:bottom w:val="none" w:sz="0" w:space="0" w:color="auto"/>
            <w:right w:val="none" w:sz="0" w:space="0" w:color="auto"/>
          </w:divBdr>
        </w:div>
        <w:div w:id="2111271426">
          <w:marLeft w:val="0"/>
          <w:marRight w:val="0"/>
          <w:marTop w:val="0"/>
          <w:marBottom w:val="0"/>
          <w:divBdr>
            <w:top w:val="none" w:sz="0" w:space="0" w:color="auto"/>
            <w:left w:val="none" w:sz="0" w:space="0" w:color="auto"/>
            <w:bottom w:val="none" w:sz="0" w:space="0" w:color="auto"/>
            <w:right w:val="none" w:sz="0" w:space="0" w:color="auto"/>
          </w:divBdr>
          <w:divsChild>
            <w:div w:id="133450301">
              <w:marLeft w:val="0"/>
              <w:marRight w:val="0"/>
              <w:marTop w:val="0"/>
              <w:marBottom w:val="0"/>
              <w:divBdr>
                <w:top w:val="none" w:sz="0" w:space="0" w:color="auto"/>
                <w:left w:val="none" w:sz="0" w:space="0" w:color="auto"/>
                <w:bottom w:val="none" w:sz="0" w:space="0" w:color="auto"/>
                <w:right w:val="none" w:sz="0" w:space="0" w:color="auto"/>
              </w:divBdr>
            </w:div>
            <w:div w:id="1635480771">
              <w:marLeft w:val="0"/>
              <w:marRight w:val="0"/>
              <w:marTop w:val="0"/>
              <w:marBottom w:val="0"/>
              <w:divBdr>
                <w:top w:val="none" w:sz="0" w:space="0" w:color="auto"/>
                <w:left w:val="none" w:sz="0" w:space="0" w:color="auto"/>
                <w:bottom w:val="none" w:sz="0" w:space="0" w:color="auto"/>
                <w:right w:val="none" w:sz="0" w:space="0" w:color="auto"/>
              </w:divBdr>
            </w:div>
            <w:div w:id="1710255092">
              <w:marLeft w:val="0"/>
              <w:marRight w:val="0"/>
              <w:marTop w:val="0"/>
              <w:marBottom w:val="0"/>
              <w:divBdr>
                <w:top w:val="none" w:sz="0" w:space="0" w:color="auto"/>
                <w:left w:val="none" w:sz="0" w:space="0" w:color="auto"/>
                <w:bottom w:val="none" w:sz="0" w:space="0" w:color="auto"/>
                <w:right w:val="none" w:sz="0" w:space="0" w:color="auto"/>
              </w:divBdr>
            </w:div>
            <w:div w:id="1839298565">
              <w:marLeft w:val="0"/>
              <w:marRight w:val="0"/>
              <w:marTop w:val="0"/>
              <w:marBottom w:val="0"/>
              <w:divBdr>
                <w:top w:val="none" w:sz="0" w:space="0" w:color="auto"/>
                <w:left w:val="none" w:sz="0" w:space="0" w:color="auto"/>
                <w:bottom w:val="none" w:sz="0" w:space="0" w:color="auto"/>
                <w:right w:val="none" w:sz="0" w:space="0" w:color="auto"/>
              </w:divBdr>
            </w:div>
            <w:div w:id="1997105779">
              <w:marLeft w:val="0"/>
              <w:marRight w:val="0"/>
              <w:marTop w:val="0"/>
              <w:marBottom w:val="0"/>
              <w:divBdr>
                <w:top w:val="none" w:sz="0" w:space="0" w:color="auto"/>
                <w:left w:val="none" w:sz="0" w:space="0" w:color="auto"/>
                <w:bottom w:val="none" w:sz="0" w:space="0" w:color="auto"/>
                <w:right w:val="none" w:sz="0" w:space="0" w:color="auto"/>
              </w:divBdr>
            </w:div>
          </w:divsChild>
        </w:div>
        <w:div w:id="2138181916">
          <w:marLeft w:val="0"/>
          <w:marRight w:val="0"/>
          <w:marTop w:val="0"/>
          <w:marBottom w:val="0"/>
          <w:divBdr>
            <w:top w:val="none" w:sz="0" w:space="0" w:color="auto"/>
            <w:left w:val="none" w:sz="0" w:space="0" w:color="auto"/>
            <w:bottom w:val="none" w:sz="0" w:space="0" w:color="auto"/>
            <w:right w:val="none" w:sz="0" w:space="0" w:color="auto"/>
          </w:divBdr>
        </w:div>
      </w:divsChild>
    </w:div>
    <w:div w:id="444159398">
      <w:bodyDiv w:val="1"/>
      <w:marLeft w:val="0"/>
      <w:marRight w:val="0"/>
      <w:marTop w:val="0"/>
      <w:marBottom w:val="0"/>
      <w:divBdr>
        <w:top w:val="none" w:sz="0" w:space="0" w:color="auto"/>
        <w:left w:val="none" w:sz="0" w:space="0" w:color="auto"/>
        <w:bottom w:val="none" w:sz="0" w:space="0" w:color="auto"/>
        <w:right w:val="none" w:sz="0" w:space="0" w:color="auto"/>
      </w:divBdr>
      <w:divsChild>
        <w:div w:id="21635169">
          <w:marLeft w:val="0"/>
          <w:marRight w:val="0"/>
          <w:marTop w:val="0"/>
          <w:marBottom w:val="0"/>
          <w:divBdr>
            <w:top w:val="none" w:sz="0" w:space="0" w:color="auto"/>
            <w:left w:val="none" w:sz="0" w:space="0" w:color="auto"/>
            <w:bottom w:val="none" w:sz="0" w:space="0" w:color="auto"/>
            <w:right w:val="none" w:sz="0" w:space="0" w:color="auto"/>
          </w:divBdr>
          <w:divsChild>
            <w:div w:id="1008170755">
              <w:marLeft w:val="0"/>
              <w:marRight w:val="0"/>
              <w:marTop w:val="0"/>
              <w:marBottom w:val="0"/>
              <w:divBdr>
                <w:top w:val="none" w:sz="0" w:space="0" w:color="auto"/>
                <w:left w:val="none" w:sz="0" w:space="0" w:color="auto"/>
                <w:bottom w:val="none" w:sz="0" w:space="0" w:color="auto"/>
                <w:right w:val="none" w:sz="0" w:space="0" w:color="auto"/>
              </w:divBdr>
            </w:div>
            <w:div w:id="1188831850">
              <w:marLeft w:val="0"/>
              <w:marRight w:val="0"/>
              <w:marTop w:val="0"/>
              <w:marBottom w:val="0"/>
              <w:divBdr>
                <w:top w:val="none" w:sz="0" w:space="0" w:color="auto"/>
                <w:left w:val="none" w:sz="0" w:space="0" w:color="auto"/>
                <w:bottom w:val="none" w:sz="0" w:space="0" w:color="auto"/>
                <w:right w:val="none" w:sz="0" w:space="0" w:color="auto"/>
              </w:divBdr>
            </w:div>
            <w:div w:id="1469281141">
              <w:marLeft w:val="0"/>
              <w:marRight w:val="0"/>
              <w:marTop w:val="0"/>
              <w:marBottom w:val="0"/>
              <w:divBdr>
                <w:top w:val="none" w:sz="0" w:space="0" w:color="auto"/>
                <w:left w:val="none" w:sz="0" w:space="0" w:color="auto"/>
                <w:bottom w:val="none" w:sz="0" w:space="0" w:color="auto"/>
                <w:right w:val="none" w:sz="0" w:space="0" w:color="auto"/>
              </w:divBdr>
            </w:div>
            <w:div w:id="1548833255">
              <w:marLeft w:val="0"/>
              <w:marRight w:val="0"/>
              <w:marTop w:val="0"/>
              <w:marBottom w:val="0"/>
              <w:divBdr>
                <w:top w:val="none" w:sz="0" w:space="0" w:color="auto"/>
                <w:left w:val="none" w:sz="0" w:space="0" w:color="auto"/>
                <w:bottom w:val="none" w:sz="0" w:space="0" w:color="auto"/>
                <w:right w:val="none" w:sz="0" w:space="0" w:color="auto"/>
              </w:divBdr>
            </w:div>
          </w:divsChild>
        </w:div>
        <w:div w:id="339507368">
          <w:marLeft w:val="0"/>
          <w:marRight w:val="0"/>
          <w:marTop w:val="0"/>
          <w:marBottom w:val="0"/>
          <w:divBdr>
            <w:top w:val="none" w:sz="0" w:space="0" w:color="auto"/>
            <w:left w:val="none" w:sz="0" w:space="0" w:color="auto"/>
            <w:bottom w:val="none" w:sz="0" w:space="0" w:color="auto"/>
            <w:right w:val="none" w:sz="0" w:space="0" w:color="auto"/>
          </w:divBdr>
          <w:divsChild>
            <w:div w:id="1729837634">
              <w:marLeft w:val="0"/>
              <w:marRight w:val="0"/>
              <w:marTop w:val="0"/>
              <w:marBottom w:val="0"/>
              <w:divBdr>
                <w:top w:val="none" w:sz="0" w:space="0" w:color="auto"/>
                <w:left w:val="none" w:sz="0" w:space="0" w:color="auto"/>
                <w:bottom w:val="none" w:sz="0" w:space="0" w:color="auto"/>
                <w:right w:val="none" w:sz="0" w:space="0" w:color="auto"/>
              </w:divBdr>
            </w:div>
          </w:divsChild>
        </w:div>
        <w:div w:id="459496976">
          <w:marLeft w:val="0"/>
          <w:marRight w:val="0"/>
          <w:marTop w:val="0"/>
          <w:marBottom w:val="0"/>
          <w:divBdr>
            <w:top w:val="none" w:sz="0" w:space="0" w:color="auto"/>
            <w:left w:val="none" w:sz="0" w:space="0" w:color="auto"/>
            <w:bottom w:val="none" w:sz="0" w:space="0" w:color="auto"/>
            <w:right w:val="none" w:sz="0" w:space="0" w:color="auto"/>
          </w:divBdr>
        </w:div>
        <w:div w:id="510535320">
          <w:marLeft w:val="0"/>
          <w:marRight w:val="0"/>
          <w:marTop w:val="0"/>
          <w:marBottom w:val="0"/>
          <w:divBdr>
            <w:top w:val="none" w:sz="0" w:space="0" w:color="auto"/>
            <w:left w:val="none" w:sz="0" w:space="0" w:color="auto"/>
            <w:bottom w:val="none" w:sz="0" w:space="0" w:color="auto"/>
            <w:right w:val="none" w:sz="0" w:space="0" w:color="auto"/>
          </w:divBdr>
          <w:divsChild>
            <w:div w:id="1146702192">
              <w:marLeft w:val="0"/>
              <w:marRight w:val="0"/>
              <w:marTop w:val="0"/>
              <w:marBottom w:val="0"/>
              <w:divBdr>
                <w:top w:val="none" w:sz="0" w:space="0" w:color="auto"/>
                <w:left w:val="none" w:sz="0" w:space="0" w:color="auto"/>
                <w:bottom w:val="none" w:sz="0" w:space="0" w:color="auto"/>
                <w:right w:val="none" w:sz="0" w:space="0" w:color="auto"/>
              </w:divBdr>
            </w:div>
            <w:div w:id="1359283789">
              <w:marLeft w:val="0"/>
              <w:marRight w:val="0"/>
              <w:marTop w:val="0"/>
              <w:marBottom w:val="0"/>
              <w:divBdr>
                <w:top w:val="none" w:sz="0" w:space="0" w:color="auto"/>
                <w:left w:val="none" w:sz="0" w:space="0" w:color="auto"/>
                <w:bottom w:val="none" w:sz="0" w:space="0" w:color="auto"/>
                <w:right w:val="none" w:sz="0" w:space="0" w:color="auto"/>
              </w:divBdr>
            </w:div>
            <w:div w:id="1729574393">
              <w:marLeft w:val="0"/>
              <w:marRight w:val="0"/>
              <w:marTop w:val="0"/>
              <w:marBottom w:val="0"/>
              <w:divBdr>
                <w:top w:val="none" w:sz="0" w:space="0" w:color="auto"/>
                <w:left w:val="none" w:sz="0" w:space="0" w:color="auto"/>
                <w:bottom w:val="none" w:sz="0" w:space="0" w:color="auto"/>
                <w:right w:val="none" w:sz="0" w:space="0" w:color="auto"/>
              </w:divBdr>
            </w:div>
            <w:div w:id="2033922476">
              <w:marLeft w:val="0"/>
              <w:marRight w:val="0"/>
              <w:marTop w:val="0"/>
              <w:marBottom w:val="0"/>
              <w:divBdr>
                <w:top w:val="none" w:sz="0" w:space="0" w:color="auto"/>
                <w:left w:val="none" w:sz="0" w:space="0" w:color="auto"/>
                <w:bottom w:val="none" w:sz="0" w:space="0" w:color="auto"/>
                <w:right w:val="none" w:sz="0" w:space="0" w:color="auto"/>
              </w:divBdr>
            </w:div>
          </w:divsChild>
        </w:div>
        <w:div w:id="695498554">
          <w:marLeft w:val="0"/>
          <w:marRight w:val="0"/>
          <w:marTop w:val="0"/>
          <w:marBottom w:val="0"/>
          <w:divBdr>
            <w:top w:val="none" w:sz="0" w:space="0" w:color="auto"/>
            <w:left w:val="none" w:sz="0" w:space="0" w:color="auto"/>
            <w:bottom w:val="none" w:sz="0" w:space="0" w:color="auto"/>
            <w:right w:val="none" w:sz="0" w:space="0" w:color="auto"/>
          </w:divBdr>
          <w:divsChild>
            <w:div w:id="193468165">
              <w:marLeft w:val="0"/>
              <w:marRight w:val="0"/>
              <w:marTop w:val="0"/>
              <w:marBottom w:val="0"/>
              <w:divBdr>
                <w:top w:val="none" w:sz="0" w:space="0" w:color="auto"/>
                <w:left w:val="none" w:sz="0" w:space="0" w:color="auto"/>
                <w:bottom w:val="none" w:sz="0" w:space="0" w:color="auto"/>
                <w:right w:val="none" w:sz="0" w:space="0" w:color="auto"/>
              </w:divBdr>
            </w:div>
            <w:div w:id="454718729">
              <w:marLeft w:val="0"/>
              <w:marRight w:val="0"/>
              <w:marTop w:val="0"/>
              <w:marBottom w:val="0"/>
              <w:divBdr>
                <w:top w:val="none" w:sz="0" w:space="0" w:color="auto"/>
                <w:left w:val="none" w:sz="0" w:space="0" w:color="auto"/>
                <w:bottom w:val="none" w:sz="0" w:space="0" w:color="auto"/>
                <w:right w:val="none" w:sz="0" w:space="0" w:color="auto"/>
              </w:divBdr>
            </w:div>
            <w:div w:id="1319960980">
              <w:marLeft w:val="0"/>
              <w:marRight w:val="0"/>
              <w:marTop w:val="0"/>
              <w:marBottom w:val="0"/>
              <w:divBdr>
                <w:top w:val="none" w:sz="0" w:space="0" w:color="auto"/>
                <w:left w:val="none" w:sz="0" w:space="0" w:color="auto"/>
                <w:bottom w:val="none" w:sz="0" w:space="0" w:color="auto"/>
                <w:right w:val="none" w:sz="0" w:space="0" w:color="auto"/>
              </w:divBdr>
            </w:div>
          </w:divsChild>
        </w:div>
        <w:div w:id="718432838">
          <w:marLeft w:val="0"/>
          <w:marRight w:val="0"/>
          <w:marTop w:val="0"/>
          <w:marBottom w:val="0"/>
          <w:divBdr>
            <w:top w:val="none" w:sz="0" w:space="0" w:color="auto"/>
            <w:left w:val="none" w:sz="0" w:space="0" w:color="auto"/>
            <w:bottom w:val="none" w:sz="0" w:space="0" w:color="auto"/>
            <w:right w:val="none" w:sz="0" w:space="0" w:color="auto"/>
          </w:divBdr>
          <w:divsChild>
            <w:div w:id="1675298021">
              <w:marLeft w:val="0"/>
              <w:marRight w:val="0"/>
              <w:marTop w:val="0"/>
              <w:marBottom w:val="0"/>
              <w:divBdr>
                <w:top w:val="none" w:sz="0" w:space="0" w:color="auto"/>
                <w:left w:val="none" w:sz="0" w:space="0" w:color="auto"/>
                <w:bottom w:val="none" w:sz="0" w:space="0" w:color="auto"/>
                <w:right w:val="none" w:sz="0" w:space="0" w:color="auto"/>
              </w:divBdr>
            </w:div>
            <w:div w:id="1800419443">
              <w:marLeft w:val="0"/>
              <w:marRight w:val="0"/>
              <w:marTop w:val="0"/>
              <w:marBottom w:val="0"/>
              <w:divBdr>
                <w:top w:val="none" w:sz="0" w:space="0" w:color="auto"/>
                <w:left w:val="none" w:sz="0" w:space="0" w:color="auto"/>
                <w:bottom w:val="none" w:sz="0" w:space="0" w:color="auto"/>
                <w:right w:val="none" w:sz="0" w:space="0" w:color="auto"/>
              </w:divBdr>
            </w:div>
            <w:div w:id="1898011801">
              <w:marLeft w:val="0"/>
              <w:marRight w:val="0"/>
              <w:marTop w:val="0"/>
              <w:marBottom w:val="0"/>
              <w:divBdr>
                <w:top w:val="none" w:sz="0" w:space="0" w:color="auto"/>
                <w:left w:val="none" w:sz="0" w:space="0" w:color="auto"/>
                <w:bottom w:val="none" w:sz="0" w:space="0" w:color="auto"/>
                <w:right w:val="none" w:sz="0" w:space="0" w:color="auto"/>
              </w:divBdr>
            </w:div>
            <w:div w:id="2117410057">
              <w:marLeft w:val="0"/>
              <w:marRight w:val="0"/>
              <w:marTop w:val="0"/>
              <w:marBottom w:val="0"/>
              <w:divBdr>
                <w:top w:val="none" w:sz="0" w:space="0" w:color="auto"/>
                <w:left w:val="none" w:sz="0" w:space="0" w:color="auto"/>
                <w:bottom w:val="none" w:sz="0" w:space="0" w:color="auto"/>
                <w:right w:val="none" w:sz="0" w:space="0" w:color="auto"/>
              </w:divBdr>
            </w:div>
          </w:divsChild>
        </w:div>
        <w:div w:id="728453965">
          <w:marLeft w:val="0"/>
          <w:marRight w:val="0"/>
          <w:marTop w:val="0"/>
          <w:marBottom w:val="0"/>
          <w:divBdr>
            <w:top w:val="none" w:sz="0" w:space="0" w:color="auto"/>
            <w:left w:val="none" w:sz="0" w:space="0" w:color="auto"/>
            <w:bottom w:val="none" w:sz="0" w:space="0" w:color="auto"/>
            <w:right w:val="none" w:sz="0" w:space="0" w:color="auto"/>
          </w:divBdr>
        </w:div>
        <w:div w:id="1850289483">
          <w:marLeft w:val="0"/>
          <w:marRight w:val="0"/>
          <w:marTop w:val="0"/>
          <w:marBottom w:val="0"/>
          <w:divBdr>
            <w:top w:val="none" w:sz="0" w:space="0" w:color="auto"/>
            <w:left w:val="none" w:sz="0" w:space="0" w:color="auto"/>
            <w:bottom w:val="none" w:sz="0" w:space="0" w:color="auto"/>
            <w:right w:val="none" w:sz="0" w:space="0" w:color="auto"/>
          </w:divBdr>
        </w:div>
        <w:div w:id="2129544531">
          <w:marLeft w:val="0"/>
          <w:marRight w:val="0"/>
          <w:marTop w:val="0"/>
          <w:marBottom w:val="0"/>
          <w:divBdr>
            <w:top w:val="none" w:sz="0" w:space="0" w:color="auto"/>
            <w:left w:val="none" w:sz="0" w:space="0" w:color="auto"/>
            <w:bottom w:val="none" w:sz="0" w:space="0" w:color="auto"/>
            <w:right w:val="none" w:sz="0" w:space="0" w:color="auto"/>
          </w:divBdr>
          <w:divsChild>
            <w:div w:id="43915200">
              <w:marLeft w:val="0"/>
              <w:marRight w:val="0"/>
              <w:marTop w:val="0"/>
              <w:marBottom w:val="0"/>
              <w:divBdr>
                <w:top w:val="none" w:sz="0" w:space="0" w:color="auto"/>
                <w:left w:val="none" w:sz="0" w:space="0" w:color="auto"/>
                <w:bottom w:val="none" w:sz="0" w:space="0" w:color="auto"/>
                <w:right w:val="none" w:sz="0" w:space="0" w:color="auto"/>
              </w:divBdr>
            </w:div>
            <w:div w:id="1692875667">
              <w:marLeft w:val="0"/>
              <w:marRight w:val="0"/>
              <w:marTop w:val="0"/>
              <w:marBottom w:val="0"/>
              <w:divBdr>
                <w:top w:val="none" w:sz="0" w:space="0" w:color="auto"/>
                <w:left w:val="none" w:sz="0" w:space="0" w:color="auto"/>
                <w:bottom w:val="none" w:sz="0" w:space="0" w:color="auto"/>
                <w:right w:val="none" w:sz="0" w:space="0" w:color="auto"/>
              </w:divBdr>
            </w:div>
            <w:div w:id="1796169027">
              <w:marLeft w:val="0"/>
              <w:marRight w:val="0"/>
              <w:marTop w:val="0"/>
              <w:marBottom w:val="0"/>
              <w:divBdr>
                <w:top w:val="none" w:sz="0" w:space="0" w:color="auto"/>
                <w:left w:val="none" w:sz="0" w:space="0" w:color="auto"/>
                <w:bottom w:val="none" w:sz="0" w:space="0" w:color="auto"/>
                <w:right w:val="none" w:sz="0" w:space="0" w:color="auto"/>
              </w:divBdr>
            </w:div>
            <w:div w:id="182218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409967">
      <w:bodyDiv w:val="1"/>
      <w:marLeft w:val="0"/>
      <w:marRight w:val="0"/>
      <w:marTop w:val="0"/>
      <w:marBottom w:val="0"/>
      <w:divBdr>
        <w:top w:val="none" w:sz="0" w:space="0" w:color="auto"/>
        <w:left w:val="none" w:sz="0" w:space="0" w:color="auto"/>
        <w:bottom w:val="none" w:sz="0" w:space="0" w:color="auto"/>
        <w:right w:val="none" w:sz="0" w:space="0" w:color="auto"/>
      </w:divBdr>
    </w:div>
    <w:div w:id="492571274">
      <w:bodyDiv w:val="1"/>
      <w:marLeft w:val="0"/>
      <w:marRight w:val="0"/>
      <w:marTop w:val="0"/>
      <w:marBottom w:val="0"/>
      <w:divBdr>
        <w:top w:val="none" w:sz="0" w:space="0" w:color="auto"/>
        <w:left w:val="none" w:sz="0" w:space="0" w:color="auto"/>
        <w:bottom w:val="none" w:sz="0" w:space="0" w:color="auto"/>
        <w:right w:val="none" w:sz="0" w:space="0" w:color="auto"/>
      </w:divBdr>
    </w:div>
    <w:div w:id="493105456">
      <w:bodyDiv w:val="1"/>
      <w:marLeft w:val="0"/>
      <w:marRight w:val="0"/>
      <w:marTop w:val="0"/>
      <w:marBottom w:val="0"/>
      <w:divBdr>
        <w:top w:val="none" w:sz="0" w:space="0" w:color="auto"/>
        <w:left w:val="none" w:sz="0" w:space="0" w:color="auto"/>
        <w:bottom w:val="none" w:sz="0" w:space="0" w:color="auto"/>
        <w:right w:val="none" w:sz="0" w:space="0" w:color="auto"/>
      </w:divBdr>
    </w:div>
    <w:div w:id="525290777">
      <w:bodyDiv w:val="1"/>
      <w:marLeft w:val="0"/>
      <w:marRight w:val="0"/>
      <w:marTop w:val="0"/>
      <w:marBottom w:val="0"/>
      <w:divBdr>
        <w:top w:val="none" w:sz="0" w:space="0" w:color="auto"/>
        <w:left w:val="none" w:sz="0" w:space="0" w:color="auto"/>
        <w:bottom w:val="none" w:sz="0" w:space="0" w:color="auto"/>
        <w:right w:val="none" w:sz="0" w:space="0" w:color="auto"/>
      </w:divBdr>
      <w:divsChild>
        <w:div w:id="965888613">
          <w:marLeft w:val="547"/>
          <w:marRight w:val="0"/>
          <w:marTop w:val="0"/>
          <w:marBottom w:val="0"/>
          <w:divBdr>
            <w:top w:val="none" w:sz="0" w:space="0" w:color="auto"/>
            <w:left w:val="none" w:sz="0" w:space="0" w:color="auto"/>
            <w:bottom w:val="none" w:sz="0" w:space="0" w:color="auto"/>
            <w:right w:val="none" w:sz="0" w:space="0" w:color="auto"/>
          </w:divBdr>
        </w:div>
      </w:divsChild>
    </w:div>
    <w:div w:id="552280240">
      <w:bodyDiv w:val="1"/>
      <w:marLeft w:val="0"/>
      <w:marRight w:val="0"/>
      <w:marTop w:val="0"/>
      <w:marBottom w:val="0"/>
      <w:divBdr>
        <w:top w:val="none" w:sz="0" w:space="0" w:color="auto"/>
        <w:left w:val="none" w:sz="0" w:space="0" w:color="auto"/>
        <w:bottom w:val="none" w:sz="0" w:space="0" w:color="auto"/>
        <w:right w:val="none" w:sz="0" w:space="0" w:color="auto"/>
      </w:divBdr>
    </w:div>
    <w:div w:id="561213157">
      <w:bodyDiv w:val="1"/>
      <w:marLeft w:val="0"/>
      <w:marRight w:val="0"/>
      <w:marTop w:val="0"/>
      <w:marBottom w:val="0"/>
      <w:divBdr>
        <w:top w:val="none" w:sz="0" w:space="0" w:color="auto"/>
        <w:left w:val="none" w:sz="0" w:space="0" w:color="auto"/>
        <w:bottom w:val="none" w:sz="0" w:space="0" w:color="auto"/>
        <w:right w:val="none" w:sz="0" w:space="0" w:color="auto"/>
      </w:divBdr>
    </w:div>
    <w:div w:id="581914341">
      <w:bodyDiv w:val="1"/>
      <w:marLeft w:val="0"/>
      <w:marRight w:val="0"/>
      <w:marTop w:val="0"/>
      <w:marBottom w:val="0"/>
      <w:divBdr>
        <w:top w:val="none" w:sz="0" w:space="0" w:color="auto"/>
        <w:left w:val="none" w:sz="0" w:space="0" w:color="auto"/>
        <w:bottom w:val="none" w:sz="0" w:space="0" w:color="auto"/>
        <w:right w:val="none" w:sz="0" w:space="0" w:color="auto"/>
      </w:divBdr>
      <w:divsChild>
        <w:div w:id="19211039">
          <w:marLeft w:val="0"/>
          <w:marRight w:val="0"/>
          <w:marTop w:val="0"/>
          <w:marBottom w:val="0"/>
          <w:divBdr>
            <w:top w:val="none" w:sz="0" w:space="0" w:color="auto"/>
            <w:left w:val="none" w:sz="0" w:space="0" w:color="auto"/>
            <w:bottom w:val="none" w:sz="0" w:space="0" w:color="auto"/>
            <w:right w:val="none" w:sz="0" w:space="0" w:color="auto"/>
          </w:divBdr>
          <w:divsChild>
            <w:div w:id="354573597">
              <w:marLeft w:val="0"/>
              <w:marRight w:val="0"/>
              <w:marTop w:val="0"/>
              <w:marBottom w:val="0"/>
              <w:divBdr>
                <w:top w:val="none" w:sz="0" w:space="0" w:color="auto"/>
                <w:left w:val="none" w:sz="0" w:space="0" w:color="auto"/>
                <w:bottom w:val="none" w:sz="0" w:space="0" w:color="auto"/>
                <w:right w:val="none" w:sz="0" w:space="0" w:color="auto"/>
              </w:divBdr>
            </w:div>
            <w:div w:id="750006902">
              <w:marLeft w:val="0"/>
              <w:marRight w:val="0"/>
              <w:marTop w:val="0"/>
              <w:marBottom w:val="0"/>
              <w:divBdr>
                <w:top w:val="none" w:sz="0" w:space="0" w:color="auto"/>
                <w:left w:val="none" w:sz="0" w:space="0" w:color="auto"/>
                <w:bottom w:val="none" w:sz="0" w:space="0" w:color="auto"/>
                <w:right w:val="none" w:sz="0" w:space="0" w:color="auto"/>
              </w:divBdr>
            </w:div>
            <w:div w:id="977222311">
              <w:marLeft w:val="0"/>
              <w:marRight w:val="0"/>
              <w:marTop w:val="0"/>
              <w:marBottom w:val="0"/>
              <w:divBdr>
                <w:top w:val="none" w:sz="0" w:space="0" w:color="auto"/>
                <w:left w:val="none" w:sz="0" w:space="0" w:color="auto"/>
                <w:bottom w:val="none" w:sz="0" w:space="0" w:color="auto"/>
                <w:right w:val="none" w:sz="0" w:space="0" w:color="auto"/>
              </w:divBdr>
            </w:div>
          </w:divsChild>
        </w:div>
        <w:div w:id="45685921">
          <w:marLeft w:val="0"/>
          <w:marRight w:val="0"/>
          <w:marTop w:val="0"/>
          <w:marBottom w:val="0"/>
          <w:divBdr>
            <w:top w:val="none" w:sz="0" w:space="0" w:color="auto"/>
            <w:left w:val="none" w:sz="0" w:space="0" w:color="auto"/>
            <w:bottom w:val="none" w:sz="0" w:space="0" w:color="auto"/>
            <w:right w:val="none" w:sz="0" w:space="0" w:color="auto"/>
          </w:divBdr>
        </w:div>
        <w:div w:id="111482917">
          <w:marLeft w:val="0"/>
          <w:marRight w:val="0"/>
          <w:marTop w:val="0"/>
          <w:marBottom w:val="0"/>
          <w:divBdr>
            <w:top w:val="none" w:sz="0" w:space="0" w:color="auto"/>
            <w:left w:val="none" w:sz="0" w:space="0" w:color="auto"/>
            <w:bottom w:val="none" w:sz="0" w:space="0" w:color="auto"/>
            <w:right w:val="none" w:sz="0" w:space="0" w:color="auto"/>
          </w:divBdr>
        </w:div>
        <w:div w:id="785271251">
          <w:marLeft w:val="0"/>
          <w:marRight w:val="0"/>
          <w:marTop w:val="0"/>
          <w:marBottom w:val="0"/>
          <w:divBdr>
            <w:top w:val="none" w:sz="0" w:space="0" w:color="auto"/>
            <w:left w:val="none" w:sz="0" w:space="0" w:color="auto"/>
            <w:bottom w:val="none" w:sz="0" w:space="0" w:color="auto"/>
            <w:right w:val="none" w:sz="0" w:space="0" w:color="auto"/>
          </w:divBdr>
        </w:div>
        <w:div w:id="813108271">
          <w:marLeft w:val="0"/>
          <w:marRight w:val="0"/>
          <w:marTop w:val="0"/>
          <w:marBottom w:val="0"/>
          <w:divBdr>
            <w:top w:val="none" w:sz="0" w:space="0" w:color="auto"/>
            <w:left w:val="none" w:sz="0" w:space="0" w:color="auto"/>
            <w:bottom w:val="none" w:sz="0" w:space="0" w:color="auto"/>
            <w:right w:val="none" w:sz="0" w:space="0" w:color="auto"/>
          </w:divBdr>
        </w:div>
        <w:div w:id="1070927599">
          <w:marLeft w:val="0"/>
          <w:marRight w:val="0"/>
          <w:marTop w:val="0"/>
          <w:marBottom w:val="0"/>
          <w:divBdr>
            <w:top w:val="none" w:sz="0" w:space="0" w:color="auto"/>
            <w:left w:val="none" w:sz="0" w:space="0" w:color="auto"/>
            <w:bottom w:val="none" w:sz="0" w:space="0" w:color="auto"/>
            <w:right w:val="none" w:sz="0" w:space="0" w:color="auto"/>
          </w:divBdr>
        </w:div>
        <w:div w:id="1388725943">
          <w:marLeft w:val="0"/>
          <w:marRight w:val="0"/>
          <w:marTop w:val="0"/>
          <w:marBottom w:val="0"/>
          <w:divBdr>
            <w:top w:val="none" w:sz="0" w:space="0" w:color="auto"/>
            <w:left w:val="none" w:sz="0" w:space="0" w:color="auto"/>
            <w:bottom w:val="none" w:sz="0" w:space="0" w:color="auto"/>
            <w:right w:val="none" w:sz="0" w:space="0" w:color="auto"/>
          </w:divBdr>
        </w:div>
        <w:div w:id="1585217448">
          <w:marLeft w:val="0"/>
          <w:marRight w:val="0"/>
          <w:marTop w:val="0"/>
          <w:marBottom w:val="0"/>
          <w:divBdr>
            <w:top w:val="none" w:sz="0" w:space="0" w:color="auto"/>
            <w:left w:val="none" w:sz="0" w:space="0" w:color="auto"/>
            <w:bottom w:val="none" w:sz="0" w:space="0" w:color="auto"/>
            <w:right w:val="none" w:sz="0" w:space="0" w:color="auto"/>
          </w:divBdr>
        </w:div>
        <w:div w:id="1624068857">
          <w:marLeft w:val="0"/>
          <w:marRight w:val="0"/>
          <w:marTop w:val="0"/>
          <w:marBottom w:val="0"/>
          <w:divBdr>
            <w:top w:val="none" w:sz="0" w:space="0" w:color="auto"/>
            <w:left w:val="none" w:sz="0" w:space="0" w:color="auto"/>
            <w:bottom w:val="none" w:sz="0" w:space="0" w:color="auto"/>
            <w:right w:val="none" w:sz="0" w:space="0" w:color="auto"/>
          </w:divBdr>
        </w:div>
        <w:div w:id="1626086170">
          <w:marLeft w:val="0"/>
          <w:marRight w:val="0"/>
          <w:marTop w:val="0"/>
          <w:marBottom w:val="0"/>
          <w:divBdr>
            <w:top w:val="none" w:sz="0" w:space="0" w:color="auto"/>
            <w:left w:val="none" w:sz="0" w:space="0" w:color="auto"/>
            <w:bottom w:val="none" w:sz="0" w:space="0" w:color="auto"/>
            <w:right w:val="none" w:sz="0" w:space="0" w:color="auto"/>
          </w:divBdr>
          <w:divsChild>
            <w:div w:id="39403811">
              <w:marLeft w:val="0"/>
              <w:marRight w:val="0"/>
              <w:marTop w:val="0"/>
              <w:marBottom w:val="0"/>
              <w:divBdr>
                <w:top w:val="none" w:sz="0" w:space="0" w:color="auto"/>
                <w:left w:val="none" w:sz="0" w:space="0" w:color="auto"/>
                <w:bottom w:val="none" w:sz="0" w:space="0" w:color="auto"/>
                <w:right w:val="none" w:sz="0" w:space="0" w:color="auto"/>
              </w:divBdr>
            </w:div>
            <w:div w:id="384640918">
              <w:marLeft w:val="0"/>
              <w:marRight w:val="0"/>
              <w:marTop w:val="0"/>
              <w:marBottom w:val="0"/>
              <w:divBdr>
                <w:top w:val="none" w:sz="0" w:space="0" w:color="auto"/>
                <w:left w:val="none" w:sz="0" w:space="0" w:color="auto"/>
                <w:bottom w:val="none" w:sz="0" w:space="0" w:color="auto"/>
                <w:right w:val="none" w:sz="0" w:space="0" w:color="auto"/>
              </w:divBdr>
            </w:div>
            <w:div w:id="1103258466">
              <w:marLeft w:val="0"/>
              <w:marRight w:val="0"/>
              <w:marTop w:val="0"/>
              <w:marBottom w:val="0"/>
              <w:divBdr>
                <w:top w:val="none" w:sz="0" w:space="0" w:color="auto"/>
                <w:left w:val="none" w:sz="0" w:space="0" w:color="auto"/>
                <w:bottom w:val="none" w:sz="0" w:space="0" w:color="auto"/>
                <w:right w:val="none" w:sz="0" w:space="0" w:color="auto"/>
              </w:divBdr>
            </w:div>
            <w:div w:id="1130201002">
              <w:marLeft w:val="0"/>
              <w:marRight w:val="0"/>
              <w:marTop w:val="0"/>
              <w:marBottom w:val="0"/>
              <w:divBdr>
                <w:top w:val="none" w:sz="0" w:space="0" w:color="auto"/>
                <w:left w:val="none" w:sz="0" w:space="0" w:color="auto"/>
                <w:bottom w:val="none" w:sz="0" w:space="0" w:color="auto"/>
                <w:right w:val="none" w:sz="0" w:space="0" w:color="auto"/>
              </w:divBdr>
            </w:div>
            <w:div w:id="1252591370">
              <w:marLeft w:val="0"/>
              <w:marRight w:val="0"/>
              <w:marTop w:val="0"/>
              <w:marBottom w:val="0"/>
              <w:divBdr>
                <w:top w:val="none" w:sz="0" w:space="0" w:color="auto"/>
                <w:left w:val="none" w:sz="0" w:space="0" w:color="auto"/>
                <w:bottom w:val="none" w:sz="0" w:space="0" w:color="auto"/>
                <w:right w:val="none" w:sz="0" w:space="0" w:color="auto"/>
              </w:divBdr>
            </w:div>
            <w:div w:id="1360934865">
              <w:marLeft w:val="0"/>
              <w:marRight w:val="0"/>
              <w:marTop w:val="0"/>
              <w:marBottom w:val="0"/>
              <w:divBdr>
                <w:top w:val="none" w:sz="0" w:space="0" w:color="auto"/>
                <w:left w:val="none" w:sz="0" w:space="0" w:color="auto"/>
                <w:bottom w:val="none" w:sz="0" w:space="0" w:color="auto"/>
                <w:right w:val="none" w:sz="0" w:space="0" w:color="auto"/>
              </w:divBdr>
            </w:div>
          </w:divsChild>
        </w:div>
        <w:div w:id="1682732629">
          <w:marLeft w:val="0"/>
          <w:marRight w:val="0"/>
          <w:marTop w:val="0"/>
          <w:marBottom w:val="0"/>
          <w:divBdr>
            <w:top w:val="none" w:sz="0" w:space="0" w:color="auto"/>
            <w:left w:val="none" w:sz="0" w:space="0" w:color="auto"/>
            <w:bottom w:val="none" w:sz="0" w:space="0" w:color="auto"/>
            <w:right w:val="none" w:sz="0" w:space="0" w:color="auto"/>
          </w:divBdr>
        </w:div>
        <w:div w:id="1999265259">
          <w:marLeft w:val="0"/>
          <w:marRight w:val="0"/>
          <w:marTop w:val="0"/>
          <w:marBottom w:val="0"/>
          <w:divBdr>
            <w:top w:val="none" w:sz="0" w:space="0" w:color="auto"/>
            <w:left w:val="none" w:sz="0" w:space="0" w:color="auto"/>
            <w:bottom w:val="none" w:sz="0" w:space="0" w:color="auto"/>
            <w:right w:val="none" w:sz="0" w:space="0" w:color="auto"/>
          </w:divBdr>
        </w:div>
        <w:div w:id="2062630160">
          <w:marLeft w:val="0"/>
          <w:marRight w:val="0"/>
          <w:marTop w:val="0"/>
          <w:marBottom w:val="0"/>
          <w:divBdr>
            <w:top w:val="none" w:sz="0" w:space="0" w:color="auto"/>
            <w:left w:val="none" w:sz="0" w:space="0" w:color="auto"/>
            <w:bottom w:val="none" w:sz="0" w:space="0" w:color="auto"/>
            <w:right w:val="none" w:sz="0" w:space="0" w:color="auto"/>
          </w:divBdr>
        </w:div>
      </w:divsChild>
    </w:div>
    <w:div w:id="635725069">
      <w:bodyDiv w:val="1"/>
      <w:marLeft w:val="0"/>
      <w:marRight w:val="0"/>
      <w:marTop w:val="0"/>
      <w:marBottom w:val="0"/>
      <w:divBdr>
        <w:top w:val="none" w:sz="0" w:space="0" w:color="auto"/>
        <w:left w:val="none" w:sz="0" w:space="0" w:color="auto"/>
        <w:bottom w:val="none" w:sz="0" w:space="0" w:color="auto"/>
        <w:right w:val="none" w:sz="0" w:space="0" w:color="auto"/>
      </w:divBdr>
    </w:div>
    <w:div w:id="637225935">
      <w:bodyDiv w:val="1"/>
      <w:marLeft w:val="0"/>
      <w:marRight w:val="0"/>
      <w:marTop w:val="0"/>
      <w:marBottom w:val="0"/>
      <w:divBdr>
        <w:top w:val="none" w:sz="0" w:space="0" w:color="auto"/>
        <w:left w:val="none" w:sz="0" w:space="0" w:color="auto"/>
        <w:bottom w:val="none" w:sz="0" w:space="0" w:color="auto"/>
        <w:right w:val="none" w:sz="0" w:space="0" w:color="auto"/>
      </w:divBdr>
      <w:divsChild>
        <w:div w:id="1508523657">
          <w:marLeft w:val="480"/>
          <w:marRight w:val="0"/>
          <w:marTop w:val="0"/>
          <w:marBottom w:val="0"/>
          <w:divBdr>
            <w:top w:val="none" w:sz="0" w:space="0" w:color="auto"/>
            <w:left w:val="none" w:sz="0" w:space="0" w:color="auto"/>
            <w:bottom w:val="none" w:sz="0" w:space="0" w:color="auto"/>
            <w:right w:val="none" w:sz="0" w:space="0" w:color="auto"/>
          </w:divBdr>
        </w:div>
      </w:divsChild>
    </w:div>
    <w:div w:id="693461661">
      <w:bodyDiv w:val="1"/>
      <w:marLeft w:val="0"/>
      <w:marRight w:val="0"/>
      <w:marTop w:val="0"/>
      <w:marBottom w:val="0"/>
      <w:divBdr>
        <w:top w:val="none" w:sz="0" w:space="0" w:color="auto"/>
        <w:left w:val="none" w:sz="0" w:space="0" w:color="auto"/>
        <w:bottom w:val="none" w:sz="0" w:space="0" w:color="auto"/>
        <w:right w:val="none" w:sz="0" w:space="0" w:color="auto"/>
      </w:divBdr>
    </w:div>
    <w:div w:id="703018139">
      <w:bodyDiv w:val="1"/>
      <w:marLeft w:val="0"/>
      <w:marRight w:val="0"/>
      <w:marTop w:val="0"/>
      <w:marBottom w:val="0"/>
      <w:divBdr>
        <w:top w:val="none" w:sz="0" w:space="0" w:color="auto"/>
        <w:left w:val="none" w:sz="0" w:space="0" w:color="auto"/>
        <w:bottom w:val="none" w:sz="0" w:space="0" w:color="auto"/>
        <w:right w:val="none" w:sz="0" w:space="0" w:color="auto"/>
      </w:divBdr>
    </w:div>
    <w:div w:id="719011158">
      <w:bodyDiv w:val="1"/>
      <w:marLeft w:val="0"/>
      <w:marRight w:val="0"/>
      <w:marTop w:val="0"/>
      <w:marBottom w:val="0"/>
      <w:divBdr>
        <w:top w:val="none" w:sz="0" w:space="0" w:color="auto"/>
        <w:left w:val="none" w:sz="0" w:space="0" w:color="auto"/>
        <w:bottom w:val="none" w:sz="0" w:space="0" w:color="auto"/>
        <w:right w:val="none" w:sz="0" w:space="0" w:color="auto"/>
      </w:divBdr>
    </w:div>
    <w:div w:id="766388743">
      <w:bodyDiv w:val="1"/>
      <w:marLeft w:val="0"/>
      <w:marRight w:val="0"/>
      <w:marTop w:val="0"/>
      <w:marBottom w:val="0"/>
      <w:divBdr>
        <w:top w:val="none" w:sz="0" w:space="0" w:color="auto"/>
        <w:left w:val="none" w:sz="0" w:space="0" w:color="auto"/>
        <w:bottom w:val="none" w:sz="0" w:space="0" w:color="auto"/>
        <w:right w:val="none" w:sz="0" w:space="0" w:color="auto"/>
      </w:divBdr>
    </w:div>
    <w:div w:id="770708758">
      <w:bodyDiv w:val="1"/>
      <w:marLeft w:val="0"/>
      <w:marRight w:val="0"/>
      <w:marTop w:val="0"/>
      <w:marBottom w:val="0"/>
      <w:divBdr>
        <w:top w:val="none" w:sz="0" w:space="0" w:color="auto"/>
        <w:left w:val="none" w:sz="0" w:space="0" w:color="auto"/>
        <w:bottom w:val="none" w:sz="0" w:space="0" w:color="auto"/>
        <w:right w:val="none" w:sz="0" w:space="0" w:color="auto"/>
      </w:divBdr>
    </w:div>
    <w:div w:id="778648578">
      <w:bodyDiv w:val="1"/>
      <w:marLeft w:val="0"/>
      <w:marRight w:val="0"/>
      <w:marTop w:val="0"/>
      <w:marBottom w:val="0"/>
      <w:divBdr>
        <w:top w:val="none" w:sz="0" w:space="0" w:color="auto"/>
        <w:left w:val="none" w:sz="0" w:space="0" w:color="auto"/>
        <w:bottom w:val="none" w:sz="0" w:space="0" w:color="auto"/>
        <w:right w:val="none" w:sz="0" w:space="0" w:color="auto"/>
      </w:divBdr>
    </w:div>
    <w:div w:id="814758209">
      <w:bodyDiv w:val="1"/>
      <w:marLeft w:val="0"/>
      <w:marRight w:val="0"/>
      <w:marTop w:val="0"/>
      <w:marBottom w:val="0"/>
      <w:divBdr>
        <w:top w:val="none" w:sz="0" w:space="0" w:color="auto"/>
        <w:left w:val="none" w:sz="0" w:space="0" w:color="auto"/>
        <w:bottom w:val="none" w:sz="0" w:space="0" w:color="auto"/>
        <w:right w:val="none" w:sz="0" w:space="0" w:color="auto"/>
      </w:divBdr>
    </w:div>
    <w:div w:id="836652442">
      <w:bodyDiv w:val="1"/>
      <w:marLeft w:val="0"/>
      <w:marRight w:val="0"/>
      <w:marTop w:val="0"/>
      <w:marBottom w:val="0"/>
      <w:divBdr>
        <w:top w:val="none" w:sz="0" w:space="0" w:color="auto"/>
        <w:left w:val="none" w:sz="0" w:space="0" w:color="auto"/>
        <w:bottom w:val="none" w:sz="0" w:space="0" w:color="auto"/>
        <w:right w:val="none" w:sz="0" w:space="0" w:color="auto"/>
      </w:divBdr>
    </w:div>
    <w:div w:id="850804799">
      <w:bodyDiv w:val="1"/>
      <w:marLeft w:val="0"/>
      <w:marRight w:val="0"/>
      <w:marTop w:val="0"/>
      <w:marBottom w:val="0"/>
      <w:divBdr>
        <w:top w:val="none" w:sz="0" w:space="0" w:color="auto"/>
        <w:left w:val="none" w:sz="0" w:space="0" w:color="auto"/>
        <w:bottom w:val="none" w:sz="0" w:space="0" w:color="auto"/>
        <w:right w:val="none" w:sz="0" w:space="0" w:color="auto"/>
      </w:divBdr>
      <w:divsChild>
        <w:div w:id="482889559">
          <w:marLeft w:val="0"/>
          <w:marRight w:val="0"/>
          <w:marTop w:val="0"/>
          <w:marBottom w:val="0"/>
          <w:divBdr>
            <w:top w:val="none" w:sz="0" w:space="0" w:color="auto"/>
            <w:left w:val="none" w:sz="0" w:space="0" w:color="auto"/>
            <w:bottom w:val="none" w:sz="0" w:space="0" w:color="auto"/>
            <w:right w:val="none" w:sz="0" w:space="0" w:color="auto"/>
          </w:divBdr>
        </w:div>
        <w:div w:id="1722514768">
          <w:marLeft w:val="0"/>
          <w:marRight w:val="0"/>
          <w:marTop w:val="0"/>
          <w:marBottom w:val="0"/>
          <w:divBdr>
            <w:top w:val="none" w:sz="0" w:space="0" w:color="auto"/>
            <w:left w:val="none" w:sz="0" w:space="0" w:color="auto"/>
            <w:bottom w:val="none" w:sz="0" w:space="0" w:color="auto"/>
            <w:right w:val="none" w:sz="0" w:space="0" w:color="auto"/>
          </w:divBdr>
        </w:div>
        <w:div w:id="1750468276">
          <w:marLeft w:val="0"/>
          <w:marRight w:val="0"/>
          <w:marTop w:val="0"/>
          <w:marBottom w:val="0"/>
          <w:divBdr>
            <w:top w:val="none" w:sz="0" w:space="0" w:color="auto"/>
            <w:left w:val="none" w:sz="0" w:space="0" w:color="auto"/>
            <w:bottom w:val="none" w:sz="0" w:space="0" w:color="auto"/>
            <w:right w:val="none" w:sz="0" w:space="0" w:color="auto"/>
          </w:divBdr>
        </w:div>
      </w:divsChild>
    </w:div>
    <w:div w:id="853769058">
      <w:bodyDiv w:val="1"/>
      <w:marLeft w:val="0"/>
      <w:marRight w:val="0"/>
      <w:marTop w:val="0"/>
      <w:marBottom w:val="0"/>
      <w:divBdr>
        <w:top w:val="none" w:sz="0" w:space="0" w:color="auto"/>
        <w:left w:val="none" w:sz="0" w:space="0" w:color="auto"/>
        <w:bottom w:val="none" w:sz="0" w:space="0" w:color="auto"/>
        <w:right w:val="none" w:sz="0" w:space="0" w:color="auto"/>
      </w:divBdr>
    </w:div>
    <w:div w:id="858735541">
      <w:bodyDiv w:val="1"/>
      <w:marLeft w:val="0"/>
      <w:marRight w:val="0"/>
      <w:marTop w:val="0"/>
      <w:marBottom w:val="0"/>
      <w:divBdr>
        <w:top w:val="none" w:sz="0" w:space="0" w:color="auto"/>
        <w:left w:val="none" w:sz="0" w:space="0" w:color="auto"/>
        <w:bottom w:val="none" w:sz="0" w:space="0" w:color="auto"/>
        <w:right w:val="none" w:sz="0" w:space="0" w:color="auto"/>
      </w:divBdr>
      <w:divsChild>
        <w:div w:id="660933237">
          <w:marLeft w:val="547"/>
          <w:marRight w:val="0"/>
          <w:marTop w:val="0"/>
          <w:marBottom w:val="0"/>
          <w:divBdr>
            <w:top w:val="none" w:sz="0" w:space="0" w:color="auto"/>
            <w:left w:val="none" w:sz="0" w:space="0" w:color="auto"/>
            <w:bottom w:val="none" w:sz="0" w:space="0" w:color="auto"/>
            <w:right w:val="none" w:sz="0" w:space="0" w:color="auto"/>
          </w:divBdr>
        </w:div>
      </w:divsChild>
    </w:div>
    <w:div w:id="859898090">
      <w:bodyDiv w:val="1"/>
      <w:marLeft w:val="0"/>
      <w:marRight w:val="0"/>
      <w:marTop w:val="0"/>
      <w:marBottom w:val="0"/>
      <w:divBdr>
        <w:top w:val="none" w:sz="0" w:space="0" w:color="auto"/>
        <w:left w:val="none" w:sz="0" w:space="0" w:color="auto"/>
        <w:bottom w:val="none" w:sz="0" w:space="0" w:color="auto"/>
        <w:right w:val="none" w:sz="0" w:space="0" w:color="auto"/>
      </w:divBdr>
      <w:divsChild>
        <w:div w:id="195119374">
          <w:marLeft w:val="0"/>
          <w:marRight w:val="0"/>
          <w:marTop w:val="0"/>
          <w:marBottom w:val="0"/>
          <w:divBdr>
            <w:top w:val="none" w:sz="0" w:space="0" w:color="auto"/>
            <w:left w:val="none" w:sz="0" w:space="0" w:color="auto"/>
            <w:bottom w:val="none" w:sz="0" w:space="0" w:color="auto"/>
            <w:right w:val="none" w:sz="0" w:space="0" w:color="auto"/>
          </w:divBdr>
        </w:div>
        <w:div w:id="303119624">
          <w:marLeft w:val="0"/>
          <w:marRight w:val="0"/>
          <w:marTop w:val="0"/>
          <w:marBottom w:val="0"/>
          <w:divBdr>
            <w:top w:val="none" w:sz="0" w:space="0" w:color="auto"/>
            <w:left w:val="none" w:sz="0" w:space="0" w:color="auto"/>
            <w:bottom w:val="none" w:sz="0" w:space="0" w:color="auto"/>
            <w:right w:val="none" w:sz="0" w:space="0" w:color="auto"/>
          </w:divBdr>
        </w:div>
        <w:div w:id="707461325">
          <w:marLeft w:val="0"/>
          <w:marRight w:val="0"/>
          <w:marTop w:val="0"/>
          <w:marBottom w:val="0"/>
          <w:divBdr>
            <w:top w:val="none" w:sz="0" w:space="0" w:color="auto"/>
            <w:left w:val="none" w:sz="0" w:space="0" w:color="auto"/>
            <w:bottom w:val="none" w:sz="0" w:space="0" w:color="auto"/>
            <w:right w:val="none" w:sz="0" w:space="0" w:color="auto"/>
          </w:divBdr>
        </w:div>
        <w:div w:id="742677179">
          <w:marLeft w:val="0"/>
          <w:marRight w:val="0"/>
          <w:marTop w:val="0"/>
          <w:marBottom w:val="0"/>
          <w:divBdr>
            <w:top w:val="none" w:sz="0" w:space="0" w:color="auto"/>
            <w:left w:val="none" w:sz="0" w:space="0" w:color="auto"/>
            <w:bottom w:val="none" w:sz="0" w:space="0" w:color="auto"/>
            <w:right w:val="none" w:sz="0" w:space="0" w:color="auto"/>
          </w:divBdr>
        </w:div>
        <w:div w:id="1062869261">
          <w:marLeft w:val="0"/>
          <w:marRight w:val="0"/>
          <w:marTop w:val="0"/>
          <w:marBottom w:val="0"/>
          <w:divBdr>
            <w:top w:val="none" w:sz="0" w:space="0" w:color="auto"/>
            <w:left w:val="none" w:sz="0" w:space="0" w:color="auto"/>
            <w:bottom w:val="none" w:sz="0" w:space="0" w:color="auto"/>
            <w:right w:val="none" w:sz="0" w:space="0" w:color="auto"/>
          </w:divBdr>
        </w:div>
        <w:div w:id="1135374525">
          <w:marLeft w:val="0"/>
          <w:marRight w:val="0"/>
          <w:marTop w:val="0"/>
          <w:marBottom w:val="0"/>
          <w:divBdr>
            <w:top w:val="none" w:sz="0" w:space="0" w:color="auto"/>
            <w:left w:val="none" w:sz="0" w:space="0" w:color="auto"/>
            <w:bottom w:val="none" w:sz="0" w:space="0" w:color="auto"/>
            <w:right w:val="none" w:sz="0" w:space="0" w:color="auto"/>
          </w:divBdr>
        </w:div>
        <w:div w:id="1547639767">
          <w:marLeft w:val="0"/>
          <w:marRight w:val="0"/>
          <w:marTop w:val="0"/>
          <w:marBottom w:val="0"/>
          <w:divBdr>
            <w:top w:val="none" w:sz="0" w:space="0" w:color="auto"/>
            <w:left w:val="none" w:sz="0" w:space="0" w:color="auto"/>
            <w:bottom w:val="none" w:sz="0" w:space="0" w:color="auto"/>
            <w:right w:val="none" w:sz="0" w:space="0" w:color="auto"/>
          </w:divBdr>
        </w:div>
        <w:div w:id="2020620458">
          <w:marLeft w:val="0"/>
          <w:marRight w:val="0"/>
          <w:marTop w:val="0"/>
          <w:marBottom w:val="0"/>
          <w:divBdr>
            <w:top w:val="none" w:sz="0" w:space="0" w:color="auto"/>
            <w:left w:val="none" w:sz="0" w:space="0" w:color="auto"/>
            <w:bottom w:val="none" w:sz="0" w:space="0" w:color="auto"/>
            <w:right w:val="none" w:sz="0" w:space="0" w:color="auto"/>
          </w:divBdr>
        </w:div>
        <w:div w:id="2047173460">
          <w:marLeft w:val="0"/>
          <w:marRight w:val="0"/>
          <w:marTop w:val="0"/>
          <w:marBottom w:val="0"/>
          <w:divBdr>
            <w:top w:val="none" w:sz="0" w:space="0" w:color="auto"/>
            <w:left w:val="none" w:sz="0" w:space="0" w:color="auto"/>
            <w:bottom w:val="none" w:sz="0" w:space="0" w:color="auto"/>
            <w:right w:val="none" w:sz="0" w:space="0" w:color="auto"/>
          </w:divBdr>
        </w:div>
        <w:div w:id="2076508922">
          <w:marLeft w:val="0"/>
          <w:marRight w:val="0"/>
          <w:marTop w:val="0"/>
          <w:marBottom w:val="0"/>
          <w:divBdr>
            <w:top w:val="none" w:sz="0" w:space="0" w:color="auto"/>
            <w:left w:val="none" w:sz="0" w:space="0" w:color="auto"/>
            <w:bottom w:val="none" w:sz="0" w:space="0" w:color="auto"/>
            <w:right w:val="none" w:sz="0" w:space="0" w:color="auto"/>
          </w:divBdr>
        </w:div>
      </w:divsChild>
    </w:div>
    <w:div w:id="873926899">
      <w:bodyDiv w:val="1"/>
      <w:marLeft w:val="0"/>
      <w:marRight w:val="0"/>
      <w:marTop w:val="0"/>
      <w:marBottom w:val="0"/>
      <w:divBdr>
        <w:top w:val="none" w:sz="0" w:space="0" w:color="auto"/>
        <w:left w:val="none" w:sz="0" w:space="0" w:color="auto"/>
        <w:bottom w:val="none" w:sz="0" w:space="0" w:color="auto"/>
        <w:right w:val="none" w:sz="0" w:space="0" w:color="auto"/>
      </w:divBdr>
      <w:divsChild>
        <w:div w:id="795879518">
          <w:marLeft w:val="0"/>
          <w:marRight w:val="0"/>
          <w:marTop w:val="0"/>
          <w:marBottom w:val="0"/>
          <w:divBdr>
            <w:top w:val="none" w:sz="0" w:space="0" w:color="auto"/>
            <w:left w:val="none" w:sz="0" w:space="0" w:color="auto"/>
            <w:bottom w:val="none" w:sz="0" w:space="0" w:color="auto"/>
            <w:right w:val="none" w:sz="0" w:space="0" w:color="auto"/>
          </w:divBdr>
        </w:div>
      </w:divsChild>
    </w:div>
    <w:div w:id="895046182">
      <w:bodyDiv w:val="1"/>
      <w:marLeft w:val="0"/>
      <w:marRight w:val="0"/>
      <w:marTop w:val="0"/>
      <w:marBottom w:val="0"/>
      <w:divBdr>
        <w:top w:val="none" w:sz="0" w:space="0" w:color="auto"/>
        <w:left w:val="none" w:sz="0" w:space="0" w:color="auto"/>
        <w:bottom w:val="none" w:sz="0" w:space="0" w:color="auto"/>
        <w:right w:val="none" w:sz="0" w:space="0" w:color="auto"/>
      </w:divBdr>
    </w:div>
    <w:div w:id="926353721">
      <w:bodyDiv w:val="1"/>
      <w:marLeft w:val="0"/>
      <w:marRight w:val="0"/>
      <w:marTop w:val="0"/>
      <w:marBottom w:val="0"/>
      <w:divBdr>
        <w:top w:val="none" w:sz="0" w:space="0" w:color="auto"/>
        <w:left w:val="none" w:sz="0" w:space="0" w:color="auto"/>
        <w:bottom w:val="none" w:sz="0" w:space="0" w:color="auto"/>
        <w:right w:val="none" w:sz="0" w:space="0" w:color="auto"/>
      </w:divBdr>
    </w:div>
    <w:div w:id="982125441">
      <w:bodyDiv w:val="1"/>
      <w:marLeft w:val="0"/>
      <w:marRight w:val="0"/>
      <w:marTop w:val="0"/>
      <w:marBottom w:val="0"/>
      <w:divBdr>
        <w:top w:val="none" w:sz="0" w:space="0" w:color="auto"/>
        <w:left w:val="none" w:sz="0" w:space="0" w:color="auto"/>
        <w:bottom w:val="none" w:sz="0" w:space="0" w:color="auto"/>
        <w:right w:val="none" w:sz="0" w:space="0" w:color="auto"/>
      </w:divBdr>
    </w:div>
    <w:div w:id="982584323">
      <w:bodyDiv w:val="1"/>
      <w:marLeft w:val="0"/>
      <w:marRight w:val="0"/>
      <w:marTop w:val="0"/>
      <w:marBottom w:val="0"/>
      <w:divBdr>
        <w:top w:val="none" w:sz="0" w:space="0" w:color="auto"/>
        <w:left w:val="none" w:sz="0" w:space="0" w:color="auto"/>
        <w:bottom w:val="none" w:sz="0" w:space="0" w:color="auto"/>
        <w:right w:val="none" w:sz="0" w:space="0" w:color="auto"/>
      </w:divBdr>
    </w:div>
    <w:div w:id="985625558">
      <w:bodyDiv w:val="1"/>
      <w:marLeft w:val="0"/>
      <w:marRight w:val="0"/>
      <w:marTop w:val="0"/>
      <w:marBottom w:val="0"/>
      <w:divBdr>
        <w:top w:val="none" w:sz="0" w:space="0" w:color="auto"/>
        <w:left w:val="none" w:sz="0" w:space="0" w:color="auto"/>
        <w:bottom w:val="none" w:sz="0" w:space="0" w:color="auto"/>
        <w:right w:val="none" w:sz="0" w:space="0" w:color="auto"/>
      </w:divBdr>
    </w:div>
    <w:div w:id="1046417631">
      <w:bodyDiv w:val="1"/>
      <w:marLeft w:val="0"/>
      <w:marRight w:val="0"/>
      <w:marTop w:val="0"/>
      <w:marBottom w:val="0"/>
      <w:divBdr>
        <w:top w:val="none" w:sz="0" w:space="0" w:color="auto"/>
        <w:left w:val="none" w:sz="0" w:space="0" w:color="auto"/>
        <w:bottom w:val="none" w:sz="0" w:space="0" w:color="auto"/>
        <w:right w:val="none" w:sz="0" w:space="0" w:color="auto"/>
      </w:divBdr>
    </w:div>
    <w:div w:id="1152796482">
      <w:bodyDiv w:val="1"/>
      <w:marLeft w:val="0"/>
      <w:marRight w:val="0"/>
      <w:marTop w:val="0"/>
      <w:marBottom w:val="0"/>
      <w:divBdr>
        <w:top w:val="none" w:sz="0" w:space="0" w:color="auto"/>
        <w:left w:val="none" w:sz="0" w:space="0" w:color="auto"/>
        <w:bottom w:val="none" w:sz="0" w:space="0" w:color="auto"/>
        <w:right w:val="none" w:sz="0" w:space="0" w:color="auto"/>
      </w:divBdr>
    </w:div>
    <w:div w:id="1153907800">
      <w:bodyDiv w:val="1"/>
      <w:marLeft w:val="0"/>
      <w:marRight w:val="0"/>
      <w:marTop w:val="0"/>
      <w:marBottom w:val="0"/>
      <w:divBdr>
        <w:top w:val="none" w:sz="0" w:space="0" w:color="auto"/>
        <w:left w:val="none" w:sz="0" w:space="0" w:color="auto"/>
        <w:bottom w:val="none" w:sz="0" w:space="0" w:color="auto"/>
        <w:right w:val="none" w:sz="0" w:space="0" w:color="auto"/>
      </w:divBdr>
      <w:divsChild>
        <w:div w:id="51123478">
          <w:marLeft w:val="0"/>
          <w:marRight w:val="0"/>
          <w:marTop w:val="0"/>
          <w:marBottom w:val="0"/>
          <w:divBdr>
            <w:top w:val="none" w:sz="0" w:space="0" w:color="auto"/>
            <w:left w:val="none" w:sz="0" w:space="0" w:color="auto"/>
            <w:bottom w:val="none" w:sz="0" w:space="0" w:color="auto"/>
            <w:right w:val="none" w:sz="0" w:space="0" w:color="auto"/>
          </w:divBdr>
          <w:divsChild>
            <w:div w:id="271478571">
              <w:marLeft w:val="0"/>
              <w:marRight w:val="0"/>
              <w:marTop w:val="0"/>
              <w:marBottom w:val="0"/>
              <w:divBdr>
                <w:top w:val="none" w:sz="0" w:space="0" w:color="auto"/>
                <w:left w:val="none" w:sz="0" w:space="0" w:color="auto"/>
                <w:bottom w:val="none" w:sz="0" w:space="0" w:color="auto"/>
                <w:right w:val="none" w:sz="0" w:space="0" w:color="auto"/>
              </w:divBdr>
            </w:div>
            <w:div w:id="721028029">
              <w:marLeft w:val="0"/>
              <w:marRight w:val="0"/>
              <w:marTop w:val="0"/>
              <w:marBottom w:val="0"/>
              <w:divBdr>
                <w:top w:val="none" w:sz="0" w:space="0" w:color="auto"/>
                <w:left w:val="none" w:sz="0" w:space="0" w:color="auto"/>
                <w:bottom w:val="none" w:sz="0" w:space="0" w:color="auto"/>
                <w:right w:val="none" w:sz="0" w:space="0" w:color="auto"/>
              </w:divBdr>
            </w:div>
            <w:div w:id="1512525304">
              <w:marLeft w:val="0"/>
              <w:marRight w:val="0"/>
              <w:marTop w:val="0"/>
              <w:marBottom w:val="0"/>
              <w:divBdr>
                <w:top w:val="none" w:sz="0" w:space="0" w:color="auto"/>
                <w:left w:val="none" w:sz="0" w:space="0" w:color="auto"/>
                <w:bottom w:val="none" w:sz="0" w:space="0" w:color="auto"/>
                <w:right w:val="none" w:sz="0" w:space="0" w:color="auto"/>
              </w:divBdr>
            </w:div>
            <w:div w:id="1840075859">
              <w:marLeft w:val="0"/>
              <w:marRight w:val="0"/>
              <w:marTop w:val="0"/>
              <w:marBottom w:val="0"/>
              <w:divBdr>
                <w:top w:val="none" w:sz="0" w:space="0" w:color="auto"/>
                <w:left w:val="none" w:sz="0" w:space="0" w:color="auto"/>
                <w:bottom w:val="none" w:sz="0" w:space="0" w:color="auto"/>
                <w:right w:val="none" w:sz="0" w:space="0" w:color="auto"/>
              </w:divBdr>
            </w:div>
          </w:divsChild>
        </w:div>
        <w:div w:id="187257326">
          <w:marLeft w:val="0"/>
          <w:marRight w:val="0"/>
          <w:marTop w:val="0"/>
          <w:marBottom w:val="0"/>
          <w:divBdr>
            <w:top w:val="none" w:sz="0" w:space="0" w:color="auto"/>
            <w:left w:val="none" w:sz="0" w:space="0" w:color="auto"/>
            <w:bottom w:val="none" w:sz="0" w:space="0" w:color="auto"/>
            <w:right w:val="none" w:sz="0" w:space="0" w:color="auto"/>
          </w:divBdr>
        </w:div>
        <w:div w:id="314726911">
          <w:marLeft w:val="0"/>
          <w:marRight w:val="0"/>
          <w:marTop w:val="0"/>
          <w:marBottom w:val="0"/>
          <w:divBdr>
            <w:top w:val="none" w:sz="0" w:space="0" w:color="auto"/>
            <w:left w:val="none" w:sz="0" w:space="0" w:color="auto"/>
            <w:bottom w:val="none" w:sz="0" w:space="0" w:color="auto"/>
            <w:right w:val="none" w:sz="0" w:space="0" w:color="auto"/>
          </w:divBdr>
        </w:div>
        <w:div w:id="542061070">
          <w:marLeft w:val="0"/>
          <w:marRight w:val="0"/>
          <w:marTop w:val="0"/>
          <w:marBottom w:val="0"/>
          <w:divBdr>
            <w:top w:val="none" w:sz="0" w:space="0" w:color="auto"/>
            <w:left w:val="none" w:sz="0" w:space="0" w:color="auto"/>
            <w:bottom w:val="none" w:sz="0" w:space="0" w:color="auto"/>
            <w:right w:val="none" w:sz="0" w:space="0" w:color="auto"/>
          </w:divBdr>
        </w:div>
        <w:div w:id="825126832">
          <w:marLeft w:val="0"/>
          <w:marRight w:val="0"/>
          <w:marTop w:val="0"/>
          <w:marBottom w:val="0"/>
          <w:divBdr>
            <w:top w:val="none" w:sz="0" w:space="0" w:color="auto"/>
            <w:left w:val="none" w:sz="0" w:space="0" w:color="auto"/>
            <w:bottom w:val="none" w:sz="0" w:space="0" w:color="auto"/>
            <w:right w:val="none" w:sz="0" w:space="0" w:color="auto"/>
          </w:divBdr>
          <w:divsChild>
            <w:div w:id="95714634">
              <w:marLeft w:val="0"/>
              <w:marRight w:val="0"/>
              <w:marTop w:val="0"/>
              <w:marBottom w:val="0"/>
              <w:divBdr>
                <w:top w:val="none" w:sz="0" w:space="0" w:color="auto"/>
                <w:left w:val="none" w:sz="0" w:space="0" w:color="auto"/>
                <w:bottom w:val="none" w:sz="0" w:space="0" w:color="auto"/>
                <w:right w:val="none" w:sz="0" w:space="0" w:color="auto"/>
              </w:divBdr>
            </w:div>
            <w:div w:id="394738778">
              <w:marLeft w:val="0"/>
              <w:marRight w:val="0"/>
              <w:marTop w:val="0"/>
              <w:marBottom w:val="0"/>
              <w:divBdr>
                <w:top w:val="none" w:sz="0" w:space="0" w:color="auto"/>
                <w:left w:val="none" w:sz="0" w:space="0" w:color="auto"/>
                <w:bottom w:val="none" w:sz="0" w:space="0" w:color="auto"/>
                <w:right w:val="none" w:sz="0" w:space="0" w:color="auto"/>
              </w:divBdr>
            </w:div>
            <w:div w:id="889343456">
              <w:marLeft w:val="0"/>
              <w:marRight w:val="0"/>
              <w:marTop w:val="0"/>
              <w:marBottom w:val="0"/>
              <w:divBdr>
                <w:top w:val="none" w:sz="0" w:space="0" w:color="auto"/>
                <w:left w:val="none" w:sz="0" w:space="0" w:color="auto"/>
                <w:bottom w:val="none" w:sz="0" w:space="0" w:color="auto"/>
                <w:right w:val="none" w:sz="0" w:space="0" w:color="auto"/>
              </w:divBdr>
            </w:div>
            <w:div w:id="1236210709">
              <w:marLeft w:val="0"/>
              <w:marRight w:val="0"/>
              <w:marTop w:val="0"/>
              <w:marBottom w:val="0"/>
              <w:divBdr>
                <w:top w:val="none" w:sz="0" w:space="0" w:color="auto"/>
                <w:left w:val="none" w:sz="0" w:space="0" w:color="auto"/>
                <w:bottom w:val="none" w:sz="0" w:space="0" w:color="auto"/>
                <w:right w:val="none" w:sz="0" w:space="0" w:color="auto"/>
              </w:divBdr>
            </w:div>
            <w:div w:id="1972053260">
              <w:marLeft w:val="0"/>
              <w:marRight w:val="0"/>
              <w:marTop w:val="0"/>
              <w:marBottom w:val="0"/>
              <w:divBdr>
                <w:top w:val="none" w:sz="0" w:space="0" w:color="auto"/>
                <w:left w:val="none" w:sz="0" w:space="0" w:color="auto"/>
                <w:bottom w:val="none" w:sz="0" w:space="0" w:color="auto"/>
                <w:right w:val="none" w:sz="0" w:space="0" w:color="auto"/>
              </w:divBdr>
            </w:div>
          </w:divsChild>
        </w:div>
        <w:div w:id="923488010">
          <w:marLeft w:val="0"/>
          <w:marRight w:val="0"/>
          <w:marTop w:val="0"/>
          <w:marBottom w:val="0"/>
          <w:divBdr>
            <w:top w:val="none" w:sz="0" w:space="0" w:color="auto"/>
            <w:left w:val="none" w:sz="0" w:space="0" w:color="auto"/>
            <w:bottom w:val="none" w:sz="0" w:space="0" w:color="auto"/>
            <w:right w:val="none" w:sz="0" w:space="0" w:color="auto"/>
          </w:divBdr>
          <w:divsChild>
            <w:div w:id="499196220">
              <w:marLeft w:val="0"/>
              <w:marRight w:val="0"/>
              <w:marTop w:val="0"/>
              <w:marBottom w:val="0"/>
              <w:divBdr>
                <w:top w:val="none" w:sz="0" w:space="0" w:color="auto"/>
                <w:left w:val="none" w:sz="0" w:space="0" w:color="auto"/>
                <w:bottom w:val="none" w:sz="0" w:space="0" w:color="auto"/>
                <w:right w:val="none" w:sz="0" w:space="0" w:color="auto"/>
              </w:divBdr>
            </w:div>
            <w:div w:id="726225067">
              <w:marLeft w:val="0"/>
              <w:marRight w:val="0"/>
              <w:marTop w:val="0"/>
              <w:marBottom w:val="0"/>
              <w:divBdr>
                <w:top w:val="none" w:sz="0" w:space="0" w:color="auto"/>
                <w:left w:val="none" w:sz="0" w:space="0" w:color="auto"/>
                <w:bottom w:val="none" w:sz="0" w:space="0" w:color="auto"/>
                <w:right w:val="none" w:sz="0" w:space="0" w:color="auto"/>
              </w:divBdr>
            </w:div>
            <w:div w:id="1302878417">
              <w:marLeft w:val="0"/>
              <w:marRight w:val="0"/>
              <w:marTop w:val="0"/>
              <w:marBottom w:val="0"/>
              <w:divBdr>
                <w:top w:val="none" w:sz="0" w:space="0" w:color="auto"/>
                <w:left w:val="none" w:sz="0" w:space="0" w:color="auto"/>
                <w:bottom w:val="none" w:sz="0" w:space="0" w:color="auto"/>
                <w:right w:val="none" w:sz="0" w:space="0" w:color="auto"/>
              </w:divBdr>
            </w:div>
            <w:div w:id="1443526092">
              <w:marLeft w:val="0"/>
              <w:marRight w:val="0"/>
              <w:marTop w:val="0"/>
              <w:marBottom w:val="0"/>
              <w:divBdr>
                <w:top w:val="none" w:sz="0" w:space="0" w:color="auto"/>
                <w:left w:val="none" w:sz="0" w:space="0" w:color="auto"/>
                <w:bottom w:val="none" w:sz="0" w:space="0" w:color="auto"/>
                <w:right w:val="none" w:sz="0" w:space="0" w:color="auto"/>
              </w:divBdr>
            </w:div>
            <w:div w:id="1814372738">
              <w:marLeft w:val="0"/>
              <w:marRight w:val="0"/>
              <w:marTop w:val="0"/>
              <w:marBottom w:val="0"/>
              <w:divBdr>
                <w:top w:val="none" w:sz="0" w:space="0" w:color="auto"/>
                <w:left w:val="none" w:sz="0" w:space="0" w:color="auto"/>
                <w:bottom w:val="none" w:sz="0" w:space="0" w:color="auto"/>
                <w:right w:val="none" w:sz="0" w:space="0" w:color="auto"/>
              </w:divBdr>
            </w:div>
          </w:divsChild>
        </w:div>
        <w:div w:id="1364599130">
          <w:marLeft w:val="0"/>
          <w:marRight w:val="0"/>
          <w:marTop w:val="0"/>
          <w:marBottom w:val="0"/>
          <w:divBdr>
            <w:top w:val="none" w:sz="0" w:space="0" w:color="auto"/>
            <w:left w:val="none" w:sz="0" w:space="0" w:color="auto"/>
            <w:bottom w:val="none" w:sz="0" w:space="0" w:color="auto"/>
            <w:right w:val="none" w:sz="0" w:space="0" w:color="auto"/>
          </w:divBdr>
        </w:div>
        <w:div w:id="1475101539">
          <w:marLeft w:val="0"/>
          <w:marRight w:val="0"/>
          <w:marTop w:val="0"/>
          <w:marBottom w:val="0"/>
          <w:divBdr>
            <w:top w:val="none" w:sz="0" w:space="0" w:color="auto"/>
            <w:left w:val="none" w:sz="0" w:space="0" w:color="auto"/>
            <w:bottom w:val="none" w:sz="0" w:space="0" w:color="auto"/>
            <w:right w:val="none" w:sz="0" w:space="0" w:color="auto"/>
          </w:divBdr>
          <w:divsChild>
            <w:div w:id="35669199">
              <w:marLeft w:val="0"/>
              <w:marRight w:val="0"/>
              <w:marTop w:val="0"/>
              <w:marBottom w:val="0"/>
              <w:divBdr>
                <w:top w:val="none" w:sz="0" w:space="0" w:color="auto"/>
                <w:left w:val="none" w:sz="0" w:space="0" w:color="auto"/>
                <w:bottom w:val="none" w:sz="0" w:space="0" w:color="auto"/>
                <w:right w:val="none" w:sz="0" w:space="0" w:color="auto"/>
              </w:divBdr>
            </w:div>
            <w:div w:id="251940657">
              <w:marLeft w:val="0"/>
              <w:marRight w:val="0"/>
              <w:marTop w:val="0"/>
              <w:marBottom w:val="0"/>
              <w:divBdr>
                <w:top w:val="none" w:sz="0" w:space="0" w:color="auto"/>
                <w:left w:val="none" w:sz="0" w:space="0" w:color="auto"/>
                <w:bottom w:val="none" w:sz="0" w:space="0" w:color="auto"/>
                <w:right w:val="none" w:sz="0" w:space="0" w:color="auto"/>
              </w:divBdr>
            </w:div>
            <w:div w:id="415175338">
              <w:marLeft w:val="0"/>
              <w:marRight w:val="0"/>
              <w:marTop w:val="0"/>
              <w:marBottom w:val="0"/>
              <w:divBdr>
                <w:top w:val="none" w:sz="0" w:space="0" w:color="auto"/>
                <w:left w:val="none" w:sz="0" w:space="0" w:color="auto"/>
                <w:bottom w:val="none" w:sz="0" w:space="0" w:color="auto"/>
                <w:right w:val="none" w:sz="0" w:space="0" w:color="auto"/>
              </w:divBdr>
            </w:div>
          </w:divsChild>
        </w:div>
        <w:div w:id="1553425501">
          <w:marLeft w:val="0"/>
          <w:marRight w:val="0"/>
          <w:marTop w:val="0"/>
          <w:marBottom w:val="0"/>
          <w:divBdr>
            <w:top w:val="none" w:sz="0" w:space="0" w:color="auto"/>
            <w:left w:val="none" w:sz="0" w:space="0" w:color="auto"/>
            <w:bottom w:val="none" w:sz="0" w:space="0" w:color="auto"/>
            <w:right w:val="none" w:sz="0" w:space="0" w:color="auto"/>
          </w:divBdr>
        </w:div>
        <w:div w:id="1558278502">
          <w:marLeft w:val="0"/>
          <w:marRight w:val="0"/>
          <w:marTop w:val="0"/>
          <w:marBottom w:val="0"/>
          <w:divBdr>
            <w:top w:val="none" w:sz="0" w:space="0" w:color="auto"/>
            <w:left w:val="none" w:sz="0" w:space="0" w:color="auto"/>
            <w:bottom w:val="none" w:sz="0" w:space="0" w:color="auto"/>
            <w:right w:val="none" w:sz="0" w:space="0" w:color="auto"/>
          </w:divBdr>
        </w:div>
        <w:div w:id="1565918768">
          <w:marLeft w:val="0"/>
          <w:marRight w:val="0"/>
          <w:marTop w:val="0"/>
          <w:marBottom w:val="0"/>
          <w:divBdr>
            <w:top w:val="none" w:sz="0" w:space="0" w:color="auto"/>
            <w:left w:val="none" w:sz="0" w:space="0" w:color="auto"/>
            <w:bottom w:val="none" w:sz="0" w:space="0" w:color="auto"/>
            <w:right w:val="none" w:sz="0" w:space="0" w:color="auto"/>
          </w:divBdr>
          <w:divsChild>
            <w:div w:id="427042721">
              <w:marLeft w:val="0"/>
              <w:marRight w:val="0"/>
              <w:marTop w:val="0"/>
              <w:marBottom w:val="0"/>
              <w:divBdr>
                <w:top w:val="none" w:sz="0" w:space="0" w:color="auto"/>
                <w:left w:val="none" w:sz="0" w:space="0" w:color="auto"/>
                <w:bottom w:val="none" w:sz="0" w:space="0" w:color="auto"/>
                <w:right w:val="none" w:sz="0" w:space="0" w:color="auto"/>
              </w:divBdr>
            </w:div>
          </w:divsChild>
        </w:div>
        <w:div w:id="1981424206">
          <w:marLeft w:val="0"/>
          <w:marRight w:val="0"/>
          <w:marTop w:val="0"/>
          <w:marBottom w:val="0"/>
          <w:divBdr>
            <w:top w:val="none" w:sz="0" w:space="0" w:color="auto"/>
            <w:left w:val="none" w:sz="0" w:space="0" w:color="auto"/>
            <w:bottom w:val="none" w:sz="0" w:space="0" w:color="auto"/>
            <w:right w:val="none" w:sz="0" w:space="0" w:color="auto"/>
          </w:divBdr>
        </w:div>
      </w:divsChild>
    </w:div>
    <w:div w:id="1168516133">
      <w:bodyDiv w:val="1"/>
      <w:marLeft w:val="0"/>
      <w:marRight w:val="0"/>
      <w:marTop w:val="0"/>
      <w:marBottom w:val="0"/>
      <w:divBdr>
        <w:top w:val="none" w:sz="0" w:space="0" w:color="auto"/>
        <w:left w:val="none" w:sz="0" w:space="0" w:color="auto"/>
        <w:bottom w:val="none" w:sz="0" w:space="0" w:color="auto"/>
        <w:right w:val="none" w:sz="0" w:space="0" w:color="auto"/>
      </w:divBdr>
    </w:div>
    <w:div w:id="1196428658">
      <w:bodyDiv w:val="1"/>
      <w:marLeft w:val="0"/>
      <w:marRight w:val="0"/>
      <w:marTop w:val="0"/>
      <w:marBottom w:val="0"/>
      <w:divBdr>
        <w:top w:val="none" w:sz="0" w:space="0" w:color="auto"/>
        <w:left w:val="none" w:sz="0" w:space="0" w:color="auto"/>
        <w:bottom w:val="none" w:sz="0" w:space="0" w:color="auto"/>
        <w:right w:val="none" w:sz="0" w:space="0" w:color="auto"/>
      </w:divBdr>
      <w:divsChild>
        <w:div w:id="1659075251">
          <w:marLeft w:val="0"/>
          <w:marRight w:val="0"/>
          <w:marTop w:val="0"/>
          <w:marBottom w:val="0"/>
          <w:divBdr>
            <w:top w:val="none" w:sz="0" w:space="0" w:color="auto"/>
            <w:left w:val="none" w:sz="0" w:space="0" w:color="auto"/>
            <w:bottom w:val="none" w:sz="0" w:space="0" w:color="auto"/>
            <w:right w:val="none" w:sz="0" w:space="0" w:color="auto"/>
          </w:divBdr>
          <w:divsChild>
            <w:div w:id="521935603">
              <w:marLeft w:val="0"/>
              <w:marRight w:val="0"/>
              <w:marTop w:val="0"/>
              <w:marBottom w:val="0"/>
              <w:divBdr>
                <w:top w:val="none" w:sz="0" w:space="0" w:color="auto"/>
                <w:left w:val="none" w:sz="0" w:space="0" w:color="auto"/>
                <w:bottom w:val="none" w:sz="0" w:space="0" w:color="auto"/>
                <w:right w:val="none" w:sz="0" w:space="0" w:color="auto"/>
              </w:divBdr>
            </w:div>
          </w:divsChild>
        </w:div>
        <w:div w:id="1872062518">
          <w:marLeft w:val="0"/>
          <w:marRight w:val="0"/>
          <w:marTop w:val="0"/>
          <w:marBottom w:val="0"/>
          <w:divBdr>
            <w:top w:val="none" w:sz="0" w:space="0" w:color="auto"/>
            <w:left w:val="none" w:sz="0" w:space="0" w:color="auto"/>
            <w:bottom w:val="none" w:sz="0" w:space="0" w:color="auto"/>
            <w:right w:val="none" w:sz="0" w:space="0" w:color="auto"/>
          </w:divBdr>
          <w:divsChild>
            <w:div w:id="323970286">
              <w:marLeft w:val="0"/>
              <w:marRight w:val="0"/>
              <w:marTop w:val="0"/>
              <w:marBottom w:val="0"/>
              <w:divBdr>
                <w:top w:val="none" w:sz="0" w:space="0" w:color="auto"/>
                <w:left w:val="none" w:sz="0" w:space="0" w:color="auto"/>
                <w:bottom w:val="none" w:sz="0" w:space="0" w:color="auto"/>
                <w:right w:val="none" w:sz="0" w:space="0" w:color="auto"/>
              </w:divBdr>
            </w:div>
            <w:div w:id="900947550">
              <w:marLeft w:val="0"/>
              <w:marRight w:val="0"/>
              <w:marTop w:val="0"/>
              <w:marBottom w:val="0"/>
              <w:divBdr>
                <w:top w:val="none" w:sz="0" w:space="0" w:color="auto"/>
                <w:left w:val="none" w:sz="0" w:space="0" w:color="auto"/>
                <w:bottom w:val="none" w:sz="0" w:space="0" w:color="auto"/>
                <w:right w:val="none" w:sz="0" w:space="0" w:color="auto"/>
              </w:divBdr>
            </w:div>
            <w:div w:id="95953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770782">
      <w:bodyDiv w:val="1"/>
      <w:marLeft w:val="0"/>
      <w:marRight w:val="0"/>
      <w:marTop w:val="0"/>
      <w:marBottom w:val="0"/>
      <w:divBdr>
        <w:top w:val="none" w:sz="0" w:space="0" w:color="auto"/>
        <w:left w:val="none" w:sz="0" w:space="0" w:color="auto"/>
        <w:bottom w:val="none" w:sz="0" w:space="0" w:color="auto"/>
        <w:right w:val="none" w:sz="0" w:space="0" w:color="auto"/>
      </w:divBdr>
    </w:div>
    <w:div w:id="1235816745">
      <w:bodyDiv w:val="1"/>
      <w:marLeft w:val="0"/>
      <w:marRight w:val="0"/>
      <w:marTop w:val="0"/>
      <w:marBottom w:val="0"/>
      <w:divBdr>
        <w:top w:val="none" w:sz="0" w:space="0" w:color="auto"/>
        <w:left w:val="none" w:sz="0" w:space="0" w:color="auto"/>
        <w:bottom w:val="none" w:sz="0" w:space="0" w:color="auto"/>
        <w:right w:val="none" w:sz="0" w:space="0" w:color="auto"/>
      </w:divBdr>
      <w:divsChild>
        <w:div w:id="25107720">
          <w:marLeft w:val="0"/>
          <w:marRight w:val="0"/>
          <w:marTop w:val="0"/>
          <w:marBottom w:val="0"/>
          <w:divBdr>
            <w:top w:val="none" w:sz="0" w:space="0" w:color="auto"/>
            <w:left w:val="none" w:sz="0" w:space="0" w:color="auto"/>
            <w:bottom w:val="none" w:sz="0" w:space="0" w:color="auto"/>
            <w:right w:val="none" w:sz="0" w:space="0" w:color="auto"/>
          </w:divBdr>
        </w:div>
        <w:div w:id="125438365">
          <w:marLeft w:val="0"/>
          <w:marRight w:val="0"/>
          <w:marTop w:val="0"/>
          <w:marBottom w:val="0"/>
          <w:divBdr>
            <w:top w:val="none" w:sz="0" w:space="0" w:color="auto"/>
            <w:left w:val="none" w:sz="0" w:space="0" w:color="auto"/>
            <w:bottom w:val="none" w:sz="0" w:space="0" w:color="auto"/>
            <w:right w:val="none" w:sz="0" w:space="0" w:color="auto"/>
          </w:divBdr>
        </w:div>
        <w:div w:id="151987473">
          <w:marLeft w:val="0"/>
          <w:marRight w:val="0"/>
          <w:marTop w:val="0"/>
          <w:marBottom w:val="0"/>
          <w:divBdr>
            <w:top w:val="none" w:sz="0" w:space="0" w:color="auto"/>
            <w:left w:val="none" w:sz="0" w:space="0" w:color="auto"/>
            <w:bottom w:val="none" w:sz="0" w:space="0" w:color="auto"/>
            <w:right w:val="none" w:sz="0" w:space="0" w:color="auto"/>
          </w:divBdr>
        </w:div>
        <w:div w:id="294455570">
          <w:marLeft w:val="0"/>
          <w:marRight w:val="0"/>
          <w:marTop w:val="0"/>
          <w:marBottom w:val="0"/>
          <w:divBdr>
            <w:top w:val="none" w:sz="0" w:space="0" w:color="auto"/>
            <w:left w:val="none" w:sz="0" w:space="0" w:color="auto"/>
            <w:bottom w:val="none" w:sz="0" w:space="0" w:color="auto"/>
            <w:right w:val="none" w:sz="0" w:space="0" w:color="auto"/>
          </w:divBdr>
        </w:div>
        <w:div w:id="444344950">
          <w:marLeft w:val="0"/>
          <w:marRight w:val="0"/>
          <w:marTop w:val="0"/>
          <w:marBottom w:val="0"/>
          <w:divBdr>
            <w:top w:val="none" w:sz="0" w:space="0" w:color="auto"/>
            <w:left w:val="none" w:sz="0" w:space="0" w:color="auto"/>
            <w:bottom w:val="none" w:sz="0" w:space="0" w:color="auto"/>
            <w:right w:val="none" w:sz="0" w:space="0" w:color="auto"/>
          </w:divBdr>
        </w:div>
        <w:div w:id="510216541">
          <w:marLeft w:val="0"/>
          <w:marRight w:val="0"/>
          <w:marTop w:val="0"/>
          <w:marBottom w:val="0"/>
          <w:divBdr>
            <w:top w:val="none" w:sz="0" w:space="0" w:color="auto"/>
            <w:left w:val="none" w:sz="0" w:space="0" w:color="auto"/>
            <w:bottom w:val="none" w:sz="0" w:space="0" w:color="auto"/>
            <w:right w:val="none" w:sz="0" w:space="0" w:color="auto"/>
          </w:divBdr>
        </w:div>
        <w:div w:id="564533005">
          <w:marLeft w:val="0"/>
          <w:marRight w:val="0"/>
          <w:marTop w:val="0"/>
          <w:marBottom w:val="0"/>
          <w:divBdr>
            <w:top w:val="none" w:sz="0" w:space="0" w:color="auto"/>
            <w:left w:val="none" w:sz="0" w:space="0" w:color="auto"/>
            <w:bottom w:val="none" w:sz="0" w:space="0" w:color="auto"/>
            <w:right w:val="none" w:sz="0" w:space="0" w:color="auto"/>
          </w:divBdr>
        </w:div>
        <w:div w:id="589392676">
          <w:marLeft w:val="0"/>
          <w:marRight w:val="0"/>
          <w:marTop w:val="0"/>
          <w:marBottom w:val="0"/>
          <w:divBdr>
            <w:top w:val="none" w:sz="0" w:space="0" w:color="auto"/>
            <w:left w:val="none" w:sz="0" w:space="0" w:color="auto"/>
            <w:bottom w:val="none" w:sz="0" w:space="0" w:color="auto"/>
            <w:right w:val="none" w:sz="0" w:space="0" w:color="auto"/>
          </w:divBdr>
        </w:div>
        <w:div w:id="611132399">
          <w:marLeft w:val="0"/>
          <w:marRight w:val="0"/>
          <w:marTop w:val="0"/>
          <w:marBottom w:val="0"/>
          <w:divBdr>
            <w:top w:val="none" w:sz="0" w:space="0" w:color="auto"/>
            <w:left w:val="none" w:sz="0" w:space="0" w:color="auto"/>
            <w:bottom w:val="none" w:sz="0" w:space="0" w:color="auto"/>
            <w:right w:val="none" w:sz="0" w:space="0" w:color="auto"/>
          </w:divBdr>
        </w:div>
        <w:div w:id="666638341">
          <w:marLeft w:val="0"/>
          <w:marRight w:val="0"/>
          <w:marTop w:val="0"/>
          <w:marBottom w:val="0"/>
          <w:divBdr>
            <w:top w:val="none" w:sz="0" w:space="0" w:color="auto"/>
            <w:left w:val="none" w:sz="0" w:space="0" w:color="auto"/>
            <w:bottom w:val="none" w:sz="0" w:space="0" w:color="auto"/>
            <w:right w:val="none" w:sz="0" w:space="0" w:color="auto"/>
          </w:divBdr>
          <w:divsChild>
            <w:div w:id="22678916">
              <w:marLeft w:val="0"/>
              <w:marRight w:val="0"/>
              <w:marTop w:val="0"/>
              <w:marBottom w:val="0"/>
              <w:divBdr>
                <w:top w:val="none" w:sz="0" w:space="0" w:color="auto"/>
                <w:left w:val="none" w:sz="0" w:space="0" w:color="auto"/>
                <w:bottom w:val="none" w:sz="0" w:space="0" w:color="auto"/>
                <w:right w:val="none" w:sz="0" w:space="0" w:color="auto"/>
              </w:divBdr>
            </w:div>
            <w:div w:id="169568695">
              <w:marLeft w:val="0"/>
              <w:marRight w:val="0"/>
              <w:marTop w:val="0"/>
              <w:marBottom w:val="0"/>
              <w:divBdr>
                <w:top w:val="none" w:sz="0" w:space="0" w:color="auto"/>
                <w:left w:val="none" w:sz="0" w:space="0" w:color="auto"/>
                <w:bottom w:val="none" w:sz="0" w:space="0" w:color="auto"/>
                <w:right w:val="none" w:sz="0" w:space="0" w:color="auto"/>
              </w:divBdr>
            </w:div>
            <w:div w:id="226771810">
              <w:marLeft w:val="0"/>
              <w:marRight w:val="0"/>
              <w:marTop w:val="0"/>
              <w:marBottom w:val="0"/>
              <w:divBdr>
                <w:top w:val="none" w:sz="0" w:space="0" w:color="auto"/>
                <w:left w:val="none" w:sz="0" w:space="0" w:color="auto"/>
                <w:bottom w:val="none" w:sz="0" w:space="0" w:color="auto"/>
                <w:right w:val="none" w:sz="0" w:space="0" w:color="auto"/>
              </w:divBdr>
            </w:div>
            <w:div w:id="290401221">
              <w:marLeft w:val="0"/>
              <w:marRight w:val="0"/>
              <w:marTop w:val="0"/>
              <w:marBottom w:val="0"/>
              <w:divBdr>
                <w:top w:val="none" w:sz="0" w:space="0" w:color="auto"/>
                <w:left w:val="none" w:sz="0" w:space="0" w:color="auto"/>
                <w:bottom w:val="none" w:sz="0" w:space="0" w:color="auto"/>
                <w:right w:val="none" w:sz="0" w:space="0" w:color="auto"/>
              </w:divBdr>
            </w:div>
            <w:div w:id="1271816197">
              <w:marLeft w:val="0"/>
              <w:marRight w:val="0"/>
              <w:marTop w:val="0"/>
              <w:marBottom w:val="0"/>
              <w:divBdr>
                <w:top w:val="none" w:sz="0" w:space="0" w:color="auto"/>
                <w:left w:val="none" w:sz="0" w:space="0" w:color="auto"/>
                <w:bottom w:val="none" w:sz="0" w:space="0" w:color="auto"/>
                <w:right w:val="none" w:sz="0" w:space="0" w:color="auto"/>
              </w:divBdr>
            </w:div>
          </w:divsChild>
        </w:div>
        <w:div w:id="695892308">
          <w:marLeft w:val="0"/>
          <w:marRight w:val="0"/>
          <w:marTop w:val="0"/>
          <w:marBottom w:val="0"/>
          <w:divBdr>
            <w:top w:val="none" w:sz="0" w:space="0" w:color="auto"/>
            <w:left w:val="none" w:sz="0" w:space="0" w:color="auto"/>
            <w:bottom w:val="none" w:sz="0" w:space="0" w:color="auto"/>
            <w:right w:val="none" w:sz="0" w:space="0" w:color="auto"/>
          </w:divBdr>
        </w:div>
        <w:div w:id="794252346">
          <w:marLeft w:val="0"/>
          <w:marRight w:val="0"/>
          <w:marTop w:val="0"/>
          <w:marBottom w:val="0"/>
          <w:divBdr>
            <w:top w:val="none" w:sz="0" w:space="0" w:color="auto"/>
            <w:left w:val="none" w:sz="0" w:space="0" w:color="auto"/>
            <w:bottom w:val="none" w:sz="0" w:space="0" w:color="auto"/>
            <w:right w:val="none" w:sz="0" w:space="0" w:color="auto"/>
          </w:divBdr>
        </w:div>
        <w:div w:id="1116099968">
          <w:marLeft w:val="0"/>
          <w:marRight w:val="0"/>
          <w:marTop w:val="0"/>
          <w:marBottom w:val="0"/>
          <w:divBdr>
            <w:top w:val="none" w:sz="0" w:space="0" w:color="auto"/>
            <w:left w:val="none" w:sz="0" w:space="0" w:color="auto"/>
            <w:bottom w:val="none" w:sz="0" w:space="0" w:color="auto"/>
            <w:right w:val="none" w:sz="0" w:space="0" w:color="auto"/>
          </w:divBdr>
        </w:div>
        <w:div w:id="1136875265">
          <w:marLeft w:val="0"/>
          <w:marRight w:val="0"/>
          <w:marTop w:val="0"/>
          <w:marBottom w:val="0"/>
          <w:divBdr>
            <w:top w:val="none" w:sz="0" w:space="0" w:color="auto"/>
            <w:left w:val="none" w:sz="0" w:space="0" w:color="auto"/>
            <w:bottom w:val="none" w:sz="0" w:space="0" w:color="auto"/>
            <w:right w:val="none" w:sz="0" w:space="0" w:color="auto"/>
          </w:divBdr>
        </w:div>
        <w:div w:id="1179856802">
          <w:marLeft w:val="0"/>
          <w:marRight w:val="0"/>
          <w:marTop w:val="0"/>
          <w:marBottom w:val="0"/>
          <w:divBdr>
            <w:top w:val="none" w:sz="0" w:space="0" w:color="auto"/>
            <w:left w:val="none" w:sz="0" w:space="0" w:color="auto"/>
            <w:bottom w:val="none" w:sz="0" w:space="0" w:color="auto"/>
            <w:right w:val="none" w:sz="0" w:space="0" w:color="auto"/>
          </w:divBdr>
        </w:div>
        <w:div w:id="1280331767">
          <w:marLeft w:val="0"/>
          <w:marRight w:val="0"/>
          <w:marTop w:val="0"/>
          <w:marBottom w:val="0"/>
          <w:divBdr>
            <w:top w:val="none" w:sz="0" w:space="0" w:color="auto"/>
            <w:left w:val="none" w:sz="0" w:space="0" w:color="auto"/>
            <w:bottom w:val="none" w:sz="0" w:space="0" w:color="auto"/>
            <w:right w:val="none" w:sz="0" w:space="0" w:color="auto"/>
          </w:divBdr>
        </w:div>
        <w:div w:id="1319925078">
          <w:marLeft w:val="0"/>
          <w:marRight w:val="0"/>
          <w:marTop w:val="0"/>
          <w:marBottom w:val="0"/>
          <w:divBdr>
            <w:top w:val="none" w:sz="0" w:space="0" w:color="auto"/>
            <w:left w:val="none" w:sz="0" w:space="0" w:color="auto"/>
            <w:bottom w:val="none" w:sz="0" w:space="0" w:color="auto"/>
            <w:right w:val="none" w:sz="0" w:space="0" w:color="auto"/>
          </w:divBdr>
        </w:div>
        <w:div w:id="1344164813">
          <w:marLeft w:val="0"/>
          <w:marRight w:val="0"/>
          <w:marTop w:val="0"/>
          <w:marBottom w:val="0"/>
          <w:divBdr>
            <w:top w:val="none" w:sz="0" w:space="0" w:color="auto"/>
            <w:left w:val="none" w:sz="0" w:space="0" w:color="auto"/>
            <w:bottom w:val="none" w:sz="0" w:space="0" w:color="auto"/>
            <w:right w:val="none" w:sz="0" w:space="0" w:color="auto"/>
          </w:divBdr>
        </w:div>
        <w:div w:id="1460149103">
          <w:marLeft w:val="0"/>
          <w:marRight w:val="0"/>
          <w:marTop w:val="0"/>
          <w:marBottom w:val="0"/>
          <w:divBdr>
            <w:top w:val="none" w:sz="0" w:space="0" w:color="auto"/>
            <w:left w:val="none" w:sz="0" w:space="0" w:color="auto"/>
            <w:bottom w:val="none" w:sz="0" w:space="0" w:color="auto"/>
            <w:right w:val="none" w:sz="0" w:space="0" w:color="auto"/>
          </w:divBdr>
        </w:div>
        <w:div w:id="1495149612">
          <w:marLeft w:val="0"/>
          <w:marRight w:val="0"/>
          <w:marTop w:val="0"/>
          <w:marBottom w:val="0"/>
          <w:divBdr>
            <w:top w:val="none" w:sz="0" w:space="0" w:color="auto"/>
            <w:left w:val="none" w:sz="0" w:space="0" w:color="auto"/>
            <w:bottom w:val="none" w:sz="0" w:space="0" w:color="auto"/>
            <w:right w:val="none" w:sz="0" w:space="0" w:color="auto"/>
          </w:divBdr>
        </w:div>
        <w:div w:id="1670525862">
          <w:marLeft w:val="0"/>
          <w:marRight w:val="0"/>
          <w:marTop w:val="0"/>
          <w:marBottom w:val="0"/>
          <w:divBdr>
            <w:top w:val="none" w:sz="0" w:space="0" w:color="auto"/>
            <w:left w:val="none" w:sz="0" w:space="0" w:color="auto"/>
            <w:bottom w:val="none" w:sz="0" w:space="0" w:color="auto"/>
            <w:right w:val="none" w:sz="0" w:space="0" w:color="auto"/>
          </w:divBdr>
        </w:div>
        <w:div w:id="1699311621">
          <w:marLeft w:val="0"/>
          <w:marRight w:val="0"/>
          <w:marTop w:val="0"/>
          <w:marBottom w:val="0"/>
          <w:divBdr>
            <w:top w:val="none" w:sz="0" w:space="0" w:color="auto"/>
            <w:left w:val="none" w:sz="0" w:space="0" w:color="auto"/>
            <w:bottom w:val="none" w:sz="0" w:space="0" w:color="auto"/>
            <w:right w:val="none" w:sz="0" w:space="0" w:color="auto"/>
          </w:divBdr>
        </w:div>
        <w:div w:id="1755852806">
          <w:marLeft w:val="0"/>
          <w:marRight w:val="0"/>
          <w:marTop w:val="0"/>
          <w:marBottom w:val="0"/>
          <w:divBdr>
            <w:top w:val="none" w:sz="0" w:space="0" w:color="auto"/>
            <w:left w:val="none" w:sz="0" w:space="0" w:color="auto"/>
            <w:bottom w:val="none" w:sz="0" w:space="0" w:color="auto"/>
            <w:right w:val="none" w:sz="0" w:space="0" w:color="auto"/>
          </w:divBdr>
          <w:divsChild>
            <w:div w:id="36778301">
              <w:marLeft w:val="0"/>
              <w:marRight w:val="0"/>
              <w:marTop w:val="0"/>
              <w:marBottom w:val="0"/>
              <w:divBdr>
                <w:top w:val="none" w:sz="0" w:space="0" w:color="auto"/>
                <w:left w:val="none" w:sz="0" w:space="0" w:color="auto"/>
                <w:bottom w:val="none" w:sz="0" w:space="0" w:color="auto"/>
                <w:right w:val="none" w:sz="0" w:space="0" w:color="auto"/>
              </w:divBdr>
            </w:div>
            <w:div w:id="651056505">
              <w:marLeft w:val="0"/>
              <w:marRight w:val="0"/>
              <w:marTop w:val="0"/>
              <w:marBottom w:val="0"/>
              <w:divBdr>
                <w:top w:val="none" w:sz="0" w:space="0" w:color="auto"/>
                <w:left w:val="none" w:sz="0" w:space="0" w:color="auto"/>
                <w:bottom w:val="none" w:sz="0" w:space="0" w:color="auto"/>
                <w:right w:val="none" w:sz="0" w:space="0" w:color="auto"/>
              </w:divBdr>
            </w:div>
            <w:div w:id="1234585340">
              <w:marLeft w:val="0"/>
              <w:marRight w:val="0"/>
              <w:marTop w:val="0"/>
              <w:marBottom w:val="0"/>
              <w:divBdr>
                <w:top w:val="none" w:sz="0" w:space="0" w:color="auto"/>
                <w:left w:val="none" w:sz="0" w:space="0" w:color="auto"/>
                <w:bottom w:val="none" w:sz="0" w:space="0" w:color="auto"/>
                <w:right w:val="none" w:sz="0" w:space="0" w:color="auto"/>
              </w:divBdr>
            </w:div>
            <w:div w:id="1481774067">
              <w:marLeft w:val="0"/>
              <w:marRight w:val="0"/>
              <w:marTop w:val="0"/>
              <w:marBottom w:val="0"/>
              <w:divBdr>
                <w:top w:val="none" w:sz="0" w:space="0" w:color="auto"/>
                <w:left w:val="none" w:sz="0" w:space="0" w:color="auto"/>
                <w:bottom w:val="none" w:sz="0" w:space="0" w:color="auto"/>
                <w:right w:val="none" w:sz="0" w:space="0" w:color="auto"/>
              </w:divBdr>
            </w:div>
            <w:div w:id="1847355215">
              <w:marLeft w:val="0"/>
              <w:marRight w:val="0"/>
              <w:marTop w:val="0"/>
              <w:marBottom w:val="0"/>
              <w:divBdr>
                <w:top w:val="none" w:sz="0" w:space="0" w:color="auto"/>
                <w:left w:val="none" w:sz="0" w:space="0" w:color="auto"/>
                <w:bottom w:val="none" w:sz="0" w:space="0" w:color="auto"/>
                <w:right w:val="none" w:sz="0" w:space="0" w:color="auto"/>
              </w:divBdr>
            </w:div>
          </w:divsChild>
        </w:div>
        <w:div w:id="1804543715">
          <w:marLeft w:val="0"/>
          <w:marRight w:val="0"/>
          <w:marTop w:val="0"/>
          <w:marBottom w:val="0"/>
          <w:divBdr>
            <w:top w:val="none" w:sz="0" w:space="0" w:color="auto"/>
            <w:left w:val="none" w:sz="0" w:space="0" w:color="auto"/>
            <w:bottom w:val="none" w:sz="0" w:space="0" w:color="auto"/>
            <w:right w:val="none" w:sz="0" w:space="0" w:color="auto"/>
          </w:divBdr>
        </w:div>
        <w:div w:id="1847085932">
          <w:marLeft w:val="0"/>
          <w:marRight w:val="0"/>
          <w:marTop w:val="0"/>
          <w:marBottom w:val="0"/>
          <w:divBdr>
            <w:top w:val="none" w:sz="0" w:space="0" w:color="auto"/>
            <w:left w:val="none" w:sz="0" w:space="0" w:color="auto"/>
            <w:bottom w:val="none" w:sz="0" w:space="0" w:color="auto"/>
            <w:right w:val="none" w:sz="0" w:space="0" w:color="auto"/>
          </w:divBdr>
        </w:div>
        <w:div w:id="1885675461">
          <w:marLeft w:val="0"/>
          <w:marRight w:val="0"/>
          <w:marTop w:val="0"/>
          <w:marBottom w:val="0"/>
          <w:divBdr>
            <w:top w:val="none" w:sz="0" w:space="0" w:color="auto"/>
            <w:left w:val="none" w:sz="0" w:space="0" w:color="auto"/>
            <w:bottom w:val="none" w:sz="0" w:space="0" w:color="auto"/>
            <w:right w:val="none" w:sz="0" w:space="0" w:color="auto"/>
          </w:divBdr>
        </w:div>
        <w:div w:id="1898200601">
          <w:marLeft w:val="0"/>
          <w:marRight w:val="0"/>
          <w:marTop w:val="0"/>
          <w:marBottom w:val="0"/>
          <w:divBdr>
            <w:top w:val="none" w:sz="0" w:space="0" w:color="auto"/>
            <w:left w:val="none" w:sz="0" w:space="0" w:color="auto"/>
            <w:bottom w:val="none" w:sz="0" w:space="0" w:color="auto"/>
            <w:right w:val="none" w:sz="0" w:space="0" w:color="auto"/>
          </w:divBdr>
        </w:div>
        <w:div w:id="1910916521">
          <w:marLeft w:val="0"/>
          <w:marRight w:val="0"/>
          <w:marTop w:val="0"/>
          <w:marBottom w:val="0"/>
          <w:divBdr>
            <w:top w:val="none" w:sz="0" w:space="0" w:color="auto"/>
            <w:left w:val="none" w:sz="0" w:space="0" w:color="auto"/>
            <w:bottom w:val="none" w:sz="0" w:space="0" w:color="auto"/>
            <w:right w:val="none" w:sz="0" w:space="0" w:color="auto"/>
          </w:divBdr>
        </w:div>
        <w:div w:id="1942057840">
          <w:marLeft w:val="0"/>
          <w:marRight w:val="0"/>
          <w:marTop w:val="0"/>
          <w:marBottom w:val="0"/>
          <w:divBdr>
            <w:top w:val="none" w:sz="0" w:space="0" w:color="auto"/>
            <w:left w:val="none" w:sz="0" w:space="0" w:color="auto"/>
            <w:bottom w:val="none" w:sz="0" w:space="0" w:color="auto"/>
            <w:right w:val="none" w:sz="0" w:space="0" w:color="auto"/>
          </w:divBdr>
        </w:div>
        <w:div w:id="2016835207">
          <w:marLeft w:val="0"/>
          <w:marRight w:val="0"/>
          <w:marTop w:val="0"/>
          <w:marBottom w:val="0"/>
          <w:divBdr>
            <w:top w:val="none" w:sz="0" w:space="0" w:color="auto"/>
            <w:left w:val="none" w:sz="0" w:space="0" w:color="auto"/>
            <w:bottom w:val="none" w:sz="0" w:space="0" w:color="auto"/>
            <w:right w:val="none" w:sz="0" w:space="0" w:color="auto"/>
          </w:divBdr>
        </w:div>
        <w:div w:id="2031295959">
          <w:marLeft w:val="0"/>
          <w:marRight w:val="0"/>
          <w:marTop w:val="0"/>
          <w:marBottom w:val="0"/>
          <w:divBdr>
            <w:top w:val="none" w:sz="0" w:space="0" w:color="auto"/>
            <w:left w:val="none" w:sz="0" w:space="0" w:color="auto"/>
            <w:bottom w:val="none" w:sz="0" w:space="0" w:color="auto"/>
            <w:right w:val="none" w:sz="0" w:space="0" w:color="auto"/>
          </w:divBdr>
        </w:div>
        <w:div w:id="2077044497">
          <w:marLeft w:val="0"/>
          <w:marRight w:val="0"/>
          <w:marTop w:val="0"/>
          <w:marBottom w:val="0"/>
          <w:divBdr>
            <w:top w:val="none" w:sz="0" w:space="0" w:color="auto"/>
            <w:left w:val="none" w:sz="0" w:space="0" w:color="auto"/>
            <w:bottom w:val="none" w:sz="0" w:space="0" w:color="auto"/>
            <w:right w:val="none" w:sz="0" w:space="0" w:color="auto"/>
          </w:divBdr>
        </w:div>
        <w:div w:id="2119787724">
          <w:marLeft w:val="0"/>
          <w:marRight w:val="0"/>
          <w:marTop w:val="0"/>
          <w:marBottom w:val="0"/>
          <w:divBdr>
            <w:top w:val="none" w:sz="0" w:space="0" w:color="auto"/>
            <w:left w:val="none" w:sz="0" w:space="0" w:color="auto"/>
            <w:bottom w:val="none" w:sz="0" w:space="0" w:color="auto"/>
            <w:right w:val="none" w:sz="0" w:space="0" w:color="auto"/>
          </w:divBdr>
        </w:div>
      </w:divsChild>
    </w:div>
    <w:div w:id="1370908731">
      <w:bodyDiv w:val="1"/>
      <w:marLeft w:val="0"/>
      <w:marRight w:val="0"/>
      <w:marTop w:val="0"/>
      <w:marBottom w:val="0"/>
      <w:divBdr>
        <w:top w:val="none" w:sz="0" w:space="0" w:color="auto"/>
        <w:left w:val="none" w:sz="0" w:space="0" w:color="auto"/>
        <w:bottom w:val="none" w:sz="0" w:space="0" w:color="auto"/>
        <w:right w:val="none" w:sz="0" w:space="0" w:color="auto"/>
      </w:divBdr>
    </w:div>
    <w:div w:id="1408500448">
      <w:bodyDiv w:val="1"/>
      <w:marLeft w:val="0"/>
      <w:marRight w:val="0"/>
      <w:marTop w:val="0"/>
      <w:marBottom w:val="0"/>
      <w:divBdr>
        <w:top w:val="none" w:sz="0" w:space="0" w:color="auto"/>
        <w:left w:val="none" w:sz="0" w:space="0" w:color="auto"/>
        <w:bottom w:val="none" w:sz="0" w:space="0" w:color="auto"/>
        <w:right w:val="none" w:sz="0" w:space="0" w:color="auto"/>
      </w:divBdr>
    </w:div>
    <w:div w:id="1419400608">
      <w:bodyDiv w:val="1"/>
      <w:marLeft w:val="0"/>
      <w:marRight w:val="0"/>
      <w:marTop w:val="0"/>
      <w:marBottom w:val="0"/>
      <w:divBdr>
        <w:top w:val="none" w:sz="0" w:space="0" w:color="auto"/>
        <w:left w:val="none" w:sz="0" w:space="0" w:color="auto"/>
        <w:bottom w:val="none" w:sz="0" w:space="0" w:color="auto"/>
        <w:right w:val="none" w:sz="0" w:space="0" w:color="auto"/>
      </w:divBdr>
      <w:divsChild>
        <w:div w:id="1102845358">
          <w:marLeft w:val="0"/>
          <w:marRight w:val="0"/>
          <w:marTop w:val="0"/>
          <w:marBottom w:val="0"/>
          <w:divBdr>
            <w:top w:val="none" w:sz="0" w:space="0" w:color="auto"/>
            <w:left w:val="none" w:sz="0" w:space="0" w:color="auto"/>
            <w:bottom w:val="none" w:sz="0" w:space="0" w:color="auto"/>
            <w:right w:val="none" w:sz="0" w:space="0" w:color="auto"/>
          </w:divBdr>
        </w:div>
      </w:divsChild>
    </w:div>
    <w:div w:id="1425344310">
      <w:bodyDiv w:val="1"/>
      <w:marLeft w:val="0"/>
      <w:marRight w:val="0"/>
      <w:marTop w:val="0"/>
      <w:marBottom w:val="0"/>
      <w:divBdr>
        <w:top w:val="none" w:sz="0" w:space="0" w:color="auto"/>
        <w:left w:val="none" w:sz="0" w:space="0" w:color="auto"/>
        <w:bottom w:val="none" w:sz="0" w:space="0" w:color="auto"/>
        <w:right w:val="none" w:sz="0" w:space="0" w:color="auto"/>
      </w:divBdr>
    </w:div>
    <w:div w:id="1431852502">
      <w:bodyDiv w:val="1"/>
      <w:marLeft w:val="0"/>
      <w:marRight w:val="0"/>
      <w:marTop w:val="0"/>
      <w:marBottom w:val="0"/>
      <w:divBdr>
        <w:top w:val="none" w:sz="0" w:space="0" w:color="auto"/>
        <w:left w:val="none" w:sz="0" w:space="0" w:color="auto"/>
        <w:bottom w:val="none" w:sz="0" w:space="0" w:color="auto"/>
        <w:right w:val="none" w:sz="0" w:space="0" w:color="auto"/>
      </w:divBdr>
    </w:div>
    <w:div w:id="1495292287">
      <w:bodyDiv w:val="1"/>
      <w:marLeft w:val="0"/>
      <w:marRight w:val="0"/>
      <w:marTop w:val="0"/>
      <w:marBottom w:val="0"/>
      <w:divBdr>
        <w:top w:val="none" w:sz="0" w:space="0" w:color="auto"/>
        <w:left w:val="none" w:sz="0" w:space="0" w:color="auto"/>
        <w:bottom w:val="none" w:sz="0" w:space="0" w:color="auto"/>
        <w:right w:val="none" w:sz="0" w:space="0" w:color="auto"/>
      </w:divBdr>
      <w:divsChild>
        <w:div w:id="1831208599">
          <w:marLeft w:val="480"/>
          <w:marRight w:val="0"/>
          <w:marTop w:val="0"/>
          <w:marBottom w:val="0"/>
          <w:divBdr>
            <w:top w:val="none" w:sz="0" w:space="0" w:color="auto"/>
            <w:left w:val="none" w:sz="0" w:space="0" w:color="auto"/>
            <w:bottom w:val="none" w:sz="0" w:space="0" w:color="auto"/>
            <w:right w:val="none" w:sz="0" w:space="0" w:color="auto"/>
          </w:divBdr>
        </w:div>
      </w:divsChild>
    </w:div>
    <w:div w:id="1496845971">
      <w:bodyDiv w:val="1"/>
      <w:marLeft w:val="0"/>
      <w:marRight w:val="0"/>
      <w:marTop w:val="0"/>
      <w:marBottom w:val="0"/>
      <w:divBdr>
        <w:top w:val="none" w:sz="0" w:space="0" w:color="auto"/>
        <w:left w:val="none" w:sz="0" w:space="0" w:color="auto"/>
        <w:bottom w:val="none" w:sz="0" w:space="0" w:color="auto"/>
        <w:right w:val="none" w:sz="0" w:space="0" w:color="auto"/>
      </w:divBdr>
      <w:divsChild>
        <w:div w:id="88164757">
          <w:marLeft w:val="0"/>
          <w:marRight w:val="0"/>
          <w:marTop w:val="0"/>
          <w:marBottom w:val="0"/>
          <w:divBdr>
            <w:top w:val="none" w:sz="0" w:space="0" w:color="auto"/>
            <w:left w:val="none" w:sz="0" w:space="0" w:color="auto"/>
            <w:bottom w:val="none" w:sz="0" w:space="0" w:color="auto"/>
            <w:right w:val="none" w:sz="0" w:space="0" w:color="auto"/>
          </w:divBdr>
          <w:divsChild>
            <w:div w:id="324285026">
              <w:marLeft w:val="0"/>
              <w:marRight w:val="0"/>
              <w:marTop w:val="0"/>
              <w:marBottom w:val="0"/>
              <w:divBdr>
                <w:top w:val="none" w:sz="0" w:space="0" w:color="auto"/>
                <w:left w:val="none" w:sz="0" w:space="0" w:color="auto"/>
                <w:bottom w:val="none" w:sz="0" w:space="0" w:color="auto"/>
                <w:right w:val="none" w:sz="0" w:space="0" w:color="auto"/>
              </w:divBdr>
            </w:div>
            <w:div w:id="885719157">
              <w:marLeft w:val="0"/>
              <w:marRight w:val="0"/>
              <w:marTop w:val="0"/>
              <w:marBottom w:val="0"/>
              <w:divBdr>
                <w:top w:val="none" w:sz="0" w:space="0" w:color="auto"/>
                <w:left w:val="none" w:sz="0" w:space="0" w:color="auto"/>
                <w:bottom w:val="none" w:sz="0" w:space="0" w:color="auto"/>
                <w:right w:val="none" w:sz="0" w:space="0" w:color="auto"/>
              </w:divBdr>
            </w:div>
            <w:div w:id="991176092">
              <w:marLeft w:val="0"/>
              <w:marRight w:val="0"/>
              <w:marTop w:val="0"/>
              <w:marBottom w:val="0"/>
              <w:divBdr>
                <w:top w:val="none" w:sz="0" w:space="0" w:color="auto"/>
                <w:left w:val="none" w:sz="0" w:space="0" w:color="auto"/>
                <w:bottom w:val="none" w:sz="0" w:space="0" w:color="auto"/>
                <w:right w:val="none" w:sz="0" w:space="0" w:color="auto"/>
              </w:divBdr>
            </w:div>
            <w:div w:id="1541893977">
              <w:marLeft w:val="0"/>
              <w:marRight w:val="0"/>
              <w:marTop w:val="0"/>
              <w:marBottom w:val="0"/>
              <w:divBdr>
                <w:top w:val="none" w:sz="0" w:space="0" w:color="auto"/>
                <w:left w:val="none" w:sz="0" w:space="0" w:color="auto"/>
                <w:bottom w:val="none" w:sz="0" w:space="0" w:color="auto"/>
                <w:right w:val="none" w:sz="0" w:space="0" w:color="auto"/>
              </w:divBdr>
            </w:div>
            <w:div w:id="1564291201">
              <w:marLeft w:val="0"/>
              <w:marRight w:val="0"/>
              <w:marTop w:val="0"/>
              <w:marBottom w:val="0"/>
              <w:divBdr>
                <w:top w:val="none" w:sz="0" w:space="0" w:color="auto"/>
                <w:left w:val="none" w:sz="0" w:space="0" w:color="auto"/>
                <w:bottom w:val="none" w:sz="0" w:space="0" w:color="auto"/>
                <w:right w:val="none" w:sz="0" w:space="0" w:color="auto"/>
              </w:divBdr>
            </w:div>
            <w:div w:id="2123725497">
              <w:marLeft w:val="0"/>
              <w:marRight w:val="0"/>
              <w:marTop w:val="0"/>
              <w:marBottom w:val="0"/>
              <w:divBdr>
                <w:top w:val="none" w:sz="0" w:space="0" w:color="auto"/>
                <w:left w:val="none" w:sz="0" w:space="0" w:color="auto"/>
                <w:bottom w:val="none" w:sz="0" w:space="0" w:color="auto"/>
                <w:right w:val="none" w:sz="0" w:space="0" w:color="auto"/>
              </w:divBdr>
            </w:div>
          </w:divsChild>
        </w:div>
        <w:div w:id="226957601">
          <w:marLeft w:val="0"/>
          <w:marRight w:val="0"/>
          <w:marTop w:val="0"/>
          <w:marBottom w:val="0"/>
          <w:divBdr>
            <w:top w:val="none" w:sz="0" w:space="0" w:color="auto"/>
            <w:left w:val="none" w:sz="0" w:space="0" w:color="auto"/>
            <w:bottom w:val="none" w:sz="0" w:space="0" w:color="auto"/>
            <w:right w:val="none" w:sz="0" w:space="0" w:color="auto"/>
          </w:divBdr>
          <w:divsChild>
            <w:div w:id="748312090">
              <w:marLeft w:val="0"/>
              <w:marRight w:val="0"/>
              <w:marTop w:val="0"/>
              <w:marBottom w:val="0"/>
              <w:divBdr>
                <w:top w:val="none" w:sz="0" w:space="0" w:color="auto"/>
                <w:left w:val="none" w:sz="0" w:space="0" w:color="auto"/>
                <w:bottom w:val="none" w:sz="0" w:space="0" w:color="auto"/>
                <w:right w:val="none" w:sz="0" w:space="0" w:color="auto"/>
              </w:divBdr>
            </w:div>
            <w:div w:id="847712360">
              <w:marLeft w:val="0"/>
              <w:marRight w:val="0"/>
              <w:marTop w:val="0"/>
              <w:marBottom w:val="0"/>
              <w:divBdr>
                <w:top w:val="none" w:sz="0" w:space="0" w:color="auto"/>
                <w:left w:val="none" w:sz="0" w:space="0" w:color="auto"/>
                <w:bottom w:val="none" w:sz="0" w:space="0" w:color="auto"/>
                <w:right w:val="none" w:sz="0" w:space="0" w:color="auto"/>
              </w:divBdr>
            </w:div>
            <w:div w:id="917012280">
              <w:marLeft w:val="0"/>
              <w:marRight w:val="0"/>
              <w:marTop w:val="0"/>
              <w:marBottom w:val="0"/>
              <w:divBdr>
                <w:top w:val="none" w:sz="0" w:space="0" w:color="auto"/>
                <w:left w:val="none" w:sz="0" w:space="0" w:color="auto"/>
                <w:bottom w:val="none" w:sz="0" w:space="0" w:color="auto"/>
                <w:right w:val="none" w:sz="0" w:space="0" w:color="auto"/>
              </w:divBdr>
            </w:div>
            <w:div w:id="1063137188">
              <w:marLeft w:val="0"/>
              <w:marRight w:val="0"/>
              <w:marTop w:val="0"/>
              <w:marBottom w:val="0"/>
              <w:divBdr>
                <w:top w:val="none" w:sz="0" w:space="0" w:color="auto"/>
                <w:left w:val="none" w:sz="0" w:space="0" w:color="auto"/>
                <w:bottom w:val="none" w:sz="0" w:space="0" w:color="auto"/>
                <w:right w:val="none" w:sz="0" w:space="0" w:color="auto"/>
              </w:divBdr>
            </w:div>
            <w:div w:id="1314213480">
              <w:marLeft w:val="0"/>
              <w:marRight w:val="0"/>
              <w:marTop w:val="0"/>
              <w:marBottom w:val="0"/>
              <w:divBdr>
                <w:top w:val="none" w:sz="0" w:space="0" w:color="auto"/>
                <w:left w:val="none" w:sz="0" w:space="0" w:color="auto"/>
                <w:bottom w:val="none" w:sz="0" w:space="0" w:color="auto"/>
                <w:right w:val="none" w:sz="0" w:space="0" w:color="auto"/>
              </w:divBdr>
            </w:div>
            <w:div w:id="1808627626">
              <w:marLeft w:val="0"/>
              <w:marRight w:val="0"/>
              <w:marTop w:val="0"/>
              <w:marBottom w:val="0"/>
              <w:divBdr>
                <w:top w:val="none" w:sz="0" w:space="0" w:color="auto"/>
                <w:left w:val="none" w:sz="0" w:space="0" w:color="auto"/>
                <w:bottom w:val="none" w:sz="0" w:space="0" w:color="auto"/>
                <w:right w:val="none" w:sz="0" w:space="0" w:color="auto"/>
              </w:divBdr>
            </w:div>
            <w:div w:id="1909000435">
              <w:marLeft w:val="0"/>
              <w:marRight w:val="0"/>
              <w:marTop w:val="0"/>
              <w:marBottom w:val="0"/>
              <w:divBdr>
                <w:top w:val="none" w:sz="0" w:space="0" w:color="auto"/>
                <w:left w:val="none" w:sz="0" w:space="0" w:color="auto"/>
                <w:bottom w:val="none" w:sz="0" w:space="0" w:color="auto"/>
                <w:right w:val="none" w:sz="0" w:space="0" w:color="auto"/>
              </w:divBdr>
            </w:div>
          </w:divsChild>
        </w:div>
        <w:div w:id="276835323">
          <w:marLeft w:val="0"/>
          <w:marRight w:val="0"/>
          <w:marTop w:val="0"/>
          <w:marBottom w:val="0"/>
          <w:divBdr>
            <w:top w:val="none" w:sz="0" w:space="0" w:color="auto"/>
            <w:left w:val="none" w:sz="0" w:space="0" w:color="auto"/>
            <w:bottom w:val="none" w:sz="0" w:space="0" w:color="auto"/>
            <w:right w:val="none" w:sz="0" w:space="0" w:color="auto"/>
          </w:divBdr>
        </w:div>
        <w:div w:id="445851473">
          <w:marLeft w:val="0"/>
          <w:marRight w:val="0"/>
          <w:marTop w:val="0"/>
          <w:marBottom w:val="0"/>
          <w:divBdr>
            <w:top w:val="none" w:sz="0" w:space="0" w:color="auto"/>
            <w:left w:val="none" w:sz="0" w:space="0" w:color="auto"/>
            <w:bottom w:val="none" w:sz="0" w:space="0" w:color="auto"/>
            <w:right w:val="none" w:sz="0" w:space="0" w:color="auto"/>
          </w:divBdr>
        </w:div>
        <w:div w:id="450704625">
          <w:marLeft w:val="0"/>
          <w:marRight w:val="0"/>
          <w:marTop w:val="0"/>
          <w:marBottom w:val="0"/>
          <w:divBdr>
            <w:top w:val="none" w:sz="0" w:space="0" w:color="auto"/>
            <w:left w:val="none" w:sz="0" w:space="0" w:color="auto"/>
            <w:bottom w:val="none" w:sz="0" w:space="0" w:color="auto"/>
            <w:right w:val="none" w:sz="0" w:space="0" w:color="auto"/>
          </w:divBdr>
          <w:divsChild>
            <w:div w:id="386030133">
              <w:marLeft w:val="0"/>
              <w:marRight w:val="0"/>
              <w:marTop w:val="0"/>
              <w:marBottom w:val="0"/>
              <w:divBdr>
                <w:top w:val="none" w:sz="0" w:space="0" w:color="auto"/>
                <w:left w:val="none" w:sz="0" w:space="0" w:color="auto"/>
                <w:bottom w:val="none" w:sz="0" w:space="0" w:color="auto"/>
                <w:right w:val="none" w:sz="0" w:space="0" w:color="auto"/>
              </w:divBdr>
            </w:div>
            <w:div w:id="763191306">
              <w:marLeft w:val="0"/>
              <w:marRight w:val="0"/>
              <w:marTop w:val="0"/>
              <w:marBottom w:val="0"/>
              <w:divBdr>
                <w:top w:val="none" w:sz="0" w:space="0" w:color="auto"/>
                <w:left w:val="none" w:sz="0" w:space="0" w:color="auto"/>
                <w:bottom w:val="none" w:sz="0" w:space="0" w:color="auto"/>
                <w:right w:val="none" w:sz="0" w:space="0" w:color="auto"/>
              </w:divBdr>
            </w:div>
            <w:div w:id="879053207">
              <w:marLeft w:val="0"/>
              <w:marRight w:val="0"/>
              <w:marTop w:val="0"/>
              <w:marBottom w:val="0"/>
              <w:divBdr>
                <w:top w:val="none" w:sz="0" w:space="0" w:color="auto"/>
                <w:left w:val="none" w:sz="0" w:space="0" w:color="auto"/>
                <w:bottom w:val="none" w:sz="0" w:space="0" w:color="auto"/>
                <w:right w:val="none" w:sz="0" w:space="0" w:color="auto"/>
              </w:divBdr>
            </w:div>
            <w:div w:id="1031417792">
              <w:marLeft w:val="0"/>
              <w:marRight w:val="0"/>
              <w:marTop w:val="0"/>
              <w:marBottom w:val="0"/>
              <w:divBdr>
                <w:top w:val="none" w:sz="0" w:space="0" w:color="auto"/>
                <w:left w:val="none" w:sz="0" w:space="0" w:color="auto"/>
                <w:bottom w:val="none" w:sz="0" w:space="0" w:color="auto"/>
                <w:right w:val="none" w:sz="0" w:space="0" w:color="auto"/>
              </w:divBdr>
            </w:div>
            <w:div w:id="1153177869">
              <w:marLeft w:val="0"/>
              <w:marRight w:val="0"/>
              <w:marTop w:val="0"/>
              <w:marBottom w:val="0"/>
              <w:divBdr>
                <w:top w:val="none" w:sz="0" w:space="0" w:color="auto"/>
                <w:left w:val="none" w:sz="0" w:space="0" w:color="auto"/>
                <w:bottom w:val="none" w:sz="0" w:space="0" w:color="auto"/>
                <w:right w:val="none" w:sz="0" w:space="0" w:color="auto"/>
              </w:divBdr>
            </w:div>
          </w:divsChild>
        </w:div>
        <w:div w:id="452017284">
          <w:marLeft w:val="0"/>
          <w:marRight w:val="0"/>
          <w:marTop w:val="0"/>
          <w:marBottom w:val="0"/>
          <w:divBdr>
            <w:top w:val="none" w:sz="0" w:space="0" w:color="auto"/>
            <w:left w:val="none" w:sz="0" w:space="0" w:color="auto"/>
            <w:bottom w:val="none" w:sz="0" w:space="0" w:color="auto"/>
            <w:right w:val="none" w:sz="0" w:space="0" w:color="auto"/>
          </w:divBdr>
          <w:divsChild>
            <w:div w:id="707952433">
              <w:marLeft w:val="0"/>
              <w:marRight w:val="0"/>
              <w:marTop w:val="0"/>
              <w:marBottom w:val="0"/>
              <w:divBdr>
                <w:top w:val="none" w:sz="0" w:space="0" w:color="auto"/>
                <w:left w:val="none" w:sz="0" w:space="0" w:color="auto"/>
                <w:bottom w:val="none" w:sz="0" w:space="0" w:color="auto"/>
                <w:right w:val="none" w:sz="0" w:space="0" w:color="auto"/>
              </w:divBdr>
            </w:div>
            <w:div w:id="887491094">
              <w:marLeft w:val="0"/>
              <w:marRight w:val="0"/>
              <w:marTop w:val="0"/>
              <w:marBottom w:val="0"/>
              <w:divBdr>
                <w:top w:val="none" w:sz="0" w:space="0" w:color="auto"/>
                <w:left w:val="none" w:sz="0" w:space="0" w:color="auto"/>
                <w:bottom w:val="none" w:sz="0" w:space="0" w:color="auto"/>
                <w:right w:val="none" w:sz="0" w:space="0" w:color="auto"/>
              </w:divBdr>
            </w:div>
            <w:div w:id="1980648508">
              <w:marLeft w:val="0"/>
              <w:marRight w:val="0"/>
              <w:marTop w:val="0"/>
              <w:marBottom w:val="0"/>
              <w:divBdr>
                <w:top w:val="none" w:sz="0" w:space="0" w:color="auto"/>
                <w:left w:val="none" w:sz="0" w:space="0" w:color="auto"/>
                <w:bottom w:val="none" w:sz="0" w:space="0" w:color="auto"/>
                <w:right w:val="none" w:sz="0" w:space="0" w:color="auto"/>
              </w:divBdr>
            </w:div>
            <w:div w:id="1996646435">
              <w:marLeft w:val="0"/>
              <w:marRight w:val="0"/>
              <w:marTop w:val="0"/>
              <w:marBottom w:val="0"/>
              <w:divBdr>
                <w:top w:val="none" w:sz="0" w:space="0" w:color="auto"/>
                <w:left w:val="none" w:sz="0" w:space="0" w:color="auto"/>
                <w:bottom w:val="none" w:sz="0" w:space="0" w:color="auto"/>
                <w:right w:val="none" w:sz="0" w:space="0" w:color="auto"/>
              </w:divBdr>
            </w:div>
            <w:div w:id="2055809479">
              <w:marLeft w:val="0"/>
              <w:marRight w:val="0"/>
              <w:marTop w:val="0"/>
              <w:marBottom w:val="0"/>
              <w:divBdr>
                <w:top w:val="none" w:sz="0" w:space="0" w:color="auto"/>
                <w:left w:val="none" w:sz="0" w:space="0" w:color="auto"/>
                <w:bottom w:val="none" w:sz="0" w:space="0" w:color="auto"/>
                <w:right w:val="none" w:sz="0" w:space="0" w:color="auto"/>
              </w:divBdr>
            </w:div>
          </w:divsChild>
        </w:div>
        <w:div w:id="491486724">
          <w:marLeft w:val="0"/>
          <w:marRight w:val="0"/>
          <w:marTop w:val="0"/>
          <w:marBottom w:val="0"/>
          <w:divBdr>
            <w:top w:val="none" w:sz="0" w:space="0" w:color="auto"/>
            <w:left w:val="none" w:sz="0" w:space="0" w:color="auto"/>
            <w:bottom w:val="none" w:sz="0" w:space="0" w:color="auto"/>
            <w:right w:val="none" w:sz="0" w:space="0" w:color="auto"/>
          </w:divBdr>
          <w:divsChild>
            <w:div w:id="259990325">
              <w:marLeft w:val="0"/>
              <w:marRight w:val="0"/>
              <w:marTop w:val="0"/>
              <w:marBottom w:val="0"/>
              <w:divBdr>
                <w:top w:val="none" w:sz="0" w:space="0" w:color="auto"/>
                <w:left w:val="none" w:sz="0" w:space="0" w:color="auto"/>
                <w:bottom w:val="none" w:sz="0" w:space="0" w:color="auto"/>
                <w:right w:val="none" w:sz="0" w:space="0" w:color="auto"/>
              </w:divBdr>
            </w:div>
            <w:div w:id="794715759">
              <w:marLeft w:val="0"/>
              <w:marRight w:val="0"/>
              <w:marTop w:val="0"/>
              <w:marBottom w:val="0"/>
              <w:divBdr>
                <w:top w:val="none" w:sz="0" w:space="0" w:color="auto"/>
                <w:left w:val="none" w:sz="0" w:space="0" w:color="auto"/>
                <w:bottom w:val="none" w:sz="0" w:space="0" w:color="auto"/>
                <w:right w:val="none" w:sz="0" w:space="0" w:color="auto"/>
              </w:divBdr>
            </w:div>
            <w:div w:id="1137606432">
              <w:marLeft w:val="0"/>
              <w:marRight w:val="0"/>
              <w:marTop w:val="0"/>
              <w:marBottom w:val="0"/>
              <w:divBdr>
                <w:top w:val="none" w:sz="0" w:space="0" w:color="auto"/>
                <w:left w:val="none" w:sz="0" w:space="0" w:color="auto"/>
                <w:bottom w:val="none" w:sz="0" w:space="0" w:color="auto"/>
                <w:right w:val="none" w:sz="0" w:space="0" w:color="auto"/>
              </w:divBdr>
            </w:div>
          </w:divsChild>
        </w:div>
        <w:div w:id="801727969">
          <w:marLeft w:val="0"/>
          <w:marRight w:val="0"/>
          <w:marTop w:val="0"/>
          <w:marBottom w:val="0"/>
          <w:divBdr>
            <w:top w:val="none" w:sz="0" w:space="0" w:color="auto"/>
            <w:left w:val="none" w:sz="0" w:space="0" w:color="auto"/>
            <w:bottom w:val="none" w:sz="0" w:space="0" w:color="auto"/>
            <w:right w:val="none" w:sz="0" w:space="0" w:color="auto"/>
          </w:divBdr>
          <w:divsChild>
            <w:div w:id="651252304">
              <w:marLeft w:val="0"/>
              <w:marRight w:val="0"/>
              <w:marTop w:val="0"/>
              <w:marBottom w:val="0"/>
              <w:divBdr>
                <w:top w:val="none" w:sz="0" w:space="0" w:color="auto"/>
                <w:left w:val="none" w:sz="0" w:space="0" w:color="auto"/>
                <w:bottom w:val="none" w:sz="0" w:space="0" w:color="auto"/>
                <w:right w:val="none" w:sz="0" w:space="0" w:color="auto"/>
              </w:divBdr>
            </w:div>
            <w:div w:id="1060909301">
              <w:marLeft w:val="0"/>
              <w:marRight w:val="0"/>
              <w:marTop w:val="0"/>
              <w:marBottom w:val="0"/>
              <w:divBdr>
                <w:top w:val="none" w:sz="0" w:space="0" w:color="auto"/>
                <w:left w:val="none" w:sz="0" w:space="0" w:color="auto"/>
                <w:bottom w:val="none" w:sz="0" w:space="0" w:color="auto"/>
                <w:right w:val="none" w:sz="0" w:space="0" w:color="auto"/>
              </w:divBdr>
            </w:div>
            <w:div w:id="1107115545">
              <w:marLeft w:val="0"/>
              <w:marRight w:val="0"/>
              <w:marTop w:val="0"/>
              <w:marBottom w:val="0"/>
              <w:divBdr>
                <w:top w:val="none" w:sz="0" w:space="0" w:color="auto"/>
                <w:left w:val="none" w:sz="0" w:space="0" w:color="auto"/>
                <w:bottom w:val="none" w:sz="0" w:space="0" w:color="auto"/>
                <w:right w:val="none" w:sz="0" w:space="0" w:color="auto"/>
              </w:divBdr>
            </w:div>
            <w:div w:id="1293488003">
              <w:marLeft w:val="0"/>
              <w:marRight w:val="0"/>
              <w:marTop w:val="0"/>
              <w:marBottom w:val="0"/>
              <w:divBdr>
                <w:top w:val="none" w:sz="0" w:space="0" w:color="auto"/>
                <w:left w:val="none" w:sz="0" w:space="0" w:color="auto"/>
                <w:bottom w:val="none" w:sz="0" w:space="0" w:color="auto"/>
                <w:right w:val="none" w:sz="0" w:space="0" w:color="auto"/>
              </w:divBdr>
            </w:div>
            <w:div w:id="1323006313">
              <w:marLeft w:val="0"/>
              <w:marRight w:val="0"/>
              <w:marTop w:val="0"/>
              <w:marBottom w:val="0"/>
              <w:divBdr>
                <w:top w:val="none" w:sz="0" w:space="0" w:color="auto"/>
                <w:left w:val="none" w:sz="0" w:space="0" w:color="auto"/>
                <w:bottom w:val="none" w:sz="0" w:space="0" w:color="auto"/>
                <w:right w:val="none" w:sz="0" w:space="0" w:color="auto"/>
              </w:divBdr>
            </w:div>
            <w:div w:id="1451320272">
              <w:marLeft w:val="0"/>
              <w:marRight w:val="0"/>
              <w:marTop w:val="0"/>
              <w:marBottom w:val="0"/>
              <w:divBdr>
                <w:top w:val="none" w:sz="0" w:space="0" w:color="auto"/>
                <w:left w:val="none" w:sz="0" w:space="0" w:color="auto"/>
                <w:bottom w:val="none" w:sz="0" w:space="0" w:color="auto"/>
                <w:right w:val="none" w:sz="0" w:space="0" w:color="auto"/>
              </w:divBdr>
              <w:divsChild>
                <w:div w:id="2018267371">
                  <w:marLeft w:val="-420"/>
                  <w:marRight w:val="0"/>
                  <w:marTop w:val="0"/>
                  <w:marBottom w:val="0"/>
                  <w:divBdr>
                    <w:top w:val="single" w:sz="6" w:space="0" w:color="8AA2BF"/>
                    <w:left w:val="single" w:sz="6" w:space="0" w:color="8AA2BF"/>
                    <w:bottom w:val="single" w:sz="6" w:space="0" w:color="8AA2BF"/>
                    <w:right w:val="single" w:sz="6" w:space="0" w:color="8AA2BF"/>
                  </w:divBdr>
                </w:div>
              </w:divsChild>
            </w:div>
            <w:div w:id="1653875312">
              <w:marLeft w:val="0"/>
              <w:marRight w:val="0"/>
              <w:marTop w:val="0"/>
              <w:marBottom w:val="0"/>
              <w:divBdr>
                <w:top w:val="none" w:sz="0" w:space="0" w:color="auto"/>
                <w:left w:val="none" w:sz="0" w:space="0" w:color="auto"/>
                <w:bottom w:val="none" w:sz="0" w:space="0" w:color="auto"/>
                <w:right w:val="none" w:sz="0" w:space="0" w:color="auto"/>
              </w:divBdr>
            </w:div>
          </w:divsChild>
        </w:div>
        <w:div w:id="1140002979">
          <w:marLeft w:val="0"/>
          <w:marRight w:val="0"/>
          <w:marTop w:val="0"/>
          <w:marBottom w:val="0"/>
          <w:divBdr>
            <w:top w:val="none" w:sz="0" w:space="0" w:color="auto"/>
            <w:left w:val="none" w:sz="0" w:space="0" w:color="auto"/>
            <w:bottom w:val="none" w:sz="0" w:space="0" w:color="auto"/>
            <w:right w:val="none" w:sz="0" w:space="0" w:color="auto"/>
          </w:divBdr>
          <w:divsChild>
            <w:div w:id="733892467">
              <w:marLeft w:val="0"/>
              <w:marRight w:val="0"/>
              <w:marTop w:val="0"/>
              <w:marBottom w:val="0"/>
              <w:divBdr>
                <w:top w:val="none" w:sz="0" w:space="0" w:color="auto"/>
                <w:left w:val="none" w:sz="0" w:space="0" w:color="auto"/>
                <w:bottom w:val="none" w:sz="0" w:space="0" w:color="auto"/>
                <w:right w:val="none" w:sz="0" w:space="0" w:color="auto"/>
              </w:divBdr>
            </w:div>
            <w:div w:id="806583810">
              <w:marLeft w:val="0"/>
              <w:marRight w:val="0"/>
              <w:marTop w:val="0"/>
              <w:marBottom w:val="0"/>
              <w:divBdr>
                <w:top w:val="none" w:sz="0" w:space="0" w:color="auto"/>
                <w:left w:val="none" w:sz="0" w:space="0" w:color="auto"/>
                <w:bottom w:val="none" w:sz="0" w:space="0" w:color="auto"/>
                <w:right w:val="none" w:sz="0" w:space="0" w:color="auto"/>
              </w:divBdr>
            </w:div>
            <w:div w:id="1047604195">
              <w:marLeft w:val="0"/>
              <w:marRight w:val="0"/>
              <w:marTop w:val="0"/>
              <w:marBottom w:val="0"/>
              <w:divBdr>
                <w:top w:val="none" w:sz="0" w:space="0" w:color="auto"/>
                <w:left w:val="none" w:sz="0" w:space="0" w:color="auto"/>
                <w:bottom w:val="none" w:sz="0" w:space="0" w:color="auto"/>
                <w:right w:val="none" w:sz="0" w:space="0" w:color="auto"/>
              </w:divBdr>
            </w:div>
            <w:div w:id="1179659850">
              <w:marLeft w:val="0"/>
              <w:marRight w:val="0"/>
              <w:marTop w:val="0"/>
              <w:marBottom w:val="0"/>
              <w:divBdr>
                <w:top w:val="none" w:sz="0" w:space="0" w:color="auto"/>
                <w:left w:val="none" w:sz="0" w:space="0" w:color="auto"/>
                <w:bottom w:val="none" w:sz="0" w:space="0" w:color="auto"/>
                <w:right w:val="none" w:sz="0" w:space="0" w:color="auto"/>
              </w:divBdr>
            </w:div>
            <w:div w:id="1480338687">
              <w:marLeft w:val="0"/>
              <w:marRight w:val="0"/>
              <w:marTop w:val="0"/>
              <w:marBottom w:val="0"/>
              <w:divBdr>
                <w:top w:val="none" w:sz="0" w:space="0" w:color="auto"/>
                <w:left w:val="none" w:sz="0" w:space="0" w:color="auto"/>
                <w:bottom w:val="none" w:sz="0" w:space="0" w:color="auto"/>
                <w:right w:val="none" w:sz="0" w:space="0" w:color="auto"/>
              </w:divBdr>
            </w:div>
          </w:divsChild>
        </w:div>
        <w:div w:id="1670910041">
          <w:marLeft w:val="0"/>
          <w:marRight w:val="0"/>
          <w:marTop w:val="0"/>
          <w:marBottom w:val="0"/>
          <w:divBdr>
            <w:top w:val="none" w:sz="0" w:space="0" w:color="auto"/>
            <w:left w:val="none" w:sz="0" w:space="0" w:color="auto"/>
            <w:bottom w:val="none" w:sz="0" w:space="0" w:color="auto"/>
            <w:right w:val="none" w:sz="0" w:space="0" w:color="auto"/>
          </w:divBdr>
        </w:div>
        <w:div w:id="1699547543">
          <w:marLeft w:val="0"/>
          <w:marRight w:val="0"/>
          <w:marTop w:val="0"/>
          <w:marBottom w:val="0"/>
          <w:divBdr>
            <w:top w:val="none" w:sz="0" w:space="0" w:color="auto"/>
            <w:left w:val="none" w:sz="0" w:space="0" w:color="auto"/>
            <w:bottom w:val="none" w:sz="0" w:space="0" w:color="auto"/>
            <w:right w:val="none" w:sz="0" w:space="0" w:color="auto"/>
          </w:divBdr>
        </w:div>
        <w:div w:id="2022849226">
          <w:marLeft w:val="0"/>
          <w:marRight w:val="0"/>
          <w:marTop w:val="0"/>
          <w:marBottom w:val="0"/>
          <w:divBdr>
            <w:top w:val="none" w:sz="0" w:space="0" w:color="auto"/>
            <w:left w:val="none" w:sz="0" w:space="0" w:color="auto"/>
            <w:bottom w:val="none" w:sz="0" w:space="0" w:color="auto"/>
            <w:right w:val="none" w:sz="0" w:space="0" w:color="auto"/>
          </w:divBdr>
          <w:divsChild>
            <w:div w:id="662052710">
              <w:marLeft w:val="0"/>
              <w:marRight w:val="0"/>
              <w:marTop w:val="0"/>
              <w:marBottom w:val="0"/>
              <w:divBdr>
                <w:top w:val="none" w:sz="0" w:space="0" w:color="auto"/>
                <w:left w:val="none" w:sz="0" w:space="0" w:color="auto"/>
                <w:bottom w:val="none" w:sz="0" w:space="0" w:color="auto"/>
                <w:right w:val="none" w:sz="0" w:space="0" w:color="auto"/>
              </w:divBdr>
            </w:div>
            <w:div w:id="798693386">
              <w:marLeft w:val="0"/>
              <w:marRight w:val="0"/>
              <w:marTop w:val="0"/>
              <w:marBottom w:val="0"/>
              <w:divBdr>
                <w:top w:val="none" w:sz="0" w:space="0" w:color="auto"/>
                <w:left w:val="none" w:sz="0" w:space="0" w:color="auto"/>
                <w:bottom w:val="none" w:sz="0" w:space="0" w:color="auto"/>
                <w:right w:val="none" w:sz="0" w:space="0" w:color="auto"/>
              </w:divBdr>
            </w:div>
            <w:div w:id="964821174">
              <w:marLeft w:val="0"/>
              <w:marRight w:val="0"/>
              <w:marTop w:val="0"/>
              <w:marBottom w:val="0"/>
              <w:divBdr>
                <w:top w:val="none" w:sz="0" w:space="0" w:color="auto"/>
                <w:left w:val="none" w:sz="0" w:space="0" w:color="auto"/>
                <w:bottom w:val="none" w:sz="0" w:space="0" w:color="auto"/>
                <w:right w:val="none" w:sz="0" w:space="0" w:color="auto"/>
              </w:divBdr>
            </w:div>
            <w:div w:id="1244609827">
              <w:marLeft w:val="0"/>
              <w:marRight w:val="0"/>
              <w:marTop w:val="0"/>
              <w:marBottom w:val="0"/>
              <w:divBdr>
                <w:top w:val="none" w:sz="0" w:space="0" w:color="auto"/>
                <w:left w:val="none" w:sz="0" w:space="0" w:color="auto"/>
                <w:bottom w:val="none" w:sz="0" w:space="0" w:color="auto"/>
                <w:right w:val="none" w:sz="0" w:space="0" w:color="auto"/>
              </w:divBdr>
            </w:div>
            <w:div w:id="2134127727">
              <w:marLeft w:val="0"/>
              <w:marRight w:val="0"/>
              <w:marTop w:val="0"/>
              <w:marBottom w:val="0"/>
              <w:divBdr>
                <w:top w:val="none" w:sz="0" w:space="0" w:color="auto"/>
                <w:left w:val="none" w:sz="0" w:space="0" w:color="auto"/>
                <w:bottom w:val="none" w:sz="0" w:space="0" w:color="auto"/>
                <w:right w:val="none" w:sz="0" w:space="0" w:color="auto"/>
              </w:divBdr>
            </w:div>
          </w:divsChild>
        </w:div>
        <w:div w:id="2086604007">
          <w:marLeft w:val="0"/>
          <w:marRight w:val="0"/>
          <w:marTop w:val="0"/>
          <w:marBottom w:val="0"/>
          <w:divBdr>
            <w:top w:val="none" w:sz="0" w:space="0" w:color="auto"/>
            <w:left w:val="none" w:sz="0" w:space="0" w:color="auto"/>
            <w:bottom w:val="none" w:sz="0" w:space="0" w:color="auto"/>
            <w:right w:val="none" w:sz="0" w:space="0" w:color="auto"/>
          </w:divBdr>
        </w:div>
        <w:div w:id="2092702511">
          <w:marLeft w:val="0"/>
          <w:marRight w:val="0"/>
          <w:marTop w:val="0"/>
          <w:marBottom w:val="0"/>
          <w:divBdr>
            <w:top w:val="none" w:sz="0" w:space="0" w:color="auto"/>
            <w:left w:val="none" w:sz="0" w:space="0" w:color="auto"/>
            <w:bottom w:val="none" w:sz="0" w:space="0" w:color="auto"/>
            <w:right w:val="none" w:sz="0" w:space="0" w:color="auto"/>
          </w:divBdr>
          <w:divsChild>
            <w:div w:id="108815273">
              <w:marLeft w:val="0"/>
              <w:marRight w:val="0"/>
              <w:marTop w:val="0"/>
              <w:marBottom w:val="0"/>
              <w:divBdr>
                <w:top w:val="none" w:sz="0" w:space="0" w:color="auto"/>
                <w:left w:val="none" w:sz="0" w:space="0" w:color="auto"/>
                <w:bottom w:val="none" w:sz="0" w:space="0" w:color="auto"/>
                <w:right w:val="none" w:sz="0" w:space="0" w:color="auto"/>
              </w:divBdr>
            </w:div>
            <w:div w:id="345637972">
              <w:marLeft w:val="0"/>
              <w:marRight w:val="0"/>
              <w:marTop w:val="0"/>
              <w:marBottom w:val="0"/>
              <w:divBdr>
                <w:top w:val="none" w:sz="0" w:space="0" w:color="auto"/>
                <w:left w:val="none" w:sz="0" w:space="0" w:color="auto"/>
                <w:bottom w:val="none" w:sz="0" w:space="0" w:color="auto"/>
                <w:right w:val="none" w:sz="0" w:space="0" w:color="auto"/>
              </w:divBdr>
            </w:div>
            <w:div w:id="770323553">
              <w:marLeft w:val="0"/>
              <w:marRight w:val="0"/>
              <w:marTop w:val="0"/>
              <w:marBottom w:val="0"/>
              <w:divBdr>
                <w:top w:val="none" w:sz="0" w:space="0" w:color="auto"/>
                <w:left w:val="none" w:sz="0" w:space="0" w:color="auto"/>
                <w:bottom w:val="none" w:sz="0" w:space="0" w:color="auto"/>
                <w:right w:val="none" w:sz="0" w:space="0" w:color="auto"/>
              </w:divBdr>
            </w:div>
            <w:div w:id="1352609272">
              <w:marLeft w:val="0"/>
              <w:marRight w:val="0"/>
              <w:marTop w:val="0"/>
              <w:marBottom w:val="0"/>
              <w:divBdr>
                <w:top w:val="none" w:sz="0" w:space="0" w:color="auto"/>
                <w:left w:val="none" w:sz="0" w:space="0" w:color="auto"/>
                <w:bottom w:val="none" w:sz="0" w:space="0" w:color="auto"/>
                <w:right w:val="none" w:sz="0" w:space="0" w:color="auto"/>
              </w:divBdr>
            </w:div>
            <w:div w:id="206420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778251">
      <w:bodyDiv w:val="1"/>
      <w:marLeft w:val="0"/>
      <w:marRight w:val="0"/>
      <w:marTop w:val="0"/>
      <w:marBottom w:val="0"/>
      <w:divBdr>
        <w:top w:val="none" w:sz="0" w:space="0" w:color="auto"/>
        <w:left w:val="none" w:sz="0" w:space="0" w:color="auto"/>
        <w:bottom w:val="none" w:sz="0" w:space="0" w:color="auto"/>
        <w:right w:val="none" w:sz="0" w:space="0" w:color="auto"/>
      </w:divBdr>
    </w:div>
    <w:div w:id="1554001623">
      <w:bodyDiv w:val="1"/>
      <w:marLeft w:val="0"/>
      <w:marRight w:val="0"/>
      <w:marTop w:val="0"/>
      <w:marBottom w:val="0"/>
      <w:divBdr>
        <w:top w:val="none" w:sz="0" w:space="0" w:color="auto"/>
        <w:left w:val="none" w:sz="0" w:space="0" w:color="auto"/>
        <w:bottom w:val="none" w:sz="0" w:space="0" w:color="auto"/>
        <w:right w:val="none" w:sz="0" w:space="0" w:color="auto"/>
      </w:divBdr>
    </w:div>
    <w:div w:id="1579365186">
      <w:bodyDiv w:val="1"/>
      <w:marLeft w:val="0"/>
      <w:marRight w:val="0"/>
      <w:marTop w:val="0"/>
      <w:marBottom w:val="0"/>
      <w:divBdr>
        <w:top w:val="none" w:sz="0" w:space="0" w:color="auto"/>
        <w:left w:val="none" w:sz="0" w:space="0" w:color="auto"/>
        <w:bottom w:val="none" w:sz="0" w:space="0" w:color="auto"/>
        <w:right w:val="none" w:sz="0" w:space="0" w:color="auto"/>
      </w:divBdr>
    </w:div>
    <w:div w:id="1606187300">
      <w:bodyDiv w:val="1"/>
      <w:marLeft w:val="0"/>
      <w:marRight w:val="0"/>
      <w:marTop w:val="0"/>
      <w:marBottom w:val="0"/>
      <w:divBdr>
        <w:top w:val="none" w:sz="0" w:space="0" w:color="auto"/>
        <w:left w:val="none" w:sz="0" w:space="0" w:color="auto"/>
        <w:bottom w:val="none" w:sz="0" w:space="0" w:color="auto"/>
        <w:right w:val="none" w:sz="0" w:space="0" w:color="auto"/>
      </w:divBdr>
      <w:divsChild>
        <w:div w:id="499809872">
          <w:marLeft w:val="0"/>
          <w:marRight w:val="0"/>
          <w:marTop w:val="0"/>
          <w:marBottom w:val="0"/>
          <w:divBdr>
            <w:top w:val="none" w:sz="0" w:space="0" w:color="auto"/>
            <w:left w:val="none" w:sz="0" w:space="0" w:color="auto"/>
            <w:bottom w:val="none" w:sz="0" w:space="0" w:color="auto"/>
            <w:right w:val="none" w:sz="0" w:space="0" w:color="auto"/>
          </w:divBdr>
          <w:divsChild>
            <w:div w:id="144591261">
              <w:marLeft w:val="0"/>
              <w:marRight w:val="0"/>
              <w:marTop w:val="0"/>
              <w:marBottom w:val="0"/>
              <w:divBdr>
                <w:top w:val="none" w:sz="0" w:space="0" w:color="auto"/>
                <w:left w:val="none" w:sz="0" w:space="0" w:color="auto"/>
                <w:bottom w:val="none" w:sz="0" w:space="0" w:color="auto"/>
                <w:right w:val="none" w:sz="0" w:space="0" w:color="auto"/>
              </w:divBdr>
              <w:divsChild>
                <w:div w:id="952787838">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542520275">
          <w:marLeft w:val="0"/>
          <w:marRight w:val="0"/>
          <w:marTop w:val="0"/>
          <w:marBottom w:val="0"/>
          <w:divBdr>
            <w:top w:val="none" w:sz="0" w:space="0" w:color="auto"/>
            <w:left w:val="none" w:sz="0" w:space="0" w:color="auto"/>
            <w:bottom w:val="none" w:sz="0" w:space="0" w:color="auto"/>
            <w:right w:val="none" w:sz="0" w:space="0" w:color="auto"/>
          </w:divBdr>
          <w:divsChild>
            <w:div w:id="1705640397">
              <w:marLeft w:val="0"/>
              <w:marRight w:val="0"/>
              <w:marTop w:val="0"/>
              <w:marBottom w:val="0"/>
              <w:divBdr>
                <w:top w:val="none" w:sz="0" w:space="0" w:color="auto"/>
                <w:left w:val="none" w:sz="0" w:space="0" w:color="auto"/>
                <w:bottom w:val="none" w:sz="0" w:space="0" w:color="auto"/>
                <w:right w:val="none" w:sz="0" w:space="0" w:color="auto"/>
              </w:divBdr>
              <w:divsChild>
                <w:div w:id="396754986">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155073">
      <w:bodyDiv w:val="1"/>
      <w:marLeft w:val="0"/>
      <w:marRight w:val="0"/>
      <w:marTop w:val="0"/>
      <w:marBottom w:val="0"/>
      <w:divBdr>
        <w:top w:val="none" w:sz="0" w:space="0" w:color="auto"/>
        <w:left w:val="none" w:sz="0" w:space="0" w:color="auto"/>
        <w:bottom w:val="none" w:sz="0" w:space="0" w:color="auto"/>
        <w:right w:val="none" w:sz="0" w:space="0" w:color="auto"/>
      </w:divBdr>
    </w:div>
    <w:div w:id="1621257639">
      <w:bodyDiv w:val="1"/>
      <w:marLeft w:val="0"/>
      <w:marRight w:val="0"/>
      <w:marTop w:val="0"/>
      <w:marBottom w:val="0"/>
      <w:divBdr>
        <w:top w:val="none" w:sz="0" w:space="0" w:color="auto"/>
        <w:left w:val="none" w:sz="0" w:space="0" w:color="auto"/>
        <w:bottom w:val="none" w:sz="0" w:space="0" w:color="auto"/>
        <w:right w:val="none" w:sz="0" w:space="0" w:color="auto"/>
      </w:divBdr>
    </w:div>
    <w:div w:id="1655722725">
      <w:bodyDiv w:val="1"/>
      <w:marLeft w:val="0"/>
      <w:marRight w:val="0"/>
      <w:marTop w:val="0"/>
      <w:marBottom w:val="0"/>
      <w:divBdr>
        <w:top w:val="none" w:sz="0" w:space="0" w:color="auto"/>
        <w:left w:val="none" w:sz="0" w:space="0" w:color="auto"/>
        <w:bottom w:val="none" w:sz="0" w:space="0" w:color="auto"/>
        <w:right w:val="none" w:sz="0" w:space="0" w:color="auto"/>
      </w:divBdr>
    </w:div>
    <w:div w:id="1658151724">
      <w:bodyDiv w:val="1"/>
      <w:marLeft w:val="0"/>
      <w:marRight w:val="0"/>
      <w:marTop w:val="0"/>
      <w:marBottom w:val="0"/>
      <w:divBdr>
        <w:top w:val="none" w:sz="0" w:space="0" w:color="auto"/>
        <w:left w:val="none" w:sz="0" w:space="0" w:color="auto"/>
        <w:bottom w:val="none" w:sz="0" w:space="0" w:color="auto"/>
        <w:right w:val="none" w:sz="0" w:space="0" w:color="auto"/>
      </w:divBdr>
    </w:div>
    <w:div w:id="1696687963">
      <w:bodyDiv w:val="1"/>
      <w:marLeft w:val="0"/>
      <w:marRight w:val="0"/>
      <w:marTop w:val="0"/>
      <w:marBottom w:val="0"/>
      <w:divBdr>
        <w:top w:val="none" w:sz="0" w:space="0" w:color="auto"/>
        <w:left w:val="none" w:sz="0" w:space="0" w:color="auto"/>
        <w:bottom w:val="none" w:sz="0" w:space="0" w:color="auto"/>
        <w:right w:val="none" w:sz="0" w:space="0" w:color="auto"/>
      </w:divBdr>
    </w:div>
    <w:div w:id="1704208364">
      <w:bodyDiv w:val="1"/>
      <w:marLeft w:val="0"/>
      <w:marRight w:val="0"/>
      <w:marTop w:val="0"/>
      <w:marBottom w:val="0"/>
      <w:divBdr>
        <w:top w:val="none" w:sz="0" w:space="0" w:color="auto"/>
        <w:left w:val="none" w:sz="0" w:space="0" w:color="auto"/>
        <w:bottom w:val="none" w:sz="0" w:space="0" w:color="auto"/>
        <w:right w:val="none" w:sz="0" w:space="0" w:color="auto"/>
      </w:divBdr>
    </w:div>
    <w:div w:id="1707367683">
      <w:bodyDiv w:val="1"/>
      <w:marLeft w:val="0"/>
      <w:marRight w:val="0"/>
      <w:marTop w:val="0"/>
      <w:marBottom w:val="0"/>
      <w:divBdr>
        <w:top w:val="none" w:sz="0" w:space="0" w:color="auto"/>
        <w:left w:val="none" w:sz="0" w:space="0" w:color="auto"/>
        <w:bottom w:val="none" w:sz="0" w:space="0" w:color="auto"/>
        <w:right w:val="none" w:sz="0" w:space="0" w:color="auto"/>
      </w:divBdr>
    </w:div>
    <w:div w:id="1761753837">
      <w:bodyDiv w:val="1"/>
      <w:marLeft w:val="0"/>
      <w:marRight w:val="0"/>
      <w:marTop w:val="0"/>
      <w:marBottom w:val="0"/>
      <w:divBdr>
        <w:top w:val="none" w:sz="0" w:space="0" w:color="auto"/>
        <w:left w:val="none" w:sz="0" w:space="0" w:color="auto"/>
        <w:bottom w:val="none" w:sz="0" w:space="0" w:color="auto"/>
        <w:right w:val="none" w:sz="0" w:space="0" w:color="auto"/>
      </w:divBdr>
    </w:div>
    <w:div w:id="1806001373">
      <w:bodyDiv w:val="1"/>
      <w:marLeft w:val="0"/>
      <w:marRight w:val="0"/>
      <w:marTop w:val="0"/>
      <w:marBottom w:val="0"/>
      <w:divBdr>
        <w:top w:val="none" w:sz="0" w:space="0" w:color="auto"/>
        <w:left w:val="none" w:sz="0" w:space="0" w:color="auto"/>
        <w:bottom w:val="none" w:sz="0" w:space="0" w:color="auto"/>
        <w:right w:val="none" w:sz="0" w:space="0" w:color="auto"/>
      </w:divBdr>
    </w:div>
    <w:div w:id="1821001358">
      <w:bodyDiv w:val="1"/>
      <w:marLeft w:val="0"/>
      <w:marRight w:val="0"/>
      <w:marTop w:val="0"/>
      <w:marBottom w:val="0"/>
      <w:divBdr>
        <w:top w:val="none" w:sz="0" w:space="0" w:color="auto"/>
        <w:left w:val="none" w:sz="0" w:space="0" w:color="auto"/>
        <w:bottom w:val="none" w:sz="0" w:space="0" w:color="auto"/>
        <w:right w:val="none" w:sz="0" w:space="0" w:color="auto"/>
      </w:divBdr>
      <w:divsChild>
        <w:div w:id="217712000">
          <w:marLeft w:val="0"/>
          <w:marRight w:val="0"/>
          <w:marTop w:val="0"/>
          <w:marBottom w:val="0"/>
          <w:divBdr>
            <w:top w:val="none" w:sz="0" w:space="0" w:color="auto"/>
            <w:left w:val="none" w:sz="0" w:space="0" w:color="auto"/>
            <w:bottom w:val="none" w:sz="0" w:space="0" w:color="auto"/>
            <w:right w:val="none" w:sz="0" w:space="0" w:color="auto"/>
          </w:divBdr>
        </w:div>
        <w:div w:id="378013893">
          <w:marLeft w:val="0"/>
          <w:marRight w:val="0"/>
          <w:marTop w:val="0"/>
          <w:marBottom w:val="0"/>
          <w:divBdr>
            <w:top w:val="none" w:sz="0" w:space="0" w:color="auto"/>
            <w:left w:val="none" w:sz="0" w:space="0" w:color="auto"/>
            <w:bottom w:val="none" w:sz="0" w:space="0" w:color="auto"/>
            <w:right w:val="none" w:sz="0" w:space="0" w:color="auto"/>
          </w:divBdr>
        </w:div>
        <w:div w:id="1412313235">
          <w:marLeft w:val="0"/>
          <w:marRight w:val="0"/>
          <w:marTop w:val="0"/>
          <w:marBottom w:val="0"/>
          <w:divBdr>
            <w:top w:val="none" w:sz="0" w:space="0" w:color="auto"/>
            <w:left w:val="none" w:sz="0" w:space="0" w:color="auto"/>
            <w:bottom w:val="none" w:sz="0" w:space="0" w:color="auto"/>
            <w:right w:val="none" w:sz="0" w:space="0" w:color="auto"/>
          </w:divBdr>
        </w:div>
        <w:div w:id="1588462905">
          <w:marLeft w:val="0"/>
          <w:marRight w:val="0"/>
          <w:marTop w:val="0"/>
          <w:marBottom w:val="0"/>
          <w:divBdr>
            <w:top w:val="none" w:sz="0" w:space="0" w:color="auto"/>
            <w:left w:val="none" w:sz="0" w:space="0" w:color="auto"/>
            <w:bottom w:val="none" w:sz="0" w:space="0" w:color="auto"/>
            <w:right w:val="none" w:sz="0" w:space="0" w:color="auto"/>
          </w:divBdr>
        </w:div>
        <w:div w:id="2067335731">
          <w:marLeft w:val="0"/>
          <w:marRight w:val="0"/>
          <w:marTop w:val="0"/>
          <w:marBottom w:val="0"/>
          <w:divBdr>
            <w:top w:val="none" w:sz="0" w:space="0" w:color="auto"/>
            <w:left w:val="none" w:sz="0" w:space="0" w:color="auto"/>
            <w:bottom w:val="none" w:sz="0" w:space="0" w:color="auto"/>
            <w:right w:val="none" w:sz="0" w:space="0" w:color="auto"/>
          </w:divBdr>
        </w:div>
      </w:divsChild>
    </w:div>
    <w:div w:id="1835295037">
      <w:bodyDiv w:val="1"/>
      <w:marLeft w:val="0"/>
      <w:marRight w:val="0"/>
      <w:marTop w:val="0"/>
      <w:marBottom w:val="0"/>
      <w:divBdr>
        <w:top w:val="none" w:sz="0" w:space="0" w:color="auto"/>
        <w:left w:val="none" w:sz="0" w:space="0" w:color="auto"/>
        <w:bottom w:val="none" w:sz="0" w:space="0" w:color="auto"/>
        <w:right w:val="none" w:sz="0" w:space="0" w:color="auto"/>
      </w:divBdr>
    </w:div>
    <w:div w:id="1859812044">
      <w:bodyDiv w:val="1"/>
      <w:marLeft w:val="0"/>
      <w:marRight w:val="0"/>
      <w:marTop w:val="0"/>
      <w:marBottom w:val="0"/>
      <w:divBdr>
        <w:top w:val="none" w:sz="0" w:space="0" w:color="auto"/>
        <w:left w:val="none" w:sz="0" w:space="0" w:color="auto"/>
        <w:bottom w:val="none" w:sz="0" w:space="0" w:color="auto"/>
        <w:right w:val="none" w:sz="0" w:space="0" w:color="auto"/>
      </w:divBdr>
    </w:div>
    <w:div w:id="1892112847">
      <w:bodyDiv w:val="1"/>
      <w:marLeft w:val="0"/>
      <w:marRight w:val="0"/>
      <w:marTop w:val="0"/>
      <w:marBottom w:val="0"/>
      <w:divBdr>
        <w:top w:val="none" w:sz="0" w:space="0" w:color="auto"/>
        <w:left w:val="none" w:sz="0" w:space="0" w:color="auto"/>
        <w:bottom w:val="none" w:sz="0" w:space="0" w:color="auto"/>
        <w:right w:val="none" w:sz="0" w:space="0" w:color="auto"/>
      </w:divBdr>
    </w:div>
    <w:div w:id="1949042803">
      <w:bodyDiv w:val="1"/>
      <w:marLeft w:val="0"/>
      <w:marRight w:val="0"/>
      <w:marTop w:val="0"/>
      <w:marBottom w:val="0"/>
      <w:divBdr>
        <w:top w:val="none" w:sz="0" w:space="0" w:color="auto"/>
        <w:left w:val="none" w:sz="0" w:space="0" w:color="auto"/>
        <w:bottom w:val="none" w:sz="0" w:space="0" w:color="auto"/>
        <w:right w:val="none" w:sz="0" w:space="0" w:color="auto"/>
      </w:divBdr>
    </w:div>
    <w:div w:id="1956520090">
      <w:bodyDiv w:val="1"/>
      <w:marLeft w:val="0"/>
      <w:marRight w:val="0"/>
      <w:marTop w:val="0"/>
      <w:marBottom w:val="0"/>
      <w:divBdr>
        <w:top w:val="none" w:sz="0" w:space="0" w:color="auto"/>
        <w:left w:val="none" w:sz="0" w:space="0" w:color="auto"/>
        <w:bottom w:val="none" w:sz="0" w:space="0" w:color="auto"/>
        <w:right w:val="none" w:sz="0" w:space="0" w:color="auto"/>
      </w:divBdr>
    </w:div>
    <w:div w:id="1960404976">
      <w:bodyDiv w:val="1"/>
      <w:marLeft w:val="0"/>
      <w:marRight w:val="0"/>
      <w:marTop w:val="0"/>
      <w:marBottom w:val="0"/>
      <w:divBdr>
        <w:top w:val="none" w:sz="0" w:space="0" w:color="auto"/>
        <w:left w:val="none" w:sz="0" w:space="0" w:color="auto"/>
        <w:bottom w:val="none" w:sz="0" w:space="0" w:color="auto"/>
        <w:right w:val="none" w:sz="0" w:space="0" w:color="auto"/>
      </w:divBdr>
    </w:div>
    <w:div w:id="1970234553">
      <w:bodyDiv w:val="1"/>
      <w:marLeft w:val="0"/>
      <w:marRight w:val="0"/>
      <w:marTop w:val="0"/>
      <w:marBottom w:val="0"/>
      <w:divBdr>
        <w:top w:val="none" w:sz="0" w:space="0" w:color="auto"/>
        <w:left w:val="none" w:sz="0" w:space="0" w:color="auto"/>
        <w:bottom w:val="none" w:sz="0" w:space="0" w:color="auto"/>
        <w:right w:val="none" w:sz="0" w:space="0" w:color="auto"/>
      </w:divBdr>
    </w:div>
    <w:div w:id="1978996868">
      <w:bodyDiv w:val="1"/>
      <w:marLeft w:val="0"/>
      <w:marRight w:val="0"/>
      <w:marTop w:val="0"/>
      <w:marBottom w:val="0"/>
      <w:divBdr>
        <w:top w:val="none" w:sz="0" w:space="0" w:color="auto"/>
        <w:left w:val="none" w:sz="0" w:space="0" w:color="auto"/>
        <w:bottom w:val="none" w:sz="0" w:space="0" w:color="auto"/>
        <w:right w:val="none" w:sz="0" w:space="0" w:color="auto"/>
      </w:divBdr>
      <w:divsChild>
        <w:div w:id="24522112">
          <w:marLeft w:val="0"/>
          <w:marRight w:val="0"/>
          <w:marTop w:val="0"/>
          <w:marBottom w:val="0"/>
          <w:divBdr>
            <w:top w:val="none" w:sz="0" w:space="0" w:color="auto"/>
            <w:left w:val="none" w:sz="0" w:space="0" w:color="auto"/>
            <w:bottom w:val="none" w:sz="0" w:space="0" w:color="auto"/>
            <w:right w:val="none" w:sz="0" w:space="0" w:color="auto"/>
          </w:divBdr>
        </w:div>
        <w:div w:id="43257167">
          <w:marLeft w:val="0"/>
          <w:marRight w:val="0"/>
          <w:marTop w:val="0"/>
          <w:marBottom w:val="0"/>
          <w:divBdr>
            <w:top w:val="none" w:sz="0" w:space="0" w:color="auto"/>
            <w:left w:val="none" w:sz="0" w:space="0" w:color="auto"/>
            <w:bottom w:val="none" w:sz="0" w:space="0" w:color="auto"/>
            <w:right w:val="none" w:sz="0" w:space="0" w:color="auto"/>
          </w:divBdr>
        </w:div>
        <w:div w:id="88623403">
          <w:marLeft w:val="0"/>
          <w:marRight w:val="0"/>
          <w:marTop w:val="0"/>
          <w:marBottom w:val="0"/>
          <w:divBdr>
            <w:top w:val="none" w:sz="0" w:space="0" w:color="auto"/>
            <w:left w:val="none" w:sz="0" w:space="0" w:color="auto"/>
            <w:bottom w:val="none" w:sz="0" w:space="0" w:color="auto"/>
            <w:right w:val="none" w:sz="0" w:space="0" w:color="auto"/>
          </w:divBdr>
        </w:div>
        <w:div w:id="186986517">
          <w:marLeft w:val="0"/>
          <w:marRight w:val="0"/>
          <w:marTop w:val="0"/>
          <w:marBottom w:val="0"/>
          <w:divBdr>
            <w:top w:val="none" w:sz="0" w:space="0" w:color="auto"/>
            <w:left w:val="none" w:sz="0" w:space="0" w:color="auto"/>
            <w:bottom w:val="none" w:sz="0" w:space="0" w:color="auto"/>
            <w:right w:val="none" w:sz="0" w:space="0" w:color="auto"/>
          </w:divBdr>
        </w:div>
        <w:div w:id="207424773">
          <w:marLeft w:val="0"/>
          <w:marRight w:val="0"/>
          <w:marTop w:val="0"/>
          <w:marBottom w:val="0"/>
          <w:divBdr>
            <w:top w:val="none" w:sz="0" w:space="0" w:color="auto"/>
            <w:left w:val="none" w:sz="0" w:space="0" w:color="auto"/>
            <w:bottom w:val="none" w:sz="0" w:space="0" w:color="auto"/>
            <w:right w:val="none" w:sz="0" w:space="0" w:color="auto"/>
          </w:divBdr>
        </w:div>
        <w:div w:id="214633572">
          <w:marLeft w:val="0"/>
          <w:marRight w:val="0"/>
          <w:marTop w:val="0"/>
          <w:marBottom w:val="0"/>
          <w:divBdr>
            <w:top w:val="none" w:sz="0" w:space="0" w:color="auto"/>
            <w:left w:val="none" w:sz="0" w:space="0" w:color="auto"/>
            <w:bottom w:val="none" w:sz="0" w:space="0" w:color="auto"/>
            <w:right w:val="none" w:sz="0" w:space="0" w:color="auto"/>
          </w:divBdr>
        </w:div>
        <w:div w:id="227494897">
          <w:marLeft w:val="0"/>
          <w:marRight w:val="0"/>
          <w:marTop w:val="0"/>
          <w:marBottom w:val="0"/>
          <w:divBdr>
            <w:top w:val="none" w:sz="0" w:space="0" w:color="auto"/>
            <w:left w:val="none" w:sz="0" w:space="0" w:color="auto"/>
            <w:bottom w:val="none" w:sz="0" w:space="0" w:color="auto"/>
            <w:right w:val="none" w:sz="0" w:space="0" w:color="auto"/>
          </w:divBdr>
        </w:div>
        <w:div w:id="271406199">
          <w:marLeft w:val="0"/>
          <w:marRight w:val="0"/>
          <w:marTop w:val="0"/>
          <w:marBottom w:val="0"/>
          <w:divBdr>
            <w:top w:val="none" w:sz="0" w:space="0" w:color="auto"/>
            <w:left w:val="none" w:sz="0" w:space="0" w:color="auto"/>
            <w:bottom w:val="none" w:sz="0" w:space="0" w:color="auto"/>
            <w:right w:val="none" w:sz="0" w:space="0" w:color="auto"/>
          </w:divBdr>
        </w:div>
        <w:div w:id="376010257">
          <w:marLeft w:val="0"/>
          <w:marRight w:val="0"/>
          <w:marTop w:val="0"/>
          <w:marBottom w:val="0"/>
          <w:divBdr>
            <w:top w:val="none" w:sz="0" w:space="0" w:color="auto"/>
            <w:left w:val="none" w:sz="0" w:space="0" w:color="auto"/>
            <w:bottom w:val="none" w:sz="0" w:space="0" w:color="auto"/>
            <w:right w:val="none" w:sz="0" w:space="0" w:color="auto"/>
          </w:divBdr>
        </w:div>
        <w:div w:id="484976207">
          <w:marLeft w:val="0"/>
          <w:marRight w:val="0"/>
          <w:marTop w:val="0"/>
          <w:marBottom w:val="0"/>
          <w:divBdr>
            <w:top w:val="none" w:sz="0" w:space="0" w:color="auto"/>
            <w:left w:val="none" w:sz="0" w:space="0" w:color="auto"/>
            <w:bottom w:val="none" w:sz="0" w:space="0" w:color="auto"/>
            <w:right w:val="none" w:sz="0" w:space="0" w:color="auto"/>
          </w:divBdr>
        </w:div>
        <w:div w:id="566302865">
          <w:marLeft w:val="0"/>
          <w:marRight w:val="0"/>
          <w:marTop w:val="0"/>
          <w:marBottom w:val="0"/>
          <w:divBdr>
            <w:top w:val="none" w:sz="0" w:space="0" w:color="auto"/>
            <w:left w:val="none" w:sz="0" w:space="0" w:color="auto"/>
            <w:bottom w:val="none" w:sz="0" w:space="0" w:color="auto"/>
            <w:right w:val="none" w:sz="0" w:space="0" w:color="auto"/>
          </w:divBdr>
        </w:div>
        <w:div w:id="566496645">
          <w:marLeft w:val="0"/>
          <w:marRight w:val="0"/>
          <w:marTop w:val="0"/>
          <w:marBottom w:val="0"/>
          <w:divBdr>
            <w:top w:val="none" w:sz="0" w:space="0" w:color="auto"/>
            <w:left w:val="none" w:sz="0" w:space="0" w:color="auto"/>
            <w:bottom w:val="none" w:sz="0" w:space="0" w:color="auto"/>
            <w:right w:val="none" w:sz="0" w:space="0" w:color="auto"/>
          </w:divBdr>
        </w:div>
        <w:div w:id="704598885">
          <w:marLeft w:val="0"/>
          <w:marRight w:val="0"/>
          <w:marTop w:val="0"/>
          <w:marBottom w:val="0"/>
          <w:divBdr>
            <w:top w:val="none" w:sz="0" w:space="0" w:color="auto"/>
            <w:left w:val="none" w:sz="0" w:space="0" w:color="auto"/>
            <w:bottom w:val="none" w:sz="0" w:space="0" w:color="auto"/>
            <w:right w:val="none" w:sz="0" w:space="0" w:color="auto"/>
          </w:divBdr>
        </w:div>
        <w:div w:id="709838622">
          <w:marLeft w:val="0"/>
          <w:marRight w:val="0"/>
          <w:marTop w:val="0"/>
          <w:marBottom w:val="0"/>
          <w:divBdr>
            <w:top w:val="none" w:sz="0" w:space="0" w:color="auto"/>
            <w:left w:val="none" w:sz="0" w:space="0" w:color="auto"/>
            <w:bottom w:val="none" w:sz="0" w:space="0" w:color="auto"/>
            <w:right w:val="none" w:sz="0" w:space="0" w:color="auto"/>
          </w:divBdr>
          <w:divsChild>
            <w:div w:id="89785432">
              <w:marLeft w:val="0"/>
              <w:marRight w:val="0"/>
              <w:marTop w:val="0"/>
              <w:marBottom w:val="0"/>
              <w:divBdr>
                <w:top w:val="none" w:sz="0" w:space="0" w:color="auto"/>
                <w:left w:val="none" w:sz="0" w:space="0" w:color="auto"/>
                <w:bottom w:val="none" w:sz="0" w:space="0" w:color="auto"/>
                <w:right w:val="none" w:sz="0" w:space="0" w:color="auto"/>
              </w:divBdr>
            </w:div>
            <w:div w:id="962030344">
              <w:marLeft w:val="0"/>
              <w:marRight w:val="0"/>
              <w:marTop w:val="0"/>
              <w:marBottom w:val="0"/>
              <w:divBdr>
                <w:top w:val="none" w:sz="0" w:space="0" w:color="auto"/>
                <w:left w:val="none" w:sz="0" w:space="0" w:color="auto"/>
                <w:bottom w:val="none" w:sz="0" w:space="0" w:color="auto"/>
                <w:right w:val="none" w:sz="0" w:space="0" w:color="auto"/>
              </w:divBdr>
            </w:div>
            <w:div w:id="1209494388">
              <w:marLeft w:val="0"/>
              <w:marRight w:val="0"/>
              <w:marTop w:val="0"/>
              <w:marBottom w:val="0"/>
              <w:divBdr>
                <w:top w:val="none" w:sz="0" w:space="0" w:color="auto"/>
                <w:left w:val="none" w:sz="0" w:space="0" w:color="auto"/>
                <w:bottom w:val="none" w:sz="0" w:space="0" w:color="auto"/>
                <w:right w:val="none" w:sz="0" w:space="0" w:color="auto"/>
              </w:divBdr>
            </w:div>
            <w:div w:id="1392146027">
              <w:marLeft w:val="0"/>
              <w:marRight w:val="0"/>
              <w:marTop w:val="0"/>
              <w:marBottom w:val="0"/>
              <w:divBdr>
                <w:top w:val="none" w:sz="0" w:space="0" w:color="auto"/>
                <w:left w:val="none" w:sz="0" w:space="0" w:color="auto"/>
                <w:bottom w:val="none" w:sz="0" w:space="0" w:color="auto"/>
                <w:right w:val="none" w:sz="0" w:space="0" w:color="auto"/>
              </w:divBdr>
            </w:div>
            <w:div w:id="1569923240">
              <w:marLeft w:val="0"/>
              <w:marRight w:val="0"/>
              <w:marTop w:val="0"/>
              <w:marBottom w:val="0"/>
              <w:divBdr>
                <w:top w:val="none" w:sz="0" w:space="0" w:color="auto"/>
                <w:left w:val="none" w:sz="0" w:space="0" w:color="auto"/>
                <w:bottom w:val="none" w:sz="0" w:space="0" w:color="auto"/>
                <w:right w:val="none" w:sz="0" w:space="0" w:color="auto"/>
              </w:divBdr>
            </w:div>
          </w:divsChild>
        </w:div>
        <w:div w:id="722869022">
          <w:marLeft w:val="0"/>
          <w:marRight w:val="0"/>
          <w:marTop w:val="0"/>
          <w:marBottom w:val="0"/>
          <w:divBdr>
            <w:top w:val="none" w:sz="0" w:space="0" w:color="auto"/>
            <w:left w:val="none" w:sz="0" w:space="0" w:color="auto"/>
            <w:bottom w:val="none" w:sz="0" w:space="0" w:color="auto"/>
            <w:right w:val="none" w:sz="0" w:space="0" w:color="auto"/>
          </w:divBdr>
        </w:div>
        <w:div w:id="733548946">
          <w:marLeft w:val="0"/>
          <w:marRight w:val="0"/>
          <w:marTop w:val="0"/>
          <w:marBottom w:val="0"/>
          <w:divBdr>
            <w:top w:val="none" w:sz="0" w:space="0" w:color="auto"/>
            <w:left w:val="none" w:sz="0" w:space="0" w:color="auto"/>
            <w:bottom w:val="none" w:sz="0" w:space="0" w:color="auto"/>
            <w:right w:val="none" w:sz="0" w:space="0" w:color="auto"/>
          </w:divBdr>
        </w:div>
        <w:div w:id="935747394">
          <w:marLeft w:val="0"/>
          <w:marRight w:val="0"/>
          <w:marTop w:val="0"/>
          <w:marBottom w:val="0"/>
          <w:divBdr>
            <w:top w:val="none" w:sz="0" w:space="0" w:color="auto"/>
            <w:left w:val="none" w:sz="0" w:space="0" w:color="auto"/>
            <w:bottom w:val="none" w:sz="0" w:space="0" w:color="auto"/>
            <w:right w:val="none" w:sz="0" w:space="0" w:color="auto"/>
          </w:divBdr>
        </w:div>
        <w:div w:id="999424290">
          <w:marLeft w:val="0"/>
          <w:marRight w:val="0"/>
          <w:marTop w:val="0"/>
          <w:marBottom w:val="0"/>
          <w:divBdr>
            <w:top w:val="none" w:sz="0" w:space="0" w:color="auto"/>
            <w:left w:val="none" w:sz="0" w:space="0" w:color="auto"/>
            <w:bottom w:val="none" w:sz="0" w:space="0" w:color="auto"/>
            <w:right w:val="none" w:sz="0" w:space="0" w:color="auto"/>
          </w:divBdr>
        </w:div>
        <w:div w:id="1049694895">
          <w:marLeft w:val="0"/>
          <w:marRight w:val="0"/>
          <w:marTop w:val="0"/>
          <w:marBottom w:val="0"/>
          <w:divBdr>
            <w:top w:val="none" w:sz="0" w:space="0" w:color="auto"/>
            <w:left w:val="none" w:sz="0" w:space="0" w:color="auto"/>
            <w:bottom w:val="none" w:sz="0" w:space="0" w:color="auto"/>
            <w:right w:val="none" w:sz="0" w:space="0" w:color="auto"/>
          </w:divBdr>
        </w:div>
        <w:div w:id="1056390646">
          <w:marLeft w:val="0"/>
          <w:marRight w:val="0"/>
          <w:marTop w:val="0"/>
          <w:marBottom w:val="0"/>
          <w:divBdr>
            <w:top w:val="none" w:sz="0" w:space="0" w:color="auto"/>
            <w:left w:val="none" w:sz="0" w:space="0" w:color="auto"/>
            <w:bottom w:val="none" w:sz="0" w:space="0" w:color="auto"/>
            <w:right w:val="none" w:sz="0" w:space="0" w:color="auto"/>
          </w:divBdr>
        </w:div>
        <w:div w:id="1122724621">
          <w:marLeft w:val="0"/>
          <w:marRight w:val="0"/>
          <w:marTop w:val="0"/>
          <w:marBottom w:val="0"/>
          <w:divBdr>
            <w:top w:val="none" w:sz="0" w:space="0" w:color="auto"/>
            <w:left w:val="none" w:sz="0" w:space="0" w:color="auto"/>
            <w:bottom w:val="none" w:sz="0" w:space="0" w:color="auto"/>
            <w:right w:val="none" w:sz="0" w:space="0" w:color="auto"/>
          </w:divBdr>
        </w:div>
        <w:div w:id="1146360067">
          <w:marLeft w:val="0"/>
          <w:marRight w:val="0"/>
          <w:marTop w:val="0"/>
          <w:marBottom w:val="0"/>
          <w:divBdr>
            <w:top w:val="none" w:sz="0" w:space="0" w:color="auto"/>
            <w:left w:val="none" w:sz="0" w:space="0" w:color="auto"/>
            <w:bottom w:val="none" w:sz="0" w:space="0" w:color="auto"/>
            <w:right w:val="none" w:sz="0" w:space="0" w:color="auto"/>
          </w:divBdr>
          <w:divsChild>
            <w:div w:id="244648571">
              <w:marLeft w:val="0"/>
              <w:marRight w:val="0"/>
              <w:marTop w:val="0"/>
              <w:marBottom w:val="0"/>
              <w:divBdr>
                <w:top w:val="none" w:sz="0" w:space="0" w:color="auto"/>
                <w:left w:val="none" w:sz="0" w:space="0" w:color="auto"/>
                <w:bottom w:val="none" w:sz="0" w:space="0" w:color="auto"/>
                <w:right w:val="none" w:sz="0" w:space="0" w:color="auto"/>
              </w:divBdr>
            </w:div>
            <w:div w:id="668096683">
              <w:marLeft w:val="0"/>
              <w:marRight w:val="0"/>
              <w:marTop w:val="0"/>
              <w:marBottom w:val="0"/>
              <w:divBdr>
                <w:top w:val="none" w:sz="0" w:space="0" w:color="auto"/>
                <w:left w:val="none" w:sz="0" w:space="0" w:color="auto"/>
                <w:bottom w:val="none" w:sz="0" w:space="0" w:color="auto"/>
                <w:right w:val="none" w:sz="0" w:space="0" w:color="auto"/>
              </w:divBdr>
            </w:div>
            <w:div w:id="711687618">
              <w:marLeft w:val="0"/>
              <w:marRight w:val="0"/>
              <w:marTop w:val="0"/>
              <w:marBottom w:val="0"/>
              <w:divBdr>
                <w:top w:val="none" w:sz="0" w:space="0" w:color="auto"/>
                <w:left w:val="none" w:sz="0" w:space="0" w:color="auto"/>
                <w:bottom w:val="none" w:sz="0" w:space="0" w:color="auto"/>
                <w:right w:val="none" w:sz="0" w:space="0" w:color="auto"/>
              </w:divBdr>
            </w:div>
            <w:div w:id="1431006312">
              <w:marLeft w:val="0"/>
              <w:marRight w:val="0"/>
              <w:marTop w:val="0"/>
              <w:marBottom w:val="0"/>
              <w:divBdr>
                <w:top w:val="none" w:sz="0" w:space="0" w:color="auto"/>
                <w:left w:val="none" w:sz="0" w:space="0" w:color="auto"/>
                <w:bottom w:val="none" w:sz="0" w:space="0" w:color="auto"/>
                <w:right w:val="none" w:sz="0" w:space="0" w:color="auto"/>
              </w:divBdr>
            </w:div>
            <w:div w:id="1898010707">
              <w:marLeft w:val="0"/>
              <w:marRight w:val="0"/>
              <w:marTop w:val="0"/>
              <w:marBottom w:val="0"/>
              <w:divBdr>
                <w:top w:val="none" w:sz="0" w:space="0" w:color="auto"/>
                <w:left w:val="none" w:sz="0" w:space="0" w:color="auto"/>
                <w:bottom w:val="none" w:sz="0" w:space="0" w:color="auto"/>
                <w:right w:val="none" w:sz="0" w:space="0" w:color="auto"/>
              </w:divBdr>
            </w:div>
          </w:divsChild>
        </w:div>
        <w:div w:id="1333681707">
          <w:marLeft w:val="0"/>
          <w:marRight w:val="0"/>
          <w:marTop w:val="0"/>
          <w:marBottom w:val="0"/>
          <w:divBdr>
            <w:top w:val="none" w:sz="0" w:space="0" w:color="auto"/>
            <w:left w:val="none" w:sz="0" w:space="0" w:color="auto"/>
            <w:bottom w:val="none" w:sz="0" w:space="0" w:color="auto"/>
            <w:right w:val="none" w:sz="0" w:space="0" w:color="auto"/>
          </w:divBdr>
        </w:div>
        <w:div w:id="1481531374">
          <w:marLeft w:val="0"/>
          <w:marRight w:val="0"/>
          <w:marTop w:val="0"/>
          <w:marBottom w:val="0"/>
          <w:divBdr>
            <w:top w:val="none" w:sz="0" w:space="0" w:color="auto"/>
            <w:left w:val="none" w:sz="0" w:space="0" w:color="auto"/>
            <w:bottom w:val="none" w:sz="0" w:space="0" w:color="auto"/>
            <w:right w:val="none" w:sz="0" w:space="0" w:color="auto"/>
          </w:divBdr>
        </w:div>
        <w:div w:id="1535802738">
          <w:marLeft w:val="0"/>
          <w:marRight w:val="0"/>
          <w:marTop w:val="0"/>
          <w:marBottom w:val="0"/>
          <w:divBdr>
            <w:top w:val="none" w:sz="0" w:space="0" w:color="auto"/>
            <w:left w:val="none" w:sz="0" w:space="0" w:color="auto"/>
            <w:bottom w:val="none" w:sz="0" w:space="0" w:color="auto"/>
            <w:right w:val="none" w:sz="0" w:space="0" w:color="auto"/>
          </w:divBdr>
        </w:div>
        <w:div w:id="1547445097">
          <w:marLeft w:val="0"/>
          <w:marRight w:val="0"/>
          <w:marTop w:val="0"/>
          <w:marBottom w:val="0"/>
          <w:divBdr>
            <w:top w:val="none" w:sz="0" w:space="0" w:color="auto"/>
            <w:left w:val="none" w:sz="0" w:space="0" w:color="auto"/>
            <w:bottom w:val="none" w:sz="0" w:space="0" w:color="auto"/>
            <w:right w:val="none" w:sz="0" w:space="0" w:color="auto"/>
          </w:divBdr>
        </w:div>
        <w:div w:id="1734965092">
          <w:marLeft w:val="0"/>
          <w:marRight w:val="0"/>
          <w:marTop w:val="0"/>
          <w:marBottom w:val="0"/>
          <w:divBdr>
            <w:top w:val="none" w:sz="0" w:space="0" w:color="auto"/>
            <w:left w:val="none" w:sz="0" w:space="0" w:color="auto"/>
            <w:bottom w:val="none" w:sz="0" w:space="0" w:color="auto"/>
            <w:right w:val="none" w:sz="0" w:space="0" w:color="auto"/>
          </w:divBdr>
        </w:div>
        <w:div w:id="1796827623">
          <w:marLeft w:val="0"/>
          <w:marRight w:val="0"/>
          <w:marTop w:val="0"/>
          <w:marBottom w:val="0"/>
          <w:divBdr>
            <w:top w:val="none" w:sz="0" w:space="0" w:color="auto"/>
            <w:left w:val="none" w:sz="0" w:space="0" w:color="auto"/>
            <w:bottom w:val="none" w:sz="0" w:space="0" w:color="auto"/>
            <w:right w:val="none" w:sz="0" w:space="0" w:color="auto"/>
          </w:divBdr>
        </w:div>
        <w:div w:id="1870072260">
          <w:marLeft w:val="0"/>
          <w:marRight w:val="0"/>
          <w:marTop w:val="0"/>
          <w:marBottom w:val="0"/>
          <w:divBdr>
            <w:top w:val="none" w:sz="0" w:space="0" w:color="auto"/>
            <w:left w:val="none" w:sz="0" w:space="0" w:color="auto"/>
            <w:bottom w:val="none" w:sz="0" w:space="0" w:color="auto"/>
            <w:right w:val="none" w:sz="0" w:space="0" w:color="auto"/>
          </w:divBdr>
        </w:div>
        <w:div w:id="1888251853">
          <w:marLeft w:val="0"/>
          <w:marRight w:val="0"/>
          <w:marTop w:val="0"/>
          <w:marBottom w:val="0"/>
          <w:divBdr>
            <w:top w:val="none" w:sz="0" w:space="0" w:color="auto"/>
            <w:left w:val="none" w:sz="0" w:space="0" w:color="auto"/>
            <w:bottom w:val="none" w:sz="0" w:space="0" w:color="auto"/>
            <w:right w:val="none" w:sz="0" w:space="0" w:color="auto"/>
          </w:divBdr>
        </w:div>
        <w:div w:id="1969701272">
          <w:marLeft w:val="0"/>
          <w:marRight w:val="0"/>
          <w:marTop w:val="0"/>
          <w:marBottom w:val="0"/>
          <w:divBdr>
            <w:top w:val="none" w:sz="0" w:space="0" w:color="auto"/>
            <w:left w:val="none" w:sz="0" w:space="0" w:color="auto"/>
            <w:bottom w:val="none" w:sz="0" w:space="0" w:color="auto"/>
            <w:right w:val="none" w:sz="0" w:space="0" w:color="auto"/>
          </w:divBdr>
        </w:div>
        <w:div w:id="2075615731">
          <w:marLeft w:val="0"/>
          <w:marRight w:val="0"/>
          <w:marTop w:val="0"/>
          <w:marBottom w:val="0"/>
          <w:divBdr>
            <w:top w:val="none" w:sz="0" w:space="0" w:color="auto"/>
            <w:left w:val="none" w:sz="0" w:space="0" w:color="auto"/>
            <w:bottom w:val="none" w:sz="0" w:space="0" w:color="auto"/>
            <w:right w:val="none" w:sz="0" w:space="0" w:color="auto"/>
          </w:divBdr>
        </w:div>
        <w:div w:id="2104573336">
          <w:marLeft w:val="0"/>
          <w:marRight w:val="0"/>
          <w:marTop w:val="0"/>
          <w:marBottom w:val="0"/>
          <w:divBdr>
            <w:top w:val="none" w:sz="0" w:space="0" w:color="auto"/>
            <w:left w:val="none" w:sz="0" w:space="0" w:color="auto"/>
            <w:bottom w:val="none" w:sz="0" w:space="0" w:color="auto"/>
            <w:right w:val="none" w:sz="0" w:space="0" w:color="auto"/>
          </w:divBdr>
        </w:div>
      </w:divsChild>
    </w:div>
    <w:div w:id="1985423435">
      <w:bodyDiv w:val="1"/>
      <w:marLeft w:val="0"/>
      <w:marRight w:val="0"/>
      <w:marTop w:val="0"/>
      <w:marBottom w:val="0"/>
      <w:divBdr>
        <w:top w:val="none" w:sz="0" w:space="0" w:color="auto"/>
        <w:left w:val="none" w:sz="0" w:space="0" w:color="auto"/>
        <w:bottom w:val="none" w:sz="0" w:space="0" w:color="auto"/>
        <w:right w:val="none" w:sz="0" w:space="0" w:color="auto"/>
      </w:divBdr>
    </w:div>
    <w:div w:id="2003653652">
      <w:bodyDiv w:val="1"/>
      <w:marLeft w:val="0"/>
      <w:marRight w:val="0"/>
      <w:marTop w:val="0"/>
      <w:marBottom w:val="0"/>
      <w:divBdr>
        <w:top w:val="none" w:sz="0" w:space="0" w:color="auto"/>
        <w:left w:val="none" w:sz="0" w:space="0" w:color="auto"/>
        <w:bottom w:val="none" w:sz="0" w:space="0" w:color="auto"/>
        <w:right w:val="none" w:sz="0" w:space="0" w:color="auto"/>
      </w:divBdr>
    </w:div>
    <w:div w:id="2014532073">
      <w:bodyDiv w:val="1"/>
      <w:marLeft w:val="0"/>
      <w:marRight w:val="0"/>
      <w:marTop w:val="0"/>
      <w:marBottom w:val="0"/>
      <w:divBdr>
        <w:top w:val="none" w:sz="0" w:space="0" w:color="auto"/>
        <w:left w:val="none" w:sz="0" w:space="0" w:color="auto"/>
        <w:bottom w:val="none" w:sz="0" w:space="0" w:color="auto"/>
        <w:right w:val="none" w:sz="0" w:space="0" w:color="auto"/>
      </w:divBdr>
    </w:div>
    <w:div w:id="2023701222">
      <w:bodyDiv w:val="1"/>
      <w:marLeft w:val="0"/>
      <w:marRight w:val="0"/>
      <w:marTop w:val="0"/>
      <w:marBottom w:val="0"/>
      <w:divBdr>
        <w:top w:val="none" w:sz="0" w:space="0" w:color="auto"/>
        <w:left w:val="none" w:sz="0" w:space="0" w:color="auto"/>
        <w:bottom w:val="none" w:sz="0" w:space="0" w:color="auto"/>
        <w:right w:val="none" w:sz="0" w:space="0" w:color="auto"/>
      </w:divBdr>
    </w:div>
    <w:div w:id="2048556743">
      <w:bodyDiv w:val="1"/>
      <w:marLeft w:val="0"/>
      <w:marRight w:val="0"/>
      <w:marTop w:val="0"/>
      <w:marBottom w:val="0"/>
      <w:divBdr>
        <w:top w:val="none" w:sz="0" w:space="0" w:color="auto"/>
        <w:left w:val="none" w:sz="0" w:space="0" w:color="auto"/>
        <w:bottom w:val="none" w:sz="0" w:space="0" w:color="auto"/>
        <w:right w:val="none" w:sz="0" w:space="0" w:color="auto"/>
      </w:divBdr>
    </w:div>
    <w:div w:id="2079548510">
      <w:bodyDiv w:val="1"/>
      <w:marLeft w:val="0"/>
      <w:marRight w:val="0"/>
      <w:marTop w:val="0"/>
      <w:marBottom w:val="0"/>
      <w:divBdr>
        <w:top w:val="none" w:sz="0" w:space="0" w:color="auto"/>
        <w:left w:val="none" w:sz="0" w:space="0" w:color="auto"/>
        <w:bottom w:val="none" w:sz="0" w:space="0" w:color="auto"/>
        <w:right w:val="none" w:sz="0" w:space="0" w:color="auto"/>
      </w:divBdr>
    </w:div>
    <w:div w:id="2089112923">
      <w:bodyDiv w:val="1"/>
      <w:marLeft w:val="0"/>
      <w:marRight w:val="0"/>
      <w:marTop w:val="0"/>
      <w:marBottom w:val="0"/>
      <w:divBdr>
        <w:top w:val="none" w:sz="0" w:space="0" w:color="auto"/>
        <w:left w:val="none" w:sz="0" w:space="0" w:color="auto"/>
        <w:bottom w:val="none" w:sz="0" w:space="0" w:color="auto"/>
        <w:right w:val="none" w:sz="0" w:space="0" w:color="auto"/>
      </w:divBdr>
    </w:div>
    <w:div w:id="2112237980">
      <w:bodyDiv w:val="1"/>
      <w:marLeft w:val="0"/>
      <w:marRight w:val="0"/>
      <w:marTop w:val="0"/>
      <w:marBottom w:val="0"/>
      <w:divBdr>
        <w:top w:val="none" w:sz="0" w:space="0" w:color="auto"/>
        <w:left w:val="none" w:sz="0" w:space="0" w:color="auto"/>
        <w:bottom w:val="none" w:sz="0" w:space="0" w:color="auto"/>
        <w:right w:val="none" w:sz="0" w:space="0" w:color="auto"/>
      </w:divBdr>
    </w:div>
    <w:div w:id="212292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23" Type="http://schemas.microsoft.com/office/2016/09/relationships/commentsIds" Target="commentsIds.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acer.europa.eu/sites/default/files/documents/Media/News/Documents/2022%2006%2001%20FG%20Request%20to%20ACER_final.pdf" TargetMode="External"/><Relationship Id="rId13" Type="http://schemas.openxmlformats.org/officeDocument/2006/relationships/hyperlink" Target="https://ec.europa.eu/info/funding-tenders/opportunities/portal/screen/opportunities/topic-details/digital-2021-cloud-ai-01-suppcentre" TargetMode="External"/><Relationship Id="rId18" Type="http://schemas.openxmlformats.org/officeDocument/2006/relationships/hyperlink" Target="https://ec.europa.eu/info/funding-tenders/find-funding/eu-funding-programmes/technical-support-instrument/technical-support-instrument-tsi_fr" TargetMode="External"/><Relationship Id="rId26" Type="http://schemas.openxmlformats.org/officeDocument/2006/relationships/hyperlink" Target="https://www.bloomberg.com/professional/blog/why-bitcoins-energy-problem-is-so-hard-to-fix-quicktake/%23" TargetMode="External"/><Relationship Id="rId3" Type="http://schemas.openxmlformats.org/officeDocument/2006/relationships/hyperlink" Target="https://www.eurelectric.org/connecting-the-dots/" TargetMode="External"/><Relationship Id="rId21" Type="http://schemas.openxmlformats.org/officeDocument/2006/relationships/hyperlink" Target="https://ec.europa.eu/info/news/ecodesign-and-energy-labelling-working-plan-2022-2024-2022-apr-06_fr" TargetMode="External"/><Relationship Id="rId7" Type="http://schemas.openxmlformats.org/officeDocument/2006/relationships/hyperlink" Target="https://ec.europa.eu/transparency/expert-groups-register/screen/expert-groups/consult?do=groupDetail.groupDetail&amp;groupID=2892&amp;lang=fr" TargetMode="External"/><Relationship Id="rId12" Type="http://schemas.openxmlformats.org/officeDocument/2006/relationships/hyperlink" Target="https://transport.ec.europa.eu/transport-themes/clean-transport-urban-transport/sustainable-transport-forum-stf_en" TargetMode="External"/><Relationship Id="rId17" Type="http://schemas.openxmlformats.org/officeDocument/2006/relationships/hyperlink" Target="https://bridge-smart-grid-storage-systems-digital-projects.ec.europa.eu/" TargetMode="External"/><Relationship Id="rId25" Type="http://schemas.openxmlformats.org/officeDocument/2006/relationships/hyperlink" Target="https://ccaf.io/cbeci/index" TargetMode="External"/><Relationship Id="rId2" Type="http://schemas.openxmlformats.org/officeDocument/2006/relationships/hyperlink" Target="https://www.eurelectric.org/connecting-the-dots/" TargetMode="External"/><Relationship Id="rId16" Type="http://schemas.openxmlformats.org/officeDocument/2006/relationships/hyperlink" Target="https://ec.europa.eu/info/funding-tenders/opportunities/portal/screen/opportunities/topic-details/horizon-cl5-2021-d3-01-01" TargetMode="External"/><Relationship Id="rId20" Type="http://schemas.openxmlformats.org/officeDocument/2006/relationships/hyperlink" Target="https://ec.europa.eu/info/funding-tenders/opportunities/docs/2021-2027/digital/wp-call/2022/call-fiche_digital-2022-skills-03-specialised-edu_en.pdf" TargetMode="External"/><Relationship Id="rId1" Type="http://schemas.openxmlformats.org/officeDocument/2006/relationships/hyperlink" Target="https://iea.blob.core.windows.net/assets/b1e6600c-4e40-4d9c-809d-1d1724c763d5/DigitalizationandEnergy3.pdf" TargetMode="External"/><Relationship Id="rId6" Type="http://schemas.openxmlformats.org/officeDocument/2006/relationships/hyperlink" Target="https://op.europa.eu/en/publication-detail/-/publication/c230dd32-a5a2-11ec-83e1-01aa75ed71a1/language-en" TargetMode="External"/><Relationship Id="rId11" Type="http://schemas.openxmlformats.org/officeDocument/2006/relationships/hyperlink" Target="https://eefig.ec.europa.eu/index_en" TargetMode="External"/><Relationship Id="rId24" Type="http://schemas.openxmlformats.org/officeDocument/2006/relationships/hyperlink" Target="https://digital-strategy.ec.europa.eu/en/library/energy-efficient-cloud-computing-technologies-and-policies-eco-friendly-cloud-market" TargetMode="External"/><Relationship Id="rId5" Type="http://schemas.openxmlformats.org/officeDocument/2006/relationships/hyperlink" Target="https://data.europa.eu/doi/10.2833/492070" TargetMode="External"/><Relationship Id="rId15" Type="http://schemas.openxmlformats.org/officeDocument/2006/relationships/hyperlink" Target="https://ses.jrc.ec.europa.eu/development-of-policy-proposals-for-energy-smart-appliances" TargetMode="External"/><Relationship Id="rId23" Type="http://schemas.openxmlformats.org/officeDocument/2006/relationships/hyperlink" Target="https://ec.europa.eu/newsroom/dae/document.cfm?doc_id=71330" TargetMode="External"/><Relationship Id="rId28" Type="http://schemas.openxmlformats.org/officeDocument/2006/relationships/hyperlink" Target="https://digital-strategy.ec.europa.eu/en/policies/cybersecurity-competence-centre" TargetMode="External"/><Relationship Id="rId10" Type="http://schemas.openxmlformats.org/officeDocument/2006/relationships/hyperlink" Target="https://ec.europa.eu/transparency/expert-groups-register/screen/expert-groups/consult?lang=fr&amp;groupID=3763" TargetMode="External"/><Relationship Id="rId19" Type="http://schemas.openxmlformats.org/officeDocument/2006/relationships/hyperlink" Target="https://ec.europa.eu/info/energy-climate-change-environment/standards-tools-and-labels/products-labelling-rules-and-requirements/energy-label-and-ecodesign/product-database_fr" TargetMode="External"/><Relationship Id="rId4" Type="http://schemas.openxmlformats.org/officeDocument/2006/relationships/hyperlink" Target="https://www.cbi.eu/market-information/outsourcing-itobpo/industrial-internet-things/market-potential" TargetMode="External"/><Relationship Id="rId9" Type="http://schemas.openxmlformats.org/officeDocument/2006/relationships/hyperlink" Target="https://eur-lex.europa.eu/legal-content/FR/ALL/?uri=COM:2021:559:FIN" TargetMode="External"/><Relationship Id="rId14" Type="http://schemas.openxmlformats.org/officeDocument/2006/relationships/hyperlink" Target="https://joinup.ec.europa.eu/collection/nifo-national-interoperability-framework-observatory/3-interoperability-layers" TargetMode="External"/><Relationship Id="rId22" Type="http://schemas.openxmlformats.org/officeDocument/2006/relationships/hyperlink" Target="https://ec.europa.eu/info/strategy/priorities-2019-2024/europe-fit-digital-age/shaping-europe-digital-future_fr" TargetMode="External"/><Relationship Id="rId27" Type="http://schemas.openxmlformats.org/officeDocument/2006/relationships/hyperlink" Target="https://fsr.eui.eu/eu-india-high-level-platform-on-smart-gri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DE4443-48FE-4DC6-9F96-8FF7636BB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11885</Words>
  <Characters>68700</Characters>
  <Application>Microsoft Office Word</Application>
  <DocSecurity>0</DocSecurity>
  <Lines>1025</Lines>
  <Paragraphs>199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2022-10-16T23:33:00Z</dcterms:created>
  <dcterms:modified xsi:type="dcterms:W3CDTF">2022-10-24T16:15:00Z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2022-09-21T06:59:49Z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e6954fa5-32ba-4b64-8f6c-382dd472479f</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8.1, Build 20220902</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