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147812D2" w14:textId="3B2BAD05" w:rsidR="007151F2" w:rsidRPr="00AC058C" w:rsidRDefault="00061662" w:rsidP="00061662">
      <w:pPr>
        <w:pStyle w:val="Pagedecouverture"/>
        <w:rPr>
          <w:noProof/>
        </w:rPr>
      </w:pPr>
      <w:bookmarkStart w:id="0" w:name="LW_BM_COVERPAGE"/>
      <w:r>
        <w:rPr>
          <w:noProof/>
        </w:rPr>
        <w:pict w14:anchorId="72D96B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755DC417-33A6-4AA3-82BE-00EF0C0021BD" style="width:455.25pt;height:336.75pt">
            <v:imagedata r:id="rId8" o:title=""/>
          </v:shape>
        </w:pict>
      </w:r>
    </w:p>
    <w:bookmarkEnd w:id="0"/>
    <w:p w14:paraId="5D76B35E" w14:textId="77777777" w:rsidR="00D60876" w:rsidRPr="00AC058C" w:rsidRDefault="00D60876" w:rsidP="00D60876">
      <w:pPr>
        <w:rPr>
          <w:noProof/>
          <w:color w:val="000000" w:themeColor="text1"/>
        </w:rPr>
        <w:sectPr w:rsidR="00D60876" w:rsidRPr="00AC058C" w:rsidSect="0006166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DCBF604" w14:textId="77777777" w:rsidR="0062492F" w:rsidRPr="00AC058C" w:rsidRDefault="00352428" w:rsidP="00B33E58">
      <w:pPr>
        <w:rPr>
          <w:noProof/>
        </w:rPr>
      </w:pPr>
      <w:bookmarkStart w:id="1" w:name="_Toc103872590"/>
      <w:bookmarkStart w:id="2" w:name="_Toc2053975131"/>
      <w:bookmarkStart w:id="3" w:name="_Toc1686835393"/>
      <w:bookmarkStart w:id="4" w:name="_Toc106053789"/>
      <w:bookmarkStart w:id="5" w:name="_GoBack"/>
      <w:bookmarkEnd w:id="5"/>
      <w:r w:rsidRPr="00AC058C">
        <w:rPr>
          <w:b/>
          <w:noProof/>
        </w:rPr>
        <w:lastRenderedPageBreak/>
        <w:t>1.</w:t>
      </w:r>
      <w:r w:rsidRPr="00AC058C">
        <w:rPr>
          <w:noProof/>
        </w:rPr>
        <w:tab/>
      </w:r>
      <w:r w:rsidRPr="00AC058C">
        <w:rPr>
          <w:b/>
          <w:smallCaps/>
          <w:noProof/>
        </w:rPr>
        <w:t>Către un sistem energetic digitalizat, verde și rezilient</w:t>
      </w:r>
      <w:bookmarkEnd w:id="1"/>
      <w:bookmarkEnd w:id="2"/>
      <w:bookmarkEnd w:id="3"/>
      <w:bookmarkEnd w:id="4"/>
    </w:p>
    <w:p w14:paraId="4048A403" w14:textId="7D3C6DE3" w:rsidR="00137923" w:rsidRPr="00AC058C" w:rsidRDefault="00C40C4C" w:rsidP="33E2182A">
      <w:pPr>
        <w:rPr>
          <w:noProof/>
          <w:color w:val="000000" w:themeColor="text1"/>
        </w:rPr>
      </w:pPr>
      <w:r w:rsidRPr="00AC058C">
        <w:rPr>
          <w:noProof/>
          <w:color w:val="000000" w:themeColor="text1"/>
        </w:rPr>
        <w:t>Pentru a elimina dependența UE de combustibilii fosili proveniți din Rusia, pentru a combate criza climatică și pentru a asigura accesul tuturor la energie la un preț accesibil, Pactul verde european și planul REPowerEU impun o transformare profundă a sistemului nostru energetic din punct de vedere digital și al durabilității. De exemplu, până în 2027, trebuie să instalăm panouri solare fotovoltaice (PV) pe acoperișurile tuturor clădirilor comerciale și publice, iar până în 2029 pe toate clădirile rezidențiale noi</w:t>
      </w:r>
      <w:r w:rsidRPr="00AC058C">
        <w:rPr>
          <w:noProof/>
          <w:color w:val="000000" w:themeColor="text1"/>
          <w:vertAlign w:val="superscript"/>
        </w:rPr>
        <w:footnoteReference w:id="2"/>
      </w:r>
      <w:r w:rsidRPr="00AC058C">
        <w:rPr>
          <w:noProof/>
          <w:color w:val="000000" w:themeColor="text1"/>
        </w:rPr>
        <w:t>; în următorii cinci ani, trebuie să instalăm 10</w:t>
      </w:r>
      <w:r w:rsidR="00740ED5" w:rsidRPr="00AC058C">
        <w:rPr>
          <w:noProof/>
          <w:color w:val="000000" w:themeColor="text1"/>
        </w:rPr>
        <w:t> </w:t>
      </w:r>
      <w:r w:rsidRPr="00AC058C">
        <w:rPr>
          <w:noProof/>
          <w:color w:val="000000" w:themeColor="text1"/>
        </w:rPr>
        <w:t>milioane de pompe de căldură</w:t>
      </w:r>
      <w:r w:rsidRPr="00AC058C">
        <w:rPr>
          <w:rStyle w:val="FootnoteReference"/>
          <w:noProof/>
          <w:color w:val="000000" w:themeColor="text1"/>
        </w:rPr>
        <w:footnoteReference w:id="3"/>
      </w:r>
      <w:r w:rsidRPr="00AC058C">
        <w:rPr>
          <w:noProof/>
          <w:color w:val="000000" w:themeColor="text1"/>
        </w:rPr>
        <w:t xml:space="preserve"> și până în 2030, pe drumurile publice trebuie să înlocuim 30 de milioane de autoturisme cu vehicule cu emisii zero</w:t>
      </w:r>
      <w:r w:rsidRPr="00AC058C">
        <w:rPr>
          <w:noProof/>
          <w:color w:val="000000" w:themeColor="text1"/>
          <w:vertAlign w:val="superscript"/>
        </w:rPr>
        <w:footnoteReference w:id="4"/>
      </w:r>
      <w:r w:rsidRPr="00AC058C">
        <w:rPr>
          <w:noProof/>
          <w:color w:val="000000" w:themeColor="text1"/>
        </w:rPr>
        <w:t xml:space="preserve">. Reducerea emisiilor de gaze cu efect de seră cu 55 % și atingerea unei ponderi de 45 % de energie din surse regenerabile în 2030 se pot realiza numai dacă sistemul energetic dispune de capacitatea necesară. </w:t>
      </w:r>
    </w:p>
    <w:p w14:paraId="04A9BB44" w14:textId="1579ABC5" w:rsidR="5C71E215" w:rsidRPr="00AC058C" w:rsidRDefault="0043230A" w:rsidP="33E2182A">
      <w:pPr>
        <w:rPr>
          <w:noProof/>
          <w:color w:val="000000" w:themeColor="text1"/>
        </w:rPr>
      </w:pPr>
      <w:r w:rsidRPr="00AC058C">
        <w:rPr>
          <w:noProof/>
          <w:color w:val="000000" w:themeColor="text1"/>
        </w:rPr>
        <w:t xml:space="preserve">Pentru a atinge aceste obiective, Europa trebuie să construiască un sistem energetic mult mai inteligent și mai interactiv decât este în prezent. Eficiența energetică și utilizarea eficientă a resurselor, decarbonizarea, electrificarea, integrarea sectoarelor și descentralizarea sistemului energetic necesită un efort uriaș în ceea ce privește digitalizarea. Digitalizarea sistemului energetic este o prioritate în materie de politici, fiind un domeniu în care Pactul verde european și programul de politică pentru 2030 „Calea către deceniul digital” pentru Europa acționează </w:t>
      </w:r>
      <w:bookmarkStart w:id="6" w:name="_Int_m33bwQT2"/>
      <w:r w:rsidRPr="00AC058C">
        <w:rPr>
          <w:noProof/>
          <w:color w:val="000000" w:themeColor="text1"/>
        </w:rPr>
        <w:t>concomitent</w:t>
      </w:r>
      <w:bookmarkEnd w:id="6"/>
      <w:r w:rsidRPr="00AC058C">
        <w:rPr>
          <w:noProof/>
          <w:color w:val="000000" w:themeColor="text1"/>
        </w:rPr>
        <w:t xml:space="preserve"> în vederea unei duble tranziții. La nivel mondial, UE promovează dubla tranziție prin intermediul strategiei „Global Gateway”</w:t>
      </w:r>
      <w:r w:rsidRPr="00AC058C">
        <w:rPr>
          <w:rStyle w:val="FootnoteReference"/>
          <w:noProof/>
          <w:color w:val="000000" w:themeColor="text1"/>
        </w:rPr>
        <w:footnoteReference w:id="5"/>
      </w:r>
      <w:r w:rsidRPr="00AC058C">
        <w:rPr>
          <w:noProof/>
          <w:color w:val="000000" w:themeColor="text1"/>
        </w:rPr>
        <w:t>.</w:t>
      </w:r>
    </w:p>
    <w:p w14:paraId="7E81E1F0" w14:textId="262DEC6A" w:rsidR="00325614" w:rsidRPr="00AC058C" w:rsidRDefault="00325614" w:rsidP="194D58CB">
      <w:pPr>
        <w:rPr>
          <w:noProof/>
          <w:color w:val="000000" w:themeColor="text1"/>
        </w:rPr>
      </w:pPr>
      <w:r w:rsidRPr="00AC058C">
        <w:rPr>
          <w:noProof/>
        </w:rPr>
        <w:t xml:space="preserve">În perioada 2020-2030, vor fi necesare investiții în valoare de </w:t>
      </w:r>
      <w:r w:rsidRPr="00AC058C">
        <w:rPr>
          <w:noProof/>
          <w:color w:val="000000" w:themeColor="text1"/>
        </w:rPr>
        <w:t>aproximativ</w:t>
      </w:r>
      <w:r w:rsidRPr="00AC058C">
        <w:rPr>
          <w:noProof/>
        </w:rPr>
        <w:t xml:space="preserve"> 584 de miliarde EUR în rețeaua de energie electrică, în special în rețeaua de distribuție. O parte substanțială a acestor investiții va trebui să fie în digitalizare. Agenția Internațională a Energiei (AIE) a estimat că, la nivel mondial, răspunsurile la cerere ar putea evita investiții în valoare de 270 de miliarde USD în noi infrastructuri de energie electrică</w:t>
      </w:r>
      <w:r w:rsidRPr="00AC058C">
        <w:rPr>
          <w:rStyle w:val="FootnoteReference"/>
          <w:noProof/>
        </w:rPr>
        <w:footnoteReference w:id="6"/>
      </w:r>
      <w:r w:rsidRPr="00AC058C">
        <w:rPr>
          <w:noProof/>
        </w:rPr>
        <w:t xml:space="preserve">. </w:t>
      </w:r>
      <w:r w:rsidRPr="00AC058C">
        <w:rPr>
          <w:noProof/>
          <w:color w:val="000000" w:themeColor="text1"/>
        </w:rPr>
        <w:t>Un alt studiu estimează că</w:t>
      </w:r>
      <w:r w:rsidRPr="00AC058C">
        <w:rPr>
          <w:noProof/>
        </w:rPr>
        <w:t xml:space="preserve"> vor fi necesare investiții în digitalizare în valoare de aproximativ 170 de miliarde EUR din totalul </w:t>
      </w:r>
      <w:r w:rsidRPr="00AC058C">
        <w:rPr>
          <w:noProof/>
          <w:color w:val="000000" w:themeColor="text1"/>
        </w:rPr>
        <w:t>investițiilor în rețeaua de distribuție în valoare de aproximativ 400 de miliarde EUR</w:t>
      </w:r>
      <w:r w:rsidRPr="00AC058C">
        <w:rPr>
          <w:rStyle w:val="FootnoteReference"/>
          <w:noProof/>
          <w:color w:val="000000" w:themeColor="text1"/>
        </w:rPr>
        <w:footnoteReference w:id="7"/>
      </w:r>
      <w:r w:rsidRPr="00AC058C">
        <w:rPr>
          <w:noProof/>
          <w:color w:val="000000" w:themeColor="text1"/>
        </w:rPr>
        <w:t xml:space="preserve"> în perioada 2020-2030</w:t>
      </w:r>
      <w:r w:rsidRPr="00AC058C">
        <w:rPr>
          <w:noProof/>
        </w:rPr>
        <w:t xml:space="preserve">. </w:t>
      </w:r>
      <w:r w:rsidRPr="00AC058C">
        <w:rPr>
          <w:noProof/>
          <w:color w:val="000000" w:themeColor="text1"/>
        </w:rPr>
        <w:t>Utilizarea cât mai inteligentă a rețelei noastre energetice va asigura, de asemenea, utilizarea optimă a teritoriului nostru atunci când se intensifică investițiile în surse regenerabile de energie.</w:t>
      </w:r>
    </w:p>
    <w:p w14:paraId="57C5A3E8" w14:textId="179E4109" w:rsidR="64C9C051" w:rsidRPr="00AC058C" w:rsidRDefault="00325614">
      <w:pPr>
        <w:rPr>
          <w:noProof/>
          <w:szCs w:val="24"/>
        </w:rPr>
      </w:pPr>
      <w:r w:rsidRPr="00AC058C">
        <w:rPr>
          <w:noProof/>
        </w:rPr>
        <w:t>Investițiile în tehnologii digitale, cum ar fi dispozitivele și contoarele inteligente pentru internetul obiectelor, conectivitatea 5G și 6G, un spațiu paneuropean de date privind energia bazat pe servere de calcul de tip cloud computing și gemenii digitali ai sistemului energetic facilitează tranziția către o energie curată, aducând totodată beneficii pentru viața noastră de zi cu zi. De exemplu, aceste elemente ne pot ajuta să ne vizualizăm consumul de energie în timp real și să primim consiliere personalizată cu privire la modalitățile de reducere a acestuia. Instrumentele digitale pot controla automat temperatura camerei, pot încărca mașina electrică și pot gestiona aparatele pentru a beneficia de cele mai scăzute prețuri la energie, menținând, în același timp, un mediu interior confortabil și sănătos. Cu ajutorul instrumentelor digitale, autoritățile publice pot, de asemenea, să cartografieze, să monitorizeze și să abordeze mai bine sărăcia energetică, în timp ce sectorul energetic își poate optimiza mai bine operațiunile și poate acorda prioritate utilizării surselor regenerabile de energie.</w:t>
      </w:r>
    </w:p>
    <w:p w14:paraId="542DCE87" w14:textId="54D33DA8" w:rsidR="00E8208A" w:rsidRPr="00AC058C" w:rsidRDefault="47C08226" w:rsidP="414B7552">
      <w:pPr>
        <w:rPr>
          <w:noProof/>
          <w:color w:val="000000" w:themeColor="text1"/>
        </w:rPr>
      </w:pPr>
      <w:r w:rsidRPr="00AC058C">
        <w:rPr>
          <w:noProof/>
          <w:color w:val="000000" w:themeColor="text1"/>
        </w:rPr>
        <w:t>Digitalizarea se desfășoară deja în sectorul energetic, la fel ca în multe alte sectoare: vehiculele electrice, instalațiile fotovoltaice, pompele de căldură și multe alte dispozitive noi sunt echipate cu tehnologii inteligente care generează date și permit controlul de la distanță. Se preconizează că numărul de dispozitive conectate la internetul obiectelor (IoT) la nivel mondial va crește rapid și va depăși 25,4 miliarde în 2030</w:t>
      </w:r>
      <w:r w:rsidRPr="00AC058C">
        <w:rPr>
          <w:rStyle w:val="FootnoteReference"/>
          <w:noProof/>
          <w:color w:val="000000" w:themeColor="text1"/>
        </w:rPr>
        <w:footnoteReference w:id="8"/>
      </w:r>
      <w:r w:rsidRPr="00AC058C">
        <w:rPr>
          <w:noProof/>
          <w:color w:val="000000" w:themeColor="text1"/>
        </w:rPr>
        <w:t xml:space="preserve">. 51 % din totalul gospodăriilor și </w:t>
      </w:r>
      <w:bookmarkStart w:id="7" w:name="_Int_n01MLuRQ"/>
      <w:r w:rsidRPr="00AC058C">
        <w:rPr>
          <w:noProof/>
          <w:color w:val="000000" w:themeColor="text1"/>
        </w:rPr>
        <w:t>IMM-urilor</w:t>
      </w:r>
      <w:bookmarkEnd w:id="7"/>
      <w:r w:rsidRPr="00AC058C">
        <w:rPr>
          <w:noProof/>
          <w:color w:val="000000" w:themeColor="text1"/>
        </w:rPr>
        <w:t xml:space="preserve"> din UE sunt echipate cu contoare inteligente de energie electrică</w:t>
      </w:r>
      <w:r w:rsidRPr="00AC058C">
        <w:rPr>
          <w:rStyle w:val="FootnoteReference"/>
          <w:noProof/>
          <w:color w:val="000000" w:themeColor="text1"/>
        </w:rPr>
        <w:footnoteReference w:id="9"/>
      </w:r>
      <w:r w:rsidRPr="00AC058C">
        <w:rPr>
          <w:noProof/>
          <w:color w:val="000000" w:themeColor="text1"/>
        </w:rPr>
        <w:t xml:space="preserve">. Politicile digitale și energetice ale UE ghidează deja digitalizarea energiei, deoarece aspecte precum interoperabilitatea datelor, securitatea aprovizionării și securitatea cibernetică, viața privată și protecția consumatorilor nu pot fi lăsate doar în seama pieței, iar implementarea corespunzătoare a digitalizării energiei este esențială. </w:t>
      </w:r>
    </w:p>
    <w:p w14:paraId="78320786" w14:textId="43B41325" w:rsidR="00502C27" w:rsidRPr="00AC058C" w:rsidRDefault="00B0460C" w:rsidP="00E95DE0">
      <w:pPr>
        <w:rPr>
          <w:noProof/>
          <w:color w:val="000000" w:themeColor="text1"/>
        </w:rPr>
      </w:pPr>
      <w:r w:rsidRPr="00AC058C">
        <w:rPr>
          <w:noProof/>
          <w:color w:val="000000" w:themeColor="text1"/>
        </w:rPr>
        <w:t>Dar este nevoie de mai mult dacă dorim să exploatăm pe deplin potențialul tehnologiilor digitale și să accelerăm digitalizarea sistemului nostru energetic</w:t>
      </w:r>
      <w:bookmarkStart w:id="8" w:name="_Int_VzRD4oeN"/>
      <w:r w:rsidRPr="00AC058C">
        <w:rPr>
          <w:noProof/>
          <w:color w:val="000000" w:themeColor="text1"/>
        </w:rPr>
        <w:t>, abordând totodată provocările pe care le generează, respectând viața privată și protecția datelor și asigurând o tranziție echitabilă, care nu lasă pe nimeni în urmă.</w:t>
      </w:r>
      <w:bookmarkEnd w:id="8"/>
      <w:r w:rsidRPr="00AC058C">
        <w:rPr>
          <w:noProof/>
          <w:color w:val="000000" w:themeColor="text1"/>
        </w:rPr>
        <w:t xml:space="preserve"> Schimbul de date de-a lungul lanțului valoric în domeniul energiei și corelarea acestor date cu modelele meteorologice, modelele de mobilitate, serviciile financiare și sistemele de localizare geografică prin intermediul unei capacități de calcul din ce în ce mai puternice vor face posibilă prestarea unor servicii inovatoare la noi niveluri de precizie și adecvare, și vor contribui la creșterea economică și la crearea de locuri de muncă în UE. </w:t>
      </w:r>
    </w:p>
    <w:p w14:paraId="7C58E350" w14:textId="3257A01C" w:rsidR="00E95DE0" w:rsidRPr="00AC058C" w:rsidRDefault="00E95DE0" w:rsidP="00E95DE0">
      <w:pPr>
        <w:rPr>
          <w:noProof/>
          <w:color w:val="000000" w:themeColor="text1"/>
        </w:rPr>
      </w:pPr>
      <w:r w:rsidRPr="00AC058C">
        <w:rPr>
          <w:noProof/>
          <w:color w:val="000000" w:themeColor="text1"/>
        </w:rPr>
        <w:t>Astfel instituțiile financiare vor putea să deblocheze investiții private menite să sprijine tranziția energetică, iar consumatorii vor avea posibilitatea să își gestioneze în mod activ consumul sau producția de energie și să obțină avantaje ca urmare a participării directe pe piață. Acest lucru necesită o viziune strategică și acțiuni concrete în următoarele domenii:</w:t>
      </w:r>
    </w:p>
    <w:p w14:paraId="79155ED5" w14:textId="6598A03D" w:rsidR="00E95DE0" w:rsidRPr="00AC058C" w:rsidRDefault="003172AE" w:rsidP="00E95DE0">
      <w:pPr>
        <w:pStyle w:val="ListParagraph"/>
        <w:numPr>
          <w:ilvl w:val="0"/>
          <w:numId w:val="1"/>
        </w:numPr>
        <w:jc w:val="both"/>
        <w:rPr>
          <w:noProof/>
          <w:color w:val="000000" w:themeColor="text1"/>
        </w:rPr>
      </w:pPr>
      <w:r w:rsidRPr="00AC058C">
        <w:rPr>
          <w:noProof/>
          <w:color w:val="000000" w:themeColor="text1"/>
        </w:rPr>
        <w:t xml:space="preserve">promovarea conectivității, a interoperabilității și a </w:t>
      </w:r>
      <w:r w:rsidRPr="00AC058C">
        <w:rPr>
          <w:b/>
          <w:noProof/>
          <w:color w:val="000000" w:themeColor="text1"/>
        </w:rPr>
        <w:t>schimbului neîntrerupt de date</w:t>
      </w:r>
      <w:r w:rsidRPr="00AC058C">
        <w:rPr>
          <w:noProof/>
          <w:color w:val="000000" w:themeColor="text1"/>
        </w:rPr>
        <w:t xml:space="preserve"> între diferiți actori, respectând în același timp viața privată și protecția datelor; </w:t>
      </w:r>
    </w:p>
    <w:p w14:paraId="43E40B70" w14:textId="21ABC402" w:rsidR="00E95DE0" w:rsidRPr="00AC058C" w:rsidRDefault="00137923" w:rsidP="00E95DE0">
      <w:pPr>
        <w:pStyle w:val="ListParagraph"/>
        <w:numPr>
          <w:ilvl w:val="0"/>
          <w:numId w:val="1"/>
        </w:numPr>
        <w:jc w:val="both"/>
        <w:rPr>
          <w:noProof/>
          <w:color w:val="000000" w:themeColor="text1"/>
        </w:rPr>
      </w:pPr>
      <w:r w:rsidRPr="00AC058C">
        <w:rPr>
          <w:noProof/>
          <w:color w:val="000000" w:themeColor="text1"/>
        </w:rPr>
        <w:t xml:space="preserve">stimularea </w:t>
      </w:r>
      <w:r w:rsidRPr="00AC058C">
        <w:rPr>
          <w:b/>
          <w:noProof/>
          <w:color w:val="000000" w:themeColor="text1"/>
        </w:rPr>
        <w:t>mai multor investiții care să fie mai bine coordonate</w:t>
      </w:r>
      <w:r w:rsidRPr="00AC058C">
        <w:rPr>
          <w:noProof/>
          <w:color w:val="000000" w:themeColor="text1"/>
        </w:rPr>
        <w:t xml:space="preserve"> în rețeaua de energie electrică, ca factor favorizant pentru un sistem energetic mai inteligent și mai rezilient și un plan coordonat la nivelul UE pentru implementarea accelerată a soluțiilor digitale necesare;</w:t>
      </w:r>
    </w:p>
    <w:p w14:paraId="1E979D7C" w14:textId="7EEC9E18" w:rsidR="00E95DE0" w:rsidRPr="00AC058C" w:rsidRDefault="00137923" w:rsidP="00E95DE0">
      <w:pPr>
        <w:pStyle w:val="ListParagraph"/>
        <w:numPr>
          <w:ilvl w:val="0"/>
          <w:numId w:val="1"/>
        </w:numPr>
        <w:jc w:val="both"/>
        <w:rPr>
          <w:noProof/>
          <w:color w:val="000000" w:themeColor="text1"/>
        </w:rPr>
      </w:pPr>
      <w:r w:rsidRPr="00AC058C">
        <w:rPr>
          <w:noProof/>
          <w:color w:val="000000" w:themeColor="text1"/>
        </w:rPr>
        <w:t xml:space="preserve">punerea la dispoziția </w:t>
      </w:r>
      <w:r w:rsidRPr="00AC058C">
        <w:rPr>
          <w:b/>
          <w:noProof/>
          <w:color w:val="000000" w:themeColor="text1"/>
        </w:rPr>
        <w:t>consumatorilor</w:t>
      </w:r>
      <w:r w:rsidRPr="00AC058C">
        <w:rPr>
          <w:noProof/>
          <w:color w:val="000000" w:themeColor="text1"/>
        </w:rPr>
        <w:t xml:space="preserve">, inclusiv celor mai vulnerabili sau care dețin competențe digitale reduse, a posibilității de a beneficia de noi modalități de a se implica în tranziția energetică sau de servicii mai bune bazate pe inovații digitale, fiind, în același timp, protejați împotriva prețurilor ridicate la energie online, așa cum sunt în prezent offline; </w:t>
      </w:r>
    </w:p>
    <w:p w14:paraId="398150B3" w14:textId="39CB6508" w:rsidR="00E95DE0" w:rsidRPr="00AC058C" w:rsidRDefault="00137923" w:rsidP="00E95DE0">
      <w:pPr>
        <w:pStyle w:val="ListParagraph"/>
        <w:numPr>
          <w:ilvl w:val="0"/>
          <w:numId w:val="1"/>
        </w:numPr>
        <w:jc w:val="both"/>
        <w:rPr>
          <w:noProof/>
          <w:color w:val="000000" w:themeColor="text1"/>
        </w:rPr>
      </w:pPr>
      <w:r w:rsidRPr="00AC058C">
        <w:rPr>
          <w:noProof/>
          <w:color w:val="000000" w:themeColor="text1"/>
        </w:rPr>
        <w:t xml:space="preserve">consolidarea </w:t>
      </w:r>
      <w:r w:rsidRPr="00AC058C">
        <w:rPr>
          <w:b/>
          <w:noProof/>
          <w:color w:val="000000" w:themeColor="text1"/>
        </w:rPr>
        <w:t>securității cibernetice</w:t>
      </w:r>
      <w:r w:rsidRPr="00AC058C">
        <w:rPr>
          <w:noProof/>
          <w:color w:val="000000" w:themeColor="text1"/>
        </w:rPr>
        <w:t xml:space="preserve"> – care necesită eforturi și investiții continue;</w:t>
      </w:r>
    </w:p>
    <w:p w14:paraId="3101B4C6" w14:textId="6CF9684F" w:rsidR="00E95DE0" w:rsidRPr="00AC058C" w:rsidRDefault="00137923" w:rsidP="00E95DE0">
      <w:pPr>
        <w:pStyle w:val="ListParagraph"/>
        <w:numPr>
          <w:ilvl w:val="0"/>
          <w:numId w:val="1"/>
        </w:numPr>
        <w:jc w:val="both"/>
        <w:rPr>
          <w:noProof/>
          <w:color w:val="000000" w:themeColor="text1"/>
        </w:rPr>
      </w:pPr>
      <w:r w:rsidRPr="00AC058C">
        <w:rPr>
          <w:noProof/>
          <w:color w:val="000000" w:themeColor="text1"/>
        </w:rPr>
        <w:t xml:space="preserve">abordarea </w:t>
      </w:r>
      <w:r w:rsidRPr="00AC058C">
        <w:rPr>
          <w:b/>
          <w:noProof/>
          <w:color w:val="000000" w:themeColor="text1"/>
        </w:rPr>
        <w:t>consumului de energie al tehnologiilor digitale</w:t>
      </w:r>
      <w:r w:rsidRPr="00AC058C">
        <w:rPr>
          <w:noProof/>
          <w:color w:val="000000" w:themeColor="text1"/>
        </w:rPr>
        <w:t xml:space="preserve"> și promovarea unei mai mari eficiențe și circularități; </w:t>
      </w:r>
    </w:p>
    <w:p w14:paraId="2980F04A" w14:textId="597F7AA8" w:rsidR="00E95DE0" w:rsidRPr="00AC058C" w:rsidRDefault="00137923" w:rsidP="00ED591F">
      <w:pPr>
        <w:pStyle w:val="ListParagraph"/>
        <w:numPr>
          <w:ilvl w:val="0"/>
          <w:numId w:val="1"/>
        </w:numPr>
        <w:spacing w:after="240"/>
        <w:ind w:left="714" w:hanging="357"/>
        <w:jc w:val="both"/>
        <w:rPr>
          <w:noProof/>
        </w:rPr>
      </w:pPr>
      <w:r w:rsidRPr="00AC058C">
        <w:rPr>
          <w:noProof/>
          <w:color w:val="000000" w:themeColor="text1"/>
        </w:rPr>
        <w:t xml:space="preserve">proiectarea unei guvernanțe eficace printr-o </w:t>
      </w:r>
      <w:r w:rsidRPr="00AC058C">
        <w:rPr>
          <w:b/>
          <w:noProof/>
          <w:color w:val="000000" w:themeColor="text1"/>
        </w:rPr>
        <w:t>planificare structurală și comună</w:t>
      </w:r>
      <w:r w:rsidRPr="00AC058C">
        <w:rPr>
          <w:noProof/>
          <w:color w:val="000000" w:themeColor="text1"/>
        </w:rPr>
        <w:t xml:space="preserve"> din partea autorităților publice, în cooperare cu sectorul privat, </w:t>
      </w:r>
      <w:r w:rsidRPr="00AC058C">
        <w:rPr>
          <w:b/>
          <w:noProof/>
          <w:color w:val="000000" w:themeColor="text1"/>
        </w:rPr>
        <w:t>formarea</w:t>
      </w:r>
      <w:r w:rsidRPr="00AC058C">
        <w:rPr>
          <w:noProof/>
          <w:color w:val="000000" w:themeColor="text1"/>
        </w:rPr>
        <w:t xml:space="preserve"> tuturor părților implicate, precum și </w:t>
      </w:r>
      <w:r w:rsidRPr="00AC058C">
        <w:rPr>
          <w:b/>
          <w:noProof/>
          <w:color w:val="000000" w:themeColor="text1"/>
        </w:rPr>
        <w:t>sprijin continuu pentru C&amp;I</w:t>
      </w:r>
      <w:r w:rsidRPr="00AC058C">
        <w:rPr>
          <w:noProof/>
          <w:color w:val="000000" w:themeColor="text1"/>
        </w:rPr>
        <w:t xml:space="preserve">. </w:t>
      </w:r>
    </w:p>
    <w:p w14:paraId="528F10FC" w14:textId="6A6613CB" w:rsidR="414B7552" w:rsidRPr="00AC058C" w:rsidRDefault="414B7552" w:rsidP="00ED591F">
      <w:pPr>
        <w:tabs>
          <w:tab w:val="left" w:pos="1248"/>
        </w:tabs>
        <w:spacing w:after="0"/>
        <w:rPr>
          <w:noProof/>
          <w:color w:val="000000" w:themeColor="text1"/>
        </w:rPr>
      </w:pPr>
    </w:p>
    <w:p w14:paraId="558B8609" w14:textId="77777777" w:rsidR="00FD6842" w:rsidRPr="00AC058C" w:rsidRDefault="00352428" w:rsidP="00B33E58">
      <w:pPr>
        <w:rPr>
          <w:noProof/>
        </w:rPr>
      </w:pPr>
      <w:bookmarkStart w:id="9" w:name="_Toc103872591"/>
      <w:bookmarkStart w:id="10" w:name="_Toc1742530818"/>
      <w:bookmarkStart w:id="11" w:name="_Toc697010614"/>
      <w:bookmarkStart w:id="12" w:name="_Toc106053790"/>
      <w:r w:rsidRPr="00AC058C">
        <w:rPr>
          <w:b/>
          <w:noProof/>
        </w:rPr>
        <w:t>2.</w:t>
      </w:r>
      <w:r w:rsidRPr="00AC058C">
        <w:rPr>
          <w:noProof/>
        </w:rPr>
        <w:t xml:space="preserve"> </w:t>
      </w:r>
      <w:r w:rsidRPr="00AC058C">
        <w:rPr>
          <w:b/>
          <w:smallCaps/>
          <w:noProof/>
        </w:rPr>
        <w:t xml:space="preserve">Către un cadru UE pentru schimbul de date în sprijinul serviciilor energetice inovatoare </w:t>
      </w:r>
      <w:bookmarkEnd w:id="9"/>
      <w:bookmarkEnd w:id="10"/>
      <w:bookmarkEnd w:id="11"/>
      <w:bookmarkEnd w:id="12"/>
    </w:p>
    <w:p w14:paraId="64A1F616" w14:textId="77777777" w:rsidR="000F2ED7" w:rsidRPr="00AC058C" w:rsidRDefault="14D22C5F" w:rsidP="00DB56F9">
      <w:pPr>
        <w:rPr>
          <w:rStyle w:val="eop"/>
          <w:noProof/>
          <w:color w:val="000000" w:themeColor="text1"/>
          <w:shd w:val="clear" w:color="auto" w:fill="FFFFFF"/>
        </w:rPr>
      </w:pPr>
      <w:r w:rsidRPr="00AC058C">
        <w:rPr>
          <w:rStyle w:val="normaltextrun"/>
          <w:noProof/>
          <w:color w:val="000000" w:themeColor="text1"/>
        </w:rPr>
        <w:t xml:space="preserve">Factorul-cheie pentru un sistem energetic digitalizat este disponibilitatea </w:t>
      </w:r>
      <w:bookmarkStart w:id="13" w:name="_Int_NjzdfrGk"/>
      <w:r w:rsidRPr="00AC058C">
        <w:rPr>
          <w:rStyle w:val="normaltextrun"/>
          <w:noProof/>
          <w:color w:val="000000" w:themeColor="text1"/>
        </w:rPr>
        <w:t>datelor,</w:t>
      </w:r>
      <w:bookmarkEnd w:id="13"/>
      <w:r w:rsidRPr="00AC058C">
        <w:rPr>
          <w:rStyle w:val="normaltextrun"/>
          <w:noProof/>
          <w:color w:val="000000" w:themeColor="text1"/>
        </w:rPr>
        <w:t xml:space="preserve"> accesul la date și schimbul de date pe baza unor</w:t>
      </w:r>
      <w:r w:rsidRPr="00AC058C">
        <w:rPr>
          <w:rStyle w:val="normaltextrun"/>
          <w:noProof/>
          <w:color w:val="000000" w:themeColor="text1"/>
          <w:shd w:val="clear" w:color="auto" w:fill="FFFFFF"/>
        </w:rPr>
        <w:t xml:space="preserve"> transferuri de date sigure și fără întreruperi între părți de încredere. </w:t>
      </w:r>
      <w:r w:rsidRPr="00AC058C">
        <w:rPr>
          <w:rStyle w:val="normaltextrun"/>
          <w:noProof/>
          <w:color w:val="000000" w:themeColor="text1"/>
        </w:rPr>
        <w:t>O</w:t>
      </w:r>
      <w:r w:rsidRPr="00AC058C">
        <w:rPr>
          <w:rStyle w:val="normaltextrun"/>
          <w:noProof/>
          <w:color w:val="000000" w:themeColor="text1"/>
          <w:shd w:val="clear" w:color="auto" w:fill="FFFFFF"/>
        </w:rPr>
        <w:t xml:space="preserve"> mai bună coordonare a acestor schimburi și</w:t>
      </w:r>
      <w:r w:rsidRPr="00AC058C">
        <w:rPr>
          <w:rStyle w:val="normaltextrun"/>
          <w:noProof/>
          <w:color w:val="000000" w:themeColor="text1"/>
        </w:rPr>
        <w:t xml:space="preserve"> crearea</w:t>
      </w:r>
      <w:r w:rsidRPr="00AC058C">
        <w:rPr>
          <w:rStyle w:val="normaltextrun"/>
          <w:noProof/>
          <w:color w:val="000000" w:themeColor="text1"/>
          <w:shd w:val="clear" w:color="auto" w:fill="FFFFFF"/>
        </w:rPr>
        <w:t xml:space="preserve"> unui </w:t>
      </w:r>
      <w:r w:rsidRPr="00AC058C">
        <w:rPr>
          <w:rStyle w:val="normaltextrun"/>
          <w:noProof/>
          <w:color w:val="000000" w:themeColor="text1"/>
        </w:rPr>
        <w:t xml:space="preserve">cadru de coordonare </w:t>
      </w:r>
      <w:r w:rsidRPr="00AC058C">
        <w:rPr>
          <w:rStyle w:val="normaltextrun"/>
          <w:noProof/>
          <w:color w:val="000000" w:themeColor="text1"/>
          <w:shd w:val="clear" w:color="auto" w:fill="FFFFFF"/>
        </w:rPr>
        <w:t xml:space="preserve">la nivelul UE pentru a consolida interoperabilitatea între diferitele sisteme și soluții tehnice </w:t>
      </w:r>
      <w:r w:rsidRPr="00AC058C">
        <w:rPr>
          <w:rStyle w:val="normaltextrun"/>
          <w:noProof/>
          <w:color w:val="000000" w:themeColor="text1"/>
        </w:rPr>
        <w:t xml:space="preserve">vor face posibilă </w:t>
      </w:r>
      <w:r w:rsidRPr="00AC058C">
        <w:rPr>
          <w:rStyle w:val="normaltextrun"/>
          <w:noProof/>
          <w:color w:val="000000" w:themeColor="text1"/>
          <w:shd w:val="clear" w:color="auto" w:fill="FFFFFF"/>
        </w:rPr>
        <w:t xml:space="preserve">intrarea pe piață a unor servicii mai inovatoare. </w:t>
      </w:r>
      <w:r w:rsidRPr="00AC058C">
        <w:rPr>
          <w:rStyle w:val="normaltextrun"/>
          <w:noProof/>
          <w:shd w:val="clear" w:color="auto" w:fill="FFFFFF"/>
        </w:rPr>
        <w:t xml:space="preserve">Principiile general aplicabile vor trebui, de asemenea, să fie respectate cu strictețe, inclusiv cele </w:t>
      </w:r>
      <w:r w:rsidRPr="00AC058C">
        <w:rPr>
          <w:rStyle w:val="normaltextrun"/>
          <w:noProof/>
        </w:rPr>
        <w:t>privind</w:t>
      </w:r>
      <w:r w:rsidRPr="00AC058C">
        <w:rPr>
          <w:rStyle w:val="normaltextrun"/>
          <w:noProof/>
          <w:shd w:val="clear" w:color="auto" w:fill="FFFFFF"/>
        </w:rPr>
        <w:t xml:space="preserve"> suveranitatea datelor în UE, securitatea cibernetică, confidențialitatea datelor, acceptarea de către consumatori și interoperabilitatea.</w:t>
      </w:r>
      <w:r w:rsidRPr="00AC058C">
        <w:rPr>
          <w:rStyle w:val="eop"/>
          <w:noProof/>
          <w:shd w:val="clear" w:color="auto" w:fill="FFFFFF"/>
        </w:rPr>
        <w:t xml:space="preserve"> </w:t>
      </w:r>
    </w:p>
    <w:p w14:paraId="346A9CA2" w14:textId="49715B24" w:rsidR="00DB56F9" w:rsidRPr="00AC058C" w:rsidRDefault="414B7552" w:rsidP="414B7552">
      <w:pPr>
        <w:rPr>
          <w:rStyle w:val="normaltextrun"/>
          <w:rFonts w:eastAsiaTheme="majorEastAsia"/>
          <w:noProof/>
          <w:color w:val="000000" w:themeColor="text1"/>
        </w:rPr>
      </w:pPr>
      <w:r w:rsidRPr="00AC058C">
        <w:rPr>
          <w:noProof/>
          <w:color w:val="000000" w:themeColor="text1"/>
        </w:rPr>
        <w:t xml:space="preserve">Acesta este motivul pentru care </w:t>
      </w:r>
      <w:r w:rsidRPr="00AC058C">
        <w:rPr>
          <w:b/>
          <w:noProof/>
          <w:color w:val="000000" w:themeColor="text1"/>
        </w:rPr>
        <w:t>Europa are nevoie de un spațiu european comun al datelor privind energia</w:t>
      </w:r>
      <w:r w:rsidRPr="00AC058C">
        <w:rPr>
          <w:rStyle w:val="normaltextrun"/>
          <w:rFonts w:eastAsiaTheme="majorEastAsia"/>
          <w:noProof/>
          <w:vertAlign w:val="superscript"/>
        </w:rPr>
        <w:footnoteReference w:id="10"/>
      </w:r>
      <w:r w:rsidRPr="00AC058C">
        <w:rPr>
          <w:rStyle w:val="normaltextrun"/>
          <w:noProof/>
        </w:rPr>
        <w:t xml:space="preserve">, și va trebui să </w:t>
      </w:r>
      <w:r w:rsidRPr="00AC058C">
        <w:rPr>
          <w:rStyle w:val="normaltextrun"/>
          <w:b/>
          <w:noProof/>
        </w:rPr>
        <w:t>înceapă implementarea acestuia cel târziu în 2024</w:t>
      </w:r>
      <w:r w:rsidRPr="00AC058C">
        <w:rPr>
          <w:rStyle w:val="normaltextrun"/>
          <w:noProof/>
        </w:rPr>
        <w:t xml:space="preserve">. </w:t>
      </w:r>
      <w:r w:rsidRPr="00AC058C">
        <w:rPr>
          <w:rStyle w:val="normaltextrun"/>
          <w:noProof/>
          <w:color w:val="000000" w:themeColor="text1"/>
        </w:rPr>
        <w:t>Implementarea unui cadru adecvat pentru schimbul de date în domeniul energiei ar putea facilita participarea pe piețele angro a peste 580 GW din resurse flexibile de energie care să utilizeze pe deplin soluțiile digitale până în 2050</w:t>
      </w:r>
      <w:r w:rsidRPr="00AC058C">
        <w:rPr>
          <w:rStyle w:val="FootnoteReference"/>
          <w:rFonts w:eastAsiaTheme="majorEastAsia"/>
          <w:noProof/>
          <w:color w:val="000000" w:themeColor="text1"/>
        </w:rPr>
        <w:footnoteReference w:id="11"/>
      </w:r>
      <w:r w:rsidRPr="00AC058C">
        <w:rPr>
          <w:rStyle w:val="normaltextrun"/>
          <w:noProof/>
          <w:color w:val="000000" w:themeColor="text1"/>
        </w:rPr>
        <w:t>. Se estimează că această participare ar acoperi peste 90 % din nevoile generale de flexibilitate în rețelele de energie electrică ale UE. Facilitarea încărcării inteligente și bidirecționale a vehiculelor electrice (VE), participarea centralelor electrice virtuale pe piețele energiei și valorificarea potențialului comunităților de energie, al clădirilor inteligente și al încălzirii inteligente cu ajutorul pompelor de căldură ar putea contribui în cea mai mare măsură la obținerea flexibilității respective. În plus, bateriile auto pot fi utilizate pentru a stoca surplusul de energie și pentru a-l transmite, atunci când este necesar, prin urmărirea situațiilor în care vehiculul se află în garaj, prin anticiparea perioadelor de neutilizare și prin monitorizarea nivelului de capacitate neutilizată care poate fi pusă la dispoziție.</w:t>
      </w:r>
    </w:p>
    <w:p w14:paraId="7907C93E" w14:textId="01A04858" w:rsidR="00DB56F9" w:rsidRPr="00AC058C" w:rsidRDefault="00DB56F9" w:rsidP="00DB56F9">
      <w:pPr>
        <w:rPr>
          <w:rStyle w:val="normaltextrun"/>
          <w:rFonts w:eastAsiaTheme="majorEastAsia"/>
          <w:noProof/>
          <w:color w:val="000000" w:themeColor="text1"/>
          <w:szCs w:val="24"/>
        </w:rPr>
      </w:pPr>
      <w:r w:rsidRPr="00AC058C">
        <w:rPr>
          <w:rStyle w:val="normaltextrun"/>
          <w:noProof/>
          <w:color w:val="000000" w:themeColor="text1"/>
        </w:rPr>
        <w:t>Actualul cadru european de reglementare în domeniul energiei a pregătit deja terenul, iar propunerile din pachetul „Pregătiți pentru 55” au prezentat dispoziții specifice privind schimburile de date. În mod mai general, propunerea de Lege privind datele</w:t>
      </w:r>
      <w:r w:rsidRPr="00AC058C">
        <w:rPr>
          <w:rStyle w:val="FootnoteReference"/>
          <w:rFonts w:eastAsiaTheme="majorEastAsia"/>
          <w:noProof/>
          <w:color w:val="000000" w:themeColor="text1"/>
          <w:shd w:val="clear" w:color="auto" w:fill="FFFFFF"/>
        </w:rPr>
        <w:footnoteReference w:id="12"/>
      </w:r>
      <w:r w:rsidRPr="00AC058C">
        <w:rPr>
          <w:rStyle w:val="normaltextrun"/>
          <w:noProof/>
          <w:color w:val="000000" w:themeColor="text1"/>
        </w:rPr>
        <w:t xml:space="preserve"> stabilește noi norme privind cine poate utiliza și accesa datele generate în UE în toate sectoarele economice și clarifică dreptul utilizatorilor de a accesa și de a dispune liber de datele generate de produsele lor, inclusiv dreptul de a partaja astfel de date cu părți terțe. În plus, Legea privind guvernanța datelor</w:t>
      </w:r>
      <w:r w:rsidRPr="00AC058C">
        <w:rPr>
          <w:rStyle w:val="FootnoteReference"/>
          <w:rFonts w:eastAsiaTheme="majorEastAsia"/>
          <w:noProof/>
          <w:color w:val="000000" w:themeColor="text1"/>
        </w:rPr>
        <w:footnoteReference w:id="13"/>
      </w:r>
      <w:r w:rsidRPr="00AC058C">
        <w:rPr>
          <w:rStyle w:val="normaltextrun"/>
          <w:noProof/>
          <w:color w:val="000000" w:themeColor="text1"/>
        </w:rPr>
        <w:t xml:space="preserve"> urmărește să stimuleze disponibilitatea datelor prin consolidarea mecanismelor de partajare de date și prin creșterea nivelului de încredere în intermediarii de date.</w:t>
      </w:r>
    </w:p>
    <w:p w14:paraId="3AC039EC" w14:textId="14D7B253" w:rsidR="00BF605D" w:rsidRPr="00AC058C" w:rsidRDefault="00491D7D" w:rsidP="414B7552">
      <w:pPr>
        <w:rPr>
          <w:rStyle w:val="normaltextrun"/>
          <w:rFonts w:eastAsiaTheme="majorEastAsia"/>
          <w:noProof/>
          <w:color w:val="000000" w:themeColor="text1"/>
        </w:rPr>
      </w:pPr>
      <w:r w:rsidRPr="00AC058C">
        <w:rPr>
          <w:rStyle w:val="normaltextrun"/>
          <w:noProof/>
          <w:color w:val="000000" w:themeColor="text1"/>
        </w:rPr>
        <w:t xml:space="preserve">Punerea în aplicare a legislației menționate mai sus și realizarea efectivă și eficientă a schimburilor de date vor necesita o abordare coordonată, ghidată de autoritățile publice. Cadrul pentru schimbul de date nu se referă doar la standardizare, ci necesită un set complex de acorduri juridice și operaționale, precum și cerințe tehnice și orientări. Este necesară o coordonare strânsă pentru a asigura derularea unor procese coerente și armonioase la nivel european, care să completeze, să coordoneze și să adauge valoare inițiativelor naționale. Prin urmare, </w:t>
      </w:r>
      <w:r w:rsidRPr="00AC058C">
        <w:rPr>
          <w:rStyle w:val="normaltextrun"/>
          <w:b/>
          <w:noProof/>
          <w:color w:val="000000" w:themeColor="text1"/>
        </w:rPr>
        <w:t>scopul acestui domeniu de acțiune este de a institui un spațiu european comun al datelor</w:t>
      </w:r>
      <w:r w:rsidRPr="00AC058C">
        <w:rPr>
          <w:rStyle w:val="FootnoteReference"/>
          <w:rFonts w:eastAsiaTheme="majorEastAsia"/>
          <w:b/>
          <w:bCs/>
          <w:noProof/>
          <w:color w:val="000000" w:themeColor="text1"/>
        </w:rPr>
        <w:footnoteReference w:id="14"/>
      </w:r>
      <w:r w:rsidRPr="00AC058C">
        <w:rPr>
          <w:rStyle w:val="normaltextrun"/>
          <w:b/>
          <w:noProof/>
          <w:color w:val="000000" w:themeColor="text1"/>
        </w:rPr>
        <w:t xml:space="preserve"> privind energia și de a asigura o guvernanță solidă pentru acesta, sub forma unui cadru european coordonat pentru partajarea și utilizarea datelor privind energia.</w:t>
      </w:r>
      <w:r w:rsidRPr="00AC058C">
        <w:rPr>
          <w:rStyle w:val="normaltextrun"/>
          <w:noProof/>
          <w:color w:val="000000" w:themeColor="text1"/>
        </w:rPr>
        <w:t xml:space="preserve"> Până în 2024, se va finaliza o etapă pregătitoare, implementarea urmând să înceapă imediat după aceea. Calendarul orientativ și etapele necesare pentru atingerea acestui obiectiv sunt prezentate în continuare.</w:t>
      </w:r>
    </w:p>
    <w:p w14:paraId="31E0CB88" w14:textId="77777777" w:rsidR="00ED591F" w:rsidRPr="00AC058C" w:rsidRDefault="00ED591F" w:rsidP="414B7552">
      <w:pPr>
        <w:rPr>
          <w:rStyle w:val="normaltextrun"/>
          <w:rFonts w:eastAsiaTheme="majorEastAsia"/>
          <w:noProof/>
          <w:color w:val="000000" w:themeColor="text1"/>
        </w:rPr>
      </w:pPr>
    </w:p>
    <w:p w14:paraId="7B7AE9DF" w14:textId="77777777" w:rsidR="00B75808" w:rsidRPr="00AC058C" w:rsidRDefault="00572BE7" w:rsidP="00B33E58">
      <w:pPr>
        <w:ind w:firstLine="720"/>
        <w:rPr>
          <w:rStyle w:val="normaltextrun"/>
          <w:b/>
          <w:noProof/>
        </w:rPr>
      </w:pPr>
      <w:r w:rsidRPr="00AC058C">
        <w:rPr>
          <w:rStyle w:val="normaltextrun"/>
          <w:b/>
          <w:noProof/>
        </w:rPr>
        <w:t>2.1.</w:t>
      </w:r>
      <w:r w:rsidRPr="00AC058C">
        <w:rPr>
          <w:noProof/>
        </w:rPr>
        <w:tab/>
      </w:r>
      <w:r w:rsidRPr="00AC058C">
        <w:rPr>
          <w:b/>
          <w:noProof/>
        </w:rPr>
        <w:t>Coordonarea strategică la nivelul UE</w:t>
      </w:r>
    </w:p>
    <w:p w14:paraId="25A8EA70" w14:textId="2C7CFA2F" w:rsidR="00D84006" w:rsidRPr="00AC058C" w:rsidRDefault="00D84006" w:rsidP="402E9E44">
      <w:pPr>
        <w:pStyle w:val="paragraph"/>
        <w:spacing w:before="0" w:beforeAutospacing="0" w:after="240" w:afterAutospacing="0"/>
        <w:jc w:val="both"/>
        <w:textAlignment w:val="baseline"/>
        <w:rPr>
          <w:rStyle w:val="normaltextrun"/>
          <w:rFonts w:eastAsiaTheme="majorEastAsia"/>
          <w:noProof/>
          <w:color w:val="000000" w:themeColor="text1"/>
        </w:rPr>
      </w:pPr>
      <w:r w:rsidRPr="00AC058C">
        <w:rPr>
          <w:rStyle w:val="normaltextrun"/>
          <w:noProof/>
          <w:color w:val="000000" w:themeColor="text1"/>
        </w:rPr>
        <w:t>Pentru a promova în continuare digitalizarea sectorului energetic,</w:t>
      </w:r>
      <w:r w:rsidRPr="00AC058C">
        <w:rPr>
          <w:noProof/>
          <w:color w:val="000000" w:themeColor="text1"/>
        </w:rPr>
        <w:t xml:space="preserve"> </w:t>
      </w:r>
      <w:r w:rsidRPr="00AC058C">
        <w:rPr>
          <w:b/>
          <w:noProof/>
          <w:color w:val="000000" w:themeColor="text1"/>
        </w:rPr>
        <w:t>Comisia va reinstitui în mod oficial Grupul operativ pentru rețelele inteligente (SGTF) deja existent</w:t>
      </w:r>
      <w:r w:rsidRPr="00AC058C">
        <w:rPr>
          <w:rStyle w:val="FootnoteReference"/>
          <w:b/>
          <w:bCs/>
          <w:noProof/>
          <w:color w:val="000000" w:themeColor="text1"/>
        </w:rPr>
        <w:footnoteReference w:id="15"/>
      </w:r>
      <w:r w:rsidRPr="00AC058C">
        <w:rPr>
          <w:b/>
          <w:noProof/>
          <w:color w:val="000000" w:themeColor="text1"/>
        </w:rPr>
        <w:t>.</w:t>
      </w:r>
      <w:r w:rsidRPr="00AC058C">
        <w:rPr>
          <w:b/>
          <w:noProof/>
        </w:rPr>
        <w:t xml:space="preserve"> Grupul va fi redenumit „Grupul de experți în domeniul energiei inteligente”</w:t>
      </w:r>
      <w:r w:rsidRPr="00AC058C">
        <w:rPr>
          <w:rStyle w:val="normaltextrun"/>
          <w:noProof/>
          <w:color w:val="000000" w:themeColor="text1"/>
        </w:rPr>
        <w:t>, va avea mai multe responsabilități și va implica toate statele membre și alte părți interesate relevante.</w:t>
      </w:r>
    </w:p>
    <w:p w14:paraId="356B19BB" w14:textId="5679E97E" w:rsidR="00B75808" w:rsidRPr="00AC058C" w:rsidRDefault="00D84006" w:rsidP="16E2D048">
      <w:pPr>
        <w:pStyle w:val="paragraph"/>
        <w:spacing w:before="0" w:beforeAutospacing="0" w:after="240" w:afterAutospacing="0"/>
        <w:jc w:val="both"/>
        <w:textAlignment w:val="baseline"/>
        <w:rPr>
          <w:rStyle w:val="normaltextrun"/>
          <w:rFonts w:eastAsiaTheme="majorEastAsia"/>
          <w:noProof/>
          <w:color w:val="000000" w:themeColor="text1"/>
        </w:rPr>
      </w:pPr>
      <w:r w:rsidRPr="00AC058C">
        <w:rPr>
          <w:rStyle w:val="normaltextrun"/>
          <w:noProof/>
          <w:color w:val="000000" w:themeColor="text1"/>
        </w:rPr>
        <w:t xml:space="preserve">În cadrul acestui Grup de experți în domeniul energiei inteligente, </w:t>
      </w:r>
      <w:r w:rsidRPr="00AC058C">
        <w:rPr>
          <w:rStyle w:val="normaltextrun"/>
          <w:b/>
          <w:noProof/>
          <w:color w:val="000000" w:themeColor="text1"/>
        </w:rPr>
        <w:t>Comisia va înființa, până cel târziu în martie 2023, grupul de lucru „Date pentru energie” (D4E).</w:t>
      </w:r>
      <w:r w:rsidRPr="00AC058C">
        <w:rPr>
          <w:rStyle w:val="normaltextrun"/>
          <w:noProof/>
          <w:color w:val="000000" w:themeColor="text1"/>
        </w:rPr>
        <w:t xml:space="preserve"> Acest grup va reuni Comisia, statele </w:t>
      </w:r>
      <w:bookmarkStart w:id="14" w:name="_Int_ZxTwu5m6"/>
      <w:r w:rsidRPr="00AC058C">
        <w:rPr>
          <w:rStyle w:val="normaltextrun"/>
          <w:noProof/>
          <w:color w:val="000000" w:themeColor="text1"/>
        </w:rPr>
        <w:t>membre</w:t>
      </w:r>
      <w:bookmarkEnd w:id="14"/>
      <w:r w:rsidRPr="00AC058C">
        <w:rPr>
          <w:rStyle w:val="normaltextrun"/>
          <w:noProof/>
          <w:color w:val="000000" w:themeColor="text1"/>
        </w:rPr>
        <w:t xml:space="preserve"> și părțile interesate relevante din sectorul public și din sectorul privat pentru a contribui la crearea cadrului european pentru schimbul de date privind energia. D4E va contribui la consolidarea coordonării la nivelul UE în ceea ce privește schimburile de date pentru sectorul energetic, definind principiile de bază și asigurând coerența între diferitele priorități și inițiative privind schimbul de date. În plus, D4E va sprijini Comisia pentru dezvoltarea și punerea în aplicare a unui spațiu european comun al datelor privind energia. Astfel, guvernanța și principalele elemente constitutive ale viitorului spațiu al datelor vor fi concepute și gestionate în parteneriat. </w:t>
      </w:r>
    </w:p>
    <w:p w14:paraId="32DA2AEA" w14:textId="77777777" w:rsidR="00BF605D" w:rsidRPr="00AC058C" w:rsidRDefault="49DF5F5E" w:rsidP="00095A15">
      <w:pPr>
        <w:pStyle w:val="paragraph"/>
        <w:spacing w:before="0" w:beforeAutospacing="0" w:after="240" w:afterAutospacing="0"/>
        <w:jc w:val="both"/>
        <w:textAlignment w:val="baseline"/>
        <w:rPr>
          <w:noProof/>
          <w:color w:val="000000" w:themeColor="text1"/>
        </w:rPr>
      </w:pPr>
      <w:r w:rsidRPr="00AC058C">
        <w:rPr>
          <w:rStyle w:val="normaltextrun"/>
          <w:b/>
          <w:noProof/>
          <w:color w:val="000000" w:themeColor="text1"/>
        </w:rPr>
        <w:t>D4E își va concentra activitatea pe dezvoltarea unui portofoliu de cazuri europene de utilizare de înalt nivel</w:t>
      </w:r>
      <w:r w:rsidRPr="00AC058C">
        <w:rPr>
          <w:rStyle w:val="FootnoteReference"/>
          <w:noProof/>
          <w:color w:val="000000" w:themeColor="text1"/>
        </w:rPr>
        <w:footnoteReference w:id="16"/>
      </w:r>
      <w:r w:rsidRPr="00AC058C">
        <w:rPr>
          <w:noProof/>
          <w:color w:val="000000" w:themeColor="text1"/>
        </w:rPr>
        <w:t xml:space="preserve"> pentru schimburile de date în domeniul energiei, care sunt esențiale pentru îndeplinirea obiectivelor Pactului verde și ale deceniului digital. Printre cazurile de utilizare de înalt nivel care vor fi abordate de la început </w:t>
      </w:r>
      <w:bookmarkStart w:id="15" w:name="_Int_NOzkX66Y"/>
      <w:r w:rsidRPr="00AC058C">
        <w:rPr>
          <w:noProof/>
          <w:color w:val="000000" w:themeColor="text1"/>
        </w:rPr>
        <w:t>se numără:</w:t>
      </w:r>
      <w:bookmarkEnd w:id="15"/>
      <w:r w:rsidRPr="00AC058C">
        <w:rPr>
          <w:noProof/>
          <w:color w:val="000000" w:themeColor="text1"/>
        </w:rPr>
        <w:t xml:space="preserve"> serviciile de flexibilitate pentru piețele și rețelele de energie, încărcarea inteligentă și bidirecțională a vehiculelor electrice și clădirile inteligente și eficiente din punct de vedere energetic, inclusiv stimularea investițiilor private și publice și valorificarea inițiativei propuse privind acoperișurile solare. Cazurile suplimentare de utilizare de înalt nivel pot fi luate în considerare ulterior pe parcursul procesului, ori de câte ori este necesar. </w:t>
      </w:r>
    </w:p>
    <w:p w14:paraId="76AD2234" w14:textId="77777777" w:rsidR="005B1518" w:rsidRPr="00AC058C" w:rsidRDefault="000F2ED7" w:rsidP="71B12D84">
      <w:pPr>
        <w:pStyle w:val="paragraph"/>
        <w:spacing w:before="0" w:beforeAutospacing="0" w:after="240" w:afterAutospacing="0"/>
        <w:jc w:val="both"/>
        <w:textAlignment w:val="baseline"/>
        <w:rPr>
          <w:noProof/>
          <w:color w:val="000000" w:themeColor="text1"/>
        </w:rPr>
      </w:pPr>
      <w:r w:rsidRPr="00AC058C">
        <w:rPr>
          <w:rStyle w:val="normaltextrun"/>
          <w:noProof/>
          <w:color w:val="000000" w:themeColor="text1"/>
          <w:shd w:val="clear" w:color="auto" w:fill="FFFFFF"/>
        </w:rPr>
        <w:t xml:space="preserve">D4E va dezvolta în continuare aceste domenii prioritare </w:t>
      </w:r>
      <w:r w:rsidRPr="00AC058C">
        <w:rPr>
          <w:rStyle w:val="normaltextrun"/>
          <w:noProof/>
          <w:color w:val="000000" w:themeColor="text1"/>
        </w:rPr>
        <w:t xml:space="preserve">prin elaborarea </w:t>
      </w:r>
      <w:r w:rsidRPr="00AC058C">
        <w:rPr>
          <w:rStyle w:val="normaltextrun"/>
          <w:noProof/>
          <w:color w:val="000000" w:themeColor="text1"/>
          <w:shd w:val="clear" w:color="auto" w:fill="FFFFFF"/>
        </w:rPr>
        <w:t>detaliilor de punere în aplicare și a rezultatelor necesare ca elemente constitutive ale viitorului spațiu european comun al datelor privind energia</w:t>
      </w:r>
      <w:r w:rsidRPr="00AC058C">
        <w:rPr>
          <w:rStyle w:val="normaltextrun"/>
          <w:noProof/>
          <w:color w:val="000000" w:themeColor="text1"/>
        </w:rPr>
        <w:t xml:space="preserve"> și le va propune Comisiei spre aprobare și luarea de măsuri</w:t>
      </w:r>
      <w:r w:rsidRPr="00AC058C">
        <w:rPr>
          <w:rStyle w:val="normaltextrun"/>
          <w:noProof/>
          <w:color w:val="000000" w:themeColor="text1"/>
          <w:shd w:val="clear" w:color="auto" w:fill="FFFFFF"/>
        </w:rPr>
        <w:t xml:space="preserve">. </w:t>
      </w:r>
      <w:r w:rsidRPr="00AC058C">
        <w:rPr>
          <w:noProof/>
          <w:color w:val="000000" w:themeColor="text1"/>
        </w:rPr>
        <w:t>În acest sens, D4E va valorifica alte inițiative și direcții de lucru aflate în desfășurare la nivel european</w:t>
      </w:r>
      <w:r w:rsidRPr="00AC058C">
        <w:rPr>
          <w:rStyle w:val="FootnoteReference"/>
          <w:noProof/>
          <w:color w:val="000000" w:themeColor="text1"/>
        </w:rPr>
        <w:footnoteReference w:id="17"/>
      </w:r>
      <w:r w:rsidRPr="00AC058C">
        <w:rPr>
          <w:noProof/>
          <w:color w:val="000000" w:themeColor="text1"/>
        </w:rPr>
        <w:t>. În special, pentru încărcarea inteligentă și bidirecțională a vehiculelor electrice, Comisia va defini, până în 2023, un program de lucru comun pentru D4E și Forumul pentru transporturi durabile</w:t>
      </w:r>
      <w:r w:rsidRPr="00AC058C">
        <w:rPr>
          <w:rStyle w:val="FootnoteReference"/>
          <w:noProof/>
          <w:color w:val="000000" w:themeColor="text1"/>
        </w:rPr>
        <w:footnoteReference w:id="18"/>
      </w:r>
      <w:r w:rsidRPr="00AC058C">
        <w:rPr>
          <w:noProof/>
          <w:color w:val="000000" w:themeColor="text1"/>
        </w:rPr>
        <w:t xml:space="preserve">, cu scopul de a asigura alinierea spațiilor de date privind energia și mobilitatea, de a sprijini integrarea sistemului și de a furniza servicii transsectoriale. În plus, D4E va coopera îndeaproape cu </w:t>
      </w:r>
      <w:bookmarkStart w:id="16" w:name="_Hlk109817337"/>
      <w:r w:rsidRPr="00AC058C">
        <w:rPr>
          <w:noProof/>
          <w:color w:val="000000" w:themeColor="text1"/>
        </w:rPr>
        <w:t>Grupul de experți privind spațiul european al datelor financiare</w:t>
      </w:r>
      <w:bookmarkEnd w:id="16"/>
      <w:r w:rsidRPr="00AC058C">
        <w:rPr>
          <w:noProof/>
          <w:color w:val="000000" w:themeColor="text1"/>
        </w:rPr>
        <w:t xml:space="preserve"> pentru dezvoltarea cazurilor de utilizare de interes comun pentru a direcționa mai multe resurse financiare private către tranziția energetică. </w:t>
      </w:r>
    </w:p>
    <w:p w14:paraId="6B0624DE" w14:textId="118E9C83" w:rsidR="005F1857" w:rsidRPr="00AC058C" w:rsidRDefault="002C4A32" w:rsidP="4B276B17">
      <w:pPr>
        <w:pStyle w:val="paragraph"/>
        <w:spacing w:before="0" w:beforeAutospacing="0" w:after="240" w:afterAutospacing="0"/>
        <w:jc w:val="both"/>
        <w:textAlignment w:val="baseline"/>
        <w:rPr>
          <w:rStyle w:val="eop"/>
          <w:noProof/>
          <w:color w:val="000000" w:themeColor="text1"/>
        </w:rPr>
      </w:pPr>
      <w:r w:rsidRPr="00AC058C">
        <w:rPr>
          <w:noProof/>
          <w:color w:val="000000" w:themeColor="text1"/>
        </w:rPr>
        <w:t xml:space="preserve">D4E va ajuta, de asemenea, Comisia Europeană să pună în aplicare guvernanța spațiului european comun al datelor în domeniul energiei. Acest lucru se va realiza în strânsă coordonare cu </w:t>
      </w:r>
      <w:r w:rsidRPr="00AC058C">
        <w:rPr>
          <w:rStyle w:val="normaltextrun"/>
          <w:noProof/>
          <w:color w:val="000000" w:themeColor="text1"/>
        </w:rPr>
        <w:t>Comitetul european pentru inovare în domeniul datelor</w:t>
      </w:r>
      <w:r w:rsidRPr="00AC058C">
        <w:rPr>
          <w:rStyle w:val="FootnoteReference"/>
          <w:rFonts w:eastAsiaTheme="majorEastAsia"/>
          <w:noProof/>
          <w:color w:val="000000" w:themeColor="text1"/>
        </w:rPr>
        <w:footnoteReference w:id="19"/>
      </w:r>
      <w:r w:rsidRPr="00AC058C">
        <w:rPr>
          <w:noProof/>
          <w:color w:val="000000" w:themeColor="text1"/>
        </w:rPr>
        <w:t xml:space="preserve"> și cu mecanismele de guvernanță emergente ale celorlalte spații europene ale datelor, pentru a asigura abordări coerente și a integra procese interoperabile încă de la început. Fluxurile de date neîntrerupte în spațiul de date privind energia, precum și între spațiile energetice și alte spații de date</w:t>
      </w:r>
      <w:r w:rsidRPr="00AC058C">
        <w:rPr>
          <w:rStyle w:val="FootnoteReference"/>
          <w:noProof/>
          <w:color w:val="000000" w:themeColor="text1"/>
        </w:rPr>
        <w:footnoteReference w:id="20"/>
      </w:r>
      <w:r w:rsidRPr="00AC058C">
        <w:rPr>
          <w:noProof/>
          <w:color w:val="000000" w:themeColor="text1"/>
        </w:rPr>
        <w:t>, sunt esențiale pentru a crea valoare adăugată de-a lungul lanțurilor valorice europene și între acestea. În plus, Centrul de sprijin pentru spațiile datelor</w:t>
      </w:r>
      <w:r w:rsidRPr="00AC058C">
        <w:rPr>
          <w:rStyle w:val="FootnoteReference"/>
          <w:noProof/>
          <w:color w:val="000000" w:themeColor="text1"/>
        </w:rPr>
        <w:footnoteReference w:id="21"/>
      </w:r>
      <w:r w:rsidRPr="00AC058C">
        <w:rPr>
          <w:noProof/>
          <w:color w:val="000000" w:themeColor="text1"/>
        </w:rPr>
        <w:t xml:space="preserve"> va furniza orientări pentru viitoarele spații sectoriale ale datelor și va sprijini crearea acestora prin punerea la dispoziție a tehnologiilor, proceselor și instrumentelor relevante. Principiile directoare și recomandările Cadrului european de interoperabilitate</w:t>
      </w:r>
      <w:r w:rsidRPr="00AC058C">
        <w:rPr>
          <w:rStyle w:val="FootnoteReference"/>
          <w:noProof/>
          <w:color w:val="000000" w:themeColor="text1"/>
        </w:rPr>
        <w:footnoteReference w:id="22"/>
      </w:r>
      <w:r w:rsidRPr="00AC058C">
        <w:rPr>
          <w:noProof/>
          <w:color w:val="000000" w:themeColor="text1"/>
        </w:rPr>
        <w:t xml:space="preserve"> vor sta la baza proceselor de asigurare a interoperabilității transsectoriale și sunt în conformitate cu viitoarea propunere a Comisiei privind o cooperare consolidată în materie de interoperabilitate.</w:t>
      </w:r>
    </w:p>
    <w:p w14:paraId="65C13BC7" w14:textId="77777777" w:rsidR="009767BB" w:rsidRPr="00AC058C" w:rsidRDefault="00572BE7" w:rsidP="00B33E58">
      <w:pPr>
        <w:ind w:firstLine="720"/>
        <w:rPr>
          <w:b/>
          <w:noProof/>
        </w:rPr>
      </w:pPr>
      <w:r w:rsidRPr="00AC058C">
        <w:rPr>
          <w:b/>
          <w:noProof/>
        </w:rPr>
        <w:t>2.2.</w:t>
      </w:r>
      <w:r w:rsidRPr="00AC058C">
        <w:rPr>
          <w:noProof/>
        </w:rPr>
        <w:tab/>
      </w:r>
      <w:r w:rsidRPr="00AC058C">
        <w:rPr>
          <w:b/>
          <w:noProof/>
        </w:rPr>
        <w:t>Rezultate imediate și componente de bază pentru sprijinirea procesului</w:t>
      </w:r>
    </w:p>
    <w:p w14:paraId="411F271F" w14:textId="28A3DD21" w:rsidR="000F4C85" w:rsidRPr="00AC058C" w:rsidRDefault="6D52C8DF" w:rsidP="000F4C85">
      <w:pPr>
        <w:rPr>
          <w:noProof/>
          <w:sz w:val="20"/>
        </w:rPr>
      </w:pPr>
      <w:r w:rsidRPr="00AC058C">
        <w:rPr>
          <w:noProof/>
          <w:color w:val="000000" w:themeColor="text1"/>
        </w:rPr>
        <w:t xml:space="preserve">D4E va fi instituit în paralel cu alte câteva inițiative care se vor consolida reciproc. Pentru toate inițiativele, este important ca, în locuințele lor, consumatorii să aibă instalat un contor inteligent de energie electrică. Acest lucru nu este încă valabil în multe </w:t>
      </w:r>
      <w:bookmarkStart w:id="17" w:name="_Int_KftTg142"/>
      <w:r w:rsidRPr="00AC058C">
        <w:rPr>
          <w:noProof/>
          <w:color w:val="000000" w:themeColor="text1"/>
        </w:rPr>
        <w:t>state</w:t>
      </w:r>
      <w:bookmarkEnd w:id="17"/>
      <w:r w:rsidRPr="00AC058C">
        <w:rPr>
          <w:noProof/>
          <w:color w:val="000000" w:themeColor="text1"/>
        </w:rPr>
        <w:t xml:space="preserve"> membre</w:t>
      </w:r>
      <w:r w:rsidRPr="00AC058C">
        <w:rPr>
          <w:rStyle w:val="FootnoteReference"/>
          <w:noProof/>
          <w:color w:val="000000" w:themeColor="text1"/>
        </w:rPr>
        <w:footnoteReference w:id="23"/>
      </w:r>
      <w:r w:rsidRPr="00AC058C">
        <w:rPr>
          <w:noProof/>
          <w:color w:val="000000" w:themeColor="text1"/>
        </w:rPr>
        <w:t xml:space="preserve"> și sporește necesitatea intensificării eforturilor de introducere pe scară mai largă a contorizării inteligente. </w:t>
      </w:r>
      <w:r w:rsidRPr="00AC058C">
        <w:rPr>
          <w:noProof/>
        </w:rPr>
        <w:t>Comisia invită de urgență statele membre care nu au realizat încă introducerea completă a contoarelor inteligente să își accelereze eforturile și să își sporească obiectivele naționale în ceea ce privește implementarea acestor contoare, în special cu ocazia actualizării planurilor lor naționale privind energia și clima. În cazul în care în urma unei analize cost-beneficiu s-a concluzionat că introducerea contoarelor inteligente nu trebuie realizată, Comisia invită statele membre să reevalueze și să repete aceste analize în lumina Pactului verde și a planului REPowerEU.</w:t>
      </w:r>
    </w:p>
    <w:p w14:paraId="632CA454" w14:textId="5AF4610B" w:rsidR="005F1857" w:rsidRPr="00AC058C" w:rsidRDefault="007969E9" w:rsidP="414B7552">
      <w:pPr>
        <w:pStyle w:val="paragraph"/>
        <w:spacing w:before="0" w:beforeAutospacing="0" w:after="0" w:afterAutospacing="0"/>
        <w:jc w:val="both"/>
        <w:textAlignment w:val="baseline"/>
        <w:rPr>
          <w:rStyle w:val="eop"/>
          <w:noProof/>
          <w:color w:val="000000" w:themeColor="text1"/>
        </w:rPr>
      </w:pPr>
      <w:r w:rsidRPr="00AC058C">
        <w:rPr>
          <w:noProof/>
          <w:color w:val="000000" w:themeColor="text1"/>
        </w:rPr>
        <w:t xml:space="preserve">Atunci când consiliază Comisia, </w:t>
      </w:r>
      <w:r w:rsidRPr="00AC058C">
        <w:rPr>
          <w:rStyle w:val="normaltextrun"/>
          <w:noProof/>
          <w:color w:val="000000" w:themeColor="text1"/>
        </w:rPr>
        <w:t>D4E va lua în considerare activitățile care sprijină intensificarea schimburilor de date. Printre aceste inițiative se numără:</w:t>
      </w:r>
      <w:r w:rsidRPr="00AC058C">
        <w:rPr>
          <w:rStyle w:val="eop"/>
          <w:noProof/>
          <w:color w:val="000000" w:themeColor="text1"/>
        </w:rPr>
        <w:t xml:space="preserve"> </w:t>
      </w:r>
    </w:p>
    <w:p w14:paraId="42A92313" w14:textId="77777777" w:rsidR="00B57B16" w:rsidRPr="00AC058C" w:rsidRDefault="00BF605D" w:rsidP="009259F5">
      <w:pPr>
        <w:pStyle w:val="ListParagraph"/>
        <w:numPr>
          <w:ilvl w:val="0"/>
          <w:numId w:val="116"/>
        </w:numPr>
        <w:jc w:val="both"/>
        <w:rPr>
          <w:rStyle w:val="eop"/>
          <w:noProof/>
          <w:color w:val="000000" w:themeColor="text1"/>
          <w:szCs w:val="20"/>
        </w:rPr>
      </w:pPr>
      <w:r w:rsidRPr="00AC058C">
        <w:rPr>
          <w:rStyle w:val="normaltextrun"/>
          <w:noProof/>
          <w:color w:val="000000" w:themeColor="text1"/>
          <w:shd w:val="clear" w:color="auto" w:fill="FFFFFF"/>
        </w:rPr>
        <w:t>adoptarea</w:t>
      </w:r>
      <w:r w:rsidRPr="00AC058C">
        <w:rPr>
          <w:rStyle w:val="normaltextrun"/>
          <w:noProof/>
          <w:color w:val="000000" w:themeColor="text1"/>
        </w:rPr>
        <w:t xml:space="preserve"> de către Comisie a unui </w:t>
      </w:r>
      <w:r w:rsidRPr="00AC058C">
        <w:rPr>
          <w:rStyle w:val="normaltextrun"/>
          <w:b/>
          <w:noProof/>
          <w:color w:val="000000" w:themeColor="text1"/>
        </w:rPr>
        <w:t>act de punere în aplicare privind cerințele de interoperabilitate și procedurile nediscriminatorii și transparente de accesare a datelor privind contorizarea și consumul</w:t>
      </w:r>
      <w:r w:rsidRPr="00AC058C">
        <w:rPr>
          <w:rStyle w:val="normaltextrun"/>
          <w:noProof/>
          <w:color w:val="000000" w:themeColor="text1"/>
        </w:rPr>
        <w:t xml:space="preserve"> (astfel cum se prevede la articolul 24 din Directiva privind energia electrică);</w:t>
      </w:r>
      <w:r w:rsidRPr="00AC058C">
        <w:rPr>
          <w:rStyle w:val="eop"/>
          <w:noProof/>
          <w:color w:val="000000" w:themeColor="text1"/>
        </w:rPr>
        <w:t xml:space="preserve"> </w:t>
      </w:r>
    </w:p>
    <w:p w14:paraId="6DB373B4" w14:textId="4F099E66" w:rsidR="00B57B16" w:rsidRPr="00AC058C" w:rsidRDefault="5F42DBFD" w:rsidP="009259F5">
      <w:pPr>
        <w:pStyle w:val="ListParagraph"/>
        <w:numPr>
          <w:ilvl w:val="0"/>
          <w:numId w:val="116"/>
        </w:numPr>
        <w:jc w:val="both"/>
        <w:rPr>
          <w:rStyle w:val="eop"/>
          <w:noProof/>
          <w:color w:val="000000" w:themeColor="text1"/>
        </w:rPr>
      </w:pPr>
      <w:r w:rsidRPr="00AC058C">
        <w:rPr>
          <w:rStyle w:val="normaltextrun"/>
          <w:noProof/>
          <w:color w:val="000000" w:themeColor="text1"/>
          <w:shd w:val="clear" w:color="auto" w:fill="FFFFFF"/>
        </w:rPr>
        <w:t>pregătirea</w:t>
      </w:r>
      <w:r w:rsidRPr="00AC058C">
        <w:rPr>
          <w:rStyle w:val="normaltextrun"/>
          <w:noProof/>
          <w:color w:val="000000" w:themeColor="text1"/>
        </w:rPr>
        <w:t xml:space="preserve"> </w:t>
      </w:r>
      <w:r w:rsidRPr="00AC058C">
        <w:rPr>
          <w:rStyle w:val="normaltextrun"/>
          <w:b/>
          <w:noProof/>
          <w:color w:val="000000" w:themeColor="text1"/>
        </w:rPr>
        <w:t xml:space="preserve">actelor de punere în aplicare privind cerințele de interoperabilitate și procedurile nediscriminatorii și transparente de accesare a datelor necesare pentru consumul dispecerizabil și schimbarea furnizorului de către client </w:t>
      </w:r>
      <w:r w:rsidRPr="00AC058C">
        <w:rPr>
          <w:rStyle w:val="normaltextrun"/>
          <w:noProof/>
          <w:color w:val="000000" w:themeColor="text1"/>
        </w:rPr>
        <w:t>(astfel cum se prevede la articolul 24 din Directiva privind energia electrică);</w:t>
      </w:r>
      <w:r w:rsidRPr="00AC058C">
        <w:rPr>
          <w:rStyle w:val="eop"/>
          <w:noProof/>
          <w:color w:val="000000" w:themeColor="text1"/>
        </w:rPr>
        <w:t xml:space="preserve"> </w:t>
      </w:r>
    </w:p>
    <w:p w14:paraId="186ABE7F" w14:textId="77777777" w:rsidR="00BF605D" w:rsidRPr="00AC058C" w:rsidRDefault="00F0229D" w:rsidP="009259F5">
      <w:pPr>
        <w:pStyle w:val="ListParagraph"/>
        <w:numPr>
          <w:ilvl w:val="0"/>
          <w:numId w:val="116"/>
        </w:numPr>
        <w:jc w:val="both"/>
        <w:rPr>
          <w:rStyle w:val="eop"/>
          <w:noProof/>
          <w:color w:val="000000" w:themeColor="text1"/>
        </w:rPr>
      </w:pPr>
      <w:r w:rsidRPr="00AC058C">
        <w:rPr>
          <w:rStyle w:val="normaltextrun"/>
          <w:noProof/>
          <w:color w:val="000000" w:themeColor="text1"/>
          <w:shd w:val="clear" w:color="auto" w:fill="FFFFFF"/>
        </w:rPr>
        <w:t>Promovarea</w:t>
      </w:r>
      <w:r w:rsidRPr="00AC058C">
        <w:rPr>
          <w:rStyle w:val="normaltextrun"/>
          <w:noProof/>
          <w:color w:val="000000" w:themeColor="text1"/>
        </w:rPr>
        <w:t xml:space="preserve"> unui </w:t>
      </w:r>
      <w:r w:rsidRPr="00AC058C">
        <w:rPr>
          <w:rStyle w:val="normaltextrun"/>
          <w:b/>
          <w:noProof/>
          <w:color w:val="000000" w:themeColor="text1"/>
        </w:rPr>
        <w:t>cod de conduită în domeniul aparatelor inteligente din punct de vedere energetic care să permită interoperabilitatea și să stimuleze participarea acestora la sistemele de consum dispecerizabil</w:t>
      </w:r>
      <w:r w:rsidRPr="00AC058C">
        <w:rPr>
          <w:rStyle w:val="FootnoteReference"/>
          <w:rFonts w:eastAsiaTheme="majorEastAsia"/>
          <w:noProof/>
          <w:color w:val="000000" w:themeColor="text1"/>
        </w:rPr>
        <w:footnoteReference w:id="24"/>
      </w:r>
      <w:r w:rsidRPr="00AC058C">
        <w:rPr>
          <w:rStyle w:val="normaltextrun"/>
          <w:noProof/>
          <w:color w:val="000000" w:themeColor="text1"/>
        </w:rPr>
        <w:t xml:space="preserve">. </w:t>
      </w:r>
    </w:p>
    <w:p w14:paraId="521ADC96" w14:textId="77777777" w:rsidR="00BF605D" w:rsidRPr="00AC058C" w:rsidRDefault="00BF605D" w:rsidP="00BF605D">
      <w:pPr>
        <w:pStyle w:val="paragraph"/>
        <w:spacing w:before="0" w:beforeAutospacing="0" w:after="0" w:afterAutospacing="0"/>
        <w:jc w:val="both"/>
        <w:textAlignment w:val="baseline"/>
        <w:rPr>
          <w:noProof/>
          <w:color w:val="000000" w:themeColor="text1"/>
          <w:sz w:val="18"/>
          <w:szCs w:val="18"/>
        </w:rPr>
      </w:pPr>
    </w:p>
    <w:p w14:paraId="39B0AF36" w14:textId="77777777" w:rsidR="0016104F" w:rsidRPr="00AC058C" w:rsidRDefault="17693267" w:rsidP="35C3164F">
      <w:pPr>
        <w:pStyle w:val="paragraph"/>
        <w:spacing w:before="0" w:beforeAutospacing="0" w:after="240" w:afterAutospacing="0"/>
        <w:jc w:val="both"/>
        <w:rPr>
          <w:noProof/>
        </w:rPr>
      </w:pPr>
      <w:r w:rsidRPr="00AC058C">
        <w:rPr>
          <w:rStyle w:val="normaltextrun"/>
          <w:noProof/>
          <w:color w:val="000000" w:themeColor="text1"/>
        </w:rPr>
        <w:t xml:space="preserve">Programele de cercetare și inovare și de digitalizare ale UE vor continua să joace un rol esențial. Astfel, Comisia intenționează să sprijine, prin intermediul </w:t>
      </w:r>
      <w:r w:rsidRPr="00AC058C">
        <w:rPr>
          <w:rStyle w:val="normaltextrun"/>
          <w:b/>
          <w:noProof/>
          <w:color w:val="000000" w:themeColor="text1"/>
        </w:rPr>
        <w:t>programului „Europa digitală”</w:t>
      </w:r>
      <w:r w:rsidRPr="00AC058C">
        <w:rPr>
          <w:rStyle w:val="FootnoteReference"/>
          <w:rFonts w:eastAsiaTheme="majorEastAsia"/>
          <w:bCs/>
          <w:noProof/>
          <w:color w:val="000000" w:themeColor="text1"/>
        </w:rPr>
        <w:footnoteReference w:id="25"/>
      </w:r>
      <w:r w:rsidRPr="00AC058C">
        <w:rPr>
          <w:rStyle w:val="normaltextrun"/>
          <w:noProof/>
          <w:color w:val="000000" w:themeColor="text1"/>
        </w:rPr>
        <w:t xml:space="preserve">, implementarea unui spațiu european comun al datelor privind energia. Implementarea se va baza pe demonstrațiile și rezultatele care vor fi dezvoltate printr-un set de proiecte finanțate prin programul </w:t>
      </w:r>
      <w:r w:rsidRPr="00AC058C">
        <w:rPr>
          <w:rStyle w:val="normaltextrun"/>
          <w:b/>
          <w:noProof/>
          <w:color w:val="000000" w:themeColor="text1"/>
        </w:rPr>
        <w:t>Orizont Europa</w:t>
      </w:r>
      <w:r w:rsidRPr="00AC058C">
        <w:rPr>
          <w:rStyle w:val="FootnoteReference"/>
          <w:rFonts w:eastAsiaTheme="majorEastAsia"/>
          <w:noProof/>
          <w:color w:val="000000" w:themeColor="text1"/>
        </w:rPr>
        <w:footnoteReference w:id="26"/>
      </w:r>
      <w:r w:rsidRPr="00AC058C">
        <w:rPr>
          <w:rStyle w:val="normaltextrun"/>
          <w:noProof/>
          <w:color w:val="000000" w:themeColor="text1"/>
        </w:rPr>
        <w:t>, precum și pe cazurile de utilizare care vor fi dezvoltate de D4E. În plus, programul Orizont Europa sprijină principalele proiecte și inițiative de cercetare și inovare</w:t>
      </w:r>
      <w:r w:rsidRPr="00AC058C">
        <w:rPr>
          <w:rStyle w:val="FootnoteReference"/>
          <w:rFonts w:eastAsiaTheme="majorEastAsia"/>
          <w:bCs/>
          <w:noProof/>
          <w:color w:val="000000" w:themeColor="text1"/>
        </w:rPr>
        <w:footnoteReference w:id="27"/>
      </w:r>
      <w:r w:rsidRPr="00AC058C">
        <w:rPr>
          <w:rStyle w:val="normaltextrun"/>
          <w:noProof/>
          <w:color w:val="000000" w:themeColor="text1"/>
        </w:rPr>
        <w:t xml:space="preserve"> care oferă contribuții valoroase cu privire la cele mai bune practici și recomandări, inclusiv rezultate concrete, cum ar fi instrumentele și metodologiile.</w:t>
      </w:r>
      <w:r w:rsidRPr="00AC058C">
        <w:rPr>
          <w:noProof/>
          <w:color w:val="1F497D"/>
        </w:rPr>
        <w:t xml:space="preserve"> </w:t>
      </w:r>
      <w:r w:rsidRPr="00AC058C">
        <w:rPr>
          <w:rStyle w:val="normaltextrun"/>
          <w:noProof/>
          <w:color w:val="000000" w:themeColor="text1"/>
          <w:shd w:val="clear" w:color="auto" w:fill="FFFFFF"/>
        </w:rPr>
        <w:t>Aceste</w:t>
      </w:r>
      <w:r w:rsidRPr="00AC058C">
        <w:rPr>
          <w:rStyle w:val="normaltextrun"/>
          <w:noProof/>
          <w:color w:val="000000" w:themeColor="text1"/>
        </w:rPr>
        <w:t xml:space="preserve"> contribuții</w:t>
      </w:r>
      <w:r w:rsidRPr="00AC058C">
        <w:rPr>
          <w:rStyle w:val="normaltextrun"/>
          <w:noProof/>
          <w:color w:val="000000" w:themeColor="text1"/>
          <w:shd w:val="clear" w:color="auto" w:fill="FFFFFF"/>
        </w:rPr>
        <w:t xml:space="preserve"> vor spori, pe de o parte, interoperabilitatea soluțiilor propuse de proiectele Orizont Europa și, pe de altă parte, ar putea fi extinse și utilizate în continuare pentru a dezvolta</w:t>
      </w:r>
      <w:r w:rsidRPr="00AC058C">
        <w:rPr>
          <w:rStyle w:val="normaltextrun"/>
          <w:noProof/>
          <w:color w:val="000000" w:themeColor="text1"/>
        </w:rPr>
        <w:t xml:space="preserve"> </w:t>
      </w:r>
      <w:r w:rsidRPr="00AC058C">
        <w:rPr>
          <w:rStyle w:val="normaltextrun"/>
          <w:noProof/>
          <w:color w:val="000000" w:themeColor="text1"/>
          <w:shd w:val="clear" w:color="auto" w:fill="FFFFFF"/>
        </w:rPr>
        <w:t>cazurile de utilizare de înalt nivel și pentru a elimina lacunele identificate pe piață în vederea implementării unui spațiu de date complet funcțional</w:t>
      </w:r>
      <w:r w:rsidRPr="00AC058C">
        <w:rPr>
          <w:rStyle w:val="normaltextrun"/>
          <w:noProof/>
          <w:color w:val="000000" w:themeColor="text1"/>
        </w:rPr>
        <w:t>. Procedând astfel, Comisia va orienta activitatea D4E cu rezultatele obținute din proiectele și programele care promovează spațiile pilot ale datelor privind energia și modele comune atât pentru schimburile de date, cât și pentru interoperabilitate.</w:t>
      </w:r>
      <w:r w:rsidRPr="00AC058C">
        <w:rPr>
          <w:noProof/>
        </w:rPr>
        <w:t xml:space="preserve"> </w:t>
      </w:r>
    </w:p>
    <w:p w14:paraId="3C8AA72B" w14:textId="532A7FE8" w:rsidR="00807855" w:rsidRPr="00AC058C" w:rsidRDefault="008233A7" w:rsidP="003D6056">
      <w:pPr>
        <w:pStyle w:val="paragraph"/>
        <w:spacing w:before="0" w:beforeAutospacing="0" w:after="240" w:afterAutospacing="0"/>
        <w:jc w:val="both"/>
        <w:rPr>
          <w:noProof/>
        </w:rPr>
      </w:pPr>
      <w:r w:rsidRPr="00AC058C">
        <w:rPr>
          <w:noProof/>
        </w:rPr>
        <w:t>Europa investește deja în următoarea generație de sisteme energetice și rețele inteligente prin implementarea tehnologiilor digitale emergente, inclusiv a gemenilor digitali, a inteligenței descentralizate și a tehnicii de „edge computing”.</w:t>
      </w:r>
      <w:r w:rsidRPr="00AC058C">
        <w:rPr>
          <w:rStyle w:val="normaltextrun"/>
          <w:noProof/>
          <w:color w:val="000000" w:themeColor="text1"/>
        </w:rPr>
        <w:t xml:space="preserve"> </w:t>
      </w:r>
      <w:bookmarkStart w:id="18" w:name="_Toc103872592"/>
      <w:bookmarkStart w:id="19" w:name="_Toc106053791"/>
      <w:bookmarkStart w:id="20" w:name="_Toc291043092"/>
      <w:bookmarkStart w:id="21" w:name="_Toc1291740619"/>
      <w:r w:rsidRPr="00AC058C">
        <w:rPr>
          <w:noProof/>
        </w:rPr>
        <w:t>Acestea sunt doar câteva exemple de utilizare inteligentă a datelor disponibile în cadrul sistemelor energetice digitalizate și ilustrează importanța schimbului de date și a spațiilor de date privind energia. Volumele mari de date colectate în orașele și comunitățile inteligente pe platformele locale de date (prin dispozitive inteligente conectate la internetul obiectelor, aplicații pentru telefoane inteligente, platforme de comunicare socială etc.) permit crearea a numeroase servicii de optimizare a energiei și a infrastructurii, de gestionare a clădirilor și a instalațiilor, de planificare a scenariilor și de gestionare a dezastrelor într-un district sau oraș. În întreaga Uniune există numeroase exemple privind modul în care digitalizarea este aplicată la nivel local</w:t>
      </w:r>
      <w:r w:rsidRPr="00AC058C">
        <w:rPr>
          <w:rStyle w:val="FootnoteReference"/>
          <w:noProof/>
          <w:color w:val="1F497D"/>
        </w:rPr>
        <w:footnoteReference w:id="28"/>
      </w:r>
      <w:r w:rsidRPr="00AC058C">
        <w:rPr>
          <w:noProof/>
        </w:rPr>
        <w:t xml:space="preserve">. Comisia încurajează statele membre, regiunile, orașele și industria să facă schimb de bune practici și să se coordoneze în ceea ce privește implementarea pe scară mai largă și standardizarea pentru a accelera tranziția verde și a consolida ecosistemul energetic european. </w:t>
      </w:r>
    </w:p>
    <w:p w14:paraId="68C62B38" w14:textId="77777777" w:rsidR="00807855" w:rsidRPr="00AC058C" w:rsidRDefault="00807855" w:rsidP="00E308A1">
      <w:pPr>
        <w:spacing w:after="0"/>
        <w:rPr>
          <w:rStyle w:val="normaltextrun"/>
          <w:noProof/>
          <w:color w:val="1F497D"/>
          <w:sz w:val="28"/>
          <w:szCs w:val="22"/>
        </w:rPr>
      </w:pPr>
    </w:p>
    <w:p w14:paraId="25EF62C9" w14:textId="77777777" w:rsidR="00393931" w:rsidRPr="00AC058C" w:rsidRDefault="00352428" w:rsidP="00742C12">
      <w:pPr>
        <w:pStyle w:val="paragraph"/>
        <w:spacing w:before="0" w:beforeAutospacing="0" w:after="240" w:afterAutospacing="0"/>
        <w:jc w:val="both"/>
        <w:rPr>
          <w:noProof/>
        </w:rPr>
      </w:pPr>
      <w:r w:rsidRPr="00AC058C">
        <w:rPr>
          <w:b/>
          <w:smallCaps/>
          <w:noProof/>
        </w:rPr>
        <w:t>3. Promovarea investițiilor în infrastructura digitală a energiei electrice</w:t>
      </w:r>
      <w:bookmarkEnd w:id="18"/>
      <w:bookmarkEnd w:id="19"/>
      <w:r w:rsidRPr="00AC058C">
        <w:rPr>
          <w:noProof/>
        </w:rPr>
        <w:t xml:space="preserve"> </w:t>
      </w:r>
      <w:bookmarkEnd w:id="20"/>
      <w:bookmarkEnd w:id="21"/>
    </w:p>
    <w:p w14:paraId="6BAD74BC" w14:textId="7A8424A6" w:rsidR="37AE6589" w:rsidRPr="00AC058C" w:rsidRDefault="00203F07" w:rsidP="00B20724">
      <w:pPr>
        <w:rPr>
          <w:noProof/>
          <w:color w:val="000000" w:themeColor="text1"/>
        </w:rPr>
      </w:pPr>
      <w:r w:rsidRPr="00AC058C">
        <w:rPr>
          <w:rStyle w:val="normaltextrun"/>
          <w:noProof/>
          <w:color w:val="000000" w:themeColor="text1"/>
        </w:rPr>
        <w:t xml:space="preserve">Infrastructura energetică inteligentă și digitală este o cerință esențială pentru toate prioritățile de utilizare de înalt nivel. Rețeaua de energie electrică trebuie să interacționeze cu numeroși actori sau dispozitive pe baza unui nivel detaliat al caracterului observabil și, prin urmare, a disponibilității datelor, pentru a asigura flexibilitatea, încărcarea inteligentă și clădirile inteligente. </w:t>
      </w:r>
      <w:r w:rsidRPr="00AC058C">
        <w:rPr>
          <w:noProof/>
          <w:color w:val="000000" w:themeColor="text1"/>
        </w:rPr>
        <w:t xml:space="preserve">Nivelul de digitalizare a rețelei de energie electrică a UE a crescut tot mai mult în ultimul deceniu, dar viteza de transformare trebuie accelerată în mod semnificativ. Coordonarea și cooperarea vor sprijini obținerea celui mai avantajos raport din punct de vedere economic în ceea ce privește stimularea schimbării la nivelul UE și </w:t>
      </w:r>
      <w:r w:rsidRPr="00AC058C">
        <w:rPr>
          <w:rStyle w:val="normaltextrun"/>
          <w:noProof/>
          <w:color w:val="000000" w:themeColor="text1"/>
          <w:shd w:val="clear" w:color="auto" w:fill="FFFFFF"/>
        </w:rPr>
        <w:t>vor contribui la</w:t>
      </w:r>
      <w:r w:rsidRPr="00AC058C">
        <w:rPr>
          <w:rStyle w:val="normaltextrun"/>
          <w:noProof/>
          <w:color w:val="000000" w:themeColor="text1"/>
        </w:rPr>
        <w:t xml:space="preserve"> </w:t>
      </w:r>
      <w:r w:rsidRPr="00AC058C">
        <w:rPr>
          <w:rStyle w:val="normaltextrun"/>
          <w:noProof/>
          <w:color w:val="000000" w:themeColor="text1"/>
          <w:shd w:val="clear" w:color="auto" w:fill="FFFFFF"/>
        </w:rPr>
        <w:t>digitalizarea eficientă a rețelei de energie electrică</w:t>
      </w:r>
      <w:r w:rsidRPr="00AC058C">
        <w:rPr>
          <w:noProof/>
          <w:color w:val="000000" w:themeColor="text1"/>
        </w:rPr>
        <w:t xml:space="preserve">. Astfel cum s-a menționat mai sus, </w:t>
      </w:r>
      <w:r w:rsidRPr="00AC058C">
        <w:rPr>
          <w:noProof/>
        </w:rPr>
        <w:t xml:space="preserve">pentru a atinge deopotrivă obiectivele ambițioase ale pachetul legislativ „Pregătiți pentru 55” și ale planului REPowerEU, în perioada 2020-2030, vor fi necesare investiții în valoare de 584 de miliarde EUR în rețeaua de energie electrică. Se estimează că vor fi necesare investiții în digitalizare în valoare de aproximativ 170 de miliarde EUR din totalul </w:t>
      </w:r>
      <w:r w:rsidRPr="00AC058C">
        <w:rPr>
          <w:noProof/>
          <w:color w:val="000000" w:themeColor="text1"/>
        </w:rPr>
        <w:t>investițiilor în rețeaua de distribuție în valoare de aproximativ 400 de miliarde EUR în perioada 2020-2030</w:t>
      </w:r>
      <w:r w:rsidRPr="00AC058C">
        <w:rPr>
          <w:noProof/>
        </w:rPr>
        <w:t xml:space="preserve">. </w:t>
      </w:r>
    </w:p>
    <w:p w14:paraId="78644794" w14:textId="3020A28B" w:rsidR="002E20C9" w:rsidRPr="00AC058C" w:rsidRDefault="008F0E59" w:rsidP="33E2182A">
      <w:pPr>
        <w:spacing w:after="0"/>
        <w:rPr>
          <w:b/>
          <w:bCs/>
          <w:noProof/>
          <w:color w:val="000000" w:themeColor="text1"/>
        </w:rPr>
      </w:pPr>
      <w:r w:rsidRPr="00AC058C">
        <w:rPr>
          <w:noProof/>
          <w:color w:val="000000" w:themeColor="text1"/>
        </w:rPr>
        <w:t xml:space="preserve">În acest context, Comisia anunță astăzi că va </w:t>
      </w:r>
      <w:r w:rsidRPr="00AC058C">
        <w:rPr>
          <w:b/>
          <w:noProof/>
          <w:color w:val="000000" w:themeColor="text1"/>
        </w:rPr>
        <w:t>sprijini operatorii de sisteme de transport (OST) din UE și operatorii de sisteme de distribuție (OSD)</w:t>
      </w:r>
      <w:r w:rsidRPr="00AC058C">
        <w:rPr>
          <w:noProof/>
          <w:color w:val="000000" w:themeColor="text1"/>
        </w:rPr>
        <w:t xml:space="preserve"> </w:t>
      </w:r>
      <w:r w:rsidRPr="00AC058C">
        <w:rPr>
          <w:b/>
          <w:noProof/>
          <w:color w:val="000000" w:themeColor="text1"/>
        </w:rPr>
        <w:t>să creeze un geamăn digital al rețelei electrice europene</w:t>
      </w:r>
      <w:r w:rsidRPr="00AC058C">
        <w:rPr>
          <w:noProof/>
          <w:color w:val="000000" w:themeColor="text1"/>
        </w:rPr>
        <w:t xml:space="preserve">: un model virtual sofisticat al rețelei electrice europene. Scopul geamănului digital este de a spori eficiența și caracterul inteligent al rețelei </w:t>
      </w:r>
      <w:bookmarkStart w:id="22" w:name="_Int_OyCJmNVD"/>
      <w:r w:rsidRPr="00AC058C">
        <w:rPr>
          <w:noProof/>
          <w:color w:val="000000" w:themeColor="text1"/>
        </w:rPr>
        <w:t>ca modalitate de a</w:t>
      </w:r>
      <w:bookmarkEnd w:id="22"/>
      <w:r w:rsidRPr="00AC058C">
        <w:rPr>
          <w:noProof/>
          <w:color w:val="000000" w:themeColor="text1"/>
        </w:rPr>
        <w:t xml:space="preserve"> face nu numai rețelele, ci și sistemul energetic </w:t>
      </w:r>
      <w:bookmarkStart w:id="23" w:name="_Int_jZFuNE37"/>
      <w:r w:rsidRPr="00AC058C">
        <w:rPr>
          <w:noProof/>
          <w:color w:val="000000" w:themeColor="text1"/>
        </w:rPr>
        <w:t>în ansamblu, mai</w:t>
      </w:r>
      <w:bookmarkEnd w:id="23"/>
      <w:r w:rsidRPr="00AC058C">
        <w:rPr>
          <w:noProof/>
          <w:color w:val="000000" w:themeColor="text1"/>
        </w:rPr>
        <w:t xml:space="preserve"> inteligente. Crearea unui geamăn digital se va realiza prin investiții coordonate în cinci domenii: (i) caracterul observabil și controlabil; (ii) planificarea eficientă a infrastructurii și a rețelelor; (iii) operațiuni și simulări pentru o rețea mai rezilientă; (iv) gestionarea activă a sistemului și previzionarea pentru a sprijini flexibilitatea și consumul dispecerizabil și (v) schimbul de date între </w:t>
      </w:r>
      <w:bookmarkStart w:id="24" w:name="_Int_wygpnUzC"/>
      <w:r w:rsidRPr="00AC058C">
        <w:rPr>
          <w:noProof/>
          <w:color w:val="000000" w:themeColor="text1"/>
        </w:rPr>
        <w:t>OST</w:t>
      </w:r>
      <w:bookmarkEnd w:id="24"/>
      <w:r w:rsidRPr="00AC058C">
        <w:rPr>
          <w:noProof/>
          <w:color w:val="000000" w:themeColor="text1"/>
        </w:rPr>
        <w:t xml:space="preserve"> și </w:t>
      </w:r>
      <w:bookmarkStart w:id="25" w:name="_Int_3SMz1fds"/>
      <w:r w:rsidRPr="00AC058C">
        <w:rPr>
          <w:noProof/>
          <w:color w:val="000000" w:themeColor="text1"/>
        </w:rPr>
        <w:t>OSD</w:t>
      </w:r>
      <w:bookmarkEnd w:id="25"/>
      <w:r w:rsidRPr="00AC058C">
        <w:rPr>
          <w:noProof/>
          <w:color w:val="000000" w:themeColor="text1"/>
        </w:rPr>
        <w:t>. Geamănul digital nu va fi creat într-o singură etapă, ci va necesita un efort continuu constând în investiții</w:t>
      </w:r>
      <w:r w:rsidRPr="00AC058C">
        <w:rPr>
          <w:noProof/>
        </w:rPr>
        <w:t xml:space="preserve"> și inovare pentru anii următori.</w:t>
      </w:r>
      <w:r w:rsidRPr="00AC058C">
        <w:rPr>
          <w:noProof/>
          <w:shd w:val="clear" w:color="auto" w:fill="FFFFFF"/>
        </w:rPr>
        <w:t xml:space="preserve"> Pe parcursul acestui proces, vor fi asigurate sinergii cu viitoarele inițiative privind lumile virtuale, cum ar fi metaversul.</w:t>
      </w:r>
      <w:r w:rsidRPr="00AC058C">
        <w:rPr>
          <w:noProof/>
        </w:rPr>
        <w:t xml:space="preserve"> </w:t>
      </w:r>
      <w:r w:rsidRPr="00AC058C">
        <w:rPr>
          <w:noProof/>
          <w:color w:val="000000" w:themeColor="text1"/>
        </w:rPr>
        <w:t xml:space="preserve">Într-o primă etapă, Rețeaua europeană a operatorilor de sisteme de transport de energie electrică (ENTSO-E) și entitatea OSD UE vor semna o </w:t>
      </w:r>
      <w:r w:rsidRPr="00AC058C">
        <w:rPr>
          <w:b/>
          <w:noProof/>
          <w:color w:val="000000" w:themeColor="text1"/>
        </w:rPr>
        <w:t>declarație de intenție</w:t>
      </w:r>
      <w:r w:rsidRPr="00AC058C">
        <w:rPr>
          <w:noProof/>
          <w:color w:val="000000" w:themeColor="text1"/>
        </w:rPr>
        <w:t xml:space="preserve"> pentru a începe dezvoltarea unui geamăn digital al rețelei de energie electrică de la nivelul UE, cu o consultare cuprinzătoare a utilizatorilor rețelei și a altor părți interesate cu privire la rezultatele concrete. Comisia intenționează să sprijine Rețeaua europeană a operatorilor de sisteme de transport de energie electrică (ENTSO-E) și entitatea OSD UE, precum și investițiile concrete realizate de operatorii de sistem prin diferite mijloace, inclusiv prin Orizont Europa</w:t>
      </w:r>
      <w:bookmarkStart w:id="26" w:name="_Int_UU7ONf84"/>
      <w:bookmarkStart w:id="27" w:name="_Int_RzaTdPMi"/>
      <w:r w:rsidRPr="00AC058C">
        <w:rPr>
          <w:noProof/>
          <w:color w:val="000000" w:themeColor="text1"/>
        </w:rPr>
        <w:t xml:space="preserve">. </w:t>
      </w:r>
      <w:bookmarkEnd w:id="26"/>
      <w:bookmarkEnd w:id="27"/>
    </w:p>
    <w:p w14:paraId="3A1AFF90" w14:textId="77777777" w:rsidR="002E20C9" w:rsidRPr="00AC058C" w:rsidRDefault="002E20C9" w:rsidP="002E20C9">
      <w:pPr>
        <w:spacing w:after="0"/>
        <w:rPr>
          <w:rStyle w:val="normaltextrun"/>
          <w:noProof/>
          <w:color w:val="000000" w:themeColor="text1"/>
        </w:rPr>
      </w:pPr>
    </w:p>
    <w:p w14:paraId="38CB0876" w14:textId="58E6AECA" w:rsidR="00716DE4" w:rsidRPr="00AC058C" w:rsidRDefault="0096719C" w:rsidP="414B7552">
      <w:pPr>
        <w:spacing w:after="0"/>
        <w:rPr>
          <w:rFonts w:eastAsiaTheme="majorEastAsia"/>
          <w:noProof/>
          <w:color w:val="000000" w:themeColor="text1"/>
        </w:rPr>
      </w:pPr>
      <w:r w:rsidRPr="00AC058C">
        <w:rPr>
          <w:noProof/>
          <w:color w:val="000000" w:themeColor="text1"/>
        </w:rPr>
        <w:t>Stimularea investițiilor în rețele energetice inteligente necesită un cadru cuprinzător, dar reglementările multor state membre nu par să stimuleze nici digitalizarea și nici inovarea</w:t>
      </w:r>
      <w:r w:rsidRPr="00AC058C">
        <w:rPr>
          <w:rStyle w:val="FootnoteReference"/>
          <w:noProof/>
          <w:color w:val="000000" w:themeColor="text1"/>
        </w:rPr>
        <w:footnoteReference w:id="29"/>
      </w:r>
      <w:r w:rsidRPr="00AC058C">
        <w:rPr>
          <w:noProof/>
        </w:rPr>
        <w:t>.</w:t>
      </w:r>
      <w:r w:rsidRPr="00AC058C">
        <w:rPr>
          <w:noProof/>
          <w:color w:val="000000" w:themeColor="text1"/>
          <w:vertAlign w:val="superscript"/>
        </w:rPr>
        <w:t xml:space="preserve"> </w:t>
      </w:r>
      <w:r w:rsidRPr="00AC058C">
        <w:rPr>
          <w:noProof/>
          <w:color w:val="000000" w:themeColor="text1"/>
        </w:rPr>
        <w:t>Pentru a încuraja investițiile în dezvoltarea inteligenței rețelei europene de energie electrică și, în special, în geamănul digital, este necesară o abordare coordonată care să ajute autoritățile naționale de reglementare să stabilească ce înseamnă investiții eficiente în digitalizare și să ofere stimulente operatorilor de sistem. Prin urmare, Comisia va urmări să se asigure că, până în 2023, va fi instituit un cadru de reglementare adecvat scopului de a atrage și orienta astfel de investiții.</w:t>
      </w:r>
      <w:r w:rsidRPr="00AC058C">
        <w:rPr>
          <w:b/>
          <w:noProof/>
          <w:color w:val="000000" w:themeColor="text1"/>
        </w:rPr>
        <w:t xml:space="preserve"> </w:t>
      </w:r>
      <w:r w:rsidRPr="00AC058C">
        <w:rPr>
          <w:noProof/>
          <w:color w:val="000000" w:themeColor="text1"/>
        </w:rPr>
        <w:t xml:space="preserve">În special, </w:t>
      </w:r>
      <w:r w:rsidRPr="00AC058C">
        <w:rPr>
          <w:b/>
          <w:noProof/>
          <w:color w:val="000000" w:themeColor="text1"/>
        </w:rPr>
        <w:t xml:space="preserve">Comisia va sprijini </w:t>
      </w:r>
      <w:bookmarkStart w:id="28" w:name="_Int_7xWKX0LR"/>
      <w:r w:rsidRPr="00AC058C">
        <w:rPr>
          <w:b/>
          <w:noProof/>
          <w:color w:val="000000" w:themeColor="text1"/>
        </w:rPr>
        <w:t>Agenția Uniunii Europene pentru Cooperarea Autorităților de Reglementare din Domeniul Energiei (ACER</w:t>
      </w:r>
      <w:bookmarkEnd w:id="28"/>
      <w:r w:rsidRPr="00AC058C">
        <w:rPr>
          <w:b/>
          <w:noProof/>
          <w:color w:val="000000" w:themeColor="text1"/>
        </w:rPr>
        <w:t>) și autoritățile naționale de reglementare (ANR) în activitatea lor de definire a indicatorilor comuni privind rețelele inteligente, precum și a obiectivelor pentru acești indicatori, astfel încât ANR-urile să poată monitoriza anual investițiile inteligente și digitale în rețeaua de energie electrică începând din 2023</w:t>
      </w:r>
      <w:r w:rsidRPr="00AC058C">
        <w:rPr>
          <w:rStyle w:val="FootnoteReference"/>
          <w:rFonts w:eastAsiaTheme="majorEastAsia"/>
          <w:noProof/>
          <w:color w:val="000000" w:themeColor="text1"/>
        </w:rPr>
        <w:footnoteReference w:id="30"/>
      </w:r>
      <w:r w:rsidRPr="00AC058C">
        <w:rPr>
          <w:noProof/>
          <w:color w:val="000000" w:themeColor="text1"/>
        </w:rPr>
        <w:t xml:space="preserve"> și </w:t>
      </w:r>
      <w:r w:rsidRPr="00AC058C">
        <w:rPr>
          <w:b/>
          <w:noProof/>
          <w:color w:val="000000" w:themeColor="text1"/>
        </w:rPr>
        <w:t>să poată măsura progresele înregistrate în direcția creării geamănului digital</w:t>
      </w:r>
      <w:r w:rsidRPr="00AC058C">
        <w:rPr>
          <w:rStyle w:val="FootnoteReference"/>
          <w:rFonts w:eastAsiaTheme="majorEastAsia"/>
          <w:b/>
          <w:bCs/>
          <w:noProof/>
          <w:color w:val="000000" w:themeColor="text1"/>
        </w:rPr>
        <w:footnoteReference w:id="31"/>
      </w:r>
      <w:r w:rsidRPr="00AC058C">
        <w:rPr>
          <w:noProof/>
          <w:color w:val="000000" w:themeColor="text1"/>
        </w:rPr>
        <w:t xml:space="preserve">. </w:t>
      </w:r>
    </w:p>
    <w:p w14:paraId="601065D7" w14:textId="77777777" w:rsidR="002E20C9" w:rsidRPr="00AC058C" w:rsidRDefault="002E20C9" w:rsidP="002E20C9">
      <w:pPr>
        <w:spacing w:after="0"/>
        <w:rPr>
          <w:noProof/>
          <w:color w:val="000000" w:themeColor="text1"/>
        </w:rPr>
      </w:pPr>
    </w:p>
    <w:p w14:paraId="701FD42D" w14:textId="24CC5A52" w:rsidR="00716DE4" w:rsidRPr="00AC058C" w:rsidRDefault="5C8D50FC" w:rsidP="00716DE4">
      <w:pPr>
        <w:rPr>
          <w:noProof/>
          <w:color w:val="000000" w:themeColor="text1"/>
        </w:rPr>
      </w:pPr>
      <w:r w:rsidRPr="00AC058C">
        <w:rPr>
          <w:rStyle w:val="normaltextrun"/>
          <w:noProof/>
          <w:color w:val="000000" w:themeColor="text1"/>
          <w:shd w:val="clear" w:color="auto" w:fill="FFFFFF"/>
        </w:rPr>
        <w:t>Aceste acțiuni, precum și digitalizarea infrastructurii energetice,</w:t>
      </w:r>
      <w:r w:rsidRPr="00AC058C">
        <w:rPr>
          <w:rStyle w:val="normaltextrun"/>
          <w:noProof/>
          <w:color w:val="000000" w:themeColor="text1"/>
        </w:rPr>
        <w:t xml:space="preserve"> în general</w:t>
      </w:r>
      <w:r w:rsidRPr="00AC058C">
        <w:rPr>
          <w:rStyle w:val="normaltextrun"/>
          <w:noProof/>
          <w:color w:val="000000" w:themeColor="text1"/>
          <w:shd w:val="clear" w:color="auto" w:fill="FFFFFF"/>
        </w:rPr>
        <w:t>, au fost și vor fi sprijinite prin diverse instrumente la nivelul UE</w:t>
      </w:r>
      <w:r w:rsidRPr="00AC058C">
        <w:rPr>
          <w:rStyle w:val="normaltextrun"/>
          <w:noProof/>
          <w:color w:val="000000" w:themeColor="text1"/>
        </w:rPr>
        <w:t>.</w:t>
      </w:r>
      <w:r w:rsidRPr="00AC058C">
        <w:rPr>
          <w:rStyle w:val="normaltextrun"/>
          <w:noProof/>
          <w:color w:val="000000" w:themeColor="text1"/>
          <w:shd w:val="clear" w:color="auto" w:fill="FFFFFF"/>
        </w:rPr>
        <w:t xml:space="preserve"> </w:t>
      </w:r>
      <w:r w:rsidRPr="00AC058C">
        <w:rPr>
          <w:noProof/>
          <w:color w:val="000000" w:themeColor="text1"/>
        </w:rPr>
        <w:t>Regulamentul TEN-E revizuit prevede mai multe oportunități de sprijinire a rețelei electrice inteligente transfrontaliere. Acest regulament a actualizat definiția rețelelor inteligente și categoria aferentă acesteia pentru PIC transfrontaliere care vizează rețele inteligente și a simplificat criteriile de selecție și rolul promotorilor proiectelor. MIE - Digital va elabora concepte și va efectua studii de fezabilitate, care ar putea conduce la proiecte de implementare pentru platformele digitale operaționale paneuropene. Sprijinind geamănul digital securizat cibernetic al rețelei de energie electrică, acestea vor oferi tehnologii digitale și conectivitate pentru modernizarea infrastructurilor energetice și de transport existente cu infrastructura digitală transfrontalieră necesară.</w:t>
      </w:r>
    </w:p>
    <w:p w14:paraId="101BB1D8" w14:textId="15CE5DE2" w:rsidR="00905A79" w:rsidRPr="00AC058C" w:rsidRDefault="414023C8" w:rsidP="006B2FC2">
      <w:pPr>
        <w:rPr>
          <w:noProof/>
          <w:color w:val="000000" w:themeColor="text1"/>
        </w:rPr>
      </w:pPr>
      <w:r w:rsidRPr="00AC058C">
        <w:rPr>
          <w:noProof/>
          <w:color w:val="000000" w:themeColor="text1"/>
        </w:rPr>
        <w:t>În plus, digitalizarea serviciilor administrative naționale și regionale poate contribui la raționalizarea proceselor de autorizare pentru dezvoltarea rețelei</w:t>
      </w:r>
      <w:r w:rsidRPr="00AC058C">
        <w:rPr>
          <w:rStyle w:val="FootnoteReference"/>
          <w:noProof/>
          <w:color w:val="000000" w:themeColor="text1"/>
          <w:lang w:eastAsia="en-US"/>
        </w:rPr>
        <w:footnoteReference w:id="32"/>
      </w:r>
      <w:r w:rsidRPr="00AC058C">
        <w:rPr>
          <w:noProof/>
          <w:color w:val="000000" w:themeColor="text1"/>
        </w:rPr>
        <w:t>, făcând posibilă comunicarea online și sprijinind activitățile autorităților naționale competente și ale punctelor unice de contact care acordă autorizația</w:t>
      </w:r>
      <w:r w:rsidRPr="00AC058C">
        <w:rPr>
          <w:rStyle w:val="FootnoteReference"/>
          <w:noProof/>
          <w:color w:val="000000" w:themeColor="text1"/>
          <w:lang w:eastAsia="en-US"/>
        </w:rPr>
        <w:footnoteReference w:id="33"/>
      </w:r>
      <w:r w:rsidRPr="00AC058C">
        <w:rPr>
          <w:noProof/>
          <w:color w:val="000000" w:themeColor="text1"/>
        </w:rPr>
        <w:t>. Comisia va pune la dispoziție instrumentele de sprijin tehnic pentru acest obiectiv. Statele membre pot solicita, prin intermediul autorităților lor coordonatoare, asistență din partea instrumentelor de sprijin tehnic</w:t>
      </w:r>
      <w:r w:rsidRPr="00AC058C">
        <w:rPr>
          <w:rStyle w:val="FootnoteReference"/>
          <w:noProof/>
          <w:color w:val="000000" w:themeColor="text1"/>
          <w:lang w:eastAsia="en-US"/>
        </w:rPr>
        <w:footnoteReference w:id="34"/>
      </w:r>
      <w:r w:rsidRPr="00AC058C">
        <w:rPr>
          <w:noProof/>
        </w:rPr>
        <w:t>.</w:t>
      </w:r>
      <w:bookmarkStart w:id="29" w:name="_Toc103872593"/>
      <w:bookmarkStart w:id="30" w:name="_Toc74019445"/>
      <w:bookmarkStart w:id="31" w:name="_Toc2106932071"/>
      <w:bookmarkStart w:id="32" w:name="_Toc106053792"/>
    </w:p>
    <w:p w14:paraId="0099B0C2" w14:textId="77777777" w:rsidR="00ED591F" w:rsidRPr="00AC058C" w:rsidRDefault="00ED591F" w:rsidP="00ED591F">
      <w:pPr>
        <w:spacing w:after="0"/>
        <w:rPr>
          <w:noProof/>
          <w:color w:val="000000" w:themeColor="text1"/>
          <w:sz w:val="28"/>
          <w:szCs w:val="22"/>
          <w:lang w:eastAsia="en-US"/>
        </w:rPr>
      </w:pPr>
    </w:p>
    <w:p w14:paraId="118269BD" w14:textId="77777777" w:rsidR="00406149" w:rsidRPr="00AC058C" w:rsidRDefault="65582335" w:rsidP="414B7552">
      <w:pPr>
        <w:rPr>
          <w:b/>
          <w:bCs/>
          <w:smallCaps/>
          <w:noProof/>
        </w:rPr>
      </w:pPr>
      <w:r w:rsidRPr="00AC058C">
        <w:rPr>
          <w:b/>
          <w:smallCaps/>
          <w:noProof/>
        </w:rPr>
        <w:t>4.</w:t>
      </w:r>
      <w:r w:rsidRPr="00AC058C">
        <w:rPr>
          <w:noProof/>
        </w:rPr>
        <w:tab/>
      </w:r>
      <w:r w:rsidRPr="00AC058C">
        <w:rPr>
          <w:b/>
          <w:smallCaps/>
          <w:noProof/>
        </w:rPr>
        <w:t>Beneficii pentru consumatori: noi servicii, competențe și responsabilizare</w:t>
      </w:r>
      <w:bookmarkEnd w:id="29"/>
      <w:bookmarkEnd w:id="30"/>
      <w:bookmarkEnd w:id="31"/>
      <w:bookmarkEnd w:id="32"/>
    </w:p>
    <w:p w14:paraId="531F28F6" w14:textId="115DE8F8" w:rsidR="00BF791A" w:rsidRPr="00AC058C" w:rsidRDefault="00CF2377" w:rsidP="008D6A82">
      <w:pPr>
        <w:rPr>
          <w:noProof/>
          <w:color w:val="000000" w:themeColor="text1"/>
        </w:rPr>
      </w:pPr>
      <w:r w:rsidRPr="00AC058C">
        <w:rPr>
          <w:noProof/>
          <w:color w:val="000000" w:themeColor="text1"/>
        </w:rPr>
        <w:t xml:space="preserve">Consumatorii se află în prima linie și în centrul eforturilor noastre de digitalizare a sistemului energetic. Digitalizarea aduce beneficii gospodăriilor și IMM-urilor sub forma unor servicii inovatoare bazate pe date, care să le permită, de exemplu, să își gestioneze mai bine facturile, să își afle consumul de energie în timp real, să partajeze energia electrică produsă de ei înșiși cu vecinii lor sau să o vândă înapoi pe piață sau să economisească energie (și bani), care este una dintre cele mai ieftine, </w:t>
      </w:r>
      <w:bookmarkStart w:id="33" w:name="_Int_wpuDRe0V"/>
      <w:r w:rsidRPr="00AC058C">
        <w:rPr>
          <w:noProof/>
          <w:color w:val="000000" w:themeColor="text1"/>
        </w:rPr>
        <w:t>mai sigure și</w:t>
      </w:r>
      <w:bookmarkEnd w:id="33"/>
      <w:r w:rsidRPr="00AC058C">
        <w:rPr>
          <w:noProof/>
          <w:color w:val="000000" w:themeColor="text1"/>
        </w:rPr>
        <w:t xml:space="preserve"> mai curate modalități de a aborda prețurile ridicate și de a reduce dependența noastră de importurile de combustibili fosili din Rusia</w:t>
      </w:r>
      <w:r w:rsidRPr="00AC058C">
        <w:rPr>
          <w:noProof/>
        </w:rPr>
        <w:t>.</w:t>
      </w:r>
      <w:r w:rsidRPr="00AC058C">
        <w:rPr>
          <w:noProof/>
          <w:color w:val="000000" w:themeColor="text1"/>
        </w:rPr>
        <w:t xml:space="preserve"> </w:t>
      </w:r>
      <w:r w:rsidRPr="00AC058C">
        <w:rPr>
          <w:noProof/>
        </w:rPr>
        <w:t xml:space="preserve">Incluziunea digitală ar trebui să garanteze că și cetățenii cei mai vulnerabili, cei cu venituri mici și cei care locuiesc în regiuni îndepărtate au acces la noile tehnologii și instrumente digitale la prețuri abordabile și au posibilitatea de a beneficia de digitalizarea sistemului energetic. </w:t>
      </w:r>
    </w:p>
    <w:p w14:paraId="5EF9D9B7" w14:textId="55F78EDC" w:rsidR="00CF72CB" w:rsidRPr="00AC058C" w:rsidRDefault="00D30A37" w:rsidP="1FDFFB5E">
      <w:pPr>
        <w:rPr>
          <w:noProof/>
          <w:color w:val="000000" w:themeColor="text1"/>
        </w:rPr>
      </w:pPr>
      <w:r w:rsidRPr="00AC058C">
        <w:rPr>
          <w:noProof/>
          <w:color w:val="000000" w:themeColor="text1"/>
        </w:rPr>
        <w:t>Informațiile digitale cu privire la consumul de energie al aparatelor (prin intermediul Registrului european al produselor pentru etichetarea energetică</w:t>
      </w:r>
      <w:r w:rsidRPr="00AC058C">
        <w:rPr>
          <w:rStyle w:val="FootnoteReference"/>
          <w:noProof/>
          <w:color w:val="000000" w:themeColor="text1"/>
        </w:rPr>
        <w:footnoteReference w:id="35"/>
      </w:r>
      <w:r w:rsidRPr="00AC058C">
        <w:rPr>
          <w:noProof/>
          <w:color w:val="000000" w:themeColor="text1"/>
        </w:rPr>
        <w:t>) sau la domiciliu (prin contoare inteligente) îi pot ajuta pe consumatori în eforturile lor de a reduce consumul de energie,</w:t>
      </w:r>
      <w:r w:rsidRPr="00AC058C">
        <w:rPr>
          <w:noProof/>
        </w:rPr>
        <w:t xml:space="preserve"> cu condiția ca astfel de instrumente digitale să fie puse la dispoziția tuturor consumatorilor la un preț accesibil.</w:t>
      </w:r>
      <w:r w:rsidRPr="00AC058C">
        <w:rPr>
          <w:noProof/>
          <w:color w:val="000000" w:themeColor="text1"/>
        </w:rPr>
        <w:t xml:space="preserve"> Proiectarea durabilă a dispozitivelor digitale și informarea clară cu privire la amprenta lor de mediu, la posibilitatea de reparare și de reciclare pot contribui la reducerea utilizării materiilor prime și la promovarea tranziției către circularitate. Însă interoperabilitatea este elementul principal. De exemplu, primele rezultate ale proiectului DRIMPAC</w:t>
      </w:r>
      <w:r w:rsidRPr="00AC058C">
        <w:rPr>
          <w:rStyle w:val="FootnoteReference"/>
          <w:noProof/>
          <w:color w:val="000000" w:themeColor="text1"/>
          <w:lang w:eastAsia="en-US"/>
        </w:rPr>
        <w:footnoteReference w:id="36"/>
      </w:r>
      <w:r w:rsidRPr="00AC058C">
        <w:rPr>
          <w:noProof/>
          <w:color w:val="000000" w:themeColor="text1"/>
        </w:rPr>
        <w:t xml:space="preserve"> au arătat că facilitarea participării micilor consumatori de energie la consumul dispecerizabil printr-un cadru unificat de interoperabilitate poate reduce facturile la energie cu 20 %, datorită, printre altele, unei reduceri cu 15 % a consumului de energie.</w:t>
      </w:r>
    </w:p>
    <w:p w14:paraId="7C494386" w14:textId="789FAE87" w:rsidR="002E563A" w:rsidRPr="00AC058C" w:rsidRDefault="002E563A" w:rsidP="002443C6">
      <w:pPr>
        <w:ind w:firstLine="720"/>
        <w:rPr>
          <w:b/>
          <w:bCs/>
          <w:noProof/>
        </w:rPr>
      </w:pPr>
      <w:r w:rsidRPr="00AC058C">
        <w:rPr>
          <w:b/>
          <w:noProof/>
        </w:rPr>
        <w:t>4.1.</w:t>
      </w:r>
      <w:r w:rsidR="00740ED5" w:rsidRPr="00AC058C">
        <w:rPr>
          <w:b/>
          <w:noProof/>
        </w:rPr>
        <w:tab/>
      </w:r>
      <w:r w:rsidRPr="00AC058C">
        <w:rPr>
          <w:b/>
          <w:noProof/>
        </w:rPr>
        <w:t xml:space="preserve">Un cadru juridic care capacitează și protejează consumatorii </w:t>
      </w:r>
    </w:p>
    <w:p w14:paraId="21B05568" w14:textId="044581D7" w:rsidR="00D543A4" w:rsidRPr="00AC058C" w:rsidRDefault="4B4AD990" w:rsidP="0CD0FA79">
      <w:pPr>
        <w:rPr>
          <w:noProof/>
          <w:color w:val="000000" w:themeColor="text1"/>
        </w:rPr>
      </w:pPr>
      <w:r w:rsidRPr="00AC058C">
        <w:rPr>
          <w:noProof/>
          <w:color w:val="000000" w:themeColor="text1"/>
        </w:rPr>
        <w:t>Este esențial să ne asigurăm că digitalizarea nu subminează cadrul de protecție a consumatorilor deja stabilit pe piața internă a energiei electrice. Măsurile de protecție care există offline vor continua să existe online, și anume în era digitală. Aceste măsuri includ dreptul la facturare corectă și condiții contractuale clare, care să fie bine cunoscute în prealabil. De asemenea, potențialul statelor membre de a stabili prețuri reglementate, în special pentru clienții vulnerabili și pentru cei afectați de sărăcia energetică, nu ar trebui să fie afectat negativ de digitalizare.</w:t>
      </w:r>
    </w:p>
    <w:p w14:paraId="04C935A6" w14:textId="142533DF" w:rsidR="00F86ADC" w:rsidRPr="00AC058C" w:rsidRDefault="781AB769" w:rsidP="0CD0FA79">
      <w:pPr>
        <w:rPr>
          <w:rFonts w:eastAsia="Calibri"/>
          <w:noProof/>
          <w:color w:val="000000" w:themeColor="text1"/>
        </w:rPr>
      </w:pPr>
      <w:r w:rsidRPr="00AC058C">
        <w:rPr>
          <w:noProof/>
          <w:color w:val="000000" w:themeColor="text1"/>
        </w:rPr>
        <w:t>Cadrul juridic al UE stabilește drepturile consumatorilor, dar punerea în aplicare se desfășoară lent. Aceasta nu este doar o chestiune de norme de piață detaliate</w:t>
      </w:r>
      <w:r w:rsidRPr="00AC058C">
        <w:rPr>
          <w:rStyle w:val="FootnoteReference"/>
          <w:noProof/>
          <w:color w:val="000000" w:themeColor="text1"/>
          <w:lang w:eastAsia="en-US"/>
        </w:rPr>
        <w:footnoteReference w:id="37"/>
      </w:r>
      <w:r w:rsidRPr="00AC058C">
        <w:rPr>
          <w:noProof/>
          <w:color w:val="000000" w:themeColor="text1"/>
        </w:rPr>
        <w:t>, interoperabilitate sau schimb de date. De asemenea, consumatorii trebuie să poată păstra controlul asupra persoanelor care pot avea acces la datele lor. În temeiul propunerii de act legislativ privind datele</w:t>
      </w:r>
      <w:r w:rsidRPr="00AC058C">
        <w:rPr>
          <w:rStyle w:val="FootnoteReference"/>
          <w:noProof/>
          <w:color w:val="000000" w:themeColor="text1"/>
          <w:lang w:eastAsia="en-US"/>
        </w:rPr>
        <w:footnoteReference w:id="38"/>
      </w:r>
      <w:r w:rsidRPr="00AC058C">
        <w:rPr>
          <w:noProof/>
          <w:color w:val="000000" w:themeColor="text1"/>
        </w:rPr>
        <w:t xml:space="preserve">, partajarea de date necesită consimțământul consumatorului pentru accesul părților terțe la datele sale. Acest lucru este esențial pentru asigurarea încrederii, </w:t>
      </w:r>
      <w:bookmarkStart w:id="34" w:name="_Int_98Jw4NaL"/>
      <w:r w:rsidRPr="00AC058C">
        <w:rPr>
          <w:noProof/>
          <w:color w:val="000000" w:themeColor="text1"/>
        </w:rPr>
        <w:t>a libertății de alegere</w:t>
      </w:r>
      <w:bookmarkEnd w:id="34"/>
      <w:r w:rsidRPr="00AC058C">
        <w:rPr>
          <w:noProof/>
          <w:color w:val="000000" w:themeColor="text1"/>
        </w:rPr>
        <w:t xml:space="preserve"> și a vieții private a consumatorilor, în conformitate cu principiile și obiectivele stabilite în propunerea de Declarație europeană privind drepturile și principiile digitale pentru deceniul digital</w:t>
      </w:r>
      <w:r w:rsidRPr="00AC058C">
        <w:rPr>
          <w:rStyle w:val="FootnoteReference"/>
          <w:noProof/>
          <w:color w:val="000000" w:themeColor="text1"/>
          <w:lang w:eastAsia="en-US"/>
        </w:rPr>
        <w:footnoteReference w:id="39"/>
      </w:r>
      <w:r w:rsidRPr="00AC058C">
        <w:rPr>
          <w:noProof/>
        </w:rPr>
        <w:t>.</w:t>
      </w:r>
    </w:p>
    <w:p w14:paraId="361BE3FE" w14:textId="5750D8D5" w:rsidR="00D73B92" w:rsidRPr="00AC058C" w:rsidRDefault="6025FC54" w:rsidP="00D73B92">
      <w:pPr>
        <w:rPr>
          <w:rFonts w:eastAsia="Calibri"/>
          <w:noProof/>
          <w:color w:val="000000" w:themeColor="text1"/>
        </w:rPr>
      </w:pPr>
      <w:r w:rsidRPr="00AC058C">
        <w:rPr>
          <w:noProof/>
          <w:color w:val="000000" w:themeColor="text1"/>
        </w:rPr>
        <w:t>Protecția consumatorilor trebuie să fie asigurată în mod adecvat, în contextul digitalizării sectorului energetic. Acest lucru este deosebit de relevant în ceea ce privește practicile c</w:t>
      </w:r>
      <w:r w:rsidRPr="00AC058C">
        <w:rPr>
          <w:noProof/>
        </w:rPr>
        <w:t xml:space="preserve">omerciale bazate pe date care ar putea exploata prejudecățile comportamentale ale consumatorilor sau i-ar împiedica în alt mod să facă alegeri în cunoștință de cauză. </w:t>
      </w:r>
      <w:r w:rsidRPr="00AC058C">
        <w:rPr>
          <w:noProof/>
          <w:color w:val="000000" w:themeColor="text1"/>
        </w:rPr>
        <w:t xml:space="preserve">Directiva privind energia electrică abordează problema drepturilor consumatorilor în ceea ce privește pachetele de produse sau servicii. </w:t>
      </w:r>
      <w:r w:rsidRPr="00AC058C">
        <w:rPr>
          <w:noProof/>
        </w:rPr>
        <w:t>Legislația generală a UE în materie de protecție a consumatorilor, precum Directiva privind practicile</w:t>
      </w:r>
      <w:r w:rsidRPr="00AC058C">
        <w:rPr>
          <w:b/>
          <w:noProof/>
        </w:rPr>
        <w:t xml:space="preserve"> </w:t>
      </w:r>
      <w:r w:rsidRPr="00AC058C">
        <w:rPr>
          <w:noProof/>
        </w:rPr>
        <w:t>comerciale neloiale</w:t>
      </w:r>
      <w:r w:rsidRPr="00AC058C">
        <w:rPr>
          <w:noProof/>
          <w:vertAlign w:val="superscript"/>
        </w:rPr>
        <w:footnoteReference w:id="40"/>
      </w:r>
      <w:r w:rsidRPr="00AC058C">
        <w:rPr>
          <w:noProof/>
        </w:rPr>
        <w:t>, Directiva privind drepturile consumatorilor</w:t>
      </w:r>
      <w:r w:rsidRPr="00AC058C">
        <w:rPr>
          <w:noProof/>
          <w:vertAlign w:val="superscript"/>
        </w:rPr>
        <w:footnoteReference w:id="41"/>
      </w:r>
      <w:r w:rsidRPr="00AC058C">
        <w:rPr>
          <w:noProof/>
        </w:rPr>
        <w:t xml:space="preserve"> și Directiva privind clauzele abuzive în contractele încheiate cu consumatorii</w:t>
      </w:r>
      <w:r w:rsidRPr="00AC058C">
        <w:rPr>
          <w:noProof/>
          <w:vertAlign w:val="superscript"/>
        </w:rPr>
        <w:footnoteReference w:id="42"/>
      </w:r>
      <w:r w:rsidRPr="00AC058C">
        <w:rPr>
          <w:noProof/>
        </w:rPr>
        <w:t xml:space="preserve">, urmărește să garanteze că consumatorii au acces la informații clare și nu sunt expuși unor practici comerciale înșelătoare sau agresive online și offline. Pentru a se asigura că actualul cadru juridic rămâne adecvat scopului, Comisia a lansat o </w:t>
      </w:r>
      <w:r w:rsidRPr="00AC058C">
        <w:rPr>
          <w:b/>
          <w:noProof/>
        </w:rPr>
        <w:t>verificare a adecvării legislației UE în materie de protecție a consumatorilor privind echitatea digitală</w:t>
      </w:r>
      <w:r w:rsidRPr="00AC058C">
        <w:rPr>
          <w:noProof/>
        </w:rPr>
        <w:t>. Această evaluare va examina dacă normele existente abordează în mod adecvat aspecte care sunt, de asemenea, relevante într-un sector energetic mai digitalizat, cum ar fi vulnerabilitățile consumatorilor în mediul digital, manipularea libertății de alegere, dificultățile legate de anularea contractelor etc.</w:t>
      </w:r>
    </w:p>
    <w:p w14:paraId="67065413" w14:textId="77777777" w:rsidR="001A6D97" w:rsidRPr="00AC058C" w:rsidRDefault="6B6F7C03" w:rsidP="002443C6">
      <w:pPr>
        <w:ind w:firstLine="720"/>
        <w:rPr>
          <w:b/>
          <w:bCs/>
          <w:noProof/>
        </w:rPr>
      </w:pPr>
      <w:r w:rsidRPr="00AC058C">
        <w:rPr>
          <w:b/>
          <w:noProof/>
        </w:rPr>
        <w:t>4.2.</w:t>
      </w:r>
      <w:r w:rsidRPr="00AC058C">
        <w:rPr>
          <w:noProof/>
        </w:rPr>
        <w:tab/>
      </w:r>
      <w:r w:rsidRPr="00AC058C">
        <w:rPr>
          <w:b/>
          <w:noProof/>
        </w:rPr>
        <w:t>Instrumente digitale concepute pentru și împreună cu consumatorii</w:t>
      </w:r>
    </w:p>
    <w:p w14:paraId="78D43DB5" w14:textId="59FA3A92" w:rsidR="000F4C85" w:rsidRPr="00AC058C" w:rsidRDefault="7786563A" w:rsidP="48CB7990">
      <w:pPr>
        <w:rPr>
          <w:rFonts w:eastAsia="Calibri"/>
          <w:noProof/>
          <w:color w:val="000000" w:themeColor="text1"/>
        </w:rPr>
      </w:pPr>
      <w:r w:rsidRPr="00AC058C">
        <w:rPr>
          <w:noProof/>
          <w:color w:val="000000" w:themeColor="text1"/>
        </w:rPr>
        <w:t>În 2021, doar 54 % dintre persoane</w:t>
      </w:r>
      <w:r w:rsidRPr="00AC058C">
        <w:rPr>
          <w:noProof/>
          <w:color w:val="000000" w:themeColor="text1"/>
          <w:vertAlign w:val="superscript"/>
        </w:rPr>
        <w:t xml:space="preserve"> </w:t>
      </w:r>
      <w:r w:rsidRPr="00AC058C">
        <w:rPr>
          <w:noProof/>
          <w:color w:val="000000" w:themeColor="text1"/>
        </w:rPr>
        <w:t>dețineau competențe digitale de bază</w:t>
      </w:r>
      <w:r w:rsidRPr="00AC058C">
        <w:rPr>
          <w:rStyle w:val="FootnoteReference"/>
          <w:noProof/>
          <w:color w:val="000000" w:themeColor="text1"/>
          <w:lang w:eastAsia="en-US"/>
        </w:rPr>
        <w:footnoteReference w:id="43"/>
      </w:r>
      <w:r w:rsidRPr="00AC058C">
        <w:rPr>
          <w:noProof/>
        </w:rPr>
        <w:t xml:space="preserve"> </w:t>
      </w:r>
      <w:r w:rsidRPr="00AC058C">
        <w:rPr>
          <w:noProof/>
          <w:color w:val="000000" w:themeColor="text1"/>
        </w:rPr>
        <w:t>dar, pe o piață a energiei digitalizată, multe alte persoane vor avea nevoie de aceste competențe. Aceste competențe le vor ajuta să facă alegeri în cunoștință de cauză și să se asigure că nu pierd șanse de a deveni mai competitivi sau de a reduce costurile energiei. De exemplu, deținerea de competențe digitale va ajuta IMM-urile și gospodăriile să înțeleagă modul în care să se implice în consumul dispecerizabil, cum să își optimizeze consumul propriu de energie electrică produsă la fața locului sau ce implică încărcarea unui vehicul electric</w:t>
      </w:r>
      <w:r w:rsidR="00740ED5" w:rsidRPr="00AC058C">
        <w:rPr>
          <w:noProof/>
        </w:rPr>
        <w:t>.</w:t>
      </w:r>
    </w:p>
    <w:p w14:paraId="01503CAC" w14:textId="39338F3D" w:rsidR="0029116A" w:rsidRPr="00AC058C" w:rsidRDefault="005C09BE" w:rsidP="00070E9F">
      <w:pPr>
        <w:rPr>
          <w:noProof/>
        </w:rPr>
      </w:pPr>
      <w:r w:rsidRPr="00AC058C">
        <w:rPr>
          <w:noProof/>
          <w:color w:val="000000" w:themeColor="text1"/>
        </w:rPr>
        <w:t xml:space="preserve">Nu toți consumatorii pot sau sunt interesați să participe la tranziția energetică în același mod sau cu același grad de implicare. Prin urmare, este important ca nimeni să nu fie lăsat în urmă în tranziția digitală și, astfel, să se creeze instrumente digitale axate pe consumatori, concepute pentru a răspunde nevoilor, competențelor, condițiilor, obiceiurilor și așteptărilor diferitelor categorii de participanți pe piață. </w:t>
      </w:r>
      <w:r w:rsidRPr="00AC058C">
        <w:rPr>
          <w:noProof/>
          <w:color w:val="000000" w:themeColor="text1"/>
          <w:u w:val="single"/>
        </w:rPr>
        <w:t>Instrumentele create ar trebui să reflecte realitatea schimbărilor demografice, cu un număr tot mai mare de consumatori în vârstă, care trebuie sprijiniți în mod specific în tranziția digitală.</w:t>
      </w:r>
    </w:p>
    <w:p w14:paraId="7E3445F5" w14:textId="36266597" w:rsidR="00F86ADC" w:rsidRPr="00AC058C" w:rsidRDefault="006E0342" w:rsidP="48CB7990">
      <w:pPr>
        <w:rPr>
          <w:rFonts w:eastAsia="Calibri"/>
          <w:noProof/>
          <w:color w:val="000000" w:themeColor="text1"/>
        </w:rPr>
      </w:pPr>
      <w:r w:rsidRPr="00AC058C">
        <w:rPr>
          <w:noProof/>
          <w:color w:val="000000" w:themeColor="text1"/>
        </w:rPr>
        <w:t>Comisia a lansat recent, în cadrul Grupului operativ privind rețelele inteligente, o nouă activitate pentru a investiga în continuare implicarea potențială a consumatorilor în ceea ce privește instrumentele și tehnologiile digitale și pentru a recomanda acțiuni de consolidare a rolului pe care flexibilitatea și capacitarea consumatorilor îl joacă pe piața energiei</w:t>
      </w:r>
      <w:r w:rsidRPr="00AC058C">
        <w:rPr>
          <w:noProof/>
        </w:rPr>
        <w:t xml:space="preserve">. </w:t>
      </w:r>
      <w:r w:rsidRPr="00AC058C">
        <w:rPr>
          <w:noProof/>
          <w:color w:val="000000" w:themeColor="text1"/>
        </w:rPr>
        <w:t xml:space="preserve">Pentru a sprijini această nouă activitate, </w:t>
      </w:r>
      <w:r w:rsidRPr="00AC058C">
        <w:rPr>
          <w:b/>
          <w:noProof/>
          <w:color w:val="000000" w:themeColor="text1"/>
        </w:rPr>
        <w:t>Comisia Europeană se va asigura că principalele proiecte de cercetare și inovare colaborează pentru a identifica – până la jumătatea anului 2023</w:t>
      </w:r>
      <w:r w:rsidRPr="00AC058C">
        <w:rPr>
          <w:noProof/>
          <w:color w:val="000000" w:themeColor="text1"/>
        </w:rPr>
        <w:t xml:space="preserve"> – </w:t>
      </w:r>
      <w:r w:rsidRPr="00AC058C">
        <w:rPr>
          <w:b/>
          <w:noProof/>
          <w:color w:val="000000" w:themeColor="text1"/>
        </w:rPr>
        <w:t>strategii de implicare a consumatorilor în conceperea și utilizarea unor instrumente digitale accesibile și cu un preț convenabil</w:t>
      </w:r>
      <w:r w:rsidRPr="00AC058C">
        <w:rPr>
          <w:noProof/>
          <w:color w:val="000000" w:themeColor="text1"/>
        </w:rPr>
        <w:t xml:space="preserve"> și pentru a identifica indicatori de evaluare a implicării în timp.</w:t>
      </w:r>
    </w:p>
    <w:p w14:paraId="2866EE1A" w14:textId="13CC1385" w:rsidR="004D22F3" w:rsidRPr="00AC058C" w:rsidRDefault="004D22F3" w:rsidP="00450D26">
      <w:pPr>
        <w:rPr>
          <w:rFonts w:eastAsia="Calibri"/>
          <w:noProof/>
          <w:color w:val="000000" w:themeColor="text1"/>
        </w:rPr>
      </w:pPr>
      <w:r w:rsidRPr="00AC058C">
        <w:rPr>
          <w:rStyle w:val="normaltextrun"/>
          <w:noProof/>
        </w:rPr>
        <w:t>În colaborare cu statele membre, Comisia Europeană va elabora, de asemenea, până în 2023, un cadru comun de referință care să includă o implementare de referință cu sursă deschisă pentru o aplicație pentru consumatori, care să le permită să realizeze reduceri voluntare ale consumului de energie și care să le ajute să își reducă costurile cu energia. Acest lucru va conduce la o aplicație de referință standardizată care va fi dezvoltată în strânsă colaborare cu furnizorii de energie și se va baza pe aplicațiile și serviciile deja disponibile pe piață.</w:t>
      </w:r>
      <w:r w:rsidRPr="00AC058C">
        <w:rPr>
          <w:rStyle w:val="eop"/>
          <w:noProof/>
        </w:rPr>
        <w:t xml:space="preserve"> </w:t>
      </w:r>
    </w:p>
    <w:p w14:paraId="648D3F6C" w14:textId="30080554" w:rsidR="004D22F3" w:rsidRPr="00AC058C" w:rsidRDefault="004D22F3" w:rsidP="00450D26">
      <w:pPr>
        <w:pStyle w:val="paragraph"/>
        <w:spacing w:before="0" w:beforeAutospacing="0" w:after="0" w:afterAutospacing="0"/>
        <w:jc w:val="both"/>
        <w:textAlignment w:val="baseline"/>
        <w:rPr>
          <w:rStyle w:val="eop"/>
          <w:noProof/>
        </w:rPr>
      </w:pPr>
      <w:r w:rsidRPr="00AC058C">
        <w:rPr>
          <w:rStyle w:val="normaltextrun"/>
          <w:noProof/>
        </w:rPr>
        <w:t>Pe această bază, statele membre vor fi încurajate să pună la dispoziție astfel de aplicații pentru a oferi consumatorilor ponturi și sfaturi mai personalizate privind economiile de energie, bazate pe informații generice despre diferite aparate, precum și pe date privind consumul și condițiile meteorologice disponibile la nivel local. Aceste aplicații le-ar putea oferi, de asemenea, toate informațiile necesare pentru a face față crizelor energetice (de exemplu, sprijin financiar, servicii de consiliere sau sprijin în caz de litigii cu furnizorii de energie). Pe măsură ce evoluează, nivelul de inteligență al unor astfel de aplicații va crește prin utilizarea de date exacte cu privire la consumul individual și colectiv de energie electrică obținut de la dispozitivele electrocasnice inteligente, de la prizele inteligente, de la contoarele inteligente și de la alte dispozitive inteligente de monitorizare și măsurare, precum și prin încorporarea inteligenței artificiale. Pentru dezvoltarea unor astfel de aplicații, Comisia Europeană va pune la dispoziție fonduri prin intermediul programului Europa digitală, pe baza cadrului de referință elabo</w:t>
      </w:r>
      <w:r w:rsidR="00AC058C" w:rsidRPr="00AC058C">
        <w:rPr>
          <w:rStyle w:val="normaltextrun"/>
          <w:noProof/>
        </w:rPr>
        <w:t>rat împreună cu statele membre.</w:t>
      </w:r>
    </w:p>
    <w:p w14:paraId="7C58D502" w14:textId="77777777" w:rsidR="000B6CD4" w:rsidRPr="00AC058C" w:rsidRDefault="000B6CD4" w:rsidP="00450D26">
      <w:pPr>
        <w:pStyle w:val="paragraph"/>
        <w:spacing w:before="0" w:beforeAutospacing="0" w:after="0" w:afterAutospacing="0"/>
        <w:jc w:val="both"/>
        <w:textAlignment w:val="baseline"/>
        <w:rPr>
          <w:rFonts w:ascii="Segoe UI" w:hAnsi="Segoe UI" w:cs="Segoe UI"/>
          <w:noProof/>
          <w:sz w:val="18"/>
          <w:szCs w:val="18"/>
        </w:rPr>
      </w:pPr>
    </w:p>
    <w:p w14:paraId="366CC00B" w14:textId="77777777" w:rsidR="00450DC8" w:rsidRPr="00AC058C" w:rsidRDefault="00572BE7" w:rsidP="00B33E58">
      <w:pPr>
        <w:ind w:firstLine="720"/>
        <w:rPr>
          <w:b/>
          <w:noProof/>
        </w:rPr>
      </w:pPr>
      <w:bookmarkStart w:id="35" w:name="_Toc103872594"/>
      <w:bookmarkStart w:id="36" w:name="_Toc105777784"/>
      <w:bookmarkStart w:id="37" w:name="_Toc106053793"/>
      <w:bookmarkStart w:id="38" w:name="_Toc1970391800"/>
      <w:bookmarkStart w:id="39" w:name="_Toc1996261225"/>
      <w:r w:rsidRPr="00AC058C">
        <w:rPr>
          <w:b/>
          <w:noProof/>
        </w:rPr>
        <w:t>4.3.</w:t>
      </w:r>
      <w:r w:rsidRPr="00AC058C">
        <w:rPr>
          <w:noProof/>
        </w:rPr>
        <w:tab/>
      </w:r>
      <w:r w:rsidRPr="00AC058C">
        <w:rPr>
          <w:b/>
          <w:noProof/>
        </w:rPr>
        <w:t>Comunitățile de energie și inițiativele locale în domeniul energiei</w:t>
      </w:r>
      <w:bookmarkEnd w:id="35"/>
      <w:bookmarkEnd w:id="36"/>
      <w:bookmarkEnd w:id="37"/>
      <w:r w:rsidRPr="00AC058C">
        <w:rPr>
          <w:b/>
          <w:noProof/>
        </w:rPr>
        <w:t xml:space="preserve"> </w:t>
      </w:r>
      <w:bookmarkEnd w:id="38"/>
      <w:bookmarkEnd w:id="39"/>
    </w:p>
    <w:p w14:paraId="05102491" w14:textId="547626B5" w:rsidR="005C608A" w:rsidRPr="00AC058C" w:rsidRDefault="008F1764" w:rsidP="005C608A">
      <w:pPr>
        <w:rPr>
          <w:noProof/>
          <w:color w:val="000000" w:themeColor="text1"/>
        </w:rPr>
      </w:pPr>
      <w:r w:rsidRPr="00AC058C">
        <w:rPr>
          <w:noProof/>
          <w:color w:val="000000" w:themeColor="text1"/>
        </w:rPr>
        <w:t xml:space="preserve">Instrumentele digitale joacă un rol important în dezvoltarea sistemelor colective de autoconsum și a comunităților de energie. Sistemele colective de energie care implică în totalitate o comunitate, un sat sau un oraș pot permite acestor consumatori să se conecteze și să își extindă în mod colectiv potențiala interacțiune cu sistemul electroenergetic. De exemplu, astfel de sisteme ar putea permite unei comunități: (i) să monitorizeze mai bine performanța comunității în ceea ce privește consumul de energie sau (ii) să partajeze panouri solare sau să se implice în alt fel în utilizarea în comun a energiei sau în tranzacționarea </w:t>
      </w:r>
      <w:r w:rsidRPr="00AC058C">
        <w:rPr>
          <w:i/>
          <w:noProof/>
          <w:color w:val="000000" w:themeColor="text1"/>
        </w:rPr>
        <w:t>inter pares</w:t>
      </w:r>
      <w:r w:rsidRPr="00AC058C">
        <w:rPr>
          <w:noProof/>
          <w:color w:val="000000" w:themeColor="text1"/>
        </w:rPr>
        <w:t xml:space="preserve"> a energiei electrice produse în cadrul unor proiecte de investiții comune, ceea ce le poate face mai puțin dependente de prețurile ridicate ale energiei electrice stabilite pe piața angro. Comisia va încerca să utilizeze în mod optim instrumentele digitale pentru a sprijini comunitățile de energie și sistemele pentru consumul local de energie electrică produsă la nivel local. Comisia va încerca, de asemenea, să promoveze schimbul de cunoștințe privind instrumentele digitale existente, </w:t>
      </w:r>
      <w:r w:rsidRPr="00AC058C">
        <w:rPr>
          <w:noProof/>
          <w:color w:val="000000" w:themeColor="text1"/>
          <w:u w:val="single"/>
        </w:rPr>
        <w:t>cu programe adaptate nevoilor diferitelor grupuri demografice</w:t>
      </w:r>
      <w:r w:rsidRPr="00AC058C">
        <w:rPr>
          <w:noProof/>
          <w:color w:val="000000" w:themeColor="text1"/>
        </w:rPr>
        <w:t xml:space="preserve">. Pentru a atinge aceste obiective, Comisia: </w:t>
      </w:r>
    </w:p>
    <w:p w14:paraId="5757757D" w14:textId="20A23A74" w:rsidR="00317B83" w:rsidRPr="00AC058C" w:rsidRDefault="38AC5CCE" w:rsidP="2DEA7F00">
      <w:pPr>
        <w:pStyle w:val="ListParagraph"/>
        <w:numPr>
          <w:ilvl w:val="0"/>
          <w:numId w:val="116"/>
        </w:numPr>
        <w:jc w:val="both"/>
        <w:rPr>
          <w:noProof/>
          <w:color w:val="000000" w:themeColor="text1"/>
        </w:rPr>
      </w:pPr>
      <w:r w:rsidRPr="00AC058C">
        <w:rPr>
          <w:rStyle w:val="normaltextrun"/>
          <w:noProof/>
          <w:color w:val="000000" w:themeColor="text1"/>
          <w:shd w:val="clear" w:color="auto" w:fill="FFFFFF"/>
        </w:rPr>
        <w:t xml:space="preserve">În </w:t>
      </w:r>
      <w:r w:rsidRPr="00AC058C">
        <w:rPr>
          <w:noProof/>
        </w:rPr>
        <w:t>cadrul</w:t>
      </w:r>
      <w:r w:rsidRPr="00AC058C">
        <w:rPr>
          <w:rStyle w:val="normaltextrun"/>
          <w:noProof/>
          <w:color w:val="000000" w:themeColor="text1"/>
          <w:shd w:val="clear" w:color="auto" w:fill="FFFFFF"/>
        </w:rPr>
        <w:t xml:space="preserve"> proiectului „Energy Communities Repository” (Registrul comunităților de energie), </w:t>
      </w:r>
      <w:r w:rsidRPr="00AC058C">
        <w:rPr>
          <w:rStyle w:val="normaltextrun"/>
          <w:b/>
          <w:noProof/>
          <w:color w:val="000000" w:themeColor="text1"/>
          <w:shd w:val="clear" w:color="auto" w:fill="FFFFFF"/>
        </w:rPr>
        <w:t>va identifica și va întocmi o listă scurtă a instrumentelor digitale</w:t>
      </w:r>
      <w:r w:rsidRPr="00AC058C">
        <w:rPr>
          <w:rStyle w:val="normaltextrun"/>
          <w:noProof/>
          <w:color w:val="000000" w:themeColor="text1"/>
          <w:shd w:val="clear" w:color="auto" w:fill="FFFFFF"/>
        </w:rPr>
        <w:t xml:space="preserve"> și </w:t>
      </w:r>
      <w:r w:rsidRPr="00AC058C">
        <w:rPr>
          <w:rStyle w:val="normaltextrun"/>
          <w:b/>
          <w:noProof/>
          <w:color w:val="000000" w:themeColor="text1"/>
          <w:shd w:val="clear" w:color="auto" w:fill="FFFFFF"/>
        </w:rPr>
        <w:t xml:space="preserve">va elabora orientări privind acordurile de utilizare în comun a energiei și de schimb de energie </w:t>
      </w:r>
      <w:r w:rsidRPr="00AC058C">
        <w:rPr>
          <w:rStyle w:val="normaltextrun"/>
          <w:b/>
          <w:i/>
          <w:noProof/>
          <w:color w:val="000000" w:themeColor="text1"/>
          <w:shd w:val="clear" w:color="auto" w:fill="FFFFFF"/>
        </w:rPr>
        <w:t>inter pares</w:t>
      </w:r>
      <w:r w:rsidRPr="00AC058C">
        <w:rPr>
          <w:rStyle w:val="normaltextrun"/>
          <w:b/>
          <w:noProof/>
          <w:color w:val="000000" w:themeColor="text1"/>
          <w:shd w:val="clear" w:color="auto" w:fill="FFFFFF"/>
        </w:rPr>
        <w:t xml:space="preserve">. </w:t>
      </w:r>
      <w:r w:rsidRPr="00AC058C">
        <w:rPr>
          <w:rStyle w:val="normaltextrun"/>
          <w:noProof/>
          <w:color w:val="000000" w:themeColor="text1"/>
          <w:shd w:val="clear" w:color="auto" w:fill="FFFFFF"/>
        </w:rPr>
        <w:t xml:space="preserve">Aceste instrumente și prezentele orientări vor îmbunătăți înțelegerea și competențele responsabililor de elaborarea politicilor, </w:t>
      </w:r>
      <w:bookmarkStart w:id="40" w:name="_Int_Heqa7dBO"/>
      <w:r w:rsidRPr="00AC058C">
        <w:rPr>
          <w:rStyle w:val="normaltextrun"/>
          <w:noProof/>
          <w:color w:val="000000" w:themeColor="text1"/>
          <w:shd w:val="clear" w:color="auto" w:fill="FFFFFF"/>
        </w:rPr>
        <w:t>ale autorităților de reglementare</w:t>
      </w:r>
      <w:bookmarkEnd w:id="40"/>
      <w:r w:rsidRPr="00AC058C">
        <w:rPr>
          <w:rStyle w:val="normaltextrun"/>
          <w:noProof/>
          <w:color w:val="000000" w:themeColor="text1"/>
          <w:shd w:val="clear" w:color="auto" w:fill="FFFFFF"/>
        </w:rPr>
        <w:t xml:space="preserve"> și ale comunităților locale, astfel încât acestea să poată dezvolta și sprijini </w:t>
      </w:r>
      <w:bookmarkStart w:id="41" w:name="_Int_AADWQK4b"/>
      <w:r w:rsidRPr="00AC058C">
        <w:rPr>
          <w:rStyle w:val="normaltextrun"/>
          <w:noProof/>
          <w:color w:val="000000" w:themeColor="text1"/>
          <w:shd w:val="clear" w:color="auto" w:fill="FFFFFF"/>
        </w:rPr>
        <w:t xml:space="preserve">modelele de afaceri bazate pe tehnologia informației și comunicațiilor (TIC) </w:t>
      </w:r>
      <w:bookmarkEnd w:id="41"/>
      <w:r w:rsidRPr="00AC058C">
        <w:rPr>
          <w:rStyle w:val="normaltextrun"/>
          <w:noProof/>
          <w:color w:val="000000" w:themeColor="text1"/>
          <w:shd w:val="clear" w:color="auto" w:fill="FFFFFF"/>
        </w:rPr>
        <w:t>ș</w:t>
      </w:r>
      <w:r w:rsidR="00740ED5" w:rsidRPr="00AC058C">
        <w:rPr>
          <w:rStyle w:val="normaltextrun"/>
          <w:noProof/>
          <w:color w:val="000000" w:themeColor="text1"/>
          <w:shd w:val="clear" w:color="auto" w:fill="FFFFFF"/>
        </w:rPr>
        <w:t>i pe date.</w:t>
      </w:r>
    </w:p>
    <w:p w14:paraId="514319B2" w14:textId="61F96B07" w:rsidR="00F161A9" w:rsidRPr="00AC058C" w:rsidRDefault="00A74E03" w:rsidP="00417ED2">
      <w:pPr>
        <w:pStyle w:val="ListParagraph"/>
        <w:numPr>
          <w:ilvl w:val="0"/>
          <w:numId w:val="116"/>
        </w:numPr>
        <w:jc w:val="both"/>
        <w:rPr>
          <w:noProof/>
          <w:color w:val="000000" w:themeColor="text1"/>
        </w:rPr>
      </w:pPr>
      <w:r w:rsidRPr="00AC058C">
        <w:rPr>
          <w:b/>
          <w:noProof/>
          <w:color w:val="000000" w:themeColor="text1"/>
        </w:rPr>
        <w:t>Va dezvolta o platformă de experimentare, prima de acest tip</w:t>
      </w:r>
      <w:r w:rsidRPr="00AC058C">
        <w:rPr>
          <w:noProof/>
          <w:color w:val="000000" w:themeColor="text1"/>
        </w:rPr>
        <w:t xml:space="preserve"> pentru a testa și a simula comunitățile energetice în combinație cu activități inovatoare, cum ar fi tranzacționarea energiei cu ajutorul tehnologiei blockchain. Această platformă de experimentare ar putea contribui, de asemenea, la o mai bună înțelegere a răspunsurilor comportamentale la semnalele de preț pentru a optimiza beneficiile pentru comunități și a identifica potențialele bariere juridice, de reglementare, </w:t>
      </w:r>
      <w:bookmarkStart w:id="42" w:name="_Int_me7kiUVs"/>
      <w:r w:rsidRPr="00AC058C">
        <w:rPr>
          <w:noProof/>
          <w:color w:val="000000" w:themeColor="text1"/>
        </w:rPr>
        <w:t>fiscale</w:t>
      </w:r>
      <w:bookmarkEnd w:id="42"/>
      <w:r w:rsidRPr="00AC058C">
        <w:rPr>
          <w:noProof/>
          <w:color w:val="000000" w:themeColor="text1"/>
        </w:rPr>
        <w:t xml:space="preserve"> sau tehnice</w:t>
      </w:r>
      <w:r w:rsidRPr="00AC058C">
        <w:rPr>
          <w:noProof/>
        </w:rPr>
        <w:t>.</w:t>
      </w:r>
      <w:r w:rsidRPr="00AC058C">
        <w:rPr>
          <w:noProof/>
          <w:color w:val="000000" w:themeColor="text1"/>
        </w:rPr>
        <w:t xml:space="preserve"> </w:t>
      </w:r>
    </w:p>
    <w:p w14:paraId="163DA0FA" w14:textId="77777777" w:rsidR="00A97D30" w:rsidRPr="00AC058C" w:rsidRDefault="00A97D30">
      <w:pPr>
        <w:rPr>
          <w:noProof/>
          <w:color w:val="000000" w:themeColor="text1"/>
        </w:rPr>
      </w:pPr>
    </w:p>
    <w:p w14:paraId="55554C18" w14:textId="77777777" w:rsidR="00742EFD" w:rsidRPr="00AC058C" w:rsidRDefault="3AC0DCEE" w:rsidP="002443C6">
      <w:pPr>
        <w:ind w:firstLine="720"/>
        <w:rPr>
          <w:b/>
          <w:bCs/>
          <w:noProof/>
        </w:rPr>
      </w:pPr>
      <w:bookmarkStart w:id="43" w:name="_Toc103872595"/>
      <w:bookmarkStart w:id="44" w:name="_Toc105777785"/>
      <w:bookmarkStart w:id="45" w:name="_Toc106053794"/>
      <w:bookmarkStart w:id="46" w:name="_Toc61978171"/>
      <w:bookmarkStart w:id="47" w:name="_Toc1838977823"/>
      <w:r w:rsidRPr="00AC058C">
        <w:rPr>
          <w:b/>
          <w:noProof/>
        </w:rPr>
        <w:t>4.4</w:t>
      </w:r>
      <w:r w:rsidRPr="00AC058C">
        <w:rPr>
          <w:noProof/>
        </w:rPr>
        <w:tab/>
      </w:r>
      <w:r w:rsidRPr="00AC058C">
        <w:rPr>
          <w:b/>
          <w:noProof/>
        </w:rPr>
        <w:t>O forță de muncă calificată pentru a accelera tranziția digitală.</w:t>
      </w:r>
      <w:bookmarkEnd w:id="43"/>
      <w:bookmarkEnd w:id="44"/>
      <w:bookmarkEnd w:id="45"/>
      <w:r w:rsidRPr="00AC058C">
        <w:rPr>
          <w:b/>
          <w:noProof/>
        </w:rPr>
        <w:t xml:space="preserve"> </w:t>
      </w:r>
      <w:bookmarkEnd w:id="46"/>
      <w:bookmarkEnd w:id="47"/>
    </w:p>
    <w:p w14:paraId="6C66CDCA" w14:textId="57EB7EE5" w:rsidR="004D22F3" w:rsidRPr="00AC058C" w:rsidRDefault="3EDBC9A4" w:rsidP="004D22F3">
      <w:pPr>
        <w:rPr>
          <w:noProof/>
          <w:color w:val="000000" w:themeColor="text1"/>
        </w:rPr>
      </w:pPr>
      <w:r w:rsidRPr="00AC058C">
        <w:rPr>
          <w:noProof/>
          <w:color w:val="000000" w:themeColor="text1"/>
        </w:rPr>
        <w:t>Există riscul ca noile servicii bazate pe date și soluțiile tehnologice inovatoare să nu fie puse în aplicare suficient de rapid dacă nu există suficienți lucrători calificați și profesioniști formați pentru a contribui la punerea în aplicare a acestora</w:t>
      </w:r>
      <w:r w:rsidRPr="00AC058C">
        <w:rPr>
          <w:noProof/>
          <w:color w:val="000000" w:themeColor="text1"/>
          <w:vertAlign w:val="superscript"/>
        </w:rPr>
        <w:footnoteReference w:id="44"/>
      </w:r>
      <w:r w:rsidRPr="00AC058C">
        <w:rPr>
          <w:noProof/>
          <w:color w:val="000000" w:themeColor="text1"/>
        </w:rPr>
        <w:t>. Integrarea aspectelor legate de tranziția energetică în sistemul tradițional de învățământ și formare profesională reprezintă o provocare în întreaga UE. Acest lucru ar putea împiedica implementarea tehnologiilor energetice curate, precum și creșterea și competitivitatea sectorului.</w:t>
      </w:r>
      <w:r w:rsidRPr="00AC058C">
        <w:rPr>
          <w:noProof/>
          <w:color w:val="000000" w:themeColor="text1"/>
          <w:sz w:val="19"/>
          <w:vertAlign w:val="superscript"/>
        </w:rPr>
        <w:t xml:space="preserve"> </w:t>
      </w:r>
      <w:r w:rsidRPr="00AC058C">
        <w:rPr>
          <w:noProof/>
          <w:color w:val="000000" w:themeColor="text1"/>
        </w:rPr>
        <w:t>În conformitate cu Agenda pentru competențe pentru 2020, cu Recomandarea Consiliului privind asigurarea unei tranziții echitabile către neutralitatea climatică și cu Planul general de cooperare sectorială privind competențele pentru digitalizarea lanțului valoric energetic</w:t>
      </w:r>
      <w:r w:rsidRPr="00AC058C">
        <w:rPr>
          <w:rStyle w:val="FootnoteReference"/>
          <w:noProof/>
          <w:color w:val="000000" w:themeColor="text1"/>
          <w:sz w:val="19"/>
          <w:szCs w:val="19"/>
        </w:rPr>
        <w:footnoteReference w:id="45"/>
      </w:r>
      <w:r w:rsidRPr="00AC058C">
        <w:rPr>
          <w:noProof/>
          <w:color w:val="000000" w:themeColor="text1"/>
        </w:rPr>
        <w:t xml:space="preserve">, Comisia Europeană va sprijini instituirea, până la sfârșitul anului 2023, </w:t>
      </w:r>
      <w:r w:rsidRPr="00AC058C">
        <w:rPr>
          <w:b/>
          <w:noProof/>
          <w:color w:val="000000" w:themeColor="text1"/>
        </w:rPr>
        <w:t>a unui parteneriat la scară largă privind digitalizarea lanțului valoric energetic, ca parte a Pactului european privind competențele</w:t>
      </w:r>
      <w:bookmarkStart w:id="48" w:name="_Int_QMRYOfij"/>
      <w:r w:rsidRPr="00AC058C">
        <w:rPr>
          <w:noProof/>
          <w:color w:val="000000" w:themeColor="text1"/>
        </w:rPr>
        <w:t xml:space="preserve">. </w:t>
      </w:r>
      <w:bookmarkEnd w:id="48"/>
      <w:r w:rsidRPr="00AC058C">
        <w:rPr>
          <w:noProof/>
          <w:color w:val="000000" w:themeColor="text1"/>
        </w:rPr>
        <w:t>Sinergiile vor fi valorificate datorită viitorului Parteneriat la scară largă al UE pentru competențe în domeniul surselor regenerabile de energie pe uscat, alături de Parteneriatul la scară largă în ecosistemul digital, de comunitatea pentru competențe și locuri de muncă în sectorul digital, de inițiativele privind competențele digitale în domeniul energiei din cadrul programului „Europa digitală”</w:t>
      </w:r>
      <w:r w:rsidRPr="00AC058C">
        <w:rPr>
          <w:rStyle w:val="FootnoteReference"/>
          <w:noProof/>
          <w:color w:val="000000" w:themeColor="text1"/>
        </w:rPr>
        <w:footnoteReference w:id="46"/>
      </w:r>
      <w:r w:rsidRPr="00AC058C">
        <w:rPr>
          <w:noProof/>
          <w:color w:val="000000" w:themeColor="text1"/>
        </w:rPr>
        <w:t xml:space="preserve"> și de alte alianțe sectoriale relevante în materie de competențe și inițiative conexe.</w:t>
      </w:r>
      <w:bookmarkStart w:id="49" w:name="_Toc103872596"/>
      <w:bookmarkStart w:id="50" w:name="_Toc106053795"/>
      <w:bookmarkStart w:id="51" w:name="_Toc2075375670"/>
      <w:bookmarkStart w:id="52" w:name="_Toc677034918"/>
      <w:r w:rsidRPr="00AC058C">
        <w:rPr>
          <w:noProof/>
          <w:color w:val="000000" w:themeColor="text1"/>
        </w:rPr>
        <w:t xml:space="preserve"> </w:t>
      </w:r>
    </w:p>
    <w:p w14:paraId="09260C73" w14:textId="1DE72869" w:rsidR="00ED591F" w:rsidRPr="00AC058C" w:rsidRDefault="004D22F3" w:rsidP="00A97D30">
      <w:pPr>
        <w:rPr>
          <w:rStyle w:val="FootnoteReference"/>
          <w:rFonts w:eastAsia="Calibri"/>
          <w:noProof/>
          <w:color w:val="000000" w:themeColor="text1"/>
        </w:rPr>
      </w:pPr>
      <w:r w:rsidRPr="00AC058C">
        <w:rPr>
          <w:noProof/>
          <w:color w:val="000000" w:themeColor="text1"/>
        </w:rPr>
        <w:t>La un nivel mai general, Comisia desfășoară un dialog structurat cu statele membre pentru a accelera angajamentele și reformele în domeniul educației și competențelor digitale. Pentru a valorifica acest proces și numeroase alte acțiuni ale Comisiei în acest domeniu, Comisia a propus ca anul 2023 să fie Anul competențelor.</w:t>
      </w:r>
    </w:p>
    <w:p w14:paraId="45C6F53A" w14:textId="77777777" w:rsidR="00ED591F" w:rsidRPr="00AC058C" w:rsidRDefault="00ED591F" w:rsidP="00ED591F">
      <w:pPr>
        <w:spacing w:after="0"/>
        <w:rPr>
          <w:b/>
          <w:smallCaps/>
          <w:noProof/>
          <w:sz w:val="28"/>
          <w:szCs w:val="28"/>
        </w:rPr>
      </w:pPr>
    </w:p>
    <w:p w14:paraId="0EF3EBED" w14:textId="2BED32EA" w:rsidR="00406149" w:rsidRPr="00AC058C" w:rsidRDefault="00352428" w:rsidP="00B33E58">
      <w:pPr>
        <w:rPr>
          <w:noProof/>
        </w:rPr>
      </w:pPr>
      <w:r w:rsidRPr="00AC058C">
        <w:rPr>
          <w:b/>
          <w:smallCaps/>
          <w:noProof/>
        </w:rPr>
        <w:t>5.</w:t>
      </w:r>
      <w:r w:rsidRPr="00AC058C">
        <w:rPr>
          <w:noProof/>
        </w:rPr>
        <w:tab/>
      </w:r>
      <w:r w:rsidRPr="00AC058C">
        <w:rPr>
          <w:b/>
          <w:smallCaps/>
          <w:noProof/>
        </w:rPr>
        <w:t xml:space="preserve">Consolidarea securității cibernetice și a rezilienței în sistemul energetic </w:t>
      </w:r>
      <w:bookmarkEnd w:id="49"/>
      <w:bookmarkEnd w:id="50"/>
      <w:bookmarkEnd w:id="51"/>
      <w:bookmarkEnd w:id="52"/>
    </w:p>
    <w:p w14:paraId="3EAE93F4" w14:textId="77777777" w:rsidR="003A5832" w:rsidRPr="00AC058C" w:rsidRDefault="003A5832" w:rsidP="15F8FDB1">
      <w:pPr>
        <w:rPr>
          <w:noProof/>
          <w:color w:val="000000" w:themeColor="text1"/>
        </w:rPr>
      </w:pPr>
      <w:r w:rsidRPr="00AC058C">
        <w:rPr>
          <w:noProof/>
          <w:color w:val="000000" w:themeColor="text1"/>
        </w:rPr>
        <w:t>Securitatea cibernetică este o cerință esențială pentru fiabilitatea sistemului energetic din ce în ce mai digitalizat. Securitatea cibernetică joacă un rol esențial în menținerea unui sistem energetic sigur și puternic în fața incidentelor cibernetice și a atacurilor majore, acoperind întregul lanț valoric al sistemului energetic, de la producție și transport până la distribuție și consumatori, incluzând toate interfețele digitale de-a lungul acestui lanț.</w:t>
      </w:r>
    </w:p>
    <w:p w14:paraId="4A6EBB9A" w14:textId="77777777" w:rsidR="003A5832" w:rsidRPr="00AC058C" w:rsidRDefault="6ADBC6A2" w:rsidP="15F8FDB1">
      <w:pPr>
        <w:rPr>
          <w:b/>
          <w:bCs/>
          <w:noProof/>
          <w:color w:val="000000" w:themeColor="text1"/>
        </w:rPr>
      </w:pPr>
      <w:bookmarkStart w:id="53" w:name="_Int_cpIr9KlI"/>
      <w:r w:rsidRPr="00AC058C">
        <w:rPr>
          <w:noProof/>
          <w:color w:val="000000" w:themeColor="text1"/>
        </w:rPr>
        <w:t>Cerințele</w:t>
      </w:r>
      <w:bookmarkEnd w:id="53"/>
      <w:r w:rsidRPr="00AC058C">
        <w:rPr>
          <w:noProof/>
          <w:color w:val="000000" w:themeColor="text1"/>
        </w:rPr>
        <w:t xml:space="preserve"> și costurile aferente combaterii riscurilor de securitate cibernetică trebuie abordate într-un mod care să asigure o piață accesibilă și competitivă pentru servicii și produse noi</w:t>
      </w:r>
      <w:r w:rsidRPr="00AC058C">
        <w:rPr>
          <w:noProof/>
        </w:rPr>
        <w:t>.</w:t>
      </w:r>
      <w:r w:rsidRPr="00AC058C">
        <w:rPr>
          <w:noProof/>
          <w:color w:val="000000" w:themeColor="text1"/>
        </w:rPr>
        <w:t xml:space="preserve"> Pe lângă rolul esențial al marilor infrastructuri de transport și de producere a energiei electrice (atât cele existente, cât și cele noi, cum ar fi parcurile și rețelele eoliene offshore, astfel cum se menționează în strategia UE privind valorificarea potențialului energiei din surse regenerabile offshore</w:t>
      </w:r>
      <w:r w:rsidRPr="00AC058C">
        <w:rPr>
          <w:rStyle w:val="FootnoteReference"/>
          <w:noProof/>
          <w:color w:val="000000" w:themeColor="text1"/>
        </w:rPr>
        <w:footnoteReference w:id="47"/>
      </w:r>
      <w:r w:rsidRPr="00AC058C">
        <w:rPr>
          <w:noProof/>
          <w:color w:val="000000" w:themeColor="text1"/>
        </w:rPr>
        <w:t xml:space="preserve">), o producție și un consum de energie mai descentralizate care sunt conectate la internetul obiectelor sporesc „suprafața de atac” a întregului sistem energetic și, prin urmare, cresc riscurile cibernetice. </w:t>
      </w:r>
    </w:p>
    <w:p w14:paraId="151FD31F" w14:textId="3ECADF06" w:rsidR="006120BD" w:rsidRPr="00AC058C" w:rsidRDefault="278E1DCE" w:rsidP="276D3997">
      <w:pPr>
        <w:rPr>
          <w:noProof/>
          <w:color w:val="000000" w:themeColor="text1"/>
        </w:rPr>
      </w:pPr>
      <w:r w:rsidRPr="00AC058C">
        <w:rPr>
          <w:noProof/>
          <w:color w:val="000000" w:themeColor="text1"/>
        </w:rPr>
        <w:t xml:space="preserve">UE are o abordare sistemică pentru a consolida securitatea cibernetică a rețelelor energetice. Această abordare combină măsuri specifice energiei bazate pe cadrul transsectorial de securitate cibernetică. Este planificat ca Directiva revizuită privind măsuri pentru un nivel comun ridicat de securitate a rețelelor și a sistemelor informatice în Uniune (Directiva NIS 2) să fie adoptată în curând. Aceasta definește sectorul energetic ca fiind una dintre infrastructurile critice ale UE și prevede măsuri de securitate cibernetică, obligații legate de securitatea lanțului de aprovizionare și măsuri de gestionare a riscurilor. </w:t>
      </w:r>
    </w:p>
    <w:p w14:paraId="7F5212D7" w14:textId="6ADD1A14" w:rsidR="0009580D" w:rsidRPr="00AC058C" w:rsidRDefault="0009580D" w:rsidP="276D3997">
      <w:pPr>
        <w:rPr>
          <w:noProof/>
          <w:color w:val="000000" w:themeColor="text1"/>
        </w:rPr>
      </w:pPr>
      <w:r w:rsidRPr="00AC058C">
        <w:rPr>
          <w:noProof/>
          <w:color w:val="000000" w:themeColor="text1"/>
        </w:rPr>
        <w:t xml:space="preserve">În plus, Directiva NIS 2 oferă posibilitatea de a efectua evaluări coordonate ale riscurilor din cadrul lanțurilor de aprovizionare critice, iar Consiliul, în Concluziile sale privind dezvoltarea poziției cibernetice a UE, a invitat Comisia, Înaltul Reprezentant și Grupul de cooperare NIS să efectueze, până în al doilea trimestru al anului 2023, o evaluare a riscurilor și să elaboreze scenarii de risc din perspectiva securității cibernetice într-o situație de amenințare sau de posibil atac împotriva unui stat </w:t>
      </w:r>
      <w:r w:rsidR="00AC058C" w:rsidRPr="00AC058C">
        <w:rPr>
          <w:noProof/>
          <w:color w:val="000000" w:themeColor="text1"/>
        </w:rPr>
        <w:t>membru sau unei țări partenere.</w:t>
      </w:r>
      <w:r w:rsidRPr="00AC058C">
        <w:rPr>
          <w:noProof/>
          <w:color w:val="000000" w:themeColor="text1"/>
        </w:rPr>
        <w:t xml:space="preserve"> După consultarea Grupului de cooperare NIS, a ENISA</w:t>
      </w:r>
      <w:r w:rsidRPr="00AC058C">
        <w:rPr>
          <w:noProof/>
        </w:rPr>
        <w:t xml:space="preserve"> </w:t>
      </w:r>
      <w:r w:rsidRPr="00AC058C">
        <w:rPr>
          <w:noProof/>
          <w:color w:val="FF0000"/>
        </w:rPr>
        <w:t xml:space="preserve">și a altor părți interesate relevante și, după caz, </w:t>
      </w:r>
      <w:r w:rsidRPr="00AC058C">
        <w:rPr>
          <w:b/>
          <w:noProof/>
          <w:color w:val="FF0000"/>
        </w:rPr>
        <w:t>pe baza acestei evaluări a riscurilor și a scenariilor de risc</w:t>
      </w:r>
      <w:r w:rsidRPr="00AC058C">
        <w:rPr>
          <w:noProof/>
          <w:color w:val="000000" w:themeColor="text1"/>
        </w:rPr>
        <w:t xml:space="preserve">, Comisia va identifica cu prioritate serviciile, sistemele sau produsele TIC specifice care ar putea face obiectul unor evaluări coordonate ale riscurilor. În acest context, Comisia va acorda atenția cuvenită </w:t>
      </w:r>
      <w:r w:rsidRPr="00AC058C">
        <w:rPr>
          <w:b/>
          <w:noProof/>
          <w:color w:val="000000" w:themeColor="text1"/>
        </w:rPr>
        <w:t>riscurilor din lanțul de aprovizionare cu energie din surse regenerabile și din rețea, inclusiv în cazul energiei eoliene offshore</w:t>
      </w:r>
      <w:r w:rsidRPr="00AC058C">
        <w:rPr>
          <w:noProof/>
          <w:color w:val="000000" w:themeColor="text1"/>
        </w:rPr>
        <w:t>.</w:t>
      </w:r>
      <w:r w:rsidRPr="00AC058C">
        <w:rPr>
          <w:b/>
          <w:noProof/>
          <w:color w:val="000000" w:themeColor="text1"/>
        </w:rPr>
        <w:t xml:space="preserve"> </w:t>
      </w:r>
      <w:r w:rsidRPr="00AC058C">
        <w:rPr>
          <w:noProof/>
          <w:color w:val="000000" w:themeColor="text1"/>
        </w:rPr>
        <w:t>Astfel de evaluări ar trebui să acopere atât factori de risc de natură tehnică, cât și factori de risc de altă natură, cum ar fi influența nejustificată a unui stat terț asupra furnizorilor și prestatorilor de servicii, pe baza factorilor identificați în evaluarea coordonată la nivelul UE a riscurilor legate de securitatea rețelelor 5G.</w:t>
      </w:r>
    </w:p>
    <w:p w14:paraId="00F30D61" w14:textId="35025238" w:rsidR="006120BD" w:rsidRPr="00AC058C" w:rsidRDefault="7FDA80F7" w:rsidP="00846EF0">
      <w:pPr>
        <w:rPr>
          <w:noProof/>
          <w:color w:val="000000" w:themeColor="text1"/>
        </w:rPr>
      </w:pPr>
      <w:r w:rsidRPr="00AC058C">
        <w:rPr>
          <w:noProof/>
          <w:color w:val="000000" w:themeColor="text1"/>
        </w:rPr>
        <w:t>Pentru a spori reziliența la riscurile de securitate cibernetică în sistemul de energie electrică, Comisia (împreună cu ACER, ENTSO-E și entitatea OSD UE) intenționează să</w:t>
      </w:r>
      <w:r w:rsidRPr="00AC058C">
        <w:rPr>
          <w:b/>
          <w:noProof/>
          <w:color w:val="000000" w:themeColor="text1"/>
        </w:rPr>
        <w:t xml:space="preserve"> propună un act delegat sub forma unui cod de rețea pentru aspectele legate de securitatea cibernetică a fluxurilor transfrontaliere de energie electrică</w:t>
      </w:r>
      <w:r w:rsidRPr="00AC058C">
        <w:rPr>
          <w:noProof/>
          <w:color w:val="000000" w:themeColor="text1"/>
        </w:rPr>
        <w:t xml:space="preserve"> care decurg din cerințele prevăzute la articolul 59 alineatul (2) litera (e) din Regulamentul privind piața internă de energie electrică, inclusiv norme privind cerințele minime comune, planificarea, monitorizarea, raportarea și gestionarea crizelor, vizând adoptarea sa la începutul anului 2023. În mod similar, prin propunerea de modificare a Regulamentului privind securitatea aprovizionării cu gaze naturale</w:t>
      </w:r>
      <w:r w:rsidRPr="00AC058C">
        <w:rPr>
          <w:rStyle w:val="FootnoteReference"/>
          <w:noProof/>
          <w:color w:val="000000" w:themeColor="text1"/>
        </w:rPr>
        <w:footnoteReference w:id="48"/>
      </w:r>
      <w:r w:rsidRPr="00AC058C">
        <w:rPr>
          <w:noProof/>
          <w:color w:val="000000" w:themeColor="text1"/>
        </w:rPr>
        <w:t xml:space="preserve">, Comisia urmărește să adapteze sistemul de gaze la noile riscuri, cum ar fi atacurile cibernetice, iar Comisia intenționează ca, după adoptarea modificării menționate, să propună </w:t>
      </w:r>
      <w:r w:rsidRPr="00AC058C">
        <w:rPr>
          <w:b/>
          <w:noProof/>
          <w:color w:val="000000" w:themeColor="text1"/>
        </w:rPr>
        <w:t>un act delegat privind securitatea cibernetică a rețelelor de gaze și hidrogen</w:t>
      </w:r>
      <w:r w:rsidRPr="00AC058C">
        <w:rPr>
          <w:noProof/>
          <w:color w:val="000000" w:themeColor="text1"/>
        </w:rPr>
        <w:t>.</w:t>
      </w:r>
    </w:p>
    <w:p w14:paraId="6080295E" w14:textId="69F7C92C" w:rsidR="1C5D1AEC" w:rsidRPr="00AC058C" w:rsidRDefault="00D2768F" w:rsidP="414B7552">
      <w:pPr>
        <w:rPr>
          <w:rFonts w:eastAsia="Calibri"/>
          <w:noProof/>
          <w:color w:val="000000" w:themeColor="text1"/>
        </w:rPr>
      </w:pPr>
      <w:bookmarkStart w:id="54" w:name="_Hlk116853682"/>
      <w:r w:rsidRPr="00AC058C">
        <w:rPr>
          <w:noProof/>
          <w:color w:val="000000" w:themeColor="text1"/>
        </w:rPr>
        <w:t xml:space="preserve">În paralel, </w:t>
      </w:r>
      <w:r w:rsidRPr="00AC058C">
        <w:rPr>
          <w:noProof/>
        </w:rPr>
        <w:t>Comisia propune o recomandare a Consiliului care să vizeze</w:t>
      </w:r>
      <w:r w:rsidRPr="00AC058C">
        <w:rPr>
          <w:b/>
          <w:noProof/>
        </w:rPr>
        <w:t xml:space="preserve"> îmbunătățirea</w:t>
      </w:r>
      <w:r w:rsidRPr="00AC058C">
        <w:rPr>
          <w:noProof/>
        </w:rPr>
        <w:t xml:space="preserve"> </w:t>
      </w:r>
      <w:r w:rsidRPr="00AC058C">
        <w:rPr>
          <w:b/>
          <w:noProof/>
        </w:rPr>
        <w:t>rezilienței infrastructurilor critice</w:t>
      </w:r>
      <w:r w:rsidRPr="00AC058C">
        <w:rPr>
          <w:noProof/>
        </w:rPr>
        <w:t xml:space="preserve"> dintr-o serie de sectoare prioritare, inclusiv sectorul energiei,</w:t>
      </w:r>
      <w:r w:rsidRPr="00AC058C">
        <w:rPr>
          <w:b/>
          <w:noProof/>
        </w:rPr>
        <w:t xml:space="preserve"> </w:t>
      </w:r>
      <w:r w:rsidRPr="00AC058C">
        <w:rPr>
          <w:noProof/>
        </w:rPr>
        <w:t xml:space="preserve">împotriva unor posibile atacuri fizice, cibernetice sau hibride. Propunerea va acoperi domenii precum o abordare armonizată pentru identificarea infrastructurii energetice critice, schimbul de informații și consolidarea capacității de a anticipa, de a se pregăti, de a răspunde și de a se redresa rapid în urma oricăror perturbări, consolidând astfel reziliența infrastructurii energetice critice. </w:t>
      </w:r>
      <w:bookmarkStart w:id="55" w:name="_Hlk108705032"/>
      <w:bookmarkEnd w:id="54"/>
      <w:r w:rsidR="00A93BC7" w:rsidRPr="00AC058C">
        <w:rPr>
          <w:noProof/>
        </w:rPr>
        <w:t xml:space="preserve">În cele din urmă, Comisia intenționează a adoptat o propunere legislativă referitoare la </w:t>
      </w:r>
      <w:r w:rsidR="00A93BC7" w:rsidRPr="00AC058C">
        <w:rPr>
          <w:b/>
          <w:noProof/>
        </w:rPr>
        <w:t>Actul privind reziliența cibernetică</w:t>
      </w:r>
      <w:r w:rsidR="00A93BC7" w:rsidRPr="00AC058C">
        <w:rPr>
          <w:noProof/>
        </w:rPr>
        <w:t xml:space="preserve">, care să stabilească </w:t>
      </w:r>
      <w:r w:rsidR="00A93BC7" w:rsidRPr="00AC058C">
        <w:rPr>
          <w:rStyle w:val="normaltextrun"/>
          <w:noProof/>
          <w:shd w:val="clear" w:color="auto" w:fill="FFFFFF"/>
        </w:rPr>
        <w:t>norme armonizate în materie de securitate cibernetică pentru introducerea pe piață</w:t>
      </w:r>
      <w:r w:rsidR="00A93BC7" w:rsidRPr="00AC058C">
        <w:rPr>
          <w:rStyle w:val="normaltextrun"/>
          <w:b/>
          <w:noProof/>
          <w:shd w:val="clear" w:color="auto" w:fill="FFFFFF"/>
        </w:rPr>
        <w:t xml:space="preserve"> </w:t>
      </w:r>
      <w:r w:rsidR="00A93BC7" w:rsidRPr="00AC058C">
        <w:rPr>
          <w:rStyle w:val="normaltextrun"/>
          <w:noProof/>
          <w:shd w:val="clear" w:color="auto" w:fill="FFFFFF"/>
        </w:rPr>
        <w:t>a produselor cu elemente digitale în Uniune și obligația de diligență pentru întregul ciclu de viață al acestor produse, precum și norme corespunzătoare privind monitorizarea și supravegherea pieței</w:t>
      </w:r>
      <w:r w:rsidR="00A93BC7" w:rsidRPr="00AC058C">
        <w:rPr>
          <w:noProof/>
        </w:rPr>
        <w:t>. Aceste cerințe ar fi orientate spre atingerea obiectivelor, neutre din punct de vedere tehnologic și adaptate exigențelor viitorului. După caz, legea ar reglementa, de asemenea, dispozitivele integrate în ciclul de alimentare cu energie; de exemplu, sistemele industriale digitale de control utilizate pentru reglajul de frecvență în rețeaua de energie electrică. Actul privind reziliența cibernetică nu numai că va consolida securitatea de bază a dispozitivelor digitalizate, ci și va contribui la creșterea încrederii între diferiții operatori. Prin urmare, Comisia va promova utilizarea optimă a acestor sisteme de către părțile interesate</w:t>
      </w:r>
      <w:bookmarkEnd w:id="55"/>
      <w:r w:rsidR="00740ED5" w:rsidRPr="00AC058C">
        <w:rPr>
          <w:noProof/>
          <w:color w:val="000000" w:themeColor="text1"/>
        </w:rPr>
        <w:t>.</w:t>
      </w:r>
    </w:p>
    <w:p w14:paraId="205D86FE" w14:textId="77777777" w:rsidR="00ED591F" w:rsidRPr="00AC058C" w:rsidRDefault="00ED591F" w:rsidP="00ED591F">
      <w:pPr>
        <w:spacing w:after="0"/>
        <w:rPr>
          <w:noProof/>
          <w:color w:val="000000" w:themeColor="text1"/>
          <w:sz w:val="28"/>
          <w:szCs w:val="28"/>
        </w:rPr>
      </w:pPr>
    </w:p>
    <w:p w14:paraId="2FBFF2B3" w14:textId="77777777" w:rsidR="00406149" w:rsidRPr="00AC058C" w:rsidRDefault="2DC5F5F1" w:rsidP="00B33E58">
      <w:pPr>
        <w:rPr>
          <w:noProof/>
        </w:rPr>
      </w:pPr>
      <w:bookmarkStart w:id="56" w:name="_Toc103872597"/>
      <w:bookmarkStart w:id="57" w:name="_Toc1228064636"/>
      <w:bookmarkStart w:id="58" w:name="_Toc2142393751"/>
      <w:bookmarkStart w:id="59" w:name="_Toc106053796"/>
      <w:r w:rsidRPr="00AC058C">
        <w:rPr>
          <w:b/>
          <w:smallCaps/>
          <w:noProof/>
        </w:rPr>
        <w:t>6.</w:t>
      </w:r>
      <w:r w:rsidRPr="00AC058C">
        <w:rPr>
          <w:noProof/>
        </w:rPr>
        <w:tab/>
      </w:r>
      <w:r w:rsidRPr="00AC058C">
        <w:rPr>
          <w:b/>
          <w:smallCaps/>
          <w:noProof/>
        </w:rPr>
        <w:t>Consumul de energie al sectorului TIC</w:t>
      </w:r>
      <w:bookmarkEnd w:id="56"/>
      <w:bookmarkEnd w:id="57"/>
      <w:bookmarkEnd w:id="58"/>
      <w:bookmarkEnd w:id="59"/>
    </w:p>
    <w:p w14:paraId="71CE7C44" w14:textId="2A2D97BF" w:rsidR="00D72D22" w:rsidRPr="00AC058C" w:rsidRDefault="5D77B7A0" w:rsidP="414B7552">
      <w:pPr>
        <w:rPr>
          <w:noProof/>
        </w:rPr>
      </w:pPr>
      <w:r w:rsidRPr="00AC058C">
        <w:rPr>
          <w:noProof/>
          <w:color w:val="000000" w:themeColor="text1"/>
        </w:rPr>
        <w:t>Deși aduce beneficii nete economiei noastre la nivel general, inclusiv prin facilitarea reducerii emisiilor</w:t>
      </w:r>
      <w:bookmarkStart w:id="60" w:name="_Ref113007734"/>
      <w:r w:rsidRPr="00AC058C">
        <w:rPr>
          <w:rStyle w:val="FootnoteReference"/>
          <w:noProof/>
          <w:color w:val="000000" w:themeColor="text1"/>
          <w:lang w:eastAsia="en-US"/>
        </w:rPr>
        <w:footnoteReference w:id="49"/>
      </w:r>
      <w:bookmarkEnd w:id="60"/>
      <w:r w:rsidRPr="00AC058C">
        <w:rPr>
          <w:noProof/>
          <w:color w:val="000000" w:themeColor="text1"/>
        </w:rPr>
        <w:t>, sectorul TIC reprezintă aproximativ 7 % din consumul mondial de energie electrică și se preconizează că această pondere va crește la 13 % până în 2030. Acest consum de energie electrică la nivel mondial este în prezent comparabil cu consumul cumulat de energie electrică al întregii populații din Germania, Franța, Italia, Spania și Polonia, luate împreună, și, prin urmare, necesită o planificare cuprinzătoare, având în vedere cererea pe care o generează în rețeaua noastră de energie electrică</w:t>
      </w:r>
      <w:r w:rsidRPr="00AC058C">
        <w:rPr>
          <w:rStyle w:val="FootnoteReference"/>
          <w:noProof/>
          <w:color w:val="000000" w:themeColor="text1"/>
          <w:lang w:eastAsia="en-US"/>
        </w:rPr>
        <w:footnoteReference w:id="50"/>
      </w:r>
      <w:r w:rsidRPr="00AC058C">
        <w:rPr>
          <w:noProof/>
          <w:color w:val="000000" w:themeColor="text1"/>
        </w:rPr>
        <w:t xml:space="preserve">. Asigurarea faptului că nevoile energetice din ce în ce mai mari ale sectorului TIC sunt satisfăcute în sinergie cu obiectivul de realizare a neutralității climatice este, prin urmare, o parte esențială a dublei tranziții verzi și digitale. Este important să se abordeze: (i) consumul de energie și de resurse de-a lungul întregului lanț valoric TIC și (ii) principalele surse suplimentare emergente de consum de energie specifice TIC. Există deja soluții, cum ar fi reutilizarea căldurii reziduale din centrele de date sau trecerea la modele circulare (durate de viață mai lungi, potențialul de reparare, reutilizarea și reciclarea). </w:t>
      </w:r>
      <w:r w:rsidRPr="00AC058C">
        <w:rPr>
          <w:noProof/>
        </w:rPr>
        <w:t>În ceea ce privește noile tehnologii, cum ar fi calculul de înaltă performanță și informatica cuantică, Comisia va acorda o atenție deosebită consumului de energie al acestora și s-a angajat să stimuleze investițiile în soluțiile cele mai eficiente din punct de vedere energetic.</w:t>
      </w:r>
    </w:p>
    <w:p w14:paraId="1982223C" w14:textId="7BC98089" w:rsidR="003475F0" w:rsidRPr="00AC058C" w:rsidRDefault="00572BE7" w:rsidP="00B33E58">
      <w:pPr>
        <w:ind w:firstLine="720"/>
        <w:rPr>
          <w:b/>
          <w:noProof/>
        </w:rPr>
      </w:pPr>
      <w:bookmarkStart w:id="61" w:name="_Toc103872598"/>
      <w:bookmarkStart w:id="62" w:name="_Toc2138005340"/>
      <w:bookmarkStart w:id="63" w:name="_Toc1179226438"/>
      <w:bookmarkStart w:id="64" w:name="_Toc105777788"/>
      <w:bookmarkStart w:id="65" w:name="_Toc106053797"/>
      <w:bookmarkStart w:id="66" w:name="_Toc105447854"/>
      <w:bookmarkStart w:id="67" w:name="_Toc105576252"/>
      <w:r w:rsidRPr="00AC058C">
        <w:rPr>
          <w:b/>
          <w:noProof/>
        </w:rPr>
        <w:t>6.1.</w:t>
      </w:r>
      <w:r w:rsidRPr="00AC058C">
        <w:rPr>
          <w:noProof/>
        </w:rPr>
        <w:tab/>
      </w:r>
      <w:bookmarkEnd w:id="61"/>
      <w:bookmarkEnd w:id="62"/>
      <w:bookmarkEnd w:id="63"/>
      <w:bookmarkEnd w:id="64"/>
      <w:bookmarkEnd w:id="65"/>
      <w:bookmarkEnd w:id="66"/>
      <w:bookmarkEnd w:id="67"/>
      <w:r w:rsidRPr="00AC058C">
        <w:rPr>
          <w:b/>
          <w:noProof/>
        </w:rPr>
        <w:t>Proiectare, producție, utilizare și sfârșitul ciclului de viață</w:t>
      </w:r>
    </w:p>
    <w:p w14:paraId="30681012" w14:textId="2E09ED0A" w:rsidR="00F73A2C" w:rsidRPr="00AC058C" w:rsidRDefault="009833BF" w:rsidP="001C0894">
      <w:pPr>
        <w:rPr>
          <w:noProof/>
          <w:color w:val="000000" w:themeColor="text1"/>
        </w:rPr>
      </w:pPr>
      <w:r w:rsidRPr="00AC058C">
        <w:rPr>
          <w:noProof/>
          <w:color w:val="000000" w:themeColor="text1"/>
        </w:rPr>
        <w:t xml:space="preserve">Cadrul propus prin </w:t>
      </w:r>
      <w:r w:rsidRPr="00AC058C">
        <w:rPr>
          <w:b/>
          <w:noProof/>
          <w:color w:val="000000" w:themeColor="text1"/>
        </w:rPr>
        <w:t>Regulamentul privind proiectarea ecologică a produselor sustenabile (ESPR)</w:t>
      </w:r>
      <w:r w:rsidRPr="00AC058C">
        <w:rPr>
          <w:rStyle w:val="FootnoteReference"/>
          <w:b/>
          <w:bCs/>
          <w:noProof/>
          <w:color w:val="000000" w:themeColor="text1"/>
          <w:lang w:eastAsia="en-US"/>
        </w:rPr>
        <w:footnoteReference w:id="51"/>
      </w:r>
      <w:r w:rsidRPr="00AC058C">
        <w:rPr>
          <w:noProof/>
          <w:color w:val="000000" w:themeColor="text1"/>
        </w:rPr>
        <w:t xml:space="preserve"> vizează (i) stabilirea unor </w:t>
      </w:r>
      <w:r w:rsidRPr="00AC058C">
        <w:rPr>
          <w:b/>
          <w:noProof/>
          <w:color w:val="000000" w:themeColor="text1"/>
        </w:rPr>
        <w:t>norme ale UE care să garanteze că numai produsele „circulare” sunt introduse pe piața UE</w:t>
      </w:r>
      <w:r w:rsidRPr="00AC058C">
        <w:rPr>
          <w:noProof/>
          <w:color w:val="000000" w:themeColor="text1"/>
        </w:rPr>
        <w:t xml:space="preserve"> (și anume, produse care sunt mai sustenabile, care pot fi reutilizate, reparate și reciclate cu ușurință și care sunt compuse cât mai mult posibil din materiale reciclate); (ii) crearea unui cadru pentru </w:t>
      </w:r>
      <w:r w:rsidRPr="00AC058C">
        <w:rPr>
          <w:b/>
          <w:noProof/>
          <w:color w:val="000000" w:themeColor="text1"/>
        </w:rPr>
        <w:t>pașapoartele digitale ale produselor</w:t>
      </w:r>
      <w:r w:rsidRPr="00AC058C">
        <w:rPr>
          <w:noProof/>
          <w:color w:val="000000" w:themeColor="text1"/>
        </w:rPr>
        <w:t xml:space="preserve"> care să ofere informații minime, printre altele, cu privire la aspectele legate de energie; și (iii) stabilirea unor </w:t>
      </w:r>
      <w:r w:rsidRPr="00AC058C">
        <w:rPr>
          <w:b/>
          <w:noProof/>
          <w:color w:val="000000" w:themeColor="text1"/>
        </w:rPr>
        <w:t>cerințe minime obligatorii de sustenabilitate privind achizițiile publice de produse</w:t>
      </w:r>
      <w:r w:rsidRPr="00AC058C">
        <w:rPr>
          <w:noProof/>
          <w:color w:val="000000" w:themeColor="text1"/>
        </w:rPr>
        <w:t xml:space="preserve">, pentru o selecție de grupe de produse, inclusiv produse electronice și TIC. Pentru a aborda consumul de energie al dispozitivelor TIC în funcțiune, Comisia va </w:t>
      </w:r>
      <w:r w:rsidRPr="00AC058C">
        <w:rPr>
          <w:b/>
          <w:noProof/>
          <w:color w:val="000000" w:themeColor="text1"/>
        </w:rPr>
        <w:t>elabora un sistem de etichetare energetică pentru computere</w:t>
      </w:r>
      <w:r w:rsidRPr="00AC058C">
        <w:rPr>
          <w:rStyle w:val="FootnoteReference"/>
          <w:noProof/>
          <w:color w:val="000000" w:themeColor="text1"/>
          <w:lang w:eastAsia="en-US"/>
        </w:rPr>
        <w:footnoteReference w:id="52"/>
      </w:r>
      <w:r w:rsidRPr="00AC058C">
        <w:rPr>
          <w:noProof/>
          <w:color w:val="000000" w:themeColor="text1"/>
        </w:rPr>
        <w:t xml:space="preserve">, abordând diferitele utilizări ale acestora, cum ar fi (i) activitățile de birou; (ii) jocurile video și (iii) designul </w:t>
      </w:r>
      <w:bookmarkStart w:id="68" w:name="_Int_HThByOfG"/>
      <w:r w:rsidRPr="00AC058C">
        <w:rPr>
          <w:noProof/>
          <w:color w:val="000000" w:themeColor="text1"/>
        </w:rPr>
        <w:t>grafic</w:t>
      </w:r>
      <w:bookmarkEnd w:id="68"/>
      <w:r w:rsidRPr="00AC058C">
        <w:rPr>
          <w:noProof/>
          <w:color w:val="000000" w:themeColor="text1"/>
        </w:rPr>
        <w:t xml:space="preserve"> și, respectiv, </w:t>
      </w:r>
      <w:bookmarkStart w:id="69" w:name="_Int_RiPoqorN"/>
      <w:r w:rsidRPr="00AC058C">
        <w:rPr>
          <w:noProof/>
          <w:color w:val="000000" w:themeColor="text1"/>
        </w:rPr>
        <w:t>editarea</w:t>
      </w:r>
      <w:bookmarkEnd w:id="69"/>
      <w:r w:rsidRPr="00AC058C">
        <w:rPr>
          <w:noProof/>
          <w:color w:val="000000" w:themeColor="text1"/>
        </w:rPr>
        <w:t xml:space="preserve"> video. Planul de lucru al Comisiei pentru proiectarea ecologică pentru perioada 2022-2024 a anunțat, de asemenea, noi norme care să acopere grupele de produse nereglementate în prezent, cum ar fi telefoanele inteligente și tabletele, care să contribuie la îmbunătățirea sustenabilității și a posibilității de reparare a acestora</w:t>
      </w:r>
      <w:r w:rsidRPr="00AC058C">
        <w:rPr>
          <w:rStyle w:val="FootnoteReference"/>
          <w:noProof/>
          <w:color w:val="000000" w:themeColor="text1"/>
          <w:lang w:eastAsia="en-US"/>
        </w:rPr>
        <w:footnoteReference w:id="53"/>
      </w:r>
      <w:r w:rsidRPr="00AC058C">
        <w:rPr>
          <w:noProof/>
        </w:rPr>
        <w:t>.</w:t>
      </w:r>
      <w:r w:rsidRPr="00AC058C">
        <w:rPr>
          <w:noProof/>
          <w:color w:val="000000" w:themeColor="text1"/>
        </w:rPr>
        <w:t xml:space="preserve"> </w:t>
      </w:r>
      <w:r w:rsidRPr="00AC058C">
        <w:rPr>
          <w:noProof/>
        </w:rPr>
        <w:t>Achizițiile publice verzi sau achizițiile verzi contribuie la stimularea unei mase critice de cerere de bunuri și servicii mai durabile, care altfel ar fi dificil să pătrundă pe piață.</w:t>
      </w:r>
    </w:p>
    <w:p w14:paraId="233D45D4" w14:textId="77777777" w:rsidR="003475F0" w:rsidRPr="00AC058C" w:rsidRDefault="00572BE7" w:rsidP="00B33E58">
      <w:pPr>
        <w:ind w:firstLine="720"/>
        <w:rPr>
          <w:b/>
          <w:noProof/>
        </w:rPr>
      </w:pPr>
      <w:bookmarkStart w:id="70" w:name="_Toc103872600"/>
      <w:bookmarkStart w:id="71" w:name="_Toc105447856"/>
      <w:bookmarkStart w:id="72" w:name="_Toc105576254"/>
      <w:bookmarkStart w:id="73" w:name="_Toc1710725487"/>
      <w:bookmarkStart w:id="74" w:name="_Toc1760429533"/>
      <w:bookmarkStart w:id="75" w:name="_Toc105777790"/>
      <w:bookmarkStart w:id="76" w:name="_Toc106053799"/>
      <w:r w:rsidRPr="00AC058C">
        <w:rPr>
          <w:b/>
          <w:noProof/>
        </w:rPr>
        <w:t>6.2.</w:t>
      </w:r>
      <w:r w:rsidRPr="00AC058C">
        <w:rPr>
          <w:noProof/>
        </w:rPr>
        <w:tab/>
      </w:r>
      <w:r w:rsidRPr="00AC058C">
        <w:rPr>
          <w:b/>
          <w:noProof/>
        </w:rPr>
        <w:t>Consumul de energie al rețelelor de telecomunicații</w:t>
      </w:r>
      <w:bookmarkEnd w:id="70"/>
      <w:bookmarkEnd w:id="71"/>
      <w:bookmarkEnd w:id="72"/>
      <w:bookmarkEnd w:id="73"/>
      <w:bookmarkEnd w:id="74"/>
      <w:bookmarkEnd w:id="75"/>
      <w:bookmarkEnd w:id="76"/>
    </w:p>
    <w:p w14:paraId="00AC8DD7" w14:textId="5FD5B760" w:rsidR="00A55FC6" w:rsidRPr="00AC058C" w:rsidRDefault="6F2301DD" w:rsidP="414B7552">
      <w:pPr>
        <w:rPr>
          <w:noProof/>
          <w:color w:val="000000" w:themeColor="text1"/>
        </w:rPr>
      </w:pPr>
      <w:bookmarkStart w:id="77" w:name="_Int_LwhQmxpb"/>
      <w:r w:rsidRPr="00AC058C">
        <w:rPr>
          <w:noProof/>
          <w:color w:val="000000" w:themeColor="text1"/>
        </w:rPr>
        <w:t>Din ce în ce mai multe</w:t>
      </w:r>
      <w:bookmarkEnd w:id="77"/>
      <w:r w:rsidRPr="00AC058C">
        <w:rPr>
          <w:noProof/>
        </w:rPr>
        <w:t xml:space="preserve"> dispozitive</w:t>
      </w:r>
      <w:r w:rsidRPr="00AC058C">
        <w:rPr>
          <w:noProof/>
          <w:color w:val="000000" w:themeColor="text1"/>
        </w:rPr>
        <w:t xml:space="preserve"> TIC sunt conectate, atât între ele, cât și la internet. Peste 60 % din traficul total de internet este utilizat pentru streaming video, jocurile online și platformele de socializare în rețea fiind a doua și, respectiv, a treia cea mai mare sursă de trafic. În 2019, în comunicarea sa intitulată „Conturarea viitorului digital al Europei”, Comisia a adus în discuție posibilitatea de a introduce „măsuri de asigurare a transparenței pentru operatorii de telecomunicații în ceea ce privește amprenta lor ecologică” la nivelul UE</w:t>
      </w:r>
      <w:r w:rsidRPr="00AC058C">
        <w:rPr>
          <w:noProof/>
          <w:color w:val="000000" w:themeColor="text1"/>
          <w:vertAlign w:val="superscript"/>
        </w:rPr>
        <w:footnoteReference w:id="54"/>
      </w:r>
      <w:r w:rsidRPr="00AC058C">
        <w:rPr>
          <w:noProof/>
          <w:color w:val="000000" w:themeColor="text1"/>
        </w:rPr>
        <w:t>. Mai recent, declarația propusă privind drepturile și principiile digitale europene subliniază că „[f]iecare persoană ar trebui să aibă acces la informații corecte și ușor de înțeles cu privire la impactul asupra mediului și la consumul de energie al produselor și serviciilor digitale, pentru a putea face alegeri responsabile”</w:t>
      </w:r>
      <w:r w:rsidRPr="00AC058C">
        <w:rPr>
          <w:noProof/>
          <w:color w:val="000000" w:themeColor="text1"/>
          <w:vertAlign w:val="superscript"/>
        </w:rPr>
        <w:footnoteReference w:id="55"/>
      </w:r>
      <w:r w:rsidRPr="00AC058C">
        <w:rPr>
          <w:noProof/>
          <w:color w:val="000000" w:themeColor="text1"/>
        </w:rPr>
        <w:t>.</w:t>
      </w:r>
      <w:r w:rsidRPr="00AC058C">
        <w:rPr>
          <w:noProof/>
          <w:color w:val="000000" w:themeColor="text1"/>
          <w:vertAlign w:val="superscript"/>
        </w:rPr>
        <w:t xml:space="preserve"> </w:t>
      </w:r>
      <w:r w:rsidRPr="00AC058C">
        <w:rPr>
          <w:noProof/>
          <w:color w:val="000000" w:themeColor="text1"/>
        </w:rPr>
        <w:t xml:space="preserve">Comisia, în consultare cu comunitatea științifică și cu părțile interesate, va acționa în direcția unei transparențe sporite, </w:t>
      </w:r>
      <w:r w:rsidRPr="00AC058C">
        <w:rPr>
          <w:b/>
          <w:noProof/>
          <w:color w:val="000000" w:themeColor="text1"/>
        </w:rPr>
        <w:t xml:space="preserve">elaborând indicatori comuni pentru măsurarea amprentei de mediu a serviciilor de comunicații electronice, </w:t>
      </w:r>
      <w:r w:rsidRPr="00AC058C">
        <w:rPr>
          <w:noProof/>
        </w:rPr>
        <w:t>pe baza activității desfășurate deja de autoritățile de reglementare și de furnizorii de comunicații electronice.</w:t>
      </w:r>
      <w:r w:rsidRPr="00AC058C">
        <w:rPr>
          <w:noProof/>
          <w:color w:val="000000" w:themeColor="text1"/>
        </w:rPr>
        <w:t xml:space="preserve"> </w:t>
      </w:r>
      <w:r w:rsidRPr="00AC058C">
        <w:rPr>
          <w:noProof/>
        </w:rPr>
        <w:t>Atunci când se evaluează sprijinul public, poate fi luată în considerare durabilitatea mai mare a anumitor rețele de telecomunicații.</w:t>
      </w:r>
    </w:p>
    <w:p w14:paraId="76CA30F1" w14:textId="1C0042CA" w:rsidR="0078044B" w:rsidRPr="00AC058C" w:rsidRDefault="00A55FC6" w:rsidP="414B7552">
      <w:pPr>
        <w:rPr>
          <w:noProof/>
          <w:color w:val="000000" w:themeColor="text1"/>
        </w:rPr>
      </w:pPr>
      <w:r w:rsidRPr="00AC058C">
        <w:rPr>
          <w:noProof/>
          <w:color w:val="000000" w:themeColor="text1"/>
        </w:rPr>
        <w:t xml:space="preserve">Un </w:t>
      </w:r>
      <w:r w:rsidRPr="00AC058C">
        <w:rPr>
          <w:b/>
          <w:noProof/>
          <w:color w:val="000000" w:themeColor="text1"/>
        </w:rPr>
        <w:t>cod de conduită al UE pentru sustenabilitatea rețelelor de telecomunicații</w:t>
      </w:r>
      <w:r w:rsidRPr="00AC058C">
        <w:rPr>
          <w:noProof/>
          <w:color w:val="000000" w:themeColor="text1"/>
        </w:rPr>
        <w:t xml:space="preserve"> poate contribui la orientarea investițiilor către infrastructuri eficiente din punct de vedere energetic. Comisia va depune eforturi în vederea instituirii unui astfel de cod de conduită al UE</w:t>
      </w:r>
      <w:r w:rsidRPr="00AC058C">
        <w:rPr>
          <w:noProof/>
        </w:rPr>
        <w:t xml:space="preserve"> până în 2025</w:t>
      </w:r>
      <w:r w:rsidRPr="00AC058C">
        <w:rPr>
          <w:noProof/>
          <w:color w:val="000000" w:themeColor="text1"/>
        </w:rPr>
        <w:t xml:space="preserve">, pe baza activității desfășurate pentru măsurarea impactului serviciilor de comunicații electronice asupra mediului. </w:t>
      </w:r>
    </w:p>
    <w:p w14:paraId="45C48477" w14:textId="77777777" w:rsidR="00AA776A" w:rsidRPr="00AC058C" w:rsidRDefault="3BFF5ED3" w:rsidP="00AA776A">
      <w:pPr>
        <w:rPr>
          <w:noProof/>
          <w:color w:val="000000" w:themeColor="text1"/>
        </w:rPr>
      </w:pPr>
      <w:r w:rsidRPr="00AC058C">
        <w:rPr>
          <w:noProof/>
          <w:color w:val="000000" w:themeColor="text1"/>
        </w:rPr>
        <w:t xml:space="preserve">În plus, ca parte a acestui plan de acțiune, Comisia va finanța un studiu și va organiza o </w:t>
      </w:r>
      <w:r w:rsidRPr="00AC058C">
        <w:rPr>
          <w:b/>
          <w:noProof/>
          <w:color w:val="000000" w:themeColor="text1"/>
        </w:rPr>
        <w:t>campanie de comunicare și de sensibilizare</w:t>
      </w:r>
      <w:r w:rsidRPr="00AC058C">
        <w:rPr>
          <w:noProof/>
          <w:color w:val="000000" w:themeColor="text1"/>
        </w:rPr>
        <w:t xml:space="preserve"> cu privire la consumul responsabil de energie prin educarea comportamentelor digitale de zi cu zi (cum ar fi streamingul video, utilizarea responsabilă a e-mailurilor sau arhivarea fișierelor digitale).</w:t>
      </w:r>
    </w:p>
    <w:p w14:paraId="1F1A9270" w14:textId="77777777" w:rsidR="003F1FCF" w:rsidRPr="00AC058C" w:rsidRDefault="00572BE7" w:rsidP="00B33E58">
      <w:pPr>
        <w:ind w:firstLine="720"/>
        <w:rPr>
          <w:b/>
          <w:noProof/>
        </w:rPr>
      </w:pPr>
      <w:bookmarkStart w:id="78" w:name="_Toc103872601"/>
      <w:bookmarkStart w:id="79" w:name="_Toc105447857"/>
      <w:bookmarkStart w:id="80" w:name="_Toc105576255"/>
      <w:bookmarkStart w:id="81" w:name="_Toc1897069628"/>
      <w:bookmarkStart w:id="82" w:name="_Toc765462982"/>
      <w:bookmarkStart w:id="83" w:name="_Toc105777791"/>
      <w:bookmarkStart w:id="84" w:name="_Toc106053800"/>
      <w:r w:rsidRPr="00AC058C">
        <w:rPr>
          <w:b/>
          <w:noProof/>
        </w:rPr>
        <w:t>6.3.</w:t>
      </w:r>
      <w:r w:rsidRPr="00AC058C">
        <w:rPr>
          <w:noProof/>
        </w:rPr>
        <w:tab/>
      </w:r>
      <w:r w:rsidRPr="00AC058C">
        <w:rPr>
          <w:b/>
          <w:noProof/>
        </w:rPr>
        <w:t>Consumul de energie al centrelor de date</w:t>
      </w:r>
      <w:bookmarkEnd w:id="78"/>
      <w:bookmarkEnd w:id="79"/>
      <w:bookmarkEnd w:id="80"/>
      <w:bookmarkEnd w:id="81"/>
      <w:bookmarkEnd w:id="82"/>
      <w:bookmarkEnd w:id="83"/>
      <w:bookmarkEnd w:id="84"/>
    </w:p>
    <w:p w14:paraId="597097EC" w14:textId="77777777" w:rsidR="004D5A11" w:rsidRPr="00AC058C" w:rsidRDefault="644BDA48" w:rsidP="001C0894">
      <w:pPr>
        <w:spacing w:after="0"/>
        <w:rPr>
          <w:rFonts w:eastAsia="Calibri"/>
          <w:noProof/>
          <w:color w:val="000000" w:themeColor="text1"/>
        </w:rPr>
      </w:pPr>
      <w:bookmarkStart w:id="85" w:name="_Int_7dvjBJgP"/>
      <w:r w:rsidRPr="00AC058C">
        <w:rPr>
          <w:noProof/>
          <w:color w:val="000000" w:themeColor="text1"/>
        </w:rPr>
        <w:t>Comisia a stabilit obiectivul strategic de a se asigura că, până în 2030, centrele de date vor fi neutre din punct de vedere climatic, eficiente din punct de vedere energetic și din punctul de vedere al utilizării resurselor. Din ce în ce mai multe</w:t>
      </w:r>
      <w:bookmarkEnd w:id="85"/>
      <w:r w:rsidRPr="00AC058C">
        <w:rPr>
          <w:noProof/>
          <w:color w:val="000000" w:themeColor="text1"/>
        </w:rPr>
        <w:t xml:space="preserve"> sarcini de calcul și capacități de stocare sunt îndeplinite cu ajutorul tehnologiei de tip cloud sau al calculatoarelor pentru calculul de înaltă performanță (HPC). Acest lucru a însemnat că centrele de date au devenit un element de infrastructură de bază al sistemelor TIC și se preconizează că consumul de energie al centrelor de date ale UE va crește cu peste 200 % în perioada 2020-2030</w:t>
      </w:r>
      <w:r w:rsidRPr="00AC058C">
        <w:rPr>
          <w:rStyle w:val="FootnoteReference"/>
          <w:rFonts w:eastAsia="Calibri"/>
          <w:noProof/>
          <w:color w:val="000000" w:themeColor="text1"/>
          <w:lang w:eastAsia="en-US"/>
        </w:rPr>
        <w:footnoteReference w:id="56"/>
      </w:r>
      <w:r w:rsidRPr="00AC058C">
        <w:rPr>
          <w:noProof/>
          <w:color w:val="000000" w:themeColor="text1"/>
        </w:rPr>
        <w:t>. În 2018, centrele de date reprezentau 2,7 % din cererea de energie electrică la nivelul UE</w:t>
      </w:r>
      <w:r w:rsidRPr="00AC058C">
        <w:rPr>
          <w:noProof/>
          <w:color w:val="000000" w:themeColor="text1"/>
          <w:vertAlign w:val="superscript"/>
          <w:lang w:eastAsia="en-US"/>
        </w:rPr>
        <w:footnoteReference w:id="57"/>
      </w:r>
      <w:r w:rsidRPr="00AC058C">
        <w:rPr>
          <w:noProof/>
          <w:color w:val="000000" w:themeColor="text1"/>
        </w:rPr>
        <w:t xml:space="preserve">. Comisia ia act în mod corespunzător de îmbunătățirile semnificative în materie de eficiență energetică realizate de industria centrelor de date în ultimele decenii. Însă, pentru ca dubla tranziție verde și digitală să se producă, autoritățile publice sau operatorii de sistem nu ar trebui să fie nevoiți să aleagă între atragerea unor rețele de telecomunicații mai bune și a unor centre de date (hiperscalate), pe de o parte, și asigurarea accesului la energie electrică al întreprinderilor și gospodăriilor, pe de altă parte. </w:t>
      </w:r>
      <w:r w:rsidRPr="00AC058C">
        <w:rPr>
          <w:noProof/>
        </w:rPr>
        <w:t>Comisia a recunoscut deja rolul strategic al centrelor de date în cadrul strategiei intitulate „Busola pentru dimensiunea digitală 2030: modelul european pentru deceniul digital”, care prevede obiectivul ca „aceste infrastructuri să devină neutre din punct de vedere climatic și eficiente din punct de vedere energetic până în 2030”</w:t>
      </w:r>
      <w:r w:rsidRPr="00AC058C">
        <w:rPr>
          <w:rStyle w:val="FootnoteReference"/>
          <w:rFonts w:eastAsia="Calibri"/>
          <w:noProof/>
          <w:color w:val="000000" w:themeColor="text1"/>
          <w:lang w:eastAsia="en-US"/>
        </w:rPr>
        <w:footnoteReference w:id="58"/>
      </w:r>
      <w:r w:rsidRPr="00AC058C">
        <w:rPr>
          <w:noProof/>
        </w:rPr>
        <w:t>.</w:t>
      </w:r>
      <w:r w:rsidRPr="00AC058C">
        <w:rPr>
          <w:noProof/>
          <w:color w:val="000000" w:themeColor="text1"/>
        </w:rPr>
        <w:t xml:space="preserve"> Obiectivul menționat a fost completat de obiectivul de a crea, până în 2030, 10 000 de noduri periferice foarte sigure și neutre</w:t>
      </w:r>
      <w:r w:rsidRPr="00AC058C">
        <w:rPr>
          <w:rStyle w:val="FootnoteReference"/>
          <w:rFonts w:eastAsia="Calibri"/>
          <w:noProof/>
          <w:color w:val="000000" w:themeColor="text1"/>
          <w:lang w:eastAsia="en-US"/>
        </w:rPr>
        <w:footnoteReference w:id="59"/>
      </w:r>
      <w:r w:rsidRPr="00AC058C">
        <w:rPr>
          <w:noProof/>
        </w:rPr>
        <w:t>.</w:t>
      </w:r>
      <w:r w:rsidRPr="00AC058C">
        <w:rPr>
          <w:noProof/>
          <w:color w:val="000000" w:themeColor="text1"/>
        </w:rPr>
        <w:t xml:space="preserve"> Comisia a întreprins deja o serie de acțiuni pentru a atinge aceste obiective</w:t>
      </w:r>
      <w:r w:rsidRPr="00AC058C">
        <w:rPr>
          <w:rStyle w:val="FootnoteReference"/>
          <w:rFonts w:eastAsia="Calibri"/>
          <w:noProof/>
          <w:color w:val="000000" w:themeColor="text1"/>
          <w:lang w:eastAsia="en-US"/>
        </w:rPr>
        <w:footnoteReference w:id="60"/>
      </w:r>
      <w:r w:rsidRPr="00AC058C">
        <w:rPr>
          <w:noProof/>
          <w:color w:val="000000" w:themeColor="text1"/>
        </w:rPr>
        <w:t>. Pe lângă aceste acțiuni, Comisia va întreprinde următoarele acțiuni:</w:t>
      </w:r>
    </w:p>
    <w:p w14:paraId="4F810C47" w14:textId="67D96652" w:rsidR="00D76CE7" w:rsidRPr="00AC058C" w:rsidRDefault="111C5ED7" w:rsidP="00985FAC">
      <w:pPr>
        <w:pStyle w:val="ListParagraph"/>
        <w:numPr>
          <w:ilvl w:val="0"/>
          <w:numId w:val="191"/>
        </w:numPr>
        <w:ind w:left="709"/>
        <w:jc w:val="both"/>
        <w:rPr>
          <w:noProof/>
          <w:color w:val="000000" w:themeColor="text1"/>
        </w:rPr>
      </w:pPr>
      <w:r w:rsidRPr="00AC058C">
        <w:rPr>
          <w:noProof/>
          <w:color w:val="000000" w:themeColor="text1"/>
        </w:rPr>
        <w:t xml:space="preserve">Până în 2025, Comisia va introduce un </w:t>
      </w:r>
      <w:r w:rsidRPr="00AC058C">
        <w:rPr>
          <w:b/>
          <w:noProof/>
          <w:color w:val="000000" w:themeColor="text1"/>
        </w:rPr>
        <w:t>sistem de etichetare ecologică pentru centrele de date, pe baza cerințelor de monitorizare și raportare a consumului de energie pentru centrele de date,</w:t>
      </w:r>
      <w:r w:rsidRPr="00AC058C">
        <w:rPr>
          <w:noProof/>
          <w:color w:val="000000" w:themeColor="text1"/>
        </w:rPr>
        <w:t xml:space="preserve"> astfel cum s-a propus în revizuirea Directivei privind eficiența energetică (DEE)</w:t>
      </w:r>
      <w:r w:rsidRPr="00AC058C">
        <w:rPr>
          <w:noProof/>
          <w:color w:val="000000" w:themeColor="text1"/>
          <w:vertAlign w:val="superscript"/>
          <w:lang w:eastAsia="en-US"/>
        </w:rPr>
        <w:footnoteReference w:id="61"/>
      </w:r>
      <w:r w:rsidRPr="00AC058C">
        <w:rPr>
          <w:noProof/>
          <w:color w:val="000000" w:themeColor="text1"/>
        </w:rPr>
        <w:t xml:space="preserve">. </w:t>
      </w:r>
      <w:r w:rsidRPr="00AC058C">
        <w:rPr>
          <w:noProof/>
        </w:rPr>
        <w:t>Acest sistem de etichetare poate facilita procesul decizional ulterior la nivel național și la nivelul UE pentru a se asigura că centrele de date care își desfășoară activitatea pe piața internă sunt eficiente din punct de vedere energetic și durabile.</w:t>
      </w:r>
    </w:p>
    <w:p w14:paraId="24C0EDF1" w14:textId="43F48A49" w:rsidR="00AB48ED" w:rsidRPr="00AC058C" w:rsidRDefault="111C5ED7" w:rsidP="00985FAC">
      <w:pPr>
        <w:pStyle w:val="ListParagraph"/>
        <w:numPr>
          <w:ilvl w:val="0"/>
          <w:numId w:val="191"/>
        </w:numPr>
        <w:ind w:left="709"/>
        <w:jc w:val="both"/>
        <w:rPr>
          <w:noProof/>
          <w:color w:val="000000" w:themeColor="text1"/>
        </w:rPr>
      </w:pPr>
      <w:r w:rsidRPr="00AC058C">
        <w:rPr>
          <w:noProof/>
          <w:color w:val="000000" w:themeColor="text1"/>
        </w:rPr>
        <w:t xml:space="preserve">Comisia va analiza introducerea </w:t>
      </w:r>
      <w:r w:rsidRPr="00AC058C">
        <w:rPr>
          <w:b/>
          <w:noProof/>
          <w:color w:val="000000" w:themeColor="text1"/>
        </w:rPr>
        <w:t>unor linii de raportare separate pentru emisiile indirecte de gaze cu efect de seră, generate de achiziționarea de servicii de cloud computing și de centrele de date, în standardele de durabilitate ale UE</w:t>
      </w:r>
      <w:r w:rsidRPr="00AC058C">
        <w:rPr>
          <w:noProof/>
          <w:color w:val="000000" w:themeColor="text1"/>
        </w:rPr>
        <w:t xml:space="preserve"> în temeiul Directivei privind raportarea de către întreprinderi de informații privind durabilitatea; </w:t>
      </w:r>
    </w:p>
    <w:p w14:paraId="1874EA7B" w14:textId="1769D9C7" w:rsidR="00D76CE7" w:rsidRPr="00AC058C" w:rsidRDefault="111C5ED7" w:rsidP="00985FAC">
      <w:pPr>
        <w:pStyle w:val="ListParagraph"/>
        <w:numPr>
          <w:ilvl w:val="0"/>
          <w:numId w:val="191"/>
        </w:numPr>
        <w:ind w:left="709"/>
        <w:jc w:val="both"/>
        <w:rPr>
          <w:noProof/>
          <w:color w:val="000000" w:themeColor="text1"/>
        </w:rPr>
      </w:pPr>
      <w:r w:rsidRPr="00AC058C">
        <w:rPr>
          <w:noProof/>
          <w:color w:val="000000" w:themeColor="text1"/>
        </w:rPr>
        <w:t xml:space="preserve">Comisia va îmbunătăți </w:t>
      </w:r>
      <w:r w:rsidRPr="00AC058C">
        <w:rPr>
          <w:b/>
          <w:noProof/>
          <w:color w:val="000000" w:themeColor="text1"/>
        </w:rPr>
        <w:t>cerințele privind</w:t>
      </w:r>
      <w:r w:rsidRPr="00AC058C">
        <w:rPr>
          <w:noProof/>
          <w:color w:val="000000" w:themeColor="text1"/>
        </w:rPr>
        <w:t xml:space="preserve"> </w:t>
      </w:r>
      <w:r w:rsidRPr="00AC058C">
        <w:rPr>
          <w:b/>
          <w:noProof/>
          <w:color w:val="000000" w:themeColor="text1"/>
        </w:rPr>
        <w:t>condițiile de funcționare a serverelor și a produselor pentru stocarea datelor și va lua în considerare o etichetă energetică pentru serverele și produsele pentru stocarea datelor</w:t>
      </w:r>
      <w:r w:rsidRPr="00AC058C">
        <w:rPr>
          <w:noProof/>
          <w:color w:val="000000" w:themeColor="text1"/>
        </w:rPr>
        <w:t xml:space="preserve"> prin </w:t>
      </w:r>
      <w:r w:rsidRPr="00AC058C">
        <w:rPr>
          <w:b/>
          <w:noProof/>
          <w:color w:val="000000" w:themeColor="text1"/>
        </w:rPr>
        <w:t>revizuirea normelor de proiectare ecologică</w:t>
      </w:r>
      <w:r w:rsidRPr="00AC058C">
        <w:rPr>
          <w:noProof/>
          <w:color w:val="000000" w:themeColor="text1"/>
        </w:rPr>
        <w:t xml:space="preserve"> </w:t>
      </w:r>
      <w:r w:rsidRPr="00AC058C">
        <w:rPr>
          <w:b/>
          <w:noProof/>
          <w:color w:val="000000" w:themeColor="text1"/>
        </w:rPr>
        <w:t>pentru servere și produsele</w:t>
      </w:r>
      <w:r w:rsidRPr="00AC058C">
        <w:rPr>
          <w:noProof/>
          <w:color w:val="000000" w:themeColor="text1"/>
        </w:rPr>
        <w:t xml:space="preserve"> </w:t>
      </w:r>
      <w:r w:rsidRPr="00AC058C">
        <w:rPr>
          <w:b/>
          <w:noProof/>
          <w:color w:val="000000" w:themeColor="text1"/>
        </w:rPr>
        <w:t>pentru stocarea datelor</w:t>
      </w:r>
      <w:r w:rsidRPr="00AC058C">
        <w:rPr>
          <w:rStyle w:val="FootnoteReference"/>
          <w:b/>
          <w:bCs/>
          <w:noProof/>
          <w:color w:val="000000" w:themeColor="text1"/>
          <w:lang w:eastAsia="en-US"/>
        </w:rPr>
        <w:footnoteReference w:id="62"/>
      </w:r>
      <w:r w:rsidRPr="00AC058C">
        <w:rPr>
          <w:noProof/>
        </w:rPr>
        <w:t>.</w:t>
      </w:r>
    </w:p>
    <w:p w14:paraId="645054FD" w14:textId="77777777" w:rsidR="001E79A2" w:rsidRPr="00AC058C" w:rsidRDefault="111C5ED7" w:rsidP="001E79A2">
      <w:pPr>
        <w:pStyle w:val="ListParagraph"/>
        <w:numPr>
          <w:ilvl w:val="0"/>
          <w:numId w:val="191"/>
        </w:numPr>
        <w:ind w:left="709"/>
        <w:jc w:val="both"/>
        <w:rPr>
          <w:noProof/>
        </w:rPr>
      </w:pPr>
      <w:r w:rsidRPr="00AC058C">
        <w:rPr>
          <w:noProof/>
        </w:rPr>
        <w:t>Comisia va promova reutilizarea căldurii reziduale, provenite de la centrele de date, pentru încălzirea locuințelor și a întreprinderilor, în cadrul Directivelor revizuite privind eficiența energetică (DEE) și privind energia din surse regenerabile (REDII),</w:t>
      </w:r>
      <w:r w:rsidRPr="00AC058C">
        <w:rPr>
          <w:noProof/>
          <w:vertAlign w:val="superscript"/>
        </w:rPr>
        <w:t xml:space="preserve"> </w:t>
      </w:r>
      <w:r w:rsidRPr="00AC058C">
        <w:rPr>
          <w:noProof/>
        </w:rPr>
        <w:t xml:space="preserve">precum și prin intermediul </w:t>
      </w:r>
      <w:r w:rsidRPr="00AC058C">
        <w:rPr>
          <w:b/>
          <w:noProof/>
        </w:rPr>
        <w:t>orientărilor prevăzute pentru planurile naționale privind energia și clima</w:t>
      </w:r>
      <w:r w:rsidRPr="00AC058C">
        <w:rPr>
          <w:noProof/>
        </w:rPr>
        <w:t xml:space="preserve"> ale statelor membre, pentru a se asigura că aceste centre joacă un rol benefic pentru comunitățile din proximitatea lor.</w:t>
      </w:r>
    </w:p>
    <w:p w14:paraId="452D7E3D" w14:textId="756D8C10" w:rsidR="00AD6235" w:rsidRPr="00AC058C" w:rsidRDefault="465209F2" w:rsidP="001E79A2">
      <w:pPr>
        <w:pStyle w:val="ListParagraph"/>
        <w:numPr>
          <w:ilvl w:val="0"/>
          <w:numId w:val="191"/>
        </w:numPr>
        <w:ind w:left="709"/>
        <w:jc w:val="both"/>
        <w:rPr>
          <w:noProof/>
        </w:rPr>
      </w:pPr>
      <w:r w:rsidRPr="00AC058C">
        <w:rPr>
          <w:noProof/>
        </w:rPr>
        <w:t xml:space="preserve">Comisia intenționează, de asemenea, să finanțeze activitățile de cercetare și inovare în sisteme care pot stoca căldura reziduală produsă de centrele de date în timpul sezonului de vară pentru a încălzi gospodăriile și întreprinderile în timpul iernii; Pentru a sprijini aceste inițiative, </w:t>
      </w:r>
      <w:bookmarkStart w:id="86" w:name="_Hlk108690653"/>
      <w:r w:rsidRPr="00AC058C">
        <w:rPr>
          <w:noProof/>
        </w:rPr>
        <w:t>Comisia va lansa un studiu la sfârșitul anului 2022 privind optimizarea integrării globale a centrelor de date în sistemele de energie și de apă.</w:t>
      </w:r>
      <w:bookmarkStart w:id="87" w:name="_Toc103872602"/>
      <w:bookmarkStart w:id="88" w:name="_Toc105447858"/>
      <w:bookmarkStart w:id="89" w:name="_Toc105576256"/>
      <w:bookmarkStart w:id="90" w:name="_Toc727656940"/>
      <w:bookmarkStart w:id="91" w:name="_Toc1849758815"/>
      <w:bookmarkStart w:id="92" w:name="_Toc105777792"/>
      <w:bookmarkStart w:id="93" w:name="_Toc106053801"/>
      <w:bookmarkEnd w:id="86"/>
    </w:p>
    <w:p w14:paraId="06A33E33" w14:textId="77777777" w:rsidR="001E79A2" w:rsidRPr="00AC058C" w:rsidRDefault="001E79A2" w:rsidP="001E79A2">
      <w:pPr>
        <w:pStyle w:val="ListParagraph"/>
        <w:ind w:left="709"/>
        <w:jc w:val="both"/>
        <w:rPr>
          <w:noProof/>
        </w:rPr>
      </w:pPr>
    </w:p>
    <w:p w14:paraId="36153BA1" w14:textId="61CB0937" w:rsidR="00336316" w:rsidRPr="00AC058C" w:rsidRDefault="00572BE7" w:rsidP="00B33E58">
      <w:pPr>
        <w:ind w:firstLine="720"/>
        <w:rPr>
          <w:b/>
          <w:noProof/>
        </w:rPr>
      </w:pPr>
      <w:r w:rsidRPr="00AC058C">
        <w:rPr>
          <w:b/>
          <w:noProof/>
        </w:rPr>
        <w:t>6.4.</w:t>
      </w:r>
      <w:r w:rsidRPr="00AC058C">
        <w:rPr>
          <w:noProof/>
        </w:rPr>
        <w:tab/>
      </w:r>
      <w:r w:rsidRPr="00AC058C">
        <w:rPr>
          <w:b/>
          <w:noProof/>
        </w:rPr>
        <w:t>Consumul de energie al criptomonedelor</w:t>
      </w:r>
      <w:bookmarkEnd w:id="87"/>
      <w:bookmarkEnd w:id="88"/>
      <w:bookmarkEnd w:id="89"/>
      <w:bookmarkEnd w:id="90"/>
      <w:bookmarkEnd w:id="91"/>
      <w:bookmarkEnd w:id="92"/>
      <w:bookmarkEnd w:id="93"/>
    </w:p>
    <w:p w14:paraId="679D52FF" w14:textId="02A183C2" w:rsidR="005C2326" w:rsidRPr="00AC058C" w:rsidRDefault="006A1BB5" w:rsidP="00A97D30">
      <w:pPr>
        <w:spacing w:after="0"/>
        <w:rPr>
          <w:b/>
          <w:bCs/>
          <w:noProof/>
          <w:color w:val="000000" w:themeColor="text1"/>
        </w:rPr>
      </w:pPr>
      <w:r w:rsidRPr="00AC058C">
        <w:rPr>
          <w:noProof/>
          <w:color w:val="000000" w:themeColor="text1"/>
        </w:rPr>
        <w:t>La fel cum utilizarea lor a crescut în mod semnificativ, consumul de energie al criptomonedelor s-a dublat mai mult sau mai puțin în comparație cu doi ani în urmă</w:t>
      </w:r>
      <w:r w:rsidRPr="00AC058C">
        <w:rPr>
          <w:rStyle w:val="FootnoteReference"/>
          <w:noProof/>
          <w:color w:val="000000" w:themeColor="text1"/>
          <w:lang w:eastAsia="en-US"/>
        </w:rPr>
        <w:footnoteReference w:id="63"/>
      </w:r>
      <w:r w:rsidRPr="00AC058C">
        <w:rPr>
          <w:noProof/>
          <w:color w:val="000000" w:themeColor="text1"/>
        </w:rPr>
        <w:t>, ajungând la aproximativ 0,4 % din consumul de energie electrică la nivel mondial</w:t>
      </w:r>
      <w:r w:rsidRPr="00AC058C">
        <w:rPr>
          <w:noProof/>
          <w:vertAlign w:val="superscript"/>
        </w:rPr>
        <w:footnoteReference w:id="64"/>
      </w:r>
      <w:r w:rsidRPr="00AC058C">
        <w:rPr>
          <w:noProof/>
          <w:color w:val="000000" w:themeColor="text1"/>
        </w:rPr>
        <w:t xml:space="preserve">. </w:t>
      </w:r>
      <w:bookmarkStart w:id="94" w:name="_Int_ivUHPCFk"/>
      <w:r w:rsidRPr="00AC058C">
        <w:rPr>
          <w:noProof/>
          <w:color w:val="000000" w:themeColor="text1"/>
        </w:rPr>
        <w:t>În valorificarea utilizării criptomonedelor și a altor tehnologii blockchain pe piețele energiei și în comerțul cu energie, trebuie să se aibă grijă să se utilizeze numai versiunile cele mai eficiente din punct de vedere energetic ale acestei tehnologii. Cea mai mare parte</w:t>
      </w:r>
      <w:bookmarkEnd w:id="94"/>
      <w:r w:rsidRPr="00AC058C">
        <w:rPr>
          <w:noProof/>
          <w:color w:val="000000" w:themeColor="text1"/>
        </w:rPr>
        <w:t xml:space="preserve"> a consumului de energie este generată de mecanismul de consens „proof-of-work” </w:t>
      </w:r>
      <w:bookmarkStart w:id="95" w:name="_Int_AXySjRye"/>
      <w:r w:rsidRPr="00AC058C">
        <w:rPr>
          <w:noProof/>
          <w:color w:val="000000" w:themeColor="text1"/>
        </w:rPr>
        <w:t>relativ depășit</w:t>
      </w:r>
      <w:bookmarkEnd w:id="95"/>
      <w:r w:rsidRPr="00AC058C">
        <w:rPr>
          <w:noProof/>
          <w:color w:val="000000" w:themeColor="text1"/>
        </w:rPr>
        <w:t>, care este totuși utilizat de cea mai populară criptomonedă (Bitcoin)</w:t>
      </w:r>
      <w:r w:rsidRPr="00AC058C">
        <w:rPr>
          <w:noProof/>
          <w:color w:val="000000" w:themeColor="text1"/>
          <w:vertAlign w:val="superscript"/>
        </w:rPr>
        <w:footnoteReference w:id="65"/>
      </w:r>
      <w:r w:rsidRPr="00AC058C">
        <w:rPr>
          <w:noProof/>
        </w:rPr>
        <w:t>.</w:t>
      </w:r>
      <w:r w:rsidRPr="00AC058C">
        <w:rPr>
          <w:noProof/>
          <w:color w:val="000000" w:themeColor="text1"/>
        </w:rPr>
        <w:t xml:space="preserve"> Întrucât Europa reprezintă în prezent doar aproximativ 10 % din activitățile de minerit de tip „Proof-of-work” la nivel mondial, este necesară cooperarea internațională pentru a aborda problema consumului ridicat de energie al activităților de minerit de tip „Proof-of-work” la nivel mondial. </w:t>
      </w:r>
    </w:p>
    <w:p w14:paraId="1985F3BB" w14:textId="77777777" w:rsidR="00B94E2B" w:rsidRPr="00AC058C" w:rsidRDefault="00B94E2B" w:rsidP="00A97D30">
      <w:pPr>
        <w:spacing w:after="0"/>
        <w:rPr>
          <w:b/>
          <w:bCs/>
          <w:noProof/>
          <w:color w:val="000000" w:themeColor="text1"/>
          <w:lang w:eastAsia="en-US"/>
        </w:rPr>
      </w:pPr>
    </w:p>
    <w:p w14:paraId="42E40069" w14:textId="67EA2042" w:rsidR="00EC6221" w:rsidRPr="00AC058C" w:rsidRDefault="111C5ED7" w:rsidP="00A97D30">
      <w:pPr>
        <w:spacing w:after="0"/>
        <w:rPr>
          <w:noProof/>
          <w:color w:val="000000" w:themeColor="text1"/>
        </w:rPr>
      </w:pPr>
      <w:r w:rsidRPr="00AC058C">
        <w:rPr>
          <w:noProof/>
          <w:color w:val="000000" w:themeColor="text1"/>
        </w:rPr>
        <w:t>Pe lângă măsurile care vizează centrele de date și serviciile de cloud computing (a se vedea secțiunea de mai sus), propunerea de Regulament privind piețele criptoactivelor (MiCA), cu privire la care s-a ajuns la un acord politic între colegiuitori la 30 iunie 2022, le va impune actorilor de pe piața criptoactivelor să publice informații privind amprenta de mediu și climatică a criptoactivelor. Autoritatea Europeană pentru Valori Mobiliare și Piețe va elabora proiecte de standarde tehnice de reglementare privind conținutul, metodologiile și prezentarea informațiilor referitoare la principalele efecte negative asupra mediului și a climei</w:t>
      </w:r>
      <w:r w:rsidRPr="00AC058C">
        <w:rPr>
          <w:rStyle w:val="FootnoteReference"/>
          <w:noProof/>
          <w:color w:val="000000" w:themeColor="text1"/>
          <w:lang w:eastAsia="en-US"/>
        </w:rPr>
        <w:footnoteReference w:id="66"/>
      </w:r>
      <w:r w:rsidRPr="00AC058C">
        <w:rPr>
          <w:noProof/>
        </w:rPr>
        <w:t>.</w:t>
      </w:r>
      <w:r w:rsidRPr="00AC058C">
        <w:rPr>
          <w:noProof/>
          <w:color w:val="000000" w:themeColor="text1"/>
        </w:rPr>
        <w:t xml:space="preserve"> În plus, până în 2025, Comisia va </w:t>
      </w:r>
      <w:r w:rsidRPr="00AC058C">
        <w:rPr>
          <w:b/>
          <w:noProof/>
          <w:color w:val="000000" w:themeColor="text1"/>
        </w:rPr>
        <w:t xml:space="preserve">elabora un raport care va include o descriere a impactului asupra mediului și a climei al noilor tehnologii de pe piața criptoactivelor. </w:t>
      </w:r>
      <w:r w:rsidRPr="00AC058C">
        <w:rPr>
          <w:noProof/>
          <w:color w:val="000000" w:themeColor="text1"/>
        </w:rPr>
        <w:t xml:space="preserve">Raportul va include, de asemenea, </w:t>
      </w:r>
      <w:r w:rsidRPr="00AC058C">
        <w:rPr>
          <w:b/>
          <w:noProof/>
          <w:color w:val="000000" w:themeColor="text1"/>
        </w:rPr>
        <w:t>o evaluare a opțiunilor de politică pentru a atenua efectele negative asupra climei ale tehnologiilor utilizate pe piața criptoactivelor, în special în ceea ce privește mecanismele de consens.</w:t>
      </w:r>
      <w:r w:rsidRPr="00AC058C">
        <w:rPr>
          <w:noProof/>
          <w:color w:val="000000" w:themeColor="text1"/>
        </w:rPr>
        <w:t xml:space="preserve"> </w:t>
      </w:r>
    </w:p>
    <w:p w14:paraId="3FF08DD1" w14:textId="77777777" w:rsidR="00EC6221" w:rsidRPr="00AC058C" w:rsidRDefault="00EC6221" w:rsidP="00A97D30">
      <w:pPr>
        <w:spacing w:after="0"/>
        <w:rPr>
          <w:noProof/>
          <w:color w:val="000000" w:themeColor="text1"/>
          <w:lang w:eastAsia="en-US"/>
        </w:rPr>
      </w:pPr>
    </w:p>
    <w:p w14:paraId="077E45A8" w14:textId="77777777" w:rsidR="00EC6221" w:rsidRPr="00AC058C" w:rsidRDefault="00EC6221" w:rsidP="00A97D30">
      <w:pPr>
        <w:spacing w:after="0"/>
        <w:rPr>
          <w:b/>
          <w:bCs/>
          <w:noProof/>
          <w:color w:val="000000" w:themeColor="text1"/>
          <w:lang w:eastAsia="en-US"/>
        </w:rPr>
      </w:pPr>
    </w:p>
    <w:p w14:paraId="1A32C057" w14:textId="261B19B1" w:rsidR="00ED591F" w:rsidRPr="00AC058C" w:rsidRDefault="00EC6221" w:rsidP="00ED591F">
      <w:pPr>
        <w:rPr>
          <w:bCs/>
          <w:noProof/>
          <w:color w:val="000000" w:themeColor="text1"/>
        </w:rPr>
      </w:pPr>
      <w:r w:rsidRPr="00AC058C">
        <w:rPr>
          <w:noProof/>
          <w:color w:val="000000" w:themeColor="text1"/>
        </w:rPr>
        <w:t xml:space="preserve">Între timp, având în vedere actuala criză energetică și riscurile sporite pentru iarna următoare, Comisia îndeamnă statele membre (i) să implementeze măsuri specifice și proporționale pentru a </w:t>
      </w:r>
      <w:r w:rsidRPr="00AC058C">
        <w:rPr>
          <w:b/>
          <w:noProof/>
          <w:color w:val="000000" w:themeColor="text1"/>
        </w:rPr>
        <w:t>reduce consumul de energie electrică al minerilor de criptoactive</w:t>
      </w:r>
      <w:r w:rsidRPr="00AC058C">
        <w:rPr>
          <w:noProof/>
          <w:color w:val="000000" w:themeColor="text1"/>
        </w:rPr>
        <w:t>, în conformitate cu propunerea de regulament al Consiliului privind o intervenție de urgență pentru a aborda problema prețurilor ridicate la energie și (ii), tot dintr-o perspectivă pe termen mai lung, să pună capăt scutirilor fiscale și altor măsuri fiscale în beneficiul minerilor de criptoactive, aflate în prezent în vigoare în anumite state membre. În cazul în care este necesară descărcarea sarcinii în sistemele de energie electrică, statele membre trebuie, de asemenea, să fie pregătite să oprească mineritul de criptoactive.</w:t>
      </w:r>
    </w:p>
    <w:p w14:paraId="5ADF3916" w14:textId="77777777" w:rsidR="002B5914" w:rsidRPr="00AC058C" w:rsidRDefault="00765E04" w:rsidP="00952A0B">
      <w:pPr>
        <w:rPr>
          <w:noProof/>
        </w:rPr>
      </w:pPr>
      <w:r w:rsidRPr="00AC058C">
        <w:rPr>
          <w:noProof/>
        </w:rPr>
        <w:t>La 15 septembrie 2022, Ethereum, a doua cea mai mare criptomonedă din lume, a finalizat trecerea îndelung așteptată la mecanismul de consens „proof-of-stake”, care, conform estimărilor societății, ar reduce consumul de energie al Ethereum cu peste 99 %. Dacă, până în prezent, numai criptomonedele cu o capitalizare mai mică s-au bazat pe mecanismul de consens menționat care utilizează mai puțină energie, această schimbare arată că lumea criptoactivelor se poate îndrepta către un sistem mai eficient. Dar trebuie să facem tot ce ne stă în putință pentru ca acest lucru să se întâmple. Pentru a reduce consumul de energie, Comisia va promova mecanisme de consens „care respectă mediul” prin intermediul infrastructurii europene de servicii blockchain ca standard de referință în Europa și în lume.</w:t>
      </w:r>
    </w:p>
    <w:p w14:paraId="63770D1D" w14:textId="004FEAB1" w:rsidR="002B5914" w:rsidRPr="00AC058C" w:rsidRDefault="002B5914" w:rsidP="00A97D30">
      <w:pPr>
        <w:spacing w:after="0"/>
        <w:rPr>
          <w:noProof/>
        </w:rPr>
      </w:pPr>
      <w:r w:rsidRPr="00AC058C">
        <w:rPr>
          <w:noProof/>
        </w:rPr>
        <w:t xml:space="preserve">Comisia va coopera la nivel internațional cu organismele de standardizare și se va baza pe expertiza tehnică a acestora pentru a elabora o </w:t>
      </w:r>
      <w:r w:rsidRPr="00AC058C">
        <w:rPr>
          <w:b/>
          <w:noProof/>
        </w:rPr>
        <w:t>etichetă de eficiență energetică pentru tehnologiile blockchain</w:t>
      </w:r>
      <w:r w:rsidRPr="00AC058C">
        <w:rPr>
          <w:noProof/>
        </w:rPr>
        <w:t>.</w:t>
      </w:r>
    </w:p>
    <w:p w14:paraId="2B1B7237" w14:textId="77777777" w:rsidR="007E2BCB" w:rsidRPr="00AC058C" w:rsidRDefault="007E2BCB" w:rsidP="00B33E58">
      <w:pPr>
        <w:rPr>
          <w:noProof/>
        </w:rPr>
      </w:pPr>
      <w:bookmarkStart w:id="96" w:name="_Toc103878054"/>
      <w:bookmarkStart w:id="97" w:name="_Toc103878055"/>
      <w:bookmarkStart w:id="98" w:name="_Toc103878056"/>
      <w:bookmarkStart w:id="99" w:name="_Toc103878057"/>
      <w:bookmarkStart w:id="100" w:name="_Toc106053803"/>
      <w:bookmarkEnd w:id="96"/>
      <w:bookmarkEnd w:id="97"/>
      <w:bookmarkEnd w:id="98"/>
      <w:bookmarkEnd w:id="99"/>
    </w:p>
    <w:p w14:paraId="56F96280" w14:textId="77777777" w:rsidR="000473DB" w:rsidRPr="00AC058C" w:rsidRDefault="00352428" w:rsidP="00B33E58">
      <w:pPr>
        <w:rPr>
          <w:noProof/>
        </w:rPr>
      </w:pPr>
      <w:r w:rsidRPr="00AC058C">
        <w:rPr>
          <w:b/>
          <w:smallCaps/>
          <w:noProof/>
        </w:rPr>
        <w:t>7. O abordare coordonată la nivelul UE</w:t>
      </w:r>
      <w:bookmarkEnd w:id="100"/>
    </w:p>
    <w:p w14:paraId="38449D05" w14:textId="77777777" w:rsidR="003B6DA2" w:rsidRPr="00AC058C" w:rsidRDefault="003B6DA2" w:rsidP="1D75EFF6">
      <w:pPr>
        <w:rPr>
          <w:rStyle w:val="eop"/>
          <w:noProof/>
          <w:color w:val="000000" w:themeColor="text1"/>
        </w:rPr>
      </w:pPr>
      <w:r w:rsidRPr="00AC058C">
        <w:rPr>
          <w:noProof/>
          <w:color w:val="000000" w:themeColor="text1"/>
        </w:rPr>
        <w:t xml:space="preserve">Digitalizarea este un proces continuu de transformare a societății și a sistemului energetic. Este nevoie de o planificare atentă la toate nivelurile, de un dialog specific și de orientări politice cu privire la cele mai bune modalități de realizare a obiectivelor de politică digitală și ecologică ale UE. </w:t>
      </w:r>
      <w:r w:rsidRPr="00AC058C">
        <w:rPr>
          <w:rStyle w:val="eop"/>
          <w:noProof/>
          <w:color w:val="000000" w:themeColor="text1"/>
        </w:rPr>
        <w:t>Viteza și caracterul global al digitalizării înseamnă că ar trebui să se acorde prioritate următoarelor aspecte: (i) sprijinirea sinergiilor legate de dubla tranziție prin intermediul principalelor cadre ale UE pentru planificarea de către statele membre a dublei tranziții și al instrumentelor de finanțare ale UE; (ii) o cooperare mai strânsă la nivelul UE între autoritățile publice, precum și între părțile interesate din domeniul energiei și din domeniul digital de-a lungul întregului lanț valoric al energiei și (iii) o cooperare mai strânsă la nivel internațional cu țări și organizații internaționale care împărtășesc aceeași viziune.</w:t>
      </w:r>
    </w:p>
    <w:p w14:paraId="3B489E76" w14:textId="77777777" w:rsidR="00045992" w:rsidRPr="00AC058C" w:rsidRDefault="00572BE7" w:rsidP="00B33E58">
      <w:pPr>
        <w:ind w:firstLine="720"/>
        <w:rPr>
          <w:b/>
          <w:noProof/>
        </w:rPr>
      </w:pPr>
      <w:r w:rsidRPr="00AC058C">
        <w:rPr>
          <w:b/>
          <w:noProof/>
        </w:rPr>
        <w:t>7.1.</w:t>
      </w:r>
      <w:r w:rsidRPr="00AC058C">
        <w:rPr>
          <w:noProof/>
        </w:rPr>
        <w:tab/>
      </w:r>
      <w:r w:rsidRPr="00AC058C">
        <w:rPr>
          <w:b/>
          <w:noProof/>
        </w:rPr>
        <w:t xml:space="preserve">Sprijinirea planului REPowerEU și a redresării în urma pandemiei de COVID-19 </w:t>
      </w:r>
    </w:p>
    <w:p w14:paraId="6BF3DFF1" w14:textId="584886C6" w:rsidR="004E0F19" w:rsidRPr="00AC058C" w:rsidRDefault="6BE1F682" w:rsidP="1D75EFF6">
      <w:pPr>
        <w:spacing w:after="120"/>
        <w:rPr>
          <w:noProof/>
        </w:rPr>
      </w:pPr>
      <w:r w:rsidRPr="00AC058C">
        <w:rPr>
          <w:noProof/>
          <w:color w:val="000000" w:themeColor="text1"/>
        </w:rPr>
        <w:t>În planurile lor naționale de redresare și reziliență (PNRR), statele membre au recunoscut potențialul sinergiilor dintre Pactul verde și programul de politică pentru 2030 „Calea către deceniul digital”. De exemplu, multe planuri de redresare și reziliență au menționat utilizarea soluțiilor digitale pentru: (i) accelerarea decarbonizării rețelelor energetice; (ii) integrarea contoarelor inteligente în sistemele energetice sau (iii) modernizarea caracterului inteligent al rețelelor de energie electrică</w:t>
      </w:r>
      <w:r w:rsidRPr="00AC058C">
        <w:rPr>
          <w:rStyle w:val="FootnoteReference"/>
          <w:noProof/>
          <w:color w:val="000000" w:themeColor="text1"/>
        </w:rPr>
        <w:footnoteReference w:id="67"/>
      </w:r>
      <w:r w:rsidRPr="00AC058C">
        <w:rPr>
          <w:noProof/>
          <w:color w:val="000000" w:themeColor="text1"/>
        </w:rPr>
        <w:t xml:space="preserve">. Mecanismul de redresare și reziliență (MRR) are, de asemenea, potențialul de a fi un instrument-cheie menit să contribuie la realizarea planului REPowerEU, deoarece este un instrument flexibil pentru abordarea provocărilor dintr-o gamă largă de domenii de politică pe termen mediu. </w:t>
      </w:r>
    </w:p>
    <w:p w14:paraId="05E320E8" w14:textId="432F10EB" w:rsidR="004E0F19" w:rsidRPr="00AC058C" w:rsidRDefault="00CF5A5A" w:rsidP="0005789E">
      <w:pPr>
        <w:rPr>
          <w:noProof/>
          <w:color w:val="000000" w:themeColor="text1"/>
        </w:rPr>
      </w:pPr>
      <w:r w:rsidRPr="00AC058C">
        <w:rPr>
          <w:noProof/>
        </w:rPr>
        <w:t>În mai 2022, Comisia a prezentat o propunere legislativă pentru a adăuga capitole privind REPowerEU în planurile naționale de redresare și reziliență, pentru a sprijini reformele și investițiile specifice necesare pentru punerea în aplicare a planului REPowerEU</w:t>
      </w:r>
      <w:r w:rsidRPr="00AC058C">
        <w:rPr>
          <w:noProof/>
          <w:color w:val="000000" w:themeColor="text1"/>
          <w:vertAlign w:val="superscript"/>
        </w:rPr>
        <w:footnoteReference w:id="68"/>
      </w:r>
      <w:r w:rsidRPr="00AC058C">
        <w:rPr>
          <w:noProof/>
        </w:rPr>
        <w:t>.</w:t>
      </w:r>
      <w:r w:rsidRPr="00AC058C">
        <w:rPr>
          <w:noProof/>
          <w:color w:val="000000" w:themeColor="text1"/>
        </w:rPr>
        <w:t xml:space="preserve"> Prin urmare, în contextul dialogurilor în curs dintre UE și statele membre cu privire la modul în care PNRR-urile pot contribui la îndeplinirea obiectivelor planului REPowerEU, Comisia</w:t>
      </w:r>
      <w:r w:rsidRPr="00AC058C">
        <w:rPr>
          <w:b/>
          <w:noProof/>
          <w:color w:val="000000" w:themeColor="text1"/>
        </w:rPr>
        <w:t xml:space="preserve"> invită statele membre să contureze, dacă este cazul, măsuri în domeniul digitalizării sistemului energetic al infrastructurii energetice</w:t>
      </w:r>
      <w:r w:rsidRPr="00AC058C">
        <w:rPr>
          <w:noProof/>
          <w:color w:val="000000" w:themeColor="text1"/>
        </w:rPr>
        <w:t>.</w:t>
      </w:r>
    </w:p>
    <w:p w14:paraId="75721D99" w14:textId="77777777" w:rsidR="004E26BA" w:rsidRPr="00AC058C" w:rsidRDefault="001D2809" w:rsidP="00B33E58">
      <w:pPr>
        <w:ind w:firstLine="720"/>
        <w:rPr>
          <w:b/>
          <w:noProof/>
        </w:rPr>
      </w:pPr>
      <w:bookmarkStart w:id="101" w:name="_Toc105777795"/>
      <w:bookmarkStart w:id="102" w:name="_Toc106053804"/>
      <w:bookmarkStart w:id="103" w:name="_Toc746205218"/>
      <w:bookmarkStart w:id="104" w:name="_Toc2024426999"/>
      <w:r w:rsidRPr="00AC058C">
        <w:rPr>
          <w:b/>
          <w:noProof/>
        </w:rPr>
        <w:t>7.2.</w:t>
      </w:r>
      <w:r w:rsidRPr="00AC058C">
        <w:rPr>
          <w:noProof/>
        </w:rPr>
        <w:tab/>
      </w:r>
      <w:r w:rsidRPr="00AC058C">
        <w:rPr>
          <w:b/>
          <w:noProof/>
        </w:rPr>
        <w:t>Sinergiile dintre agenda energetică și agenda</w:t>
      </w:r>
      <w:bookmarkEnd w:id="101"/>
      <w:bookmarkEnd w:id="102"/>
      <w:r w:rsidRPr="00AC058C">
        <w:rPr>
          <w:b/>
          <w:noProof/>
        </w:rPr>
        <w:t xml:space="preserve"> digitală ale UE </w:t>
      </w:r>
    </w:p>
    <w:p w14:paraId="35E67510" w14:textId="6F9F0526" w:rsidR="00AE3D5D" w:rsidRPr="00AC058C" w:rsidRDefault="00FC2AC8" w:rsidP="00985FAC">
      <w:pPr>
        <w:rPr>
          <w:noProof/>
          <w:color w:val="000000" w:themeColor="text1"/>
        </w:rPr>
      </w:pPr>
      <w:r w:rsidRPr="00AC058C">
        <w:rPr>
          <w:noProof/>
          <w:color w:val="000000" w:themeColor="text1"/>
        </w:rPr>
        <w:t xml:space="preserve">În viitor, este esențial să se exploateze sinergiile dintre tranziția verde și cea digitală în cadrul celor două instrumente principale de la nivelul UE care ghidează Pactul verde european și programul de politică pentru 2030 „Calea către deceniul digital”, și anume: (i) planurile naționale privind energia și clima – și, </w:t>
      </w:r>
      <w:bookmarkStart w:id="105" w:name="_Int_BreHLyFt"/>
      <w:r w:rsidRPr="00AC058C">
        <w:rPr>
          <w:noProof/>
          <w:color w:val="000000" w:themeColor="text1"/>
        </w:rPr>
        <w:t>în special,</w:t>
      </w:r>
      <w:bookmarkEnd w:id="105"/>
      <w:r w:rsidRPr="00AC058C">
        <w:rPr>
          <w:noProof/>
          <w:color w:val="000000" w:themeColor="text1"/>
        </w:rPr>
        <w:t xml:space="preserve"> actualizările acestora care trebuie efectuate până în iunie 2024 pentru a reflecta nivelul sporit de ambiție al cadrului revizuit pentru 2030 și (ii) foile de parcurs naționale privind deceniul digital. Aceste sinergii includ utilizarea datelor și a instrumentelor pentru integrarea și planificarea sistemului energetic. Sinergiile privesc, de asemenea, integrarea optimă a infrastructurii digitale, cum ar fi centrele de date și infrastructura de tip cloud, în ansamblul sistemelor energetice și de încălzire, în coexistență cu utilizările concurente ale acestui sistem, de exemplu prin intermediul centrelor de date eficiente din punct de vedere energetic și al reutilizării căldurii reziduale pentru întreprinderi și gospodării, precum și prin alocarea de spectru în rețelele de telecomunicații pentru soluțiile de rețele energetice inteligente. Modalitățile de exploatare pe deplin a acestor sinergii vor fi analizate în orientările pentru actualizarea de către statele membre a planurilor lor naționale integrate privind energia și clima, pe care Comisia intenționează să le publice ulterior în cursul acestui an. </w:t>
      </w:r>
    </w:p>
    <w:p w14:paraId="6525B1AA" w14:textId="1D92BF42" w:rsidR="007417DB" w:rsidRPr="00AC058C" w:rsidRDefault="1AA5D67D" w:rsidP="00232A7F">
      <w:pPr>
        <w:pStyle w:val="ListBullet1"/>
        <w:numPr>
          <w:ilvl w:val="0"/>
          <w:numId w:val="0"/>
        </w:numPr>
        <w:rPr>
          <w:noProof/>
          <w:color w:val="000000" w:themeColor="text1"/>
        </w:rPr>
      </w:pPr>
      <w:r w:rsidRPr="00AC058C">
        <w:rPr>
          <w:rStyle w:val="normaltextrun"/>
          <w:noProof/>
          <w:color w:val="000000" w:themeColor="text1"/>
        </w:rPr>
        <w:t xml:space="preserve">În plus, </w:t>
      </w:r>
      <w:r w:rsidRPr="00AC058C">
        <w:rPr>
          <w:rStyle w:val="normaltextrun"/>
          <w:noProof/>
          <w:color w:val="000000" w:themeColor="text1"/>
          <w:shd w:val="clear" w:color="auto" w:fill="FFFFFF"/>
        </w:rPr>
        <w:t xml:space="preserve">Comisia </w:t>
      </w:r>
      <w:r w:rsidRPr="00AC058C">
        <w:rPr>
          <w:rStyle w:val="normaltextrun"/>
          <w:b/>
          <w:noProof/>
          <w:color w:val="000000" w:themeColor="text1"/>
          <w:shd w:val="clear" w:color="auto" w:fill="FFFFFF"/>
        </w:rPr>
        <w:t>va recurge la Grupul de experți în domeniul energiei inteligente pentru a institui un dialog structurat la nivel înalt cu reprezentanții naționali pe tema „Digitalizarea energiei: situația actuală, progrese, oportunități și provocări”</w:t>
      </w:r>
      <w:r w:rsidRPr="00AC058C">
        <w:rPr>
          <w:rStyle w:val="normaltextrun"/>
          <w:noProof/>
          <w:color w:val="000000" w:themeColor="text1"/>
          <w:shd w:val="clear" w:color="auto" w:fill="FFFFFF"/>
        </w:rPr>
        <w:t xml:space="preserve">. </w:t>
      </w:r>
      <w:r w:rsidRPr="00AC058C">
        <w:rPr>
          <w:noProof/>
        </w:rPr>
        <w:t>Grupul de experți va lansa o analiză complementară între Comisie și statele membre, bazată atât pe PNEC, cât și pe dialogurile de cooperare prevăzute pentru foile de parcurs ale deceniului digital de la nivel național.</w:t>
      </w:r>
      <w:r w:rsidRPr="00AC058C">
        <w:rPr>
          <w:noProof/>
          <w:color w:val="000000" w:themeColor="text1"/>
        </w:rPr>
        <w:t xml:space="preserve"> Această analiză va avea drept scop elaborarea unei agende comune, a unor traiectorii și jaloane pentru a îmbunătăți digitalizarea sistemului energetic prin intermediul unui cadru coerent de planificare și monitorizare</w:t>
      </w:r>
      <w:r w:rsidRPr="00AC058C">
        <w:rPr>
          <w:noProof/>
          <w:color w:val="000000" w:themeColor="text1"/>
          <w:shd w:val="clear" w:color="auto" w:fill="E6E6E6"/>
        </w:rPr>
        <w:t>.</w:t>
      </w:r>
      <w:r w:rsidRPr="00AC058C">
        <w:rPr>
          <w:noProof/>
          <w:color w:val="000000" w:themeColor="text1"/>
        </w:rPr>
        <w:t xml:space="preserve"> </w:t>
      </w:r>
    </w:p>
    <w:p w14:paraId="721DB234" w14:textId="10826EDD" w:rsidR="003F0E95" w:rsidRPr="00AC058C" w:rsidRDefault="009558AF" w:rsidP="00302B67">
      <w:pPr>
        <w:spacing w:after="0"/>
        <w:rPr>
          <w:noProof/>
          <w:color w:val="1F497D"/>
        </w:rPr>
      </w:pPr>
      <w:r w:rsidRPr="00AC058C">
        <w:rPr>
          <w:noProof/>
          <w:color w:val="000000" w:themeColor="text1"/>
        </w:rPr>
        <w:t>Pentru a contribui la cuantificarea beneficiilor digitalizării sistemului energetic, Comisia va continua cooperarea strânsă cu Coaliția europeană digitală verde în ceea ce privește dezvoltarea de instrumente și metodologii pentru estimarea și măsurarea impactului net al tehnologiilor digitale, de exemplu în sectorul energetic.</w:t>
      </w:r>
      <w:r w:rsidRPr="00AC058C">
        <w:rPr>
          <w:noProof/>
          <w:color w:val="1F497D"/>
        </w:rPr>
        <w:t xml:space="preserve"> </w:t>
      </w:r>
    </w:p>
    <w:p w14:paraId="155B3560" w14:textId="77777777" w:rsidR="00302B67" w:rsidRPr="00AC058C" w:rsidRDefault="00302B67" w:rsidP="00302B67">
      <w:pPr>
        <w:spacing w:after="0"/>
        <w:rPr>
          <w:noProof/>
          <w:color w:val="000000" w:themeColor="text1"/>
        </w:rPr>
      </w:pPr>
    </w:p>
    <w:p w14:paraId="784A60DC" w14:textId="0CB58348" w:rsidR="00825B38" w:rsidRPr="00AC058C" w:rsidRDefault="00825B38" w:rsidP="00232A7F">
      <w:pPr>
        <w:pStyle w:val="ListBullet1"/>
        <w:numPr>
          <w:ilvl w:val="0"/>
          <w:numId w:val="0"/>
        </w:numPr>
        <w:rPr>
          <w:noProof/>
          <w:color w:val="000000" w:themeColor="text1"/>
        </w:rPr>
      </w:pPr>
      <w:r w:rsidRPr="00AC058C">
        <w:rPr>
          <w:noProof/>
          <w:color w:val="000000" w:themeColor="text1"/>
        </w:rPr>
        <w:t xml:space="preserve">Comisia se va baza, de asemenea, pe activitatea experimentală și pe expertiza Organismului Autorităților Europene de Reglementare în Domeniul Comunicațiilor Electronice și va lua în considerare crearea de platforme pentru coordonarea și cooperarea în domeniul energiei și telecomunicațiilor pentru a facilita tranziția către o energie curată. Cooperarea în acest domeniu va contribui, de asemenea, la digitalizarea sistemului energetic. De exemplu, </w:t>
      </w:r>
      <w:r w:rsidRPr="00AC058C">
        <w:rPr>
          <w:noProof/>
        </w:rPr>
        <w:t>în 2019, ComReg, organismul statutar responsabil cu reglementarea comunicațiilor electronice în Irlanda, a anunțat deja că cea mai mare parte a benzii sale de frecvență de 400-MHz a fost atribuită soluțiilor de rețele inteligente.</w:t>
      </w:r>
    </w:p>
    <w:p w14:paraId="5872CE62" w14:textId="77777777" w:rsidR="00FE4192" w:rsidRPr="00AC058C" w:rsidRDefault="00572BE7" w:rsidP="00B33E58">
      <w:pPr>
        <w:ind w:firstLine="720"/>
        <w:rPr>
          <w:b/>
          <w:noProof/>
        </w:rPr>
      </w:pPr>
      <w:bookmarkStart w:id="106" w:name="_Toc105777796"/>
      <w:bookmarkStart w:id="107" w:name="_Toc106053805"/>
      <w:r w:rsidRPr="00AC058C">
        <w:rPr>
          <w:b/>
          <w:noProof/>
        </w:rPr>
        <w:t>7.3.</w:t>
      </w:r>
      <w:r w:rsidRPr="00AC058C">
        <w:rPr>
          <w:noProof/>
        </w:rPr>
        <w:tab/>
      </w:r>
      <w:r w:rsidRPr="00AC058C">
        <w:rPr>
          <w:b/>
          <w:noProof/>
        </w:rPr>
        <w:t xml:space="preserve">Crearea de legături </w:t>
      </w:r>
      <w:bookmarkEnd w:id="103"/>
      <w:bookmarkEnd w:id="104"/>
      <w:r w:rsidRPr="00AC058C">
        <w:rPr>
          <w:b/>
          <w:noProof/>
        </w:rPr>
        <w:t xml:space="preserve">între inovatorii locali și regionali </w:t>
      </w:r>
      <w:bookmarkEnd w:id="106"/>
      <w:bookmarkEnd w:id="107"/>
    </w:p>
    <w:p w14:paraId="4764662F" w14:textId="2A7A299D" w:rsidR="002B7883" w:rsidRPr="00AC058C" w:rsidRDefault="693F80C6" w:rsidP="0031041E">
      <w:pPr>
        <w:rPr>
          <w:rFonts w:eastAsia="Times"/>
          <w:noProof/>
          <w:color w:val="000000" w:themeColor="text1"/>
        </w:rPr>
      </w:pPr>
      <w:r w:rsidRPr="00AC058C">
        <w:rPr>
          <w:noProof/>
          <w:color w:val="000000" w:themeColor="text1"/>
        </w:rPr>
        <w:t xml:space="preserve">Construirea unei viziuni și a unei căi comune pentru digitalizarea sistemului energetic va avea succes numai dacă UE și statele sale membre se pot baza pe ecosisteme de inovare în cadrul cărora cooperează un număr mare de actori din domeniul digital și energetic de la nivel european, național, </w:t>
      </w:r>
      <w:bookmarkStart w:id="108" w:name="_Int_alcnQGgL"/>
      <w:r w:rsidRPr="00AC058C">
        <w:rPr>
          <w:noProof/>
          <w:color w:val="000000" w:themeColor="text1"/>
        </w:rPr>
        <w:t>regional</w:t>
      </w:r>
      <w:bookmarkEnd w:id="108"/>
      <w:r w:rsidRPr="00AC058C">
        <w:rPr>
          <w:noProof/>
          <w:color w:val="000000" w:themeColor="text1"/>
        </w:rPr>
        <w:t xml:space="preserve"> și local. Sprijinul la nivelul UE poate contribui la această cooperare prin accelerarea inovării și a introducerii pe piață a soluțiilor digitale. Prin urmare, </w:t>
      </w:r>
      <w:r w:rsidRPr="00AC058C">
        <w:rPr>
          <w:b/>
          <w:noProof/>
          <w:color w:val="000000" w:themeColor="text1"/>
        </w:rPr>
        <w:t xml:space="preserve">Comisia va crea </w:t>
      </w:r>
      <w:r w:rsidRPr="00AC058C">
        <w:rPr>
          <w:rStyle w:val="normaltextrun"/>
          <w:b/>
          <w:noProof/>
          <w:color w:val="000000" w:themeColor="text1"/>
          <w:shd w:val="clear" w:color="auto" w:fill="FFFFFF"/>
        </w:rPr>
        <w:t xml:space="preserve">platforma „Gathering Energy and Digital Innovators from across the EU” (GEDI-EU) </w:t>
      </w:r>
      <w:r w:rsidRPr="00AC058C">
        <w:rPr>
          <w:b/>
          <w:noProof/>
          <w:color w:val="000000" w:themeColor="text1"/>
        </w:rPr>
        <w:t>pentru cooperarea structurală</w:t>
      </w:r>
      <w:r w:rsidRPr="00AC058C">
        <w:rPr>
          <w:noProof/>
          <w:color w:val="000000" w:themeColor="text1"/>
        </w:rPr>
        <w:t xml:space="preserve"> între, pe de o parte, </w:t>
      </w:r>
      <w:r w:rsidRPr="00AC058C">
        <w:rPr>
          <w:b/>
          <w:noProof/>
          <w:color w:val="000000" w:themeColor="text1"/>
        </w:rPr>
        <w:t>centrele europene de inovare digitală</w:t>
      </w:r>
      <w:r w:rsidRPr="00AC058C">
        <w:rPr>
          <w:noProof/>
          <w:color w:val="000000" w:themeColor="text1"/>
        </w:rPr>
        <w:t xml:space="preserve"> și </w:t>
      </w:r>
      <w:bookmarkStart w:id="109" w:name="_Int_24JXGBNk"/>
      <w:r w:rsidRPr="00AC058C">
        <w:rPr>
          <w:b/>
          <w:noProof/>
          <w:color w:val="000000" w:themeColor="text1"/>
        </w:rPr>
        <w:t>instalațiile de testare</w:t>
      </w:r>
      <w:bookmarkEnd w:id="109"/>
      <w:r w:rsidRPr="00AC058C">
        <w:rPr>
          <w:b/>
          <w:noProof/>
          <w:color w:val="000000" w:themeColor="text1"/>
        </w:rPr>
        <w:t xml:space="preserve"> și experimentare pentru inteligența artificială</w:t>
      </w:r>
      <w:r w:rsidRPr="00AC058C">
        <w:rPr>
          <w:noProof/>
          <w:color w:val="000000" w:themeColor="text1"/>
        </w:rPr>
        <w:t xml:space="preserve"> (AI </w:t>
      </w:r>
      <w:bookmarkStart w:id="110" w:name="_Int_lMrb7Lrs"/>
      <w:r w:rsidRPr="00AC058C">
        <w:rPr>
          <w:noProof/>
          <w:color w:val="000000" w:themeColor="text1"/>
        </w:rPr>
        <w:t>TEF</w:t>
      </w:r>
      <w:bookmarkEnd w:id="110"/>
      <w:r w:rsidRPr="00AC058C">
        <w:rPr>
          <w:noProof/>
          <w:color w:val="000000" w:themeColor="text1"/>
        </w:rPr>
        <w:t>) instituite în cadrul programului Europa digitală care se axează pe energie</w:t>
      </w:r>
      <w:r w:rsidRPr="00AC058C">
        <w:rPr>
          <w:rStyle w:val="FootnoteReference"/>
          <w:rFonts w:eastAsia="Times"/>
          <w:noProof/>
          <w:color w:val="000000" w:themeColor="text1"/>
        </w:rPr>
        <w:footnoteReference w:id="69"/>
      </w:r>
      <w:r w:rsidRPr="00AC058C">
        <w:rPr>
          <w:noProof/>
          <w:color w:val="000000" w:themeColor="text1"/>
        </w:rPr>
        <w:t xml:space="preserve"> și, pe de altă parte, rețeaua UE de inovatori și instituții de cercetare din sectorul energetic, </w:t>
      </w:r>
      <w:r w:rsidRPr="00AC058C">
        <w:rPr>
          <w:b/>
          <w:noProof/>
          <w:color w:val="000000" w:themeColor="text1"/>
        </w:rPr>
        <w:t>instituită în cadrul Planului strategic european privind tehnologiile energetice (Planul SET)</w:t>
      </w:r>
      <w:r w:rsidRPr="00AC058C">
        <w:rPr>
          <w:rStyle w:val="FootnoteReference"/>
          <w:rFonts w:eastAsia="Times"/>
          <w:b/>
          <w:bCs/>
          <w:noProof/>
          <w:color w:val="000000" w:themeColor="text1"/>
        </w:rPr>
        <w:footnoteReference w:id="70"/>
      </w:r>
      <w:r w:rsidRPr="00AC058C">
        <w:rPr>
          <w:noProof/>
          <w:color w:val="000000" w:themeColor="text1"/>
        </w:rPr>
        <w:t xml:space="preserve">. Platforma va coopera îndeaproape cu orașe în calitate de beneficiari, </w:t>
      </w:r>
      <w:bookmarkStart w:id="111" w:name="_Int_YJL8JSV3"/>
      <w:r w:rsidRPr="00AC058C">
        <w:rPr>
          <w:noProof/>
          <w:color w:val="000000" w:themeColor="text1"/>
        </w:rPr>
        <w:t>investitori</w:t>
      </w:r>
      <w:bookmarkEnd w:id="111"/>
      <w:r w:rsidRPr="00AC058C">
        <w:rPr>
          <w:noProof/>
          <w:color w:val="000000" w:themeColor="text1"/>
        </w:rPr>
        <w:t xml:space="preserve"> și incubatoare de tehnologii digitale în sectorul energetic, de exemplu prin cooperarea dintre orașele și comunitățile inteligente.</w:t>
      </w:r>
    </w:p>
    <w:p w14:paraId="71B0F815" w14:textId="77777777" w:rsidR="00456C5B" w:rsidRPr="00AC058C" w:rsidRDefault="002B7883" w:rsidP="0031041E">
      <w:pPr>
        <w:rPr>
          <w:noProof/>
          <w:color w:val="000000" w:themeColor="text1"/>
        </w:rPr>
      </w:pPr>
      <w:r w:rsidRPr="00AC058C">
        <w:rPr>
          <w:rStyle w:val="normaltextrun"/>
          <w:noProof/>
          <w:color w:val="000000" w:themeColor="text1"/>
          <w:shd w:val="clear" w:color="auto" w:fill="FFFFFF"/>
        </w:rPr>
        <w:t xml:space="preserve">Activitățile platformei vor avea ca scop (i) elaborarea unei agende comune privind nevoile prioritare și interesele reciproce; (ii) sprijinirea comunităților de cunoaștere, prin schimbul pe verticală (UE-local), precum și pe orizontală (local-local) și transsectorial de bune practici și prin consolidarea competențelor și (iii) consolidarea interoperabilității noilor produse sau servicii, bazată pe proiectarea în comun de către inovatori pe platformă, pentru a facilita adoptarea pe piață la nivelul UE. </w:t>
      </w:r>
      <w:r w:rsidRPr="00AC058C">
        <w:rPr>
          <w:noProof/>
          <w:color w:val="000000" w:themeColor="text1"/>
        </w:rPr>
        <w:t>Platforma va raporta Grupului de experți în domeniul energiei inteligente și va promova, de asemenea, schimbul de bune practici și va recomanda măsuri viitoare, de exemplu în cadrul unor ateliere de experți și al unui eveniment anual la nivel înalt.</w:t>
      </w:r>
    </w:p>
    <w:p w14:paraId="2D2A23C2" w14:textId="77777777" w:rsidR="00232A7F" w:rsidRPr="00AC058C" w:rsidRDefault="00572BE7" w:rsidP="00B33E58">
      <w:pPr>
        <w:ind w:firstLine="720"/>
        <w:rPr>
          <w:b/>
          <w:noProof/>
        </w:rPr>
      </w:pPr>
      <w:bookmarkStart w:id="112" w:name="_Toc105777797"/>
      <w:bookmarkStart w:id="113" w:name="_Toc106053806"/>
      <w:bookmarkStart w:id="114" w:name="_Toc1370774551"/>
      <w:bookmarkStart w:id="115" w:name="_Toc1892474523"/>
      <w:r w:rsidRPr="00AC058C">
        <w:rPr>
          <w:b/>
          <w:noProof/>
        </w:rPr>
        <w:t>7.4.</w:t>
      </w:r>
      <w:r w:rsidRPr="00AC058C">
        <w:rPr>
          <w:noProof/>
        </w:rPr>
        <w:tab/>
      </w:r>
      <w:r w:rsidRPr="00AC058C">
        <w:rPr>
          <w:b/>
          <w:noProof/>
        </w:rPr>
        <w:t xml:space="preserve">Construirea de parteneriate internaționale pentru tranziția verde și digitală </w:t>
      </w:r>
    </w:p>
    <w:p w14:paraId="19DBE1AF" w14:textId="77777777" w:rsidR="00B1032E" w:rsidRPr="00AC058C" w:rsidRDefault="00232A7F">
      <w:pPr>
        <w:spacing w:after="0"/>
        <w:rPr>
          <w:rStyle w:val="eop"/>
          <w:noProof/>
          <w:color w:val="000000" w:themeColor="text1"/>
        </w:rPr>
      </w:pPr>
      <w:r w:rsidRPr="00AC058C">
        <w:rPr>
          <w:rStyle w:val="normaltextrun"/>
          <w:noProof/>
          <w:color w:val="000000" w:themeColor="text1"/>
        </w:rPr>
        <w:t xml:space="preserve">Standardele tehnice interoperabile, securitatea cibernetică, protecția datelor și alte caracteristici esențiale ale digitalizării sistemului energetic trebuie să fie asigurate la nivel mondial, în cadrul forurilor internaționale și în cooperare cu țări partenere. Echipa </w:t>
      </w:r>
      <w:r w:rsidRPr="00AC058C">
        <w:rPr>
          <w:rStyle w:val="eop"/>
          <w:noProof/>
          <w:color w:val="000000" w:themeColor="text1"/>
        </w:rPr>
        <w:t>Europa va trebui să fie coordonată bine și să își prezinte în mod clar planurile pentru a contribui la evitarea standardelor incompatibile și conturarea unui consens global cu privire la alegerea tehnologiilor și a serviciilor în care inovarea se produce rapid</w:t>
      </w:r>
      <w:r w:rsidRPr="00AC058C">
        <w:rPr>
          <w:noProof/>
          <w:color w:val="000000" w:themeColor="text1"/>
        </w:rPr>
        <w:t>.</w:t>
      </w:r>
      <w:r w:rsidRPr="00AC058C">
        <w:rPr>
          <w:rStyle w:val="eop"/>
          <w:noProof/>
          <w:color w:val="000000" w:themeColor="text1"/>
        </w:rPr>
        <w:t xml:space="preserve"> </w:t>
      </w:r>
    </w:p>
    <w:p w14:paraId="401ED209" w14:textId="77777777" w:rsidR="00B1032E" w:rsidRPr="00AC058C" w:rsidRDefault="00B1032E">
      <w:pPr>
        <w:spacing w:after="0"/>
        <w:rPr>
          <w:rStyle w:val="eop"/>
          <w:noProof/>
          <w:color w:val="000000" w:themeColor="text1"/>
        </w:rPr>
      </w:pPr>
    </w:p>
    <w:p w14:paraId="44AA9322" w14:textId="2BEF5D97" w:rsidR="00572BE7" w:rsidRPr="00AC058C" w:rsidRDefault="00232A7F">
      <w:pPr>
        <w:spacing w:after="0"/>
        <w:rPr>
          <w:rStyle w:val="normaltextrun"/>
          <w:rFonts w:eastAsiaTheme="majorEastAsia"/>
          <w:noProof/>
        </w:rPr>
      </w:pPr>
      <w:r w:rsidRPr="00AC058C">
        <w:rPr>
          <w:noProof/>
          <w:color w:val="000000" w:themeColor="text1"/>
        </w:rPr>
        <w:t xml:space="preserve">Tehnologiile energetice digitale inovatoare pot stimula atât dezvoltarea durabilă la nivel global, cât și competitivitatea UE, deoarece stimularea colaborării internaționale creează noi lanțuri valorice globale pentru componente și </w:t>
      </w:r>
      <w:bookmarkStart w:id="116" w:name="_Int_d67kniFw"/>
      <w:r w:rsidRPr="00AC058C">
        <w:rPr>
          <w:noProof/>
          <w:color w:val="000000" w:themeColor="text1"/>
        </w:rPr>
        <w:t>servicii și contribuie</w:t>
      </w:r>
      <w:bookmarkEnd w:id="116"/>
      <w:r w:rsidRPr="00AC058C">
        <w:rPr>
          <w:noProof/>
          <w:color w:val="000000" w:themeColor="text1"/>
        </w:rPr>
        <w:t xml:space="preserve"> la diseminarea unei abordări europene, bazate pe valoare, a standardelor, produselor și serviciilor</w:t>
      </w:r>
      <w:r w:rsidRPr="00AC058C">
        <w:rPr>
          <w:noProof/>
        </w:rPr>
        <w:t>.</w:t>
      </w:r>
      <w:r w:rsidRPr="00AC058C">
        <w:rPr>
          <w:noProof/>
          <w:color w:val="000000" w:themeColor="text1"/>
        </w:rPr>
        <w:t xml:space="preserve"> </w:t>
      </w:r>
      <w:r w:rsidRPr="00AC058C">
        <w:rPr>
          <w:rStyle w:val="normaltextrun"/>
          <w:noProof/>
          <w:color w:val="000000" w:themeColor="text1"/>
        </w:rPr>
        <w:t xml:space="preserve">Pentru a promova tranziția verde și digitală cu țările partenere prin contacte bilaterale, </w:t>
      </w:r>
      <w:r w:rsidRPr="00AC058C">
        <w:rPr>
          <w:rStyle w:val="normaltextrun"/>
          <w:b/>
          <w:noProof/>
          <w:color w:val="000000" w:themeColor="text1"/>
        </w:rPr>
        <w:t xml:space="preserve">Comisia va integra aspectele digitale și verzi în proiectele, </w:t>
      </w:r>
      <w:bookmarkStart w:id="117" w:name="_Int_24ss4mjM"/>
      <w:r w:rsidRPr="00AC058C">
        <w:rPr>
          <w:rStyle w:val="normaltextrun"/>
          <w:b/>
          <w:noProof/>
          <w:color w:val="000000" w:themeColor="text1"/>
        </w:rPr>
        <w:t>parteneriatele</w:t>
      </w:r>
      <w:bookmarkEnd w:id="117"/>
      <w:r w:rsidRPr="00AC058C">
        <w:rPr>
          <w:rStyle w:val="normaltextrun"/>
          <w:b/>
          <w:noProof/>
          <w:color w:val="000000" w:themeColor="text1"/>
        </w:rPr>
        <w:t xml:space="preserve"> și acordurile de cooperare în domeniul energiei</w:t>
      </w:r>
      <w:r w:rsidRPr="00AC058C">
        <w:rPr>
          <w:rStyle w:val="normaltextrun"/>
          <w:noProof/>
          <w:color w:val="000000" w:themeColor="text1"/>
        </w:rPr>
        <w:t xml:space="preserve">. În special, țările din Spațiul Economic European, Regatul Unit, Japonia și Statele Unite ar putea fi parteneri de cooperare. </w:t>
      </w:r>
    </w:p>
    <w:p w14:paraId="5EDB4808" w14:textId="77777777" w:rsidR="00572BE7" w:rsidRPr="00AC058C" w:rsidRDefault="00572BE7" w:rsidP="00572BE7">
      <w:pPr>
        <w:spacing w:after="0"/>
        <w:textAlignment w:val="baseline"/>
        <w:rPr>
          <w:rStyle w:val="normaltextrun"/>
          <w:rFonts w:eastAsiaTheme="majorEastAsia"/>
          <w:noProof/>
          <w:color w:val="000000" w:themeColor="text1"/>
        </w:rPr>
      </w:pPr>
    </w:p>
    <w:p w14:paraId="11CB044F" w14:textId="73B670D7" w:rsidR="00ED591F" w:rsidRPr="00AC058C" w:rsidRDefault="172DF185" w:rsidP="33E2182A">
      <w:pPr>
        <w:spacing w:after="0"/>
        <w:textAlignment w:val="baseline"/>
        <w:rPr>
          <w:rStyle w:val="normaltextrun"/>
          <w:rFonts w:eastAsiaTheme="majorEastAsia"/>
          <w:noProof/>
          <w:color w:val="000000" w:themeColor="text1"/>
        </w:rPr>
      </w:pPr>
      <w:r w:rsidRPr="00AC058C">
        <w:rPr>
          <w:rStyle w:val="normaltextrun"/>
          <w:noProof/>
          <w:color w:val="000000" w:themeColor="text1"/>
          <w:shd w:val="clear" w:color="auto" w:fill="FFFFFF"/>
        </w:rPr>
        <w:t xml:space="preserve">Comisia va continua să participe activ la forurile internaționale multilaterale, cum ar fi </w:t>
      </w:r>
      <w:bookmarkStart w:id="118" w:name="_Int_FIu5aVqR"/>
      <w:r w:rsidRPr="00AC058C">
        <w:rPr>
          <w:rStyle w:val="eop"/>
          <w:noProof/>
          <w:color w:val="000000" w:themeColor="text1"/>
        </w:rPr>
        <w:t>ONU</w:t>
      </w:r>
      <w:r w:rsidRPr="00AC058C">
        <w:rPr>
          <w:rStyle w:val="FootnoteReference"/>
          <w:noProof/>
          <w:color w:val="000000" w:themeColor="text1"/>
        </w:rPr>
        <w:footnoteReference w:id="71"/>
      </w:r>
      <w:bookmarkEnd w:id="118"/>
      <w:r w:rsidRPr="00AC058C">
        <w:rPr>
          <w:rStyle w:val="eop"/>
          <w:noProof/>
          <w:color w:val="000000" w:themeColor="text1"/>
        </w:rPr>
        <w:t xml:space="preserve">, G7, </w:t>
      </w:r>
      <w:r w:rsidRPr="00AC058C">
        <w:rPr>
          <w:rStyle w:val="normaltextrun"/>
          <w:noProof/>
          <w:color w:val="000000" w:themeColor="text1"/>
          <w:shd w:val="clear" w:color="auto" w:fill="FFFFFF"/>
        </w:rPr>
        <w:t>Conferința ministerială privind energia curată, Misiunea inovare și Rețeaua internațională de acțiune pentru rețele electrice inteligente (ISGAN)</w:t>
      </w:r>
      <w:r w:rsidRPr="00AC058C">
        <w:rPr>
          <w:noProof/>
        </w:rPr>
        <w:t>.</w:t>
      </w:r>
      <w:r w:rsidRPr="00AC058C">
        <w:rPr>
          <w:rStyle w:val="normaltextrun"/>
          <w:noProof/>
          <w:color w:val="000000" w:themeColor="text1"/>
          <w:shd w:val="clear" w:color="auto" w:fill="FFFFFF"/>
        </w:rPr>
        <w:t xml:space="preserve"> Aceasta se va baza,</w:t>
      </w:r>
      <w:r w:rsidRPr="00AC058C">
        <w:rPr>
          <w:rStyle w:val="eop"/>
          <w:noProof/>
          <w:color w:val="000000" w:themeColor="text1"/>
        </w:rPr>
        <w:t xml:space="preserve"> de asemenea, pe activitatea importantă a </w:t>
      </w:r>
      <w:bookmarkStart w:id="119" w:name="_Int_x0oZaYvb"/>
      <w:r w:rsidRPr="00AC058C">
        <w:rPr>
          <w:rStyle w:val="eop"/>
          <w:noProof/>
          <w:color w:val="000000" w:themeColor="text1"/>
        </w:rPr>
        <w:t>AIE</w:t>
      </w:r>
      <w:bookmarkEnd w:id="119"/>
      <w:r w:rsidRPr="00AC058C">
        <w:rPr>
          <w:rStyle w:val="eop"/>
          <w:noProof/>
          <w:color w:val="000000" w:themeColor="text1"/>
        </w:rPr>
        <w:t xml:space="preserve"> și </w:t>
      </w:r>
      <w:bookmarkStart w:id="120" w:name="_Int_jVbNFhzx"/>
      <w:r w:rsidRPr="00AC058C">
        <w:rPr>
          <w:rStyle w:val="eop"/>
          <w:noProof/>
          <w:color w:val="000000" w:themeColor="text1"/>
        </w:rPr>
        <w:t>a Agenției Internaționale pentru Energie Regenerabilă (IRENA</w:t>
      </w:r>
      <w:bookmarkEnd w:id="120"/>
      <w:r w:rsidRPr="00AC058C">
        <w:rPr>
          <w:rStyle w:val="eop"/>
          <w:noProof/>
          <w:color w:val="000000" w:themeColor="text1"/>
        </w:rPr>
        <w:t xml:space="preserve">). În acest scop, Comisia va încerca </w:t>
      </w:r>
      <w:r w:rsidRPr="00AC058C">
        <w:rPr>
          <w:rStyle w:val="normaltextrun"/>
          <w:noProof/>
          <w:color w:val="000000" w:themeColor="text1"/>
          <w:shd w:val="clear" w:color="auto" w:fill="FFFFFF"/>
        </w:rPr>
        <w:t>să consolideze cooperarea internațională și să promoveze digitalizarea energiei</w:t>
      </w:r>
      <w:r w:rsidRPr="00AC058C">
        <w:rPr>
          <w:rStyle w:val="eop"/>
          <w:noProof/>
          <w:color w:val="000000" w:themeColor="text1"/>
        </w:rPr>
        <w:t xml:space="preserve"> ca aspect orizontal sau prin promovarea unor soluții specifice</w:t>
      </w:r>
      <w:r w:rsidRPr="00AC058C">
        <w:rPr>
          <w:rStyle w:val="normaltextrun"/>
          <w:noProof/>
          <w:color w:val="000000" w:themeColor="text1"/>
          <w:shd w:val="clear" w:color="auto" w:fill="FFFFFF"/>
        </w:rPr>
        <w:t>.</w:t>
      </w:r>
      <w:r w:rsidRPr="00AC058C">
        <w:rPr>
          <w:rStyle w:val="normaltextrun"/>
          <w:noProof/>
          <w:color w:val="000000" w:themeColor="text1"/>
        </w:rPr>
        <w:t xml:space="preserve"> Comisia va promova, de asemenea, cooperarea internațională,</w:t>
      </w:r>
      <w:r w:rsidRPr="00AC058C">
        <w:rPr>
          <w:noProof/>
          <w:color w:val="000000" w:themeColor="text1"/>
        </w:rPr>
        <w:t xml:space="preserve"> </w:t>
      </w:r>
      <w:bookmarkStart w:id="121" w:name="_Int_pDk1lGKT"/>
      <w:r w:rsidRPr="00AC058C">
        <w:rPr>
          <w:rStyle w:val="normaltextrun"/>
          <w:noProof/>
          <w:color w:val="000000" w:themeColor="text1"/>
        </w:rPr>
        <w:t xml:space="preserve">în special prin </w:t>
      </w:r>
      <w:bookmarkEnd w:id="121"/>
      <w:r w:rsidRPr="00AC058C">
        <w:rPr>
          <w:rStyle w:val="normaltextrun"/>
          <w:noProof/>
          <w:color w:val="000000" w:themeColor="text1"/>
        </w:rPr>
        <w:t>activități comune de cercetare și inovare, sprijinite în cadrul programului Orizont Europa și se va baza pe experiențele existente, cum ar fi Platforma la nivel înalt UE-India privind rețelele electrice inteligente</w:t>
      </w:r>
      <w:r w:rsidRPr="00AC058C">
        <w:rPr>
          <w:rStyle w:val="FootnoteReference"/>
          <w:rFonts w:eastAsiaTheme="majorEastAsia"/>
          <w:noProof/>
          <w:color w:val="000000" w:themeColor="text1"/>
        </w:rPr>
        <w:footnoteReference w:id="72"/>
      </w:r>
      <w:r w:rsidRPr="00AC058C">
        <w:rPr>
          <w:rStyle w:val="normaltextrun"/>
          <w:noProof/>
          <w:color w:val="000000" w:themeColor="text1"/>
        </w:rPr>
        <w:t xml:space="preserve">. </w:t>
      </w:r>
    </w:p>
    <w:p w14:paraId="26543DA3" w14:textId="77777777" w:rsidR="0005789E" w:rsidRPr="00AC058C" w:rsidRDefault="0005789E" w:rsidP="33E2182A">
      <w:pPr>
        <w:spacing w:after="0"/>
        <w:textAlignment w:val="baseline"/>
        <w:rPr>
          <w:rStyle w:val="normaltextrun"/>
          <w:rFonts w:eastAsiaTheme="majorEastAsia"/>
          <w:noProof/>
          <w:color w:val="000000" w:themeColor="text1"/>
        </w:rPr>
      </w:pPr>
    </w:p>
    <w:p w14:paraId="1C790863" w14:textId="77777777" w:rsidR="00232A7F" w:rsidRPr="00AC058C" w:rsidRDefault="00232A7F" w:rsidP="007513CC">
      <w:pPr>
        <w:pStyle w:val="Heading4"/>
        <w:rPr>
          <w:rFonts w:ascii="Times New Roman" w:eastAsia="Calibri" w:hAnsi="Times New Roman" w:cs="Times New Roman"/>
          <w:noProof/>
          <w:color w:val="000000" w:themeColor="text1"/>
        </w:rPr>
      </w:pPr>
    </w:p>
    <w:p w14:paraId="6A43831F" w14:textId="77777777" w:rsidR="359555B4" w:rsidRPr="00AC058C" w:rsidRDefault="00572BE7" w:rsidP="00B33E58">
      <w:pPr>
        <w:ind w:firstLine="720"/>
        <w:rPr>
          <w:b/>
          <w:noProof/>
        </w:rPr>
      </w:pPr>
      <w:r w:rsidRPr="00AC058C">
        <w:rPr>
          <w:b/>
          <w:noProof/>
        </w:rPr>
        <w:t>7.5.</w:t>
      </w:r>
      <w:r w:rsidRPr="00AC058C">
        <w:rPr>
          <w:noProof/>
        </w:rPr>
        <w:tab/>
      </w:r>
      <w:r w:rsidRPr="00AC058C">
        <w:rPr>
          <w:b/>
          <w:noProof/>
        </w:rPr>
        <w:t xml:space="preserve">Sprijin financiar pentru adoptarea mai rapidă a tehnologiilor digitale în domeniul energiei </w:t>
      </w:r>
      <w:bookmarkEnd w:id="112"/>
      <w:bookmarkEnd w:id="113"/>
      <w:bookmarkEnd w:id="114"/>
      <w:bookmarkEnd w:id="115"/>
    </w:p>
    <w:p w14:paraId="3B0A2F34" w14:textId="77777777" w:rsidR="007912B4" w:rsidRPr="00AC058C" w:rsidRDefault="740C260B" w:rsidP="37AE6589">
      <w:pPr>
        <w:rPr>
          <w:noProof/>
          <w:color w:val="000000" w:themeColor="text1"/>
        </w:rPr>
      </w:pPr>
      <w:r w:rsidRPr="00AC058C">
        <w:rPr>
          <w:noProof/>
          <w:color w:val="000000" w:themeColor="text1"/>
        </w:rPr>
        <w:t xml:space="preserve">Pentru a se asigura că inovarea în domeniul tehnologiilor digitale și inovarea facilitată de tehnologiile digitale sunt adoptate în sectorul energetic, este esențial să se acorde un sprijin continuu și specific pentru dezvoltarea și utilizarea acestora. </w:t>
      </w:r>
    </w:p>
    <w:p w14:paraId="10C1A9CC" w14:textId="77777777" w:rsidR="007912B4" w:rsidRPr="00AC058C" w:rsidRDefault="00A66800" w:rsidP="37AE6589">
      <w:pPr>
        <w:rPr>
          <w:noProof/>
          <w:color w:val="000000" w:themeColor="text1"/>
        </w:rPr>
      </w:pPr>
      <w:r w:rsidRPr="00AC058C">
        <w:rPr>
          <w:noProof/>
          <w:color w:val="000000" w:themeColor="text1"/>
        </w:rPr>
        <w:t xml:space="preserve">Este extrem de important să se asigure sprijin public și privat pentru cercetare și inovare la nivelul UE și în statele membre și să se găsească sinergii între acestea. Planul SET poate contribui la găsirea acestor sinergii. Revizuirea Planului SET, programată pentru anul viitor, va aborda rolul de catalizator al tehnologiilor digitale. </w:t>
      </w:r>
      <w:r w:rsidRPr="00AC058C">
        <w:rPr>
          <w:b/>
          <w:noProof/>
          <w:color w:val="000000" w:themeColor="text1"/>
        </w:rPr>
        <w:t>Comisia invită statele membre: (i) să își sporească sprijinul pentru cercetare și inovare destinat testării și experimentării tehnologiilor digitale în sectorul energetic și (ii) să promoveze cooperarea dintre părțile interesate din domeniul digital și cel al energiei prin intermediul programelor naționale de cercetare și inovare.</w:t>
      </w:r>
      <w:r w:rsidRPr="00AC058C">
        <w:rPr>
          <w:noProof/>
          <w:color w:val="000000" w:themeColor="text1"/>
        </w:rPr>
        <w:t xml:space="preserve"> </w:t>
      </w:r>
    </w:p>
    <w:p w14:paraId="709BAAA8" w14:textId="3FABEB8A" w:rsidR="007151F2" w:rsidRPr="00AC058C" w:rsidRDefault="6F4C990B" w:rsidP="00CD2CFB">
      <w:pPr>
        <w:rPr>
          <w:noProof/>
          <w:color w:val="000000" w:themeColor="text1"/>
        </w:rPr>
      </w:pPr>
      <w:r w:rsidRPr="00AC058C">
        <w:rPr>
          <w:noProof/>
          <w:color w:val="000000" w:themeColor="text1"/>
        </w:rPr>
        <w:t xml:space="preserve">La nivelul UE, Comisia intenționează să includă în </w:t>
      </w:r>
      <w:r w:rsidRPr="00AC058C">
        <w:rPr>
          <w:b/>
          <w:noProof/>
          <w:color w:val="000000" w:themeColor="text1"/>
        </w:rPr>
        <w:t>programul de lucru Orizont Europa pentru perioada 2023-2024 o inițiativă emblematică de sprijinire a digitalizării sistemului energetic, care să abordeze prioritățile principale ale acestui plan de acțiune</w:t>
      </w:r>
      <w:r w:rsidRPr="00AC058C">
        <w:rPr>
          <w:noProof/>
          <w:color w:val="000000" w:themeColor="text1"/>
        </w:rPr>
        <w:t xml:space="preserve">. În plus, Orizont Europa va sprijini adoptarea tehnologiilor digitale pentru a promova competitivitatea tehnologiilor pentru energie curată în UE, în special prin utilizarea tehnologiilor digitale pentru a sprijini îmbunătățirea performanței sau reducerea costurilor tehnologice. De asemenea, misiunea UE „Orașe inteligente și neutre din punctul de vedere al impactului asupra climei”, care vizează crearea a 100 de orașe neutre din punctul de vedere al impactului asupra climei până în 2030, va fi sprijinită prin finanțarea dezvoltării unor gemeni digitali ai orașelor care vor include infrastructura energetică. Atunci când este posibil, Comisia va promova/sprijini utilizarea surselor deschise pentru a asigura accesibilitatea și adoptarea pe piață. În plus, Consiliul european pentru inovare (CEI) sprijină întreprinderile nou-înființate și cele aflate în faza de extindere, care dezvoltă și aplică tehnologii digitale în sectorul energetic în 2022 și 2023. </w:t>
      </w:r>
      <w:bookmarkStart w:id="122" w:name="_Int_U6JvfH4i"/>
      <w:r w:rsidRPr="00AC058C">
        <w:rPr>
          <w:rStyle w:val="normaltextrun"/>
          <w:noProof/>
          <w:color w:val="000000" w:themeColor="text1"/>
          <w:shd w:val="clear" w:color="auto" w:fill="FFFFFF"/>
        </w:rPr>
        <w:t>În ceea ce privește</w:t>
      </w:r>
      <w:bookmarkEnd w:id="122"/>
      <w:r w:rsidRPr="00AC058C">
        <w:rPr>
          <w:rStyle w:val="normaltextrun"/>
          <w:noProof/>
          <w:color w:val="000000" w:themeColor="text1"/>
          <w:shd w:val="clear" w:color="auto" w:fill="FFFFFF"/>
        </w:rPr>
        <w:t xml:space="preserve"> securitatea cibernetică, Centrul european de competențe în domeniul industrial, tehnologic și de cercetare în materie de securitate cibernetică, recent înființat,</w:t>
      </w:r>
      <w:bookmarkStart w:id="123" w:name="_Int_Z3XQImls"/>
      <w:r w:rsidRPr="00AC058C">
        <w:rPr>
          <w:rStyle w:val="FootnoteReference"/>
          <w:rFonts w:eastAsiaTheme="majorEastAsia"/>
          <w:noProof/>
          <w:color w:val="000000" w:themeColor="text1"/>
          <w:shd w:val="clear" w:color="auto" w:fill="FFFFFF"/>
        </w:rPr>
        <w:footnoteReference w:id="73"/>
      </w:r>
      <w:bookmarkEnd w:id="123"/>
      <w:r w:rsidRPr="00AC058C">
        <w:rPr>
          <w:rStyle w:val="normaltextrun"/>
          <w:noProof/>
          <w:color w:val="000000" w:themeColor="text1"/>
          <w:shd w:val="clear" w:color="auto" w:fill="FFFFFF"/>
        </w:rPr>
        <w:t xml:space="preserve"> și Rețeaua de centre de cooperare, cofinanțate prin programul Orizont Europa, </w:t>
      </w:r>
      <w:r w:rsidRPr="00AC058C">
        <w:rPr>
          <w:rStyle w:val="normaltextrun"/>
          <w:b/>
          <w:noProof/>
          <w:color w:val="000000" w:themeColor="text1"/>
          <w:shd w:val="clear" w:color="auto" w:fill="FFFFFF"/>
        </w:rPr>
        <w:t>programul Europa digitală</w:t>
      </w:r>
      <w:r w:rsidRPr="00AC058C">
        <w:rPr>
          <w:rStyle w:val="normaltextrun"/>
          <w:noProof/>
          <w:color w:val="000000" w:themeColor="text1"/>
          <w:shd w:val="clear" w:color="auto" w:fill="FFFFFF"/>
        </w:rPr>
        <w:t xml:space="preserve"> și de statele membre, vizează sporirea consolidării capacităților, </w:t>
      </w:r>
      <w:bookmarkStart w:id="124" w:name="_Int_HVWsLCgM"/>
      <w:r w:rsidRPr="00AC058C">
        <w:rPr>
          <w:rStyle w:val="normaltextrun"/>
          <w:noProof/>
          <w:color w:val="000000" w:themeColor="text1"/>
          <w:shd w:val="clear" w:color="auto" w:fill="FFFFFF"/>
        </w:rPr>
        <w:t>a inovării</w:t>
      </w:r>
      <w:bookmarkEnd w:id="124"/>
      <w:r w:rsidRPr="00AC058C">
        <w:rPr>
          <w:rStyle w:val="normaltextrun"/>
          <w:noProof/>
          <w:color w:val="000000" w:themeColor="text1"/>
          <w:shd w:val="clear" w:color="auto" w:fill="FFFFFF"/>
        </w:rPr>
        <w:t xml:space="preserve"> și a investițiilor. P</w:t>
      </w:r>
      <w:r w:rsidRPr="00AC058C">
        <w:rPr>
          <w:rStyle w:val="eop"/>
          <w:noProof/>
          <w:color w:val="000000" w:themeColor="text1"/>
          <w:shd w:val="clear" w:color="auto" w:fill="FFFFFF"/>
        </w:rPr>
        <w:t>rogramul Europa digitală sprijină, de asemenea, operatorii de infrastructuri critice (inclusiv cele de energie).</w:t>
      </w:r>
    </w:p>
    <w:p w14:paraId="1EEEEE09" w14:textId="77777777" w:rsidR="06757401" w:rsidRPr="00AC058C" w:rsidRDefault="06757401">
      <w:pPr>
        <w:rPr>
          <w:noProof/>
          <w:color w:val="000000" w:themeColor="text1"/>
          <w:szCs w:val="24"/>
        </w:rPr>
      </w:pPr>
      <w:r w:rsidRPr="00AC058C">
        <w:rPr>
          <w:b/>
          <w:noProof/>
          <w:color w:val="000000" w:themeColor="text1"/>
        </w:rPr>
        <w:t>Politica de coeziune</w:t>
      </w:r>
      <w:r w:rsidRPr="00AC058C">
        <w:rPr>
          <w:noProof/>
          <w:color w:val="000000" w:themeColor="text1"/>
        </w:rPr>
        <w:t xml:space="preserve"> sprijină investițiile din partea statelor membre, a regiunilor și a autorităților locale. Asistența financiară va viza transformarea digitală în toate sectoarele, inclusiv în domeniul energiei, punând un accent deosebit pe sistemele energetice inteligente și pe rețelele electrice inteligente. </w:t>
      </w:r>
      <w:r w:rsidRPr="00AC058C">
        <w:rPr>
          <w:b/>
          <w:noProof/>
          <w:color w:val="000000" w:themeColor="text1"/>
        </w:rPr>
        <w:t>Copernicus</w:t>
      </w:r>
      <w:r w:rsidRPr="00AC058C">
        <w:rPr>
          <w:noProof/>
          <w:color w:val="000000" w:themeColor="text1"/>
        </w:rPr>
        <w:t>, componenta de observare a Pământului din cadrul Programului spațial al Uniunii și inițiativa „Destinația Pământ”, furnizează date de mediu care permit, de exemplu, o mai bună amplasare și exploatare a producției de energie din surse regenerabile.</w:t>
      </w:r>
    </w:p>
    <w:p w14:paraId="4F2EA49D" w14:textId="255E836C" w:rsidR="00762857" w:rsidRPr="00AC058C" w:rsidRDefault="43B39654">
      <w:pPr>
        <w:rPr>
          <w:noProof/>
          <w:color w:val="000000" w:themeColor="text1"/>
          <w:szCs w:val="24"/>
        </w:rPr>
      </w:pPr>
      <w:r w:rsidRPr="00AC058C">
        <w:rPr>
          <w:b/>
          <w:noProof/>
          <w:color w:val="000000" w:themeColor="text1"/>
        </w:rPr>
        <w:t xml:space="preserve">Subprogramul Tranziția către o energie curată (CET) din cadrul programului LIFE </w:t>
      </w:r>
      <w:r w:rsidRPr="00AC058C">
        <w:rPr>
          <w:noProof/>
          <w:color w:val="000000" w:themeColor="text1"/>
        </w:rPr>
        <w:t xml:space="preserve">sprijină dezvoltarea unor soluții de servicii energetice inteligente pentru a responsabiliza cetățenii și comunitățile din sistemul energetic, pentru a permite un control mai bun al consumului de energie și, astfel, pentru a declanșa schimbări de comportament și cererea de renovare a clădirilor. În plus, subprogramul CET din cadrul LIFE sprijină introducerea pe piață și integrarea soluțiilor capabile să îmbunătățească caracterul inteligent al parcului imobiliar al UE și integrarea acestuia într-un sistem energetic digitalizat pentru a exploata pe deplin potențialul de optimizare și flexibilitate al clădirilor și al sistemelor clădirilor. Aceasta include abordarea lacunelor legate de disponibilitatea datelor, interoperabilitate, </w:t>
      </w:r>
      <w:bookmarkStart w:id="125" w:name="_Toc103872605"/>
      <w:bookmarkStart w:id="126" w:name="_Toc1606994797"/>
      <w:bookmarkStart w:id="127" w:name="_Toc798637343"/>
      <w:bookmarkStart w:id="128" w:name="_Toc106053807"/>
      <w:r w:rsidRPr="00AC058C">
        <w:rPr>
          <w:noProof/>
          <w:color w:val="000000" w:themeColor="text1"/>
        </w:rPr>
        <w:t>acceptarea de către utilizatori și competențe.</w:t>
      </w:r>
    </w:p>
    <w:p w14:paraId="35E49E33" w14:textId="77777777" w:rsidR="00ED591F" w:rsidRPr="00AC058C" w:rsidRDefault="00ED591F" w:rsidP="00ED591F">
      <w:pPr>
        <w:spacing w:after="0"/>
        <w:rPr>
          <w:noProof/>
          <w:color w:val="000000" w:themeColor="text1"/>
          <w:szCs w:val="24"/>
        </w:rPr>
      </w:pPr>
    </w:p>
    <w:p w14:paraId="4B6DF09A" w14:textId="15A28612" w:rsidR="00AB2DEB" w:rsidRPr="00AC058C" w:rsidRDefault="00883CAE" w:rsidP="00B33E58">
      <w:pPr>
        <w:rPr>
          <w:noProof/>
        </w:rPr>
      </w:pPr>
      <w:r w:rsidRPr="00AC058C">
        <w:rPr>
          <w:b/>
          <w:smallCaps/>
          <w:noProof/>
        </w:rPr>
        <w:t>8.</w:t>
      </w:r>
      <w:r w:rsidR="00740ED5" w:rsidRPr="00AC058C">
        <w:rPr>
          <w:b/>
          <w:smallCaps/>
          <w:noProof/>
        </w:rPr>
        <w:tab/>
      </w:r>
      <w:r w:rsidRPr="00AC058C">
        <w:rPr>
          <w:b/>
          <w:smallCaps/>
          <w:noProof/>
        </w:rPr>
        <w:t>Concluzie</w:t>
      </w:r>
      <w:bookmarkEnd w:id="125"/>
      <w:bookmarkEnd w:id="126"/>
      <w:bookmarkEnd w:id="127"/>
      <w:bookmarkEnd w:id="128"/>
    </w:p>
    <w:p w14:paraId="58E0232D" w14:textId="77777777" w:rsidR="006A17BC" w:rsidRPr="00AC058C" w:rsidRDefault="00AB2DEB" w:rsidP="006A17BC">
      <w:pPr>
        <w:rPr>
          <w:noProof/>
          <w:color w:val="000000" w:themeColor="text1"/>
        </w:rPr>
      </w:pPr>
      <w:r w:rsidRPr="00AC058C">
        <w:rPr>
          <w:noProof/>
          <w:color w:val="000000" w:themeColor="text1"/>
        </w:rPr>
        <w:t>Invadarea Ucrainei de către Rusia și prețurile actuale ridicate ale energiei nu au făcut decât să sporească nevoia și ritmul de adoptare a unor măsuri care să asigure consolidarea atât a independenței UE față de importurile rusești de combustibili fosili, cât și a suveranității sale strategice și a securității în ceea ce privește crearea unui sistem energetic digital. Pe măsură ce electrificarea și decarbonizarea sistemului energetic al UE se accelerează, creșterea nivelului său de digitalizare sale este esențială pentru atingerea obiectivelor climatice ale Uniunii pentru 2030 și 2050 într-un mod eficient din punctul de vedere al costurilor. Acest plan de acțiune se ridică la nivelul de ambiție menționat în raportul de analiză prospectivă strategică privind dubla tranziție verde și digitală, potrivită căruia tehnologia digitală contribuie la crearea unei societăți neutre din punct de vedere climatic și eficiente din punctul de vedere al utilizării resurselor, asigurându-se, în același timp, că oricine poate beneficia de această tranziție.</w:t>
      </w:r>
    </w:p>
    <w:p w14:paraId="42659CFB" w14:textId="69066BAA" w:rsidR="00A9438A" w:rsidRPr="00AC058C" w:rsidRDefault="6AE7987A" w:rsidP="00A9438A">
      <w:pPr>
        <w:rPr>
          <w:noProof/>
          <w:color w:val="000000" w:themeColor="text1"/>
        </w:rPr>
      </w:pPr>
      <w:r w:rsidRPr="00AC058C">
        <w:rPr>
          <w:noProof/>
          <w:color w:val="000000" w:themeColor="text1"/>
        </w:rPr>
        <w:t xml:space="preserve">Astfel cum se indică în prezentul plan de acțiune, acest lucru va necesita atât acțiuni pe termen mediu, cât și pe termen lung, precum și o guvernanță pe baza unui cadru. Aceasta va implica mai multe comunități de părți interesate, </w:t>
      </w:r>
      <w:bookmarkStart w:id="129" w:name="_Int_UrwOkSrJ"/>
      <w:r w:rsidRPr="00AC058C">
        <w:rPr>
          <w:noProof/>
          <w:color w:val="000000" w:themeColor="text1"/>
        </w:rPr>
        <w:t>întreprinderi</w:t>
      </w:r>
      <w:bookmarkEnd w:id="129"/>
      <w:r w:rsidRPr="00AC058C">
        <w:rPr>
          <w:noProof/>
          <w:color w:val="000000" w:themeColor="text1"/>
        </w:rPr>
        <w:t xml:space="preserve"> și parteneri internaționali și va necesita o utilizare inteligentă a fondurilor publice limitate și mai multe investiții private</w:t>
      </w:r>
      <w:r w:rsidRPr="00AC058C">
        <w:rPr>
          <w:noProof/>
        </w:rPr>
        <w:t>.</w:t>
      </w:r>
      <w:r w:rsidRPr="00AC058C">
        <w:rPr>
          <w:noProof/>
          <w:color w:val="000000" w:themeColor="text1"/>
        </w:rPr>
        <w:t xml:space="preserve"> O tranziție către o energie curată nu se poate realiza fără un plan de digitalizare. Prin urmare, Comisia invită Parlamentul European și Consiliul să aprobe acest plan de acțiune și să contribuie la punerea sa rapidă în aplicare.</w:t>
      </w:r>
    </w:p>
    <w:p w14:paraId="4F44286B" w14:textId="77777777" w:rsidR="00D7257B" w:rsidRPr="00AC058C" w:rsidRDefault="00D7257B" w:rsidP="006B2FC2">
      <w:pPr>
        <w:spacing w:after="160" w:line="259" w:lineRule="auto"/>
        <w:jc w:val="left"/>
        <w:rPr>
          <w:b/>
          <w:smallCaps/>
          <w:noProof/>
          <w:szCs w:val="24"/>
        </w:rPr>
      </w:pPr>
      <w:r w:rsidRPr="00AC058C">
        <w:rPr>
          <w:noProof/>
        </w:rPr>
        <w:br w:type="page"/>
      </w:r>
      <w:bookmarkStart w:id="130" w:name="_Toc103872606"/>
      <w:bookmarkStart w:id="131" w:name="_Toc106053808"/>
      <w:bookmarkStart w:id="132" w:name="_Toc588224516"/>
      <w:bookmarkStart w:id="133" w:name="_Toc994827918"/>
      <w:r w:rsidRPr="00AC058C">
        <w:rPr>
          <w:b/>
          <w:smallCaps/>
          <w:noProof/>
        </w:rPr>
        <w:t xml:space="preserve">Anexă: Digitalizarea sistemului energetic: principalele acțiuni ale Comisiei și calendarul orientativ </w:t>
      </w:r>
      <w:bookmarkEnd w:id="130"/>
      <w:bookmarkEnd w:id="131"/>
      <w:bookmarkEnd w:id="132"/>
      <w:bookmarkEnd w:id="133"/>
    </w:p>
    <w:p w14:paraId="04CF658B" w14:textId="77777777" w:rsidR="00B81D9C" w:rsidRPr="00AC058C" w:rsidRDefault="00B81D9C" w:rsidP="00D7257B">
      <w:pPr>
        <w:rPr>
          <w:noProof/>
          <w:color w:val="000000" w:themeColor="text1"/>
          <w:sz w:val="18"/>
          <w:szCs w:val="18"/>
        </w:rPr>
      </w:pPr>
      <w:r w:rsidRPr="00AC058C">
        <w:rPr>
          <w:noProof/>
          <w:color w:val="000000" w:themeColor="text1"/>
        </w:rPr>
        <w:t>Comisia va întreprinde următoarele acțiuni:</w:t>
      </w: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363"/>
        <w:gridCol w:w="1701"/>
      </w:tblGrid>
      <w:tr w:rsidR="00D7257B" w:rsidRPr="00AC058C" w14:paraId="31472951" w14:textId="77777777" w:rsidTr="007167D8">
        <w:tc>
          <w:tcPr>
            <w:tcW w:w="90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37742B7" w14:textId="77777777" w:rsidR="00D7257B" w:rsidRPr="00AC058C" w:rsidRDefault="00D7257B" w:rsidP="007167D8">
            <w:pPr>
              <w:spacing w:after="0"/>
              <w:jc w:val="center"/>
              <w:textAlignment w:val="baseline"/>
              <w:rPr>
                <w:b/>
                <w:bCs/>
                <w:noProof/>
                <w:color w:val="000000" w:themeColor="text1"/>
                <w:szCs w:val="24"/>
              </w:rPr>
            </w:pPr>
            <w:r w:rsidRPr="00AC058C">
              <w:rPr>
                <w:b/>
                <w:noProof/>
                <w:color w:val="000000" w:themeColor="text1"/>
              </w:rPr>
              <w:t>Un cadru UE pentru schimbul de date</w:t>
            </w:r>
          </w:p>
        </w:tc>
      </w:tr>
      <w:tr w:rsidR="00D7257B" w:rsidRPr="00AC058C" w14:paraId="7708EAB9"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6BE896F" w14:textId="4EC9DF6E" w:rsidR="00D7257B" w:rsidRPr="00AC058C" w:rsidRDefault="003A0599">
            <w:pPr>
              <w:spacing w:after="0"/>
              <w:textAlignment w:val="baseline"/>
              <w:rPr>
                <w:noProof/>
                <w:color w:val="000000" w:themeColor="text1"/>
                <w:szCs w:val="24"/>
              </w:rPr>
            </w:pPr>
            <w:r w:rsidRPr="00AC058C">
              <w:rPr>
                <w:noProof/>
                <w:color w:val="000000" w:themeColor="text1"/>
                <w:sz w:val="22"/>
              </w:rPr>
              <w:t>Instituirea în mod oficial a „Grupul de experți în domeniul energiei inteligente” și instituirea grupului „Date pentru energie (D4E)” ca unul dintre grupurile sale de lucru permanente.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6AB5C84" w14:textId="77777777" w:rsidR="00D7257B" w:rsidRPr="00AC058C" w:rsidRDefault="00D7257B" w:rsidP="007167D8">
            <w:pPr>
              <w:spacing w:after="0"/>
              <w:textAlignment w:val="baseline"/>
              <w:rPr>
                <w:noProof/>
                <w:color w:val="000000" w:themeColor="text1"/>
                <w:szCs w:val="24"/>
              </w:rPr>
            </w:pPr>
            <w:r w:rsidRPr="00AC058C">
              <w:rPr>
                <w:noProof/>
                <w:color w:val="000000" w:themeColor="text1"/>
                <w:sz w:val="22"/>
              </w:rPr>
              <w:t xml:space="preserve">T1 2023 </w:t>
            </w:r>
          </w:p>
        </w:tc>
      </w:tr>
      <w:tr w:rsidR="00EF5E05" w:rsidRPr="00AC058C" w14:paraId="16F5396A"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C21B2F2" w14:textId="77EC26B7" w:rsidR="00EF5E05" w:rsidRPr="00AC058C" w:rsidRDefault="00EF5E05" w:rsidP="00985FAC">
            <w:pPr>
              <w:spacing w:after="0" w:line="276" w:lineRule="auto"/>
              <w:rPr>
                <w:noProof/>
                <w:sz w:val="22"/>
              </w:rPr>
            </w:pPr>
            <w:r w:rsidRPr="00AC058C">
              <w:rPr>
                <w:noProof/>
                <w:sz w:val="22"/>
              </w:rPr>
              <w:t>Instituirea guvernanței spațiului european comun al datelor privind energia.</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3DAAB95" w14:textId="77777777" w:rsidR="00EF5E05" w:rsidRPr="00AC058C" w:rsidRDefault="00EF5E05" w:rsidP="007167D8">
            <w:pPr>
              <w:spacing w:after="0"/>
              <w:textAlignment w:val="baseline"/>
              <w:rPr>
                <w:noProof/>
                <w:color w:val="000000" w:themeColor="text1"/>
                <w:sz w:val="22"/>
                <w:szCs w:val="22"/>
              </w:rPr>
            </w:pPr>
            <w:r w:rsidRPr="00AC058C">
              <w:rPr>
                <w:noProof/>
                <w:color w:val="000000" w:themeColor="text1"/>
                <w:sz w:val="22"/>
              </w:rPr>
              <w:t>2024</w:t>
            </w:r>
          </w:p>
        </w:tc>
      </w:tr>
      <w:tr w:rsidR="00D7257B" w:rsidRPr="00AC058C" w14:paraId="3B28B1B0"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BD4B8D2" w14:textId="77777777" w:rsidR="00D7257B" w:rsidRPr="00AC058C" w:rsidRDefault="00624F8D" w:rsidP="00624F8D">
            <w:pPr>
              <w:spacing w:after="0"/>
              <w:textAlignment w:val="baseline"/>
              <w:rPr>
                <w:noProof/>
                <w:color w:val="000000" w:themeColor="text1"/>
                <w:szCs w:val="24"/>
              </w:rPr>
            </w:pPr>
            <w:r w:rsidRPr="00AC058C">
              <w:rPr>
                <w:noProof/>
                <w:color w:val="000000" w:themeColor="text1"/>
                <w:sz w:val="22"/>
              </w:rPr>
              <w:t>Adoptarea unui act de punere în aplicare privind cerințele și procedurile de interoperabilitate pentru accesul la datele privind contorizarea și consumul.</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AC32329" w14:textId="77777777" w:rsidR="00D7257B" w:rsidRPr="00AC058C" w:rsidRDefault="00D7257B" w:rsidP="007167D8">
            <w:pPr>
              <w:spacing w:after="0"/>
              <w:jc w:val="left"/>
              <w:textAlignment w:val="baseline"/>
              <w:rPr>
                <w:noProof/>
                <w:color w:val="000000" w:themeColor="text1"/>
                <w:szCs w:val="24"/>
              </w:rPr>
            </w:pPr>
            <w:r w:rsidRPr="00AC058C">
              <w:rPr>
                <w:noProof/>
                <w:color w:val="000000" w:themeColor="text1"/>
                <w:sz w:val="22"/>
              </w:rPr>
              <w:t>T3 2022 (Supunerea la procedura comitetului)</w:t>
            </w:r>
          </w:p>
        </w:tc>
      </w:tr>
      <w:tr w:rsidR="00D7257B" w:rsidRPr="00AC058C" w14:paraId="1D41E342"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33585F4" w14:textId="499CDC8B" w:rsidR="00D7257B" w:rsidRPr="00AC058C" w:rsidRDefault="00624F8D" w:rsidP="007167D8">
            <w:pPr>
              <w:spacing w:after="0"/>
              <w:textAlignment w:val="baseline"/>
              <w:rPr>
                <w:noProof/>
                <w:color w:val="000000" w:themeColor="text1"/>
                <w:szCs w:val="24"/>
              </w:rPr>
            </w:pPr>
            <w:r w:rsidRPr="00AC058C">
              <w:rPr>
                <w:noProof/>
                <w:color w:val="000000" w:themeColor="text1"/>
                <w:sz w:val="22"/>
              </w:rPr>
              <w:t>Pregătirea terenului pentru adoptarea actelor de punere în aplicare privind cerințele și procedurile de interoperabilitate pentru accesul la datele necesare pentru consumul dispecerizabil și schimbare</w:t>
            </w:r>
            <w:r w:rsidR="00AC058C" w:rsidRPr="00AC058C">
              <w:rPr>
                <w:noProof/>
                <w:color w:val="000000" w:themeColor="text1"/>
                <w:sz w:val="22"/>
              </w:rPr>
              <w:t>a furnizorului de către client.</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760B363" w14:textId="77777777" w:rsidR="00D7257B" w:rsidRPr="00AC058C" w:rsidRDefault="00D7257B" w:rsidP="007167D8">
            <w:pPr>
              <w:spacing w:after="0"/>
              <w:textAlignment w:val="baseline"/>
              <w:rPr>
                <w:noProof/>
                <w:color w:val="000000" w:themeColor="text1"/>
                <w:sz w:val="22"/>
                <w:szCs w:val="22"/>
              </w:rPr>
            </w:pPr>
            <w:r w:rsidRPr="00AC058C">
              <w:rPr>
                <w:noProof/>
                <w:color w:val="000000" w:themeColor="text1"/>
                <w:sz w:val="22"/>
              </w:rPr>
              <w:t>T3 2022</w:t>
            </w:r>
          </w:p>
          <w:p w14:paraId="33CEBD53" w14:textId="77777777" w:rsidR="00D7257B" w:rsidRPr="00AC058C" w:rsidRDefault="00D7257B" w:rsidP="007167D8">
            <w:pPr>
              <w:spacing w:after="0"/>
              <w:textAlignment w:val="baseline"/>
              <w:rPr>
                <w:noProof/>
                <w:color w:val="000000" w:themeColor="text1"/>
                <w:szCs w:val="24"/>
              </w:rPr>
            </w:pPr>
            <w:r w:rsidRPr="00AC058C">
              <w:rPr>
                <w:noProof/>
                <w:color w:val="000000" w:themeColor="text1"/>
                <w:sz w:val="22"/>
              </w:rPr>
              <w:t>(începerea activității)</w:t>
            </w:r>
          </w:p>
        </w:tc>
      </w:tr>
      <w:tr w:rsidR="00D7257B" w:rsidRPr="00AC058C" w14:paraId="690D9FFA"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3B8271C" w14:textId="77777777" w:rsidR="00D7257B" w:rsidRPr="00AC058C" w:rsidRDefault="008F2FF2" w:rsidP="007167D8">
            <w:pPr>
              <w:spacing w:after="0"/>
              <w:textAlignment w:val="baseline"/>
              <w:rPr>
                <w:noProof/>
                <w:color w:val="000000" w:themeColor="text1"/>
              </w:rPr>
            </w:pPr>
            <w:r w:rsidRPr="00AC058C">
              <w:rPr>
                <w:noProof/>
                <w:color w:val="000000" w:themeColor="text1"/>
                <w:sz w:val="22"/>
              </w:rPr>
              <w:t xml:space="preserve">Promovarea unui cod de conduită în domeniul aparatelor inteligente din punct de vedere energetic care să permită interoperabilitatea și să stimuleze participarea </w:t>
            </w:r>
            <w:bookmarkStart w:id="134" w:name="_Int_b1bCRrGJ"/>
            <w:r w:rsidRPr="00AC058C">
              <w:rPr>
                <w:noProof/>
                <w:color w:val="000000" w:themeColor="text1"/>
                <w:sz w:val="22"/>
              </w:rPr>
              <w:t xml:space="preserve">acestora </w:t>
            </w:r>
            <w:bookmarkEnd w:id="134"/>
            <w:r w:rsidRPr="00AC058C">
              <w:rPr>
                <w:noProof/>
                <w:color w:val="000000" w:themeColor="text1"/>
                <w:sz w:val="22"/>
              </w:rPr>
              <w:t>la sistemele de consum dispecerizabil</w:t>
            </w:r>
            <w:r w:rsidRPr="00AC058C">
              <w:rPr>
                <w:noProof/>
              </w:rPr>
              <w:t>.</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AC0FF44" w14:textId="77777777" w:rsidR="00D7257B" w:rsidRPr="00AC058C" w:rsidRDefault="00D7257B" w:rsidP="007167D8">
            <w:pPr>
              <w:spacing w:after="0"/>
              <w:textAlignment w:val="baseline"/>
              <w:rPr>
                <w:noProof/>
                <w:color w:val="000000" w:themeColor="text1"/>
                <w:szCs w:val="24"/>
              </w:rPr>
            </w:pPr>
            <w:r w:rsidRPr="00AC058C">
              <w:rPr>
                <w:noProof/>
                <w:color w:val="000000" w:themeColor="text1"/>
                <w:sz w:val="22"/>
              </w:rPr>
              <w:t>T4 2023 </w:t>
            </w:r>
          </w:p>
        </w:tc>
      </w:tr>
      <w:tr w:rsidR="00D7257B" w:rsidRPr="00AC058C" w14:paraId="4BA2829D"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ABF3693" w14:textId="77777777" w:rsidR="00D7257B" w:rsidRPr="00AC058C" w:rsidRDefault="008F2FF2" w:rsidP="008F2FF2">
            <w:pPr>
              <w:spacing w:after="0"/>
              <w:textAlignment w:val="baseline"/>
              <w:rPr>
                <w:noProof/>
                <w:color w:val="000000" w:themeColor="text1"/>
                <w:szCs w:val="24"/>
              </w:rPr>
            </w:pPr>
            <w:r w:rsidRPr="00AC058C">
              <w:rPr>
                <w:rStyle w:val="normaltextrun"/>
                <w:noProof/>
                <w:color w:val="000000" w:themeColor="text1"/>
                <w:sz w:val="22"/>
                <w:shd w:val="clear" w:color="auto" w:fill="FFFFFF"/>
              </w:rPr>
              <w:t>Intenționează să sprijine implementarea spațiului european comun al datelor privind energia prin intermediul unei cereri de propuneri în cadrul programului Europa digitală.</w:t>
            </w:r>
            <w:r w:rsidRPr="00AC058C">
              <w:rPr>
                <w:noProof/>
                <w:color w:val="000000" w:themeColor="text1"/>
                <w:sz w:val="20"/>
              </w:rPr>
              <w:t xml:space="preserve">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49D8FCD" w14:textId="77777777" w:rsidR="00D7257B" w:rsidRPr="00AC058C" w:rsidRDefault="00D7257B" w:rsidP="007167D8">
            <w:pPr>
              <w:spacing w:after="0"/>
              <w:textAlignment w:val="baseline"/>
              <w:rPr>
                <w:noProof/>
                <w:color w:val="000000" w:themeColor="text1"/>
                <w:szCs w:val="24"/>
              </w:rPr>
            </w:pPr>
            <w:r w:rsidRPr="00AC058C">
              <w:rPr>
                <w:noProof/>
                <w:color w:val="000000" w:themeColor="text1"/>
                <w:sz w:val="22"/>
              </w:rPr>
              <w:t>2024 </w:t>
            </w:r>
          </w:p>
        </w:tc>
      </w:tr>
      <w:tr w:rsidR="00D7257B" w:rsidRPr="00AC058C" w14:paraId="7AB6B782" w14:textId="77777777" w:rsidTr="007167D8">
        <w:tc>
          <w:tcPr>
            <w:tcW w:w="90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7080BBA" w14:textId="77777777" w:rsidR="00D7257B" w:rsidRPr="00AC058C" w:rsidRDefault="00D7257B" w:rsidP="007167D8">
            <w:pPr>
              <w:spacing w:after="0"/>
              <w:jc w:val="center"/>
              <w:textAlignment w:val="baseline"/>
              <w:rPr>
                <w:noProof/>
                <w:color w:val="000000" w:themeColor="text1"/>
                <w:sz w:val="22"/>
                <w:szCs w:val="22"/>
              </w:rPr>
            </w:pPr>
            <w:r w:rsidRPr="00AC058C">
              <w:rPr>
                <w:b/>
                <w:noProof/>
                <w:color w:val="000000" w:themeColor="text1"/>
              </w:rPr>
              <w:t>Promovarea investițiilor în infrastructura digitală a energiei electrice</w:t>
            </w:r>
          </w:p>
        </w:tc>
      </w:tr>
      <w:tr w:rsidR="00D7257B" w:rsidRPr="00AC058C" w14:paraId="3ECDDAF6"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EAAE75E" w14:textId="77777777" w:rsidR="00D7257B" w:rsidRPr="00AC058C" w:rsidRDefault="008F2FF2" w:rsidP="007167D8">
            <w:pPr>
              <w:spacing w:after="0"/>
              <w:textAlignment w:val="baseline"/>
              <w:rPr>
                <w:noProof/>
                <w:color w:val="000000" w:themeColor="text1"/>
                <w:sz w:val="22"/>
                <w:szCs w:val="22"/>
              </w:rPr>
            </w:pPr>
            <w:r w:rsidRPr="00AC058C">
              <w:rPr>
                <w:noProof/>
                <w:sz w:val="22"/>
              </w:rPr>
              <w:t>Sprijinirea operatorilor de sisteme de transport și a operatorilor de sisteme de distribuție din UE în vederea creării unui geamăn digital al rețelei europene de energie electrică.</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D7AE5C8" w14:textId="0ED83CE5" w:rsidR="00D7257B" w:rsidRPr="00AC058C" w:rsidRDefault="00D7257B">
            <w:pPr>
              <w:spacing w:after="0"/>
              <w:jc w:val="left"/>
              <w:textAlignment w:val="baseline"/>
              <w:rPr>
                <w:noProof/>
                <w:color w:val="000000" w:themeColor="text1"/>
                <w:sz w:val="22"/>
                <w:szCs w:val="22"/>
              </w:rPr>
            </w:pPr>
            <w:r w:rsidRPr="00AC058C">
              <w:rPr>
                <w:noProof/>
                <w:color w:val="000000" w:themeColor="text1"/>
                <w:sz w:val="22"/>
              </w:rPr>
              <w:t xml:space="preserve">începând din 2022 </w:t>
            </w:r>
          </w:p>
        </w:tc>
      </w:tr>
      <w:tr w:rsidR="00D7257B" w:rsidRPr="00AC058C" w14:paraId="60560762"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A55D6C5" w14:textId="77777777" w:rsidR="00D7257B" w:rsidRPr="00AC058C" w:rsidRDefault="00D7257B" w:rsidP="008F2FF2">
            <w:pPr>
              <w:spacing w:after="0"/>
              <w:textAlignment w:val="baseline"/>
              <w:rPr>
                <w:noProof/>
                <w:color w:val="000000" w:themeColor="text1"/>
                <w:sz w:val="22"/>
                <w:szCs w:val="22"/>
              </w:rPr>
            </w:pPr>
            <w:r w:rsidRPr="00AC058C">
              <w:rPr>
                <w:noProof/>
                <w:color w:val="000000" w:themeColor="text1"/>
                <w:sz w:val="22"/>
              </w:rPr>
              <w:t>Sprijinirea ACER și a autorităților naționale de reglementare în activitatea lor de definire a indicatorilor comuni privind rețelele electrice inteligente.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A1D47BD" w14:textId="77777777" w:rsidR="00D7257B" w:rsidRPr="00AC058C" w:rsidRDefault="008F2FF2" w:rsidP="007167D8">
            <w:pPr>
              <w:spacing w:after="0"/>
              <w:textAlignment w:val="baseline"/>
              <w:rPr>
                <w:noProof/>
                <w:color w:val="000000" w:themeColor="text1"/>
                <w:sz w:val="22"/>
                <w:szCs w:val="22"/>
              </w:rPr>
            </w:pPr>
            <w:r w:rsidRPr="00AC058C">
              <w:rPr>
                <w:noProof/>
                <w:color w:val="000000" w:themeColor="text1"/>
                <w:sz w:val="22"/>
              </w:rPr>
              <w:t>Până în 2023</w:t>
            </w:r>
          </w:p>
        </w:tc>
      </w:tr>
      <w:tr w:rsidR="009558AF" w:rsidRPr="00AC058C" w14:paraId="1AE97C17"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F661FC1" w14:textId="77777777" w:rsidR="009558AF" w:rsidRPr="00AC058C" w:rsidRDefault="009558AF" w:rsidP="008F2FF2">
            <w:pPr>
              <w:spacing w:after="0"/>
              <w:textAlignment w:val="baseline"/>
              <w:rPr>
                <w:noProof/>
                <w:color w:val="000000" w:themeColor="text1"/>
                <w:sz w:val="22"/>
              </w:rPr>
            </w:pPr>
            <w:r w:rsidRPr="00AC058C">
              <w:rPr>
                <w:noProof/>
                <w:color w:val="000000" w:themeColor="text1"/>
                <w:sz w:val="22"/>
              </w:rPr>
              <w:t xml:space="preserve">Sprijinirea, în cadrul MIE Digital, a elaborării de concepte și studii de fezabilitate pentru platformele digitale operaționale paneuropene.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BDD1131" w14:textId="77777777" w:rsidR="009558AF" w:rsidRPr="00AC058C" w:rsidRDefault="009558AF" w:rsidP="007167D8">
            <w:pPr>
              <w:spacing w:after="0"/>
              <w:textAlignment w:val="baseline"/>
              <w:rPr>
                <w:noProof/>
                <w:color w:val="000000" w:themeColor="text1"/>
                <w:sz w:val="22"/>
                <w:szCs w:val="22"/>
              </w:rPr>
            </w:pPr>
            <w:r w:rsidRPr="00AC058C">
              <w:rPr>
                <w:noProof/>
                <w:color w:val="000000" w:themeColor="text1"/>
                <w:sz w:val="22"/>
              </w:rPr>
              <w:t>Până în 2024</w:t>
            </w:r>
          </w:p>
        </w:tc>
      </w:tr>
      <w:tr w:rsidR="00D7257B" w:rsidRPr="00AC058C" w14:paraId="5C637EAB" w14:textId="77777777" w:rsidTr="007167D8">
        <w:tc>
          <w:tcPr>
            <w:tcW w:w="90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A4A386E" w14:textId="77777777" w:rsidR="00D7257B" w:rsidRPr="00AC058C" w:rsidRDefault="00D7257B" w:rsidP="007167D8">
            <w:pPr>
              <w:spacing w:after="0"/>
              <w:jc w:val="center"/>
              <w:textAlignment w:val="baseline"/>
              <w:rPr>
                <w:b/>
                <w:noProof/>
                <w:color w:val="000000" w:themeColor="text1"/>
                <w:sz w:val="22"/>
                <w:szCs w:val="22"/>
              </w:rPr>
            </w:pPr>
            <w:r w:rsidRPr="00AC058C">
              <w:rPr>
                <w:b/>
                <w:noProof/>
                <w:color w:val="000000" w:themeColor="text1"/>
                <w:sz w:val="22"/>
              </w:rPr>
              <w:t>Asigurarea unor beneficii pentru consumatori: noi servicii, competențe și responsabilizare</w:t>
            </w:r>
          </w:p>
        </w:tc>
      </w:tr>
      <w:tr w:rsidR="00D7257B" w:rsidRPr="00AC058C" w14:paraId="455DB910"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FFF547D" w14:textId="75041025" w:rsidR="00D7257B" w:rsidRPr="00AC058C" w:rsidRDefault="00B81D9C" w:rsidP="00B81D9C">
            <w:pPr>
              <w:spacing w:after="0"/>
              <w:textAlignment w:val="baseline"/>
              <w:rPr>
                <w:noProof/>
                <w:color w:val="000000" w:themeColor="text1"/>
                <w:sz w:val="22"/>
                <w:szCs w:val="22"/>
              </w:rPr>
            </w:pPr>
            <w:r w:rsidRPr="00AC058C">
              <w:rPr>
                <w:noProof/>
                <w:color w:val="000000" w:themeColor="text1"/>
                <w:sz w:val="22"/>
              </w:rPr>
              <w:t>Asigurarea faptului că principalele proiecte de cercetare și inovare colaborează</w:t>
            </w:r>
            <w:r w:rsidRPr="00AC058C">
              <w:rPr>
                <w:noProof/>
              </w:rPr>
              <w:t xml:space="preserve"> </w:t>
            </w:r>
            <w:r w:rsidRPr="00AC058C">
              <w:rPr>
                <w:noProof/>
                <w:color w:val="000000" w:themeColor="text1"/>
                <w:sz w:val="22"/>
              </w:rPr>
              <w:t xml:space="preserve">pentru a identifica strategii de implicare a consumatorilor în conceperea și utilizarea instrumentelor digitale.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1592E9B" w14:textId="77777777" w:rsidR="00D7257B" w:rsidRPr="00AC058C" w:rsidRDefault="008F2FF2" w:rsidP="007167D8">
            <w:pPr>
              <w:spacing w:after="0"/>
              <w:textAlignment w:val="baseline"/>
              <w:rPr>
                <w:noProof/>
                <w:color w:val="000000" w:themeColor="text1"/>
                <w:sz w:val="22"/>
                <w:szCs w:val="22"/>
              </w:rPr>
            </w:pPr>
            <w:r w:rsidRPr="00AC058C">
              <w:rPr>
                <w:noProof/>
                <w:color w:val="000000" w:themeColor="text1"/>
                <w:sz w:val="22"/>
              </w:rPr>
              <w:t>T2 2023</w:t>
            </w:r>
          </w:p>
        </w:tc>
      </w:tr>
      <w:tr w:rsidR="00D7257B" w:rsidRPr="00AC058C" w14:paraId="6C4A701C"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79182F7" w14:textId="50BF892B" w:rsidR="00D7257B" w:rsidRPr="00AC058C" w:rsidRDefault="00D7257B" w:rsidP="00B92C13">
            <w:pPr>
              <w:spacing w:after="0"/>
              <w:textAlignment w:val="baseline"/>
              <w:rPr>
                <w:rStyle w:val="normaltextrun"/>
                <w:rFonts w:eastAsiaTheme="majorEastAsia"/>
                <w:bCs/>
                <w:noProof/>
                <w:color w:val="000000" w:themeColor="text1"/>
                <w:sz w:val="22"/>
                <w:shd w:val="clear" w:color="auto" w:fill="FFFFFF"/>
              </w:rPr>
            </w:pPr>
            <w:r w:rsidRPr="00AC058C">
              <w:rPr>
                <w:rStyle w:val="normaltextrun"/>
                <w:noProof/>
                <w:color w:val="000000" w:themeColor="text1"/>
                <w:sz w:val="22"/>
                <w:shd w:val="clear" w:color="auto" w:fill="FFFFFF"/>
              </w:rPr>
              <w:t>Identificarea și întocmirea unei liste scurte de instrumente digitale și elaborarea de orientări privind utilizarea în comun a energiei și schimburile inter pares în beneficiul comunităților energetice și al membrilor acestora, în cadrul proiectului „Energy Communities Repository” (Registrul comunităților de energie).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45A03A3" w14:textId="77777777" w:rsidR="00D7257B" w:rsidRPr="00AC058C" w:rsidRDefault="00D7257B" w:rsidP="007167D8">
            <w:pPr>
              <w:spacing w:after="0"/>
              <w:textAlignment w:val="baseline"/>
              <w:rPr>
                <w:noProof/>
                <w:color w:val="000000" w:themeColor="text1"/>
                <w:sz w:val="22"/>
                <w:szCs w:val="22"/>
              </w:rPr>
            </w:pPr>
            <w:r w:rsidRPr="00AC058C">
              <w:rPr>
                <w:noProof/>
                <w:color w:val="000000" w:themeColor="text1"/>
                <w:sz w:val="22"/>
              </w:rPr>
              <w:t>2023-2024</w:t>
            </w:r>
          </w:p>
        </w:tc>
      </w:tr>
      <w:tr w:rsidR="00D7257B" w:rsidRPr="00AC058C" w14:paraId="558062AF"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EBBD196" w14:textId="40CB4E26" w:rsidR="00D7257B" w:rsidRPr="00AC058C" w:rsidRDefault="00D7257B" w:rsidP="007167D8">
            <w:pPr>
              <w:spacing w:after="0"/>
              <w:textAlignment w:val="baseline"/>
              <w:rPr>
                <w:rStyle w:val="normaltextrun"/>
                <w:rFonts w:eastAsiaTheme="majorEastAsia"/>
                <w:bCs/>
                <w:noProof/>
                <w:color w:val="000000" w:themeColor="text1"/>
                <w:sz w:val="22"/>
                <w:shd w:val="clear" w:color="auto" w:fill="FFFFFF"/>
              </w:rPr>
            </w:pPr>
            <w:r w:rsidRPr="00AC058C">
              <w:rPr>
                <w:rStyle w:val="normaltextrun"/>
                <w:noProof/>
                <w:color w:val="000000" w:themeColor="text1"/>
                <w:sz w:val="22"/>
                <w:shd w:val="clear" w:color="auto" w:fill="FFFFFF"/>
              </w:rPr>
              <w:t>Dezvoltarea unei platforme de experimentare pentru testarea și simularea comunităților de energie.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6646B98" w14:textId="77777777" w:rsidR="00D7257B" w:rsidRPr="00AC058C" w:rsidRDefault="00D7257B" w:rsidP="007167D8">
            <w:pPr>
              <w:spacing w:after="0"/>
              <w:textAlignment w:val="baseline"/>
              <w:rPr>
                <w:noProof/>
                <w:color w:val="000000" w:themeColor="text1"/>
                <w:sz w:val="22"/>
                <w:szCs w:val="22"/>
              </w:rPr>
            </w:pPr>
            <w:r w:rsidRPr="00AC058C">
              <w:rPr>
                <w:noProof/>
                <w:color w:val="000000" w:themeColor="text1"/>
                <w:sz w:val="22"/>
              </w:rPr>
              <w:t>2023-2024</w:t>
            </w:r>
          </w:p>
        </w:tc>
      </w:tr>
      <w:tr w:rsidR="00D7257B" w:rsidRPr="00AC058C" w14:paraId="193DA469"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956C3D1" w14:textId="28207113" w:rsidR="00D7257B" w:rsidRPr="00AC058C" w:rsidRDefault="00D7257B" w:rsidP="00B92C13">
            <w:pPr>
              <w:spacing w:after="0"/>
              <w:textAlignment w:val="baseline"/>
              <w:rPr>
                <w:i/>
                <w:iCs/>
                <w:noProof/>
                <w:color w:val="000000" w:themeColor="text1"/>
                <w:szCs w:val="24"/>
              </w:rPr>
            </w:pPr>
            <w:r w:rsidRPr="00AC058C">
              <w:rPr>
                <w:rStyle w:val="normaltextrun"/>
                <w:noProof/>
                <w:color w:val="000000" w:themeColor="text1"/>
                <w:sz w:val="22"/>
                <w:bdr w:val="none" w:sz="0" w:space="0" w:color="auto" w:frame="1"/>
              </w:rPr>
              <w:t>Sprijinirea instituirii unui parteneriat la scară largă ca parte a Pactului privind competențele.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0A30683" w14:textId="77777777" w:rsidR="00D7257B" w:rsidRPr="00AC058C" w:rsidRDefault="00B92C13" w:rsidP="007167D8">
            <w:pPr>
              <w:spacing w:after="0"/>
              <w:textAlignment w:val="baseline"/>
              <w:rPr>
                <w:noProof/>
                <w:color w:val="000000" w:themeColor="text1"/>
                <w:szCs w:val="24"/>
              </w:rPr>
            </w:pPr>
            <w:r w:rsidRPr="00AC058C">
              <w:rPr>
                <w:noProof/>
                <w:color w:val="000000" w:themeColor="text1"/>
                <w:sz w:val="22"/>
              </w:rPr>
              <w:t xml:space="preserve">Sfârșitul anului 2023 </w:t>
            </w:r>
          </w:p>
        </w:tc>
      </w:tr>
      <w:tr w:rsidR="00D7257B" w:rsidRPr="00AC058C" w14:paraId="5FF91391" w14:textId="77777777" w:rsidTr="007167D8">
        <w:tc>
          <w:tcPr>
            <w:tcW w:w="90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CD91B4C" w14:textId="77777777" w:rsidR="00D7257B" w:rsidRPr="00AC058C" w:rsidRDefault="00D7257B" w:rsidP="007167D8">
            <w:pPr>
              <w:spacing w:after="0"/>
              <w:jc w:val="center"/>
              <w:textAlignment w:val="baseline"/>
              <w:rPr>
                <w:noProof/>
                <w:color w:val="000000" w:themeColor="text1"/>
                <w:szCs w:val="24"/>
              </w:rPr>
            </w:pPr>
            <w:r w:rsidRPr="00AC058C">
              <w:rPr>
                <w:b/>
                <w:noProof/>
                <w:color w:val="000000" w:themeColor="text1"/>
              </w:rPr>
              <w:t>Consolidarea securității cibernetice și a rezilienței în sistemul energetic</w:t>
            </w:r>
          </w:p>
        </w:tc>
      </w:tr>
      <w:tr w:rsidR="00D7257B" w:rsidRPr="00AC058C" w14:paraId="046BE90B"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1707D4F" w14:textId="77777777" w:rsidR="00D7257B" w:rsidRPr="00AC058C" w:rsidRDefault="00D7257B" w:rsidP="007167D8">
            <w:pPr>
              <w:rPr>
                <w:noProof/>
                <w:color w:val="000000" w:themeColor="text1"/>
                <w:szCs w:val="24"/>
                <w:lang w:eastAsia="en-GB"/>
              </w:rPr>
            </w:pP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3844586" w14:textId="77777777" w:rsidR="00D7257B" w:rsidRPr="00AC058C" w:rsidRDefault="00D7257B" w:rsidP="007167D8">
            <w:pPr>
              <w:rPr>
                <w:noProof/>
                <w:color w:val="000000" w:themeColor="text1"/>
                <w:szCs w:val="24"/>
                <w:lang w:eastAsia="en-GB"/>
              </w:rPr>
            </w:pPr>
          </w:p>
        </w:tc>
      </w:tr>
      <w:tr w:rsidR="00D7257B" w:rsidRPr="00AC058C" w14:paraId="451A245E"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AD809C9" w14:textId="0A6B02E2" w:rsidR="00D7257B" w:rsidRPr="00AC058C" w:rsidRDefault="00D7257B" w:rsidP="007167D8">
            <w:pPr>
              <w:rPr>
                <w:noProof/>
                <w:color w:val="000000" w:themeColor="text1"/>
                <w:sz w:val="22"/>
                <w:szCs w:val="24"/>
              </w:rPr>
            </w:pPr>
            <w:r w:rsidRPr="00AC058C">
              <w:rPr>
                <w:noProof/>
                <w:color w:val="000000" w:themeColor="text1"/>
                <w:sz w:val="22"/>
              </w:rPr>
              <w:t>Prezentarea unei propuneri de act delegat privind securitatea cibernetică a fluxurilor transfrontaliere de energie electrică.</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CFC461B" w14:textId="77777777" w:rsidR="00D7257B" w:rsidRPr="00AC058C" w:rsidRDefault="00E70B48" w:rsidP="00E70B48">
            <w:pPr>
              <w:rPr>
                <w:noProof/>
                <w:color w:val="000000" w:themeColor="text1"/>
                <w:sz w:val="22"/>
                <w:szCs w:val="24"/>
              </w:rPr>
            </w:pPr>
            <w:r w:rsidRPr="00AC058C">
              <w:rPr>
                <w:noProof/>
                <w:color w:val="000000" w:themeColor="text1"/>
                <w:sz w:val="22"/>
              </w:rPr>
              <w:t xml:space="preserve">T1 2023 </w:t>
            </w:r>
          </w:p>
        </w:tc>
      </w:tr>
      <w:tr w:rsidR="00D7257B" w:rsidRPr="00AC058C" w14:paraId="59C2DDE5"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6F20A95" w14:textId="5DBD9669" w:rsidR="00D7257B" w:rsidRPr="00AC058C" w:rsidRDefault="00B92C13" w:rsidP="00641EDE">
            <w:pPr>
              <w:spacing w:after="0"/>
              <w:textAlignment w:val="baseline"/>
              <w:rPr>
                <w:i/>
                <w:iCs/>
                <w:noProof/>
                <w:color w:val="000000" w:themeColor="text1"/>
              </w:rPr>
            </w:pPr>
            <w:r w:rsidRPr="00AC058C">
              <w:rPr>
                <w:noProof/>
                <w:color w:val="000000" w:themeColor="text1"/>
                <w:sz w:val="22"/>
              </w:rPr>
              <w:t>Prezentarea unei propuneri de act delegat privind securitatea cibernetică a rețelelor de gaze (sub rezerva confirmării după rezultatul procedurii legislative).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E8CC733" w14:textId="77777777" w:rsidR="00D7257B" w:rsidRPr="00AC058C" w:rsidRDefault="00641EDE" w:rsidP="00985FAC">
            <w:pPr>
              <w:spacing w:after="0"/>
              <w:jc w:val="left"/>
              <w:textAlignment w:val="baseline"/>
              <w:rPr>
                <w:noProof/>
                <w:color w:val="000000" w:themeColor="text1"/>
              </w:rPr>
            </w:pPr>
            <w:r w:rsidRPr="00AC058C">
              <w:rPr>
                <w:noProof/>
                <w:color w:val="000000" w:themeColor="text1"/>
                <w:sz w:val="22"/>
              </w:rPr>
              <w:t>Sub rezerva confirmării.</w:t>
            </w:r>
          </w:p>
        </w:tc>
      </w:tr>
      <w:tr w:rsidR="00D7257B" w:rsidRPr="00AC058C" w14:paraId="3BE90565" w14:textId="77777777" w:rsidTr="007167D8">
        <w:tc>
          <w:tcPr>
            <w:tcW w:w="90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A46098C" w14:textId="77777777" w:rsidR="00D7257B" w:rsidRPr="00AC058C" w:rsidRDefault="00D7257B" w:rsidP="007167D8">
            <w:pPr>
              <w:spacing w:after="0"/>
              <w:jc w:val="center"/>
              <w:textAlignment w:val="baseline"/>
              <w:rPr>
                <w:b/>
                <w:noProof/>
                <w:color w:val="000000" w:themeColor="text1"/>
                <w:szCs w:val="24"/>
              </w:rPr>
            </w:pPr>
            <w:r w:rsidRPr="00AC058C">
              <w:rPr>
                <w:i/>
                <w:noProof/>
                <w:color w:val="000000" w:themeColor="text1"/>
                <w:sz w:val="22"/>
              </w:rPr>
              <w:t xml:space="preserve"> </w:t>
            </w:r>
            <w:r w:rsidRPr="00AC058C">
              <w:rPr>
                <w:b/>
                <w:noProof/>
                <w:color w:val="000000" w:themeColor="text1"/>
              </w:rPr>
              <w:t>Controlul consumului de energie al sectorului TIC</w:t>
            </w:r>
          </w:p>
        </w:tc>
      </w:tr>
      <w:tr w:rsidR="00D7257B" w:rsidRPr="00AC058C" w14:paraId="24183147"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69B1194" w14:textId="687C711E" w:rsidR="00D7257B" w:rsidRPr="00AC058C" w:rsidRDefault="00D7257B">
            <w:pPr>
              <w:spacing w:after="0"/>
              <w:textAlignment w:val="baseline"/>
              <w:rPr>
                <w:i/>
                <w:iCs/>
                <w:noProof/>
                <w:color w:val="000000" w:themeColor="text1"/>
                <w:szCs w:val="24"/>
              </w:rPr>
            </w:pPr>
            <w:r w:rsidRPr="00AC058C">
              <w:rPr>
                <w:noProof/>
                <w:color w:val="000000" w:themeColor="text1"/>
                <w:sz w:val="22"/>
              </w:rPr>
              <w:t>Dezvoltarea unui sistem de etichetare energetică pentru computere și evaluarea unei posibile revizuiri a regulamentului privind proiectarea ecologică a serverelor și a produselor pentru stocarea datelor.</w:t>
            </w:r>
            <w:r w:rsidRPr="00AC058C">
              <w:rPr>
                <w:noProof/>
                <w:sz w:val="22"/>
              </w:rPr>
              <w:t xml:space="preserve"> Analizarea posibilității de a elabora indicatori comuni pentru măsurarea amprentei de mediu a serviciilor de comunicații electronice.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5FE33DB" w14:textId="77777777" w:rsidR="00D7257B" w:rsidRPr="00AC058C" w:rsidRDefault="00D7257B" w:rsidP="007167D8">
            <w:pPr>
              <w:spacing w:after="0"/>
              <w:textAlignment w:val="baseline"/>
              <w:rPr>
                <w:noProof/>
                <w:color w:val="000000" w:themeColor="text1"/>
                <w:szCs w:val="24"/>
              </w:rPr>
            </w:pPr>
            <w:r w:rsidRPr="00AC058C">
              <w:rPr>
                <w:noProof/>
                <w:color w:val="000000" w:themeColor="text1"/>
                <w:sz w:val="22"/>
              </w:rPr>
              <w:t>T4 2023 </w:t>
            </w:r>
          </w:p>
        </w:tc>
      </w:tr>
      <w:tr w:rsidR="009D7FF3" w:rsidRPr="00AC058C" w14:paraId="39496E39"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593E9EE" w14:textId="3FFC1B50" w:rsidR="009D7FF3" w:rsidRPr="00AC058C" w:rsidRDefault="00067D0D">
            <w:pPr>
              <w:spacing w:after="0"/>
              <w:textAlignment w:val="baseline"/>
              <w:rPr>
                <w:rStyle w:val="normaltextrun"/>
                <w:noProof/>
                <w:color w:val="000000" w:themeColor="text1"/>
                <w:sz w:val="22"/>
                <w:shd w:val="clear" w:color="auto" w:fill="FFFFFF"/>
              </w:rPr>
            </w:pPr>
            <w:r w:rsidRPr="00AC058C">
              <w:rPr>
                <w:rStyle w:val="normaltextrun"/>
                <w:noProof/>
                <w:color w:val="000000" w:themeColor="text1"/>
                <w:sz w:val="22"/>
                <w:shd w:val="clear" w:color="auto" w:fill="FFFFFF"/>
              </w:rPr>
              <w:t>Instituirea unui cod de conduită al UE pentru durabilitatea rețelelor de telecomunicații.</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682216F" w14:textId="560B7CEC" w:rsidR="009D7FF3" w:rsidRPr="00AC058C" w:rsidRDefault="009D7FF3" w:rsidP="007167D8">
            <w:pPr>
              <w:spacing w:after="0"/>
              <w:textAlignment w:val="baseline"/>
              <w:rPr>
                <w:noProof/>
                <w:color w:val="000000" w:themeColor="text1"/>
                <w:sz w:val="22"/>
              </w:rPr>
            </w:pPr>
            <w:r w:rsidRPr="00AC058C">
              <w:rPr>
                <w:noProof/>
                <w:color w:val="000000" w:themeColor="text1"/>
                <w:sz w:val="22"/>
              </w:rPr>
              <w:t xml:space="preserve">T4 2025 </w:t>
            </w:r>
          </w:p>
        </w:tc>
      </w:tr>
      <w:tr w:rsidR="00D7257B" w:rsidRPr="00AC058C" w14:paraId="15383884"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A8EB377" w14:textId="77777777" w:rsidR="00D7257B" w:rsidRPr="00AC058C" w:rsidRDefault="00D7257B" w:rsidP="007167D8">
            <w:pPr>
              <w:spacing w:after="0"/>
              <w:textAlignment w:val="baseline"/>
              <w:rPr>
                <w:rStyle w:val="normaltextrun"/>
                <w:rFonts w:eastAsia="Calibri"/>
                <w:bCs/>
                <w:noProof/>
                <w:color w:val="000000" w:themeColor="text1"/>
                <w:sz w:val="22"/>
                <w:shd w:val="clear" w:color="auto" w:fill="FFFFFF"/>
              </w:rPr>
            </w:pPr>
            <w:r w:rsidRPr="00AC058C">
              <w:rPr>
                <w:rStyle w:val="normaltextrun"/>
                <w:noProof/>
                <w:color w:val="000000" w:themeColor="text1"/>
                <w:sz w:val="22"/>
                <w:shd w:val="clear" w:color="auto" w:fill="FFFFFF"/>
              </w:rPr>
              <w:t xml:space="preserve">Finanțarea unui studiu și organizarea unei campanii de comunicare și de sensibilizare </w:t>
            </w:r>
            <w:r w:rsidRPr="00AC058C">
              <w:rPr>
                <w:noProof/>
                <w:sz w:val="22"/>
              </w:rPr>
              <w:t>cu privire la consumul responsabil de energie prin educarea comportamentelor digitale de zi cu zi.</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F87BBB0" w14:textId="77777777" w:rsidR="00D7257B" w:rsidRPr="00AC058C" w:rsidRDefault="00D7257B" w:rsidP="007167D8">
            <w:pPr>
              <w:spacing w:after="0"/>
              <w:textAlignment w:val="baseline"/>
              <w:rPr>
                <w:noProof/>
                <w:color w:val="000000" w:themeColor="text1"/>
                <w:sz w:val="22"/>
                <w:szCs w:val="22"/>
              </w:rPr>
            </w:pPr>
            <w:r w:rsidRPr="00AC058C">
              <w:rPr>
                <w:noProof/>
                <w:color w:val="000000" w:themeColor="text1"/>
                <w:sz w:val="22"/>
              </w:rPr>
              <w:t>2022-2023</w:t>
            </w:r>
          </w:p>
        </w:tc>
      </w:tr>
      <w:tr w:rsidR="00D7257B" w:rsidRPr="00AC058C" w14:paraId="3306B3F6"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8DCD0E2" w14:textId="2FFE43D5" w:rsidR="00D7257B" w:rsidRPr="00AC058C" w:rsidRDefault="00C664E9" w:rsidP="007167D8">
            <w:pPr>
              <w:spacing w:after="0"/>
              <w:textAlignment w:val="baseline"/>
              <w:rPr>
                <w:noProof/>
                <w:color w:val="000000" w:themeColor="text1"/>
                <w:sz w:val="22"/>
                <w:szCs w:val="22"/>
              </w:rPr>
            </w:pPr>
            <w:r w:rsidRPr="00AC058C">
              <w:rPr>
                <w:noProof/>
                <w:sz w:val="22"/>
              </w:rPr>
              <w:t>Propunerea unor obligații și cerințe de transparență, precum și dispoziții pentru promovarea reutilizării căldurii reziduale pentru centrele de date.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A463908" w14:textId="77777777" w:rsidR="00D7257B" w:rsidRPr="00AC058C" w:rsidRDefault="00E70B48" w:rsidP="007167D8">
            <w:pPr>
              <w:spacing w:after="0"/>
              <w:textAlignment w:val="baseline"/>
              <w:rPr>
                <w:noProof/>
                <w:color w:val="000000" w:themeColor="text1"/>
                <w:sz w:val="22"/>
                <w:szCs w:val="22"/>
              </w:rPr>
            </w:pPr>
            <w:r w:rsidRPr="00AC058C">
              <w:rPr>
                <w:noProof/>
                <w:color w:val="000000" w:themeColor="text1"/>
                <w:sz w:val="22"/>
              </w:rPr>
              <w:t>T4 2022</w:t>
            </w:r>
          </w:p>
        </w:tc>
      </w:tr>
      <w:tr w:rsidR="00044D53" w:rsidRPr="00AC058C" w14:paraId="623F9705"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332A5DB" w14:textId="77777777" w:rsidR="00044D53" w:rsidRPr="00AC058C" w:rsidRDefault="00044D53" w:rsidP="007167D8">
            <w:pPr>
              <w:spacing w:after="0"/>
              <w:textAlignment w:val="baseline"/>
              <w:rPr>
                <w:noProof/>
                <w:sz w:val="22"/>
              </w:rPr>
            </w:pPr>
            <w:r w:rsidRPr="00AC058C">
              <w:rPr>
                <w:noProof/>
                <w:sz w:val="22"/>
              </w:rPr>
              <w:t>Examinarea și pregătirea introducerii unui sistem de etichetare ecologică pentru centrele de date.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91192F4" w14:textId="77777777" w:rsidR="00044D53" w:rsidRPr="00AC058C" w:rsidRDefault="00044D53" w:rsidP="007167D8">
            <w:pPr>
              <w:spacing w:after="0"/>
              <w:textAlignment w:val="baseline"/>
              <w:rPr>
                <w:noProof/>
                <w:color w:val="000000" w:themeColor="text1"/>
                <w:sz w:val="22"/>
                <w:szCs w:val="22"/>
              </w:rPr>
            </w:pPr>
            <w:r w:rsidRPr="00AC058C">
              <w:rPr>
                <w:noProof/>
                <w:color w:val="000000" w:themeColor="text1"/>
                <w:sz w:val="22"/>
              </w:rPr>
              <w:t>2025</w:t>
            </w:r>
          </w:p>
        </w:tc>
      </w:tr>
      <w:tr w:rsidR="003B1E61" w:rsidRPr="00AC058C" w14:paraId="331EB94A"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96128A3" w14:textId="749727B9" w:rsidR="003B1E61" w:rsidRPr="00AC058C" w:rsidRDefault="003B1E61" w:rsidP="003B1E61">
            <w:pPr>
              <w:spacing w:after="0"/>
              <w:textAlignment w:val="baseline"/>
              <w:rPr>
                <w:rStyle w:val="normaltextrun"/>
                <w:rFonts w:eastAsiaTheme="majorEastAsia"/>
                <w:noProof/>
                <w:color w:val="000000" w:themeColor="text1"/>
                <w:sz w:val="22"/>
                <w:shd w:val="clear" w:color="auto" w:fill="FFFFFF"/>
              </w:rPr>
            </w:pPr>
            <w:r w:rsidRPr="00AC058C">
              <w:rPr>
                <w:rStyle w:val="normaltextrun"/>
                <w:noProof/>
                <w:color w:val="000000" w:themeColor="text1"/>
                <w:sz w:val="22"/>
                <w:shd w:val="clear" w:color="auto" w:fill="FFFFFF"/>
              </w:rPr>
              <w:t>Dezvoltarea unei etichete de eficiență energetică pentru tehnologia blockchain.</w:t>
            </w:r>
            <w:r w:rsidRPr="00AC058C">
              <w:rPr>
                <w:noProof/>
                <w:sz w:val="22"/>
              </w:rPr>
              <w:t xml:space="preserve">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F60E42F" w14:textId="1D307466" w:rsidR="003B1E61" w:rsidRPr="00AC058C" w:rsidRDefault="003B1E61" w:rsidP="003B1E61">
            <w:pPr>
              <w:spacing w:after="0"/>
              <w:textAlignment w:val="baseline"/>
              <w:rPr>
                <w:noProof/>
                <w:color w:val="000000" w:themeColor="text1"/>
                <w:sz w:val="22"/>
                <w:szCs w:val="22"/>
              </w:rPr>
            </w:pPr>
            <w:r w:rsidRPr="00AC058C">
              <w:rPr>
                <w:noProof/>
                <w:color w:val="000000" w:themeColor="text1"/>
                <w:sz w:val="22"/>
              </w:rPr>
              <w:t>2025</w:t>
            </w:r>
          </w:p>
        </w:tc>
      </w:tr>
      <w:tr w:rsidR="003B1E61" w:rsidRPr="00AC058C" w14:paraId="576E900D" w14:textId="77777777" w:rsidTr="007167D8">
        <w:tc>
          <w:tcPr>
            <w:tcW w:w="90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CB71A09" w14:textId="77777777" w:rsidR="003B1E61" w:rsidRPr="00AC058C" w:rsidRDefault="003B1E61" w:rsidP="003B1E61">
            <w:pPr>
              <w:spacing w:after="0"/>
              <w:jc w:val="center"/>
              <w:textAlignment w:val="baseline"/>
              <w:rPr>
                <w:b/>
                <w:noProof/>
                <w:color w:val="000000" w:themeColor="text1"/>
                <w:sz w:val="22"/>
                <w:szCs w:val="22"/>
              </w:rPr>
            </w:pPr>
            <w:r w:rsidRPr="00AC058C">
              <w:rPr>
                <w:b/>
                <w:noProof/>
                <w:color w:val="000000" w:themeColor="text1"/>
              </w:rPr>
              <w:t>O abordare coordonată la nivelul UE</w:t>
            </w:r>
          </w:p>
        </w:tc>
      </w:tr>
      <w:tr w:rsidR="003B1E61" w:rsidRPr="00AC058C" w14:paraId="5E1E21C1"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0C28D4F" w14:textId="4F33BF2F" w:rsidR="003B1E61" w:rsidRPr="00AC058C" w:rsidRDefault="003B1E61" w:rsidP="003B1E61">
            <w:pPr>
              <w:spacing w:after="0"/>
              <w:textAlignment w:val="baseline"/>
              <w:rPr>
                <w:noProof/>
                <w:color w:val="000000" w:themeColor="text1"/>
                <w:sz w:val="22"/>
                <w:szCs w:val="22"/>
              </w:rPr>
            </w:pPr>
            <w:r w:rsidRPr="00AC058C">
              <w:rPr>
                <w:noProof/>
                <w:color w:val="000000" w:themeColor="text1"/>
                <w:sz w:val="22"/>
              </w:rPr>
              <w:t>Crearea platformei „</w:t>
            </w:r>
            <w:r w:rsidRPr="00AC058C">
              <w:rPr>
                <w:rStyle w:val="normaltextrun"/>
                <w:noProof/>
                <w:color w:val="000000" w:themeColor="text1"/>
                <w:sz w:val="22"/>
                <w:shd w:val="clear" w:color="auto" w:fill="FFFFFF"/>
              </w:rPr>
              <w:t>Gathering Energy and Digital Innovators from across the EU” (GEDI-EU).</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2B3FDD8" w14:textId="77777777" w:rsidR="003B1E61" w:rsidRPr="00AC058C" w:rsidRDefault="003B1E61" w:rsidP="003B1E61">
            <w:pPr>
              <w:spacing w:after="0"/>
              <w:textAlignment w:val="baseline"/>
              <w:rPr>
                <w:noProof/>
                <w:color w:val="000000" w:themeColor="text1"/>
                <w:sz w:val="22"/>
                <w:szCs w:val="22"/>
              </w:rPr>
            </w:pPr>
            <w:r w:rsidRPr="00AC058C">
              <w:rPr>
                <w:noProof/>
                <w:color w:val="000000" w:themeColor="text1"/>
                <w:sz w:val="22"/>
              </w:rPr>
              <w:t>2022</w:t>
            </w:r>
          </w:p>
        </w:tc>
      </w:tr>
      <w:tr w:rsidR="003B1E61" w:rsidRPr="00AC058C" w14:paraId="1B29D49E"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0E9A1DD" w14:textId="0EE4D771" w:rsidR="003B1E61" w:rsidRPr="00AC058C" w:rsidRDefault="003B1E61" w:rsidP="003B1E61">
            <w:pPr>
              <w:spacing w:after="0"/>
              <w:textAlignment w:val="baseline"/>
              <w:rPr>
                <w:rStyle w:val="normaltextrun"/>
                <w:rFonts w:eastAsiaTheme="majorEastAsia"/>
                <w:noProof/>
                <w:color w:val="000000" w:themeColor="text1"/>
                <w:sz w:val="22"/>
                <w:szCs w:val="22"/>
                <w:shd w:val="clear" w:color="auto" w:fill="FFFFFF"/>
              </w:rPr>
            </w:pPr>
            <w:r w:rsidRPr="00AC058C">
              <w:rPr>
                <w:rStyle w:val="normaltextrun"/>
                <w:noProof/>
                <w:color w:val="000000" w:themeColor="text1"/>
                <w:sz w:val="22"/>
                <w:shd w:val="clear" w:color="auto" w:fill="FFFFFF"/>
              </w:rPr>
              <w:t xml:space="preserve">Intenționează să ofere sprijin financiar pentru cercetare și inovare și adoptarea pe piață a tehnologiilor digitale în sectorul energetic, prin intermediul programului Europa digitală, al programului </w:t>
            </w:r>
            <w:bookmarkStart w:id="135" w:name="_Int_SmbAKIkI"/>
            <w:r w:rsidRPr="00AC058C">
              <w:rPr>
                <w:rStyle w:val="normaltextrun"/>
                <w:noProof/>
                <w:color w:val="000000" w:themeColor="text1"/>
                <w:sz w:val="22"/>
                <w:shd w:val="clear" w:color="auto" w:fill="FFFFFF"/>
              </w:rPr>
              <w:t>LIFE</w:t>
            </w:r>
            <w:bookmarkEnd w:id="135"/>
            <w:r w:rsidRPr="00AC058C">
              <w:rPr>
                <w:rStyle w:val="normaltextrun"/>
                <w:noProof/>
                <w:color w:val="000000" w:themeColor="text1"/>
                <w:sz w:val="22"/>
                <w:shd w:val="clear" w:color="auto" w:fill="FFFFFF"/>
              </w:rPr>
              <w:t>, al politicii de coeziune</w:t>
            </w:r>
            <w:r w:rsidRPr="00AC058C">
              <w:rPr>
                <w:rStyle w:val="normaltextrun"/>
                <w:noProof/>
                <w:color w:val="000000" w:themeColor="text1"/>
                <w:sz w:val="22"/>
              </w:rPr>
              <w:t xml:space="preserve"> și al unui program emblematic pentru digitalizarea energiei în cadrul programului Orizont Europa.</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DF355A8" w14:textId="77777777" w:rsidR="003B1E61" w:rsidRPr="00AC058C" w:rsidRDefault="003B1E61" w:rsidP="003B1E61">
            <w:pPr>
              <w:spacing w:after="0"/>
              <w:textAlignment w:val="baseline"/>
              <w:rPr>
                <w:noProof/>
                <w:color w:val="000000" w:themeColor="text1"/>
                <w:sz w:val="22"/>
                <w:szCs w:val="22"/>
              </w:rPr>
            </w:pPr>
            <w:r w:rsidRPr="00AC058C">
              <w:rPr>
                <w:noProof/>
                <w:color w:val="000000" w:themeColor="text1"/>
                <w:sz w:val="22"/>
              </w:rPr>
              <w:t>2023-2024</w:t>
            </w:r>
          </w:p>
        </w:tc>
      </w:tr>
      <w:tr w:rsidR="009558AF" w:rsidRPr="00AC058C" w14:paraId="7B8DF50F"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ECE746C" w14:textId="77777777" w:rsidR="009558AF" w:rsidRPr="00AC058C" w:rsidRDefault="009558AF" w:rsidP="009558AF">
            <w:pPr>
              <w:spacing w:after="0"/>
              <w:textAlignment w:val="baseline"/>
              <w:rPr>
                <w:rStyle w:val="normaltextrun"/>
                <w:rFonts w:eastAsiaTheme="majorEastAsia"/>
                <w:noProof/>
                <w:color w:val="000000" w:themeColor="text1"/>
                <w:sz w:val="22"/>
                <w:szCs w:val="22"/>
                <w:shd w:val="clear" w:color="auto" w:fill="FFFFFF"/>
              </w:rPr>
            </w:pPr>
            <w:r w:rsidRPr="00AC058C">
              <w:rPr>
                <w:rStyle w:val="normaltextrun"/>
                <w:noProof/>
                <w:sz w:val="22"/>
                <w:shd w:val="clear" w:color="auto" w:fill="FFFFFF"/>
              </w:rPr>
              <w:t xml:space="preserve">Dezvoltarea, în cooperare cu Coaliția europeană digitală verde, </w:t>
            </w:r>
            <w:r w:rsidRPr="00AC058C">
              <w:rPr>
                <w:rStyle w:val="normaltextrun"/>
                <w:noProof/>
                <w:color w:val="000000" w:themeColor="text1"/>
                <w:sz w:val="22"/>
                <w:shd w:val="clear" w:color="auto" w:fill="FFFFFF"/>
              </w:rPr>
              <w:t>de instrumente și metodologii pentru a măsura impactul net asupra mediului și climei al tehnologiilor digitale generice din sectorul energetic.</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1552C36" w14:textId="77777777" w:rsidR="009558AF" w:rsidRPr="00AC058C" w:rsidRDefault="009558AF" w:rsidP="009558AF">
            <w:pPr>
              <w:spacing w:after="0"/>
              <w:textAlignment w:val="baseline"/>
              <w:rPr>
                <w:noProof/>
                <w:color w:val="000000" w:themeColor="text1"/>
                <w:sz w:val="22"/>
                <w:szCs w:val="22"/>
              </w:rPr>
            </w:pPr>
            <w:r w:rsidRPr="00AC058C">
              <w:rPr>
                <w:noProof/>
                <w:color w:val="000000" w:themeColor="text1"/>
                <w:sz w:val="22"/>
              </w:rPr>
              <w:t>2023-2024</w:t>
            </w:r>
          </w:p>
        </w:tc>
      </w:tr>
    </w:tbl>
    <w:p w14:paraId="0FFF3617" w14:textId="77777777" w:rsidR="00D7257B" w:rsidRPr="00AC058C" w:rsidRDefault="00D7257B" w:rsidP="00D7257B">
      <w:pPr>
        <w:spacing w:after="0"/>
        <w:textAlignment w:val="baseline"/>
        <w:rPr>
          <w:noProof/>
          <w:color w:val="000000" w:themeColor="text1"/>
          <w:sz w:val="18"/>
          <w:szCs w:val="18"/>
        </w:rPr>
      </w:pPr>
      <w:r w:rsidRPr="00AC058C">
        <w:rPr>
          <w:noProof/>
          <w:color w:val="000000" w:themeColor="text1"/>
          <w:sz w:val="2"/>
        </w:rPr>
        <w:t xml:space="preserve"> </w:t>
      </w:r>
    </w:p>
    <w:p w14:paraId="4CCACAB9" w14:textId="77777777" w:rsidR="00D7257B" w:rsidRPr="00AC058C" w:rsidRDefault="00D7257B" w:rsidP="00D7257B">
      <w:pPr>
        <w:rPr>
          <w:noProof/>
          <w:color w:val="000000" w:themeColor="text1"/>
          <w:lang w:eastAsia="en-US"/>
        </w:rPr>
      </w:pPr>
    </w:p>
    <w:p w14:paraId="1AD00828" w14:textId="77777777" w:rsidR="00D7257B" w:rsidRPr="00AC058C" w:rsidRDefault="00D7257B" w:rsidP="00A9438A">
      <w:pPr>
        <w:rPr>
          <w:noProof/>
          <w:color w:val="000000" w:themeColor="text1"/>
          <w:lang w:eastAsia="en-US"/>
        </w:rPr>
      </w:pPr>
    </w:p>
    <w:sectPr w:rsidR="00D7257B" w:rsidRPr="00AC058C" w:rsidSect="00D60876">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10A6A9" w16cid:durableId="26F7032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15CEE" w14:textId="77777777" w:rsidR="008D2703" w:rsidRDefault="008D2703" w:rsidP="007151F2">
      <w:pPr>
        <w:spacing w:after="0"/>
      </w:pPr>
      <w:r>
        <w:separator/>
      </w:r>
    </w:p>
  </w:endnote>
  <w:endnote w:type="continuationSeparator" w:id="0">
    <w:p w14:paraId="312BEF67" w14:textId="77777777" w:rsidR="008D2703" w:rsidRDefault="008D2703" w:rsidP="007151F2">
      <w:pPr>
        <w:spacing w:after="0"/>
      </w:pPr>
      <w:r>
        <w:continuationSeparator/>
      </w:r>
    </w:p>
  </w:endnote>
  <w:endnote w:type="continuationNotice" w:id="1">
    <w:p w14:paraId="7E763793" w14:textId="77777777" w:rsidR="008D2703" w:rsidRDefault="008D270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36ECF" w14:textId="77777777" w:rsidR="00061662" w:rsidRPr="00061662" w:rsidRDefault="00061662" w:rsidP="000616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7459B" w14:textId="6893CCDA" w:rsidR="008D2703" w:rsidRPr="00061662" w:rsidRDefault="00061662" w:rsidP="00061662">
    <w:pPr>
      <w:pStyle w:val="FooterCoverPage"/>
      <w:rPr>
        <w:rFonts w:ascii="Arial" w:hAnsi="Arial" w:cs="Arial"/>
        <w:b/>
        <w:sz w:val="48"/>
      </w:rPr>
    </w:pPr>
    <w:r w:rsidRPr="00061662">
      <w:rPr>
        <w:rFonts w:ascii="Arial" w:hAnsi="Arial" w:cs="Arial"/>
        <w:b/>
        <w:sz w:val="48"/>
      </w:rPr>
      <w:t>RO</w:t>
    </w:r>
    <w:r w:rsidRPr="00061662">
      <w:rPr>
        <w:rFonts w:ascii="Arial" w:hAnsi="Arial" w:cs="Arial"/>
        <w:b/>
        <w:sz w:val="48"/>
      </w:rPr>
      <w:tab/>
    </w:r>
    <w:r w:rsidRPr="00061662">
      <w:rPr>
        <w:rFonts w:ascii="Arial" w:hAnsi="Arial" w:cs="Arial"/>
        <w:b/>
        <w:sz w:val="48"/>
      </w:rPr>
      <w:tab/>
    </w:r>
    <w:r w:rsidRPr="00061662">
      <w:tab/>
    </w:r>
    <w:r w:rsidRPr="0006166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C587B" w14:textId="77777777" w:rsidR="00061662" w:rsidRPr="00061662" w:rsidRDefault="00061662" w:rsidP="0006166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7351A" w14:textId="77777777" w:rsidR="008D2703" w:rsidRDefault="008D27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7327269"/>
      <w:docPartObj>
        <w:docPartGallery w:val="Page Numbers (Bottom of Page)"/>
        <w:docPartUnique/>
      </w:docPartObj>
    </w:sdtPr>
    <w:sdtEndPr>
      <w:rPr>
        <w:noProof/>
      </w:rPr>
    </w:sdtEndPr>
    <w:sdtContent>
      <w:p w14:paraId="1FE07BBA" w14:textId="2801151D" w:rsidR="008D2703" w:rsidRDefault="008D2703">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061662">
          <w:rPr>
            <w:noProof/>
          </w:rPr>
          <w:t>1</w:t>
        </w:r>
        <w:r>
          <w:rPr>
            <w:color w:val="2B579A"/>
            <w:shd w:val="clear" w:color="auto" w:fill="E6E6E6"/>
          </w:rPr>
          <w:fldChar w:fldCharType="end"/>
        </w:r>
      </w:p>
    </w:sdtContent>
  </w:sdt>
  <w:p w14:paraId="01F759BA" w14:textId="77777777" w:rsidR="008D2703" w:rsidRDefault="008D270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0036B" w14:textId="77777777" w:rsidR="008D2703" w:rsidRDefault="008D27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5F964E" w14:textId="77777777" w:rsidR="008D2703" w:rsidRDefault="008D2703" w:rsidP="007151F2">
      <w:pPr>
        <w:spacing w:after="0"/>
      </w:pPr>
      <w:r>
        <w:separator/>
      </w:r>
    </w:p>
  </w:footnote>
  <w:footnote w:type="continuationSeparator" w:id="0">
    <w:p w14:paraId="325F5BEB" w14:textId="77777777" w:rsidR="008D2703" w:rsidRDefault="008D2703" w:rsidP="007151F2">
      <w:pPr>
        <w:spacing w:after="0"/>
      </w:pPr>
      <w:r>
        <w:continuationSeparator/>
      </w:r>
    </w:p>
  </w:footnote>
  <w:footnote w:type="continuationNotice" w:id="1">
    <w:p w14:paraId="72951206" w14:textId="77777777" w:rsidR="008D2703" w:rsidRDefault="008D2703">
      <w:pPr>
        <w:spacing w:after="0"/>
      </w:pPr>
    </w:p>
  </w:footnote>
  <w:footnote w:id="2">
    <w:p w14:paraId="4C6A058A" w14:textId="19D05BEC" w:rsidR="008D2703" w:rsidRDefault="008D2703" w:rsidP="00884F9A">
      <w:pPr>
        <w:pStyle w:val="FootnoteText"/>
        <w:spacing w:after="0"/>
      </w:pPr>
      <w:r>
        <w:rPr>
          <w:vertAlign w:val="superscript"/>
        </w:rPr>
        <w:footnoteRef/>
      </w:r>
      <w:r w:rsidR="00740ED5">
        <w:tab/>
      </w:r>
      <w:r>
        <w:t>Strategia UE pentru energia solară, COM(</w:t>
      </w:r>
      <w:r w:rsidRPr="00AC058C">
        <w:t>2022</w:t>
      </w:r>
      <w:r>
        <w:t xml:space="preserve">) </w:t>
      </w:r>
      <w:r w:rsidRPr="00AC058C">
        <w:t>221</w:t>
      </w:r>
      <w:r>
        <w:t>.</w:t>
      </w:r>
    </w:p>
  </w:footnote>
  <w:footnote w:id="3">
    <w:p w14:paraId="1A636FFA" w14:textId="79A5832A" w:rsidR="008D2703" w:rsidRDefault="008D2703" w:rsidP="00884F9A">
      <w:pPr>
        <w:pStyle w:val="FootnoteText"/>
        <w:spacing w:after="0"/>
      </w:pPr>
      <w:r>
        <w:rPr>
          <w:rStyle w:val="FootnoteReference"/>
        </w:rPr>
        <w:footnoteRef/>
      </w:r>
      <w:r w:rsidR="00740ED5">
        <w:tab/>
      </w:r>
      <w:r>
        <w:t>Comunicarea REPowerEU COM(</w:t>
      </w:r>
      <w:r w:rsidRPr="00AC058C">
        <w:t>2022</w:t>
      </w:r>
      <w:r>
        <w:t xml:space="preserve">) </w:t>
      </w:r>
      <w:r w:rsidRPr="00AC058C">
        <w:t>230</w:t>
      </w:r>
      <w:r>
        <w:t xml:space="preserve"> final. </w:t>
      </w:r>
    </w:p>
  </w:footnote>
  <w:footnote w:id="4">
    <w:p w14:paraId="73CB926C" w14:textId="2408C7F4" w:rsidR="008D2703" w:rsidRDefault="008D2703" w:rsidP="00884F9A">
      <w:pPr>
        <w:pStyle w:val="FootnoteText"/>
        <w:spacing w:after="0"/>
        <w:rPr>
          <w:szCs w:val="24"/>
        </w:rPr>
      </w:pPr>
      <w:r>
        <w:rPr>
          <w:vertAlign w:val="superscript"/>
        </w:rPr>
        <w:footnoteRef/>
      </w:r>
      <w:r w:rsidR="00740ED5">
        <w:rPr>
          <w:vertAlign w:val="superscript"/>
        </w:rPr>
        <w:tab/>
      </w:r>
      <w:r>
        <w:t>Strategia pentru o mobilitate durabilă și inteligentă COM (</w:t>
      </w:r>
      <w:r w:rsidRPr="00AC058C">
        <w:t>2020</w:t>
      </w:r>
      <w:r>
        <w:t xml:space="preserve">) </w:t>
      </w:r>
      <w:r w:rsidRPr="00AC058C">
        <w:t>789</w:t>
      </w:r>
      <w:r>
        <w:t xml:space="preserve"> final</w:t>
      </w:r>
      <w:r w:rsidR="00740ED5">
        <w:t>.</w:t>
      </w:r>
    </w:p>
  </w:footnote>
  <w:footnote w:id="5">
    <w:p w14:paraId="06EF1F91" w14:textId="3450C56E" w:rsidR="008D2703" w:rsidRPr="00DA69D0" w:rsidRDefault="008D2703" w:rsidP="00B1032E">
      <w:pPr>
        <w:pStyle w:val="FootnoteText"/>
        <w:jc w:val="left"/>
      </w:pPr>
      <w:r>
        <w:footnoteRef/>
      </w:r>
      <w:r w:rsidR="00740ED5">
        <w:tab/>
      </w:r>
      <w:r>
        <w:t>The Global Gateway JOIN(</w:t>
      </w:r>
      <w:r w:rsidRPr="00AC058C">
        <w:t>2021</w:t>
      </w:r>
      <w:r>
        <w:t xml:space="preserve">) </w:t>
      </w:r>
      <w:r w:rsidRPr="00AC058C">
        <w:t>30</w:t>
      </w:r>
      <w:r>
        <w:t xml:space="preserve"> final</w:t>
      </w:r>
      <w:r w:rsidR="00740ED5">
        <w:t>.</w:t>
      </w:r>
    </w:p>
  </w:footnote>
  <w:footnote w:id="6">
    <w:p w14:paraId="63BD39CF" w14:textId="48513B60" w:rsidR="008D2703" w:rsidRPr="00416C9B" w:rsidRDefault="008D2703" w:rsidP="00325614">
      <w:pPr>
        <w:pStyle w:val="FootnoteText"/>
        <w:spacing w:after="0"/>
      </w:pPr>
      <w:r>
        <w:rPr>
          <w:rStyle w:val="FootnoteReference"/>
        </w:rPr>
        <w:footnoteRef/>
      </w:r>
      <w:r w:rsidR="00740ED5">
        <w:tab/>
      </w:r>
      <w:r>
        <w:t xml:space="preserve">Agenția Internațională a Energiei, „Digitalization and Energy” (Digitalizare și Energie), </w:t>
      </w:r>
      <w:r w:rsidRPr="00AC058C">
        <w:t>2017</w:t>
      </w:r>
      <w:r>
        <w:t xml:space="preserve"> - </w:t>
      </w:r>
      <w:hyperlink r:id="rId1" w:history="1">
        <w:r>
          <w:rPr>
            <w:rStyle w:val="Hyperlink"/>
          </w:rPr>
          <w:t>https://iea.blob.core.windows.net/assets/b</w:t>
        </w:r>
        <w:r w:rsidRPr="00AC058C">
          <w:rPr>
            <w:rStyle w:val="Hyperlink"/>
          </w:rPr>
          <w:t>1</w:t>
        </w:r>
        <w:r>
          <w:rPr>
            <w:rStyle w:val="Hyperlink"/>
          </w:rPr>
          <w:t>e</w:t>
        </w:r>
        <w:r w:rsidRPr="00AC058C">
          <w:rPr>
            <w:rStyle w:val="Hyperlink"/>
          </w:rPr>
          <w:t>6600</w:t>
        </w:r>
        <w:r>
          <w:rPr>
            <w:rStyle w:val="Hyperlink"/>
          </w:rPr>
          <w:t>c-</w:t>
        </w:r>
        <w:r w:rsidRPr="00AC058C">
          <w:rPr>
            <w:rStyle w:val="Hyperlink"/>
          </w:rPr>
          <w:t>4</w:t>
        </w:r>
        <w:r>
          <w:rPr>
            <w:rStyle w:val="Hyperlink"/>
          </w:rPr>
          <w:t>e</w:t>
        </w:r>
        <w:r w:rsidRPr="00AC058C">
          <w:rPr>
            <w:rStyle w:val="Hyperlink"/>
          </w:rPr>
          <w:t>40</w:t>
        </w:r>
        <w:r>
          <w:rPr>
            <w:rStyle w:val="Hyperlink"/>
          </w:rPr>
          <w:t>-</w:t>
        </w:r>
        <w:r w:rsidRPr="00AC058C">
          <w:rPr>
            <w:rStyle w:val="Hyperlink"/>
          </w:rPr>
          <w:t>4</w:t>
        </w:r>
        <w:r>
          <w:rPr>
            <w:rStyle w:val="Hyperlink"/>
          </w:rPr>
          <w:t>d</w:t>
        </w:r>
        <w:r w:rsidRPr="00AC058C">
          <w:rPr>
            <w:rStyle w:val="Hyperlink"/>
          </w:rPr>
          <w:t>9</w:t>
        </w:r>
        <w:r>
          <w:rPr>
            <w:rStyle w:val="Hyperlink"/>
          </w:rPr>
          <w:t>c-</w:t>
        </w:r>
        <w:r w:rsidRPr="00AC058C">
          <w:rPr>
            <w:rStyle w:val="Hyperlink"/>
          </w:rPr>
          <w:t>809</w:t>
        </w:r>
        <w:r>
          <w:rPr>
            <w:rStyle w:val="Hyperlink"/>
          </w:rPr>
          <w:t>d-</w:t>
        </w:r>
        <w:r w:rsidRPr="00AC058C">
          <w:rPr>
            <w:rStyle w:val="Hyperlink"/>
          </w:rPr>
          <w:t>1</w:t>
        </w:r>
        <w:r>
          <w:rPr>
            <w:rStyle w:val="Hyperlink"/>
          </w:rPr>
          <w:t>d</w:t>
        </w:r>
        <w:r w:rsidRPr="00AC058C">
          <w:rPr>
            <w:rStyle w:val="Hyperlink"/>
          </w:rPr>
          <w:t>1724</w:t>
        </w:r>
        <w:r>
          <w:rPr>
            <w:rStyle w:val="Hyperlink"/>
          </w:rPr>
          <w:t>c</w:t>
        </w:r>
        <w:r w:rsidRPr="00AC058C">
          <w:rPr>
            <w:rStyle w:val="Hyperlink"/>
          </w:rPr>
          <w:t>763</w:t>
        </w:r>
        <w:r>
          <w:rPr>
            <w:rStyle w:val="Hyperlink"/>
          </w:rPr>
          <w:t>d</w:t>
        </w:r>
        <w:r w:rsidRPr="00AC058C">
          <w:rPr>
            <w:rStyle w:val="Hyperlink"/>
          </w:rPr>
          <w:t>5</w:t>
        </w:r>
        <w:r>
          <w:rPr>
            <w:rStyle w:val="Hyperlink"/>
          </w:rPr>
          <w:t>/DigitalizationandEnergy</w:t>
        </w:r>
        <w:r w:rsidRPr="00AC058C">
          <w:rPr>
            <w:rStyle w:val="Hyperlink"/>
          </w:rPr>
          <w:t>3</w:t>
        </w:r>
        <w:r>
          <w:rPr>
            <w:rStyle w:val="Hyperlink"/>
          </w:rPr>
          <w:t>.pdf</w:t>
        </w:r>
      </w:hyperlink>
      <w:r>
        <w:t xml:space="preserve">. </w:t>
      </w:r>
    </w:p>
  </w:footnote>
  <w:footnote w:id="7">
    <w:p w14:paraId="6D5FAEB6" w14:textId="4345473C" w:rsidR="008D2703" w:rsidRPr="00BF0643" w:rsidRDefault="008D2703" w:rsidP="00325614">
      <w:pPr>
        <w:pStyle w:val="FootnoteText"/>
        <w:spacing w:after="0"/>
      </w:pPr>
      <w:r>
        <w:rPr>
          <w:rStyle w:val="FootnoteReference"/>
        </w:rPr>
        <w:footnoteRef/>
      </w:r>
      <w:r w:rsidR="00740ED5">
        <w:tab/>
      </w:r>
      <w:r>
        <w:t xml:space="preserve">Cifrele pentru UE + Regatul Unit. Sursa: </w:t>
      </w:r>
      <w:hyperlink r:id="rId2" w:history="1">
        <w:r>
          <w:rPr>
            <w:rStyle w:val="Hyperlink"/>
          </w:rPr>
          <w:t>„Connecting the dots:</w:t>
        </w:r>
      </w:hyperlink>
      <w:hyperlink r:id="rId3" w:history="1">
        <w:r>
          <w:rPr>
            <w:rStyle w:val="Hyperlink"/>
          </w:rPr>
          <w:t xml:space="preserve"> Distribution grid investment to power the energy transition – Eurelectric – Powering People” (Crearea de conexiuni: investiții în rețeaua de distribuție pentru antrenarea tranziției energetice – Eurelectric – Aprovizionarea populației cu energie electrică)</w:t>
        </w:r>
      </w:hyperlink>
      <w:r>
        <w:t>.</w:t>
      </w:r>
      <w:r>
        <w:rPr>
          <w:rStyle w:val="Hyperlink"/>
        </w:rPr>
        <w:t xml:space="preserve"> </w:t>
      </w:r>
    </w:p>
  </w:footnote>
  <w:footnote w:id="8">
    <w:p w14:paraId="0ABE6745" w14:textId="686D7743" w:rsidR="008D2703" w:rsidRDefault="008D2703" w:rsidP="009259F5">
      <w:pPr>
        <w:pStyle w:val="FootnoteText"/>
        <w:spacing w:after="0"/>
      </w:pPr>
      <w:r>
        <w:rPr>
          <w:rStyle w:val="FootnoteReference"/>
        </w:rPr>
        <w:footnoteRef/>
      </w:r>
      <w:r w:rsidR="00740ED5">
        <w:tab/>
      </w:r>
      <w:hyperlink r:id="rId4">
        <w:r>
          <w:rPr>
            <w:rStyle w:val="Hyperlink"/>
          </w:rPr>
          <w:t>https://www.cbi.eu/market-information/outsourcing-itobpo/industrial-internet-things/market-potential</w:t>
        </w:r>
      </w:hyperlink>
      <w:r>
        <w:t xml:space="preserve">, </w:t>
      </w:r>
      <w:r w:rsidRPr="00AC058C">
        <w:t>7</w:t>
      </w:r>
      <w:r>
        <w:t> iunie </w:t>
      </w:r>
      <w:r w:rsidRPr="00AC058C">
        <w:t>2022</w:t>
      </w:r>
      <w:r>
        <w:t>.</w:t>
      </w:r>
    </w:p>
  </w:footnote>
  <w:footnote w:id="9">
    <w:p w14:paraId="458C6BF4" w14:textId="49449AEB" w:rsidR="008D2703" w:rsidRDefault="008D2703" w:rsidP="009259F5">
      <w:pPr>
        <w:pStyle w:val="FootnoteText"/>
        <w:spacing w:after="0"/>
      </w:pPr>
      <w:r>
        <w:rPr>
          <w:rStyle w:val="FootnoteReference"/>
        </w:rPr>
        <w:footnoteRef/>
      </w:r>
      <w:r w:rsidR="00740ED5">
        <w:tab/>
      </w:r>
      <w:r>
        <w:t xml:space="preserve">Estimare bazată pe Raportul privind analiza comparativă a contorizării inteligente (martie </w:t>
      </w:r>
      <w:r w:rsidRPr="00AC058C">
        <w:t>2020</w:t>
      </w:r>
      <w:r>
        <w:t>), Comisia Europeană, Direcția Generală Energie, Alaton, C., Tounquet, F., „Benchmarking smart metering deployment in the EU-</w:t>
      </w:r>
      <w:r w:rsidRPr="00AC058C">
        <w:t>28</w:t>
      </w:r>
      <w:r>
        <w:t>: final report” (Analiza comparativă a implementării contorizării inteligente în UE-</w:t>
      </w:r>
      <w:r w:rsidRPr="00AC058C">
        <w:t>28</w:t>
      </w:r>
      <w:r>
        <w:t xml:space="preserve">: raport final), </w:t>
      </w:r>
      <w:r>
        <w:rPr>
          <w:color w:val="000000" w:themeColor="text1"/>
        </w:rPr>
        <w:t>Oficiul</w:t>
      </w:r>
      <w:r>
        <w:t xml:space="preserve"> pentru Publicații, </w:t>
      </w:r>
      <w:hyperlink r:id="rId5" w:tgtFrame="_blank" w:history="1">
        <w:r>
          <w:rPr>
            <w:rStyle w:val="Hyperlink"/>
          </w:rPr>
          <w:t>https://data.europa.eu/doi/</w:t>
        </w:r>
        <w:r w:rsidRPr="00AC058C">
          <w:rPr>
            <w:rStyle w:val="Hyperlink"/>
          </w:rPr>
          <w:t>10</w:t>
        </w:r>
        <w:r>
          <w:rPr>
            <w:rStyle w:val="Hyperlink"/>
          </w:rPr>
          <w:t>.</w:t>
        </w:r>
        <w:r w:rsidRPr="00AC058C">
          <w:rPr>
            <w:rStyle w:val="Hyperlink"/>
          </w:rPr>
          <w:t>2833</w:t>
        </w:r>
        <w:r>
          <w:rPr>
            <w:rStyle w:val="Hyperlink"/>
          </w:rPr>
          <w:t>/</w:t>
        </w:r>
        <w:r w:rsidRPr="00AC058C">
          <w:rPr>
            <w:rStyle w:val="Hyperlink"/>
          </w:rPr>
          <w:t>492070</w:t>
        </w:r>
      </w:hyperlink>
      <w:r>
        <w:t>.</w:t>
      </w:r>
    </w:p>
  </w:footnote>
  <w:footnote w:id="10">
    <w:p w14:paraId="2D29055D" w14:textId="5E53CF1E" w:rsidR="008D2703" w:rsidRPr="00834979" w:rsidRDefault="008D2703" w:rsidP="00985FAC">
      <w:pPr>
        <w:pStyle w:val="FootnoteText"/>
        <w:spacing w:after="0"/>
      </w:pPr>
      <w:r>
        <w:rPr>
          <w:rStyle w:val="FootnoteReference"/>
        </w:rPr>
        <w:footnoteRef/>
      </w:r>
      <w:r w:rsidR="00740ED5">
        <w:tab/>
      </w:r>
      <w:r>
        <w:t>Strategia europeană privind datele [COM(</w:t>
      </w:r>
      <w:r w:rsidRPr="00AC058C">
        <w:t>2020</w:t>
      </w:r>
      <w:r>
        <w:t xml:space="preserve">) </w:t>
      </w:r>
      <w:r w:rsidRPr="00AC058C">
        <w:t>66</w:t>
      </w:r>
      <w:r>
        <w:t xml:space="preserve"> final] a anunțat crearea unor spații europene comune ale datelor în nouă sectoare, inclusiv în sectorul energetic.</w:t>
      </w:r>
    </w:p>
  </w:footnote>
  <w:footnote w:id="11">
    <w:p w14:paraId="19BF82F3" w14:textId="39822CFC" w:rsidR="008D2703" w:rsidRPr="00F16C70" w:rsidRDefault="008D2703" w:rsidP="00D34A85">
      <w:pPr>
        <w:pStyle w:val="FootnoteText"/>
        <w:spacing w:after="0"/>
      </w:pPr>
      <w:r>
        <w:rPr>
          <w:rStyle w:val="FootnoteReference"/>
        </w:rPr>
        <w:footnoteRef/>
      </w:r>
      <w:r w:rsidR="00740ED5">
        <w:tab/>
      </w:r>
      <w:r>
        <w:t xml:space="preserve">„Digitalisation of energy flexibility” (Digitalizarea flexibilității energetice), raport al Centrului de expertiză în tranziția energetică (Entec), </w:t>
      </w:r>
      <w:hyperlink r:id="rId6" w:history="1">
        <w:r>
          <w:rPr>
            <w:rStyle w:val="Hyperlink"/>
          </w:rPr>
          <w:t>https://op.europa.eu/en/publication-detail/-/publication/c</w:t>
        </w:r>
        <w:r w:rsidRPr="00AC058C">
          <w:rPr>
            <w:rStyle w:val="Hyperlink"/>
          </w:rPr>
          <w:t>230</w:t>
        </w:r>
        <w:r>
          <w:rPr>
            <w:rStyle w:val="Hyperlink"/>
          </w:rPr>
          <w:t>dd</w:t>
        </w:r>
        <w:r w:rsidRPr="00AC058C">
          <w:rPr>
            <w:rStyle w:val="Hyperlink"/>
          </w:rPr>
          <w:t>32</w:t>
        </w:r>
        <w:r>
          <w:rPr>
            <w:rStyle w:val="Hyperlink"/>
          </w:rPr>
          <w:t>-a</w:t>
        </w:r>
        <w:r w:rsidRPr="00AC058C">
          <w:rPr>
            <w:rStyle w:val="Hyperlink"/>
          </w:rPr>
          <w:t>5</w:t>
        </w:r>
        <w:r>
          <w:rPr>
            <w:rStyle w:val="Hyperlink"/>
          </w:rPr>
          <w:t>a</w:t>
        </w:r>
        <w:r w:rsidRPr="00AC058C">
          <w:rPr>
            <w:rStyle w:val="Hyperlink"/>
          </w:rPr>
          <w:t>2</w:t>
        </w:r>
        <w:r>
          <w:rPr>
            <w:rStyle w:val="Hyperlink"/>
          </w:rPr>
          <w:t>-</w:t>
        </w:r>
        <w:r w:rsidRPr="00AC058C">
          <w:rPr>
            <w:rStyle w:val="Hyperlink"/>
          </w:rPr>
          <w:t>11</w:t>
        </w:r>
        <w:r>
          <w:rPr>
            <w:rStyle w:val="Hyperlink"/>
          </w:rPr>
          <w:t>ec-</w:t>
        </w:r>
        <w:r w:rsidRPr="00AC058C">
          <w:rPr>
            <w:rStyle w:val="Hyperlink"/>
          </w:rPr>
          <w:t>83</w:t>
        </w:r>
        <w:r>
          <w:rPr>
            <w:rStyle w:val="Hyperlink"/>
          </w:rPr>
          <w:t>e</w:t>
        </w:r>
        <w:r w:rsidRPr="00AC058C">
          <w:rPr>
            <w:rStyle w:val="Hyperlink"/>
          </w:rPr>
          <w:t>1</w:t>
        </w:r>
        <w:r>
          <w:rPr>
            <w:rStyle w:val="Hyperlink"/>
          </w:rPr>
          <w:t>-</w:t>
        </w:r>
        <w:r w:rsidRPr="00AC058C">
          <w:rPr>
            <w:rStyle w:val="Hyperlink"/>
          </w:rPr>
          <w:t>01</w:t>
        </w:r>
        <w:r>
          <w:rPr>
            <w:rStyle w:val="Hyperlink"/>
          </w:rPr>
          <w:t>aa</w:t>
        </w:r>
        <w:r w:rsidRPr="00AC058C">
          <w:rPr>
            <w:rStyle w:val="Hyperlink"/>
          </w:rPr>
          <w:t>75</w:t>
        </w:r>
        <w:r>
          <w:rPr>
            <w:rStyle w:val="Hyperlink"/>
          </w:rPr>
          <w:t>ed</w:t>
        </w:r>
        <w:r w:rsidRPr="00AC058C">
          <w:rPr>
            <w:rStyle w:val="Hyperlink"/>
          </w:rPr>
          <w:t>71</w:t>
        </w:r>
        <w:r>
          <w:rPr>
            <w:rStyle w:val="Hyperlink"/>
          </w:rPr>
          <w:t>a</w:t>
        </w:r>
        <w:r w:rsidRPr="00AC058C">
          <w:rPr>
            <w:rStyle w:val="Hyperlink"/>
          </w:rPr>
          <w:t>1</w:t>
        </w:r>
        <w:r>
          <w:rPr>
            <w:rStyle w:val="Hyperlink"/>
          </w:rPr>
          <w:t>/language-en</w:t>
        </w:r>
      </w:hyperlink>
      <w:r>
        <w:rPr>
          <w:rStyle w:val="Hyperlink"/>
        </w:rPr>
        <w:t>.</w:t>
      </w:r>
      <w:r>
        <w:t xml:space="preserve"> </w:t>
      </w:r>
    </w:p>
  </w:footnote>
  <w:footnote w:id="12">
    <w:p w14:paraId="6005C8D4" w14:textId="2BCD8766" w:rsidR="008D2703" w:rsidRDefault="008D2703" w:rsidP="0031041E">
      <w:pPr>
        <w:pStyle w:val="FootnoteText"/>
        <w:spacing w:after="0"/>
      </w:pPr>
      <w:r>
        <w:rPr>
          <w:rStyle w:val="FootnoteReference"/>
        </w:rPr>
        <w:footnoteRef/>
      </w:r>
      <w:r w:rsidR="00740ED5">
        <w:tab/>
      </w:r>
      <w:r>
        <w:t>COM(</w:t>
      </w:r>
      <w:r w:rsidRPr="00AC058C">
        <w:t>2022</w:t>
      </w:r>
      <w:r>
        <w:t xml:space="preserve">) </w:t>
      </w:r>
      <w:r w:rsidRPr="00AC058C">
        <w:t>68</w:t>
      </w:r>
      <w:r>
        <w:t xml:space="preserve"> final.</w:t>
      </w:r>
    </w:p>
  </w:footnote>
  <w:footnote w:id="13">
    <w:p w14:paraId="58F65AEF" w14:textId="0A81F2B5" w:rsidR="008D2703" w:rsidRPr="00697F14" w:rsidRDefault="008D2703" w:rsidP="00985FAC">
      <w:pPr>
        <w:pStyle w:val="FootnoteText"/>
        <w:spacing w:after="0"/>
      </w:pPr>
      <w:r>
        <w:rPr>
          <w:rStyle w:val="FootnoteReference"/>
        </w:rPr>
        <w:footnoteRef/>
      </w:r>
      <w:r w:rsidR="00740ED5">
        <w:tab/>
      </w:r>
      <w:r>
        <w:t>COM(</w:t>
      </w:r>
      <w:r w:rsidRPr="00AC058C">
        <w:t>2020</w:t>
      </w:r>
      <w:r>
        <w:t xml:space="preserve">) </w:t>
      </w:r>
      <w:r w:rsidRPr="00AC058C">
        <w:t>767</w:t>
      </w:r>
      <w:r>
        <w:t xml:space="preserve"> final. </w:t>
      </w:r>
    </w:p>
  </w:footnote>
  <w:footnote w:id="14">
    <w:p w14:paraId="179DB886" w14:textId="53630E0B" w:rsidR="008D2703" w:rsidRDefault="008D2703" w:rsidP="004E0230">
      <w:pPr>
        <w:pStyle w:val="FootnoteText"/>
        <w:spacing w:after="0"/>
      </w:pPr>
      <w:r>
        <w:rPr>
          <w:rStyle w:val="FootnoteReference"/>
        </w:rPr>
        <w:footnoteRef/>
      </w:r>
      <w:r w:rsidR="00740ED5">
        <w:tab/>
      </w:r>
      <w:r>
        <w:t xml:space="preserve">Un spațiu european comun al datelor reunește infrastructurile de date și cadrele de guvernanță relevante, pentru a facilita punerea în comun și partajarea datelor. Spațiul european comun al datelor va include implementarea mijloacelor și a serviciilor de schimb de date, a structurilor de </w:t>
      </w:r>
      <w:r>
        <w:rPr>
          <w:color w:val="000000" w:themeColor="text1"/>
        </w:rPr>
        <w:t>guvernanță a datelor</w:t>
      </w:r>
      <w:r>
        <w:t xml:space="preserve"> și va îmbunătăți disponibilitatea, calitatea și interoperabilitatea datelor. Mai multe detalii sunt furnizate în documentul de lucru al serviciilor Comisiei privind spațiile europene comune ale datelor [SWD(</w:t>
      </w:r>
      <w:r w:rsidRPr="00AC058C">
        <w:t>2022</w:t>
      </w:r>
      <w:r w:rsidR="00740ED5">
        <w:t>) </w:t>
      </w:r>
      <w:r w:rsidRPr="00AC058C">
        <w:t>45</w:t>
      </w:r>
      <w:r w:rsidR="00740ED5">
        <w:t> </w:t>
      </w:r>
      <w:r>
        <w:t>final].</w:t>
      </w:r>
    </w:p>
  </w:footnote>
  <w:footnote w:id="15">
    <w:p w14:paraId="502018EB" w14:textId="0E4D20B2" w:rsidR="008D2703" w:rsidRPr="00D3410C" w:rsidRDefault="008D2703" w:rsidP="00D84006">
      <w:pPr>
        <w:pStyle w:val="FootnoteText"/>
        <w:spacing w:after="0"/>
      </w:pPr>
      <w:r>
        <w:rPr>
          <w:rStyle w:val="FootnoteReference"/>
        </w:rPr>
        <w:footnoteRef/>
      </w:r>
      <w:r w:rsidR="00740ED5">
        <w:tab/>
      </w:r>
      <w:r>
        <w:t>Grupul operativ pentru rețelele inteligente este un grup informal de experți care oferă expertiză Comisiei cu privire la cadrele de politică și de reglementare pentru dezvoltarea și implementarea rețelelor inteligente (</w:t>
      </w:r>
      <w:hyperlink r:id="rId7" w:history="1">
        <w:r>
          <w:rPr>
            <w:rStyle w:val="Hyperlink"/>
          </w:rPr>
          <w:t>https://ec.europa.eu/transparency/expert-groups-register/screen/expert-groups/consult?do=groupDetail.groupDetail&amp;groupID=</w:t>
        </w:r>
        <w:r w:rsidRPr="00AC058C">
          <w:rPr>
            <w:rStyle w:val="Hyperlink"/>
          </w:rPr>
          <w:t>2892</w:t>
        </w:r>
        <w:r>
          <w:rPr>
            <w:rStyle w:val="Hyperlink"/>
          </w:rPr>
          <w:t>&amp;lang=ro</w:t>
        </w:r>
      </w:hyperlink>
      <w:r>
        <w:rPr>
          <w:rStyle w:val="Hyperlink"/>
        </w:rPr>
        <w:t>).</w:t>
      </w:r>
      <w:r>
        <w:t xml:space="preserve"> </w:t>
      </w:r>
    </w:p>
  </w:footnote>
  <w:footnote w:id="16">
    <w:p w14:paraId="1292D692" w14:textId="596C9ABC" w:rsidR="008D2703" w:rsidRPr="00E75AEF" w:rsidRDefault="008D2703" w:rsidP="0031041E">
      <w:pPr>
        <w:pStyle w:val="FootnoteText"/>
        <w:spacing w:after="0"/>
      </w:pPr>
      <w:r>
        <w:rPr>
          <w:rStyle w:val="FootnoteReference"/>
        </w:rPr>
        <w:footnoteRef/>
      </w:r>
      <w:r w:rsidR="00740ED5">
        <w:tab/>
      </w:r>
      <w:r>
        <w:t>Conceptul de cazuri de utilizare de înalt nivel se referă la principalele domenii prioritare care trebuie abordate. Fiecare caz de utilizare de înalt nivel va cuprinde, în practică, mai multe cazuri de utilizare care vor descrie mai detaliat actorii relevanți, procesele și fluxurile de date pentru fiecare acord comercial și operațional specific.</w:t>
      </w:r>
    </w:p>
  </w:footnote>
  <w:footnote w:id="17">
    <w:p w14:paraId="263E5D3B" w14:textId="0281BCBE" w:rsidR="008D2703" w:rsidRPr="008021F0" w:rsidRDefault="008D2703" w:rsidP="0031041E">
      <w:pPr>
        <w:pStyle w:val="FootnoteText"/>
        <w:spacing w:after="0"/>
      </w:pPr>
      <w:r>
        <w:rPr>
          <w:rStyle w:val="FootnoteReference"/>
        </w:rPr>
        <w:footnoteRef/>
      </w:r>
      <w:r w:rsidR="00740ED5">
        <w:tab/>
      </w:r>
      <w:r>
        <w:t>Printre acestea se numără activitatea actuală a Grupului operativ privind rețelele inteligente, lucrările în curs pentru un cod de rețea privind flexibilitatea cererii (</w:t>
      </w:r>
      <w:hyperlink r:id="rId8" w:tgtFrame="_blank" w:history="1">
        <w:r>
          <w:rPr>
            <w:rStyle w:val="Hyperlink"/>
          </w:rPr>
          <w:t>https://www.acer.europa.eu/sites/default/files/documents/Media/News/Documents/</w:t>
        </w:r>
        <w:r w:rsidRPr="00AC058C">
          <w:rPr>
            <w:rStyle w:val="Hyperlink"/>
          </w:rPr>
          <w:t>2022</w:t>
        </w:r>
        <w:r>
          <w:rPr>
            <w:rStyle w:val="Hyperlink"/>
          </w:rPr>
          <w:t>%</w:t>
        </w:r>
        <w:r w:rsidRPr="00AC058C">
          <w:rPr>
            <w:rStyle w:val="Hyperlink"/>
          </w:rPr>
          <w:t>2006</w:t>
        </w:r>
        <w:r>
          <w:rPr>
            <w:rStyle w:val="Hyperlink"/>
          </w:rPr>
          <w:t>%</w:t>
        </w:r>
        <w:r w:rsidRPr="00AC058C">
          <w:rPr>
            <w:rStyle w:val="Hyperlink"/>
          </w:rPr>
          <w:t>2001</w:t>
        </w:r>
        <w:r>
          <w:rPr>
            <w:rStyle w:val="Hyperlink"/>
          </w:rPr>
          <w:t>%</w:t>
        </w:r>
        <w:r w:rsidRPr="00AC058C">
          <w:rPr>
            <w:rStyle w:val="Hyperlink"/>
          </w:rPr>
          <w:t>20</w:t>
        </w:r>
        <w:r>
          <w:rPr>
            <w:rStyle w:val="Hyperlink"/>
          </w:rPr>
          <w:t>FG%</w:t>
        </w:r>
        <w:r w:rsidRPr="00AC058C">
          <w:rPr>
            <w:rStyle w:val="Hyperlink"/>
          </w:rPr>
          <w:t>20</w:t>
        </w:r>
        <w:r>
          <w:rPr>
            <w:rStyle w:val="Hyperlink"/>
          </w:rPr>
          <w:t>Request%</w:t>
        </w:r>
        <w:r w:rsidRPr="00AC058C">
          <w:rPr>
            <w:rStyle w:val="Hyperlink"/>
          </w:rPr>
          <w:t>20</w:t>
        </w:r>
        <w:r>
          <w:rPr>
            <w:rStyle w:val="Hyperlink"/>
          </w:rPr>
          <w:t>to%</w:t>
        </w:r>
        <w:r w:rsidRPr="00AC058C">
          <w:rPr>
            <w:rStyle w:val="Hyperlink"/>
          </w:rPr>
          <w:t>20</w:t>
        </w:r>
        <w:r>
          <w:rPr>
            <w:rStyle w:val="Hyperlink"/>
          </w:rPr>
          <w:t>ACER_final.pdf</w:t>
        </w:r>
      </w:hyperlink>
      <w:r>
        <w:t>), lucrările legate de propunerea Comisiei de Regulament privind instalarea infrastructurii pentru combustibili alternativi (</w:t>
      </w:r>
      <w:hyperlink r:id="rId9" w:tgtFrame="_blank" w:history="1">
        <w:r>
          <w:rPr>
            <w:rStyle w:val="Hyperlink"/>
          </w:rPr>
          <w:t>https://eur-lex.europa.eu/resource.html?uri=cellar:dbb</w:t>
        </w:r>
        <w:r w:rsidRPr="00AC058C">
          <w:rPr>
            <w:rStyle w:val="Hyperlink"/>
          </w:rPr>
          <w:t>134</w:t>
        </w:r>
        <w:r>
          <w:rPr>
            <w:rStyle w:val="Hyperlink"/>
          </w:rPr>
          <w:t>db-e</w:t>
        </w:r>
        <w:r w:rsidRPr="00AC058C">
          <w:rPr>
            <w:rStyle w:val="Hyperlink"/>
          </w:rPr>
          <w:t>575</w:t>
        </w:r>
        <w:r>
          <w:rPr>
            <w:rStyle w:val="Hyperlink"/>
          </w:rPr>
          <w:t>-</w:t>
        </w:r>
        <w:r w:rsidRPr="00AC058C">
          <w:rPr>
            <w:rStyle w:val="Hyperlink"/>
          </w:rPr>
          <w:t>11</w:t>
        </w:r>
        <w:r>
          <w:rPr>
            <w:rStyle w:val="Hyperlink"/>
          </w:rPr>
          <w:t>eb-a</w:t>
        </w:r>
        <w:r w:rsidRPr="00AC058C">
          <w:rPr>
            <w:rStyle w:val="Hyperlink"/>
          </w:rPr>
          <w:t>1</w:t>
        </w:r>
        <w:r>
          <w:rPr>
            <w:rStyle w:val="Hyperlink"/>
          </w:rPr>
          <w:t>a</w:t>
        </w:r>
        <w:r w:rsidRPr="00AC058C">
          <w:rPr>
            <w:rStyle w:val="Hyperlink"/>
          </w:rPr>
          <w:t>5</w:t>
        </w:r>
        <w:r>
          <w:rPr>
            <w:rStyle w:val="Hyperlink"/>
          </w:rPr>
          <w:t>-</w:t>
        </w:r>
        <w:r w:rsidRPr="00AC058C">
          <w:rPr>
            <w:rStyle w:val="Hyperlink"/>
          </w:rPr>
          <w:t>01</w:t>
        </w:r>
        <w:r>
          <w:rPr>
            <w:rStyle w:val="Hyperlink"/>
          </w:rPr>
          <w:t>aa</w:t>
        </w:r>
        <w:r w:rsidRPr="00AC058C">
          <w:rPr>
            <w:rStyle w:val="Hyperlink"/>
          </w:rPr>
          <w:t>75</w:t>
        </w:r>
        <w:r>
          <w:rPr>
            <w:rStyle w:val="Hyperlink"/>
          </w:rPr>
          <w:t>ed</w:t>
        </w:r>
        <w:r w:rsidRPr="00AC058C">
          <w:rPr>
            <w:rStyle w:val="Hyperlink"/>
          </w:rPr>
          <w:t>71</w:t>
        </w:r>
        <w:r>
          <w:rPr>
            <w:rStyle w:val="Hyperlink"/>
          </w:rPr>
          <w:t>a</w:t>
        </w:r>
        <w:r w:rsidRPr="00AC058C">
          <w:rPr>
            <w:rStyle w:val="Hyperlink"/>
          </w:rPr>
          <w:t>1</w:t>
        </w:r>
        <w:r>
          <w:rPr>
            <w:rStyle w:val="Hyperlink"/>
          </w:rPr>
          <w:t>.</w:t>
        </w:r>
        <w:r w:rsidRPr="00AC058C">
          <w:rPr>
            <w:rStyle w:val="Hyperlink"/>
          </w:rPr>
          <w:t>0018</w:t>
        </w:r>
        <w:r>
          <w:rPr>
            <w:rStyle w:val="Hyperlink"/>
          </w:rPr>
          <w:t>.</w:t>
        </w:r>
        <w:r w:rsidRPr="00AC058C">
          <w:rPr>
            <w:rStyle w:val="Hyperlink"/>
          </w:rPr>
          <w:t>02</w:t>
        </w:r>
        <w:r>
          <w:rPr>
            <w:rStyle w:val="Hyperlink"/>
          </w:rPr>
          <w:t>/DOC_</w:t>
        </w:r>
        <w:r w:rsidRPr="00AC058C">
          <w:rPr>
            <w:rStyle w:val="Hyperlink"/>
          </w:rPr>
          <w:t>1</w:t>
        </w:r>
        <w:r>
          <w:rPr>
            <w:rStyle w:val="Hyperlink"/>
          </w:rPr>
          <w:t>&amp;format=PDF</w:t>
        </w:r>
      </w:hyperlink>
      <w:r>
        <w:t>) și rezultatele obținute de Forumul pentru transporturi durabile, precum și activitatea și rezultatele obținute de Grupul de experți privind spațiul european al datelor financiare (</w:t>
      </w:r>
      <w:hyperlink r:id="rId10" w:history="1">
        <w:r>
          <w:rPr>
            <w:rStyle w:val="Hyperlink"/>
          </w:rPr>
          <w:t>https://ec.europa.eu/transparency/expert-groups-register/screen/expert-groups/consult?lang=ro&amp;groupID=</w:t>
        </w:r>
        <w:r w:rsidRPr="00AC058C">
          <w:rPr>
            <w:rStyle w:val="Hyperlink"/>
          </w:rPr>
          <w:t>3763</w:t>
        </w:r>
      </w:hyperlink>
      <w:r>
        <w:t>) și Grupul Instituțiilor Financiare pentru Eficiență Energetică (Energy Efficiency Financial Institutions Group – EEFIG) (</w:t>
      </w:r>
      <w:hyperlink r:id="rId11" w:tgtFrame="_blank" w:history="1">
        <w:r>
          <w:rPr>
            <w:rStyle w:val="Hyperlink"/>
          </w:rPr>
          <w:t>https://eefig.ec.europa.eu/index_en</w:t>
        </w:r>
      </w:hyperlink>
      <w:r>
        <w:t xml:space="preserve">). </w:t>
      </w:r>
    </w:p>
  </w:footnote>
  <w:footnote w:id="18">
    <w:p w14:paraId="418B7122" w14:textId="3FFB4593" w:rsidR="008D2703" w:rsidRPr="006E11B2" w:rsidRDefault="008D2703" w:rsidP="009259F5">
      <w:pPr>
        <w:pStyle w:val="FootnoteText"/>
        <w:spacing w:after="0"/>
      </w:pPr>
      <w:r>
        <w:rPr>
          <w:rStyle w:val="FootnoteReference"/>
        </w:rPr>
        <w:footnoteRef/>
      </w:r>
      <w:r w:rsidR="00740ED5">
        <w:tab/>
      </w:r>
      <w:r>
        <w:t>În special, grupul de lucru „Common Data Approach for Electromobility and other Alternative Fuels (STF on Data)” [Abordarea comună a datelor privind electromobilitatea și alți combustibili alternativi (STF privind datele)], care se axează pe cartografierea elementelor de politică și tehnice necesare pentru instituirea unui ecosistem de date deschise pentru electromobilitate (</w:t>
      </w:r>
      <w:hyperlink r:id="rId12" w:history="1">
        <w:r>
          <w:rPr>
            <w:rStyle w:val="Hyperlink"/>
          </w:rPr>
          <w:t>https://transport.ec.europa.eu/transport-themes/clean-transport-urban-transport/sustainable-transport-forum-stf_en</w:t>
        </w:r>
      </w:hyperlink>
      <w:r>
        <w:t xml:space="preserve">). </w:t>
      </w:r>
    </w:p>
  </w:footnote>
  <w:footnote w:id="19">
    <w:p w14:paraId="1D7FF0E2" w14:textId="0818F678" w:rsidR="008D2703" w:rsidRPr="00211024" w:rsidRDefault="008D2703" w:rsidP="009259F5">
      <w:pPr>
        <w:pStyle w:val="FootnoteText"/>
        <w:spacing w:after="0"/>
      </w:pPr>
      <w:r>
        <w:rPr>
          <w:rStyle w:val="FootnoteReference"/>
        </w:rPr>
        <w:footnoteRef/>
      </w:r>
      <w:r w:rsidR="00740ED5">
        <w:tab/>
      </w:r>
      <w:r>
        <w:t xml:space="preserve">Grup de experți care va fi instituit </w:t>
      </w:r>
      <w:r>
        <w:rPr>
          <w:color w:val="000000" w:themeColor="text1"/>
        </w:rPr>
        <w:t>în conformitate</w:t>
      </w:r>
      <w:r>
        <w:t xml:space="preserve"> cu dispozițiile propunerii de lege privind guvernanța datelor.</w:t>
      </w:r>
    </w:p>
  </w:footnote>
  <w:footnote w:id="20">
    <w:p w14:paraId="5048C52C" w14:textId="592F1D23" w:rsidR="008D2703" w:rsidRPr="00FD7512" w:rsidRDefault="008D2703" w:rsidP="009259F5">
      <w:pPr>
        <w:pStyle w:val="FootnoteText"/>
        <w:spacing w:after="0"/>
      </w:pPr>
      <w:r>
        <w:rPr>
          <w:rStyle w:val="FootnoteReference"/>
        </w:rPr>
        <w:footnoteRef/>
      </w:r>
      <w:r w:rsidR="00740ED5">
        <w:tab/>
      </w:r>
      <w:r>
        <w:t>C</w:t>
      </w:r>
      <w:r>
        <w:rPr>
          <w:color w:val="000000" w:themeColor="text1"/>
        </w:rPr>
        <w:t xml:space="preserve">um ar fi spațiile datelor dedicate mobilității, construcțiilor și clădirilor, precum și sectorului financiar. </w:t>
      </w:r>
    </w:p>
  </w:footnote>
  <w:footnote w:id="21">
    <w:p w14:paraId="12C1163C" w14:textId="13AB3F3E" w:rsidR="008D2703" w:rsidRPr="0074718F" w:rsidRDefault="008D2703" w:rsidP="009259F5">
      <w:pPr>
        <w:pStyle w:val="FootnoteText"/>
        <w:spacing w:after="0"/>
      </w:pPr>
      <w:r>
        <w:rPr>
          <w:rStyle w:val="FootnoteReference"/>
        </w:rPr>
        <w:footnoteRef/>
      </w:r>
      <w:r w:rsidR="00740ED5">
        <w:tab/>
      </w:r>
      <w:r>
        <w:t>Centrul de sprijin pentru spațiile datelor este în curs de înființare cu ajutorul programului „Europa digitală” (</w:t>
      </w:r>
      <w:hyperlink r:id="rId13" w:history="1">
        <w:r>
          <w:rPr>
            <w:rStyle w:val="Hyperlink"/>
          </w:rPr>
          <w:t>https://ec.europa.eu/info/funding-tenders/opportunities/portal/screen/opportunities/topic-details/digital-</w:t>
        </w:r>
        <w:r w:rsidRPr="00AC058C">
          <w:rPr>
            <w:rStyle w:val="Hyperlink"/>
          </w:rPr>
          <w:t>2021</w:t>
        </w:r>
        <w:r>
          <w:rPr>
            <w:rStyle w:val="Hyperlink"/>
          </w:rPr>
          <w:t>-cloud-ai-</w:t>
        </w:r>
        <w:r w:rsidRPr="00AC058C">
          <w:rPr>
            <w:rStyle w:val="Hyperlink"/>
          </w:rPr>
          <w:t>01</w:t>
        </w:r>
        <w:r>
          <w:rPr>
            <w:rStyle w:val="Hyperlink"/>
          </w:rPr>
          <w:t>-suppcentre</w:t>
        </w:r>
      </w:hyperlink>
      <w:r>
        <w:t xml:space="preserve">). </w:t>
      </w:r>
    </w:p>
  </w:footnote>
  <w:footnote w:id="22">
    <w:p w14:paraId="147EA8D5" w14:textId="14F21778" w:rsidR="008D2703" w:rsidRPr="00FC34DF" w:rsidRDefault="008D2703" w:rsidP="009259F5">
      <w:pPr>
        <w:pStyle w:val="FootnoteText"/>
        <w:spacing w:after="0"/>
      </w:pPr>
      <w:r>
        <w:rPr>
          <w:rStyle w:val="FootnoteReference"/>
        </w:rPr>
        <w:footnoteRef/>
      </w:r>
      <w:r w:rsidR="00740ED5">
        <w:tab/>
      </w:r>
      <w:hyperlink r:id="rId14" w:history="1">
        <w:r>
          <w:rPr>
            <w:rStyle w:val="Hyperlink"/>
          </w:rPr>
          <w:t>https://joinup.ec.europa.eu/collection/nifo-national-interoperability-framework-observatory/</w:t>
        </w:r>
        <w:r w:rsidRPr="00AC058C">
          <w:rPr>
            <w:rStyle w:val="Hyperlink"/>
          </w:rPr>
          <w:t>3</w:t>
        </w:r>
        <w:r>
          <w:rPr>
            <w:rStyle w:val="Hyperlink"/>
          </w:rPr>
          <w:t>-interoperability-layers</w:t>
        </w:r>
      </w:hyperlink>
      <w:r>
        <w:t xml:space="preserve">. </w:t>
      </w:r>
    </w:p>
  </w:footnote>
  <w:footnote w:id="23">
    <w:p w14:paraId="5A1FAD39" w14:textId="7B959854" w:rsidR="008D2703" w:rsidRDefault="008D2703" w:rsidP="00D34A85">
      <w:pPr>
        <w:pStyle w:val="FootnoteText"/>
        <w:spacing w:after="0"/>
      </w:pPr>
      <w:r>
        <w:rPr>
          <w:rStyle w:val="FootnoteReference"/>
        </w:rPr>
        <w:footnoteRef/>
      </w:r>
      <w:r w:rsidR="00740ED5">
        <w:tab/>
      </w:r>
      <w:r>
        <w:t xml:space="preserve">La sfârșitul anului </w:t>
      </w:r>
      <w:r w:rsidRPr="00AC058C">
        <w:t>2020</w:t>
      </w:r>
      <w:r>
        <w:t xml:space="preserve">, în </w:t>
      </w:r>
      <w:r w:rsidRPr="00AC058C">
        <w:t>11</w:t>
      </w:r>
      <w:r>
        <w:t xml:space="preserve"> state membre, ponderea contoarelor inteligente de energie electrică instalate în gospodării a depășit </w:t>
      </w:r>
      <w:r w:rsidRPr="00AC058C">
        <w:t>80</w:t>
      </w:r>
      <w:r>
        <w:t xml:space="preserve"> %. Danemarca, Estonia, Spania, Finlanda, Italia și Suedia au înregistrat o pondere a contoarelor inteligente de </w:t>
      </w:r>
      <w:r w:rsidRPr="00AC058C">
        <w:t>98</w:t>
      </w:r>
      <w:r>
        <w:t xml:space="preserve"> % sau mai mare, fiind urmate de Luxemburg, Malta, Țările de Jos, Franța și Slovenia, cu ponderi ale contoarelor inteligente cuprinse între </w:t>
      </w:r>
      <w:r w:rsidRPr="00AC058C">
        <w:t>83</w:t>
      </w:r>
      <w:r>
        <w:t xml:space="preserve"> % și </w:t>
      </w:r>
      <w:r w:rsidRPr="00AC058C">
        <w:t>93</w:t>
      </w:r>
      <w:r>
        <w:t xml:space="preserve"> %. Planurile de introducere a contorizării inteligente și ponderile efective ale introducerii diferă foarte mult, sugerând că mulți consumatori din UE nu vor avea acces la contoare inteligente în viitorul apropiat (sursa: Raportul ACER de monitorizare a pieței, </w:t>
      </w:r>
      <w:r w:rsidRPr="00AC058C">
        <w:t>2021</w:t>
      </w:r>
      <w:r>
        <w:t>).</w:t>
      </w:r>
    </w:p>
  </w:footnote>
  <w:footnote w:id="24">
    <w:p w14:paraId="35FE371D" w14:textId="5AED52D0" w:rsidR="008D2703" w:rsidRPr="007E341B" w:rsidRDefault="008D2703" w:rsidP="0031041E">
      <w:pPr>
        <w:pStyle w:val="FootnoteText"/>
        <w:spacing w:after="0"/>
      </w:pPr>
      <w:r>
        <w:rPr>
          <w:rStyle w:val="FootnoteReference"/>
        </w:rPr>
        <w:footnoteRef/>
      </w:r>
      <w:r w:rsidR="00740ED5">
        <w:tab/>
      </w:r>
      <w:r>
        <w:t xml:space="preserve">Acest lucru va facilita agregarea flexibilității care provine din active inteligente în gospodării și întreprinderi. Pentru mai multe detalii a se vedea: </w:t>
      </w:r>
      <w:hyperlink r:id="rId15" w:history="1">
        <w:r>
          <w:rPr>
            <w:rStyle w:val="Hyperlink"/>
          </w:rPr>
          <w:t>https://ses.jrc.ec.europa.eu/development-of-policy-proposals-for-energy-smart-appliances</w:t>
        </w:r>
      </w:hyperlink>
      <w:r>
        <w:rPr>
          <w:rStyle w:val="Hyperlink"/>
        </w:rPr>
        <w:t xml:space="preserve">. </w:t>
      </w:r>
    </w:p>
  </w:footnote>
  <w:footnote w:id="25">
    <w:p w14:paraId="749526DA" w14:textId="49FF7C5E" w:rsidR="008D2703" w:rsidRPr="006C7B6E" w:rsidRDefault="008D2703" w:rsidP="00147057">
      <w:pPr>
        <w:pStyle w:val="FootnoteText"/>
        <w:spacing w:after="0"/>
      </w:pPr>
      <w:r>
        <w:rPr>
          <w:rStyle w:val="FootnoteReference"/>
        </w:rPr>
        <w:footnoteRef/>
      </w:r>
      <w:r w:rsidR="00740ED5">
        <w:tab/>
      </w:r>
      <w:r>
        <w:t xml:space="preserve">Această activitate include sprijinul propus pentru implementarea unui spațiu european comun al datelor privind energia, cu un buget de </w:t>
      </w:r>
      <w:r w:rsidRPr="00AC058C">
        <w:t>8</w:t>
      </w:r>
      <w:r>
        <w:t xml:space="preserve"> milioane EUR, precum și sprijinul acordat de </w:t>
      </w:r>
      <w:r>
        <w:rPr>
          <w:rStyle w:val="normaltextrun"/>
        </w:rPr>
        <w:t xml:space="preserve">Centrul de sprijin pentru spațiul de date și cooperarea cu acesta pentru interoperabilitatea între spațiile de date (de exemplu, mobilitate, comunități inteligente). </w:t>
      </w:r>
    </w:p>
  </w:footnote>
  <w:footnote w:id="26">
    <w:p w14:paraId="190078CD" w14:textId="2ED0B3A3" w:rsidR="008D2703" w:rsidRPr="001F0F54" w:rsidRDefault="008D2703" w:rsidP="009259F5">
      <w:pPr>
        <w:pStyle w:val="FootnoteText"/>
        <w:spacing w:after="0"/>
      </w:pPr>
      <w:r>
        <w:rPr>
          <w:rStyle w:val="FootnoteReference"/>
        </w:rPr>
        <w:footnoteRef/>
      </w:r>
      <w:r w:rsidR="00740ED5">
        <w:tab/>
      </w:r>
      <w:r>
        <w:t xml:space="preserve">Programul de lucru Orizont Europa </w:t>
      </w:r>
      <w:r w:rsidRPr="00AC058C">
        <w:t>2021</w:t>
      </w:r>
      <w:r>
        <w:t xml:space="preserve"> sprijină cinci proiecte cu un buget de </w:t>
      </w:r>
      <w:r w:rsidRPr="00AC058C">
        <w:t>40</w:t>
      </w:r>
      <w:r>
        <w:t xml:space="preserve"> de milioane EUR care vizează crearea contextului propice pentru implementarea unui spațiu european comun al datelor privind energia (</w:t>
      </w:r>
      <w:hyperlink r:id="rId16" w:history="1">
        <w:r>
          <w:rPr>
            <w:rStyle w:val="Hyperlink"/>
          </w:rPr>
          <w:t>https://ec.europa.eu/info/funding-tenders/opportunities/portal/screen/opportunities/topic-details/horizon-cl</w:t>
        </w:r>
        <w:r w:rsidRPr="00AC058C">
          <w:rPr>
            <w:rStyle w:val="Hyperlink"/>
          </w:rPr>
          <w:t>5</w:t>
        </w:r>
        <w:r>
          <w:rPr>
            <w:rStyle w:val="Hyperlink"/>
          </w:rPr>
          <w:t>-</w:t>
        </w:r>
        <w:r w:rsidRPr="00AC058C">
          <w:rPr>
            <w:rStyle w:val="Hyperlink"/>
          </w:rPr>
          <w:t>2021</w:t>
        </w:r>
        <w:r>
          <w:rPr>
            <w:rStyle w:val="Hyperlink"/>
          </w:rPr>
          <w:t>-d</w:t>
        </w:r>
        <w:r w:rsidRPr="00AC058C">
          <w:rPr>
            <w:rStyle w:val="Hyperlink"/>
          </w:rPr>
          <w:t>3</w:t>
        </w:r>
        <w:r>
          <w:rPr>
            <w:rStyle w:val="Hyperlink"/>
          </w:rPr>
          <w:t>-</w:t>
        </w:r>
        <w:r w:rsidRPr="00AC058C">
          <w:rPr>
            <w:rStyle w:val="Hyperlink"/>
          </w:rPr>
          <w:t>01</w:t>
        </w:r>
        <w:r>
          <w:rPr>
            <w:rStyle w:val="Hyperlink"/>
          </w:rPr>
          <w:t>-</w:t>
        </w:r>
        <w:r w:rsidRPr="00AC058C">
          <w:rPr>
            <w:rStyle w:val="Hyperlink"/>
          </w:rPr>
          <w:t>01</w:t>
        </w:r>
      </w:hyperlink>
      <w:r>
        <w:t>).</w:t>
      </w:r>
    </w:p>
  </w:footnote>
  <w:footnote w:id="27">
    <w:p w14:paraId="422710D6" w14:textId="6052E159" w:rsidR="008D2703" w:rsidRDefault="008D2703" w:rsidP="00D34A85">
      <w:pPr>
        <w:pStyle w:val="FootnoteText"/>
        <w:spacing w:after="0"/>
      </w:pPr>
      <w:r>
        <w:rPr>
          <w:rStyle w:val="FootnoteReference"/>
        </w:rPr>
        <w:footnoteRef/>
      </w:r>
      <w:r w:rsidR="00740ED5">
        <w:tab/>
      </w:r>
      <w:r>
        <w:t>Cum ar fi proiectele care cooperează în cadrul inițiativei „Bridge” pentru a oferi consiliere în materie de politici privind rețelele inteligente: (</w:t>
      </w:r>
      <w:hyperlink r:id="rId17" w:history="1">
        <w:r>
          <w:rPr>
            <w:rStyle w:val="Hyperlink"/>
          </w:rPr>
          <w:t>https://bridge-smart-grid-storage-systems-digital-projects.ec.europa.eu/</w:t>
        </w:r>
      </w:hyperlink>
      <w:r>
        <w:t xml:space="preserve">). </w:t>
      </w:r>
    </w:p>
  </w:footnote>
  <w:footnote w:id="28">
    <w:p w14:paraId="3EEB4C20" w14:textId="073CBEC8" w:rsidR="008D2703" w:rsidRDefault="008D2703" w:rsidP="00807855">
      <w:pPr>
        <w:pStyle w:val="FootnoteText"/>
      </w:pPr>
      <w:r>
        <w:rPr>
          <w:rStyle w:val="FootnoteReference"/>
        </w:rPr>
        <w:footnoteRef/>
      </w:r>
      <w:r w:rsidR="00740ED5">
        <w:tab/>
      </w:r>
      <w:r>
        <w:t xml:space="preserve">A se vedea exemplele din documentul de lucru al serviciilor Comisiei care însoțește prezenta comunicare. </w:t>
      </w:r>
    </w:p>
  </w:footnote>
  <w:footnote w:id="29">
    <w:p w14:paraId="5CFD32DC" w14:textId="16B8A38C" w:rsidR="008D2703" w:rsidRDefault="008D2703" w:rsidP="00D34A85">
      <w:pPr>
        <w:pStyle w:val="FootnoteText"/>
        <w:spacing w:after="0"/>
      </w:pPr>
      <w:r>
        <w:rPr>
          <w:rStyle w:val="FootnoteReference"/>
        </w:rPr>
        <w:footnoteRef/>
      </w:r>
      <w:r w:rsidR="00740ED5">
        <w:tab/>
      </w:r>
      <w:r>
        <w:t xml:space="preserve">„Position on incentivising smart investments to improve the efficient use of electricity transmission assets” (Poziția privind stimularea investițiilor inteligente în vederea îmbunătățirii utilizării eficiente a activelor de transport al energiei electrice), ACER, noiembrie </w:t>
      </w:r>
      <w:r w:rsidRPr="00AC058C">
        <w:t>2021</w:t>
      </w:r>
      <w:r>
        <w:t>.</w:t>
      </w:r>
    </w:p>
  </w:footnote>
  <w:footnote w:id="30">
    <w:p w14:paraId="08B8E06D" w14:textId="39C6ADEF" w:rsidR="008D2703" w:rsidRDefault="008D2703" w:rsidP="00D34A85">
      <w:pPr>
        <w:pStyle w:val="FootnoteText"/>
        <w:spacing w:after="0"/>
      </w:pPr>
      <w:r>
        <w:rPr>
          <w:rStyle w:val="FootnoteReference"/>
        </w:rPr>
        <w:footnoteRef/>
      </w:r>
      <w:r w:rsidR="00740ED5">
        <w:tab/>
      </w:r>
      <w:r>
        <w:rPr>
          <w:rStyle w:val="normaltextrun"/>
          <w:color w:val="000000" w:themeColor="text1"/>
        </w:rPr>
        <w:t xml:space="preserve">Indicatorii comuni vor oferi, de asemenea, orientări privind </w:t>
      </w:r>
      <w:r>
        <w:t xml:space="preserve">transpunerea </w:t>
      </w:r>
      <w:r>
        <w:rPr>
          <w:color w:val="000000" w:themeColor="text1"/>
        </w:rPr>
        <w:t>articolului </w:t>
      </w:r>
      <w:r w:rsidRPr="00AC058C">
        <w:rPr>
          <w:color w:val="000000" w:themeColor="text1"/>
        </w:rPr>
        <w:t>59</w:t>
      </w:r>
      <w:r>
        <w:rPr>
          <w:color w:val="000000" w:themeColor="text1"/>
        </w:rPr>
        <w:t xml:space="preserve"> alineatul (</w:t>
      </w:r>
      <w:r w:rsidRPr="00AC058C">
        <w:rPr>
          <w:color w:val="000000" w:themeColor="text1"/>
        </w:rPr>
        <w:t>1</w:t>
      </w:r>
      <w:r>
        <w:rPr>
          <w:color w:val="000000" w:themeColor="text1"/>
        </w:rPr>
        <w:t>) litera (l) din Directiva privind energia electrică.</w:t>
      </w:r>
    </w:p>
  </w:footnote>
  <w:footnote w:id="31">
    <w:p w14:paraId="37866EC5" w14:textId="50C179B5" w:rsidR="008D2703" w:rsidRPr="00AE43CD" w:rsidRDefault="008D2703" w:rsidP="0096719C">
      <w:pPr>
        <w:pStyle w:val="FootnoteText"/>
        <w:spacing w:after="0"/>
      </w:pPr>
      <w:r>
        <w:rPr>
          <w:rStyle w:val="FootnoteReference"/>
        </w:rPr>
        <w:footnoteRef/>
      </w:r>
      <w:r w:rsidR="00740ED5">
        <w:tab/>
      </w:r>
      <w:r>
        <w:t xml:space="preserve">Întrucât ambele acțiuni se vor desfășura în paralel, iar </w:t>
      </w:r>
      <w:r>
        <w:rPr>
          <w:color w:val="000000" w:themeColor="text1"/>
        </w:rPr>
        <w:t>indicatorii comuni privind rețelele inteligente vor fi definiți în aceleași cinci domenii precum cele pentru investiții coordonate în vederea creării geamănului digital.</w:t>
      </w:r>
    </w:p>
  </w:footnote>
  <w:footnote w:id="32">
    <w:p w14:paraId="363B0C7C" w14:textId="41C2DDA7" w:rsidR="008D2703" w:rsidRDefault="008D2703" w:rsidP="00D34A85">
      <w:pPr>
        <w:pStyle w:val="FootnoteText"/>
        <w:spacing w:after="0"/>
      </w:pPr>
    </w:p>
  </w:footnote>
  <w:footnote w:id="33">
    <w:p w14:paraId="125AC6FE" w14:textId="6EB9396C" w:rsidR="008D2703" w:rsidRDefault="008D2703" w:rsidP="00D34A85">
      <w:pPr>
        <w:pStyle w:val="FootnoteText"/>
        <w:spacing w:after="0"/>
      </w:pPr>
      <w:r>
        <w:rPr>
          <w:rStyle w:val="FootnoteReference"/>
        </w:rPr>
        <w:footnoteRef/>
      </w:r>
      <w:r w:rsidR="00740ED5">
        <w:tab/>
      </w:r>
      <w:r>
        <w:t xml:space="preserve">De exemplu, prin crearea unor portaluri de aplicații electronice și a unor registre comune de </w:t>
      </w:r>
      <w:r>
        <w:rPr>
          <w:color w:val="000000"/>
        </w:rPr>
        <w:t>date relevante</w:t>
      </w:r>
      <w:r>
        <w:t xml:space="preserve"> legate de autorizații pentru proiectele privind infrastructura energetică și energia din surse regenerabile, ghișee unice pentru dezvoltatorii de proiecte sau prin creșterea transparenței cu privire la disponibilitatea capacităților rețelei de a adopta proiecte suplimentare privind energia din surse regenerabile în anumite zone locale.</w:t>
      </w:r>
    </w:p>
  </w:footnote>
  <w:footnote w:id="34">
    <w:p w14:paraId="3F90BEDD" w14:textId="7A5AA64D" w:rsidR="008D2703" w:rsidRDefault="008D2703" w:rsidP="009259F5">
      <w:pPr>
        <w:pStyle w:val="FootnoteText"/>
        <w:spacing w:after="0"/>
      </w:pPr>
      <w:r>
        <w:rPr>
          <w:rStyle w:val="FootnoteReference"/>
        </w:rPr>
        <w:footnoteRef/>
      </w:r>
      <w:r w:rsidR="00740ED5">
        <w:tab/>
      </w:r>
      <w:hyperlink r:id="rId18" w:history="1">
        <w:r>
          <w:rPr>
            <w:rStyle w:val="Hyperlink"/>
          </w:rPr>
          <w:t>https://ec.europa.eu/info/funding-tenders/find-funding/eu-funding-programmes/technical-support-instrument/technical-support-instrument-tsi_ro</w:t>
        </w:r>
      </w:hyperlink>
      <w:r>
        <w:t xml:space="preserve">. </w:t>
      </w:r>
    </w:p>
  </w:footnote>
  <w:footnote w:id="35">
    <w:p w14:paraId="614987D5" w14:textId="6CC4443B" w:rsidR="008D2703" w:rsidRDefault="008D2703" w:rsidP="009259F5">
      <w:pPr>
        <w:pStyle w:val="FootnoteText"/>
        <w:spacing w:after="0"/>
      </w:pPr>
      <w:r>
        <w:rPr>
          <w:rStyle w:val="FootnoteReference"/>
        </w:rPr>
        <w:footnoteRef/>
      </w:r>
      <w:r w:rsidR="00740ED5">
        <w:tab/>
      </w:r>
      <w:hyperlink r:id="rId19" w:history="1">
        <w:r>
          <w:rPr>
            <w:rStyle w:val="Hyperlink"/>
          </w:rPr>
          <w:t>https://ec.europa.eu/info/energy-climate-change-environment/standards-tools-and-labels/products-labelling-rules-and-requirements/energy-label-and-ecodesign/product-database_en</w:t>
        </w:r>
      </w:hyperlink>
      <w:r>
        <w:t xml:space="preserve">. </w:t>
      </w:r>
    </w:p>
  </w:footnote>
  <w:footnote w:id="36">
    <w:p w14:paraId="6D4FBF06" w14:textId="365A8B57" w:rsidR="008D2703" w:rsidRDefault="008D2703" w:rsidP="00D34A85">
      <w:pPr>
        <w:pStyle w:val="FootnoteText"/>
        <w:spacing w:after="0"/>
      </w:pPr>
      <w:r>
        <w:rPr>
          <w:rStyle w:val="FootnoteReference"/>
        </w:rPr>
        <w:footnoteRef/>
      </w:r>
      <w:r w:rsidR="00740ED5">
        <w:tab/>
      </w:r>
      <w:r>
        <w:rPr>
          <w:color w:val="000000" w:themeColor="text1"/>
        </w:rPr>
        <w:t>Cadrul unificat de interoperabilitate pentru consumul dispecerizabil care permite participarea pe piață a consumatorilor activi de energie. Pentru informații suplimentare, vă rugăm să consultați:</w:t>
      </w:r>
      <w:r>
        <w:t xml:space="preserve"> Pachetul privind rezultatele CORDIS privind digitalizarea sistemului energetic – O colecție tematică de rezultate inovatoare ale cercetării finanțate de UE.</w:t>
      </w:r>
    </w:p>
  </w:footnote>
  <w:footnote w:id="37">
    <w:p w14:paraId="57D2C67E" w14:textId="03278109" w:rsidR="008D2703" w:rsidRDefault="008D2703" w:rsidP="00D34A85">
      <w:pPr>
        <w:pStyle w:val="FootnoteText"/>
        <w:spacing w:after="0"/>
      </w:pPr>
      <w:r>
        <w:rPr>
          <w:rStyle w:val="FootnoteReference"/>
        </w:rPr>
        <w:footnoteRef/>
      </w:r>
      <w:r w:rsidR="00740ED5">
        <w:tab/>
      </w:r>
      <w:r>
        <w:t>În special, lucrările pregătitoare în curs pentru un posibil cod de rețea privind flexibilitatea cererii.</w:t>
      </w:r>
    </w:p>
  </w:footnote>
  <w:footnote w:id="38">
    <w:p w14:paraId="4C15B48D" w14:textId="532F942A" w:rsidR="008D2703" w:rsidRPr="00985FAC" w:rsidRDefault="008D2703" w:rsidP="005D3028">
      <w:pPr>
        <w:pStyle w:val="FootnoteText"/>
        <w:spacing w:after="0"/>
      </w:pPr>
      <w:r>
        <w:rPr>
          <w:rStyle w:val="FootnoteReference"/>
        </w:rPr>
        <w:footnoteRef/>
      </w:r>
      <w:r w:rsidR="00740ED5">
        <w:tab/>
      </w:r>
      <w:r>
        <w:t>COM(</w:t>
      </w:r>
      <w:r w:rsidRPr="00AC058C">
        <w:t>2022</w:t>
      </w:r>
      <w:r>
        <w:t xml:space="preserve">) </w:t>
      </w:r>
      <w:r w:rsidRPr="00AC058C">
        <w:t>68</w:t>
      </w:r>
      <w:r>
        <w:t xml:space="preserve"> final</w:t>
      </w:r>
      <w:r w:rsidR="00740ED5">
        <w:t>.</w:t>
      </w:r>
    </w:p>
  </w:footnote>
  <w:footnote w:id="39">
    <w:p w14:paraId="77BC6AD3" w14:textId="50A48510" w:rsidR="008D2703" w:rsidRDefault="008D2703" w:rsidP="009259F5">
      <w:pPr>
        <w:pStyle w:val="FootnoteText"/>
        <w:spacing w:after="0"/>
      </w:pPr>
      <w:r>
        <w:rPr>
          <w:rStyle w:val="FootnoteReference"/>
        </w:rPr>
        <w:footnoteRef/>
      </w:r>
      <w:r w:rsidR="00740ED5">
        <w:tab/>
      </w:r>
      <w:r>
        <w:t>COM(</w:t>
      </w:r>
      <w:r w:rsidRPr="00AC058C">
        <w:t>2022</w:t>
      </w:r>
      <w:r>
        <w:t xml:space="preserve">) </w:t>
      </w:r>
      <w:r w:rsidRPr="00AC058C">
        <w:t>28</w:t>
      </w:r>
      <w:r w:rsidR="00740ED5">
        <w:t xml:space="preserve"> final.</w:t>
      </w:r>
    </w:p>
  </w:footnote>
  <w:footnote w:id="40">
    <w:p w14:paraId="771FA69D" w14:textId="7ADDC4FF" w:rsidR="008D2703" w:rsidRPr="000269C6" w:rsidRDefault="008D2703" w:rsidP="00C4681E">
      <w:pPr>
        <w:pStyle w:val="FootnoteText"/>
        <w:spacing w:after="0"/>
      </w:pPr>
      <w:r>
        <w:rPr>
          <w:rStyle w:val="FootnoteReference"/>
        </w:rPr>
        <w:footnoteRef/>
      </w:r>
      <w:r w:rsidR="00740ED5">
        <w:tab/>
      </w:r>
      <w:r>
        <w:t xml:space="preserve">Directiva </w:t>
      </w:r>
      <w:r w:rsidRPr="00AC058C">
        <w:t>2005</w:t>
      </w:r>
      <w:r>
        <w:t>/</w:t>
      </w:r>
      <w:r w:rsidRPr="00AC058C">
        <w:t>29</w:t>
      </w:r>
      <w:r>
        <w:t>/CE privind practicile comerciale neloiale ale întreprinderilor de pe piața internă față de consumatori.</w:t>
      </w:r>
    </w:p>
  </w:footnote>
  <w:footnote w:id="41">
    <w:p w14:paraId="1447D996" w14:textId="04D80945" w:rsidR="008D2703" w:rsidRPr="00E26760" w:rsidRDefault="008D2703" w:rsidP="00C4681E">
      <w:pPr>
        <w:pStyle w:val="FootnoteText"/>
        <w:spacing w:after="0"/>
      </w:pPr>
      <w:r>
        <w:rPr>
          <w:rStyle w:val="FootnoteReference"/>
        </w:rPr>
        <w:footnoteRef/>
      </w:r>
      <w:r w:rsidR="00740ED5">
        <w:tab/>
      </w:r>
      <w:r>
        <w:t xml:space="preserve">Directiva </w:t>
      </w:r>
      <w:r w:rsidRPr="00AC058C">
        <w:t>2011</w:t>
      </w:r>
      <w:r>
        <w:t>/</w:t>
      </w:r>
      <w:r w:rsidRPr="00AC058C">
        <w:t>83</w:t>
      </w:r>
      <w:r>
        <w:t>/UE privind drepturile consumatorilor.</w:t>
      </w:r>
    </w:p>
  </w:footnote>
  <w:footnote w:id="42">
    <w:p w14:paraId="23730F68" w14:textId="615FF7BE" w:rsidR="008D2703" w:rsidRPr="00A8618E" w:rsidRDefault="008D2703" w:rsidP="00985FAC">
      <w:pPr>
        <w:pStyle w:val="FootnoteText"/>
        <w:spacing w:after="0"/>
      </w:pPr>
      <w:r>
        <w:rPr>
          <w:rStyle w:val="FootnoteReference"/>
        </w:rPr>
        <w:footnoteRef/>
      </w:r>
      <w:r w:rsidR="00740ED5">
        <w:tab/>
      </w:r>
      <w:r>
        <w:t xml:space="preserve">Directiva </w:t>
      </w:r>
      <w:r w:rsidRPr="00AC058C">
        <w:t>93</w:t>
      </w:r>
      <w:r>
        <w:t>/</w:t>
      </w:r>
      <w:r w:rsidRPr="00AC058C">
        <w:t>13</w:t>
      </w:r>
      <w:r>
        <w:t xml:space="preserve">/CEE privind clauzele abuzive în contractele încheiate cu consumatorii. </w:t>
      </w:r>
    </w:p>
  </w:footnote>
  <w:footnote w:id="43">
    <w:p w14:paraId="17A20C1B" w14:textId="36B6B36B" w:rsidR="008D2703" w:rsidRPr="00007C7F" w:rsidRDefault="008D2703" w:rsidP="0031041E">
      <w:pPr>
        <w:pStyle w:val="FootnoteText"/>
        <w:spacing w:after="0"/>
      </w:pPr>
      <w:r>
        <w:rPr>
          <w:rStyle w:val="FootnoteReference"/>
        </w:rPr>
        <w:footnoteRef/>
      </w:r>
      <w:r w:rsidR="00740ED5">
        <w:tab/>
      </w:r>
      <w:r>
        <w:t xml:space="preserve">Rezultatele din indicele economiei și societății digitale (DESI) </w:t>
      </w:r>
      <w:r w:rsidRPr="00AC058C">
        <w:t>2022</w:t>
      </w:r>
      <w:r>
        <w:t>, p. </w:t>
      </w:r>
      <w:r w:rsidRPr="00AC058C">
        <w:t>14</w:t>
      </w:r>
      <w:r>
        <w:t xml:space="preserve"> din Analiza europeană </w:t>
      </w:r>
      <w:r w:rsidRPr="00AC058C">
        <w:t>2022</w:t>
      </w:r>
      <w:r>
        <w:t>, extrase de la https://digital-strategy.ec.europa.eu/en/policies/desi.</w:t>
      </w:r>
    </w:p>
  </w:footnote>
  <w:footnote w:id="44">
    <w:p w14:paraId="092CA194" w14:textId="2002DCDD" w:rsidR="008D2703" w:rsidRPr="006861BB" w:rsidRDefault="008D2703" w:rsidP="0BED5035">
      <w:pPr>
        <w:pStyle w:val="FootnoteText"/>
        <w:spacing w:after="0"/>
        <w:rPr>
          <w:sz w:val="18"/>
          <w:szCs w:val="18"/>
        </w:rPr>
      </w:pPr>
      <w:r>
        <w:rPr>
          <w:rStyle w:val="FootnoteReference"/>
        </w:rPr>
        <w:footnoteRef/>
      </w:r>
      <w:r w:rsidR="00740ED5">
        <w:tab/>
      </w:r>
      <w:r>
        <w:t>Pe baza rezultatelor consultării publice, Comisia a identificat deficiențele în dezvoltarea competențelor și lipsa de lucrători calificați adecvați ca fiind cel mai important obstacol în calea adoptării tehnologiilor digitale (</w:t>
      </w:r>
      <w:r>
        <w:rPr>
          <w:color w:val="0563C1"/>
          <w:u w:val="single"/>
        </w:rPr>
        <w:t>Raport de sinteză</w:t>
      </w:r>
      <w:r>
        <w:t xml:space="preserve"> disponibil pe site-ul Exprimați-vă părerea).</w:t>
      </w:r>
    </w:p>
  </w:footnote>
  <w:footnote w:id="45">
    <w:p w14:paraId="6AE6D87E" w14:textId="6F69B2F3" w:rsidR="008D2703" w:rsidRDefault="008D2703" w:rsidP="00D34A85">
      <w:pPr>
        <w:pStyle w:val="FootnoteText"/>
        <w:spacing w:after="0"/>
      </w:pPr>
      <w:r>
        <w:rPr>
          <w:rStyle w:val="FootnoteReference"/>
        </w:rPr>
        <w:footnoteRef/>
      </w:r>
      <w:r w:rsidR="00740ED5">
        <w:tab/>
      </w:r>
      <w:r>
        <w:t>Planul general de cooperare sectorială privind competențele este una dintre inițiativele principale ale noii agende pentru competențe în Europa. Conform planului, părțile interesate vor colabora în cadrul unor parteneriate sectoriale, denumite și alianțe sectoriale pentru competențe. Parteneriatele din cadrul fiecărui proiect vor elabora o strategie sectorială în materie de competențe pentru a sprijini strategia globală de creștere a sectorului la nivelul UE (care urmează să fie implementată în continuare l</w:t>
      </w:r>
      <w:r w:rsidR="00AC058C">
        <w:t>a nivel național și regional).</w:t>
      </w:r>
    </w:p>
  </w:footnote>
  <w:footnote w:id="46">
    <w:p w14:paraId="1B8E142F" w14:textId="208229B4" w:rsidR="008D2703" w:rsidRDefault="008D2703">
      <w:pPr>
        <w:pStyle w:val="FootnoteText"/>
      </w:pPr>
      <w:r>
        <w:rPr>
          <w:rStyle w:val="FootnoteReference"/>
        </w:rPr>
        <w:footnoteRef/>
      </w:r>
      <w:r w:rsidR="00740ED5">
        <w:tab/>
      </w:r>
      <w:r>
        <w:t xml:space="preserve">Finanțarea UE pentru oportunitățile de formare pentru dobândirea de competențe digitale în domeniul energiei este disponibilă în cadrul programului Europa digitală, cererea deschisă de propuneri </w:t>
      </w:r>
      <w:hyperlink r:id="rId20" w:history="1">
        <w:r>
          <w:rPr>
            <w:rStyle w:val="Hyperlink"/>
          </w:rPr>
          <w:t>DIGITAL-</w:t>
        </w:r>
        <w:r w:rsidRPr="00AC058C">
          <w:rPr>
            <w:rStyle w:val="Hyperlink"/>
          </w:rPr>
          <w:t>2022</w:t>
        </w:r>
        <w:r>
          <w:rPr>
            <w:rStyle w:val="Hyperlink"/>
          </w:rPr>
          <w:t>-SKILLS-</w:t>
        </w:r>
        <w:r w:rsidRPr="00AC058C">
          <w:rPr>
            <w:rStyle w:val="Hyperlink"/>
          </w:rPr>
          <w:t>03</w:t>
        </w:r>
      </w:hyperlink>
    </w:p>
  </w:footnote>
  <w:footnote w:id="47">
    <w:p w14:paraId="35800205" w14:textId="5BA3FD0A" w:rsidR="008D2703" w:rsidRDefault="008D2703" w:rsidP="009259F5">
      <w:pPr>
        <w:pStyle w:val="FootnoteText"/>
        <w:spacing w:after="0"/>
      </w:pPr>
      <w:r>
        <w:rPr>
          <w:rStyle w:val="FootnoteReference"/>
        </w:rPr>
        <w:footnoteRef/>
      </w:r>
      <w:r w:rsidR="00740ED5">
        <w:tab/>
      </w:r>
      <w:r>
        <w:t>COM(</w:t>
      </w:r>
      <w:r w:rsidRPr="00AC058C">
        <w:t>2020</w:t>
      </w:r>
      <w:r>
        <w:t xml:space="preserve">) </w:t>
      </w:r>
      <w:r w:rsidRPr="00AC058C">
        <w:t>741</w:t>
      </w:r>
      <w:r w:rsidR="00740ED5">
        <w:t xml:space="preserve"> final.</w:t>
      </w:r>
    </w:p>
  </w:footnote>
  <w:footnote w:id="48">
    <w:p w14:paraId="73555662" w14:textId="46116CA4" w:rsidR="008D2703" w:rsidRDefault="008D2703" w:rsidP="00D34A85">
      <w:pPr>
        <w:pStyle w:val="FootnoteText"/>
        <w:spacing w:after="0"/>
      </w:pPr>
      <w:r>
        <w:rPr>
          <w:rStyle w:val="FootnoteReference"/>
        </w:rPr>
        <w:footnoteRef/>
      </w:r>
      <w:r w:rsidR="00740ED5">
        <w:tab/>
      </w:r>
      <w:r>
        <w:t xml:space="preserve">Propunere de modificare a Regulamentului (UE) </w:t>
      </w:r>
      <w:r w:rsidRPr="00AC058C">
        <w:t>2017</w:t>
      </w:r>
      <w:r>
        <w:t>/</w:t>
      </w:r>
      <w:r w:rsidRPr="00AC058C">
        <w:t>1938</w:t>
      </w:r>
      <w:r>
        <w:t xml:space="preserve"> privind măsurile de garantare a siguranței furnizării de gaze, decembrie </w:t>
      </w:r>
      <w:r w:rsidRPr="00AC058C">
        <w:t>2021</w:t>
      </w:r>
      <w:r>
        <w:t xml:space="preserve">. </w:t>
      </w:r>
    </w:p>
  </w:footnote>
  <w:footnote w:id="49">
    <w:p w14:paraId="47CFB3B9" w14:textId="7B21F5F8" w:rsidR="008D2703" w:rsidRPr="003C3F8B" w:rsidRDefault="008D2703" w:rsidP="00985FAC">
      <w:pPr>
        <w:pStyle w:val="FootnoteText"/>
        <w:spacing w:after="0"/>
      </w:pPr>
      <w:r>
        <w:rPr>
          <w:rStyle w:val="FootnoteReference"/>
        </w:rPr>
        <w:footnoteRef/>
      </w:r>
      <w:r w:rsidR="00740ED5">
        <w:tab/>
      </w:r>
      <w:r>
        <w:t xml:space="preserve">În </w:t>
      </w:r>
      <w:r w:rsidRPr="00AC058C">
        <w:t>2022</w:t>
      </w:r>
      <w:r>
        <w:t xml:space="preserve">, Comisia Europeană a lansat Coaliția europeană digitală verde (EGDC), care include în prezent </w:t>
      </w:r>
      <w:r w:rsidRPr="00AC058C">
        <w:t>34</w:t>
      </w:r>
      <w:r>
        <w:t xml:space="preserve"> de semnatari care s-au angajat să colaboreze cu experți și cu mediul academic în ceea ce privește metodele științifice de măsurare a impactului net asupra mediului al soluțiilor digitale în toate sectoarele prioritare, inclusiv în sectorul energiei și al electricității. Până la sfârșitul anului </w:t>
      </w:r>
      <w:r w:rsidRPr="00AC058C">
        <w:t>2022</w:t>
      </w:r>
      <w:r>
        <w:t xml:space="preserve">, vor fi examinate </w:t>
      </w:r>
      <w:r w:rsidRPr="00AC058C">
        <w:t>18</w:t>
      </w:r>
      <w:r>
        <w:t xml:space="preserve"> studii de caz reale pentru a contribui la validarea și perfecționarea dezvoltării iterative a metodologiei privind impactul net asupra mediului în toate sectoarele. Primele calcule ale efectelor asupra mediului ale soluțiilor digitale verzi pentru sistemele energetice, precum și proiectele de orientări pentru implementarea digitalizării cu efecte favorabile vor fi disponibile în </w:t>
      </w:r>
      <w:r w:rsidRPr="00AC058C">
        <w:t>2023</w:t>
      </w:r>
      <w:r>
        <w:t>.</w:t>
      </w:r>
    </w:p>
  </w:footnote>
  <w:footnote w:id="50">
    <w:p w14:paraId="1CD3A48C" w14:textId="697F8A73" w:rsidR="008D2703" w:rsidRPr="00302B67" w:rsidRDefault="008D2703" w:rsidP="00AD1F12">
      <w:pPr>
        <w:pStyle w:val="FootnoteText"/>
        <w:rPr>
          <w:color w:val="000000" w:themeColor="text1"/>
        </w:rPr>
      </w:pPr>
      <w:r>
        <w:rPr>
          <w:rStyle w:val="FootnoteReference"/>
        </w:rPr>
        <w:footnoteRef/>
      </w:r>
      <w:r w:rsidR="00740ED5">
        <w:tab/>
      </w:r>
      <w:r>
        <w:rPr>
          <w:color w:val="000000" w:themeColor="text1"/>
        </w:rPr>
        <w:t xml:space="preserve">În plus, amprenta energetică a TIC reprezintă </w:t>
      </w:r>
      <w:r w:rsidRPr="00AC058C">
        <w:rPr>
          <w:color w:val="000000" w:themeColor="text1"/>
        </w:rPr>
        <w:t>3</w:t>
      </w:r>
      <w:r>
        <w:rPr>
          <w:color w:val="000000" w:themeColor="text1"/>
        </w:rPr>
        <w:t>-</w:t>
      </w:r>
      <w:r w:rsidRPr="00AC058C">
        <w:rPr>
          <w:color w:val="000000" w:themeColor="text1"/>
        </w:rPr>
        <w:t>5</w:t>
      </w:r>
      <w:r>
        <w:rPr>
          <w:color w:val="000000" w:themeColor="text1"/>
        </w:rPr>
        <w:t xml:space="preserve"> % din emisiile globale de carbon, ceea ce plasează acest sector pe o poziție de egalitate cu sectorul aviației în ceea ce privește emisiile. Cea mai recentă analiză sugerează faptul că, în </w:t>
      </w:r>
      <w:r w:rsidRPr="00AC058C">
        <w:rPr>
          <w:color w:val="000000" w:themeColor="text1"/>
        </w:rPr>
        <w:t>2020</w:t>
      </w:r>
      <w:r>
        <w:rPr>
          <w:color w:val="000000" w:themeColor="text1"/>
        </w:rPr>
        <w:t xml:space="preserve">, consumul de energie al dispozitivelor utilizate de consumatori a reprezentat aproximativ </w:t>
      </w:r>
      <w:r w:rsidRPr="00AC058C">
        <w:rPr>
          <w:color w:val="000000" w:themeColor="text1"/>
        </w:rPr>
        <w:t>50</w:t>
      </w:r>
      <w:r>
        <w:rPr>
          <w:color w:val="000000" w:themeColor="text1"/>
        </w:rPr>
        <w:t> % din consumul total de energie al tehnologiilor</w:t>
      </w:r>
      <w:r>
        <w:t xml:space="preserve"> TIC</w:t>
      </w:r>
      <w:r>
        <w:rPr>
          <w:color w:val="000000" w:themeColor="text1"/>
        </w:rPr>
        <w:t>, următorii doi cei mai mari consumatori de energie fiind sectorul producției de dispozitive TIC (~ </w:t>
      </w:r>
      <w:r w:rsidRPr="00AC058C">
        <w:rPr>
          <w:color w:val="000000" w:themeColor="text1"/>
        </w:rPr>
        <w:t>20</w:t>
      </w:r>
      <w:r>
        <w:rPr>
          <w:color w:val="000000" w:themeColor="text1"/>
        </w:rPr>
        <w:t> %) și, respectiv, cel al operării centrelor de date (~ </w:t>
      </w:r>
      <w:r w:rsidRPr="00AC058C">
        <w:rPr>
          <w:color w:val="000000" w:themeColor="text1"/>
        </w:rPr>
        <w:t>15</w:t>
      </w:r>
      <w:r>
        <w:rPr>
          <w:color w:val="000000" w:themeColor="text1"/>
        </w:rPr>
        <w:t xml:space="preserve"> %). Cu toate acestea, se preconizează că acest context se va schimba dramatic până în </w:t>
      </w:r>
      <w:r w:rsidRPr="00AC058C">
        <w:rPr>
          <w:color w:val="000000" w:themeColor="text1"/>
        </w:rPr>
        <w:t>2030</w:t>
      </w:r>
      <w:r>
        <w:rPr>
          <w:color w:val="000000" w:themeColor="text1"/>
        </w:rPr>
        <w:t xml:space="preserve">, deoarece se preconizează că, în acest deceniu, consumul total de energie al tehnologiilor TIC va crește cu </w:t>
      </w:r>
      <w:r w:rsidRPr="00AC058C">
        <w:rPr>
          <w:color w:val="000000" w:themeColor="text1"/>
        </w:rPr>
        <w:t>50</w:t>
      </w:r>
      <w:r>
        <w:rPr>
          <w:color w:val="000000" w:themeColor="text1"/>
        </w:rPr>
        <w:t xml:space="preserve"> %. Primii trei mari consumatori în </w:t>
      </w:r>
      <w:r w:rsidRPr="00AC058C">
        <w:rPr>
          <w:color w:val="000000" w:themeColor="text1"/>
        </w:rPr>
        <w:t>2030</w:t>
      </w:r>
      <w:r>
        <w:rPr>
          <w:color w:val="000000" w:themeColor="text1"/>
        </w:rPr>
        <w:t xml:space="preserve"> ar fi utilizarea dispozitivelor de către consumatori (</w:t>
      </w:r>
      <w:r w:rsidRPr="00AC058C">
        <w:rPr>
          <w:color w:val="000000" w:themeColor="text1"/>
        </w:rPr>
        <w:t>33</w:t>
      </w:r>
      <w:r>
        <w:rPr>
          <w:color w:val="000000" w:themeColor="text1"/>
        </w:rPr>
        <w:t> %), operarea centrelor de date (</w:t>
      </w:r>
      <w:r w:rsidRPr="00AC058C">
        <w:rPr>
          <w:color w:val="000000" w:themeColor="text1"/>
        </w:rPr>
        <w:t>30</w:t>
      </w:r>
      <w:r>
        <w:rPr>
          <w:color w:val="000000" w:themeColor="text1"/>
        </w:rPr>
        <w:t> %) și exploatarea rețelelor (</w:t>
      </w:r>
      <w:r w:rsidRPr="00AC058C">
        <w:rPr>
          <w:color w:val="000000" w:themeColor="text1"/>
        </w:rPr>
        <w:t>27</w:t>
      </w:r>
      <w:r>
        <w:rPr>
          <w:color w:val="000000" w:themeColor="text1"/>
        </w:rPr>
        <w:t> %).</w:t>
      </w:r>
    </w:p>
  </w:footnote>
  <w:footnote w:id="51">
    <w:p w14:paraId="48DDC440" w14:textId="795151C4" w:rsidR="008D2703" w:rsidRDefault="008D2703" w:rsidP="009259F5">
      <w:pPr>
        <w:pStyle w:val="FootnoteText"/>
        <w:spacing w:after="0"/>
      </w:pPr>
      <w:r>
        <w:rPr>
          <w:rStyle w:val="FootnoteReference"/>
        </w:rPr>
        <w:footnoteRef/>
      </w:r>
      <w:r w:rsidR="00740ED5">
        <w:tab/>
      </w:r>
      <w:r>
        <w:t xml:space="preserve">Propunere de regulament de instituire a unui cadru pentru stabilirea cerințelor în materie de proiectare ecologică pentru produsele sustenabile și de abrogare a Directivei </w:t>
      </w:r>
      <w:r w:rsidRPr="00AC058C">
        <w:t>2009</w:t>
      </w:r>
      <w:r>
        <w:t>/</w:t>
      </w:r>
      <w:r w:rsidRPr="00AC058C">
        <w:t>125</w:t>
      </w:r>
      <w:r>
        <w:t>/CE, COM(</w:t>
      </w:r>
      <w:r w:rsidRPr="00AC058C">
        <w:t>2022</w:t>
      </w:r>
      <w:r>
        <w:t xml:space="preserve">) </w:t>
      </w:r>
      <w:r w:rsidRPr="00AC058C">
        <w:t>142</w:t>
      </w:r>
      <w:r>
        <w:t xml:space="preserve"> final.</w:t>
      </w:r>
    </w:p>
  </w:footnote>
  <w:footnote w:id="52">
    <w:p w14:paraId="7279F8E8" w14:textId="7C60222D" w:rsidR="008D2703" w:rsidRPr="00855628" w:rsidRDefault="008D2703" w:rsidP="00D34A85">
      <w:pPr>
        <w:pStyle w:val="FootnoteText"/>
        <w:spacing w:after="0"/>
      </w:pPr>
      <w:r>
        <w:rPr>
          <w:rStyle w:val="FootnoteReference"/>
        </w:rPr>
        <w:footnoteRef/>
      </w:r>
      <w:r w:rsidR="00740ED5">
        <w:tab/>
      </w:r>
      <w:r>
        <w:t>Ar trebui remarcat faptul că afișajele electronice, singura categorie de dispozitive electronice cu un consum de energie mai mare decât al computerelor de birou și al celor portabile, sunt deja vizate în EU de un sistem existent de etichetare referitoare la eficiența energetică.</w:t>
      </w:r>
    </w:p>
  </w:footnote>
  <w:footnote w:id="53">
    <w:p w14:paraId="4C4EBE36" w14:textId="5F10BFCB" w:rsidR="008D2703" w:rsidRPr="00392A0B" w:rsidRDefault="008D2703" w:rsidP="00622798">
      <w:pPr>
        <w:pStyle w:val="FootnoteText"/>
        <w:spacing w:after="0"/>
      </w:pPr>
      <w:r>
        <w:rPr>
          <w:rStyle w:val="FootnoteReference"/>
        </w:rPr>
        <w:footnoteRef/>
      </w:r>
      <w:r w:rsidR="00740ED5">
        <w:tab/>
      </w:r>
      <w:r>
        <w:t xml:space="preserve">A se vedea </w:t>
      </w:r>
      <w:hyperlink r:id="rId21" w:history="1">
        <w:r>
          <w:rPr>
            <w:rStyle w:val="Hyperlink"/>
          </w:rPr>
          <w:t>https://ec.europa.eu/info/news/ecodesign-and-energy-labelling-working-plan-</w:t>
        </w:r>
        <w:r w:rsidRPr="00AC058C">
          <w:rPr>
            <w:rStyle w:val="Hyperlink"/>
          </w:rPr>
          <w:t>2022</w:t>
        </w:r>
        <w:r>
          <w:rPr>
            <w:rStyle w:val="Hyperlink"/>
          </w:rPr>
          <w:t>-</w:t>
        </w:r>
        <w:r w:rsidRPr="00AC058C">
          <w:rPr>
            <w:rStyle w:val="Hyperlink"/>
          </w:rPr>
          <w:t>2024</w:t>
        </w:r>
        <w:r>
          <w:rPr>
            <w:rStyle w:val="Hyperlink"/>
          </w:rPr>
          <w:t>-</w:t>
        </w:r>
        <w:r w:rsidRPr="00AC058C">
          <w:rPr>
            <w:rStyle w:val="Hyperlink"/>
          </w:rPr>
          <w:t>2022</w:t>
        </w:r>
        <w:r>
          <w:rPr>
            <w:rStyle w:val="Hyperlink"/>
          </w:rPr>
          <w:t>-apr-</w:t>
        </w:r>
        <w:r w:rsidRPr="00AC058C">
          <w:rPr>
            <w:rStyle w:val="Hyperlink"/>
          </w:rPr>
          <w:t>06</w:t>
        </w:r>
        <w:r>
          <w:rPr>
            <w:rStyle w:val="Hyperlink"/>
          </w:rPr>
          <w:t>_en</w:t>
        </w:r>
      </w:hyperlink>
      <w:r>
        <w:t xml:space="preserve"> </w:t>
      </w:r>
    </w:p>
  </w:footnote>
  <w:footnote w:id="54">
    <w:p w14:paraId="5DEEFA46" w14:textId="0513CC96" w:rsidR="008D2703" w:rsidRPr="00187FB7" w:rsidRDefault="008D2703" w:rsidP="00D34A85">
      <w:pPr>
        <w:pStyle w:val="FootnoteText"/>
        <w:spacing w:after="0"/>
      </w:pPr>
      <w:r>
        <w:rPr>
          <w:rStyle w:val="FootnoteReference"/>
        </w:rPr>
        <w:footnoteRef/>
      </w:r>
      <w:r w:rsidR="00740ED5">
        <w:tab/>
      </w:r>
      <w:r>
        <w:t xml:space="preserve">A se vedea </w:t>
      </w:r>
      <w:hyperlink r:id="rId22" w:history="1">
        <w:r>
          <w:rPr>
            <w:rStyle w:val="Hyperlink"/>
          </w:rPr>
          <w:t>https://ec.europa.eu/info/strategy/priorities-</w:t>
        </w:r>
        <w:r w:rsidRPr="00AC058C">
          <w:rPr>
            <w:rStyle w:val="Hyperlink"/>
          </w:rPr>
          <w:t>2019</w:t>
        </w:r>
        <w:r>
          <w:rPr>
            <w:rStyle w:val="Hyperlink"/>
          </w:rPr>
          <w:t>-</w:t>
        </w:r>
        <w:r w:rsidRPr="00AC058C">
          <w:rPr>
            <w:rStyle w:val="Hyperlink"/>
          </w:rPr>
          <w:t>2024</w:t>
        </w:r>
        <w:r>
          <w:rPr>
            <w:rStyle w:val="Hyperlink"/>
          </w:rPr>
          <w:t>/europe-fit-digital-age/shaping-europe-digital-future_ro</w:t>
        </w:r>
      </w:hyperlink>
      <w:r w:rsidR="00740ED5">
        <w:t>.</w:t>
      </w:r>
    </w:p>
  </w:footnote>
  <w:footnote w:id="55">
    <w:p w14:paraId="340441FF" w14:textId="4683AD06" w:rsidR="008D2703" w:rsidRPr="0052674B" w:rsidRDefault="008D2703" w:rsidP="002F4EFE">
      <w:pPr>
        <w:pStyle w:val="FootnoteText"/>
        <w:spacing w:after="0"/>
      </w:pPr>
      <w:r>
        <w:rPr>
          <w:rStyle w:val="FootnoteReference"/>
        </w:rPr>
        <w:footnoteRef/>
      </w:r>
      <w:r w:rsidR="00740ED5">
        <w:tab/>
      </w:r>
      <w:r>
        <w:t>COM(</w:t>
      </w:r>
      <w:r w:rsidRPr="00AC058C">
        <w:t>2022</w:t>
      </w:r>
      <w:r>
        <w:t xml:space="preserve">) </w:t>
      </w:r>
      <w:r w:rsidRPr="00AC058C">
        <w:t>28</w:t>
      </w:r>
      <w:r w:rsidR="00740ED5">
        <w:t xml:space="preserve"> final.</w:t>
      </w:r>
    </w:p>
  </w:footnote>
  <w:footnote w:id="56">
    <w:p w14:paraId="09D064F9" w14:textId="257EF898" w:rsidR="008D2703" w:rsidRPr="00A17A1B" w:rsidRDefault="008D2703" w:rsidP="00D34A85">
      <w:pPr>
        <w:pStyle w:val="FootnoteText"/>
        <w:spacing w:after="0"/>
      </w:pPr>
      <w:r>
        <w:rPr>
          <w:rStyle w:val="FootnoteReference"/>
        </w:rPr>
        <w:footnoteRef/>
      </w:r>
      <w:r w:rsidR="00740ED5">
        <w:tab/>
      </w:r>
      <w:r>
        <w:t xml:space="preserve">În acest sens, se poate observa că, deși ponderea centrelor de date care utilizează tehnologia de tip cloud a reprezentat </w:t>
      </w:r>
      <w:r w:rsidRPr="00AC058C">
        <w:t>10</w:t>
      </w:r>
      <w:r>
        <w:t xml:space="preserve"> % din consumul de energie al centrelor de date în </w:t>
      </w:r>
      <w:r w:rsidRPr="00AC058C">
        <w:t>2010</w:t>
      </w:r>
      <w:r>
        <w:t xml:space="preserve">, aceasta a crescut la </w:t>
      </w:r>
      <w:r w:rsidRPr="00AC058C">
        <w:t>35</w:t>
      </w:r>
      <w:r>
        <w:t xml:space="preserve"> % în </w:t>
      </w:r>
      <w:r w:rsidRPr="00AC058C">
        <w:t>2018</w:t>
      </w:r>
      <w:r>
        <w:t xml:space="preserve"> și se preconizează că va crește la </w:t>
      </w:r>
      <w:r w:rsidRPr="00AC058C">
        <w:t>60</w:t>
      </w:r>
      <w:r>
        <w:t xml:space="preserve"> % în </w:t>
      </w:r>
      <w:r w:rsidRPr="00AC058C">
        <w:t>2025</w:t>
      </w:r>
      <w:r>
        <w:t xml:space="preserve">. A se vedea </w:t>
      </w:r>
      <w:hyperlink r:id="rId23" w:history="1">
        <w:r>
          <w:rPr>
            <w:rStyle w:val="Hyperlink"/>
          </w:rPr>
          <w:t>https://ec.europa.eu/newsroom/dae/document.cfm?doc_id=</w:t>
        </w:r>
        <w:r w:rsidRPr="00AC058C">
          <w:rPr>
            <w:rStyle w:val="Hyperlink"/>
          </w:rPr>
          <w:t>71330</w:t>
        </w:r>
      </w:hyperlink>
      <w:r>
        <w:t xml:space="preserve">. </w:t>
      </w:r>
    </w:p>
  </w:footnote>
  <w:footnote w:id="57">
    <w:p w14:paraId="1ABE54DD" w14:textId="72D83259" w:rsidR="008D2703" w:rsidRDefault="008D2703" w:rsidP="00BB2DB0">
      <w:pPr>
        <w:pStyle w:val="FootnoteText"/>
        <w:spacing w:after="0"/>
      </w:pPr>
      <w:r>
        <w:rPr>
          <w:rStyle w:val="FootnoteReference"/>
        </w:rPr>
        <w:footnoteRef/>
      </w:r>
      <w:r w:rsidR="00740ED5">
        <w:tab/>
      </w:r>
      <w:r>
        <w:t xml:space="preserve">Ponderea va ajunge la </w:t>
      </w:r>
      <w:r w:rsidRPr="00AC058C">
        <w:t>3</w:t>
      </w:r>
      <w:r>
        <w:t>,</w:t>
      </w:r>
      <w:r w:rsidRPr="00AC058C">
        <w:t>21</w:t>
      </w:r>
      <w:r>
        <w:t xml:space="preserve"> % până în </w:t>
      </w:r>
      <w:r w:rsidRPr="00AC058C">
        <w:t>2030</w:t>
      </w:r>
      <w:r>
        <w:t xml:space="preserve">, dacă dezvoltarea continuă pe traiectoria actuală: </w:t>
      </w:r>
      <w:hyperlink r:id="rId24" w:history="1">
        <w:r>
          <w:rPr>
            <w:rStyle w:val="Hyperlink"/>
          </w:rPr>
          <w:t>https://digital-strategy.ec.europa.eu/en/library/energy-efficient-cloud-computing-technologies-and-policies-eco-friendly-cloud-market</w:t>
        </w:r>
      </w:hyperlink>
      <w:r>
        <w:t xml:space="preserve">. </w:t>
      </w:r>
    </w:p>
  </w:footnote>
  <w:footnote w:id="58">
    <w:p w14:paraId="12CA62CD" w14:textId="4877C7A9" w:rsidR="008D2703" w:rsidRPr="00381BCD" w:rsidRDefault="008D2703" w:rsidP="00985FAC">
      <w:pPr>
        <w:pStyle w:val="FootnoteText"/>
        <w:spacing w:after="0"/>
      </w:pPr>
      <w:r>
        <w:rPr>
          <w:rStyle w:val="FootnoteReference"/>
        </w:rPr>
        <w:footnoteRef/>
      </w:r>
      <w:r w:rsidR="00740ED5">
        <w:tab/>
      </w:r>
      <w:r>
        <w:t>COM(</w:t>
      </w:r>
      <w:r w:rsidRPr="00AC058C">
        <w:t>2021</w:t>
      </w:r>
      <w:r>
        <w:t xml:space="preserve">) </w:t>
      </w:r>
      <w:r w:rsidRPr="00AC058C">
        <w:t>118</w:t>
      </w:r>
      <w:r>
        <w:t xml:space="preserve"> final</w:t>
      </w:r>
      <w:r w:rsidR="00740ED5">
        <w:t>.</w:t>
      </w:r>
    </w:p>
  </w:footnote>
  <w:footnote w:id="59">
    <w:p w14:paraId="793D1501" w14:textId="4F6333B9" w:rsidR="008D2703" w:rsidRPr="000627BC" w:rsidRDefault="008D2703" w:rsidP="00985FAC">
      <w:pPr>
        <w:pStyle w:val="FootnoteText"/>
        <w:spacing w:after="0"/>
      </w:pPr>
      <w:r>
        <w:rPr>
          <w:rStyle w:val="FootnoteReference"/>
        </w:rPr>
        <w:footnoteRef/>
      </w:r>
      <w:r w:rsidR="00740ED5">
        <w:tab/>
      </w:r>
      <w:r>
        <w:t>A se vedea https://ec.europa.eu/info/strategy/priorities-</w:t>
      </w:r>
      <w:r w:rsidRPr="00AC058C">
        <w:t>2019</w:t>
      </w:r>
      <w:r>
        <w:t>-</w:t>
      </w:r>
      <w:r w:rsidRPr="00AC058C">
        <w:t>2024</w:t>
      </w:r>
      <w:r>
        <w:t>/europe-fit-digital-age/shaping-europe-digital-future_ro.</w:t>
      </w:r>
    </w:p>
  </w:footnote>
  <w:footnote w:id="60">
    <w:p w14:paraId="375BD2F5" w14:textId="206C8A66" w:rsidR="008D2703" w:rsidRPr="006D04C6" w:rsidRDefault="008D2703" w:rsidP="00D34A85">
      <w:pPr>
        <w:pStyle w:val="FootnoteText"/>
        <w:spacing w:after="0"/>
      </w:pPr>
      <w:r>
        <w:rPr>
          <w:rStyle w:val="FootnoteReference"/>
        </w:rPr>
        <w:footnoteRef/>
      </w:r>
      <w:r w:rsidR="00740ED5">
        <w:tab/>
      </w:r>
      <w:r>
        <w:t xml:space="preserve">În special, prin intermediul Codului european de conduită privind eficiența energetică a centrelor de date, al unui număr important de studii și proiecte de cercetare, al Regulamentului (UE) </w:t>
      </w:r>
      <w:r w:rsidRPr="00AC058C">
        <w:t>2019</w:t>
      </w:r>
      <w:r>
        <w:t>/</w:t>
      </w:r>
      <w:r w:rsidRPr="00AC058C">
        <w:t>424</w:t>
      </w:r>
      <w:r>
        <w:t xml:space="preserve"> de stabilire a unor cerințe de proiectare ecologică pentru servere și produse pentru stocarea datelor, al taxonomiei UE pentru finanțarea durabilă, care include criterii pentru centrele de date, precum și al Actului european privind cipurile.</w:t>
      </w:r>
    </w:p>
  </w:footnote>
  <w:footnote w:id="61">
    <w:p w14:paraId="433B09F9" w14:textId="2CFE48D7" w:rsidR="008D2703" w:rsidRDefault="008D2703" w:rsidP="00D34A85">
      <w:pPr>
        <w:pStyle w:val="FootnoteText"/>
        <w:spacing w:after="0"/>
        <w:rPr>
          <w:rFonts w:eastAsia="Calibri"/>
        </w:rPr>
      </w:pPr>
      <w:r>
        <w:rPr>
          <w:rStyle w:val="FootnoteReference"/>
        </w:rPr>
        <w:footnoteRef/>
      </w:r>
      <w:r w:rsidR="00740ED5">
        <w:tab/>
      </w:r>
      <w:r>
        <w:rPr>
          <w:color w:val="000000" w:themeColor="text1"/>
        </w:rPr>
        <w:t xml:space="preserve">Directiva </w:t>
      </w:r>
      <w:r w:rsidRPr="00AC058C">
        <w:rPr>
          <w:color w:val="000000" w:themeColor="text1"/>
        </w:rPr>
        <w:t>2012</w:t>
      </w:r>
      <w:r>
        <w:rPr>
          <w:color w:val="000000" w:themeColor="text1"/>
        </w:rPr>
        <w:t>/</w:t>
      </w:r>
      <w:r w:rsidRPr="00AC058C">
        <w:rPr>
          <w:color w:val="000000" w:themeColor="text1"/>
        </w:rPr>
        <w:t>27</w:t>
      </w:r>
      <w:r>
        <w:rPr>
          <w:color w:val="000000" w:themeColor="text1"/>
        </w:rPr>
        <w:t xml:space="preserve">/UE privind eficiența energetică, </w:t>
      </w:r>
      <w:r>
        <w:t>articolul </w:t>
      </w:r>
      <w:r w:rsidRPr="00AC058C">
        <w:t>11</w:t>
      </w:r>
      <w:r>
        <w:t xml:space="preserve"> alineatul (</w:t>
      </w:r>
      <w:r w:rsidRPr="00AC058C">
        <w:t>10</w:t>
      </w:r>
      <w:r>
        <w:t>).</w:t>
      </w:r>
    </w:p>
  </w:footnote>
  <w:footnote w:id="62">
    <w:p w14:paraId="7CC8C363" w14:textId="77777777" w:rsidR="008D2703" w:rsidRPr="00D27212" w:rsidRDefault="008D2703" w:rsidP="00D34A85">
      <w:pPr>
        <w:pStyle w:val="FootnoteText"/>
        <w:spacing w:after="0"/>
      </w:pPr>
      <w:r>
        <w:rPr>
          <w:rStyle w:val="FootnoteReference"/>
        </w:rPr>
        <w:footnoteRef/>
      </w:r>
      <w:r>
        <w:t xml:space="preserve"> </w:t>
      </w:r>
      <w:r>
        <w:rPr>
          <w:color w:val="000000" w:themeColor="text1"/>
        </w:rPr>
        <w:t xml:space="preserve">Regulamentul (UE) </w:t>
      </w:r>
      <w:r w:rsidRPr="00AC058C">
        <w:rPr>
          <w:color w:val="000000" w:themeColor="text1"/>
        </w:rPr>
        <w:t>2019</w:t>
      </w:r>
      <w:r>
        <w:rPr>
          <w:color w:val="000000" w:themeColor="text1"/>
        </w:rPr>
        <w:t>/</w:t>
      </w:r>
      <w:r w:rsidRPr="00AC058C">
        <w:rPr>
          <w:color w:val="000000" w:themeColor="text1"/>
        </w:rPr>
        <w:t>424</w:t>
      </w:r>
      <w:r>
        <w:rPr>
          <w:color w:val="000000" w:themeColor="text1"/>
        </w:rPr>
        <w:t>.</w:t>
      </w:r>
    </w:p>
  </w:footnote>
  <w:footnote w:id="63">
    <w:p w14:paraId="61CC7C8C" w14:textId="7171CFC2" w:rsidR="008D2703" w:rsidRPr="00985FAC" w:rsidRDefault="008D2703" w:rsidP="00985FAC">
      <w:pPr>
        <w:pStyle w:val="FootnoteText"/>
        <w:spacing w:after="0"/>
      </w:pPr>
      <w:r>
        <w:rPr>
          <w:rStyle w:val="FootnoteReference"/>
        </w:rPr>
        <w:footnoteRef/>
      </w:r>
      <w:r w:rsidR="00740ED5">
        <w:tab/>
      </w:r>
      <w:r>
        <w:t xml:space="preserve">Pe baza datelor din iunie </w:t>
      </w:r>
      <w:r w:rsidRPr="00AC058C">
        <w:t>2022</w:t>
      </w:r>
      <w:r>
        <w:t>.</w:t>
      </w:r>
    </w:p>
  </w:footnote>
  <w:footnote w:id="64">
    <w:p w14:paraId="7CD30051" w14:textId="3A0EAB9A" w:rsidR="008D2703" w:rsidRDefault="008D2703" w:rsidP="006633CC">
      <w:pPr>
        <w:pStyle w:val="FootnoteText"/>
        <w:spacing w:after="0"/>
      </w:pPr>
      <w:r>
        <w:rPr>
          <w:rStyle w:val="FootnoteReference"/>
        </w:rPr>
        <w:footnoteRef/>
      </w:r>
      <w:r w:rsidR="00740ED5">
        <w:tab/>
      </w:r>
      <w:r>
        <w:t xml:space="preserve">A se vedea Indicele de consum de energie electrică Cambridge Bitcoin: </w:t>
      </w:r>
      <w:hyperlink r:id="rId25" w:history="1">
        <w:r>
          <w:rPr>
            <w:rStyle w:val="Hyperlink"/>
          </w:rPr>
          <w:t>https://ccaf.io/cbeci/index</w:t>
        </w:r>
      </w:hyperlink>
      <w:r w:rsidR="00740ED5">
        <w:rPr>
          <w:rStyle w:val="Hyperlink"/>
        </w:rPr>
        <w:t>.</w:t>
      </w:r>
    </w:p>
  </w:footnote>
  <w:footnote w:id="65">
    <w:p w14:paraId="45C00E20" w14:textId="496047AD" w:rsidR="008D2703" w:rsidRPr="008E304C" w:rsidRDefault="008D2703" w:rsidP="00970143">
      <w:pPr>
        <w:pStyle w:val="FootnoteText"/>
        <w:spacing w:after="0"/>
      </w:pPr>
      <w:r>
        <w:rPr>
          <w:rStyle w:val="FootnoteReference"/>
        </w:rPr>
        <w:footnoteRef/>
      </w:r>
      <w:r w:rsidR="00740ED5">
        <w:tab/>
      </w:r>
      <w:r>
        <w:t xml:space="preserve">A se vedea, de exemplu, </w:t>
      </w:r>
      <w:hyperlink r:id="rId26" w:anchor=":~:text=1.,which%20keeps%20a%20running%20estimate" w:history="1">
        <w:r>
          <w:rPr>
            <w:rStyle w:val="Hyperlink"/>
          </w:rPr>
          <w:t>https://www.bloomberg.com/professional/blog/why-bitcoins-energy-problem-is-so-hard-to-fix-quicktake/#:~:text=</w:t>
        </w:r>
        <w:r w:rsidRPr="00AC058C">
          <w:rPr>
            <w:rStyle w:val="Hyperlink"/>
          </w:rPr>
          <w:t>1</w:t>
        </w:r>
        <w:r>
          <w:rPr>
            <w:rStyle w:val="Hyperlink"/>
          </w:rPr>
          <w:t>.,which%</w:t>
        </w:r>
        <w:r w:rsidRPr="00AC058C">
          <w:rPr>
            <w:rStyle w:val="Hyperlink"/>
          </w:rPr>
          <w:t>20</w:t>
        </w:r>
        <w:r>
          <w:rPr>
            <w:rStyle w:val="Hyperlink"/>
          </w:rPr>
          <w:t>keeps%</w:t>
        </w:r>
        <w:r w:rsidRPr="00AC058C">
          <w:rPr>
            <w:rStyle w:val="Hyperlink"/>
          </w:rPr>
          <w:t>20</w:t>
        </w:r>
        <w:r>
          <w:rPr>
            <w:rStyle w:val="Hyperlink"/>
          </w:rPr>
          <w:t>a%</w:t>
        </w:r>
        <w:r w:rsidRPr="00AC058C">
          <w:rPr>
            <w:rStyle w:val="Hyperlink"/>
          </w:rPr>
          <w:t>20</w:t>
        </w:r>
        <w:r>
          <w:rPr>
            <w:rStyle w:val="Hyperlink"/>
          </w:rPr>
          <w:t>running%</w:t>
        </w:r>
        <w:r w:rsidRPr="00AC058C">
          <w:rPr>
            <w:rStyle w:val="Hyperlink"/>
          </w:rPr>
          <w:t>20</w:t>
        </w:r>
        <w:r>
          <w:rPr>
            <w:rStyle w:val="Hyperlink"/>
          </w:rPr>
          <w:t>estimate</w:t>
        </w:r>
      </w:hyperlink>
      <w:r>
        <w:t xml:space="preserve">. Operarea mecanismelor moderne de consens privind tehnologia blockchain necesită mult mai puțină energie decât cea utilizată în Bitcoin (de exemplu, mecanismul de consens „proof-of-stake”). </w:t>
      </w:r>
    </w:p>
  </w:footnote>
  <w:footnote w:id="66">
    <w:p w14:paraId="73EAAE46" w14:textId="65056EB3" w:rsidR="008D2703" w:rsidRPr="00970143" w:rsidRDefault="008D2703" w:rsidP="0031041E">
      <w:pPr>
        <w:pStyle w:val="FootnoteText"/>
        <w:spacing w:after="0"/>
      </w:pPr>
      <w:r>
        <w:rPr>
          <w:rStyle w:val="FootnoteReference"/>
        </w:rPr>
        <w:footnoteRef/>
      </w:r>
      <w:r w:rsidR="00740ED5">
        <w:tab/>
      </w:r>
      <w:r>
        <w:t xml:space="preserve">Textul final al MiCA a fost convenit de colegiuitori la </w:t>
      </w:r>
      <w:r w:rsidRPr="00AC058C">
        <w:t>30</w:t>
      </w:r>
      <w:r>
        <w:t xml:space="preserve"> iunie </w:t>
      </w:r>
      <w:r w:rsidRPr="00AC058C">
        <w:t>2022</w:t>
      </w:r>
      <w:r>
        <w:t>.</w:t>
      </w:r>
    </w:p>
  </w:footnote>
  <w:footnote w:id="67">
    <w:p w14:paraId="0D2CACAB" w14:textId="460E1CFA" w:rsidR="008D2703" w:rsidRPr="0072669C" w:rsidRDefault="008D2703" w:rsidP="0072669C">
      <w:pPr>
        <w:pStyle w:val="FootnoteText"/>
        <w:spacing w:after="0"/>
      </w:pPr>
      <w:r>
        <w:rPr>
          <w:rStyle w:val="FootnoteReference"/>
        </w:rPr>
        <w:footnoteRef/>
      </w:r>
      <w:r w:rsidR="00740ED5">
        <w:tab/>
      </w:r>
      <w:r>
        <w:t xml:space="preserve">Tabloul de bord privind redresarea și reziliența. Analiză tematică: Serviciile publice digitale, Comisia Europeană, decembrie </w:t>
      </w:r>
      <w:r w:rsidRPr="00AC058C">
        <w:t>2021</w:t>
      </w:r>
      <w:r>
        <w:t xml:space="preserve">. </w:t>
      </w:r>
    </w:p>
  </w:footnote>
  <w:footnote w:id="68">
    <w:p w14:paraId="05E8CBB4" w14:textId="46043A6F" w:rsidR="008D2703" w:rsidRPr="00485D34" w:rsidRDefault="008D2703" w:rsidP="00240F0C">
      <w:pPr>
        <w:pStyle w:val="FootnoteText"/>
        <w:spacing w:after="0"/>
      </w:pPr>
      <w:r>
        <w:rPr>
          <w:rStyle w:val="FootnoteReference"/>
          <w:rFonts w:eastAsiaTheme="majorEastAsia"/>
        </w:rPr>
        <w:footnoteRef/>
      </w:r>
      <w:r w:rsidR="00740ED5">
        <w:tab/>
      </w:r>
      <w:r>
        <w:t xml:space="preserve">Propunerea Comisiei de modificare a Regulamentului (UE) </w:t>
      </w:r>
      <w:r w:rsidRPr="00AC058C">
        <w:t>2021</w:t>
      </w:r>
      <w:r>
        <w:t>/</w:t>
      </w:r>
      <w:r w:rsidRPr="00AC058C">
        <w:t>241</w:t>
      </w:r>
      <w:r>
        <w:t xml:space="preserve"> în ceea ce privește capitolele privind REPowerEU din planurile de redresare și reziliență și orientările privind planurile de redresare și reziliență în contextul REPowerEU, COM(</w:t>
      </w:r>
      <w:r w:rsidRPr="00AC058C">
        <w:t>2022</w:t>
      </w:r>
      <w:r>
        <w:t xml:space="preserve">) </w:t>
      </w:r>
      <w:r w:rsidRPr="00AC058C">
        <w:t>231</w:t>
      </w:r>
      <w:r>
        <w:t xml:space="preserve"> final.</w:t>
      </w:r>
    </w:p>
  </w:footnote>
  <w:footnote w:id="69">
    <w:p w14:paraId="2AB0B5D9" w14:textId="346B8663" w:rsidR="008D2703" w:rsidRDefault="008D2703" w:rsidP="00D34A85">
      <w:pPr>
        <w:pStyle w:val="FootnoteText"/>
        <w:spacing w:after="0"/>
      </w:pPr>
      <w:r>
        <w:rPr>
          <w:rStyle w:val="FootnoteReference"/>
        </w:rPr>
        <w:footnoteRef/>
      </w:r>
      <w:r w:rsidR="00740ED5">
        <w:tab/>
      </w:r>
      <w:r w:rsidRPr="00AC058C">
        <w:t>34</w:t>
      </w:r>
      <w:r>
        <w:t xml:space="preserve"> dintre cele </w:t>
      </w:r>
      <w:r w:rsidRPr="00AC058C">
        <w:t>136</w:t>
      </w:r>
      <w:r>
        <w:t xml:space="preserve"> de centre europene de inovare digitală care vor fi cofinanțate prin intermediul programului Europa digitală și care își vor începe activitatea în septembrie </w:t>
      </w:r>
      <w:r w:rsidRPr="00AC058C">
        <w:t>2022</w:t>
      </w:r>
      <w:r>
        <w:t xml:space="preserve"> se vor concentra (dar nu exclusiv) pe digitalizarea sectorului energetic. Numărul centrelor poate crește în </w:t>
      </w:r>
      <w:r w:rsidRPr="00AC058C">
        <w:t>2023</w:t>
      </w:r>
      <w:r>
        <w:t>.</w:t>
      </w:r>
    </w:p>
  </w:footnote>
  <w:footnote w:id="70">
    <w:p w14:paraId="583D0E5D" w14:textId="12133618" w:rsidR="008D2703" w:rsidRDefault="008D2703" w:rsidP="009259F5">
      <w:pPr>
        <w:pStyle w:val="FootnoteText"/>
        <w:spacing w:after="0"/>
      </w:pPr>
      <w:r>
        <w:rPr>
          <w:rStyle w:val="FootnoteReference"/>
        </w:rPr>
        <w:footnoteRef/>
      </w:r>
      <w:r w:rsidR="00740ED5">
        <w:tab/>
      </w:r>
      <w:r>
        <w:rPr>
          <w:color w:val="000000" w:themeColor="text1"/>
        </w:rPr>
        <w:t xml:space="preserve">Și anume, Parteneriatul european pentru inovare tehnologică – Rețele electrice inteligente pentru tranziția energetică (ETIP SNET), Fondul de cofinanțare al consorțiului Spațiul european de cercetare Net Smart Grids Plus (ERA-Net Smart Grids Plus) și alianța europeană de cercetare în domeniul energetic. </w:t>
      </w:r>
      <w:r>
        <w:t>În plus, platforma se va baza, de asemenea, pe activitățile Parteneriatului european pentru tranziția către o energie curată din cadrul programului Orizont Europa, clusterul climă, energie și mobilitate.</w:t>
      </w:r>
    </w:p>
  </w:footnote>
  <w:footnote w:id="71">
    <w:p w14:paraId="395CD908" w14:textId="03ABC3D1" w:rsidR="008D2703" w:rsidRPr="006861BB" w:rsidRDefault="008D2703" w:rsidP="00232A7F">
      <w:pPr>
        <w:pStyle w:val="FootnoteText"/>
        <w:spacing w:after="0"/>
      </w:pPr>
      <w:r>
        <w:rPr>
          <w:rStyle w:val="FootnoteReference"/>
        </w:rPr>
        <w:footnoteRef/>
      </w:r>
      <w:r w:rsidR="00740ED5">
        <w:tab/>
      </w:r>
      <w:r>
        <w:t>Coaliția pentru durabilitatea mediului digital (CODES) www.sparkblue.org/CODES.</w:t>
      </w:r>
    </w:p>
  </w:footnote>
  <w:footnote w:id="72">
    <w:p w14:paraId="39FEDA2E" w14:textId="30355265" w:rsidR="008D2703" w:rsidRPr="00232A7F" w:rsidRDefault="008D2703" w:rsidP="00D34A85">
      <w:pPr>
        <w:pStyle w:val="FootnoteText"/>
        <w:spacing w:after="0"/>
      </w:pPr>
      <w:r>
        <w:rPr>
          <w:rStyle w:val="FootnoteReference"/>
        </w:rPr>
        <w:footnoteRef/>
      </w:r>
      <w:r w:rsidR="00740ED5">
        <w:tab/>
      </w:r>
      <w:hyperlink r:id="rId27" w:history="1">
        <w:r>
          <w:rPr>
            <w:rStyle w:val="Hyperlink"/>
          </w:rPr>
          <w:t>Platforma la nivel înalt UE-India privind rețelele electrice inteligente – Florence School of Regulation (eui.eu)</w:t>
        </w:r>
      </w:hyperlink>
      <w:r>
        <w:t>.</w:t>
      </w:r>
    </w:p>
  </w:footnote>
  <w:footnote w:id="73">
    <w:p w14:paraId="682987DD" w14:textId="26156E8D" w:rsidR="008D2703" w:rsidRDefault="008D2703" w:rsidP="00D34A85">
      <w:pPr>
        <w:pStyle w:val="FootnoteText"/>
        <w:spacing w:after="0"/>
      </w:pPr>
      <w:r>
        <w:rPr>
          <w:rStyle w:val="FootnoteReference"/>
        </w:rPr>
        <w:footnoteRef/>
      </w:r>
      <w:r w:rsidR="00740ED5">
        <w:tab/>
      </w:r>
      <w:r>
        <w:t xml:space="preserve">Centrul european de competențe în domeniul industrial, tehnologic și de cercetare în materie de securitate cibernetică: </w:t>
      </w:r>
      <w:hyperlink r:id="rId28" w:tgtFrame="_blank" w:history="1">
        <w:r>
          <w:rPr>
            <w:rStyle w:val="Hyperlink"/>
          </w:rPr>
          <w:t>https://digital-strategy.ec.europa.eu/en/policies/cybersecurity-competence-centre</w:t>
        </w:r>
      </w:hyperlink>
      <w:r w:rsidR="00AC058C">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54AA5" w14:textId="77777777" w:rsidR="00061662" w:rsidRPr="00061662" w:rsidRDefault="00061662" w:rsidP="000616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F05D7" w14:textId="77777777" w:rsidR="00061662" w:rsidRPr="00061662" w:rsidRDefault="00061662" w:rsidP="0006166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99B8B" w14:textId="77777777" w:rsidR="00061662" w:rsidRPr="00061662" w:rsidRDefault="00061662" w:rsidP="0006166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213F1" w14:textId="77777777" w:rsidR="008D2703" w:rsidRDefault="008D27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5C4B2" w14:textId="77777777" w:rsidR="008D2703" w:rsidRDefault="008D270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8F9C0" w14:textId="77777777" w:rsidR="008D2703" w:rsidRDefault="008D27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D6B75"/>
    <w:multiLevelType w:val="multilevel"/>
    <w:tmpl w:val="8C288212"/>
    <w:lvl w:ilvl="0">
      <w:start w:val="6"/>
      <w:numFmt w:val="decimal"/>
      <w:lvlText w:val="%1."/>
      <w:lvlJc w:val="left"/>
      <w:pPr>
        <w:tabs>
          <w:tab w:val="num" w:pos="720"/>
        </w:tabs>
        <w:ind w:left="720" w:hanging="360"/>
      </w:pPr>
      <w:rPr>
        <w:b/>
        <w:bCs/>
      </w:rPr>
    </w:lvl>
    <w:lvl w:ilvl="1">
      <w:numFmt w:val="bullet"/>
      <w:lvlText w:val="•"/>
      <w:lvlJc w:val="left"/>
      <w:pPr>
        <w:ind w:left="1880" w:hanging="80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500A18"/>
    <w:multiLevelType w:val="multilevel"/>
    <w:tmpl w:val="DE723F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CA46BF"/>
    <w:multiLevelType w:val="hybridMultilevel"/>
    <w:tmpl w:val="F66E6AF6"/>
    <w:lvl w:ilvl="0" w:tplc="79C854DE">
      <w:start w:val="1"/>
      <w:numFmt w:val="lowerRoman"/>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32310F4"/>
    <w:multiLevelType w:val="hybridMultilevel"/>
    <w:tmpl w:val="28D286E2"/>
    <w:lvl w:ilvl="0" w:tplc="1BDAED00">
      <w:start w:val="1"/>
      <w:numFmt w:val="bullet"/>
      <w:lvlText w:val=""/>
      <w:lvlJc w:val="left"/>
      <w:pPr>
        <w:ind w:left="720" w:hanging="360"/>
      </w:pPr>
      <w:rPr>
        <w:rFonts w:ascii="Symbol" w:hAnsi="Symbol" w:hint="default"/>
      </w:rPr>
    </w:lvl>
    <w:lvl w:ilvl="1" w:tplc="D19615F4">
      <w:start w:val="1"/>
      <w:numFmt w:val="bullet"/>
      <w:lvlText w:val="o"/>
      <w:lvlJc w:val="left"/>
      <w:pPr>
        <w:ind w:left="1440" w:hanging="360"/>
      </w:pPr>
      <w:rPr>
        <w:rFonts w:ascii="Courier New" w:hAnsi="Courier New" w:hint="default"/>
      </w:rPr>
    </w:lvl>
    <w:lvl w:ilvl="2" w:tplc="8132D2F6">
      <w:start w:val="1"/>
      <w:numFmt w:val="bullet"/>
      <w:lvlText w:val=""/>
      <w:lvlJc w:val="left"/>
      <w:pPr>
        <w:ind w:left="2160" w:hanging="360"/>
      </w:pPr>
      <w:rPr>
        <w:rFonts w:ascii="Wingdings" w:hAnsi="Wingdings" w:hint="default"/>
      </w:rPr>
    </w:lvl>
    <w:lvl w:ilvl="3" w:tplc="A7AABE84">
      <w:start w:val="1"/>
      <w:numFmt w:val="bullet"/>
      <w:lvlText w:val=""/>
      <w:lvlJc w:val="left"/>
      <w:pPr>
        <w:ind w:left="2880" w:hanging="360"/>
      </w:pPr>
      <w:rPr>
        <w:rFonts w:ascii="Symbol" w:hAnsi="Symbol" w:hint="default"/>
      </w:rPr>
    </w:lvl>
    <w:lvl w:ilvl="4" w:tplc="74B4B5E0">
      <w:start w:val="1"/>
      <w:numFmt w:val="bullet"/>
      <w:lvlText w:val="o"/>
      <w:lvlJc w:val="left"/>
      <w:pPr>
        <w:ind w:left="3600" w:hanging="360"/>
      </w:pPr>
      <w:rPr>
        <w:rFonts w:ascii="Courier New" w:hAnsi="Courier New" w:hint="default"/>
      </w:rPr>
    </w:lvl>
    <w:lvl w:ilvl="5" w:tplc="CD6079D6">
      <w:start w:val="1"/>
      <w:numFmt w:val="bullet"/>
      <w:lvlText w:val=""/>
      <w:lvlJc w:val="left"/>
      <w:pPr>
        <w:ind w:left="4320" w:hanging="360"/>
      </w:pPr>
      <w:rPr>
        <w:rFonts w:ascii="Wingdings" w:hAnsi="Wingdings" w:hint="default"/>
      </w:rPr>
    </w:lvl>
    <w:lvl w:ilvl="6" w:tplc="91223B82">
      <w:start w:val="1"/>
      <w:numFmt w:val="bullet"/>
      <w:lvlText w:val=""/>
      <w:lvlJc w:val="left"/>
      <w:pPr>
        <w:ind w:left="5040" w:hanging="360"/>
      </w:pPr>
      <w:rPr>
        <w:rFonts w:ascii="Symbol" w:hAnsi="Symbol" w:hint="default"/>
      </w:rPr>
    </w:lvl>
    <w:lvl w:ilvl="7" w:tplc="49407938">
      <w:start w:val="1"/>
      <w:numFmt w:val="bullet"/>
      <w:lvlText w:val="o"/>
      <w:lvlJc w:val="left"/>
      <w:pPr>
        <w:ind w:left="5760" w:hanging="360"/>
      </w:pPr>
      <w:rPr>
        <w:rFonts w:ascii="Courier New" w:hAnsi="Courier New" w:hint="default"/>
      </w:rPr>
    </w:lvl>
    <w:lvl w:ilvl="8" w:tplc="D0A60B9E">
      <w:start w:val="1"/>
      <w:numFmt w:val="bullet"/>
      <w:lvlText w:val=""/>
      <w:lvlJc w:val="left"/>
      <w:pPr>
        <w:ind w:left="6480" w:hanging="360"/>
      </w:pPr>
      <w:rPr>
        <w:rFonts w:ascii="Wingdings" w:hAnsi="Wingdings" w:hint="default"/>
      </w:rPr>
    </w:lvl>
  </w:abstractNum>
  <w:abstractNum w:abstractNumId="4" w15:restartNumberingAfterBreak="0">
    <w:nsid w:val="036747C9"/>
    <w:multiLevelType w:val="hybridMultilevel"/>
    <w:tmpl w:val="6332EA46"/>
    <w:lvl w:ilvl="0" w:tplc="37EE1730">
      <w:start w:val="1"/>
      <w:numFmt w:val="decimal"/>
      <w:lvlText w:val="%1."/>
      <w:lvlJc w:val="left"/>
      <w:pPr>
        <w:ind w:left="720" w:hanging="360"/>
      </w:pPr>
    </w:lvl>
    <w:lvl w:ilvl="1" w:tplc="ED64D98C">
      <w:start w:val="1"/>
      <w:numFmt w:val="lowerLetter"/>
      <w:lvlText w:val="%2."/>
      <w:lvlJc w:val="left"/>
      <w:pPr>
        <w:ind w:left="1440" w:hanging="360"/>
      </w:pPr>
    </w:lvl>
    <w:lvl w:ilvl="2" w:tplc="4F56232A">
      <w:start w:val="1"/>
      <w:numFmt w:val="lowerRoman"/>
      <w:lvlText w:val="%3."/>
      <w:lvlJc w:val="right"/>
      <w:pPr>
        <w:ind w:left="2160" w:hanging="180"/>
      </w:pPr>
    </w:lvl>
    <w:lvl w:ilvl="3" w:tplc="54220C26">
      <w:start w:val="1"/>
      <w:numFmt w:val="decimal"/>
      <w:lvlText w:val="%4."/>
      <w:lvlJc w:val="left"/>
      <w:pPr>
        <w:ind w:left="2880" w:hanging="360"/>
      </w:pPr>
    </w:lvl>
    <w:lvl w:ilvl="4" w:tplc="7F7A04F2">
      <w:start w:val="1"/>
      <w:numFmt w:val="lowerLetter"/>
      <w:lvlText w:val="%5."/>
      <w:lvlJc w:val="left"/>
      <w:pPr>
        <w:ind w:left="3600" w:hanging="360"/>
      </w:pPr>
    </w:lvl>
    <w:lvl w:ilvl="5" w:tplc="2A36E098">
      <w:start w:val="1"/>
      <w:numFmt w:val="lowerRoman"/>
      <w:lvlText w:val="%6."/>
      <w:lvlJc w:val="right"/>
      <w:pPr>
        <w:ind w:left="4320" w:hanging="180"/>
      </w:pPr>
    </w:lvl>
    <w:lvl w:ilvl="6" w:tplc="ED2064B2">
      <w:start w:val="1"/>
      <w:numFmt w:val="decimal"/>
      <w:lvlText w:val="%7."/>
      <w:lvlJc w:val="left"/>
      <w:pPr>
        <w:ind w:left="5040" w:hanging="360"/>
      </w:pPr>
    </w:lvl>
    <w:lvl w:ilvl="7" w:tplc="7464B690">
      <w:start w:val="1"/>
      <w:numFmt w:val="lowerLetter"/>
      <w:lvlText w:val="%8."/>
      <w:lvlJc w:val="left"/>
      <w:pPr>
        <w:ind w:left="5760" w:hanging="360"/>
      </w:pPr>
    </w:lvl>
    <w:lvl w:ilvl="8" w:tplc="38E869C2">
      <w:start w:val="1"/>
      <w:numFmt w:val="lowerRoman"/>
      <w:lvlText w:val="%9."/>
      <w:lvlJc w:val="right"/>
      <w:pPr>
        <w:ind w:left="6480" w:hanging="180"/>
      </w:pPr>
    </w:lvl>
  </w:abstractNum>
  <w:abstractNum w:abstractNumId="5" w15:restartNumberingAfterBreak="0">
    <w:nsid w:val="03748F24"/>
    <w:multiLevelType w:val="hybridMultilevel"/>
    <w:tmpl w:val="4050A65C"/>
    <w:lvl w:ilvl="0" w:tplc="84DC8F02">
      <w:start w:val="1"/>
      <w:numFmt w:val="bullet"/>
      <w:lvlText w:val="·"/>
      <w:lvlJc w:val="left"/>
      <w:pPr>
        <w:ind w:left="720" w:hanging="360"/>
      </w:pPr>
      <w:rPr>
        <w:rFonts w:ascii="Symbol" w:hAnsi="Symbol" w:hint="default"/>
      </w:rPr>
    </w:lvl>
    <w:lvl w:ilvl="1" w:tplc="C73E36C6">
      <w:start w:val="1"/>
      <w:numFmt w:val="bullet"/>
      <w:lvlText w:val="o"/>
      <w:lvlJc w:val="left"/>
      <w:pPr>
        <w:ind w:left="1440" w:hanging="360"/>
      </w:pPr>
      <w:rPr>
        <w:rFonts w:ascii="Courier New" w:hAnsi="Courier New" w:hint="default"/>
      </w:rPr>
    </w:lvl>
    <w:lvl w:ilvl="2" w:tplc="A4E095A4">
      <w:start w:val="1"/>
      <w:numFmt w:val="bullet"/>
      <w:lvlText w:val=""/>
      <w:lvlJc w:val="left"/>
      <w:pPr>
        <w:ind w:left="2160" w:hanging="360"/>
      </w:pPr>
      <w:rPr>
        <w:rFonts w:ascii="Wingdings" w:hAnsi="Wingdings" w:hint="default"/>
      </w:rPr>
    </w:lvl>
    <w:lvl w:ilvl="3" w:tplc="41CA34BA">
      <w:start w:val="1"/>
      <w:numFmt w:val="bullet"/>
      <w:lvlText w:val=""/>
      <w:lvlJc w:val="left"/>
      <w:pPr>
        <w:ind w:left="2880" w:hanging="360"/>
      </w:pPr>
      <w:rPr>
        <w:rFonts w:ascii="Symbol" w:hAnsi="Symbol" w:hint="default"/>
      </w:rPr>
    </w:lvl>
    <w:lvl w:ilvl="4" w:tplc="20640D68">
      <w:start w:val="1"/>
      <w:numFmt w:val="bullet"/>
      <w:lvlText w:val="o"/>
      <w:lvlJc w:val="left"/>
      <w:pPr>
        <w:ind w:left="3600" w:hanging="360"/>
      </w:pPr>
      <w:rPr>
        <w:rFonts w:ascii="Courier New" w:hAnsi="Courier New" w:hint="default"/>
      </w:rPr>
    </w:lvl>
    <w:lvl w:ilvl="5" w:tplc="A1E8AAE0">
      <w:start w:val="1"/>
      <w:numFmt w:val="bullet"/>
      <w:lvlText w:val=""/>
      <w:lvlJc w:val="left"/>
      <w:pPr>
        <w:ind w:left="4320" w:hanging="360"/>
      </w:pPr>
      <w:rPr>
        <w:rFonts w:ascii="Wingdings" w:hAnsi="Wingdings" w:hint="default"/>
      </w:rPr>
    </w:lvl>
    <w:lvl w:ilvl="6" w:tplc="E9E47200">
      <w:start w:val="1"/>
      <w:numFmt w:val="bullet"/>
      <w:lvlText w:val=""/>
      <w:lvlJc w:val="left"/>
      <w:pPr>
        <w:ind w:left="5040" w:hanging="360"/>
      </w:pPr>
      <w:rPr>
        <w:rFonts w:ascii="Symbol" w:hAnsi="Symbol" w:hint="default"/>
      </w:rPr>
    </w:lvl>
    <w:lvl w:ilvl="7" w:tplc="03B800DA">
      <w:start w:val="1"/>
      <w:numFmt w:val="bullet"/>
      <w:lvlText w:val="o"/>
      <w:lvlJc w:val="left"/>
      <w:pPr>
        <w:ind w:left="5760" w:hanging="360"/>
      </w:pPr>
      <w:rPr>
        <w:rFonts w:ascii="Courier New" w:hAnsi="Courier New" w:hint="default"/>
      </w:rPr>
    </w:lvl>
    <w:lvl w:ilvl="8" w:tplc="2AA8EDA6">
      <w:start w:val="1"/>
      <w:numFmt w:val="bullet"/>
      <w:lvlText w:val=""/>
      <w:lvlJc w:val="left"/>
      <w:pPr>
        <w:ind w:left="6480" w:hanging="360"/>
      </w:pPr>
      <w:rPr>
        <w:rFonts w:ascii="Wingdings" w:hAnsi="Wingdings" w:hint="default"/>
      </w:rPr>
    </w:lvl>
  </w:abstractNum>
  <w:abstractNum w:abstractNumId="6" w15:restartNumberingAfterBreak="0">
    <w:nsid w:val="042B0C29"/>
    <w:multiLevelType w:val="multilevel"/>
    <w:tmpl w:val="75363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4AD0DD1"/>
    <w:multiLevelType w:val="hybridMultilevel"/>
    <w:tmpl w:val="744632D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8" w15:restartNumberingAfterBreak="0">
    <w:nsid w:val="05EE26DE"/>
    <w:multiLevelType w:val="multilevel"/>
    <w:tmpl w:val="A5346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6121204"/>
    <w:multiLevelType w:val="hybridMultilevel"/>
    <w:tmpl w:val="179C2750"/>
    <w:lvl w:ilvl="0" w:tplc="EDD6E9D4">
      <w:start w:val="5"/>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78475F8"/>
    <w:multiLevelType w:val="multilevel"/>
    <w:tmpl w:val="0BDA1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7933B50"/>
    <w:multiLevelType w:val="multilevel"/>
    <w:tmpl w:val="F0989774"/>
    <w:lvl w:ilvl="0">
      <w:start w:val="4"/>
      <w:numFmt w:val="decimal"/>
      <w:lvlText w:val="%1."/>
      <w:lvlJc w:val="left"/>
      <w:pPr>
        <w:tabs>
          <w:tab w:val="num" w:pos="720"/>
        </w:tabs>
        <w:ind w:left="720" w:hanging="360"/>
      </w:pPr>
      <w:rPr>
        <w:b/>
        <w:bCs/>
      </w:rPr>
    </w:lvl>
    <w:lvl w:ilvl="1">
      <w:numFmt w:val="bullet"/>
      <w:lvlText w:val="-"/>
      <w:lvlJc w:val="left"/>
      <w:pPr>
        <w:ind w:left="1440" w:hanging="360"/>
      </w:pPr>
      <w:rPr>
        <w:rFonts w:ascii="Times New Roman" w:eastAsia="Times New Roman" w:hAnsi="Times New Roman" w:cs="Times New Roman" w:hint="default"/>
        <w:i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7A03C43"/>
    <w:multiLevelType w:val="hybridMultilevel"/>
    <w:tmpl w:val="46161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838C2F2"/>
    <w:multiLevelType w:val="hybridMultilevel"/>
    <w:tmpl w:val="1402E0E6"/>
    <w:lvl w:ilvl="0" w:tplc="6B089406">
      <w:start w:val="1"/>
      <w:numFmt w:val="bullet"/>
      <w:lvlText w:val=""/>
      <w:lvlJc w:val="left"/>
      <w:pPr>
        <w:ind w:left="720" w:hanging="360"/>
      </w:pPr>
      <w:rPr>
        <w:rFonts w:ascii="Symbol" w:hAnsi="Symbol" w:hint="default"/>
      </w:rPr>
    </w:lvl>
    <w:lvl w:ilvl="1" w:tplc="31609452">
      <w:start w:val="1"/>
      <w:numFmt w:val="bullet"/>
      <w:lvlText w:val="o"/>
      <w:lvlJc w:val="left"/>
      <w:pPr>
        <w:ind w:left="1440" w:hanging="360"/>
      </w:pPr>
      <w:rPr>
        <w:rFonts w:ascii="Courier New" w:hAnsi="Courier New" w:hint="default"/>
      </w:rPr>
    </w:lvl>
    <w:lvl w:ilvl="2" w:tplc="9956280C">
      <w:start w:val="1"/>
      <w:numFmt w:val="bullet"/>
      <w:lvlText w:val=""/>
      <w:lvlJc w:val="left"/>
      <w:pPr>
        <w:ind w:left="2160" w:hanging="360"/>
      </w:pPr>
      <w:rPr>
        <w:rFonts w:ascii="Wingdings" w:hAnsi="Wingdings" w:hint="default"/>
      </w:rPr>
    </w:lvl>
    <w:lvl w:ilvl="3" w:tplc="C7021662">
      <w:start w:val="1"/>
      <w:numFmt w:val="bullet"/>
      <w:lvlText w:val=""/>
      <w:lvlJc w:val="left"/>
      <w:pPr>
        <w:ind w:left="2880" w:hanging="360"/>
      </w:pPr>
      <w:rPr>
        <w:rFonts w:ascii="Symbol" w:hAnsi="Symbol" w:hint="default"/>
      </w:rPr>
    </w:lvl>
    <w:lvl w:ilvl="4" w:tplc="01C66E6E">
      <w:start w:val="1"/>
      <w:numFmt w:val="bullet"/>
      <w:lvlText w:val="o"/>
      <w:lvlJc w:val="left"/>
      <w:pPr>
        <w:ind w:left="3600" w:hanging="360"/>
      </w:pPr>
      <w:rPr>
        <w:rFonts w:ascii="Courier New" w:hAnsi="Courier New" w:hint="default"/>
      </w:rPr>
    </w:lvl>
    <w:lvl w:ilvl="5" w:tplc="E6A0252A">
      <w:start w:val="1"/>
      <w:numFmt w:val="bullet"/>
      <w:lvlText w:val=""/>
      <w:lvlJc w:val="left"/>
      <w:pPr>
        <w:ind w:left="4320" w:hanging="360"/>
      </w:pPr>
      <w:rPr>
        <w:rFonts w:ascii="Wingdings" w:hAnsi="Wingdings" w:hint="default"/>
      </w:rPr>
    </w:lvl>
    <w:lvl w:ilvl="6" w:tplc="3AF8A34C">
      <w:start w:val="1"/>
      <w:numFmt w:val="bullet"/>
      <w:lvlText w:val=""/>
      <w:lvlJc w:val="left"/>
      <w:pPr>
        <w:ind w:left="5040" w:hanging="360"/>
      </w:pPr>
      <w:rPr>
        <w:rFonts w:ascii="Symbol" w:hAnsi="Symbol" w:hint="default"/>
      </w:rPr>
    </w:lvl>
    <w:lvl w:ilvl="7" w:tplc="4C0CF184">
      <w:start w:val="1"/>
      <w:numFmt w:val="bullet"/>
      <w:lvlText w:val="o"/>
      <w:lvlJc w:val="left"/>
      <w:pPr>
        <w:ind w:left="5760" w:hanging="360"/>
      </w:pPr>
      <w:rPr>
        <w:rFonts w:ascii="Courier New" w:hAnsi="Courier New" w:hint="default"/>
      </w:rPr>
    </w:lvl>
    <w:lvl w:ilvl="8" w:tplc="0DF6F1D0">
      <w:start w:val="1"/>
      <w:numFmt w:val="bullet"/>
      <w:lvlText w:val=""/>
      <w:lvlJc w:val="left"/>
      <w:pPr>
        <w:ind w:left="6480" w:hanging="360"/>
      </w:pPr>
      <w:rPr>
        <w:rFonts w:ascii="Wingdings" w:hAnsi="Wingdings" w:hint="default"/>
      </w:rPr>
    </w:lvl>
  </w:abstractNum>
  <w:abstractNum w:abstractNumId="14" w15:restartNumberingAfterBreak="0">
    <w:nsid w:val="088F1188"/>
    <w:multiLevelType w:val="multilevel"/>
    <w:tmpl w:val="9E908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8BB0FF8"/>
    <w:multiLevelType w:val="hybridMultilevel"/>
    <w:tmpl w:val="CF768A08"/>
    <w:lvl w:ilvl="0" w:tplc="42E80C3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9041926"/>
    <w:multiLevelType w:val="hybridMultilevel"/>
    <w:tmpl w:val="0F42B374"/>
    <w:lvl w:ilvl="0" w:tplc="FFFFFFFF">
      <w:start w:val="1"/>
      <w:numFmt w:val="lowerRoman"/>
      <w:lvlText w:val="%1."/>
      <w:lvlJc w:val="right"/>
      <w:pPr>
        <w:ind w:left="720" w:hanging="360"/>
      </w:pPr>
    </w:lvl>
    <w:lvl w:ilvl="1" w:tplc="ABA6AE5A">
      <w:start w:val="1"/>
      <w:numFmt w:val="lowerLetter"/>
      <w:lvlText w:val="%2."/>
      <w:lvlJc w:val="left"/>
      <w:pPr>
        <w:ind w:left="1440" w:hanging="360"/>
      </w:pPr>
    </w:lvl>
    <w:lvl w:ilvl="2" w:tplc="59E06DD6">
      <w:start w:val="1"/>
      <w:numFmt w:val="lowerRoman"/>
      <w:lvlText w:val="%3."/>
      <w:lvlJc w:val="right"/>
      <w:pPr>
        <w:ind w:left="2160" w:hanging="180"/>
      </w:pPr>
    </w:lvl>
    <w:lvl w:ilvl="3" w:tplc="2BC0B0E8">
      <w:start w:val="1"/>
      <w:numFmt w:val="decimal"/>
      <w:lvlText w:val="%4."/>
      <w:lvlJc w:val="left"/>
      <w:pPr>
        <w:ind w:left="2880" w:hanging="360"/>
      </w:pPr>
    </w:lvl>
    <w:lvl w:ilvl="4" w:tplc="4C1648AE">
      <w:start w:val="1"/>
      <w:numFmt w:val="lowerLetter"/>
      <w:lvlText w:val="%5."/>
      <w:lvlJc w:val="left"/>
      <w:pPr>
        <w:ind w:left="3600" w:hanging="360"/>
      </w:pPr>
    </w:lvl>
    <w:lvl w:ilvl="5" w:tplc="C64288AE">
      <w:start w:val="1"/>
      <w:numFmt w:val="lowerRoman"/>
      <w:lvlText w:val="%6."/>
      <w:lvlJc w:val="right"/>
      <w:pPr>
        <w:ind w:left="4320" w:hanging="180"/>
      </w:pPr>
    </w:lvl>
    <w:lvl w:ilvl="6" w:tplc="224C20C4">
      <w:start w:val="1"/>
      <w:numFmt w:val="decimal"/>
      <w:lvlText w:val="%7."/>
      <w:lvlJc w:val="left"/>
      <w:pPr>
        <w:ind w:left="5040" w:hanging="360"/>
      </w:pPr>
    </w:lvl>
    <w:lvl w:ilvl="7" w:tplc="5C0CABEE">
      <w:start w:val="1"/>
      <w:numFmt w:val="lowerLetter"/>
      <w:lvlText w:val="%8."/>
      <w:lvlJc w:val="left"/>
      <w:pPr>
        <w:ind w:left="5760" w:hanging="360"/>
      </w:pPr>
    </w:lvl>
    <w:lvl w:ilvl="8" w:tplc="4DC25C3E">
      <w:start w:val="1"/>
      <w:numFmt w:val="lowerRoman"/>
      <w:lvlText w:val="%9."/>
      <w:lvlJc w:val="right"/>
      <w:pPr>
        <w:ind w:left="6480" w:hanging="180"/>
      </w:pPr>
    </w:lvl>
  </w:abstractNum>
  <w:abstractNum w:abstractNumId="17" w15:restartNumberingAfterBreak="0">
    <w:nsid w:val="09A65386"/>
    <w:multiLevelType w:val="hybridMultilevel"/>
    <w:tmpl w:val="7112612E"/>
    <w:lvl w:ilvl="0" w:tplc="43A2008C">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AA5D3B7"/>
    <w:multiLevelType w:val="hybridMultilevel"/>
    <w:tmpl w:val="CAAA5674"/>
    <w:lvl w:ilvl="0" w:tplc="20B2B864">
      <w:start w:val="1"/>
      <w:numFmt w:val="bullet"/>
      <w:lvlText w:val="·"/>
      <w:lvlJc w:val="left"/>
      <w:pPr>
        <w:ind w:left="720" w:hanging="360"/>
      </w:pPr>
      <w:rPr>
        <w:rFonts w:ascii="Symbol" w:hAnsi="Symbol" w:hint="default"/>
      </w:rPr>
    </w:lvl>
    <w:lvl w:ilvl="1" w:tplc="6DDC0BA0">
      <w:start w:val="1"/>
      <w:numFmt w:val="bullet"/>
      <w:lvlText w:val="o"/>
      <w:lvlJc w:val="left"/>
      <w:pPr>
        <w:ind w:left="1440" w:hanging="360"/>
      </w:pPr>
      <w:rPr>
        <w:rFonts w:ascii="Courier New" w:hAnsi="Courier New" w:hint="default"/>
      </w:rPr>
    </w:lvl>
    <w:lvl w:ilvl="2" w:tplc="6518C7A2">
      <w:start w:val="1"/>
      <w:numFmt w:val="bullet"/>
      <w:lvlText w:val=""/>
      <w:lvlJc w:val="left"/>
      <w:pPr>
        <w:ind w:left="2160" w:hanging="360"/>
      </w:pPr>
      <w:rPr>
        <w:rFonts w:ascii="Wingdings" w:hAnsi="Wingdings" w:hint="default"/>
      </w:rPr>
    </w:lvl>
    <w:lvl w:ilvl="3" w:tplc="322C4E58">
      <w:start w:val="1"/>
      <w:numFmt w:val="bullet"/>
      <w:lvlText w:val=""/>
      <w:lvlJc w:val="left"/>
      <w:pPr>
        <w:ind w:left="2880" w:hanging="360"/>
      </w:pPr>
      <w:rPr>
        <w:rFonts w:ascii="Symbol" w:hAnsi="Symbol" w:hint="default"/>
      </w:rPr>
    </w:lvl>
    <w:lvl w:ilvl="4" w:tplc="02468606">
      <w:start w:val="1"/>
      <w:numFmt w:val="bullet"/>
      <w:lvlText w:val="o"/>
      <w:lvlJc w:val="left"/>
      <w:pPr>
        <w:ind w:left="3600" w:hanging="360"/>
      </w:pPr>
      <w:rPr>
        <w:rFonts w:ascii="Courier New" w:hAnsi="Courier New" w:hint="default"/>
      </w:rPr>
    </w:lvl>
    <w:lvl w:ilvl="5" w:tplc="0EC8842A">
      <w:start w:val="1"/>
      <w:numFmt w:val="bullet"/>
      <w:lvlText w:val=""/>
      <w:lvlJc w:val="left"/>
      <w:pPr>
        <w:ind w:left="4320" w:hanging="360"/>
      </w:pPr>
      <w:rPr>
        <w:rFonts w:ascii="Wingdings" w:hAnsi="Wingdings" w:hint="default"/>
      </w:rPr>
    </w:lvl>
    <w:lvl w:ilvl="6" w:tplc="C828254E">
      <w:start w:val="1"/>
      <w:numFmt w:val="bullet"/>
      <w:lvlText w:val=""/>
      <w:lvlJc w:val="left"/>
      <w:pPr>
        <w:ind w:left="5040" w:hanging="360"/>
      </w:pPr>
      <w:rPr>
        <w:rFonts w:ascii="Symbol" w:hAnsi="Symbol" w:hint="default"/>
      </w:rPr>
    </w:lvl>
    <w:lvl w:ilvl="7" w:tplc="7490317A">
      <w:start w:val="1"/>
      <w:numFmt w:val="bullet"/>
      <w:lvlText w:val="o"/>
      <w:lvlJc w:val="left"/>
      <w:pPr>
        <w:ind w:left="5760" w:hanging="360"/>
      </w:pPr>
      <w:rPr>
        <w:rFonts w:ascii="Courier New" w:hAnsi="Courier New" w:hint="default"/>
      </w:rPr>
    </w:lvl>
    <w:lvl w:ilvl="8" w:tplc="8C24CAA6">
      <w:start w:val="1"/>
      <w:numFmt w:val="bullet"/>
      <w:lvlText w:val=""/>
      <w:lvlJc w:val="left"/>
      <w:pPr>
        <w:ind w:left="6480" w:hanging="360"/>
      </w:pPr>
      <w:rPr>
        <w:rFonts w:ascii="Wingdings" w:hAnsi="Wingdings" w:hint="default"/>
      </w:rPr>
    </w:lvl>
  </w:abstractNum>
  <w:abstractNum w:abstractNumId="19" w15:restartNumberingAfterBreak="0">
    <w:nsid w:val="0B6D04ED"/>
    <w:multiLevelType w:val="multilevel"/>
    <w:tmpl w:val="2A0EC3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B8760A3"/>
    <w:multiLevelType w:val="hybridMultilevel"/>
    <w:tmpl w:val="1A50CC6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C456F9A"/>
    <w:multiLevelType w:val="multilevel"/>
    <w:tmpl w:val="4F8038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D907EA0"/>
    <w:multiLevelType w:val="hybridMultilevel"/>
    <w:tmpl w:val="1D0CCD12"/>
    <w:lvl w:ilvl="0" w:tplc="08090019">
      <w:start w:val="1"/>
      <w:numFmt w:val="lowerLetter"/>
      <w:lvlText w:val="%1."/>
      <w:lvlJc w:val="left"/>
      <w:pPr>
        <w:ind w:left="774" w:hanging="360"/>
      </w:pPr>
      <w:rPr>
        <w:rFonts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3" w15:restartNumberingAfterBreak="0">
    <w:nsid w:val="0DF46941"/>
    <w:multiLevelType w:val="hybridMultilevel"/>
    <w:tmpl w:val="EA56A230"/>
    <w:lvl w:ilvl="0" w:tplc="2B04830C">
      <w:numFmt w:val="bullet"/>
      <w:lvlText w:val="-"/>
      <w:lvlJc w:val="left"/>
      <w:pPr>
        <w:ind w:left="720" w:hanging="360"/>
      </w:pPr>
      <w:rPr>
        <w:rFonts w:ascii="Times New Roman" w:eastAsiaTheme="maj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0DFC1D92"/>
    <w:multiLevelType w:val="hybridMultilevel"/>
    <w:tmpl w:val="6826FD40"/>
    <w:lvl w:ilvl="0" w:tplc="FFFFFFFF">
      <w:start w:val="1"/>
      <w:numFmt w:val="bullet"/>
      <w:lvlText w:val="-"/>
      <w:lvlJc w:val="left"/>
      <w:pPr>
        <w:ind w:left="720" w:hanging="360"/>
      </w:pPr>
      <w:rPr>
        <w:rFonts w:ascii="Calibri" w:hAnsi="Calibri"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0F444634"/>
    <w:multiLevelType w:val="hybridMultilevel"/>
    <w:tmpl w:val="5B80CA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0FF56330"/>
    <w:multiLevelType w:val="hybridMultilevel"/>
    <w:tmpl w:val="A7701CA2"/>
    <w:lvl w:ilvl="0" w:tplc="BBB6A954">
      <w:start w:val="1"/>
      <w:numFmt w:val="decimal"/>
      <w:pStyle w:val="Heading1"/>
      <w:lvlText w:val=""/>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rPr>
        <w:b/>
        <w:bCs/>
        <w14:glow w14:rad="0">
          <w14:srgbClr w14:val="000000"/>
        </w14:glow>
        <w14:scene3d>
          <w14:camera w14:prst="orthographicFront"/>
          <w14:lightRig w14:rig="threePt" w14:dir="t">
            <w14:rot w14:lat="0" w14:lon="0" w14:rev="0"/>
          </w14:lightRig>
        </w14:scene3d>
      </w:rPr>
    </w:lvl>
    <w:lvl w:ilvl="8" w:tplc="0809001B">
      <w:numFmt w:val="decimal"/>
      <w:lvlText w:val=""/>
      <w:lvlJc w:val="left"/>
    </w:lvl>
  </w:abstractNum>
  <w:abstractNum w:abstractNumId="27" w15:restartNumberingAfterBreak="0">
    <w:nsid w:val="109E398F"/>
    <w:multiLevelType w:val="hybridMultilevel"/>
    <w:tmpl w:val="A4643CCA"/>
    <w:lvl w:ilvl="0" w:tplc="08090013">
      <w:numFmt w:val="decimal"/>
      <w:lvlText w:val=""/>
      <w:lvlJc w:val="left"/>
    </w:lvl>
    <w:lvl w:ilvl="1" w:tplc="08090019">
      <w:numFmt w:val="none"/>
      <w:lvlText w:val=""/>
      <w:lvlJc w:val="left"/>
      <w:pPr>
        <w:tabs>
          <w:tab w:val="num" w:pos="360"/>
        </w:tabs>
      </w:pPr>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none"/>
      <w:lvlText w:val=""/>
      <w:lvlJc w:val="left"/>
      <w:pPr>
        <w:tabs>
          <w:tab w:val="num" w:pos="360"/>
        </w:tabs>
      </w:pPr>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28" w15:restartNumberingAfterBreak="0">
    <w:nsid w:val="10F3653A"/>
    <w:multiLevelType w:val="multilevel"/>
    <w:tmpl w:val="7A162F1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13281828"/>
    <w:multiLevelType w:val="multilevel"/>
    <w:tmpl w:val="CDFE20A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135676B9"/>
    <w:multiLevelType w:val="hybridMultilevel"/>
    <w:tmpl w:val="4B52EA2A"/>
    <w:lvl w:ilvl="0" w:tplc="05CCC61A">
      <w:start w:val="2"/>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1" w15:restartNumberingAfterBreak="0">
    <w:nsid w:val="168E52C7"/>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16D47D34"/>
    <w:multiLevelType w:val="hybridMultilevel"/>
    <w:tmpl w:val="84588B52"/>
    <w:lvl w:ilvl="0" w:tplc="DEBEAF7A">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33" w15:restartNumberingAfterBreak="0">
    <w:nsid w:val="16E0561E"/>
    <w:multiLevelType w:val="hybridMultilevel"/>
    <w:tmpl w:val="E3A6E2A2"/>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34" w15:restartNumberingAfterBreak="0">
    <w:nsid w:val="17031620"/>
    <w:multiLevelType w:val="multilevel"/>
    <w:tmpl w:val="0430F68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176C2554"/>
    <w:multiLevelType w:val="hybridMultilevel"/>
    <w:tmpl w:val="8230FE86"/>
    <w:lvl w:ilvl="0" w:tplc="F796D560">
      <w:numFmt w:val="decimal"/>
      <w:lvlText w:val=""/>
      <w:lvlJc w:val="left"/>
    </w:lvl>
    <w:lvl w:ilvl="1" w:tplc="3C0AB3A0">
      <w:numFmt w:val="decimal"/>
      <w:lvlText w:val=""/>
      <w:lvlJc w:val="left"/>
    </w:lvl>
    <w:lvl w:ilvl="2" w:tplc="A84E6096">
      <w:numFmt w:val="decimal"/>
      <w:lvlText w:val=""/>
      <w:lvlJc w:val="left"/>
    </w:lvl>
    <w:lvl w:ilvl="3" w:tplc="C944C780">
      <w:numFmt w:val="decimal"/>
      <w:lvlText w:val=""/>
      <w:lvlJc w:val="left"/>
    </w:lvl>
    <w:lvl w:ilvl="4" w:tplc="307C7AF0">
      <w:numFmt w:val="decimal"/>
      <w:lvlText w:val=""/>
      <w:lvlJc w:val="left"/>
    </w:lvl>
    <w:lvl w:ilvl="5" w:tplc="B3B01482">
      <w:numFmt w:val="decimal"/>
      <w:lvlText w:val=""/>
      <w:lvlJc w:val="left"/>
    </w:lvl>
    <w:lvl w:ilvl="6" w:tplc="2916BF8C">
      <w:numFmt w:val="decimal"/>
      <w:lvlText w:val=""/>
      <w:lvlJc w:val="left"/>
    </w:lvl>
    <w:lvl w:ilvl="7" w:tplc="12DA8B16">
      <w:numFmt w:val="decimal"/>
      <w:lvlText w:val=""/>
      <w:lvlJc w:val="left"/>
    </w:lvl>
    <w:lvl w:ilvl="8" w:tplc="3D1229B4">
      <w:numFmt w:val="decimal"/>
      <w:lvlText w:val=""/>
      <w:lvlJc w:val="left"/>
    </w:lvl>
  </w:abstractNum>
  <w:abstractNum w:abstractNumId="36" w15:restartNumberingAfterBreak="0">
    <w:nsid w:val="1936557E"/>
    <w:multiLevelType w:val="multilevel"/>
    <w:tmpl w:val="F65233D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198D7D49"/>
    <w:multiLevelType w:val="hybridMultilevel"/>
    <w:tmpl w:val="27B6B868"/>
    <w:lvl w:ilvl="0" w:tplc="0809000F">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38" w15:restartNumberingAfterBreak="0">
    <w:nsid w:val="1BAB26AC"/>
    <w:multiLevelType w:val="hybridMultilevel"/>
    <w:tmpl w:val="C294484E"/>
    <w:lvl w:ilvl="0" w:tplc="08090019">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39" w15:restartNumberingAfterBreak="0">
    <w:nsid w:val="1BC87636"/>
    <w:multiLevelType w:val="hybridMultilevel"/>
    <w:tmpl w:val="78BC3DB0"/>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40" w15:restartNumberingAfterBreak="0">
    <w:nsid w:val="1C7747CF"/>
    <w:multiLevelType w:val="multilevel"/>
    <w:tmpl w:val="08C2371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1C8E30D1"/>
    <w:multiLevelType w:val="hybridMultilevel"/>
    <w:tmpl w:val="1BA0489C"/>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42" w15:restartNumberingAfterBreak="0">
    <w:nsid w:val="1D2F5385"/>
    <w:multiLevelType w:val="multilevel"/>
    <w:tmpl w:val="CAA265C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1DD825D5"/>
    <w:multiLevelType w:val="multilevel"/>
    <w:tmpl w:val="368C124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1E1E1E1F"/>
    <w:multiLevelType w:val="hybridMultilevel"/>
    <w:tmpl w:val="18A6DD4A"/>
    <w:lvl w:ilvl="0" w:tplc="42006954">
      <w:numFmt w:val="bullet"/>
      <w:lvlText w:val=""/>
      <w:lvlJc w:val="left"/>
      <w:pPr>
        <w:ind w:left="720" w:hanging="360"/>
      </w:pPr>
      <w:rPr>
        <w:rFonts w:ascii="Wingdings" w:eastAsia="Calibri"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1E723B23"/>
    <w:multiLevelType w:val="multilevel"/>
    <w:tmpl w:val="D72681B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1EA487D4"/>
    <w:multiLevelType w:val="hybridMultilevel"/>
    <w:tmpl w:val="0BD0AA54"/>
    <w:lvl w:ilvl="0" w:tplc="D79869BC">
      <w:numFmt w:val="decimal"/>
      <w:lvlText w:val=""/>
      <w:lvlJc w:val="left"/>
    </w:lvl>
    <w:lvl w:ilvl="1" w:tplc="F192342C">
      <w:numFmt w:val="decimal"/>
      <w:lvlText w:val=""/>
      <w:lvlJc w:val="left"/>
    </w:lvl>
    <w:lvl w:ilvl="2" w:tplc="F3046938">
      <w:numFmt w:val="decimal"/>
      <w:lvlText w:val=""/>
      <w:lvlJc w:val="left"/>
    </w:lvl>
    <w:lvl w:ilvl="3" w:tplc="E6469690">
      <w:numFmt w:val="decimal"/>
      <w:lvlText w:val=""/>
      <w:lvlJc w:val="left"/>
    </w:lvl>
    <w:lvl w:ilvl="4" w:tplc="BBBC974C">
      <w:numFmt w:val="decimal"/>
      <w:lvlText w:val=""/>
      <w:lvlJc w:val="left"/>
    </w:lvl>
    <w:lvl w:ilvl="5" w:tplc="CAE674D4">
      <w:numFmt w:val="decimal"/>
      <w:lvlText w:val=""/>
      <w:lvlJc w:val="left"/>
    </w:lvl>
    <w:lvl w:ilvl="6" w:tplc="8B04BB94">
      <w:numFmt w:val="decimal"/>
      <w:lvlText w:val=""/>
      <w:lvlJc w:val="left"/>
    </w:lvl>
    <w:lvl w:ilvl="7" w:tplc="C1405CA8">
      <w:numFmt w:val="decimal"/>
      <w:lvlText w:val=""/>
      <w:lvlJc w:val="left"/>
    </w:lvl>
    <w:lvl w:ilvl="8" w:tplc="2B7813AE">
      <w:numFmt w:val="decimal"/>
      <w:lvlText w:val=""/>
      <w:lvlJc w:val="left"/>
    </w:lvl>
  </w:abstractNum>
  <w:abstractNum w:abstractNumId="47" w15:restartNumberingAfterBreak="0">
    <w:nsid w:val="1EF25C02"/>
    <w:multiLevelType w:val="hybridMultilevel"/>
    <w:tmpl w:val="CADCEED8"/>
    <w:lvl w:ilvl="0" w:tplc="0809000F">
      <w:numFmt w:val="decimal"/>
      <w:lvlText w:val=""/>
      <w:lvlJc w:val="left"/>
    </w:lvl>
    <w:lvl w:ilvl="1" w:tplc="02CA78AE">
      <w:numFmt w:val="decimal"/>
      <w:lvlText w:val=""/>
      <w:lvlJc w:val="left"/>
    </w:lvl>
    <w:lvl w:ilvl="2" w:tplc="179070BA">
      <w:numFmt w:val="decimal"/>
      <w:lvlText w:val=""/>
      <w:lvlJc w:val="left"/>
    </w:lvl>
    <w:lvl w:ilvl="3" w:tplc="F7AE6F2C">
      <w:numFmt w:val="decimal"/>
      <w:lvlText w:val=""/>
      <w:lvlJc w:val="left"/>
    </w:lvl>
    <w:lvl w:ilvl="4" w:tplc="800EFA5C">
      <w:numFmt w:val="decimal"/>
      <w:lvlText w:val=""/>
      <w:lvlJc w:val="left"/>
    </w:lvl>
    <w:lvl w:ilvl="5" w:tplc="2D022EA8">
      <w:numFmt w:val="decimal"/>
      <w:lvlText w:val=""/>
      <w:lvlJc w:val="left"/>
    </w:lvl>
    <w:lvl w:ilvl="6" w:tplc="59EE8E00">
      <w:numFmt w:val="decimal"/>
      <w:lvlText w:val=""/>
      <w:lvlJc w:val="left"/>
    </w:lvl>
    <w:lvl w:ilvl="7" w:tplc="0CCA08A2">
      <w:numFmt w:val="decimal"/>
      <w:lvlText w:val=""/>
      <w:lvlJc w:val="left"/>
    </w:lvl>
    <w:lvl w:ilvl="8" w:tplc="9620BACE">
      <w:numFmt w:val="decimal"/>
      <w:lvlText w:val=""/>
      <w:lvlJc w:val="left"/>
    </w:lvl>
  </w:abstractNum>
  <w:abstractNum w:abstractNumId="48" w15:restartNumberingAfterBreak="0">
    <w:nsid w:val="203E1C3A"/>
    <w:multiLevelType w:val="multilevel"/>
    <w:tmpl w:val="438849F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20F17A40"/>
    <w:multiLevelType w:val="multilevel"/>
    <w:tmpl w:val="91748D0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215316DA"/>
    <w:multiLevelType w:val="hybridMultilevel"/>
    <w:tmpl w:val="C23AC752"/>
    <w:lvl w:ilvl="0" w:tplc="CD42D5F2">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51" w15:restartNumberingAfterBreak="0">
    <w:nsid w:val="2160215C"/>
    <w:multiLevelType w:val="hybridMultilevel"/>
    <w:tmpl w:val="14CA123E"/>
    <w:lvl w:ilvl="0" w:tplc="422E630A">
      <w:numFmt w:val="decimal"/>
      <w:lvlText w:val=""/>
      <w:lvlJc w:val="left"/>
    </w:lvl>
    <w:lvl w:ilvl="1" w:tplc="D6F4DCBA">
      <w:numFmt w:val="decimal"/>
      <w:lvlText w:val=""/>
      <w:lvlJc w:val="left"/>
    </w:lvl>
    <w:lvl w:ilvl="2" w:tplc="699CF49E">
      <w:numFmt w:val="decimal"/>
      <w:lvlText w:val=""/>
      <w:lvlJc w:val="left"/>
    </w:lvl>
    <w:lvl w:ilvl="3" w:tplc="E2FEBD68">
      <w:numFmt w:val="decimal"/>
      <w:lvlText w:val=""/>
      <w:lvlJc w:val="left"/>
    </w:lvl>
    <w:lvl w:ilvl="4" w:tplc="C2B40656">
      <w:numFmt w:val="decimal"/>
      <w:lvlText w:val=""/>
      <w:lvlJc w:val="left"/>
    </w:lvl>
    <w:lvl w:ilvl="5" w:tplc="8B3AB188">
      <w:numFmt w:val="decimal"/>
      <w:lvlText w:val=""/>
      <w:lvlJc w:val="left"/>
    </w:lvl>
    <w:lvl w:ilvl="6" w:tplc="5724603A">
      <w:numFmt w:val="decimal"/>
      <w:lvlText w:val=""/>
      <w:lvlJc w:val="left"/>
    </w:lvl>
    <w:lvl w:ilvl="7" w:tplc="280A5AA6">
      <w:numFmt w:val="decimal"/>
      <w:lvlText w:val=""/>
      <w:lvlJc w:val="left"/>
    </w:lvl>
    <w:lvl w:ilvl="8" w:tplc="261C6404">
      <w:numFmt w:val="decimal"/>
      <w:lvlText w:val=""/>
      <w:lvlJc w:val="left"/>
    </w:lvl>
  </w:abstractNum>
  <w:abstractNum w:abstractNumId="52" w15:restartNumberingAfterBreak="0">
    <w:nsid w:val="21DD6666"/>
    <w:multiLevelType w:val="multilevel"/>
    <w:tmpl w:val="2FA4FAF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237A2780"/>
    <w:multiLevelType w:val="hybridMultilevel"/>
    <w:tmpl w:val="15CEF24E"/>
    <w:lvl w:ilvl="0" w:tplc="1BFA8740">
      <w:numFmt w:val="decimal"/>
      <w:lvlText w:val=""/>
      <w:lvlJc w:val="left"/>
    </w:lvl>
    <w:lvl w:ilvl="1" w:tplc="3EC0D778">
      <w:numFmt w:val="decimal"/>
      <w:lvlText w:val=""/>
      <w:lvlJc w:val="left"/>
    </w:lvl>
    <w:lvl w:ilvl="2" w:tplc="A8126D46">
      <w:numFmt w:val="decimal"/>
      <w:lvlText w:val=""/>
      <w:lvlJc w:val="left"/>
    </w:lvl>
    <w:lvl w:ilvl="3" w:tplc="6E82F782">
      <w:numFmt w:val="decimal"/>
      <w:lvlText w:val=""/>
      <w:lvlJc w:val="left"/>
    </w:lvl>
    <w:lvl w:ilvl="4" w:tplc="BF362C1A">
      <w:numFmt w:val="decimal"/>
      <w:lvlText w:val=""/>
      <w:lvlJc w:val="left"/>
    </w:lvl>
    <w:lvl w:ilvl="5" w:tplc="6E14536E">
      <w:numFmt w:val="decimal"/>
      <w:lvlText w:val=""/>
      <w:lvlJc w:val="left"/>
    </w:lvl>
    <w:lvl w:ilvl="6" w:tplc="0FB873E4">
      <w:numFmt w:val="decimal"/>
      <w:lvlText w:val=""/>
      <w:lvlJc w:val="left"/>
    </w:lvl>
    <w:lvl w:ilvl="7" w:tplc="8162FC16">
      <w:numFmt w:val="decimal"/>
      <w:lvlText w:val=""/>
      <w:lvlJc w:val="left"/>
    </w:lvl>
    <w:lvl w:ilvl="8" w:tplc="71DEBC20">
      <w:numFmt w:val="decimal"/>
      <w:lvlText w:val=""/>
      <w:lvlJc w:val="left"/>
    </w:lvl>
  </w:abstractNum>
  <w:abstractNum w:abstractNumId="54" w15:restartNumberingAfterBreak="0">
    <w:nsid w:val="2394233C"/>
    <w:multiLevelType w:val="hybridMultilevel"/>
    <w:tmpl w:val="69BCD6E0"/>
    <w:lvl w:ilvl="0" w:tplc="0809000F">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55" w15:restartNumberingAfterBreak="0">
    <w:nsid w:val="24DD6800"/>
    <w:multiLevelType w:val="multilevel"/>
    <w:tmpl w:val="2446FF2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257A6951"/>
    <w:multiLevelType w:val="multilevel"/>
    <w:tmpl w:val="F9F86B2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2613630C"/>
    <w:multiLevelType w:val="hybridMultilevel"/>
    <w:tmpl w:val="CADCEED8"/>
    <w:lvl w:ilvl="0" w:tplc="0809000F">
      <w:numFmt w:val="decimal"/>
      <w:lvlText w:val=""/>
      <w:lvlJc w:val="left"/>
    </w:lvl>
    <w:lvl w:ilvl="1" w:tplc="02CA78AE">
      <w:numFmt w:val="decimal"/>
      <w:lvlText w:val=""/>
      <w:lvlJc w:val="left"/>
    </w:lvl>
    <w:lvl w:ilvl="2" w:tplc="179070BA">
      <w:numFmt w:val="decimal"/>
      <w:lvlText w:val=""/>
      <w:lvlJc w:val="left"/>
    </w:lvl>
    <w:lvl w:ilvl="3" w:tplc="F7AE6F2C">
      <w:numFmt w:val="decimal"/>
      <w:lvlText w:val=""/>
      <w:lvlJc w:val="left"/>
    </w:lvl>
    <w:lvl w:ilvl="4" w:tplc="800EFA5C">
      <w:numFmt w:val="decimal"/>
      <w:lvlText w:val=""/>
      <w:lvlJc w:val="left"/>
    </w:lvl>
    <w:lvl w:ilvl="5" w:tplc="2D022EA8">
      <w:numFmt w:val="decimal"/>
      <w:lvlText w:val=""/>
      <w:lvlJc w:val="left"/>
    </w:lvl>
    <w:lvl w:ilvl="6" w:tplc="59EE8E00">
      <w:numFmt w:val="decimal"/>
      <w:lvlText w:val=""/>
      <w:lvlJc w:val="left"/>
    </w:lvl>
    <w:lvl w:ilvl="7" w:tplc="0CCA08A2">
      <w:numFmt w:val="decimal"/>
      <w:lvlText w:val=""/>
      <w:lvlJc w:val="left"/>
    </w:lvl>
    <w:lvl w:ilvl="8" w:tplc="9620BACE">
      <w:numFmt w:val="decimal"/>
      <w:lvlText w:val=""/>
      <w:lvlJc w:val="left"/>
    </w:lvl>
  </w:abstractNum>
  <w:abstractNum w:abstractNumId="58" w15:restartNumberingAfterBreak="0">
    <w:nsid w:val="26D6A749"/>
    <w:multiLevelType w:val="hybridMultilevel"/>
    <w:tmpl w:val="D9682BA8"/>
    <w:lvl w:ilvl="0" w:tplc="516AD064">
      <w:numFmt w:val="decimal"/>
      <w:lvlText w:val=""/>
      <w:lvlJc w:val="left"/>
    </w:lvl>
    <w:lvl w:ilvl="1" w:tplc="1174FD78">
      <w:numFmt w:val="decimal"/>
      <w:lvlText w:val=""/>
      <w:lvlJc w:val="left"/>
    </w:lvl>
    <w:lvl w:ilvl="2" w:tplc="7354BA68">
      <w:numFmt w:val="decimal"/>
      <w:lvlText w:val=""/>
      <w:lvlJc w:val="left"/>
    </w:lvl>
    <w:lvl w:ilvl="3" w:tplc="C36C9D24">
      <w:numFmt w:val="decimal"/>
      <w:lvlText w:val=""/>
      <w:lvlJc w:val="left"/>
    </w:lvl>
    <w:lvl w:ilvl="4" w:tplc="E1786F46">
      <w:numFmt w:val="decimal"/>
      <w:lvlText w:val=""/>
      <w:lvlJc w:val="left"/>
    </w:lvl>
    <w:lvl w:ilvl="5" w:tplc="5FAE2696">
      <w:numFmt w:val="decimal"/>
      <w:lvlText w:val=""/>
      <w:lvlJc w:val="left"/>
    </w:lvl>
    <w:lvl w:ilvl="6" w:tplc="B816D26C">
      <w:numFmt w:val="decimal"/>
      <w:lvlText w:val=""/>
      <w:lvlJc w:val="left"/>
    </w:lvl>
    <w:lvl w:ilvl="7" w:tplc="26BC7ECC">
      <w:numFmt w:val="decimal"/>
      <w:lvlText w:val=""/>
      <w:lvlJc w:val="left"/>
    </w:lvl>
    <w:lvl w:ilvl="8" w:tplc="FE6C12F2">
      <w:numFmt w:val="decimal"/>
      <w:lvlText w:val=""/>
      <w:lvlJc w:val="left"/>
    </w:lvl>
  </w:abstractNum>
  <w:abstractNum w:abstractNumId="59" w15:restartNumberingAfterBreak="0">
    <w:nsid w:val="26E9646A"/>
    <w:multiLevelType w:val="hybridMultilevel"/>
    <w:tmpl w:val="8BA0E09C"/>
    <w:lvl w:ilvl="0" w:tplc="5DA600F2">
      <w:start w:val="1"/>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26F705E5"/>
    <w:multiLevelType w:val="hybridMultilevel"/>
    <w:tmpl w:val="9F5AC152"/>
    <w:lvl w:ilvl="0" w:tplc="F8B032B8">
      <w:numFmt w:val="decimal"/>
      <w:lvlText w:val=""/>
      <w:lvlJc w:val="left"/>
    </w:lvl>
    <w:lvl w:ilvl="1" w:tplc="1174FD78">
      <w:numFmt w:val="decimal"/>
      <w:lvlText w:val=""/>
      <w:lvlJc w:val="left"/>
    </w:lvl>
    <w:lvl w:ilvl="2" w:tplc="7354BA68">
      <w:numFmt w:val="decimal"/>
      <w:lvlText w:val=""/>
      <w:lvlJc w:val="left"/>
    </w:lvl>
    <w:lvl w:ilvl="3" w:tplc="C36C9D24">
      <w:numFmt w:val="decimal"/>
      <w:lvlText w:val=""/>
      <w:lvlJc w:val="left"/>
    </w:lvl>
    <w:lvl w:ilvl="4" w:tplc="E1786F46">
      <w:numFmt w:val="decimal"/>
      <w:lvlText w:val=""/>
      <w:lvlJc w:val="left"/>
    </w:lvl>
    <w:lvl w:ilvl="5" w:tplc="5FAE2696">
      <w:numFmt w:val="decimal"/>
      <w:lvlText w:val=""/>
      <w:lvlJc w:val="left"/>
    </w:lvl>
    <w:lvl w:ilvl="6" w:tplc="B816D26C">
      <w:numFmt w:val="decimal"/>
      <w:lvlText w:val=""/>
      <w:lvlJc w:val="left"/>
    </w:lvl>
    <w:lvl w:ilvl="7" w:tplc="26BC7ECC">
      <w:numFmt w:val="decimal"/>
      <w:lvlText w:val=""/>
      <w:lvlJc w:val="left"/>
    </w:lvl>
    <w:lvl w:ilvl="8" w:tplc="FE6C12F2">
      <w:numFmt w:val="decimal"/>
      <w:lvlText w:val=""/>
      <w:lvlJc w:val="left"/>
    </w:lvl>
  </w:abstractNum>
  <w:abstractNum w:abstractNumId="61" w15:restartNumberingAfterBreak="0">
    <w:nsid w:val="27400248"/>
    <w:multiLevelType w:val="hybridMultilevel"/>
    <w:tmpl w:val="4C34BDF8"/>
    <w:lvl w:ilvl="0" w:tplc="8E9ED1B8">
      <w:numFmt w:val="decimal"/>
      <w:lvlText w:val=""/>
      <w:lvlJc w:val="left"/>
    </w:lvl>
    <w:lvl w:ilvl="1" w:tplc="38C41232">
      <w:numFmt w:val="decimal"/>
      <w:lvlText w:val=""/>
      <w:lvlJc w:val="left"/>
    </w:lvl>
    <w:lvl w:ilvl="2" w:tplc="5A5E6456">
      <w:numFmt w:val="decimal"/>
      <w:lvlText w:val=""/>
      <w:lvlJc w:val="left"/>
    </w:lvl>
    <w:lvl w:ilvl="3" w:tplc="BCD4B9B8">
      <w:numFmt w:val="decimal"/>
      <w:lvlText w:val=""/>
      <w:lvlJc w:val="left"/>
    </w:lvl>
    <w:lvl w:ilvl="4" w:tplc="7B40D602">
      <w:numFmt w:val="decimal"/>
      <w:lvlText w:val=""/>
      <w:lvlJc w:val="left"/>
    </w:lvl>
    <w:lvl w:ilvl="5" w:tplc="8C2AB542">
      <w:numFmt w:val="decimal"/>
      <w:lvlText w:val=""/>
      <w:lvlJc w:val="left"/>
    </w:lvl>
    <w:lvl w:ilvl="6" w:tplc="3A066BEE">
      <w:numFmt w:val="decimal"/>
      <w:lvlText w:val=""/>
      <w:lvlJc w:val="left"/>
    </w:lvl>
    <w:lvl w:ilvl="7" w:tplc="25965A44">
      <w:numFmt w:val="decimal"/>
      <w:lvlText w:val=""/>
      <w:lvlJc w:val="left"/>
    </w:lvl>
    <w:lvl w:ilvl="8" w:tplc="3A924E36">
      <w:numFmt w:val="decimal"/>
      <w:lvlText w:val=""/>
      <w:lvlJc w:val="left"/>
    </w:lvl>
  </w:abstractNum>
  <w:abstractNum w:abstractNumId="62" w15:restartNumberingAfterBreak="0">
    <w:nsid w:val="27E36D97"/>
    <w:multiLevelType w:val="hybridMultilevel"/>
    <w:tmpl w:val="537E78D4"/>
    <w:lvl w:ilvl="0" w:tplc="CD42D5F2">
      <w:numFmt w:val="decimal"/>
      <w:lvlText w:val=""/>
      <w:lvlJc w:val="left"/>
    </w:lvl>
    <w:lvl w:ilvl="1" w:tplc="1E400466">
      <w:numFmt w:val="decimal"/>
      <w:lvlText w:val=""/>
      <w:lvlJc w:val="left"/>
    </w:lvl>
    <w:lvl w:ilvl="2" w:tplc="06425802">
      <w:numFmt w:val="decimal"/>
      <w:lvlText w:val=""/>
      <w:lvlJc w:val="left"/>
    </w:lvl>
    <w:lvl w:ilvl="3" w:tplc="E028FDA2">
      <w:numFmt w:val="decimal"/>
      <w:lvlText w:val=""/>
      <w:lvlJc w:val="left"/>
    </w:lvl>
    <w:lvl w:ilvl="4" w:tplc="D24097D0">
      <w:numFmt w:val="decimal"/>
      <w:lvlText w:val=""/>
      <w:lvlJc w:val="left"/>
    </w:lvl>
    <w:lvl w:ilvl="5" w:tplc="878ECCBE">
      <w:numFmt w:val="decimal"/>
      <w:lvlText w:val=""/>
      <w:lvlJc w:val="left"/>
    </w:lvl>
    <w:lvl w:ilvl="6" w:tplc="09B6D8FA">
      <w:numFmt w:val="decimal"/>
      <w:lvlText w:val=""/>
      <w:lvlJc w:val="left"/>
    </w:lvl>
    <w:lvl w:ilvl="7" w:tplc="72024348">
      <w:numFmt w:val="decimal"/>
      <w:lvlText w:val=""/>
      <w:lvlJc w:val="left"/>
    </w:lvl>
    <w:lvl w:ilvl="8" w:tplc="9C223018">
      <w:numFmt w:val="decimal"/>
      <w:lvlText w:val=""/>
      <w:lvlJc w:val="left"/>
    </w:lvl>
  </w:abstractNum>
  <w:abstractNum w:abstractNumId="63" w15:restartNumberingAfterBreak="0">
    <w:nsid w:val="27F8189C"/>
    <w:multiLevelType w:val="hybridMultilevel"/>
    <w:tmpl w:val="512430D4"/>
    <w:lvl w:ilvl="0" w:tplc="0809000F">
      <w:numFmt w:val="decimal"/>
      <w:lvlText w:val=""/>
      <w:lvlJc w:val="left"/>
    </w:lvl>
    <w:lvl w:ilvl="1" w:tplc="02CA78AE">
      <w:numFmt w:val="decimal"/>
      <w:lvlText w:val=""/>
      <w:lvlJc w:val="left"/>
    </w:lvl>
    <w:lvl w:ilvl="2" w:tplc="179070BA">
      <w:numFmt w:val="decimal"/>
      <w:lvlText w:val=""/>
      <w:lvlJc w:val="left"/>
    </w:lvl>
    <w:lvl w:ilvl="3" w:tplc="F7AE6F2C">
      <w:numFmt w:val="decimal"/>
      <w:lvlText w:val=""/>
      <w:lvlJc w:val="left"/>
    </w:lvl>
    <w:lvl w:ilvl="4" w:tplc="800EFA5C">
      <w:numFmt w:val="decimal"/>
      <w:lvlText w:val=""/>
      <w:lvlJc w:val="left"/>
    </w:lvl>
    <w:lvl w:ilvl="5" w:tplc="2D022EA8">
      <w:numFmt w:val="decimal"/>
      <w:lvlText w:val=""/>
      <w:lvlJc w:val="left"/>
    </w:lvl>
    <w:lvl w:ilvl="6" w:tplc="59EE8E00">
      <w:numFmt w:val="decimal"/>
      <w:lvlText w:val=""/>
      <w:lvlJc w:val="left"/>
    </w:lvl>
    <w:lvl w:ilvl="7" w:tplc="0CCA08A2">
      <w:numFmt w:val="decimal"/>
      <w:lvlText w:val=""/>
      <w:lvlJc w:val="left"/>
    </w:lvl>
    <w:lvl w:ilvl="8" w:tplc="9620BACE">
      <w:numFmt w:val="decimal"/>
      <w:lvlText w:val=""/>
      <w:lvlJc w:val="left"/>
    </w:lvl>
  </w:abstractNum>
  <w:abstractNum w:abstractNumId="64" w15:restartNumberingAfterBreak="0">
    <w:nsid w:val="281D0CFE"/>
    <w:multiLevelType w:val="multilevel"/>
    <w:tmpl w:val="2E1411F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282548F1"/>
    <w:multiLevelType w:val="multilevel"/>
    <w:tmpl w:val="F79E322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284227DB"/>
    <w:multiLevelType w:val="hybridMultilevel"/>
    <w:tmpl w:val="7A3A9A54"/>
    <w:lvl w:ilvl="0" w:tplc="39781660">
      <w:numFmt w:val="decimal"/>
      <w:lvlText w:val=""/>
      <w:lvlJc w:val="left"/>
    </w:lvl>
    <w:lvl w:ilvl="1" w:tplc="A1A029CC">
      <w:numFmt w:val="decimal"/>
      <w:lvlText w:val=""/>
      <w:lvlJc w:val="left"/>
    </w:lvl>
    <w:lvl w:ilvl="2" w:tplc="F28CA5A4">
      <w:numFmt w:val="decimal"/>
      <w:lvlText w:val=""/>
      <w:lvlJc w:val="left"/>
    </w:lvl>
    <w:lvl w:ilvl="3" w:tplc="ED48A5CA">
      <w:numFmt w:val="decimal"/>
      <w:lvlText w:val=""/>
      <w:lvlJc w:val="left"/>
    </w:lvl>
    <w:lvl w:ilvl="4" w:tplc="C6FE80FC">
      <w:numFmt w:val="decimal"/>
      <w:lvlText w:val=""/>
      <w:lvlJc w:val="left"/>
    </w:lvl>
    <w:lvl w:ilvl="5" w:tplc="B1EE9604">
      <w:numFmt w:val="decimal"/>
      <w:lvlText w:val=""/>
      <w:lvlJc w:val="left"/>
    </w:lvl>
    <w:lvl w:ilvl="6" w:tplc="BC3CEE6A">
      <w:numFmt w:val="decimal"/>
      <w:lvlText w:val=""/>
      <w:lvlJc w:val="left"/>
    </w:lvl>
    <w:lvl w:ilvl="7" w:tplc="D790654A">
      <w:numFmt w:val="decimal"/>
      <w:lvlText w:val=""/>
      <w:lvlJc w:val="left"/>
    </w:lvl>
    <w:lvl w:ilvl="8" w:tplc="559CB530">
      <w:numFmt w:val="decimal"/>
      <w:lvlText w:val=""/>
      <w:lvlJc w:val="left"/>
    </w:lvl>
  </w:abstractNum>
  <w:abstractNum w:abstractNumId="67" w15:restartNumberingAfterBreak="0">
    <w:nsid w:val="28B90D9F"/>
    <w:multiLevelType w:val="hybridMultilevel"/>
    <w:tmpl w:val="5A108F22"/>
    <w:lvl w:ilvl="0" w:tplc="08090005">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68" w15:restartNumberingAfterBreak="0">
    <w:nsid w:val="29060E54"/>
    <w:multiLevelType w:val="hybridMultilevel"/>
    <w:tmpl w:val="DF7401F8"/>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69" w15:restartNumberingAfterBreak="0">
    <w:nsid w:val="29D17036"/>
    <w:multiLevelType w:val="multilevel"/>
    <w:tmpl w:val="26EED22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2AFA61DB"/>
    <w:multiLevelType w:val="multilevel"/>
    <w:tmpl w:val="8E76CEB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2CE2286B"/>
    <w:multiLevelType w:val="multilevel"/>
    <w:tmpl w:val="8F8C5F3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2D3B1EB7"/>
    <w:multiLevelType w:val="hybridMultilevel"/>
    <w:tmpl w:val="999EBC8A"/>
    <w:lvl w:ilvl="0" w:tplc="79C854DE">
      <w:numFmt w:val="decimal"/>
      <w:lvlText w:val=""/>
      <w:lvlJc w:val="left"/>
    </w:lvl>
    <w:lvl w:ilvl="1" w:tplc="24342B24">
      <w:numFmt w:val="decimal"/>
      <w:lvlText w:val=""/>
      <w:lvlJc w:val="left"/>
    </w:lvl>
    <w:lvl w:ilvl="2" w:tplc="8286B7B2">
      <w:numFmt w:val="decimal"/>
      <w:lvlText w:val=""/>
      <w:lvlJc w:val="left"/>
    </w:lvl>
    <w:lvl w:ilvl="3" w:tplc="975E57A0">
      <w:numFmt w:val="decimal"/>
      <w:lvlText w:val=""/>
      <w:lvlJc w:val="left"/>
    </w:lvl>
    <w:lvl w:ilvl="4" w:tplc="F26E21C4">
      <w:numFmt w:val="decimal"/>
      <w:lvlText w:val=""/>
      <w:lvlJc w:val="left"/>
    </w:lvl>
    <w:lvl w:ilvl="5" w:tplc="E3AA84C8">
      <w:numFmt w:val="decimal"/>
      <w:lvlText w:val=""/>
      <w:lvlJc w:val="left"/>
    </w:lvl>
    <w:lvl w:ilvl="6" w:tplc="6E4E0C40">
      <w:numFmt w:val="decimal"/>
      <w:lvlText w:val=""/>
      <w:lvlJc w:val="left"/>
    </w:lvl>
    <w:lvl w:ilvl="7" w:tplc="5C2EAD66">
      <w:numFmt w:val="decimal"/>
      <w:lvlText w:val=""/>
      <w:lvlJc w:val="left"/>
    </w:lvl>
    <w:lvl w:ilvl="8" w:tplc="D8360C04">
      <w:numFmt w:val="decimal"/>
      <w:lvlText w:val=""/>
      <w:lvlJc w:val="left"/>
    </w:lvl>
  </w:abstractNum>
  <w:abstractNum w:abstractNumId="73" w15:restartNumberingAfterBreak="0">
    <w:nsid w:val="2DA721C6"/>
    <w:multiLevelType w:val="hybridMultilevel"/>
    <w:tmpl w:val="B2504940"/>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74" w15:restartNumberingAfterBreak="0">
    <w:nsid w:val="2E647CD8"/>
    <w:multiLevelType w:val="hybridMultilevel"/>
    <w:tmpl w:val="7D849E2C"/>
    <w:lvl w:ilvl="0" w:tplc="43A2008C">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75" w15:restartNumberingAfterBreak="0">
    <w:nsid w:val="30696BF7"/>
    <w:multiLevelType w:val="hybridMultilevel"/>
    <w:tmpl w:val="40626170"/>
    <w:lvl w:ilvl="0" w:tplc="94DA03D4">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76" w15:restartNumberingAfterBreak="0">
    <w:nsid w:val="306A1D33"/>
    <w:multiLevelType w:val="hybridMultilevel"/>
    <w:tmpl w:val="A3D484E2"/>
    <w:lvl w:ilvl="0" w:tplc="4B1CE3BE">
      <w:numFmt w:val="decimal"/>
      <w:lvlText w:val=""/>
      <w:lvlJc w:val="left"/>
    </w:lvl>
    <w:lvl w:ilvl="1" w:tplc="B268B944">
      <w:numFmt w:val="decimal"/>
      <w:lvlText w:val=""/>
      <w:lvlJc w:val="left"/>
    </w:lvl>
    <w:lvl w:ilvl="2" w:tplc="DEF4EAC0">
      <w:numFmt w:val="decimal"/>
      <w:lvlText w:val=""/>
      <w:lvlJc w:val="left"/>
    </w:lvl>
    <w:lvl w:ilvl="3" w:tplc="82102746">
      <w:numFmt w:val="decimal"/>
      <w:lvlText w:val=""/>
      <w:lvlJc w:val="left"/>
    </w:lvl>
    <w:lvl w:ilvl="4" w:tplc="F2CAE370">
      <w:numFmt w:val="decimal"/>
      <w:lvlText w:val=""/>
      <w:lvlJc w:val="left"/>
    </w:lvl>
    <w:lvl w:ilvl="5" w:tplc="BAB8BFE6">
      <w:numFmt w:val="decimal"/>
      <w:lvlText w:val=""/>
      <w:lvlJc w:val="left"/>
    </w:lvl>
    <w:lvl w:ilvl="6" w:tplc="67C20758">
      <w:numFmt w:val="decimal"/>
      <w:lvlText w:val=""/>
      <w:lvlJc w:val="left"/>
    </w:lvl>
    <w:lvl w:ilvl="7" w:tplc="3C62C878">
      <w:numFmt w:val="decimal"/>
      <w:lvlText w:val=""/>
      <w:lvlJc w:val="left"/>
    </w:lvl>
    <w:lvl w:ilvl="8" w:tplc="56CE7926">
      <w:numFmt w:val="decimal"/>
      <w:lvlText w:val=""/>
      <w:lvlJc w:val="left"/>
    </w:lvl>
  </w:abstractNum>
  <w:abstractNum w:abstractNumId="77" w15:restartNumberingAfterBreak="0">
    <w:nsid w:val="30EE5E27"/>
    <w:multiLevelType w:val="hybridMultilevel"/>
    <w:tmpl w:val="CF743692"/>
    <w:lvl w:ilvl="0" w:tplc="4320B4FC">
      <w:numFmt w:val="decimal"/>
      <w:lvlText w:val=""/>
      <w:lvlJc w:val="left"/>
    </w:lvl>
    <w:lvl w:ilvl="1" w:tplc="080C0019">
      <w:numFmt w:val="decimal"/>
      <w:lvlText w:val=""/>
      <w:lvlJc w:val="left"/>
    </w:lvl>
    <w:lvl w:ilvl="2" w:tplc="080C001B">
      <w:numFmt w:val="decimal"/>
      <w:lvlText w:val=""/>
      <w:lvlJc w:val="left"/>
    </w:lvl>
    <w:lvl w:ilvl="3" w:tplc="080C000F">
      <w:numFmt w:val="decimal"/>
      <w:lvlText w:val=""/>
      <w:lvlJc w:val="left"/>
    </w:lvl>
    <w:lvl w:ilvl="4" w:tplc="080C0019">
      <w:numFmt w:val="decimal"/>
      <w:lvlText w:val=""/>
      <w:lvlJc w:val="left"/>
    </w:lvl>
    <w:lvl w:ilvl="5" w:tplc="080C001B">
      <w:numFmt w:val="decimal"/>
      <w:lvlText w:val=""/>
      <w:lvlJc w:val="left"/>
    </w:lvl>
    <w:lvl w:ilvl="6" w:tplc="080C000F">
      <w:numFmt w:val="decimal"/>
      <w:lvlText w:val=""/>
      <w:lvlJc w:val="left"/>
    </w:lvl>
    <w:lvl w:ilvl="7" w:tplc="080C0019">
      <w:numFmt w:val="decimal"/>
      <w:lvlText w:val=""/>
      <w:lvlJc w:val="left"/>
    </w:lvl>
    <w:lvl w:ilvl="8" w:tplc="080C001B">
      <w:numFmt w:val="decimal"/>
      <w:lvlText w:val=""/>
      <w:lvlJc w:val="left"/>
    </w:lvl>
  </w:abstractNum>
  <w:abstractNum w:abstractNumId="78" w15:restartNumberingAfterBreak="0">
    <w:nsid w:val="33016B26"/>
    <w:multiLevelType w:val="hybridMultilevel"/>
    <w:tmpl w:val="3EB407A0"/>
    <w:lvl w:ilvl="0" w:tplc="FFFFFFFF">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79" w15:restartNumberingAfterBreak="0">
    <w:nsid w:val="333357C1"/>
    <w:multiLevelType w:val="hybridMultilevel"/>
    <w:tmpl w:val="AD369DC6"/>
    <w:lvl w:ilvl="0" w:tplc="08090005">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80" w15:restartNumberingAfterBreak="0">
    <w:nsid w:val="33AF0338"/>
    <w:multiLevelType w:val="hybridMultilevel"/>
    <w:tmpl w:val="5B14881A"/>
    <w:lvl w:ilvl="0" w:tplc="08090019">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81" w15:restartNumberingAfterBreak="0">
    <w:nsid w:val="344337EB"/>
    <w:multiLevelType w:val="multilevel"/>
    <w:tmpl w:val="F528826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347FD88D"/>
    <w:multiLevelType w:val="hybridMultilevel"/>
    <w:tmpl w:val="F2766158"/>
    <w:lvl w:ilvl="0" w:tplc="CF72FA86">
      <w:numFmt w:val="decimal"/>
      <w:lvlText w:val=""/>
      <w:lvlJc w:val="left"/>
    </w:lvl>
    <w:lvl w:ilvl="1" w:tplc="B00E8828">
      <w:numFmt w:val="decimal"/>
      <w:lvlText w:val=""/>
      <w:lvlJc w:val="left"/>
    </w:lvl>
    <w:lvl w:ilvl="2" w:tplc="D4EE5B7A">
      <w:numFmt w:val="decimal"/>
      <w:lvlText w:val=""/>
      <w:lvlJc w:val="left"/>
    </w:lvl>
    <w:lvl w:ilvl="3" w:tplc="DD3E251C">
      <w:numFmt w:val="decimal"/>
      <w:lvlText w:val=""/>
      <w:lvlJc w:val="left"/>
    </w:lvl>
    <w:lvl w:ilvl="4" w:tplc="FAB0FE1C">
      <w:numFmt w:val="decimal"/>
      <w:lvlText w:val=""/>
      <w:lvlJc w:val="left"/>
    </w:lvl>
    <w:lvl w:ilvl="5" w:tplc="06E0239A">
      <w:numFmt w:val="decimal"/>
      <w:lvlText w:val=""/>
      <w:lvlJc w:val="left"/>
    </w:lvl>
    <w:lvl w:ilvl="6" w:tplc="2C3665C2">
      <w:numFmt w:val="decimal"/>
      <w:lvlText w:val=""/>
      <w:lvlJc w:val="left"/>
    </w:lvl>
    <w:lvl w:ilvl="7" w:tplc="1EA05DBE">
      <w:numFmt w:val="decimal"/>
      <w:lvlText w:val=""/>
      <w:lvlJc w:val="left"/>
    </w:lvl>
    <w:lvl w:ilvl="8" w:tplc="AE882406">
      <w:numFmt w:val="decimal"/>
      <w:lvlText w:val=""/>
      <w:lvlJc w:val="left"/>
    </w:lvl>
  </w:abstractNum>
  <w:abstractNum w:abstractNumId="83" w15:restartNumberingAfterBreak="0">
    <w:nsid w:val="34AF6E56"/>
    <w:multiLevelType w:val="hybridMultilevel"/>
    <w:tmpl w:val="5B80CA9E"/>
    <w:lvl w:ilvl="0" w:tplc="0809000F">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84" w15:restartNumberingAfterBreak="0">
    <w:nsid w:val="369364E9"/>
    <w:multiLevelType w:val="multilevel"/>
    <w:tmpl w:val="399A38E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36F519CE"/>
    <w:multiLevelType w:val="hybridMultilevel"/>
    <w:tmpl w:val="CD5AA7F4"/>
    <w:lvl w:ilvl="0" w:tplc="D0BAF21A">
      <w:numFmt w:val="decimal"/>
      <w:lvlText w:val=""/>
      <w:lvlJc w:val="left"/>
    </w:lvl>
    <w:lvl w:ilvl="1" w:tplc="04130003">
      <w:numFmt w:val="decimal"/>
      <w:lvlText w:val=""/>
      <w:lvlJc w:val="left"/>
    </w:lvl>
    <w:lvl w:ilvl="2" w:tplc="04130005">
      <w:numFmt w:val="decimal"/>
      <w:lvlText w:val=""/>
      <w:lvlJc w:val="left"/>
    </w:lvl>
    <w:lvl w:ilvl="3" w:tplc="04130001">
      <w:numFmt w:val="decimal"/>
      <w:lvlText w:val=""/>
      <w:lvlJc w:val="left"/>
    </w:lvl>
    <w:lvl w:ilvl="4" w:tplc="04130003">
      <w:numFmt w:val="decimal"/>
      <w:lvlText w:val=""/>
      <w:lvlJc w:val="left"/>
    </w:lvl>
    <w:lvl w:ilvl="5" w:tplc="04130005">
      <w:numFmt w:val="decimal"/>
      <w:lvlText w:val=""/>
      <w:lvlJc w:val="left"/>
    </w:lvl>
    <w:lvl w:ilvl="6" w:tplc="04130001">
      <w:numFmt w:val="decimal"/>
      <w:lvlText w:val=""/>
      <w:lvlJc w:val="left"/>
    </w:lvl>
    <w:lvl w:ilvl="7" w:tplc="04130003">
      <w:numFmt w:val="decimal"/>
      <w:lvlText w:val=""/>
      <w:lvlJc w:val="left"/>
    </w:lvl>
    <w:lvl w:ilvl="8" w:tplc="04130005">
      <w:numFmt w:val="decimal"/>
      <w:lvlText w:val=""/>
      <w:lvlJc w:val="left"/>
    </w:lvl>
  </w:abstractNum>
  <w:abstractNum w:abstractNumId="86" w15:restartNumberingAfterBreak="0">
    <w:nsid w:val="373D09F3"/>
    <w:multiLevelType w:val="hybridMultilevel"/>
    <w:tmpl w:val="B0C4D0CC"/>
    <w:lvl w:ilvl="0" w:tplc="B5C0F3C4">
      <w:numFmt w:val="decimal"/>
      <w:lvlText w:val=""/>
      <w:lvlJc w:val="left"/>
    </w:lvl>
    <w:lvl w:ilvl="1" w:tplc="35569AB2">
      <w:numFmt w:val="decimal"/>
      <w:lvlText w:val=""/>
      <w:lvlJc w:val="left"/>
    </w:lvl>
    <w:lvl w:ilvl="2" w:tplc="4F5272C0">
      <w:numFmt w:val="decimal"/>
      <w:lvlText w:val=""/>
      <w:lvlJc w:val="left"/>
    </w:lvl>
    <w:lvl w:ilvl="3" w:tplc="BB369578">
      <w:numFmt w:val="decimal"/>
      <w:lvlText w:val=""/>
      <w:lvlJc w:val="left"/>
    </w:lvl>
    <w:lvl w:ilvl="4" w:tplc="8D7EC2AA">
      <w:numFmt w:val="decimal"/>
      <w:lvlText w:val=""/>
      <w:lvlJc w:val="left"/>
    </w:lvl>
    <w:lvl w:ilvl="5" w:tplc="90720978">
      <w:numFmt w:val="decimal"/>
      <w:lvlText w:val=""/>
      <w:lvlJc w:val="left"/>
    </w:lvl>
    <w:lvl w:ilvl="6" w:tplc="C1184E1A">
      <w:numFmt w:val="decimal"/>
      <w:lvlText w:val=""/>
      <w:lvlJc w:val="left"/>
    </w:lvl>
    <w:lvl w:ilvl="7" w:tplc="8E34CC78">
      <w:numFmt w:val="decimal"/>
      <w:lvlText w:val=""/>
      <w:lvlJc w:val="left"/>
    </w:lvl>
    <w:lvl w:ilvl="8" w:tplc="8DAC9460">
      <w:numFmt w:val="decimal"/>
      <w:lvlText w:val=""/>
      <w:lvlJc w:val="left"/>
    </w:lvl>
  </w:abstractNum>
  <w:abstractNum w:abstractNumId="87" w15:restartNumberingAfterBreak="0">
    <w:nsid w:val="37E63B70"/>
    <w:multiLevelType w:val="hybridMultilevel"/>
    <w:tmpl w:val="3B06D86A"/>
    <w:lvl w:ilvl="0" w:tplc="A5008712">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88" w15:restartNumberingAfterBreak="0">
    <w:nsid w:val="388C1AE5"/>
    <w:multiLevelType w:val="multilevel"/>
    <w:tmpl w:val="1780E63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38DE4B54"/>
    <w:multiLevelType w:val="multilevel"/>
    <w:tmpl w:val="3E1E893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390C4FBD"/>
    <w:multiLevelType w:val="multilevel"/>
    <w:tmpl w:val="850247F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39121E99"/>
    <w:multiLevelType w:val="hybridMultilevel"/>
    <w:tmpl w:val="88EEA202"/>
    <w:lvl w:ilvl="0" w:tplc="0809000F">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92" w15:restartNumberingAfterBreak="0">
    <w:nsid w:val="3A7730C4"/>
    <w:multiLevelType w:val="multilevel"/>
    <w:tmpl w:val="F208CCE4"/>
    <w:name w:val="ListBullet1Numbering"/>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3A9D50E9"/>
    <w:multiLevelType w:val="hybridMultilevel"/>
    <w:tmpl w:val="9FF895F2"/>
    <w:lvl w:ilvl="0" w:tplc="0C800E86">
      <w:numFmt w:val="decimal"/>
      <w:pStyle w:val="ListBullet1"/>
      <w:lvlText w:val=""/>
      <w:lvlJc w:val="left"/>
    </w:lvl>
    <w:lvl w:ilvl="1" w:tplc="8B20B70A">
      <w:numFmt w:val="decimal"/>
      <w:pStyle w:val="ListBullet1Level2"/>
      <w:lvlText w:val=""/>
      <w:lvlJc w:val="left"/>
    </w:lvl>
    <w:lvl w:ilvl="2" w:tplc="69FEBE40">
      <w:numFmt w:val="decimal"/>
      <w:pStyle w:val="ListBullet1Level3"/>
      <w:lvlText w:val=""/>
      <w:lvlJc w:val="left"/>
    </w:lvl>
    <w:lvl w:ilvl="3" w:tplc="1A9C1DFC">
      <w:numFmt w:val="decimal"/>
      <w:pStyle w:val="ListBullet1Level4"/>
      <w:lvlText w:val=""/>
      <w:lvlJc w:val="left"/>
    </w:lvl>
    <w:lvl w:ilvl="4" w:tplc="D5AEFA4C">
      <w:numFmt w:val="decimal"/>
      <w:lvlText w:val=""/>
      <w:lvlJc w:val="left"/>
    </w:lvl>
    <w:lvl w:ilvl="5" w:tplc="D9D0AB62">
      <w:numFmt w:val="decimal"/>
      <w:lvlText w:val=""/>
      <w:lvlJc w:val="left"/>
    </w:lvl>
    <w:lvl w:ilvl="6" w:tplc="7A7EBDC0">
      <w:numFmt w:val="decimal"/>
      <w:lvlText w:val=""/>
      <w:lvlJc w:val="left"/>
    </w:lvl>
    <w:lvl w:ilvl="7" w:tplc="E97A8F76">
      <w:numFmt w:val="decimal"/>
      <w:lvlText w:val=""/>
      <w:lvlJc w:val="left"/>
    </w:lvl>
    <w:lvl w:ilvl="8" w:tplc="148A685E">
      <w:numFmt w:val="decimal"/>
      <w:lvlText w:val=""/>
      <w:lvlJc w:val="left"/>
    </w:lvl>
  </w:abstractNum>
  <w:abstractNum w:abstractNumId="94" w15:restartNumberingAfterBreak="0">
    <w:nsid w:val="3BDB1097"/>
    <w:multiLevelType w:val="hybridMultilevel"/>
    <w:tmpl w:val="07D82780"/>
    <w:lvl w:ilvl="0" w:tplc="DBD8791E">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95" w15:restartNumberingAfterBreak="0">
    <w:nsid w:val="3C3B6BFC"/>
    <w:multiLevelType w:val="multilevel"/>
    <w:tmpl w:val="E25EEE4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3C4B4E5F"/>
    <w:multiLevelType w:val="multilevel"/>
    <w:tmpl w:val="8D06A56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3C7524C8"/>
    <w:multiLevelType w:val="hybridMultilevel"/>
    <w:tmpl w:val="7B68CE30"/>
    <w:lvl w:ilvl="0" w:tplc="BCD24DBE">
      <w:numFmt w:val="decimal"/>
      <w:lvlText w:val=""/>
      <w:lvlJc w:val="left"/>
    </w:lvl>
    <w:lvl w:ilvl="1" w:tplc="D402EEE4">
      <w:numFmt w:val="decimal"/>
      <w:lvlText w:val=""/>
      <w:lvlJc w:val="left"/>
    </w:lvl>
    <w:lvl w:ilvl="2" w:tplc="655292DC">
      <w:numFmt w:val="decimal"/>
      <w:lvlText w:val=""/>
      <w:lvlJc w:val="left"/>
    </w:lvl>
    <w:lvl w:ilvl="3" w:tplc="6B50705A">
      <w:numFmt w:val="decimal"/>
      <w:lvlText w:val=""/>
      <w:lvlJc w:val="left"/>
    </w:lvl>
    <w:lvl w:ilvl="4" w:tplc="993E7878">
      <w:numFmt w:val="decimal"/>
      <w:lvlText w:val=""/>
      <w:lvlJc w:val="left"/>
    </w:lvl>
    <w:lvl w:ilvl="5" w:tplc="1A78DD76">
      <w:numFmt w:val="decimal"/>
      <w:lvlText w:val=""/>
      <w:lvlJc w:val="left"/>
    </w:lvl>
    <w:lvl w:ilvl="6" w:tplc="841A42A0">
      <w:numFmt w:val="decimal"/>
      <w:lvlText w:val=""/>
      <w:lvlJc w:val="left"/>
    </w:lvl>
    <w:lvl w:ilvl="7" w:tplc="7640EC30">
      <w:numFmt w:val="decimal"/>
      <w:lvlText w:val=""/>
      <w:lvlJc w:val="left"/>
    </w:lvl>
    <w:lvl w:ilvl="8" w:tplc="9FBA2800">
      <w:numFmt w:val="decimal"/>
      <w:lvlText w:val=""/>
      <w:lvlJc w:val="left"/>
    </w:lvl>
  </w:abstractNum>
  <w:abstractNum w:abstractNumId="98" w15:restartNumberingAfterBreak="0">
    <w:nsid w:val="3C820321"/>
    <w:multiLevelType w:val="hybridMultilevel"/>
    <w:tmpl w:val="F718EDBC"/>
    <w:lvl w:ilvl="0" w:tplc="475277F8">
      <w:numFmt w:val="decimal"/>
      <w:lvlText w:val=""/>
      <w:lvlJc w:val="left"/>
    </w:lvl>
    <w:lvl w:ilvl="1" w:tplc="080C0003">
      <w:numFmt w:val="decimal"/>
      <w:lvlText w:val=""/>
      <w:lvlJc w:val="left"/>
    </w:lvl>
    <w:lvl w:ilvl="2" w:tplc="080C0005">
      <w:numFmt w:val="decimal"/>
      <w:lvlText w:val=""/>
      <w:lvlJc w:val="left"/>
    </w:lvl>
    <w:lvl w:ilvl="3" w:tplc="080C0001">
      <w:numFmt w:val="decimal"/>
      <w:lvlText w:val=""/>
      <w:lvlJc w:val="left"/>
    </w:lvl>
    <w:lvl w:ilvl="4" w:tplc="080C0003">
      <w:numFmt w:val="decimal"/>
      <w:lvlText w:val=""/>
      <w:lvlJc w:val="left"/>
    </w:lvl>
    <w:lvl w:ilvl="5" w:tplc="080C0005">
      <w:numFmt w:val="decimal"/>
      <w:lvlText w:val=""/>
      <w:lvlJc w:val="left"/>
    </w:lvl>
    <w:lvl w:ilvl="6" w:tplc="080C0001">
      <w:numFmt w:val="decimal"/>
      <w:lvlText w:val=""/>
      <w:lvlJc w:val="left"/>
    </w:lvl>
    <w:lvl w:ilvl="7" w:tplc="080C0003">
      <w:numFmt w:val="decimal"/>
      <w:lvlText w:val=""/>
      <w:lvlJc w:val="left"/>
    </w:lvl>
    <w:lvl w:ilvl="8" w:tplc="080C0005">
      <w:numFmt w:val="decimal"/>
      <w:lvlText w:val=""/>
      <w:lvlJc w:val="left"/>
    </w:lvl>
  </w:abstractNum>
  <w:abstractNum w:abstractNumId="99" w15:restartNumberingAfterBreak="0">
    <w:nsid w:val="3CAB3A04"/>
    <w:multiLevelType w:val="hybridMultilevel"/>
    <w:tmpl w:val="F1420B02"/>
    <w:lvl w:ilvl="0" w:tplc="08090017">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00" w15:restartNumberingAfterBreak="0">
    <w:nsid w:val="3CFE2DF5"/>
    <w:multiLevelType w:val="hybridMultilevel"/>
    <w:tmpl w:val="82E2B4A0"/>
    <w:lvl w:ilvl="0" w:tplc="CE1CC572">
      <w:numFmt w:val="decimal"/>
      <w:lvlText w:val=""/>
      <w:lvlJc w:val="left"/>
    </w:lvl>
    <w:lvl w:ilvl="1" w:tplc="53402F7E">
      <w:numFmt w:val="decimal"/>
      <w:lvlText w:val=""/>
      <w:lvlJc w:val="left"/>
    </w:lvl>
    <w:lvl w:ilvl="2" w:tplc="3C90F0F6">
      <w:numFmt w:val="decimal"/>
      <w:lvlText w:val=""/>
      <w:lvlJc w:val="left"/>
    </w:lvl>
    <w:lvl w:ilvl="3" w:tplc="A7005AEE">
      <w:numFmt w:val="decimal"/>
      <w:lvlText w:val=""/>
      <w:lvlJc w:val="left"/>
    </w:lvl>
    <w:lvl w:ilvl="4" w:tplc="D146EFA0">
      <w:numFmt w:val="decimal"/>
      <w:lvlText w:val=""/>
      <w:lvlJc w:val="left"/>
    </w:lvl>
    <w:lvl w:ilvl="5" w:tplc="9488B13C">
      <w:numFmt w:val="decimal"/>
      <w:lvlText w:val=""/>
      <w:lvlJc w:val="left"/>
    </w:lvl>
    <w:lvl w:ilvl="6" w:tplc="E28243CE">
      <w:numFmt w:val="decimal"/>
      <w:lvlText w:val=""/>
      <w:lvlJc w:val="left"/>
    </w:lvl>
    <w:lvl w:ilvl="7" w:tplc="8DDA8F64">
      <w:numFmt w:val="decimal"/>
      <w:lvlText w:val=""/>
      <w:lvlJc w:val="left"/>
    </w:lvl>
    <w:lvl w:ilvl="8" w:tplc="80301F6A">
      <w:numFmt w:val="decimal"/>
      <w:lvlText w:val=""/>
      <w:lvlJc w:val="left"/>
    </w:lvl>
  </w:abstractNum>
  <w:abstractNum w:abstractNumId="101" w15:restartNumberingAfterBreak="0">
    <w:nsid w:val="3D7D34BB"/>
    <w:multiLevelType w:val="multilevel"/>
    <w:tmpl w:val="3A4868C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3E463CAB"/>
    <w:multiLevelType w:val="hybridMultilevel"/>
    <w:tmpl w:val="6C822548"/>
    <w:lvl w:ilvl="0" w:tplc="0809000F">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03" w15:restartNumberingAfterBreak="0">
    <w:nsid w:val="3E6D1DC6"/>
    <w:multiLevelType w:val="multilevel"/>
    <w:tmpl w:val="B2BE925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3E772BEE"/>
    <w:multiLevelType w:val="multilevel"/>
    <w:tmpl w:val="EB9C4D3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40B39412"/>
    <w:multiLevelType w:val="hybridMultilevel"/>
    <w:tmpl w:val="F260CCA0"/>
    <w:lvl w:ilvl="0" w:tplc="BCC6A0F6">
      <w:numFmt w:val="decimal"/>
      <w:lvlText w:val=""/>
      <w:lvlJc w:val="left"/>
    </w:lvl>
    <w:lvl w:ilvl="1" w:tplc="73D2CF62">
      <w:numFmt w:val="decimal"/>
      <w:lvlText w:val=""/>
      <w:lvlJc w:val="left"/>
    </w:lvl>
    <w:lvl w:ilvl="2" w:tplc="573A9C5A">
      <w:numFmt w:val="decimal"/>
      <w:lvlText w:val=""/>
      <w:lvlJc w:val="left"/>
    </w:lvl>
    <w:lvl w:ilvl="3" w:tplc="A290E9B0">
      <w:numFmt w:val="decimal"/>
      <w:lvlText w:val=""/>
      <w:lvlJc w:val="left"/>
    </w:lvl>
    <w:lvl w:ilvl="4" w:tplc="AFBAF280">
      <w:numFmt w:val="decimal"/>
      <w:lvlText w:val=""/>
      <w:lvlJc w:val="left"/>
    </w:lvl>
    <w:lvl w:ilvl="5" w:tplc="9A426C5E">
      <w:numFmt w:val="decimal"/>
      <w:lvlText w:val=""/>
      <w:lvlJc w:val="left"/>
    </w:lvl>
    <w:lvl w:ilvl="6" w:tplc="B130183E">
      <w:numFmt w:val="decimal"/>
      <w:lvlText w:val=""/>
      <w:lvlJc w:val="left"/>
    </w:lvl>
    <w:lvl w:ilvl="7" w:tplc="4E105024">
      <w:numFmt w:val="decimal"/>
      <w:lvlText w:val=""/>
      <w:lvlJc w:val="left"/>
    </w:lvl>
    <w:lvl w:ilvl="8" w:tplc="0A14EA6E">
      <w:numFmt w:val="decimal"/>
      <w:lvlText w:val=""/>
      <w:lvlJc w:val="left"/>
    </w:lvl>
  </w:abstractNum>
  <w:abstractNum w:abstractNumId="106" w15:restartNumberingAfterBreak="0">
    <w:nsid w:val="40D85ED4"/>
    <w:multiLevelType w:val="multilevel"/>
    <w:tmpl w:val="79FE72D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41411FD1"/>
    <w:multiLevelType w:val="hybridMultilevel"/>
    <w:tmpl w:val="941803EE"/>
    <w:lvl w:ilvl="0" w:tplc="6B089406">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8" w15:restartNumberingAfterBreak="0">
    <w:nsid w:val="4169262B"/>
    <w:multiLevelType w:val="multilevel"/>
    <w:tmpl w:val="8C28821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42C70CC6"/>
    <w:multiLevelType w:val="multilevel"/>
    <w:tmpl w:val="2E1411F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42D07249"/>
    <w:multiLevelType w:val="multilevel"/>
    <w:tmpl w:val="632E645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43247591"/>
    <w:multiLevelType w:val="multilevel"/>
    <w:tmpl w:val="3C6C8CB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438C1D06"/>
    <w:multiLevelType w:val="hybridMultilevel"/>
    <w:tmpl w:val="BB6486AC"/>
    <w:lvl w:ilvl="0" w:tplc="97F871D6">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13" w15:restartNumberingAfterBreak="0">
    <w:nsid w:val="4560274E"/>
    <w:multiLevelType w:val="multilevel"/>
    <w:tmpl w:val="22C09FA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49296EB4"/>
    <w:multiLevelType w:val="hybridMultilevel"/>
    <w:tmpl w:val="5B80CA9E"/>
    <w:lvl w:ilvl="0" w:tplc="0809000F">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15" w15:restartNumberingAfterBreak="0">
    <w:nsid w:val="497F4B39"/>
    <w:multiLevelType w:val="multilevel"/>
    <w:tmpl w:val="3B92D08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4AC94E8A"/>
    <w:multiLevelType w:val="multilevel"/>
    <w:tmpl w:val="A7E8225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4BC466A4"/>
    <w:multiLevelType w:val="hybridMultilevel"/>
    <w:tmpl w:val="00F8711A"/>
    <w:lvl w:ilvl="0" w:tplc="5606BCEE">
      <w:numFmt w:val="decimal"/>
      <w:lvlText w:val=""/>
      <w:lvlJc w:val="left"/>
    </w:lvl>
    <w:lvl w:ilvl="1" w:tplc="6988E0D2">
      <w:numFmt w:val="decimal"/>
      <w:lvlText w:val=""/>
      <w:lvlJc w:val="left"/>
    </w:lvl>
    <w:lvl w:ilvl="2" w:tplc="8B502558">
      <w:numFmt w:val="decimal"/>
      <w:lvlText w:val=""/>
      <w:lvlJc w:val="left"/>
    </w:lvl>
    <w:lvl w:ilvl="3" w:tplc="05A29816">
      <w:numFmt w:val="decimal"/>
      <w:lvlText w:val=""/>
      <w:lvlJc w:val="left"/>
    </w:lvl>
    <w:lvl w:ilvl="4" w:tplc="2494B13C">
      <w:numFmt w:val="decimal"/>
      <w:lvlText w:val=""/>
      <w:lvlJc w:val="left"/>
    </w:lvl>
    <w:lvl w:ilvl="5" w:tplc="DE90DB98">
      <w:numFmt w:val="decimal"/>
      <w:lvlText w:val=""/>
      <w:lvlJc w:val="left"/>
    </w:lvl>
    <w:lvl w:ilvl="6" w:tplc="EBBE6746">
      <w:numFmt w:val="decimal"/>
      <w:lvlText w:val=""/>
      <w:lvlJc w:val="left"/>
    </w:lvl>
    <w:lvl w:ilvl="7" w:tplc="5BF8B41E">
      <w:numFmt w:val="decimal"/>
      <w:lvlText w:val=""/>
      <w:lvlJc w:val="left"/>
    </w:lvl>
    <w:lvl w:ilvl="8" w:tplc="7F6E0AFE">
      <w:numFmt w:val="decimal"/>
      <w:lvlText w:val=""/>
      <w:lvlJc w:val="left"/>
    </w:lvl>
  </w:abstractNum>
  <w:abstractNum w:abstractNumId="118" w15:restartNumberingAfterBreak="0">
    <w:nsid w:val="4C620D51"/>
    <w:multiLevelType w:val="hybridMultilevel"/>
    <w:tmpl w:val="1AD47B32"/>
    <w:lvl w:ilvl="0" w:tplc="2EF828E4">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119" w15:restartNumberingAfterBreak="0">
    <w:nsid w:val="4DD063DD"/>
    <w:multiLevelType w:val="hybridMultilevel"/>
    <w:tmpl w:val="FFFFFFFF"/>
    <w:lvl w:ilvl="0" w:tplc="A7F4BAB2">
      <w:numFmt w:val="decimal"/>
      <w:lvlText w:val=""/>
      <w:lvlJc w:val="left"/>
    </w:lvl>
    <w:lvl w:ilvl="1" w:tplc="E7184592">
      <w:numFmt w:val="decimal"/>
      <w:lvlText w:val=""/>
      <w:lvlJc w:val="left"/>
    </w:lvl>
    <w:lvl w:ilvl="2" w:tplc="4EC685DC">
      <w:numFmt w:val="decimal"/>
      <w:lvlText w:val=""/>
      <w:lvlJc w:val="left"/>
    </w:lvl>
    <w:lvl w:ilvl="3" w:tplc="BD8E9722">
      <w:numFmt w:val="decimal"/>
      <w:lvlText w:val=""/>
      <w:lvlJc w:val="left"/>
    </w:lvl>
    <w:lvl w:ilvl="4" w:tplc="739EFC7E">
      <w:numFmt w:val="decimal"/>
      <w:lvlText w:val=""/>
      <w:lvlJc w:val="left"/>
    </w:lvl>
    <w:lvl w:ilvl="5" w:tplc="0EE02AF4">
      <w:numFmt w:val="decimal"/>
      <w:lvlText w:val=""/>
      <w:lvlJc w:val="left"/>
    </w:lvl>
    <w:lvl w:ilvl="6" w:tplc="4CE453F0">
      <w:numFmt w:val="decimal"/>
      <w:lvlText w:val=""/>
      <w:lvlJc w:val="left"/>
    </w:lvl>
    <w:lvl w:ilvl="7" w:tplc="AE4C5074">
      <w:numFmt w:val="decimal"/>
      <w:lvlText w:val=""/>
      <w:lvlJc w:val="left"/>
    </w:lvl>
    <w:lvl w:ilvl="8" w:tplc="DA14B90E">
      <w:numFmt w:val="decimal"/>
      <w:lvlText w:val=""/>
      <w:lvlJc w:val="left"/>
    </w:lvl>
  </w:abstractNum>
  <w:abstractNum w:abstractNumId="120" w15:restartNumberingAfterBreak="0">
    <w:nsid w:val="505D45AF"/>
    <w:multiLevelType w:val="hybridMultilevel"/>
    <w:tmpl w:val="38209AA0"/>
    <w:lvl w:ilvl="0" w:tplc="08090019">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21" w15:restartNumberingAfterBreak="0">
    <w:nsid w:val="50A63AEE"/>
    <w:multiLevelType w:val="hybridMultilevel"/>
    <w:tmpl w:val="0D10624A"/>
    <w:lvl w:ilvl="0" w:tplc="0809000F">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22" w15:restartNumberingAfterBreak="0">
    <w:nsid w:val="53CE5045"/>
    <w:multiLevelType w:val="multilevel"/>
    <w:tmpl w:val="710A201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553215EF"/>
    <w:multiLevelType w:val="multilevel"/>
    <w:tmpl w:val="3AE82F3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55F60D48"/>
    <w:multiLevelType w:val="multilevel"/>
    <w:tmpl w:val="4BB2767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56136593"/>
    <w:multiLevelType w:val="multilevel"/>
    <w:tmpl w:val="22F4674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578674C5"/>
    <w:multiLevelType w:val="multilevel"/>
    <w:tmpl w:val="062663D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5A59535D"/>
    <w:multiLevelType w:val="hybridMultilevel"/>
    <w:tmpl w:val="A870735E"/>
    <w:lvl w:ilvl="0" w:tplc="0413000F">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28" w15:restartNumberingAfterBreak="0">
    <w:nsid w:val="5B464327"/>
    <w:multiLevelType w:val="hybridMultilevel"/>
    <w:tmpl w:val="46BCF3EC"/>
    <w:lvl w:ilvl="0" w:tplc="0413000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9" w15:restartNumberingAfterBreak="0">
    <w:nsid w:val="5B977A81"/>
    <w:multiLevelType w:val="multilevel"/>
    <w:tmpl w:val="1430D0E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5C4F1364"/>
    <w:multiLevelType w:val="hybridMultilevel"/>
    <w:tmpl w:val="887C7E66"/>
    <w:lvl w:ilvl="0" w:tplc="0809000F">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131" w15:restartNumberingAfterBreak="0">
    <w:nsid w:val="5C685EAC"/>
    <w:multiLevelType w:val="multilevel"/>
    <w:tmpl w:val="811EE05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60777202"/>
    <w:multiLevelType w:val="multilevel"/>
    <w:tmpl w:val="0B04F81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61106BA7"/>
    <w:multiLevelType w:val="multilevel"/>
    <w:tmpl w:val="80A83A1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62D41E7C"/>
    <w:multiLevelType w:val="hybridMultilevel"/>
    <w:tmpl w:val="CEBC9886"/>
    <w:lvl w:ilvl="0" w:tplc="0470B8EC">
      <w:numFmt w:val="decimal"/>
      <w:lvlText w:val=""/>
      <w:lvlJc w:val="left"/>
    </w:lvl>
    <w:lvl w:ilvl="1" w:tplc="18090003">
      <w:numFmt w:val="decimal"/>
      <w:lvlText w:val=""/>
      <w:lvlJc w:val="left"/>
    </w:lvl>
    <w:lvl w:ilvl="2" w:tplc="18090005">
      <w:numFmt w:val="decimal"/>
      <w:lvlText w:val=""/>
      <w:lvlJc w:val="left"/>
    </w:lvl>
    <w:lvl w:ilvl="3" w:tplc="18090001">
      <w:numFmt w:val="decimal"/>
      <w:lvlText w:val=""/>
      <w:lvlJc w:val="left"/>
    </w:lvl>
    <w:lvl w:ilvl="4" w:tplc="18090003">
      <w:numFmt w:val="decimal"/>
      <w:lvlText w:val=""/>
      <w:lvlJc w:val="left"/>
    </w:lvl>
    <w:lvl w:ilvl="5" w:tplc="18090005">
      <w:numFmt w:val="decimal"/>
      <w:lvlText w:val=""/>
      <w:lvlJc w:val="left"/>
    </w:lvl>
    <w:lvl w:ilvl="6" w:tplc="18090001">
      <w:numFmt w:val="decimal"/>
      <w:lvlText w:val=""/>
      <w:lvlJc w:val="left"/>
    </w:lvl>
    <w:lvl w:ilvl="7" w:tplc="18090003">
      <w:numFmt w:val="decimal"/>
      <w:lvlText w:val=""/>
      <w:lvlJc w:val="left"/>
    </w:lvl>
    <w:lvl w:ilvl="8" w:tplc="18090005">
      <w:numFmt w:val="decimal"/>
      <w:lvlText w:val=""/>
      <w:lvlJc w:val="left"/>
    </w:lvl>
  </w:abstractNum>
  <w:abstractNum w:abstractNumId="135" w15:restartNumberingAfterBreak="0">
    <w:nsid w:val="635C09C9"/>
    <w:multiLevelType w:val="multilevel"/>
    <w:tmpl w:val="07E897F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643D53C1"/>
    <w:multiLevelType w:val="hybridMultilevel"/>
    <w:tmpl w:val="86D4EF2E"/>
    <w:lvl w:ilvl="0" w:tplc="43A2008C">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37" w15:restartNumberingAfterBreak="0">
    <w:nsid w:val="64BB2BC2"/>
    <w:multiLevelType w:val="multilevel"/>
    <w:tmpl w:val="E176F4A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15:restartNumberingAfterBreak="0">
    <w:nsid w:val="64FA2894"/>
    <w:multiLevelType w:val="multilevel"/>
    <w:tmpl w:val="F45291A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15:restartNumberingAfterBreak="0">
    <w:nsid w:val="66D669F2"/>
    <w:multiLevelType w:val="hybridMultilevel"/>
    <w:tmpl w:val="130E4E5C"/>
    <w:lvl w:ilvl="0" w:tplc="080C0011">
      <w:numFmt w:val="decimal"/>
      <w:lvlText w:val=""/>
      <w:lvlJc w:val="left"/>
    </w:lvl>
    <w:lvl w:ilvl="1" w:tplc="080C0019">
      <w:numFmt w:val="decimal"/>
      <w:lvlText w:val=""/>
      <w:lvlJc w:val="left"/>
    </w:lvl>
    <w:lvl w:ilvl="2" w:tplc="080C001B">
      <w:numFmt w:val="decimal"/>
      <w:lvlText w:val=""/>
      <w:lvlJc w:val="left"/>
    </w:lvl>
    <w:lvl w:ilvl="3" w:tplc="080C000F">
      <w:numFmt w:val="decimal"/>
      <w:lvlText w:val=""/>
      <w:lvlJc w:val="left"/>
    </w:lvl>
    <w:lvl w:ilvl="4" w:tplc="080C0019">
      <w:numFmt w:val="decimal"/>
      <w:lvlText w:val=""/>
      <w:lvlJc w:val="left"/>
    </w:lvl>
    <w:lvl w:ilvl="5" w:tplc="080C001B">
      <w:numFmt w:val="decimal"/>
      <w:lvlText w:val=""/>
      <w:lvlJc w:val="left"/>
    </w:lvl>
    <w:lvl w:ilvl="6" w:tplc="080C000F">
      <w:numFmt w:val="decimal"/>
      <w:lvlText w:val=""/>
      <w:lvlJc w:val="left"/>
    </w:lvl>
    <w:lvl w:ilvl="7" w:tplc="080C0019">
      <w:numFmt w:val="decimal"/>
      <w:lvlText w:val=""/>
      <w:lvlJc w:val="left"/>
    </w:lvl>
    <w:lvl w:ilvl="8" w:tplc="080C001B">
      <w:numFmt w:val="decimal"/>
      <w:lvlText w:val=""/>
      <w:lvlJc w:val="left"/>
    </w:lvl>
  </w:abstractNum>
  <w:abstractNum w:abstractNumId="140" w15:restartNumberingAfterBreak="0">
    <w:nsid w:val="676D7EAD"/>
    <w:multiLevelType w:val="hybridMultilevel"/>
    <w:tmpl w:val="F6D60120"/>
    <w:lvl w:ilvl="0" w:tplc="D0BAF21A">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1" w15:restartNumberingAfterBreak="0">
    <w:nsid w:val="681669F8"/>
    <w:multiLevelType w:val="multilevel"/>
    <w:tmpl w:val="3766967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15:restartNumberingAfterBreak="0">
    <w:nsid w:val="684A2467"/>
    <w:multiLevelType w:val="hybridMultilevel"/>
    <w:tmpl w:val="74F43422"/>
    <w:lvl w:ilvl="0" w:tplc="0809000F">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143" w15:restartNumberingAfterBreak="0">
    <w:nsid w:val="68AC5A66"/>
    <w:multiLevelType w:val="multilevel"/>
    <w:tmpl w:val="7142671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15:restartNumberingAfterBreak="0">
    <w:nsid w:val="68CD3BB7"/>
    <w:multiLevelType w:val="hybridMultilevel"/>
    <w:tmpl w:val="1A4AFBD0"/>
    <w:lvl w:ilvl="0" w:tplc="13A8925C">
      <w:numFmt w:val="decimal"/>
      <w:lvlText w:val=""/>
      <w:lvlJc w:val="left"/>
    </w:lvl>
    <w:lvl w:ilvl="1" w:tplc="677C9016">
      <w:numFmt w:val="decimal"/>
      <w:lvlText w:val=""/>
      <w:lvlJc w:val="left"/>
    </w:lvl>
    <w:lvl w:ilvl="2" w:tplc="2BC68F66">
      <w:numFmt w:val="decimal"/>
      <w:lvlText w:val=""/>
      <w:lvlJc w:val="left"/>
    </w:lvl>
    <w:lvl w:ilvl="3" w:tplc="E27E7D14">
      <w:numFmt w:val="decimal"/>
      <w:lvlText w:val=""/>
      <w:lvlJc w:val="left"/>
    </w:lvl>
    <w:lvl w:ilvl="4" w:tplc="0E540258">
      <w:numFmt w:val="decimal"/>
      <w:lvlText w:val=""/>
      <w:lvlJc w:val="left"/>
    </w:lvl>
    <w:lvl w:ilvl="5" w:tplc="65E69084">
      <w:numFmt w:val="decimal"/>
      <w:lvlText w:val=""/>
      <w:lvlJc w:val="left"/>
    </w:lvl>
    <w:lvl w:ilvl="6" w:tplc="C494FCB2">
      <w:numFmt w:val="decimal"/>
      <w:lvlText w:val=""/>
      <w:lvlJc w:val="left"/>
    </w:lvl>
    <w:lvl w:ilvl="7" w:tplc="D4F8D6BC">
      <w:numFmt w:val="decimal"/>
      <w:lvlText w:val=""/>
      <w:lvlJc w:val="left"/>
    </w:lvl>
    <w:lvl w:ilvl="8" w:tplc="98826394">
      <w:numFmt w:val="decimal"/>
      <w:lvlText w:val=""/>
      <w:lvlJc w:val="left"/>
    </w:lvl>
  </w:abstractNum>
  <w:abstractNum w:abstractNumId="145" w15:restartNumberingAfterBreak="0">
    <w:nsid w:val="691A4815"/>
    <w:multiLevelType w:val="hybridMultilevel"/>
    <w:tmpl w:val="CB1A4066"/>
    <w:lvl w:ilvl="0" w:tplc="835E567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6" w15:restartNumberingAfterBreak="0">
    <w:nsid w:val="692E5F88"/>
    <w:multiLevelType w:val="multilevel"/>
    <w:tmpl w:val="74A209A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7" w15:restartNumberingAfterBreak="0">
    <w:nsid w:val="6A324368"/>
    <w:multiLevelType w:val="hybridMultilevel"/>
    <w:tmpl w:val="3F202084"/>
    <w:lvl w:ilvl="0" w:tplc="08090019">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48" w15:restartNumberingAfterBreak="0">
    <w:nsid w:val="6BC232ED"/>
    <w:multiLevelType w:val="hybridMultilevel"/>
    <w:tmpl w:val="D2187094"/>
    <w:lvl w:ilvl="0" w:tplc="3F4CC72C">
      <w:numFmt w:val="bullet"/>
      <w:lvlText w:val="-"/>
      <w:lvlJc w:val="left"/>
      <w:rPr>
        <w:rFonts w:ascii="Arial" w:eastAsiaTheme="minorHAnsi" w:hAnsi="Arial"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9" w15:restartNumberingAfterBreak="0">
    <w:nsid w:val="6C3029EE"/>
    <w:multiLevelType w:val="multilevel"/>
    <w:tmpl w:val="B202A1D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15:restartNumberingAfterBreak="0">
    <w:nsid w:val="6DC3266B"/>
    <w:multiLevelType w:val="hybridMultilevel"/>
    <w:tmpl w:val="46D01BDE"/>
    <w:lvl w:ilvl="0" w:tplc="080C0003">
      <w:numFmt w:val="decimal"/>
      <w:lvlText w:val=""/>
      <w:lvlJc w:val="left"/>
    </w:lvl>
    <w:lvl w:ilvl="1" w:tplc="080C0003">
      <w:numFmt w:val="decimal"/>
      <w:lvlText w:val=""/>
      <w:lvlJc w:val="left"/>
    </w:lvl>
    <w:lvl w:ilvl="2" w:tplc="080C0005">
      <w:numFmt w:val="decimal"/>
      <w:lvlText w:val=""/>
      <w:lvlJc w:val="left"/>
    </w:lvl>
    <w:lvl w:ilvl="3" w:tplc="080C0001">
      <w:numFmt w:val="decimal"/>
      <w:lvlText w:val=""/>
      <w:lvlJc w:val="left"/>
    </w:lvl>
    <w:lvl w:ilvl="4" w:tplc="080C0003">
      <w:numFmt w:val="decimal"/>
      <w:lvlText w:val=""/>
      <w:lvlJc w:val="left"/>
    </w:lvl>
    <w:lvl w:ilvl="5" w:tplc="080C0005">
      <w:numFmt w:val="decimal"/>
      <w:lvlText w:val=""/>
      <w:lvlJc w:val="left"/>
    </w:lvl>
    <w:lvl w:ilvl="6" w:tplc="080C0001">
      <w:numFmt w:val="decimal"/>
      <w:lvlText w:val=""/>
      <w:lvlJc w:val="left"/>
    </w:lvl>
    <w:lvl w:ilvl="7" w:tplc="080C0003">
      <w:numFmt w:val="decimal"/>
      <w:lvlText w:val=""/>
      <w:lvlJc w:val="left"/>
    </w:lvl>
    <w:lvl w:ilvl="8" w:tplc="080C0005">
      <w:numFmt w:val="decimal"/>
      <w:lvlText w:val=""/>
      <w:lvlJc w:val="left"/>
    </w:lvl>
  </w:abstractNum>
  <w:abstractNum w:abstractNumId="151" w15:restartNumberingAfterBreak="0">
    <w:nsid w:val="6E545059"/>
    <w:multiLevelType w:val="multilevel"/>
    <w:tmpl w:val="688EA06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15:restartNumberingAfterBreak="0">
    <w:nsid w:val="7016A7D4"/>
    <w:multiLevelType w:val="hybridMultilevel"/>
    <w:tmpl w:val="F2ECECDE"/>
    <w:lvl w:ilvl="0" w:tplc="AF70E28C">
      <w:numFmt w:val="decimal"/>
      <w:lvlText w:val=""/>
      <w:lvlJc w:val="left"/>
    </w:lvl>
    <w:lvl w:ilvl="1" w:tplc="A0F09F00">
      <w:numFmt w:val="decimal"/>
      <w:lvlText w:val=""/>
      <w:lvlJc w:val="left"/>
    </w:lvl>
    <w:lvl w:ilvl="2" w:tplc="382666FE">
      <w:numFmt w:val="decimal"/>
      <w:lvlText w:val=""/>
      <w:lvlJc w:val="left"/>
    </w:lvl>
    <w:lvl w:ilvl="3" w:tplc="A6F20948">
      <w:numFmt w:val="decimal"/>
      <w:lvlText w:val=""/>
      <w:lvlJc w:val="left"/>
    </w:lvl>
    <w:lvl w:ilvl="4" w:tplc="901035F4">
      <w:numFmt w:val="decimal"/>
      <w:lvlText w:val=""/>
      <w:lvlJc w:val="left"/>
    </w:lvl>
    <w:lvl w:ilvl="5" w:tplc="6146443C">
      <w:numFmt w:val="decimal"/>
      <w:lvlText w:val=""/>
      <w:lvlJc w:val="left"/>
    </w:lvl>
    <w:lvl w:ilvl="6" w:tplc="43D823A0">
      <w:numFmt w:val="decimal"/>
      <w:lvlText w:val=""/>
      <w:lvlJc w:val="left"/>
    </w:lvl>
    <w:lvl w:ilvl="7" w:tplc="F97A6192">
      <w:numFmt w:val="decimal"/>
      <w:lvlText w:val=""/>
      <w:lvlJc w:val="left"/>
    </w:lvl>
    <w:lvl w:ilvl="8" w:tplc="A75E3ED2">
      <w:numFmt w:val="decimal"/>
      <w:lvlText w:val=""/>
      <w:lvlJc w:val="left"/>
    </w:lvl>
  </w:abstractNum>
  <w:abstractNum w:abstractNumId="153" w15:restartNumberingAfterBreak="0">
    <w:nsid w:val="70EC6AD1"/>
    <w:multiLevelType w:val="multilevel"/>
    <w:tmpl w:val="5AC0E40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15:restartNumberingAfterBreak="0">
    <w:nsid w:val="723076B8"/>
    <w:multiLevelType w:val="multilevel"/>
    <w:tmpl w:val="6BB67C8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5" w15:restartNumberingAfterBreak="0">
    <w:nsid w:val="723CC901"/>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6" w15:restartNumberingAfterBreak="0">
    <w:nsid w:val="72447080"/>
    <w:multiLevelType w:val="multilevel"/>
    <w:tmpl w:val="5C44EFD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15:restartNumberingAfterBreak="0">
    <w:nsid w:val="7320559E"/>
    <w:multiLevelType w:val="multilevel"/>
    <w:tmpl w:val="9F284BA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15:restartNumberingAfterBreak="0">
    <w:nsid w:val="734B6152"/>
    <w:multiLevelType w:val="multilevel"/>
    <w:tmpl w:val="8B5266C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15:restartNumberingAfterBreak="0">
    <w:nsid w:val="739740F8"/>
    <w:multiLevelType w:val="hybridMultilevel"/>
    <w:tmpl w:val="E9CE1666"/>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160" w15:restartNumberingAfterBreak="0">
    <w:nsid w:val="73F962E8"/>
    <w:multiLevelType w:val="hybridMultilevel"/>
    <w:tmpl w:val="D0922166"/>
    <w:lvl w:ilvl="0" w:tplc="FFFFFFFF">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161" w15:restartNumberingAfterBreak="0">
    <w:nsid w:val="74150E70"/>
    <w:multiLevelType w:val="hybridMultilevel"/>
    <w:tmpl w:val="46BCF3EC"/>
    <w:lvl w:ilvl="0" w:tplc="0413000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2" w15:restartNumberingAfterBreak="0">
    <w:nsid w:val="747A3AFA"/>
    <w:multiLevelType w:val="multilevel"/>
    <w:tmpl w:val="941A111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3" w15:restartNumberingAfterBreak="0">
    <w:nsid w:val="74BF191E"/>
    <w:multiLevelType w:val="multilevel"/>
    <w:tmpl w:val="B4886F8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4" w15:restartNumberingAfterBreak="0">
    <w:nsid w:val="758F455B"/>
    <w:multiLevelType w:val="multilevel"/>
    <w:tmpl w:val="E69EE37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5" w15:restartNumberingAfterBreak="0">
    <w:nsid w:val="75A32FCA"/>
    <w:multiLevelType w:val="hybridMultilevel"/>
    <w:tmpl w:val="A214813A"/>
    <w:lvl w:ilvl="0" w:tplc="EDBAAE0C">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66" w15:restartNumberingAfterBreak="0">
    <w:nsid w:val="76141C9D"/>
    <w:multiLevelType w:val="multilevel"/>
    <w:tmpl w:val="2A600BD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7" w15:restartNumberingAfterBreak="0">
    <w:nsid w:val="764B63FC"/>
    <w:multiLevelType w:val="multilevel"/>
    <w:tmpl w:val="0A86FE3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8" w15:restartNumberingAfterBreak="0">
    <w:nsid w:val="76A56793"/>
    <w:multiLevelType w:val="hybridMultilevel"/>
    <w:tmpl w:val="607E3072"/>
    <w:lvl w:ilvl="0" w:tplc="008EB76C">
      <w:numFmt w:val="decimal"/>
      <w:lvlText w:val=""/>
      <w:lvlJc w:val="left"/>
    </w:lvl>
    <w:lvl w:ilvl="1" w:tplc="4F12B9AA">
      <w:numFmt w:val="decimal"/>
      <w:lvlText w:val=""/>
      <w:lvlJc w:val="left"/>
    </w:lvl>
    <w:lvl w:ilvl="2" w:tplc="43AECEB4">
      <w:numFmt w:val="decimal"/>
      <w:lvlText w:val=""/>
      <w:lvlJc w:val="left"/>
    </w:lvl>
    <w:lvl w:ilvl="3" w:tplc="71F8C09C">
      <w:numFmt w:val="decimal"/>
      <w:lvlText w:val=""/>
      <w:lvlJc w:val="left"/>
    </w:lvl>
    <w:lvl w:ilvl="4" w:tplc="B9D6F450">
      <w:numFmt w:val="decimal"/>
      <w:lvlText w:val=""/>
      <w:lvlJc w:val="left"/>
    </w:lvl>
    <w:lvl w:ilvl="5" w:tplc="2814D054">
      <w:numFmt w:val="decimal"/>
      <w:lvlText w:val="ࠉࠉࠉࠉࠉࠉࠉࠉࠉࠉࠉࠉࠉࠉࠉ"/>
      <w:lvlJc w:val="left"/>
      <w:rPr>
        <w:dstrike w:val="0"/>
      </w:rPr>
    </w:lvl>
    <w:lvl w:ilvl="6" w:tplc="D3C237D8">
      <w:start w:val="4157"/>
      <w:numFmt w:val="decimal"/>
      <w:lvlText w:val="l xmlns:xsi=&quot;http://www.w3.org/"/>
      <w:lvlJc w:val="left"/>
      <w:rPr>
        <w:w w:val="27233"/>
      </w:rPr>
    </w:lvl>
    <w:lvl w:ilvl="7" w:tplc="EA5C9080">
      <w:start w:val="6553705"/>
      <mc:AlternateContent>
        <mc:Choice Requires="w14">
          <w:numFmt w:val="custom" w:format="Α, Β, Γ, ..."/>
        </mc:Choice>
        <mc:Fallback>
          <w:numFmt w:val="decimal"/>
        </mc:Fallback>
      </mc:AlternateContent>
      <w:lvlText w:val=""/>
      <w:lvlJc w:val="left"/>
    </w:lvl>
    <w:lvl w:ilvl="8" w:tplc="FFC4D058">
      <w:numFmt w:val="decimal"/>
      <w:lvlText w:val=""/>
      <w:lvlJc w:val="left"/>
    </w:lvl>
  </w:abstractNum>
  <w:abstractNum w:abstractNumId="169" w15:restartNumberingAfterBreak="0">
    <w:nsid w:val="76BE18B1"/>
    <w:multiLevelType w:val="multilevel"/>
    <w:tmpl w:val="3C6C8CB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0" w15:restartNumberingAfterBreak="0">
    <w:nsid w:val="77FF398A"/>
    <w:multiLevelType w:val="hybridMultilevel"/>
    <w:tmpl w:val="59F438DE"/>
    <w:lvl w:ilvl="0" w:tplc="FFFFFFFF">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171" w15:restartNumberingAfterBreak="0">
    <w:nsid w:val="78A930B1"/>
    <w:multiLevelType w:val="multilevel"/>
    <w:tmpl w:val="2E1411F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2" w15:restartNumberingAfterBreak="0">
    <w:nsid w:val="78E71A67"/>
    <w:multiLevelType w:val="multilevel"/>
    <w:tmpl w:val="2AE4EFE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3" w15:restartNumberingAfterBreak="0">
    <w:nsid w:val="79841422"/>
    <w:multiLevelType w:val="hybridMultilevel"/>
    <w:tmpl w:val="5C4416FC"/>
    <w:lvl w:ilvl="0" w:tplc="0413000F">
      <w:numFmt w:val="decimal"/>
      <w:lvlText w:val=""/>
      <w:lvlJc w:val="left"/>
    </w:lvl>
    <w:lvl w:ilvl="1" w:tplc="04130019">
      <w:numFmt w:val="decimal"/>
      <w:lvlText w:val=""/>
      <w:lvlJc w:val="left"/>
    </w:lvl>
    <w:lvl w:ilvl="2" w:tplc="0413001B">
      <w:numFmt w:val="decimal"/>
      <w:lvlText w:val=""/>
      <w:lvlJc w:val="left"/>
    </w:lvl>
    <w:lvl w:ilvl="3" w:tplc="0413000F">
      <w:numFmt w:val="decimal"/>
      <w:lvlText w:val=""/>
      <w:lvlJc w:val="left"/>
    </w:lvl>
    <w:lvl w:ilvl="4" w:tplc="04130019">
      <w:numFmt w:val="decimal"/>
      <w:lvlText w:val=""/>
      <w:lvlJc w:val="left"/>
    </w:lvl>
    <w:lvl w:ilvl="5" w:tplc="0413001B">
      <w:numFmt w:val="decimal"/>
      <w:lvlText w:val=""/>
      <w:lvlJc w:val="left"/>
    </w:lvl>
    <w:lvl w:ilvl="6" w:tplc="0413000F">
      <w:numFmt w:val="decimal"/>
      <w:lvlText w:val=""/>
      <w:lvlJc w:val="left"/>
    </w:lvl>
    <w:lvl w:ilvl="7" w:tplc="04130019">
      <w:numFmt w:val="decimal"/>
      <w:lvlText w:val=""/>
      <w:lvlJc w:val="left"/>
    </w:lvl>
    <w:lvl w:ilvl="8" w:tplc="0413001B">
      <w:numFmt w:val="decimal"/>
      <w:lvlText w:val=""/>
      <w:lvlJc w:val="left"/>
    </w:lvl>
  </w:abstractNum>
  <w:abstractNum w:abstractNumId="174" w15:restartNumberingAfterBreak="0">
    <w:nsid w:val="799B7740"/>
    <w:multiLevelType w:val="hybridMultilevel"/>
    <w:tmpl w:val="537E78D4"/>
    <w:lvl w:ilvl="0" w:tplc="CD42D5F2">
      <w:numFmt w:val="decimal"/>
      <w:lvlText w:val=""/>
      <w:lvlJc w:val="left"/>
    </w:lvl>
    <w:lvl w:ilvl="1" w:tplc="1E400466">
      <w:numFmt w:val="decimal"/>
      <w:lvlText w:val=""/>
      <w:lvlJc w:val="left"/>
    </w:lvl>
    <w:lvl w:ilvl="2" w:tplc="06425802">
      <w:numFmt w:val="decimal"/>
      <w:lvlText w:val=""/>
      <w:lvlJc w:val="left"/>
    </w:lvl>
    <w:lvl w:ilvl="3" w:tplc="E028FDA2">
      <w:numFmt w:val="decimal"/>
      <w:lvlText w:val=""/>
      <w:lvlJc w:val="left"/>
    </w:lvl>
    <w:lvl w:ilvl="4" w:tplc="D24097D0">
      <w:numFmt w:val="decimal"/>
      <w:lvlText w:val=""/>
      <w:lvlJc w:val="left"/>
    </w:lvl>
    <w:lvl w:ilvl="5" w:tplc="878ECCBE">
      <w:numFmt w:val="decimal"/>
      <w:lvlText w:val=""/>
      <w:lvlJc w:val="left"/>
    </w:lvl>
    <w:lvl w:ilvl="6" w:tplc="09B6D8FA">
      <w:numFmt w:val="decimal"/>
      <w:lvlText w:val=""/>
      <w:lvlJc w:val="left"/>
    </w:lvl>
    <w:lvl w:ilvl="7" w:tplc="72024348">
      <w:numFmt w:val="decimal"/>
      <w:lvlText w:val=""/>
      <w:lvlJc w:val="left"/>
    </w:lvl>
    <w:lvl w:ilvl="8" w:tplc="9C223018">
      <w:numFmt w:val="decimal"/>
      <w:lvlText w:val=""/>
      <w:lvlJc w:val="left"/>
    </w:lvl>
  </w:abstractNum>
  <w:abstractNum w:abstractNumId="175" w15:restartNumberingAfterBreak="0">
    <w:nsid w:val="7ACD4EC6"/>
    <w:multiLevelType w:val="hybridMultilevel"/>
    <w:tmpl w:val="56A21764"/>
    <w:lvl w:ilvl="0" w:tplc="78F23E9C">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176" w15:restartNumberingAfterBreak="0">
    <w:nsid w:val="7ADD3F2F"/>
    <w:multiLevelType w:val="hybridMultilevel"/>
    <w:tmpl w:val="7C6CD80A"/>
    <w:lvl w:ilvl="0" w:tplc="7850FBDC">
      <w:numFmt w:val="decimal"/>
      <w:lvlText w:val=""/>
      <w:lvlJc w:val="left"/>
    </w:lvl>
    <w:lvl w:ilvl="1" w:tplc="08090001">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77" w15:restartNumberingAfterBreak="0">
    <w:nsid w:val="7ADE64F5"/>
    <w:multiLevelType w:val="multilevel"/>
    <w:tmpl w:val="931059B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15:restartNumberingAfterBreak="0">
    <w:nsid w:val="7C6BF338"/>
    <w:multiLevelType w:val="hybridMultilevel"/>
    <w:tmpl w:val="58CE5F72"/>
    <w:lvl w:ilvl="0" w:tplc="262CB184">
      <w:numFmt w:val="decimal"/>
      <w:lvlText w:val=""/>
      <w:lvlJc w:val="left"/>
    </w:lvl>
    <w:lvl w:ilvl="1" w:tplc="BB4E39BE">
      <w:numFmt w:val="decimal"/>
      <w:lvlText w:val=""/>
      <w:lvlJc w:val="left"/>
    </w:lvl>
    <w:lvl w:ilvl="2" w:tplc="B1465C78">
      <w:numFmt w:val="decimal"/>
      <w:lvlText w:val=""/>
      <w:lvlJc w:val="left"/>
    </w:lvl>
    <w:lvl w:ilvl="3" w:tplc="DE32E25A">
      <w:numFmt w:val="decimal"/>
      <w:lvlText w:val=""/>
      <w:lvlJc w:val="left"/>
    </w:lvl>
    <w:lvl w:ilvl="4" w:tplc="184C85A4">
      <w:numFmt w:val="decimal"/>
      <w:lvlText w:val=""/>
      <w:lvlJc w:val="left"/>
    </w:lvl>
    <w:lvl w:ilvl="5" w:tplc="881633CE">
      <w:numFmt w:val="decimal"/>
      <w:lvlText w:val=""/>
      <w:lvlJc w:val="left"/>
    </w:lvl>
    <w:lvl w:ilvl="6" w:tplc="AE70B5BA">
      <w:numFmt w:val="decimal"/>
      <w:lvlText w:val=""/>
      <w:lvlJc w:val="left"/>
    </w:lvl>
    <w:lvl w:ilvl="7" w:tplc="4468983E">
      <w:numFmt w:val="decimal"/>
      <w:lvlText w:val=""/>
      <w:lvlJc w:val="left"/>
    </w:lvl>
    <w:lvl w:ilvl="8" w:tplc="20EE9C68">
      <w:numFmt w:val="decimal"/>
      <w:lvlText w:val=""/>
      <w:lvlJc w:val="left"/>
    </w:lvl>
  </w:abstractNum>
  <w:abstractNum w:abstractNumId="179" w15:restartNumberingAfterBreak="0">
    <w:nsid w:val="7CC01ADD"/>
    <w:multiLevelType w:val="multilevel"/>
    <w:tmpl w:val="273A271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0" w15:restartNumberingAfterBreak="0">
    <w:nsid w:val="7CD672AF"/>
    <w:multiLevelType w:val="hybridMultilevel"/>
    <w:tmpl w:val="F21E073E"/>
    <w:lvl w:ilvl="0" w:tplc="79C854DE">
      <w:start w:val="1"/>
      <w:numFmt w:val="lowerRoman"/>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1" w15:restartNumberingAfterBreak="0">
    <w:nsid w:val="7E6E90B6"/>
    <w:multiLevelType w:val="hybridMultilevel"/>
    <w:tmpl w:val="3E24394E"/>
    <w:lvl w:ilvl="0" w:tplc="BC36F02C">
      <w:numFmt w:val="decimal"/>
      <w:lvlText w:val=""/>
      <w:lvlJc w:val="left"/>
    </w:lvl>
    <w:lvl w:ilvl="1" w:tplc="6700020A">
      <w:numFmt w:val="decimal"/>
      <w:lvlText w:val=""/>
      <w:lvlJc w:val="left"/>
    </w:lvl>
    <w:lvl w:ilvl="2" w:tplc="72E8A8C6">
      <w:numFmt w:val="decimal"/>
      <w:lvlText w:val=""/>
      <w:lvlJc w:val="left"/>
    </w:lvl>
    <w:lvl w:ilvl="3" w:tplc="58E6F63E">
      <w:numFmt w:val="decimal"/>
      <w:lvlText w:val=""/>
      <w:lvlJc w:val="left"/>
    </w:lvl>
    <w:lvl w:ilvl="4" w:tplc="74403C8C">
      <w:numFmt w:val="decimal"/>
      <w:lvlText w:val=""/>
      <w:lvlJc w:val="left"/>
    </w:lvl>
    <w:lvl w:ilvl="5" w:tplc="55E4878A">
      <w:numFmt w:val="decimal"/>
      <w:lvlText w:val=""/>
      <w:lvlJc w:val="left"/>
    </w:lvl>
    <w:lvl w:ilvl="6" w:tplc="226CECD4">
      <w:numFmt w:val="decimal"/>
      <w:lvlText w:val=""/>
      <w:lvlJc w:val="left"/>
    </w:lvl>
    <w:lvl w:ilvl="7" w:tplc="167CEF40">
      <w:numFmt w:val="decimal"/>
      <w:lvlText w:val=""/>
      <w:lvlJc w:val="left"/>
    </w:lvl>
    <w:lvl w:ilvl="8" w:tplc="1F6CFAD0">
      <w:numFmt w:val="decimal"/>
      <w:lvlText w:val=""/>
      <w:lvlJc w:val="left"/>
    </w:lvl>
  </w:abstractNum>
  <w:abstractNum w:abstractNumId="182" w15:restartNumberingAfterBreak="0">
    <w:nsid w:val="7E7B09A1"/>
    <w:multiLevelType w:val="hybridMultilevel"/>
    <w:tmpl w:val="2FD43160"/>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183" w15:restartNumberingAfterBreak="0">
    <w:nsid w:val="7F042184"/>
    <w:multiLevelType w:val="hybridMultilevel"/>
    <w:tmpl w:val="1B9A522C"/>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num w:numId="1">
    <w:abstractNumId w:val="13"/>
  </w:num>
  <w:num w:numId="2">
    <w:abstractNumId w:val="119"/>
  </w:num>
  <w:num w:numId="3">
    <w:abstractNumId w:val="4"/>
  </w:num>
  <w:num w:numId="4">
    <w:abstractNumId w:val="112"/>
  </w:num>
  <w:num w:numId="5">
    <w:abstractNumId w:val="53"/>
  </w:num>
  <w:num w:numId="6">
    <w:abstractNumId w:val="68"/>
  </w:num>
  <w:num w:numId="7">
    <w:abstractNumId w:val="176"/>
  </w:num>
  <w:num w:numId="8">
    <w:abstractNumId w:val="20"/>
  </w:num>
  <w:num w:numId="9">
    <w:abstractNumId w:val="24"/>
  </w:num>
  <w:num w:numId="10">
    <w:abstractNumId w:val="121"/>
  </w:num>
  <w:num w:numId="11">
    <w:abstractNumId w:val="114"/>
  </w:num>
  <w:num w:numId="12">
    <w:abstractNumId w:val="83"/>
  </w:num>
  <w:num w:numId="13">
    <w:abstractNumId w:val="25"/>
  </w:num>
  <w:num w:numId="14">
    <w:abstractNumId w:val="182"/>
  </w:num>
  <w:num w:numId="15">
    <w:abstractNumId w:val="9"/>
  </w:num>
  <w:num w:numId="16">
    <w:abstractNumId w:val="32"/>
  </w:num>
  <w:num w:numId="17">
    <w:abstractNumId w:val="54"/>
  </w:num>
  <w:num w:numId="18">
    <w:abstractNumId w:val="173"/>
  </w:num>
  <w:num w:numId="19">
    <w:abstractNumId w:val="85"/>
  </w:num>
  <w:num w:numId="20">
    <w:abstractNumId w:val="128"/>
  </w:num>
  <w:num w:numId="21">
    <w:abstractNumId w:val="161"/>
  </w:num>
  <w:num w:numId="22">
    <w:abstractNumId w:val="127"/>
  </w:num>
  <w:num w:numId="23">
    <w:abstractNumId w:val="140"/>
  </w:num>
  <w:num w:numId="24">
    <w:abstractNumId w:val="165"/>
  </w:num>
  <w:num w:numId="25">
    <w:abstractNumId w:val="170"/>
  </w:num>
  <w:num w:numId="26">
    <w:abstractNumId w:val="163"/>
  </w:num>
  <w:num w:numId="27">
    <w:abstractNumId w:val="71"/>
  </w:num>
  <w:num w:numId="28">
    <w:abstractNumId w:val="132"/>
  </w:num>
  <w:num w:numId="29">
    <w:abstractNumId w:val="65"/>
  </w:num>
  <w:num w:numId="30">
    <w:abstractNumId w:val="177"/>
  </w:num>
  <w:num w:numId="31">
    <w:abstractNumId w:val="133"/>
  </w:num>
  <w:num w:numId="32">
    <w:abstractNumId w:val="162"/>
  </w:num>
  <w:num w:numId="33">
    <w:abstractNumId w:val="103"/>
  </w:num>
  <w:num w:numId="34">
    <w:abstractNumId w:val="8"/>
  </w:num>
  <w:num w:numId="35">
    <w:abstractNumId w:val="96"/>
  </w:num>
  <w:num w:numId="36">
    <w:abstractNumId w:val="95"/>
  </w:num>
  <w:num w:numId="37">
    <w:abstractNumId w:val="10"/>
  </w:num>
  <w:num w:numId="38">
    <w:abstractNumId w:val="12"/>
  </w:num>
  <w:num w:numId="39">
    <w:abstractNumId w:val="118"/>
  </w:num>
  <w:num w:numId="40">
    <w:abstractNumId w:val="75"/>
  </w:num>
  <w:num w:numId="41">
    <w:abstractNumId w:val="168"/>
  </w:num>
  <w:num w:numId="42">
    <w:abstractNumId w:val="76"/>
  </w:num>
  <w:num w:numId="43">
    <w:abstractNumId w:val="3"/>
  </w:num>
  <w:num w:numId="44">
    <w:abstractNumId w:val="75"/>
  </w:num>
  <w:num w:numId="45">
    <w:abstractNumId w:val="16"/>
  </w:num>
  <w:num w:numId="46">
    <w:abstractNumId w:val="61"/>
  </w:num>
  <w:num w:numId="47">
    <w:abstractNumId w:val="41"/>
  </w:num>
  <w:num w:numId="48">
    <w:abstractNumId w:val="79"/>
  </w:num>
  <w:num w:numId="49">
    <w:abstractNumId w:val="67"/>
  </w:num>
  <w:num w:numId="50">
    <w:abstractNumId w:val="43"/>
  </w:num>
  <w:num w:numId="51">
    <w:abstractNumId w:val="19"/>
  </w:num>
  <w:num w:numId="52">
    <w:abstractNumId w:val="33"/>
  </w:num>
  <w:num w:numId="53">
    <w:abstractNumId w:val="101"/>
  </w:num>
  <w:num w:numId="54">
    <w:abstractNumId w:val="141"/>
  </w:num>
  <w:num w:numId="55">
    <w:abstractNumId w:val="158"/>
  </w:num>
  <w:num w:numId="56">
    <w:abstractNumId w:val="36"/>
  </w:num>
  <w:num w:numId="57">
    <w:abstractNumId w:val="122"/>
  </w:num>
  <w:num w:numId="58">
    <w:abstractNumId w:val="115"/>
  </w:num>
  <w:num w:numId="59">
    <w:abstractNumId w:val="40"/>
  </w:num>
  <w:num w:numId="60">
    <w:abstractNumId w:val="11"/>
  </w:num>
  <w:num w:numId="61">
    <w:abstractNumId w:val="166"/>
  </w:num>
  <w:num w:numId="62">
    <w:abstractNumId w:val="108"/>
  </w:num>
  <w:num w:numId="63">
    <w:abstractNumId w:val="179"/>
  </w:num>
  <w:num w:numId="64">
    <w:abstractNumId w:val="80"/>
  </w:num>
  <w:num w:numId="65">
    <w:abstractNumId w:val="147"/>
  </w:num>
  <w:num w:numId="66">
    <w:abstractNumId w:val="38"/>
  </w:num>
  <w:num w:numId="67">
    <w:abstractNumId w:val="146"/>
  </w:num>
  <w:num w:numId="68">
    <w:abstractNumId w:val="149"/>
  </w:num>
  <w:num w:numId="69">
    <w:abstractNumId w:val="48"/>
  </w:num>
  <w:num w:numId="70">
    <w:abstractNumId w:val="164"/>
  </w:num>
  <w:num w:numId="71">
    <w:abstractNumId w:val="42"/>
  </w:num>
  <w:num w:numId="72">
    <w:abstractNumId w:val="37"/>
  </w:num>
  <w:num w:numId="73">
    <w:abstractNumId w:val="102"/>
  </w:num>
  <w:num w:numId="74">
    <w:abstractNumId w:val="159"/>
  </w:num>
  <w:num w:numId="75">
    <w:abstractNumId w:val="99"/>
  </w:num>
  <w:num w:numId="76">
    <w:abstractNumId w:val="73"/>
  </w:num>
  <w:num w:numId="77">
    <w:abstractNumId w:val="87"/>
  </w:num>
  <w:num w:numId="78">
    <w:abstractNumId w:val="7"/>
  </w:num>
  <w:num w:numId="79">
    <w:abstractNumId w:val="120"/>
  </w:num>
  <w:num w:numId="80">
    <w:abstractNumId w:val="41"/>
  </w:num>
  <w:num w:numId="81">
    <w:abstractNumId w:val="124"/>
  </w:num>
  <w:num w:numId="82">
    <w:abstractNumId w:val="92"/>
  </w:num>
  <w:num w:numId="83">
    <w:abstractNumId w:val="92"/>
  </w:num>
  <w:num w:numId="84">
    <w:abstractNumId w:val="93"/>
  </w:num>
  <w:num w:numId="85">
    <w:abstractNumId w:val="56"/>
  </w:num>
  <w:num w:numId="86">
    <w:abstractNumId w:val="34"/>
  </w:num>
  <w:num w:numId="87">
    <w:abstractNumId w:val="22"/>
  </w:num>
  <w:num w:numId="88">
    <w:abstractNumId w:val="175"/>
  </w:num>
  <w:num w:numId="89">
    <w:abstractNumId w:val="142"/>
  </w:num>
  <w:num w:numId="90">
    <w:abstractNumId w:val="126"/>
  </w:num>
  <w:num w:numId="91">
    <w:abstractNumId w:val="130"/>
  </w:num>
  <w:num w:numId="92">
    <w:abstractNumId w:val="17"/>
  </w:num>
  <w:num w:numId="93">
    <w:abstractNumId w:val="77"/>
  </w:num>
  <w:num w:numId="94">
    <w:abstractNumId w:val="78"/>
  </w:num>
  <w:num w:numId="95">
    <w:abstractNumId w:val="94"/>
  </w:num>
  <w:num w:numId="96">
    <w:abstractNumId w:val="47"/>
  </w:num>
  <w:num w:numId="97">
    <w:abstractNumId w:val="174"/>
  </w:num>
  <w:num w:numId="98">
    <w:abstractNumId w:val="117"/>
  </w:num>
  <w:num w:numId="99">
    <w:abstractNumId w:val="110"/>
  </w:num>
  <w:num w:numId="100">
    <w:abstractNumId w:val="23"/>
  </w:num>
  <w:num w:numId="101">
    <w:abstractNumId w:val="113"/>
  </w:num>
  <w:num w:numId="102">
    <w:abstractNumId w:val="138"/>
  </w:num>
  <w:num w:numId="103">
    <w:abstractNumId w:val="84"/>
  </w:num>
  <w:num w:numId="104">
    <w:abstractNumId w:val="154"/>
  </w:num>
  <w:num w:numId="105">
    <w:abstractNumId w:val="125"/>
  </w:num>
  <w:num w:numId="106">
    <w:abstractNumId w:val="69"/>
  </w:num>
  <w:num w:numId="107">
    <w:abstractNumId w:val="172"/>
  </w:num>
  <w:num w:numId="108">
    <w:abstractNumId w:val="29"/>
  </w:num>
  <w:num w:numId="109">
    <w:abstractNumId w:val="157"/>
  </w:num>
  <w:num w:numId="110">
    <w:abstractNumId w:val="171"/>
  </w:num>
  <w:num w:numId="111">
    <w:abstractNumId w:val="109"/>
  </w:num>
  <w:num w:numId="112">
    <w:abstractNumId w:val="64"/>
  </w:num>
  <w:num w:numId="113">
    <w:abstractNumId w:val="63"/>
  </w:num>
  <w:num w:numId="114">
    <w:abstractNumId w:val="111"/>
  </w:num>
  <w:num w:numId="115">
    <w:abstractNumId w:val="116"/>
  </w:num>
  <w:num w:numId="116">
    <w:abstractNumId w:val="14"/>
  </w:num>
  <w:num w:numId="117">
    <w:abstractNumId w:val="167"/>
  </w:num>
  <w:num w:numId="118">
    <w:abstractNumId w:val="88"/>
  </w:num>
  <w:num w:numId="119">
    <w:abstractNumId w:val="169"/>
  </w:num>
  <w:num w:numId="120">
    <w:abstractNumId w:val="135"/>
  </w:num>
  <w:num w:numId="121">
    <w:abstractNumId w:val="6"/>
  </w:num>
  <w:num w:numId="122">
    <w:abstractNumId w:val="123"/>
  </w:num>
  <w:num w:numId="123">
    <w:abstractNumId w:val="151"/>
  </w:num>
  <w:num w:numId="124">
    <w:abstractNumId w:val="70"/>
  </w:num>
  <w:num w:numId="125">
    <w:abstractNumId w:val="104"/>
  </w:num>
  <w:num w:numId="126">
    <w:abstractNumId w:val="1"/>
  </w:num>
  <w:num w:numId="127">
    <w:abstractNumId w:val="131"/>
  </w:num>
  <w:num w:numId="128">
    <w:abstractNumId w:val="49"/>
  </w:num>
  <w:num w:numId="129">
    <w:abstractNumId w:val="90"/>
  </w:num>
  <w:num w:numId="130">
    <w:abstractNumId w:val="143"/>
  </w:num>
  <w:num w:numId="131">
    <w:abstractNumId w:val="28"/>
  </w:num>
  <w:num w:numId="132">
    <w:abstractNumId w:val="153"/>
  </w:num>
  <w:num w:numId="133">
    <w:abstractNumId w:val="21"/>
  </w:num>
  <w:num w:numId="134">
    <w:abstractNumId w:val="23"/>
  </w:num>
  <w:num w:numId="135">
    <w:abstractNumId w:val="100"/>
  </w:num>
  <w:num w:numId="136">
    <w:abstractNumId w:val="126"/>
  </w:num>
  <w:num w:numId="1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0"/>
  </w:num>
  <w:num w:numId="139">
    <w:abstractNumId w:val="11"/>
  </w:num>
  <w:num w:numId="140">
    <w:abstractNumId w:val="16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0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3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91"/>
  </w:num>
  <w:num w:numId="145">
    <w:abstractNumId w:val="136"/>
  </w:num>
  <w:num w:numId="146">
    <w:abstractNumId w:val="137"/>
  </w:num>
  <w:num w:numId="147">
    <w:abstractNumId w:val="106"/>
  </w:num>
  <w:num w:numId="148">
    <w:abstractNumId w:val="55"/>
  </w:num>
  <w:num w:numId="149">
    <w:abstractNumId w:val="81"/>
  </w:num>
  <w:num w:numId="150">
    <w:abstractNumId w:val="45"/>
  </w:num>
  <w:num w:numId="151">
    <w:abstractNumId w:val="52"/>
  </w:num>
  <w:num w:numId="152">
    <w:abstractNumId w:val="129"/>
  </w:num>
  <w:num w:numId="153">
    <w:abstractNumId w:val="89"/>
  </w:num>
  <w:num w:numId="154">
    <w:abstractNumId w:val="74"/>
  </w:num>
  <w:num w:numId="155">
    <w:abstractNumId w:val="57"/>
  </w:num>
  <w:num w:numId="156">
    <w:abstractNumId w:val="0"/>
  </w:num>
  <w:num w:numId="157">
    <w:abstractNumId w:val="86"/>
  </w:num>
  <w:num w:numId="158">
    <w:abstractNumId w:val="18"/>
  </w:num>
  <w:num w:numId="159">
    <w:abstractNumId w:val="105"/>
  </w:num>
  <w:num w:numId="160">
    <w:abstractNumId w:val="46"/>
  </w:num>
  <w:num w:numId="161">
    <w:abstractNumId w:val="35"/>
  </w:num>
  <w:num w:numId="162">
    <w:abstractNumId w:val="152"/>
  </w:num>
  <w:num w:numId="163">
    <w:abstractNumId w:val="178"/>
  </w:num>
  <w:num w:numId="164">
    <w:abstractNumId w:val="82"/>
  </w:num>
  <w:num w:numId="165">
    <w:abstractNumId w:val="58"/>
  </w:num>
  <w:num w:numId="166">
    <w:abstractNumId w:val="156"/>
  </w:num>
  <w:num w:numId="167">
    <w:abstractNumId w:val="5"/>
  </w:num>
  <w:num w:numId="168">
    <w:abstractNumId w:val="66"/>
  </w:num>
  <w:num w:numId="169">
    <w:abstractNumId w:val="155"/>
  </w:num>
  <w:num w:numId="170">
    <w:abstractNumId w:val="31"/>
  </w:num>
  <w:num w:numId="171">
    <w:abstractNumId w:val="39"/>
  </w:num>
  <w:num w:numId="172">
    <w:abstractNumId w:val="60"/>
  </w:num>
  <w:num w:numId="173">
    <w:abstractNumId w:val="72"/>
  </w:num>
  <w:num w:numId="174">
    <w:abstractNumId w:val="181"/>
  </w:num>
  <w:num w:numId="175">
    <w:abstractNumId w:val="27"/>
  </w:num>
  <w:num w:numId="176">
    <w:abstractNumId w:val="160"/>
  </w:num>
  <w:num w:numId="177">
    <w:abstractNumId w:val="50"/>
  </w:num>
  <w:num w:numId="178">
    <w:abstractNumId w:val="62"/>
  </w:num>
  <w:num w:numId="179">
    <w:abstractNumId w:val="134"/>
  </w:num>
  <w:num w:numId="180">
    <w:abstractNumId w:val="97"/>
  </w:num>
  <w:num w:numId="181">
    <w:abstractNumId w:val="144"/>
  </w:num>
  <w:num w:numId="182">
    <w:abstractNumId w:val="51"/>
  </w:num>
  <w:num w:numId="183">
    <w:abstractNumId w:val="139"/>
  </w:num>
  <w:num w:numId="184">
    <w:abstractNumId w:val="98"/>
  </w:num>
  <w:num w:numId="185">
    <w:abstractNumId w:val="183"/>
  </w:num>
  <w:num w:numId="186">
    <w:abstractNumId w:val="26"/>
  </w:num>
  <w:num w:numId="187">
    <w:abstractNumId w:val="150"/>
  </w:num>
  <w:num w:numId="188">
    <w:abstractNumId w:val="15"/>
  </w:num>
  <w:num w:numId="189">
    <w:abstractNumId w:val="148"/>
  </w:num>
  <w:num w:numId="190">
    <w:abstractNumId w:val="107"/>
  </w:num>
  <w:num w:numId="191">
    <w:abstractNumId w:val="2"/>
  </w:num>
  <w:num w:numId="192">
    <w:abstractNumId w:val="180"/>
  </w:num>
  <w:num w:numId="193">
    <w:abstractNumId w:val="59"/>
  </w:num>
  <w:num w:numId="194">
    <w:abstractNumId w:val="145"/>
  </w:num>
  <w:num w:numId="195">
    <w:abstractNumId w:val="30"/>
  </w:num>
  <w:num w:numId="196">
    <w:abstractNumId w:val="44"/>
  </w:num>
  <w:numIdMacAtCleanup w:val="1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US" w:vendorID="64" w:dllVersion="6" w:nlCheck="1" w:checkStyle="1"/>
  <w:activeWritingStyle w:appName="MSWord" w:lang="en-IE" w:vendorID="64" w:dllVersion="6" w:nlCheck="1" w:checkStyle="1"/>
  <w:activeWritingStyle w:appName="MSWord" w:lang="en-GB"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55DC417-33A6-4AA3-82BE-00EF0C0021BD"/>
    <w:docVar w:name="LW_COVERPAGE_TYPE" w:val="1"/>
    <w:docVar w:name="LW_CROSSREFERENCE" w:val="{SWD(2022) 341 final}"/>
    <w:docVar w:name="LW_DocType" w:val="NORMAL"/>
    <w:docVar w:name="LW_EMISSION" w:val="18.10.2022"/>
    <w:docVar w:name="LW_EMISSION_ISODATE" w:val="2022-10-18"/>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2) 55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Digitalizarea sistemului energetic – Planul de acțiune al UE&lt;/FMT&gt;"/>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C20B11"/>
    <w:rsid w:val="000006D6"/>
    <w:rsid w:val="000020A2"/>
    <w:rsid w:val="000020C2"/>
    <w:rsid w:val="00002E6B"/>
    <w:rsid w:val="000037AC"/>
    <w:rsid w:val="00003B2B"/>
    <w:rsid w:val="00003E9F"/>
    <w:rsid w:val="0000477E"/>
    <w:rsid w:val="000055C3"/>
    <w:rsid w:val="00005731"/>
    <w:rsid w:val="00006309"/>
    <w:rsid w:val="0000645D"/>
    <w:rsid w:val="000068D6"/>
    <w:rsid w:val="00007997"/>
    <w:rsid w:val="00007C7F"/>
    <w:rsid w:val="00010217"/>
    <w:rsid w:val="00011B14"/>
    <w:rsid w:val="00011DCD"/>
    <w:rsid w:val="000129D7"/>
    <w:rsid w:val="00012EC5"/>
    <w:rsid w:val="00013679"/>
    <w:rsid w:val="0001367B"/>
    <w:rsid w:val="00013932"/>
    <w:rsid w:val="00013D6D"/>
    <w:rsid w:val="00014373"/>
    <w:rsid w:val="00014699"/>
    <w:rsid w:val="00015095"/>
    <w:rsid w:val="000150A9"/>
    <w:rsid w:val="00016A8E"/>
    <w:rsid w:val="00017006"/>
    <w:rsid w:val="0002118E"/>
    <w:rsid w:val="000213CF"/>
    <w:rsid w:val="00021CA3"/>
    <w:rsid w:val="00023B9C"/>
    <w:rsid w:val="0002488A"/>
    <w:rsid w:val="000257BA"/>
    <w:rsid w:val="0002585D"/>
    <w:rsid w:val="000264EA"/>
    <w:rsid w:val="000265A9"/>
    <w:rsid w:val="000267A1"/>
    <w:rsid w:val="00026925"/>
    <w:rsid w:val="000269C6"/>
    <w:rsid w:val="00026BE0"/>
    <w:rsid w:val="00026D68"/>
    <w:rsid w:val="00027307"/>
    <w:rsid w:val="00027414"/>
    <w:rsid w:val="00027631"/>
    <w:rsid w:val="00027B95"/>
    <w:rsid w:val="00030367"/>
    <w:rsid w:val="00030FF5"/>
    <w:rsid w:val="00032778"/>
    <w:rsid w:val="00032E97"/>
    <w:rsid w:val="000333A5"/>
    <w:rsid w:val="000335BF"/>
    <w:rsid w:val="00034425"/>
    <w:rsid w:val="00034FF3"/>
    <w:rsid w:val="00036472"/>
    <w:rsid w:val="0003658A"/>
    <w:rsid w:val="000367E6"/>
    <w:rsid w:val="00037618"/>
    <w:rsid w:val="00037892"/>
    <w:rsid w:val="00037897"/>
    <w:rsid w:val="00037B6C"/>
    <w:rsid w:val="00037EDB"/>
    <w:rsid w:val="00040677"/>
    <w:rsid w:val="000406E5"/>
    <w:rsid w:val="0004072F"/>
    <w:rsid w:val="000410D1"/>
    <w:rsid w:val="000417D8"/>
    <w:rsid w:val="0004295F"/>
    <w:rsid w:val="00042F25"/>
    <w:rsid w:val="0004340D"/>
    <w:rsid w:val="000437C7"/>
    <w:rsid w:val="00044B0F"/>
    <w:rsid w:val="00044D53"/>
    <w:rsid w:val="00045992"/>
    <w:rsid w:val="00045BDE"/>
    <w:rsid w:val="00046CCD"/>
    <w:rsid w:val="00047131"/>
    <w:rsid w:val="00047228"/>
    <w:rsid w:val="000473DB"/>
    <w:rsid w:val="00047BA0"/>
    <w:rsid w:val="0005046F"/>
    <w:rsid w:val="000518AE"/>
    <w:rsid w:val="00051F76"/>
    <w:rsid w:val="000521E7"/>
    <w:rsid w:val="00052676"/>
    <w:rsid w:val="000526A6"/>
    <w:rsid w:val="00052CEC"/>
    <w:rsid w:val="00053AE3"/>
    <w:rsid w:val="00053F6A"/>
    <w:rsid w:val="00054026"/>
    <w:rsid w:val="00054790"/>
    <w:rsid w:val="00054DCE"/>
    <w:rsid w:val="00055658"/>
    <w:rsid w:val="000559A9"/>
    <w:rsid w:val="00055A5C"/>
    <w:rsid w:val="00056BF7"/>
    <w:rsid w:val="00056DB8"/>
    <w:rsid w:val="0005789E"/>
    <w:rsid w:val="0006074E"/>
    <w:rsid w:val="00060AB8"/>
    <w:rsid w:val="00061662"/>
    <w:rsid w:val="00061CDB"/>
    <w:rsid w:val="000624D5"/>
    <w:rsid w:val="000627BC"/>
    <w:rsid w:val="00062891"/>
    <w:rsid w:val="00062AB4"/>
    <w:rsid w:val="0006312F"/>
    <w:rsid w:val="0006321D"/>
    <w:rsid w:val="000655B4"/>
    <w:rsid w:val="000656D7"/>
    <w:rsid w:val="000659DD"/>
    <w:rsid w:val="00066990"/>
    <w:rsid w:val="00067B47"/>
    <w:rsid w:val="00067D0D"/>
    <w:rsid w:val="00067D1F"/>
    <w:rsid w:val="000708BB"/>
    <w:rsid w:val="00070E9F"/>
    <w:rsid w:val="000710FC"/>
    <w:rsid w:val="00071953"/>
    <w:rsid w:val="00071D40"/>
    <w:rsid w:val="00071F88"/>
    <w:rsid w:val="00072683"/>
    <w:rsid w:val="000726C8"/>
    <w:rsid w:val="0007293D"/>
    <w:rsid w:val="000730EB"/>
    <w:rsid w:val="00073A5E"/>
    <w:rsid w:val="000743C6"/>
    <w:rsid w:val="00074AF3"/>
    <w:rsid w:val="00076309"/>
    <w:rsid w:val="0007719A"/>
    <w:rsid w:val="0008122F"/>
    <w:rsid w:val="000816EC"/>
    <w:rsid w:val="000819EB"/>
    <w:rsid w:val="000819F3"/>
    <w:rsid w:val="00082A97"/>
    <w:rsid w:val="00082DFA"/>
    <w:rsid w:val="000832E4"/>
    <w:rsid w:val="00083703"/>
    <w:rsid w:val="00083C01"/>
    <w:rsid w:val="00083C46"/>
    <w:rsid w:val="00083F35"/>
    <w:rsid w:val="00084892"/>
    <w:rsid w:val="00084A88"/>
    <w:rsid w:val="00085D37"/>
    <w:rsid w:val="000861DA"/>
    <w:rsid w:val="00086D0E"/>
    <w:rsid w:val="00086E69"/>
    <w:rsid w:val="00087A6C"/>
    <w:rsid w:val="00087B4B"/>
    <w:rsid w:val="00087F39"/>
    <w:rsid w:val="00087F4D"/>
    <w:rsid w:val="00090770"/>
    <w:rsid w:val="00090E57"/>
    <w:rsid w:val="000914A3"/>
    <w:rsid w:val="00091EB8"/>
    <w:rsid w:val="00092244"/>
    <w:rsid w:val="000923C5"/>
    <w:rsid w:val="000924B5"/>
    <w:rsid w:val="00092F4C"/>
    <w:rsid w:val="000932BC"/>
    <w:rsid w:val="00093629"/>
    <w:rsid w:val="00093CBF"/>
    <w:rsid w:val="00093DF8"/>
    <w:rsid w:val="00094328"/>
    <w:rsid w:val="00094DCD"/>
    <w:rsid w:val="0009580D"/>
    <w:rsid w:val="00095A15"/>
    <w:rsid w:val="00096B0C"/>
    <w:rsid w:val="00096B2A"/>
    <w:rsid w:val="00097B82"/>
    <w:rsid w:val="00097D73"/>
    <w:rsid w:val="000A0A0E"/>
    <w:rsid w:val="000A0EEF"/>
    <w:rsid w:val="000A1643"/>
    <w:rsid w:val="000A166D"/>
    <w:rsid w:val="000A16DC"/>
    <w:rsid w:val="000A1AC8"/>
    <w:rsid w:val="000A1D74"/>
    <w:rsid w:val="000A263D"/>
    <w:rsid w:val="000A2B14"/>
    <w:rsid w:val="000A2C6F"/>
    <w:rsid w:val="000A32C9"/>
    <w:rsid w:val="000A365E"/>
    <w:rsid w:val="000A4DF8"/>
    <w:rsid w:val="000A4E7B"/>
    <w:rsid w:val="000A511B"/>
    <w:rsid w:val="000A5779"/>
    <w:rsid w:val="000A5AE3"/>
    <w:rsid w:val="000A5E35"/>
    <w:rsid w:val="000A659D"/>
    <w:rsid w:val="000A6D10"/>
    <w:rsid w:val="000A6D8F"/>
    <w:rsid w:val="000A7262"/>
    <w:rsid w:val="000A74F3"/>
    <w:rsid w:val="000B018D"/>
    <w:rsid w:val="000B0FA1"/>
    <w:rsid w:val="000B10AE"/>
    <w:rsid w:val="000B1102"/>
    <w:rsid w:val="000B199B"/>
    <w:rsid w:val="000B26F0"/>
    <w:rsid w:val="000B287A"/>
    <w:rsid w:val="000B3BFA"/>
    <w:rsid w:val="000B3E20"/>
    <w:rsid w:val="000B3EFF"/>
    <w:rsid w:val="000B42BD"/>
    <w:rsid w:val="000B4AAC"/>
    <w:rsid w:val="000B4C28"/>
    <w:rsid w:val="000B632D"/>
    <w:rsid w:val="000B6CD4"/>
    <w:rsid w:val="000B6D29"/>
    <w:rsid w:val="000B6EF3"/>
    <w:rsid w:val="000B6FEF"/>
    <w:rsid w:val="000B7C54"/>
    <w:rsid w:val="000C2361"/>
    <w:rsid w:val="000C2784"/>
    <w:rsid w:val="000C373D"/>
    <w:rsid w:val="000C3EBC"/>
    <w:rsid w:val="000C4DCB"/>
    <w:rsid w:val="000C5DE7"/>
    <w:rsid w:val="000C62F3"/>
    <w:rsid w:val="000C65C4"/>
    <w:rsid w:val="000C7612"/>
    <w:rsid w:val="000C7715"/>
    <w:rsid w:val="000C7CA3"/>
    <w:rsid w:val="000C7E5B"/>
    <w:rsid w:val="000D06BA"/>
    <w:rsid w:val="000D07F4"/>
    <w:rsid w:val="000D0B28"/>
    <w:rsid w:val="000D0C6C"/>
    <w:rsid w:val="000D1305"/>
    <w:rsid w:val="000D24A9"/>
    <w:rsid w:val="000D300A"/>
    <w:rsid w:val="000D30D3"/>
    <w:rsid w:val="000D35B6"/>
    <w:rsid w:val="000D3E08"/>
    <w:rsid w:val="000D3FB5"/>
    <w:rsid w:val="000D4B7D"/>
    <w:rsid w:val="000D4FA1"/>
    <w:rsid w:val="000D53D2"/>
    <w:rsid w:val="000D618A"/>
    <w:rsid w:val="000D67FC"/>
    <w:rsid w:val="000D7233"/>
    <w:rsid w:val="000D7472"/>
    <w:rsid w:val="000D77EF"/>
    <w:rsid w:val="000E0148"/>
    <w:rsid w:val="000E022D"/>
    <w:rsid w:val="000E0325"/>
    <w:rsid w:val="000E0B4C"/>
    <w:rsid w:val="000E1070"/>
    <w:rsid w:val="000E1EAE"/>
    <w:rsid w:val="000E207C"/>
    <w:rsid w:val="000E23C0"/>
    <w:rsid w:val="000E266C"/>
    <w:rsid w:val="000E37AF"/>
    <w:rsid w:val="000E5205"/>
    <w:rsid w:val="000E5650"/>
    <w:rsid w:val="000E56B2"/>
    <w:rsid w:val="000E56C8"/>
    <w:rsid w:val="000E58A1"/>
    <w:rsid w:val="000E673E"/>
    <w:rsid w:val="000E700E"/>
    <w:rsid w:val="000E76C1"/>
    <w:rsid w:val="000E7DBF"/>
    <w:rsid w:val="000F0ED2"/>
    <w:rsid w:val="000F14F8"/>
    <w:rsid w:val="000F1546"/>
    <w:rsid w:val="000F2E43"/>
    <w:rsid w:val="000F2ED7"/>
    <w:rsid w:val="000F3036"/>
    <w:rsid w:val="000F3D94"/>
    <w:rsid w:val="000F3EED"/>
    <w:rsid w:val="000F4C85"/>
    <w:rsid w:val="000F4F79"/>
    <w:rsid w:val="000F4FD1"/>
    <w:rsid w:val="000F5A2C"/>
    <w:rsid w:val="000F5D16"/>
    <w:rsid w:val="000F6DF2"/>
    <w:rsid w:val="0010023B"/>
    <w:rsid w:val="00100ACE"/>
    <w:rsid w:val="00101888"/>
    <w:rsid w:val="00101BA5"/>
    <w:rsid w:val="001021A6"/>
    <w:rsid w:val="001024CA"/>
    <w:rsid w:val="00102F44"/>
    <w:rsid w:val="0010311B"/>
    <w:rsid w:val="00103310"/>
    <w:rsid w:val="001033F5"/>
    <w:rsid w:val="001048F3"/>
    <w:rsid w:val="001049F0"/>
    <w:rsid w:val="00105AF3"/>
    <w:rsid w:val="0010641A"/>
    <w:rsid w:val="0010790E"/>
    <w:rsid w:val="001102FF"/>
    <w:rsid w:val="001108A0"/>
    <w:rsid w:val="00110BBF"/>
    <w:rsid w:val="00111382"/>
    <w:rsid w:val="001118A7"/>
    <w:rsid w:val="0011204B"/>
    <w:rsid w:val="00112EEE"/>
    <w:rsid w:val="00113040"/>
    <w:rsid w:val="00113274"/>
    <w:rsid w:val="001132A2"/>
    <w:rsid w:val="00114456"/>
    <w:rsid w:val="00114946"/>
    <w:rsid w:val="00114BF8"/>
    <w:rsid w:val="00114F06"/>
    <w:rsid w:val="001151C0"/>
    <w:rsid w:val="00115EC3"/>
    <w:rsid w:val="00117736"/>
    <w:rsid w:val="001200BD"/>
    <w:rsid w:val="00121078"/>
    <w:rsid w:val="00121BF0"/>
    <w:rsid w:val="00121CDA"/>
    <w:rsid w:val="001220A8"/>
    <w:rsid w:val="0012262F"/>
    <w:rsid w:val="00123788"/>
    <w:rsid w:val="0012492E"/>
    <w:rsid w:val="00125D64"/>
    <w:rsid w:val="001260AD"/>
    <w:rsid w:val="001261A5"/>
    <w:rsid w:val="001261CD"/>
    <w:rsid w:val="0012628E"/>
    <w:rsid w:val="001262D1"/>
    <w:rsid w:val="00126707"/>
    <w:rsid w:val="0012676B"/>
    <w:rsid w:val="00126C1D"/>
    <w:rsid w:val="001271B7"/>
    <w:rsid w:val="00127434"/>
    <w:rsid w:val="00131261"/>
    <w:rsid w:val="00132076"/>
    <w:rsid w:val="0013254B"/>
    <w:rsid w:val="00133D9F"/>
    <w:rsid w:val="00134E9E"/>
    <w:rsid w:val="00135191"/>
    <w:rsid w:val="001360C6"/>
    <w:rsid w:val="001365FF"/>
    <w:rsid w:val="00136832"/>
    <w:rsid w:val="00137032"/>
    <w:rsid w:val="00137368"/>
    <w:rsid w:val="001374BF"/>
    <w:rsid w:val="00137923"/>
    <w:rsid w:val="0014011E"/>
    <w:rsid w:val="001401A0"/>
    <w:rsid w:val="001413B7"/>
    <w:rsid w:val="00141989"/>
    <w:rsid w:val="00141FA2"/>
    <w:rsid w:val="00142BD2"/>
    <w:rsid w:val="00142EEE"/>
    <w:rsid w:val="00143161"/>
    <w:rsid w:val="00143291"/>
    <w:rsid w:val="001441BC"/>
    <w:rsid w:val="00145A73"/>
    <w:rsid w:val="00145AD1"/>
    <w:rsid w:val="00145D79"/>
    <w:rsid w:val="0014639B"/>
    <w:rsid w:val="001463E6"/>
    <w:rsid w:val="00146D8E"/>
    <w:rsid w:val="00147057"/>
    <w:rsid w:val="00147075"/>
    <w:rsid w:val="001471BB"/>
    <w:rsid w:val="00147277"/>
    <w:rsid w:val="001501AB"/>
    <w:rsid w:val="00150AD0"/>
    <w:rsid w:val="00150B48"/>
    <w:rsid w:val="00150D73"/>
    <w:rsid w:val="00150FA3"/>
    <w:rsid w:val="001512EC"/>
    <w:rsid w:val="00151C7A"/>
    <w:rsid w:val="00152078"/>
    <w:rsid w:val="001523E5"/>
    <w:rsid w:val="00152748"/>
    <w:rsid w:val="001529E9"/>
    <w:rsid w:val="0015329F"/>
    <w:rsid w:val="001534CB"/>
    <w:rsid w:val="00153FFA"/>
    <w:rsid w:val="00155733"/>
    <w:rsid w:val="00155FF2"/>
    <w:rsid w:val="001601DE"/>
    <w:rsid w:val="001606B0"/>
    <w:rsid w:val="0016104F"/>
    <w:rsid w:val="001614DB"/>
    <w:rsid w:val="001625E4"/>
    <w:rsid w:val="00163AF9"/>
    <w:rsid w:val="00163CCD"/>
    <w:rsid w:val="0016537D"/>
    <w:rsid w:val="00165422"/>
    <w:rsid w:val="0016548B"/>
    <w:rsid w:val="00166F0D"/>
    <w:rsid w:val="0016731D"/>
    <w:rsid w:val="00169ED2"/>
    <w:rsid w:val="00170835"/>
    <w:rsid w:val="001708E3"/>
    <w:rsid w:val="00170BC5"/>
    <w:rsid w:val="00170E24"/>
    <w:rsid w:val="00172407"/>
    <w:rsid w:val="001728D8"/>
    <w:rsid w:val="00172E32"/>
    <w:rsid w:val="00175DD2"/>
    <w:rsid w:val="00177837"/>
    <w:rsid w:val="00177D9D"/>
    <w:rsid w:val="00180508"/>
    <w:rsid w:val="00180A68"/>
    <w:rsid w:val="00181BFA"/>
    <w:rsid w:val="00182BCC"/>
    <w:rsid w:val="00183A88"/>
    <w:rsid w:val="00183E37"/>
    <w:rsid w:val="001843BA"/>
    <w:rsid w:val="00184D8E"/>
    <w:rsid w:val="00185066"/>
    <w:rsid w:val="00185B21"/>
    <w:rsid w:val="00185E78"/>
    <w:rsid w:val="00185F12"/>
    <w:rsid w:val="001860F4"/>
    <w:rsid w:val="00187E40"/>
    <w:rsid w:val="00187FB7"/>
    <w:rsid w:val="00190C78"/>
    <w:rsid w:val="0019173B"/>
    <w:rsid w:val="00192977"/>
    <w:rsid w:val="001929B1"/>
    <w:rsid w:val="001936F1"/>
    <w:rsid w:val="00193A77"/>
    <w:rsid w:val="00193B0C"/>
    <w:rsid w:val="00195528"/>
    <w:rsid w:val="00195583"/>
    <w:rsid w:val="001957E7"/>
    <w:rsid w:val="00196014"/>
    <w:rsid w:val="001967F4"/>
    <w:rsid w:val="00197519"/>
    <w:rsid w:val="001976E5"/>
    <w:rsid w:val="00197E7D"/>
    <w:rsid w:val="001A04C4"/>
    <w:rsid w:val="001A08B8"/>
    <w:rsid w:val="001A2801"/>
    <w:rsid w:val="001A6BB4"/>
    <w:rsid w:val="001A6D97"/>
    <w:rsid w:val="001A717B"/>
    <w:rsid w:val="001B003F"/>
    <w:rsid w:val="001B02DE"/>
    <w:rsid w:val="001B0432"/>
    <w:rsid w:val="001B1C40"/>
    <w:rsid w:val="001B2B15"/>
    <w:rsid w:val="001B3D29"/>
    <w:rsid w:val="001B5CAD"/>
    <w:rsid w:val="001B6D40"/>
    <w:rsid w:val="001B6D73"/>
    <w:rsid w:val="001B74E1"/>
    <w:rsid w:val="001B7FEA"/>
    <w:rsid w:val="001C0894"/>
    <w:rsid w:val="001C0DAF"/>
    <w:rsid w:val="001C15ED"/>
    <w:rsid w:val="001C1BFF"/>
    <w:rsid w:val="001C1C76"/>
    <w:rsid w:val="001C1D7C"/>
    <w:rsid w:val="001C2762"/>
    <w:rsid w:val="001C28ED"/>
    <w:rsid w:val="001C2DFD"/>
    <w:rsid w:val="001C361A"/>
    <w:rsid w:val="001C47EB"/>
    <w:rsid w:val="001C4924"/>
    <w:rsid w:val="001C5197"/>
    <w:rsid w:val="001C586B"/>
    <w:rsid w:val="001C5919"/>
    <w:rsid w:val="001C5C10"/>
    <w:rsid w:val="001C5D6C"/>
    <w:rsid w:val="001C5EEC"/>
    <w:rsid w:val="001C651E"/>
    <w:rsid w:val="001C6866"/>
    <w:rsid w:val="001C6941"/>
    <w:rsid w:val="001C6966"/>
    <w:rsid w:val="001D05C4"/>
    <w:rsid w:val="001D13BB"/>
    <w:rsid w:val="001D1D28"/>
    <w:rsid w:val="001D2809"/>
    <w:rsid w:val="001D2FB7"/>
    <w:rsid w:val="001D39E6"/>
    <w:rsid w:val="001D420B"/>
    <w:rsid w:val="001D4957"/>
    <w:rsid w:val="001D57D3"/>
    <w:rsid w:val="001D6111"/>
    <w:rsid w:val="001D63E4"/>
    <w:rsid w:val="001D65A7"/>
    <w:rsid w:val="001D6730"/>
    <w:rsid w:val="001D6E23"/>
    <w:rsid w:val="001D7274"/>
    <w:rsid w:val="001D7736"/>
    <w:rsid w:val="001D78B8"/>
    <w:rsid w:val="001D795C"/>
    <w:rsid w:val="001E04B4"/>
    <w:rsid w:val="001E074E"/>
    <w:rsid w:val="001E0B34"/>
    <w:rsid w:val="001E1B9F"/>
    <w:rsid w:val="001E21EA"/>
    <w:rsid w:val="001E2508"/>
    <w:rsid w:val="001E2DAA"/>
    <w:rsid w:val="001E3055"/>
    <w:rsid w:val="001E339D"/>
    <w:rsid w:val="001E3647"/>
    <w:rsid w:val="001E3F48"/>
    <w:rsid w:val="001E40E5"/>
    <w:rsid w:val="001E5D60"/>
    <w:rsid w:val="001E688F"/>
    <w:rsid w:val="001E6A2B"/>
    <w:rsid w:val="001E6F5C"/>
    <w:rsid w:val="001E7135"/>
    <w:rsid w:val="001E713A"/>
    <w:rsid w:val="001E7256"/>
    <w:rsid w:val="001E79A2"/>
    <w:rsid w:val="001E7CAD"/>
    <w:rsid w:val="001E7F86"/>
    <w:rsid w:val="001F0AE4"/>
    <w:rsid w:val="001F0F54"/>
    <w:rsid w:val="001F26E5"/>
    <w:rsid w:val="001F2C6F"/>
    <w:rsid w:val="001F302E"/>
    <w:rsid w:val="001F3F2C"/>
    <w:rsid w:val="001F4B6A"/>
    <w:rsid w:val="001F4E24"/>
    <w:rsid w:val="001F4FF4"/>
    <w:rsid w:val="001F685D"/>
    <w:rsid w:val="0020047C"/>
    <w:rsid w:val="00201561"/>
    <w:rsid w:val="00201B81"/>
    <w:rsid w:val="002020D5"/>
    <w:rsid w:val="00202337"/>
    <w:rsid w:val="00202A63"/>
    <w:rsid w:val="00203828"/>
    <w:rsid w:val="0020388F"/>
    <w:rsid w:val="00203F07"/>
    <w:rsid w:val="00204125"/>
    <w:rsid w:val="00204C2E"/>
    <w:rsid w:val="002051BF"/>
    <w:rsid w:val="00205897"/>
    <w:rsid w:val="00205A79"/>
    <w:rsid w:val="00205BBA"/>
    <w:rsid w:val="00205C7B"/>
    <w:rsid w:val="00206362"/>
    <w:rsid w:val="00206CEC"/>
    <w:rsid w:val="0020748C"/>
    <w:rsid w:val="00210614"/>
    <w:rsid w:val="00211024"/>
    <w:rsid w:val="002110BC"/>
    <w:rsid w:val="0021144F"/>
    <w:rsid w:val="00211C19"/>
    <w:rsid w:val="00211D08"/>
    <w:rsid w:val="00212576"/>
    <w:rsid w:val="00213453"/>
    <w:rsid w:val="00213A69"/>
    <w:rsid w:val="00213DE2"/>
    <w:rsid w:val="00213E7E"/>
    <w:rsid w:val="0021405B"/>
    <w:rsid w:val="00214396"/>
    <w:rsid w:val="00214592"/>
    <w:rsid w:val="00214ACD"/>
    <w:rsid w:val="00215FE6"/>
    <w:rsid w:val="00216137"/>
    <w:rsid w:val="002166DF"/>
    <w:rsid w:val="002179D1"/>
    <w:rsid w:val="00220A71"/>
    <w:rsid w:val="00223850"/>
    <w:rsid w:val="0022545A"/>
    <w:rsid w:val="00226B09"/>
    <w:rsid w:val="002304A7"/>
    <w:rsid w:val="0023059A"/>
    <w:rsid w:val="00230C62"/>
    <w:rsid w:val="00230F21"/>
    <w:rsid w:val="0023115A"/>
    <w:rsid w:val="002314C7"/>
    <w:rsid w:val="00232A7F"/>
    <w:rsid w:val="00232DC4"/>
    <w:rsid w:val="002333FF"/>
    <w:rsid w:val="00234112"/>
    <w:rsid w:val="00234800"/>
    <w:rsid w:val="00235387"/>
    <w:rsid w:val="002353DF"/>
    <w:rsid w:val="002353F9"/>
    <w:rsid w:val="00235B36"/>
    <w:rsid w:val="00235B97"/>
    <w:rsid w:val="002368CB"/>
    <w:rsid w:val="00237551"/>
    <w:rsid w:val="00237E70"/>
    <w:rsid w:val="00240F0C"/>
    <w:rsid w:val="00241270"/>
    <w:rsid w:val="002414BA"/>
    <w:rsid w:val="002429DF"/>
    <w:rsid w:val="00243873"/>
    <w:rsid w:val="002443C6"/>
    <w:rsid w:val="00244894"/>
    <w:rsid w:val="00244CF5"/>
    <w:rsid w:val="00246297"/>
    <w:rsid w:val="00246654"/>
    <w:rsid w:val="00247AB3"/>
    <w:rsid w:val="002500DB"/>
    <w:rsid w:val="0025289A"/>
    <w:rsid w:val="00253E43"/>
    <w:rsid w:val="00254669"/>
    <w:rsid w:val="0025471F"/>
    <w:rsid w:val="00254FAB"/>
    <w:rsid w:val="00255AFB"/>
    <w:rsid w:val="00255DE7"/>
    <w:rsid w:val="00255F33"/>
    <w:rsid w:val="00255F51"/>
    <w:rsid w:val="00256087"/>
    <w:rsid w:val="002567BC"/>
    <w:rsid w:val="002577FB"/>
    <w:rsid w:val="00257E3F"/>
    <w:rsid w:val="00260166"/>
    <w:rsid w:val="00260640"/>
    <w:rsid w:val="00261341"/>
    <w:rsid w:val="002624E3"/>
    <w:rsid w:val="00263D46"/>
    <w:rsid w:val="00263F5A"/>
    <w:rsid w:val="0026408D"/>
    <w:rsid w:val="00264CAD"/>
    <w:rsid w:val="00265216"/>
    <w:rsid w:val="00265823"/>
    <w:rsid w:val="00265A26"/>
    <w:rsid w:val="00265B8D"/>
    <w:rsid w:val="00266EC4"/>
    <w:rsid w:val="002706B1"/>
    <w:rsid w:val="0027100E"/>
    <w:rsid w:val="00271796"/>
    <w:rsid w:val="002717FC"/>
    <w:rsid w:val="00271890"/>
    <w:rsid w:val="00271BA0"/>
    <w:rsid w:val="002721A9"/>
    <w:rsid w:val="00272676"/>
    <w:rsid w:val="00272B38"/>
    <w:rsid w:val="00273553"/>
    <w:rsid w:val="00273B0F"/>
    <w:rsid w:val="0027400C"/>
    <w:rsid w:val="00274963"/>
    <w:rsid w:val="00274B4E"/>
    <w:rsid w:val="00275BC0"/>
    <w:rsid w:val="00275F9D"/>
    <w:rsid w:val="002764CA"/>
    <w:rsid w:val="0027705D"/>
    <w:rsid w:val="0027B95E"/>
    <w:rsid w:val="0028006D"/>
    <w:rsid w:val="00280ABC"/>
    <w:rsid w:val="00281931"/>
    <w:rsid w:val="00282C1B"/>
    <w:rsid w:val="00282C92"/>
    <w:rsid w:val="00282E0F"/>
    <w:rsid w:val="0028343A"/>
    <w:rsid w:val="00283B08"/>
    <w:rsid w:val="002842A0"/>
    <w:rsid w:val="00284A93"/>
    <w:rsid w:val="00284AA6"/>
    <w:rsid w:val="0028641A"/>
    <w:rsid w:val="0028641E"/>
    <w:rsid w:val="0028680F"/>
    <w:rsid w:val="00287803"/>
    <w:rsid w:val="0029028A"/>
    <w:rsid w:val="00290574"/>
    <w:rsid w:val="0029116A"/>
    <w:rsid w:val="00291BBD"/>
    <w:rsid w:val="00292779"/>
    <w:rsid w:val="00292E04"/>
    <w:rsid w:val="00293D85"/>
    <w:rsid w:val="00293E07"/>
    <w:rsid w:val="00294096"/>
    <w:rsid w:val="00294298"/>
    <w:rsid w:val="00294F09"/>
    <w:rsid w:val="00294FC8"/>
    <w:rsid w:val="00295D53"/>
    <w:rsid w:val="00297018"/>
    <w:rsid w:val="00297DDA"/>
    <w:rsid w:val="002A0517"/>
    <w:rsid w:val="002A187F"/>
    <w:rsid w:val="002A1A78"/>
    <w:rsid w:val="002A1B5A"/>
    <w:rsid w:val="002A2CCF"/>
    <w:rsid w:val="002A4597"/>
    <w:rsid w:val="002A4811"/>
    <w:rsid w:val="002A4A36"/>
    <w:rsid w:val="002A506C"/>
    <w:rsid w:val="002A50B9"/>
    <w:rsid w:val="002A5160"/>
    <w:rsid w:val="002A5CBB"/>
    <w:rsid w:val="002A63E5"/>
    <w:rsid w:val="002A6B28"/>
    <w:rsid w:val="002B19F8"/>
    <w:rsid w:val="002B23CD"/>
    <w:rsid w:val="002B31E3"/>
    <w:rsid w:val="002B454D"/>
    <w:rsid w:val="002B47A9"/>
    <w:rsid w:val="002B5902"/>
    <w:rsid w:val="002B5914"/>
    <w:rsid w:val="002B5C23"/>
    <w:rsid w:val="002B63D1"/>
    <w:rsid w:val="002B66DA"/>
    <w:rsid w:val="002B6714"/>
    <w:rsid w:val="002B7777"/>
    <w:rsid w:val="002B7883"/>
    <w:rsid w:val="002B7B25"/>
    <w:rsid w:val="002C0049"/>
    <w:rsid w:val="002C01F2"/>
    <w:rsid w:val="002C04F3"/>
    <w:rsid w:val="002C0D37"/>
    <w:rsid w:val="002C264D"/>
    <w:rsid w:val="002C40EA"/>
    <w:rsid w:val="002C4A32"/>
    <w:rsid w:val="002C56A3"/>
    <w:rsid w:val="002C56EA"/>
    <w:rsid w:val="002C5AA2"/>
    <w:rsid w:val="002C5F7B"/>
    <w:rsid w:val="002C7ACB"/>
    <w:rsid w:val="002D05D6"/>
    <w:rsid w:val="002D07A3"/>
    <w:rsid w:val="002D0E7E"/>
    <w:rsid w:val="002D1140"/>
    <w:rsid w:val="002D1164"/>
    <w:rsid w:val="002D19B6"/>
    <w:rsid w:val="002D1DBC"/>
    <w:rsid w:val="002D3330"/>
    <w:rsid w:val="002D40A7"/>
    <w:rsid w:val="002D44F9"/>
    <w:rsid w:val="002D45F6"/>
    <w:rsid w:val="002D4619"/>
    <w:rsid w:val="002D49D7"/>
    <w:rsid w:val="002D4F4F"/>
    <w:rsid w:val="002D54BD"/>
    <w:rsid w:val="002D5D48"/>
    <w:rsid w:val="002D6132"/>
    <w:rsid w:val="002D6264"/>
    <w:rsid w:val="002D6AA6"/>
    <w:rsid w:val="002D6BEC"/>
    <w:rsid w:val="002D6D5D"/>
    <w:rsid w:val="002D6EC7"/>
    <w:rsid w:val="002D7160"/>
    <w:rsid w:val="002D73D5"/>
    <w:rsid w:val="002D792B"/>
    <w:rsid w:val="002D7C7C"/>
    <w:rsid w:val="002E0065"/>
    <w:rsid w:val="002E115E"/>
    <w:rsid w:val="002E156B"/>
    <w:rsid w:val="002E1966"/>
    <w:rsid w:val="002E1F93"/>
    <w:rsid w:val="002E20C9"/>
    <w:rsid w:val="002E27E1"/>
    <w:rsid w:val="002E2F24"/>
    <w:rsid w:val="002E340B"/>
    <w:rsid w:val="002E4B03"/>
    <w:rsid w:val="002E563A"/>
    <w:rsid w:val="002E5CA0"/>
    <w:rsid w:val="002E65A1"/>
    <w:rsid w:val="002E6CA0"/>
    <w:rsid w:val="002E7708"/>
    <w:rsid w:val="002E7EDB"/>
    <w:rsid w:val="002F04C2"/>
    <w:rsid w:val="002F14CF"/>
    <w:rsid w:val="002F168C"/>
    <w:rsid w:val="002F19DB"/>
    <w:rsid w:val="002F1A62"/>
    <w:rsid w:val="002F1AFE"/>
    <w:rsid w:val="002F4202"/>
    <w:rsid w:val="002F48AE"/>
    <w:rsid w:val="002F4B95"/>
    <w:rsid w:val="002F4B98"/>
    <w:rsid w:val="002F4E92"/>
    <w:rsid w:val="002F4EFE"/>
    <w:rsid w:val="002F50ED"/>
    <w:rsid w:val="002F521B"/>
    <w:rsid w:val="002F5808"/>
    <w:rsid w:val="002F6A3A"/>
    <w:rsid w:val="002F6C66"/>
    <w:rsid w:val="002F7343"/>
    <w:rsid w:val="002F7763"/>
    <w:rsid w:val="002F7F1B"/>
    <w:rsid w:val="00300B74"/>
    <w:rsid w:val="003010CD"/>
    <w:rsid w:val="00301111"/>
    <w:rsid w:val="00301AA0"/>
    <w:rsid w:val="00302B67"/>
    <w:rsid w:val="00303EA0"/>
    <w:rsid w:val="003042E2"/>
    <w:rsid w:val="00304DF4"/>
    <w:rsid w:val="00305240"/>
    <w:rsid w:val="0030579F"/>
    <w:rsid w:val="00306369"/>
    <w:rsid w:val="00306688"/>
    <w:rsid w:val="00306815"/>
    <w:rsid w:val="00306D3D"/>
    <w:rsid w:val="00307878"/>
    <w:rsid w:val="0031041E"/>
    <w:rsid w:val="003105B8"/>
    <w:rsid w:val="0031078B"/>
    <w:rsid w:val="00310F08"/>
    <w:rsid w:val="0031154B"/>
    <w:rsid w:val="00312246"/>
    <w:rsid w:val="00312EF6"/>
    <w:rsid w:val="00312F77"/>
    <w:rsid w:val="00313CE0"/>
    <w:rsid w:val="00313CF8"/>
    <w:rsid w:val="003145B0"/>
    <w:rsid w:val="003146B6"/>
    <w:rsid w:val="00314722"/>
    <w:rsid w:val="003152CA"/>
    <w:rsid w:val="003163A4"/>
    <w:rsid w:val="00316484"/>
    <w:rsid w:val="00316ADC"/>
    <w:rsid w:val="003172AE"/>
    <w:rsid w:val="00317451"/>
    <w:rsid w:val="00317B83"/>
    <w:rsid w:val="00317F94"/>
    <w:rsid w:val="0031F727"/>
    <w:rsid w:val="00320045"/>
    <w:rsid w:val="00320705"/>
    <w:rsid w:val="00321B66"/>
    <w:rsid w:val="003225FC"/>
    <w:rsid w:val="003226E8"/>
    <w:rsid w:val="00322F24"/>
    <w:rsid w:val="003234FD"/>
    <w:rsid w:val="00323B51"/>
    <w:rsid w:val="00324ADE"/>
    <w:rsid w:val="00325614"/>
    <w:rsid w:val="003256C2"/>
    <w:rsid w:val="00325CB2"/>
    <w:rsid w:val="003261E0"/>
    <w:rsid w:val="00326383"/>
    <w:rsid w:val="003263C4"/>
    <w:rsid w:val="00326511"/>
    <w:rsid w:val="003268ED"/>
    <w:rsid w:val="00326F90"/>
    <w:rsid w:val="003279CD"/>
    <w:rsid w:val="00330989"/>
    <w:rsid w:val="00330F69"/>
    <w:rsid w:val="003314E6"/>
    <w:rsid w:val="003318FA"/>
    <w:rsid w:val="003321E2"/>
    <w:rsid w:val="00332D32"/>
    <w:rsid w:val="0033427C"/>
    <w:rsid w:val="003343F5"/>
    <w:rsid w:val="00334768"/>
    <w:rsid w:val="003349CE"/>
    <w:rsid w:val="003349D0"/>
    <w:rsid w:val="00335174"/>
    <w:rsid w:val="00335328"/>
    <w:rsid w:val="003353B3"/>
    <w:rsid w:val="00335F31"/>
    <w:rsid w:val="00336124"/>
    <w:rsid w:val="00336157"/>
    <w:rsid w:val="00336316"/>
    <w:rsid w:val="0033792F"/>
    <w:rsid w:val="00337A9A"/>
    <w:rsid w:val="00337DC8"/>
    <w:rsid w:val="003407A8"/>
    <w:rsid w:val="00340DA4"/>
    <w:rsid w:val="00341050"/>
    <w:rsid w:val="00341410"/>
    <w:rsid w:val="00341531"/>
    <w:rsid w:val="003418A9"/>
    <w:rsid w:val="00341A23"/>
    <w:rsid w:val="00342A6D"/>
    <w:rsid w:val="003436A0"/>
    <w:rsid w:val="0034408C"/>
    <w:rsid w:val="003463DC"/>
    <w:rsid w:val="00346683"/>
    <w:rsid w:val="00347067"/>
    <w:rsid w:val="00347445"/>
    <w:rsid w:val="003475F0"/>
    <w:rsid w:val="00350C50"/>
    <w:rsid w:val="00350FAB"/>
    <w:rsid w:val="00352428"/>
    <w:rsid w:val="0035349E"/>
    <w:rsid w:val="0035380F"/>
    <w:rsid w:val="003539A8"/>
    <w:rsid w:val="00353BB0"/>
    <w:rsid w:val="00353EB3"/>
    <w:rsid w:val="00355791"/>
    <w:rsid w:val="00355EC0"/>
    <w:rsid w:val="0035645C"/>
    <w:rsid w:val="00356A9C"/>
    <w:rsid w:val="00356CFC"/>
    <w:rsid w:val="00357B1F"/>
    <w:rsid w:val="00357B34"/>
    <w:rsid w:val="00360B58"/>
    <w:rsid w:val="00361425"/>
    <w:rsid w:val="00361769"/>
    <w:rsid w:val="00362740"/>
    <w:rsid w:val="003627DF"/>
    <w:rsid w:val="003652BE"/>
    <w:rsid w:val="00365372"/>
    <w:rsid w:val="00365816"/>
    <w:rsid w:val="00365AE5"/>
    <w:rsid w:val="00366211"/>
    <w:rsid w:val="003662E3"/>
    <w:rsid w:val="00366F3C"/>
    <w:rsid w:val="00367023"/>
    <w:rsid w:val="00367162"/>
    <w:rsid w:val="00370EBC"/>
    <w:rsid w:val="003716DA"/>
    <w:rsid w:val="00371C3A"/>
    <w:rsid w:val="00371C59"/>
    <w:rsid w:val="00372523"/>
    <w:rsid w:val="00372CDF"/>
    <w:rsid w:val="00372FF7"/>
    <w:rsid w:val="0037349D"/>
    <w:rsid w:val="00374513"/>
    <w:rsid w:val="00375EC8"/>
    <w:rsid w:val="00376111"/>
    <w:rsid w:val="00376168"/>
    <w:rsid w:val="00376BB4"/>
    <w:rsid w:val="00376D3E"/>
    <w:rsid w:val="00377A97"/>
    <w:rsid w:val="00380368"/>
    <w:rsid w:val="0038045C"/>
    <w:rsid w:val="00380584"/>
    <w:rsid w:val="00380A89"/>
    <w:rsid w:val="00380B03"/>
    <w:rsid w:val="00380E72"/>
    <w:rsid w:val="003811AB"/>
    <w:rsid w:val="00381BCD"/>
    <w:rsid w:val="00382075"/>
    <w:rsid w:val="00382285"/>
    <w:rsid w:val="00382B8A"/>
    <w:rsid w:val="00383238"/>
    <w:rsid w:val="00384223"/>
    <w:rsid w:val="00385566"/>
    <w:rsid w:val="00385677"/>
    <w:rsid w:val="00385B70"/>
    <w:rsid w:val="0038616C"/>
    <w:rsid w:val="003863F8"/>
    <w:rsid w:val="0038647D"/>
    <w:rsid w:val="003864C5"/>
    <w:rsid w:val="00387195"/>
    <w:rsid w:val="00387478"/>
    <w:rsid w:val="00387800"/>
    <w:rsid w:val="00390B79"/>
    <w:rsid w:val="00390BEB"/>
    <w:rsid w:val="00390C56"/>
    <w:rsid w:val="00390CC4"/>
    <w:rsid w:val="00390F9B"/>
    <w:rsid w:val="00391A5C"/>
    <w:rsid w:val="00392234"/>
    <w:rsid w:val="003929E2"/>
    <w:rsid w:val="00392A0B"/>
    <w:rsid w:val="003938E1"/>
    <w:rsid w:val="00393931"/>
    <w:rsid w:val="00393A84"/>
    <w:rsid w:val="00393B08"/>
    <w:rsid w:val="00394189"/>
    <w:rsid w:val="003943CA"/>
    <w:rsid w:val="00394598"/>
    <w:rsid w:val="0039466D"/>
    <w:rsid w:val="0039502C"/>
    <w:rsid w:val="00395238"/>
    <w:rsid w:val="003967D4"/>
    <w:rsid w:val="003970FE"/>
    <w:rsid w:val="00397B41"/>
    <w:rsid w:val="00397E1C"/>
    <w:rsid w:val="003A03F0"/>
    <w:rsid w:val="003A0555"/>
    <w:rsid w:val="003A0599"/>
    <w:rsid w:val="003A060D"/>
    <w:rsid w:val="003A10AE"/>
    <w:rsid w:val="003A11AC"/>
    <w:rsid w:val="003A25C1"/>
    <w:rsid w:val="003A2E96"/>
    <w:rsid w:val="003A30C4"/>
    <w:rsid w:val="003A32F5"/>
    <w:rsid w:val="003A52BC"/>
    <w:rsid w:val="003A5832"/>
    <w:rsid w:val="003A62C7"/>
    <w:rsid w:val="003A67E6"/>
    <w:rsid w:val="003A6BCC"/>
    <w:rsid w:val="003A7059"/>
    <w:rsid w:val="003A79D1"/>
    <w:rsid w:val="003B0904"/>
    <w:rsid w:val="003B1E61"/>
    <w:rsid w:val="003B225E"/>
    <w:rsid w:val="003B2AEF"/>
    <w:rsid w:val="003B2C58"/>
    <w:rsid w:val="003B2C70"/>
    <w:rsid w:val="003B2CB2"/>
    <w:rsid w:val="003B33D0"/>
    <w:rsid w:val="003B433B"/>
    <w:rsid w:val="003B4F47"/>
    <w:rsid w:val="003B571E"/>
    <w:rsid w:val="003B58B2"/>
    <w:rsid w:val="003B6BDC"/>
    <w:rsid w:val="003B6DA2"/>
    <w:rsid w:val="003B6F1E"/>
    <w:rsid w:val="003B711A"/>
    <w:rsid w:val="003B71F1"/>
    <w:rsid w:val="003B76A3"/>
    <w:rsid w:val="003B7BF5"/>
    <w:rsid w:val="003BAB3D"/>
    <w:rsid w:val="003C0AA7"/>
    <w:rsid w:val="003C1865"/>
    <w:rsid w:val="003C19AA"/>
    <w:rsid w:val="003C1BFB"/>
    <w:rsid w:val="003C1D84"/>
    <w:rsid w:val="003C21A6"/>
    <w:rsid w:val="003C2A5A"/>
    <w:rsid w:val="003C2CB8"/>
    <w:rsid w:val="003C3097"/>
    <w:rsid w:val="003C349D"/>
    <w:rsid w:val="003C34B1"/>
    <w:rsid w:val="003C3F8B"/>
    <w:rsid w:val="003C4289"/>
    <w:rsid w:val="003C4588"/>
    <w:rsid w:val="003C49B6"/>
    <w:rsid w:val="003C4E0E"/>
    <w:rsid w:val="003C5D09"/>
    <w:rsid w:val="003C62FA"/>
    <w:rsid w:val="003C6663"/>
    <w:rsid w:val="003C6A9D"/>
    <w:rsid w:val="003C6CBE"/>
    <w:rsid w:val="003C6D20"/>
    <w:rsid w:val="003D030A"/>
    <w:rsid w:val="003D0936"/>
    <w:rsid w:val="003D14FA"/>
    <w:rsid w:val="003D35C3"/>
    <w:rsid w:val="003D43FE"/>
    <w:rsid w:val="003D47DE"/>
    <w:rsid w:val="003D546B"/>
    <w:rsid w:val="003D5B7F"/>
    <w:rsid w:val="003D6056"/>
    <w:rsid w:val="003D6C60"/>
    <w:rsid w:val="003E0195"/>
    <w:rsid w:val="003E09B1"/>
    <w:rsid w:val="003E0C90"/>
    <w:rsid w:val="003E0DB1"/>
    <w:rsid w:val="003E1EAA"/>
    <w:rsid w:val="003E2207"/>
    <w:rsid w:val="003E32EC"/>
    <w:rsid w:val="003E3429"/>
    <w:rsid w:val="003E490B"/>
    <w:rsid w:val="003E545B"/>
    <w:rsid w:val="003E550D"/>
    <w:rsid w:val="003E6561"/>
    <w:rsid w:val="003E6C8B"/>
    <w:rsid w:val="003E7361"/>
    <w:rsid w:val="003E75EA"/>
    <w:rsid w:val="003E7963"/>
    <w:rsid w:val="003F0C93"/>
    <w:rsid w:val="003F0E95"/>
    <w:rsid w:val="003F1090"/>
    <w:rsid w:val="003F1A7E"/>
    <w:rsid w:val="003F1FCF"/>
    <w:rsid w:val="003F203D"/>
    <w:rsid w:val="003F20B4"/>
    <w:rsid w:val="003F223F"/>
    <w:rsid w:val="003F2262"/>
    <w:rsid w:val="003F22EF"/>
    <w:rsid w:val="003F3089"/>
    <w:rsid w:val="003F38F0"/>
    <w:rsid w:val="003F3951"/>
    <w:rsid w:val="003F46E3"/>
    <w:rsid w:val="003F485F"/>
    <w:rsid w:val="003F4C91"/>
    <w:rsid w:val="003F545F"/>
    <w:rsid w:val="003F57C9"/>
    <w:rsid w:val="003F5FD7"/>
    <w:rsid w:val="003F6030"/>
    <w:rsid w:val="003F650F"/>
    <w:rsid w:val="003F7087"/>
    <w:rsid w:val="003F7169"/>
    <w:rsid w:val="003F7967"/>
    <w:rsid w:val="004003FA"/>
    <w:rsid w:val="00400F77"/>
    <w:rsid w:val="00401116"/>
    <w:rsid w:val="00401AB3"/>
    <w:rsid w:val="00402279"/>
    <w:rsid w:val="00402638"/>
    <w:rsid w:val="00402B0A"/>
    <w:rsid w:val="00402BB3"/>
    <w:rsid w:val="00402C5D"/>
    <w:rsid w:val="00402FB8"/>
    <w:rsid w:val="004048C0"/>
    <w:rsid w:val="00404B87"/>
    <w:rsid w:val="00404C11"/>
    <w:rsid w:val="00405128"/>
    <w:rsid w:val="00405674"/>
    <w:rsid w:val="00405797"/>
    <w:rsid w:val="00406149"/>
    <w:rsid w:val="0040632D"/>
    <w:rsid w:val="00410B78"/>
    <w:rsid w:val="00412443"/>
    <w:rsid w:val="00412703"/>
    <w:rsid w:val="00412B9B"/>
    <w:rsid w:val="00413386"/>
    <w:rsid w:val="0041341B"/>
    <w:rsid w:val="00413554"/>
    <w:rsid w:val="00413E2C"/>
    <w:rsid w:val="0041413E"/>
    <w:rsid w:val="00415008"/>
    <w:rsid w:val="0041688F"/>
    <w:rsid w:val="00416C9B"/>
    <w:rsid w:val="00417A12"/>
    <w:rsid w:val="00417C96"/>
    <w:rsid w:val="00417ED2"/>
    <w:rsid w:val="004207F2"/>
    <w:rsid w:val="004209E4"/>
    <w:rsid w:val="004210E7"/>
    <w:rsid w:val="00421175"/>
    <w:rsid w:val="004216E4"/>
    <w:rsid w:val="00422A79"/>
    <w:rsid w:val="004235EF"/>
    <w:rsid w:val="00423984"/>
    <w:rsid w:val="00423D7D"/>
    <w:rsid w:val="00424181"/>
    <w:rsid w:val="00424325"/>
    <w:rsid w:val="00424652"/>
    <w:rsid w:val="00424DF0"/>
    <w:rsid w:val="00424E5B"/>
    <w:rsid w:val="00425321"/>
    <w:rsid w:val="00425413"/>
    <w:rsid w:val="0042569B"/>
    <w:rsid w:val="00426E5B"/>
    <w:rsid w:val="004278B7"/>
    <w:rsid w:val="00427A03"/>
    <w:rsid w:val="00427CC9"/>
    <w:rsid w:val="004300F4"/>
    <w:rsid w:val="004309DA"/>
    <w:rsid w:val="00430AAE"/>
    <w:rsid w:val="0043230A"/>
    <w:rsid w:val="004337B0"/>
    <w:rsid w:val="00433E8D"/>
    <w:rsid w:val="00434537"/>
    <w:rsid w:val="00434B79"/>
    <w:rsid w:val="00435017"/>
    <w:rsid w:val="00435084"/>
    <w:rsid w:val="004353D8"/>
    <w:rsid w:val="00435E86"/>
    <w:rsid w:val="004367DA"/>
    <w:rsid w:val="00437094"/>
    <w:rsid w:val="00440634"/>
    <w:rsid w:val="004407FA"/>
    <w:rsid w:val="00440812"/>
    <w:rsid w:val="004410BB"/>
    <w:rsid w:val="00441852"/>
    <w:rsid w:val="00441B2E"/>
    <w:rsid w:val="00442A12"/>
    <w:rsid w:val="00443396"/>
    <w:rsid w:val="00444CEF"/>
    <w:rsid w:val="00444E78"/>
    <w:rsid w:val="00444F31"/>
    <w:rsid w:val="00445FFA"/>
    <w:rsid w:val="00447611"/>
    <w:rsid w:val="00450415"/>
    <w:rsid w:val="00450C2E"/>
    <w:rsid w:val="00450D26"/>
    <w:rsid w:val="00450DC8"/>
    <w:rsid w:val="00450F2B"/>
    <w:rsid w:val="00451682"/>
    <w:rsid w:val="00452C7E"/>
    <w:rsid w:val="0045388D"/>
    <w:rsid w:val="004540F6"/>
    <w:rsid w:val="00454C96"/>
    <w:rsid w:val="004550D4"/>
    <w:rsid w:val="00455316"/>
    <w:rsid w:val="00455BB5"/>
    <w:rsid w:val="00456C5B"/>
    <w:rsid w:val="00456E8E"/>
    <w:rsid w:val="0045777E"/>
    <w:rsid w:val="0046032E"/>
    <w:rsid w:val="00460479"/>
    <w:rsid w:val="00460615"/>
    <w:rsid w:val="0046174A"/>
    <w:rsid w:val="0046195B"/>
    <w:rsid w:val="004623E0"/>
    <w:rsid w:val="00463416"/>
    <w:rsid w:val="0046383C"/>
    <w:rsid w:val="00463981"/>
    <w:rsid w:val="00463C2F"/>
    <w:rsid w:val="00464281"/>
    <w:rsid w:val="00464FC8"/>
    <w:rsid w:val="00465465"/>
    <w:rsid w:val="00465BCC"/>
    <w:rsid w:val="00466023"/>
    <w:rsid w:val="00466153"/>
    <w:rsid w:val="004671EF"/>
    <w:rsid w:val="0046751B"/>
    <w:rsid w:val="0046767D"/>
    <w:rsid w:val="00467AA7"/>
    <w:rsid w:val="00470B2F"/>
    <w:rsid w:val="00470BAC"/>
    <w:rsid w:val="00470F21"/>
    <w:rsid w:val="0047124C"/>
    <w:rsid w:val="004719D4"/>
    <w:rsid w:val="00471B17"/>
    <w:rsid w:val="004740D5"/>
    <w:rsid w:val="00476030"/>
    <w:rsid w:val="00477017"/>
    <w:rsid w:val="004773DD"/>
    <w:rsid w:val="00477CF0"/>
    <w:rsid w:val="00477F52"/>
    <w:rsid w:val="0048040B"/>
    <w:rsid w:val="00480A33"/>
    <w:rsid w:val="00480A59"/>
    <w:rsid w:val="00480F5F"/>
    <w:rsid w:val="004812FE"/>
    <w:rsid w:val="00482170"/>
    <w:rsid w:val="00482F6E"/>
    <w:rsid w:val="004832A6"/>
    <w:rsid w:val="00483C6C"/>
    <w:rsid w:val="00483E09"/>
    <w:rsid w:val="00483F4D"/>
    <w:rsid w:val="0048488A"/>
    <w:rsid w:val="00484ABE"/>
    <w:rsid w:val="00484F97"/>
    <w:rsid w:val="00485199"/>
    <w:rsid w:val="004854A0"/>
    <w:rsid w:val="00485B03"/>
    <w:rsid w:val="00486338"/>
    <w:rsid w:val="004864F7"/>
    <w:rsid w:val="004865A5"/>
    <w:rsid w:val="00486710"/>
    <w:rsid w:val="004877CE"/>
    <w:rsid w:val="00490DAA"/>
    <w:rsid w:val="00491422"/>
    <w:rsid w:val="00491861"/>
    <w:rsid w:val="00491D7D"/>
    <w:rsid w:val="004925E5"/>
    <w:rsid w:val="00492D75"/>
    <w:rsid w:val="00492E1D"/>
    <w:rsid w:val="00494DD7"/>
    <w:rsid w:val="00495354"/>
    <w:rsid w:val="00495B7C"/>
    <w:rsid w:val="00495FE1"/>
    <w:rsid w:val="0049672D"/>
    <w:rsid w:val="004967ED"/>
    <w:rsid w:val="00496B3E"/>
    <w:rsid w:val="004A079C"/>
    <w:rsid w:val="004A0967"/>
    <w:rsid w:val="004A1493"/>
    <w:rsid w:val="004A15AC"/>
    <w:rsid w:val="004A19A7"/>
    <w:rsid w:val="004A1A80"/>
    <w:rsid w:val="004A381D"/>
    <w:rsid w:val="004A4E94"/>
    <w:rsid w:val="004A5911"/>
    <w:rsid w:val="004A5B86"/>
    <w:rsid w:val="004A6F32"/>
    <w:rsid w:val="004A7A50"/>
    <w:rsid w:val="004B014F"/>
    <w:rsid w:val="004B0307"/>
    <w:rsid w:val="004B19A6"/>
    <w:rsid w:val="004B254D"/>
    <w:rsid w:val="004B25B3"/>
    <w:rsid w:val="004B2D01"/>
    <w:rsid w:val="004B3214"/>
    <w:rsid w:val="004B4ADC"/>
    <w:rsid w:val="004B5D8E"/>
    <w:rsid w:val="004B7011"/>
    <w:rsid w:val="004B7A89"/>
    <w:rsid w:val="004B7DC9"/>
    <w:rsid w:val="004C08D2"/>
    <w:rsid w:val="004C1435"/>
    <w:rsid w:val="004C180C"/>
    <w:rsid w:val="004C1FB0"/>
    <w:rsid w:val="004C324B"/>
    <w:rsid w:val="004C3329"/>
    <w:rsid w:val="004C4168"/>
    <w:rsid w:val="004C527D"/>
    <w:rsid w:val="004C55A1"/>
    <w:rsid w:val="004C5C13"/>
    <w:rsid w:val="004C5CBE"/>
    <w:rsid w:val="004C69B1"/>
    <w:rsid w:val="004D06CD"/>
    <w:rsid w:val="004D169D"/>
    <w:rsid w:val="004D1919"/>
    <w:rsid w:val="004D22F3"/>
    <w:rsid w:val="004D2CFB"/>
    <w:rsid w:val="004D2F47"/>
    <w:rsid w:val="004D3458"/>
    <w:rsid w:val="004D34E6"/>
    <w:rsid w:val="004D3E72"/>
    <w:rsid w:val="004D43CA"/>
    <w:rsid w:val="004D47DC"/>
    <w:rsid w:val="004D5A11"/>
    <w:rsid w:val="004D5DA6"/>
    <w:rsid w:val="004D6083"/>
    <w:rsid w:val="004D630D"/>
    <w:rsid w:val="004D6819"/>
    <w:rsid w:val="004D69A9"/>
    <w:rsid w:val="004D7A25"/>
    <w:rsid w:val="004E0230"/>
    <w:rsid w:val="004E02CA"/>
    <w:rsid w:val="004E08BA"/>
    <w:rsid w:val="004E0C16"/>
    <w:rsid w:val="004E0F19"/>
    <w:rsid w:val="004E1121"/>
    <w:rsid w:val="004E160C"/>
    <w:rsid w:val="004E250C"/>
    <w:rsid w:val="004E25BC"/>
    <w:rsid w:val="004E26BA"/>
    <w:rsid w:val="004E2A76"/>
    <w:rsid w:val="004E341E"/>
    <w:rsid w:val="004E3863"/>
    <w:rsid w:val="004E3BC1"/>
    <w:rsid w:val="004E459F"/>
    <w:rsid w:val="004E49BC"/>
    <w:rsid w:val="004E5153"/>
    <w:rsid w:val="004E5871"/>
    <w:rsid w:val="004E5CD9"/>
    <w:rsid w:val="004E5D6E"/>
    <w:rsid w:val="004E65C6"/>
    <w:rsid w:val="004E7D84"/>
    <w:rsid w:val="004ECB2E"/>
    <w:rsid w:val="004F0D11"/>
    <w:rsid w:val="004F0EB4"/>
    <w:rsid w:val="004F1737"/>
    <w:rsid w:val="004F17DB"/>
    <w:rsid w:val="004F279F"/>
    <w:rsid w:val="004F2AAB"/>
    <w:rsid w:val="004F3ECA"/>
    <w:rsid w:val="004F3FCB"/>
    <w:rsid w:val="004F463D"/>
    <w:rsid w:val="004F4FCC"/>
    <w:rsid w:val="004F535A"/>
    <w:rsid w:val="004F5F3E"/>
    <w:rsid w:val="004F6056"/>
    <w:rsid w:val="004F6376"/>
    <w:rsid w:val="004F6A32"/>
    <w:rsid w:val="004F6F7E"/>
    <w:rsid w:val="004F715B"/>
    <w:rsid w:val="004F769A"/>
    <w:rsid w:val="004F79AC"/>
    <w:rsid w:val="005000C2"/>
    <w:rsid w:val="00500422"/>
    <w:rsid w:val="00501171"/>
    <w:rsid w:val="0050120C"/>
    <w:rsid w:val="00501243"/>
    <w:rsid w:val="00501459"/>
    <w:rsid w:val="00501EE7"/>
    <w:rsid w:val="00502100"/>
    <w:rsid w:val="00502141"/>
    <w:rsid w:val="00502A63"/>
    <w:rsid w:val="00502C27"/>
    <w:rsid w:val="005037EC"/>
    <w:rsid w:val="00503C52"/>
    <w:rsid w:val="0050434E"/>
    <w:rsid w:val="005049CF"/>
    <w:rsid w:val="00504FD7"/>
    <w:rsid w:val="005053B4"/>
    <w:rsid w:val="00506A58"/>
    <w:rsid w:val="00506A94"/>
    <w:rsid w:val="0050767C"/>
    <w:rsid w:val="005076DD"/>
    <w:rsid w:val="00510709"/>
    <w:rsid w:val="00510752"/>
    <w:rsid w:val="00510D05"/>
    <w:rsid w:val="00510F39"/>
    <w:rsid w:val="00511581"/>
    <w:rsid w:val="00512385"/>
    <w:rsid w:val="005132C4"/>
    <w:rsid w:val="005133BD"/>
    <w:rsid w:val="005138D5"/>
    <w:rsid w:val="005139AC"/>
    <w:rsid w:val="00513BBF"/>
    <w:rsid w:val="00513C2A"/>
    <w:rsid w:val="0051411B"/>
    <w:rsid w:val="00514214"/>
    <w:rsid w:val="00514240"/>
    <w:rsid w:val="0051491A"/>
    <w:rsid w:val="00514A50"/>
    <w:rsid w:val="0051586E"/>
    <w:rsid w:val="00515B0F"/>
    <w:rsid w:val="005163D1"/>
    <w:rsid w:val="00520044"/>
    <w:rsid w:val="005215A0"/>
    <w:rsid w:val="00522C04"/>
    <w:rsid w:val="00522C5A"/>
    <w:rsid w:val="00523246"/>
    <w:rsid w:val="00523388"/>
    <w:rsid w:val="005233EA"/>
    <w:rsid w:val="00523826"/>
    <w:rsid w:val="005248CF"/>
    <w:rsid w:val="00524FEA"/>
    <w:rsid w:val="005252D3"/>
    <w:rsid w:val="00525506"/>
    <w:rsid w:val="00525BD1"/>
    <w:rsid w:val="00525C94"/>
    <w:rsid w:val="00526998"/>
    <w:rsid w:val="005273AE"/>
    <w:rsid w:val="005273D2"/>
    <w:rsid w:val="0052EEB9"/>
    <w:rsid w:val="00530C48"/>
    <w:rsid w:val="00530D67"/>
    <w:rsid w:val="00530EB7"/>
    <w:rsid w:val="00531BE0"/>
    <w:rsid w:val="00531CDD"/>
    <w:rsid w:val="005324EB"/>
    <w:rsid w:val="00532F2A"/>
    <w:rsid w:val="0053332D"/>
    <w:rsid w:val="00534350"/>
    <w:rsid w:val="00535819"/>
    <w:rsid w:val="00536DF7"/>
    <w:rsid w:val="00537097"/>
    <w:rsid w:val="005377A6"/>
    <w:rsid w:val="00540004"/>
    <w:rsid w:val="00540572"/>
    <w:rsid w:val="00541251"/>
    <w:rsid w:val="005415A4"/>
    <w:rsid w:val="005419F6"/>
    <w:rsid w:val="00541F49"/>
    <w:rsid w:val="00542CEC"/>
    <w:rsid w:val="00543295"/>
    <w:rsid w:val="00544C94"/>
    <w:rsid w:val="00544DBD"/>
    <w:rsid w:val="00544F32"/>
    <w:rsid w:val="00545B92"/>
    <w:rsid w:val="00545EA6"/>
    <w:rsid w:val="0054615F"/>
    <w:rsid w:val="0055083C"/>
    <w:rsid w:val="00550E91"/>
    <w:rsid w:val="0055113E"/>
    <w:rsid w:val="00551EEF"/>
    <w:rsid w:val="005527E3"/>
    <w:rsid w:val="00553685"/>
    <w:rsid w:val="00553B78"/>
    <w:rsid w:val="00553E35"/>
    <w:rsid w:val="005546ED"/>
    <w:rsid w:val="005548CE"/>
    <w:rsid w:val="00555B59"/>
    <w:rsid w:val="00555EF1"/>
    <w:rsid w:val="00556F24"/>
    <w:rsid w:val="00557177"/>
    <w:rsid w:val="0055734E"/>
    <w:rsid w:val="00557867"/>
    <w:rsid w:val="00557889"/>
    <w:rsid w:val="00557E5C"/>
    <w:rsid w:val="00560549"/>
    <w:rsid w:val="00560D7E"/>
    <w:rsid w:val="00561F98"/>
    <w:rsid w:val="00562578"/>
    <w:rsid w:val="00562CB2"/>
    <w:rsid w:val="00562DD7"/>
    <w:rsid w:val="0056339F"/>
    <w:rsid w:val="0056347F"/>
    <w:rsid w:val="0056468F"/>
    <w:rsid w:val="005652B0"/>
    <w:rsid w:val="00565760"/>
    <w:rsid w:val="00565A8A"/>
    <w:rsid w:val="005660F2"/>
    <w:rsid w:val="00566356"/>
    <w:rsid w:val="005666E6"/>
    <w:rsid w:val="005667A1"/>
    <w:rsid w:val="005668BE"/>
    <w:rsid w:val="00566D23"/>
    <w:rsid w:val="00567385"/>
    <w:rsid w:val="00570126"/>
    <w:rsid w:val="005703EC"/>
    <w:rsid w:val="005708CC"/>
    <w:rsid w:val="00570F19"/>
    <w:rsid w:val="00571008"/>
    <w:rsid w:val="0057119E"/>
    <w:rsid w:val="00571260"/>
    <w:rsid w:val="00572637"/>
    <w:rsid w:val="0057269B"/>
    <w:rsid w:val="00572BE7"/>
    <w:rsid w:val="00572C47"/>
    <w:rsid w:val="00573860"/>
    <w:rsid w:val="005738BB"/>
    <w:rsid w:val="00573AE4"/>
    <w:rsid w:val="00574846"/>
    <w:rsid w:val="0057572C"/>
    <w:rsid w:val="00575745"/>
    <w:rsid w:val="00575842"/>
    <w:rsid w:val="00575B7A"/>
    <w:rsid w:val="00575C03"/>
    <w:rsid w:val="005763F0"/>
    <w:rsid w:val="00576D3E"/>
    <w:rsid w:val="00576DB4"/>
    <w:rsid w:val="00576FCE"/>
    <w:rsid w:val="005770BB"/>
    <w:rsid w:val="00577B33"/>
    <w:rsid w:val="00577FDE"/>
    <w:rsid w:val="00580D16"/>
    <w:rsid w:val="005813B9"/>
    <w:rsid w:val="005813E0"/>
    <w:rsid w:val="005815AB"/>
    <w:rsid w:val="0058194C"/>
    <w:rsid w:val="00581C70"/>
    <w:rsid w:val="00582C50"/>
    <w:rsid w:val="00582CF5"/>
    <w:rsid w:val="00583025"/>
    <w:rsid w:val="0058315F"/>
    <w:rsid w:val="00583359"/>
    <w:rsid w:val="005837E9"/>
    <w:rsid w:val="00583B19"/>
    <w:rsid w:val="00583FBF"/>
    <w:rsid w:val="005841D5"/>
    <w:rsid w:val="00584A49"/>
    <w:rsid w:val="00584C6B"/>
    <w:rsid w:val="00586704"/>
    <w:rsid w:val="005869C1"/>
    <w:rsid w:val="00586E82"/>
    <w:rsid w:val="00586F38"/>
    <w:rsid w:val="00586FC4"/>
    <w:rsid w:val="005871E1"/>
    <w:rsid w:val="00587263"/>
    <w:rsid w:val="00587945"/>
    <w:rsid w:val="00587E86"/>
    <w:rsid w:val="00587FA8"/>
    <w:rsid w:val="0058A0FA"/>
    <w:rsid w:val="005916D8"/>
    <w:rsid w:val="0059181A"/>
    <w:rsid w:val="00591F0E"/>
    <w:rsid w:val="00593441"/>
    <w:rsid w:val="005938EF"/>
    <w:rsid w:val="00594E51"/>
    <w:rsid w:val="0059519F"/>
    <w:rsid w:val="00595B3C"/>
    <w:rsid w:val="00595FB9"/>
    <w:rsid w:val="00596567"/>
    <w:rsid w:val="00596B3B"/>
    <w:rsid w:val="005973B8"/>
    <w:rsid w:val="005977D2"/>
    <w:rsid w:val="005978F0"/>
    <w:rsid w:val="005A0DBC"/>
    <w:rsid w:val="005A130B"/>
    <w:rsid w:val="005A1453"/>
    <w:rsid w:val="005A1725"/>
    <w:rsid w:val="005A1B5C"/>
    <w:rsid w:val="005A1EE1"/>
    <w:rsid w:val="005A2610"/>
    <w:rsid w:val="005A2D66"/>
    <w:rsid w:val="005A30AC"/>
    <w:rsid w:val="005A4065"/>
    <w:rsid w:val="005A4508"/>
    <w:rsid w:val="005A582B"/>
    <w:rsid w:val="005A5977"/>
    <w:rsid w:val="005A602B"/>
    <w:rsid w:val="005A65EE"/>
    <w:rsid w:val="005A7105"/>
    <w:rsid w:val="005A7216"/>
    <w:rsid w:val="005A7486"/>
    <w:rsid w:val="005A7C5D"/>
    <w:rsid w:val="005B0231"/>
    <w:rsid w:val="005B08F3"/>
    <w:rsid w:val="005B1484"/>
    <w:rsid w:val="005B14B8"/>
    <w:rsid w:val="005B1518"/>
    <w:rsid w:val="005B1718"/>
    <w:rsid w:val="005B17AF"/>
    <w:rsid w:val="005B1883"/>
    <w:rsid w:val="005B1E3C"/>
    <w:rsid w:val="005B2E8F"/>
    <w:rsid w:val="005B3055"/>
    <w:rsid w:val="005B4A9D"/>
    <w:rsid w:val="005B4DDF"/>
    <w:rsid w:val="005B5166"/>
    <w:rsid w:val="005B6785"/>
    <w:rsid w:val="005B7021"/>
    <w:rsid w:val="005B741E"/>
    <w:rsid w:val="005C09BE"/>
    <w:rsid w:val="005C0D1C"/>
    <w:rsid w:val="005C0E91"/>
    <w:rsid w:val="005C0F5E"/>
    <w:rsid w:val="005C110F"/>
    <w:rsid w:val="005C17CD"/>
    <w:rsid w:val="005C1AE9"/>
    <w:rsid w:val="005C2326"/>
    <w:rsid w:val="005C24AF"/>
    <w:rsid w:val="005C289A"/>
    <w:rsid w:val="005C36EF"/>
    <w:rsid w:val="005C4A20"/>
    <w:rsid w:val="005C5131"/>
    <w:rsid w:val="005C608A"/>
    <w:rsid w:val="005C6374"/>
    <w:rsid w:val="005C6916"/>
    <w:rsid w:val="005C7132"/>
    <w:rsid w:val="005C7B73"/>
    <w:rsid w:val="005D0BCA"/>
    <w:rsid w:val="005D27D2"/>
    <w:rsid w:val="005D2894"/>
    <w:rsid w:val="005D296D"/>
    <w:rsid w:val="005D3028"/>
    <w:rsid w:val="005D31B7"/>
    <w:rsid w:val="005D3B75"/>
    <w:rsid w:val="005D46C9"/>
    <w:rsid w:val="005D58C4"/>
    <w:rsid w:val="005D5979"/>
    <w:rsid w:val="005D610B"/>
    <w:rsid w:val="005D69C2"/>
    <w:rsid w:val="005D75D2"/>
    <w:rsid w:val="005D7EC9"/>
    <w:rsid w:val="005E1C1E"/>
    <w:rsid w:val="005E1CFE"/>
    <w:rsid w:val="005E1D84"/>
    <w:rsid w:val="005E30AE"/>
    <w:rsid w:val="005E4789"/>
    <w:rsid w:val="005E486B"/>
    <w:rsid w:val="005E5C68"/>
    <w:rsid w:val="005E62FA"/>
    <w:rsid w:val="005E6DE7"/>
    <w:rsid w:val="005E7814"/>
    <w:rsid w:val="005E7AA5"/>
    <w:rsid w:val="005E7D0A"/>
    <w:rsid w:val="005E8028"/>
    <w:rsid w:val="005F045F"/>
    <w:rsid w:val="005F1670"/>
    <w:rsid w:val="005F1857"/>
    <w:rsid w:val="005F21A3"/>
    <w:rsid w:val="005F26B1"/>
    <w:rsid w:val="005F2737"/>
    <w:rsid w:val="005F35BC"/>
    <w:rsid w:val="005F585C"/>
    <w:rsid w:val="005F63D2"/>
    <w:rsid w:val="005F6AB5"/>
    <w:rsid w:val="005F6B75"/>
    <w:rsid w:val="005F70D3"/>
    <w:rsid w:val="005F739A"/>
    <w:rsid w:val="005F7E89"/>
    <w:rsid w:val="00600AA7"/>
    <w:rsid w:val="00600CD7"/>
    <w:rsid w:val="0060166B"/>
    <w:rsid w:val="0060198C"/>
    <w:rsid w:val="00601B75"/>
    <w:rsid w:val="006020B7"/>
    <w:rsid w:val="006021DE"/>
    <w:rsid w:val="00603618"/>
    <w:rsid w:val="00603F0B"/>
    <w:rsid w:val="00604C1A"/>
    <w:rsid w:val="00604F53"/>
    <w:rsid w:val="006058EE"/>
    <w:rsid w:val="00606025"/>
    <w:rsid w:val="00606318"/>
    <w:rsid w:val="006065B8"/>
    <w:rsid w:val="0060683D"/>
    <w:rsid w:val="00606AE9"/>
    <w:rsid w:val="00606C48"/>
    <w:rsid w:val="0060715E"/>
    <w:rsid w:val="00607988"/>
    <w:rsid w:val="00611114"/>
    <w:rsid w:val="006120BD"/>
    <w:rsid w:val="00612385"/>
    <w:rsid w:val="0061244C"/>
    <w:rsid w:val="00614C7B"/>
    <w:rsid w:val="006158AF"/>
    <w:rsid w:val="00615E98"/>
    <w:rsid w:val="0061658D"/>
    <w:rsid w:val="00616B6A"/>
    <w:rsid w:val="00616C5C"/>
    <w:rsid w:val="00617029"/>
    <w:rsid w:val="006179E9"/>
    <w:rsid w:val="00617C27"/>
    <w:rsid w:val="0062011C"/>
    <w:rsid w:val="00620AB5"/>
    <w:rsid w:val="00621CBE"/>
    <w:rsid w:val="00622798"/>
    <w:rsid w:val="00623966"/>
    <w:rsid w:val="00623B5D"/>
    <w:rsid w:val="00624836"/>
    <w:rsid w:val="0062492F"/>
    <w:rsid w:val="00624B86"/>
    <w:rsid w:val="00624BA6"/>
    <w:rsid w:val="00624D09"/>
    <w:rsid w:val="00624F8D"/>
    <w:rsid w:val="00625A3D"/>
    <w:rsid w:val="006267A6"/>
    <w:rsid w:val="006278DE"/>
    <w:rsid w:val="00631CF4"/>
    <w:rsid w:val="00632EDD"/>
    <w:rsid w:val="00632FA5"/>
    <w:rsid w:val="006342C0"/>
    <w:rsid w:val="00634DD7"/>
    <w:rsid w:val="00634FCF"/>
    <w:rsid w:val="00636DEA"/>
    <w:rsid w:val="00637EC2"/>
    <w:rsid w:val="00641B2E"/>
    <w:rsid w:val="00641EDE"/>
    <w:rsid w:val="006421DB"/>
    <w:rsid w:val="0064226C"/>
    <w:rsid w:val="00642615"/>
    <w:rsid w:val="006427FF"/>
    <w:rsid w:val="00642C0F"/>
    <w:rsid w:val="00642CEB"/>
    <w:rsid w:val="0064478B"/>
    <w:rsid w:val="00644D25"/>
    <w:rsid w:val="006452F3"/>
    <w:rsid w:val="0064548E"/>
    <w:rsid w:val="00645590"/>
    <w:rsid w:val="00645C51"/>
    <w:rsid w:val="00646E1B"/>
    <w:rsid w:val="00647FC6"/>
    <w:rsid w:val="0065039E"/>
    <w:rsid w:val="00650701"/>
    <w:rsid w:val="00651478"/>
    <w:rsid w:val="0065195B"/>
    <w:rsid w:val="00651A78"/>
    <w:rsid w:val="0065216C"/>
    <w:rsid w:val="00652795"/>
    <w:rsid w:val="006535A3"/>
    <w:rsid w:val="00653679"/>
    <w:rsid w:val="0065452B"/>
    <w:rsid w:val="006546B5"/>
    <w:rsid w:val="00654BCC"/>
    <w:rsid w:val="00654DCF"/>
    <w:rsid w:val="00655283"/>
    <w:rsid w:val="0065550B"/>
    <w:rsid w:val="00655AE2"/>
    <w:rsid w:val="0065699A"/>
    <w:rsid w:val="00656B15"/>
    <w:rsid w:val="00657DFC"/>
    <w:rsid w:val="00660423"/>
    <w:rsid w:val="0066070A"/>
    <w:rsid w:val="00660CF6"/>
    <w:rsid w:val="006612AA"/>
    <w:rsid w:val="00662626"/>
    <w:rsid w:val="006626B7"/>
    <w:rsid w:val="00662A00"/>
    <w:rsid w:val="0066308B"/>
    <w:rsid w:val="006633CC"/>
    <w:rsid w:val="00663965"/>
    <w:rsid w:val="00664B78"/>
    <w:rsid w:val="00665532"/>
    <w:rsid w:val="00667441"/>
    <w:rsid w:val="00667DEC"/>
    <w:rsid w:val="006707ED"/>
    <w:rsid w:val="006716CF"/>
    <w:rsid w:val="00671A8D"/>
    <w:rsid w:val="00671B50"/>
    <w:rsid w:val="00672482"/>
    <w:rsid w:val="006727DA"/>
    <w:rsid w:val="006728EB"/>
    <w:rsid w:val="00672A4E"/>
    <w:rsid w:val="006734A7"/>
    <w:rsid w:val="006739D5"/>
    <w:rsid w:val="00673A10"/>
    <w:rsid w:val="00674468"/>
    <w:rsid w:val="00674AB6"/>
    <w:rsid w:val="00675553"/>
    <w:rsid w:val="0067576D"/>
    <w:rsid w:val="00675F2E"/>
    <w:rsid w:val="00676203"/>
    <w:rsid w:val="00676449"/>
    <w:rsid w:val="00677424"/>
    <w:rsid w:val="006777F7"/>
    <w:rsid w:val="00681930"/>
    <w:rsid w:val="00681C5F"/>
    <w:rsid w:val="0068243D"/>
    <w:rsid w:val="00683EBB"/>
    <w:rsid w:val="00684362"/>
    <w:rsid w:val="0068445B"/>
    <w:rsid w:val="006856B3"/>
    <w:rsid w:val="00685B5B"/>
    <w:rsid w:val="00686116"/>
    <w:rsid w:val="006861BB"/>
    <w:rsid w:val="0069094A"/>
    <w:rsid w:val="00690EDF"/>
    <w:rsid w:val="00690FEC"/>
    <w:rsid w:val="0069213A"/>
    <w:rsid w:val="00692B3E"/>
    <w:rsid w:val="00692CAC"/>
    <w:rsid w:val="006935B8"/>
    <w:rsid w:val="00693637"/>
    <w:rsid w:val="00693BDF"/>
    <w:rsid w:val="00694039"/>
    <w:rsid w:val="00694C68"/>
    <w:rsid w:val="006957A2"/>
    <w:rsid w:val="00696E2C"/>
    <w:rsid w:val="00696F07"/>
    <w:rsid w:val="0069745E"/>
    <w:rsid w:val="00697F14"/>
    <w:rsid w:val="006A078D"/>
    <w:rsid w:val="006A166B"/>
    <w:rsid w:val="006A17BC"/>
    <w:rsid w:val="006A1BB5"/>
    <w:rsid w:val="006A1FDF"/>
    <w:rsid w:val="006A22B5"/>
    <w:rsid w:val="006A244E"/>
    <w:rsid w:val="006A2722"/>
    <w:rsid w:val="006A2DC4"/>
    <w:rsid w:val="006A3778"/>
    <w:rsid w:val="006A3801"/>
    <w:rsid w:val="006A4932"/>
    <w:rsid w:val="006A4AB4"/>
    <w:rsid w:val="006A4F38"/>
    <w:rsid w:val="006A56D5"/>
    <w:rsid w:val="006A5B2C"/>
    <w:rsid w:val="006A5D23"/>
    <w:rsid w:val="006A5DB3"/>
    <w:rsid w:val="006A635C"/>
    <w:rsid w:val="006A6AEF"/>
    <w:rsid w:val="006A7E7B"/>
    <w:rsid w:val="006B04CE"/>
    <w:rsid w:val="006B15CE"/>
    <w:rsid w:val="006B16D3"/>
    <w:rsid w:val="006B179D"/>
    <w:rsid w:val="006B1BFA"/>
    <w:rsid w:val="006B1D8E"/>
    <w:rsid w:val="006B25A5"/>
    <w:rsid w:val="006B280F"/>
    <w:rsid w:val="006B2C70"/>
    <w:rsid w:val="006B2FC2"/>
    <w:rsid w:val="006B3408"/>
    <w:rsid w:val="006B3A7B"/>
    <w:rsid w:val="006B3FCB"/>
    <w:rsid w:val="006B431B"/>
    <w:rsid w:val="006B46EF"/>
    <w:rsid w:val="006B496C"/>
    <w:rsid w:val="006B5823"/>
    <w:rsid w:val="006B5BD3"/>
    <w:rsid w:val="006C0C15"/>
    <w:rsid w:val="006C268B"/>
    <w:rsid w:val="006C33B5"/>
    <w:rsid w:val="006C3631"/>
    <w:rsid w:val="006C493B"/>
    <w:rsid w:val="006C4E3C"/>
    <w:rsid w:val="006C5000"/>
    <w:rsid w:val="006C6646"/>
    <w:rsid w:val="006C677F"/>
    <w:rsid w:val="006C6829"/>
    <w:rsid w:val="006C6C86"/>
    <w:rsid w:val="006C7435"/>
    <w:rsid w:val="006C7B6E"/>
    <w:rsid w:val="006D019E"/>
    <w:rsid w:val="006D01F3"/>
    <w:rsid w:val="006D04C6"/>
    <w:rsid w:val="006D1270"/>
    <w:rsid w:val="006D1C8D"/>
    <w:rsid w:val="006D1FF4"/>
    <w:rsid w:val="006D2660"/>
    <w:rsid w:val="006D2B30"/>
    <w:rsid w:val="006D315A"/>
    <w:rsid w:val="006D38C6"/>
    <w:rsid w:val="006D4729"/>
    <w:rsid w:val="006D47FA"/>
    <w:rsid w:val="006D4B7E"/>
    <w:rsid w:val="006D5902"/>
    <w:rsid w:val="006D5CAF"/>
    <w:rsid w:val="006D5CDC"/>
    <w:rsid w:val="006D643B"/>
    <w:rsid w:val="006D67AB"/>
    <w:rsid w:val="006D785D"/>
    <w:rsid w:val="006E0342"/>
    <w:rsid w:val="006E0628"/>
    <w:rsid w:val="006E11B2"/>
    <w:rsid w:val="006E21D5"/>
    <w:rsid w:val="006E2EC9"/>
    <w:rsid w:val="006E352D"/>
    <w:rsid w:val="006E4AC6"/>
    <w:rsid w:val="006E4FEF"/>
    <w:rsid w:val="006E5543"/>
    <w:rsid w:val="006E605A"/>
    <w:rsid w:val="006E609A"/>
    <w:rsid w:val="006E6DCE"/>
    <w:rsid w:val="006F0931"/>
    <w:rsid w:val="006F1914"/>
    <w:rsid w:val="006F22B7"/>
    <w:rsid w:val="006F2ED1"/>
    <w:rsid w:val="006F3178"/>
    <w:rsid w:val="006F33F8"/>
    <w:rsid w:val="006F346C"/>
    <w:rsid w:val="006F38A4"/>
    <w:rsid w:val="006F5B6E"/>
    <w:rsid w:val="006F5C42"/>
    <w:rsid w:val="006F6B22"/>
    <w:rsid w:val="006F6C0B"/>
    <w:rsid w:val="006F6FF1"/>
    <w:rsid w:val="006F7120"/>
    <w:rsid w:val="006F79B0"/>
    <w:rsid w:val="0070026C"/>
    <w:rsid w:val="00701265"/>
    <w:rsid w:val="00701ACC"/>
    <w:rsid w:val="00702F62"/>
    <w:rsid w:val="00702F90"/>
    <w:rsid w:val="0070348A"/>
    <w:rsid w:val="00703581"/>
    <w:rsid w:val="0070375D"/>
    <w:rsid w:val="00703A49"/>
    <w:rsid w:val="0070495D"/>
    <w:rsid w:val="007049CD"/>
    <w:rsid w:val="00706504"/>
    <w:rsid w:val="00706655"/>
    <w:rsid w:val="00706A2A"/>
    <w:rsid w:val="00706E96"/>
    <w:rsid w:val="0071011F"/>
    <w:rsid w:val="00711D3E"/>
    <w:rsid w:val="00711EB9"/>
    <w:rsid w:val="00712982"/>
    <w:rsid w:val="00712D69"/>
    <w:rsid w:val="00712D98"/>
    <w:rsid w:val="0071301E"/>
    <w:rsid w:val="00713459"/>
    <w:rsid w:val="00713A6F"/>
    <w:rsid w:val="00714518"/>
    <w:rsid w:val="00714871"/>
    <w:rsid w:val="007151F2"/>
    <w:rsid w:val="0071572B"/>
    <w:rsid w:val="007161F0"/>
    <w:rsid w:val="007167D8"/>
    <w:rsid w:val="00716DE4"/>
    <w:rsid w:val="0071727D"/>
    <w:rsid w:val="00717E55"/>
    <w:rsid w:val="00720057"/>
    <w:rsid w:val="0072170F"/>
    <w:rsid w:val="00721C92"/>
    <w:rsid w:val="00721D81"/>
    <w:rsid w:val="00722062"/>
    <w:rsid w:val="00722461"/>
    <w:rsid w:val="007225C2"/>
    <w:rsid w:val="00722600"/>
    <w:rsid w:val="0072294D"/>
    <w:rsid w:val="00722C3F"/>
    <w:rsid w:val="007244A5"/>
    <w:rsid w:val="007245FB"/>
    <w:rsid w:val="00724728"/>
    <w:rsid w:val="00724E22"/>
    <w:rsid w:val="00724FA7"/>
    <w:rsid w:val="0072527E"/>
    <w:rsid w:val="0072532A"/>
    <w:rsid w:val="00725B45"/>
    <w:rsid w:val="0072669C"/>
    <w:rsid w:val="00730369"/>
    <w:rsid w:val="00730C2B"/>
    <w:rsid w:val="00730E69"/>
    <w:rsid w:val="00732070"/>
    <w:rsid w:val="007321A9"/>
    <w:rsid w:val="00732CE5"/>
    <w:rsid w:val="007335AE"/>
    <w:rsid w:val="007335C0"/>
    <w:rsid w:val="00733E2B"/>
    <w:rsid w:val="007342C5"/>
    <w:rsid w:val="00734C4E"/>
    <w:rsid w:val="0073539C"/>
    <w:rsid w:val="00735947"/>
    <w:rsid w:val="0073595D"/>
    <w:rsid w:val="00735B13"/>
    <w:rsid w:val="00736080"/>
    <w:rsid w:val="007360C8"/>
    <w:rsid w:val="007376CD"/>
    <w:rsid w:val="00740B54"/>
    <w:rsid w:val="00740BC8"/>
    <w:rsid w:val="00740ED5"/>
    <w:rsid w:val="0074100E"/>
    <w:rsid w:val="007416A6"/>
    <w:rsid w:val="007417DB"/>
    <w:rsid w:val="00742C12"/>
    <w:rsid w:val="00742EFD"/>
    <w:rsid w:val="00743201"/>
    <w:rsid w:val="0074342C"/>
    <w:rsid w:val="00743A53"/>
    <w:rsid w:val="00743C37"/>
    <w:rsid w:val="00744E16"/>
    <w:rsid w:val="007460ED"/>
    <w:rsid w:val="0074718F"/>
    <w:rsid w:val="007513CC"/>
    <w:rsid w:val="0075163A"/>
    <w:rsid w:val="00752FEF"/>
    <w:rsid w:val="007530C9"/>
    <w:rsid w:val="00753A50"/>
    <w:rsid w:val="00753AFD"/>
    <w:rsid w:val="00754700"/>
    <w:rsid w:val="00754F75"/>
    <w:rsid w:val="007553C1"/>
    <w:rsid w:val="00755F63"/>
    <w:rsid w:val="007564B2"/>
    <w:rsid w:val="00756AAA"/>
    <w:rsid w:val="00756D02"/>
    <w:rsid w:val="00757225"/>
    <w:rsid w:val="00757722"/>
    <w:rsid w:val="00761CCC"/>
    <w:rsid w:val="00761E1C"/>
    <w:rsid w:val="00761E66"/>
    <w:rsid w:val="00762090"/>
    <w:rsid w:val="00762142"/>
    <w:rsid w:val="00762857"/>
    <w:rsid w:val="00762936"/>
    <w:rsid w:val="00763BED"/>
    <w:rsid w:val="00764D48"/>
    <w:rsid w:val="00765824"/>
    <w:rsid w:val="00765E04"/>
    <w:rsid w:val="007662E4"/>
    <w:rsid w:val="00766615"/>
    <w:rsid w:val="00766B47"/>
    <w:rsid w:val="00767CE8"/>
    <w:rsid w:val="00769B4B"/>
    <w:rsid w:val="0076EE16"/>
    <w:rsid w:val="00770C21"/>
    <w:rsid w:val="00771179"/>
    <w:rsid w:val="007716C0"/>
    <w:rsid w:val="007717DF"/>
    <w:rsid w:val="00772375"/>
    <w:rsid w:val="007723FA"/>
    <w:rsid w:val="00772A54"/>
    <w:rsid w:val="00772E32"/>
    <w:rsid w:val="00773B67"/>
    <w:rsid w:val="00773BF3"/>
    <w:rsid w:val="00773C87"/>
    <w:rsid w:val="00773E63"/>
    <w:rsid w:val="00774029"/>
    <w:rsid w:val="00774BF0"/>
    <w:rsid w:val="00774F7C"/>
    <w:rsid w:val="007769E3"/>
    <w:rsid w:val="0077727E"/>
    <w:rsid w:val="007802EA"/>
    <w:rsid w:val="00780336"/>
    <w:rsid w:val="0078044B"/>
    <w:rsid w:val="00780F4E"/>
    <w:rsid w:val="007823CA"/>
    <w:rsid w:val="00782B22"/>
    <w:rsid w:val="00783AC4"/>
    <w:rsid w:val="007842DA"/>
    <w:rsid w:val="00784796"/>
    <w:rsid w:val="007848B6"/>
    <w:rsid w:val="00784A9A"/>
    <w:rsid w:val="00784AB6"/>
    <w:rsid w:val="0078729E"/>
    <w:rsid w:val="00787808"/>
    <w:rsid w:val="007909CE"/>
    <w:rsid w:val="007912B4"/>
    <w:rsid w:val="00791423"/>
    <w:rsid w:val="00791510"/>
    <w:rsid w:val="007915AC"/>
    <w:rsid w:val="00791C9E"/>
    <w:rsid w:val="007926E8"/>
    <w:rsid w:val="007928B6"/>
    <w:rsid w:val="00792A70"/>
    <w:rsid w:val="00792F16"/>
    <w:rsid w:val="00793722"/>
    <w:rsid w:val="00793948"/>
    <w:rsid w:val="007943EA"/>
    <w:rsid w:val="007947A0"/>
    <w:rsid w:val="00794F8C"/>
    <w:rsid w:val="007953C8"/>
    <w:rsid w:val="00795A9B"/>
    <w:rsid w:val="0079646E"/>
    <w:rsid w:val="007969E9"/>
    <w:rsid w:val="00796EF5"/>
    <w:rsid w:val="007977DB"/>
    <w:rsid w:val="00797F8B"/>
    <w:rsid w:val="007A09E5"/>
    <w:rsid w:val="007A12A1"/>
    <w:rsid w:val="007A16CF"/>
    <w:rsid w:val="007A1A61"/>
    <w:rsid w:val="007A1C07"/>
    <w:rsid w:val="007A3326"/>
    <w:rsid w:val="007A3618"/>
    <w:rsid w:val="007A47C7"/>
    <w:rsid w:val="007A55BA"/>
    <w:rsid w:val="007A5818"/>
    <w:rsid w:val="007A6307"/>
    <w:rsid w:val="007A6B83"/>
    <w:rsid w:val="007A712F"/>
    <w:rsid w:val="007A7CE3"/>
    <w:rsid w:val="007A7EDF"/>
    <w:rsid w:val="007B032F"/>
    <w:rsid w:val="007B0372"/>
    <w:rsid w:val="007B1D68"/>
    <w:rsid w:val="007B2898"/>
    <w:rsid w:val="007B34F4"/>
    <w:rsid w:val="007B479C"/>
    <w:rsid w:val="007B4BDD"/>
    <w:rsid w:val="007B55C6"/>
    <w:rsid w:val="007B5630"/>
    <w:rsid w:val="007B5C72"/>
    <w:rsid w:val="007B68DE"/>
    <w:rsid w:val="007B6BBD"/>
    <w:rsid w:val="007B7514"/>
    <w:rsid w:val="007B7A7B"/>
    <w:rsid w:val="007C0F14"/>
    <w:rsid w:val="007C17B0"/>
    <w:rsid w:val="007C1BF1"/>
    <w:rsid w:val="007C1E2B"/>
    <w:rsid w:val="007C253B"/>
    <w:rsid w:val="007C2D5A"/>
    <w:rsid w:val="007C3B84"/>
    <w:rsid w:val="007C3EEE"/>
    <w:rsid w:val="007C4B9B"/>
    <w:rsid w:val="007C4CFA"/>
    <w:rsid w:val="007C5FF9"/>
    <w:rsid w:val="007C66A5"/>
    <w:rsid w:val="007C6B1D"/>
    <w:rsid w:val="007C701B"/>
    <w:rsid w:val="007C7B3D"/>
    <w:rsid w:val="007C7F98"/>
    <w:rsid w:val="007D17FB"/>
    <w:rsid w:val="007D1AEF"/>
    <w:rsid w:val="007D2493"/>
    <w:rsid w:val="007D2E1C"/>
    <w:rsid w:val="007D34D1"/>
    <w:rsid w:val="007D41FA"/>
    <w:rsid w:val="007D42A6"/>
    <w:rsid w:val="007D43DF"/>
    <w:rsid w:val="007D58D3"/>
    <w:rsid w:val="007D61D3"/>
    <w:rsid w:val="007D6432"/>
    <w:rsid w:val="007D6550"/>
    <w:rsid w:val="007D6D9C"/>
    <w:rsid w:val="007D71F3"/>
    <w:rsid w:val="007D7C69"/>
    <w:rsid w:val="007D7E05"/>
    <w:rsid w:val="007E0012"/>
    <w:rsid w:val="007E1005"/>
    <w:rsid w:val="007E1168"/>
    <w:rsid w:val="007E22CD"/>
    <w:rsid w:val="007E2824"/>
    <w:rsid w:val="007E29F7"/>
    <w:rsid w:val="007E2BCB"/>
    <w:rsid w:val="007E341B"/>
    <w:rsid w:val="007E45D9"/>
    <w:rsid w:val="007E485E"/>
    <w:rsid w:val="007E52CC"/>
    <w:rsid w:val="007E58F6"/>
    <w:rsid w:val="007E59AB"/>
    <w:rsid w:val="007E5B88"/>
    <w:rsid w:val="007E620E"/>
    <w:rsid w:val="007E648A"/>
    <w:rsid w:val="007E69FE"/>
    <w:rsid w:val="007E6BEB"/>
    <w:rsid w:val="007E6D8B"/>
    <w:rsid w:val="007E77A8"/>
    <w:rsid w:val="007F031B"/>
    <w:rsid w:val="007F0874"/>
    <w:rsid w:val="007F0B23"/>
    <w:rsid w:val="007F0B54"/>
    <w:rsid w:val="007F0C24"/>
    <w:rsid w:val="007F0C2E"/>
    <w:rsid w:val="007F15D8"/>
    <w:rsid w:val="007F167A"/>
    <w:rsid w:val="007F1A93"/>
    <w:rsid w:val="007F1CA8"/>
    <w:rsid w:val="007F224B"/>
    <w:rsid w:val="007F24F4"/>
    <w:rsid w:val="007F3DA8"/>
    <w:rsid w:val="007F44A9"/>
    <w:rsid w:val="007F4F0F"/>
    <w:rsid w:val="007F6933"/>
    <w:rsid w:val="007F6B75"/>
    <w:rsid w:val="00800DBE"/>
    <w:rsid w:val="008021F0"/>
    <w:rsid w:val="008025EF"/>
    <w:rsid w:val="00802CA7"/>
    <w:rsid w:val="00803E62"/>
    <w:rsid w:val="008041B2"/>
    <w:rsid w:val="00804D59"/>
    <w:rsid w:val="008050E1"/>
    <w:rsid w:val="00805306"/>
    <w:rsid w:val="008059AD"/>
    <w:rsid w:val="00805F01"/>
    <w:rsid w:val="00806FE8"/>
    <w:rsid w:val="0080753E"/>
    <w:rsid w:val="008076C5"/>
    <w:rsid w:val="00807855"/>
    <w:rsid w:val="00807CDC"/>
    <w:rsid w:val="00810313"/>
    <w:rsid w:val="00810420"/>
    <w:rsid w:val="008109A2"/>
    <w:rsid w:val="00810FD0"/>
    <w:rsid w:val="0081113A"/>
    <w:rsid w:val="0081155F"/>
    <w:rsid w:val="0081280F"/>
    <w:rsid w:val="00812964"/>
    <w:rsid w:val="00813C8E"/>
    <w:rsid w:val="00813ECA"/>
    <w:rsid w:val="00814166"/>
    <w:rsid w:val="00814788"/>
    <w:rsid w:val="00814922"/>
    <w:rsid w:val="008152B3"/>
    <w:rsid w:val="008152DF"/>
    <w:rsid w:val="00815431"/>
    <w:rsid w:val="0081543A"/>
    <w:rsid w:val="008162B0"/>
    <w:rsid w:val="00816364"/>
    <w:rsid w:val="00816405"/>
    <w:rsid w:val="00816640"/>
    <w:rsid w:val="00816C41"/>
    <w:rsid w:val="0081784A"/>
    <w:rsid w:val="00817D51"/>
    <w:rsid w:val="00817DAF"/>
    <w:rsid w:val="00817DE4"/>
    <w:rsid w:val="00820192"/>
    <w:rsid w:val="0082052F"/>
    <w:rsid w:val="00820F3A"/>
    <w:rsid w:val="008217C8"/>
    <w:rsid w:val="00821AAE"/>
    <w:rsid w:val="00821B84"/>
    <w:rsid w:val="008233A7"/>
    <w:rsid w:val="0082349C"/>
    <w:rsid w:val="00823925"/>
    <w:rsid w:val="00824431"/>
    <w:rsid w:val="008249D6"/>
    <w:rsid w:val="00824F01"/>
    <w:rsid w:val="008251E7"/>
    <w:rsid w:val="008252EF"/>
    <w:rsid w:val="00825AE8"/>
    <w:rsid w:val="00825AEF"/>
    <w:rsid w:val="00825B38"/>
    <w:rsid w:val="00826554"/>
    <w:rsid w:val="008269BB"/>
    <w:rsid w:val="00826EAD"/>
    <w:rsid w:val="008270BE"/>
    <w:rsid w:val="0082737B"/>
    <w:rsid w:val="00827380"/>
    <w:rsid w:val="008278E7"/>
    <w:rsid w:val="00827BF2"/>
    <w:rsid w:val="00830651"/>
    <w:rsid w:val="00830AE4"/>
    <w:rsid w:val="008312A2"/>
    <w:rsid w:val="0083132C"/>
    <w:rsid w:val="008319AC"/>
    <w:rsid w:val="00831B97"/>
    <w:rsid w:val="00833023"/>
    <w:rsid w:val="0083409C"/>
    <w:rsid w:val="008346E6"/>
    <w:rsid w:val="00834979"/>
    <w:rsid w:val="00835983"/>
    <w:rsid w:val="00835EC5"/>
    <w:rsid w:val="00836BF2"/>
    <w:rsid w:val="00837557"/>
    <w:rsid w:val="00841203"/>
    <w:rsid w:val="008412C6"/>
    <w:rsid w:val="00841D0C"/>
    <w:rsid w:val="00841D15"/>
    <w:rsid w:val="00841E20"/>
    <w:rsid w:val="00842104"/>
    <w:rsid w:val="00842BF9"/>
    <w:rsid w:val="00842C67"/>
    <w:rsid w:val="008431EB"/>
    <w:rsid w:val="00843848"/>
    <w:rsid w:val="00844CE4"/>
    <w:rsid w:val="00845C90"/>
    <w:rsid w:val="008461C0"/>
    <w:rsid w:val="00846EF0"/>
    <w:rsid w:val="00847448"/>
    <w:rsid w:val="0084759B"/>
    <w:rsid w:val="0084765C"/>
    <w:rsid w:val="008479D4"/>
    <w:rsid w:val="00850992"/>
    <w:rsid w:val="00851A95"/>
    <w:rsid w:val="008520F8"/>
    <w:rsid w:val="008523E8"/>
    <w:rsid w:val="00852C6A"/>
    <w:rsid w:val="0085370A"/>
    <w:rsid w:val="00853792"/>
    <w:rsid w:val="0085379C"/>
    <w:rsid w:val="00853820"/>
    <w:rsid w:val="008548BF"/>
    <w:rsid w:val="00855628"/>
    <w:rsid w:val="008569F4"/>
    <w:rsid w:val="00856C3A"/>
    <w:rsid w:val="00860059"/>
    <w:rsid w:val="008606DB"/>
    <w:rsid w:val="00860BFB"/>
    <w:rsid w:val="00860CCD"/>
    <w:rsid w:val="00860E3D"/>
    <w:rsid w:val="00861CCC"/>
    <w:rsid w:val="00861F83"/>
    <w:rsid w:val="00861FFA"/>
    <w:rsid w:val="0086251C"/>
    <w:rsid w:val="00862CAE"/>
    <w:rsid w:val="00863107"/>
    <w:rsid w:val="0086336F"/>
    <w:rsid w:val="008633CC"/>
    <w:rsid w:val="00864700"/>
    <w:rsid w:val="00866FE3"/>
    <w:rsid w:val="00871015"/>
    <w:rsid w:val="0087185B"/>
    <w:rsid w:val="00874303"/>
    <w:rsid w:val="00874643"/>
    <w:rsid w:val="00874AD1"/>
    <w:rsid w:val="00874BB9"/>
    <w:rsid w:val="00875911"/>
    <w:rsid w:val="00875E34"/>
    <w:rsid w:val="00876F88"/>
    <w:rsid w:val="00877500"/>
    <w:rsid w:val="008777C6"/>
    <w:rsid w:val="00877D3B"/>
    <w:rsid w:val="008803F6"/>
    <w:rsid w:val="008806D3"/>
    <w:rsid w:val="00880C3F"/>
    <w:rsid w:val="00880D2A"/>
    <w:rsid w:val="0088159A"/>
    <w:rsid w:val="0088380B"/>
    <w:rsid w:val="00883C38"/>
    <w:rsid w:val="00883CAE"/>
    <w:rsid w:val="008840DB"/>
    <w:rsid w:val="0088433F"/>
    <w:rsid w:val="00884F65"/>
    <w:rsid w:val="00884F76"/>
    <w:rsid w:val="00884F9A"/>
    <w:rsid w:val="00886644"/>
    <w:rsid w:val="00886AB0"/>
    <w:rsid w:val="008875FF"/>
    <w:rsid w:val="0088763A"/>
    <w:rsid w:val="0088787E"/>
    <w:rsid w:val="00887CDC"/>
    <w:rsid w:val="00887DE4"/>
    <w:rsid w:val="008903EA"/>
    <w:rsid w:val="00890EE2"/>
    <w:rsid w:val="00891AEA"/>
    <w:rsid w:val="00892017"/>
    <w:rsid w:val="00892427"/>
    <w:rsid w:val="00892B43"/>
    <w:rsid w:val="008933FD"/>
    <w:rsid w:val="008954EE"/>
    <w:rsid w:val="00895915"/>
    <w:rsid w:val="00896A47"/>
    <w:rsid w:val="0089760C"/>
    <w:rsid w:val="00897808"/>
    <w:rsid w:val="00897FC7"/>
    <w:rsid w:val="008A0DD3"/>
    <w:rsid w:val="008A1549"/>
    <w:rsid w:val="008A214C"/>
    <w:rsid w:val="008A2333"/>
    <w:rsid w:val="008A30AE"/>
    <w:rsid w:val="008A31D2"/>
    <w:rsid w:val="008A4CBA"/>
    <w:rsid w:val="008A4F10"/>
    <w:rsid w:val="008A5848"/>
    <w:rsid w:val="008A641B"/>
    <w:rsid w:val="008A6442"/>
    <w:rsid w:val="008A6695"/>
    <w:rsid w:val="008A6ED0"/>
    <w:rsid w:val="008A7B7E"/>
    <w:rsid w:val="008B0229"/>
    <w:rsid w:val="008B22BF"/>
    <w:rsid w:val="008B282A"/>
    <w:rsid w:val="008B2B09"/>
    <w:rsid w:val="008B2C84"/>
    <w:rsid w:val="008B2D71"/>
    <w:rsid w:val="008B34BC"/>
    <w:rsid w:val="008B3ED6"/>
    <w:rsid w:val="008B4058"/>
    <w:rsid w:val="008B41D2"/>
    <w:rsid w:val="008B4BAE"/>
    <w:rsid w:val="008B5C19"/>
    <w:rsid w:val="008B5EC0"/>
    <w:rsid w:val="008B6608"/>
    <w:rsid w:val="008B75A2"/>
    <w:rsid w:val="008C0EF3"/>
    <w:rsid w:val="008C1065"/>
    <w:rsid w:val="008C19AF"/>
    <w:rsid w:val="008C1BBF"/>
    <w:rsid w:val="008C1CAA"/>
    <w:rsid w:val="008C2FB2"/>
    <w:rsid w:val="008C4439"/>
    <w:rsid w:val="008C4BE8"/>
    <w:rsid w:val="008C4ED5"/>
    <w:rsid w:val="008C51B7"/>
    <w:rsid w:val="008C572F"/>
    <w:rsid w:val="008C6CEA"/>
    <w:rsid w:val="008C74B9"/>
    <w:rsid w:val="008C78E3"/>
    <w:rsid w:val="008D0A4E"/>
    <w:rsid w:val="008D13B2"/>
    <w:rsid w:val="008D1E43"/>
    <w:rsid w:val="008D2211"/>
    <w:rsid w:val="008D2233"/>
    <w:rsid w:val="008D26D2"/>
    <w:rsid w:val="008D2703"/>
    <w:rsid w:val="008D343D"/>
    <w:rsid w:val="008D361C"/>
    <w:rsid w:val="008D3C48"/>
    <w:rsid w:val="008D3FC6"/>
    <w:rsid w:val="008D4028"/>
    <w:rsid w:val="008D5380"/>
    <w:rsid w:val="008D5DC0"/>
    <w:rsid w:val="008D5F3F"/>
    <w:rsid w:val="008D5F57"/>
    <w:rsid w:val="008D66A2"/>
    <w:rsid w:val="008D6A82"/>
    <w:rsid w:val="008D6EF8"/>
    <w:rsid w:val="008D704F"/>
    <w:rsid w:val="008D76DD"/>
    <w:rsid w:val="008D7D19"/>
    <w:rsid w:val="008D7EAE"/>
    <w:rsid w:val="008E06D6"/>
    <w:rsid w:val="008E2399"/>
    <w:rsid w:val="008E39FF"/>
    <w:rsid w:val="008E3ABA"/>
    <w:rsid w:val="008E3B17"/>
    <w:rsid w:val="008E3D19"/>
    <w:rsid w:val="008E4952"/>
    <w:rsid w:val="008E4CD8"/>
    <w:rsid w:val="008E60C3"/>
    <w:rsid w:val="008E6296"/>
    <w:rsid w:val="008E75C1"/>
    <w:rsid w:val="008F00DA"/>
    <w:rsid w:val="008F028E"/>
    <w:rsid w:val="008F03BA"/>
    <w:rsid w:val="008F0E2A"/>
    <w:rsid w:val="008F0E59"/>
    <w:rsid w:val="008F1764"/>
    <w:rsid w:val="008F1D6D"/>
    <w:rsid w:val="008F212C"/>
    <w:rsid w:val="008F25D0"/>
    <w:rsid w:val="008F2FF2"/>
    <w:rsid w:val="008F30F5"/>
    <w:rsid w:val="008F3602"/>
    <w:rsid w:val="008F3D82"/>
    <w:rsid w:val="008F4772"/>
    <w:rsid w:val="008F48D5"/>
    <w:rsid w:val="008F4AAC"/>
    <w:rsid w:val="008F5784"/>
    <w:rsid w:val="008F57F5"/>
    <w:rsid w:val="008F583B"/>
    <w:rsid w:val="008F67B3"/>
    <w:rsid w:val="008F6F35"/>
    <w:rsid w:val="008F71E6"/>
    <w:rsid w:val="008F7949"/>
    <w:rsid w:val="008F7F4E"/>
    <w:rsid w:val="00900F4D"/>
    <w:rsid w:val="00901512"/>
    <w:rsid w:val="00901C15"/>
    <w:rsid w:val="00902408"/>
    <w:rsid w:val="00903CF0"/>
    <w:rsid w:val="00904583"/>
    <w:rsid w:val="00904BF0"/>
    <w:rsid w:val="00905A79"/>
    <w:rsid w:val="00905C47"/>
    <w:rsid w:val="00905DC8"/>
    <w:rsid w:val="00906508"/>
    <w:rsid w:val="00906A88"/>
    <w:rsid w:val="00906FF3"/>
    <w:rsid w:val="00907272"/>
    <w:rsid w:val="009079AD"/>
    <w:rsid w:val="00907C60"/>
    <w:rsid w:val="0091019D"/>
    <w:rsid w:val="0091045E"/>
    <w:rsid w:val="009104DB"/>
    <w:rsid w:val="00912AD4"/>
    <w:rsid w:val="009132E2"/>
    <w:rsid w:val="0091334A"/>
    <w:rsid w:val="009134B9"/>
    <w:rsid w:val="009135A9"/>
    <w:rsid w:val="00913688"/>
    <w:rsid w:val="00913F28"/>
    <w:rsid w:val="00914C97"/>
    <w:rsid w:val="009156D6"/>
    <w:rsid w:val="009157C6"/>
    <w:rsid w:val="00915884"/>
    <w:rsid w:val="00915A71"/>
    <w:rsid w:val="00915D1A"/>
    <w:rsid w:val="00916B9E"/>
    <w:rsid w:val="00916C6B"/>
    <w:rsid w:val="009203F4"/>
    <w:rsid w:val="00920920"/>
    <w:rsid w:val="0092163F"/>
    <w:rsid w:val="00922121"/>
    <w:rsid w:val="009225AE"/>
    <w:rsid w:val="00922691"/>
    <w:rsid w:val="00922E8D"/>
    <w:rsid w:val="00922F4B"/>
    <w:rsid w:val="009233D7"/>
    <w:rsid w:val="00923B4B"/>
    <w:rsid w:val="00923E10"/>
    <w:rsid w:val="009240DE"/>
    <w:rsid w:val="00925077"/>
    <w:rsid w:val="009259F5"/>
    <w:rsid w:val="00926936"/>
    <w:rsid w:val="00926A4A"/>
    <w:rsid w:val="009272B0"/>
    <w:rsid w:val="00927BFA"/>
    <w:rsid w:val="009317DD"/>
    <w:rsid w:val="00931884"/>
    <w:rsid w:val="00931D8C"/>
    <w:rsid w:val="00932218"/>
    <w:rsid w:val="0093260E"/>
    <w:rsid w:val="009328D6"/>
    <w:rsid w:val="00932EEC"/>
    <w:rsid w:val="009339DE"/>
    <w:rsid w:val="00934820"/>
    <w:rsid w:val="00934A55"/>
    <w:rsid w:val="00935002"/>
    <w:rsid w:val="009363EF"/>
    <w:rsid w:val="00936651"/>
    <w:rsid w:val="009366F2"/>
    <w:rsid w:val="00937220"/>
    <w:rsid w:val="00937E9B"/>
    <w:rsid w:val="00940332"/>
    <w:rsid w:val="00941114"/>
    <w:rsid w:val="00941A32"/>
    <w:rsid w:val="00941DE5"/>
    <w:rsid w:val="0094346B"/>
    <w:rsid w:val="00943649"/>
    <w:rsid w:val="00945248"/>
    <w:rsid w:val="00945DA1"/>
    <w:rsid w:val="00946021"/>
    <w:rsid w:val="009463DE"/>
    <w:rsid w:val="00946ACC"/>
    <w:rsid w:val="00947BFF"/>
    <w:rsid w:val="00947C64"/>
    <w:rsid w:val="00950480"/>
    <w:rsid w:val="00950496"/>
    <w:rsid w:val="009511A3"/>
    <w:rsid w:val="009513DF"/>
    <w:rsid w:val="00951416"/>
    <w:rsid w:val="00951B67"/>
    <w:rsid w:val="00952977"/>
    <w:rsid w:val="00952A0B"/>
    <w:rsid w:val="00953950"/>
    <w:rsid w:val="00953BA3"/>
    <w:rsid w:val="00953DA7"/>
    <w:rsid w:val="00953F68"/>
    <w:rsid w:val="009542D1"/>
    <w:rsid w:val="00954B53"/>
    <w:rsid w:val="00954C72"/>
    <w:rsid w:val="00955467"/>
    <w:rsid w:val="009558AF"/>
    <w:rsid w:val="009561B3"/>
    <w:rsid w:val="00956C99"/>
    <w:rsid w:val="009570A7"/>
    <w:rsid w:val="009572DD"/>
    <w:rsid w:val="00957D2B"/>
    <w:rsid w:val="00960FBA"/>
    <w:rsid w:val="0096199A"/>
    <w:rsid w:val="00961EA5"/>
    <w:rsid w:val="009620DA"/>
    <w:rsid w:val="009625B3"/>
    <w:rsid w:val="009630C7"/>
    <w:rsid w:val="00963196"/>
    <w:rsid w:val="009639A8"/>
    <w:rsid w:val="00963B01"/>
    <w:rsid w:val="00963C99"/>
    <w:rsid w:val="009650A7"/>
    <w:rsid w:val="0096561C"/>
    <w:rsid w:val="009667FD"/>
    <w:rsid w:val="0096719C"/>
    <w:rsid w:val="0096760D"/>
    <w:rsid w:val="00970143"/>
    <w:rsid w:val="00970E9E"/>
    <w:rsid w:val="0097198F"/>
    <w:rsid w:val="00973913"/>
    <w:rsid w:val="00973928"/>
    <w:rsid w:val="00974121"/>
    <w:rsid w:val="009747FC"/>
    <w:rsid w:val="00974839"/>
    <w:rsid w:val="00974AFE"/>
    <w:rsid w:val="009757D1"/>
    <w:rsid w:val="00975C5C"/>
    <w:rsid w:val="009763FE"/>
    <w:rsid w:val="009767BB"/>
    <w:rsid w:val="00976B49"/>
    <w:rsid w:val="00976CC0"/>
    <w:rsid w:val="00977319"/>
    <w:rsid w:val="00977343"/>
    <w:rsid w:val="009779FD"/>
    <w:rsid w:val="009811B2"/>
    <w:rsid w:val="0098136B"/>
    <w:rsid w:val="00981500"/>
    <w:rsid w:val="00981878"/>
    <w:rsid w:val="00981AB9"/>
    <w:rsid w:val="0098264E"/>
    <w:rsid w:val="009827B9"/>
    <w:rsid w:val="00982993"/>
    <w:rsid w:val="009833BF"/>
    <w:rsid w:val="00984259"/>
    <w:rsid w:val="009850CE"/>
    <w:rsid w:val="00985194"/>
    <w:rsid w:val="00985FAC"/>
    <w:rsid w:val="00986428"/>
    <w:rsid w:val="009909E1"/>
    <w:rsid w:val="00990AB7"/>
    <w:rsid w:val="00991503"/>
    <w:rsid w:val="009917D8"/>
    <w:rsid w:val="00991A21"/>
    <w:rsid w:val="00993020"/>
    <w:rsid w:val="00993B87"/>
    <w:rsid w:val="00994023"/>
    <w:rsid w:val="00994A04"/>
    <w:rsid w:val="00994F1B"/>
    <w:rsid w:val="00994FDC"/>
    <w:rsid w:val="00995E57"/>
    <w:rsid w:val="00996AA9"/>
    <w:rsid w:val="00996C2B"/>
    <w:rsid w:val="00997303"/>
    <w:rsid w:val="009977AF"/>
    <w:rsid w:val="009A04B2"/>
    <w:rsid w:val="009A0E6C"/>
    <w:rsid w:val="009A1C56"/>
    <w:rsid w:val="009A2EDE"/>
    <w:rsid w:val="009A3AFE"/>
    <w:rsid w:val="009A43F3"/>
    <w:rsid w:val="009A47B1"/>
    <w:rsid w:val="009A59A5"/>
    <w:rsid w:val="009A5B37"/>
    <w:rsid w:val="009A6275"/>
    <w:rsid w:val="009A687D"/>
    <w:rsid w:val="009A6E92"/>
    <w:rsid w:val="009A7166"/>
    <w:rsid w:val="009A71A7"/>
    <w:rsid w:val="009A71BE"/>
    <w:rsid w:val="009A7429"/>
    <w:rsid w:val="009A7444"/>
    <w:rsid w:val="009B05B7"/>
    <w:rsid w:val="009B0A99"/>
    <w:rsid w:val="009B197F"/>
    <w:rsid w:val="009B1A18"/>
    <w:rsid w:val="009B216A"/>
    <w:rsid w:val="009B22BF"/>
    <w:rsid w:val="009B2426"/>
    <w:rsid w:val="009B257A"/>
    <w:rsid w:val="009B2788"/>
    <w:rsid w:val="009B2A42"/>
    <w:rsid w:val="009B3CD1"/>
    <w:rsid w:val="009B3F6D"/>
    <w:rsid w:val="009B4608"/>
    <w:rsid w:val="009B469E"/>
    <w:rsid w:val="009B495C"/>
    <w:rsid w:val="009B499D"/>
    <w:rsid w:val="009B4DBA"/>
    <w:rsid w:val="009B4F13"/>
    <w:rsid w:val="009B5F30"/>
    <w:rsid w:val="009B70C0"/>
    <w:rsid w:val="009C02D1"/>
    <w:rsid w:val="009C0651"/>
    <w:rsid w:val="009C0652"/>
    <w:rsid w:val="009C0A85"/>
    <w:rsid w:val="009C0E85"/>
    <w:rsid w:val="009C10F8"/>
    <w:rsid w:val="009C1778"/>
    <w:rsid w:val="009C19CB"/>
    <w:rsid w:val="009C20DF"/>
    <w:rsid w:val="009C24AB"/>
    <w:rsid w:val="009C24D1"/>
    <w:rsid w:val="009C2522"/>
    <w:rsid w:val="009C2C78"/>
    <w:rsid w:val="009C2EEB"/>
    <w:rsid w:val="009C3D65"/>
    <w:rsid w:val="009C3FFA"/>
    <w:rsid w:val="009C437E"/>
    <w:rsid w:val="009C5186"/>
    <w:rsid w:val="009C6174"/>
    <w:rsid w:val="009C61ED"/>
    <w:rsid w:val="009C65FC"/>
    <w:rsid w:val="009C69AA"/>
    <w:rsid w:val="009C6E28"/>
    <w:rsid w:val="009C7D2D"/>
    <w:rsid w:val="009CD3F8"/>
    <w:rsid w:val="009D03B8"/>
    <w:rsid w:val="009D060E"/>
    <w:rsid w:val="009D0AC7"/>
    <w:rsid w:val="009D0FF5"/>
    <w:rsid w:val="009D15D8"/>
    <w:rsid w:val="009D19C1"/>
    <w:rsid w:val="009D1D43"/>
    <w:rsid w:val="009D1FEE"/>
    <w:rsid w:val="009D373D"/>
    <w:rsid w:val="009D3766"/>
    <w:rsid w:val="009D4592"/>
    <w:rsid w:val="009D48BC"/>
    <w:rsid w:val="009D4C4A"/>
    <w:rsid w:val="009D4E5C"/>
    <w:rsid w:val="009D5177"/>
    <w:rsid w:val="009D5CD8"/>
    <w:rsid w:val="009D698A"/>
    <w:rsid w:val="009D6D74"/>
    <w:rsid w:val="009D7D7A"/>
    <w:rsid w:val="009D7FF3"/>
    <w:rsid w:val="009E0621"/>
    <w:rsid w:val="009E0B49"/>
    <w:rsid w:val="009E1A45"/>
    <w:rsid w:val="009E1F29"/>
    <w:rsid w:val="009E219A"/>
    <w:rsid w:val="009E2AC3"/>
    <w:rsid w:val="009E38DC"/>
    <w:rsid w:val="009E390D"/>
    <w:rsid w:val="009E42A7"/>
    <w:rsid w:val="009E5255"/>
    <w:rsid w:val="009E5C81"/>
    <w:rsid w:val="009E6217"/>
    <w:rsid w:val="009E63F2"/>
    <w:rsid w:val="009E6A25"/>
    <w:rsid w:val="009E6CCC"/>
    <w:rsid w:val="009E739D"/>
    <w:rsid w:val="009E797B"/>
    <w:rsid w:val="009E7BC1"/>
    <w:rsid w:val="009E7C15"/>
    <w:rsid w:val="009F0451"/>
    <w:rsid w:val="009F0630"/>
    <w:rsid w:val="009F0B8B"/>
    <w:rsid w:val="009F1C1D"/>
    <w:rsid w:val="009F1EF7"/>
    <w:rsid w:val="009F1F51"/>
    <w:rsid w:val="009F2A36"/>
    <w:rsid w:val="009F36D3"/>
    <w:rsid w:val="009F3BF1"/>
    <w:rsid w:val="009F419D"/>
    <w:rsid w:val="009F4391"/>
    <w:rsid w:val="009F443F"/>
    <w:rsid w:val="009F53FF"/>
    <w:rsid w:val="009F5579"/>
    <w:rsid w:val="009F5842"/>
    <w:rsid w:val="009F5B62"/>
    <w:rsid w:val="009F5BBD"/>
    <w:rsid w:val="009F6BB1"/>
    <w:rsid w:val="009F72A1"/>
    <w:rsid w:val="00A00224"/>
    <w:rsid w:val="00A0109F"/>
    <w:rsid w:val="00A01224"/>
    <w:rsid w:val="00A01C2E"/>
    <w:rsid w:val="00A01E9A"/>
    <w:rsid w:val="00A02CF9"/>
    <w:rsid w:val="00A03226"/>
    <w:rsid w:val="00A038C5"/>
    <w:rsid w:val="00A0462B"/>
    <w:rsid w:val="00A04F34"/>
    <w:rsid w:val="00A05266"/>
    <w:rsid w:val="00A0567A"/>
    <w:rsid w:val="00A05927"/>
    <w:rsid w:val="00A05F0B"/>
    <w:rsid w:val="00A06A11"/>
    <w:rsid w:val="00A07A65"/>
    <w:rsid w:val="00A11CBE"/>
    <w:rsid w:val="00A11DA2"/>
    <w:rsid w:val="00A122A0"/>
    <w:rsid w:val="00A1257B"/>
    <w:rsid w:val="00A127A2"/>
    <w:rsid w:val="00A134DB"/>
    <w:rsid w:val="00A13C55"/>
    <w:rsid w:val="00A13F9E"/>
    <w:rsid w:val="00A14193"/>
    <w:rsid w:val="00A14286"/>
    <w:rsid w:val="00A14969"/>
    <w:rsid w:val="00A166C7"/>
    <w:rsid w:val="00A16943"/>
    <w:rsid w:val="00A17685"/>
    <w:rsid w:val="00A17A1B"/>
    <w:rsid w:val="00A1868C"/>
    <w:rsid w:val="00A1C73E"/>
    <w:rsid w:val="00A1DDE4"/>
    <w:rsid w:val="00A215BB"/>
    <w:rsid w:val="00A21EE0"/>
    <w:rsid w:val="00A222A7"/>
    <w:rsid w:val="00A23F72"/>
    <w:rsid w:val="00A24475"/>
    <w:rsid w:val="00A254F2"/>
    <w:rsid w:val="00A256DF"/>
    <w:rsid w:val="00A26585"/>
    <w:rsid w:val="00A26794"/>
    <w:rsid w:val="00A26988"/>
    <w:rsid w:val="00A26C76"/>
    <w:rsid w:val="00A27699"/>
    <w:rsid w:val="00A27B44"/>
    <w:rsid w:val="00A27C0B"/>
    <w:rsid w:val="00A30402"/>
    <w:rsid w:val="00A31842"/>
    <w:rsid w:val="00A32645"/>
    <w:rsid w:val="00A32ADA"/>
    <w:rsid w:val="00A3333D"/>
    <w:rsid w:val="00A33936"/>
    <w:rsid w:val="00A339F6"/>
    <w:rsid w:val="00A33AC7"/>
    <w:rsid w:val="00A33EE3"/>
    <w:rsid w:val="00A34A7B"/>
    <w:rsid w:val="00A35204"/>
    <w:rsid w:val="00A3643F"/>
    <w:rsid w:val="00A3663B"/>
    <w:rsid w:val="00A366C2"/>
    <w:rsid w:val="00A3692F"/>
    <w:rsid w:val="00A36AF4"/>
    <w:rsid w:val="00A3B2F5"/>
    <w:rsid w:val="00A419FE"/>
    <w:rsid w:val="00A41C04"/>
    <w:rsid w:val="00A42156"/>
    <w:rsid w:val="00A42738"/>
    <w:rsid w:val="00A42945"/>
    <w:rsid w:val="00A43611"/>
    <w:rsid w:val="00A43949"/>
    <w:rsid w:val="00A4433D"/>
    <w:rsid w:val="00A4437A"/>
    <w:rsid w:val="00A452AE"/>
    <w:rsid w:val="00A453D3"/>
    <w:rsid w:val="00A4603D"/>
    <w:rsid w:val="00A46AAA"/>
    <w:rsid w:val="00A47311"/>
    <w:rsid w:val="00A475C9"/>
    <w:rsid w:val="00A478B2"/>
    <w:rsid w:val="00A5014E"/>
    <w:rsid w:val="00A50371"/>
    <w:rsid w:val="00A50629"/>
    <w:rsid w:val="00A5076E"/>
    <w:rsid w:val="00A510FE"/>
    <w:rsid w:val="00A51365"/>
    <w:rsid w:val="00A51A2C"/>
    <w:rsid w:val="00A51DFC"/>
    <w:rsid w:val="00A524BF"/>
    <w:rsid w:val="00A52764"/>
    <w:rsid w:val="00A532F7"/>
    <w:rsid w:val="00A53907"/>
    <w:rsid w:val="00A53D5F"/>
    <w:rsid w:val="00A5427D"/>
    <w:rsid w:val="00A54298"/>
    <w:rsid w:val="00A54F3D"/>
    <w:rsid w:val="00A55A05"/>
    <w:rsid w:val="00A55ED5"/>
    <w:rsid w:val="00A55FC6"/>
    <w:rsid w:val="00A56136"/>
    <w:rsid w:val="00A56F5D"/>
    <w:rsid w:val="00A57444"/>
    <w:rsid w:val="00A5976F"/>
    <w:rsid w:val="00A6018A"/>
    <w:rsid w:val="00A60266"/>
    <w:rsid w:val="00A6045B"/>
    <w:rsid w:val="00A60CAE"/>
    <w:rsid w:val="00A61200"/>
    <w:rsid w:val="00A613E8"/>
    <w:rsid w:val="00A624D8"/>
    <w:rsid w:val="00A62635"/>
    <w:rsid w:val="00A631D4"/>
    <w:rsid w:val="00A6459F"/>
    <w:rsid w:val="00A64A6C"/>
    <w:rsid w:val="00A64D06"/>
    <w:rsid w:val="00A65EBC"/>
    <w:rsid w:val="00A6645E"/>
    <w:rsid w:val="00A66800"/>
    <w:rsid w:val="00A66C93"/>
    <w:rsid w:val="00A67561"/>
    <w:rsid w:val="00A67A8E"/>
    <w:rsid w:val="00A67DAB"/>
    <w:rsid w:val="00A70838"/>
    <w:rsid w:val="00A70F53"/>
    <w:rsid w:val="00A71455"/>
    <w:rsid w:val="00A72205"/>
    <w:rsid w:val="00A723EF"/>
    <w:rsid w:val="00A72C10"/>
    <w:rsid w:val="00A72D14"/>
    <w:rsid w:val="00A73062"/>
    <w:rsid w:val="00A740FE"/>
    <w:rsid w:val="00A74C4C"/>
    <w:rsid w:val="00A74E03"/>
    <w:rsid w:val="00A7557E"/>
    <w:rsid w:val="00A7566A"/>
    <w:rsid w:val="00A75A37"/>
    <w:rsid w:val="00A76532"/>
    <w:rsid w:val="00A77584"/>
    <w:rsid w:val="00A8028A"/>
    <w:rsid w:val="00A81563"/>
    <w:rsid w:val="00A81E20"/>
    <w:rsid w:val="00A81E21"/>
    <w:rsid w:val="00A826A3"/>
    <w:rsid w:val="00A828DE"/>
    <w:rsid w:val="00A82B9A"/>
    <w:rsid w:val="00A82FA0"/>
    <w:rsid w:val="00A83453"/>
    <w:rsid w:val="00A8396D"/>
    <w:rsid w:val="00A83FCF"/>
    <w:rsid w:val="00A84B30"/>
    <w:rsid w:val="00A856E8"/>
    <w:rsid w:val="00A8575F"/>
    <w:rsid w:val="00A85EE6"/>
    <w:rsid w:val="00A86378"/>
    <w:rsid w:val="00A86B26"/>
    <w:rsid w:val="00A87016"/>
    <w:rsid w:val="00A8722B"/>
    <w:rsid w:val="00A87A7C"/>
    <w:rsid w:val="00A87B67"/>
    <w:rsid w:val="00A87FC2"/>
    <w:rsid w:val="00A902C4"/>
    <w:rsid w:val="00A91B82"/>
    <w:rsid w:val="00A920CD"/>
    <w:rsid w:val="00A92ABE"/>
    <w:rsid w:val="00A92E70"/>
    <w:rsid w:val="00A937CE"/>
    <w:rsid w:val="00A939F4"/>
    <w:rsid w:val="00A93BC7"/>
    <w:rsid w:val="00A94234"/>
    <w:rsid w:val="00A9438A"/>
    <w:rsid w:val="00A94A8B"/>
    <w:rsid w:val="00A94D61"/>
    <w:rsid w:val="00A9549D"/>
    <w:rsid w:val="00A954B5"/>
    <w:rsid w:val="00A95602"/>
    <w:rsid w:val="00A971DF"/>
    <w:rsid w:val="00A97710"/>
    <w:rsid w:val="00A978C9"/>
    <w:rsid w:val="00A97BF2"/>
    <w:rsid w:val="00A97D30"/>
    <w:rsid w:val="00AA08FF"/>
    <w:rsid w:val="00AA0CE7"/>
    <w:rsid w:val="00AA14A5"/>
    <w:rsid w:val="00AA18B5"/>
    <w:rsid w:val="00AA1972"/>
    <w:rsid w:val="00AA1A93"/>
    <w:rsid w:val="00AA207D"/>
    <w:rsid w:val="00AA25C3"/>
    <w:rsid w:val="00AA2DD7"/>
    <w:rsid w:val="00AA3A90"/>
    <w:rsid w:val="00AA4125"/>
    <w:rsid w:val="00AA522D"/>
    <w:rsid w:val="00AA53B0"/>
    <w:rsid w:val="00AA544F"/>
    <w:rsid w:val="00AA57A2"/>
    <w:rsid w:val="00AA5C6A"/>
    <w:rsid w:val="00AA6D87"/>
    <w:rsid w:val="00AA6F6B"/>
    <w:rsid w:val="00AA7045"/>
    <w:rsid w:val="00AA74AB"/>
    <w:rsid w:val="00AA759F"/>
    <w:rsid w:val="00AA776A"/>
    <w:rsid w:val="00AA7A1D"/>
    <w:rsid w:val="00AA7C3E"/>
    <w:rsid w:val="00AB0D8C"/>
    <w:rsid w:val="00AB1E4D"/>
    <w:rsid w:val="00AB2134"/>
    <w:rsid w:val="00AB293F"/>
    <w:rsid w:val="00AB2DEB"/>
    <w:rsid w:val="00AB48ED"/>
    <w:rsid w:val="00AB4D1F"/>
    <w:rsid w:val="00AB586D"/>
    <w:rsid w:val="00AB5F03"/>
    <w:rsid w:val="00AB668C"/>
    <w:rsid w:val="00AB7518"/>
    <w:rsid w:val="00AB7668"/>
    <w:rsid w:val="00AC0472"/>
    <w:rsid w:val="00AC058C"/>
    <w:rsid w:val="00AC146A"/>
    <w:rsid w:val="00AC1568"/>
    <w:rsid w:val="00AC1DB0"/>
    <w:rsid w:val="00AC1DCE"/>
    <w:rsid w:val="00AC240A"/>
    <w:rsid w:val="00AC3673"/>
    <w:rsid w:val="00AC445C"/>
    <w:rsid w:val="00AC4D1F"/>
    <w:rsid w:val="00AC4D21"/>
    <w:rsid w:val="00AC7A29"/>
    <w:rsid w:val="00AC7F0D"/>
    <w:rsid w:val="00AC7F3D"/>
    <w:rsid w:val="00AD0DC9"/>
    <w:rsid w:val="00AD11F2"/>
    <w:rsid w:val="00AD16D5"/>
    <w:rsid w:val="00AD1F12"/>
    <w:rsid w:val="00AD1F26"/>
    <w:rsid w:val="00AD2102"/>
    <w:rsid w:val="00AD2DB7"/>
    <w:rsid w:val="00AD2DD7"/>
    <w:rsid w:val="00AD307C"/>
    <w:rsid w:val="00AD5387"/>
    <w:rsid w:val="00AD56B7"/>
    <w:rsid w:val="00AD5761"/>
    <w:rsid w:val="00AD6235"/>
    <w:rsid w:val="00AD7551"/>
    <w:rsid w:val="00AD7598"/>
    <w:rsid w:val="00AD78E5"/>
    <w:rsid w:val="00AE015D"/>
    <w:rsid w:val="00AE05B5"/>
    <w:rsid w:val="00AE0674"/>
    <w:rsid w:val="00AE0729"/>
    <w:rsid w:val="00AE1052"/>
    <w:rsid w:val="00AE2598"/>
    <w:rsid w:val="00AE26AE"/>
    <w:rsid w:val="00AE3018"/>
    <w:rsid w:val="00AE3025"/>
    <w:rsid w:val="00AE359A"/>
    <w:rsid w:val="00AE3D5D"/>
    <w:rsid w:val="00AE4046"/>
    <w:rsid w:val="00AE43CD"/>
    <w:rsid w:val="00AE525C"/>
    <w:rsid w:val="00AE5834"/>
    <w:rsid w:val="00AE59A7"/>
    <w:rsid w:val="00AE5AA6"/>
    <w:rsid w:val="00AE610E"/>
    <w:rsid w:val="00AE767C"/>
    <w:rsid w:val="00AE7B8B"/>
    <w:rsid w:val="00AF064F"/>
    <w:rsid w:val="00AF069F"/>
    <w:rsid w:val="00AF0EDA"/>
    <w:rsid w:val="00AF2551"/>
    <w:rsid w:val="00AF2B96"/>
    <w:rsid w:val="00AF33B4"/>
    <w:rsid w:val="00AF33E8"/>
    <w:rsid w:val="00AF352A"/>
    <w:rsid w:val="00AF3A48"/>
    <w:rsid w:val="00AF3DB8"/>
    <w:rsid w:val="00AF5696"/>
    <w:rsid w:val="00AF5780"/>
    <w:rsid w:val="00AF5AC7"/>
    <w:rsid w:val="00AF6180"/>
    <w:rsid w:val="00AF691F"/>
    <w:rsid w:val="00AF69E8"/>
    <w:rsid w:val="00AF6AB3"/>
    <w:rsid w:val="00AF74E0"/>
    <w:rsid w:val="00AF78D3"/>
    <w:rsid w:val="00AF7CF1"/>
    <w:rsid w:val="00B00426"/>
    <w:rsid w:val="00B0066F"/>
    <w:rsid w:val="00B013AB"/>
    <w:rsid w:val="00B014FC"/>
    <w:rsid w:val="00B01D1F"/>
    <w:rsid w:val="00B01D9C"/>
    <w:rsid w:val="00B01DDA"/>
    <w:rsid w:val="00B02DF1"/>
    <w:rsid w:val="00B02DFE"/>
    <w:rsid w:val="00B0344F"/>
    <w:rsid w:val="00B035FE"/>
    <w:rsid w:val="00B036CD"/>
    <w:rsid w:val="00B0460C"/>
    <w:rsid w:val="00B04E63"/>
    <w:rsid w:val="00B05633"/>
    <w:rsid w:val="00B058B8"/>
    <w:rsid w:val="00B05B8E"/>
    <w:rsid w:val="00B0686A"/>
    <w:rsid w:val="00B075AA"/>
    <w:rsid w:val="00B078DE"/>
    <w:rsid w:val="00B07A4E"/>
    <w:rsid w:val="00B10018"/>
    <w:rsid w:val="00B1032E"/>
    <w:rsid w:val="00B10C50"/>
    <w:rsid w:val="00B114D5"/>
    <w:rsid w:val="00B120E0"/>
    <w:rsid w:val="00B128FF"/>
    <w:rsid w:val="00B130CB"/>
    <w:rsid w:val="00B1325F"/>
    <w:rsid w:val="00B133D5"/>
    <w:rsid w:val="00B14109"/>
    <w:rsid w:val="00B14F1B"/>
    <w:rsid w:val="00B156E2"/>
    <w:rsid w:val="00B16631"/>
    <w:rsid w:val="00B16910"/>
    <w:rsid w:val="00B1718D"/>
    <w:rsid w:val="00B1732A"/>
    <w:rsid w:val="00B20374"/>
    <w:rsid w:val="00B20724"/>
    <w:rsid w:val="00B211E9"/>
    <w:rsid w:val="00B219F3"/>
    <w:rsid w:val="00B21C0F"/>
    <w:rsid w:val="00B22F90"/>
    <w:rsid w:val="00B2318C"/>
    <w:rsid w:val="00B2472E"/>
    <w:rsid w:val="00B24B82"/>
    <w:rsid w:val="00B2577D"/>
    <w:rsid w:val="00B25ADD"/>
    <w:rsid w:val="00B26056"/>
    <w:rsid w:val="00B26299"/>
    <w:rsid w:val="00B26580"/>
    <w:rsid w:val="00B2780F"/>
    <w:rsid w:val="00B27E57"/>
    <w:rsid w:val="00B30525"/>
    <w:rsid w:val="00B3093E"/>
    <w:rsid w:val="00B30F23"/>
    <w:rsid w:val="00B316C4"/>
    <w:rsid w:val="00B318E0"/>
    <w:rsid w:val="00B31C41"/>
    <w:rsid w:val="00B3247B"/>
    <w:rsid w:val="00B334D5"/>
    <w:rsid w:val="00B3372B"/>
    <w:rsid w:val="00B33E58"/>
    <w:rsid w:val="00B33E67"/>
    <w:rsid w:val="00B34230"/>
    <w:rsid w:val="00B34529"/>
    <w:rsid w:val="00B34953"/>
    <w:rsid w:val="00B353C1"/>
    <w:rsid w:val="00B361CE"/>
    <w:rsid w:val="00B368AB"/>
    <w:rsid w:val="00B36CBE"/>
    <w:rsid w:val="00B36EEA"/>
    <w:rsid w:val="00B371E0"/>
    <w:rsid w:val="00B377B0"/>
    <w:rsid w:val="00B37938"/>
    <w:rsid w:val="00B40193"/>
    <w:rsid w:val="00B4076D"/>
    <w:rsid w:val="00B40AA6"/>
    <w:rsid w:val="00B419BA"/>
    <w:rsid w:val="00B4229E"/>
    <w:rsid w:val="00B43690"/>
    <w:rsid w:val="00B43DE3"/>
    <w:rsid w:val="00B44FCE"/>
    <w:rsid w:val="00B45000"/>
    <w:rsid w:val="00B4534F"/>
    <w:rsid w:val="00B45779"/>
    <w:rsid w:val="00B4655F"/>
    <w:rsid w:val="00B507BB"/>
    <w:rsid w:val="00B50EE9"/>
    <w:rsid w:val="00B51ACD"/>
    <w:rsid w:val="00B52A4D"/>
    <w:rsid w:val="00B52DF5"/>
    <w:rsid w:val="00B52F53"/>
    <w:rsid w:val="00B5366C"/>
    <w:rsid w:val="00B53CB0"/>
    <w:rsid w:val="00B53FE1"/>
    <w:rsid w:val="00B545F4"/>
    <w:rsid w:val="00B548C6"/>
    <w:rsid w:val="00B54B18"/>
    <w:rsid w:val="00B54CDD"/>
    <w:rsid w:val="00B55A1D"/>
    <w:rsid w:val="00B560C3"/>
    <w:rsid w:val="00B56945"/>
    <w:rsid w:val="00B57B16"/>
    <w:rsid w:val="00B60272"/>
    <w:rsid w:val="00B609E3"/>
    <w:rsid w:val="00B61438"/>
    <w:rsid w:val="00B614FA"/>
    <w:rsid w:val="00B61933"/>
    <w:rsid w:val="00B61B11"/>
    <w:rsid w:val="00B61E92"/>
    <w:rsid w:val="00B62239"/>
    <w:rsid w:val="00B626E6"/>
    <w:rsid w:val="00B64AC1"/>
    <w:rsid w:val="00B64AD4"/>
    <w:rsid w:val="00B65A6F"/>
    <w:rsid w:val="00B65D46"/>
    <w:rsid w:val="00B65E56"/>
    <w:rsid w:val="00B65FA4"/>
    <w:rsid w:val="00B6687C"/>
    <w:rsid w:val="00B669BF"/>
    <w:rsid w:val="00B66B5E"/>
    <w:rsid w:val="00B66D27"/>
    <w:rsid w:val="00B67031"/>
    <w:rsid w:val="00B71A77"/>
    <w:rsid w:val="00B71AC1"/>
    <w:rsid w:val="00B7205A"/>
    <w:rsid w:val="00B721DD"/>
    <w:rsid w:val="00B72519"/>
    <w:rsid w:val="00B73005"/>
    <w:rsid w:val="00B7381E"/>
    <w:rsid w:val="00B747EE"/>
    <w:rsid w:val="00B74838"/>
    <w:rsid w:val="00B749C9"/>
    <w:rsid w:val="00B74C54"/>
    <w:rsid w:val="00B74C63"/>
    <w:rsid w:val="00B74FF4"/>
    <w:rsid w:val="00B7526C"/>
    <w:rsid w:val="00B7572E"/>
    <w:rsid w:val="00B75808"/>
    <w:rsid w:val="00B76A2A"/>
    <w:rsid w:val="00B77C54"/>
    <w:rsid w:val="00B77E85"/>
    <w:rsid w:val="00B80511"/>
    <w:rsid w:val="00B80AAA"/>
    <w:rsid w:val="00B80ED8"/>
    <w:rsid w:val="00B8121C"/>
    <w:rsid w:val="00B8194C"/>
    <w:rsid w:val="00B81CFF"/>
    <w:rsid w:val="00B81D9C"/>
    <w:rsid w:val="00B832BF"/>
    <w:rsid w:val="00B839A4"/>
    <w:rsid w:val="00B83A2B"/>
    <w:rsid w:val="00B83BA5"/>
    <w:rsid w:val="00B85313"/>
    <w:rsid w:val="00B8577C"/>
    <w:rsid w:val="00B8605A"/>
    <w:rsid w:val="00B86173"/>
    <w:rsid w:val="00B8634E"/>
    <w:rsid w:val="00B86B99"/>
    <w:rsid w:val="00B87A68"/>
    <w:rsid w:val="00B910CD"/>
    <w:rsid w:val="00B91BBA"/>
    <w:rsid w:val="00B92667"/>
    <w:rsid w:val="00B92C13"/>
    <w:rsid w:val="00B93455"/>
    <w:rsid w:val="00B9370B"/>
    <w:rsid w:val="00B9399A"/>
    <w:rsid w:val="00B9404F"/>
    <w:rsid w:val="00B9405E"/>
    <w:rsid w:val="00B94654"/>
    <w:rsid w:val="00B94E2B"/>
    <w:rsid w:val="00B95837"/>
    <w:rsid w:val="00B95EE3"/>
    <w:rsid w:val="00B96EBF"/>
    <w:rsid w:val="00B9728D"/>
    <w:rsid w:val="00B973F3"/>
    <w:rsid w:val="00B97A04"/>
    <w:rsid w:val="00BA076F"/>
    <w:rsid w:val="00BA094E"/>
    <w:rsid w:val="00BA0D14"/>
    <w:rsid w:val="00BA1924"/>
    <w:rsid w:val="00BA287F"/>
    <w:rsid w:val="00BA497A"/>
    <w:rsid w:val="00BA4ADB"/>
    <w:rsid w:val="00BA56C3"/>
    <w:rsid w:val="00BA5C38"/>
    <w:rsid w:val="00BA5C9A"/>
    <w:rsid w:val="00BA6F9D"/>
    <w:rsid w:val="00BA73D4"/>
    <w:rsid w:val="00BA793C"/>
    <w:rsid w:val="00BB010F"/>
    <w:rsid w:val="00BB0A79"/>
    <w:rsid w:val="00BB12D2"/>
    <w:rsid w:val="00BB18C4"/>
    <w:rsid w:val="00BB1A71"/>
    <w:rsid w:val="00BB2DB0"/>
    <w:rsid w:val="00BB2DFB"/>
    <w:rsid w:val="00BB2E18"/>
    <w:rsid w:val="00BB3155"/>
    <w:rsid w:val="00BB3936"/>
    <w:rsid w:val="00BB3A25"/>
    <w:rsid w:val="00BB480E"/>
    <w:rsid w:val="00BB4C7A"/>
    <w:rsid w:val="00BB6204"/>
    <w:rsid w:val="00BB678B"/>
    <w:rsid w:val="00BB70A4"/>
    <w:rsid w:val="00BC0335"/>
    <w:rsid w:val="00BC0667"/>
    <w:rsid w:val="00BC1873"/>
    <w:rsid w:val="00BC21E8"/>
    <w:rsid w:val="00BC48A9"/>
    <w:rsid w:val="00BC4C28"/>
    <w:rsid w:val="00BC5F26"/>
    <w:rsid w:val="00BC66BC"/>
    <w:rsid w:val="00BC6C97"/>
    <w:rsid w:val="00BC7678"/>
    <w:rsid w:val="00BC79BD"/>
    <w:rsid w:val="00BD08D2"/>
    <w:rsid w:val="00BD1BE0"/>
    <w:rsid w:val="00BD1CC9"/>
    <w:rsid w:val="00BD1E44"/>
    <w:rsid w:val="00BD2252"/>
    <w:rsid w:val="00BD27D1"/>
    <w:rsid w:val="00BD2B15"/>
    <w:rsid w:val="00BD3107"/>
    <w:rsid w:val="00BD37D6"/>
    <w:rsid w:val="00BD385A"/>
    <w:rsid w:val="00BD3D2E"/>
    <w:rsid w:val="00BD56DD"/>
    <w:rsid w:val="00BD7146"/>
    <w:rsid w:val="00BD7445"/>
    <w:rsid w:val="00BE029C"/>
    <w:rsid w:val="00BE0787"/>
    <w:rsid w:val="00BE1229"/>
    <w:rsid w:val="00BE1CD6"/>
    <w:rsid w:val="00BE25E2"/>
    <w:rsid w:val="00BE26C1"/>
    <w:rsid w:val="00BE3147"/>
    <w:rsid w:val="00BE3337"/>
    <w:rsid w:val="00BE4A23"/>
    <w:rsid w:val="00BE5065"/>
    <w:rsid w:val="00BE5B71"/>
    <w:rsid w:val="00BE6454"/>
    <w:rsid w:val="00BE6BCE"/>
    <w:rsid w:val="00BE7070"/>
    <w:rsid w:val="00BE7277"/>
    <w:rsid w:val="00BE731A"/>
    <w:rsid w:val="00BF0643"/>
    <w:rsid w:val="00BF0A4C"/>
    <w:rsid w:val="00BF0DDD"/>
    <w:rsid w:val="00BF11B7"/>
    <w:rsid w:val="00BF15F1"/>
    <w:rsid w:val="00BF17E9"/>
    <w:rsid w:val="00BF1855"/>
    <w:rsid w:val="00BF19E7"/>
    <w:rsid w:val="00BF1B05"/>
    <w:rsid w:val="00BF224C"/>
    <w:rsid w:val="00BF2609"/>
    <w:rsid w:val="00BF3ACF"/>
    <w:rsid w:val="00BF3CBB"/>
    <w:rsid w:val="00BF3F22"/>
    <w:rsid w:val="00BF424C"/>
    <w:rsid w:val="00BF4523"/>
    <w:rsid w:val="00BF4BBE"/>
    <w:rsid w:val="00BF4E61"/>
    <w:rsid w:val="00BF4FAF"/>
    <w:rsid w:val="00BF5E75"/>
    <w:rsid w:val="00BF5F05"/>
    <w:rsid w:val="00BF605D"/>
    <w:rsid w:val="00BF6B99"/>
    <w:rsid w:val="00BF791A"/>
    <w:rsid w:val="00BF7A0D"/>
    <w:rsid w:val="00C0002F"/>
    <w:rsid w:val="00C0006F"/>
    <w:rsid w:val="00C0026E"/>
    <w:rsid w:val="00C00BCD"/>
    <w:rsid w:val="00C018E3"/>
    <w:rsid w:val="00C01C7D"/>
    <w:rsid w:val="00C01D7E"/>
    <w:rsid w:val="00C03D0E"/>
    <w:rsid w:val="00C03D5C"/>
    <w:rsid w:val="00C040F3"/>
    <w:rsid w:val="00C041BB"/>
    <w:rsid w:val="00C044E0"/>
    <w:rsid w:val="00C0467A"/>
    <w:rsid w:val="00C05B78"/>
    <w:rsid w:val="00C0656B"/>
    <w:rsid w:val="00C0693C"/>
    <w:rsid w:val="00C06B95"/>
    <w:rsid w:val="00C0717D"/>
    <w:rsid w:val="00C07267"/>
    <w:rsid w:val="00C077AF"/>
    <w:rsid w:val="00C0796B"/>
    <w:rsid w:val="00C107D5"/>
    <w:rsid w:val="00C10895"/>
    <w:rsid w:val="00C10CF6"/>
    <w:rsid w:val="00C10DF8"/>
    <w:rsid w:val="00C11043"/>
    <w:rsid w:val="00C113D7"/>
    <w:rsid w:val="00C11595"/>
    <w:rsid w:val="00C11AEE"/>
    <w:rsid w:val="00C11C63"/>
    <w:rsid w:val="00C11FB8"/>
    <w:rsid w:val="00C12094"/>
    <w:rsid w:val="00C120A8"/>
    <w:rsid w:val="00C12292"/>
    <w:rsid w:val="00C132B9"/>
    <w:rsid w:val="00C1362C"/>
    <w:rsid w:val="00C13846"/>
    <w:rsid w:val="00C16B95"/>
    <w:rsid w:val="00C177FD"/>
    <w:rsid w:val="00C17928"/>
    <w:rsid w:val="00C179A1"/>
    <w:rsid w:val="00C1D3CD"/>
    <w:rsid w:val="00C202D6"/>
    <w:rsid w:val="00C20B11"/>
    <w:rsid w:val="00C220D9"/>
    <w:rsid w:val="00C224F8"/>
    <w:rsid w:val="00C225C0"/>
    <w:rsid w:val="00C22933"/>
    <w:rsid w:val="00C22A1F"/>
    <w:rsid w:val="00C23167"/>
    <w:rsid w:val="00C23684"/>
    <w:rsid w:val="00C239A3"/>
    <w:rsid w:val="00C2449C"/>
    <w:rsid w:val="00C246E3"/>
    <w:rsid w:val="00C250BD"/>
    <w:rsid w:val="00C25C0C"/>
    <w:rsid w:val="00C25DB6"/>
    <w:rsid w:val="00C25F0B"/>
    <w:rsid w:val="00C2613C"/>
    <w:rsid w:val="00C2725E"/>
    <w:rsid w:val="00C27687"/>
    <w:rsid w:val="00C27EFB"/>
    <w:rsid w:val="00C30E89"/>
    <w:rsid w:val="00C31135"/>
    <w:rsid w:val="00C3123E"/>
    <w:rsid w:val="00C313AD"/>
    <w:rsid w:val="00C314A8"/>
    <w:rsid w:val="00C3155E"/>
    <w:rsid w:val="00C3157A"/>
    <w:rsid w:val="00C31B1E"/>
    <w:rsid w:val="00C32C9C"/>
    <w:rsid w:val="00C337B7"/>
    <w:rsid w:val="00C34ED7"/>
    <w:rsid w:val="00C3560F"/>
    <w:rsid w:val="00C36B53"/>
    <w:rsid w:val="00C3700A"/>
    <w:rsid w:val="00C371B7"/>
    <w:rsid w:val="00C3771A"/>
    <w:rsid w:val="00C408E4"/>
    <w:rsid w:val="00C40C4C"/>
    <w:rsid w:val="00C40DBA"/>
    <w:rsid w:val="00C410CB"/>
    <w:rsid w:val="00C4138D"/>
    <w:rsid w:val="00C418BE"/>
    <w:rsid w:val="00C420A1"/>
    <w:rsid w:val="00C420AF"/>
    <w:rsid w:val="00C4283D"/>
    <w:rsid w:val="00C42D26"/>
    <w:rsid w:val="00C42FFC"/>
    <w:rsid w:val="00C43341"/>
    <w:rsid w:val="00C43592"/>
    <w:rsid w:val="00C438F2"/>
    <w:rsid w:val="00C443DF"/>
    <w:rsid w:val="00C457F8"/>
    <w:rsid w:val="00C45B22"/>
    <w:rsid w:val="00C45C93"/>
    <w:rsid w:val="00C45D9E"/>
    <w:rsid w:val="00C4681E"/>
    <w:rsid w:val="00C477E2"/>
    <w:rsid w:val="00C47909"/>
    <w:rsid w:val="00C5065F"/>
    <w:rsid w:val="00C506A9"/>
    <w:rsid w:val="00C50F76"/>
    <w:rsid w:val="00C51239"/>
    <w:rsid w:val="00C5291B"/>
    <w:rsid w:val="00C532E7"/>
    <w:rsid w:val="00C5389E"/>
    <w:rsid w:val="00C539C8"/>
    <w:rsid w:val="00C53FED"/>
    <w:rsid w:val="00C5419A"/>
    <w:rsid w:val="00C54250"/>
    <w:rsid w:val="00C546FD"/>
    <w:rsid w:val="00C54B81"/>
    <w:rsid w:val="00C54D0E"/>
    <w:rsid w:val="00C5599F"/>
    <w:rsid w:val="00C55C33"/>
    <w:rsid w:val="00C55CB5"/>
    <w:rsid w:val="00C564BF"/>
    <w:rsid w:val="00C567C7"/>
    <w:rsid w:val="00C5689E"/>
    <w:rsid w:val="00C56CCA"/>
    <w:rsid w:val="00C56ED6"/>
    <w:rsid w:val="00C57393"/>
    <w:rsid w:val="00C57456"/>
    <w:rsid w:val="00C5785C"/>
    <w:rsid w:val="00C578C8"/>
    <w:rsid w:val="00C609EF"/>
    <w:rsid w:val="00C610EA"/>
    <w:rsid w:val="00C611AD"/>
    <w:rsid w:val="00C61CF7"/>
    <w:rsid w:val="00C62024"/>
    <w:rsid w:val="00C62930"/>
    <w:rsid w:val="00C62DF9"/>
    <w:rsid w:val="00C63E5F"/>
    <w:rsid w:val="00C647FE"/>
    <w:rsid w:val="00C65E2A"/>
    <w:rsid w:val="00C664E9"/>
    <w:rsid w:val="00C6686B"/>
    <w:rsid w:val="00C66CA0"/>
    <w:rsid w:val="00C66D97"/>
    <w:rsid w:val="00C66F8C"/>
    <w:rsid w:val="00C672FF"/>
    <w:rsid w:val="00C67B43"/>
    <w:rsid w:val="00C70449"/>
    <w:rsid w:val="00C704E5"/>
    <w:rsid w:val="00C7062C"/>
    <w:rsid w:val="00C7090F"/>
    <w:rsid w:val="00C70A6C"/>
    <w:rsid w:val="00C70D0B"/>
    <w:rsid w:val="00C70F2A"/>
    <w:rsid w:val="00C73162"/>
    <w:rsid w:val="00C7374E"/>
    <w:rsid w:val="00C73DB2"/>
    <w:rsid w:val="00C742D0"/>
    <w:rsid w:val="00C75350"/>
    <w:rsid w:val="00C759C0"/>
    <w:rsid w:val="00C76041"/>
    <w:rsid w:val="00C76573"/>
    <w:rsid w:val="00C76D53"/>
    <w:rsid w:val="00C77262"/>
    <w:rsid w:val="00C77550"/>
    <w:rsid w:val="00C8007A"/>
    <w:rsid w:val="00C8013B"/>
    <w:rsid w:val="00C80782"/>
    <w:rsid w:val="00C807BD"/>
    <w:rsid w:val="00C815A6"/>
    <w:rsid w:val="00C816C4"/>
    <w:rsid w:val="00C8251E"/>
    <w:rsid w:val="00C826B8"/>
    <w:rsid w:val="00C82B22"/>
    <w:rsid w:val="00C82C4E"/>
    <w:rsid w:val="00C82FA6"/>
    <w:rsid w:val="00C835B2"/>
    <w:rsid w:val="00C83DD0"/>
    <w:rsid w:val="00C84070"/>
    <w:rsid w:val="00C84C0A"/>
    <w:rsid w:val="00C84E2B"/>
    <w:rsid w:val="00C84E8A"/>
    <w:rsid w:val="00C857D7"/>
    <w:rsid w:val="00C85AAB"/>
    <w:rsid w:val="00C85C1B"/>
    <w:rsid w:val="00C869FE"/>
    <w:rsid w:val="00C87088"/>
    <w:rsid w:val="00C872C4"/>
    <w:rsid w:val="00C87B3B"/>
    <w:rsid w:val="00C90A6F"/>
    <w:rsid w:val="00C90BCB"/>
    <w:rsid w:val="00C91240"/>
    <w:rsid w:val="00C913A6"/>
    <w:rsid w:val="00C920CC"/>
    <w:rsid w:val="00C923F4"/>
    <w:rsid w:val="00C92879"/>
    <w:rsid w:val="00C93050"/>
    <w:rsid w:val="00C93A3F"/>
    <w:rsid w:val="00C93D45"/>
    <w:rsid w:val="00C943F0"/>
    <w:rsid w:val="00C9449A"/>
    <w:rsid w:val="00C949E9"/>
    <w:rsid w:val="00C951EB"/>
    <w:rsid w:val="00C95253"/>
    <w:rsid w:val="00C95517"/>
    <w:rsid w:val="00C96304"/>
    <w:rsid w:val="00C96449"/>
    <w:rsid w:val="00C9665B"/>
    <w:rsid w:val="00C979FF"/>
    <w:rsid w:val="00C97EE8"/>
    <w:rsid w:val="00CA0206"/>
    <w:rsid w:val="00CA0C9C"/>
    <w:rsid w:val="00CA0CD5"/>
    <w:rsid w:val="00CA0F2F"/>
    <w:rsid w:val="00CA10BF"/>
    <w:rsid w:val="00CA139F"/>
    <w:rsid w:val="00CA1995"/>
    <w:rsid w:val="00CA284B"/>
    <w:rsid w:val="00CA2A9F"/>
    <w:rsid w:val="00CA3189"/>
    <w:rsid w:val="00CA335F"/>
    <w:rsid w:val="00CA386D"/>
    <w:rsid w:val="00CA40A7"/>
    <w:rsid w:val="00CA44B1"/>
    <w:rsid w:val="00CA4939"/>
    <w:rsid w:val="00CA5693"/>
    <w:rsid w:val="00CA671B"/>
    <w:rsid w:val="00CA6BAD"/>
    <w:rsid w:val="00CA6D8D"/>
    <w:rsid w:val="00CA6E3E"/>
    <w:rsid w:val="00CA6EF7"/>
    <w:rsid w:val="00CA73D4"/>
    <w:rsid w:val="00CA77E9"/>
    <w:rsid w:val="00CB157A"/>
    <w:rsid w:val="00CB2003"/>
    <w:rsid w:val="00CB28A6"/>
    <w:rsid w:val="00CB2D08"/>
    <w:rsid w:val="00CB3B0F"/>
    <w:rsid w:val="00CB3D19"/>
    <w:rsid w:val="00CB4BBF"/>
    <w:rsid w:val="00CB51F0"/>
    <w:rsid w:val="00CB5C59"/>
    <w:rsid w:val="00CB6579"/>
    <w:rsid w:val="00CB6E84"/>
    <w:rsid w:val="00CB6F5A"/>
    <w:rsid w:val="00CB787E"/>
    <w:rsid w:val="00CB7C7F"/>
    <w:rsid w:val="00CC06A1"/>
    <w:rsid w:val="00CC11E0"/>
    <w:rsid w:val="00CC12BD"/>
    <w:rsid w:val="00CC18C8"/>
    <w:rsid w:val="00CC1AE8"/>
    <w:rsid w:val="00CC23B5"/>
    <w:rsid w:val="00CC2E4D"/>
    <w:rsid w:val="00CC3D8D"/>
    <w:rsid w:val="00CC47B7"/>
    <w:rsid w:val="00CC4EF0"/>
    <w:rsid w:val="00CC60ED"/>
    <w:rsid w:val="00CC616B"/>
    <w:rsid w:val="00CC6297"/>
    <w:rsid w:val="00CC6376"/>
    <w:rsid w:val="00CC69EE"/>
    <w:rsid w:val="00CC7741"/>
    <w:rsid w:val="00CC7875"/>
    <w:rsid w:val="00CC7947"/>
    <w:rsid w:val="00CD0BA6"/>
    <w:rsid w:val="00CD163E"/>
    <w:rsid w:val="00CD261A"/>
    <w:rsid w:val="00CD28D7"/>
    <w:rsid w:val="00CD2CFB"/>
    <w:rsid w:val="00CD2E3A"/>
    <w:rsid w:val="00CD352C"/>
    <w:rsid w:val="00CD3AF5"/>
    <w:rsid w:val="00CD4A31"/>
    <w:rsid w:val="00CD59CD"/>
    <w:rsid w:val="00CD5D25"/>
    <w:rsid w:val="00CD64A3"/>
    <w:rsid w:val="00CD6523"/>
    <w:rsid w:val="00CD6C09"/>
    <w:rsid w:val="00CD6FF6"/>
    <w:rsid w:val="00CD7130"/>
    <w:rsid w:val="00CD79A6"/>
    <w:rsid w:val="00CD7CCA"/>
    <w:rsid w:val="00CD7EE5"/>
    <w:rsid w:val="00CE095E"/>
    <w:rsid w:val="00CE0C3E"/>
    <w:rsid w:val="00CE1B35"/>
    <w:rsid w:val="00CE2868"/>
    <w:rsid w:val="00CE2E63"/>
    <w:rsid w:val="00CE386A"/>
    <w:rsid w:val="00CE43D0"/>
    <w:rsid w:val="00CE5C46"/>
    <w:rsid w:val="00CE5CC8"/>
    <w:rsid w:val="00CE651B"/>
    <w:rsid w:val="00CE6648"/>
    <w:rsid w:val="00CE6E5F"/>
    <w:rsid w:val="00CE7B56"/>
    <w:rsid w:val="00CE7C9E"/>
    <w:rsid w:val="00CF0049"/>
    <w:rsid w:val="00CF0B06"/>
    <w:rsid w:val="00CF1D76"/>
    <w:rsid w:val="00CF217A"/>
    <w:rsid w:val="00CF2377"/>
    <w:rsid w:val="00CF25B0"/>
    <w:rsid w:val="00CF29B3"/>
    <w:rsid w:val="00CF33E7"/>
    <w:rsid w:val="00CF396C"/>
    <w:rsid w:val="00CF3CB0"/>
    <w:rsid w:val="00CF5155"/>
    <w:rsid w:val="00CF545F"/>
    <w:rsid w:val="00CF5A5A"/>
    <w:rsid w:val="00CF6480"/>
    <w:rsid w:val="00CF6B83"/>
    <w:rsid w:val="00CF72CB"/>
    <w:rsid w:val="00CF7663"/>
    <w:rsid w:val="00D004F5"/>
    <w:rsid w:val="00D00CA6"/>
    <w:rsid w:val="00D00D4A"/>
    <w:rsid w:val="00D013A9"/>
    <w:rsid w:val="00D02CFD"/>
    <w:rsid w:val="00D03152"/>
    <w:rsid w:val="00D035DB"/>
    <w:rsid w:val="00D03641"/>
    <w:rsid w:val="00D052EB"/>
    <w:rsid w:val="00D054AD"/>
    <w:rsid w:val="00D05B43"/>
    <w:rsid w:val="00D05BC5"/>
    <w:rsid w:val="00D05CD2"/>
    <w:rsid w:val="00D06E8A"/>
    <w:rsid w:val="00D10BAD"/>
    <w:rsid w:val="00D11D34"/>
    <w:rsid w:val="00D12171"/>
    <w:rsid w:val="00D1275F"/>
    <w:rsid w:val="00D12908"/>
    <w:rsid w:val="00D12A5C"/>
    <w:rsid w:val="00D1331F"/>
    <w:rsid w:val="00D13650"/>
    <w:rsid w:val="00D1366C"/>
    <w:rsid w:val="00D13946"/>
    <w:rsid w:val="00D13F52"/>
    <w:rsid w:val="00D14616"/>
    <w:rsid w:val="00D147F6"/>
    <w:rsid w:val="00D14F79"/>
    <w:rsid w:val="00D1502E"/>
    <w:rsid w:val="00D151D2"/>
    <w:rsid w:val="00D1535C"/>
    <w:rsid w:val="00D20E07"/>
    <w:rsid w:val="00D215A5"/>
    <w:rsid w:val="00D216D0"/>
    <w:rsid w:val="00D21938"/>
    <w:rsid w:val="00D22ADF"/>
    <w:rsid w:val="00D22DC5"/>
    <w:rsid w:val="00D23502"/>
    <w:rsid w:val="00D23987"/>
    <w:rsid w:val="00D258CF"/>
    <w:rsid w:val="00D259E9"/>
    <w:rsid w:val="00D25C05"/>
    <w:rsid w:val="00D26195"/>
    <w:rsid w:val="00D27212"/>
    <w:rsid w:val="00D2768F"/>
    <w:rsid w:val="00D277CA"/>
    <w:rsid w:val="00D27C80"/>
    <w:rsid w:val="00D30443"/>
    <w:rsid w:val="00D30A37"/>
    <w:rsid w:val="00D30AD1"/>
    <w:rsid w:val="00D30E3A"/>
    <w:rsid w:val="00D3250B"/>
    <w:rsid w:val="00D329BD"/>
    <w:rsid w:val="00D3410C"/>
    <w:rsid w:val="00D34A85"/>
    <w:rsid w:val="00D34E6A"/>
    <w:rsid w:val="00D35C1A"/>
    <w:rsid w:val="00D35EB0"/>
    <w:rsid w:val="00D3669C"/>
    <w:rsid w:val="00D36B8A"/>
    <w:rsid w:val="00D377B7"/>
    <w:rsid w:val="00D37AC1"/>
    <w:rsid w:val="00D37E1D"/>
    <w:rsid w:val="00D37EAC"/>
    <w:rsid w:val="00D4160A"/>
    <w:rsid w:val="00D417DF"/>
    <w:rsid w:val="00D418AD"/>
    <w:rsid w:val="00D41B74"/>
    <w:rsid w:val="00D41C02"/>
    <w:rsid w:val="00D41F7F"/>
    <w:rsid w:val="00D42FD0"/>
    <w:rsid w:val="00D4366E"/>
    <w:rsid w:val="00D43E5F"/>
    <w:rsid w:val="00D44761"/>
    <w:rsid w:val="00D44BB1"/>
    <w:rsid w:val="00D44CAF"/>
    <w:rsid w:val="00D44DDB"/>
    <w:rsid w:val="00D455B8"/>
    <w:rsid w:val="00D45DA6"/>
    <w:rsid w:val="00D4658B"/>
    <w:rsid w:val="00D4685B"/>
    <w:rsid w:val="00D47810"/>
    <w:rsid w:val="00D47955"/>
    <w:rsid w:val="00D47C21"/>
    <w:rsid w:val="00D501C1"/>
    <w:rsid w:val="00D503BE"/>
    <w:rsid w:val="00D5077F"/>
    <w:rsid w:val="00D5293E"/>
    <w:rsid w:val="00D5318E"/>
    <w:rsid w:val="00D531BB"/>
    <w:rsid w:val="00D53FE7"/>
    <w:rsid w:val="00D543A4"/>
    <w:rsid w:val="00D552DC"/>
    <w:rsid w:val="00D55330"/>
    <w:rsid w:val="00D55883"/>
    <w:rsid w:val="00D5616D"/>
    <w:rsid w:val="00D56566"/>
    <w:rsid w:val="00D56ABF"/>
    <w:rsid w:val="00D573C7"/>
    <w:rsid w:val="00D57BE5"/>
    <w:rsid w:val="00D607F7"/>
    <w:rsid w:val="00D60876"/>
    <w:rsid w:val="00D609F5"/>
    <w:rsid w:val="00D613AC"/>
    <w:rsid w:val="00D62D40"/>
    <w:rsid w:val="00D62EF8"/>
    <w:rsid w:val="00D63439"/>
    <w:rsid w:val="00D63AD3"/>
    <w:rsid w:val="00D63C7B"/>
    <w:rsid w:val="00D64659"/>
    <w:rsid w:val="00D6575A"/>
    <w:rsid w:val="00D65A49"/>
    <w:rsid w:val="00D661DC"/>
    <w:rsid w:val="00D669FD"/>
    <w:rsid w:val="00D66B1A"/>
    <w:rsid w:val="00D7071A"/>
    <w:rsid w:val="00D7079C"/>
    <w:rsid w:val="00D7257B"/>
    <w:rsid w:val="00D72735"/>
    <w:rsid w:val="00D7296B"/>
    <w:rsid w:val="00D72D22"/>
    <w:rsid w:val="00D731EB"/>
    <w:rsid w:val="00D73B92"/>
    <w:rsid w:val="00D74AEA"/>
    <w:rsid w:val="00D75515"/>
    <w:rsid w:val="00D76CE7"/>
    <w:rsid w:val="00D76E14"/>
    <w:rsid w:val="00D76FD6"/>
    <w:rsid w:val="00D7742D"/>
    <w:rsid w:val="00D77D7E"/>
    <w:rsid w:val="00D806D2"/>
    <w:rsid w:val="00D809B6"/>
    <w:rsid w:val="00D81487"/>
    <w:rsid w:val="00D81659"/>
    <w:rsid w:val="00D8247F"/>
    <w:rsid w:val="00D827E4"/>
    <w:rsid w:val="00D8284C"/>
    <w:rsid w:val="00D82A6D"/>
    <w:rsid w:val="00D82C8A"/>
    <w:rsid w:val="00D83262"/>
    <w:rsid w:val="00D832BA"/>
    <w:rsid w:val="00D833A7"/>
    <w:rsid w:val="00D84006"/>
    <w:rsid w:val="00D8436F"/>
    <w:rsid w:val="00D84D2A"/>
    <w:rsid w:val="00D84E41"/>
    <w:rsid w:val="00D84F1D"/>
    <w:rsid w:val="00D851C5"/>
    <w:rsid w:val="00D8523A"/>
    <w:rsid w:val="00D852A7"/>
    <w:rsid w:val="00D86856"/>
    <w:rsid w:val="00D86997"/>
    <w:rsid w:val="00D901CC"/>
    <w:rsid w:val="00D902A0"/>
    <w:rsid w:val="00D90BAE"/>
    <w:rsid w:val="00D91177"/>
    <w:rsid w:val="00D912AB"/>
    <w:rsid w:val="00D9174A"/>
    <w:rsid w:val="00D91BF3"/>
    <w:rsid w:val="00D91DFA"/>
    <w:rsid w:val="00D923AB"/>
    <w:rsid w:val="00D924BB"/>
    <w:rsid w:val="00D92A42"/>
    <w:rsid w:val="00D92A8E"/>
    <w:rsid w:val="00D938B5"/>
    <w:rsid w:val="00D93A61"/>
    <w:rsid w:val="00D94455"/>
    <w:rsid w:val="00D94DD3"/>
    <w:rsid w:val="00D9557A"/>
    <w:rsid w:val="00D9564D"/>
    <w:rsid w:val="00D95AFA"/>
    <w:rsid w:val="00D960A6"/>
    <w:rsid w:val="00D968DD"/>
    <w:rsid w:val="00D96D01"/>
    <w:rsid w:val="00DA0999"/>
    <w:rsid w:val="00DA0B47"/>
    <w:rsid w:val="00DA10F1"/>
    <w:rsid w:val="00DA130B"/>
    <w:rsid w:val="00DA1A8B"/>
    <w:rsid w:val="00DA2110"/>
    <w:rsid w:val="00DA36B2"/>
    <w:rsid w:val="00DA3ADA"/>
    <w:rsid w:val="00DA4A7A"/>
    <w:rsid w:val="00DA502F"/>
    <w:rsid w:val="00DA5078"/>
    <w:rsid w:val="00DA5095"/>
    <w:rsid w:val="00DA546A"/>
    <w:rsid w:val="00DA5CBD"/>
    <w:rsid w:val="00DA5E23"/>
    <w:rsid w:val="00DA69D0"/>
    <w:rsid w:val="00DB02E9"/>
    <w:rsid w:val="00DB0D25"/>
    <w:rsid w:val="00DB0D6B"/>
    <w:rsid w:val="00DB0DAC"/>
    <w:rsid w:val="00DB0E91"/>
    <w:rsid w:val="00DB1019"/>
    <w:rsid w:val="00DB301D"/>
    <w:rsid w:val="00DB3D19"/>
    <w:rsid w:val="00DB4579"/>
    <w:rsid w:val="00DB4AA3"/>
    <w:rsid w:val="00DB4B17"/>
    <w:rsid w:val="00DB5105"/>
    <w:rsid w:val="00DB56F9"/>
    <w:rsid w:val="00DB5763"/>
    <w:rsid w:val="00DB58E7"/>
    <w:rsid w:val="00DB6593"/>
    <w:rsid w:val="00DB6825"/>
    <w:rsid w:val="00DB6C76"/>
    <w:rsid w:val="00DB7948"/>
    <w:rsid w:val="00DB7D1F"/>
    <w:rsid w:val="00DC0254"/>
    <w:rsid w:val="00DC0448"/>
    <w:rsid w:val="00DC0653"/>
    <w:rsid w:val="00DC11BE"/>
    <w:rsid w:val="00DC186E"/>
    <w:rsid w:val="00DC278A"/>
    <w:rsid w:val="00DC3315"/>
    <w:rsid w:val="00DC3FE2"/>
    <w:rsid w:val="00DC4A12"/>
    <w:rsid w:val="00DC4A4F"/>
    <w:rsid w:val="00DC644B"/>
    <w:rsid w:val="00DC652B"/>
    <w:rsid w:val="00DC6D01"/>
    <w:rsid w:val="00DC6FE0"/>
    <w:rsid w:val="00DD0010"/>
    <w:rsid w:val="00DD0288"/>
    <w:rsid w:val="00DD0648"/>
    <w:rsid w:val="00DD123F"/>
    <w:rsid w:val="00DD134A"/>
    <w:rsid w:val="00DD136B"/>
    <w:rsid w:val="00DD19B7"/>
    <w:rsid w:val="00DD2A42"/>
    <w:rsid w:val="00DD2CC2"/>
    <w:rsid w:val="00DD381C"/>
    <w:rsid w:val="00DD3A09"/>
    <w:rsid w:val="00DD3FB3"/>
    <w:rsid w:val="00DD51B0"/>
    <w:rsid w:val="00DD5913"/>
    <w:rsid w:val="00DD599E"/>
    <w:rsid w:val="00DD6096"/>
    <w:rsid w:val="00DE048B"/>
    <w:rsid w:val="00DE0E6C"/>
    <w:rsid w:val="00DE108B"/>
    <w:rsid w:val="00DE159F"/>
    <w:rsid w:val="00DE15B6"/>
    <w:rsid w:val="00DE1FA3"/>
    <w:rsid w:val="00DE262B"/>
    <w:rsid w:val="00DE2F03"/>
    <w:rsid w:val="00DE351F"/>
    <w:rsid w:val="00DE4D20"/>
    <w:rsid w:val="00DE4F79"/>
    <w:rsid w:val="00DE5520"/>
    <w:rsid w:val="00DE583F"/>
    <w:rsid w:val="00DE5F80"/>
    <w:rsid w:val="00DE6995"/>
    <w:rsid w:val="00DF0715"/>
    <w:rsid w:val="00DF0928"/>
    <w:rsid w:val="00DF1020"/>
    <w:rsid w:val="00DF13C1"/>
    <w:rsid w:val="00DF2E47"/>
    <w:rsid w:val="00DF2F8D"/>
    <w:rsid w:val="00DF341C"/>
    <w:rsid w:val="00DF36D7"/>
    <w:rsid w:val="00DF3839"/>
    <w:rsid w:val="00DF383F"/>
    <w:rsid w:val="00DF4869"/>
    <w:rsid w:val="00DF4B73"/>
    <w:rsid w:val="00DF50F7"/>
    <w:rsid w:val="00DF51E9"/>
    <w:rsid w:val="00DF55C0"/>
    <w:rsid w:val="00DF577A"/>
    <w:rsid w:val="00DF5CE9"/>
    <w:rsid w:val="00DF64B3"/>
    <w:rsid w:val="00DF64E3"/>
    <w:rsid w:val="00DF6733"/>
    <w:rsid w:val="00DF770F"/>
    <w:rsid w:val="00DF7FFC"/>
    <w:rsid w:val="00E0038D"/>
    <w:rsid w:val="00E006AC"/>
    <w:rsid w:val="00E006F9"/>
    <w:rsid w:val="00E00964"/>
    <w:rsid w:val="00E01168"/>
    <w:rsid w:val="00E01906"/>
    <w:rsid w:val="00E01B16"/>
    <w:rsid w:val="00E01EAF"/>
    <w:rsid w:val="00E0277C"/>
    <w:rsid w:val="00E02913"/>
    <w:rsid w:val="00E03744"/>
    <w:rsid w:val="00E0377A"/>
    <w:rsid w:val="00E050A6"/>
    <w:rsid w:val="00E0548B"/>
    <w:rsid w:val="00E062F0"/>
    <w:rsid w:val="00E069E8"/>
    <w:rsid w:val="00E06BAA"/>
    <w:rsid w:val="00E100F3"/>
    <w:rsid w:val="00E104D8"/>
    <w:rsid w:val="00E1084C"/>
    <w:rsid w:val="00E11CF2"/>
    <w:rsid w:val="00E12164"/>
    <w:rsid w:val="00E12BDC"/>
    <w:rsid w:val="00E13091"/>
    <w:rsid w:val="00E13AC4"/>
    <w:rsid w:val="00E14004"/>
    <w:rsid w:val="00E150BA"/>
    <w:rsid w:val="00E157C8"/>
    <w:rsid w:val="00E15D26"/>
    <w:rsid w:val="00E15F50"/>
    <w:rsid w:val="00E16B59"/>
    <w:rsid w:val="00E16E07"/>
    <w:rsid w:val="00E17035"/>
    <w:rsid w:val="00E178C8"/>
    <w:rsid w:val="00E17EAA"/>
    <w:rsid w:val="00E20703"/>
    <w:rsid w:val="00E20BFC"/>
    <w:rsid w:val="00E20EA3"/>
    <w:rsid w:val="00E21311"/>
    <w:rsid w:val="00E21825"/>
    <w:rsid w:val="00E2268C"/>
    <w:rsid w:val="00E22C0C"/>
    <w:rsid w:val="00E22E2E"/>
    <w:rsid w:val="00E22FD0"/>
    <w:rsid w:val="00E230CF"/>
    <w:rsid w:val="00E23E01"/>
    <w:rsid w:val="00E24B27"/>
    <w:rsid w:val="00E25982"/>
    <w:rsid w:val="00E25CC9"/>
    <w:rsid w:val="00E261C8"/>
    <w:rsid w:val="00E26760"/>
    <w:rsid w:val="00E271EF"/>
    <w:rsid w:val="00E2790A"/>
    <w:rsid w:val="00E27A33"/>
    <w:rsid w:val="00E308A1"/>
    <w:rsid w:val="00E30906"/>
    <w:rsid w:val="00E30A69"/>
    <w:rsid w:val="00E30BC4"/>
    <w:rsid w:val="00E3121F"/>
    <w:rsid w:val="00E316F0"/>
    <w:rsid w:val="00E318C6"/>
    <w:rsid w:val="00E3202C"/>
    <w:rsid w:val="00E321A0"/>
    <w:rsid w:val="00E32335"/>
    <w:rsid w:val="00E3277A"/>
    <w:rsid w:val="00E32A91"/>
    <w:rsid w:val="00E32D46"/>
    <w:rsid w:val="00E33871"/>
    <w:rsid w:val="00E33C24"/>
    <w:rsid w:val="00E34878"/>
    <w:rsid w:val="00E34CF8"/>
    <w:rsid w:val="00E35107"/>
    <w:rsid w:val="00E36196"/>
    <w:rsid w:val="00E368BD"/>
    <w:rsid w:val="00E36ADD"/>
    <w:rsid w:val="00E36C4E"/>
    <w:rsid w:val="00E378C4"/>
    <w:rsid w:val="00E37E42"/>
    <w:rsid w:val="00E40AFA"/>
    <w:rsid w:val="00E40C75"/>
    <w:rsid w:val="00E40CBC"/>
    <w:rsid w:val="00E40F7F"/>
    <w:rsid w:val="00E411AD"/>
    <w:rsid w:val="00E417C2"/>
    <w:rsid w:val="00E41BEC"/>
    <w:rsid w:val="00E41D6D"/>
    <w:rsid w:val="00E4277D"/>
    <w:rsid w:val="00E4482C"/>
    <w:rsid w:val="00E44A39"/>
    <w:rsid w:val="00E4559B"/>
    <w:rsid w:val="00E4643F"/>
    <w:rsid w:val="00E472D4"/>
    <w:rsid w:val="00E50679"/>
    <w:rsid w:val="00E51A76"/>
    <w:rsid w:val="00E51D43"/>
    <w:rsid w:val="00E52257"/>
    <w:rsid w:val="00E525A5"/>
    <w:rsid w:val="00E52748"/>
    <w:rsid w:val="00E5304B"/>
    <w:rsid w:val="00E53285"/>
    <w:rsid w:val="00E53CE1"/>
    <w:rsid w:val="00E549DE"/>
    <w:rsid w:val="00E5527B"/>
    <w:rsid w:val="00E55749"/>
    <w:rsid w:val="00E55D65"/>
    <w:rsid w:val="00E5607D"/>
    <w:rsid w:val="00E562B5"/>
    <w:rsid w:val="00E5793A"/>
    <w:rsid w:val="00E57C5C"/>
    <w:rsid w:val="00E57F02"/>
    <w:rsid w:val="00E6040A"/>
    <w:rsid w:val="00E616B7"/>
    <w:rsid w:val="00E62724"/>
    <w:rsid w:val="00E62B91"/>
    <w:rsid w:val="00E62E5C"/>
    <w:rsid w:val="00E635D6"/>
    <w:rsid w:val="00E6421B"/>
    <w:rsid w:val="00E64250"/>
    <w:rsid w:val="00E644AC"/>
    <w:rsid w:val="00E6450A"/>
    <w:rsid w:val="00E647B4"/>
    <w:rsid w:val="00E649DF"/>
    <w:rsid w:val="00E654BE"/>
    <w:rsid w:val="00E6560D"/>
    <w:rsid w:val="00E65BEF"/>
    <w:rsid w:val="00E6661B"/>
    <w:rsid w:val="00E666D5"/>
    <w:rsid w:val="00E70B48"/>
    <w:rsid w:val="00E70D17"/>
    <w:rsid w:val="00E7148B"/>
    <w:rsid w:val="00E71C95"/>
    <w:rsid w:val="00E71CE4"/>
    <w:rsid w:val="00E72661"/>
    <w:rsid w:val="00E72689"/>
    <w:rsid w:val="00E72F79"/>
    <w:rsid w:val="00E73497"/>
    <w:rsid w:val="00E73991"/>
    <w:rsid w:val="00E74232"/>
    <w:rsid w:val="00E74BAF"/>
    <w:rsid w:val="00E74F82"/>
    <w:rsid w:val="00E758A7"/>
    <w:rsid w:val="00E759B7"/>
    <w:rsid w:val="00E75A2B"/>
    <w:rsid w:val="00E761BF"/>
    <w:rsid w:val="00E7636E"/>
    <w:rsid w:val="00E76596"/>
    <w:rsid w:val="00E77EB6"/>
    <w:rsid w:val="00E77EBA"/>
    <w:rsid w:val="00E80822"/>
    <w:rsid w:val="00E80A68"/>
    <w:rsid w:val="00E80B59"/>
    <w:rsid w:val="00E80CEE"/>
    <w:rsid w:val="00E80E53"/>
    <w:rsid w:val="00E81602"/>
    <w:rsid w:val="00E8162D"/>
    <w:rsid w:val="00E8167B"/>
    <w:rsid w:val="00E81BB0"/>
    <w:rsid w:val="00E81DE9"/>
    <w:rsid w:val="00E82026"/>
    <w:rsid w:val="00E8208A"/>
    <w:rsid w:val="00E82326"/>
    <w:rsid w:val="00E8248F"/>
    <w:rsid w:val="00E8252C"/>
    <w:rsid w:val="00E82673"/>
    <w:rsid w:val="00E82E09"/>
    <w:rsid w:val="00E83575"/>
    <w:rsid w:val="00E83989"/>
    <w:rsid w:val="00E83F5D"/>
    <w:rsid w:val="00E84B7B"/>
    <w:rsid w:val="00E861D5"/>
    <w:rsid w:val="00E87EE0"/>
    <w:rsid w:val="00E9031C"/>
    <w:rsid w:val="00E9068E"/>
    <w:rsid w:val="00E91382"/>
    <w:rsid w:val="00E91B2E"/>
    <w:rsid w:val="00E92576"/>
    <w:rsid w:val="00E92758"/>
    <w:rsid w:val="00E9372B"/>
    <w:rsid w:val="00E94130"/>
    <w:rsid w:val="00E94B13"/>
    <w:rsid w:val="00E950DA"/>
    <w:rsid w:val="00E9534B"/>
    <w:rsid w:val="00E95DE0"/>
    <w:rsid w:val="00E95EB3"/>
    <w:rsid w:val="00E96916"/>
    <w:rsid w:val="00E97120"/>
    <w:rsid w:val="00EA03B1"/>
    <w:rsid w:val="00EA04A8"/>
    <w:rsid w:val="00EA099C"/>
    <w:rsid w:val="00EA0B30"/>
    <w:rsid w:val="00EA1073"/>
    <w:rsid w:val="00EA1550"/>
    <w:rsid w:val="00EA1FB9"/>
    <w:rsid w:val="00EA2246"/>
    <w:rsid w:val="00EA36AE"/>
    <w:rsid w:val="00EA3A2C"/>
    <w:rsid w:val="00EA3DA2"/>
    <w:rsid w:val="00EA3F41"/>
    <w:rsid w:val="00EA434B"/>
    <w:rsid w:val="00EA44D4"/>
    <w:rsid w:val="00EA47D3"/>
    <w:rsid w:val="00EA4F65"/>
    <w:rsid w:val="00EA5BBB"/>
    <w:rsid w:val="00EA5D0A"/>
    <w:rsid w:val="00EA614C"/>
    <w:rsid w:val="00EA7607"/>
    <w:rsid w:val="00EA7747"/>
    <w:rsid w:val="00EB03CE"/>
    <w:rsid w:val="00EB1758"/>
    <w:rsid w:val="00EB17B8"/>
    <w:rsid w:val="00EB1AAE"/>
    <w:rsid w:val="00EB2528"/>
    <w:rsid w:val="00EB2E19"/>
    <w:rsid w:val="00EB3027"/>
    <w:rsid w:val="00EB44B3"/>
    <w:rsid w:val="00EB4A69"/>
    <w:rsid w:val="00EB51F8"/>
    <w:rsid w:val="00EB5219"/>
    <w:rsid w:val="00EB5A04"/>
    <w:rsid w:val="00EB5D26"/>
    <w:rsid w:val="00EB5D58"/>
    <w:rsid w:val="00EB5D7E"/>
    <w:rsid w:val="00EB5FF1"/>
    <w:rsid w:val="00EB6DC5"/>
    <w:rsid w:val="00EB7A68"/>
    <w:rsid w:val="00EB7EB4"/>
    <w:rsid w:val="00EC0061"/>
    <w:rsid w:val="00EC03DF"/>
    <w:rsid w:val="00EC062B"/>
    <w:rsid w:val="00EC0791"/>
    <w:rsid w:val="00EC0A1F"/>
    <w:rsid w:val="00EC10B3"/>
    <w:rsid w:val="00EC1111"/>
    <w:rsid w:val="00EC1526"/>
    <w:rsid w:val="00EC19E5"/>
    <w:rsid w:val="00EC2EC4"/>
    <w:rsid w:val="00EC303A"/>
    <w:rsid w:val="00EC3827"/>
    <w:rsid w:val="00EC3E2C"/>
    <w:rsid w:val="00EC4408"/>
    <w:rsid w:val="00EC44E3"/>
    <w:rsid w:val="00EC4C6C"/>
    <w:rsid w:val="00EC57F4"/>
    <w:rsid w:val="00EC6221"/>
    <w:rsid w:val="00EC6BF1"/>
    <w:rsid w:val="00EC70D9"/>
    <w:rsid w:val="00EC7364"/>
    <w:rsid w:val="00EC7ACA"/>
    <w:rsid w:val="00EC7D34"/>
    <w:rsid w:val="00ED023A"/>
    <w:rsid w:val="00ED02C8"/>
    <w:rsid w:val="00ED061C"/>
    <w:rsid w:val="00ED0E17"/>
    <w:rsid w:val="00ED0F84"/>
    <w:rsid w:val="00ED0FF4"/>
    <w:rsid w:val="00ED139B"/>
    <w:rsid w:val="00ED2558"/>
    <w:rsid w:val="00ED2BFB"/>
    <w:rsid w:val="00ED2E79"/>
    <w:rsid w:val="00ED2F0D"/>
    <w:rsid w:val="00ED4AE5"/>
    <w:rsid w:val="00ED591F"/>
    <w:rsid w:val="00ED637F"/>
    <w:rsid w:val="00ED6CD6"/>
    <w:rsid w:val="00ED6D35"/>
    <w:rsid w:val="00ED7432"/>
    <w:rsid w:val="00ED795C"/>
    <w:rsid w:val="00ED7B41"/>
    <w:rsid w:val="00EE010D"/>
    <w:rsid w:val="00EE037A"/>
    <w:rsid w:val="00EE0713"/>
    <w:rsid w:val="00EE081F"/>
    <w:rsid w:val="00EE0AB9"/>
    <w:rsid w:val="00EE0E04"/>
    <w:rsid w:val="00EE1638"/>
    <w:rsid w:val="00EE193E"/>
    <w:rsid w:val="00EE251D"/>
    <w:rsid w:val="00EE342E"/>
    <w:rsid w:val="00EE3728"/>
    <w:rsid w:val="00EE3A7A"/>
    <w:rsid w:val="00EE3C0E"/>
    <w:rsid w:val="00EE4297"/>
    <w:rsid w:val="00EE4E1B"/>
    <w:rsid w:val="00EE4F40"/>
    <w:rsid w:val="00EE53EF"/>
    <w:rsid w:val="00EE5502"/>
    <w:rsid w:val="00EE6FDC"/>
    <w:rsid w:val="00EE75FC"/>
    <w:rsid w:val="00EE7CB2"/>
    <w:rsid w:val="00EF07B4"/>
    <w:rsid w:val="00EF189F"/>
    <w:rsid w:val="00EF1FA1"/>
    <w:rsid w:val="00EF2492"/>
    <w:rsid w:val="00EF25C6"/>
    <w:rsid w:val="00EF2AA3"/>
    <w:rsid w:val="00EF2C40"/>
    <w:rsid w:val="00EF345E"/>
    <w:rsid w:val="00EF34E2"/>
    <w:rsid w:val="00EF3A54"/>
    <w:rsid w:val="00EF3A66"/>
    <w:rsid w:val="00EF3C69"/>
    <w:rsid w:val="00EF3EBF"/>
    <w:rsid w:val="00EF4CAE"/>
    <w:rsid w:val="00EF596D"/>
    <w:rsid w:val="00EF5E05"/>
    <w:rsid w:val="00EF65A9"/>
    <w:rsid w:val="00EF7B22"/>
    <w:rsid w:val="00F000F7"/>
    <w:rsid w:val="00F00ECC"/>
    <w:rsid w:val="00F01389"/>
    <w:rsid w:val="00F01E65"/>
    <w:rsid w:val="00F0206D"/>
    <w:rsid w:val="00F0229D"/>
    <w:rsid w:val="00F02EC9"/>
    <w:rsid w:val="00F0314D"/>
    <w:rsid w:val="00F03289"/>
    <w:rsid w:val="00F03C3E"/>
    <w:rsid w:val="00F04B30"/>
    <w:rsid w:val="00F04C10"/>
    <w:rsid w:val="00F057CF"/>
    <w:rsid w:val="00F06A6B"/>
    <w:rsid w:val="00F07654"/>
    <w:rsid w:val="00F07FC9"/>
    <w:rsid w:val="00F102D7"/>
    <w:rsid w:val="00F10449"/>
    <w:rsid w:val="00F10C45"/>
    <w:rsid w:val="00F11E9D"/>
    <w:rsid w:val="00F12DC9"/>
    <w:rsid w:val="00F12EB7"/>
    <w:rsid w:val="00F13507"/>
    <w:rsid w:val="00F14B6E"/>
    <w:rsid w:val="00F158C9"/>
    <w:rsid w:val="00F15954"/>
    <w:rsid w:val="00F1599B"/>
    <w:rsid w:val="00F159EF"/>
    <w:rsid w:val="00F161A9"/>
    <w:rsid w:val="00F16911"/>
    <w:rsid w:val="00F16B97"/>
    <w:rsid w:val="00F16C70"/>
    <w:rsid w:val="00F17737"/>
    <w:rsid w:val="00F202DF"/>
    <w:rsid w:val="00F20310"/>
    <w:rsid w:val="00F209C6"/>
    <w:rsid w:val="00F2161C"/>
    <w:rsid w:val="00F22053"/>
    <w:rsid w:val="00F2241E"/>
    <w:rsid w:val="00F233E3"/>
    <w:rsid w:val="00F23466"/>
    <w:rsid w:val="00F23885"/>
    <w:rsid w:val="00F23F0A"/>
    <w:rsid w:val="00F241FC"/>
    <w:rsid w:val="00F2422B"/>
    <w:rsid w:val="00F2438A"/>
    <w:rsid w:val="00F24677"/>
    <w:rsid w:val="00F24BF1"/>
    <w:rsid w:val="00F25699"/>
    <w:rsid w:val="00F25F21"/>
    <w:rsid w:val="00F26ADB"/>
    <w:rsid w:val="00F30162"/>
    <w:rsid w:val="00F30304"/>
    <w:rsid w:val="00F304CD"/>
    <w:rsid w:val="00F304F7"/>
    <w:rsid w:val="00F30798"/>
    <w:rsid w:val="00F30E07"/>
    <w:rsid w:val="00F31817"/>
    <w:rsid w:val="00F31B3C"/>
    <w:rsid w:val="00F31C41"/>
    <w:rsid w:val="00F323EC"/>
    <w:rsid w:val="00F32696"/>
    <w:rsid w:val="00F33752"/>
    <w:rsid w:val="00F3395E"/>
    <w:rsid w:val="00F33A1F"/>
    <w:rsid w:val="00F33EEE"/>
    <w:rsid w:val="00F3490B"/>
    <w:rsid w:val="00F35044"/>
    <w:rsid w:val="00F36237"/>
    <w:rsid w:val="00F364BE"/>
    <w:rsid w:val="00F36EF4"/>
    <w:rsid w:val="00F372F6"/>
    <w:rsid w:val="00F375FD"/>
    <w:rsid w:val="00F37DA7"/>
    <w:rsid w:val="00F402FC"/>
    <w:rsid w:val="00F40E5C"/>
    <w:rsid w:val="00F413C5"/>
    <w:rsid w:val="00F433ED"/>
    <w:rsid w:val="00F43A53"/>
    <w:rsid w:val="00F43DC2"/>
    <w:rsid w:val="00F45A13"/>
    <w:rsid w:val="00F469E3"/>
    <w:rsid w:val="00F46E48"/>
    <w:rsid w:val="00F508DF"/>
    <w:rsid w:val="00F5199E"/>
    <w:rsid w:val="00F51DD9"/>
    <w:rsid w:val="00F52C38"/>
    <w:rsid w:val="00F52F21"/>
    <w:rsid w:val="00F5329F"/>
    <w:rsid w:val="00F53374"/>
    <w:rsid w:val="00F53BA8"/>
    <w:rsid w:val="00F53F41"/>
    <w:rsid w:val="00F5509B"/>
    <w:rsid w:val="00F5536F"/>
    <w:rsid w:val="00F55BDF"/>
    <w:rsid w:val="00F56BA6"/>
    <w:rsid w:val="00F56E27"/>
    <w:rsid w:val="00F57640"/>
    <w:rsid w:val="00F5769C"/>
    <w:rsid w:val="00F607AA"/>
    <w:rsid w:val="00F6097E"/>
    <w:rsid w:val="00F60DB1"/>
    <w:rsid w:val="00F61000"/>
    <w:rsid w:val="00F61263"/>
    <w:rsid w:val="00F621EC"/>
    <w:rsid w:val="00F622C1"/>
    <w:rsid w:val="00F62369"/>
    <w:rsid w:val="00F629EA"/>
    <w:rsid w:val="00F63594"/>
    <w:rsid w:val="00F63BAA"/>
    <w:rsid w:val="00F644DE"/>
    <w:rsid w:val="00F64CDE"/>
    <w:rsid w:val="00F65732"/>
    <w:rsid w:val="00F66CDF"/>
    <w:rsid w:val="00F6755A"/>
    <w:rsid w:val="00F70C6D"/>
    <w:rsid w:val="00F7148D"/>
    <w:rsid w:val="00F71590"/>
    <w:rsid w:val="00F721E1"/>
    <w:rsid w:val="00F72320"/>
    <w:rsid w:val="00F72AB7"/>
    <w:rsid w:val="00F72AE8"/>
    <w:rsid w:val="00F72B87"/>
    <w:rsid w:val="00F73412"/>
    <w:rsid w:val="00F73A2C"/>
    <w:rsid w:val="00F74333"/>
    <w:rsid w:val="00F746ED"/>
    <w:rsid w:val="00F74EB5"/>
    <w:rsid w:val="00F74FA7"/>
    <w:rsid w:val="00F76364"/>
    <w:rsid w:val="00F76454"/>
    <w:rsid w:val="00F774AA"/>
    <w:rsid w:val="00F778A0"/>
    <w:rsid w:val="00F7BECE"/>
    <w:rsid w:val="00F8080B"/>
    <w:rsid w:val="00F8119C"/>
    <w:rsid w:val="00F820C2"/>
    <w:rsid w:val="00F82644"/>
    <w:rsid w:val="00F82FB0"/>
    <w:rsid w:val="00F839FF"/>
    <w:rsid w:val="00F83C8D"/>
    <w:rsid w:val="00F83DF2"/>
    <w:rsid w:val="00F83EDB"/>
    <w:rsid w:val="00F8407B"/>
    <w:rsid w:val="00F844E5"/>
    <w:rsid w:val="00F84B79"/>
    <w:rsid w:val="00F84FE9"/>
    <w:rsid w:val="00F85778"/>
    <w:rsid w:val="00F8630E"/>
    <w:rsid w:val="00F86ADC"/>
    <w:rsid w:val="00F87695"/>
    <w:rsid w:val="00F87721"/>
    <w:rsid w:val="00F87AFD"/>
    <w:rsid w:val="00F8EDFB"/>
    <w:rsid w:val="00F90C38"/>
    <w:rsid w:val="00F91729"/>
    <w:rsid w:val="00F91E93"/>
    <w:rsid w:val="00F92170"/>
    <w:rsid w:val="00F9340A"/>
    <w:rsid w:val="00F93467"/>
    <w:rsid w:val="00F935F4"/>
    <w:rsid w:val="00F94CD3"/>
    <w:rsid w:val="00F94E0F"/>
    <w:rsid w:val="00F955F6"/>
    <w:rsid w:val="00F962F0"/>
    <w:rsid w:val="00F964A9"/>
    <w:rsid w:val="00F96BD8"/>
    <w:rsid w:val="00F9722E"/>
    <w:rsid w:val="00F979F2"/>
    <w:rsid w:val="00F97A3C"/>
    <w:rsid w:val="00FA02CC"/>
    <w:rsid w:val="00FA092C"/>
    <w:rsid w:val="00FA277D"/>
    <w:rsid w:val="00FA2CFC"/>
    <w:rsid w:val="00FA2F0B"/>
    <w:rsid w:val="00FA3231"/>
    <w:rsid w:val="00FA3DF2"/>
    <w:rsid w:val="00FA4C9E"/>
    <w:rsid w:val="00FA4D9C"/>
    <w:rsid w:val="00FA52B1"/>
    <w:rsid w:val="00FA537A"/>
    <w:rsid w:val="00FA6247"/>
    <w:rsid w:val="00FA6CED"/>
    <w:rsid w:val="00FA6EA3"/>
    <w:rsid w:val="00FA74A9"/>
    <w:rsid w:val="00FB11AF"/>
    <w:rsid w:val="00FB11D5"/>
    <w:rsid w:val="00FB16B6"/>
    <w:rsid w:val="00FB1A4D"/>
    <w:rsid w:val="00FB2480"/>
    <w:rsid w:val="00FB2796"/>
    <w:rsid w:val="00FB2B2C"/>
    <w:rsid w:val="00FB2D1B"/>
    <w:rsid w:val="00FB3691"/>
    <w:rsid w:val="00FB5B5C"/>
    <w:rsid w:val="00FB6E12"/>
    <w:rsid w:val="00FB7D08"/>
    <w:rsid w:val="00FC0357"/>
    <w:rsid w:val="00FC0E8D"/>
    <w:rsid w:val="00FC104F"/>
    <w:rsid w:val="00FC12A6"/>
    <w:rsid w:val="00FC1B47"/>
    <w:rsid w:val="00FC287B"/>
    <w:rsid w:val="00FC2AC8"/>
    <w:rsid w:val="00FC34DF"/>
    <w:rsid w:val="00FC3556"/>
    <w:rsid w:val="00FC3757"/>
    <w:rsid w:val="00FC38CB"/>
    <w:rsid w:val="00FC3E87"/>
    <w:rsid w:val="00FC3F2F"/>
    <w:rsid w:val="00FC3F5D"/>
    <w:rsid w:val="00FC4376"/>
    <w:rsid w:val="00FC4D35"/>
    <w:rsid w:val="00FC5664"/>
    <w:rsid w:val="00FC5B7B"/>
    <w:rsid w:val="00FC5BDA"/>
    <w:rsid w:val="00FC6252"/>
    <w:rsid w:val="00FC6857"/>
    <w:rsid w:val="00FC74A4"/>
    <w:rsid w:val="00FD1C3E"/>
    <w:rsid w:val="00FD2016"/>
    <w:rsid w:val="00FD2D66"/>
    <w:rsid w:val="00FD2ED8"/>
    <w:rsid w:val="00FD3986"/>
    <w:rsid w:val="00FD3B02"/>
    <w:rsid w:val="00FD4518"/>
    <w:rsid w:val="00FD4DE3"/>
    <w:rsid w:val="00FD5466"/>
    <w:rsid w:val="00FD5EE1"/>
    <w:rsid w:val="00FD6209"/>
    <w:rsid w:val="00FD6625"/>
    <w:rsid w:val="00FD6842"/>
    <w:rsid w:val="00FD6A12"/>
    <w:rsid w:val="00FD6B4C"/>
    <w:rsid w:val="00FD7512"/>
    <w:rsid w:val="00FD7B08"/>
    <w:rsid w:val="00FE0015"/>
    <w:rsid w:val="00FE0F74"/>
    <w:rsid w:val="00FE17A4"/>
    <w:rsid w:val="00FE1B3E"/>
    <w:rsid w:val="00FE1D0A"/>
    <w:rsid w:val="00FE1D1F"/>
    <w:rsid w:val="00FE225B"/>
    <w:rsid w:val="00FE2A22"/>
    <w:rsid w:val="00FE384B"/>
    <w:rsid w:val="00FE3B3D"/>
    <w:rsid w:val="00FE40BC"/>
    <w:rsid w:val="00FE4192"/>
    <w:rsid w:val="00FE4878"/>
    <w:rsid w:val="00FE5422"/>
    <w:rsid w:val="00FE56FA"/>
    <w:rsid w:val="00FE7048"/>
    <w:rsid w:val="00FE71FC"/>
    <w:rsid w:val="00FE74CA"/>
    <w:rsid w:val="00FE7713"/>
    <w:rsid w:val="00FE79AE"/>
    <w:rsid w:val="00FF01EC"/>
    <w:rsid w:val="00FF0312"/>
    <w:rsid w:val="00FF0A47"/>
    <w:rsid w:val="00FF0B1B"/>
    <w:rsid w:val="00FF10DD"/>
    <w:rsid w:val="00FF1157"/>
    <w:rsid w:val="00FF1A5A"/>
    <w:rsid w:val="00FF3D4D"/>
    <w:rsid w:val="00FF3EFF"/>
    <w:rsid w:val="00FF5871"/>
    <w:rsid w:val="00FF5D85"/>
    <w:rsid w:val="00FF624A"/>
    <w:rsid w:val="00FF6B12"/>
    <w:rsid w:val="00FF6DFD"/>
    <w:rsid w:val="00FF6E72"/>
    <w:rsid w:val="00FF72F9"/>
    <w:rsid w:val="00FF736E"/>
    <w:rsid w:val="00FF7458"/>
    <w:rsid w:val="00FF7D70"/>
    <w:rsid w:val="011161FD"/>
    <w:rsid w:val="011AA711"/>
    <w:rsid w:val="0135615A"/>
    <w:rsid w:val="01440C65"/>
    <w:rsid w:val="014420A3"/>
    <w:rsid w:val="014C786A"/>
    <w:rsid w:val="01723580"/>
    <w:rsid w:val="017A00A3"/>
    <w:rsid w:val="017D57B3"/>
    <w:rsid w:val="0180894F"/>
    <w:rsid w:val="018D873B"/>
    <w:rsid w:val="01A67365"/>
    <w:rsid w:val="01ACFB9C"/>
    <w:rsid w:val="01B32692"/>
    <w:rsid w:val="01B3B669"/>
    <w:rsid w:val="01CAC097"/>
    <w:rsid w:val="01D56E46"/>
    <w:rsid w:val="01D7D765"/>
    <w:rsid w:val="01DBF89F"/>
    <w:rsid w:val="01E4A685"/>
    <w:rsid w:val="01EEE845"/>
    <w:rsid w:val="01F7841C"/>
    <w:rsid w:val="01F9F461"/>
    <w:rsid w:val="01FAF951"/>
    <w:rsid w:val="02140F17"/>
    <w:rsid w:val="02184E1D"/>
    <w:rsid w:val="021A5932"/>
    <w:rsid w:val="022B158A"/>
    <w:rsid w:val="022CF9EE"/>
    <w:rsid w:val="022FA564"/>
    <w:rsid w:val="0232935C"/>
    <w:rsid w:val="02417211"/>
    <w:rsid w:val="024FAFCC"/>
    <w:rsid w:val="0259185D"/>
    <w:rsid w:val="025D1791"/>
    <w:rsid w:val="025E71AC"/>
    <w:rsid w:val="0273E5E8"/>
    <w:rsid w:val="0276956E"/>
    <w:rsid w:val="027EB11F"/>
    <w:rsid w:val="027EC28B"/>
    <w:rsid w:val="028678D5"/>
    <w:rsid w:val="02B9F0CC"/>
    <w:rsid w:val="02C266A0"/>
    <w:rsid w:val="02CA414F"/>
    <w:rsid w:val="02D622D2"/>
    <w:rsid w:val="02E0D945"/>
    <w:rsid w:val="02E34173"/>
    <w:rsid w:val="02EAAF6D"/>
    <w:rsid w:val="02F0CD57"/>
    <w:rsid w:val="02FDB05E"/>
    <w:rsid w:val="0300BC3C"/>
    <w:rsid w:val="0307ED3D"/>
    <w:rsid w:val="0321310A"/>
    <w:rsid w:val="033A5065"/>
    <w:rsid w:val="034AAA39"/>
    <w:rsid w:val="035BE356"/>
    <w:rsid w:val="036690F8"/>
    <w:rsid w:val="0366D45B"/>
    <w:rsid w:val="036C1BAE"/>
    <w:rsid w:val="036EC002"/>
    <w:rsid w:val="03783FF9"/>
    <w:rsid w:val="0381625E"/>
    <w:rsid w:val="0383E2FC"/>
    <w:rsid w:val="0384DE73"/>
    <w:rsid w:val="038752DC"/>
    <w:rsid w:val="0387B954"/>
    <w:rsid w:val="038D198E"/>
    <w:rsid w:val="039189CC"/>
    <w:rsid w:val="0395D012"/>
    <w:rsid w:val="0398B546"/>
    <w:rsid w:val="0399B71C"/>
    <w:rsid w:val="039BCE9B"/>
    <w:rsid w:val="03A745BA"/>
    <w:rsid w:val="03CABE65"/>
    <w:rsid w:val="03CEA19D"/>
    <w:rsid w:val="03CFC4B0"/>
    <w:rsid w:val="03D7C05A"/>
    <w:rsid w:val="03E27CC6"/>
    <w:rsid w:val="03E647AB"/>
    <w:rsid w:val="03E9D079"/>
    <w:rsid w:val="03EB71A5"/>
    <w:rsid w:val="03F09C02"/>
    <w:rsid w:val="03F63B30"/>
    <w:rsid w:val="03F713EB"/>
    <w:rsid w:val="03FB32D1"/>
    <w:rsid w:val="04095815"/>
    <w:rsid w:val="0413BDCC"/>
    <w:rsid w:val="041EC6C9"/>
    <w:rsid w:val="041FE3B7"/>
    <w:rsid w:val="04240F1E"/>
    <w:rsid w:val="043688C2"/>
    <w:rsid w:val="0440D965"/>
    <w:rsid w:val="0449FF08"/>
    <w:rsid w:val="04599CA6"/>
    <w:rsid w:val="045D3239"/>
    <w:rsid w:val="0468AB4E"/>
    <w:rsid w:val="046ADC52"/>
    <w:rsid w:val="046B4211"/>
    <w:rsid w:val="0470D641"/>
    <w:rsid w:val="047CD516"/>
    <w:rsid w:val="0492B8FE"/>
    <w:rsid w:val="049A30B0"/>
    <w:rsid w:val="049B9D1D"/>
    <w:rsid w:val="04A0407E"/>
    <w:rsid w:val="04A08866"/>
    <w:rsid w:val="04AEE006"/>
    <w:rsid w:val="04B25FB7"/>
    <w:rsid w:val="04C1CC05"/>
    <w:rsid w:val="04C2E948"/>
    <w:rsid w:val="04C933E4"/>
    <w:rsid w:val="04DD047D"/>
    <w:rsid w:val="04DD83E9"/>
    <w:rsid w:val="04E10480"/>
    <w:rsid w:val="04E1EF99"/>
    <w:rsid w:val="04E6CAFE"/>
    <w:rsid w:val="04EBBCB7"/>
    <w:rsid w:val="04F24FA3"/>
    <w:rsid w:val="04F64C27"/>
    <w:rsid w:val="05069B74"/>
    <w:rsid w:val="0526830C"/>
    <w:rsid w:val="052B82FE"/>
    <w:rsid w:val="0536B188"/>
    <w:rsid w:val="056106C2"/>
    <w:rsid w:val="0568294C"/>
    <w:rsid w:val="056E40BA"/>
    <w:rsid w:val="05714B18"/>
    <w:rsid w:val="057F7B91"/>
    <w:rsid w:val="058398E9"/>
    <w:rsid w:val="05866667"/>
    <w:rsid w:val="05895823"/>
    <w:rsid w:val="058E7B04"/>
    <w:rsid w:val="05949C95"/>
    <w:rsid w:val="059BBD2B"/>
    <w:rsid w:val="05A3AAB1"/>
    <w:rsid w:val="05AD2EF0"/>
    <w:rsid w:val="05B2C283"/>
    <w:rsid w:val="05B51C76"/>
    <w:rsid w:val="05CA23C2"/>
    <w:rsid w:val="05D19CCB"/>
    <w:rsid w:val="05D36ABA"/>
    <w:rsid w:val="05D7043B"/>
    <w:rsid w:val="05D98B6E"/>
    <w:rsid w:val="05DD4B3C"/>
    <w:rsid w:val="05E1152A"/>
    <w:rsid w:val="05E58CF9"/>
    <w:rsid w:val="05E86ECF"/>
    <w:rsid w:val="05F69427"/>
    <w:rsid w:val="060B3D3B"/>
    <w:rsid w:val="060C39F8"/>
    <w:rsid w:val="060FBF95"/>
    <w:rsid w:val="060FDEFF"/>
    <w:rsid w:val="0613D69C"/>
    <w:rsid w:val="061B5C7F"/>
    <w:rsid w:val="0622983A"/>
    <w:rsid w:val="062B9EC3"/>
    <w:rsid w:val="062F8362"/>
    <w:rsid w:val="063087AA"/>
    <w:rsid w:val="063A5582"/>
    <w:rsid w:val="0648CC8C"/>
    <w:rsid w:val="0648DB50"/>
    <w:rsid w:val="064B85F0"/>
    <w:rsid w:val="064D47D1"/>
    <w:rsid w:val="0655706C"/>
    <w:rsid w:val="065E96CA"/>
    <w:rsid w:val="066FC8A8"/>
    <w:rsid w:val="06757401"/>
    <w:rsid w:val="0688263E"/>
    <w:rsid w:val="068E6B31"/>
    <w:rsid w:val="0690FDE3"/>
    <w:rsid w:val="06A0F600"/>
    <w:rsid w:val="06A6AF42"/>
    <w:rsid w:val="06B1D1AE"/>
    <w:rsid w:val="06BAB833"/>
    <w:rsid w:val="06C8CBDC"/>
    <w:rsid w:val="06CD000C"/>
    <w:rsid w:val="06D05703"/>
    <w:rsid w:val="06D43B39"/>
    <w:rsid w:val="06D59085"/>
    <w:rsid w:val="06DC545D"/>
    <w:rsid w:val="06DFDBB9"/>
    <w:rsid w:val="06EBA631"/>
    <w:rsid w:val="06EBBF40"/>
    <w:rsid w:val="06F28220"/>
    <w:rsid w:val="070A6527"/>
    <w:rsid w:val="070ADA61"/>
    <w:rsid w:val="070DB3FD"/>
    <w:rsid w:val="071053F2"/>
    <w:rsid w:val="0716015D"/>
    <w:rsid w:val="07392383"/>
    <w:rsid w:val="07405BC4"/>
    <w:rsid w:val="0746ACF4"/>
    <w:rsid w:val="0748FF51"/>
    <w:rsid w:val="0749ABBB"/>
    <w:rsid w:val="0754CF39"/>
    <w:rsid w:val="075916CB"/>
    <w:rsid w:val="0778202E"/>
    <w:rsid w:val="077B3875"/>
    <w:rsid w:val="078A3013"/>
    <w:rsid w:val="0790C62F"/>
    <w:rsid w:val="07969355"/>
    <w:rsid w:val="07992AEE"/>
    <w:rsid w:val="079B6ABD"/>
    <w:rsid w:val="07A130CB"/>
    <w:rsid w:val="07A1C8CC"/>
    <w:rsid w:val="07A21312"/>
    <w:rsid w:val="07A35870"/>
    <w:rsid w:val="07C10549"/>
    <w:rsid w:val="07C16DB6"/>
    <w:rsid w:val="07C5A8B5"/>
    <w:rsid w:val="07C659D6"/>
    <w:rsid w:val="07CA9051"/>
    <w:rsid w:val="07CBF364"/>
    <w:rsid w:val="07E64513"/>
    <w:rsid w:val="07E7F20B"/>
    <w:rsid w:val="07EC9937"/>
    <w:rsid w:val="07FA411C"/>
    <w:rsid w:val="0801AFA1"/>
    <w:rsid w:val="08103946"/>
    <w:rsid w:val="08149311"/>
    <w:rsid w:val="08151E6B"/>
    <w:rsid w:val="081E4C8A"/>
    <w:rsid w:val="081E7E48"/>
    <w:rsid w:val="082B29C6"/>
    <w:rsid w:val="082C8D5F"/>
    <w:rsid w:val="082D1320"/>
    <w:rsid w:val="082EC11C"/>
    <w:rsid w:val="084B5294"/>
    <w:rsid w:val="0860FE2B"/>
    <w:rsid w:val="08632597"/>
    <w:rsid w:val="08648C6D"/>
    <w:rsid w:val="086EA071"/>
    <w:rsid w:val="087BAC1A"/>
    <w:rsid w:val="088A271F"/>
    <w:rsid w:val="089F967E"/>
    <w:rsid w:val="089FE51A"/>
    <w:rsid w:val="08A85462"/>
    <w:rsid w:val="08AC8F9E"/>
    <w:rsid w:val="08B07463"/>
    <w:rsid w:val="08B15820"/>
    <w:rsid w:val="08B7642A"/>
    <w:rsid w:val="08BFDFFA"/>
    <w:rsid w:val="08C0EF73"/>
    <w:rsid w:val="08C4E4D4"/>
    <w:rsid w:val="08C8601B"/>
    <w:rsid w:val="08D3AF4D"/>
    <w:rsid w:val="08DC9E37"/>
    <w:rsid w:val="08DDB256"/>
    <w:rsid w:val="08E395C9"/>
    <w:rsid w:val="08E8896E"/>
    <w:rsid w:val="08EB782B"/>
    <w:rsid w:val="08F274D0"/>
    <w:rsid w:val="08F41FFE"/>
    <w:rsid w:val="08F4E72C"/>
    <w:rsid w:val="08F70829"/>
    <w:rsid w:val="08F9428F"/>
    <w:rsid w:val="08FDF80F"/>
    <w:rsid w:val="090420E9"/>
    <w:rsid w:val="0905F2E3"/>
    <w:rsid w:val="090DF36F"/>
    <w:rsid w:val="0923476D"/>
    <w:rsid w:val="09302C3B"/>
    <w:rsid w:val="0930CE91"/>
    <w:rsid w:val="09346417"/>
    <w:rsid w:val="09461F66"/>
    <w:rsid w:val="094B0751"/>
    <w:rsid w:val="094B8FD1"/>
    <w:rsid w:val="094C7C25"/>
    <w:rsid w:val="09617916"/>
    <w:rsid w:val="09622A37"/>
    <w:rsid w:val="0962BE9E"/>
    <w:rsid w:val="09635255"/>
    <w:rsid w:val="09740819"/>
    <w:rsid w:val="0978BD4D"/>
    <w:rsid w:val="097B75D9"/>
    <w:rsid w:val="097CA59A"/>
    <w:rsid w:val="09807C12"/>
    <w:rsid w:val="098DD0DB"/>
    <w:rsid w:val="09938D01"/>
    <w:rsid w:val="09996A5E"/>
    <w:rsid w:val="09A45D95"/>
    <w:rsid w:val="09A876E7"/>
    <w:rsid w:val="09B099C3"/>
    <w:rsid w:val="09B1D038"/>
    <w:rsid w:val="09C2E44C"/>
    <w:rsid w:val="09C497A5"/>
    <w:rsid w:val="09C5B93B"/>
    <w:rsid w:val="09CBEF9F"/>
    <w:rsid w:val="09DCD138"/>
    <w:rsid w:val="09EF4F37"/>
    <w:rsid w:val="09F22D7E"/>
    <w:rsid w:val="0A19C367"/>
    <w:rsid w:val="0A2806D0"/>
    <w:rsid w:val="0A2CDA32"/>
    <w:rsid w:val="0A357E8B"/>
    <w:rsid w:val="0A4EE018"/>
    <w:rsid w:val="0A55ACB0"/>
    <w:rsid w:val="0A5E413E"/>
    <w:rsid w:val="0A7F47FC"/>
    <w:rsid w:val="0A857573"/>
    <w:rsid w:val="0A911F77"/>
    <w:rsid w:val="0A919867"/>
    <w:rsid w:val="0AAB1E58"/>
    <w:rsid w:val="0AB45028"/>
    <w:rsid w:val="0AB85B1E"/>
    <w:rsid w:val="0AB8A9FB"/>
    <w:rsid w:val="0AC6D03D"/>
    <w:rsid w:val="0ACA6676"/>
    <w:rsid w:val="0AD3BC6B"/>
    <w:rsid w:val="0ADB1228"/>
    <w:rsid w:val="0AE62263"/>
    <w:rsid w:val="0AE6C259"/>
    <w:rsid w:val="0AED7FA5"/>
    <w:rsid w:val="0AF2C7C0"/>
    <w:rsid w:val="0B0C7C17"/>
    <w:rsid w:val="0B1015E3"/>
    <w:rsid w:val="0B104AB6"/>
    <w:rsid w:val="0B402DDB"/>
    <w:rsid w:val="0B488CAA"/>
    <w:rsid w:val="0B56422A"/>
    <w:rsid w:val="0B60BCC4"/>
    <w:rsid w:val="0B63282F"/>
    <w:rsid w:val="0B6DDB5E"/>
    <w:rsid w:val="0B6FAD86"/>
    <w:rsid w:val="0B7C95A9"/>
    <w:rsid w:val="0B7D9763"/>
    <w:rsid w:val="0B8655FF"/>
    <w:rsid w:val="0B8BA71C"/>
    <w:rsid w:val="0B92BCE8"/>
    <w:rsid w:val="0B958C07"/>
    <w:rsid w:val="0B96EF7E"/>
    <w:rsid w:val="0B9B2180"/>
    <w:rsid w:val="0B9D6730"/>
    <w:rsid w:val="0B9E1B40"/>
    <w:rsid w:val="0B9F72EA"/>
    <w:rsid w:val="0BA92135"/>
    <w:rsid w:val="0BAB6618"/>
    <w:rsid w:val="0BAD2BD9"/>
    <w:rsid w:val="0BB123B2"/>
    <w:rsid w:val="0BB30F1D"/>
    <w:rsid w:val="0BBAE42D"/>
    <w:rsid w:val="0BC3EF19"/>
    <w:rsid w:val="0BC92C53"/>
    <w:rsid w:val="0BD3761C"/>
    <w:rsid w:val="0BD8804D"/>
    <w:rsid w:val="0BD9CF4C"/>
    <w:rsid w:val="0BE6D246"/>
    <w:rsid w:val="0BEB6ACB"/>
    <w:rsid w:val="0BED5035"/>
    <w:rsid w:val="0BEEC2F3"/>
    <w:rsid w:val="0BFA0CA4"/>
    <w:rsid w:val="0C03AEAE"/>
    <w:rsid w:val="0C1818B6"/>
    <w:rsid w:val="0C1C38EC"/>
    <w:rsid w:val="0C246217"/>
    <w:rsid w:val="0C2527FC"/>
    <w:rsid w:val="0C2689FC"/>
    <w:rsid w:val="0C28D412"/>
    <w:rsid w:val="0C3E4FAE"/>
    <w:rsid w:val="0C3EA49C"/>
    <w:rsid w:val="0C436046"/>
    <w:rsid w:val="0C4E0664"/>
    <w:rsid w:val="0C64535C"/>
    <w:rsid w:val="0C694779"/>
    <w:rsid w:val="0C69915C"/>
    <w:rsid w:val="0C7F85C0"/>
    <w:rsid w:val="0C8EFFC6"/>
    <w:rsid w:val="0C92BDE7"/>
    <w:rsid w:val="0C967611"/>
    <w:rsid w:val="0CA82BFE"/>
    <w:rsid w:val="0CADC7DC"/>
    <w:rsid w:val="0CB2F356"/>
    <w:rsid w:val="0CBF8D2A"/>
    <w:rsid w:val="0CC219EB"/>
    <w:rsid w:val="0CC5BAC3"/>
    <w:rsid w:val="0CCA0C52"/>
    <w:rsid w:val="0CD0FA79"/>
    <w:rsid w:val="0CDEE783"/>
    <w:rsid w:val="0CDF0A2C"/>
    <w:rsid w:val="0CE69D60"/>
    <w:rsid w:val="0CE6D21D"/>
    <w:rsid w:val="0CFB44B4"/>
    <w:rsid w:val="0D0425ED"/>
    <w:rsid w:val="0D08FFDE"/>
    <w:rsid w:val="0D0D9D90"/>
    <w:rsid w:val="0D0FBF06"/>
    <w:rsid w:val="0D104CA3"/>
    <w:rsid w:val="0D2363BF"/>
    <w:rsid w:val="0D25E456"/>
    <w:rsid w:val="0D2CA223"/>
    <w:rsid w:val="0D2DD1DC"/>
    <w:rsid w:val="0D32BFDF"/>
    <w:rsid w:val="0D4251FA"/>
    <w:rsid w:val="0D511F84"/>
    <w:rsid w:val="0D760CC9"/>
    <w:rsid w:val="0D82EA9A"/>
    <w:rsid w:val="0D83BC2E"/>
    <w:rsid w:val="0D8EAACE"/>
    <w:rsid w:val="0D9A4B10"/>
    <w:rsid w:val="0D9E9168"/>
    <w:rsid w:val="0DA98C55"/>
    <w:rsid w:val="0DB65672"/>
    <w:rsid w:val="0DBB6CCF"/>
    <w:rsid w:val="0DC15BB5"/>
    <w:rsid w:val="0DC2D855"/>
    <w:rsid w:val="0DD1B6E7"/>
    <w:rsid w:val="0DDC7B32"/>
    <w:rsid w:val="0DDEC5D9"/>
    <w:rsid w:val="0DEA37F7"/>
    <w:rsid w:val="0DED30C6"/>
    <w:rsid w:val="0DEE8344"/>
    <w:rsid w:val="0DF49CA0"/>
    <w:rsid w:val="0E044599"/>
    <w:rsid w:val="0E110A50"/>
    <w:rsid w:val="0E13FA82"/>
    <w:rsid w:val="0E1ACEB2"/>
    <w:rsid w:val="0E20FCB5"/>
    <w:rsid w:val="0E313BB6"/>
    <w:rsid w:val="0E3C0042"/>
    <w:rsid w:val="0E42B25E"/>
    <w:rsid w:val="0E47B6A5"/>
    <w:rsid w:val="0E4F5B5D"/>
    <w:rsid w:val="0E5BD91F"/>
    <w:rsid w:val="0E611292"/>
    <w:rsid w:val="0E6FE86A"/>
    <w:rsid w:val="0E82C813"/>
    <w:rsid w:val="0E8C6FD2"/>
    <w:rsid w:val="0E95B243"/>
    <w:rsid w:val="0E974029"/>
    <w:rsid w:val="0E982E60"/>
    <w:rsid w:val="0E9AC8F1"/>
    <w:rsid w:val="0E9C039E"/>
    <w:rsid w:val="0EA4FCB4"/>
    <w:rsid w:val="0EA7343A"/>
    <w:rsid w:val="0EB079E0"/>
    <w:rsid w:val="0ED51D1D"/>
    <w:rsid w:val="0EDE0EB2"/>
    <w:rsid w:val="0EE05C7B"/>
    <w:rsid w:val="0EE10CAF"/>
    <w:rsid w:val="0EF1B1AE"/>
    <w:rsid w:val="0EF66E5A"/>
    <w:rsid w:val="0F063F78"/>
    <w:rsid w:val="0F06C6FA"/>
    <w:rsid w:val="0F2BBEC4"/>
    <w:rsid w:val="0F2EA154"/>
    <w:rsid w:val="0F34A887"/>
    <w:rsid w:val="0F3644A6"/>
    <w:rsid w:val="0F3C8065"/>
    <w:rsid w:val="0F3C95DE"/>
    <w:rsid w:val="0F3F765D"/>
    <w:rsid w:val="0F43FDDE"/>
    <w:rsid w:val="0F4784FB"/>
    <w:rsid w:val="0F488192"/>
    <w:rsid w:val="0F490263"/>
    <w:rsid w:val="0F4EEC3E"/>
    <w:rsid w:val="0F5665B7"/>
    <w:rsid w:val="0F5BF283"/>
    <w:rsid w:val="0F5F2D53"/>
    <w:rsid w:val="0F627023"/>
    <w:rsid w:val="0F6F4BC2"/>
    <w:rsid w:val="0F72A35E"/>
    <w:rsid w:val="0F7E746A"/>
    <w:rsid w:val="0F7F34BE"/>
    <w:rsid w:val="0F81ED9A"/>
    <w:rsid w:val="0F8649E8"/>
    <w:rsid w:val="0F87C14B"/>
    <w:rsid w:val="0F91541C"/>
    <w:rsid w:val="0F99E1CE"/>
    <w:rsid w:val="0F99F34B"/>
    <w:rsid w:val="0FB18EDB"/>
    <w:rsid w:val="0FB80710"/>
    <w:rsid w:val="0FB8A9D7"/>
    <w:rsid w:val="0FBAF4E5"/>
    <w:rsid w:val="0FBBC20C"/>
    <w:rsid w:val="0FDFCCC0"/>
    <w:rsid w:val="0FE3499D"/>
    <w:rsid w:val="0FE43328"/>
    <w:rsid w:val="0FE67045"/>
    <w:rsid w:val="0FE8360C"/>
    <w:rsid w:val="0FF1DDF4"/>
    <w:rsid w:val="1005D90D"/>
    <w:rsid w:val="100B1188"/>
    <w:rsid w:val="1014CF13"/>
    <w:rsid w:val="101B64C0"/>
    <w:rsid w:val="10345A24"/>
    <w:rsid w:val="1037E029"/>
    <w:rsid w:val="103C8002"/>
    <w:rsid w:val="103DCB35"/>
    <w:rsid w:val="1048ECB4"/>
    <w:rsid w:val="104FDAEB"/>
    <w:rsid w:val="10541994"/>
    <w:rsid w:val="105511E1"/>
    <w:rsid w:val="1056C301"/>
    <w:rsid w:val="105B646F"/>
    <w:rsid w:val="106460EE"/>
    <w:rsid w:val="106E7F32"/>
    <w:rsid w:val="107130E1"/>
    <w:rsid w:val="10942E1C"/>
    <w:rsid w:val="10A3FAC2"/>
    <w:rsid w:val="10ACBEEB"/>
    <w:rsid w:val="10B1C13E"/>
    <w:rsid w:val="10CBC45B"/>
    <w:rsid w:val="10D886A9"/>
    <w:rsid w:val="10DE197D"/>
    <w:rsid w:val="10DFCC51"/>
    <w:rsid w:val="10E0690B"/>
    <w:rsid w:val="10E85F34"/>
    <w:rsid w:val="10EEA3F2"/>
    <w:rsid w:val="10F989F2"/>
    <w:rsid w:val="11052937"/>
    <w:rsid w:val="1105F771"/>
    <w:rsid w:val="110EDD55"/>
    <w:rsid w:val="111B4E66"/>
    <w:rsid w:val="111C5ED7"/>
    <w:rsid w:val="112AD4E3"/>
    <w:rsid w:val="113FBCDC"/>
    <w:rsid w:val="1141EBF3"/>
    <w:rsid w:val="114844F1"/>
    <w:rsid w:val="114ECB70"/>
    <w:rsid w:val="1165AC36"/>
    <w:rsid w:val="116783B6"/>
    <w:rsid w:val="11744BC7"/>
    <w:rsid w:val="117A19F6"/>
    <w:rsid w:val="117F5767"/>
    <w:rsid w:val="11832F46"/>
    <w:rsid w:val="118B8DF7"/>
    <w:rsid w:val="11A47809"/>
    <w:rsid w:val="11B00480"/>
    <w:rsid w:val="11B27B4F"/>
    <w:rsid w:val="11B3AD93"/>
    <w:rsid w:val="11B3E064"/>
    <w:rsid w:val="11B46AE7"/>
    <w:rsid w:val="11C338C6"/>
    <w:rsid w:val="11C761CC"/>
    <w:rsid w:val="11C7DBDA"/>
    <w:rsid w:val="11E2E09D"/>
    <w:rsid w:val="11E526D1"/>
    <w:rsid w:val="11F29362"/>
    <w:rsid w:val="11F851D3"/>
    <w:rsid w:val="11F8A482"/>
    <w:rsid w:val="1206677B"/>
    <w:rsid w:val="12110764"/>
    <w:rsid w:val="121C2B4F"/>
    <w:rsid w:val="121F01C2"/>
    <w:rsid w:val="123AC67B"/>
    <w:rsid w:val="123E0876"/>
    <w:rsid w:val="1257FB9D"/>
    <w:rsid w:val="127CA964"/>
    <w:rsid w:val="127D3366"/>
    <w:rsid w:val="12928FBF"/>
    <w:rsid w:val="129602DE"/>
    <w:rsid w:val="129778E5"/>
    <w:rsid w:val="12A9506D"/>
    <w:rsid w:val="12B5147F"/>
    <w:rsid w:val="12BDEB1C"/>
    <w:rsid w:val="12BF64C0"/>
    <w:rsid w:val="12C4B568"/>
    <w:rsid w:val="12C91FF4"/>
    <w:rsid w:val="12CA109A"/>
    <w:rsid w:val="12D214D7"/>
    <w:rsid w:val="12E0DBB0"/>
    <w:rsid w:val="12E65612"/>
    <w:rsid w:val="12EC02CE"/>
    <w:rsid w:val="13094635"/>
    <w:rsid w:val="130D8E55"/>
    <w:rsid w:val="131E1107"/>
    <w:rsid w:val="131E1F35"/>
    <w:rsid w:val="132E2B9A"/>
    <w:rsid w:val="1340B2F5"/>
    <w:rsid w:val="13421AD2"/>
    <w:rsid w:val="13428AB3"/>
    <w:rsid w:val="13577E57"/>
    <w:rsid w:val="135B74F5"/>
    <w:rsid w:val="135BACE9"/>
    <w:rsid w:val="136543A3"/>
    <w:rsid w:val="13661020"/>
    <w:rsid w:val="136D4DC4"/>
    <w:rsid w:val="13877BAD"/>
    <w:rsid w:val="138BD8C9"/>
    <w:rsid w:val="139BD589"/>
    <w:rsid w:val="13A61FF4"/>
    <w:rsid w:val="13C13B8D"/>
    <w:rsid w:val="13C3882E"/>
    <w:rsid w:val="13C3C11B"/>
    <w:rsid w:val="13C44CD5"/>
    <w:rsid w:val="13CABAD2"/>
    <w:rsid w:val="13DA98FF"/>
    <w:rsid w:val="13E07896"/>
    <w:rsid w:val="13E3C835"/>
    <w:rsid w:val="13EE676A"/>
    <w:rsid w:val="13F22C1E"/>
    <w:rsid w:val="1414BEF8"/>
    <w:rsid w:val="14156DB3"/>
    <w:rsid w:val="1421934E"/>
    <w:rsid w:val="142F73FC"/>
    <w:rsid w:val="14339F0B"/>
    <w:rsid w:val="14512253"/>
    <w:rsid w:val="14527A75"/>
    <w:rsid w:val="14581326"/>
    <w:rsid w:val="146403C1"/>
    <w:rsid w:val="1464F055"/>
    <w:rsid w:val="1470A0A1"/>
    <w:rsid w:val="148E5D5F"/>
    <w:rsid w:val="148E8D99"/>
    <w:rsid w:val="1491955D"/>
    <w:rsid w:val="149C4E43"/>
    <w:rsid w:val="14A4DCDE"/>
    <w:rsid w:val="14CB1C3F"/>
    <w:rsid w:val="14CEC8BE"/>
    <w:rsid w:val="14D22C5F"/>
    <w:rsid w:val="14D5BC8C"/>
    <w:rsid w:val="14DDC6D7"/>
    <w:rsid w:val="14E35735"/>
    <w:rsid w:val="14E5518A"/>
    <w:rsid w:val="14F16A3A"/>
    <w:rsid w:val="14F2A463"/>
    <w:rsid w:val="14F62547"/>
    <w:rsid w:val="14F8D8BA"/>
    <w:rsid w:val="14FD676F"/>
    <w:rsid w:val="150E3570"/>
    <w:rsid w:val="1510C6AA"/>
    <w:rsid w:val="15194828"/>
    <w:rsid w:val="151B956C"/>
    <w:rsid w:val="152ACB43"/>
    <w:rsid w:val="152ACF88"/>
    <w:rsid w:val="1538EE16"/>
    <w:rsid w:val="153A1124"/>
    <w:rsid w:val="1550F7F5"/>
    <w:rsid w:val="15713BDD"/>
    <w:rsid w:val="15739933"/>
    <w:rsid w:val="15801A7F"/>
    <w:rsid w:val="158B1151"/>
    <w:rsid w:val="158C8E78"/>
    <w:rsid w:val="1599F31B"/>
    <w:rsid w:val="1599F44A"/>
    <w:rsid w:val="15A95102"/>
    <w:rsid w:val="15AC524A"/>
    <w:rsid w:val="15B22199"/>
    <w:rsid w:val="15B8E4F7"/>
    <w:rsid w:val="15CA7E28"/>
    <w:rsid w:val="15CB445D"/>
    <w:rsid w:val="15CCD45D"/>
    <w:rsid w:val="15D290F7"/>
    <w:rsid w:val="15E423AD"/>
    <w:rsid w:val="15ED218A"/>
    <w:rsid w:val="15EF7B58"/>
    <w:rsid w:val="15F60D01"/>
    <w:rsid w:val="15F8FDB1"/>
    <w:rsid w:val="1603FB5A"/>
    <w:rsid w:val="16172B7B"/>
    <w:rsid w:val="161B4704"/>
    <w:rsid w:val="1625491F"/>
    <w:rsid w:val="16261373"/>
    <w:rsid w:val="163A6681"/>
    <w:rsid w:val="1641F788"/>
    <w:rsid w:val="164AD013"/>
    <w:rsid w:val="164DC443"/>
    <w:rsid w:val="165936CD"/>
    <w:rsid w:val="165CACA3"/>
    <w:rsid w:val="1662BD6F"/>
    <w:rsid w:val="16698E9A"/>
    <w:rsid w:val="167FC9A3"/>
    <w:rsid w:val="1685EC72"/>
    <w:rsid w:val="16917248"/>
    <w:rsid w:val="16969089"/>
    <w:rsid w:val="169B9847"/>
    <w:rsid w:val="16AB9901"/>
    <w:rsid w:val="16BC0E82"/>
    <w:rsid w:val="16BDCB94"/>
    <w:rsid w:val="16C1174F"/>
    <w:rsid w:val="16DEF141"/>
    <w:rsid w:val="16E19AF8"/>
    <w:rsid w:val="16E2B08A"/>
    <w:rsid w:val="16E2D048"/>
    <w:rsid w:val="16E470A8"/>
    <w:rsid w:val="16E9CFF4"/>
    <w:rsid w:val="16EBAE9D"/>
    <w:rsid w:val="16ED197A"/>
    <w:rsid w:val="16F355F2"/>
    <w:rsid w:val="16FA2855"/>
    <w:rsid w:val="16FC2A0B"/>
    <w:rsid w:val="17093201"/>
    <w:rsid w:val="170C05DE"/>
    <w:rsid w:val="17207399"/>
    <w:rsid w:val="172DF185"/>
    <w:rsid w:val="172FF12B"/>
    <w:rsid w:val="173DB70B"/>
    <w:rsid w:val="173EEECD"/>
    <w:rsid w:val="1744E30A"/>
    <w:rsid w:val="1766E44B"/>
    <w:rsid w:val="17693267"/>
    <w:rsid w:val="17763219"/>
    <w:rsid w:val="177A1F37"/>
    <w:rsid w:val="1781BC43"/>
    <w:rsid w:val="1792FCDB"/>
    <w:rsid w:val="179AA7C3"/>
    <w:rsid w:val="17A7A03A"/>
    <w:rsid w:val="17B1E17F"/>
    <w:rsid w:val="17B65EA6"/>
    <w:rsid w:val="17C252AC"/>
    <w:rsid w:val="17C3A4E6"/>
    <w:rsid w:val="17D2B32A"/>
    <w:rsid w:val="17DCF61F"/>
    <w:rsid w:val="17E05916"/>
    <w:rsid w:val="17E3461E"/>
    <w:rsid w:val="17EE646F"/>
    <w:rsid w:val="17EE98EB"/>
    <w:rsid w:val="17F3C70F"/>
    <w:rsid w:val="17F7DFDD"/>
    <w:rsid w:val="17FF233B"/>
    <w:rsid w:val="18042826"/>
    <w:rsid w:val="1806DF29"/>
    <w:rsid w:val="180E5399"/>
    <w:rsid w:val="1823268B"/>
    <w:rsid w:val="18269AC7"/>
    <w:rsid w:val="1841AB37"/>
    <w:rsid w:val="184ED0D1"/>
    <w:rsid w:val="184F1371"/>
    <w:rsid w:val="1855DDD5"/>
    <w:rsid w:val="185A82E4"/>
    <w:rsid w:val="18603D49"/>
    <w:rsid w:val="1861D4E6"/>
    <w:rsid w:val="1863BFF6"/>
    <w:rsid w:val="18640CEE"/>
    <w:rsid w:val="18708ED8"/>
    <w:rsid w:val="187CB071"/>
    <w:rsid w:val="188723E2"/>
    <w:rsid w:val="1888B914"/>
    <w:rsid w:val="188B3095"/>
    <w:rsid w:val="189003F3"/>
    <w:rsid w:val="1890F227"/>
    <w:rsid w:val="18910A34"/>
    <w:rsid w:val="18977EB9"/>
    <w:rsid w:val="189B23E0"/>
    <w:rsid w:val="18A53438"/>
    <w:rsid w:val="18A7D63F"/>
    <w:rsid w:val="18A90678"/>
    <w:rsid w:val="18A90E75"/>
    <w:rsid w:val="18B17DC6"/>
    <w:rsid w:val="18BD8651"/>
    <w:rsid w:val="18BEE6B8"/>
    <w:rsid w:val="18C29D44"/>
    <w:rsid w:val="18C525C3"/>
    <w:rsid w:val="18C805F9"/>
    <w:rsid w:val="18C819AB"/>
    <w:rsid w:val="18D121C0"/>
    <w:rsid w:val="18E1B21C"/>
    <w:rsid w:val="18E72097"/>
    <w:rsid w:val="18F4072D"/>
    <w:rsid w:val="18F67233"/>
    <w:rsid w:val="190427D9"/>
    <w:rsid w:val="190BB1C2"/>
    <w:rsid w:val="19159BD0"/>
    <w:rsid w:val="191891F1"/>
    <w:rsid w:val="192EDC07"/>
    <w:rsid w:val="1933FB3F"/>
    <w:rsid w:val="1948A625"/>
    <w:rsid w:val="194D58CB"/>
    <w:rsid w:val="194F0BB8"/>
    <w:rsid w:val="194FF816"/>
    <w:rsid w:val="1954F093"/>
    <w:rsid w:val="195BF4C3"/>
    <w:rsid w:val="195D72A5"/>
    <w:rsid w:val="19637FC9"/>
    <w:rsid w:val="19661E2B"/>
    <w:rsid w:val="1971BBC1"/>
    <w:rsid w:val="197403FC"/>
    <w:rsid w:val="198328CD"/>
    <w:rsid w:val="198B6E24"/>
    <w:rsid w:val="198BB863"/>
    <w:rsid w:val="198C2F15"/>
    <w:rsid w:val="199875F4"/>
    <w:rsid w:val="19A04527"/>
    <w:rsid w:val="19AC8755"/>
    <w:rsid w:val="19ADFFFC"/>
    <w:rsid w:val="19AF5787"/>
    <w:rsid w:val="19B05605"/>
    <w:rsid w:val="19C4D80E"/>
    <w:rsid w:val="19C50931"/>
    <w:rsid w:val="19C57ABA"/>
    <w:rsid w:val="19C83B53"/>
    <w:rsid w:val="19CB14F3"/>
    <w:rsid w:val="19D0AF52"/>
    <w:rsid w:val="19D7D28F"/>
    <w:rsid w:val="19E28CA2"/>
    <w:rsid w:val="19ECB94B"/>
    <w:rsid w:val="19ED7FCE"/>
    <w:rsid w:val="19F1AE36"/>
    <w:rsid w:val="19F77B9D"/>
    <w:rsid w:val="1A001035"/>
    <w:rsid w:val="1A01B8D4"/>
    <w:rsid w:val="1A03E86F"/>
    <w:rsid w:val="1A083BDE"/>
    <w:rsid w:val="1A1B6B92"/>
    <w:rsid w:val="1A1E5D1D"/>
    <w:rsid w:val="1A25C809"/>
    <w:rsid w:val="1A28EF3B"/>
    <w:rsid w:val="1A2DDF94"/>
    <w:rsid w:val="1A2F5A3D"/>
    <w:rsid w:val="1A36BA2E"/>
    <w:rsid w:val="1A49F73B"/>
    <w:rsid w:val="1A4C3EC9"/>
    <w:rsid w:val="1A549F65"/>
    <w:rsid w:val="1A5761AA"/>
    <w:rsid w:val="1A595DE1"/>
    <w:rsid w:val="1A603242"/>
    <w:rsid w:val="1A67175E"/>
    <w:rsid w:val="1A6A81EF"/>
    <w:rsid w:val="1A6C837F"/>
    <w:rsid w:val="1A81FF34"/>
    <w:rsid w:val="1A82E559"/>
    <w:rsid w:val="1A92A56C"/>
    <w:rsid w:val="1A9F8D48"/>
    <w:rsid w:val="1AA49C51"/>
    <w:rsid w:val="1AA5D67D"/>
    <w:rsid w:val="1AB55605"/>
    <w:rsid w:val="1ACAEEA6"/>
    <w:rsid w:val="1ACEBC05"/>
    <w:rsid w:val="1AD36355"/>
    <w:rsid w:val="1AD6927C"/>
    <w:rsid w:val="1AE99E5B"/>
    <w:rsid w:val="1AE9BC56"/>
    <w:rsid w:val="1AEB7927"/>
    <w:rsid w:val="1AF09460"/>
    <w:rsid w:val="1AF16D75"/>
    <w:rsid w:val="1AFEF164"/>
    <w:rsid w:val="1B213566"/>
    <w:rsid w:val="1B286F4E"/>
    <w:rsid w:val="1B2A5D87"/>
    <w:rsid w:val="1B322B4A"/>
    <w:rsid w:val="1B344655"/>
    <w:rsid w:val="1B361213"/>
    <w:rsid w:val="1B36836A"/>
    <w:rsid w:val="1B38C2C3"/>
    <w:rsid w:val="1B3D99F7"/>
    <w:rsid w:val="1B42BCA7"/>
    <w:rsid w:val="1B4B989A"/>
    <w:rsid w:val="1B58E10C"/>
    <w:rsid w:val="1B5EC1E6"/>
    <w:rsid w:val="1B6788FE"/>
    <w:rsid w:val="1B6871AC"/>
    <w:rsid w:val="1B712205"/>
    <w:rsid w:val="1B712EB5"/>
    <w:rsid w:val="1B736AF3"/>
    <w:rsid w:val="1B762E25"/>
    <w:rsid w:val="1B7EA57D"/>
    <w:rsid w:val="1B82B662"/>
    <w:rsid w:val="1BA104A6"/>
    <w:rsid w:val="1BA2C032"/>
    <w:rsid w:val="1BC131C0"/>
    <w:rsid w:val="1BC3F0DD"/>
    <w:rsid w:val="1BD215CF"/>
    <w:rsid w:val="1BD99856"/>
    <w:rsid w:val="1BDA5094"/>
    <w:rsid w:val="1BE2F7B1"/>
    <w:rsid w:val="1BE4A7B1"/>
    <w:rsid w:val="1BED4C95"/>
    <w:rsid w:val="1BF0BCE4"/>
    <w:rsid w:val="1BF7FA0B"/>
    <w:rsid w:val="1BFFBC74"/>
    <w:rsid w:val="1C106DBD"/>
    <w:rsid w:val="1C1F2A3B"/>
    <w:rsid w:val="1C23078C"/>
    <w:rsid w:val="1C36F0D7"/>
    <w:rsid w:val="1C3A4594"/>
    <w:rsid w:val="1C44C2D0"/>
    <w:rsid w:val="1C552D66"/>
    <w:rsid w:val="1C5D1AEC"/>
    <w:rsid w:val="1C767EC4"/>
    <w:rsid w:val="1C7891F7"/>
    <w:rsid w:val="1C823069"/>
    <w:rsid w:val="1C839439"/>
    <w:rsid w:val="1C894110"/>
    <w:rsid w:val="1C8B1D13"/>
    <w:rsid w:val="1C8B467C"/>
    <w:rsid w:val="1C8B909B"/>
    <w:rsid w:val="1C9328E2"/>
    <w:rsid w:val="1C988E53"/>
    <w:rsid w:val="1C9D19A5"/>
    <w:rsid w:val="1CBC2B07"/>
    <w:rsid w:val="1CCC0B10"/>
    <w:rsid w:val="1CCE52C8"/>
    <w:rsid w:val="1CD544F4"/>
    <w:rsid w:val="1CD9681A"/>
    <w:rsid w:val="1CE78196"/>
    <w:rsid w:val="1CE836D8"/>
    <w:rsid w:val="1CF46A79"/>
    <w:rsid w:val="1D184CFC"/>
    <w:rsid w:val="1D31465E"/>
    <w:rsid w:val="1D37A8D2"/>
    <w:rsid w:val="1D4A19AE"/>
    <w:rsid w:val="1D520CC9"/>
    <w:rsid w:val="1D5369A5"/>
    <w:rsid w:val="1D5BAD0D"/>
    <w:rsid w:val="1D6665EF"/>
    <w:rsid w:val="1D66D30C"/>
    <w:rsid w:val="1D6787F3"/>
    <w:rsid w:val="1D72F93C"/>
    <w:rsid w:val="1D74F7B4"/>
    <w:rsid w:val="1D75EFF6"/>
    <w:rsid w:val="1D7F0840"/>
    <w:rsid w:val="1D917522"/>
    <w:rsid w:val="1D97A05D"/>
    <w:rsid w:val="1D98EC0C"/>
    <w:rsid w:val="1D9A7898"/>
    <w:rsid w:val="1D9E6259"/>
    <w:rsid w:val="1DA22807"/>
    <w:rsid w:val="1DA53FC8"/>
    <w:rsid w:val="1DAFFB07"/>
    <w:rsid w:val="1DB5E651"/>
    <w:rsid w:val="1DB95B8B"/>
    <w:rsid w:val="1DBE44A2"/>
    <w:rsid w:val="1DC31DFC"/>
    <w:rsid w:val="1DCB32A1"/>
    <w:rsid w:val="1DCBB8B5"/>
    <w:rsid w:val="1DD4C4BD"/>
    <w:rsid w:val="1DE4864F"/>
    <w:rsid w:val="1DEA8E6D"/>
    <w:rsid w:val="1DEC65A0"/>
    <w:rsid w:val="1DED3C2C"/>
    <w:rsid w:val="1DF02567"/>
    <w:rsid w:val="1DF0FDC7"/>
    <w:rsid w:val="1E013273"/>
    <w:rsid w:val="1E0C1887"/>
    <w:rsid w:val="1E0FE09F"/>
    <w:rsid w:val="1E18E30E"/>
    <w:rsid w:val="1E1AFC22"/>
    <w:rsid w:val="1E237E3F"/>
    <w:rsid w:val="1E2490B3"/>
    <w:rsid w:val="1E2EF943"/>
    <w:rsid w:val="1E41472D"/>
    <w:rsid w:val="1E4ED741"/>
    <w:rsid w:val="1E4FDE57"/>
    <w:rsid w:val="1E64E781"/>
    <w:rsid w:val="1E65AB3D"/>
    <w:rsid w:val="1E666CA1"/>
    <w:rsid w:val="1E6690B9"/>
    <w:rsid w:val="1E678940"/>
    <w:rsid w:val="1E6AF619"/>
    <w:rsid w:val="1E6BF351"/>
    <w:rsid w:val="1E732D00"/>
    <w:rsid w:val="1E7350C0"/>
    <w:rsid w:val="1E7E0BD2"/>
    <w:rsid w:val="1E8692A3"/>
    <w:rsid w:val="1EA5923A"/>
    <w:rsid w:val="1EAA84CA"/>
    <w:rsid w:val="1EADC351"/>
    <w:rsid w:val="1EB0B785"/>
    <w:rsid w:val="1EB23392"/>
    <w:rsid w:val="1EB2CB3A"/>
    <w:rsid w:val="1EC0F0D8"/>
    <w:rsid w:val="1EC51F59"/>
    <w:rsid w:val="1EC56DF1"/>
    <w:rsid w:val="1ECC86B6"/>
    <w:rsid w:val="1ED1166A"/>
    <w:rsid w:val="1ED1716F"/>
    <w:rsid w:val="1EDD9D3D"/>
    <w:rsid w:val="1EED59E1"/>
    <w:rsid w:val="1EF003F6"/>
    <w:rsid w:val="1EF54749"/>
    <w:rsid w:val="1EF841D4"/>
    <w:rsid w:val="1EF85131"/>
    <w:rsid w:val="1EF92AD2"/>
    <w:rsid w:val="1EFC05B0"/>
    <w:rsid w:val="1F009698"/>
    <w:rsid w:val="1F01C8B0"/>
    <w:rsid w:val="1F04AFC7"/>
    <w:rsid w:val="1F0B7143"/>
    <w:rsid w:val="1F0CA09B"/>
    <w:rsid w:val="1F1CC900"/>
    <w:rsid w:val="1F1EF570"/>
    <w:rsid w:val="1F20C694"/>
    <w:rsid w:val="1F2C2B5B"/>
    <w:rsid w:val="1F2FD5E0"/>
    <w:rsid w:val="1F339A0C"/>
    <w:rsid w:val="1F37AEA8"/>
    <w:rsid w:val="1F3946A6"/>
    <w:rsid w:val="1F3B5E44"/>
    <w:rsid w:val="1F3D93C1"/>
    <w:rsid w:val="1F527C3F"/>
    <w:rsid w:val="1F5CC9B5"/>
    <w:rsid w:val="1F6CD29E"/>
    <w:rsid w:val="1F78D3AC"/>
    <w:rsid w:val="1F7A81B5"/>
    <w:rsid w:val="1F88C728"/>
    <w:rsid w:val="1F89FCAC"/>
    <w:rsid w:val="1F975B9C"/>
    <w:rsid w:val="1F9C83C4"/>
    <w:rsid w:val="1FAAB418"/>
    <w:rsid w:val="1FB33355"/>
    <w:rsid w:val="1FB5089E"/>
    <w:rsid w:val="1FB569AF"/>
    <w:rsid w:val="1FBBEC84"/>
    <w:rsid w:val="1FBE21A4"/>
    <w:rsid w:val="1FC2E73E"/>
    <w:rsid w:val="1FC4231D"/>
    <w:rsid w:val="1FC84518"/>
    <w:rsid w:val="1FCB3647"/>
    <w:rsid w:val="1FCC9C36"/>
    <w:rsid w:val="1FD0D184"/>
    <w:rsid w:val="1FDD4077"/>
    <w:rsid w:val="1FDFFB5E"/>
    <w:rsid w:val="1FE0FD4B"/>
    <w:rsid w:val="1FFAAF7C"/>
    <w:rsid w:val="1FFF565F"/>
    <w:rsid w:val="2005E160"/>
    <w:rsid w:val="200633CC"/>
    <w:rsid w:val="2009679F"/>
    <w:rsid w:val="200DCEE6"/>
    <w:rsid w:val="201F09BD"/>
    <w:rsid w:val="2029FA27"/>
    <w:rsid w:val="202D69E6"/>
    <w:rsid w:val="20354105"/>
    <w:rsid w:val="2037CC4E"/>
    <w:rsid w:val="2039EFB0"/>
    <w:rsid w:val="203C4BE0"/>
    <w:rsid w:val="204279A1"/>
    <w:rsid w:val="20436E76"/>
    <w:rsid w:val="2046BC55"/>
    <w:rsid w:val="2048D9B1"/>
    <w:rsid w:val="2049CB89"/>
    <w:rsid w:val="204B7A35"/>
    <w:rsid w:val="204D2730"/>
    <w:rsid w:val="2053CE87"/>
    <w:rsid w:val="20570BA4"/>
    <w:rsid w:val="20587CBF"/>
    <w:rsid w:val="2059B8A8"/>
    <w:rsid w:val="205F53B9"/>
    <w:rsid w:val="20615252"/>
    <w:rsid w:val="207C3E82"/>
    <w:rsid w:val="20816BCE"/>
    <w:rsid w:val="2084061F"/>
    <w:rsid w:val="20916AFA"/>
    <w:rsid w:val="20A23274"/>
    <w:rsid w:val="20AA934C"/>
    <w:rsid w:val="20B792D2"/>
    <w:rsid w:val="20C02F3B"/>
    <w:rsid w:val="20C5D030"/>
    <w:rsid w:val="20C80AF7"/>
    <w:rsid w:val="20CAD43B"/>
    <w:rsid w:val="20CC3D2B"/>
    <w:rsid w:val="20D7B5F5"/>
    <w:rsid w:val="20DE9974"/>
    <w:rsid w:val="20F1723D"/>
    <w:rsid w:val="20F5C72F"/>
    <w:rsid w:val="20FC9876"/>
    <w:rsid w:val="20FDED7B"/>
    <w:rsid w:val="20FF1912"/>
    <w:rsid w:val="21060561"/>
    <w:rsid w:val="2108EF8E"/>
    <w:rsid w:val="210D3BE5"/>
    <w:rsid w:val="211F58CF"/>
    <w:rsid w:val="2123A3D6"/>
    <w:rsid w:val="212423A3"/>
    <w:rsid w:val="212757B2"/>
    <w:rsid w:val="212C5323"/>
    <w:rsid w:val="21322575"/>
    <w:rsid w:val="214190C7"/>
    <w:rsid w:val="21541FDB"/>
    <w:rsid w:val="21550BE4"/>
    <w:rsid w:val="215AB882"/>
    <w:rsid w:val="216925AD"/>
    <w:rsid w:val="217173EE"/>
    <w:rsid w:val="21809B4D"/>
    <w:rsid w:val="2182BD80"/>
    <w:rsid w:val="2187F708"/>
    <w:rsid w:val="21995C40"/>
    <w:rsid w:val="219D2C9A"/>
    <w:rsid w:val="21A1CA1B"/>
    <w:rsid w:val="21AF61E8"/>
    <w:rsid w:val="21BD984B"/>
    <w:rsid w:val="21BE2F75"/>
    <w:rsid w:val="21C55F26"/>
    <w:rsid w:val="21D5C848"/>
    <w:rsid w:val="21D68440"/>
    <w:rsid w:val="21DE3708"/>
    <w:rsid w:val="21E12C44"/>
    <w:rsid w:val="21F4BD81"/>
    <w:rsid w:val="21F647E3"/>
    <w:rsid w:val="21F71E40"/>
    <w:rsid w:val="21FCB936"/>
    <w:rsid w:val="21FD0EB3"/>
    <w:rsid w:val="21FEAB9A"/>
    <w:rsid w:val="21FF97AB"/>
    <w:rsid w:val="221E914A"/>
    <w:rsid w:val="2226DAC8"/>
    <w:rsid w:val="222FA61C"/>
    <w:rsid w:val="224A4194"/>
    <w:rsid w:val="224DFB14"/>
    <w:rsid w:val="22628434"/>
    <w:rsid w:val="2262C957"/>
    <w:rsid w:val="2262EF5D"/>
    <w:rsid w:val="226B1180"/>
    <w:rsid w:val="227201C2"/>
    <w:rsid w:val="2293A1DB"/>
    <w:rsid w:val="2298D92A"/>
    <w:rsid w:val="22A60C99"/>
    <w:rsid w:val="22AEA455"/>
    <w:rsid w:val="22BAFE1F"/>
    <w:rsid w:val="22C32813"/>
    <w:rsid w:val="22D3E9C2"/>
    <w:rsid w:val="22E6ABA8"/>
    <w:rsid w:val="22E6F7B8"/>
    <w:rsid w:val="22EA13D9"/>
    <w:rsid w:val="22F0830E"/>
    <w:rsid w:val="22F4BDFA"/>
    <w:rsid w:val="22FAE983"/>
    <w:rsid w:val="2309EBE5"/>
    <w:rsid w:val="230D444F"/>
    <w:rsid w:val="230E52AA"/>
    <w:rsid w:val="23134440"/>
    <w:rsid w:val="2322BAAF"/>
    <w:rsid w:val="2323CB82"/>
    <w:rsid w:val="232628D3"/>
    <w:rsid w:val="232C4688"/>
    <w:rsid w:val="2343281F"/>
    <w:rsid w:val="23444B26"/>
    <w:rsid w:val="2349C368"/>
    <w:rsid w:val="234A1C7C"/>
    <w:rsid w:val="23513254"/>
    <w:rsid w:val="2363CBE7"/>
    <w:rsid w:val="236BD28B"/>
    <w:rsid w:val="236F3A3F"/>
    <w:rsid w:val="237EE13C"/>
    <w:rsid w:val="2389DB25"/>
    <w:rsid w:val="239444CF"/>
    <w:rsid w:val="23B9E6D9"/>
    <w:rsid w:val="23BD1426"/>
    <w:rsid w:val="23C273DF"/>
    <w:rsid w:val="23C2F3B0"/>
    <w:rsid w:val="23D9D3D2"/>
    <w:rsid w:val="23DF4CDD"/>
    <w:rsid w:val="23F9ACD4"/>
    <w:rsid w:val="23FDE253"/>
    <w:rsid w:val="23FE76BB"/>
    <w:rsid w:val="23FE803F"/>
    <w:rsid w:val="2401ED7A"/>
    <w:rsid w:val="2406E1E1"/>
    <w:rsid w:val="240B4181"/>
    <w:rsid w:val="2414D662"/>
    <w:rsid w:val="241BF097"/>
    <w:rsid w:val="242AD870"/>
    <w:rsid w:val="24363751"/>
    <w:rsid w:val="2441BD68"/>
    <w:rsid w:val="24483B88"/>
    <w:rsid w:val="24600C97"/>
    <w:rsid w:val="24692500"/>
    <w:rsid w:val="246EFCB8"/>
    <w:rsid w:val="24753EE2"/>
    <w:rsid w:val="247DDC01"/>
    <w:rsid w:val="248BC09D"/>
    <w:rsid w:val="2493AE23"/>
    <w:rsid w:val="24A7A026"/>
    <w:rsid w:val="24B048BF"/>
    <w:rsid w:val="24B098A1"/>
    <w:rsid w:val="24B1FD35"/>
    <w:rsid w:val="24B35FB5"/>
    <w:rsid w:val="24BD0BBD"/>
    <w:rsid w:val="24BD4037"/>
    <w:rsid w:val="24C768A6"/>
    <w:rsid w:val="24D3F634"/>
    <w:rsid w:val="24D550DE"/>
    <w:rsid w:val="24E1200E"/>
    <w:rsid w:val="24EB1D48"/>
    <w:rsid w:val="24EF1664"/>
    <w:rsid w:val="250269F7"/>
    <w:rsid w:val="25080977"/>
    <w:rsid w:val="250E6EDD"/>
    <w:rsid w:val="251DFFDF"/>
    <w:rsid w:val="25217516"/>
    <w:rsid w:val="2524CEA6"/>
    <w:rsid w:val="2529E402"/>
    <w:rsid w:val="252CBCAD"/>
    <w:rsid w:val="25344101"/>
    <w:rsid w:val="2534BF31"/>
    <w:rsid w:val="25352C96"/>
    <w:rsid w:val="2535DF2E"/>
    <w:rsid w:val="2539569C"/>
    <w:rsid w:val="2542C277"/>
    <w:rsid w:val="254BA12F"/>
    <w:rsid w:val="25573BD4"/>
    <w:rsid w:val="255D785E"/>
    <w:rsid w:val="255E4440"/>
    <w:rsid w:val="25638A68"/>
    <w:rsid w:val="25649AAC"/>
    <w:rsid w:val="25812C46"/>
    <w:rsid w:val="2594FBE4"/>
    <w:rsid w:val="25959B3E"/>
    <w:rsid w:val="259C8C1B"/>
    <w:rsid w:val="25A2DB01"/>
    <w:rsid w:val="25A8B1E5"/>
    <w:rsid w:val="25AA9FC8"/>
    <w:rsid w:val="25ADAE6D"/>
    <w:rsid w:val="25B5A681"/>
    <w:rsid w:val="25BA2763"/>
    <w:rsid w:val="25BBDA9F"/>
    <w:rsid w:val="25BE0F15"/>
    <w:rsid w:val="25C7EC4B"/>
    <w:rsid w:val="25D6F519"/>
    <w:rsid w:val="25E29975"/>
    <w:rsid w:val="25E4AD7B"/>
    <w:rsid w:val="25F19963"/>
    <w:rsid w:val="26041C20"/>
    <w:rsid w:val="26062BB8"/>
    <w:rsid w:val="2609AABD"/>
    <w:rsid w:val="261CCBDA"/>
    <w:rsid w:val="261D6819"/>
    <w:rsid w:val="26234AD8"/>
    <w:rsid w:val="262521F4"/>
    <w:rsid w:val="2638EA87"/>
    <w:rsid w:val="26414C2D"/>
    <w:rsid w:val="26421DAD"/>
    <w:rsid w:val="2645701B"/>
    <w:rsid w:val="264C11F5"/>
    <w:rsid w:val="265EBE8F"/>
    <w:rsid w:val="26604F07"/>
    <w:rsid w:val="267D34D7"/>
    <w:rsid w:val="268DB2A4"/>
    <w:rsid w:val="269132A8"/>
    <w:rsid w:val="2692FF78"/>
    <w:rsid w:val="2695DB5F"/>
    <w:rsid w:val="269694C2"/>
    <w:rsid w:val="26A2823F"/>
    <w:rsid w:val="26A42AC7"/>
    <w:rsid w:val="26A4934C"/>
    <w:rsid w:val="26B213F6"/>
    <w:rsid w:val="26B82E57"/>
    <w:rsid w:val="26B90C08"/>
    <w:rsid w:val="26BE2AA2"/>
    <w:rsid w:val="26C142BB"/>
    <w:rsid w:val="26CFC1A5"/>
    <w:rsid w:val="26D2A8C9"/>
    <w:rsid w:val="26DC284F"/>
    <w:rsid w:val="26E6CB61"/>
    <w:rsid w:val="26EE37C4"/>
    <w:rsid w:val="26EF3036"/>
    <w:rsid w:val="26EFE05A"/>
    <w:rsid w:val="26F1B738"/>
    <w:rsid w:val="26FC4D24"/>
    <w:rsid w:val="27064D09"/>
    <w:rsid w:val="2716ED9F"/>
    <w:rsid w:val="27241FE4"/>
    <w:rsid w:val="273CE0E3"/>
    <w:rsid w:val="275CC2FA"/>
    <w:rsid w:val="27684766"/>
    <w:rsid w:val="276D3997"/>
    <w:rsid w:val="277C9E59"/>
    <w:rsid w:val="278E1DCE"/>
    <w:rsid w:val="2791B6C7"/>
    <w:rsid w:val="279BDC65"/>
    <w:rsid w:val="27A225E5"/>
    <w:rsid w:val="27AD016A"/>
    <w:rsid w:val="27B0D55B"/>
    <w:rsid w:val="27BBD1A2"/>
    <w:rsid w:val="27BCC79C"/>
    <w:rsid w:val="27C91123"/>
    <w:rsid w:val="27CE7F16"/>
    <w:rsid w:val="27D3FF1E"/>
    <w:rsid w:val="27D73A9D"/>
    <w:rsid w:val="27D9C236"/>
    <w:rsid w:val="27DE84D3"/>
    <w:rsid w:val="27DFF98A"/>
    <w:rsid w:val="27E400E2"/>
    <w:rsid w:val="27E78303"/>
    <w:rsid w:val="27EDBDBC"/>
    <w:rsid w:val="27F10754"/>
    <w:rsid w:val="27F469AF"/>
    <w:rsid w:val="281B25B0"/>
    <w:rsid w:val="281E06B2"/>
    <w:rsid w:val="282D7887"/>
    <w:rsid w:val="283D6DFF"/>
    <w:rsid w:val="28411B39"/>
    <w:rsid w:val="2847595B"/>
    <w:rsid w:val="2847DB01"/>
    <w:rsid w:val="284EE5EA"/>
    <w:rsid w:val="284F8E89"/>
    <w:rsid w:val="2855A191"/>
    <w:rsid w:val="2857CF01"/>
    <w:rsid w:val="2861434C"/>
    <w:rsid w:val="2869BEC5"/>
    <w:rsid w:val="2874C6EA"/>
    <w:rsid w:val="287A8515"/>
    <w:rsid w:val="2886A84D"/>
    <w:rsid w:val="288C176A"/>
    <w:rsid w:val="288D4C1A"/>
    <w:rsid w:val="288DDFB1"/>
    <w:rsid w:val="28A68742"/>
    <w:rsid w:val="28B3903A"/>
    <w:rsid w:val="28B3A0D0"/>
    <w:rsid w:val="28B78CD9"/>
    <w:rsid w:val="28B9AB45"/>
    <w:rsid w:val="28BC2E13"/>
    <w:rsid w:val="28C329F1"/>
    <w:rsid w:val="28C74841"/>
    <w:rsid w:val="28C9182D"/>
    <w:rsid w:val="28CAE903"/>
    <w:rsid w:val="28D87C6E"/>
    <w:rsid w:val="28DCC805"/>
    <w:rsid w:val="28EC80CD"/>
    <w:rsid w:val="28F9375C"/>
    <w:rsid w:val="290B89B6"/>
    <w:rsid w:val="290C974C"/>
    <w:rsid w:val="290D4C70"/>
    <w:rsid w:val="290E6D61"/>
    <w:rsid w:val="291165E2"/>
    <w:rsid w:val="291B16A9"/>
    <w:rsid w:val="291FE293"/>
    <w:rsid w:val="2928A2AD"/>
    <w:rsid w:val="292DA66E"/>
    <w:rsid w:val="292F6143"/>
    <w:rsid w:val="29394E37"/>
    <w:rsid w:val="2948D1CB"/>
    <w:rsid w:val="2950B60F"/>
    <w:rsid w:val="295A5B5E"/>
    <w:rsid w:val="2960050C"/>
    <w:rsid w:val="2978ECEF"/>
    <w:rsid w:val="297B7F6F"/>
    <w:rsid w:val="297BA5E8"/>
    <w:rsid w:val="297F00F3"/>
    <w:rsid w:val="297FB6D0"/>
    <w:rsid w:val="2983F9D4"/>
    <w:rsid w:val="29A7F4FD"/>
    <w:rsid w:val="29B741C2"/>
    <w:rsid w:val="29BB7DEC"/>
    <w:rsid w:val="29BEEBD0"/>
    <w:rsid w:val="29CE8426"/>
    <w:rsid w:val="29D29A01"/>
    <w:rsid w:val="29E1947D"/>
    <w:rsid w:val="29EDFC3F"/>
    <w:rsid w:val="29F4E639"/>
    <w:rsid w:val="29FE96D8"/>
    <w:rsid w:val="29FFCF66"/>
    <w:rsid w:val="2A04DA39"/>
    <w:rsid w:val="2A110A09"/>
    <w:rsid w:val="2A163021"/>
    <w:rsid w:val="2A1E6C23"/>
    <w:rsid w:val="2A2832A3"/>
    <w:rsid w:val="2A335D0A"/>
    <w:rsid w:val="2A33E83A"/>
    <w:rsid w:val="2A3A13E5"/>
    <w:rsid w:val="2A4A0816"/>
    <w:rsid w:val="2A547580"/>
    <w:rsid w:val="2A56A314"/>
    <w:rsid w:val="2A56CAD3"/>
    <w:rsid w:val="2A5BCCA0"/>
    <w:rsid w:val="2A661103"/>
    <w:rsid w:val="2A6868D2"/>
    <w:rsid w:val="2A6F6544"/>
    <w:rsid w:val="2A747EA5"/>
    <w:rsid w:val="2A765889"/>
    <w:rsid w:val="2A7DA519"/>
    <w:rsid w:val="2A81DADC"/>
    <w:rsid w:val="2AA4E12D"/>
    <w:rsid w:val="2AAB7B3E"/>
    <w:rsid w:val="2AABD817"/>
    <w:rsid w:val="2AAE3A0E"/>
    <w:rsid w:val="2ABBACCD"/>
    <w:rsid w:val="2AC61004"/>
    <w:rsid w:val="2AD32221"/>
    <w:rsid w:val="2AE84951"/>
    <w:rsid w:val="2AFEE41F"/>
    <w:rsid w:val="2B02EFA7"/>
    <w:rsid w:val="2B0CCFCA"/>
    <w:rsid w:val="2B0D17DF"/>
    <w:rsid w:val="2B0DA37A"/>
    <w:rsid w:val="2B13E6CB"/>
    <w:rsid w:val="2B1524D6"/>
    <w:rsid w:val="2B16DBC0"/>
    <w:rsid w:val="2B22C5B6"/>
    <w:rsid w:val="2B29AFF9"/>
    <w:rsid w:val="2B2F7E67"/>
    <w:rsid w:val="2B40E3C0"/>
    <w:rsid w:val="2B44D0B8"/>
    <w:rsid w:val="2B4A6A1F"/>
    <w:rsid w:val="2B538DEE"/>
    <w:rsid w:val="2B56A15A"/>
    <w:rsid w:val="2B5C1E33"/>
    <w:rsid w:val="2B5CF84A"/>
    <w:rsid w:val="2B5ED0D8"/>
    <w:rsid w:val="2B5EF2C0"/>
    <w:rsid w:val="2B6E2258"/>
    <w:rsid w:val="2B6EAD36"/>
    <w:rsid w:val="2B6F0530"/>
    <w:rsid w:val="2B7C6E01"/>
    <w:rsid w:val="2B826614"/>
    <w:rsid w:val="2B83781B"/>
    <w:rsid w:val="2B90B69A"/>
    <w:rsid w:val="2B92C757"/>
    <w:rsid w:val="2B94498C"/>
    <w:rsid w:val="2B9BC43B"/>
    <w:rsid w:val="2BA56843"/>
    <w:rsid w:val="2BA64D87"/>
    <w:rsid w:val="2BA71C9B"/>
    <w:rsid w:val="2BABDE7F"/>
    <w:rsid w:val="2BAEC5DE"/>
    <w:rsid w:val="2BAF1BAF"/>
    <w:rsid w:val="2BB3FD39"/>
    <w:rsid w:val="2BB4972D"/>
    <w:rsid w:val="2BBFB3E7"/>
    <w:rsid w:val="2BC07246"/>
    <w:rsid w:val="2BE10000"/>
    <w:rsid w:val="2BE45AFB"/>
    <w:rsid w:val="2BEBDC4B"/>
    <w:rsid w:val="2BEF062A"/>
    <w:rsid w:val="2BF011EE"/>
    <w:rsid w:val="2BF089A2"/>
    <w:rsid w:val="2BF3C15A"/>
    <w:rsid w:val="2BF5125B"/>
    <w:rsid w:val="2BFCA228"/>
    <w:rsid w:val="2C097A31"/>
    <w:rsid w:val="2C0AED22"/>
    <w:rsid w:val="2C22B331"/>
    <w:rsid w:val="2C2546E8"/>
    <w:rsid w:val="2C2AD8E5"/>
    <w:rsid w:val="2C2F082A"/>
    <w:rsid w:val="2C312CE8"/>
    <w:rsid w:val="2C3413F5"/>
    <w:rsid w:val="2C3BEFF9"/>
    <w:rsid w:val="2C43E94C"/>
    <w:rsid w:val="2C47BDCB"/>
    <w:rsid w:val="2C4F5757"/>
    <w:rsid w:val="2C5401D4"/>
    <w:rsid w:val="2C5636F0"/>
    <w:rsid w:val="2C58CF82"/>
    <w:rsid w:val="2C5A1659"/>
    <w:rsid w:val="2C61A91B"/>
    <w:rsid w:val="2C638983"/>
    <w:rsid w:val="2C64C0CB"/>
    <w:rsid w:val="2C6C48AF"/>
    <w:rsid w:val="2C6CEAD5"/>
    <w:rsid w:val="2C7CC397"/>
    <w:rsid w:val="2C7FBB48"/>
    <w:rsid w:val="2C84ADC1"/>
    <w:rsid w:val="2C8E03B3"/>
    <w:rsid w:val="2C902135"/>
    <w:rsid w:val="2C973619"/>
    <w:rsid w:val="2C9A2D68"/>
    <w:rsid w:val="2C9E5837"/>
    <w:rsid w:val="2CA6D1A2"/>
    <w:rsid w:val="2CAC6CEE"/>
    <w:rsid w:val="2CB13F9E"/>
    <w:rsid w:val="2CB3E5A9"/>
    <w:rsid w:val="2CBD9F45"/>
    <w:rsid w:val="2CC3DDE9"/>
    <w:rsid w:val="2CC42437"/>
    <w:rsid w:val="2CC79F23"/>
    <w:rsid w:val="2CCDF8FC"/>
    <w:rsid w:val="2CD746E9"/>
    <w:rsid w:val="2CE46468"/>
    <w:rsid w:val="2CE6CBAF"/>
    <w:rsid w:val="2CF1553A"/>
    <w:rsid w:val="2CF3E293"/>
    <w:rsid w:val="2D03E63F"/>
    <w:rsid w:val="2D0B51C0"/>
    <w:rsid w:val="2D1D76EA"/>
    <w:rsid w:val="2D1DECF7"/>
    <w:rsid w:val="2D251EC3"/>
    <w:rsid w:val="2D4138A4"/>
    <w:rsid w:val="2D4B17C5"/>
    <w:rsid w:val="2D4DE985"/>
    <w:rsid w:val="2D597E93"/>
    <w:rsid w:val="2D5CEC5E"/>
    <w:rsid w:val="2D63DF78"/>
    <w:rsid w:val="2D669CA9"/>
    <w:rsid w:val="2D69EC9E"/>
    <w:rsid w:val="2D74815E"/>
    <w:rsid w:val="2D7CD061"/>
    <w:rsid w:val="2D872564"/>
    <w:rsid w:val="2D9A35DE"/>
    <w:rsid w:val="2D9E3E8F"/>
    <w:rsid w:val="2DB697BA"/>
    <w:rsid w:val="2DC33BF9"/>
    <w:rsid w:val="2DC5F5F1"/>
    <w:rsid w:val="2DD11924"/>
    <w:rsid w:val="2DD5C344"/>
    <w:rsid w:val="2DE0C671"/>
    <w:rsid w:val="2DE5592D"/>
    <w:rsid w:val="2DE6B9F3"/>
    <w:rsid w:val="2DEA7F00"/>
    <w:rsid w:val="2DFDB0C6"/>
    <w:rsid w:val="2E0F0F17"/>
    <w:rsid w:val="2E101BC6"/>
    <w:rsid w:val="2E1C42EE"/>
    <w:rsid w:val="2E2079AC"/>
    <w:rsid w:val="2E25543D"/>
    <w:rsid w:val="2E260469"/>
    <w:rsid w:val="2E284804"/>
    <w:rsid w:val="2E2D9B1E"/>
    <w:rsid w:val="2E34B406"/>
    <w:rsid w:val="2E357EC9"/>
    <w:rsid w:val="2E3632D1"/>
    <w:rsid w:val="2E3DA628"/>
    <w:rsid w:val="2E46CC43"/>
    <w:rsid w:val="2E477C43"/>
    <w:rsid w:val="2E4E86F0"/>
    <w:rsid w:val="2E6651EC"/>
    <w:rsid w:val="2E6B54AF"/>
    <w:rsid w:val="2E6C05C2"/>
    <w:rsid w:val="2E7DFE43"/>
    <w:rsid w:val="2E800724"/>
    <w:rsid w:val="2E88CD64"/>
    <w:rsid w:val="2E8EA4DF"/>
    <w:rsid w:val="2E8F9808"/>
    <w:rsid w:val="2E9C828B"/>
    <w:rsid w:val="2E9D2247"/>
    <w:rsid w:val="2EA34883"/>
    <w:rsid w:val="2EAADC54"/>
    <w:rsid w:val="2EABB9C8"/>
    <w:rsid w:val="2EAC1B82"/>
    <w:rsid w:val="2EBC33ED"/>
    <w:rsid w:val="2EBD98D3"/>
    <w:rsid w:val="2ED8D9CA"/>
    <w:rsid w:val="2ED8ECD1"/>
    <w:rsid w:val="2EDC8233"/>
    <w:rsid w:val="2EE9B83B"/>
    <w:rsid w:val="2EFBC241"/>
    <w:rsid w:val="2F0134E9"/>
    <w:rsid w:val="2F06BF8C"/>
    <w:rsid w:val="2F0765EB"/>
    <w:rsid w:val="2F140746"/>
    <w:rsid w:val="2F29A7FD"/>
    <w:rsid w:val="2F342DC4"/>
    <w:rsid w:val="2F445F3E"/>
    <w:rsid w:val="2F47A1FA"/>
    <w:rsid w:val="2F4B7234"/>
    <w:rsid w:val="2F5002CA"/>
    <w:rsid w:val="2F56F968"/>
    <w:rsid w:val="2F62BCE5"/>
    <w:rsid w:val="2F7919B1"/>
    <w:rsid w:val="2F7C7C45"/>
    <w:rsid w:val="2F89C90A"/>
    <w:rsid w:val="2F930DD5"/>
    <w:rsid w:val="2F93A92C"/>
    <w:rsid w:val="2F985DCA"/>
    <w:rsid w:val="2FA18E85"/>
    <w:rsid w:val="2FC0078F"/>
    <w:rsid w:val="2FC00B57"/>
    <w:rsid w:val="2FD08EBC"/>
    <w:rsid w:val="2FE8AABA"/>
    <w:rsid w:val="2FED0CDF"/>
    <w:rsid w:val="2FF2D627"/>
    <w:rsid w:val="300A24A9"/>
    <w:rsid w:val="3028F5FC"/>
    <w:rsid w:val="302E9AA8"/>
    <w:rsid w:val="303B07AD"/>
    <w:rsid w:val="303BE50A"/>
    <w:rsid w:val="303D519A"/>
    <w:rsid w:val="3048EB1E"/>
    <w:rsid w:val="3052D57D"/>
    <w:rsid w:val="3066B072"/>
    <w:rsid w:val="307E7E9B"/>
    <w:rsid w:val="307ED14A"/>
    <w:rsid w:val="30800A31"/>
    <w:rsid w:val="30848229"/>
    <w:rsid w:val="30875FFF"/>
    <w:rsid w:val="3095F9F5"/>
    <w:rsid w:val="309C3219"/>
    <w:rsid w:val="309D1B2E"/>
    <w:rsid w:val="30A74D53"/>
    <w:rsid w:val="30A78701"/>
    <w:rsid w:val="30B53BAB"/>
    <w:rsid w:val="30C69D54"/>
    <w:rsid w:val="30CE3BDB"/>
    <w:rsid w:val="30D1BCB6"/>
    <w:rsid w:val="30E35D84"/>
    <w:rsid w:val="30F83515"/>
    <w:rsid w:val="30FFE3A9"/>
    <w:rsid w:val="3100B9A4"/>
    <w:rsid w:val="310D2AE6"/>
    <w:rsid w:val="310FF32D"/>
    <w:rsid w:val="3132C392"/>
    <w:rsid w:val="3138A239"/>
    <w:rsid w:val="313D2778"/>
    <w:rsid w:val="313D34B4"/>
    <w:rsid w:val="314CB92F"/>
    <w:rsid w:val="314EFB40"/>
    <w:rsid w:val="316007F4"/>
    <w:rsid w:val="3164A58E"/>
    <w:rsid w:val="316C54C8"/>
    <w:rsid w:val="316EF61D"/>
    <w:rsid w:val="316F2253"/>
    <w:rsid w:val="3175E56E"/>
    <w:rsid w:val="318326D5"/>
    <w:rsid w:val="31839454"/>
    <w:rsid w:val="3183FED4"/>
    <w:rsid w:val="319444BA"/>
    <w:rsid w:val="31958DAF"/>
    <w:rsid w:val="31967E8D"/>
    <w:rsid w:val="319EE1F7"/>
    <w:rsid w:val="31A5E5B9"/>
    <w:rsid w:val="31BE32B5"/>
    <w:rsid w:val="31CB0535"/>
    <w:rsid w:val="31D35049"/>
    <w:rsid w:val="31DDF8DC"/>
    <w:rsid w:val="31DED92A"/>
    <w:rsid w:val="31F2125F"/>
    <w:rsid w:val="31F76DD4"/>
    <w:rsid w:val="32026425"/>
    <w:rsid w:val="32090015"/>
    <w:rsid w:val="320AE14B"/>
    <w:rsid w:val="320F79EE"/>
    <w:rsid w:val="3218602F"/>
    <w:rsid w:val="32186A6F"/>
    <w:rsid w:val="321D3424"/>
    <w:rsid w:val="321DF82E"/>
    <w:rsid w:val="321EE17A"/>
    <w:rsid w:val="32292F8C"/>
    <w:rsid w:val="322BDE82"/>
    <w:rsid w:val="3230EA6B"/>
    <w:rsid w:val="3231AC08"/>
    <w:rsid w:val="324313E5"/>
    <w:rsid w:val="32501F29"/>
    <w:rsid w:val="3253963E"/>
    <w:rsid w:val="3258401D"/>
    <w:rsid w:val="32587DFE"/>
    <w:rsid w:val="326407C7"/>
    <w:rsid w:val="32660116"/>
    <w:rsid w:val="3271E031"/>
    <w:rsid w:val="3274C151"/>
    <w:rsid w:val="3276FF32"/>
    <w:rsid w:val="32809653"/>
    <w:rsid w:val="329415F9"/>
    <w:rsid w:val="32ADE0D5"/>
    <w:rsid w:val="32B1E757"/>
    <w:rsid w:val="32B44D3C"/>
    <w:rsid w:val="32B654A9"/>
    <w:rsid w:val="32BFA533"/>
    <w:rsid w:val="32C550DD"/>
    <w:rsid w:val="32C86563"/>
    <w:rsid w:val="32D121E9"/>
    <w:rsid w:val="32D5C04B"/>
    <w:rsid w:val="32DE793A"/>
    <w:rsid w:val="32E75B69"/>
    <w:rsid w:val="32F01E58"/>
    <w:rsid w:val="32F6068A"/>
    <w:rsid w:val="32FBD855"/>
    <w:rsid w:val="32FF2205"/>
    <w:rsid w:val="33000F72"/>
    <w:rsid w:val="3301048A"/>
    <w:rsid w:val="33098F67"/>
    <w:rsid w:val="330BFFFF"/>
    <w:rsid w:val="3311933E"/>
    <w:rsid w:val="33211DDC"/>
    <w:rsid w:val="33315BD5"/>
    <w:rsid w:val="3333A4FC"/>
    <w:rsid w:val="3333CD8C"/>
    <w:rsid w:val="333C2F77"/>
    <w:rsid w:val="333D4197"/>
    <w:rsid w:val="33439374"/>
    <w:rsid w:val="335146D3"/>
    <w:rsid w:val="3353A5EC"/>
    <w:rsid w:val="335B104D"/>
    <w:rsid w:val="335B5527"/>
    <w:rsid w:val="3362FBEF"/>
    <w:rsid w:val="33639D07"/>
    <w:rsid w:val="336D157F"/>
    <w:rsid w:val="337DDD09"/>
    <w:rsid w:val="337E5D16"/>
    <w:rsid w:val="33940721"/>
    <w:rsid w:val="339BC87F"/>
    <w:rsid w:val="33A411E7"/>
    <w:rsid w:val="33A96D16"/>
    <w:rsid w:val="33BD2492"/>
    <w:rsid w:val="33C02DCE"/>
    <w:rsid w:val="33D3A694"/>
    <w:rsid w:val="33D3C265"/>
    <w:rsid w:val="33D3C837"/>
    <w:rsid w:val="33E2182A"/>
    <w:rsid w:val="33E73008"/>
    <w:rsid w:val="33EB7DE0"/>
    <w:rsid w:val="33EBDE4B"/>
    <w:rsid w:val="33EF71D9"/>
    <w:rsid w:val="33F39569"/>
    <w:rsid w:val="340083C4"/>
    <w:rsid w:val="3412466E"/>
    <w:rsid w:val="34282914"/>
    <w:rsid w:val="3434B968"/>
    <w:rsid w:val="34363C86"/>
    <w:rsid w:val="34378043"/>
    <w:rsid w:val="344025EB"/>
    <w:rsid w:val="344BC373"/>
    <w:rsid w:val="34581E7B"/>
    <w:rsid w:val="34588C88"/>
    <w:rsid w:val="3461BB9D"/>
    <w:rsid w:val="3462D151"/>
    <w:rsid w:val="346C5EAC"/>
    <w:rsid w:val="3476BDB0"/>
    <w:rsid w:val="347CEAEA"/>
    <w:rsid w:val="347D09C4"/>
    <w:rsid w:val="347EFA58"/>
    <w:rsid w:val="348B8472"/>
    <w:rsid w:val="348E5D0E"/>
    <w:rsid w:val="349316D3"/>
    <w:rsid w:val="349545ED"/>
    <w:rsid w:val="3497DCEF"/>
    <w:rsid w:val="34A05E53"/>
    <w:rsid w:val="34A22E44"/>
    <w:rsid w:val="34B67D46"/>
    <w:rsid w:val="34C484D6"/>
    <w:rsid w:val="34C6060B"/>
    <w:rsid w:val="34CBFB0A"/>
    <w:rsid w:val="34CCEB3C"/>
    <w:rsid w:val="34D9C8D3"/>
    <w:rsid w:val="34EF487B"/>
    <w:rsid w:val="34F89B48"/>
    <w:rsid w:val="34F8F525"/>
    <w:rsid w:val="3506D848"/>
    <w:rsid w:val="3507C76B"/>
    <w:rsid w:val="350D6F14"/>
    <w:rsid w:val="351EE973"/>
    <w:rsid w:val="35251732"/>
    <w:rsid w:val="35262698"/>
    <w:rsid w:val="3529E581"/>
    <w:rsid w:val="35399868"/>
    <w:rsid w:val="353BB9B6"/>
    <w:rsid w:val="353BED66"/>
    <w:rsid w:val="354A4767"/>
    <w:rsid w:val="354A67DA"/>
    <w:rsid w:val="355F7F4A"/>
    <w:rsid w:val="35625AE2"/>
    <w:rsid w:val="3567F373"/>
    <w:rsid w:val="3587B449"/>
    <w:rsid w:val="358FA8C6"/>
    <w:rsid w:val="359555B4"/>
    <w:rsid w:val="35A69885"/>
    <w:rsid w:val="35B194FE"/>
    <w:rsid w:val="35B21F37"/>
    <w:rsid w:val="35B9C769"/>
    <w:rsid w:val="35C3164F"/>
    <w:rsid w:val="35D8F33A"/>
    <w:rsid w:val="35E33940"/>
    <w:rsid w:val="35F13C2A"/>
    <w:rsid w:val="36003773"/>
    <w:rsid w:val="3612220A"/>
    <w:rsid w:val="36123376"/>
    <w:rsid w:val="3614AA0D"/>
    <w:rsid w:val="3616B960"/>
    <w:rsid w:val="36190AC0"/>
    <w:rsid w:val="361F4B50"/>
    <w:rsid w:val="361F96B8"/>
    <w:rsid w:val="3625500A"/>
    <w:rsid w:val="362B1E9A"/>
    <w:rsid w:val="3631164E"/>
    <w:rsid w:val="363E479A"/>
    <w:rsid w:val="364DCED7"/>
    <w:rsid w:val="3656C1CE"/>
    <w:rsid w:val="3657248E"/>
    <w:rsid w:val="3661134E"/>
    <w:rsid w:val="3667162B"/>
    <w:rsid w:val="36731143"/>
    <w:rsid w:val="3674E259"/>
    <w:rsid w:val="36946B8D"/>
    <w:rsid w:val="36991A0E"/>
    <w:rsid w:val="369C8321"/>
    <w:rsid w:val="369F977A"/>
    <w:rsid w:val="36A0364B"/>
    <w:rsid w:val="36A275A8"/>
    <w:rsid w:val="36A2A9CB"/>
    <w:rsid w:val="36AA02B8"/>
    <w:rsid w:val="36B0604A"/>
    <w:rsid w:val="36B34372"/>
    <w:rsid w:val="36B5A80F"/>
    <w:rsid w:val="36BA966F"/>
    <w:rsid w:val="36C393F4"/>
    <w:rsid w:val="36D02546"/>
    <w:rsid w:val="36D64AC9"/>
    <w:rsid w:val="36D6A412"/>
    <w:rsid w:val="36D89405"/>
    <w:rsid w:val="36D9F592"/>
    <w:rsid w:val="36DC7CA9"/>
    <w:rsid w:val="36DFF604"/>
    <w:rsid w:val="37099B47"/>
    <w:rsid w:val="370E0DB0"/>
    <w:rsid w:val="3713532C"/>
    <w:rsid w:val="37168508"/>
    <w:rsid w:val="371A2E47"/>
    <w:rsid w:val="372B93D1"/>
    <w:rsid w:val="37361418"/>
    <w:rsid w:val="373D405B"/>
    <w:rsid w:val="3769A2F9"/>
    <w:rsid w:val="376BB10B"/>
    <w:rsid w:val="376F682C"/>
    <w:rsid w:val="377342C7"/>
    <w:rsid w:val="377EE290"/>
    <w:rsid w:val="37861455"/>
    <w:rsid w:val="37942C41"/>
    <w:rsid w:val="379A2D6F"/>
    <w:rsid w:val="37A35DA7"/>
    <w:rsid w:val="37AE3EE2"/>
    <w:rsid w:val="37AE6589"/>
    <w:rsid w:val="37B6BC00"/>
    <w:rsid w:val="37D475AD"/>
    <w:rsid w:val="37D4D435"/>
    <w:rsid w:val="37D578A6"/>
    <w:rsid w:val="37DD4F49"/>
    <w:rsid w:val="37DD81E9"/>
    <w:rsid w:val="37DEF667"/>
    <w:rsid w:val="37E7966E"/>
    <w:rsid w:val="37F915B8"/>
    <w:rsid w:val="38069E61"/>
    <w:rsid w:val="380F7CB3"/>
    <w:rsid w:val="3818C6C9"/>
    <w:rsid w:val="38203D7B"/>
    <w:rsid w:val="382D437F"/>
    <w:rsid w:val="382DE21D"/>
    <w:rsid w:val="38304082"/>
    <w:rsid w:val="383098B2"/>
    <w:rsid w:val="38375AC9"/>
    <w:rsid w:val="384419C6"/>
    <w:rsid w:val="384CC8FE"/>
    <w:rsid w:val="38567C60"/>
    <w:rsid w:val="38579140"/>
    <w:rsid w:val="3862761F"/>
    <w:rsid w:val="3866871A"/>
    <w:rsid w:val="3871851B"/>
    <w:rsid w:val="38772F9D"/>
    <w:rsid w:val="3883D99C"/>
    <w:rsid w:val="3885E048"/>
    <w:rsid w:val="38871B28"/>
    <w:rsid w:val="388C84F3"/>
    <w:rsid w:val="38A49054"/>
    <w:rsid w:val="38AC5CCE"/>
    <w:rsid w:val="38BDE37C"/>
    <w:rsid w:val="38C1C645"/>
    <w:rsid w:val="38D46C2A"/>
    <w:rsid w:val="38D5A74A"/>
    <w:rsid w:val="38D755B2"/>
    <w:rsid w:val="38EA72F4"/>
    <w:rsid w:val="38EB24D7"/>
    <w:rsid w:val="39145D79"/>
    <w:rsid w:val="391C1FFF"/>
    <w:rsid w:val="391CFBBB"/>
    <w:rsid w:val="391D8329"/>
    <w:rsid w:val="391E5050"/>
    <w:rsid w:val="391FA894"/>
    <w:rsid w:val="3921F710"/>
    <w:rsid w:val="3924DF63"/>
    <w:rsid w:val="39279CB9"/>
    <w:rsid w:val="392D7D15"/>
    <w:rsid w:val="392E5114"/>
    <w:rsid w:val="393B5748"/>
    <w:rsid w:val="393D385E"/>
    <w:rsid w:val="393D972B"/>
    <w:rsid w:val="393E7AE7"/>
    <w:rsid w:val="3948A69D"/>
    <w:rsid w:val="3949C2CC"/>
    <w:rsid w:val="394B5DC3"/>
    <w:rsid w:val="394DBABE"/>
    <w:rsid w:val="395BD7F3"/>
    <w:rsid w:val="396487C3"/>
    <w:rsid w:val="3971A29B"/>
    <w:rsid w:val="39775F26"/>
    <w:rsid w:val="397F4BB1"/>
    <w:rsid w:val="3981FEA3"/>
    <w:rsid w:val="39872333"/>
    <w:rsid w:val="398A69D6"/>
    <w:rsid w:val="39931155"/>
    <w:rsid w:val="399E8F0D"/>
    <w:rsid w:val="399FEBBC"/>
    <w:rsid w:val="39A09714"/>
    <w:rsid w:val="39B8446F"/>
    <w:rsid w:val="39B96DE2"/>
    <w:rsid w:val="39BC2344"/>
    <w:rsid w:val="39BC3C00"/>
    <w:rsid w:val="39BD0829"/>
    <w:rsid w:val="39BD233D"/>
    <w:rsid w:val="39BE4377"/>
    <w:rsid w:val="39C270AE"/>
    <w:rsid w:val="39C32185"/>
    <w:rsid w:val="39D1DFAA"/>
    <w:rsid w:val="39D2C207"/>
    <w:rsid w:val="39D97EF2"/>
    <w:rsid w:val="39DA03A9"/>
    <w:rsid w:val="39E624E4"/>
    <w:rsid w:val="39E7E470"/>
    <w:rsid w:val="39F0ED4F"/>
    <w:rsid w:val="39FFCE38"/>
    <w:rsid w:val="3A00D68F"/>
    <w:rsid w:val="3A0D098B"/>
    <w:rsid w:val="3A0D889B"/>
    <w:rsid w:val="3A146E54"/>
    <w:rsid w:val="3A147677"/>
    <w:rsid w:val="3A17C64C"/>
    <w:rsid w:val="3A1DA62C"/>
    <w:rsid w:val="3A25E350"/>
    <w:rsid w:val="3A3A92BC"/>
    <w:rsid w:val="3A3F7DFD"/>
    <w:rsid w:val="3A4C692F"/>
    <w:rsid w:val="3A587EED"/>
    <w:rsid w:val="3A5AAB5B"/>
    <w:rsid w:val="3A5B4808"/>
    <w:rsid w:val="3A65BFE8"/>
    <w:rsid w:val="3A6ABC77"/>
    <w:rsid w:val="3A707530"/>
    <w:rsid w:val="3A727F0C"/>
    <w:rsid w:val="3A73B7E8"/>
    <w:rsid w:val="3A77B452"/>
    <w:rsid w:val="3A80E9DD"/>
    <w:rsid w:val="3A862FC1"/>
    <w:rsid w:val="3AA162F0"/>
    <w:rsid w:val="3AACE2E9"/>
    <w:rsid w:val="3AB38608"/>
    <w:rsid w:val="3AC0DCEE"/>
    <w:rsid w:val="3AC94D76"/>
    <w:rsid w:val="3ACB906F"/>
    <w:rsid w:val="3AD5170C"/>
    <w:rsid w:val="3AD85B73"/>
    <w:rsid w:val="3AE57A8A"/>
    <w:rsid w:val="3AE5A499"/>
    <w:rsid w:val="3AE7087D"/>
    <w:rsid w:val="3AEA9E69"/>
    <w:rsid w:val="3AF759E1"/>
    <w:rsid w:val="3B007DE6"/>
    <w:rsid w:val="3B19BB4C"/>
    <w:rsid w:val="3B30F51E"/>
    <w:rsid w:val="3B35AE6D"/>
    <w:rsid w:val="3B48537C"/>
    <w:rsid w:val="3B4D7CFA"/>
    <w:rsid w:val="3B4F276F"/>
    <w:rsid w:val="3B51EAAF"/>
    <w:rsid w:val="3B52343A"/>
    <w:rsid w:val="3B5AD917"/>
    <w:rsid w:val="3B66A046"/>
    <w:rsid w:val="3B6C0C9D"/>
    <w:rsid w:val="3B6C70D3"/>
    <w:rsid w:val="3B891839"/>
    <w:rsid w:val="3B8AFB4C"/>
    <w:rsid w:val="3B963735"/>
    <w:rsid w:val="3B9819E2"/>
    <w:rsid w:val="3BA41E74"/>
    <w:rsid w:val="3BA5938D"/>
    <w:rsid w:val="3BAC7154"/>
    <w:rsid w:val="3BAE10EC"/>
    <w:rsid w:val="3BBD6DB3"/>
    <w:rsid w:val="3BBEBBEA"/>
    <w:rsid w:val="3BC8CE82"/>
    <w:rsid w:val="3BD36F05"/>
    <w:rsid w:val="3BD46CD9"/>
    <w:rsid w:val="3BD9966D"/>
    <w:rsid w:val="3BE3C2F2"/>
    <w:rsid w:val="3BE88B80"/>
    <w:rsid w:val="3BEFF4CD"/>
    <w:rsid w:val="3BFF5ED3"/>
    <w:rsid w:val="3C09C5B5"/>
    <w:rsid w:val="3C0C1474"/>
    <w:rsid w:val="3C11D3FE"/>
    <w:rsid w:val="3C1B008C"/>
    <w:rsid w:val="3C1F1BEB"/>
    <w:rsid w:val="3C22EE12"/>
    <w:rsid w:val="3C244094"/>
    <w:rsid w:val="3C24B8C4"/>
    <w:rsid w:val="3C2ED9DD"/>
    <w:rsid w:val="3C314E4E"/>
    <w:rsid w:val="3C35BE53"/>
    <w:rsid w:val="3C3D3351"/>
    <w:rsid w:val="3C56981C"/>
    <w:rsid w:val="3C678EC9"/>
    <w:rsid w:val="3C6AB55E"/>
    <w:rsid w:val="3C8CB7DA"/>
    <w:rsid w:val="3C944493"/>
    <w:rsid w:val="3C975523"/>
    <w:rsid w:val="3CA057D2"/>
    <w:rsid w:val="3CA8081C"/>
    <w:rsid w:val="3CA9A4D1"/>
    <w:rsid w:val="3CA9F1B6"/>
    <w:rsid w:val="3CB81403"/>
    <w:rsid w:val="3CBC99DC"/>
    <w:rsid w:val="3CC153D5"/>
    <w:rsid w:val="3CC47B6D"/>
    <w:rsid w:val="3CCEB8F0"/>
    <w:rsid w:val="3CCFDA9F"/>
    <w:rsid w:val="3CD10A18"/>
    <w:rsid w:val="3CDDCE6A"/>
    <w:rsid w:val="3CE423DD"/>
    <w:rsid w:val="3CE540BF"/>
    <w:rsid w:val="3CF05A09"/>
    <w:rsid w:val="3CFE1AFD"/>
    <w:rsid w:val="3D03FC27"/>
    <w:rsid w:val="3D0901AA"/>
    <w:rsid w:val="3D105191"/>
    <w:rsid w:val="3D1392C4"/>
    <w:rsid w:val="3D248BDB"/>
    <w:rsid w:val="3D44AA4D"/>
    <w:rsid w:val="3D4577A4"/>
    <w:rsid w:val="3D5714DD"/>
    <w:rsid w:val="3D624795"/>
    <w:rsid w:val="3D625C0D"/>
    <w:rsid w:val="3D63FD16"/>
    <w:rsid w:val="3D7218B7"/>
    <w:rsid w:val="3D7E1225"/>
    <w:rsid w:val="3D823E21"/>
    <w:rsid w:val="3D825821"/>
    <w:rsid w:val="3D8DBDE1"/>
    <w:rsid w:val="3D8FDDF9"/>
    <w:rsid w:val="3D91433B"/>
    <w:rsid w:val="3D96D728"/>
    <w:rsid w:val="3D9ADCDC"/>
    <w:rsid w:val="3DA59616"/>
    <w:rsid w:val="3DB80618"/>
    <w:rsid w:val="3DBCED5D"/>
    <w:rsid w:val="3DBE738E"/>
    <w:rsid w:val="3DC72967"/>
    <w:rsid w:val="3DCF0B5A"/>
    <w:rsid w:val="3DD4FB60"/>
    <w:rsid w:val="3DDD9D15"/>
    <w:rsid w:val="3DDED025"/>
    <w:rsid w:val="3DEE4B25"/>
    <w:rsid w:val="3DF0B7D3"/>
    <w:rsid w:val="3DFC807E"/>
    <w:rsid w:val="3E0320A9"/>
    <w:rsid w:val="3E10E777"/>
    <w:rsid w:val="3E2D395B"/>
    <w:rsid w:val="3E327470"/>
    <w:rsid w:val="3E332584"/>
    <w:rsid w:val="3E4791EA"/>
    <w:rsid w:val="3E5897AF"/>
    <w:rsid w:val="3E58DA61"/>
    <w:rsid w:val="3E5FF3A2"/>
    <w:rsid w:val="3E6144EA"/>
    <w:rsid w:val="3E63DAC2"/>
    <w:rsid w:val="3E67FE52"/>
    <w:rsid w:val="3E7E56F6"/>
    <w:rsid w:val="3E8915AE"/>
    <w:rsid w:val="3E9011C8"/>
    <w:rsid w:val="3E9C7DDC"/>
    <w:rsid w:val="3EA1BAEA"/>
    <w:rsid w:val="3EA81BFA"/>
    <w:rsid w:val="3EAB5811"/>
    <w:rsid w:val="3EB3B943"/>
    <w:rsid w:val="3EBD078F"/>
    <w:rsid w:val="3EBE182B"/>
    <w:rsid w:val="3EC27AFC"/>
    <w:rsid w:val="3ED4236C"/>
    <w:rsid w:val="3EDBC9A4"/>
    <w:rsid w:val="3EDDE5B3"/>
    <w:rsid w:val="3EE23A58"/>
    <w:rsid w:val="3EE4CE3A"/>
    <w:rsid w:val="3EE5F8FE"/>
    <w:rsid w:val="3EEE6F26"/>
    <w:rsid w:val="3F08C2BB"/>
    <w:rsid w:val="3F1403F5"/>
    <w:rsid w:val="3F202C42"/>
    <w:rsid w:val="3F32C0E1"/>
    <w:rsid w:val="3F37756B"/>
    <w:rsid w:val="3F43E653"/>
    <w:rsid w:val="3F447591"/>
    <w:rsid w:val="3F5381C2"/>
    <w:rsid w:val="3F58BDBE"/>
    <w:rsid w:val="3F5B94DB"/>
    <w:rsid w:val="3F5F2A0F"/>
    <w:rsid w:val="3F5FC042"/>
    <w:rsid w:val="3F71E61B"/>
    <w:rsid w:val="3F96D8D7"/>
    <w:rsid w:val="3F977DCB"/>
    <w:rsid w:val="3F9B1BF7"/>
    <w:rsid w:val="3FA2F17B"/>
    <w:rsid w:val="3FAEEC30"/>
    <w:rsid w:val="3FBC44FD"/>
    <w:rsid w:val="3FC035AB"/>
    <w:rsid w:val="3FC8A379"/>
    <w:rsid w:val="3FD81120"/>
    <w:rsid w:val="3FDBD2F7"/>
    <w:rsid w:val="3FDD2BCD"/>
    <w:rsid w:val="3FE23219"/>
    <w:rsid w:val="3FE46803"/>
    <w:rsid w:val="3FF278C8"/>
    <w:rsid w:val="3FF44E50"/>
    <w:rsid w:val="400033E0"/>
    <w:rsid w:val="4008ACE7"/>
    <w:rsid w:val="401591F9"/>
    <w:rsid w:val="401A7CA0"/>
    <w:rsid w:val="4021D68D"/>
    <w:rsid w:val="4025014A"/>
    <w:rsid w:val="402AC381"/>
    <w:rsid w:val="402E9E44"/>
    <w:rsid w:val="402EFADB"/>
    <w:rsid w:val="403274D6"/>
    <w:rsid w:val="4036464C"/>
    <w:rsid w:val="403892F1"/>
    <w:rsid w:val="403B45DA"/>
    <w:rsid w:val="403F74E3"/>
    <w:rsid w:val="4053CF5F"/>
    <w:rsid w:val="405D8B41"/>
    <w:rsid w:val="405E1364"/>
    <w:rsid w:val="4067F436"/>
    <w:rsid w:val="4068B512"/>
    <w:rsid w:val="4069E9B5"/>
    <w:rsid w:val="4070A481"/>
    <w:rsid w:val="407C4B0F"/>
    <w:rsid w:val="40897E47"/>
    <w:rsid w:val="408FBED2"/>
    <w:rsid w:val="40980C17"/>
    <w:rsid w:val="409A02FD"/>
    <w:rsid w:val="409ABAF9"/>
    <w:rsid w:val="409B38D8"/>
    <w:rsid w:val="40AFD456"/>
    <w:rsid w:val="40B8E913"/>
    <w:rsid w:val="40BBB2F4"/>
    <w:rsid w:val="40BE4687"/>
    <w:rsid w:val="40C1FA0C"/>
    <w:rsid w:val="40C70DBB"/>
    <w:rsid w:val="40CD11E2"/>
    <w:rsid w:val="40CE3A2B"/>
    <w:rsid w:val="40DC3A43"/>
    <w:rsid w:val="40E7522A"/>
    <w:rsid w:val="40F07CC4"/>
    <w:rsid w:val="40F5C707"/>
    <w:rsid w:val="40F85F4E"/>
    <w:rsid w:val="41032106"/>
    <w:rsid w:val="4123DE07"/>
    <w:rsid w:val="4138B76E"/>
    <w:rsid w:val="414023C8"/>
    <w:rsid w:val="41459676"/>
    <w:rsid w:val="414B7552"/>
    <w:rsid w:val="415669DD"/>
    <w:rsid w:val="4158155E"/>
    <w:rsid w:val="415B4952"/>
    <w:rsid w:val="415FCF4A"/>
    <w:rsid w:val="41628E1E"/>
    <w:rsid w:val="4164DA1D"/>
    <w:rsid w:val="4180B732"/>
    <w:rsid w:val="41856604"/>
    <w:rsid w:val="4188DC50"/>
    <w:rsid w:val="418A706D"/>
    <w:rsid w:val="4194938C"/>
    <w:rsid w:val="4194D008"/>
    <w:rsid w:val="4199F2F2"/>
    <w:rsid w:val="41A784CA"/>
    <w:rsid w:val="41A8BF41"/>
    <w:rsid w:val="41AD1834"/>
    <w:rsid w:val="41AFF0B1"/>
    <w:rsid w:val="41BDBB23"/>
    <w:rsid w:val="41C65679"/>
    <w:rsid w:val="41D0EC79"/>
    <w:rsid w:val="41D5E6F0"/>
    <w:rsid w:val="41D6B52B"/>
    <w:rsid w:val="41E9D2DE"/>
    <w:rsid w:val="41EA7A2E"/>
    <w:rsid w:val="41F0B6DA"/>
    <w:rsid w:val="41F21ED0"/>
    <w:rsid w:val="41F29B75"/>
    <w:rsid w:val="420A39F6"/>
    <w:rsid w:val="42159C75"/>
    <w:rsid w:val="421E45DC"/>
    <w:rsid w:val="42232772"/>
    <w:rsid w:val="422855E0"/>
    <w:rsid w:val="422DAFBE"/>
    <w:rsid w:val="4235D35E"/>
    <w:rsid w:val="4238F92E"/>
    <w:rsid w:val="423F5356"/>
    <w:rsid w:val="42408FAC"/>
    <w:rsid w:val="42423D01"/>
    <w:rsid w:val="4246FB61"/>
    <w:rsid w:val="424E0BDD"/>
    <w:rsid w:val="4254B974"/>
    <w:rsid w:val="4254C075"/>
    <w:rsid w:val="425E1600"/>
    <w:rsid w:val="425F6886"/>
    <w:rsid w:val="42789253"/>
    <w:rsid w:val="427A8A00"/>
    <w:rsid w:val="427E6DF6"/>
    <w:rsid w:val="42882010"/>
    <w:rsid w:val="4288EB32"/>
    <w:rsid w:val="428AFDAE"/>
    <w:rsid w:val="428E00B6"/>
    <w:rsid w:val="428FA9C8"/>
    <w:rsid w:val="428FE98B"/>
    <w:rsid w:val="42A7AEC0"/>
    <w:rsid w:val="42AA53C2"/>
    <w:rsid w:val="42AB42C4"/>
    <w:rsid w:val="42AF82E7"/>
    <w:rsid w:val="42B08171"/>
    <w:rsid w:val="42B3952E"/>
    <w:rsid w:val="42BA0154"/>
    <w:rsid w:val="42BF2E57"/>
    <w:rsid w:val="42CDAE0E"/>
    <w:rsid w:val="42CDE221"/>
    <w:rsid w:val="42CEEA83"/>
    <w:rsid w:val="42D32266"/>
    <w:rsid w:val="42D4246B"/>
    <w:rsid w:val="42DADF3D"/>
    <w:rsid w:val="42DC09D7"/>
    <w:rsid w:val="42EDAD4E"/>
    <w:rsid w:val="42EEF0A2"/>
    <w:rsid w:val="42F49D04"/>
    <w:rsid w:val="42F8A404"/>
    <w:rsid w:val="4316F0CA"/>
    <w:rsid w:val="43270B5E"/>
    <w:rsid w:val="432FCB5B"/>
    <w:rsid w:val="433BC74D"/>
    <w:rsid w:val="433D30F4"/>
    <w:rsid w:val="434DD734"/>
    <w:rsid w:val="434E266B"/>
    <w:rsid w:val="435D0FAD"/>
    <w:rsid w:val="43653849"/>
    <w:rsid w:val="438B1C07"/>
    <w:rsid w:val="438D82C1"/>
    <w:rsid w:val="43931AA9"/>
    <w:rsid w:val="43A0902C"/>
    <w:rsid w:val="43A44ED2"/>
    <w:rsid w:val="43A5CAD0"/>
    <w:rsid w:val="43AE2397"/>
    <w:rsid w:val="43B39654"/>
    <w:rsid w:val="43B717D3"/>
    <w:rsid w:val="43B7227C"/>
    <w:rsid w:val="43BF0CB5"/>
    <w:rsid w:val="43C2DC80"/>
    <w:rsid w:val="43C39B1E"/>
    <w:rsid w:val="43C988A9"/>
    <w:rsid w:val="43CF379A"/>
    <w:rsid w:val="43D8CA5B"/>
    <w:rsid w:val="43DC88F6"/>
    <w:rsid w:val="43DE3B3F"/>
    <w:rsid w:val="43DE6B27"/>
    <w:rsid w:val="43E5A799"/>
    <w:rsid w:val="43EBB851"/>
    <w:rsid w:val="43ECF368"/>
    <w:rsid w:val="43F3DDA3"/>
    <w:rsid w:val="43FCBB28"/>
    <w:rsid w:val="44062582"/>
    <w:rsid w:val="4408714A"/>
    <w:rsid w:val="440A00DA"/>
    <w:rsid w:val="4410D3A3"/>
    <w:rsid w:val="4416A199"/>
    <w:rsid w:val="441940BB"/>
    <w:rsid w:val="4419D9B0"/>
    <w:rsid w:val="442DFFF7"/>
    <w:rsid w:val="44630168"/>
    <w:rsid w:val="44674D37"/>
    <w:rsid w:val="446941AB"/>
    <w:rsid w:val="4477C62B"/>
    <w:rsid w:val="447E692A"/>
    <w:rsid w:val="44820D8B"/>
    <w:rsid w:val="4497FBDD"/>
    <w:rsid w:val="449E5355"/>
    <w:rsid w:val="44A46865"/>
    <w:rsid w:val="44A7602C"/>
    <w:rsid w:val="44A961E2"/>
    <w:rsid w:val="44AC747A"/>
    <w:rsid w:val="44B3573D"/>
    <w:rsid w:val="44BC8A49"/>
    <w:rsid w:val="44E4BDCB"/>
    <w:rsid w:val="44F4C46D"/>
    <w:rsid w:val="4504ACAF"/>
    <w:rsid w:val="4506E86E"/>
    <w:rsid w:val="4512A7D0"/>
    <w:rsid w:val="45136361"/>
    <w:rsid w:val="451C0668"/>
    <w:rsid w:val="452A7E1E"/>
    <w:rsid w:val="452C71FC"/>
    <w:rsid w:val="4541A632"/>
    <w:rsid w:val="454C92EC"/>
    <w:rsid w:val="4554F424"/>
    <w:rsid w:val="45626DA3"/>
    <w:rsid w:val="4569A6AE"/>
    <w:rsid w:val="456D4000"/>
    <w:rsid w:val="456EE5CF"/>
    <w:rsid w:val="45702B23"/>
    <w:rsid w:val="45717B37"/>
    <w:rsid w:val="45764569"/>
    <w:rsid w:val="45773EE7"/>
    <w:rsid w:val="4577593C"/>
    <w:rsid w:val="4578B985"/>
    <w:rsid w:val="457F01B3"/>
    <w:rsid w:val="458AF8E7"/>
    <w:rsid w:val="458FA148"/>
    <w:rsid w:val="4591AC50"/>
    <w:rsid w:val="45B43320"/>
    <w:rsid w:val="45B5B9EB"/>
    <w:rsid w:val="45B92FDC"/>
    <w:rsid w:val="45BBC0C5"/>
    <w:rsid w:val="45BCA3DC"/>
    <w:rsid w:val="45CBFE8B"/>
    <w:rsid w:val="45E1877B"/>
    <w:rsid w:val="45E7DD40"/>
    <w:rsid w:val="45F484DB"/>
    <w:rsid w:val="4603BC2D"/>
    <w:rsid w:val="460AC328"/>
    <w:rsid w:val="4618EC5F"/>
    <w:rsid w:val="461EA5A2"/>
    <w:rsid w:val="4625C2BE"/>
    <w:rsid w:val="462D87D4"/>
    <w:rsid w:val="465209F2"/>
    <w:rsid w:val="4662A8C2"/>
    <w:rsid w:val="4663A286"/>
    <w:rsid w:val="46640E89"/>
    <w:rsid w:val="4664A23C"/>
    <w:rsid w:val="46711324"/>
    <w:rsid w:val="467DEBB5"/>
    <w:rsid w:val="467F4B45"/>
    <w:rsid w:val="46808E2C"/>
    <w:rsid w:val="4688BE43"/>
    <w:rsid w:val="468B9192"/>
    <w:rsid w:val="468FAC7C"/>
    <w:rsid w:val="46912C46"/>
    <w:rsid w:val="4693BBB0"/>
    <w:rsid w:val="46A4EFB9"/>
    <w:rsid w:val="46AD71A0"/>
    <w:rsid w:val="46AFABF3"/>
    <w:rsid w:val="46B88CF0"/>
    <w:rsid w:val="46BD1C8F"/>
    <w:rsid w:val="46CE3595"/>
    <w:rsid w:val="46F57105"/>
    <w:rsid w:val="46F844FB"/>
    <w:rsid w:val="46FB3BE0"/>
    <w:rsid w:val="46FEF65C"/>
    <w:rsid w:val="470156FB"/>
    <w:rsid w:val="470372B6"/>
    <w:rsid w:val="47062117"/>
    <w:rsid w:val="470AB630"/>
    <w:rsid w:val="4719D0FD"/>
    <w:rsid w:val="4725B430"/>
    <w:rsid w:val="47271499"/>
    <w:rsid w:val="472F05FA"/>
    <w:rsid w:val="4739048A"/>
    <w:rsid w:val="4741131B"/>
    <w:rsid w:val="474D0CC3"/>
    <w:rsid w:val="474EF838"/>
    <w:rsid w:val="47607A1C"/>
    <w:rsid w:val="4765A0B9"/>
    <w:rsid w:val="47699B1D"/>
    <w:rsid w:val="476F0485"/>
    <w:rsid w:val="4772B7BD"/>
    <w:rsid w:val="477BED80"/>
    <w:rsid w:val="4786051A"/>
    <w:rsid w:val="478621D7"/>
    <w:rsid w:val="478D3255"/>
    <w:rsid w:val="47949679"/>
    <w:rsid w:val="4795F017"/>
    <w:rsid w:val="479AA22A"/>
    <w:rsid w:val="479DDE4A"/>
    <w:rsid w:val="47A3E625"/>
    <w:rsid w:val="47AADFEC"/>
    <w:rsid w:val="47ACF909"/>
    <w:rsid w:val="47AEB7E2"/>
    <w:rsid w:val="47B2ECCA"/>
    <w:rsid w:val="47B3E449"/>
    <w:rsid w:val="47B4247F"/>
    <w:rsid w:val="47B53FA3"/>
    <w:rsid w:val="47B685E7"/>
    <w:rsid w:val="47BAD9E1"/>
    <w:rsid w:val="47BC4BA6"/>
    <w:rsid w:val="47BEEE1D"/>
    <w:rsid w:val="47C08226"/>
    <w:rsid w:val="47C2F4B7"/>
    <w:rsid w:val="47CDB9DF"/>
    <w:rsid w:val="47CF2A46"/>
    <w:rsid w:val="47D428AE"/>
    <w:rsid w:val="47F1DEEA"/>
    <w:rsid w:val="47F909F4"/>
    <w:rsid w:val="480F6722"/>
    <w:rsid w:val="4810D585"/>
    <w:rsid w:val="481DD8B1"/>
    <w:rsid w:val="481E2BAD"/>
    <w:rsid w:val="482A0A18"/>
    <w:rsid w:val="483E9676"/>
    <w:rsid w:val="4855BC0C"/>
    <w:rsid w:val="4867320D"/>
    <w:rsid w:val="4872DFDB"/>
    <w:rsid w:val="4876E4AD"/>
    <w:rsid w:val="487D2A46"/>
    <w:rsid w:val="487D8987"/>
    <w:rsid w:val="48843DEE"/>
    <w:rsid w:val="48885871"/>
    <w:rsid w:val="4888D293"/>
    <w:rsid w:val="488C94E6"/>
    <w:rsid w:val="4893056D"/>
    <w:rsid w:val="48935E5C"/>
    <w:rsid w:val="489869CF"/>
    <w:rsid w:val="489C75EB"/>
    <w:rsid w:val="48A311D7"/>
    <w:rsid w:val="48A90334"/>
    <w:rsid w:val="48B3A432"/>
    <w:rsid w:val="48BE4414"/>
    <w:rsid w:val="48C95367"/>
    <w:rsid w:val="48CB7990"/>
    <w:rsid w:val="48D95F75"/>
    <w:rsid w:val="48E38C4E"/>
    <w:rsid w:val="48E6B6DA"/>
    <w:rsid w:val="48EAC899"/>
    <w:rsid w:val="48F3DBDA"/>
    <w:rsid w:val="48F87C9A"/>
    <w:rsid w:val="48FB8EA9"/>
    <w:rsid w:val="48FFA004"/>
    <w:rsid w:val="49097809"/>
    <w:rsid w:val="491599B4"/>
    <w:rsid w:val="491F84AA"/>
    <w:rsid w:val="49204D5B"/>
    <w:rsid w:val="492503AA"/>
    <w:rsid w:val="49277128"/>
    <w:rsid w:val="492A33EA"/>
    <w:rsid w:val="49315A7C"/>
    <w:rsid w:val="4935B843"/>
    <w:rsid w:val="4937C07F"/>
    <w:rsid w:val="4952B983"/>
    <w:rsid w:val="496EC8A5"/>
    <w:rsid w:val="497BED3E"/>
    <w:rsid w:val="49827022"/>
    <w:rsid w:val="4984810D"/>
    <w:rsid w:val="49873142"/>
    <w:rsid w:val="499EB76A"/>
    <w:rsid w:val="49B01F0D"/>
    <w:rsid w:val="49B21F36"/>
    <w:rsid w:val="49C69549"/>
    <w:rsid w:val="49CDDA42"/>
    <w:rsid w:val="49D13BDE"/>
    <w:rsid w:val="49DF5F5E"/>
    <w:rsid w:val="49E1EC8C"/>
    <w:rsid w:val="49EF39F5"/>
    <w:rsid w:val="49F6C27C"/>
    <w:rsid w:val="49FEB81F"/>
    <w:rsid w:val="4A0150FD"/>
    <w:rsid w:val="4A15D1D5"/>
    <w:rsid w:val="4A1BEC82"/>
    <w:rsid w:val="4A21A1CB"/>
    <w:rsid w:val="4A288FF7"/>
    <w:rsid w:val="4A2908EC"/>
    <w:rsid w:val="4A3121CD"/>
    <w:rsid w:val="4A49A4B0"/>
    <w:rsid w:val="4A4E4505"/>
    <w:rsid w:val="4A4F1430"/>
    <w:rsid w:val="4A50400D"/>
    <w:rsid w:val="4A544BB4"/>
    <w:rsid w:val="4A55A7BD"/>
    <w:rsid w:val="4A599F7A"/>
    <w:rsid w:val="4A5B5939"/>
    <w:rsid w:val="4A5FD25A"/>
    <w:rsid w:val="4A658969"/>
    <w:rsid w:val="4A681A6B"/>
    <w:rsid w:val="4A72B364"/>
    <w:rsid w:val="4A7A3BF4"/>
    <w:rsid w:val="4A9B332A"/>
    <w:rsid w:val="4A9C016F"/>
    <w:rsid w:val="4A9D0822"/>
    <w:rsid w:val="4AA160AE"/>
    <w:rsid w:val="4AA32BB7"/>
    <w:rsid w:val="4AA3435D"/>
    <w:rsid w:val="4AA57731"/>
    <w:rsid w:val="4AB03252"/>
    <w:rsid w:val="4AB6CE7F"/>
    <w:rsid w:val="4ABB4E93"/>
    <w:rsid w:val="4AC0B8B8"/>
    <w:rsid w:val="4ACD2D3E"/>
    <w:rsid w:val="4AE5E321"/>
    <w:rsid w:val="4AE76FDE"/>
    <w:rsid w:val="4AEA8162"/>
    <w:rsid w:val="4AEBCBD2"/>
    <w:rsid w:val="4AED8933"/>
    <w:rsid w:val="4AF9B180"/>
    <w:rsid w:val="4B01C480"/>
    <w:rsid w:val="4B021B0E"/>
    <w:rsid w:val="4B02884E"/>
    <w:rsid w:val="4B02FEBD"/>
    <w:rsid w:val="4B03AFB0"/>
    <w:rsid w:val="4B122D1B"/>
    <w:rsid w:val="4B212C95"/>
    <w:rsid w:val="4B276B17"/>
    <w:rsid w:val="4B27DD82"/>
    <w:rsid w:val="4B35DD2F"/>
    <w:rsid w:val="4B3AD6F2"/>
    <w:rsid w:val="4B3CAC45"/>
    <w:rsid w:val="4B3ECDBC"/>
    <w:rsid w:val="4B444E54"/>
    <w:rsid w:val="4B4AD990"/>
    <w:rsid w:val="4B4E99A8"/>
    <w:rsid w:val="4B6CCF3C"/>
    <w:rsid w:val="4B708396"/>
    <w:rsid w:val="4B71EF7B"/>
    <w:rsid w:val="4B790A03"/>
    <w:rsid w:val="4B7E0D17"/>
    <w:rsid w:val="4B8F0EAC"/>
    <w:rsid w:val="4BA286D6"/>
    <w:rsid w:val="4BAA809D"/>
    <w:rsid w:val="4BAAE150"/>
    <w:rsid w:val="4BAC32B7"/>
    <w:rsid w:val="4BAD8B13"/>
    <w:rsid w:val="4BB2A674"/>
    <w:rsid w:val="4BB9CE35"/>
    <w:rsid w:val="4BC8D281"/>
    <w:rsid w:val="4BD01A7A"/>
    <w:rsid w:val="4BD15917"/>
    <w:rsid w:val="4BD21845"/>
    <w:rsid w:val="4BD24159"/>
    <w:rsid w:val="4BE1A179"/>
    <w:rsid w:val="4BE5030D"/>
    <w:rsid w:val="4BED80BB"/>
    <w:rsid w:val="4BF545D1"/>
    <w:rsid w:val="4BF5ACFF"/>
    <w:rsid w:val="4BFFB95A"/>
    <w:rsid w:val="4C065133"/>
    <w:rsid w:val="4C096A00"/>
    <w:rsid w:val="4C0EC86A"/>
    <w:rsid w:val="4C11356B"/>
    <w:rsid w:val="4C146995"/>
    <w:rsid w:val="4C167D2A"/>
    <w:rsid w:val="4C1F0722"/>
    <w:rsid w:val="4C24EFB3"/>
    <w:rsid w:val="4C3579C4"/>
    <w:rsid w:val="4C3740C6"/>
    <w:rsid w:val="4C38166D"/>
    <w:rsid w:val="4C3823EC"/>
    <w:rsid w:val="4C3B472A"/>
    <w:rsid w:val="4C40B018"/>
    <w:rsid w:val="4C4360AA"/>
    <w:rsid w:val="4C47D6BF"/>
    <w:rsid w:val="4C4C0992"/>
    <w:rsid w:val="4C54FB15"/>
    <w:rsid w:val="4C639759"/>
    <w:rsid w:val="4C653445"/>
    <w:rsid w:val="4C6BC0A1"/>
    <w:rsid w:val="4C7131E8"/>
    <w:rsid w:val="4C718143"/>
    <w:rsid w:val="4C7600D3"/>
    <w:rsid w:val="4C8470F9"/>
    <w:rsid w:val="4C851716"/>
    <w:rsid w:val="4C9E5E02"/>
    <w:rsid w:val="4CACF819"/>
    <w:rsid w:val="4CB8CF9F"/>
    <w:rsid w:val="4CC2E37C"/>
    <w:rsid w:val="4CCEC993"/>
    <w:rsid w:val="4CD16ED5"/>
    <w:rsid w:val="4CEB3B60"/>
    <w:rsid w:val="4CF396FE"/>
    <w:rsid w:val="4CF3BA37"/>
    <w:rsid w:val="4CFA439B"/>
    <w:rsid w:val="4CFA662B"/>
    <w:rsid w:val="4D15BBCA"/>
    <w:rsid w:val="4D15E661"/>
    <w:rsid w:val="4D1A016F"/>
    <w:rsid w:val="4D218B5B"/>
    <w:rsid w:val="4D38A9A4"/>
    <w:rsid w:val="4D42CDEC"/>
    <w:rsid w:val="4D431213"/>
    <w:rsid w:val="4D487FA6"/>
    <w:rsid w:val="4D4F4001"/>
    <w:rsid w:val="4D5CBF2B"/>
    <w:rsid w:val="4D5F55B4"/>
    <w:rsid w:val="4D728754"/>
    <w:rsid w:val="4D7A3170"/>
    <w:rsid w:val="4D83FFD0"/>
    <w:rsid w:val="4D90A94D"/>
    <w:rsid w:val="4D9378FB"/>
    <w:rsid w:val="4D975ED0"/>
    <w:rsid w:val="4DA5A232"/>
    <w:rsid w:val="4DAD5D0E"/>
    <w:rsid w:val="4DB09B79"/>
    <w:rsid w:val="4DB15801"/>
    <w:rsid w:val="4DB39F1A"/>
    <w:rsid w:val="4DB69220"/>
    <w:rsid w:val="4DC4CB3E"/>
    <w:rsid w:val="4DC62742"/>
    <w:rsid w:val="4DCA6A46"/>
    <w:rsid w:val="4DCD0465"/>
    <w:rsid w:val="4DCDD52B"/>
    <w:rsid w:val="4DCE814D"/>
    <w:rsid w:val="4DD3DDBC"/>
    <w:rsid w:val="4DD90170"/>
    <w:rsid w:val="4DE428F4"/>
    <w:rsid w:val="4DEDB697"/>
    <w:rsid w:val="4DF51C2E"/>
    <w:rsid w:val="4E003776"/>
    <w:rsid w:val="4E11D134"/>
    <w:rsid w:val="4E1E7CE1"/>
    <w:rsid w:val="4E1FB069"/>
    <w:rsid w:val="4E2D6CCE"/>
    <w:rsid w:val="4E371BCB"/>
    <w:rsid w:val="4E3B56AB"/>
    <w:rsid w:val="4E3E85EC"/>
    <w:rsid w:val="4E4328A6"/>
    <w:rsid w:val="4E4558F0"/>
    <w:rsid w:val="4E455CD9"/>
    <w:rsid w:val="4E4B8EC0"/>
    <w:rsid w:val="4E4D9E31"/>
    <w:rsid w:val="4E5890A7"/>
    <w:rsid w:val="4E5902B9"/>
    <w:rsid w:val="4E59EAF0"/>
    <w:rsid w:val="4E5F9B8A"/>
    <w:rsid w:val="4E6AC1E5"/>
    <w:rsid w:val="4E6C2AD9"/>
    <w:rsid w:val="4E744B0F"/>
    <w:rsid w:val="4E76C6EA"/>
    <w:rsid w:val="4E771FB8"/>
    <w:rsid w:val="4E77F8FB"/>
    <w:rsid w:val="4E7A653A"/>
    <w:rsid w:val="4E818D1A"/>
    <w:rsid w:val="4E896525"/>
    <w:rsid w:val="4E9168C8"/>
    <w:rsid w:val="4E968B6B"/>
    <w:rsid w:val="4EA24FA7"/>
    <w:rsid w:val="4EADABBD"/>
    <w:rsid w:val="4EC06412"/>
    <w:rsid w:val="4EC6296E"/>
    <w:rsid w:val="4EC77A8A"/>
    <w:rsid w:val="4ECF20E9"/>
    <w:rsid w:val="4EE3D817"/>
    <w:rsid w:val="4EE3EC03"/>
    <w:rsid w:val="4EEDCC54"/>
    <w:rsid w:val="4F0235D1"/>
    <w:rsid w:val="4F036F93"/>
    <w:rsid w:val="4F0EF5CE"/>
    <w:rsid w:val="4F12E2CC"/>
    <w:rsid w:val="4F18ECE8"/>
    <w:rsid w:val="4F1CA4D0"/>
    <w:rsid w:val="4F3978C2"/>
    <w:rsid w:val="4F39E91A"/>
    <w:rsid w:val="4F3C4F1F"/>
    <w:rsid w:val="4F3FB7AD"/>
    <w:rsid w:val="4F4677E6"/>
    <w:rsid w:val="4F46B7C8"/>
    <w:rsid w:val="4F50B8D9"/>
    <w:rsid w:val="4F53403C"/>
    <w:rsid w:val="4F54D1A2"/>
    <w:rsid w:val="4F55B891"/>
    <w:rsid w:val="4F56D920"/>
    <w:rsid w:val="4F5BD69D"/>
    <w:rsid w:val="4F5EA076"/>
    <w:rsid w:val="4F5F77C7"/>
    <w:rsid w:val="4F6185B3"/>
    <w:rsid w:val="4F697CBF"/>
    <w:rsid w:val="4F72E3A2"/>
    <w:rsid w:val="4F839262"/>
    <w:rsid w:val="4F8FDA64"/>
    <w:rsid w:val="4F986C41"/>
    <w:rsid w:val="4F9CA0E9"/>
    <w:rsid w:val="4FAAE4DB"/>
    <w:rsid w:val="4FC0DBBD"/>
    <w:rsid w:val="4FC803E1"/>
    <w:rsid w:val="4FC8AD1E"/>
    <w:rsid w:val="4FD427A8"/>
    <w:rsid w:val="4FEE90DD"/>
    <w:rsid w:val="4FF74002"/>
    <w:rsid w:val="4FF870F4"/>
    <w:rsid w:val="50275587"/>
    <w:rsid w:val="503748BF"/>
    <w:rsid w:val="5037F701"/>
    <w:rsid w:val="50412A2C"/>
    <w:rsid w:val="50432C6C"/>
    <w:rsid w:val="5056F0D4"/>
    <w:rsid w:val="505C61AC"/>
    <w:rsid w:val="5066F509"/>
    <w:rsid w:val="50676E6A"/>
    <w:rsid w:val="506E0EB5"/>
    <w:rsid w:val="506F2467"/>
    <w:rsid w:val="50790951"/>
    <w:rsid w:val="508109CC"/>
    <w:rsid w:val="5088277A"/>
    <w:rsid w:val="508BC51C"/>
    <w:rsid w:val="5093FCD7"/>
    <w:rsid w:val="50982FCE"/>
    <w:rsid w:val="50A0C7E6"/>
    <w:rsid w:val="50B1C79A"/>
    <w:rsid w:val="50C1CEDE"/>
    <w:rsid w:val="50C3F81E"/>
    <w:rsid w:val="50CB04B7"/>
    <w:rsid w:val="50CFDE1C"/>
    <w:rsid w:val="50D9D2E3"/>
    <w:rsid w:val="50F05F44"/>
    <w:rsid w:val="50F472FA"/>
    <w:rsid w:val="50FDC804"/>
    <w:rsid w:val="50FFCBA3"/>
    <w:rsid w:val="510B950F"/>
    <w:rsid w:val="510E8E14"/>
    <w:rsid w:val="5112D6A0"/>
    <w:rsid w:val="51232F2B"/>
    <w:rsid w:val="5125517A"/>
    <w:rsid w:val="5127F63D"/>
    <w:rsid w:val="51285815"/>
    <w:rsid w:val="512A46EF"/>
    <w:rsid w:val="512F289A"/>
    <w:rsid w:val="51446716"/>
    <w:rsid w:val="514A3860"/>
    <w:rsid w:val="514ABEE2"/>
    <w:rsid w:val="51504AFE"/>
    <w:rsid w:val="5153F859"/>
    <w:rsid w:val="515DD15F"/>
    <w:rsid w:val="51705B7B"/>
    <w:rsid w:val="5189C934"/>
    <w:rsid w:val="51901CC6"/>
    <w:rsid w:val="51A09CF7"/>
    <w:rsid w:val="51A3E9FD"/>
    <w:rsid w:val="51B2A3EB"/>
    <w:rsid w:val="51B531CD"/>
    <w:rsid w:val="51B57478"/>
    <w:rsid w:val="51B59B1E"/>
    <w:rsid w:val="51B70A0B"/>
    <w:rsid w:val="51C0A860"/>
    <w:rsid w:val="51C13750"/>
    <w:rsid w:val="51C32566"/>
    <w:rsid w:val="51C340D3"/>
    <w:rsid w:val="51C47EFA"/>
    <w:rsid w:val="51D0832F"/>
    <w:rsid w:val="51D34EB0"/>
    <w:rsid w:val="51D40DCA"/>
    <w:rsid w:val="51D9070B"/>
    <w:rsid w:val="51D9F305"/>
    <w:rsid w:val="51DC3C0E"/>
    <w:rsid w:val="51E99D71"/>
    <w:rsid w:val="51EBB9DB"/>
    <w:rsid w:val="51F97FE3"/>
    <w:rsid w:val="51FEFDF3"/>
    <w:rsid w:val="520EB72B"/>
    <w:rsid w:val="521D5B56"/>
    <w:rsid w:val="521EF0F2"/>
    <w:rsid w:val="522D219D"/>
    <w:rsid w:val="522F55A0"/>
    <w:rsid w:val="522FD32A"/>
    <w:rsid w:val="523104F4"/>
    <w:rsid w:val="524338A0"/>
    <w:rsid w:val="5250E2FD"/>
    <w:rsid w:val="5251350C"/>
    <w:rsid w:val="525BBB7E"/>
    <w:rsid w:val="525F103B"/>
    <w:rsid w:val="5265A2EE"/>
    <w:rsid w:val="526B21EB"/>
    <w:rsid w:val="5290C341"/>
    <w:rsid w:val="529AC9F6"/>
    <w:rsid w:val="529FEE00"/>
    <w:rsid w:val="52A85360"/>
    <w:rsid w:val="52AD7CDE"/>
    <w:rsid w:val="52B56A64"/>
    <w:rsid w:val="52B8AF27"/>
    <w:rsid w:val="52C64F09"/>
    <w:rsid w:val="52C6A53B"/>
    <w:rsid w:val="52CB4D15"/>
    <w:rsid w:val="52CD29E3"/>
    <w:rsid w:val="52D2FA8D"/>
    <w:rsid w:val="52DBFD6A"/>
    <w:rsid w:val="52DF3A59"/>
    <w:rsid w:val="52E85821"/>
    <w:rsid w:val="52F2CC20"/>
    <w:rsid w:val="52F4741A"/>
    <w:rsid w:val="52F60123"/>
    <w:rsid w:val="52F80832"/>
    <w:rsid w:val="52FC4620"/>
    <w:rsid w:val="530C4134"/>
    <w:rsid w:val="531058EF"/>
    <w:rsid w:val="53242599"/>
    <w:rsid w:val="5327C7B8"/>
    <w:rsid w:val="5328036D"/>
    <w:rsid w:val="5332DDA4"/>
    <w:rsid w:val="533324C7"/>
    <w:rsid w:val="5333A680"/>
    <w:rsid w:val="5337A45C"/>
    <w:rsid w:val="5337CC95"/>
    <w:rsid w:val="533CE9D3"/>
    <w:rsid w:val="53454267"/>
    <w:rsid w:val="534C16C9"/>
    <w:rsid w:val="534CBF7A"/>
    <w:rsid w:val="5352BF8B"/>
    <w:rsid w:val="5367AA3D"/>
    <w:rsid w:val="536D7595"/>
    <w:rsid w:val="536EDC26"/>
    <w:rsid w:val="5371A495"/>
    <w:rsid w:val="537B8190"/>
    <w:rsid w:val="538E54BA"/>
    <w:rsid w:val="5391AEA5"/>
    <w:rsid w:val="53948D74"/>
    <w:rsid w:val="539861D1"/>
    <w:rsid w:val="53AD97E7"/>
    <w:rsid w:val="53B68164"/>
    <w:rsid w:val="53CD7E73"/>
    <w:rsid w:val="53CFC570"/>
    <w:rsid w:val="53D094A2"/>
    <w:rsid w:val="53DD3974"/>
    <w:rsid w:val="53E47FAF"/>
    <w:rsid w:val="53E88926"/>
    <w:rsid w:val="53F126BE"/>
    <w:rsid w:val="53F6C526"/>
    <w:rsid w:val="53FDCC7C"/>
    <w:rsid w:val="53FFC7CB"/>
    <w:rsid w:val="540057B6"/>
    <w:rsid w:val="540820CF"/>
    <w:rsid w:val="540E6930"/>
    <w:rsid w:val="5439ABCA"/>
    <w:rsid w:val="5441205A"/>
    <w:rsid w:val="544764E9"/>
    <w:rsid w:val="54485CF4"/>
    <w:rsid w:val="545D2D1C"/>
    <w:rsid w:val="5469DFED"/>
    <w:rsid w:val="546F8A64"/>
    <w:rsid w:val="547335FA"/>
    <w:rsid w:val="5476A666"/>
    <w:rsid w:val="547D7E9D"/>
    <w:rsid w:val="5481CE8A"/>
    <w:rsid w:val="54862771"/>
    <w:rsid w:val="549028FB"/>
    <w:rsid w:val="54945D5A"/>
    <w:rsid w:val="549A4676"/>
    <w:rsid w:val="54A73AE2"/>
    <w:rsid w:val="54AEB7B9"/>
    <w:rsid w:val="54B3C73E"/>
    <w:rsid w:val="54C756ED"/>
    <w:rsid w:val="54C7C0AE"/>
    <w:rsid w:val="54D51432"/>
    <w:rsid w:val="54EAD66B"/>
    <w:rsid w:val="54EBF842"/>
    <w:rsid w:val="54F29C7D"/>
    <w:rsid w:val="54FE1C19"/>
    <w:rsid w:val="550081D8"/>
    <w:rsid w:val="55019D9B"/>
    <w:rsid w:val="55020741"/>
    <w:rsid w:val="55124B53"/>
    <w:rsid w:val="551D0D2E"/>
    <w:rsid w:val="5520411E"/>
    <w:rsid w:val="55258137"/>
    <w:rsid w:val="552D1F5C"/>
    <w:rsid w:val="5532238D"/>
    <w:rsid w:val="553552F6"/>
    <w:rsid w:val="553FF4AC"/>
    <w:rsid w:val="55582FEB"/>
    <w:rsid w:val="55595069"/>
    <w:rsid w:val="55647E94"/>
    <w:rsid w:val="5571B847"/>
    <w:rsid w:val="558C8033"/>
    <w:rsid w:val="55937300"/>
    <w:rsid w:val="55981E8C"/>
    <w:rsid w:val="5599C551"/>
    <w:rsid w:val="55A096C1"/>
    <w:rsid w:val="55A5AC45"/>
    <w:rsid w:val="55AABE35"/>
    <w:rsid w:val="55ADCAF1"/>
    <w:rsid w:val="55B760E2"/>
    <w:rsid w:val="55B9440F"/>
    <w:rsid w:val="55BF814A"/>
    <w:rsid w:val="55C1C6D6"/>
    <w:rsid w:val="55C41F6D"/>
    <w:rsid w:val="55C5EB31"/>
    <w:rsid w:val="55C843BB"/>
    <w:rsid w:val="55D083FD"/>
    <w:rsid w:val="55D13927"/>
    <w:rsid w:val="55DF0632"/>
    <w:rsid w:val="55EB8AD9"/>
    <w:rsid w:val="55F74C44"/>
    <w:rsid w:val="5607214E"/>
    <w:rsid w:val="560A4E2D"/>
    <w:rsid w:val="5615F35B"/>
    <w:rsid w:val="5618E3AA"/>
    <w:rsid w:val="561C2D26"/>
    <w:rsid w:val="562C5680"/>
    <w:rsid w:val="5634DAFD"/>
    <w:rsid w:val="56371F23"/>
    <w:rsid w:val="5641AA4B"/>
    <w:rsid w:val="564289B5"/>
    <w:rsid w:val="56431F21"/>
    <w:rsid w:val="5650131A"/>
    <w:rsid w:val="56584E14"/>
    <w:rsid w:val="565AD2A8"/>
    <w:rsid w:val="565EED26"/>
    <w:rsid w:val="566CA742"/>
    <w:rsid w:val="5681D658"/>
    <w:rsid w:val="5696B1F6"/>
    <w:rsid w:val="569B8A6D"/>
    <w:rsid w:val="56A3F452"/>
    <w:rsid w:val="56AA051B"/>
    <w:rsid w:val="56B4F93A"/>
    <w:rsid w:val="56BA8EB8"/>
    <w:rsid w:val="56E3932A"/>
    <w:rsid w:val="5701C058"/>
    <w:rsid w:val="570B3011"/>
    <w:rsid w:val="570EDCA6"/>
    <w:rsid w:val="57110696"/>
    <w:rsid w:val="5716DE41"/>
    <w:rsid w:val="5717925B"/>
    <w:rsid w:val="571F1D20"/>
    <w:rsid w:val="5723FECD"/>
    <w:rsid w:val="5730145C"/>
    <w:rsid w:val="57332413"/>
    <w:rsid w:val="574B181F"/>
    <w:rsid w:val="574C250E"/>
    <w:rsid w:val="574D18CF"/>
    <w:rsid w:val="574DDDB4"/>
    <w:rsid w:val="574EE358"/>
    <w:rsid w:val="57533143"/>
    <w:rsid w:val="575E5221"/>
    <w:rsid w:val="575EF675"/>
    <w:rsid w:val="5768DCED"/>
    <w:rsid w:val="5768EED0"/>
    <w:rsid w:val="576BF2D1"/>
    <w:rsid w:val="57705446"/>
    <w:rsid w:val="5779353D"/>
    <w:rsid w:val="577E7C3D"/>
    <w:rsid w:val="5788D035"/>
    <w:rsid w:val="578F71BA"/>
    <w:rsid w:val="579E33B6"/>
    <w:rsid w:val="57A2F9F1"/>
    <w:rsid w:val="57BAD012"/>
    <w:rsid w:val="57BBD067"/>
    <w:rsid w:val="57C68C18"/>
    <w:rsid w:val="57C8F6DE"/>
    <w:rsid w:val="57CF00F1"/>
    <w:rsid w:val="57D691E4"/>
    <w:rsid w:val="57E97E82"/>
    <w:rsid w:val="57F524B8"/>
    <w:rsid w:val="57F8DAE5"/>
    <w:rsid w:val="57FB38BC"/>
    <w:rsid w:val="57FF7829"/>
    <w:rsid w:val="5801662B"/>
    <w:rsid w:val="580A3F78"/>
    <w:rsid w:val="5837F8B1"/>
    <w:rsid w:val="583AB51E"/>
    <w:rsid w:val="583B2BF3"/>
    <w:rsid w:val="584CBFF6"/>
    <w:rsid w:val="585AB8A4"/>
    <w:rsid w:val="58696FE2"/>
    <w:rsid w:val="5883DDEB"/>
    <w:rsid w:val="58978E00"/>
    <w:rsid w:val="5899EFA4"/>
    <w:rsid w:val="589A3A5F"/>
    <w:rsid w:val="589C1F56"/>
    <w:rsid w:val="589F5FE0"/>
    <w:rsid w:val="58A7AD31"/>
    <w:rsid w:val="58A9FECE"/>
    <w:rsid w:val="58B8B818"/>
    <w:rsid w:val="58C4595C"/>
    <w:rsid w:val="58C58BB0"/>
    <w:rsid w:val="58D5C865"/>
    <w:rsid w:val="58D62BA2"/>
    <w:rsid w:val="58DBB2F5"/>
    <w:rsid w:val="58E0FA25"/>
    <w:rsid w:val="58FDEAD6"/>
    <w:rsid w:val="590954F5"/>
    <w:rsid w:val="590BB65E"/>
    <w:rsid w:val="590F68C6"/>
    <w:rsid w:val="5915B5F6"/>
    <w:rsid w:val="5919217A"/>
    <w:rsid w:val="5920DC7A"/>
    <w:rsid w:val="592F2ABE"/>
    <w:rsid w:val="593A2EEC"/>
    <w:rsid w:val="593E10B3"/>
    <w:rsid w:val="594B600B"/>
    <w:rsid w:val="594CDEBE"/>
    <w:rsid w:val="59540A85"/>
    <w:rsid w:val="59544FD1"/>
    <w:rsid w:val="596A35EB"/>
    <w:rsid w:val="596FEB56"/>
    <w:rsid w:val="5971927A"/>
    <w:rsid w:val="5972EA33"/>
    <w:rsid w:val="5974D4F5"/>
    <w:rsid w:val="5983C3CD"/>
    <w:rsid w:val="59841ED2"/>
    <w:rsid w:val="59862ADD"/>
    <w:rsid w:val="598D4A23"/>
    <w:rsid w:val="598DA3A9"/>
    <w:rsid w:val="599850AB"/>
    <w:rsid w:val="59A78F3C"/>
    <w:rsid w:val="59B0D459"/>
    <w:rsid w:val="59C12EE8"/>
    <w:rsid w:val="59CDA3B2"/>
    <w:rsid w:val="59CF117F"/>
    <w:rsid w:val="59EB2268"/>
    <w:rsid w:val="59F8C9C3"/>
    <w:rsid w:val="5A01D2DE"/>
    <w:rsid w:val="5A0274FA"/>
    <w:rsid w:val="5A2A4454"/>
    <w:rsid w:val="5A355754"/>
    <w:rsid w:val="5A46B49A"/>
    <w:rsid w:val="5A4797D5"/>
    <w:rsid w:val="5A4FCE43"/>
    <w:rsid w:val="5A583FDF"/>
    <w:rsid w:val="5A5BD329"/>
    <w:rsid w:val="5A5DFE78"/>
    <w:rsid w:val="5A63E268"/>
    <w:rsid w:val="5A6D9165"/>
    <w:rsid w:val="5A7CF020"/>
    <w:rsid w:val="5A83145E"/>
    <w:rsid w:val="5A843E95"/>
    <w:rsid w:val="5A888097"/>
    <w:rsid w:val="5A8F4F72"/>
    <w:rsid w:val="5A8F7E5C"/>
    <w:rsid w:val="5A8FC4F1"/>
    <w:rsid w:val="5A90B703"/>
    <w:rsid w:val="5A9E5C1B"/>
    <w:rsid w:val="5AA04B80"/>
    <w:rsid w:val="5AB2F987"/>
    <w:rsid w:val="5AB30B63"/>
    <w:rsid w:val="5AB7DE45"/>
    <w:rsid w:val="5AB83B47"/>
    <w:rsid w:val="5ACB60C9"/>
    <w:rsid w:val="5ACFF6AF"/>
    <w:rsid w:val="5AD7337F"/>
    <w:rsid w:val="5AE20ADE"/>
    <w:rsid w:val="5AEC334D"/>
    <w:rsid w:val="5AF72D0F"/>
    <w:rsid w:val="5AFF6A7F"/>
    <w:rsid w:val="5AFF82F2"/>
    <w:rsid w:val="5B01CAE7"/>
    <w:rsid w:val="5B024838"/>
    <w:rsid w:val="5B099608"/>
    <w:rsid w:val="5B09B907"/>
    <w:rsid w:val="5B1106CA"/>
    <w:rsid w:val="5B1D214B"/>
    <w:rsid w:val="5B265645"/>
    <w:rsid w:val="5B30F928"/>
    <w:rsid w:val="5B3A2F07"/>
    <w:rsid w:val="5B3C05E2"/>
    <w:rsid w:val="5B3F3DE5"/>
    <w:rsid w:val="5B49D4DA"/>
    <w:rsid w:val="5B4E6E5F"/>
    <w:rsid w:val="5B517149"/>
    <w:rsid w:val="5B5A597E"/>
    <w:rsid w:val="5B5B6B9C"/>
    <w:rsid w:val="5B6A00BE"/>
    <w:rsid w:val="5B700D9D"/>
    <w:rsid w:val="5B70720E"/>
    <w:rsid w:val="5B7C1174"/>
    <w:rsid w:val="5B7F52FB"/>
    <w:rsid w:val="5B890F25"/>
    <w:rsid w:val="5B9B16DF"/>
    <w:rsid w:val="5BABCC23"/>
    <w:rsid w:val="5BAC285C"/>
    <w:rsid w:val="5BB0A576"/>
    <w:rsid w:val="5BBF9F50"/>
    <w:rsid w:val="5BC0EB8E"/>
    <w:rsid w:val="5BC9976E"/>
    <w:rsid w:val="5BD0595C"/>
    <w:rsid w:val="5BD0B7C4"/>
    <w:rsid w:val="5BD2C2BE"/>
    <w:rsid w:val="5BD8699D"/>
    <w:rsid w:val="5BDA922B"/>
    <w:rsid w:val="5BDB2C94"/>
    <w:rsid w:val="5BF9CED9"/>
    <w:rsid w:val="5BFE401B"/>
    <w:rsid w:val="5BFF9B65"/>
    <w:rsid w:val="5C09746E"/>
    <w:rsid w:val="5C0F1872"/>
    <w:rsid w:val="5C208B7E"/>
    <w:rsid w:val="5C20D819"/>
    <w:rsid w:val="5C2A9CB8"/>
    <w:rsid w:val="5C3311EB"/>
    <w:rsid w:val="5C3DBC58"/>
    <w:rsid w:val="5C42F23B"/>
    <w:rsid w:val="5C45D6E1"/>
    <w:rsid w:val="5C4BB42D"/>
    <w:rsid w:val="5C574DEB"/>
    <w:rsid w:val="5C672265"/>
    <w:rsid w:val="5C6C3DEA"/>
    <w:rsid w:val="5C71E215"/>
    <w:rsid w:val="5C7296F0"/>
    <w:rsid w:val="5C81256B"/>
    <w:rsid w:val="5C81B4B8"/>
    <w:rsid w:val="5C8D50FC"/>
    <w:rsid w:val="5C90D713"/>
    <w:rsid w:val="5C945571"/>
    <w:rsid w:val="5C9474D9"/>
    <w:rsid w:val="5C9B3AE0"/>
    <w:rsid w:val="5C9CE6EA"/>
    <w:rsid w:val="5CA5D0A3"/>
    <w:rsid w:val="5CA5F06D"/>
    <w:rsid w:val="5CCD3FE4"/>
    <w:rsid w:val="5CCD7404"/>
    <w:rsid w:val="5CD5CEB0"/>
    <w:rsid w:val="5CE0E1D0"/>
    <w:rsid w:val="5CE378F7"/>
    <w:rsid w:val="5CE9CAA9"/>
    <w:rsid w:val="5CEA8BF9"/>
    <w:rsid w:val="5CEDA679"/>
    <w:rsid w:val="5CF0A514"/>
    <w:rsid w:val="5CF6F82F"/>
    <w:rsid w:val="5D07D5A3"/>
    <w:rsid w:val="5D0984CA"/>
    <w:rsid w:val="5D0D3C62"/>
    <w:rsid w:val="5D0EA35E"/>
    <w:rsid w:val="5D122AA6"/>
    <w:rsid w:val="5D167565"/>
    <w:rsid w:val="5D1F103F"/>
    <w:rsid w:val="5D206983"/>
    <w:rsid w:val="5D34D5FD"/>
    <w:rsid w:val="5D3D8BC0"/>
    <w:rsid w:val="5D459570"/>
    <w:rsid w:val="5D462520"/>
    <w:rsid w:val="5D4E3567"/>
    <w:rsid w:val="5D503044"/>
    <w:rsid w:val="5D5D220F"/>
    <w:rsid w:val="5D5E925B"/>
    <w:rsid w:val="5D6AC30C"/>
    <w:rsid w:val="5D6C07C9"/>
    <w:rsid w:val="5D6DAB82"/>
    <w:rsid w:val="5D6DF0D9"/>
    <w:rsid w:val="5D744AD1"/>
    <w:rsid w:val="5D77B7A0"/>
    <w:rsid w:val="5D8112A1"/>
    <w:rsid w:val="5D82BB90"/>
    <w:rsid w:val="5D8C3DAA"/>
    <w:rsid w:val="5D92CB87"/>
    <w:rsid w:val="5D934051"/>
    <w:rsid w:val="5D95FF25"/>
    <w:rsid w:val="5DAEC722"/>
    <w:rsid w:val="5DBA06C8"/>
    <w:rsid w:val="5DBDBC78"/>
    <w:rsid w:val="5DC429A0"/>
    <w:rsid w:val="5DC497CB"/>
    <w:rsid w:val="5DC6BF43"/>
    <w:rsid w:val="5DC765B3"/>
    <w:rsid w:val="5DD3A875"/>
    <w:rsid w:val="5DE29BC6"/>
    <w:rsid w:val="5DF68BB9"/>
    <w:rsid w:val="5DF9C780"/>
    <w:rsid w:val="5DFA6262"/>
    <w:rsid w:val="5E0E1402"/>
    <w:rsid w:val="5E1FF320"/>
    <w:rsid w:val="5E27F4FE"/>
    <w:rsid w:val="5E2CF5CB"/>
    <w:rsid w:val="5E2F3143"/>
    <w:rsid w:val="5E2FCA25"/>
    <w:rsid w:val="5E3B670F"/>
    <w:rsid w:val="5E49BA54"/>
    <w:rsid w:val="5E5085DB"/>
    <w:rsid w:val="5E517A75"/>
    <w:rsid w:val="5E5A8226"/>
    <w:rsid w:val="5E616E75"/>
    <w:rsid w:val="5E671162"/>
    <w:rsid w:val="5E6E67DC"/>
    <w:rsid w:val="5E708AAC"/>
    <w:rsid w:val="5E72C45D"/>
    <w:rsid w:val="5E7B8E4C"/>
    <w:rsid w:val="5E922D1C"/>
    <w:rsid w:val="5E9B6A69"/>
    <w:rsid w:val="5E9FDD1D"/>
    <w:rsid w:val="5EA1C3DB"/>
    <w:rsid w:val="5EA227B9"/>
    <w:rsid w:val="5EAA5CE4"/>
    <w:rsid w:val="5EAECCDF"/>
    <w:rsid w:val="5EAFB796"/>
    <w:rsid w:val="5EBB1E62"/>
    <w:rsid w:val="5EBE938B"/>
    <w:rsid w:val="5EC801FE"/>
    <w:rsid w:val="5EC8F2CA"/>
    <w:rsid w:val="5EC9A71C"/>
    <w:rsid w:val="5EE27541"/>
    <w:rsid w:val="5EF132C6"/>
    <w:rsid w:val="5EF261B4"/>
    <w:rsid w:val="5EF2B476"/>
    <w:rsid w:val="5EF2C4F0"/>
    <w:rsid w:val="5EFCB724"/>
    <w:rsid w:val="5EFF1ED3"/>
    <w:rsid w:val="5F085886"/>
    <w:rsid w:val="5F0A5079"/>
    <w:rsid w:val="5F16E906"/>
    <w:rsid w:val="5F1BB7F1"/>
    <w:rsid w:val="5F1E2B2E"/>
    <w:rsid w:val="5F1F9968"/>
    <w:rsid w:val="5F21128C"/>
    <w:rsid w:val="5F21CEA7"/>
    <w:rsid w:val="5F220578"/>
    <w:rsid w:val="5F2A3213"/>
    <w:rsid w:val="5F2D3E63"/>
    <w:rsid w:val="5F2FAC5E"/>
    <w:rsid w:val="5F31C712"/>
    <w:rsid w:val="5F34AA99"/>
    <w:rsid w:val="5F42DBFD"/>
    <w:rsid w:val="5F462293"/>
    <w:rsid w:val="5F4A2A72"/>
    <w:rsid w:val="5F50E82A"/>
    <w:rsid w:val="5F628FA4"/>
    <w:rsid w:val="5F7113CA"/>
    <w:rsid w:val="5F781B6D"/>
    <w:rsid w:val="5F794C7B"/>
    <w:rsid w:val="5F7D39CD"/>
    <w:rsid w:val="5F93B213"/>
    <w:rsid w:val="5F977B9A"/>
    <w:rsid w:val="5FA4139B"/>
    <w:rsid w:val="5FA87797"/>
    <w:rsid w:val="5FABF216"/>
    <w:rsid w:val="5FAC5FA7"/>
    <w:rsid w:val="5FAD5237"/>
    <w:rsid w:val="5FB3026E"/>
    <w:rsid w:val="5FD4BA1E"/>
    <w:rsid w:val="5FD66FB6"/>
    <w:rsid w:val="5FD7CBA8"/>
    <w:rsid w:val="5FE3A844"/>
    <w:rsid w:val="5FEC94CA"/>
    <w:rsid w:val="5FECEDB3"/>
    <w:rsid w:val="5FED0D9A"/>
    <w:rsid w:val="5FFEE56D"/>
    <w:rsid w:val="6003AC6D"/>
    <w:rsid w:val="6004AC53"/>
    <w:rsid w:val="6006ED5A"/>
    <w:rsid w:val="6007EF21"/>
    <w:rsid w:val="601200C5"/>
    <w:rsid w:val="601D0C7D"/>
    <w:rsid w:val="6025FC54"/>
    <w:rsid w:val="602D19A5"/>
    <w:rsid w:val="602D75AF"/>
    <w:rsid w:val="602DDC7C"/>
    <w:rsid w:val="6051C819"/>
    <w:rsid w:val="6059DED3"/>
    <w:rsid w:val="605A797B"/>
    <w:rsid w:val="6069DC7C"/>
    <w:rsid w:val="606E5B6F"/>
    <w:rsid w:val="607272E8"/>
    <w:rsid w:val="60790340"/>
    <w:rsid w:val="607D4776"/>
    <w:rsid w:val="6085DD26"/>
    <w:rsid w:val="6090F98E"/>
    <w:rsid w:val="6099AF0A"/>
    <w:rsid w:val="60A13E9F"/>
    <w:rsid w:val="60A263CE"/>
    <w:rsid w:val="60A70719"/>
    <w:rsid w:val="60ABC75C"/>
    <w:rsid w:val="60AF0F61"/>
    <w:rsid w:val="60B6CD33"/>
    <w:rsid w:val="60B8987F"/>
    <w:rsid w:val="60C300BC"/>
    <w:rsid w:val="60C6B7D1"/>
    <w:rsid w:val="60D438A5"/>
    <w:rsid w:val="60E6F6D2"/>
    <w:rsid w:val="60EC2F2F"/>
    <w:rsid w:val="60EC462D"/>
    <w:rsid w:val="61049026"/>
    <w:rsid w:val="61094271"/>
    <w:rsid w:val="610D33B3"/>
    <w:rsid w:val="61142D7E"/>
    <w:rsid w:val="611BDFFD"/>
    <w:rsid w:val="61212A9F"/>
    <w:rsid w:val="6128B3BE"/>
    <w:rsid w:val="61292B82"/>
    <w:rsid w:val="612ABF0E"/>
    <w:rsid w:val="612D158E"/>
    <w:rsid w:val="61316842"/>
    <w:rsid w:val="614D0F10"/>
    <w:rsid w:val="6153085C"/>
    <w:rsid w:val="615362DB"/>
    <w:rsid w:val="6154B78D"/>
    <w:rsid w:val="6169E059"/>
    <w:rsid w:val="616A1547"/>
    <w:rsid w:val="6178C681"/>
    <w:rsid w:val="617ACBC5"/>
    <w:rsid w:val="61944AE7"/>
    <w:rsid w:val="6197BF2B"/>
    <w:rsid w:val="619BFF93"/>
    <w:rsid w:val="61A18D88"/>
    <w:rsid w:val="61A9B670"/>
    <w:rsid w:val="61AA5CEB"/>
    <w:rsid w:val="61ABCA5E"/>
    <w:rsid w:val="61B495B2"/>
    <w:rsid w:val="61B8362A"/>
    <w:rsid w:val="61BB442B"/>
    <w:rsid w:val="61BD54D6"/>
    <w:rsid w:val="61C9376E"/>
    <w:rsid w:val="61D8E419"/>
    <w:rsid w:val="61DD1AE3"/>
    <w:rsid w:val="61E00E4F"/>
    <w:rsid w:val="61E120CB"/>
    <w:rsid w:val="61E86DEF"/>
    <w:rsid w:val="61FB8C65"/>
    <w:rsid w:val="61FB94B9"/>
    <w:rsid w:val="6206EA66"/>
    <w:rsid w:val="6209C847"/>
    <w:rsid w:val="6212654A"/>
    <w:rsid w:val="6212BEC0"/>
    <w:rsid w:val="62152A24"/>
    <w:rsid w:val="6215615A"/>
    <w:rsid w:val="62179701"/>
    <w:rsid w:val="621F1979"/>
    <w:rsid w:val="622CAB0D"/>
    <w:rsid w:val="6235D223"/>
    <w:rsid w:val="62410133"/>
    <w:rsid w:val="6248465D"/>
    <w:rsid w:val="62494699"/>
    <w:rsid w:val="624B8B6D"/>
    <w:rsid w:val="624E73F6"/>
    <w:rsid w:val="6253D324"/>
    <w:rsid w:val="6255CBF0"/>
    <w:rsid w:val="6257F44E"/>
    <w:rsid w:val="626C8F42"/>
    <w:rsid w:val="627576B0"/>
    <w:rsid w:val="6276961D"/>
    <w:rsid w:val="62781FE5"/>
    <w:rsid w:val="62AD9B5B"/>
    <w:rsid w:val="62B466D6"/>
    <w:rsid w:val="62B72598"/>
    <w:rsid w:val="62B8171F"/>
    <w:rsid w:val="62D8E879"/>
    <w:rsid w:val="62DB2357"/>
    <w:rsid w:val="62DC3213"/>
    <w:rsid w:val="62DCC905"/>
    <w:rsid w:val="62E03324"/>
    <w:rsid w:val="62E3262F"/>
    <w:rsid w:val="62E4F2F9"/>
    <w:rsid w:val="63128BB9"/>
    <w:rsid w:val="6314CAEC"/>
    <w:rsid w:val="631E26EC"/>
    <w:rsid w:val="632A2727"/>
    <w:rsid w:val="632BB0D6"/>
    <w:rsid w:val="6334DF98"/>
    <w:rsid w:val="6338EEEE"/>
    <w:rsid w:val="633955B0"/>
    <w:rsid w:val="633AD47E"/>
    <w:rsid w:val="633FAAB0"/>
    <w:rsid w:val="634C8BD6"/>
    <w:rsid w:val="6358629C"/>
    <w:rsid w:val="6358D02B"/>
    <w:rsid w:val="635CD4B3"/>
    <w:rsid w:val="636969E4"/>
    <w:rsid w:val="63773BE0"/>
    <w:rsid w:val="63776EE6"/>
    <w:rsid w:val="63794FB7"/>
    <w:rsid w:val="637F3842"/>
    <w:rsid w:val="639DB28E"/>
    <w:rsid w:val="639EBBCC"/>
    <w:rsid w:val="63A17DAA"/>
    <w:rsid w:val="63A5994B"/>
    <w:rsid w:val="63B2F2C7"/>
    <w:rsid w:val="63CAAA50"/>
    <w:rsid w:val="63D56388"/>
    <w:rsid w:val="63D56B9D"/>
    <w:rsid w:val="63D5F7EB"/>
    <w:rsid w:val="63E65DD1"/>
    <w:rsid w:val="63E6DB16"/>
    <w:rsid w:val="63EF157F"/>
    <w:rsid w:val="63F61563"/>
    <w:rsid w:val="64012A55"/>
    <w:rsid w:val="640A61F5"/>
    <w:rsid w:val="6412667E"/>
    <w:rsid w:val="6413FA9B"/>
    <w:rsid w:val="64226312"/>
    <w:rsid w:val="64310DEF"/>
    <w:rsid w:val="644056EB"/>
    <w:rsid w:val="64467D6E"/>
    <w:rsid w:val="644BCAF7"/>
    <w:rsid w:val="644BDA48"/>
    <w:rsid w:val="6454D87B"/>
    <w:rsid w:val="645B6083"/>
    <w:rsid w:val="646122F1"/>
    <w:rsid w:val="6462B78F"/>
    <w:rsid w:val="64789966"/>
    <w:rsid w:val="647A5EA9"/>
    <w:rsid w:val="648036D5"/>
    <w:rsid w:val="649643EC"/>
    <w:rsid w:val="649A8FFB"/>
    <w:rsid w:val="649E2686"/>
    <w:rsid w:val="649FDCCB"/>
    <w:rsid w:val="64A17547"/>
    <w:rsid w:val="64A57232"/>
    <w:rsid w:val="64A64CC5"/>
    <w:rsid w:val="64AE9902"/>
    <w:rsid w:val="64BDE0F9"/>
    <w:rsid w:val="64C9C051"/>
    <w:rsid w:val="64DCEA49"/>
    <w:rsid w:val="64E77D87"/>
    <w:rsid w:val="64EC09C9"/>
    <w:rsid w:val="64F1AE46"/>
    <w:rsid w:val="64F997AA"/>
    <w:rsid w:val="65071B1F"/>
    <w:rsid w:val="650C98E9"/>
    <w:rsid w:val="6511D987"/>
    <w:rsid w:val="6521388D"/>
    <w:rsid w:val="652563F7"/>
    <w:rsid w:val="6526E83A"/>
    <w:rsid w:val="652BB577"/>
    <w:rsid w:val="6531374B"/>
    <w:rsid w:val="653619EF"/>
    <w:rsid w:val="653ABE5A"/>
    <w:rsid w:val="653AFE91"/>
    <w:rsid w:val="653F0238"/>
    <w:rsid w:val="6540F010"/>
    <w:rsid w:val="6541F925"/>
    <w:rsid w:val="654D3385"/>
    <w:rsid w:val="65582335"/>
    <w:rsid w:val="6563FA8D"/>
    <w:rsid w:val="656567DD"/>
    <w:rsid w:val="656E6057"/>
    <w:rsid w:val="6583C846"/>
    <w:rsid w:val="6588D4E1"/>
    <w:rsid w:val="6589293E"/>
    <w:rsid w:val="65898CF3"/>
    <w:rsid w:val="658AA829"/>
    <w:rsid w:val="659A13D5"/>
    <w:rsid w:val="659A8CD2"/>
    <w:rsid w:val="65A3C814"/>
    <w:rsid w:val="65A819FC"/>
    <w:rsid w:val="65AD76FC"/>
    <w:rsid w:val="65AEE3A3"/>
    <w:rsid w:val="65B077EC"/>
    <w:rsid w:val="65B63892"/>
    <w:rsid w:val="65BA95B8"/>
    <w:rsid w:val="65C324B5"/>
    <w:rsid w:val="65D44AF3"/>
    <w:rsid w:val="65E34D9F"/>
    <w:rsid w:val="65E3DFCF"/>
    <w:rsid w:val="65E7585F"/>
    <w:rsid w:val="65ED1A57"/>
    <w:rsid w:val="65EE86B3"/>
    <w:rsid w:val="65F3262C"/>
    <w:rsid w:val="6606B176"/>
    <w:rsid w:val="6607F332"/>
    <w:rsid w:val="660B96F7"/>
    <w:rsid w:val="660F5385"/>
    <w:rsid w:val="6611DD88"/>
    <w:rsid w:val="66155D93"/>
    <w:rsid w:val="661E5524"/>
    <w:rsid w:val="662729C8"/>
    <w:rsid w:val="662BD545"/>
    <w:rsid w:val="66312200"/>
    <w:rsid w:val="66371847"/>
    <w:rsid w:val="663D28A4"/>
    <w:rsid w:val="6649D3BE"/>
    <w:rsid w:val="6653DDB4"/>
    <w:rsid w:val="665FBA30"/>
    <w:rsid w:val="668173CC"/>
    <w:rsid w:val="668D7EA7"/>
    <w:rsid w:val="6693DC70"/>
    <w:rsid w:val="669A6251"/>
    <w:rsid w:val="669F68CA"/>
    <w:rsid w:val="66A3839A"/>
    <w:rsid w:val="66B48EC7"/>
    <w:rsid w:val="66C3B9A0"/>
    <w:rsid w:val="66C671FF"/>
    <w:rsid w:val="66CBA928"/>
    <w:rsid w:val="66CCF093"/>
    <w:rsid w:val="66CD07A9"/>
    <w:rsid w:val="66D28788"/>
    <w:rsid w:val="66D2E386"/>
    <w:rsid w:val="66D38BA4"/>
    <w:rsid w:val="66E3176A"/>
    <w:rsid w:val="66E455CD"/>
    <w:rsid w:val="66E4D6EF"/>
    <w:rsid w:val="66F12FF2"/>
    <w:rsid w:val="66F4EBCA"/>
    <w:rsid w:val="66F8D56B"/>
    <w:rsid w:val="66FA1280"/>
    <w:rsid w:val="67136A6B"/>
    <w:rsid w:val="67169852"/>
    <w:rsid w:val="671C8170"/>
    <w:rsid w:val="6724121E"/>
    <w:rsid w:val="672936FE"/>
    <w:rsid w:val="673E17E8"/>
    <w:rsid w:val="674D4793"/>
    <w:rsid w:val="67549D9C"/>
    <w:rsid w:val="67589773"/>
    <w:rsid w:val="676BEFB7"/>
    <w:rsid w:val="676DA189"/>
    <w:rsid w:val="67719935"/>
    <w:rsid w:val="6777D443"/>
    <w:rsid w:val="679117E8"/>
    <w:rsid w:val="67956DAF"/>
    <w:rsid w:val="679804BD"/>
    <w:rsid w:val="67D27CC9"/>
    <w:rsid w:val="67D29134"/>
    <w:rsid w:val="67D51E19"/>
    <w:rsid w:val="67ECCE5C"/>
    <w:rsid w:val="67F39E76"/>
    <w:rsid w:val="67F433D3"/>
    <w:rsid w:val="67F70766"/>
    <w:rsid w:val="67FAC8F7"/>
    <w:rsid w:val="67FB8BFC"/>
    <w:rsid w:val="68007BA8"/>
    <w:rsid w:val="6816A9C4"/>
    <w:rsid w:val="6819A3EE"/>
    <w:rsid w:val="681ADD8D"/>
    <w:rsid w:val="681F1E49"/>
    <w:rsid w:val="6827FB3F"/>
    <w:rsid w:val="682B049B"/>
    <w:rsid w:val="683C4DF6"/>
    <w:rsid w:val="68442F56"/>
    <w:rsid w:val="68462794"/>
    <w:rsid w:val="6847FFB5"/>
    <w:rsid w:val="685E82F9"/>
    <w:rsid w:val="686233D5"/>
    <w:rsid w:val="68648280"/>
    <w:rsid w:val="686501B0"/>
    <w:rsid w:val="68657968"/>
    <w:rsid w:val="68682946"/>
    <w:rsid w:val="687490A6"/>
    <w:rsid w:val="687EA16C"/>
    <w:rsid w:val="68A41D3C"/>
    <w:rsid w:val="68B2A717"/>
    <w:rsid w:val="68B483AA"/>
    <w:rsid w:val="68C0F5BF"/>
    <w:rsid w:val="68C5BE81"/>
    <w:rsid w:val="68CB415B"/>
    <w:rsid w:val="68CBE445"/>
    <w:rsid w:val="68D62692"/>
    <w:rsid w:val="68F17C36"/>
    <w:rsid w:val="68F61A62"/>
    <w:rsid w:val="68FF0B75"/>
    <w:rsid w:val="6902A459"/>
    <w:rsid w:val="690F69A8"/>
    <w:rsid w:val="69123D54"/>
    <w:rsid w:val="691386DA"/>
    <w:rsid w:val="69283C60"/>
    <w:rsid w:val="693296C3"/>
    <w:rsid w:val="6936FF84"/>
    <w:rsid w:val="693D646A"/>
    <w:rsid w:val="693F80C6"/>
    <w:rsid w:val="694C0A89"/>
    <w:rsid w:val="6952C004"/>
    <w:rsid w:val="6953CFAC"/>
    <w:rsid w:val="695FC62D"/>
    <w:rsid w:val="69612AE9"/>
    <w:rsid w:val="6966D17B"/>
    <w:rsid w:val="6968E39B"/>
    <w:rsid w:val="697E3400"/>
    <w:rsid w:val="6985EDEC"/>
    <w:rsid w:val="69881C64"/>
    <w:rsid w:val="6992E41B"/>
    <w:rsid w:val="6992F5C4"/>
    <w:rsid w:val="69A38045"/>
    <w:rsid w:val="69A59BE7"/>
    <w:rsid w:val="69A938BE"/>
    <w:rsid w:val="69AAD85F"/>
    <w:rsid w:val="69B55641"/>
    <w:rsid w:val="69BE897C"/>
    <w:rsid w:val="69D491A7"/>
    <w:rsid w:val="69E7CBE8"/>
    <w:rsid w:val="69EC24DB"/>
    <w:rsid w:val="69F24BF9"/>
    <w:rsid w:val="69FE0436"/>
    <w:rsid w:val="6A156A48"/>
    <w:rsid w:val="6A187F98"/>
    <w:rsid w:val="6A26A51F"/>
    <w:rsid w:val="6A2C542D"/>
    <w:rsid w:val="6A354CF6"/>
    <w:rsid w:val="6A44647E"/>
    <w:rsid w:val="6A46A816"/>
    <w:rsid w:val="6A48D716"/>
    <w:rsid w:val="6A4DE95F"/>
    <w:rsid w:val="6A5A5E95"/>
    <w:rsid w:val="6A6319CD"/>
    <w:rsid w:val="6A692AFB"/>
    <w:rsid w:val="6A71F6F3"/>
    <w:rsid w:val="6A79B0DF"/>
    <w:rsid w:val="6AA0CA31"/>
    <w:rsid w:val="6AA52D29"/>
    <w:rsid w:val="6AADD641"/>
    <w:rsid w:val="6AB26BC7"/>
    <w:rsid w:val="6AC26270"/>
    <w:rsid w:val="6AC7F8F9"/>
    <w:rsid w:val="6ACF8BC4"/>
    <w:rsid w:val="6ADBC6A2"/>
    <w:rsid w:val="6AE7987A"/>
    <w:rsid w:val="6AE7DAEA"/>
    <w:rsid w:val="6AE8CEB6"/>
    <w:rsid w:val="6AF7F264"/>
    <w:rsid w:val="6B158E49"/>
    <w:rsid w:val="6B189FE1"/>
    <w:rsid w:val="6B25A5C3"/>
    <w:rsid w:val="6B32C501"/>
    <w:rsid w:val="6B3803F7"/>
    <w:rsid w:val="6B3B06E4"/>
    <w:rsid w:val="6B3E0025"/>
    <w:rsid w:val="6B44CB46"/>
    <w:rsid w:val="6B478F55"/>
    <w:rsid w:val="6B5126A2"/>
    <w:rsid w:val="6B59BF77"/>
    <w:rsid w:val="6B6BEB16"/>
    <w:rsid w:val="6B6D37E8"/>
    <w:rsid w:val="6B6F7C03"/>
    <w:rsid w:val="6B76F4BD"/>
    <w:rsid w:val="6B8591C3"/>
    <w:rsid w:val="6B9D35FB"/>
    <w:rsid w:val="6BA54087"/>
    <w:rsid w:val="6BA65D85"/>
    <w:rsid w:val="6BB0ADA5"/>
    <w:rsid w:val="6BBAD849"/>
    <w:rsid w:val="6BC11C41"/>
    <w:rsid w:val="6BCC5876"/>
    <w:rsid w:val="6BCFD7C5"/>
    <w:rsid w:val="6BCFE587"/>
    <w:rsid w:val="6BD0887A"/>
    <w:rsid w:val="6BD51323"/>
    <w:rsid w:val="6BE0DE92"/>
    <w:rsid w:val="6BE1A749"/>
    <w:rsid w:val="6BE1F682"/>
    <w:rsid w:val="6BEE6697"/>
    <w:rsid w:val="6BF16A0A"/>
    <w:rsid w:val="6BF16FB6"/>
    <w:rsid w:val="6BF6BEF1"/>
    <w:rsid w:val="6C089F66"/>
    <w:rsid w:val="6C11BB4A"/>
    <w:rsid w:val="6C17729F"/>
    <w:rsid w:val="6C183794"/>
    <w:rsid w:val="6C1845C8"/>
    <w:rsid w:val="6C297AEB"/>
    <w:rsid w:val="6C2DB93E"/>
    <w:rsid w:val="6C4484BB"/>
    <w:rsid w:val="6C483B12"/>
    <w:rsid w:val="6C4B1CDF"/>
    <w:rsid w:val="6C59739A"/>
    <w:rsid w:val="6C5AC60C"/>
    <w:rsid w:val="6C5F879A"/>
    <w:rsid w:val="6C7D02B6"/>
    <w:rsid w:val="6C897F38"/>
    <w:rsid w:val="6C8AE8D0"/>
    <w:rsid w:val="6C8D0012"/>
    <w:rsid w:val="6C932040"/>
    <w:rsid w:val="6C946B69"/>
    <w:rsid w:val="6CAD5BE4"/>
    <w:rsid w:val="6CC29981"/>
    <w:rsid w:val="6CC7E437"/>
    <w:rsid w:val="6CD49F71"/>
    <w:rsid w:val="6CE397CE"/>
    <w:rsid w:val="6CE4DD19"/>
    <w:rsid w:val="6CEB79BA"/>
    <w:rsid w:val="6D0314EB"/>
    <w:rsid w:val="6D155924"/>
    <w:rsid w:val="6D1DF63F"/>
    <w:rsid w:val="6D250927"/>
    <w:rsid w:val="6D2B0F8C"/>
    <w:rsid w:val="6D2EB92F"/>
    <w:rsid w:val="6D308287"/>
    <w:rsid w:val="6D31D946"/>
    <w:rsid w:val="6D3B0159"/>
    <w:rsid w:val="6D496F9E"/>
    <w:rsid w:val="6D4C530C"/>
    <w:rsid w:val="6D502414"/>
    <w:rsid w:val="6D52C8DF"/>
    <w:rsid w:val="6D58AF8F"/>
    <w:rsid w:val="6D5D8B61"/>
    <w:rsid w:val="6D62BC07"/>
    <w:rsid w:val="6D64E63A"/>
    <w:rsid w:val="6D7C5220"/>
    <w:rsid w:val="6D7F7C12"/>
    <w:rsid w:val="6D8780D6"/>
    <w:rsid w:val="6D987E97"/>
    <w:rsid w:val="6DBC0C2A"/>
    <w:rsid w:val="6DC015E2"/>
    <w:rsid w:val="6DC6ED88"/>
    <w:rsid w:val="6DD2A1BB"/>
    <w:rsid w:val="6DDE64D9"/>
    <w:rsid w:val="6DEEDCDA"/>
    <w:rsid w:val="6DF62C6E"/>
    <w:rsid w:val="6DF8B1C7"/>
    <w:rsid w:val="6DFEC401"/>
    <w:rsid w:val="6E05DF86"/>
    <w:rsid w:val="6E1314E2"/>
    <w:rsid w:val="6E1B31A7"/>
    <w:rsid w:val="6E442419"/>
    <w:rsid w:val="6E51C3E1"/>
    <w:rsid w:val="6E541922"/>
    <w:rsid w:val="6E5FA986"/>
    <w:rsid w:val="6E6FBFCA"/>
    <w:rsid w:val="6E6FFA1D"/>
    <w:rsid w:val="6E747911"/>
    <w:rsid w:val="6E75AC5D"/>
    <w:rsid w:val="6E768EBC"/>
    <w:rsid w:val="6E7E318E"/>
    <w:rsid w:val="6E813802"/>
    <w:rsid w:val="6E88F090"/>
    <w:rsid w:val="6E8925E7"/>
    <w:rsid w:val="6E8B74D4"/>
    <w:rsid w:val="6E940C84"/>
    <w:rsid w:val="6E9B4C72"/>
    <w:rsid w:val="6EAD0BB7"/>
    <w:rsid w:val="6EB1231A"/>
    <w:rsid w:val="6ECFFA8A"/>
    <w:rsid w:val="6EE968D1"/>
    <w:rsid w:val="6F0203C8"/>
    <w:rsid w:val="6F0234D2"/>
    <w:rsid w:val="6F026C76"/>
    <w:rsid w:val="6F0CB69F"/>
    <w:rsid w:val="6F1C9108"/>
    <w:rsid w:val="6F21039A"/>
    <w:rsid w:val="6F227AA7"/>
    <w:rsid w:val="6F2301DD"/>
    <w:rsid w:val="6F274278"/>
    <w:rsid w:val="6F2BA2AA"/>
    <w:rsid w:val="6F2C061C"/>
    <w:rsid w:val="6F344EF8"/>
    <w:rsid w:val="6F3E31D5"/>
    <w:rsid w:val="6F410B3A"/>
    <w:rsid w:val="6F43ECD6"/>
    <w:rsid w:val="6F4C990B"/>
    <w:rsid w:val="6F54F540"/>
    <w:rsid w:val="6F6EF97A"/>
    <w:rsid w:val="6F73F846"/>
    <w:rsid w:val="6F754E1B"/>
    <w:rsid w:val="6F78B36E"/>
    <w:rsid w:val="6F8CDBF8"/>
    <w:rsid w:val="6F99ECC6"/>
    <w:rsid w:val="6F9A3B42"/>
    <w:rsid w:val="6FA126F3"/>
    <w:rsid w:val="6FA64511"/>
    <w:rsid w:val="6FAE71D7"/>
    <w:rsid w:val="6FBB784D"/>
    <w:rsid w:val="6FBF6965"/>
    <w:rsid w:val="6FC25ADE"/>
    <w:rsid w:val="6FD7DF0B"/>
    <w:rsid w:val="6FE1C25B"/>
    <w:rsid w:val="6FF0F10F"/>
    <w:rsid w:val="6FF146EA"/>
    <w:rsid w:val="70006F3C"/>
    <w:rsid w:val="70079194"/>
    <w:rsid w:val="70245BF1"/>
    <w:rsid w:val="7024C0F1"/>
    <w:rsid w:val="70392B09"/>
    <w:rsid w:val="703D5167"/>
    <w:rsid w:val="703E9CE1"/>
    <w:rsid w:val="704D6A18"/>
    <w:rsid w:val="7050E5C8"/>
    <w:rsid w:val="70534C6F"/>
    <w:rsid w:val="705A0599"/>
    <w:rsid w:val="706685E3"/>
    <w:rsid w:val="706B2E66"/>
    <w:rsid w:val="70739F96"/>
    <w:rsid w:val="70810CB0"/>
    <w:rsid w:val="70811060"/>
    <w:rsid w:val="70827EE8"/>
    <w:rsid w:val="709BB5F7"/>
    <w:rsid w:val="709E9DFD"/>
    <w:rsid w:val="70A63AE9"/>
    <w:rsid w:val="70A6FDCD"/>
    <w:rsid w:val="70AEAB4F"/>
    <w:rsid w:val="70B03961"/>
    <w:rsid w:val="70B130DE"/>
    <w:rsid w:val="70B158FA"/>
    <w:rsid w:val="70B22410"/>
    <w:rsid w:val="70B483BF"/>
    <w:rsid w:val="70BF4C93"/>
    <w:rsid w:val="70CC5EB1"/>
    <w:rsid w:val="70CFCA06"/>
    <w:rsid w:val="70D61FC1"/>
    <w:rsid w:val="70D90902"/>
    <w:rsid w:val="70E2A60B"/>
    <w:rsid w:val="70F5F137"/>
    <w:rsid w:val="70FA863A"/>
    <w:rsid w:val="7105D587"/>
    <w:rsid w:val="710795F7"/>
    <w:rsid w:val="71119C49"/>
    <w:rsid w:val="7113E758"/>
    <w:rsid w:val="7114765F"/>
    <w:rsid w:val="7118AAB3"/>
    <w:rsid w:val="712E1646"/>
    <w:rsid w:val="71356031"/>
    <w:rsid w:val="71419F12"/>
    <w:rsid w:val="71498272"/>
    <w:rsid w:val="714F2127"/>
    <w:rsid w:val="715B130C"/>
    <w:rsid w:val="7162061B"/>
    <w:rsid w:val="7163C8C0"/>
    <w:rsid w:val="716E38A7"/>
    <w:rsid w:val="7172D888"/>
    <w:rsid w:val="71735EAA"/>
    <w:rsid w:val="717CA87F"/>
    <w:rsid w:val="7180B7AD"/>
    <w:rsid w:val="7180DF4F"/>
    <w:rsid w:val="7180ED18"/>
    <w:rsid w:val="718CC170"/>
    <w:rsid w:val="71B12D84"/>
    <w:rsid w:val="71B3A919"/>
    <w:rsid w:val="71DABB48"/>
    <w:rsid w:val="71DB6626"/>
    <w:rsid w:val="71DCAA11"/>
    <w:rsid w:val="71E23D77"/>
    <w:rsid w:val="71F21454"/>
    <w:rsid w:val="71F38596"/>
    <w:rsid w:val="72128E30"/>
    <w:rsid w:val="72133258"/>
    <w:rsid w:val="72184C9B"/>
    <w:rsid w:val="721A9738"/>
    <w:rsid w:val="721A9FD9"/>
    <w:rsid w:val="7224CFED"/>
    <w:rsid w:val="7225BCE2"/>
    <w:rsid w:val="7235802D"/>
    <w:rsid w:val="72534FE3"/>
    <w:rsid w:val="725D4028"/>
    <w:rsid w:val="7261276C"/>
    <w:rsid w:val="7264E612"/>
    <w:rsid w:val="726B0165"/>
    <w:rsid w:val="726B5095"/>
    <w:rsid w:val="726B9A67"/>
    <w:rsid w:val="726EBAD7"/>
    <w:rsid w:val="7273B3AE"/>
    <w:rsid w:val="727B8A87"/>
    <w:rsid w:val="728CB008"/>
    <w:rsid w:val="729206AE"/>
    <w:rsid w:val="72B31522"/>
    <w:rsid w:val="72D28ABC"/>
    <w:rsid w:val="72E1BDFF"/>
    <w:rsid w:val="72E317C0"/>
    <w:rsid w:val="72E36D5E"/>
    <w:rsid w:val="72E3FCC1"/>
    <w:rsid w:val="72EDFFBF"/>
    <w:rsid w:val="72FA62FE"/>
    <w:rsid w:val="7308ECD9"/>
    <w:rsid w:val="730BD724"/>
    <w:rsid w:val="730E1F9D"/>
    <w:rsid w:val="7317EB3C"/>
    <w:rsid w:val="7318AF86"/>
    <w:rsid w:val="731B2412"/>
    <w:rsid w:val="732AEEB6"/>
    <w:rsid w:val="7331DB05"/>
    <w:rsid w:val="734F797A"/>
    <w:rsid w:val="7354742D"/>
    <w:rsid w:val="735A2B9D"/>
    <w:rsid w:val="7363A0B7"/>
    <w:rsid w:val="736502CC"/>
    <w:rsid w:val="7373A961"/>
    <w:rsid w:val="73895EC6"/>
    <w:rsid w:val="738A55B9"/>
    <w:rsid w:val="738F001B"/>
    <w:rsid w:val="73996ADC"/>
    <w:rsid w:val="739A8914"/>
    <w:rsid w:val="73A8124D"/>
    <w:rsid w:val="73AF66B0"/>
    <w:rsid w:val="73B2E2CA"/>
    <w:rsid w:val="73BBBF84"/>
    <w:rsid w:val="73BCB094"/>
    <w:rsid w:val="73C370D5"/>
    <w:rsid w:val="73C3A219"/>
    <w:rsid w:val="73DCAEE7"/>
    <w:rsid w:val="73E24CF2"/>
    <w:rsid w:val="73E8B913"/>
    <w:rsid w:val="73EB46C4"/>
    <w:rsid w:val="73FC6243"/>
    <w:rsid w:val="7404954F"/>
    <w:rsid w:val="74049EDF"/>
    <w:rsid w:val="740C260B"/>
    <w:rsid w:val="74146321"/>
    <w:rsid w:val="741A6636"/>
    <w:rsid w:val="7430EAFD"/>
    <w:rsid w:val="7432A99C"/>
    <w:rsid w:val="7433F7B9"/>
    <w:rsid w:val="74355D08"/>
    <w:rsid w:val="743ADFD1"/>
    <w:rsid w:val="743F2FE2"/>
    <w:rsid w:val="743F461C"/>
    <w:rsid w:val="7446E495"/>
    <w:rsid w:val="744891BB"/>
    <w:rsid w:val="744C82D3"/>
    <w:rsid w:val="744E3876"/>
    <w:rsid w:val="74537CB7"/>
    <w:rsid w:val="74575010"/>
    <w:rsid w:val="74593488"/>
    <w:rsid w:val="745D62FF"/>
    <w:rsid w:val="745E4DF7"/>
    <w:rsid w:val="745EE7D2"/>
    <w:rsid w:val="745FCB77"/>
    <w:rsid w:val="7463CA3C"/>
    <w:rsid w:val="747BBA1C"/>
    <w:rsid w:val="7485585D"/>
    <w:rsid w:val="7485AC4D"/>
    <w:rsid w:val="74934808"/>
    <w:rsid w:val="74A12767"/>
    <w:rsid w:val="74A2E2D8"/>
    <w:rsid w:val="74A51466"/>
    <w:rsid w:val="74A9C403"/>
    <w:rsid w:val="74B48A7F"/>
    <w:rsid w:val="74B6D74A"/>
    <w:rsid w:val="74BB32EA"/>
    <w:rsid w:val="74C0DDC8"/>
    <w:rsid w:val="74D219F7"/>
    <w:rsid w:val="74D6B026"/>
    <w:rsid w:val="74DF09B7"/>
    <w:rsid w:val="74FB0BBE"/>
    <w:rsid w:val="750747D4"/>
    <w:rsid w:val="7508A2D2"/>
    <w:rsid w:val="750A042E"/>
    <w:rsid w:val="750B770B"/>
    <w:rsid w:val="751D070B"/>
    <w:rsid w:val="752012E9"/>
    <w:rsid w:val="75222F4D"/>
    <w:rsid w:val="752CF485"/>
    <w:rsid w:val="7544CE2F"/>
    <w:rsid w:val="754AD85F"/>
    <w:rsid w:val="754C22CD"/>
    <w:rsid w:val="75581CEF"/>
    <w:rsid w:val="756335AA"/>
    <w:rsid w:val="756957C6"/>
    <w:rsid w:val="7572A89E"/>
    <w:rsid w:val="7574350C"/>
    <w:rsid w:val="757AE8A1"/>
    <w:rsid w:val="757BCA68"/>
    <w:rsid w:val="758AFD8B"/>
    <w:rsid w:val="75A078FB"/>
    <w:rsid w:val="75A56059"/>
    <w:rsid w:val="75AD7359"/>
    <w:rsid w:val="75B63964"/>
    <w:rsid w:val="75B7B207"/>
    <w:rsid w:val="75B83354"/>
    <w:rsid w:val="75B85D76"/>
    <w:rsid w:val="75B99558"/>
    <w:rsid w:val="75BC6F24"/>
    <w:rsid w:val="75BF225A"/>
    <w:rsid w:val="75C905FB"/>
    <w:rsid w:val="75CC68AF"/>
    <w:rsid w:val="75D0BFD7"/>
    <w:rsid w:val="75D5D12C"/>
    <w:rsid w:val="75D8BB97"/>
    <w:rsid w:val="75E1B08A"/>
    <w:rsid w:val="75E3E397"/>
    <w:rsid w:val="75EE954D"/>
    <w:rsid w:val="76103CB7"/>
    <w:rsid w:val="7616F3A1"/>
    <w:rsid w:val="761BA5F5"/>
    <w:rsid w:val="761C4882"/>
    <w:rsid w:val="7628816D"/>
    <w:rsid w:val="7631CFFC"/>
    <w:rsid w:val="763FDBD4"/>
    <w:rsid w:val="7643F25C"/>
    <w:rsid w:val="7655619E"/>
    <w:rsid w:val="765F1EB7"/>
    <w:rsid w:val="765F2309"/>
    <w:rsid w:val="76703AE3"/>
    <w:rsid w:val="767B713D"/>
    <w:rsid w:val="768B2710"/>
    <w:rsid w:val="76911248"/>
    <w:rsid w:val="769134E7"/>
    <w:rsid w:val="7693D949"/>
    <w:rsid w:val="76B042D1"/>
    <w:rsid w:val="76BB3DC5"/>
    <w:rsid w:val="76CBAEFE"/>
    <w:rsid w:val="76CCAA61"/>
    <w:rsid w:val="76CE372C"/>
    <w:rsid w:val="76CF532E"/>
    <w:rsid w:val="76D291FF"/>
    <w:rsid w:val="76E1D67D"/>
    <w:rsid w:val="76E2B179"/>
    <w:rsid w:val="76F0D593"/>
    <w:rsid w:val="76F4AD6C"/>
    <w:rsid w:val="76F56E13"/>
    <w:rsid w:val="770C535D"/>
    <w:rsid w:val="771C1A12"/>
    <w:rsid w:val="771E38F1"/>
    <w:rsid w:val="7722C82E"/>
    <w:rsid w:val="7724CEBC"/>
    <w:rsid w:val="77283BE1"/>
    <w:rsid w:val="77347CF8"/>
    <w:rsid w:val="7744994C"/>
    <w:rsid w:val="776514AA"/>
    <w:rsid w:val="776A4C4D"/>
    <w:rsid w:val="776CAC84"/>
    <w:rsid w:val="77709159"/>
    <w:rsid w:val="777A02E5"/>
    <w:rsid w:val="777B42DE"/>
    <w:rsid w:val="777B4568"/>
    <w:rsid w:val="77818459"/>
    <w:rsid w:val="7786563A"/>
    <w:rsid w:val="77984253"/>
    <w:rsid w:val="779C2E8A"/>
    <w:rsid w:val="77A00DEB"/>
    <w:rsid w:val="77B4CECA"/>
    <w:rsid w:val="77BA58F4"/>
    <w:rsid w:val="77C1F0DA"/>
    <w:rsid w:val="77C5A207"/>
    <w:rsid w:val="77C64DAC"/>
    <w:rsid w:val="77D32CAB"/>
    <w:rsid w:val="77D8C829"/>
    <w:rsid w:val="77E285CA"/>
    <w:rsid w:val="77E8B22A"/>
    <w:rsid w:val="77EB83EF"/>
    <w:rsid w:val="77F1A826"/>
    <w:rsid w:val="77FC02F4"/>
    <w:rsid w:val="77FEF69E"/>
    <w:rsid w:val="77FF1CFD"/>
    <w:rsid w:val="7800B4A4"/>
    <w:rsid w:val="780CA236"/>
    <w:rsid w:val="781AB769"/>
    <w:rsid w:val="782BCBD6"/>
    <w:rsid w:val="782FEE81"/>
    <w:rsid w:val="7843E0B3"/>
    <w:rsid w:val="7847AEEB"/>
    <w:rsid w:val="784C5CC9"/>
    <w:rsid w:val="784EC357"/>
    <w:rsid w:val="78509796"/>
    <w:rsid w:val="7852E394"/>
    <w:rsid w:val="785314FC"/>
    <w:rsid w:val="7855481B"/>
    <w:rsid w:val="785AB719"/>
    <w:rsid w:val="785E5441"/>
    <w:rsid w:val="785F1649"/>
    <w:rsid w:val="78625A3E"/>
    <w:rsid w:val="78676053"/>
    <w:rsid w:val="78681CFB"/>
    <w:rsid w:val="786B491B"/>
    <w:rsid w:val="788495A7"/>
    <w:rsid w:val="788534D9"/>
    <w:rsid w:val="7894FE66"/>
    <w:rsid w:val="78A0F888"/>
    <w:rsid w:val="78AB2A62"/>
    <w:rsid w:val="78B533D5"/>
    <w:rsid w:val="78BDB67F"/>
    <w:rsid w:val="78C14294"/>
    <w:rsid w:val="78C1F0A0"/>
    <w:rsid w:val="78C6A56D"/>
    <w:rsid w:val="78C8E89E"/>
    <w:rsid w:val="78C9CFF4"/>
    <w:rsid w:val="78D0098B"/>
    <w:rsid w:val="78DA2671"/>
    <w:rsid w:val="78DBBF54"/>
    <w:rsid w:val="78E45CD6"/>
    <w:rsid w:val="78E4711D"/>
    <w:rsid w:val="78EBBB4D"/>
    <w:rsid w:val="78ECA8E4"/>
    <w:rsid w:val="7907B0DD"/>
    <w:rsid w:val="7910D3BB"/>
    <w:rsid w:val="79174804"/>
    <w:rsid w:val="79230124"/>
    <w:rsid w:val="79250571"/>
    <w:rsid w:val="79290506"/>
    <w:rsid w:val="79371E1D"/>
    <w:rsid w:val="793747FA"/>
    <w:rsid w:val="793F43F0"/>
    <w:rsid w:val="794367C5"/>
    <w:rsid w:val="794BC5F2"/>
    <w:rsid w:val="794FA94B"/>
    <w:rsid w:val="7957F40C"/>
    <w:rsid w:val="795E2D9F"/>
    <w:rsid w:val="796A1AB4"/>
    <w:rsid w:val="797707E6"/>
    <w:rsid w:val="7978C069"/>
    <w:rsid w:val="7984882D"/>
    <w:rsid w:val="79A11C89"/>
    <w:rsid w:val="79A3E69B"/>
    <w:rsid w:val="79A81EFA"/>
    <w:rsid w:val="79A880FE"/>
    <w:rsid w:val="79A8B7F7"/>
    <w:rsid w:val="79ABFBE1"/>
    <w:rsid w:val="79B17C9F"/>
    <w:rsid w:val="79B200D3"/>
    <w:rsid w:val="79B2DCD5"/>
    <w:rsid w:val="79B5CBD4"/>
    <w:rsid w:val="79B6F3B8"/>
    <w:rsid w:val="79C331DC"/>
    <w:rsid w:val="79C62765"/>
    <w:rsid w:val="79CAEC78"/>
    <w:rsid w:val="79CC2201"/>
    <w:rsid w:val="79DB0124"/>
    <w:rsid w:val="79DB785D"/>
    <w:rsid w:val="79E60DC6"/>
    <w:rsid w:val="79E98E1F"/>
    <w:rsid w:val="79FD37F6"/>
    <w:rsid w:val="79FEC7F5"/>
    <w:rsid w:val="79FFAEA7"/>
    <w:rsid w:val="7A0C8B16"/>
    <w:rsid w:val="7A0FBC13"/>
    <w:rsid w:val="7A1D4413"/>
    <w:rsid w:val="7A1E189F"/>
    <w:rsid w:val="7A22E1AC"/>
    <w:rsid w:val="7A278176"/>
    <w:rsid w:val="7A2D2774"/>
    <w:rsid w:val="7A498EC2"/>
    <w:rsid w:val="7A54394A"/>
    <w:rsid w:val="7A57CB72"/>
    <w:rsid w:val="7A7042C9"/>
    <w:rsid w:val="7A7AA0B8"/>
    <w:rsid w:val="7A86EB04"/>
    <w:rsid w:val="7A90CE31"/>
    <w:rsid w:val="7A91E607"/>
    <w:rsid w:val="7A92937D"/>
    <w:rsid w:val="7A9B6BC7"/>
    <w:rsid w:val="7AA1F7FA"/>
    <w:rsid w:val="7AA614A1"/>
    <w:rsid w:val="7AAE12B7"/>
    <w:rsid w:val="7AC3FA0B"/>
    <w:rsid w:val="7ACBFA79"/>
    <w:rsid w:val="7AD035EB"/>
    <w:rsid w:val="7AED1A5C"/>
    <w:rsid w:val="7AEDF33D"/>
    <w:rsid w:val="7AF8EF39"/>
    <w:rsid w:val="7AFE1B1A"/>
    <w:rsid w:val="7B0D0380"/>
    <w:rsid w:val="7B0E162E"/>
    <w:rsid w:val="7B0EB16A"/>
    <w:rsid w:val="7B1220F2"/>
    <w:rsid w:val="7B1968EB"/>
    <w:rsid w:val="7B238A54"/>
    <w:rsid w:val="7B32891C"/>
    <w:rsid w:val="7B3BC98D"/>
    <w:rsid w:val="7B48FA1F"/>
    <w:rsid w:val="7B5D60FB"/>
    <w:rsid w:val="7B66BAF7"/>
    <w:rsid w:val="7B678FF2"/>
    <w:rsid w:val="7B6A6F3F"/>
    <w:rsid w:val="7B7B7F37"/>
    <w:rsid w:val="7B827F98"/>
    <w:rsid w:val="7B9AD30B"/>
    <w:rsid w:val="7BA21EE1"/>
    <w:rsid w:val="7BA23CDD"/>
    <w:rsid w:val="7BA85B77"/>
    <w:rsid w:val="7BC3FF21"/>
    <w:rsid w:val="7BDD1462"/>
    <w:rsid w:val="7BE09B9A"/>
    <w:rsid w:val="7BEC9D23"/>
    <w:rsid w:val="7BEE4BCB"/>
    <w:rsid w:val="7BF01A2A"/>
    <w:rsid w:val="7BF1C1A7"/>
    <w:rsid w:val="7BF60DA6"/>
    <w:rsid w:val="7BFB8D05"/>
    <w:rsid w:val="7BFC29FA"/>
    <w:rsid w:val="7BFC6A51"/>
    <w:rsid w:val="7C057B44"/>
    <w:rsid w:val="7C08856B"/>
    <w:rsid w:val="7C0E8B25"/>
    <w:rsid w:val="7C1C2653"/>
    <w:rsid w:val="7C1FECF4"/>
    <w:rsid w:val="7C3CBC3B"/>
    <w:rsid w:val="7C46A20F"/>
    <w:rsid w:val="7C46B1FF"/>
    <w:rsid w:val="7C4A7BEA"/>
    <w:rsid w:val="7C4D06BB"/>
    <w:rsid w:val="7C52E4D1"/>
    <w:rsid w:val="7C717EC8"/>
    <w:rsid w:val="7C7A6F62"/>
    <w:rsid w:val="7C8C9BF1"/>
    <w:rsid w:val="7C8E9B22"/>
    <w:rsid w:val="7C9556CA"/>
    <w:rsid w:val="7CA1015A"/>
    <w:rsid w:val="7CAAF380"/>
    <w:rsid w:val="7CAE538B"/>
    <w:rsid w:val="7CB3575B"/>
    <w:rsid w:val="7CBC537A"/>
    <w:rsid w:val="7CC6855F"/>
    <w:rsid w:val="7CD0AFFD"/>
    <w:rsid w:val="7CD331DD"/>
    <w:rsid w:val="7CD39423"/>
    <w:rsid w:val="7CE21FDC"/>
    <w:rsid w:val="7CFAEDDC"/>
    <w:rsid w:val="7CFBB825"/>
    <w:rsid w:val="7D0022C3"/>
    <w:rsid w:val="7D038CA6"/>
    <w:rsid w:val="7D094D4F"/>
    <w:rsid w:val="7D0AACC2"/>
    <w:rsid w:val="7D1BC8BD"/>
    <w:rsid w:val="7D2B037B"/>
    <w:rsid w:val="7D2E939C"/>
    <w:rsid w:val="7D319EF3"/>
    <w:rsid w:val="7D48C759"/>
    <w:rsid w:val="7D48E2F0"/>
    <w:rsid w:val="7D4E0C01"/>
    <w:rsid w:val="7D57C9CC"/>
    <w:rsid w:val="7D5AEAFF"/>
    <w:rsid w:val="7D61C524"/>
    <w:rsid w:val="7D6AE925"/>
    <w:rsid w:val="7D6C055C"/>
    <w:rsid w:val="7D6F21DC"/>
    <w:rsid w:val="7D740653"/>
    <w:rsid w:val="7D753B38"/>
    <w:rsid w:val="7D870C04"/>
    <w:rsid w:val="7D9AA420"/>
    <w:rsid w:val="7D9FC72E"/>
    <w:rsid w:val="7D9FEBF7"/>
    <w:rsid w:val="7DB68FE7"/>
    <w:rsid w:val="7DC5ED55"/>
    <w:rsid w:val="7DD1FD7F"/>
    <w:rsid w:val="7DD39A1C"/>
    <w:rsid w:val="7DDD3C10"/>
    <w:rsid w:val="7DE1164D"/>
    <w:rsid w:val="7DE82EF2"/>
    <w:rsid w:val="7DEDEA57"/>
    <w:rsid w:val="7DF11DBB"/>
    <w:rsid w:val="7DF8F33B"/>
    <w:rsid w:val="7E172EF4"/>
    <w:rsid w:val="7E18094C"/>
    <w:rsid w:val="7E1E7B37"/>
    <w:rsid w:val="7E2330A8"/>
    <w:rsid w:val="7E3221B6"/>
    <w:rsid w:val="7E3E4954"/>
    <w:rsid w:val="7E4EBF4E"/>
    <w:rsid w:val="7E5D9FC2"/>
    <w:rsid w:val="7E6B4478"/>
    <w:rsid w:val="7E736A4F"/>
    <w:rsid w:val="7E9273B2"/>
    <w:rsid w:val="7E92DF5F"/>
    <w:rsid w:val="7E9A5615"/>
    <w:rsid w:val="7EAD81A3"/>
    <w:rsid w:val="7EAF5F9F"/>
    <w:rsid w:val="7EAFCDBB"/>
    <w:rsid w:val="7EBA9747"/>
    <w:rsid w:val="7EC2AFC6"/>
    <w:rsid w:val="7EC6D3DC"/>
    <w:rsid w:val="7ECA1B91"/>
    <w:rsid w:val="7ED475CF"/>
    <w:rsid w:val="7EDA67FC"/>
    <w:rsid w:val="7EDACAE9"/>
    <w:rsid w:val="7EEAB67E"/>
    <w:rsid w:val="7EFB0828"/>
    <w:rsid w:val="7F12E2F4"/>
    <w:rsid w:val="7F22AF29"/>
    <w:rsid w:val="7F25EFE1"/>
    <w:rsid w:val="7F2805AA"/>
    <w:rsid w:val="7F471AF4"/>
    <w:rsid w:val="7F528486"/>
    <w:rsid w:val="7F62E68E"/>
    <w:rsid w:val="7F66406A"/>
    <w:rsid w:val="7F69DF6A"/>
    <w:rsid w:val="7F6CC6B7"/>
    <w:rsid w:val="7F6D38AA"/>
    <w:rsid w:val="7F778040"/>
    <w:rsid w:val="7F7E7447"/>
    <w:rsid w:val="7F7E81EA"/>
    <w:rsid w:val="7F7F0877"/>
    <w:rsid w:val="7F8BAEB8"/>
    <w:rsid w:val="7F9DD58E"/>
    <w:rsid w:val="7FA36FBB"/>
    <w:rsid w:val="7FADB3C1"/>
    <w:rsid w:val="7FD2E69E"/>
    <w:rsid w:val="7FDA80F7"/>
    <w:rsid w:val="7FDBC891"/>
    <w:rsid w:val="7FE1DDC3"/>
    <w:rsid w:val="7FE52724"/>
    <w:rsid w:val="7FE98CEC"/>
    <w:rsid w:val="7FF36756"/>
    <w:rsid w:val="7FFCF421"/>
    <w:rsid w:val="7FFE725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FF24C0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9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0"/>
    <w:qFormat/>
    <w:rsid w:val="002C01F2"/>
    <w:pPr>
      <w:spacing w:after="240" w:line="240" w:lineRule="auto"/>
      <w:jc w:val="both"/>
    </w:pPr>
    <w:rPr>
      <w:rFonts w:ascii="Times New Roman" w:eastAsia="Times New Roman" w:hAnsi="Times New Roman" w:cs="Times New Roman"/>
      <w:sz w:val="24"/>
      <w:szCs w:val="20"/>
      <w:lang w:eastAsia="fr-BE"/>
    </w:rPr>
  </w:style>
  <w:style w:type="paragraph" w:styleId="Heading1">
    <w:name w:val="heading 1"/>
    <w:basedOn w:val="Normal"/>
    <w:next w:val="Normal"/>
    <w:link w:val="Heading1Char"/>
    <w:uiPriority w:val="9"/>
    <w:qFormat/>
    <w:rsid w:val="005133BD"/>
    <w:pPr>
      <w:keepNext/>
      <w:keepLines/>
      <w:numPr>
        <w:numId w:val="186"/>
      </w:numPr>
      <w:spacing w:before="240" w:after="0"/>
      <w:jc w:val="left"/>
      <w:outlineLvl w:val="0"/>
    </w:pPr>
    <w:rPr>
      <w:rFonts w:asciiTheme="majorHAnsi" w:eastAsiaTheme="majorEastAsia" w:hAnsiTheme="majorHAnsi" w:cstheme="majorBidi"/>
      <w:color w:val="2E74B5" w:themeColor="accent1" w:themeShade="BF"/>
      <w:sz w:val="32"/>
      <w:szCs w:val="32"/>
      <w:lang w:eastAsia="en-US"/>
    </w:rPr>
  </w:style>
  <w:style w:type="paragraph" w:styleId="Heading2">
    <w:name w:val="heading 2"/>
    <w:basedOn w:val="Normal"/>
    <w:next w:val="Normal"/>
    <w:link w:val="Heading2Char"/>
    <w:uiPriority w:val="9"/>
    <w:unhideWhenUsed/>
    <w:qFormat/>
    <w:rsid w:val="00572BE7"/>
    <w:pPr>
      <w:keepNext/>
      <w:keepLines/>
      <w:spacing w:before="40" w:after="0"/>
      <w:jc w:val="left"/>
      <w:outlineLvl w:val="1"/>
    </w:pPr>
    <w:rPr>
      <w:rFonts w:asciiTheme="majorHAnsi" w:eastAsiaTheme="majorEastAsia" w:hAnsiTheme="majorHAnsi" w:cstheme="majorBidi"/>
      <w:color w:val="000000" w:themeColor="text1"/>
      <w:sz w:val="26"/>
      <w:szCs w:val="26"/>
      <w:lang w:eastAsia="en-US"/>
    </w:rPr>
  </w:style>
  <w:style w:type="paragraph" w:styleId="Heading3">
    <w:name w:val="heading 3"/>
    <w:basedOn w:val="Normal"/>
    <w:next w:val="Normal"/>
    <w:link w:val="Heading3Char"/>
    <w:uiPriority w:val="9"/>
    <w:unhideWhenUsed/>
    <w:qFormat/>
    <w:rsid w:val="0062492F"/>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1A6BB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1,Normal bullet 2,Bullet list,Numbered List,List Paragraph1,1st level - Bullet List Paragraph,Lettre d'introduction,Paragrafo elenco,Llista Nivell1,Lista de nivel 1,Table of contents numbered,Paragraphe de liste PBLH,BULLET 1,List11,L"/>
    <w:basedOn w:val="Normal"/>
    <w:link w:val="ListParagraphChar"/>
    <w:uiPriority w:val="34"/>
    <w:qFormat/>
    <w:rsid w:val="00C20B11"/>
    <w:pPr>
      <w:spacing w:after="0"/>
      <w:ind w:left="720"/>
      <w:jc w:val="left"/>
    </w:pPr>
    <w:rPr>
      <w:rFonts w:eastAsia="Calibri"/>
      <w:szCs w:val="24"/>
      <w:lang w:eastAsia="en-GB"/>
    </w:rPr>
  </w:style>
  <w:style w:type="character" w:customStyle="1" w:styleId="ListParagraphChar">
    <w:name w:val="List Paragraph Char"/>
    <w:aliases w:val="List1 Char,Normal bullet 2 Char,Bullet list Char,Numbered List Char,List Paragraph1 Char,1st level - Bullet List Paragraph Char,Lettre d'introduction Char,Paragrafo elenco Char,Llista Nivell1 Char,Lista de nivel 1 Char,BULLET 1 Char"/>
    <w:basedOn w:val="DefaultParagraphFont"/>
    <w:link w:val="ListParagraph"/>
    <w:uiPriority w:val="34"/>
    <w:qFormat/>
    <w:rsid w:val="00C20B11"/>
    <w:rPr>
      <w:rFonts w:ascii="Times New Roman" w:eastAsia="Calibri" w:hAnsi="Times New Roman" w:cs="Times New Roman"/>
      <w:sz w:val="24"/>
      <w:szCs w:val="24"/>
      <w:lang w:val="ro-RO" w:eastAsia="en-GB"/>
    </w:rPr>
  </w:style>
  <w:style w:type="character" w:customStyle="1" w:styleId="Heading1Char">
    <w:name w:val="Heading 1 Char"/>
    <w:basedOn w:val="DefaultParagraphFont"/>
    <w:link w:val="Heading1"/>
    <w:uiPriority w:val="9"/>
    <w:rsid w:val="005133B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72BE7"/>
    <w:rPr>
      <w:rFonts w:asciiTheme="majorHAnsi" w:eastAsiaTheme="majorEastAsia" w:hAnsiTheme="majorHAnsi" w:cstheme="majorBidi"/>
      <w:color w:val="000000" w:themeColor="text1"/>
      <w:sz w:val="26"/>
      <w:szCs w:val="26"/>
    </w:rPr>
  </w:style>
  <w:style w:type="table" w:styleId="TableGrid">
    <w:name w:val="Table Grid"/>
    <w:basedOn w:val="TableNormal"/>
    <w:uiPriority w:val="39"/>
    <w:rsid w:val="00CD2CF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ject">
    <w:name w:val="Subject"/>
    <w:basedOn w:val="Normal"/>
    <w:uiPriority w:val="99"/>
    <w:rsid w:val="00B8634E"/>
    <w:pPr>
      <w:spacing w:after="480"/>
      <w:ind w:left="1531" w:hanging="1531"/>
      <w:contextualSpacing/>
      <w:jc w:val="left"/>
    </w:pPr>
    <w:rPr>
      <w:b/>
    </w:rPr>
  </w:style>
  <w:style w:type="character" w:customStyle="1" w:styleId="normaltextrun">
    <w:name w:val="normaltextrun"/>
    <w:basedOn w:val="DefaultParagraphFont"/>
    <w:rsid w:val="00B8634E"/>
  </w:style>
  <w:style w:type="paragraph" w:customStyle="1" w:styleId="Copies">
    <w:name w:val="Copies"/>
    <w:basedOn w:val="Normal"/>
    <w:uiPriority w:val="99"/>
    <w:rsid w:val="008162B0"/>
    <w:pPr>
      <w:tabs>
        <w:tab w:val="left" w:pos="5669"/>
      </w:tabs>
      <w:spacing w:before="480" w:after="0"/>
      <w:ind w:left="1984" w:hanging="1984"/>
      <w:contextualSpacing/>
      <w:jc w:val="left"/>
    </w:pPr>
  </w:style>
  <w:style w:type="paragraph" w:customStyle="1" w:styleId="paragraph">
    <w:name w:val="paragraph"/>
    <w:basedOn w:val="Normal"/>
    <w:rsid w:val="008162B0"/>
    <w:pPr>
      <w:spacing w:before="100" w:beforeAutospacing="1" w:after="100" w:afterAutospacing="1"/>
      <w:jc w:val="left"/>
    </w:pPr>
    <w:rPr>
      <w:szCs w:val="24"/>
      <w:lang w:eastAsia="en-GB"/>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Char"/>
    <w:basedOn w:val="Normal"/>
    <w:link w:val="FootnoteTextChar"/>
    <w:uiPriority w:val="99"/>
    <w:qFormat/>
    <w:rsid w:val="007151F2"/>
    <w:pPr>
      <w:spacing w:after="120"/>
      <w:ind w:left="357" w:hanging="357"/>
    </w:pPr>
    <w:rPr>
      <w:sz w:val="20"/>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qFormat/>
    <w:rsid w:val="007151F2"/>
    <w:rPr>
      <w:rFonts w:ascii="Times New Roman" w:eastAsia="Times New Roman" w:hAnsi="Times New Roman" w:cs="Times New Roman"/>
      <w:sz w:val="20"/>
      <w:szCs w:val="20"/>
      <w:lang w:val="ro-RO" w:eastAsia="fr-BE"/>
    </w:rPr>
  </w:style>
  <w:style w:type="character" w:styleId="FootnoteReference">
    <w:name w:val="footnote reference"/>
    <w:aliases w:val="Nota Char,Char1 Char,(NECG) Footnote Reference Char,fr Char,Appel note de bas de p Char,o Char,Style 6 Char,Signature Ch Char,Footnote symbol,Footnote reference number,Footnote,Times 10 Point,Exposant 3 Point,Ref,de nota al pie,SUPERS"/>
    <w:basedOn w:val="DefaultParagraphFont"/>
    <w:link w:val="Nota"/>
    <w:uiPriority w:val="99"/>
    <w:qFormat/>
    <w:rsid w:val="007151F2"/>
    <w:rPr>
      <w:vertAlign w:val="superscript"/>
    </w:rPr>
  </w:style>
  <w:style w:type="paragraph" w:customStyle="1" w:styleId="Nota">
    <w:name w:val="Nota"/>
    <w:aliases w:val="Char1,(NECG) Footnote Reference,fr,Appel note de bas de p,o,Style 6,Signature Ch, Char1"/>
    <w:basedOn w:val="Normal"/>
    <w:link w:val="FootnoteReference"/>
    <w:uiPriority w:val="99"/>
    <w:rsid w:val="007151F2"/>
    <w:pPr>
      <w:spacing w:after="160" w:line="240" w:lineRule="exact"/>
    </w:pPr>
    <w:rPr>
      <w:rFonts w:asciiTheme="minorHAnsi" w:eastAsiaTheme="minorHAnsi" w:hAnsiTheme="minorHAnsi" w:cstheme="minorBidi"/>
      <w:sz w:val="22"/>
      <w:szCs w:val="22"/>
      <w:vertAlign w:val="superscript"/>
      <w:lang w:eastAsia="en-US"/>
    </w:rPr>
  </w:style>
  <w:style w:type="paragraph" w:styleId="NormalWeb">
    <w:name w:val="Normal (Web)"/>
    <w:basedOn w:val="Normal"/>
    <w:uiPriority w:val="99"/>
    <w:unhideWhenUsed/>
    <w:rsid w:val="0062492F"/>
    <w:pPr>
      <w:spacing w:before="100" w:beforeAutospacing="1" w:after="100" w:afterAutospacing="1"/>
      <w:jc w:val="left"/>
    </w:pPr>
    <w:rPr>
      <w:szCs w:val="24"/>
      <w:lang w:eastAsia="en-GB"/>
    </w:rPr>
  </w:style>
  <w:style w:type="paragraph" w:customStyle="1" w:styleId="logo">
    <w:name w:val="logo"/>
    <w:basedOn w:val="Normal"/>
    <w:link w:val="logoChar"/>
    <w:rsid w:val="0062492F"/>
    <w:pPr>
      <w:spacing w:before="100" w:beforeAutospacing="1" w:after="100" w:afterAutospacing="1"/>
      <w:jc w:val="left"/>
    </w:pPr>
    <w:rPr>
      <w:szCs w:val="24"/>
      <w:lang w:eastAsia="en-GB"/>
    </w:rPr>
  </w:style>
  <w:style w:type="paragraph" w:customStyle="1" w:styleId="emission">
    <w:name w:val="emission"/>
    <w:basedOn w:val="Normal"/>
    <w:rsid w:val="0062492F"/>
    <w:pPr>
      <w:spacing w:before="100" w:beforeAutospacing="1" w:after="100" w:afterAutospacing="1"/>
      <w:jc w:val="left"/>
    </w:pPr>
    <w:rPr>
      <w:szCs w:val="24"/>
      <w:lang w:eastAsia="en-GB"/>
    </w:rPr>
  </w:style>
  <w:style w:type="paragraph" w:customStyle="1" w:styleId="rfrenceinstitutionnelle">
    <w:name w:val="rfrenceinstitutionnelle"/>
    <w:basedOn w:val="Normal"/>
    <w:rsid w:val="0062492F"/>
    <w:pPr>
      <w:spacing w:before="100" w:beforeAutospacing="1" w:after="100" w:afterAutospacing="1"/>
      <w:jc w:val="left"/>
    </w:pPr>
    <w:rPr>
      <w:szCs w:val="24"/>
      <w:lang w:eastAsia="en-GB"/>
    </w:rPr>
  </w:style>
  <w:style w:type="paragraph" w:customStyle="1" w:styleId="typedudocumentcp">
    <w:name w:val="typedudocument_cp"/>
    <w:basedOn w:val="Normal"/>
    <w:rsid w:val="0062492F"/>
    <w:pPr>
      <w:spacing w:before="100" w:beforeAutospacing="1" w:after="100" w:afterAutospacing="1"/>
      <w:jc w:val="left"/>
    </w:pPr>
    <w:rPr>
      <w:szCs w:val="24"/>
      <w:lang w:eastAsia="en-GB"/>
    </w:rPr>
  </w:style>
  <w:style w:type="paragraph" w:styleId="TOCHeading">
    <w:name w:val="TOC Heading"/>
    <w:basedOn w:val="Heading1"/>
    <w:next w:val="Normal"/>
    <w:uiPriority w:val="39"/>
    <w:unhideWhenUsed/>
    <w:qFormat/>
    <w:rsid w:val="0062492F"/>
    <w:pPr>
      <w:spacing w:line="259" w:lineRule="auto"/>
      <w:outlineLvl w:val="9"/>
    </w:pPr>
  </w:style>
  <w:style w:type="paragraph" w:styleId="TOC1">
    <w:name w:val="toc 1"/>
    <w:basedOn w:val="Normal"/>
    <w:next w:val="Normal"/>
    <w:autoRedefine/>
    <w:uiPriority w:val="39"/>
    <w:unhideWhenUsed/>
    <w:rsid w:val="00DB56F9"/>
    <w:pPr>
      <w:tabs>
        <w:tab w:val="right" w:leader="dot" w:pos="9016"/>
      </w:tabs>
      <w:spacing w:after="100"/>
    </w:pPr>
  </w:style>
  <w:style w:type="paragraph" w:styleId="TOC2">
    <w:name w:val="toc 2"/>
    <w:basedOn w:val="Normal"/>
    <w:next w:val="Normal"/>
    <w:autoRedefine/>
    <w:uiPriority w:val="39"/>
    <w:unhideWhenUsed/>
    <w:rsid w:val="00011DCD"/>
    <w:pPr>
      <w:tabs>
        <w:tab w:val="right" w:leader="dot" w:pos="9016"/>
      </w:tabs>
      <w:spacing w:after="100"/>
      <w:ind w:left="284"/>
    </w:pPr>
    <w:rPr>
      <w:noProof/>
    </w:rPr>
  </w:style>
  <w:style w:type="character" w:styleId="Hyperlink">
    <w:name w:val="Hyperlink"/>
    <w:basedOn w:val="DefaultParagraphFont"/>
    <w:uiPriority w:val="99"/>
    <w:unhideWhenUsed/>
    <w:rsid w:val="0062492F"/>
    <w:rPr>
      <w:color w:val="0563C1" w:themeColor="hyperlink"/>
      <w:u w:val="single"/>
    </w:rPr>
  </w:style>
  <w:style w:type="character" w:customStyle="1" w:styleId="eop">
    <w:name w:val="eop"/>
    <w:basedOn w:val="DefaultParagraphFont"/>
    <w:rsid w:val="0062492F"/>
  </w:style>
  <w:style w:type="character" w:customStyle="1" w:styleId="Heading3Char">
    <w:name w:val="Heading 3 Char"/>
    <w:basedOn w:val="DefaultParagraphFont"/>
    <w:link w:val="Heading3"/>
    <w:uiPriority w:val="9"/>
    <w:rsid w:val="0062492F"/>
    <w:rPr>
      <w:rFonts w:asciiTheme="majorHAnsi" w:eastAsiaTheme="majorEastAsia" w:hAnsiTheme="majorHAnsi" w:cstheme="majorBidi"/>
      <w:color w:val="1F4D78" w:themeColor="accent1" w:themeShade="7F"/>
      <w:sz w:val="24"/>
      <w:szCs w:val="24"/>
      <w:lang w:val="ro-RO" w:eastAsia="fr-BE"/>
    </w:rPr>
  </w:style>
  <w:style w:type="paragraph" w:styleId="TOC3">
    <w:name w:val="toc 3"/>
    <w:basedOn w:val="Normal"/>
    <w:next w:val="Normal"/>
    <w:autoRedefine/>
    <w:uiPriority w:val="39"/>
    <w:unhideWhenUsed/>
    <w:rsid w:val="00A21EE0"/>
    <w:pPr>
      <w:tabs>
        <w:tab w:val="right" w:leader="dot" w:pos="9016"/>
      </w:tabs>
      <w:spacing w:after="100"/>
      <w:ind w:left="480"/>
    </w:pPr>
  </w:style>
  <w:style w:type="character" w:styleId="CommentReference">
    <w:name w:val="annotation reference"/>
    <w:basedOn w:val="DefaultParagraphFont"/>
    <w:uiPriority w:val="99"/>
    <w:semiHidden/>
    <w:rsid w:val="0062492F"/>
    <w:rPr>
      <w:sz w:val="16"/>
      <w:szCs w:val="16"/>
    </w:rPr>
  </w:style>
  <w:style w:type="paragraph" w:styleId="CommentText">
    <w:name w:val="annotation text"/>
    <w:basedOn w:val="Normal"/>
    <w:link w:val="CommentTextChar"/>
    <w:uiPriority w:val="99"/>
    <w:rsid w:val="0062492F"/>
    <w:rPr>
      <w:sz w:val="20"/>
    </w:rPr>
  </w:style>
  <w:style w:type="character" w:customStyle="1" w:styleId="CommentTextChar">
    <w:name w:val="Comment Text Char"/>
    <w:basedOn w:val="DefaultParagraphFont"/>
    <w:link w:val="CommentText"/>
    <w:uiPriority w:val="99"/>
    <w:rsid w:val="0062492F"/>
    <w:rPr>
      <w:rFonts w:ascii="Times New Roman" w:eastAsia="Times New Roman" w:hAnsi="Times New Roman" w:cs="Times New Roman"/>
      <w:sz w:val="20"/>
      <w:szCs w:val="20"/>
      <w:lang w:eastAsia="fr-BE"/>
    </w:rPr>
  </w:style>
  <w:style w:type="paragraph" w:styleId="BalloonText">
    <w:name w:val="Balloon Text"/>
    <w:basedOn w:val="Normal"/>
    <w:link w:val="BalloonTextChar"/>
    <w:uiPriority w:val="99"/>
    <w:semiHidden/>
    <w:unhideWhenUsed/>
    <w:rsid w:val="0062492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492F"/>
    <w:rPr>
      <w:rFonts w:ascii="Segoe UI" w:eastAsia="Times New Roman" w:hAnsi="Segoe UI" w:cs="Segoe UI"/>
      <w:sz w:val="18"/>
      <w:szCs w:val="18"/>
      <w:lang w:val="ro-RO" w:eastAsia="fr-BE"/>
    </w:rPr>
  </w:style>
  <w:style w:type="character" w:styleId="Strong">
    <w:name w:val="Strong"/>
    <w:basedOn w:val="DefaultParagraphFont"/>
    <w:uiPriority w:val="22"/>
    <w:qFormat/>
    <w:rsid w:val="0062492F"/>
    <w:rPr>
      <w:b/>
      <w:bCs/>
    </w:rPr>
  </w:style>
  <w:style w:type="paragraph" w:styleId="CommentSubject">
    <w:name w:val="annotation subject"/>
    <w:basedOn w:val="CommentText"/>
    <w:next w:val="CommentText"/>
    <w:link w:val="CommentSubjectChar"/>
    <w:uiPriority w:val="99"/>
    <w:semiHidden/>
    <w:unhideWhenUsed/>
    <w:rsid w:val="000D77EF"/>
    <w:rPr>
      <w:b/>
      <w:bCs/>
    </w:rPr>
  </w:style>
  <w:style w:type="character" w:customStyle="1" w:styleId="CommentSubjectChar">
    <w:name w:val="Comment Subject Char"/>
    <w:basedOn w:val="CommentTextChar"/>
    <w:link w:val="CommentSubject"/>
    <w:uiPriority w:val="99"/>
    <w:semiHidden/>
    <w:rsid w:val="000D77EF"/>
    <w:rPr>
      <w:rFonts w:ascii="Times New Roman" w:eastAsia="Times New Roman" w:hAnsi="Times New Roman" w:cs="Times New Roman"/>
      <w:b/>
      <w:bCs/>
      <w:sz w:val="20"/>
      <w:szCs w:val="20"/>
      <w:lang w:val="ro-RO" w:eastAsia="fr-BE"/>
    </w:rPr>
  </w:style>
  <w:style w:type="paragraph" w:styleId="Revision">
    <w:name w:val="Revision"/>
    <w:hidden/>
    <w:uiPriority w:val="99"/>
    <w:semiHidden/>
    <w:rsid w:val="00011DCD"/>
    <w:pPr>
      <w:spacing w:after="0" w:line="240" w:lineRule="auto"/>
    </w:pPr>
    <w:rPr>
      <w:rFonts w:ascii="Times New Roman" w:eastAsia="Times New Roman" w:hAnsi="Times New Roman" w:cs="Times New Roman"/>
      <w:sz w:val="24"/>
      <w:szCs w:val="20"/>
      <w:lang w:eastAsia="fr-BE"/>
    </w:rPr>
  </w:style>
  <w:style w:type="character" w:customStyle="1" w:styleId="Heading4Char">
    <w:name w:val="Heading 4 Char"/>
    <w:basedOn w:val="DefaultParagraphFont"/>
    <w:link w:val="Heading4"/>
    <w:uiPriority w:val="9"/>
    <w:semiHidden/>
    <w:rsid w:val="001A6BB4"/>
    <w:rPr>
      <w:rFonts w:asciiTheme="majorHAnsi" w:eastAsiaTheme="majorEastAsia" w:hAnsiTheme="majorHAnsi" w:cstheme="majorBidi"/>
      <w:i/>
      <w:iCs/>
      <w:color w:val="2E74B5" w:themeColor="accent1" w:themeShade="BF"/>
      <w:sz w:val="24"/>
      <w:szCs w:val="20"/>
      <w:lang w:val="ro-RO" w:eastAsia="fr-BE"/>
    </w:rPr>
  </w:style>
  <w:style w:type="paragraph" w:styleId="TOC4">
    <w:name w:val="toc 4"/>
    <w:basedOn w:val="Normal"/>
    <w:next w:val="Normal"/>
    <w:autoRedefine/>
    <w:uiPriority w:val="39"/>
    <w:unhideWhenUsed/>
    <w:rsid w:val="00DD2A42"/>
    <w:pPr>
      <w:tabs>
        <w:tab w:val="right" w:leader="dot" w:pos="9016"/>
      </w:tabs>
      <w:spacing w:after="100"/>
      <w:ind w:left="720"/>
    </w:pPr>
  </w:style>
  <w:style w:type="character" w:customStyle="1" w:styleId="superscript">
    <w:name w:val="superscript"/>
    <w:basedOn w:val="DefaultParagraphFont"/>
    <w:rsid w:val="00EA03B1"/>
  </w:style>
  <w:style w:type="paragraph" w:styleId="Subtitle">
    <w:name w:val="Subtitle"/>
    <w:basedOn w:val="Normal"/>
    <w:next w:val="Normal"/>
    <w:link w:val="SubtitleChar"/>
    <w:uiPriority w:val="11"/>
    <w:qFormat/>
    <w:rsid w:val="00187FB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187FB7"/>
    <w:rPr>
      <w:rFonts w:eastAsiaTheme="minorEastAsia"/>
      <w:color w:val="5A5A5A" w:themeColor="text1" w:themeTint="A5"/>
      <w:spacing w:val="15"/>
      <w:lang w:val="ro-RO" w:eastAsia="fr-BE"/>
    </w:rPr>
  </w:style>
  <w:style w:type="paragraph" w:styleId="Caption">
    <w:name w:val="caption"/>
    <w:basedOn w:val="Normal"/>
    <w:next w:val="Normal"/>
    <w:uiPriority w:val="35"/>
    <w:unhideWhenUsed/>
    <w:qFormat/>
    <w:rsid w:val="00187FB7"/>
    <w:pPr>
      <w:spacing w:after="200"/>
    </w:pPr>
    <w:rPr>
      <w:i/>
      <w:iCs/>
      <w:color w:val="44546A" w:themeColor="text2"/>
      <w:sz w:val="18"/>
      <w:szCs w:val="18"/>
    </w:rPr>
  </w:style>
  <w:style w:type="paragraph" w:styleId="Header">
    <w:name w:val="header"/>
    <w:basedOn w:val="Normal"/>
    <w:link w:val="HeaderChar"/>
    <w:uiPriority w:val="99"/>
    <w:unhideWhenUsed/>
    <w:rsid w:val="00C0026E"/>
    <w:pPr>
      <w:tabs>
        <w:tab w:val="center" w:pos="4680"/>
        <w:tab w:val="right" w:pos="9360"/>
      </w:tabs>
      <w:spacing w:after="0"/>
    </w:pPr>
  </w:style>
  <w:style w:type="character" w:customStyle="1" w:styleId="HeaderChar">
    <w:name w:val="Header Char"/>
    <w:basedOn w:val="DefaultParagraphFont"/>
    <w:link w:val="Header"/>
    <w:uiPriority w:val="99"/>
    <w:rsid w:val="00C0026E"/>
    <w:rPr>
      <w:rFonts w:ascii="Times New Roman" w:eastAsia="Times New Roman" w:hAnsi="Times New Roman" w:cs="Times New Roman"/>
      <w:sz w:val="24"/>
      <w:szCs w:val="20"/>
      <w:lang w:val="ro-RO" w:eastAsia="fr-BE"/>
    </w:rPr>
  </w:style>
  <w:style w:type="paragraph" w:styleId="Footer">
    <w:name w:val="footer"/>
    <w:basedOn w:val="Normal"/>
    <w:link w:val="FooterChar"/>
    <w:uiPriority w:val="99"/>
    <w:unhideWhenUsed/>
    <w:rsid w:val="00C0026E"/>
    <w:pPr>
      <w:tabs>
        <w:tab w:val="center" w:pos="4680"/>
        <w:tab w:val="right" w:pos="9360"/>
      </w:tabs>
      <w:spacing w:after="0"/>
    </w:pPr>
  </w:style>
  <w:style w:type="character" w:customStyle="1" w:styleId="FooterChar">
    <w:name w:val="Footer Char"/>
    <w:basedOn w:val="DefaultParagraphFont"/>
    <w:link w:val="Footer"/>
    <w:uiPriority w:val="99"/>
    <w:rsid w:val="00C0026E"/>
    <w:rPr>
      <w:rFonts w:ascii="Times New Roman" w:eastAsia="Times New Roman" w:hAnsi="Times New Roman" w:cs="Times New Roman"/>
      <w:sz w:val="24"/>
      <w:szCs w:val="20"/>
      <w:lang w:val="ro-RO" w:eastAsia="fr-BE"/>
    </w:rPr>
  </w:style>
  <w:style w:type="paragraph" w:customStyle="1" w:styleId="Text2">
    <w:name w:val="Text 2"/>
    <w:basedOn w:val="Normal"/>
    <w:uiPriority w:val="90"/>
    <w:qFormat/>
    <w:rsid w:val="00C91240"/>
    <w:pPr>
      <w:ind w:left="1077"/>
    </w:pPr>
  </w:style>
  <w:style w:type="character" w:customStyle="1" w:styleId="scxw204674439">
    <w:name w:val="scxw204674439"/>
    <w:basedOn w:val="DefaultParagraphFont"/>
    <w:rsid w:val="008F583B"/>
  </w:style>
  <w:style w:type="character" w:customStyle="1" w:styleId="tabchar">
    <w:name w:val="tabchar"/>
    <w:basedOn w:val="DefaultParagraphFont"/>
    <w:rsid w:val="007161F0"/>
  </w:style>
  <w:style w:type="paragraph" w:customStyle="1" w:styleId="ListBullet1">
    <w:name w:val="List Bullet 1"/>
    <w:basedOn w:val="Normal"/>
    <w:uiPriority w:val="1"/>
    <w:rsid w:val="007C7B3D"/>
    <w:pPr>
      <w:numPr>
        <w:numId w:val="84"/>
      </w:numPr>
    </w:pPr>
    <w:rPr>
      <w:lang w:eastAsia="en-IE"/>
    </w:rPr>
  </w:style>
  <w:style w:type="paragraph" w:customStyle="1" w:styleId="ListBullet1Level2">
    <w:name w:val="List Bullet 1 (Level 2)"/>
    <w:basedOn w:val="Normal"/>
    <w:uiPriority w:val="1"/>
    <w:rsid w:val="007C7B3D"/>
    <w:pPr>
      <w:numPr>
        <w:ilvl w:val="1"/>
        <w:numId w:val="84"/>
      </w:numPr>
    </w:pPr>
    <w:rPr>
      <w:lang w:eastAsia="en-IE"/>
    </w:rPr>
  </w:style>
  <w:style w:type="paragraph" w:customStyle="1" w:styleId="ListBullet1Level3">
    <w:name w:val="List Bullet 1 (Level 3)"/>
    <w:basedOn w:val="Normal"/>
    <w:uiPriority w:val="1"/>
    <w:semiHidden/>
    <w:unhideWhenUsed/>
    <w:rsid w:val="007C7B3D"/>
    <w:pPr>
      <w:numPr>
        <w:ilvl w:val="2"/>
        <w:numId w:val="84"/>
      </w:numPr>
    </w:pPr>
    <w:rPr>
      <w:lang w:eastAsia="en-IE"/>
    </w:rPr>
  </w:style>
  <w:style w:type="paragraph" w:customStyle="1" w:styleId="ListBullet1Level4">
    <w:name w:val="List Bullet 1 (Level 4)"/>
    <w:basedOn w:val="Normal"/>
    <w:uiPriority w:val="1"/>
    <w:semiHidden/>
    <w:unhideWhenUsed/>
    <w:rsid w:val="007C7B3D"/>
    <w:pPr>
      <w:numPr>
        <w:ilvl w:val="3"/>
        <w:numId w:val="84"/>
      </w:numPr>
    </w:pPr>
    <w:rPr>
      <w:lang w:eastAsia="en-IE"/>
    </w:rPr>
  </w:style>
  <w:style w:type="character" w:customStyle="1" w:styleId="Mention1">
    <w:name w:val="Mention1"/>
    <w:basedOn w:val="DefaultParagraphFont"/>
    <w:uiPriority w:val="99"/>
    <w:unhideWhenUsed/>
    <w:rsid w:val="00C30E89"/>
    <w:rPr>
      <w:color w:val="2B579A"/>
      <w:shd w:val="clear" w:color="auto" w:fill="E6E6E6"/>
    </w:rPr>
  </w:style>
  <w:style w:type="paragraph" w:styleId="NoSpacing">
    <w:name w:val="No Spacing"/>
    <w:uiPriority w:val="1"/>
    <w:qFormat/>
    <w:rsid w:val="00C30E89"/>
    <w:pPr>
      <w:spacing w:after="0" w:line="240" w:lineRule="auto"/>
    </w:pPr>
  </w:style>
  <w:style w:type="character" w:customStyle="1" w:styleId="Mention10">
    <w:name w:val="Mention10"/>
    <w:basedOn w:val="DefaultParagraphFont"/>
    <w:uiPriority w:val="99"/>
    <w:unhideWhenUsed/>
    <w:rsid w:val="00FC4D35"/>
    <w:rPr>
      <w:color w:val="2B579A"/>
      <w:shd w:val="clear" w:color="auto" w:fill="E6E6E6"/>
    </w:rPr>
  </w:style>
  <w:style w:type="character" w:customStyle="1" w:styleId="UnresolvedMention1">
    <w:name w:val="Unresolved Mention1"/>
    <w:basedOn w:val="DefaultParagraphFont"/>
    <w:uiPriority w:val="99"/>
    <w:semiHidden/>
    <w:unhideWhenUsed/>
    <w:rsid w:val="00273553"/>
    <w:rPr>
      <w:color w:val="605E5C"/>
      <w:shd w:val="clear" w:color="auto" w:fill="E1DFDD"/>
    </w:rPr>
  </w:style>
  <w:style w:type="character" w:customStyle="1" w:styleId="Mention2">
    <w:name w:val="Mention2"/>
    <w:basedOn w:val="DefaultParagraphFont"/>
    <w:uiPriority w:val="99"/>
    <w:unhideWhenUsed/>
    <w:rsid w:val="0031154B"/>
    <w:rPr>
      <w:color w:val="2B579A"/>
      <w:shd w:val="clear" w:color="auto" w:fill="E6E6E6"/>
    </w:rPr>
  </w:style>
  <w:style w:type="character" w:customStyle="1" w:styleId="UnresolvedMention2">
    <w:name w:val="Unresolved Mention2"/>
    <w:basedOn w:val="DefaultParagraphFont"/>
    <w:uiPriority w:val="99"/>
    <w:semiHidden/>
    <w:unhideWhenUsed/>
    <w:rsid w:val="0031154B"/>
    <w:rPr>
      <w:color w:val="605E5C"/>
      <w:shd w:val="clear" w:color="auto" w:fill="E1DFDD"/>
    </w:rPr>
  </w:style>
  <w:style w:type="character" w:customStyle="1" w:styleId="scxw172618891">
    <w:name w:val="scxw172618891"/>
    <w:basedOn w:val="DefaultParagraphFont"/>
    <w:rsid w:val="00FE1D0A"/>
  </w:style>
  <w:style w:type="character" w:styleId="FollowedHyperlink">
    <w:name w:val="FollowedHyperlink"/>
    <w:basedOn w:val="DefaultParagraphFont"/>
    <w:uiPriority w:val="99"/>
    <w:semiHidden/>
    <w:unhideWhenUsed/>
    <w:rsid w:val="00EC3827"/>
    <w:rPr>
      <w:color w:val="954F72" w:themeColor="followedHyperlink"/>
      <w:u w:val="single"/>
    </w:rPr>
  </w:style>
  <w:style w:type="character" w:customStyle="1" w:styleId="Mention3">
    <w:name w:val="Mention3"/>
    <w:basedOn w:val="DefaultParagraphFont"/>
    <w:uiPriority w:val="99"/>
    <w:rsid w:val="00DB56F9"/>
    <w:rPr>
      <w:color w:val="2B579A"/>
      <w:shd w:val="clear" w:color="auto" w:fill="E6E6E6"/>
    </w:rPr>
  </w:style>
  <w:style w:type="character" w:customStyle="1" w:styleId="Mention4">
    <w:name w:val="Mention4"/>
    <w:basedOn w:val="DefaultParagraphFont"/>
    <w:uiPriority w:val="99"/>
    <w:unhideWhenUsed/>
    <w:rsid w:val="007926E8"/>
    <w:rPr>
      <w:color w:val="2B579A"/>
      <w:shd w:val="clear" w:color="auto" w:fill="E6E6E6"/>
    </w:rPr>
  </w:style>
  <w:style w:type="character" w:customStyle="1" w:styleId="Mention5">
    <w:name w:val="Mention5"/>
    <w:basedOn w:val="DefaultParagraphFont"/>
    <w:uiPriority w:val="99"/>
    <w:unhideWhenUsed/>
    <w:rsid w:val="00E30BC4"/>
    <w:rPr>
      <w:color w:val="2B579A"/>
      <w:shd w:val="clear" w:color="auto" w:fill="E6E6E6"/>
    </w:rPr>
  </w:style>
  <w:style w:type="character" w:customStyle="1" w:styleId="UnresolvedMention3">
    <w:name w:val="Unresolved Mention3"/>
    <w:basedOn w:val="DefaultParagraphFont"/>
    <w:uiPriority w:val="99"/>
    <w:semiHidden/>
    <w:unhideWhenUsed/>
    <w:rsid w:val="004F0D11"/>
    <w:rPr>
      <w:color w:val="605E5C"/>
      <w:shd w:val="clear" w:color="auto" w:fill="E1DFDD"/>
    </w:rPr>
  </w:style>
  <w:style w:type="character" w:customStyle="1" w:styleId="Mention6">
    <w:name w:val="Mention6"/>
    <w:basedOn w:val="DefaultParagraphFont"/>
    <w:uiPriority w:val="99"/>
    <w:unhideWhenUsed/>
    <w:rsid w:val="004F0D11"/>
    <w:rPr>
      <w:color w:val="2B579A"/>
      <w:shd w:val="clear" w:color="auto" w:fill="E6E6E6"/>
    </w:rPr>
  </w:style>
  <w:style w:type="character" w:customStyle="1" w:styleId="Mention60">
    <w:name w:val="Mention60"/>
    <w:basedOn w:val="DefaultParagraphFont"/>
    <w:uiPriority w:val="99"/>
    <w:unhideWhenUsed/>
    <w:rsid w:val="004F0D11"/>
    <w:rPr>
      <w:color w:val="2B579A"/>
      <w:shd w:val="clear" w:color="auto" w:fill="E6E6E6"/>
    </w:rPr>
  </w:style>
  <w:style w:type="character" w:customStyle="1" w:styleId="Mention600">
    <w:name w:val="Mention600"/>
    <w:basedOn w:val="DefaultParagraphFont"/>
    <w:uiPriority w:val="99"/>
    <w:unhideWhenUsed/>
    <w:rsid w:val="00A51365"/>
    <w:rPr>
      <w:color w:val="2B579A"/>
      <w:shd w:val="clear" w:color="auto" w:fill="E6E6E6"/>
    </w:rPr>
  </w:style>
  <w:style w:type="character" w:customStyle="1" w:styleId="Mention6000">
    <w:name w:val="Mention6000"/>
    <w:basedOn w:val="DefaultParagraphFont"/>
    <w:uiPriority w:val="99"/>
    <w:unhideWhenUsed/>
    <w:rsid w:val="00A26C76"/>
    <w:rPr>
      <w:color w:val="2B579A"/>
      <w:shd w:val="clear" w:color="auto" w:fill="E6E6E6"/>
    </w:rPr>
  </w:style>
  <w:style w:type="character" w:customStyle="1" w:styleId="Mention7">
    <w:name w:val="Mention7"/>
    <w:basedOn w:val="DefaultParagraphFont"/>
    <w:uiPriority w:val="99"/>
    <w:unhideWhenUsed/>
    <w:rsid w:val="00A26C76"/>
    <w:rPr>
      <w:color w:val="2B579A"/>
      <w:shd w:val="clear" w:color="auto" w:fill="E6E6E6"/>
    </w:rPr>
  </w:style>
  <w:style w:type="character" w:customStyle="1" w:styleId="Mention60000">
    <w:name w:val="Mention60000"/>
    <w:basedOn w:val="DefaultParagraphFont"/>
    <w:uiPriority w:val="99"/>
    <w:unhideWhenUsed/>
    <w:rsid w:val="008F57F5"/>
    <w:rPr>
      <w:color w:val="2B579A"/>
      <w:shd w:val="clear" w:color="auto" w:fill="E6E6E6"/>
    </w:rPr>
  </w:style>
  <w:style w:type="character" w:customStyle="1" w:styleId="UnresolvedMention4">
    <w:name w:val="Unresolved Mention4"/>
    <w:basedOn w:val="DefaultParagraphFont"/>
    <w:uiPriority w:val="99"/>
    <w:semiHidden/>
    <w:unhideWhenUsed/>
    <w:rsid w:val="00B31C41"/>
    <w:rPr>
      <w:color w:val="605E5C"/>
      <w:shd w:val="clear" w:color="auto" w:fill="E1DFDD"/>
    </w:rPr>
  </w:style>
  <w:style w:type="character" w:customStyle="1" w:styleId="Mention8">
    <w:name w:val="Mention8"/>
    <w:basedOn w:val="DefaultParagraphFont"/>
    <w:uiPriority w:val="99"/>
    <w:unhideWhenUsed/>
    <w:rsid w:val="00B31C41"/>
    <w:rPr>
      <w:color w:val="2B579A"/>
      <w:shd w:val="clear" w:color="auto" w:fill="E6E6E6"/>
    </w:rPr>
  </w:style>
  <w:style w:type="character" w:customStyle="1" w:styleId="Mention11">
    <w:name w:val="Mention11"/>
    <w:basedOn w:val="DefaultParagraphFont"/>
    <w:uiPriority w:val="99"/>
    <w:unhideWhenUsed/>
    <w:rsid w:val="00D901CC"/>
    <w:rPr>
      <w:color w:val="2B579A"/>
      <w:shd w:val="clear" w:color="auto" w:fill="E6E6E6"/>
    </w:rPr>
  </w:style>
  <w:style w:type="character" w:customStyle="1" w:styleId="UnresolvedMention5">
    <w:name w:val="Unresolved Mention5"/>
    <w:basedOn w:val="DefaultParagraphFont"/>
    <w:uiPriority w:val="99"/>
    <w:semiHidden/>
    <w:unhideWhenUsed/>
    <w:rsid w:val="00390F9B"/>
    <w:rPr>
      <w:color w:val="605E5C"/>
      <w:shd w:val="clear" w:color="auto" w:fill="E1DFDD"/>
    </w:rPr>
  </w:style>
  <w:style w:type="character" w:customStyle="1" w:styleId="Mention9">
    <w:name w:val="Mention9"/>
    <w:basedOn w:val="DefaultParagraphFont"/>
    <w:uiPriority w:val="99"/>
    <w:unhideWhenUsed/>
    <w:rsid w:val="00B54B18"/>
    <w:rPr>
      <w:color w:val="2B579A"/>
      <w:shd w:val="clear" w:color="auto" w:fill="E1DFDD"/>
    </w:rPr>
  </w:style>
  <w:style w:type="character" w:customStyle="1" w:styleId="scxw48135657">
    <w:name w:val="scxw48135657"/>
    <w:basedOn w:val="DefaultParagraphFont"/>
    <w:rsid w:val="00E71C95"/>
  </w:style>
  <w:style w:type="character" w:customStyle="1" w:styleId="Marker">
    <w:name w:val="Marker"/>
    <w:basedOn w:val="DefaultParagraphFont"/>
    <w:rsid w:val="00D60876"/>
    <w:rPr>
      <w:color w:val="0000FF"/>
      <w:shd w:val="clear" w:color="auto" w:fill="auto"/>
    </w:rPr>
  </w:style>
  <w:style w:type="paragraph" w:customStyle="1" w:styleId="Pagedecouverture">
    <w:name w:val="Page de couverture"/>
    <w:basedOn w:val="Normal"/>
    <w:next w:val="Normal"/>
    <w:rsid w:val="00D60876"/>
    <w:pPr>
      <w:spacing w:after="0"/>
    </w:pPr>
    <w:rPr>
      <w:rFonts w:eastAsiaTheme="minorHAnsi"/>
      <w:szCs w:val="22"/>
      <w:lang w:eastAsia="en-US"/>
    </w:rPr>
  </w:style>
  <w:style w:type="paragraph" w:customStyle="1" w:styleId="FooterCoverPage">
    <w:name w:val="Footer Cover Page"/>
    <w:basedOn w:val="Normal"/>
    <w:link w:val="FooterCoverPageChar"/>
    <w:rsid w:val="00D60876"/>
    <w:pPr>
      <w:shd w:val="clear" w:color="auto" w:fill="FFFFFF"/>
      <w:tabs>
        <w:tab w:val="center" w:pos="4535"/>
        <w:tab w:val="right" w:pos="9071"/>
        <w:tab w:val="right" w:pos="9921"/>
      </w:tabs>
      <w:spacing w:before="360" w:after="0"/>
      <w:ind w:left="-850" w:right="-850"/>
      <w:jc w:val="left"/>
      <w:textAlignment w:val="baseline"/>
    </w:pPr>
  </w:style>
  <w:style w:type="character" w:customStyle="1" w:styleId="logoChar">
    <w:name w:val="logo Char"/>
    <w:basedOn w:val="DefaultParagraphFont"/>
    <w:link w:val="logo"/>
    <w:rsid w:val="00D60876"/>
    <w:rPr>
      <w:rFonts w:ascii="Times New Roman" w:eastAsia="Times New Roman" w:hAnsi="Times New Roman" w:cs="Times New Roman"/>
      <w:sz w:val="24"/>
      <w:szCs w:val="24"/>
      <w:lang w:eastAsia="en-GB"/>
    </w:rPr>
  </w:style>
  <w:style w:type="character" w:customStyle="1" w:styleId="FooterCoverPageChar">
    <w:name w:val="Footer Cover Page Char"/>
    <w:basedOn w:val="logoChar"/>
    <w:link w:val="FooterCoverPage"/>
    <w:rsid w:val="00D60876"/>
    <w:rPr>
      <w:rFonts w:ascii="Times New Roman" w:eastAsia="Times New Roman" w:hAnsi="Times New Roman" w:cs="Times New Roman"/>
      <w:sz w:val="24"/>
      <w:szCs w:val="20"/>
      <w:shd w:val="clear" w:color="auto" w:fill="FFFFFF"/>
      <w:lang w:eastAsia="fr-BE"/>
    </w:rPr>
  </w:style>
  <w:style w:type="paragraph" w:customStyle="1" w:styleId="FooterSensitivity">
    <w:name w:val="Footer Sensitivity"/>
    <w:basedOn w:val="Normal"/>
    <w:link w:val="FooterSensitivityChar"/>
    <w:rsid w:val="00D60876"/>
    <w:pPr>
      <w:pBdr>
        <w:top w:val="single" w:sz="4" w:space="1" w:color="auto"/>
        <w:left w:val="single" w:sz="4" w:space="4" w:color="auto"/>
        <w:bottom w:val="single" w:sz="4" w:space="1" w:color="auto"/>
        <w:right w:val="single" w:sz="4" w:space="4" w:color="auto"/>
      </w:pBdr>
      <w:shd w:val="clear" w:color="auto" w:fill="FFFFFF"/>
      <w:spacing w:before="360" w:after="0"/>
      <w:ind w:left="113" w:right="113"/>
      <w:jc w:val="center"/>
      <w:textAlignment w:val="baseline"/>
    </w:pPr>
    <w:rPr>
      <w:b/>
      <w:sz w:val="32"/>
    </w:rPr>
  </w:style>
  <w:style w:type="character" w:customStyle="1" w:styleId="FooterSensitivityChar">
    <w:name w:val="Footer Sensitivity Char"/>
    <w:basedOn w:val="logoChar"/>
    <w:link w:val="FooterSensitivity"/>
    <w:rsid w:val="00D60876"/>
    <w:rPr>
      <w:rFonts w:ascii="Times New Roman" w:eastAsia="Times New Roman" w:hAnsi="Times New Roman" w:cs="Times New Roman"/>
      <w:b/>
      <w:sz w:val="32"/>
      <w:szCs w:val="20"/>
      <w:shd w:val="clear" w:color="auto" w:fill="FFFFFF"/>
      <w:lang w:eastAsia="fr-BE"/>
    </w:rPr>
  </w:style>
  <w:style w:type="paragraph" w:customStyle="1" w:styleId="HeaderCoverPage">
    <w:name w:val="Header Cover Page"/>
    <w:basedOn w:val="Normal"/>
    <w:link w:val="HeaderCoverPageChar"/>
    <w:rsid w:val="00D60876"/>
    <w:pPr>
      <w:shd w:val="clear" w:color="auto" w:fill="FFFFFF"/>
      <w:tabs>
        <w:tab w:val="center" w:pos="4535"/>
        <w:tab w:val="right" w:pos="9071"/>
      </w:tabs>
      <w:spacing w:after="120"/>
      <w:textAlignment w:val="baseline"/>
    </w:pPr>
  </w:style>
  <w:style w:type="character" w:customStyle="1" w:styleId="HeaderCoverPageChar">
    <w:name w:val="Header Cover Page Char"/>
    <w:basedOn w:val="logoChar"/>
    <w:link w:val="HeaderCoverPage"/>
    <w:rsid w:val="00D60876"/>
    <w:rPr>
      <w:rFonts w:ascii="Times New Roman" w:eastAsia="Times New Roman" w:hAnsi="Times New Roman" w:cs="Times New Roman"/>
      <w:sz w:val="24"/>
      <w:szCs w:val="20"/>
      <w:shd w:val="clear" w:color="auto" w:fill="FFFFFF"/>
      <w:lang w:eastAsia="fr-BE"/>
    </w:rPr>
  </w:style>
  <w:style w:type="paragraph" w:customStyle="1" w:styleId="HeaderSensitivity">
    <w:name w:val="Header Sensitivity"/>
    <w:basedOn w:val="Normal"/>
    <w:link w:val="HeaderSensitivityChar"/>
    <w:rsid w:val="00D60876"/>
    <w:pPr>
      <w:pBdr>
        <w:top w:val="single" w:sz="4" w:space="1" w:color="auto"/>
        <w:left w:val="single" w:sz="4" w:space="4" w:color="auto"/>
        <w:bottom w:val="single" w:sz="4" w:space="1" w:color="auto"/>
        <w:right w:val="single" w:sz="4" w:space="4" w:color="auto"/>
      </w:pBdr>
      <w:shd w:val="clear" w:color="auto" w:fill="FFFFFF"/>
      <w:spacing w:after="120"/>
      <w:ind w:left="113" w:right="113"/>
      <w:jc w:val="center"/>
      <w:textAlignment w:val="baseline"/>
    </w:pPr>
    <w:rPr>
      <w:b/>
      <w:sz w:val="32"/>
    </w:rPr>
  </w:style>
  <w:style w:type="character" w:customStyle="1" w:styleId="HeaderSensitivityChar">
    <w:name w:val="Header Sensitivity Char"/>
    <w:basedOn w:val="logoChar"/>
    <w:link w:val="HeaderSensitivity"/>
    <w:rsid w:val="00D60876"/>
    <w:rPr>
      <w:rFonts w:ascii="Times New Roman" w:eastAsia="Times New Roman" w:hAnsi="Times New Roman" w:cs="Times New Roman"/>
      <w:b/>
      <w:sz w:val="32"/>
      <w:szCs w:val="20"/>
      <w:shd w:val="clear" w:color="auto" w:fill="FFFFFF"/>
      <w:lang w:eastAsia="fr-BE"/>
    </w:rPr>
  </w:style>
  <w:style w:type="paragraph" w:customStyle="1" w:styleId="HeaderSensitivityRight">
    <w:name w:val="Header Sensitivity Right"/>
    <w:basedOn w:val="Normal"/>
    <w:link w:val="HeaderSensitivityRightChar"/>
    <w:rsid w:val="001C0DAF"/>
    <w:pPr>
      <w:spacing w:after="120"/>
      <w:jc w:val="right"/>
    </w:pPr>
    <w:rPr>
      <w:sz w:val="28"/>
    </w:rPr>
  </w:style>
  <w:style w:type="character" w:customStyle="1" w:styleId="HeaderSensitivityRightChar">
    <w:name w:val="Header Sensitivity Right Char"/>
    <w:basedOn w:val="logoChar"/>
    <w:link w:val="HeaderSensitivityRight"/>
    <w:rsid w:val="00D60876"/>
    <w:rPr>
      <w:rFonts w:ascii="Times New Roman" w:eastAsia="Times New Roman" w:hAnsi="Times New Roman" w:cs="Times New Roman"/>
      <w:sz w:val="28"/>
      <w:szCs w:val="20"/>
      <w:lang w:eastAsia="fr-BE"/>
    </w:rPr>
  </w:style>
  <w:style w:type="character" w:customStyle="1" w:styleId="Mention12">
    <w:name w:val="Mention12"/>
    <w:basedOn w:val="DefaultParagraphFont"/>
    <w:uiPriority w:val="99"/>
    <w:unhideWhenUsed/>
    <w:rsid w:val="00C06B95"/>
    <w:rPr>
      <w:color w:val="2B579A"/>
      <w:shd w:val="clear" w:color="auto" w:fill="E6E6E6"/>
    </w:rPr>
  </w:style>
  <w:style w:type="character" w:customStyle="1" w:styleId="UnresolvedMention6">
    <w:name w:val="Unresolved Mention6"/>
    <w:basedOn w:val="DefaultParagraphFont"/>
    <w:uiPriority w:val="99"/>
    <w:semiHidden/>
    <w:unhideWhenUsed/>
    <w:rsid w:val="00780F4E"/>
    <w:rPr>
      <w:color w:val="605E5C"/>
      <w:shd w:val="clear" w:color="auto" w:fill="E1DFDD"/>
    </w:rPr>
  </w:style>
  <w:style w:type="paragraph" w:customStyle="1" w:styleId="title-bold">
    <w:name w:val="title-bold"/>
    <w:basedOn w:val="Normal"/>
    <w:rsid w:val="00070E9F"/>
    <w:pPr>
      <w:spacing w:before="100" w:beforeAutospacing="1" w:after="100" w:afterAutospacing="1"/>
      <w:jc w:val="left"/>
    </w:pPr>
    <w:rPr>
      <w:szCs w:val="24"/>
      <w:lang w:eastAsia="en-GB"/>
    </w:rPr>
  </w:style>
  <w:style w:type="character" w:customStyle="1" w:styleId="UnresolvedMention7">
    <w:name w:val="Unresolved Mention7"/>
    <w:basedOn w:val="DefaultParagraphFont"/>
    <w:uiPriority w:val="99"/>
    <w:semiHidden/>
    <w:unhideWhenUsed/>
    <w:rsid w:val="00BD08D2"/>
    <w:rPr>
      <w:color w:val="605E5C"/>
      <w:shd w:val="clear" w:color="auto" w:fill="E1DFDD"/>
    </w:rPr>
  </w:style>
  <w:style w:type="character" w:customStyle="1" w:styleId="Mention13">
    <w:name w:val="Mention13"/>
    <w:basedOn w:val="DefaultParagraphFont"/>
    <w:uiPriority w:val="99"/>
    <w:unhideWhenUsed/>
    <w:rsid w:val="009D698A"/>
    <w:rPr>
      <w:color w:val="2B579A"/>
      <w:shd w:val="clear" w:color="auto" w:fill="E6E6E6"/>
    </w:rPr>
  </w:style>
  <w:style w:type="character" w:customStyle="1" w:styleId="UnresolvedMention8">
    <w:name w:val="Unresolved Mention8"/>
    <w:basedOn w:val="DefaultParagraphFont"/>
    <w:uiPriority w:val="99"/>
    <w:semiHidden/>
    <w:unhideWhenUsed/>
    <w:rsid w:val="0023115A"/>
    <w:rPr>
      <w:color w:val="605E5C"/>
      <w:shd w:val="clear" w:color="auto" w:fill="E1DFDD"/>
    </w:rPr>
  </w:style>
  <w:style w:type="character" w:customStyle="1" w:styleId="UnresolvedMention9">
    <w:name w:val="Unresolved Mention9"/>
    <w:basedOn w:val="DefaultParagraphFont"/>
    <w:uiPriority w:val="99"/>
    <w:semiHidden/>
    <w:unhideWhenUsed/>
    <w:rsid w:val="00CA0C9C"/>
    <w:rPr>
      <w:color w:val="605E5C"/>
      <w:shd w:val="clear" w:color="auto" w:fill="E1DFDD"/>
    </w:rPr>
  </w:style>
  <w:style w:type="character" w:customStyle="1" w:styleId="UnresolvedMention10">
    <w:name w:val="Unresolved Mention10"/>
    <w:basedOn w:val="DefaultParagraphFont"/>
    <w:uiPriority w:val="99"/>
    <w:semiHidden/>
    <w:unhideWhenUsed/>
    <w:rsid w:val="00EA7747"/>
    <w:rPr>
      <w:color w:val="605E5C"/>
      <w:shd w:val="clear" w:color="auto" w:fill="E1DFDD"/>
    </w:rPr>
  </w:style>
  <w:style w:type="character" w:customStyle="1" w:styleId="Mention14">
    <w:name w:val="Mention14"/>
    <w:basedOn w:val="DefaultParagraphFont"/>
    <w:uiPriority w:val="99"/>
    <w:unhideWhenUsed/>
    <w:rsid w:val="00466153"/>
    <w:rPr>
      <w:color w:val="2B579A"/>
      <w:shd w:val="clear" w:color="auto" w:fill="E6E6E6"/>
    </w:rPr>
  </w:style>
  <w:style w:type="character" w:customStyle="1" w:styleId="UnresolvedMention11">
    <w:name w:val="Unresolved Mention11"/>
    <w:basedOn w:val="DefaultParagraphFont"/>
    <w:uiPriority w:val="99"/>
    <w:semiHidden/>
    <w:unhideWhenUsed/>
    <w:rsid w:val="00471B17"/>
    <w:rPr>
      <w:color w:val="605E5C"/>
      <w:shd w:val="clear" w:color="auto" w:fill="E1DFDD"/>
    </w:rPr>
  </w:style>
  <w:style w:type="character" w:customStyle="1" w:styleId="UnresolvedMention100">
    <w:name w:val="Unresolved Mention100"/>
    <w:basedOn w:val="DefaultParagraphFont"/>
    <w:uiPriority w:val="99"/>
    <w:semiHidden/>
    <w:unhideWhenUsed/>
    <w:rsid w:val="00177837"/>
    <w:rPr>
      <w:color w:val="605E5C"/>
      <w:shd w:val="clear" w:color="auto" w:fill="E1DFDD"/>
    </w:rPr>
  </w:style>
  <w:style w:type="character" w:customStyle="1" w:styleId="UnresolvedMention1000">
    <w:name w:val="Unresolved Mention1000"/>
    <w:basedOn w:val="DefaultParagraphFont"/>
    <w:uiPriority w:val="99"/>
    <w:semiHidden/>
    <w:unhideWhenUsed/>
    <w:rsid w:val="00994F1B"/>
    <w:rPr>
      <w:color w:val="605E5C"/>
      <w:shd w:val="clear" w:color="auto" w:fill="E1DFDD"/>
    </w:rPr>
  </w:style>
  <w:style w:type="character" w:customStyle="1" w:styleId="Mention15">
    <w:name w:val="Mention15"/>
    <w:basedOn w:val="DefaultParagraphFont"/>
    <w:uiPriority w:val="99"/>
    <w:unhideWhenUsed/>
    <w:rsid w:val="00FE0F74"/>
    <w:rPr>
      <w:color w:val="2B579A"/>
      <w:shd w:val="clear" w:color="auto" w:fill="E6E6E6"/>
    </w:rPr>
  </w:style>
  <w:style w:type="character" w:customStyle="1" w:styleId="UnresolvedMention12">
    <w:name w:val="Unresolved Mention12"/>
    <w:basedOn w:val="DefaultParagraphFont"/>
    <w:uiPriority w:val="99"/>
    <w:semiHidden/>
    <w:unhideWhenUsed/>
    <w:rsid w:val="009C0E85"/>
    <w:rPr>
      <w:color w:val="605E5C"/>
      <w:shd w:val="clear" w:color="auto" w:fill="E1DFDD"/>
    </w:rPr>
  </w:style>
  <w:style w:type="character" w:customStyle="1" w:styleId="UnresolvedMention">
    <w:name w:val="Unresolved Mention"/>
    <w:basedOn w:val="DefaultParagraphFont"/>
    <w:uiPriority w:val="99"/>
    <w:semiHidden/>
    <w:unhideWhenUsed/>
    <w:rsid w:val="00DA69D0"/>
    <w:rPr>
      <w:color w:val="605E5C"/>
      <w:shd w:val="clear" w:color="auto" w:fill="E1DFDD"/>
    </w:rPr>
  </w:style>
  <w:style w:type="paragraph" w:customStyle="1" w:styleId="Disclaimer">
    <w:name w:val="Disclaimer"/>
    <w:basedOn w:val="Normal"/>
    <w:rsid w:val="001C0DA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1C0DAF"/>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1C0DAF"/>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1C0DAF"/>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6941">
      <w:bodyDiv w:val="1"/>
      <w:marLeft w:val="0"/>
      <w:marRight w:val="0"/>
      <w:marTop w:val="0"/>
      <w:marBottom w:val="0"/>
      <w:divBdr>
        <w:top w:val="none" w:sz="0" w:space="0" w:color="auto"/>
        <w:left w:val="none" w:sz="0" w:space="0" w:color="auto"/>
        <w:bottom w:val="none" w:sz="0" w:space="0" w:color="auto"/>
        <w:right w:val="none" w:sz="0" w:space="0" w:color="auto"/>
      </w:divBdr>
      <w:divsChild>
        <w:div w:id="634986402">
          <w:marLeft w:val="2160"/>
          <w:marRight w:val="0"/>
          <w:marTop w:val="0"/>
          <w:marBottom w:val="0"/>
          <w:divBdr>
            <w:top w:val="none" w:sz="0" w:space="0" w:color="auto"/>
            <w:left w:val="none" w:sz="0" w:space="0" w:color="auto"/>
            <w:bottom w:val="none" w:sz="0" w:space="0" w:color="auto"/>
            <w:right w:val="none" w:sz="0" w:space="0" w:color="auto"/>
          </w:divBdr>
        </w:div>
        <w:div w:id="698359008">
          <w:marLeft w:val="2160"/>
          <w:marRight w:val="0"/>
          <w:marTop w:val="0"/>
          <w:marBottom w:val="0"/>
          <w:divBdr>
            <w:top w:val="none" w:sz="0" w:space="0" w:color="auto"/>
            <w:left w:val="none" w:sz="0" w:space="0" w:color="auto"/>
            <w:bottom w:val="none" w:sz="0" w:space="0" w:color="auto"/>
            <w:right w:val="none" w:sz="0" w:space="0" w:color="auto"/>
          </w:divBdr>
        </w:div>
        <w:div w:id="741561245">
          <w:marLeft w:val="2160"/>
          <w:marRight w:val="0"/>
          <w:marTop w:val="0"/>
          <w:marBottom w:val="0"/>
          <w:divBdr>
            <w:top w:val="none" w:sz="0" w:space="0" w:color="auto"/>
            <w:left w:val="none" w:sz="0" w:space="0" w:color="auto"/>
            <w:bottom w:val="none" w:sz="0" w:space="0" w:color="auto"/>
            <w:right w:val="none" w:sz="0" w:space="0" w:color="auto"/>
          </w:divBdr>
        </w:div>
        <w:div w:id="855464519">
          <w:marLeft w:val="720"/>
          <w:marRight w:val="0"/>
          <w:marTop w:val="0"/>
          <w:marBottom w:val="0"/>
          <w:divBdr>
            <w:top w:val="none" w:sz="0" w:space="0" w:color="auto"/>
            <w:left w:val="none" w:sz="0" w:space="0" w:color="auto"/>
            <w:bottom w:val="none" w:sz="0" w:space="0" w:color="auto"/>
            <w:right w:val="none" w:sz="0" w:space="0" w:color="auto"/>
          </w:divBdr>
        </w:div>
        <w:div w:id="1748576289">
          <w:marLeft w:val="720"/>
          <w:marRight w:val="0"/>
          <w:marTop w:val="0"/>
          <w:marBottom w:val="0"/>
          <w:divBdr>
            <w:top w:val="none" w:sz="0" w:space="0" w:color="auto"/>
            <w:left w:val="none" w:sz="0" w:space="0" w:color="auto"/>
            <w:bottom w:val="none" w:sz="0" w:space="0" w:color="auto"/>
            <w:right w:val="none" w:sz="0" w:space="0" w:color="auto"/>
          </w:divBdr>
        </w:div>
        <w:div w:id="1910847325">
          <w:marLeft w:val="720"/>
          <w:marRight w:val="0"/>
          <w:marTop w:val="0"/>
          <w:marBottom w:val="0"/>
          <w:divBdr>
            <w:top w:val="none" w:sz="0" w:space="0" w:color="auto"/>
            <w:left w:val="none" w:sz="0" w:space="0" w:color="auto"/>
            <w:bottom w:val="none" w:sz="0" w:space="0" w:color="auto"/>
            <w:right w:val="none" w:sz="0" w:space="0" w:color="auto"/>
          </w:divBdr>
        </w:div>
        <w:div w:id="2005472697">
          <w:marLeft w:val="720"/>
          <w:marRight w:val="0"/>
          <w:marTop w:val="0"/>
          <w:marBottom w:val="0"/>
          <w:divBdr>
            <w:top w:val="none" w:sz="0" w:space="0" w:color="auto"/>
            <w:left w:val="none" w:sz="0" w:space="0" w:color="auto"/>
            <w:bottom w:val="none" w:sz="0" w:space="0" w:color="auto"/>
            <w:right w:val="none" w:sz="0" w:space="0" w:color="auto"/>
          </w:divBdr>
        </w:div>
        <w:div w:id="2020692087">
          <w:marLeft w:val="720"/>
          <w:marRight w:val="0"/>
          <w:marTop w:val="0"/>
          <w:marBottom w:val="0"/>
          <w:divBdr>
            <w:top w:val="none" w:sz="0" w:space="0" w:color="auto"/>
            <w:left w:val="none" w:sz="0" w:space="0" w:color="auto"/>
            <w:bottom w:val="none" w:sz="0" w:space="0" w:color="auto"/>
            <w:right w:val="none" w:sz="0" w:space="0" w:color="auto"/>
          </w:divBdr>
        </w:div>
      </w:divsChild>
    </w:div>
    <w:div w:id="5254692">
      <w:bodyDiv w:val="1"/>
      <w:marLeft w:val="0"/>
      <w:marRight w:val="0"/>
      <w:marTop w:val="0"/>
      <w:marBottom w:val="0"/>
      <w:divBdr>
        <w:top w:val="none" w:sz="0" w:space="0" w:color="auto"/>
        <w:left w:val="none" w:sz="0" w:space="0" w:color="auto"/>
        <w:bottom w:val="none" w:sz="0" w:space="0" w:color="auto"/>
        <w:right w:val="none" w:sz="0" w:space="0" w:color="auto"/>
      </w:divBdr>
    </w:div>
    <w:div w:id="40178152">
      <w:bodyDiv w:val="1"/>
      <w:marLeft w:val="0"/>
      <w:marRight w:val="0"/>
      <w:marTop w:val="0"/>
      <w:marBottom w:val="0"/>
      <w:divBdr>
        <w:top w:val="none" w:sz="0" w:space="0" w:color="auto"/>
        <w:left w:val="none" w:sz="0" w:space="0" w:color="auto"/>
        <w:bottom w:val="none" w:sz="0" w:space="0" w:color="auto"/>
        <w:right w:val="none" w:sz="0" w:space="0" w:color="auto"/>
      </w:divBdr>
      <w:divsChild>
        <w:div w:id="428936925">
          <w:marLeft w:val="0"/>
          <w:marRight w:val="0"/>
          <w:marTop w:val="0"/>
          <w:marBottom w:val="0"/>
          <w:divBdr>
            <w:top w:val="none" w:sz="0" w:space="0" w:color="auto"/>
            <w:left w:val="none" w:sz="0" w:space="0" w:color="auto"/>
            <w:bottom w:val="none" w:sz="0" w:space="0" w:color="auto"/>
            <w:right w:val="none" w:sz="0" w:space="0" w:color="auto"/>
          </w:divBdr>
        </w:div>
        <w:div w:id="655260219">
          <w:marLeft w:val="0"/>
          <w:marRight w:val="0"/>
          <w:marTop w:val="0"/>
          <w:marBottom w:val="0"/>
          <w:divBdr>
            <w:top w:val="none" w:sz="0" w:space="0" w:color="auto"/>
            <w:left w:val="none" w:sz="0" w:space="0" w:color="auto"/>
            <w:bottom w:val="none" w:sz="0" w:space="0" w:color="auto"/>
            <w:right w:val="none" w:sz="0" w:space="0" w:color="auto"/>
          </w:divBdr>
        </w:div>
        <w:div w:id="990791258">
          <w:marLeft w:val="0"/>
          <w:marRight w:val="0"/>
          <w:marTop w:val="0"/>
          <w:marBottom w:val="0"/>
          <w:divBdr>
            <w:top w:val="none" w:sz="0" w:space="0" w:color="auto"/>
            <w:left w:val="none" w:sz="0" w:space="0" w:color="auto"/>
            <w:bottom w:val="none" w:sz="0" w:space="0" w:color="auto"/>
            <w:right w:val="none" w:sz="0" w:space="0" w:color="auto"/>
          </w:divBdr>
        </w:div>
        <w:div w:id="1050809659">
          <w:marLeft w:val="0"/>
          <w:marRight w:val="0"/>
          <w:marTop w:val="0"/>
          <w:marBottom w:val="0"/>
          <w:divBdr>
            <w:top w:val="none" w:sz="0" w:space="0" w:color="auto"/>
            <w:left w:val="none" w:sz="0" w:space="0" w:color="auto"/>
            <w:bottom w:val="none" w:sz="0" w:space="0" w:color="auto"/>
            <w:right w:val="none" w:sz="0" w:space="0" w:color="auto"/>
          </w:divBdr>
        </w:div>
        <w:div w:id="1084760030">
          <w:marLeft w:val="0"/>
          <w:marRight w:val="0"/>
          <w:marTop w:val="0"/>
          <w:marBottom w:val="0"/>
          <w:divBdr>
            <w:top w:val="none" w:sz="0" w:space="0" w:color="auto"/>
            <w:left w:val="none" w:sz="0" w:space="0" w:color="auto"/>
            <w:bottom w:val="none" w:sz="0" w:space="0" w:color="auto"/>
            <w:right w:val="none" w:sz="0" w:space="0" w:color="auto"/>
          </w:divBdr>
        </w:div>
        <w:div w:id="1606383642">
          <w:marLeft w:val="0"/>
          <w:marRight w:val="0"/>
          <w:marTop w:val="0"/>
          <w:marBottom w:val="0"/>
          <w:divBdr>
            <w:top w:val="none" w:sz="0" w:space="0" w:color="auto"/>
            <w:left w:val="none" w:sz="0" w:space="0" w:color="auto"/>
            <w:bottom w:val="none" w:sz="0" w:space="0" w:color="auto"/>
            <w:right w:val="none" w:sz="0" w:space="0" w:color="auto"/>
          </w:divBdr>
          <w:divsChild>
            <w:div w:id="1007444140">
              <w:marLeft w:val="0"/>
              <w:marRight w:val="0"/>
              <w:marTop w:val="0"/>
              <w:marBottom w:val="0"/>
              <w:divBdr>
                <w:top w:val="none" w:sz="0" w:space="0" w:color="auto"/>
                <w:left w:val="none" w:sz="0" w:space="0" w:color="auto"/>
                <w:bottom w:val="none" w:sz="0" w:space="0" w:color="auto"/>
                <w:right w:val="none" w:sz="0" w:space="0" w:color="auto"/>
              </w:divBdr>
            </w:div>
            <w:div w:id="1548756714">
              <w:marLeft w:val="0"/>
              <w:marRight w:val="0"/>
              <w:marTop w:val="0"/>
              <w:marBottom w:val="0"/>
              <w:divBdr>
                <w:top w:val="none" w:sz="0" w:space="0" w:color="auto"/>
                <w:left w:val="none" w:sz="0" w:space="0" w:color="auto"/>
                <w:bottom w:val="none" w:sz="0" w:space="0" w:color="auto"/>
                <w:right w:val="none" w:sz="0" w:space="0" w:color="auto"/>
              </w:divBdr>
            </w:div>
            <w:div w:id="1969778438">
              <w:marLeft w:val="0"/>
              <w:marRight w:val="0"/>
              <w:marTop w:val="0"/>
              <w:marBottom w:val="0"/>
              <w:divBdr>
                <w:top w:val="none" w:sz="0" w:space="0" w:color="auto"/>
                <w:left w:val="none" w:sz="0" w:space="0" w:color="auto"/>
                <w:bottom w:val="none" w:sz="0" w:space="0" w:color="auto"/>
                <w:right w:val="none" w:sz="0" w:space="0" w:color="auto"/>
              </w:divBdr>
            </w:div>
            <w:div w:id="2031566745">
              <w:marLeft w:val="0"/>
              <w:marRight w:val="0"/>
              <w:marTop w:val="0"/>
              <w:marBottom w:val="0"/>
              <w:divBdr>
                <w:top w:val="none" w:sz="0" w:space="0" w:color="auto"/>
                <w:left w:val="none" w:sz="0" w:space="0" w:color="auto"/>
                <w:bottom w:val="none" w:sz="0" w:space="0" w:color="auto"/>
                <w:right w:val="none" w:sz="0" w:space="0" w:color="auto"/>
              </w:divBdr>
            </w:div>
            <w:div w:id="2102987036">
              <w:marLeft w:val="0"/>
              <w:marRight w:val="0"/>
              <w:marTop w:val="0"/>
              <w:marBottom w:val="0"/>
              <w:divBdr>
                <w:top w:val="none" w:sz="0" w:space="0" w:color="auto"/>
                <w:left w:val="none" w:sz="0" w:space="0" w:color="auto"/>
                <w:bottom w:val="none" w:sz="0" w:space="0" w:color="auto"/>
                <w:right w:val="none" w:sz="0" w:space="0" w:color="auto"/>
              </w:divBdr>
            </w:div>
          </w:divsChild>
        </w:div>
        <w:div w:id="1733963637">
          <w:marLeft w:val="0"/>
          <w:marRight w:val="0"/>
          <w:marTop w:val="0"/>
          <w:marBottom w:val="0"/>
          <w:divBdr>
            <w:top w:val="none" w:sz="0" w:space="0" w:color="auto"/>
            <w:left w:val="none" w:sz="0" w:space="0" w:color="auto"/>
            <w:bottom w:val="none" w:sz="0" w:space="0" w:color="auto"/>
            <w:right w:val="none" w:sz="0" w:space="0" w:color="auto"/>
          </w:divBdr>
        </w:div>
        <w:div w:id="2015570793">
          <w:marLeft w:val="0"/>
          <w:marRight w:val="0"/>
          <w:marTop w:val="0"/>
          <w:marBottom w:val="0"/>
          <w:divBdr>
            <w:top w:val="none" w:sz="0" w:space="0" w:color="auto"/>
            <w:left w:val="none" w:sz="0" w:space="0" w:color="auto"/>
            <w:bottom w:val="none" w:sz="0" w:space="0" w:color="auto"/>
            <w:right w:val="none" w:sz="0" w:space="0" w:color="auto"/>
          </w:divBdr>
          <w:divsChild>
            <w:div w:id="205678689">
              <w:marLeft w:val="0"/>
              <w:marRight w:val="0"/>
              <w:marTop w:val="0"/>
              <w:marBottom w:val="0"/>
              <w:divBdr>
                <w:top w:val="none" w:sz="0" w:space="0" w:color="auto"/>
                <w:left w:val="none" w:sz="0" w:space="0" w:color="auto"/>
                <w:bottom w:val="none" w:sz="0" w:space="0" w:color="auto"/>
                <w:right w:val="none" w:sz="0" w:space="0" w:color="auto"/>
              </w:divBdr>
            </w:div>
            <w:div w:id="503668817">
              <w:marLeft w:val="0"/>
              <w:marRight w:val="0"/>
              <w:marTop w:val="0"/>
              <w:marBottom w:val="0"/>
              <w:divBdr>
                <w:top w:val="none" w:sz="0" w:space="0" w:color="auto"/>
                <w:left w:val="none" w:sz="0" w:space="0" w:color="auto"/>
                <w:bottom w:val="none" w:sz="0" w:space="0" w:color="auto"/>
                <w:right w:val="none" w:sz="0" w:space="0" w:color="auto"/>
              </w:divBdr>
            </w:div>
            <w:div w:id="1386249371">
              <w:marLeft w:val="0"/>
              <w:marRight w:val="0"/>
              <w:marTop w:val="0"/>
              <w:marBottom w:val="0"/>
              <w:divBdr>
                <w:top w:val="none" w:sz="0" w:space="0" w:color="auto"/>
                <w:left w:val="none" w:sz="0" w:space="0" w:color="auto"/>
                <w:bottom w:val="none" w:sz="0" w:space="0" w:color="auto"/>
                <w:right w:val="none" w:sz="0" w:space="0" w:color="auto"/>
              </w:divBdr>
            </w:div>
            <w:div w:id="1402562154">
              <w:marLeft w:val="0"/>
              <w:marRight w:val="0"/>
              <w:marTop w:val="0"/>
              <w:marBottom w:val="0"/>
              <w:divBdr>
                <w:top w:val="none" w:sz="0" w:space="0" w:color="auto"/>
                <w:left w:val="none" w:sz="0" w:space="0" w:color="auto"/>
                <w:bottom w:val="none" w:sz="0" w:space="0" w:color="auto"/>
                <w:right w:val="none" w:sz="0" w:space="0" w:color="auto"/>
              </w:divBdr>
            </w:div>
            <w:div w:id="155126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5557">
      <w:bodyDiv w:val="1"/>
      <w:marLeft w:val="0"/>
      <w:marRight w:val="0"/>
      <w:marTop w:val="0"/>
      <w:marBottom w:val="0"/>
      <w:divBdr>
        <w:top w:val="none" w:sz="0" w:space="0" w:color="auto"/>
        <w:left w:val="none" w:sz="0" w:space="0" w:color="auto"/>
        <w:bottom w:val="none" w:sz="0" w:space="0" w:color="auto"/>
        <w:right w:val="none" w:sz="0" w:space="0" w:color="auto"/>
      </w:divBdr>
    </w:div>
    <w:div w:id="81610896">
      <w:bodyDiv w:val="1"/>
      <w:marLeft w:val="0"/>
      <w:marRight w:val="0"/>
      <w:marTop w:val="0"/>
      <w:marBottom w:val="0"/>
      <w:divBdr>
        <w:top w:val="none" w:sz="0" w:space="0" w:color="auto"/>
        <w:left w:val="none" w:sz="0" w:space="0" w:color="auto"/>
        <w:bottom w:val="none" w:sz="0" w:space="0" w:color="auto"/>
        <w:right w:val="none" w:sz="0" w:space="0" w:color="auto"/>
      </w:divBdr>
    </w:div>
    <w:div w:id="83646098">
      <w:bodyDiv w:val="1"/>
      <w:marLeft w:val="0"/>
      <w:marRight w:val="0"/>
      <w:marTop w:val="0"/>
      <w:marBottom w:val="0"/>
      <w:divBdr>
        <w:top w:val="none" w:sz="0" w:space="0" w:color="auto"/>
        <w:left w:val="none" w:sz="0" w:space="0" w:color="auto"/>
        <w:bottom w:val="none" w:sz="0" w:space="0" w:color="auto"/>
        <w:right w:val="none" w:sz="0" w:space="0" w:color="auto"/>
      </w:divBdr>
    </w:div>
    <w:div w:id="91440148">
      <w:bodyDiv w:val="1"/>
      <w:marLeft w:val="0"/>
      <w:marRight w:val="0"/>
      <w:marTop w:val="0"/>
      <w:marBottom w:val="0"/>
      <w:divBdr>
        <w:top w:val="none" w:sz="0" w:space="0" w:color="auto"/>
        <w:left w:val="none" w:sz="0" w:space="0" w:color="auto"/>
        <w:bottom w:val="none" w:sz="0" w:space="0" w:color="auto"/>
        <w:right w:val="none" w:sz="0" w:space="0" w:color="auto"/>
      </w:divBdr>
    </w:div>
    <w:div w:id="124396591">
      <w:bodyDiv w:val="1"/>
      <w:marLeft w:val="0"/>
      <w:marRight w:val="0"/>
      <w:marTop w:val="0"/>
      <w:marBottom w:val="0"/>
      <w:divBdr>
        <w:top w:val="none" w:sz="0" w:space="0" w:color="auto"/>
        <w:left w:val="none" w:sz="0" w:space="0" w:color="auto"/>
        <w:bottom w:val="none" w:sz="0" w:space="0" w:color="auto"/>
        <w:right w:val="none" w:sz="0" w:space="0" w:color="auto"/>
      </w:divBdr>
    </w:div>
    <w:div w:id="134372169">
      <w:bodyDiv w:val="1"/>
      <w:marLeft w:val="0"/>
      <w:marRight w:val="0"/>
      <w:marTop w:val="0"/>
      <w:marBottom w:val="0"/>
      <w:divBdr>
        <w:top w:val="none" w:sz="0" w:space="0" w:color="auto"/>
        <w:left w:val="none" w:sz="0" w:space="0" w:color="auto"/>
        <w:bottom w:val="none" w:sz="0" w:space="0" w:color="auto"/>
        <w:right w:val="none" w:sz="0" w:space="0" w:color="auto"/>
      </w:divBdr>
    </w:div>
    <w:div w:id="148256504">
      <w:bodyDiv w:val="1"/>
      <w:marLeft w:val="0"/>
      <w:marRight w:val="0"/>
      <w:marTop w:val="0"/>
      <w:marBottom w:val="0"/>
      <w:divBdr>
        <w:top w:val="none" w:sz="0" w:space="0" w:color="auto"/>
        <w:left w:val="none" w:sz="0" w:space="0" w:color="auto"/>
        <w:bottom w:val="none" w:sz="0" w:space="0" w:color="auto"/>
        <w:right w:val="none" w:sz="0" w:space="0" w:color="auto"/>
      </w:divBdr>
      <w:divsChild>
        <w:div w:id="696278580">
          <w:marLeft w:val="0"/>
          <w:marRight w:val="0"/>
          <w:marTop w:val="0"/>
          <w:marBottom w:val="0"/>
          <w:divBdr>
            <w:top w:val="none" w:sz="0" w:space="0" w:color="auto"/>
            <w:left w:val="none" w:sz="0" w:space="0" w:color="auto"/>
            <w:bottom w:val="none" w:sz="0" w:space="0" w:color="auto"/>
            <w:right w:val="none" w:sz="0" w:space="0" w:color="auto"/>
          </w:divBdr>
          <w:divsChild>
            <w:div w:id="7297010">
              <w:marLeft w:val="0"/>
              <w:marRight w:val="0"/>
              <w:marTop w:val="0"/>
              <w:marBottom w:val="0"/>
              <w:divBdr>
                <w:top w:val="none" w:sz="0" w:space="0" w:color="auto"/>
                <w:left w:val="none" w:sz="0" w:space="0" w:color="auto"/>
                <w:bottom w:val="none" w:sz="0" w:space="0" w:color="auto"/>
                <w:right w:val="none" w:sz="0" w:space="0" w:color="auto"/>
              </w:divBdr>
            </w:div>
            <w:div w:id="254244627">
              <w:marLeft w:val="0"/>
              <w:marRight w:val="0"/>
              <w:marTop w:val="0"/>
              <w:marBottom w:val="0"/>
              <w:divBdr>
                <w:top w:val="none" w:sz="0" w:space="0" w:color="auto"/>
                <w:left w:val="none" w:sz="0" w:space="0" w:color="auto"/>
                <w:bottom w:val="none" w:sz="0" w:space="0" w:color="auto"/>
                <w:right w:val="none" w:sz="0" w:space="0" w:color="auto"/>
              </w:divBdr>
            </w:div>
            <w:div w:id="1411078013">
              <w:marLeft w:val="0"/>
              <w:marRight w:val="0"/>
              <w:marTop w:val="0"/>
              <w:marBottom w:val="0"/>
              <w:divBdr>
                <w:top w:val="none" w:sz="0" w:space="0" w:color="auto"/>
                <w:left w:val="none" w:sz="0" w:space="0" w:color="auto"/>
                <w:bottom w:val="none" w:sz="0" w:space="0" w:color="auto"/>
                <w:right w:val="none" w:sz="0" w:space="0" w:color="auto"/>
              </w:divBdr>
            </w:div>
            <w:div w:id="1526863077">
              <w:marLeft w:val="0"/>
              <w:marRight w:val="0"/>
              <w:marTop w:val="0"/>
              <w:marBottom w:val="0"/>
              <w:divBdr>
                <w:top w:val="none" w:sz="0" w:space="0" w:color="auto"/>
                <w:left w:val="none" w:sz="0" w:space="0" w:color="auto"/>
                <w:bottom w:val="none" w:sz="0" w:space="0" w:color="auto"/>
                <w:right w:val="none" w:sz="0" w:space="0" w:color="auto"/>
              </w:divBdr>
            </w:div>
          </w:divsChild>
        </w:div>
        <w:div w:id="1724714485">
          <w:marLeft w:val="0"/>
          <w:marRight w:val="0"/>
          <w:marTop w:val="0"/>
          <w:marBottom w:val="0"/>
          <w:divBdr>
            <w:top w:val="none" w:sz="0" w:space="0" w:color="auto"/>
            <w:left w:val="none" w:sz="0" w:space="0" w:color="auto"/>
            <w:bottom w:val="none" w:sz="0" w:space="0" w:color="auto"/>
            <w:right w:val="none" w:sz="0" w:space="0" w:color="auto"/>
          </w:divBdr>
          <w:divsChild>
            <w:div w:id="1120494114">
              <w:marLeft w:val="0"/>
              <w:marRight w:val="0"/>
              <w:marTop w:val="0"/>
              <w:marBottom w:val="0"/>
              <w:divBdr>
                <w:top w:val="none" w:sz="0" w:space="0" w:color="auto"/>
                <w:left w:val="none" w:sz="0" w:space="0" w:color="auto"/>
                <w:bottom w:val="none" w:sz="0" w:space="0" w:color="auto"/>
                <w:right w:val="none" w:sz="0" w:space="0" w:color="auto"/>
              </w:divBdr>
            </w:div>
            <w:div w:id="1401903936">
              <w:marLeft w:val="0"/>
              <w:marRight w:val="0"/>
              <w:marTop w:val="0"/>
              <w:marBottom w:val="0"/>
              <w:divBdr>
                <w:top w:val="none" w:sz="0" w:space="0" w:color="auto"/>
                <w:left w:val="none" w:sz="0" w:space="0" w:color="auto"/>
                <w:bottom w:val="none" w:sz="0" w:space="0" w:color="auto"/>
                <w:right w:val="none" w:sz="0" w:space="0" w:color="auto"/>
              </w:divBdr>
            </w:div>
            <w:div w:id="184905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0551">
      <w:bodyDiv w:val="1"/>
      <w:marLeft w:val="0"/>
      <w:marRight w:val="0"/>
      <w:marTop w:val="0"/>
      <w:marBottom w:val="0"/>
      <w:divBdr>
        <w:top w:val="none" w:sz="0" w:space="0" w:color="auto"/>
        <w:left w:val="none" w:sz="0" w:space="0" w:color="auto"/>
        <w:bottom w:val="none" w:sz="0" w:space="0" w:color="auto"/>
        <w:right w:val="none" w:sz="0" w:space="0" w:color="auto"/>
      </w:divBdr>
      <w:divsChild>
        <w:div w:id="1041637193">
          <w:marLeft w:val="0"/>
          <w:marRight w:val="0"/>
          <w:marTop w:val="0"/>
          <w:marBottom w:val="0"/>
          <w:divBdr>
            <w:top w:val="none" w:sz="0" w:space="0" w:color="auto"/>
            <w:left w:val="none" w:sz="0" w:space="0" w:color="auto"/>
            <w:bottom w:val="none" w:sz="0" w:space="0" w:color="auto"/>
            <w:right w:val="none" w:sz="0" w:space="0" w:color="auto"/>
          </w:divBdr>
          <w:divsChild>
            <w:div w:id="198590570">
              <w:marLeft w:val="-75"/>
              <w:marRight w:val="0"/>
              <w:marTop w:val="30"/>
              <w:marBottom w:val="30"/>
              <w:divBdr>
                <w:top w:val="none" w:sz="0" w:space="0" w:color="auto"/>
                <w:left w:val="none" w:sz="0" w:space="0" w:color="auto"/>
                <w:bottom w:val="none" w:sz="0" w:space="0" w:color="auto"/>
                <w:right w:val="none" w:sz="0" w:space="0" w:color="auto"/>
              </w:divBdr>
              <w:divsChild>
                <w:div w:id="19821655">
                  <w:marLeft w:val="0"/>
                  <w:marRight w:val="0"/>
                  <w:marTop w:val="0"/>
                  <w:marBottom w:val="0"/>
                  <w:divBdr>
                    <w:top w:val="none" w:sz="0" w:space="0" w:color="auto"/>
                    <w:left w:val="none" w:sz="0" w:space="0" w:color="auto"/>
                    <w:bottom w:val="none" w:sz="0" w:space="0" w:color="auto"/>
                    <w:right w:val="none" w:sz="0" w:space="0" w:color="auto"/>
                  </w:divBdr>
                  <w:divsChild>
                    <w:div w:id="1601982413">
                      <w:marLeft w:val="0"/>
                      <w:marRight w:val="0"/>
                      <w:marTop w:val="0"/>
                      <w:marBottom w:val="0"/>
                      <w:divBdr>
                        <w:top w:val="none" w:sz="0" w:space="0" w:color="auto"/>
                        <w:left w:val="none" w:sz="0" w:space="0" w:color="auto"/>
                        <w:bottom w:val="none" w:sz="0" w:space="0" w:color="auto"/>
                        <w:right w:val="none" w:sz="0" w:space="0" w:color="auto"/>
                      </w:divBdr>
                    </w:div>
                  </w:divsChild>
                </w:div>
                <w:div w:id="26683586">
                  <w:marLeft w:val="0"/>
                  <w:marRight w:val="0"/>
                  <w:marTop w:val="0"/>
                  <w:marBottom w:val="0"/>
                  <w:divBdr>
                    <w:top w:val="none" w:sz="0" w:space="0" w:color="auto"/>
                    <w:left w:val="none" w:sz="0" w:space="0" w:color="auto"/>
                    <w:bottom w:val="none" w:sz="0" w:space="0" w:color="auto"/>
                    <w:right w:val="none" w:sz="0" w:space="0" w:color="auto"/>
                  </w:divBdr>
                  <w:divsChild>
                    <w:div w:id="156194225">
                      <w:marLeft w:val="0"/>
                      <w:marRight w:val="0"/>
                      <w:marTop w:val="0"/>
                      <w:marBottom w:val="0"/>
                      <w:divBdr>
                        <w:top w:val="none" w:sz="0" w:space="0" w:color="auto"/>
                        <w:left w:val="none" w:sz="0" w:space="0" w:color="auto"/>
                        <w:bottom w:val="none" w:sz="0" w:space="0" w:color="auto"/>
                        <w:right w:val="none" w:sz="0" w:space="0" w:color="auto"/>
                      </w:divBdr>
                    </w:div>
                  </w:divsChild>
                </w:div>
                <w:div w:id="58024402">
                  <w:marLeft w:val="0"/>
                  <w:marRight w:val="0"/>
                  <w:marTop w:val="0"/>
                  <w:marBottom w:val="0"/>
                  <w:divBdr>
                    <w:top w:val="none" w:sz="0" w:space="0" w:color="auto"/>
                    <w:left w:val="none" w:sz="0" w:space="0" w:color="auto"/>
                    <w:bottom w:val="none" w:sz="0" w:space="0" w:color="auto"/>
                    <w:right w:val="none" w:sz="0" w:space="0" w:color="auto"/>
                  </w:divBdr>
                  <w:divsChild>
                    <w:div w:id="1242519044">
                      <w:marLeft w:val="0"/>
                      <w:marRight w:val="0"/>
                      <w:marTop w:val="0"/>
                      <w:marBottom w:val="0"/>
                      <w:divBdr>
                        <w:top w:val="none" w:sz="0" w:space="0" w:color="auto"/>
                        <w:left w:val="none" w:sz="0" w:space="0" w:color="auto"/>
                        <w:bottom w:val="none" w:sz="0" w:space="0" w:color="auto"/>
                        <w:right w:val="none" w:sz="0" w:space="0" w:color="auto"/>
                      </w:divBdr>
                    </w:div>
                  </w:divsChild>
                </w:div>
                <w:div w:id="79067377">
                  <w:marLeft w:val="0"/>
                  <w:marRight w:val="0"/>
                  <w:marTop w:val="0"/>
                  <w:marBottom w:val="0"/>
                  <w:divBdr>
                    <w:top w:val="none" w:sz="0" w:space="0" w:color="auto"/>
                    <w:left w:val="none" w:sz="0" w:space="0" w:color="auto"/>
                    <w:bottom w:val="none" w:sz="0" w:space="0" w:color="auto"/>
                    <w:right w:val="none" w:sz="0" w:space="0" w:color="auto"/>
                  </w:divBdr>
                  <w:divsChild>
                    <w:div w:id="1356423238">
                      <w:marLeft w:val="0"/>
                      <w:marRight w:val="0"/>
                      <w:marTop w:val="0"/>
                      <w:marBottom w:val="0"/>
                      <w:divBdr>
                        <w:top w:val="none" w:sz="0" w:space="0" w:color="auto"/>
                        <w:left w:val="none" w:sz="0" w:space="0" w:color="auto"/>
                        <w:bottom w:val="none" w:sz="0" w:space="0" w:color="auto"/>
                        <w:right w:val="none" w:sz="0" w:space="0" w:color="auto"/>
                      </w:divBdr>
                    </w:div>
                  </w:divsChild>
                </w:div>
                <w:div w:id="104353115">
                  <w:marLeft w:val="0"/>
                  <w:marRight w:val="0"/>
                  <w:marTop w:val="0"/>
                  <w:marBottom w:val="0"/>
                  <w:divBdr>
                    <w:top w:val="none" w:sz="0" w:space="0" w:color="auto"/>
                    <w:left w:val="none" w:sz="0" w:space="0" w:color="auto"/>
                    <w:bottom w:val="none" w:sz="0" w:space="0" w:color="auto"/>
                    <w:right w:val="none" w:sz="0" w:space="0" w:color="auto"/>
                  </w:divBdr>
                  <w:divsChild>
                    <w:div w:id="510529440">
                      <w:marLeft w:val="0"/>
                      <w:marRight w:val="0"/>
                      <w:marTop w:val="0"/>
                      <w:marBottom w:val="0"/>
                      <w:divBdr>
                        <w:top w:val="none" w:sz="0" w:space="0" w:color="auto"/>
                        <w:left w:val="none" w:sz="0" w:space="0" w:color="auto"/>
                        <w:bottom w:val="none" w:sz="0" w:space="0" w:color="auto"/>
                        <w:right w:val="none" w:sz="0" w:space="0" w:color="auto"/>
                      </w:divBdr>
                    </w:div>
                  </w:divsChild>
                </w:div>
                <w:div w:id="127406989">
                  <w:marLeft w:val="0"/>
                  <w:marRight w:val="0"/>
                  <w:marTop w:val="0"/>
                  <w:marBottom w:val="0"/>
                  <w:divBdr>
                    <w:top w:val="none" w:sz="0" w:space="0" w:color="auto"/>
                    <w:left w:val="none" w:sz="0" w:space="0" w:color="auto"/>
                    <w:bottom w:val="none" w:sz="0" w:space="0" w:color="auto"/>
                    <w:right w:val="none" w:sz="0" w:space="0" w:color="auto"/>
                  </w:divBdr>
                  <w:divsChild>
                    <w:div w:id="1469005608">
                      <w:marLeft w:val="0"/>
                      <w:marRight w:val="0"/>
                      <w:marTop w:val="0"/>
                      <w:marBottom w:val="0"/>
                      <w:divBdr>
                        <w:top w:val="none" w:sz="0" w:space="0" w:color="auto"/>
                        <w:left w:val="none" w:sz="0" w:space="0" w:color="auto"/>
                        <w:bottom w:val="none" w:sz="0" w:space="0" w:color="auto"/>
                        <w:right w:val="none" w:sz="0" w:space="0" w:color="auto"/>
                      </w:divBdr>
                    </w:div>
                  </w:divsChild>
                </w:div>
                <w:div w:id="141122810">
                  <w:marLeft w:val="0"/>
                  <w:marRight w:val="0"/>
                  <w:marTop w:val="0"/>
                  <w:marBottom w:val="0"/>
                  <w:divBdr>
                    <w:top w:val="none" w:sz="0" w:space="0" w:color="auto"/>
                    <w:left w:val="none" w:sz="0" w:space="0" w:color="auto"/>
                    <w:bottom w:val="none" w:sz="0" w:space="0" w:color="auto"/>
                    <w:right w:val="none" w:sz="0" w:space="0" w:color="auto"/>
                  </w:divBdr>
                  <w:divsChild>
                    <w:div w:id="559095420">
                      <w:marLeft w:val="0"/>
                      <w:marRight w:val="0"/>
                      <w:marTop w:val="0"/>
                      <w:marBottom w:val="0"/>
                      <w:divBdr>
                        <w:top w:val="none" w:sz="0" w:space="0" w:color="auto"/>
                        <w:left w:val="none" w:sz="0" w:space="0" w:color="auto"/>
                        <w:bottom w:val="none" w:sz="0" w:space="0" w:color="auto"/>
                        <w:right w:val="none" w:sz="0" w:space="0" w:color="auto"/>
                      </w:divBdr>
                    </w:div>
                  </w:divsChild>
                </w:div>
                <w:div w:id="153567013">
                  <w:marLeft w:val="0"/>
                  <w:marRight w:val="0"/>
                  <w:marTop w:val="0"/>
                  <w:marBottom w:val="0"/>
                  <w:divBdr>
                    <w:top w:val="none" w:sz="0" w:space="0" w:color="auto"/>
                    <w:left w:val="none" w:sz="0" w:space="0" w:color="auto"/>
                    <w:bottom w:val="none" w:sz="0" w:space="0" w:color="auto"/>
                    <w:right w:val="none" w:sz="0" w:space="0" w:color="auto"/>
                  </w:divBdr>
                  <w:divsChild>
                    <w:div w:id="1530148307">
                      <w:marLeft w:val="0"/>
                      <w:marRight w:val="0"/>
                      <w:marTop w:val="0"/>
                      <w:marBottom w:val="0"/>
                      <w:divBdr>
                        <w:top w:val="none" w:sz="0" w:space="0" w:color="auto"/>
                        <w:left w:val="none" w:sz="0" w:space="0" w:color="auto"/>
                        <w:bottom w:val="none" w:sz="0" w:space="0" w:color="auto"/>
                        <w:right w:val="none" w:sz="0" w:space="0" w:color="auto"/>
                      </w:divBdr>
                    </w:div>
                  </w:divsChild>
                </w:div>
                <w:div w:id="184178342">
                  <w:marLeft w:val="0"/>
                  <w:marRight w:val="0"/>
                  <w:marTop w:val="0"/>
                  <w:marBottom w:val="0"/>
                  <w:divBdr>
                    <w:top w:val="none" w:sz="0" w:space="0" w:color="auto"/>
                    <w:left w:val="none" w:sz="0" w:space="0" w:color="auto"/>
                    <w:bottom w:val="none" w:sz="0" w:space="0" w:color="auto"/>
                    <w:right w:val="none" w:sz="0" w:space="0" w:color="auto"/>
                  </w:divBdr>
                  <w:divsChild>
                    <w:div w:id="542056140">
                      <w:marLeft w:val="0"/>
                      <w:marRight w:val="0"/>
                      <w:marTop w:val="0"/>
                      <w:marBottom w:val="0"/>
                      <w:divBdr>
                        <w:top w:val="none" w:sz="0" w:space="0" w:color="auto"/>
                        <w:left w:val="none" w:sz="0" w:space="0" w:color="auto"/>
                        <w:bottom w:val="none" w:sz="0" w:space="0" w:color="auto"/>
                        <w:right w:val="none" w:sz="0" w:space="0" w:color="auto"/>
                      </w:divBdr>
                    </w:div>
                  </w:divsChild>
                </w:div>
                <w:div w:id="189494275">
                  <w:marLeft w:val="0"/>
                  <w:marRight w:val="0"/>
                  <w:marTop w:val="0"/>
                  <w:marBottom w:val="0"/>
                  <w:divBdr>
                    <w:top w:val="none" w:sz="0" w:space="0" w:color="auto"/>
                    <w:left w:val="none" w:sz="0" w:space="0" w:color="auto"/>
                    <w:bottom w:val="none" w:sz="0" w:space="0" w:color="auto"/>
                    <w:right w:val="none" w:sz="0" w:space="0" w:color="auto"/>
                  </w:divBdr>
                  <w:divsChild>
                    <w:div w:id="949238878">
                      <w:marLeft w:val="0"/>
                      <w:marRight w:val="0"/>
                      <w:marTop w:val="0"/>
                      <w:marBottom w:val="0"/>
                      <w:divBdr>
                        <w:top w:val="none" w:sz="0" w:space="0" w:color="auto"/>
                        <w:left w:val="none" w:sz="0" w:space="0" w:color="auto"/>
                        <w:bottom w:val="none" w:sz="0" w:space="0" w:color="auto"/>
                        <w:right w:val="none" w:sz="0" w:space="0" w:color="auto"/>
                      </w:divBdr>
                    </w:div>
                  </w:divsChild>
                </w:div>
                <w:div w:id="215170819">
                  <w:marLeft w:val="0"/>
                  <w:marRight w:val="0"/>
                  <w:marTop w:val="0"/>
                  <w:marBottom w:val="0"/>
                  <w:divBdr>
                    <w:top w:val="none" w:sz="0" w:space="0" w:color="auto"/>
                    <w:left w:val="none" w:sz="0" w:space="0" w:color="auto"/>
                    <w:bottom w:val="none" w:sz="0" w:space="0" w:color="auto"/>
                    <w:right w:val="none" w:sz="0" w:space="0" w:color="auto"/>
                  </w:divBdr>
                  <w:divsChild>
                    <w:div w:id="2080244686">
                      <w:marLeft w:val="0"/>
                      <w:marRight w:val="0"/>
                      <w:marTop w:val="0"/>
                      <w:marBottom w:val="0"/>
                      <w:divBdr>
                        <w:top w:val="none" w:sz="0" w:space="0" w:color="auto"/>
                        <w:left w:val="none" w:sz="0" w:space="0" w:color="auto"/>
                        <w:bottom w:val="none" w:sz="0" w:space="0" w:color="auto"/>
                        <w:right w:val="none" w:sz="0" w:space="0" w:color="auto"/>
                      </w:divBdr>
                    </w:div>
                  </w:divsChild>
                </w:div>
                <w:div w:id="222914433">
                  <w:marLeft w:val="0"/>
                  <w:marRight w:val="0"/>
                  <w:marTop w:val="0"/>
                  <w:marBottom w:val="0"/>
                  <w:divBdr>
                    <w:top w:val="none" w:sz="0" w:space="0" w:color="auto"/>
                    <w:left w:val="none" w:sz="0" w:space="0" w:color="auto"/>
                    <w:bottom w:val="none" w:sz="0" w:space="0" w:color="auto"/>
                    <w:right w:val="none" w:sz="0" w:space="0" w:color="auto"/>
                  </w:divBdr>
                  <w:divsChild>
                    <w:div w:id="1208952218">
                      <w:marLeft w:val="0"/>
                      <w:marRight w:val="0"/>
                      <w:marTop w:val="0"/>
                      <w:marBottom w:val="0"/>
                      <w:divBdr>
                        <w:top w:val="none" w:sz="0" w:space="0" w:color="auto"/>
                        <w:left w:val="none" w:sz="0" w:space="0" w:color="auto"/>
                        <w:bottom w:val="none" w:sz="0" w:space="0" w:color="auto"/>
                        <w:right w:val="none" w:sz="0" w:space="0" w:color="auto"/>
                      </w:divBdr>
                    </w:div>
                  </w:divsChild>
                </w:div>
                <w:div w:id="239750511">
                  <w:marLeft w:val="0"/>
                  <w:marRight w:val="0"/>
                  <w:marTop w:val="0"/>
                  <w:marBottom w:val="0"/>
                  <w:divBdr>
                    <w:top w:val="none" w:sz="0" w:space="0" w:color="auto"/>
                    <w:left w:val="none" w:sz="0" w:space="0" w:color="auto"/>
                    <w:bottom w:val="none" w:sz="0" w:space="0" w:color="auto"/>
                    <w:right w:val="none" w:sz="0" w:space="0" w:color="auto"/>
                  </w:divBdr>
                  <w:divsChild>
                    <w:div w:id="1994946899">
                      <w:marLeft w:val="0"/>
                      <w:marRight w:val="0"/>
                      <w:marTop w:val="0"/>
                      <w:marBottom w:val="0"/>
                      <w:divBdr>
                        <w:top w:val="none" w:sz="0" w:space="0" w:color="auto"/>
                        <w:left w:val="none" w:sz="0" w:space="0" w:color="auto"/>
                        <w:bottom w:val="none" w:sz="0" w:space="0" w:color="auto"/>
                        <w:right w:val="none" w:sz="0" w:space="0" w:color="auto"/>
                      </w:divBdr>
                    </w:div>
                  </w:divsChild>
                </w:div>
                <w:div w:id="251663149">
                  <w:marLeft w:val="0"/>
                  <w:marRight w:val="0"/>
                  <w:marTop w:val="0"/>
                  <w:marBottom w:val="0"/>
                  <w:divBdr>
                    <w:top w:val="none" w:sz="0" w:space="0" w:color="auto"/>
                    <w:left w:val="none" w:sz="0" w:space="0" w:color="auto"/>
                    <w:bottom w:val="none" w:sz="0" w:space="0" w:color="auto"/>
                    <w:right w:val="none" w:sz="0" w:space="0" w:color="auto"/>
                  </w:divBdr>
                  <w:divsChild>
                    <w:div w:id="678192943">
                      <w:marLeft w:val="0"/>
                      <w:marRight w:val="0"/>
                      <w:marTop w:val="0"/>
                      <w:marBottom w:val="0"/>
                      <w:divBdr>
                        <w:top w:val="none" w:sz="0" w:space="0" w:color="auto"/>
                        <w:left w:val="none" w:sz="0" w:space="0" w:color="auto"/>
                        <w:bottom w:val="none" w:sz="0" w:space="0" w:color="auto"/>
                        <w:right w:val="none" w:sz="0" w:space="0" w:color="auto"/>
                      </w:divBdr>
                    </w:div>
                  </w:divsChild>
                </w:div>
                <w:div w:id="276721583">
                  <w:marLeft w:val="0"/>
                  <w:marRight w:val="0"/>
                  <w:marTop w:val="0"/>
                  <w:marBottom w:val="0"/>
                  <w:divBdr>
                    <w:top w:val="none" w:sz="0" w:space="0" w:color="auto"/>
                    <w:left w:val="none" w:sz="0" w:space="0" w:color="auto"/>
                    <w:bottom w:val="none" w:sz="0" w:space="0" w:color="auto"/>
                    <w:right w:val="none" w:sz="0" w:space="0" w:color="auto"/>
                  </w:divBdr>
                  <w:divsChild>
                    <w:div w:id="1466893302">
                      <w:marLeft w:val="0"/>
                      <w:marRight w:val="0"/>
                      <w:marTop w:val="0"/>
                      <w:marBottom w:val="0"/>
                      <w:divBdr>
                        <w:top w:val="none" w:sz="0" w:space="0" w:color="auto"/>
                        <w:left w:val="none" w:sz="0" w:space="0" w:color="auto"/>
                        <w:bottom w:val="none" w:sz="0" w:space="0" w:color="auto"/>
                        <w:right w:val="none" w:sz="0" w:space="0" w:color="auto"/>
                      </w:divBdr>
                    </w:div>
                  </w:divsChild>
                </w:div>
                <w:div w:id="297028490">
                  <w:marLeft w:val="0"/>
                  <w:marRight w:val="0"/>
                  <w:marTop w:val="0"/>
                  <w:marBottom w:val="0"/>
                  <w:divBdr>
                    <w:top w:val="none" w:sz="0" w:space="0" w:color="auto"/>
                    <w:left w:val="none" w:sz="0" w:space="0" w:color="auto"/>
                    <w:bottom w:val="none" w:sz="0" w:space="0" w:color="auto"/>
                    <w:right w:val="none" w:sz="0" w:space="0" w:color="auto"/>
                  </w:divBdr>
                  <w:divsChild>
                    <w:div w:id="1203320886">
                      <w:marLeft w:val="0"/>
                      <w:marRight w:val="0"/>
                      <w:marTop w:val="0"/>
                      <w:marBottom w:val="0"/>
                      <w:divBdr>
                        <w:top w:val="none" w:sz="0" w:space="0" w:color="auto"/>
                        <w:left w:val="none" w:sz="0" w:space="0" w:color="auto"/>
                        <w:bottom w:val="none" w:sz="0" w:space="0" w:color="auto"/>
                        <w:right w:val="none" w:sz="0" w:space="0" w:color="auto"/>
                      </w:divBdr>
                    </w:div>
                  </w:divsChild>
                </w:div>
                <w:div w:id="307826875">
                  <w:marLeft w:val="0"/>
                  <w:marRight w:val="0"/>
                  <w:marTop w:val="0"/>
                  <w:marBottom w:val="0"/>
                  <w:divBdr>
                    <w:top w:val="none" w:sz="0" w:space="0" w:color="auto"/>
                    <w:left w:val="none" w:sz="0" w:space="0" w:color="auto"/>
                    <w:bottom w:val="none" w:sz="0" w:space="0" w:color="auto"/>
                    <w:right w:val="none" w:sz="0" w:space="0" w:color="auto"/>
                  </w:divBdr>
                  <w:divsChild>
                    <w:div w:id="388192156">
                      <w:marLeft w:val="0"/>
                      <w:marRight w:val="0"/>
                      <w:marTop w:val="0"/>
                      <w:marBottom w:val="0"/>
                      <w:divBdr>
                        <w:top w:val="none" w:sz="0" w:space="0" w:color="auto"/>
                        <w:left w:val="none" w:sz="0" w:space="0" w:color="auto"/>
                        <w:bottom w:val="none" w:sz="0" w:space="0" w:color="auto"/>
                        <w:right w:val="none" w:sz="0" w:space="0" w:color="auto"/>
                      </w:divBdr>
                    </w:div>
                  </w:divsChild>
                </w:div>
                <w:div w:id="328095074">
                  <w:marLeft w:val="0"/>
                  <w:marRight w:val="0"/>
                  <w:marTop w:val="0"/>
                  <w:marBottom w:val="0"/>
                  <w:divBdr>
                    <w:top w:val="none" w:sz="0" w:space="0" w:color="auto"/>
                    <w:left w:val="none" w:sz="0" w:space="0" w:color="auto"/>
                    <w:bottom w:val="none" w:sz="0" w:space="0" w:color="auto"/>
                    <w:right w:val="none" w:sz="0" w:space="0" w:color="auto"/>
                  </w:divBdr>
                  <w:divsChild>
                    <w:div w:id="148864503">
                      <w:marLeft w:val="0"/>
                      <w:marRight w:val="0"/>
                      <w:marTop w:val="0"/>
                      <w:marBottom w:val="0"/>
                      <w:divBdr>
                        <w:top w:val="none" w:sz="0" w:space="0" w:color="auto"/>
                        <w:left w:val="none" w:sz="0" w:space="0" w:color="auto"/>
                        <w:bottom w:val="none" w:sz="0" w:space="0" w:color="auto"/>
                        <w:right w:val="none" w:sz="0" w:space="0" w:color="auto"/>
                      </w:divBdr>
                    </w:div>
                  </w:divsChild>
                </w:div>
                <w:div w:id="384253532">
                  <w:marLeft w:val="0"/>
                  <w:marRight w:val="0"/>
                  <w:marTop w:val="0"/>
                  <w:marBottom w:val="0"/>
                  <w:divBdr>
                    <w:top w:val="none" w:sz="0" w:space="0" w:color="auto"/>
                    <w:left w:val="none" w:sz="0" w:space="0" w:color="auto"/>
                    <w:bottom w:val="none" w:sz="0" w:space="0" w:color="auto"/>
                    <w:right w:val="none" w:sz="0" w:space="0" w:color="auto"/>
                  </w:divBdr>
                  <w:divsChild>
                    <w:div w:id="1344697643">
                      <w:marLeft w:val="0"/>
                      <w:marRight w:val="0"/>
                      <w:marTop w:val="0"/>
                      <w:marBottom w:val="0"/>
                      <w:divBdr>
                        <w:top w:val="none" w:sz="0" w:space="0" w:color="auto"/>
                        <w:left w:val="none" w:sz="0" w:space="0" w:color="auto"/>
                        <w:bottom w:val="none" w:sz="0" w:space="0" w:color="auto"/>
                        <w:right w:val="none" w:sz="0" w:space="0" w:color="auto"/>
                      </w:divBdr>
                    </w:div>
                  </w:divsChild>
                </w:div>
                <w:div w:id="394281586">
                  <w:marLeft w:val="0"/>
                  <w:marRight w:val="0"/>
                  <w:marTop w:val="0"/>
                  <w:marBottom w:val="0"/>
                  <w:divBdr>
                    <w:top w:val="none" w:sz="0" w:space="0" w:color="auto"/>
                    <w:left w:val="none" w:sz="0" w:space="0" w:color="auto"/>
                    <w:bottom w:val="none" w:sz="0" w:space="0" w:color="auto"/>
                    <w:right w:val="none" w:sz="0" w:space="0" w:color="auto"/>
                  </w:divBdr>
                  <w:divsChild>
                    <w:div w:id="1631009313">
                      <w:marLeft w:val="0"/>
                      <w:marRight w:val="0"/>
                      <w:marTop w:val="0"/>
                      <w:marBottom w:val="0"/>
                      <w:divBdr>
                        <w:top w:val="none" w:sz="0" w:space="0" w:color="auto"/>
                        <w:left w:val="none" w:sz="0" w:space="0" w:color="auto"/>
                        <w:bottom w:val="none" w:sz="0" w:space="0" w:color="auto"/>
                        <w:right w:val="none" w:sz="0" w:space="0" w:color="auto"/>
                      </w:divBdr>
                    </w:div>
                  </w:divsChild>
                </w:div>
                <w:div w:id="405956777">
                  <w:marLeft w:val="0"/>
                  <w:marRight w:val="0"/>
                  <w:marTop w:val="0"/>
                  <w:marBottom w:val="0"/>
                  <w:divBdr>
                    <w:top w:val="none" w:sz="0" w:space="0" w:color="auto"/>
                    <w:left w:val="none" w:sz="0" w:space="0" w:color="auto"/>
                    <w:bottom w:val="none" w:sz="0" w:space="0" w:color="auto"/>
                    <w:right w:val="none" w:sz="0" w:space="0" w:color="auto"/>
                  </w:divBdr>
                  <w:divsChild>
                    <w:div w:id="1252857648">
                      <w:marLeft w:val="0"/>
                      <w:marRight w:val="0"/>
                      <w:marTop w:val="0"/>
                      <w:marBottom w:val="0"/>
                      <w:divBdr>
                        <w:top w:val="none" w:sz="0" w:space="0" w:color="auto"/>
                        <w:left w:val="none" w:sz="0" w:space="0" w:color="auto"/>
                        <w:bottom w:val="none" w:sz="0" w:space="0" w:color="auto"/>
                        <w:right w:val="none" w:sz="0" w:space="0" w:color="auto"/>
                      </w:divBdr>
                    </w:div>
                  </w:divsChild>
                </w:div>
                <w:div w:id="435247829">
                  <w:marLeft w:val="0"/>
                  <w:marRight w:val="0"/>
                  <w:marTop w:val="0"/>
                  <w:marBottom w:val="0"/>
                  <w:divBdr>
                    <w:top w:val="none" w:sz="0" w:space="0" w:color="auto"/>
                    <w:left w:val="none" w:sz="0" w:space="0" w:color="auto"/>
                    <w:bottom w:val="none" w:sz="0" w:space="0" w:color="auto"/>
                    <w:right w:val="none" w:sz="0" w:space="0" w:color="auto"/>
                  </w:divBdr>
                  <w:divsChild>
                    <w:div w:id="166945830">
                      <w:marLeft w:val="0"/>
                      <w:marRight w:val="0"/>
                      <w:marTop w:val="0"/>
                      <w:marBottom w:val="0"/>
                      <w:divBdr>
                        <w:top w:val="none" w:sz="0" w:space="0" w:color="auto"/>
                        <w:left w:val="none" w:sz="0" w:space="0" w:color="auto"/>
                        <w:bottom w:val="none" w:sz="0" w:space="0" w:color="auto"/>
                        <w:right w:val="none" w:sz="0" w:space="0" w:color="auto"/>
                      </w:divBdr>
                    </w:div>
                  </w:divsChild>
                </w:div>
                <w:div w:id="438524418">
                  <w:marLeft w:val="0"/>
                  <w:marRight w:val="0"/>
                  <w:marTop w:val="0"/>
                  <w:marBottom w:val="0"/>
                  <w:divBdr>
                    <w:top w:val="none" w:sz="0" w:space="0" w:color="auto"/>
                    <w:left w:val="none" w:sz="0" w:space="0" w:color="auto"/>
                    <w:bottom w:val="none" w:sz="0" w:space="0" w:color="auto"/>
                    <w:right w:val="none" w:sz="0" w:space="0" w:color="auto"/>
                  </w:divBdr>
                  <w:divsChild>
                    <w:div w:id="1345401403">
                      <w:marLeft w:val="0"/>
                      <w:marRight w:val="0"/>
                      <w:marTop w:val="0"/>
                      <w:marBottom w:val="0"/>
                      <w:divBdr>
                        <w:top w:val="none" w:sz="0" w:space="0" w:color="auto"/>
                        <w:left w:val="none" w:sz="0" w:space="0" w:color="auto"/>
                        <w:bottom w:val="none" w:sz="0" w:space="0" w:color="auto"/>
                        <w:right w:val="none" w:sz="0" w:space="0" w:color="auto"/>
                      </w:divBdr>
                    </w:div>
                  </w:divsChild>
                </w:div>
                <w:div w:id="446777094">
                  <w:marLeft w:val="0"/>
                  <w:marRight w:val="0"/>
                  <w:marTop w:val="0"/>
                  <w:marBottom w:val="0"/>
                  <w:divBdr>
                    <w:top w:val="none" w:sz="0" w:space="0" w:color="auto"/>
                    <w:left w:val="none" w:sz="0" w:space="0" w:color="auto"/>
                    <w:bottom w:val="none" w:sz="0" w:space="0" w:color="auto"/>
                    <w:right w:val="none" w:sz="0" w:space="0" w:color="auto"/>
                  </w:divBdr>
                  <w:divsChild>
                    <w:div w:id="1376079965">
                      <w:marLeft w:val="0"/>
                      <w:marRight w:val="0"/>
                      <w:marTop w:val="0"/>
                      <w:marBottom w:val="0"/>
                      <w:divBdr>
                        <w:top w:val="none" w:sz="0" w:space="0" w:color="auto"/>
                        <w:left w:val="none" w:sz="0" w:space="0" w:color="auto"/>
                        <w:bottom w:val="none" w:sz="0" w:space="0" w:color="auto"/>
                        <w:right w:val="none" w:sz="0" w:space="0" w:color="auto"/>
                      </w:divBdr>
                    </w:div>
                  </w:divsChild>
                </w:div>
                <w:div w:id="447164457">
                  <w:marLeft w:val="0"/>
                  <w:marRight w:val="0"/>
                  <w:marTop w:val="0"/>
                  <w:marBottom w:val="0"/>
                  <w:divBdr>
                    <w:top w:val="none" w:sz="0" w:space="0" w:color="auto"/>
                    <w:left w:val="none" w:sz="0" w:space="0" w:color="auto"/>
                    <w:bottom w:val="none" w:sz="0" w:space="0" w:color="auto"/>
                    <w:right w:val="none" w:sz="0" w:space="0" w:color="auto"/>
                  </w:divBdr>
                  <w:divsChild>
                    <w:div w:id="461458645">
                      <w:marLeft w:val="0"/>
                      <w:marRight w:val="0"/>
                      <w:marTop w:val="0"/>
                      <w:marBottom w:val="0"/>
                      <w:divBdr>
                        <w:top w:val="none" w:sz="0" w:space="0" w:color="auto"/>
                        <w:left w:val="none" w:sz="0" w:space="0" w:color="auto"/>
                        <w:bottom w:val="none" w:sz="0" w:space="0" w:color="auto"/>
                        <w:right w:val="none" w:sz="0" w:space="0" w:color="auto"/>
                      </w:divBdr>
                    </w:div>
                  </w:divsChild>
                </w:div>
                <w:div w:id="460225237">
                  <w:marLeft w:val="0"/>
                  <w:marRight w:val="0"/>
                  <w:marTop w:val="0"/>
                  <w:marBottom w:val="0"/>
                  <w:divBdr>
                    <w:top w:val="none" w:sz="0" w:space="0" w:color="auto"/>
                    <w:left w:val="none" w:sz="0" w:space="0" w:color="auto"/>
                    <w:bottom w:val="none" w:sz="0" w:space="0" w:color="auto"/>
                    <w:right w:val="none" w:sz="0" w:space="0" w:color="auto"/>
                  </w:divBdr>
                  <w:divsChild>
                    <w:div w:id="1804346965">
                      <w:marLeft w:val="0"/>
                      <w:marRight w:val="0"/>
                      <w:marTop w:val="0"/>
                      <w:marBottom w:val="0"/>
                      <w:divBdr>
                        <w:top w:val="none" w:sz="0" w:space="0" w:color="auto"/>
                        <w:left w:val="none" w:sz="0" w:space="0" w:color="auto"/>
                        <w:bottom w:val="none" w:sz="0" w:space="0" w:color="auto"/>
                        <w:right w:val="none" w:sz="0" w:space="0" w:color="auto"/>
                      </w:divBdr>
                    </w:div>
                  </w:divsChild>
                </w:div>
                <w:div w:id="506948591">
                  <w:marLeft w:val="0"/>
                  <w:marRight w:val="0"/>
                  <w:marTop w:val="0"/>
                  <w:marBottom w:val="0"/>
                  <w:divBdr>
                    <w:top w:val="none" w:sz="0" w:space="0" w:color="auto"/>
                    <w:left w:val="none" w:sz="0" w:space="0" w:color="auto"/>
                    <w:bottom w:val="none" w:sz="0" w:space="0" w:color="auto"/>
                    <w:right w:val="none" w:sz="0" w:space="0" w:color="auto"/>
                  </w:divBdr>
                  <w:divsChild>
                    <w:div w:id="1584799777">
                      <w:marLeft w:val="0"/>
                      <w:marRight w:val="0"/>
                      <w:marTop w:val="0"/>
                      <w:marBottom w:val="0"/>
                      <w:divBdr>
                        <w:top w:val="none" w:sz="0" w:space="0" w:color="auto"/>
                        <w:left w:val="none" w:sz="0" w:space="0" w:color="auto"/>
                        <w:bottom w:val="none" w:sz="0" w:space="0" w:color="auto"/>
                        <w:right w:val="none" w:sz="0" w:space="0" w:color="auto"/>
                      </w:divBdr>
                    </w:div>
                  </w:divsChild>
                </w:div>
                <w:div w:id="517891731">
                  <w:marLeft w:val="0"/>
                  <w:marRight w:val="0"/>
                  <w:marTop w:val="0"/>
                  <w:marBottom w:val="0"/>
                  <w:divBdr>
                    <w:top w:val="none" w:sz="0" w:space="0" w:color="auto"/>
                    <w:left w:val="none" w:sz="0" w:space="0" w:color="auto"/>
                    <w:bottom w:val="none" w:sz="0" w:space="0" w:color="auto"/>
                    <w:right w:val="none" w:sz="0" w:space="0" w:color="auto"/>
                  </w:divBdr>
                  <w:divsChild>
                    <w:div w:id="1985816519">
                      <w:marLeft w:val="0"/>
                      <w:marRight w:val="0"/>
                      <w:marTop w:val="0"/>
                      <w:marBottom w:val="0"/>
                      <w:divBdr>
                        <w:top w:val="none" w:sz="0" w:space="0" w:color="auto"/>
                        <w:left w:val="none" w:sz="0" w:space="0" w:color="auto"/>
                        <w:bottom w:val="none" w:sz="0" w:space="0" w:color="auto"/>
                        <w:right w:val="none" w:sz="0" w:space="0" w:color="auto"/>
                      </w:divBdr>
                    </w:div>
                  </w:divsChild>
                </w:div>
                <w:div w:id="523206579">
                  <w:marLeft w:val="0"/>
                  <w:marRight w:val="0"/>
                  <w:marTop w:val="0"/>
                  <w:marBottom w:val="0"/>
                  <w:divBdr>
                    <w:top w:val="none" w:sz="0" w:space="0" w:color="auto"/>
                    <w:left w:val="none" w:sz="0" w:space="0" w:color="auto"/>
                    <w:bottom w:val="none" w:sz="0" w:space="0" w:color="auto"/>
                    <w:right w:val="none" w:sz="0" w:space="0" w:color="auto"/>
                  </w:divBdr>
                  <w:divsChild>
                    <w:div w:id="814180894">
                      <w:marLeft w:val="0"/>
                      <w:marRight w:val="0"/>
                      <w:marTop w:val="0"/>
                      <w:marBottom w:val="0"/>
                      <w:divBdr>
                        <w:top w:val="none" w:sz="0" w:space="0" w:color="auto"/>
                        <w:left w:val="none" w:sz="0" w:space="0" w:color="auto"/>
                        <w:bottom w:val="none" w:sz="0" w:space="0" w:color="auto"/>
                        <w:right w:val="none" w:sz="0" w:space="0" w:color="auto"/>
                      </w:divBdr>
                    </w:div>
                  </w:divsChild>
                </w:div>
                <w:div w:id="526797973">
                  <w:marLeft w:val="0"/>
                  <w:marRight w:val="0"/>
                  <w:marTop w:val="0"/>
                  <w:marBottom w:val="0"/>
                  <w:divBdr>
                    <w:top w:val="none" w:sz="0" w:space="0" w:color="auto"/>
                    <w:left w:val="none" w:sz="0" w:space="0" w:color="auto"/>
                    <w:bottom w:val="none" w:sz="0" w:space="0" w:color="auto"/>
                    <w:right w:val="none" w:sz="0" w:space="0" w:color="auto"/>
                  </w:divBdr>
                  <w:divsChild>
                    <w:div w:id="586615970">
                      <w:marLeft w:val="0"/>
                      <w:marRight w:val="0"/>
                      <w:marTop w:val="0"/>
                      <w:marBottom w:val="0"/>
                      <w:divBdr>
                        <w:top w:val="none" w:sz="0" w:space="0" w:color="auto"/>
                        <w:left w:val="none" w:sz="0" w:space="0" w:color="auto"/>
                        <w:bottom w:val="none" w:sz="0" w:space="0" w:color="auto"/>
                        <w:right w:val="none" w:sz="0" w:space="0" w:color="auto"/>
                      </w:divBdr>
                    </w:div>
                  </w:divsChild>
                </w:div>
                <w:div w:id="539367907">
                  <w:marLeft w:val="0"/>
                  <w:marRight w:val="0"/>
                  <w:marTop w:val="0"/>
                  <w:marBottom w:val="0"/>
                  <w:divBdr>
                    <w:top w:val="none" w:sz="0" w:space="0" w:color="auto"/>
                    <w:left w:val="none" w:sz="0" w:space="0" w:color="auto"/>
                    <w:bottom w:val="none" w:sz="0" w:space="0" w:color="auto"/>
                    <w:right w:val="none" w:sz="0" w:space="0" w:color="auto"/>
                  </w:divBdr>
                  <w:divsChild>
                    <w:div w:id="1756591283">
                      <w:marLeft w:val="0"/>
                      <w:marRight w:val="0"/>
                      <w:marTop w:val="0"/>
                      <w:marBottom w:val="0"/>
                      <w:divBdr>
                        <w:top w:val="none" w:sz="0" w:space="0" w:color="auto"/>
                        <w:left w:val="none" w:sz="0" w:space="0" w:color="auto"/>
                        <w:bottom w:val="none" w:sz="0" w:space="0" w:color="auto"/>
                        <w:right w:val="none" w:sz="0" w:space="0" w:color="auto"/>
                      </w:divBdr>
                    </w:div>
                  </w:divsChild>
                </w:div>
                <w:div w:id="546574047">
                  <w:marLeft w:val="0"/>
                  <w:marRight w:val="0"/>
                  <w:marTop w:val="0"/>
                  <w:marBottom w:val="0"/>
                  <w:divBdr>
                    <w:top w:val="none" w:sz="0" w:space="0" w:color="auto"/>
                    <w:left w:val="none" w:sz="0" w:space="0" w:color="auto"/>
                    <w:bottom w:val="none" w:sz="0" w:space="0" w:color="auto"/>
                    <w:right w:val="none" w:sz="0" w:space="0" w:color="auto"/>
                  </w:divBdr>
                  <w:divsChild>
                    <w:div w:id="859971033">
                      <w:marLeft w:val="0"/>
                      <w:marRight w:val="0"/>
                      <w:marTop w:val="0"/>
                      <w:marBottom w:val="0"/>
                      <w:divBdr>
                        <w:top w:val="none" w:sz="0" w:space="0" w:color="auto"/>
                        <w:left w:val="none" w:sz="0" w:space="0" w:color="auto"/>
                        <w:bottom w:val="none" w:sz="0" w:space="0" w:color="auto"/>
                        <w:right w:val="none" w:sz="0" w:space="0" w:color="auto"/>
                      </w:divBdr>
                    </w:div>
                  </w:divsChild>
                </w:div>
                <w:div w:id="546650813">
                  <w:marLeft w:val="0"/>
                  <w:marRight w:val="0"/>
                  <w:marTop w:val="0"/>
                  <w:marBottom w:val="0"/>
                  <w:divBdr>
                    <w:top w:val="none" w:sz="0" w:space="0" w:color="auto"/>
                    <w:left w:val="none" w:sz="0" w:space="0" w:color="auto"/>
                    <w:bottom w:val="none" w:sz="0" w:space="0" w:color="auto"/>
                    <w:right w:val="none" w:sz="0" w:space="0" w:color="auto"/>
                  </w:divBdr>
                  <w:divsChild>
                    <w:div w:id="258757772">
                      <w:marLeft w:val="0"/>
                      <w:marRight w:val="0"/>
                      <w:marTop w:val="0"/>
                      <w:marBottom w:val="0"/>
                      <w:divBdr>
                        <w:top w:val="none" w:sz="0" w:space="0" w:color="auto"/>
                        <w:left w:val="none" w:sz="0" w:space="0" w:color="auto"/>
                        <w:bottom w:val="none" w:sz="0" w:space="0" w:color="auto"/>
                        <w:right w:val="none" w:sz="0" w:space="0" w:color="auto"/>
                      </w:divBdr>
                    </w:div>
                  </w:divsChild>
                </w:div>
                <w:div w:id="564223809">
                  <w:marLeft w:val="0"/>
                  <w:marRight w:val="0"/>
                  <w:marTop w:val="0"/>
                  <w:marBottom w:val="0"/>
                  <w:divBdr>
                    <w:top w:val="none" w:sz="0" w:space="0" w:color="auto"/>
                    <w:left w:val="none" w:sz="0" w:space="0" w:color="auto"/>
                    <w:bottom w:val="none" w:sz="0" w:space="0" w:color="auto"/>
                    <w:right w:val="none" w:sz="0" w:space="0" w:color="auto"/>
                  </w:divBdr>
                  <w:divsChild>
                    <w:div w:id="1489861772">
                      <w:marLeft w:val="0"/>
                      <w:marRight w:val="0"/>
                      <w:marTop w:val="0"/>
                      <w:marBottom w:val="0"/>
                      <w:divBdr>
                        <w:top w:val="none" w:sz="0" w:space="0" w:color="auto"/>
                        <w:left w:val="none" w:sz="0" w:space="0" w:color="auto"/>
                        <w:bottom w:val="none" w:sz="0" w:space="0" w:color="auto"/>
                        <w:right w:val="none" w:sz="0" w:space="0" w:color="auto"/>
                      </w:divBdr>
                    </w:div>
                  </w:divsChild>
                </w:div>
                <w:div w:id="570314213">
                  <w:marLeft w:val="0"/>
                  <w:marRight w:val="0"/>
                  <w:marTop w:val="0"/>
                  <w:marBottom w:val="0"/>
                  <w:divBdr>
                    <w:top w:val="none" w:sz="0" w:space="0" w:color="auto"/>
                    <w:left w:val="none" w:sz="0" w:space="0" w:color="auto"/>
                    <w:bottom w:val="none" w:sz="0" w:space="0" w:color="auto"/>
                    <w:right w:val="none" w:sz="0" w:space="0" w:color="auto"/>
                  </w:divBdr>
                  <w:divsChild>
                    <w:div w:id="549805130">
                      <w:marLeft w:val="0"/>
                      <w:marRight w:val="0"/>
                      <w:marTop w:val="0"/>
                      <w:marBottom w:val="0"/>
                      <w:divBdr>
                        <w:top w:val="none" w:sz="0" w:space="0" w:color="auto"/>
                        <w:left w:val="none" w:sz="0" w:space="0" w:color="auto"/>
                        <w:bottom w:val="none" w:sz="0" w:space="0" w:color="auto"/>
                        <w:right w:val="none" w:sz="0" w:space="0" w:color="auto"/>
                      </w:divBdr>
                    </w:div>
                  </w:divsChild>
                </w:div>
                <w:div w:id="613093713">
                  <w:marLeft w:val="0"/>
                  <w:marRight w:val="0"/>
                  <w:marTop w:val="0"/>
                  <w:marBottom w:val="0"/>
                  <w:divBdr>
                    <w:top w:val="none" w:sz="0" w:space="0" w:color="auto"/>
                    <w:left w:val="none" w:sz="0" w:space="0" w:color="auto"/>
                    <w:bottom w:val="none" w:sz="0" w:space="0" w:color="auto"/>
                    <w:right w:val="none" w:sz="0" w:space="0" w:color="auto"/>
                  </w:divBdr>
                  <w:divsChild>
                    <w:div w:id="1741978273">
                      <w:marLeft w:val="0"/>
                      <w:marRight w:val="0"/>
                      <w:marTop w:val="0"/>
                      <w:marBottom w:val="0"/>
                      <w:divBdr>
                        <w:top w:val="none" w:sz="0" w:space="0" w:color="auto"/>
                        <w:left w:val="none" w:sz="0" w:space="0" w:color="auto"/>
                        <w:bottom w:val="none" w:sz="0" w:space="0" w:color="auto"/>
                        <w:right w:val="none" w:sz="0" w:space="0" w:color="auto"/>
                      </w:divBdr>
                    </w:div>
                  </w:divsChild>
                </w:div>
                <w:div w:id="637881257">
                  <w:marLeft w:val="0"/>
                  <w:marRight w:val="0"/>
                  <w:marTop w:val="0"/>
                  <w:marBottom w:val="0"/>
                  <w:divBdr>
                    <w:top w:val="none" w:sz="0" w:space="0" w:color="auto"/>
                    <w:left w:val="none" w:sz="0" w:space="0" w:color="auto"/>
                    <w:bottom w:val="none" w:sz="0" w:space="0" w:color="auto"/>
                    <w:right w:val="none" w:sz="0" w:space="0" w:color="auto"/>
                  </w:divBdr>
                  <w:divsChild>
                    <w:div w:id="364599587">
                      <w:marLeft w:val="0"/>
                      <w:marRight w:val="0"/>
                      <w:marTop w:val="0"/>
                      <w:marBottom w:val="0"/>
                      <w:divBdr>
                        <w:top w:val="none" w:sz="0" w:space="0" w:color="auto"/>
                        <w:left w:val="none" w:sz="0" w:space="0" w:color="auto"/>
                        <w:bottom w:val="none" w:sz="0" w:space="0" w:color="auto"/>
                        <w:right w:val="none" w:sz="0" w:space="0" w:color="auto"/>
                      </w:divBdr>
                    </w:div>
                  </w:divsChild>
                </w:div>
                <w:div w:id="646780458">
                  <w:marLeft w:val="0"/>
                  <w:marRight w:val="0"/>
                  <w:marTop w:val="0"/>
                  <w:marBottom w:val="0"/>
                  <w:divBdr>
                    <w:top w:val="none" w:sz="0" w:space="0" w:color="auto"/>
                    <w:left w:val="none" w:sz="0" w:space="0" w:color="auto"/>
                    <w:bottom w:val="none" w:sz="0" w:space="0" w:color="auto"/>
                    <w:right w:val="none" w:sz="0" w:space="0" w:color="auto"/>
                  </w:divBdr>
                  <w:divsChild>
                    <w:div w:id="931544660">
                      <w:marLeft w:val="0"/>
                      <w:marRight w:val="0"/>
                      <w:marTop w:val="0"/>
                      <w:marBottom w:val="0"/>
                      <w:divBdr>
                        <w:top w:val="none" w:sz="0" w:space="0" w:color="auto"/>
                        <w:left w:val="none" w:sz="0" w:space="0" w:color="auto"/>
                        <w:bottom w:val="none" w:sz="0" w:space="0" w:color="auto"/>
                        <w:right w:val="none" w:sz="0" w:space="0" w:color="auto"/>
                      </w:divBdr>
                    </w:div>
                  </w:divsChild>
                </w:div>
                <w:div w:id="679433776">
                  <w:marLeft w:val="0"/>
                  <w:marRight w:val="0"/>
                  <w:marTop w:val="0"/>
                  <w:marBottom w:val="0"/>
                  <w:divBdr>
                    <w:top w:val="none" w:sz="0" w:space="0" w:color="auto"/>
                    <w:left w:val="none" w:sz="0" w:space="0" w:color="auto"/>
                    <w:bottom w:val="none" w:sz="0" w:space="0" w:color="auto"/>
                    <w:right w:val="none" w:sz="0" w:space="0" w:color="auto"/>
                  </w:divBdr>
                  <w:divsChild>
                    <w:div w:id="944194359">
                      <w:marLeft w:val="0"/>
                      <w:marRight w:val="0"/>
                      <w:marTop w:val="0"/>
                      <w:marBottom w:val="0"/>
                      <w:divBdr>
                        <w:top w:val="none" w:sz="0" w:space="0" w:color="auto"/>
                        <w:left w:val="none" w:sz="0" w:space="0" w:color="auto"/>
                        <w:bottom w:val="none" w:sz="0" w:space="0" w:color="auto"/>
                        <w:right w:val="none" w:sz="0" w:space="0" w:color="auto"/>
                      </w:divBdr>
                    </w:div>
                  </w:divsChild>
                </w:div>
                <w:div w:id="712119595">
                  <w:marLeft w:val="0"/>
                  <w:marRight w:val="0"/>
                  <w:marTop w:val="0"/>
                  <w:marBottom w:val="0"/>
                  <w:divBdr>
                    <w:top w:val="none" w:sz="0" w:space="0" w:color="auto"/>
                    <w:left w:val="none" w:sz="0" w:space="0" w:color="auto"/>
                    <w:bottom w:val="none" w:sz="0" w:space="0" w:color="auto"/>
                    <w:right w:val="none" w:sz="0" w:space="0" w:color="auto"/>
                  </w:divBdr>
                  <w:divsChild>
                    <w:div w:id="1191064694">
                      <w:marLeft w:val="0"/>
                      <w:marRight w:val="0"/>
                      <w:marTop w:val="0"/>
                      <w:marBottom w:val="0"/>
                      <w:divBdr>
                        <w:top w:val="none" w:sz="0" w:space="0" w:color="auto"/>
                        <w:left w:val="none" w:sz="0" w:space="0" w:color="auto"/>
                        <w:bottom w:val="none" w:sz="0" w:space="0" w:color="auto"/>
                        <w:right w:val="none" w:sz="0" w:space="0" w:color="auto"/>
                      </w:divBdr>
                    </w:div>
                  </w:divsChild>
                </w:div>
                <w:div w:id="736056600">
                  <w:marLeft w:val="0"/>
                  <w:marRight w:val="0"/>
                  <w:marTop w:val="0"/>
                  <w:marBottom w:val="0"/>
                  <w:divBdr>
                    <w:top w:val="none" w:sz="0" w:space="0" w:color="auto"/>
                    <w:left w:val="none" w:sz="0" w:space="0" w:color="auto"/>
                    <w:bottom w:val="none" w:sz="0" w:space="0" w:color="auto"/>
                    <w:right w:val="none" w:sz="0" w:space="0" w:color="auto"/>
                  </w:divBdr>
                  <w:divsChild>
                    <w:div w:id="1277983540">
                      <w:marLeft w:val="0"/>
                      <w:marRight w:val="0"/>
                      <w:marTop w:val="0"/>
                      <w:marBottom w:val="0"/>
                      <w:divBdr>
                        <w:top w:val="none" w:sz="0" w:space="0" w:color="auto"/>
                        <w:left w:val="none" w:sz="0" w:space="0" w:color="auto"/>
                        <w:bottom w:val="none" w:sz="0" w:space="0" w:color="auto"/>
                        <w:right w:val="none" w:sz="0" w:space="0" w:color="auto"/>
                      </w:divBdr>
                    </w:div>
                  </w:divsChild>
                </w:div>
                <w:div w:id="751271452">
                  <w:marLeft w:val="0"/>
                  <w:marRight w:val="0"/>
                  <w:marTop w:val="0"/>
                  <w:marBottom w:val="0"/>
                  <w:divBdr>
                    <w:top w:val="none" w:sz="0" w:space="0" w:color="auto"/>
                    <w:left w:val="none" w:sz="0" w:space="0" w:color="auto"/>
                    <w:bottom w:val="none" w:sz="0" w:space="0" w:color="auto"/>
                    <w:right w:val="none" w:sz="0" w:space="0" w:color="auto"/>
                  </w:divBdr>
                  <w:divsChild>
                    <w:div w:id="465247605">
                      <w:marLeft w:val="0"/>
                      <w:marRight w:val="0"/>
                      <w:marTop w:val="0"/>
                      <w:marBottom w:val="0"/>
                      <w:divBdr>
                        <w:top w:val="none" w:sz="0" w:space="0" w:color="auto"/>
                        <w:left w:val="none" w:sz="0" w:space="0" w:color="auto"/>
                        <w:bottom w:val="none" w:sz="0" w:space="0" w:color="auto"/>
                        <w:right w:val="none" w:sz="0" w:space="0" w:color="auto"/>
                      </w:divBdr>
                    </w:div>
                  </w:divsChild>
                </w:div>
                <w:div w:id="780496748">
                  <w:marLeft w:val="0"/>
                  <w:marRight w:val="0"/>
                  <w:marTop w:val="0"/>
                  <w:marBottom w:val="0"/>
                  <w:divBdr>
                    <w:top w:val="none" w:sz="0" w:space="0" w:color="auto"/>
                    <w:left w:val="none" w:sz="0" w:space="0" w:color="auto"/>
                    <w:bottom w:val="none" w:sz="0" w:space="0" w:color="auto"/>
                    <w:right w:val="none" w:sz="0" w:space="0" w:color="auto"/>
                  </w:divBdr>
                  <w:divsChild>
                    <w:div w:id="1248149917">
                      <w:marLeft w:val="0"/>
                      <w:marRight w:val="0"/>
                      <w:marTop w:val="0"/>
                      <w:marBottom w:val="0"/>
                      <w:divBdr>
                        <w:top w:val="none" w:sz="0" w:space="0" w:color="auto"/>
                        <w:left w:val="none" w:sz="0" w:space="0" w:color="auto"/>
                        <w:bottom w:val="none" w:sz="0" w:space="0" w:color="auto"/>
                        <w:right w:val="none" w:sz="0" w:space="0" w:color="auto"/>
                      </w:divBdr>
                    </w:div>
                  </w:divsChild>
                </w:div>
                <w:div w:id="800462605">
                  <w:marLeft w:val="0"/>
                  <w:marRight w:val="0"/>
                  <w:marTop w:val="0"/>
                  <w:marBottom w:val="0"/>
                  <w:divBdr>
                    <w:top w:val="none" w:sz="0" w:space="0" w:color="auto"/>
                    <w:left w:val="none" w:sz="0" w:space="0" w:color="auto"/>
                    <w:bottom w:val="none" w:sz="0" w:space="0" w:color="auto"/>
                    <w:right w:val="none" w:sz="0" w:space="0" w:color="auto"/>
                  </w:divBdr>
                  <w:divsChild>
                    <w:div w:id="749621778">
                      <w:marLeft w:val="0"/>
                      <w:marRight w:val="0"/>
                      <w:marTop w:val="0"/>
                      <w:marBottom w:val="0"/>
                      <w:divBdr>
                        <w:top w:val="none" w:sz="0" w:space="0" w:color="auto"/>
                        <w:left w:val="none" w:sz="0" w:space="0" w:color="auto"/>
                        <w:bottom w:val="none" w:sz="0" w:space="0" w:color="auto"/>
                        <w:right w:val="none" w:sz="0" w:space="0" w:color="auto"/>
                      </w:divBdr>
                    </w:div>
                  </w:divsChild>
                </w:div>
                <w:div w:id="858086228">
                  <w:marLeft w:val="0"/>
                  <w:marRight w:val="0"/>
                  <w:marTop w:val="0"/>
                  <w:marBottom w:val="0"/>
                  <w:divBdr>
                    <w:top w:val="none" w:sz="0" w:space="0" w:color="auto"/>
                    <w:left w:val="none" w:sz="0" w:space="0" w:color="auto"/>
                    <w:bottom w:val="none" w:sz="0" w:space="0" w:color="auto"/>
                    <w:right w:val="none" w:sz="0" w:space="0" w:color="auto"/>
                  </w:divBdr>
                  <w:divsChild>
                    <w:div w:id="592662845">
                      <w:marLeft w:val="0"/>
                      <w:marRight w:val="0"/>
                      <w:marTop w:val="0"/>
                      <w:marBottom w:val="0"/>
                      <w:divBdr>
                        <w:top w:val="none" w:sz="0" w:space="0" w:color="auto"/>
                        <w:left w:val="none" w:sz="0" w:space="0" w:color="auto"/>
                        <w:bottom w:val="none" w:sz="0" w:space="0" w:color="auto"/>
                        <w:right w:val="none" w:sz="0" w:space="0" w:color="auto"/>
                      </w:divBdr>
                    </w:div>
                  </w:divsChild>
                </w:div>
                <w:div w:id="860777350">
                  <w:marLeft w:val="0"/>
                  <w:marRight w:val="0"/>
                  <w:marTop w:val="0"/>
                  <w:marBottom w:val="0"/>
                  <w:divBdr>
                    <w:top w:val="none" w:sz="0" w:space="0" w:color="auto"/>
                    <w:left w:val="none" w:sz="0" w:space="0" w:color="auto"/>
                    <w:bottom w:val="none" w:sz="0" w:space="0" w:color="auto"/>
                    <w:right w:val="none" w:sz="0" w:space="0" w:color="auto"/>
                  </w:divBdr>
                  <w:divsChild>
                    <w:div w:id="2112508818">
                      <w:marLeft w:val="0"/>
                      <w:marRight w:val="0"/>
                      <w:marTop w:val="0"/>
                      <w:marBottom w:val="0"/>
                      <w:divBdr>
                        <w:top w:val="none" w:sz="0" w:space="0" w:color="auto"/>
                        <w:left w:val="none" w:sz="0" w:space="0" w:color="auto"/>
                        <w:bottom w:val="none" w:sz="0" w:space="0" w:color="auto"/>
                        <w:right w:val="none" w:sz="0" w:space="0" w:color="auto"/>
                      </w:divBdr>
                    </w:div>
                  </w:divsChild>
                </w:div>
                <w:div w:id="881407656">
                  <w:marLeft w:val="0"/>
                  <w:marRight w:val="0"/>
                  <w:marTop w:val="0"/>
                  <w:marBottom w:val="0"/>
                  <w:divBdr>
                    <w:top w:val="none" w:sz="0" w:space="0" w:color="auto"/>
                    <w:left w:val="none" w:sz="0" w:space="0" w:color="auto"/>
                    <w:bottom w:val="none" w:sz="0" w:space="0" w:color="auto"/>
                    <w:right w:val="none" w:sz="0" w:space="0" w:color="auto"/>
                  </w:divBdr>
                  <w:divsChild>
                    <w:div w:id="1050425049">
                      <w:marLeft w:val="0"/>
                      <w:marRight w:val="0"/>
                      <w:marTop w:val="0"/>
                      <w:marBottom w:val="0"/>
                      <w:divBdr>
                        <w:top w:val="none" w:sz="0" w:space="0" w:color="auto"/>
                        <w:left w:val="none" w:sz="0" w:space="0" w:color="auto"/>
                        <w:bottom w:val="none" w:sz="0" w:space="0" w:color="auto"/>
                        <w:right w:val="none" w:sz="0" w:space="0" w:color="auto"/>
                      </w:divBdr>
                    </w:div>
                  </w:divsChild>
                </w:div>
                <w:div w:id="892619474">
                  <w:marLeft w:val="0"/>
                  <w:marRight w:val="0"/>
                  <w:marTop w:val="0"/>
                  <w:marBottom w:val="0"/>
                  <w:divBdr>
                    <w:top w:val="none" w:sz="0" w:space="0" w:color="auto"/>
                    <w:left w:val="none" w:sz="0" w:space="0" w:color="auto"/>
                    <w:bottom w:val="none" w:sz="0" w:space="0" w:color="auto"/>
                    <w:right w:val="none" w:sz="0" w:space="0" w:color="auto"/>
                  </w:divBdr>
                  <w:divsChild>
                    <w:div w:id="939721239">
                      <w:marLeft w:val="0"/>
                      <w:marRight w:val="0"/>
                      <w:marTop w:val="0"/>
                      <w:marBottom w:val="0"/>
                      <w:divBdr>
                        <w:top w:val="none" w:sz="0" w:space="0" w:color="auto"/>
                        <w:left w:val="none" w:sz="0" w:space="0" w:color="auto"/>
                        <w:bottom w:val="none" w:sz="0" w:space="0" w:color="auto"/>
                        <w:right w:val="none" w:sz="0" w:space="0" w:color="auto"/>
                      </w:divBdr>
                    </w:div>
                  </w:divsChild>
                </w:div>
                <w:div w:id="902714946">
                  <w:marLeft w:val="0"/>
                  <w:marRight w:val="0"/>
                  <w:marTop w:val="0"/>
                  <w:marBottom w:val="0"/>
                  <w:divBdr>
                    <w:top w:val="none" w:sz="0" w:space="0" w:color="auto"/>
                    <w:left w:val="none" w:sz="0" w:space="0" w:color="auto"/>
                    <w:bottom w:val="none" w:sz="0" w:space="0" w:color="auto"/>
                    <w:right w:val="none" w:sz="0" w:space="0" w:color="auto"/>
                  </w:divBdr>
                  <w:divsChild>
                    <w:div w:id="877932679">
                      <w:marLeft w:val="0"/>
                      <w:marRight w:val="0"/>
                      <w:marTop w:val="0"/>
                      <w:marBottom w:val="0"/>
                      <w:divBdr>
                        <w:top w:val="none" w:sz="0" w:space="0" w:color="auto"/>
                        <w:left w:val="none" w:sz="0" w:space="0" w:color="auto"/>
                        <w:bottom w:val="none" w:sz="0" w:space="0" w:color="auto"/>
                        <w:right w:val="none" w:sz="0" w:space="0" w:color="auto"/>
                      </w:divBdr>
                    </w:div>
                  </w:divsChild>
                </w:div>
                <w:div w:id="903873865">
                  <w:marLeft w:val="0"/>
                  <w:marRight w:val="0"/>
                  <w:marTop w:val="0"/>
                  <w:marBottom w:val="0"/>
                  <w:divBdr>
                    <w:top w:val="none" w:sz="0" w:space="0" w:color="auto"/>
                    <w:left w:val="none" w:sz="0" w:space="0" w:color="auto"/>
                    <w:bottom w:val="none" w:sz="0" w:space="0" w:color="auto"/>
                    <w:right w:val="none" w:sz="0" w:space="0" w:color="auto"/>
                  </w:divBdr>
                  <w:divsChild>
                    <w:div w:id="525675948">
                      <w:marLeft w:val="0"/>
                      <w:marRight w:val="0"/>
                      <w:marTop w:val="0"/>
                      <w:marBottom w:val="0"/>
                      <w:divBdr>
                        <w:top w:val="none" w:sz="0" w:space="0" w:color="auto"/>
                        <w:left w:val="none" w:sz="0" w:space="0" w:color="auto"/>
                        <w:bottom w:val="none" w:sz="0" w:space="0" w:color="auto"/>
                        <w:right w:val="none" w:sz="0" w:space="0" w:color="auto"/>
                      </w:divBdr>
                    </w:div>
                  </w:divsChild>
                </w:div>
                <w:div w:id="908928101">
                  <w:marLeft w:val="0"/>
                  <w:marRight w:val="0"/>
                  <w:marTop w:val="0"/>
                  <w:marBottom w:val="0"/>
                  <w:divBdr>
                    <w:top w:val="none" w:sz="0" w:space="0" w:color="auto"/>
                    <w:left w:val="none" w:sz="0" w:space="0" w:color="auto"/>
                    <w:bottom w:val="none" w:sz="0" w:space="0" w:color="auto"/>
                    <w:right w:val="none" w:sz="0" w:space="0" w:color="auto"/>
                  </w:divBdr>
                  <w:divsChild>
                    <w:div w:id="2090930215">
                      <w:marLeft w:val="0"/>
                      <w:marRight w:val="0"/>
                      <w:marTop w:val="0"/>
                      <w:marBottom w:val="0"/>
                      <w:divBdr>
                        <w:top w:val="none" w:sz="0" w:space="0" w:color="auto"/>
                        <w:left w:val="none" w:sz="0" w:space="0" w:color="auto"/>
                        <w:bottom w:val="none" w:sz="0" w:space="0" w:color="auto"/>
                        <w:right w:val="none" w:sz="0" w:space="0" w:color="auto"/>
                      </w:divBdr>
                    </w:div>
                  </w:divsChild>
                </w:div>
                <w:div w:id="968972648">
                  <w:marLeft w:val="0"/>
                  <w:marRight w:val="0"/>
                  <w:marTop w:val="0"/>
                  <w:marBottom w:val="0"/>
                  <w:divBdr>
                    <w:top w:val="none" w:sz="0" w:space="0" w:color="auto"/>
                    <w:left w:val="none" w:sz="0" w:space="0" w:color="auto"/>
                    <w:bottom w:val="none" w:sz="0" w:space="0" w:color="auto"/>
                    <w:right w:val="none" w:sz="0" w:space="0" w:color="auto"/>
                  </w:divBdr>
                  <w:divsChild>
                    <w:div w:id="168369332">
                      <w:marLeft w:val="0"/>
                      <w:marRight w:val="0"/>
                      <w:marTop w:val="0"/>
                      <w:marBottom w:val="0"/>
                      <w:divBdr>
                        <w:top w:val="none" w:sz="0" w:space="0" w:color="auto"/>
                        <w:left w:val="none" w:sz="0" w:space="0" w:color="auto"/>
                        <w:bottom w:val="none" w:sz="0" w:space="0" w:color="auto"/>
                        <w:right w:val="none" w:sz="0" w:space="0" w:color="auto"/>
                      </w:divBdr>
                    </w:div>
                  </w:divsChild>
                </w:div>
                <w:div w:id="970207801">
                  <w:marLeft w:val="0"/>
                  <w:marRight w:val="0"/>
                  <w:marTop w:val="0"/>
                  <w:marBottom w:val="0"/>
                  <w:divBdr>
                    <w:top w:val="none" w:sz="0" w:space="0" w:color="auto"/>
                    <w:left w:val="none" w:sz="0" w:space="0" w:color="auto"/>
                    <w:bottom w:val="none" w:sz="0" w:space="0" w:color="auto"/>
                    <w:right w:val="none" w:sz="0" w:space="0" w:color="auto"/>
                  </w:divBdr>
                  <w:divsChild>
                    <w:div w:id="2084377015">
                      <w:marLeft w:val="0"/>
                      <w:marRight w:val="0"/>
                      <w:marTop w:val="0"/>
                      <w:marBottom w:val="0"/>
                      <w:divBdr>
                        <w:top w:val="none" w:sz="0" w:space="0" w:color="auto"/>
                        <w:left w:val="none" w:sz="0" w:space="0" w:color="auto"/>
                        <w:bottom w:val="none" w:sz="0" w:space="0" w:color="auto"/>
                        <w:right w:val="none" w:sz="0" w:space="0" w:color="auto"/>
                      </w:divBdr>
                    </w:div>
                  </w:divsChild>
                </w:div>
                <w:div w:id="970675035">
                  <w:marLeft w:val="0"/>
                  <w:marRight w:val="0"/>
                  <w:marTop w:val="0"/>
                  <w:marBottom w:val="0"/>
                  <w:divBdr>
                    <w:top w:val="none" w:sz="0" w:space="0" w:color="auto"/>
                    <w:left w:val="none" w:sz="0" w:space="0" w:color="auto"/>
                    <w:bottom w:val="none" w:sz="0" w:space="0" w:color="auto"/>
                    <w:right w:val="none" w:sz="0" w:space="0" w:color="auto"/>
                  </w:divBdr>
                  <w:divsChild>
                    <w:div w:id="885141872">
                      <w:marLeft w:val="0"/>
                      <w:marRight w:val="0"/>
                      <w:marTop w:val="0"/>
                      <w:marBottom w:val="0"/>
                      <w:divBdr>
                        <w:top w:val="none" w:sz="0" w:space="0" w:color="auto"/>
                        <w:left w:val="none" w:sz="0" w:space="0" w:color="auto"/>
                        <w:bottom w:val="none" w:sz="0" w:space="0" w:color="auto"/>
                        <w:right w:val="none" w:sz="0" w:space="0" w:color="auto"/>
                      </w:divBdr>
                    </w:div>
                  </w:divsChild>
                </w:div>
                <w:div w:id="1015578074">
                  <w:marLeft w:val="0"/>
                  <w:marRight w:val="0"/>
                  <w:marTop w:val="0"/>
                  <w:marBottom w:val="0"/>
                  <w:divBdr>
                    <w:top w:val="none" w:sz="0" w:space="0" w:color="auto"/>
                    <w:left w:val="none" w:sz="0" w:space="0" w:color="auto"/>
                    <w:bottom w:val="none" w:sz="0" w:space="0" w:color="auto"/>
                    <w:right w:val="none" w:sz="0" w:space="0" w:color="auto"/>
                  </w:divBdr>
                  <w:divsChild>
                    <w:div w:id="480930421">
                      <w:marLeft w:val="0"/>
                      <w:marRight w:val="0"/>
                      <w:marTop w:val="0"/>
                      <w:marBottom w:val="0"/>
                      <w:divBdr>
                        <w:top w:val="none" w:sz="0" w:space="0" w:color="auto"/>
                        <w:left w:val="none" w:sz="0" w:space="0" w:color="auto"/>
                        <w:bottom w:val="none" w:sz="0" w:space="0" w:color="auto"/>
                        <w:right w:val="none" w:sz="0" w:space="0" w:color="auto"/>
                      </w:divBdr>
                    </w:div>
                  </w:divsChild>
                </w:div>
                <w:div w:id="1029843153">
                  <w:marLeft w:val="0"/>
                  <w:marRight w:val="0"/>
                  <w:marTop w:val="0"/>
                  <w:marBottom w:val="0"/>
                  <w:divBdr>
                    <w:top w:val="none" w:sz="0" w:space="0" w:color="auto"/>
                    <w:left w:val="none" w:sz="0" w:space="0" w:color="auto"/>
                    <w:bottom w:val="none" w:sz="0" w:space="0" w:color="auto"/>
                    <w:right w:val="none" w:sz="0" w:space="0" w:color="auto"/>
                  </w:divBdr>
                  <w:divsChild>
                    <w:div w:id="412245197">
                      <w:marLeft w:val="0"/>
                      <w:marRight w:val="0"/>
                      <w:marTop w:val="0"/>
                      <w:marBottom w:val="0"/>
                      <w:divBdr>
                        <w:top w:val="none" w:sz="0" w:space="0" w:color="auto"/>
                        <w:left w:val="none" w:sz="0" w:space="0" w:color="auto"/>
                        <w:bottom w:val="none" w:sz="0" w:space="0" w:color="auto"/>
                        <w:right w:val="none" w:sz="0" w:space="0" w:color="auto"/>
                      </w:divBdr>
                    </w:div>
                  </w:divsChild>
                </w:div>
                <w:div w:id="1043677953">
                  <w:marLeft w:val="0"/>
                  <w:marRight w:val="0"/>
                  <w:marTop w:val="0"/>
                  <w:marBottom w:val="0"/>
                  <w:divBdr>
                    <w:top w:val="none" w:sz="0" w:space="0" w:color="auto"/>
                    <w:left w:val="none" w:sz="0" w:space="0" w:color="auto"/>
                    <w:bottom w:val="none" w:sz="0" w:space="0" w:color="auto"/>
                    <w:right w:val="none" w:sz="0" w:space="0" w:color="auto"/>
                  </w:divBdr>
                  <w:divsChild>
                    <w:div w:id="1622223746">
                      <w:marLeft w:val="0"/>
                      <w:marRight w:val="0"/>
                      <w:marTop w:val="0"/>
                      <w:marBottom w:val="0"/>
                      <w:divBdr>
                        <w:top w:val="none" w:sz="0" w:space="0" w:color="auto"/>
                        <w:left w:val="none" w:sz="0" w:space="0" w:color="auto"/>
                        <w:bottom w:val="none" w:sz="0" w:space="0" w:color="auto"/>
                        <w:right w:val="none" w:sz="0" w:space="0" w:color="auto"/>
                      </w:divBdr>
                    </w:div>
                  </w:divsChild>
                </w:div>
                <w:div w:id="1046370353">
                  <w:marLeft w:val="0"/>
                  <w:marRight w:val="0"/>
                  <w:marTop w:val="0"/>
                  <w:marBottom w:val="0"/>
                  <w:divBdr>
                    <w:top w:val="none" w:sz="0" w:space="0" w:color="auto"/>
                    <w:left w:val="none" w:sz="0" w:space="0" w:color="auto"/>
                    <w:bottom w:val="none" w:sz="0" w:space="0" w:color="auto"/>
                    <w:right w:val="none" w:sz="0" w:space="0" w:color="auto"/>
                  </w:divBdr>
                  <w:divsChild>
                    <w:div w:id="1530870503">
                      <w:marLeft w:val="0"/>
                      <w:marRight w:val="0"/>
                      <w:marTop w:val="0"/>
                      <w:marBottom w:val="0"/>
                      <w:divBdr>
                        <w:top w:val="none" w:sz="0" w:space="0" w:color="auto"/>
                        <w:left w:val="none" w:sz="0" w:space="0" w:color="auto"/>
                        <w:bottom w:val="none" w:sz="0" w:space="0" w:color="auto"/>
                        <w:right w:val="none" w:sz="0" w:space="0" w:color="auto"/>
                      </w:divBdr>
                    </w:div>
                  </w:divsChild>
                </w:div>
                <w:div w:id="1053381857">
                  <w:marLeft w:val="0"/>
                  <w:marRight w:val="0"/>
                  <w:marTop w:val="0"/>
                  <w:marBottom w:val="0"/>
                  <w:divBdr>
                    <w:top w:val="none" w:sz="0" w:space="0" w:color="auto"/>
                    <w:left w:val="none" w:sz="0" w:space="0" w:color="auto"/>
                    <w:bottom w:val="none" w:sz="0" w:space="0" w:color="auto"/>
                    <w:right w:val="none" w:sz="0" w:space="0" w:color="auto"/>
                  </w:divBdr>
                  <w:divsChild>
                    <w:div w:id="1870801517">
                      <w:marLeft w:val="0"/>
                      <w:marRight w:val="0"/>
                      <w:marTop w:val="0"/>
                      <w:marBottom w:val="0"/>
                      <w:divBdr>
                        <w:top w:val="none" w:sz="0" w:space="0" w:color="auto"/>
                        <w:left w:val="none" w:sz="0" w:space="0" w:color="auto"/>
                        <w:bottom w:val="none" w:sz="0" w:space="0" w:color="auto"/>
                        <w:right w:val="none" w:sz="0" w:space="0" w:color="auto"/>
                      </w:divBdr>
                    </w:div>
                  </w:divsChild>
                </w:div>
                <w:div w:id="1105808840">
                  <w:marLeft w:val="0"/>
                  <w:marRight w:val="0"/>
                  <w:marTop w:val="0"/>
                  <w:marBottom w:val="0"/>
                  <w:divBdr>
                    <w:top w:val="none" w:sz="0" w:space="0" w:color="auto"/>
                    <w:left w:val="none" w:sz="0" w:space="0" w:color="auto"/>
                    <w:bottom w:val="none" w:sz="0" w:space="0" w:color="auto"/>
                    <w:right w:val="none" w:sz="0" w:space="0" w:color="auto"/>
                  </w:divBdr>
                  <w:divsChild>
                    <w:div w:id="1277251588">
                      <w:marLeft w:val="0"/>
                      <w:marRight w:val="0"/>
                      <w:marTop w:val="0"/>
                      <w:marBottom w:val="0"/>
                      <w:divBdr>
                        <w:top w:val="none" w:sz="0" w:space="0" w:color="auto"/>
                        <w:left w:val="none" w:sz="0" w:space="0" w:color="auto"/>
                        <w:bottom w:val="none" w:sz="0" w:space="0" w:color="auto"/>
                        <w:right w:val="none" w:sz="0" w:space="0" w:color="auto"/>
                      </w:divBdr>
                    </w:div>
                  </w:divsChild>
                </w:div>
                <w:div w:id="1166746520">
                  <w:marLeft w:val="0"/>
                  <w:marRight w:val="0"/>
                  <w:marTop w:val="0"/>
                  <w:marBottom w:val="0"/>
                  <w:divBdr>
                    <w:top w:val="none" w:sz="0" w:space="0" w:color="auto"/>
                    <w:left w:val="none" w:sz="0" w:space="0" w:color="auto"/>
                    <w:bottom w:val="none" w:sz="0" w:space="0" w:color="auto"/>
                    <w:right w:val="none" w:sz="0" w:space="0" w:color="auto"/>
                  </w:divBdr>
                  <w:divsChild>
                    <w:div w:id="433094426">
                      <w:marLeft w:val="0"/>
                      <w:marRight w:val="0"/>
                      <w:marTop w:val="0"/>
                      <w:marBottom w:val="0"/>
                      <w:divBdr>
                        <w:top w:val="none" w:sz="0" w:space="0" w:color="auto"/>
                        <w:left w:val="none" w:sz="0" w:space="0" w:color="auto"/>
                        <w:bottom w:val="none" w:sz="0" w:space="0" w:color="auto"/>
                        <w:right w:val="none" w:sz="0" w:space="0" w:color="auto"/>
                      </w:divBdr>
                    </w:div>
                  </w:divsChild>
                </w:div>
                <w:div w:id="1193953476">
                  <w:marLeft w:val="0"/>
                  <w:marRight w:val="0"/>
                  <w:marTop w:val="0"/>
                  <w:marBottom w:val="0"/>
                  <w:divBdr>
                    <w:top w:val="none" w:sz="0" w:space="0" w:color="auto"/>
                    <w:left w:val="none" w:sz="0" w:space="0" w:color="auto"/>
                    <w:bottom w:val="none" w:sz="0" w:space="0" w:color="auto"/>
                    <w:right w:val="none" w:sz="0" w:space="0" w:color="auto"/>
                  </w:divBdr>
                  <w:divsChild>
                    <w:div w:id="552423488">
                      <w:marLeft w:val="0"/>
                      <w:marRight w:val="0"/>
                      <w:marTop w:val="0"/>
                      <w:marBottom w:val="0"/>
                      <w:divBdr>
                        <w:top w:val="none" w:sz="0" w:space="0" w:color="auto"/>
                        <w:left w:val="none" w:sz="0" w:space="0" w:color="auto"/>
                        <w:bottom w:val="none" w:sz="0" w:space="0" w:color="auto"/>
                        <w:right w:val="none" w:sz="0" w:space="0" w:color="auto"/>
                      </w:divBdr>
                    </w:div>
                  </w:divsChild>
                </w:div>
                <w:div w:id="1299190114">
                  <w:marLeft w:val="0"/>
                  <w:marRight w:val="0"/>
                  <w:marTop w:val="0"/>
                  <w:marBottom w:val="0"/>
                  <w:divBdr>
                    <w:top w:val="none" w:sz="0" w:space="0" w:color="auto"/>
                    <w:left w:val="none" w:sz="0" w:space="0" w:color="auto"/>
                    <w:bottom w:val="none" w:sz="0" w:space="0" w:color="auto"/>
                    <w:right w:val="none" w:sz="0" w:space="0" w:color="auto"/>
                  </w:divBdr>
                  <w:divsChild>
                    <w:div w:id="1314215330">
                      <w:marLeft w:val="0"/>
                      <w:marRight w:val="0"/>
                      <w:marTop w:val="0"/>
                      <w:marBottom w:val="0"/>
                      <w:divBdr>
                        <w:top w:val="none" w:sz="0" w:space="0" w:color="auto"/>
                        <w:left w:val="none" w:sz="0" w:space="0" w:color="auto"/>
                        <w:bottom w:val="none" w:sz="0" w:space="0" w:color="auto"/>
                        <w:right w:val="none" w:sz="0" w:space="0" w:color="auto"/>
                      </w:divBdr>
                    </w:div>
                  </w:divsChild>
                </w:div>
                <w:div w:id="1304198098">
                  <w:marLeft w:val="0"/>
                  <w:marRight w:val="0"/>
                  <w:marTop w:val="0"/>
                  <w:marBottom w:val="0"/>
                  <w:divBdr>
                    <w:top w:val="none" w:sz="0" w:space="0" w:color="auto"/>
                    <w:left w:val="none" w:sz="0" w:space="0" w:color="auto"/>
                    <w:bottom w:val="none" w:sz="0" w:space="0" w:color="auto"/>
                    <w:right w:val="none" w:sz="0" w:space="0" w:color="auto"/>
                  </w:divBdr>
                  <w:divsChild>
                    <w:div w:id="1874340485">
                      <w:marLeft w:val="0"/>
                      <w:marRight w:val="0"/>
                      <w:marTop w:val="0"/>
                      <w:marBottom w:val="0"/>
                      <w:divBdr>
                        <w:top w:val="none" w:sz="0" w:space="0" w:color="auto"/>
                        <w:left w:val="none" w:sz="0" w:space="0" w:color="auto"/>
                        <w:bottom w:val="none" w:sz="0" w:space="0" w:color="auto"/>
                        <w:right w:val="none" w:sz="0" w:space="0" w:color="auto"/>
                      </w:divBdr>
                    </w:div>
                  </w:divsChild>
                </w:div>
                <w:div w:id="1323584132">
                  <w:marLeft w:val="0"/>
                  <w:marRight w:val="0"/>
                  <w:marTop w:val="0"/>
                  <w:marBottom w:val="0"/>
                  <w:divBdr>
                    <w:top w:val="none" w:sz="0" w:space="0" w:color="auto"/>
                    <w:left w:val="none" w:sz="0" w:space="0" w:color="auto"/>
                    <w:bottom w:val="none" w:sz="0" w:space="0" w:color="auto"/>
                    <w:right w:val="none" w:sz="0" w:space="0" w:color="auto"/>
                  </w:divBdr>
                  <w:divsChild>
                    <w:div w:id="1489663386">
                      <w:marLeft w:val="0"/>
                      <w:marRight w:val="0"/>
                      <w:marTop w:val="0"/>
                      <w:marBottom w:val="0"/>
                      <w:divBdr>
                        <w:top w:val="none" w:sz="0" w:space="0" w:color="auto"/>
                        <w:left w:val="none" w:sz="0" w:space="0" w:color="auto"/>
                        <w:bottom w:val="none" w:sz="0" w:space="0" w:color="auto"/>
                        <w:right w:val="none" w:sz="0" w:space="0" w:color="auto"/>
                      </w:divBdr>
                    </w:div>
                  </w:divsChild>
                </w:div>
                <w:div w:id="1325553040">
                  <w:marLeft w:val="0"/>
                  <w:marRight w:val="0"/>
                  <w:marTop w:val="0"/>
                  <w:marBottom w:val="0"/>
                  <w:divBdr>
                    <w:top w:val="none" w:sz="0" w:space="0" w:color="auto"/>
                    <w:left w:val="none" w:sz="0" w:space="0" w:color="auto"/>
                    <w:bottom w:val="none" w:sz="0" w:space="0" w:color="auto"/>
                    <w:right w:val="none" w:sz="0" w:space="0" w:color="auto"/>
                  </w:divBdr>
                  <w:divsChild>
                    <w:div w:id="1783724373">
                      <w:marLeft w:val="0"/>
                      <w:marRight w:val="0"/>
                      <w:marTop w:val="0"/>
                      <w:marBottom w:val="0"/>
                      <w:divBdr>
                        <w:top w:val="none" w:sz="0" w:space="0" w:color="auto"/>
                        <w:left w:val="none" w:sz="0" w:space="0" w:color="auto"/>
                        <w:bottom w:val="none" w:sz="0" w:space="0" w:color="auto"/>
                        <w:right w:val="none" w:sz="0" w:space="0" w:color="auto"/>
                      </w:divBdr>
                    </w:div>
                  </w:divsChild>
                </w:div>
                <w:div w:id="1330215092">
                  <w:marLeft w:val="0"/>
                  <w:marRight w:val="0"/>
                  <w:marTop w:val="0"/>
                  <w:marBottom w:val="0"/>
                  <w:divBdr>
                    <w:top w:val="none" w:sz="0" w:space="0" w:color="auto"/>
                    <w:left w:val="none" w:sz="0" w:space="0" w:color="auto"/>
                    <w:bottom w:val="none" w:sz="0" w:space="0" w:color="auto"/>
                    <w:right w:val="none" w:sz="0" w:space="0" w:color="auto"/>
                  </w:divBdr>
                  <w:divsChild>
                    <w:div w:id="338777486">
                      <w:marLeft w:val="0"/>
                      <w:marRight w:val="0"/>
                      <w:marTop w:val="0"/>
                      <w:marBottom w:val="0"/>
                      <w:divBdr>
                        <w:top w:val="none" w:sz="0" w:space="0" w:color="auto"/>
                        <w:left w:val="none" w:sz="0" w:space="0" w:color="auto"/>
                        <w:bottom w:val="none" w:sz="0" w:space="0" w:color="auto"/>
                        <w:right w:val="none" w:sz="0" w:space="0" w:color="auto"/>
                      </w:divBdr>
                    </w:div>
                  </w:divsChild>
                </w:div>
                <w:div w:id="1369835887">
                  <w:marLeft w:val="0"/>
                  <w:marRight w:val="0"/>
                  <w:marTop w:val="0"/>
                  <w:marBottom w:val="0"/>
                  <w:divBdr>
                    <w:top w:val="none" w:sz="0" w:space="0" w:color="auto"/>
                    <w:left w:val="none" w:sz="0" w:space="0" w:color="auto"/>
                    <w:bottom w:val="none" w:sz="0" w:space="0" w:color="auto"/>
                    <w:right w:val="none" w:sz="0" w:space="0" w:color="auto"/>
                  </w:divBdr>
                  <w:divsChild>
                    <w:div w:id="1037971868">
                      <w:marLeft w:val="0"/>
                      <w:marRight w:val="0"/>
                      <w:marTop w:val="0"/>
                      <w:marBottom w:val="0"/>
                      <w:divBdr>
                        <w:top w:val="none" w:sz="0" w:space="0" w:color="auto"/>
                        <w:left w:val="none" w:sz="0" w:space="0" w:color="auto"/>
                        <w:bottom w:val="none" w:sz="0" w:space="0" w:color="auto"/>
                        <w:right w:val="none" w:sz="0" w:space="0" w:color="auto"/>
                      </w:divBdr>
                    </w:div>
                  </w:divsChild>
                </w:div>
                <w:div w:id="1394042489">
                  <w:marLeft w:val="0"/>
                  <w:marRight w:val="0"/>
                  <w:marTop w:val="0"/>
                  <w:marBottom w:val="0"/>
                  <w:divBdr>
                    <w:top w:val="none" w:sz="0" w:space="0" w:color="auto"/>
                    <w:left w:val="none" w:sz="0" w:space="0" w:color="auto"/>
                    <w:bottom w:val="none" w:sz="0" w:space="0" w:color="auto"/>
                    <w:right w:val="none" w:sz="0" w:space="0" w:color="auto"/>
                  </w:divBdr>
                  <w:divsChild>
                    <w:div w:id="2078161953">
                      <w:marLeft w:val="0"/>
                      <w:marRight w:val="0"/>
                      <w:marTop w:val="0"/>
                      <w:marBottom w:val="0"/>
                      <w:divBdr>
                        <w:top w:val="none" w:sz="0" w:space="0" w:color="auto"/>
                        <w:left w:val="none" w:sz="0" w:space="0" w:color="auto"/>
                        <w:bottom w:val="none" w:sz="0" w:space="0" w:color="auto"/>
                        <w:right w:val="none" w:sz="0" w:space="0" w:color="auto"/>
                      </w:divBdr>
                    </w:div>
                  </w:divsChild>
                </w:div>
                <w:div w:id="1424955949">
                  <w:marLeft w:val="0"/>
                  <w:marRight w:val="0"/>
                  <w:marTop w:val="0"/>
                  <w:marBottom w:val="0"/>
                  <w:divBdr>
                    <w:top w:val="none" w:sz="0" w:space="0" w:color="auto"/>
                    <w:left w:val="none" w:sz="0" w:space="0" w:color="auto"/>
                    <w:bottom w:val="none" w:sz="0" w:space="0" w:color="auto"/>
                    <w:right w:val="none" w:sz="0" w:space="0" w:color="auto"/>
                  </w:divBdr>
                  <w:divsChild>
                    <w:div w:id="106504623">
                      <w:marLeft w:val="0"/>
                      <w:marRight w:val="0"/>
                      <w:marTop w:val="0"/>
                      <w:marBottom w:val="0"/>
                      <w:divBdr>
                        <w:top w:val="none" w:sz="0" w:space="0" w:color="auto"/>
                        <w:left w:val="none" w:sz="0" w:space="0" w:color="auto"/>
                        <w:bottom w:val="none" w:sz="0" w:space="0" w:color="auto"/>
                        <w:right w:val="none" w:sz="0" w:space="0" w:color="auto"/>
                      </w:divBdr>
                    </w:div>
                  </w:divsChild>
                </w:div>
                <w:div w:id="1436054135">
                  <w:marLeft w:val="0"/>
                  <w:marRight w:val="0"/>
                  <w:marTop w:val="0"/>
                  <w:marBottom w:val="0"/>
                  <w:divBdr>
                    <w:top w:val="none" w:sz="0" w:space="0" w:color="auto"/>
                    <w:left w:val="none" w:sz="0" w:space="0" w:color="auto"/>
                    <w:bottom w:val="none" w:sz="0" w:space="0" w:color="auto"/>
                    <w:right w:val="none" w:sz="0" w:space="0" w:color="auto"/>
                  </w:divBdr>
                  <w:divsChild>
                    <w:div w:id="51932029">
                      <w:marLeft w:val="0"/>
                      <w:marRight w:val="0"/>
                      <w:marTop w:val="0"/>
                      <w:marBottom w:val="0"/>
                      <w:divBdr>
                        <w:top w:val="none" w:sz="0" w:space="0" w:color="auto"/>
                        <w:left w:val="none" w:sz="0" w:space="0" w:color="auto"/>
                        <w:bottom w:val="none" w:sz="0" w:space="0" w:color="auto"/>
                        <w:right w:val="none" w:sz="0" w:space="0" w:color="auto"/>
                      </w:divBdr>
                    </w:div>
                  </w:divsChild>
                </w:div>
                <w:div w:id="1472597972">
                  <w:marLeft w:val="0"/>
                  <w:marRight w:val="0"/>
                  <w:marTop w:val="0"/>
                  <w:marBottom w:val="0"/>
                  <w:divBdr>
                    <w:top w:val="none" w:sz="0" w:space="0" w:color="auto"/>
                    <w:left w:val="none" w:sz="0" w:space="0" w:color="auto"/>
                    <w:bottom w:val="none" w:sz="0" w:space="0" w:color="auto"/>
                    <w:right w:val="none" w:sz="0" w:space="0" w:color="auto"/>
                  </w:divBdr>
                  <w:divsChild>
                    <w:div w:id="1289387666">
                      <w:marLeft w:val="0"/>
                      <w:marRight w:val="0"/>
                      <w:marTop w:val="0"/>
                      <w:marBottom w:val="0"/>
                      <w:divBdr>
                        <w:top w:val="none" w:sz="0" w:space="0" w:color="auto"/>
                        <w:left w:val="none" w:sz="0" w:space="0" w:color="auto"/>
                        <w:bottom w:val="none" w:sz="0" w:space="0" w:color="auto"/>
                        <w:right w:val="none" w:sz="0" w:space="0" w:color="auto"/>
                      </w:divBdr>
                    </w:div>
                  </w:divsChild>
                </w:div>
                <w:div w:id="1515265741">
                  <w:marLeft w:val="0"/>
                  <w:marRight w:val="0"/>
                  <w:marTop w:val="0"/>
                  <w:marBottom w:val="0"/>
                  <w:divBdr>
                    <w:top w:val="none" w:sz="0" w:space="0" w:color="auto"/>
                    <w:left w:val="none" w:sz="0" w:space="0" w:color="auto"/>
                    <w:bottom w:val="none" w:sz="0" w:space="0" w:color="auto"/>
                    <w:right w:val="none" w:sz="0" w:space="0" w:color="auto"/>
                  </w:divBdr>
                  <w:divsChild>
                    <w:div w:id="637565356">
                      <w:marLeft w:val="0"/>
                      <w:marRight w:val="0"/>
                      <w:marTop w:val="0"/>
                      <w:marBottom w:val="0"/>
                      <w:divBdr>
                        <w:top w:val="none" w:sz="0" w:space="0" w:color="auto"/>
                        <w:left w:val="none" w:sz="0" w:space="0" w:color="auto"/>
                        <w:bottom w:val="none" w:sz="0" w:space="0" w:color="auto"/>
                        <w:right w:val="none" w:sz="0" w:space="0" w:color="auto"/>
                      </w:divBdr>
                    </w:div>
                  </w:divsChild>
                </w:div>
                <w:div w:id="1541212317">
                  <w:marLeft w:val="0"/>
                  <w:marRight w:val="0"/>
                  <w:marTop w:val="0"/>
                  <w:marBottom w:val="0"/>
                  <w:divBdr>
                    <w:top w:val="none" w:sz="0" w:space="0" w:color="auto"/>
                    <w:left w:val="none" w:sz="0" w:space="0" w:color="auto"/>
                    <w:bottom w:val="none" w:sz="0" w:space="0" w:color="auto"/>
                    <w:right w:val="none" w:sz="0" w:space="0" w:color="auto"/>
                  </w:divBdr>
                  <w:divsChild>
                    <w:div w:id="1001617519">
                      <w:marLeft w:val="0"/>
                      <w:marRight w:val="0"/>
                      <w:marTop w:val="0"/>
                      <w:marBottom w:val="0"/>
                      <w:divBdr>
                        <w:top w:val="none" w:sz="0" w:space="0" w:color="auto"/>
                        <w:left w:val="none" w:sz="0" w:space="0" w:color="auto"/>
                        <w:bottom w:val="none" w:sz="0" w:space="0" w:color="auto"/>
                        <w:right w:val="none" w:sz="0" w:space="0" w:color="auto"/>
                      </w:divBdr>
                    </w:div>
                  </w:divsChild>
                </w:div>
                <w:div w:id="1546060491">
                  <w:marLeft w:val="0"/>
                  <w:marRight w:val="0"/>
                  <w:marTop w:val="0"/>
                  <w:marBottom w:val="0"/>
                  <w:divBdr>
                    <w:top w:val="none" w:sz="0" w:space="0" w:color="auto"/>
                    <w:left w:val="none" w:sz="0" w:space="0" w:color="auto"/>
                    <w:bottom w:val="none" w:sz="0" w:space="0" w:color="auto"/>
                    <w:right w:val="none" w:sz="0" w:space="0" w:color="auto"/>
                  </w:divBdr>
                  <w:divsChild>
                    <w:div w:id="988244355">
                      <w:marLeft w:val="0"/>
                      <w:marRight w:val="0"/>
                      <w:marTop w:val="0"/>
                      <w:marBottom w:val="0"/>
                      <w:divBdr>
                        <w:top w:val="none" w:sz="0" w:space="0" w:color="auto"/>
                        <w:left w:val="none" w:sz="0" w:space="0" w:color="auto"/>
                        <w:bottom w:val="none" w:sz="0" w:space="0" w:color="auto"/>
                        <w:right w:val="none" w:sz="0" w:space="0" w:color="auto"/>
                      </w:divBdr>
                    </w:div>
                  </w:divsChild>
                </w:div>
                <w:div w:id="1562789260">
                  <w:marLeft w:val="0"/>
                  <w:marRight w:val="0"/>
                  <w:marTop w:val="0"/>
                  <w:marBottom w:val="0"/>
                  <w:divBdr>
                    <w:top w:val="none" w:sz="0" w:space="0" w:color="auto"/>
                    <w:left w:val="none" w:sz="0" w:space="0" w:color="auto"/>
                    <w:bottom w:val="none" w:sz="0" w:space="0" w:color="auto"/>
                    <w:right w:val="none" w:sz="0" w:space="0" w:color="auto"/>
                  </w:divBdr>
                  <w:divsChild>
                    <w:div w:id="2037582851">
                      <w:marLeft w:val="0"/>
                      <w:marRight w:val="0"/>
                      <w:marTop w:val="0"/>
                      <w:marBottom w:val="0"/>
                      <w:divBdr>
                        <w:top w:val="none" w:sz="0" w:space="0" w:color="auto"/>
                        <w:left w:val="none" w:sz="0" w:space="0" w:color="auto"/>
                        <w:bottom w:val="none" w:sz="0" w:space="0" w:color="auto"/>
                        <w:right w:val="none" w:sz="0" w:space="0" w:color="auto"/>
                      </w:divBdr>
                    </w:div>
                  </w:divsChild>
                </w:div>
                <w:div w:id="1583757964">
                  <w:marLeft w:val="0"/>
                  <w:marRight w:val="0"/>
                  <w:marTop w:val="0"/>
                  <w:marBottom w:val="0"/>
                  <w:divBdr>
                    <w:top w:val="none" w:sz="0" w:space="0" w:color="auto"/>
                    <w:left w:val="none" w:sz="0" w:space="0" w:color="auto"/>
                    <w:bottom w:val="none" w:sz="0" w:space="0" w:color="auto"/>
                    <w:right w:val="none" w:sz="0" w:space="0" w:color="auto"/>
                  </w:divBdr>
                  <w:divsChild>
                    <w:div w:id="1585263565">
                      <w:marLeft w:val="0"/>
                      <w:marRight w:val="0"/>
                      <w:marTop w:val="0"/>
                      <w:marBottom w:val="0"/>
                      <w:divBdr>
                        <w:top w:val="none" w:sz="0" w:space="0" w:color="auto"/>
                        <w:left w:val="none" w:sz="0" w:space="0" w:color="auto"/>
                        <w:bottom w:val="none" w:sz="0" w:space="0" w:color="auto"/>
                        <w:right w:val="none" w:sz="0" w:space="0" w:color="auto"/>
                      </w:divBdr>
                    </w:div>
                  </w:divsChild>
                </w:div>
                <w:div w:id="1596403102">
                  <w:marLeft w:val="0"/>
                  <w:marRight w:val="0"/>
                  <w:marTop w:val="0"/>
                  <w:marBottom w:val="0"/>
                  <w:divBdr>
                    <w:top w:val="none" w:sz="0" w:space="0" w:color="auto"/>
                    <w:left w:val="none" w:sz="0" w:space="0" w:color="auto"/>
                    <w:bottom w:val="none" w:sz="0" w:space="0" w:color="auto"/>
                    <w:right w:val="none" w:sz="0" w:space="0" w:color="auto"/>
                  </w:divBdr>
                  <w:divsChild>
                    <w:div w:id="127675064">
                      <w:marLeft w:val="0"/>
                      <w:marRight w:val="0"/>
                      <w:marTop w:val="0"/>
                      <w:marBottom w:val="0"/>
                      <w:divBdr>
                        <w:top w:val="none" w:sz="0" w:space="0" w:color="auto"/>
                        <w:left w:val="none" w:sz="0" w:space="0" w:color="auto"/>
                        <w:bottom w:val="none" w:sz="0" w:space="0" w:color="auto"/>
                        <w:right w:val="none" w:sz="0" w:space="0" w:color="auto"/>
                      </w:divBdr>
                    </w:div>
                    <w:div w:id="1862936632">
                      <w:marLeft w:val="0"/>
                      <w:marRight w:val="0"/>
                      <w:marTop w:val="0"/>
                      <w:marBottom w:val="0"/>
                      <w:divBdr>
                        <w:top w:val="none" w:sz="0" w:space="0" w:color="auto"/>
                        <w:left w:val="none" w:sz="0" w:space="0" w:color="auto"/>
                        <w:bottom w:val="none" w:sz="0" w:space="0" w:color="auto"/>
                        <w:right w:val="none" w:sz="0" w:space="0" w:color="auto"/>
                      </w:divBdr>
                    </w:div>
                  </w:divsChild>
                </w:div>
                <w:div w:id="1601639947">
                  <w:marLeft w:val="0"/>
                  <w:marRight w:val="0"/>
                  <w:marTop w:val="0"/>
                  <w:marBottom w:val="0"/>
                  <w:divBdr>
                    <w:top w:val="none" w:sz="0" w:space="0" w:color="auto"/>
                    <w:left w:val="none" w:sz="0" w:space="0" w:color="auto"/>
                    <w:bottom w:val="none" w:sz="0" w:space="0" w:color="auto"/>
                    <w:right w:val="none" w:sz="0" w:space="0" w:color="auto"/>
                  </w:divBdr>
                  <w:divsChild>
                    <w:div w:id="865019045">
                      <w:marLeft w:val="0"/>
                      <w:marRight w:val="0"/>
                      <w:marTop w:val="0"/>
                      <w:marBottom w:val="0"/>
                      <w:divBdr>
                        <w:top w:val="none" w:sz="0" w:space="0" w:color="auto"/>
                        <w:left w:val="none" w:sz="0" w:space="0" w:color="auto"/>
                        <w:bottom w:val="none" w:sz="0" w:space="0" w:color="auto"/>
                        <w:right w:val="none" w:sz="0" w:space="0" w:color="auto"/>
                      </w:divBdr>
                    </w:div>
                  </w:divsChild>
                </w:div>
                <w:div w:id="1614556665">
                  <w:marLeft w:val="0"/>
                  <w:marRight w:val="0"/>
                  <w:marTop w:val="0"/>
                  <w:marBottom w:val="0"/>
                  <w:divBdr>
                    <w:top w:val="none" w:sz="0" w:space="0" w:color="auto"/>
                    <w:left w:val="none" w:sz="0" w:space="0" w:color="auto"/>
                    <w:bottom w:val="none" w:sz="0" w:space="0" w:color="auto"/>
                    <w:right w:val="none" w:sz="0" w:space="0" w:color="auto"/>
                  </w:divBdr>
                  <w:divsChild>
                    <w:div w:id="1804272002">
                      <w:marLeft w:val="0"/>
                      <w:marRight w:val="0"/>
                      <w:marTop w:val="0"/>
                      <w:marBottom w:val="0"/>
                      <w:divBdr>
                        <w:top w:val="none" w:sz="0" w:space="0" w:color="auto"/>
                        <w:left w:val="none" w:sz="0" w:space="0" w:color="auto"/>
                        <w:bottom w:val="none" w:sz="0" w:space="0" w:color="auto"/>
                        <w:right w:val="none" w:sz="0" w:space="0" w:color="auto"/>
                      </w:divBdr>
                    </w:div>
                  </w:divsChild>
                </w:div>
                <w:div w:id="1632129667">
                  <w:marLeft w:val="0"/>
                  <w:marRight w:val="0"/>
                  <w:marTop w:val="0"/>
                  <w:marBottom w:val="0"/>
                  <w:divBdr>
                    <w:top w:val="none" w:sz="0" w:space="0" w:color="auto"/>
                    <w:left w:val="none" w:sz="0" w:space="0" w:color="auto"/>
                    <w:bottom w:val="none" w:sz="0" w:space="0" w:color="auto"/>
                    <w:right w:val="none" w:sz="0" w:space="0" w:color="auto"/>
                  </w:divBdr>
                  <w:divsChild>
                    <w:div w:id="749083328">
                      <w:marLeft w:val="0"/>
                      <w:marRight w:val="0"/>
                      <w:marTop w:val="0"/>
                      <w:marBottom w:val="0"/>
                      <w:divBdr>
                        <w:top w:val="none" w:sz="0" w:space="0" w:color="auto"/>
                        <w:left w:val="none" w:sz="0" w:space="0" w:color="auto"/>
                        <w:bottom w:val="none" w:sz="0" w:space="0" w:color="auto"/>
                        <w:right w:val="none" w:sz="0" w:space="0" w:color="auto"/>
                      </w:divBdr>
                    </w:div>
                    <w:div w:id="1200242578">
                      <w:marLeft w:val="0"/>
                      <w:marRight w:val="0"/>
                      <w:marTop w:val="0"/>
                      <w:marBottom w:val="0"/>
                      <w:divBdr>
                        <w:top w:val="none" w:sz="0" w:space="0" w:color="auto"/>
                        <w:left w:val="none" w:sz="0" w:space="0" w:color="auto"/>
                        <w:bottom w:val="none" w:sz="0" w:space="0" w:color="auto"/>
                        <w:right w:val="none" w:sz="0" w:space="0" w:color="auto"/>
                      </w:divBdr>
                    </w:div>
                  </w:divsChild>
                </w:div>
                <w:div w:id="1666472663">
                  <w:marLeft w:val="0"/>
                  <w:marRight w:val="0"/>
                  <w:marTop w:val="0"/>
                  <w:marBottom w:val="0"/>
                  <w:divBdr>
                    <w:top w:val="none" w:sz="0" w:space="0" w:color="auto"/>
                    <w:left w:val="none" w:sz="0" w:space="0" w:color="auto"/>
                    <w:bottom w:val="none" w:sz="0" w:space="0" w:color="auto"/>
                    <w:right w:val="none" w:sz="0" w:space="0" w:color="auto"/>
                  </w:divBdr>
                  <w:divsChild>
                    <w:div w:id="923688919">
                      <w:marLeft w:val="0"/>
                      <w:marRight w:val="0"/>
                      <w:marTop w:val="0"/>
                      <w:marBottom w:val="0"/>
                      <w:divBdr>
                        <w:top w:val="none" w:sz="0" w:space="0" w:color="auto"/>
                        <w:left w:val="none" w:sz="0" w:space="0" w:color="auto"/>
                        <w:bottom w:val="none" w:sz="0" w:space="0" w:color="auto"/>
                        <w:right w:val="none" w:sz="0" w:space="0" w:color="auto"/>
                      </w:divBdr>
                    </w:div>
                  </w:divsChild>
                </w:div>
                <w:div w:id="1675306332">
                  <w:marLeft w:val="0"/>
                  <w:marRight w:val="0"/>
                  <w:marTop w:val="0"/>
                  <w:marBottom w:val="0"/>
                  <w:divBdr>
                    <w:top w:val="none" w:sz="0" w:space="0" w:color="auto"/>
                    <w:left w:val="none" w:sz="0" w:space="0" w:color="auto"/>
                    <w:bottom w:val="none" w:sz="0" w:space="0" w:color="auto"/>
                    <w:right w:val="none" w:sz="0" w:space="0" w:color="auto"/>
                  </w:divBdr>
                  <w:divsChild>
                    <w:div w:id="1763911919">
                      <w:marLeft w:val="0"/>
                      <w:marRight w:val="0"/>
                      <w:marTop w:val="0"/>
                      <w:marBottom w:val="0"/>
                      <w:divBdr>
                        <w:top w:val="none" w:sz="0" w:space="0" w:color="auto"/>
                        <w:left w:val="none" w:sz="0" w:space="0" w:color="auto"/>
                        <w:bottom w:val="none" w:sz="0" w:space="0" w:color="auto"/>
                        <w:right w:val="none" w:sz="0" w:space="0" w:color="auto"/>
                      </w:divBdr>
                    </w:div>
                  </w:divsChild>
                </w:div>
                <w:div w:id="1690254723">
                  <w:marLeft w:val="0"/>
                  <w:marRight w:val="0"/>
                  <w:marTop w:val="0"/>
                  <w:marBottom w:val="0"/>
                  <w:divBdr>
                    <w:top w:val="none" w:sz="0" w:space="0" w:color="auto"/>
                    <w:left w:val="none" w:sz="0" w:space="0" w:color="auto"/>
                    <w:bottom w:val="none" w:sz="0" w:space="0" w:color="auto"/>
                    <w:right w:val="none" w:sz="0" w:space="0" w:color="auto"/>
                  </w:divBdr>
                  <w:divsChild>
                    <w:div w:id="431900546">
                      <w:marLeft w:val="0"/>
                      <w:marRight w:val="0"/>
                      <w:marTop w:val="0"/>
                      <w:marBottom w:val="0"/>
                      <w:divBdr>
                        <w:top w:val="none" w:sz="0" w:space="0" w:color="auto"/>
                        <w:left w:val="none" w:sz="0" w:space="0" w:color="auto"/>
                        <w:bottom w:val="none" w:sz="0" w:space="0" w:color="auto"/>
                        <w:right w:val="none" w:sz="0" w:space="0" w:color="auto"/>
                      </w:divBdr>
                    </w:div>
                  </w:divsChild>
                </w:div>
                <w:div w:id="1703943207">
                  <w:marLeft w:val="0"/>
                  <w:marRight w:val="0"/>
                  <w:marTop w:val="0"/>
                  <w:marBottom w:val="0"/>
                  <w:divBdr>
                    <w:top w:val="none" w:sz="0" w:space="0" w:color="auto"/>
                    <w:left w:val="none" w:sz="0" w:space="0" w:color="auto"/>
                    <w:bottom w:val="none" w:sz="0" w:space="0" w:color="auto"/>
                    <w:right w:val="none" w:sz="0" w:space="0" w:color="auto"/>
                  </w:divBdr>
                  <w:divsChild>
                    <w:div w:id="1498184001">
                      <w:marLeft w:val="0"/>
                      <w:marRight w:val="0"/>
                      <w:marTop w:val="0"/>
                      <w:marBottom w:val="0"/>
                      <w:divBdr>
                        <w:top w:val="none" w:sz="0" w:space="0" w:color="auto"/>
                        <w:left w:val="none" w:sz="0" w:space="0" w:color="auto"/>
                        <w:bottom w:val="none" w:sz="0" w:space="0" w:color="auto"/>
                        <w:right w:val="none" w:sz="0" w:space="0" w:color="auto"/>
                      </w:divBdr>
                    </w:div>
                  </w:divsChild>
                </w:div>
                <w:div w:id="1708140841">
                  <w:marLeft w:val="0"/>
                  <w:marRight w:val="0"/>
                  <w:marTop w:val="0"/>
                  <w:marBottom w:val="0"/>
                  <w:divBdr>
                    <w:top w:val="none" w:sz="0" w:space="0" w:color="auto"/>
                    <w:left w:val="none" w:sz="0" w:space="0" w:color="auto"/>
                    <w:bottom w:val="none" w:sz="0" w:space="0" w:color="auto"/>
                    <w:right w:val="none" w:sz="0" w:space="0" w:color="auto"/>
                  </w:divBdr>
                  <w:divsChild>
                    <w:div w:id="2054185473">
                      <w:marLeft w:val="0"/>
                      <w:marRight w:val="0"/>
                      <w:marTop w:val="0"/>
                      <w:marBottom w:val="0"/>
                      <w:divBdr>
                        <w:top w:val="none" w:sz="0" w:space="0" w:color="auto"/>
                        <w:left w:val="none" w:sz="0" w:space="0" w:color="auto"/>
                        <w:bottom w:val="none" w:sz="0" w:space="0" w:color="auto"/>
                        <w:right w:val="none" w:sz="0" w:space="0" w:color="auto"/>
                      </w:divBdr>
                    </w:div>
                  </w:divsChild>
                </w:div>
                <w:div w:id="1720058455">
                  <w:marLeft w:val="0"/>
                  <w:marRight w:val="0"/>
                  <w:marTop w:val="0"/>
                  <w:marBottom w:val="0"/>
                  <w:divBdr>
                    <w:top w:val="none" w:sz="0" w:space="0" w:color="auto"/>
                    <w:left w:val="none" w:sz="0" w:space="0" w:color="auto"/>
                    <w:bottom w:val="none" w:sz="0" w:space="0" w:color="auto"/>
                    <w:right w:val="none" w:sz="0" w:space="0" w:color="auto"/>
                  </w:divBdr>
                  <w:divsChild>
                    <w:div w:id="34895983">
                      <w:marLeft w:val="0"/>
                      <w:marRight w:val="0"/>
                      <w:marTop w:val="0"/>
                      <w:marBottom w:val="0"/>
                      <w:divBdr>
                        <w:top w:val="none" w:sz="0" w:space="0" w:color="auto"/>
                        <w:left w:val="none" w:sz="0" w:space="0" w:color="auto"/>
                        <w:bottom w:val="none" w:sz="0" w:space="0" w:color="auto"/>
                        <w:right w:val="none" w:sz="0" w:space="0" w:color="auto"/>
                      </w:divBdr>
                    </w:div>
                  </w:divsChild>
                </w:div>
                <w:div w:id="1772123104">
                  <w:marLeft w:val="0"/>
                  <w:marRight w:val="0"/>
                  <w:marTop w:val="0"/>
                  <w:marBottom w:val="0"/>
                  <w:divBdr>
                    <w:top w:val="none" w:sz="0" w:space="0" w:color="auto"/>
                    <w:left w:val="none" w:sz="0" w:space="0" w:color="auto"/>
                    <w:bottom w:val="none" w:sz="0" w:space="0" w:color="auto"/>
                    <w:right w:val="none" w:sz="0" w:space="0" w:color="auto"/>
                  </w:divBdr>
                  <w:divsChild>
                    <w:div w:id="1064110113">
                      <w:marLeft w:val="0"/>
                      <w:marRight w:val="0"/>
                      <w:marTop w:val="0"/>
                      <w:marBottom w:val="0"/>
                      <w:divBdr>
                        <w:top w:val="none" w:sz="0" w:space="0" w:color="auto"/>
                        <w:left w:val="none" w:sz="0" w:space="0" w:color="auto"/>
                        <w:bottom w:val="none" w:sz="0" w:space="0" w:color="auto"/>
                        <w:right w:val="none" w:sz="0" w:space="0" w:color="auto"/>
                      </w:divBdr>
                    </w:div>
                  </w:divsChild>
                </w:div>
                <w:div w:id="1775054671">
                  <w:marLeft w:val="0"/>
                  <w:marRight w:val="0"/>
                  <w:marTop w:val="0"/>
                  <w:marBottom w:val="0"/>
                  <w:divBdr>
                    <w:top w:val="none" w:sz="0" w:space="0" w:color="auto"/>
                    <w:left w:val="none" w:sz="0" w:space="0" w:color="auto"/>
                    <w:bottom w:val="none" w:sz="0" w:space="0" w:color="auto"/>
                    <w:right w:val="none" w:sz="0" w:space="0" w:color="auto"/>
                  </w:divBdr>
                  <w:divsChild>
                    <w:div w:id="19938094">
                      <w:marLeft w:val="0"/>
                      <w:marRight w:val="0"/>
                      <w:marTop w:val="0"/>
                      <w:marBottom w:val="0"/>
                      <w:divBdr>
                        <w:top w:val="none" w:sz="0" w:space="0" w:color="auto"/>
                        <w:left w:val="none" w:sz="0" w:space="0" w:color="auto"/>
                        <w:bottom w:val="none" w:sz="0" w:space="0" w:color="auto"/>
                        <w:right w:val="none" w:sz="0" w:space="0" w:color="auto"/>
                      </w:divBdr>
                    </w:div>
                  </w:divsChild>
                </w:div>
                <w:div w:id="1833838441">
                  <w:marLeft w:val="0"/>
                  <w:marRight w:val="0"/>
                  <w:marTop w:val="0"/>
                  <w:marBottom w:val="0"/>
                  <w:divBdr>
                    <w:top w:val="none" w:sz="0" w:space="0" w:color="auto"/>
                    <w:left w:val="none" w:sz="0" w:space="0" w:color="auto"/>
                    <w:bottom w:val="none" w:sz="0" w:space="0" w:color="auto"/>
                    <w:right w:val="none" w:sz="0" w:space="0" w:color="auto"/>
                  </w:divBdr>
                  <w:divsChild>
                    <w:div w:id="1053970257">
                      <w:marLeft w:val="0"/>
                      <w:marRight w:val="0"/>
                      <w:marTop w:val="0"/>
                      <w:marBottom w:val="0"/>
                      <w:divBdr>
                        <w:top w:val="none" w:sz="0" w:space="0" w:color="auto"/>
                        <w:left w:val="none" w:sz="0" w:space="0" w:color="auto"/>
                        <w:bottom w:val="none" w:sz="0" w:space="0" w:color="auto"/>
                        <w:right w:val="none" w:sz="0" w:space="0" w:color="auto"/>
                      </w:divBdr>
                    </w:div>
                  </w:divsChild>
                </w:div>
                <w:div w:id="1834560790">
                  <w:marLeft w:val="0"/>
                  <w:marRight w:val="0"/>
                  <w:marTop w:val="0"/>
                  <w:marBottom w:val="0"/>
                  <w:divBdr>
                    <w:top w:val="none" w:sz="0" w:space="0" w:color="auto"/>
                    <w:left w:val="none" w:sz="0" w:space="0" w:color="auto"/>
                    <w:bottom w:val="none" w:sz="0" w:space="0" w:color="auto"/>
                    <w:right w:val="none" w:sz="0" w:space="0" w:color="auto"/>
                  </w:divBdr>
                  <w:divsChild>
                    <w:div w:id="734864886">
                      <w:marLeft w:val="0"/>
                      <w:marRight w:val="0"/>
                      <w:marTop w:val="0"/>
                      <w:marBottom w:val="0"/>
                      <w:divBdr>
                        <w:top w:val="none" w:sz="0" w:space="0" w:color="auto"/>
                        <w:left w:val="none" w:sz="0" w:space="0" w:color="auto"/>
                        <w:bottom w:val="none" w:sz="0" w:space="0" w:color="auto"/>
                        <w:right w:val="none" w:sz="0" w:space="0" w:color="auto"/>
                      </w:divBdr>
                    </w:div>
                  </w:divsChild>
                </w:div>
                <w:div w:id="1881897391">
                  <w:marLeft w:val="0"/>
                  <w:marRight w:val="0"/>
                  <w:marTop w:val="0"/>
                  <w:marBottom w:val="0"/>
                  <w:divBdr>
                    <w:top w:val="none" w:sz="0" w:space="0" w:color="auto"/>
                    <w:left w:val="none" w:sz="0" w:space="0" w:color="auto"/>
                    <w:bottom w:val="none" w:sz="0" w:space="0" w:color="auto"/>
                    <w:right w:val="none" w:sz="0" w:space="0" w:color="auto"/>
                  </w:divBdr>
                  <w:divsChild>
                    <w:div w:id="1686708723">
                      <w:marLeft w:val="0"/>
                      <w:marRight w:val="0"/>
                      <w:marTop w:val="0"/>
                      <w:marBottom w:val="0"/>
                      <w:divBdr>
                        <w:top w:val="none" w:sz="0" w:space="0" w:color="auto"/>
                        <w:left w:val="none" w:sz="0" w:space="0" w:color="auto"/>
                        <w:bottom w:val="none" w:sz="0" w:space="0" w:color="auto"/>
                        <w:right w:val="none" w:sz="0" w:space="0" w:color="auto"/>
                      </w:divBdr>
                    </w:div>
                  </w:divsChild>
                </w:div>
                <w:div w:id="1913739451">
                  <w:marLeft w:val="0"/>
                  <w:marRight w:val="0"/>
                  <w:marTop w:val="0"/>
                  <w:marBottom w:val="0"/>
                  <w:divBdr>
                    <w:top w:val="none" w:sz="0" w:space="0" w:color="auto"/>
                    <w:left w:val="none" w:sz="0" w:space="0" w:color="auto"/>
                    <w:bottom w:val="none" w:sz="0" w:space="0" w:color="auto"/>
                    <w:right w:val="none" w:sz="0" w:space="0" w:color="auto"/>
                  </w:divBdr>
                  <w:divsChild>
                    <w:div w:id="884290213">
                      <w:marLeft w:val="0"/>
                      <w:marRight w:val="0"/>
                      <w:marTop w:val="0"/>
                      <w:marBottom w:val="0"/>
                      <w:divBdr>
                        <w:top w:val="none" w:sz="0" w:space="0" w:color="auto"/>
                        <w:left w:val="none" w:sz="0" w:space="0" w:color="auto"/>
                        <w:bottom w:val="none" w:sz="0" w:space="0" w:color="auto"/>
                        <w:right w:val="none" w:sz="0" w:space="0" w:color="auto"/>
                      </w:divBdr>
                    </w:div>
                  </w:divsChild>
                </w:div>
                <w:div w:id="1925798255">
                  <w:marLeft w:val="0"/>
                  <w:marRight w:val="0"/>
                  <w:marTop w:val="0"/>
                  <w:marBottom w:val="0"/>
                  <w:divBdr>
                    <w:top w:val="none" w:sz="0" w:space="0" w:color="auto"/>
                    <w:left w:val="none" w:sz="0" w:space="0" w:color="auto"/>
                    <w:bottom w:val="none" w:sz="0" w:space="0" w:color="auto"/>
                    <w:right w:val="none" w:sz="0" w:space="0" w:color="auto"/>
                  </w:divBdr>
                  <w:divsChild>
                    <w:div w:id="1139110826">
                      <w:marLeft w:val="0"/>
                      <w:marRight w:val="0"/>
                      <w:marTop w:val="0"/>
                      <w:marBottom w:val="0"/>
                      <w:divBdr>
                        <w:top w:val="none" w:sz="0" w:space="0" w:color="auto"/>
                        <w:left w:val="none" w:sz="0" w:space="0" w:color="auto"/>
                        <w:bottom w:val="none" w:sz="0" w:space="0" w:color="auto"/>
                        <w:right w:val="none" w:sz="0" w:space="0" w:color="auto"/>
                      </w:divBdr>
                    </w:div>
                  </w:divsChild>
                </w:div>
                <w:div w:id="1931157944">
                  <w:marLeft w:val="0"/>
                  <w:marRight w:val="0"/>
                  <w:marTop w:val="0"/>
                  <w:marBottom w:val="0"/>
                  <w:divBdr>
                    <w:top w:val="none" w:sz="0" w:space="0" w:color="auto"/>
                    <w:left w:val="none" w:sz="0" w:space="0" w:color="auto"/>
                    <w:bottom w:val="none" w:sz="0" w:space="0" w:color="auto"/>
                    <w:right w:val="none" w:sz="0" w:space="0" w:color="auto"/>
                  </w:divBdr>
                  <w:divsChild>
                    <w:div w:id="388919901">
                      <w:marLeft w:val="0"/>
                      <w:marRight w:val="0"/>
                      <w:marTop w:val="0"/>
                      <w:marBottom w:val="0"/>
                      <w:divBdr>
                        <w:top w:val="none" w:sz="0" w:space="0" w:color="auto"/>
                        <w:left w:val="none" w:sz="0" w:space="0" w:color="auto"/>
                        <w:bottom w:val="none" w:sz="0" w:space="0" w:color="auto"/>
                        <w:right w:val="none" w:sz="0" w:space="0" w:color="auto"/>
                      </w:divBdr>
                    </w:div>
                  </w:divsChild>
                </w:div>
                <w:div w:id="1955792280">
                  <w:marLeft w:val="0"/>
                  <w:marRight w:val="0"/>
                  <w:marTop w:val="0"/>
                  <w:marBottom w:val="0"/>
                  <w:divBdr>
                    <w:top w:val="none" w:sz="0" w:space="0" w:color="auto"/>
                    <w:left w:val="none" w:sz="0" w:space="0" w:color="auto"/>
                    <w:bottom w:val="none" w:sz="0" w:space="0" w:color="auto"/>
                    <w:right w:val="none" w:sz="0" w:space="0" w:color="auto"/>
                  </w:divBdr>
                  <w:divsChild>
                    <w:div w:id="496575664">
                      <w:marLeft w:val="0"/>
                      <w:marRight w:val="0"/>
                      <w:marTop w:val="0"/>
                      <w:marBottom w:val="0"/>
                      <w:divBdr>
                        <w:top w:val="none" w:sz="0" w:space="0" w:color="auto"/>
                        <w:left w:val="none" w:sz="0" w:space="0" w:color="auto"/>
                        <w:bottom w:val="none" w:sz="0" w:space="0" w:color="auto"/>
                        <w:right w:val="none" w:sz="0" w:space="0" w:color="auto"/>
                      </w:divBdr>
                    </w:div>
                  </w:divsChild>
                </w:div>
                <w:div w:id="1960187848">
                  <w:marLeft w:val="0"/>
                  <w:marRight w:val="0"/>
                  <w:marTop w:val="0"/>
                  <w:marBottom w:val="0"/>
                  <w:divBdr>
                    <w:top w:val="none" w:sz="0" w:space="0" w:color="auto"/>
                    <w:left w:val="none" w:sz="0" w:space="0" w:color="auto"/>
                    <w:bottom w:val="none" w:sz="0" w:space="0" w:color="auto"/>
                    <w:right w:val="none" w:sz="0" w:space="0" w:color="auto"/>
                  </w:divBdr>
                  <w:divsChild>
                    <w:div w:id="224220959">
                      <w:marLeft w:val="0"/>
                      <w:marRight w:val="0"/>
                      <w:marTop w:val="0"/>
                      <w:marBottom w:val="0"/>
                      <w:divBdr>
                        <w:top w:val="none" w:sz="0" w:space="0" w:color="auto"/>
                        <w:left w:val="none" w:sz="0" w:space="0" w:color="auto"/>
                        <w:bottom w:val="none" w:sz="0" w:space="0" w:color="auto"/>
                        <w:right w:val="none" w:sz="0" w:space="0" w:color="auto"/>
                      </w:divBdr>
                    </w:div>
                  </w:divsChild>
                </w:div>
                <w:div w:id="1961372785">
                  <w:marLeft w:val="0"/>
                  <w:marRight w:val="0"/>
                  <w:marTop w:val="0"/>
                  <w:marBottom w:val="0"/>
                  <w:divBdr>
                    <w:top w:val="none" w:sz="0" w:space="0" w:color="auto"/>
                    <w:left w:val="none" w:sz="0" w:space="0" w:color="auto"/>
                    <w:bottom w:val="none" w:sz="0" w:space="0" w:color="auto"/>
                    <w:right w:val="none" w:sz="0" w:space="0" w:color="auto"/>
                  </w:divBdr>
                  <w:divsChild>
                    <w:div w:id="680857647">
                      <w:marLeft w:val="0"/>
                      <w:marRight w:val="0"/>
                      <w:marTop w:val="0"/>
                      <w:marBottom w:val="0"/>
                      <w:divBdr>
                        <w:top w:val="none" w:sz="0" w:space="0" w:color="auto"/>
                        <w:left w:val="none" w:sz="0" w:space="0" w:color="auto"/>
                        <w:bottom w:val="none" w:sz="0" w:space="0" w:color="auto"/>
                        <w:right w:val="none" w:sz="0" w:space="0" w:color="auto"/>
                      </w:divBdr>
                    </w:div>
                  </w:divsChild>
                </w:div>
                <w:div w:id="2009019295">
                  <w:marLeft w:val="0"/>
                  <w:marRight w:val="0"/>
                  <w:marTop w:val="0"/>
                  <w:marBottom w:val="0"/>
                  <w:divBdr>
                    <w:top w:val="none" w:sz="0" w:space="0" w:color="auto"/>
                    <w:left w:val="none" w:sz="0" w:space="0" w:color="auto"/>
                    <w:bottom w:val="none" w:sz="0" w:space="0" w:color="auto"/>
                    <w:right w:val="none" w:sz="0" w:space="0" w:color="auto"/>
                  </w:divBdr>
                  <w:divsChild>
                    <w:div w:id="1359088570">
                      <w:marLeft w:val="0"/>
                      <w:marRight w:val="0"/>
                      <w:marTop w:val="0"/>
                      <w:marBottom w:val="0"/>
                      <w:divBdr>
                        <w:top w:val="none" w:sz="0" w:space="0" w:color="auto"/>
                        <w:left w:val="none" w:sz="0" w:space="0" w:color="auto"/>
                        <w:bottom w:val="none" w:sz="0" w:space="0" w:color="auto"/>
                        <w:right w:val="none" w:sz="0" w:space="0" w:color="auto"/>
                      </w:divBdr>
                    </w:div>
                  </w:divsChild>
                </w:div>
                <w:div w:id="2025670598">
                  <w:marLeft w:val="0"/>
                  <w:marRight w:val="0"/>
                  <w:marTop w:val="0"/>
                  <w:marBottom w:val="0"/>
                  <w:divBdr>
                    <w:top w:val="none" w:sz="0" w:space="0" w:color="auto"/>
                    <w:left w:val="none" w:sz="0" w:space="0" w:color="auto"/>
                    <w:bottom w:val="none" w:sz="0" w:space="0" w:color="auto"/>
                    <w:right w:val="none" w:sz="0" w:space="0" w:color="auto"/>
                  </w:divBdr>
                  <w:divsChild>
                    <w:div w:id="1815296214">
                      <w:marLeft w:val="0"/>
                      <w:marRight w:val="0"/>
                      <w:marTop w:val="0"/>
                      <w:marBottom w:val="0"/>
                      <w:divBdr>
                        <w:top w:val="none" w:sz="0" w:space="0" w:color="auto"/>
                        <w:left w:val="none" w:sz="0" w:space="0" w:color="auto"/>
                        <w:bottom w:val="none" w:sz="0" w:space="0" w:color="auto"/>
                        <w:right w:val="none" w:sz="0" w:space="0" w:color="auto"/>
                      </w:divBdr>
                    </w:div>
                  </w:divsChild>
                </w:div>
                <w:div w:id="2045519459">
                  <w:marLeft w:val="0"/>
                  <w:marRight w:val="0"/>
                  <w:marTop w:val="0"/>
                  <w:marBottom w:val="0"/>
                  <w:divBdr>
                    <w:top w:val="none" w:sz="0" w:space="0" w:color="auto"/>
                    <w:left w:val="none" w:sz="0" w:space="0" w:color="auto"/>
                    <w:bottom w:val="none" w:sz="0" w:space="0" w:color="auto"/>
                    <w:right w:val="none" w:sz="0" w:space="0" w:color="auto"/>
                  </w:divBdr>
                  <w:divsChild>
                    <w:div w:id="1169830772">
                      <w:marLeft w:val="0"/>
                      <w:marRight w:val="0"/>
                      <w:marTop w:val="0"/>
                      <w:marBottom w:val="0"/>
                      <w:divBdr>
                        <w:top w:val="none" w:sz="0" w:space="0" w:color="auto"/>
                        <w:left w:val="none" w:sz="0" w:space="0" w:color="auto"/>
                        <w:bottom w:val="none" w:sz="0" w:space="0" w:color="auto"/>
                        <w:right w:val="none" w:sz="0" w:space="0" w:color="auto"/>
                      </w:divBdr>
                    </w:div>
                  </w:divsChild>
                </w:div>
                <w:div w:id="2061439289">
                  <w:marLeft w:val="0"/>
                  <w:marRight w:val="0"/>
                  <w:marTop w:val="0"/>
                  <w:marBottom w:val="0"/>
                  <w:divBdr>
                    <w:top w:val="none" w:sz="0" w:space="0" w:color="auto"/>
                    <w:left w:val="none" w:sz="0" w:space="0" w:color="auto"/>
                    <w:bottom w:val="none" w:sz="0" w:space="0" w:color="auto"/>
                    <w:right w:val="none" w:sz="0" w:space="0" w:color="auto"/>
                  </w:divBdr>
                  <w:divsChild>
                    <w:div w:id="103430892">
                      <w:marLeft w:val="0"/>
                      <w:marRight w:val="0"/>
                      <w:marTop w:val="0"/>
                      <w:marBottom w:val="0"/>
                      <w:divBdr>
                        <w:top w:val="none" w:sz="0" w:space="0" w:color="auto"/>
                        <w:left w:val="none" w:sz="0" w:space="0" w:color="auto"/>
                        <w:bottom w:val="none" w:sz="0" w:space="0" w:color="auto"/>
                        <w:right w:val="none" w:sz="0" w:space="0" w:color="auto"/>
                      </w:divBdr>
                    </w:div>
                    <w:div w:id="813524239">
                      <w:marLeft w:val="0"/>
                      <w:marRight w:val="0"/>
                      <w:marTop w:val="0"/>
                      <w:marBottom w:val="0"/>
                      <w:divBdr>
                        <w:top w:val="none" w:sz="0" w:space="0" w:color="auto"/>
                        <w:left w:val="none" w:sz="0" w:space="0" w:color="auto"/>
                        <w:bottom w:val="none" w:sz="0" w:space="0" w:color="auto"/>
                        <w:right w:val="none" w:sz="0" w:space="0" w:color="auto"/>
                      </w:divBdr>
                    </w:div>
                  </w:divsChild>
                </w:div>
                <w:div w:id="2082867822">
                  <w:marLeft w:val="0"/>
                  <w:marRight w:val="0"/>
                  <w:marTop w:val="0"/>
                  <w:marBottom w:val="0"/>
                  <w:divBdr>
                    <w:top w:val="none" w:sz="0" w:space="0" w:color="auto"/>
                    <w:left w:val="none" w:sz="0" w:space="0" w:color="auto"/>
                    <w:bottom w:val="none" w:sz="0" w:space="0" w:color="auto"/>
                    <w:right w:val="none" w:sz="0" w:space="0" w:color="auto"/>
                  </w:divBdr>
                  <w:divsChild>
                    <w:div w:id="1545602295">
                      <w:marLeft w:val="0"/>
                      <w:marRight w:val="0"/>
                      <w:marTop w:val="0"/>
                      <w:marBottom w:val="0"/>
                      <w:divBdr>
                        <w:top w:val="none" w:sz="0" w:space="0" w:color="auto"/>
                        <w:left w:val="none" w:sz="0" w:space="0" w:color="auto"/>
                        <w:bottom w:val="none" w:sz="0" w:space="0" w:color="auto"/>
                        <w:right w:val="none" w:sz="0" w:space="0" w:color="auto"/>
                      </w:divBdr>
                    </w:div>
                  </w:divsChild>
                </w:div>
                <w:div w:id="2095005043">
                  <w:marLeft w:val="0"/>
                  <w:marRight w:val="0"/>
                  <w:marTop w:val="0"/>
                  <w:marBottom w:val="0"/>
                  <w:divBdr>
                    <w:top w:val="none" w:sz="0" w:space="0" w:color="auto"/>
                    <w:left w:val="none" w:sz="0" w:space="0" w:color="auto"/>
                    <w:bottom w:val="none" w:sz="0" w:space="0" w:color="auto"/>
                    <w:right w:val="none" w:sz="0" w:space="0" w:color="auto"/>
                  </w:divBdr>
                  <w:divsChild>
                    <w:div w:id="191384554">
                      <w:marLeft w:val="0"/>
                      <w:marRight w:val="0"/>
                      <w:marTop w:val="0"/>
                      <w:marBottom w:val="0"/>
                      <w:divBdr>
                        <w:top w:val="none" w:sz="0" w:space="0" w:color="auto"/>
                        <w:left w:val="none" w:sz="0" w:space="0" w:color="auto"/>
                        <w:bottom w:val="none" w:sz="0" w:space="0" w:color="auto"/>
                        <w:right w:val="none" w:sz="0" w:space="0" w:color="auto"/>
                      </w:divBdr>
                    </w:div>
                  </w:divsChild>
                </w:div>
                <w:div w:id="2096122823">
                  <w:marLeft w:val="0"/>
                  <w:marRight w:val="0"/>
                  <w:marTop w:val="0"/>
                  <w:marBottom w:val="0"/>
                  <w:divBdr>
                    <w:top w:val="none" w:sz="0" w:space="0" w:color="auto"/>
                    <w:left w:val="none" w:sz="0" w:space="0" w:color="auto"/>
                    <w:bottom w:val="none" w:sz="0" w:space="0" w:color="auto"/>
                    <w:right w:val="none" w:sz="0" w:space="0" w:color="auto"/>
                  </w:divBdr>
                  <w:divsChild>
                    <w:div w:id="29183054">
                      <w:marLeft w:val="0"/>
                      <w:marRight w:val="0"/>
                      <w:marTop w:val="0"/>
                      <w:marBottom w:val="0"/>
                      <w:divBdr>
                        <w:top w:val="none" w:sz="0" w:space="0" w:color="auto"/>
                        <w:left w:val="none" w:sz="0" w:space="0" w:color="auto"/>
                        <w:bottom w:val="none" w:sz="0" w:space="0" w:color="auto"/>
                        <w:right w:val="none" w:sz="0" w:space="0" w:color="auto"/>
                      </w:divBdr>
                    </w:div>
                  </w:divsChild>
                </w:div>
                <w:div w:id="2103795563">
                  <w:marLeft w:val="0"/>
                  <w:marRight w:val="0"/>
                  <w:marTop w:val="0"/>
                  <w:marBottom w:val="0"/>
                  <w:divBdr>
                    <w:top w:val="none" w:sz="0" w:space="0" w:color="auto"/>
                    <w:left w:val="none" w:sz="0" w:space="0" w:color="auto"/>
                    <w:bottom w:val="none" w:sz="0" w:space="0" w:color="auto"/>
                    <w:right w:val="none" w:sz="0" w:space="0" w:color="auto"/>
                  </w:divBdr>
                  <w:divsChild>
                    <w:div w:id="505444364">
                      <w:marLeft w:val="0"/>
                      <w:marRight w:val="0"/>
                      <w:marTop w:val="0"/>
                      <w:marBottom w:val="0"/>
                      <w:divBdr>
                        <w:top w:val="none" w:sz="0" w:space="0" w:color="auto"/>
                        <w:left w:val="none" w:sz="0" w:space="0" w:color="auto"/>
                        <w:bottom w:val="none" w:sz="0" w:space="0" w:color="auto"/>
                        <w:right w:val="none" w:sz="0" w:space="0" w:color="auto"/>
                      </w:divBdr>
                    </w:div>
                  </w:divsChild>
                </w:div>
                <w:div w:id="2137747569">
                  <w:marLeft w:val="0"/>
                  <w:marRight w:val="0"/>
                  <w:marTop w:val="0"/>
                  <w:marBottom w:val="0"/>
                  <w:divBdr>
                    <w:top w:val="none" w:sz="0" w:space="0" w:color="auto"/>
                    <w:left w:val="none" w:sz="0" w:space="0" w:color="auto"/>
                    <w:bottom w:val="none" w:sz="0" w:space="0" w:color="auto"/>
                    <w:right w:val="none" w:sz="0" w:space="0" w:color="auto"/>
                  </w:divBdr>
                  <w:divsChild>
                    <w:div w:id="1452239102">
                      <w:marLeft w:val="0"/>
                      <w:marRight w:val="0"/>
                      <w:marTop w:val="0"/>
                      <w:marBottom w:val="0"/>
                      <w:divBdr>
                        <w:top w:val="none" w:sz="0" w:space="0" w:color="auto"/>
                        <w:left w:val="none" w:sz="0" w:space="0" w:color="auto"/>
                        <w:bottom w:val="none" w:sz="0" w:space="0" w:color="auto"/>
                        <w:right w:val="none" w:sz="0" w:space="0" w:color="auto"/>
                      </w:divBdr>
                    </w:div>
                  </w:divsChild>
                </w:div>
                <w:div w:id="2145661148">
                  <w:marLeft w:val="0"/>
                  <w:marRight w:val="0"/>
                  <w:marTop w:val="0"/>
                  <w:marBottom w:val="0"/>
                  <w:divBdr>
                    <w:top w:val="none" w:sz="0" w:space="0" w:color="auto"/>
                    <w:left w:val="none" w:sz="0" w:space="0" w:color="auto"/>
                    <w:bottom w:val="none" w:sz="0" w:space="0" w:color="auto"/>
                    <w:right w:val="none" w:sz="0" w:space="0" w:color="auto"/>
                  </w:divBdr>
                  <w:divsChild>
                    <w:div w:id="111702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453625">
          <w:marLeft w:val="0"/>
          <w:marRight w:val="0"/>
          <w:marTop w:val="0"/>
          <w:marBottom w:val="0"/>
          <w:divBdr>
            <w:top w:val="none" w:sz="0" w:space="0" w:color="auto"/>
            <w:left w:val="none" w:sz="0" w:space="0" w:color="auto"/>
            <w:bottom w:val="none" w:sz="0" w:space="0" w:color="auto"/>
            <w:right w:val="none" w:sz="0" w:space="0" w:color="auto"/>
          </w:divBdr>
        </w:div>
        <w:div w:id="1735808376">
          <w:marLeft w:val="0"/>
          <w:marRight w:val="0"/>
          <w:marTop w:val="0"/>
          <w:marBottom w:val="0"/>
          <w:divBdr>
            <w:top w:val="none" w:sz="0" w:space="0" w:color="auto"/>
            <w:left w:val="none" w:sz="0" w:space="0" w:color="auto"/>
            <w:bottom w:val="none" w:sz="0" w:space="0" w:color="auto"/>
            <w:right w:val="none" w:sz="0" w:space="0" w:color="auto"/>
          </w:divBdr>
        </w:div>
        <w:div w:id="1889681482">
          <w:marLeft w:val="0"/>
          <w:marRight w:val="0"/>
          <w:marTop w:val="0"/>
          <w:marBottom w:val="0"/>
          <w:divBdr>
            <w:top w:val="none" w:sz="0" w:space="0" w:color="auto"/>
            <w:left w:val="none" w:sz="0" w:space="0" w:color="auto"/>
            <w:bottom w:val="none" w:sz="0" w:space="0" w:color="auto"/>
            <w:right w:val="none" w:sz="0" w:space="0" w:color="auto"/>
          </w:divBdr>
        </w:div>
      </w:divsChild>
    </w:div>
    <w:div w:id="197939609">
      <w:bodyDiv w:val="1"/>
      <w:marLeft w:val="0"/>
      <w:marRight w:val="0"/>
      <w:marTop w:val="0"/>
      <w:marBottom w:val="0"/>
      <w:divBdr>
        <w:top w:val="none" w:sz="0" w:space="0" w:color="auto"/>
        <w:left w:val="none" w:sz="0" w:space="0" w:color="auto"/>
        <w:bottom w:val="none" w:sz="0" w:space="0" w:color="auto"/>
        <w:right w:val="none" w:sz="0" w:space="0" w:color="auto"/>
      </w:divBdr>
    </w:div>
    <w:div w:id="201747753">
      <w:bodyDiv w:val="1"/>
      <w:marLeft w:val="0"/>
      <w:marRight w:val="0"/>
      <w:marTop w:val="0"/>
      <w:marBottom w:val="0"/>
      <w:divBdr>
        <w:top w:val="none" w:sz="0" w:space="0" w:color="auto"/>
        <w:left w:val="none" w:sz="0" w:space="0" w:color="auto"/>
        <w:bottom w:val="none" w:sz="0" w:space="0" w:color="auto"/>
        <w:right w:val="none" w:sz="0" w:space="0" w:color="auto"/>
      </w:divBdr>
    </w:div>
    <w:div w:id="272444176">
      <w:bodyDiv w:val="1"/>
      <w:marLeft w:val="0"/>
      <w:marRight w:val="0"/>
      <w:marTop w:val="0"/>
      <w:marBottom w:val="0"/>
      <w:divBdr>
        <w:top w:val="none" w:sz="0" w:space="0" w:color="auto"/>
        <w:left w:val="none" w:sz="0" w:space="0" w:color="auto"/>
        <w:bottom w:val="none" w:sz="0" w:space="0" w:color="auto"/>
        <w:right w:val="none" w:sz="0" w:space="0" w:color="auto"/>
      </w:divBdr>
      <w:divsChild>
        <w:div w:id="210307442">
          <w:marLeft w:val="0"/>
          <w:marRight w:val="0"/>
          <w:marTop w:val="0"/>
          <w:marBottom w:val="0"/>
          <w:divBdr>
            <w:top w:val="none" w:sz="0" w:space="0" w:color="auto"/>
            <w:left w:val="none" w:sz="0" w:space="0" w:color="auto"/>
            <w:bottom w:val="none" w:sz="0" w:space="0" w:color="auto"/>
            <w:right w:val="none" w:sz="0" w:space="0" w:color="auto"/>
          </w:divBdr>
        </w:div>
        <w:div w:id="288829780">
          <w:marLeft w:val="0"/>
          <w:marRight w:val="0"/>
          <w:marTop w:val="0"/>
          <w:marBottom w:val="0"/>
          <w:divBdr>
            <w:top w:val="none" w:sz="0" w:space="0" w:color="auto"/>
            <w:left w:val="none" w:sz="0" w:space="0" w:color="auto"/>
            <w:bottom w:val="none" w:sz="0" w:space="0" w:color="auto"/>
            <w:right w:val="none" w:sz="0" w:space="0" w:color="auto"/>
          </w:divBdr>
        </w:div>
        <w:div w:id="622809386">
          <w:marLeft w:val="0"/>
          <w:marRight w:val="0"/>
          <w:marTop w:val="0"/>
          <w:marBottom w:val="0"/>
          <w:divBdr>
            <w:top w:val="none" w:sz="0" w:space="0" w:color="auto"/>
            <w:left w:val="none" w:sz="0" w:space="0" w:color="auto"/>
            <w:bottom w:val="none" w:sz="0" w:space="0" w:color="auto"/>
            <w:right w:val="none" w:sz="0" w:space="0" w:color="auto"/>
          </w:divBdr>
          <w:divsChild>
            <w:div w:id="1304896228">
              <w:marLeft w:val="0"/>
              <w:marRight w:val="0"/>
              <w:marTop w:val="0"/>
              <w:marBottom w:val="0"/>
              <w:divBdr>
                <w:top w:val="none" w:sz="0" w:space="0" w:color="auto"/>
                <w:left w:val="none" w:sz="0" w:space="0" w:color="auto"/>
                <w:bottom w:val="none" w:sz="0" w:space="0" w:color="auto"/>
                <w:right w:val="none" w:sz="0" w:space="0" w:color="auto"/>
              </w:divBdr>
            </w:div>
            <w:div w:id="1328094953">
              <w:marLeft w:val="0"/>
              <w:marRight w:val="0"/>
              <w:marTop w:val="0"/>
              <w:marBottom w:val="0"/>
              <w:divBdr>
                <w:top w:val="none" w:sz="0" w:space="0" w:color="auto"/>
                <w:left w:val="none" w:sz="0" w:space="0" w:color="auto"/>
                <w:bottom w:val="none" w:sz="0" w:space="0" w:color="auto"/>
                <w:right w:val="none" w:sz="0" w:space="0" w:color="auto"/>
              </w:divBdr>
            </w:div>
            <w:div w:id="1621956444">
              <w:marLeft w:val="0"/>
              <w:marRight w:val="0"/>
              <w:marTop w:val="0"/>
              <w:marBottom w:val="0"/>
              <w:divBdr>
                <w:top w:val="none" w:sz="0" w:space="0" w:color="auto"/>
                <w:left w:val="none" w:sz="0" w:space="0" w:color="auto"/>
                <w:bottom w:val="none" w:sz="0" w:space="0" w:color="auto"/>
                <w:right w:val="none" w:sz="0" w:space="0" w:color="auto"/>
              </w:divBdr>
            </w:div>
            <w:div w:id="2139833075">
              <w:marLeft w:val="0"/>
              <w:marRight w:val="0"/>
              <w:marTop w:val="0"/>
              <w:marBottom w:val="0"/>
              <w:divBdr>
                <w:top w:val="none" w:sz="0" w:space="0" w:color="auto"/>
                <w:left w:val="none" w:sz="0" w:space="0" w:color="auto"/>
                <w:bottom w:val="none" w:sz="0" w:space="0" w:color="auto"/>
                <w:right w:val="none" w:sz="0" w:space="0" w:color="auto"/>
              </w:divBdr>
            </w:div>
          </w:divsChild>
        </w:div>
        <w:div w:id="1332415098">
          <w:marLeft w:val="0"/>
          <w:marRight w:val="0"/>
          <w:marTop w:val="0"/>
          <w:marBottom w:val="0"/>
          <w:divBdr>
            <w:top w:val="none" w:sz="0" w:space="0" w:color="auto"/>
            <w:left w:val="none" w:sz="0" w:space="0" w:color="auto"/>
            <w:bottom w:val="none" w:sz="0" w:space="0" w:color="auto"/>
            <w:right w:val="none" w:sz="0" w:space="0" w:color="auto"/>
          </w:divBdr>
        </w:div>
        <w:div w:id="1433668642">
          <w:marLeft w:val="0"/>
          <w:marRight w:val="0"/>
          <w:marTop w:val="0"/>
          <w:marBottom w:val="0"/>
          <w:divBdr>
            <w:top w:val="none" w:sz="0" w:space="0" w:color="auto"/>
            <w:left w:val="none" w:sz="0" w:space="0" w:color="auto"/>
            <w:bottom w:val="none" w:sz="0" w:space="0" w:color="auto"/>
            <w:right w:val="none" w:sz="0" w:space="0" w:color="auto"/>
          </w:divBdr>
          <w:divsChild>
            <w:div w:id="165874571">
              <w:marLeft w:val="0"/>
              <w:marRight w:val="0"/>
              <w:marTop w:val="0"/>
              <w:marBottom w:val="0"/>
              <w:divBdr>
                <w:top w:val="none" w:sz="0" w:space="0" w:color="auto"/>
                <w:left w:val="none" w:sz="0" w:space="0" w:color="auto"/>
                <w:bottom w:val="none" w:sz="0" w:space="0" w:color="auto"/>
                <w:right w:val="none" w:sz="0" w:space="0" w:color="auto"/>
              </w:divBdr>
            </w:div>
            <w:div w:id="475993289">
              <w:marLeft w:val="0"/>
              <w:marRight w:val="0"/>
              <w:marTop w:val="0"/>
              <w:marBottom w:val="0"/>
              <w:divBdr>
                <w:top w:val="none" w:sz="0" w:space="0" w:color="auto"/>
                <w:left w:val="none" w:sz="0" w:space="0" w:color="auto"/>
                <w:bottom w:val="none" w:sz="0" w:space="0" w:color="auto"/>
                <w:right w:val="none" w:sz="0" w:space="0" w:color="auto"/>
              </w:divBdr>
            </w:div>
            <w:div w:id="1165821616">
              <w:marLeft w:val="0"/>
              <w:marRight w:val="0"/>
              <w:marTop w:val="0"/>
              <w:marBottom w:val="0"/>
              <w:divBdr>
                <w:top w:val="none" w:sz="0" w:space="0" w:color="auto"/>
                <w:left w:val="none" w:sz="0" w:space="0" w:color="auto"/>
                <w:bottom w:val="none" w:sz="0" w:space="0" w:color="auto"/>
                <w:right w:val="none" w:sz="0" w:space="0" w:color="auto"/>
              </w:divBdr>
            </w:div>
            <w:div w:id="1773280939">
              <w:marLeft w:val="0"/>
              <w:marRight w:val="0"/>
              <w:marTop w:val="0"/>
              <w:marBottom w:val="0"/>
              <w:divBdr>
                <w:top w:val="none" w:sz="0" w:space="0" w:color="auto"/>
                <w:left w:val="none" w:sz="0" w:space="0" w:color="auto"/>
                <w:bottom w:val="none" w:sz="0" w:space="0" w:color="auto"/>
                <w:right w:val="none" w:sz="0" w:space="0" w:color="auto"/>
              </w:divBdr>
            </w:div>
            <w:div w:id="1988169159">
              <w:marLeft w:val="0"/>
              <w:marRight w:val="0"/>
              <w:marTop w:val="0"/>
              <w:marBottom w:val="0"/>
              <w:divBdr>
                <w:top w:val="none" w:sz="0" w:space="0" w:color="auto"/>
                <w:left w:val="none" w:sz="0" w:space="0" w:color="auto"/>
                <w:bottom w:val="none" w:sz="0" w:space="0" w:color="auto"/>
                <w:right w:val="none" w:sz="0" w:space="0" w:color="auto"/>
              </w:divBdr>
            </w:div>
          </w:divsChild>
        </w:div>
        <w:div w:id="1444425425">
          <w:marLeft w:val="0"/>
          <w:marRight w:val="0"/>
          <w:marTop w:val="0"/>
          <w:marBottom w:val="0"/>
          <w:divBdr>
            <w:top w:val="none" w:sz="0" w:space="0" w:color="auto"/>
            <w:left w:val="none" w:sz="0" w:space="0" w:color="auto"/>
            <w:bottom w:val="none" w:sz="0" w:space="0" w:color="auto"/>
            <w:right w:val="none" w:sz="0" w:space="0" w:color="auto"/>
          </w:divBdr>
        </w:div>
        <w:div w:id="1446536002">
          <w:marLeft w:val="0"/>
          <w:marRight w:val="0"/>
          <w:marTop w:val="0"/>
          <w:marBottom w:val="0"/>
          <w:divBdr>
            <w:top w:val="none" w:sz="0" w:space="0" w:color="auto"/>
            <w:left w:val="none" w:sz="0" w:space="0" w:color="auto"/>
            <w:bottom w:val="none" w:sz="0" w:space="0" w:color="auto"/>
            <w:right w:val="none" w:sz="0" w:space="0" w:color="auto"/>
          </w:divBdr>
          <w:divsChild>
            <w:div w:id="160826178">
              <w:marLeft w:val="0"/>
              <w:marRight w:val="0"/>
              <w:marTop w:val="0"/>
              <w:marBottom w:val="0"/>
              <w:divBdr>
                <w:top w:val="none" w:sz="0" w:space="0" w:color="auto"/>
                <w:left w:val="none" w:sz="0" w:space="0" w:color="auto"/>
                <w:bottom w:val="none" w:sz="0" w:space="0" w:color="auto"/>
                <w:right w:val="none" w:sz="0" w:space="0" w:color="auto"/>
              </w:divBdr>
            </w:div>
            <w:div w:id="699354873">
              <w:marLeft w:val="0"/>
              <w:marRight w:val="0"/>
              <w:marTop w:val="0"/>
              <w:marBottom w:val="0"/>
              <w:divBdr>
                <w:top w:val="none" w:sz="0" w:space="0" w:color="auto"/>
                <w:left w:val="none" w:sz="0" w:space="0" w:color="auto"/>
                <w:bottom w:val="none" w:sz="0" w:space="0" w:color="auto"/>
                <w:right w:val="none" w:sz="0" w:space="0" w:color="auto"/>
              </w:divBdr>
            </w:div>
            <w:div w:id="1022317251">
              <w:marLeft w:val="0"/>
              <w:marRight w:val="0"/>
              <w:marTop w:val="0"/>
              <w:marBottom w:val="0"/>
              <w:divBdr>
                <w:top w:val="none" w:sz="0" w:space="0" w:color="auto"/>
                <w:left w:val="none" w:sz="0" w:space="0" w:color="auto"/>
                <w:bottom w:val="none" w:sz="0" w:space="0" w:color="auto"/>
                <w:right w:val="none" w:sz="0" w:space="0" w:color="auto"/>
              </w:divBdr>
            </w:div>
            <w:div w:id="1385331085">
              <w:marLeft w:val="0"/>
              <w:marRight w:val="0"/>
              <w:marTop w:val="0"/>
              <w:marBottom w:val="0"/>
              <w:divBdr>
                <w:top w:val="none" w:sz="0" w:space="0" w:color="auto"/>
                <w:left w:val="none" w:sz="0" w:space="0" w:color="auto"/>
                <w:bottom w:val="none" w:sz="0" w:space="0" w:color="auto"/>
                <w:right w:val="none" w:sz="0" w:space="0" w:color="auto"/>
              </w:divBdr>
            </w:div>
            <w:div w:id="1767574814">
              <w:marLeft w:val="0"/>
              <w:marRight w:val="0"/>
              <w:marTop w:val="0"/>
              <w:marBottom w:val="0"/>
              <w:divBdr>
                <w:top w:val="none" w:sz="0" w:space="0" w:color="auto"/>
                <w:left w:val="none" w:sz="0" w:space="0" w:color="auto"/>
                <w:bottom w:val="none" w:sz="0" w:space="0" w:color="auto"/>
                <w:right w:val="none" w:sz="0" w:space="0" w:color="auto"/>
              </w:divBdr>
            </w:div>
          </w:divsChild>
        </w:div>
        <w:div w:id="1564943962">
          <w:marLeft w:val="0"/>
          <w:marRight w:val="0"/>
          <w:marTop w:val="0"/>
          <w:marBottom w:val="0"/>
          <w:divBdr>
            <w:top w:val="none" w:sz="0" w:space="0" w:color="auto"/>
            <w:left w:val="none" w:sz="0" w:space="0" w:color="auto"/>
            <w:bottom w:val="none" w:sz="0" w:space="0" w:color="auto"/>
            <w:right w:val="none" w:sz="0" w:space="0" w:color="auto"/>
          </w:divBdr>
          <w:divsChild>
            <w:div w:id="1312521908">
              <w:marLeft w:val="0"/>
              <w:marRight w:val="0"/>
              <w:marTop w:val="0"/>
              <w:marBottom w:val="0"/>
              <w:divBdr>
                <w:top w:val="none" w:sz="0" w:space="0" w:color="auto"/>
                <w:left w:val="none" w:sz="0" w:space="0" w:color="auto"/>
                <w:bottom w:val="none" w:sz="0" w:space="0" w:color="auto"/>
                <w:right w:val="none" w:sz="0" w:space="0" w:color="auto"/>
              </w:divBdr>
            </w:div>
          </w:divsChild>
        </w:div>
        <w:div w:id="1888490404">
          <w:marLeft w:val="0"/>
          <w:marRight w:val="0"/>
          <w:marTop w:val="0"/>
          <w:marBottom w:val="0"/>
          <w:divBdr>
            <w:top w:val="none" w:sz="0" w:space="0" w:color="auto"/>
            <w:left w:val="none" w:sz="0" w:space="0" w:color="auto"/>
            <w:bottom w:val="none" w:sz="0" w:space="0" w:color="auto"/>
            <w:right w:val="none" w:sz="0" w:space="0" w:color="auto"/>
          </w:divBdr>
        </w:div>
        <w:div w:id="1971934418">
          <w:marLeft w:val="0"/>
          <w:marRight w:val="0"/>
          <w:marTop w:val="0"/>
          <w:marBottom w:val="0"/>
          <w:divBdr>
            <w:top w:val="none" w:sz="0" w:space="0" w:color="auto"/>
            <w:left w:val="none" w:sz="0" w:space="0" w:color="auto"/>
            <w:bottom w:val="none" w:sz="0" w:space="0" w:color="auto"/>
            <w:right w:val="none" w:sz="0" w:space="0" w:color="auto"/>
          </w:divBdr>
        </w:div>
        <w:div w:id="2015259098">
          <w:marLeft w:val="0"/>
          <w:marRight w:val="0"/>
          <w:marTop w:val="0"/>
          <w:marBottom w:val="0"/>
          <w:divBdr>
            <w:top w:val="none" w:sz="0" w:space="0" w:color="auto"/>
            <w:left w:val="none" w:sz="0" w:space="0" w:color="auto"/>
            <w:bottom w:val="none" w:sz="0" w:space="0" w:color="auto"/>
            <w:right w:val="none" w:sz="0" w:space="0" w:color="auto"/>
          </w:divBdr>
          <w:divsChild>
            <w:div w:id="113212975">
              <w:marLeft w:val="0"/>
              <w:marRight w:val="0"/>
              <w:marTop w:val="0"/>
              <w:marBottom w:val="0"/>
              <w:divBdr>
                <w:top w:val="none" w:sz="0" w:space="0" w:color="auto"/>
                <w:left w:val="none" w:sz="0" w:space="0" w:color="auto"/>
                <w:bottom w:val="none" w:sz="0" w:space="0" w:color="auto"/>
                <w:right w:val="none" w:sz="0" w:space="0" w:color="auto"/>
              </w:divBdr>
            </w:div>
            <w:div w:id="396364492">
              <w:marLeft w:val="0"/>
              <w:marRight w:val="0"/>
              <w:marTop w:val="0"/>
              <w:marBottom w:val="0"/>
              <w:divBdr>
                <w:top w:val="none" w:sz="0" w:space="0" w:color="auto"/>
                <w:left w:val="none" w:sz="0" w:space="0" w:color="auto"/>
                <w:bottom w:val="none" w:sz="0" w:space="0" w:color="auto"/>
                <w:right w:val="none" w:sz="0" w:space="0" w:color="auto"/>
              </w:divBdr>
            </w:div>
            <w:div w:id="760492042">
              <w:marLeft w:val="0"/>
              <w:marRight w:val="0"/>
              <w:marTop w:val="0"/>
              <w:marBottom w:val="0"/>
              <w:divBdr>
                <w:top w:val="none" w:sz="0" w:space="0" w:color="auto"/>
                <w:left w:val="none" w:sz="0" w:space="0" w:color="auto"/>
                <w:bottom w:val="none" w:sz="0" w:space="0" w:color="auto"/>
                <w:right w:val="none" w:sz="0" w:space="0" w:color="auto"/>
              </w:divBdr>
            </w:div>
          </w:divsChild>
        </w:div>
        <w:div w:id="2141803488">
          <w:marLeft w:val="0"/>
          <w:marRight w:val="0"/>
          <w:marTop w:val="0"/>
          <w:marBottom w:val="0"/>
          <w:divBdr>
            <w:top w:val="none" w:sz="0" w:space="0" w:color="auto"/>
            <w:left w:val="none" w:sz="0" w:space="0" w:color="auto"/>
            <w:bottom w:val="none" w:sz="0" w:space="0" w:color="auto"/>
            <w:right w:val="none" w:sz="0" w:space="0" w:color="auto"/>
          </w:divBdr>
        </w:div>
      </w:divsChild>
    </w:div>
    <w:div w:id="305404606">
      <w:bodyDiv w:val="1"/>
      <w:marLeft w:val="0"/>
      <w:marRight w:val="0"/>
      <w:marTop w:val="0"/>
      <w:marBottom w:val="0"/>
      <w:divBdr>
        <w:top w:val="none" w:sz="0" w:space="0" w:color="auto"/>
        <w:left w:val="none" w:sz="0" w:space="0" w:color="auto"/>
        <w:bottom w:val="none" w:sz="0" w:space="0" w:color="auto"/>
        <w:right w:val="none" w:sz="0" w:space="0" w:color="auto"/>
      </w:divBdr>
    </w:div>
    <w:div w:id="403797607">
      <w:bodyDiv w:val="1"/>
      <w:marLeft w:val="0"/>
      <w:marRight w:val="0"/>
      <w:marTop w:val="0"/>
      <w:marBottom w:val="0"/>
      <w:divBdr>
        <w:top w:val="none" w:sz="0" w:space="0" w:color="auto"/>
        <w:left w:val="none" w:sz="0" w:space="0" w:color="auto"/>
        <w:bottom w:val="none" w:sz="0" w:space="0" w:color="auto"/>
        <w:right w:val="none" w:sz="0" w:space="0" w:color="auto"/>
      </w:divBdr>
      <w:divsChild>
        <w:div w:id="17320532">
          <w:marLeft w:val="0"/>
          <w:marRight w:val="0"/>
          <w:marTop w:val="0"/>
          <w:marBottom w:val="0"/>
          <w:divBdr>
            <w:top w:val="none" w:sz="0" w:space="0" w:color="auto"/>
            <w:left w:val="none" w:sz="0" w:space="0" w:color="auto"/>
            <w:bottom w:val="none" w:sz="0" w:space="0" w:color="auto"/>
            <w:right w:val="none" w:sz="0" w:space="0" w:color="auto"/>
          </w:divBdr>
        </w:div>
        <w:div w:id="51588634">
          <w:marLeft w:val="0"/>
          <w:marRight w:val="0"/>
          <w:marTop w:val="0"/>
          <w:marBottom w:val="0"/>
          <w:divBdr>
            <w:top w:val="none" w:sz="0" w:space="0" w:color="auto"/>
            <w:left w:val="none" w:sz="0" w:space="0" w:color="auto"/>
            <w:bottom w:val="none" w:sz="0" w:space="0" w:color="auto"/>
            <w:right w:val="none" w:sz="0" w:space="0" w:color="auto"/>
          </w:divBdr>
        </w:div>
        <w:div w:id="57872875">
          <w:marLeft w:val="0"/>
          <w:marRight w:val="0"/>
          <w:marTop w:val="0"/>
          <w:marBottom w:val="0"/>
          <w:divBdr>
            <w:top w:val="none" w:sz="0" w:space="0" w:color="auto"/>
            <w:left w:val="none" w:sz="0" w:space="0" w:color="auto"/>
            <w:bottom w:val="none" w:sz="0" w:space="0" w:color="auto"/>
            <w:right w:val="none" w:sz="0" w:space="0" w:color="auto"/>
          </w:divBdr>
        </w:div>
        <w:div w:id="70081877">
          <w:marLeft w:val="0"/>
          <w:marRight w:val="0"/>
          <w:marTop w:val="0"/>
          <w:marBottom w:val="0"/>
          <w:divBdr>
            <w:top w:val="none" w:sz="0" w:space="0" w:color="auto"/>
            <w:left w:val="none" w:sz="0" w:space="0" w:color="auto"/>
            <w:bottom w:val="none" w:sz="0" w:space="0" w:color="auto"/>
            <w:right w:val="none" w:sz="0" w:space="0" w:color="auto"/>
          </w:divBdr>
        </w:div>
        <w:div w:id="178979262">
          <w:marLeft w:val="0"/>
          <w:marRight w:val="0"/>
          <w:marTop w:val="0"/>
          <w:marBottom w:val="0"/>
          <w:divBdr>
            <w:top w:val="none" w:sz="0" w:space="0" w:color="auto"/>
            <w:left w:val="none" w:sz="0" w:space="0" w:color="auto"/>
            <w:bottom w:val="none" w:sz="0" w:space="0" w:color="auto"/>
            <w:right w:val="none" w:sz="0" w:space="0" w:color="auto"/>
          </w:divBdr>
        </w:div>
        <w:div w:id="222764931">
          <w:marLeft w:val="0"/>
          <w:marRight w:val="0"/>
          <w:marTop w:val="0"/>
          <w:marBottom w:val="0"/>
          <w:divBdr>
            <w:top w:val="none" w:sz="0" w:space="0" w:color="auto"/>
            <w:left w:val="none" w:sz="0" w:space="0" w:color="auto"/>
            <w:bottom w:val="none" w:sz="0" w:space="0" w:color="auto"/>
            <w:right w:val="none" w:sz="0" w:space="0" w:color="auto"/>
          </w:divBdr>
        </w:div>
        <w:div w:id="231356933">
          <w:marLeft w:val="0"/>
          <w:marRight w:val="0"/>
          <w:marTop w:val="0"/>
          <w:marBottom w:val="0"/>
          <w:divBdr>
            <w:top w:val="none" w:sz="0" w:space="0" w:color="auto"/>
            <w:left w:val="none" w:sz="0" w:space="0" w:color="auto"/>
            <w:bottom w:val="none" w:sz="0" w:space="0" w:color="auto"/>
            <w:right w:val="none" w:sz="0" w:space="0" w:color="auto"/>
          </w:divBdr>
        </w:div>
        <w:div w:id="249851919">
          <w:marLeft w:val="0"/>
          <w:marRight w:val="0"/>
          <w:marTop w:val="0"/>
          <w:marBottom w:val="0"/>
          <w:divBdr>
            <w:top w:val="none" w:sz="0" w:space="0" w:color="auto"/>
            <w:left w:val="none" w:sz="0" w:space="0" w:color="auto"/>
            <w:bottom w:val="none" w:sz="0" w:space="0" w:color="auto"/>
            <w:right w:val="none" w:sz="0" w:space="0" w:color="auto"/>
          </w:divBdr>
        </w:div>
        <w:div w:id="269288842">
          <w:marLeft w:val="0"/>
          <w:marRight w:val="0"/>
          <w:marTop w:val="0"/>
          <w:marBottom w:val="0"/>
          <w:divBdr>
            <w:top w:val="none" w:sz="0" w:space="0" w:color="auto"/>
            <w:left w:val="none" w:sz="0" w:space="0" w:color="auto"/>
            <w:bottom w:val="none" w:sz="0" w:space="0" w:color="auto"/>
            <w:right w:val="none" w:sz="0" w:space="0" w:color="auto"/>
          </w:divBdr>
        </w:div>
        <w:div w:id="280261859">
          <w:marLeft w:val="0"/>
          <w:marRight w:val="0"/>
          <w:marTop w:val="0"/>
          <w:marBottom w:val="0"/>
          <w:divBdr>
            <w:top w:val="none" w:sz="0" w:space="0" w:color="auto"/>
            <w:left w:val="none" w:sz="0" w:space="0" w:color="auto"/>
            <w:bottom w:val="none" w:sz="0" w:space="0" w:color="auto"/>
            <w:right w:val="none" w:sz="0" w:space="0" w:color="auto"/>
          </w:divBdr>
        </w:div>
        <w:div w:id="328682063">
          <w:marLeft w:val="0"/>
          <w:marRight w:val="0"/>
          <w:marTop w:val="0"/>
          <w:marBottom w:val="0"/>
          <w:divBdr>
            <w:top w:val="none" w:sz="0" w:space="0" w:color="auto"/>
            <w:left w:val="none" w:sz="0" w:space="0" w:color="auto"/>
            <w:bottom w:val="none" w:sz="0" w:space="0" w:color="auto"/>
            <w:right w:val="none" w:sz="0" w:space="0" w:color="auto"/>
          </w:divBdr>
        </w:div>
        <w:div w:id="334648861">
          <w:marLeft w:val="0"/>
          <w:marRight w:val="0"/>
          <w:marTop w:val="0"/>
          <w:marBottom w:val="0"/>
          <w:divBdr>
            <w:top w:val="none" w:sz="0" w:space="0" w:color="auto"/>
            <w:left w:val="none" w:sz="0" w:space="0" w:color="auto"/>
            <w:bottom w:val="none" w:sz="0" w:space="0" w:color="auto"/>
            <w:right w:val="none" w:sz="0" w:space="0" w:color="auto"/>
          </w:divBdr>
        </w:div>
        <w:div w:id="354888622">
          <w:marLeft w:val="0"/>
          <w:marRight w:val="0"/>
          <w:marTop w:val="0"/>
          <w:marBottom w:val="0"/>
          <w:divBdr>
            <w:top w:val="none" w:sz="0" w:space="0" w:color="auto"/>
            <w:left w:val="none" w:sz="0" w:space="0" w:color="auto"/>
            <w:bottom w:val="none" w:sz="0" w:space="0" w:color="auto"/>
            <w:right w:val="none" w:sz="0" w:space="0" w:color="auto"/>
          </w:divBdr>
        </w:div>
        <w:div w:id="399328685">
          <w:marLeft w:val="0"/>
          <w:marRight w:val="0"/>
          <w:marTop w:val="0"/>
          <w:marBottom w:val="0"/>
          <w:divBdr>
            <w:top w:val="none" w:sz="0" w:space="0" w:color="auto"/>
            <w:left w:val="none" w:sz="0" w:space="0" w:color="auto"/>
            <w:bottom w:val="none" w:sz="0" w:space="0" w:color="auto"/>
            <w:right w:val="none" w:sz="0" w:space="0" w:color="auto"/>
          </w:divBdr>
        </w:div>
        <w:div w:id="406878960">
          <w:marLeft w:val="0"/>
          <w:marRight w:val="0"/>
          <w:marTop w:val="0"/>
          <w:marBottom w:val="0"/>
          <w:divBdr>
            <w:top w:val="none" w:sz="0" w:space="0" w:color="auto"/>
            <w:left w:val="none" w:sz="0" w:space="0" w:color="auto"/>
            <w:bottom w:val="none" w:sz="0" w:space="0" w:color="auto"/>
            <w:right w:val="none" w:sz="0" w:space="0" w:color="auto"/>
          </w:divBdr>
        </w:div>
        <w:div w:id="470438311">
          <w:marLeft w:val="0"/>
          <w:marRight w:val="0"/>
          <w:marTop w:val="0"/>
          <w:marBottom w:val="0"/>
          <w:divBdr>
            <w:top w:val="none" w:sz="0" w:space="0" w:color="auto"/>
            <w:left w:val="none" w:sz="0" w:space="0" w:color="auto"/>
            <w:bottom w:val="none" w:sz="0" w:space="0" w:color="auto"/>
            <w:right w:val="none" w:sz="0" w:space="0" w:color="auto"/>
          </w:divBdr>
        </w:div>
        <w:div w:id="514421863">
          <w:marLeft w:val="0"/>
          <w:marRight w:val="0"/>
          <w:marTop w:val="0"/>
          <w:marBottom w:val="0"/>
          <w:divBdr>
            <w:top w:val="none" w:sz="0" w:space="0" w:color="auto"/>
            <w:left w:val="none" w:sz="0" w:space="0" w:color="auto"/>
            <w:bottom w:val="none" w:sz="0" w:space="0" w:color="auto"/>
            <w:right w:val="none" w:sz="0" w:space="0" w:color="auto"/>
          </w:divBdr>
        </w:div>
        <w:div w:id="623847805">
          <w:marLeft w:val="0"/>
          <w:marRight w:val="0"/>
          <w:marTop w:val="0"/>
          <w:marBottom w:val="0"/>
          <w:divBdr>
            <w:top w:val="none" w:sz="0" w:space="0" w:color="auto"/>
            <w:left w:val="none" w:sz="0" w:space="0" w:color="auto"/>
            <w:bottom w:val="none" w:sz="0" w:space="0" w:color="auto"/>
            <w:right w:val="none" w:sz="0" w:space="0" w:color="auto"/>
          </w:divBdr>
        </w:div>
        <w:div w:id="646862112">
          <w:marLeft w:val="0"/>
          <w:marRight w:val="0"/>
          <w:marTop w:val="0"/>
          <w:marBottom w:val="0"/>
          <w:divBdr>
            <w:top w:val="none" w:sz="0" w:space="0" w:color="auto"/>
            <w:left w:val="none" w:sz="0" w:space="0" w:color="auto"/>
            <w:bottom w:val="none" w:sz="0" w:space="0" w:color="auto"/>
            <w:right w:val="none" w:sz="0" w:space="0" w:color="auto"/>
          </w:divBdr>
        </w:div>
        <w:div w:id="654844837">
          <w:marLeft w:val="0"/>
          <w:marRight w:val="0"/>
          <w:marTop w:val="0"/>
          <w:marBottom w:val="0"/>
          <w:divBdr>
            <w:top w:val="none" w:sz="0" w:space="0" w:color="auto"/>
            <w:left w:val="none" w:sz="0" w:space="0" w:color="auto"/>
            <w:bottom w:val="none" w:sz="0" w:space="0" w:color="auto"/>
            <w:right w:val="none" w:sz="0" w:space="0" w:color="auto"/>
          </w:divBdr>
          <w:divsChild>
            <w:div w:id="1854302703">
              <w:marLeft w:val="0"/>
              <w:marRight w:val="0"/>
              <w:marTop w:val="0"/>
              <w:marBottom w:val="0"/>
              <w:divBdr>
                <w:top w:val="none" w:sz="0" w:space="0" w:color="auto"/>
                <w:left w:val="none" w:sz="0" w:space="0" w:color="auto"/>
                <w:bottom w:val="none" w:sz="0" w:space="0" w:color="auto"/>
                <w:right w:val="none" w:sz="0" w:space="0" w:color="auto"/>
              </w:divBdr>
            </w:div>
          </w:divsChild>
        </w:div>
        <w:div w:id="707461326">
          <w:marLeft w:val="0"/>
          <w:marRight w:val="0"/>
          <w:marTop w:val="0"/>
          <w:marBottom w:val="0"/>
          <w:divBdr>
            <w:top w:val="none" w:sz="0" w:space="0" w:color="auto"/>
            <w:left w:val="none" w:sz="0" w:space="0" w:color="auto"/>
            <w:bottom w:val="none" w:sz="0" w:space="0" w:color="auto"/>
            <w:right w:val="none" w:sz="0" w:space="0" w:color="auto"/>
          </w:divBdr>
        </w:div>
        <w:div w:id="817310224">
          <w:marLeft w:val="0"/>
          <w:marRight w:val="0"/>
          <w:marTop w:val="0"/>
          <w:marBottom w:val="0"/>
          <w:divBdr>
            <w:top w:val="none" w:sz="0" w:space="0" w:color="auto"/>
            <w:left w:val="none" w:sz="0" w:space="0" w:color="auto"/>
            <w:bottom w:val="none" w:sz="0" w:space="0" w:color="auto"/>
            <w:right w:val="none" w:sz="0" w:space="0" w:color="auto"/>
          </w:divBdr>
        </w:div>
        <w:div w:id="858198891">
          <w:marLeft w:val="0"/>
          <w:marRight w:val="0"/>
          <w:marTop w:val="0"/>
          <w:marBottom w:val="0"/>
          <w:divBdr>
            <w:top w:val="none" w:sz="0" w:space="0" w:color="auto"/>
            <w:left w:val="none" w:sz="0" w:space="0" w:color="auto"/>
            <w:bottom w:val="none" w:sz="0" w:space="0" w:color="auto"/>
            <w:right w:val="none" w:sz="0" w:space="0" w:color="auto"/>
          </w:divBdr>
        </w:div>
        <w:div w:id="906693126">
          <w:marLeft w:val="0"/>
          <w:marRight w:val="0"/>
          <w:marTop w:val="0"/>
          <w:marBottom w:val="0"/>
          <w:divBdr>
            <w:top w:val="none" w:sz="0" w:space="0" w:color="auto"/>
            <w:left w:val="none" w:sz="0" w:space="0" w:color="auto"/>
            <w:bottom w:val="none" w:sz="0" w:space="0" w:color="auto"/>
            <w:right w:val="none" w:sz="0" w:space="0" w:color="auto"/>
          </w:divBdr>
          <w:divsChild>
            <w:div w:id="213322224">
              <w:marLeft w:val="0"/>
              <w:marRight w:val="0"/>
              <w:marTop w:val="0"/>
              <w:marBottom w:val="0"/>
              <w:divBdr>
                <w:top w:val="none" w:sz="0" w:space="0" w:color="auto"/>
                <w:left w:val="none" w:sz="0" w:space="0" w:color="auto"/>
                <w:bottom w:val="none" w:sz="0" w:space="0" w:color="auto"/>
                <w:right w:val="none" w:sz="0" w:space="0" w:color="auto"/>
              </w:divBdr>
            </w:div>
            <w:div w:id="286861488">
              <w:marLeft w:val="0"/>
              <w:marRight w:val="0"/>
              <w:marTop w:val="0"/>
              <w:marBottom w:val="0"/>
              <w:divBdr>
                <w:top w:val="none" w:sz="0" w:space="0" w:color="auto"/>
                <w:left w:val="none" w:sz="0" w:space="0" w:color="auto"/>
                <w:bottom w:val="none" w:sz="0" w:space="0" w:color="auto"/>
                <w:right w:val="none" w:sz="0" w:space="0" w:color="auto"/>
              </w:divBdr>
            </w:div>
            <w:div w:id="458690308">
              <w:marLeft w:val="0"/>
              <w:marRight w:val="0"/>
              <w:marTop w:val="0"/>
              <w:marBottom w:val="0"/>
              <w:divBdr>
                <w:top w:val="none" w:sz="0" w:space="0" w:color="auto"/>
                <w:left w:val="none" w:sz="0" w:space="0" w:color="auto"/>
                <w:bottom w:val="none" w:sz="0" w:space="0" w:color="auto"/>
                <w:right w:val="none" w:sz="0" w:space="0" w:color="auto"/>
              </w:divBdr>
            </w:div>
            <w:div w:id="1324822038">
              <w:marLeft w:val="0"/>
              <w:marRight w:val="0"/>
              <w:marTop w:val="0"/>
              <w:marBottom w:val="0"/>
              <w:divBdr>
                <w:top w:val="none" w:sz="0" w:space="0" w:color="auto"/>
                <w:left w:val="none" w:sz="0" w:space="0" w:color="auto"/>
                <w:bottom w:val="none" w:sz="0" w:space="0" w:color="auto"/>
                <w:right w:val="none" w:sz="0" w:space="0" w:color="auto"/>
              </w:divBdr>
            </w:div>
            <w:div w:id="1980264419">
              <w:marLeft w:val="0"/>
              <w:marRight w:val="0"/>
              <w:marTop w:val="0"/>
              <w:marBottom w:val="0"/>
              <w:divBdr>
                <w:top w:val="none" w:sz="0" w:space="0" w:color="auto"/>
                <w:left w:val="none" w:sz="0" w:space="0" w:color="auto"/>
                <w:bottom w:val="none" w:sz="0" w:space="0" w:color="auto"/>
                <w:right w:val="none" w:sz="0" w:space="0" w:color="auto"/>
              </w:divBdr>
            </w:div>
          </w:divsChild>
        </w:div>
        <w:div w:id="936445607">
          <w:marLeft w:val="0"/>
          <w:marRight w:val="0"/>
          <w:marTop w:val="0"/>
          <w:marBottom w:val="0"/>
          <w:divBdr>
            <w:top w:val="none" w:sz="0" w:space="0" w:color="auto"/>
            <w:left w:val="none" w:sz="0" w:space="0" w:color="auto"/>
            <w:bottom w:val="none" w:sz="0" w:space="0" w:color="auto"/>
            <w:right w:val="none" w:sz="0" w:space="0" w:color="auto"/>
          </w:divBdr>
        </w:div>
        <w:div w:id="994651772">
          <w:marLeft w:val="0"/>
          <w:marRight w:val="0"/>
          <w:marTop w:val="0"/>
          <w:marBottom w:val="0"/>
          <w:divBdr>
            <w:top w:val="none" w:sz="0" w:space="0" w:color="auto"/>
            <w:left w:val="none" w:sz="0" w:space="0" w:color="auto"/>
            <w:bottom w:val="none" w:sz="0" w:space="0" w:color="auto"/>
            <w:right w:val="none" w:sz="0" w:space="0" w:color="auto"/>
          </w:divBdr>
        </w:div>
        <w:div w:id="1055079361">
          <w:marLeft w:val="0"/>
          <w:marRight w:val="0"/>
          <w:marTop w:val="0"/>
          <w:marBottom w:val="0"/>
          <w:divBdr>
            <w:top w:val="none" w:sz="0" w:space="0" w:color="auto"/>
            <w:left w:val="none" w:sz="0" w:space="0" w:color="auto"/>
            <w:bottom w:val="none" w:sz="0" w:space="0" w:color="auto"/>
            <w:right w:val="none" w:sz="0" w:space="0" w:color="auto"/>
          </w:divBdr>
        </w:div>
        <w:div w:id="1105879944">
          <w:marLeft w:val="0"/>
          <w:marRight w:val="0"/>
          <w:marTop w:val="0"/>
          <w:marBottom w:val="0"/>
          <w:divBdr>
            <w:top w:val="none" w:sz="0" w:space="0" w:color="auto"/>
            <w:left w:val="none" w:sz="0" w:space="0" w:color="auto"/>
            <w:bottom w:val="none" w:sz="0" w:space="0" w:color="auto"/>
            <w:right w:val="none" w:sz="0" w:space="0" w:color="auto"/>
          </w:divBdr>
        </w:div>
        <w:div w:id="1121801943">
          <w:marLeft w:val="0"/>
          <w:marRight w:val="0"/>
          <w:marTop w:val="0"/>
          <w:marBottom w:val="0"/>
          <w:divBdr>
            <w:top w:val="none" w:sz="0" w:space="0" w:color="auto"/>
            <w:left w:val="none" w:sz="0" w:space="0" w:color="auto"/>
            <w:bottom w:val="none" w:sz="0" w:space="0" w:color="auto"/>
            <w:right w:val="none" w:sz="0" w:space="0" w:color="auto"/>
          </w:divBdr>
        </w:div>
        <w:div w:id="1138494705">
          <w:marLeft w:val="0"/>
          <w:marRight w:val="0"/>
          <w:marTop w:val="0"/>
          <w:marBottom w:val="0"/>
          <w:divBdr>
            <w:top w:val="none" w:sz="0" w:space="0" w:color="auto"/>
            <w:left w:val="none" w:sz="0" w:space="0" w:color="auto"/>
            <w:bottom w:val="none" w:sz="0" w:space="0" w:color="auto"/>
            <w:right w:val="none" w:sz="0" w:space="0" w:color="auto"/>
          </w:divBdr>
        </w:div>
        <w:div w:id="1178807902">
          <w:marLeft w:val="0"/>
          <w:marRight w:val="0"/>
          <w:marTop w:val="0"/>
          <w:marBottom w:val="0"/>
          <w:divBdr>
            <w:top w:val="none" w:sz="0" w:space="0" w:color="auto"/>
            <w:left w:val="none" w:sz="0" w:space="0" w:color="auto"/>
            <w:bottom w:val="none" w:sz="0" w:space="0" w:color="auto"/>
            <w:right w:val="none" w:sz="0" w:space="0" w:color="auto"/>
          </w:divBdr>
          <w:divsChild>
            <w:div w:id="825364806">
              <w:marLeft w:val="0"/>
              <w:marRight w:val="0"/>
              <w:marTop w:val="0"/>
              <w:marBottom w:val="0"/>
              <w:divBdr>
                <w:top w:val="none" w:sz="0" w:space="0" w:color="auto"/>
                <w:left w:val="none" w:sz="0" w:space="0" w:color="auto"/>
                <w:bottom w:val="none" w:sz="0" w:space="0" w:color="auto"/>
                <w:right w:val="none" w:sz="0" w:space="0" w:color="auto"/>
              </w:divBdr>
            </w:div>
            <w:div w:id="880214923">
              <w:marLeft w:val="0"/>
              <w:marRight w:val="0"/>
              <w:marTop w:val="0"/>
              <w:marBottom w:val="0"/>
              <w:divBdr>
                <w:top w:val="none" w:sz="0" w:space="0" w:color="auto"/>
                <w:left w:val="none" w:sz="0" w:space="0" w:color="auto"/>
                <w:bottom w:val="none" w:sz="0" w:space="0" w:color="auto"/>
                <w:right w:val="none" w:sz="0" w:space="0" w:color="auto"/>
              </w:divBdr>
            </w:div>
            <w:div w:id="1293487600">
              <w:marLeft w:val="0"/>
              <w:marRight w:val="0"/>
              <w:marTop w:val="0"/>
              <w:marBottom w:val="0"/>
              <w:divBdr>
                <w:top w:val="none" w:sz="0" w:space="0" w:color="auto"/>
                <w:left w:val="none" w:sz="0" w:space="0" w:color="auto"/>
                <w:bottom w:val="none" w:sz="0" w:space="0" w:color="auto"/>
                <w:right w:val="none" w:sz="0" w:space="0" w:color="auto"/>
              </w:divBdr>
            </w:div>
            <w:div w:id="1644046632">
              <w:marLeft w:val="0"/>
              <w:marRight w:val="0"/>
              <w:marTop w:val="0"/>
              <w:marBottom w:val="0"/>
              <w:divBdr>
                <w:top w:val="none" w:sz="0" w:space="0" w:color="auto"/>
                <w:left w:val="none" w:sz="0" w:space="0" w:color="auto"/>
                <w:bottom w:val="none" w:sz="0" w:space="0" w:color="auto"/>
                <w:right w:val="none" w:sz="0" w:space="0" w:color="auto"/>
              </w:divBdr>
            </w:div>
            <w:div w:id="1760175041">
              <w:marLeft w:val="0"/>
              <w:marRight w:val="0"/>
              <w:marTop w:val="0"/>
              <w:marBottom w:val="0"/>
              <w:divBdr>
                <w:top w:val="none" w:sz="0" w:space="0" w:color="auto"/>
                <w:left w:val="none" w:sz="0" w:space="0" w:color="auto"/>
                <w:bottom w:val="none" w:sz="0" w:space="0" w:color="auto"/>
                <w:right w:val="none" w:sz="0" w:space="0" w:color="auto"/>
              </w:divBdr>
            </w:div>
          </w:divsChild>
        </w:div>
        <w:div w:id="1208882843">
          <w:marLeft w:val="0"/>
          <w:marRight w:val="0"/>
          <w:marTop w:val="0"/>
          <w:marBottom w:val="0"/>
          <w:divBdr>
            <w:top w:val="none" w:sz="0" w:space="0" w:color="auto"/>
            <w:left w:val="none" w:sz="0" w:space="0" w:color="auto"/>
            <w:bottom w:val="none" w:sz="0" w:space="0" w:color="auto"/>
            <w:right w:val="none" w:sz="0" w:space="0" w:color="auto"/>
          </w:divBdr>
        </w:div>
        <w:div w:id="1229455854">
          <w:marLeft w:val="0"/>
          <w:marRight w:val="0"/>
          <w:marTop w:val="0"/>
          <w:marBottom w:val="0"/>
          <w:divBdr>
            <w:top w:val="none" w:sz="0" w:space="0" w:color="auto"/>
            <w:left w:val="none" w:sz="0" w:space="0" w:color="auto"/>
            <w:bottom w:val="none" w:sz="0" w:space="0" w:color="auto"/>
            <w:right w:val="none" w:sz="0" w:space="0" w:color="auto"/>
          </w:divBdr>
        </w:div>
        <w:div w:id="1256477112">
          <w:marLeft w:val="0"/>
          <w:marRight w:val="0"/>
          <w:marTop w:val="0"/>
          <w:marBottom w:val="0"/>
          <w:divBdr>
            <w:top w:val="none" w:sz="0" w:space="0" w:color="auto"/>
            <w:left w:val="none" w:sz="0" w:space="0" w:color="auto"/>
            <w:bottom w:val="none" w:sz="0" w:space="0" w:color="auto"/>
            <w:right w:val="none" w:sz="0" w:space="0" w:color="auto"/>
          </w:divBdr>
        </w:div>
        <w:div w:id="1261182033">
          <w:marLeft w:val="0"/>
          <w:marRight w:val="0"/>
          <w:marTop w:val="0"/>
          <w:marBottom w:val="0"/>
          <w:divBdr>
            <w:top w:val="none" w:sz="0" w:space="0" w:color="auto"/>
            <w:left w:val="none" w:sz="0" w:space="0" w:color="auto"/>
            <w:bottom w:val="none" w:sz="0" w:space="0" w:color="auto"/>
            <w:right w:val="none" w:sz="0" w:space="0" w:color="auto"/>
          </w:divBdr>
        </w:div>
        <w:div w:id="1294366246">
          <w:marLeft w:val="0"/>
          <w:marRight w:val="0"/>
          <w:marTop w:val="0"/>
          <w:marBottom w:val="0"/>
          <w:divBdr>
            <w:top w:val="none" w:sz="0" w:space="0" w:color="auto"/>
            <w:left w:val="none" w:sz="0" w:space="0" w:color="auto"/>
            <w:bottom w:val="none" w:sz="0" w:space="0" w:color="auto"/>
            <w:right w:val="none" w:sz="0" w:space="0" w:color="auto"/>
          </w:divBdr>
        </w:div>
        <w:div w:id="1395853645">
          <w:marLeft w:val="0"/>
          <w:marRight w:val="0"/>
          <w:marTop w:val="0"/>
          <w:marBottom w:val="0"/>
          <w:divBdr>
            <w:top w:val="none" w:sz="0" w:space="0" w:color="auto"/>
            <w:left w:val="none" w:sz="0" w:space="0" w:color="auto"/>
            <w:bottom w:val="none" w:sz="0" w:space="0" w:color="auto"/>
            <w:right w:val="none" w:sz="0" w:space="0" w:color="auto"/>
          </w:divBdr>
        </w:div>
        <w:div w:id="1448892488">
          <w:marLeft w:val="0"/>
          <w:marRight w:val="0"/>
          <w:marTop w:val="0"/>
          <w:marBottom w:val="0"/>
          <w:divBdr>
            <w:top w:val="none" w:sz="0" w:space="0" w:color="auto"/>
            <w:left w:val="none" w:sz="0" w:space="0" w:color="auto"/>
            <w:bottom w:val="none" w:sz="0" w:space="0" w:color="auto"/>
            <w:right w:val="none" w:sz="0" w:space="0" w:color="auto"/>
          </w:divBdr>
        </w:div>
        <w:div w:id="1450052009">
          <w:marLeft w:val="0"/>
          <w:marRight w:val="0"/>
          <w:marTop w:val="0"/>
          <w:marBottom w:val="0"/>
          <w:divBdr>
            <w:top w:val="none" w:sz="0" w:space="0" w:color="auto"/>
            <w:left w:val="none" w:sz="0" w:space="0" w:color="auto"/>
            <w:bottom w:val="none" w:sz="0" w:space="0" w:color="auto"/>
            <w:right w:val="none" w:sz="0" w:space="0" w:color="auto"/>
          </w:divBdr>
        </w:div>
        <w:div w:id="1485047613">
          <w:marLeft w:val="0"/>
          <w:marRight w:val="0"/>
          <w:marTop w:val="0"/>
          <w:marBottom w:val="0"/>
          <w:divBdr>
            <w:top w:val="none" w:sz="0" w:space="0" w:color="auto"/>
            <w:left w:val="none" w:sz="0" w:space="0" w:color="auto"/>
            <w:bottom w:val="none" w:sz="0" w:space="0" w:color="auto"/>
            <w:right w:val="none" w:sz="0" w:space="0" w:color="auto"/>
          </w:divBdr>
        </w:div>
        <w:div w:id="1498109481">
          <w:marLeft w:val="0"/>
          <w:marRight w:val="0"/>
          <w:marTop w:val="0"/>
          <w:marBottom w:val="0"/>
          <w:divBdr>
            <w:top w:val="none" w:sz="0" w:space="0" w:color="auto"/>
            <w:left w:val="none" w:sz="0" w:space="0" w:color="auto"/>
            <w:bottom w:val="none" w:sz="0" w:space="0" w:color="auto"/>
            <w:right w:val="none" w:sz="0" w:space="0" w:color="auto"/>
          </w:divBdr>
          <w:divsChild>
            <w:div w:id="112329113">
              <w:marLeft w:val="0"/>
              <w:marRight w:val="0"/>
              <w:marTop w:val="0"/>
              <w:marBottom w:val="0"/>
              <w:divBdr>
                <w:top w:val="none" w:sz="0" w:space="0" w:color="auto"/>
                <w:left w:val="none" w:sz="0" w:space="0" w:color="auto"/>
                <w:bottom w:val="none" w:sz="0" w:space="0" w:color="auto"/>
                <w:right w:val="none" w:sz="0" w:space="0" w:color="auto"/>
              </w:divBdr>
            </w:div>
            <w:div w:id="800849972">
              <w:marLeft w:val="0"/>
              <w:marRight w:val="0"/>
              <w:marTop w:val="0"/>
              <w:marBottom w:val="0"/>
              <w:divBdr>
                <w:top w:val="none" w:sz="0" w:space="0" w:color="auto"/>
                <w:left w:val="none" w:sz="0" w:space="0" w:color="auto"/>
                <w:bottom w:val="none" w:sz="0" w:space="0" w:color="auto"/>
                <w:right w:val="none" w:sz="0" w:space="0" w:color="auto"/>
              </w:divBdr>
            </w:div>
            <w:div w:id="1223255432">
              <w:marLeft w:val="0"/>
              <w:marRight w:val="0"/>
              <w:marTop w:val="0"/>
              <w:marBottom w:val="0"/>
              <w:divBdr>
                <w:top w:val="none" w:sz="0" w:space="0" w:color="auto"/>
                <w:left w:val="none" w:sz="0" w:space="0" w:color="auto"/>
                <w:bottom w:val="none" w:sz="0" w:space="0" w:color="auto"/>
                <w:right w:val="none" w:sz="0" w:space="0" w:color="auto"/>
              </w:divBdr>
            </w:div>
            <w:div w:id="1637834271">
              <w:marLeft w:val="0"/>
              <w:marRight w:val="0"/>
              <w:marTop w:val="0"/>
              <w:marBottom w:val="0"/>
              <w:divBdr>
                <w:top w:val="none" w:sz="0" w:space="0" w:color="auto"/>
                <w:left w:val="none" w:sz="0" w:space="0" w:color="auto"/>
                <w:bottom w:val="none" w:sz="0" w:space="0" w:color="auto"/>
                <w:right w:val="none" w:sz="0" w:space="0" w:color="auto"/>
              </w:divBdr>
            </w:div>
            <w:div w:id="2070570530">
              <w:marLeft w:val="0"/>
              <w:marRight w:val="0"/>
              <w:marTop w:val="0"/>
              <w:marBottom w:val="0"/>
              <w:divBdr>
                <w:top w:val="none" w:sz="0" w:space="0" w:color="auto"/>
                <w:left w:val="none" w:sz="0" w:space="0" w:color="auto"/>
                <w:bottom w:val="none" w:sz="0" w:space="0" w:color="auto"/>
                <w:right w:val="none" w:sz="0" w:space="0" w:color="auto"/>
              </w:divBdr>
            </w:div>
          </w:divsChild>
        </w:div>
        <w:div w:id="1525052694">
          <w:marLeft w:val="0"/>
          <w:marRight w:val="0"/>
          <w:marTop w:val="0"/>
          <w:marBottom w:val="0"/>
          <w:divBdr>
            <w:top w:val="none" w:sz="0" w:space="0" w:color="auto"/>
            <w:left w:val="none" w:sz="0" w:space="0" w:color="auto"/>
            <w:bottom w:val="none" w:sz="0" w:space="0" w:color="auto"/>
            <w:right w:val="none" w:sz="0" w:space="0" w:color="auto"/>
          </w:divBdr>
        </w:div>
        <w:div w:id="1598095654">
          <w:marLeft w:val="0"/>
          <w:marRight w:val="0"/>
          <w:marTop w:val="0"/>
          <w:marBottom w:val="0"/>
          <w:divBdr>
            <w:top w:val="none" w:sz="0" w:space="0" w:color="auto"/>
            <w:left w:val="none" w:sz="0" w:space="0" w:color="auto"/>
            <w:bottom w:val="none" w:sz="0" w:space="0" w:color="auto"/>
            <w:right w:val="none" w:sz="0" w:space="0" w:color="auto"/>
          </w:divBdr>
        </w:div>
        <w:div w:id="1619489630">
          <w:marLeft w:val="0"/>
          <w:marRight w:val="0"/>
          <w:marTop w:val="0"/>
          <w:marBottom w:val="0"/>
          <w:divBdr>
            <w:top w:val="none" w:sz="0" w:space="0" w:color="auto"/>
            <w:left w:val="none" w:sz="0" w:space="0" w:color="auto"/>
            <w:bottom w:val="none" w:sz="0" w:space="0" w:color="auto"/>
            <w:right w:val="none" w:sz="0" w:space="0" w:color="auto"/>
          </w:divBdr>
        </w:div>
        <w:div w:id="1670523035">
          <w:marLeft w:val="0"/>
          <w:marRight w:val="0"/>
          <w:marTop w:val="0"/>
          <w:marBottom w:val="0"/>
          <w:divBdr>
            <w:top w:val="none" w:sz="0" w:space="0" w:color="auto"/>
            <w:left w:val="none" w:sz="0" w:space="0" w:color="auto"/>
            <w:bottom w:val="none" w:sz="0" w:space="0" w:color="auto"/>
            <w:right w:val="none" w:sz="0" w:space="0" w:color="auto"/>
          </w:divBdr>
        </w:div>
        <w:div w:id="1680036131">
          <w:marLeft w:val="0"/>
          <w:marRight w:val="0"/>
          <w:marTop w:val="0"/>
          <w:marBottom w:val="0"/>
          <w:divBdr>
            <w:top w:val="none" w:sz="0" w:space="0" w:color="auto"/>
            <w:left w:val="none" w:sz="0" w:space="0" w:color="auto"/>
            <w:bottom w:val="none" w:sz="0" w:space="0" w:color="auto"/>
            <w:right w:val="none" w:sz="0" w:space="0" w:color="auto"/>
          </w:divBdr>
        </w:div>
        <w:div w:id="1736128735">
          <w:marLeft w:val="0"/>
          <w:marRight w:val="0"/>
          <w:marTop w:val="0"/>
          <w:marBottom w:val="0"/>
          <w:divBdr>
            <w:top w:val="none" w:sz="0" w:space="0" w:color="auto"/>
            <w:left w:val="none" w:sz="0" w:space="0" w:color="auto"/>
            <w:bottom w:val="none" w:sz="0" w:space="0" w:color="auto"/>
            <w:right w:val="none" w:sz="0" w:space="0" w:color="auto"/>
          </w:divBdr>
        </w:div>
        <w:div w:id="1876235160">
          <w:marLeft w:val="0"/>
          <w:marRight w:val="0"/>
          <w:marTop w:val="0"/>
          <w:marBottom w:val="0"/>
          <w:divBdr>
            <w:top w:val="none" w:sz="0" w:space="0" w:color="auto"/>
            <w:left w:val="none" w:sz="0" w:space="0" w:color="auto"/>
            <w:bottom w:val="none" w:sz="0" w:space="0" w:color="auto"/>
            <w:right w:val="none" w:sz="0" w:space="0" w:color="auto"/>
          </w:divBdr>
        </w:div>
        <w:div w:id="1885287455">
          <w:marLeft w:val="0"/>
          <w:marRight w:val="0"/>
          <w:marTop w:val="0"/>
          <w:marBottom w:val="0"/>
          <w:divBdr>
            <w:top w:val="none" w:sz="0" w:space="0" w:color="auto"/>
            <w:left w:val="none" w:sz="0" w:space="0" w:color="auto"/>
            <w:bottom w:val="none" w:sz="0" w:space="0" w:color="auto"/>
            <w:right w:val="none" w:sz="0" w:space="0" w:color="auto"/>
          </w:divBdr>
        </w:div>
        <w:div w:id="1898466120">
          <w:marLeft w:val="0"/>
          <w:marRight w:val="0"/>
          <w:marTop w:val="0"/>
          <w:marBottom w:val="0"/>
          <w:divBdr>
            <w:top w:val="none" w:sz="0" w:space="0" w:color="auto"/>
            <w:left w:val="none" w:sz="0" w:space="0" w:color="auto"/>
            <w:bottom w:val="none" w:sz="0" w:space="0" w:color="auto"/>
            <w:right w:val="none" w:sz="0" w:space="0" w:color="auto"/>
          </w:divBdr>
        </w:div>
        <w:div w:id="1928341970">
          <w:marLeft w:val="0"/>
          <w:marRight w:val="0"/>
          <w:marTop w:val="0"/>
          <w:marBottom w:val="0"/>
          <w:divBdr>
            <w:top w:val="none" w:sz="0" w:space="0" w:color="auto"/>
            <w:left w:val="none" w:sz="0" w:space="0" w:color="auto"/>
            <w:bottom w:val="none" w:sz="0" w:space="0" w:color="auto"/>
            <w:right w:val="none" w:sz="0" w:space="0" w:color="auto"/>
          </w:divBdr>
        </w:div>
        <w:div w:id="1937862587">
          <w:marLeft w:val="0"/>
          <w:marRight w:val="0"/>
          <w:marTop w:val="0"/>
          <w:marBottom w:val="0"/>
          <w:divBdr>
            <w:top w:val="none" w:sz="0" w:space="0" w:color="auto"/>
            <w:left w:val="none" w:sz="0" w:space="0" w:color="auto"/>
            <w:bottom w:val="none" w:sz="0" w:space="0" w:color="auto"/>
            <w:right w:val="none" w:sz="0" w:space="0" w:color="auto"/>
          </w:divBdr>
        </w:div>
        <w:div w:id="1983734103">
          <w:marLeft w:val="0"/>
          <w:marRight w:val="0"/>
          <w:marTop w:val="0"/>
          <w:marBottom w:val="0"/>
          <w:divBdr>
            <w:top w:val="none" w:sz="0" w:space="0" w:color="auto"/>
            <w:left w:val="none" w:sz="0" w:space="0" w:color="auto"/>
            <w:bottom w:val="none" w:sz="0" w:space="0" w:color="auto"/>
            <w:right w:val="none" w:sz="0" w:space="0" w:color="auto"/>
          </w:divBdr>
        </w:div>
        <w:div w:id="1987279826">
          <w:marLeft w:val="0"/>
          <w:marRight w:val="0"/>
          <w:marTop w:val="0"/>
          <w:marBottom w:val="0"/>
          <w:divBdr>
            <w:top w:val="none" w:sz="0" w:space="0" w:color="auto"/>
            <w:left w:val="none" w:sz="0" w:space="0" w:color="auto"/>
            <w:bottom w:val="none" w:sz="0" w:space="0" w:color="auto"/>
            <w:right w:val="none" w:sz="0" w:space="0" w:color="auto"/>
          </w:divBdr>
        </w:div>
        <w:div w:id="2027367037">
          <w:marLeft w:val="0"/>
          <w:marRight w:val="0"/>
          <w:marTop w:val="0"/>
          <w:marBottom w:val="0"/>
          <w:divBdr>
            <w:top w:val="none" w:sz="0" w:space="0" w:color="auto"/>
            <w:left w:val="none" w:sz="0" w:space="0" w:color="auto"/>
            <w:bottom w:val="none" w:sz="0" w:space="0" w:color="auto"/>
            <w:right w:val="none" w:sz="0" w:space="0" w:color="auto"/>
          </w:divBdr>
        </w:div>
        <w:div w:id="2045715434">
          <w:marLeft w:val="0"/>
          <w:marRight w:val="0"/>
          <w:marTop w:val="0"/>
          <w:marBottom w:val="0"/>
          <w:divBdr>
            <w:top w:val="none" w:sz="0" w:space="0" w:color="auto"/>
            <w:left w:val="none" w:sz="0" w:space="0" w:color="auto"/>
            <w:bottom w:val="none" w:sz="0" w:space="0" w:color="auto"/>
            <w:right w:val="none" w:sz="0" w:space="0" w:color="auto"/>
          </w:divBdr>
        </w:div>
        <w:div w:id="2111271426">
          <w:marLeft w:val="0"/>
          <w:marRight w:val="0"/>
          <w:marTop w:val="0"/>
          <w:marBottom w:val="0"/>
          <w:divBdr>
            <w:top w:val="none" w:sz="0" w:space="0" w:color="auto"/>
            <w:left w:val="none" w:sz="0" w:space="0" w:color="auto"/>
            <w:bottom w:val="none" w:sz="0" w:space="0" w:color="auto"/>
            <w:right w:val="none" w:sz="0" w:space="0" w:color="auto"/>
          </w:divBdr>
          <w:divsChild>
            <w:div w:id="133450301">
              <w:marLeft w:val="0"/>
              <w:marRight w:val="0"/>
              <w:marTop w:val="0"/>
              <w:marBottom w:val="0"/>
              <w:divBdr>
                <w:top w:val="none" w:sz="0" w:space="0" w:color="auto"/>
                <w:left w:val="none" w:sz="0" w:space="0" w:color="auto"/>
                <w:bottom w:val="none" w:sz="0" w:space="0" w:color="auto"/>
                <w:right w:val="none" w:sz="0" w:space="0" w:color="auto"/>
              </w:divBdr>
            </w:div>
            <w:div w:id="1635480771">
              <w:marLeft w:val="0"/>
              <w:marRight w:val="0"/>
              <w:marTop w:val="0"/>
              <w:marBottom w:val="0"/>
              <w:divBdr>
                <w:top w:val="none" w:sz="0" w:space="0" w:color="auto"/>
                <w:left w:val="none" w:sz="0" w:space="0" w:color="auto"/>
                <w:bottom w:val="none" w:sz="0" w:space="0" w:color="auto"/>
                <w:right w:val="none" w:sz="0" w:space="0" w:color="auto"/>
              </w:divBdr>
            </w:div>
            <w:div w:id="1710255092">
              <w:marLeft w:val="0"/>
              <w:marRight w:val="0"/>
              <w:marTop w:val="0"/>
              <w:marBottom w:val="0"/>
              <w:divBdr>
                <w:top w:val="none" w:sz="0" w:space="0" w:color="auto"/>
                <w:left w:val="none" w:sz="0" w:space="0" w:color="auto"/>
                <w:bottom w:val="none" w:sz="0" w:space="0" w:color="auto"/>
                <w:right w:val="none" w:sz="0" w:space="0" w:color="auto"/>
              </w:divBdr>
            </w:div>
            <w:div w:id="1839298565">
              <w:marLeft w:val="0"/>
              <w:marRight w:val="0"/>
              <w:marTop w:val="0"/>
              <w:marBottom w:val="0"/>
              <w:divBdr>
                <w:top w:val="none" w:sz="0" w:space="0" w:color="auto"/>
                <w:left w:val="none" w:sz="0" w:space="0" w:color="auto"/>
                <w:bottom w:val="none" w:sz="0" w:space="0" w:color="auto"/>
                <w:right w:val="none" w:sz="0" w:space="0" w:color="auto"/>
              </w:divBdr>
            </w:div>
            <w:div w:id="1997105779">
              <w:marLeft w:val="0"/>
              <w:marRight w:val="0"/>
              <w:marTop w:val="0"/>
              <w:marBottom w:val="0"/>
              <w:divBdr>
                <w:top w:val="none" w:sz="0" w:space="0" w:color="auto"/>
                <w:left w:val="none" w:sz="0" w:space="0" w:color="auto"/>
                <w:bottom w:val="none" w:sz="0" w:space="0" w:color="auto"/>
                <w:right w:val="none" w:sz="0" w:space="0" w:color="auto"/>
              </w:divBdr>
            </w:div>
          </w:divsChild>
        </w:div>
        <w:div w:id="2138181916">
          <w:marLeft w:val="0"/>
          <w:marRight w:val="0"/>
          <w:marTop w:val="0"/>
          <w:marBottom w:val="0"/>
          <w:divBdr>
            <w:top w:val="none" w:sz="0" w:space="0" w:color="auto"/>
            <w:left w:val="none" w:sz="0" w:space="0" w:color="auto"/>
            <w:bottom w:val="none" w:sz="0" w:space="0" w:color="auto"/>
            <w:right w:val="none" w:sz="0" w:space="0" w:color="auto"/>
          </w:divBdr>
        </w:div>
      </w:divsChild>
    </w:div>
    <w:div w:id="444159398">
      <w:bodyDiv w:val="1"/>
      <w:marLeft w:val="0"/>
      <w:marRight w:val="0"/>
      <w:marTop w:val="0"/>
      <w:marBottom w:val="0"/>
      <w:divBdr>
        <w:top w:val="none" w:sz="0" w:space="0" w:color="auto"/>
        <w:left w:val="none" w:sz="0" w:space="0" w:color="auto"/>
        <w:bottom w:val="none" w:sz="0" w:space="0" w:color="auto"/>
        <w:right w:val="none" w:sz="0" w:space="0" w:color="auto"/>
      </w:divBdr>
      <w:divsChild>
        <w:div w:id="21635169">
          <w:marLeft w:val="0"/>
          <w:marRight w:val="0"/>
          <w:marTop w:val="0"/>
          <w:marBottom w:val="0"/>
          <w:divBdr>
            <w:top w:val="none" w:sz="0" w:space="0" w:color="auto"/>
            <w:left w:val="none" w:sz="0" w:space="0" w:color="auto"/>
            <w:bottom w:val="none" w:sz="0" w:space="0" w:color="auto"/>
            <w:right w:val="none" w:sz="0" w:space="0" w:color="auto"/>
          </w:divBdr>
          <w:divsChild>
            <w:div w:id="1008170755">
              <w:marLeft w:val="0"/>
              <w:marRight w:val="0"/>
              <w:marTop w:val="0"/>
              <w:marBottom w:val="0"/>
              <w:divBdr>
                <w:top w:val="none" w:sz="0" w:space="0" w:color="auto"/>
                <w:left w:val="none" w:sz="0" w:space="0" w:color="auto"/>
                <w:bottom w:val="none" w:sz="0" w:space="0" w:color="auto"/>
                <w:right w:val="none" w:sz="0" w:space="0" w:color="auto"/>
              </w:divBdr>
            </w:div>
            <w:div w:id="1188831850">
              <w:marLeft w:val="0"/>
              <w:marRight w:val="0"/>
              <w:marTop w:val="0"/>
              <w:marBottom w:val="0"/>
              <w:divBdr>
                <w:top w:val="none" w:sz="0" w:space="0" w:color="auto"/>
                <w:left w:val="none" w:sz="0" w:space="0" w:color="auto"/>
                <w:bottom w:val="none" w:sz="0" w:space="0" w:color="auto"/>
                <w:right w:val="none" w:sz="0" w:space="0" w:color="auto"/>
              </w:divBdr>
            </w:div>
            <w:div w:id="1469281141">
              <w:marLeft w:val="0"/>
              <w:marRight w:val="0"/>
              <w:marTop w:val="0"/>
              <w:marBottom w:val="0"/>
              <w:divBdr>
                <w:top w:val="none" w:sz="0" w:space="0" w:color="auto"/>
                <w:left w:val="none" w:sz="0" w:space="0" w:color="auto"/>
                <w:bottom w:val="none" w:sz="0" w:space="0" w:color="auto"/>
                <w:right w:val="none" w:sz="0" w:space="0" w:color="auto"/>
              </w:divBdr>
            </w:div>
            <w:div w:id="1548833255">
              <w:marLeft w:val="0"/>
              <w:marRight w:val="0"/>
              <w:marTop w:val="0"/>
              <w:marBottom w:val="0"/>
              <w:divBdr>
                <w:top w:val="none" w:sz="0" w:space="0" w:color="auto"/>
                <w:left w:val="none" w:sz="0" w:space="0" w:color="auto"/>
                <w:bottom w:val="none" w:sz="0" w:space="0" w:color="auto"/>
                <w:right w:val="none" w:sz="0" w:space="0" w:color="auto"/>
              </w:divBdr>
            </w:div>
          </w:divsChild>
        </w:div>
        <w:div w:id="339507368">
          <w:marLeft w:val="0"/>
          <w:marRight w:val="0"/>
          <w:marTop w:val="0"/>
          <w:marBottom w:val="0"/>
          <w:divBdr>
            <w:top w:val="none" w:sz="0" w:space="0" w:color="auto"/>
            <w:left w:val="none" w:sz="0" w:space="0" w:color="auto"/>
            <w:bottom w:val="none" w:sz="0" w:space="0" w:color="auto"/>
            <w:right w:val="none" w:sz="0" w:space="0" w:color="auto"/>
          </w:divBdr>
          <w:divsChild>
            <w:div w:id="1729837634">
              <w:marLeft w:val="0"/>
              <w:marRight w:val="0"/>
              <w:marTop w:val="0"/>
              <w:marBottom w:val="0"/>
              <w:divBdr>
                <w:top w:val="none" w:sz="0" w:space="0" w:color="auto"/>
                <w:left w:val="none" w:sz="0" w:space="0" w:color="auto"/>
                <w:bottom w:val="none" w:sz="0" w:space="0" w:color="auto"/>
                <w:right w:val="none" w:sz="0" w:space="0" w:color="auto"/>
              </w:divBdr>
            </w:div>
          </w:divsChild>
        </w:div>
        <w:div w:id="459496976">
          <w:marLeft w:val="0"/>
          <w:marRight w:val="0"/>
          <w:marTop w:val="0"/>
          <w:marBottom w:val="0"/>
          <w:divBdr>
            <w:top w:val="none" w:sz="0" w:space="0" w:color="auto"/>
            <w:left w:val="none" w:sz="0" w:space="0" w:color="auto"/>
            <w:bottom w:val="none" w:sz="0" w:space="0" w:color="auto"/>
            <w:right w:val="none" w:sz="0" w:space="0" w:color="auto"/>
          </w:divBdr>
        </w:div>
        <w:div w:id="510535320">
          <w:marLeft w:val="0"/>
          <w:marRight w:val="0"/>
          <w:marTop w:val="0"/>
          <w:marBottom w:val="0"/>
          <w:divBdr>
            <w:top w:val="none" w:sz="0" w:space="0" w:color="auto"/>
            <w:left w:val="none" w:sz="0" w:space="0" w:color="auto"/>
            <w:bottom w:val="none" w:sz="0" w:space="0" w:color="auto"/>
            <w:right w:val="none" w:sz="0" w:space="0" w:color="auto"/>
          </w:divBdr>
          <w:divsChild>
            <w:div w:id="1146702192">
              <w:marLeft w:val="0"/>
              <w:marRight w:val="0"/>
              <w:marTop w:val="0"/>
              <w:marBottom w:val="0"/>
              <w:divBdr>
                <w:top w:val="none" w:sz="0" w:space="0" w:color="auto"/>
                <w:left w:val="none" w:sz="0" w:space="0" w:color="auto"/>
                <w:bottom w:val="none" w:sz="0" w:space="0" w:color="auto"/>
                <w:right w:val="none" w:sz="0" w:space="0" w:color="auto"/>
              </w:divBdr>
            </w:div>
            <w:div w:id="1359283789">
              <w:marLeft w:val="0"/>
              <w:marRight w:val="0"/>
              <w:marTop w:val="0"/>
              <w:marBottom w:val="0"/>
              <w:divBdr>
                <w:top w:val="none" w:sz="0" w:space="0" w:color="auto"/>
                <w:left w:val="none" w:sz="0" w:space="0" w:color="auto"/>
                <w:bottom w:val="none" w:sz="0" w:space="0" w:color="auto"/>
                <w:right w:val="none" w:sz="0" w:space="0" w:color="auto"/>
              </w:divBdr>
            </w:div>
            <w:div w:id="1729574393">
              <w:marLeft w:val="0"/>
              <w:marRight w:val="0"/>
              <w:marTop w:val="0"/>
              <w:marBottom w:val="0"/>
              <w:divBdr>
                <w:top w:val="none" w:sz="0" w:space="0" w:color="auto"/>
                <w:left w:val="none" w:sz="0" w:space="0" w:color="auto"/>
                <w:bottom w:val="none" w:sz="0" w:space="0" w:color="auto"/>
                <w:right w:val="none" w:sz="0" w:space="0" w:color="auto"/>
              </w:divBdr>
            </w:div>
            <w:div w:id="2033922476">
              <w:marLeft w:val="0"/>
              <w:marRight w:val="0"/>
              <w:marTop w:val="0"/>
              <w:marBottom w:val="0"/>
              <w:divBdr>
                <w:top w:val="none" w:sz="0" w:space="0" w:color="auto"/>
                <w:left w:val="none" w:sz="0" w:space="0" w:color="auto"/>
                <w:bottom w:val="none" w:sz="0" w:space="0" w:color="auto"/>
                <w:right w:val="none" w:sz="0" w:space="0" w:color="auto"/>
              </w:divBdr>
            </w:div>
          </w:divsChild>
        </w:div>
        <w:div w:id="695498554">
          <w:marLeft w:val="0"/>
          <w:marRight w:val="0"/>
          <w:marTop w:val="0"/>
          <w:marBottom w:val="0"/>
          <w:divBdr>
            <w:top w:val="none" w:sz="0" w:space="0" w:color="auto"/>
            <w:left w:val="none" w:sz="0" w:space="0" w:color="auto"/>
            <w:bottom w:val="none" w:sz="0" w:space="0" w:color="auto"/>
            <w:right w:val="none" w:sz="0" w:space="0" w:color="auto"/>
          </w:divBdr>
          <w:divsChild>
            <w:div w:id="193468165">
              <w:marLeft w:val="0"/>
              <w:marRight w:val="0"/>
              <w:marTop w:val="0"/>
              <w:marBottom w:val="0"/>
              <w:divBdr>
                <w:top w:val="none" w:sz="0" w:space="0" w:color="auto"/>
                <w:left w:val="none" w:sz="0" w:space="0" w:color="auto"/>
                <w:bottom w:val="none" w:sz="0" w:space="0" w:color="auto"/>
                <w:right w:val="none" w:sz="0" w:space="0" w:color="auto"/>
              </w:divBdr>
            </w:div>
            <w:div w:id="454718729">
              <w:marLeft w:val="0"/>
              <w:marRight w:val="0"/>
              <w:marTop w:val="0"/>
              <w:marBottom w:val="0"/>
              <w:divBdr>
                <w:top w:val="none" w:sz="0" w:space="0" w:color="auto"/>
                <w:left w:val="none" w:sz="0" w:space="0" w:color="auto"/>
                <w:bottom w:val="none" w:sz="0" w:space="0" w:color="auto"/>
                <w:right w:val="none" w:sz="0" w:space="0" w:color="auto"/>
              </w:divBdr>
            </w:div>
            <w:div w:id="1319960980">
              <w:marLeft w:val="0"/>
              <w:marRight w:val="0"/>
              <w:marTop w:val="0"/>
              <w:marBottom w:val="0"/>
              <w:divBdr>
                <w:top w:val="none" w:sz="0" w:space="0" w:color="auto"/>
                <w:left w:val="none" w:sz="0" w:space="0" w:color="auto"/>
                <w:bottom w:val="none" w:sz="0" w:space="0" w:color="auto"/>
                <w:right w:val="none" w:sz="0" w:space="0" w:color="auto"/>
              </w:divBdr>
            </w:div>
          </w:divsChild>
        </w:div>
        <w:div w:id="718432838">
          <w:marLeft w:val="0"/>
          <w:marRight w:val="0"/>
          <w:marTop w:val="0"/>
          <w:marBottom w:val="0"/>
          <w:divBdr>
            <w:top w:val="none" w:sz="0" w:space="0" w:color="auto"/>
            <w:left w:val="none" w:sz="0" w:space="0" w:color="auto"/>
            <w:bottom w:val="none" w:sz="0" w:space="0" w:color="auto"/>
            <w:right w:val="none" w:sz="0" w:space="0" w:color="auto"/>
          </w:divBdr>
          <w:divsChild>
            <w:div w:id="1675298021">
              <w:marLeft w:val="0"/>
              <w:marRight w:val="0"/>
              <w:marTop w:val="0"/>
              <w:marBottom w:val="0"/>
              <w:divBdr>
                <w:top w:val="none" w:sz="0" w:space="0" w:color="auto"/>
                <w:left w:val="none" w:sz="0" w:space="0" w:color="auto"/>
                <w:bottom w:val="none" w:sz="0" w:space="0" w:color="auto"/>
                <w:right w:val="none" w:sz="0" w:space="0" w:color="auto"/>
              </w:divBdr>
            </w:div>
            <w:div w:id="1800419443">
              <w:marLeft w:val="0"/>
              <w:marRight w:val="0"/>
              <w:marTop w:val="0"/>
              <w:marBottom w:val="0"/>
              <w:divBdr>
                <w:top w:val="none" w:sz="0" w:space="0" w:color="auto"/>
                <w:left w:val="none" w:sz="0" w:space="0" w:color="auto"/>
                <w:bottom w:val="none" w:sz="0" w:space="0" w:color="auto"/>
                <w:right w:val="none" w:sz="0" w:space="0" w:color="auto"/>
              </w:divBdr>
            </w:div>
            <w:div w:id="1898011801">
              <w:marLeft w:val="0"/>
              <w:marRight w:val="0"/>
              <w:marTop w:val="0"/>
              <w:marBottom w:val="0"/>
              <w:divBdr>
                <w:top w:val="none" w:sz="0" w:space="0" w:color="auto"/>
                <w:left w:val="none" w:sz="0" w:space="0" w:color="auto"/>
                <w:bottom w:val="none" w:sz="0" w:space="0" w:color="auto"/>
                <w:right w:val="none" w:sz="0" w:space="0" w:color="auto"/>
              </w:divBdr>
            </w:div>
            <w:div w:id="2117410057">
              <w:marLeft w:val="0"/>
              <w:marRight w:val="0"/>
              <w:marTop w:val="0"/>
              <w:marBottom w:val="0"/>
              <w:divBdr>
                <w:top w:val="none" w:sz="0" w:space="0" w:color="auto"/>
                <w:left w:val="none" w:sz="0" w:space="0" w:color="auto"/>
                <w:bottom w:val="none" w:sz="0" w:space="0" w:color="auto"/>
                <w:right w:val="none" w:sz="0" w:space="0" w:color="auto"/>
              </w:divBdr>
            </w:div>
          </w:divsChild>
        </w:div>
        <w:div w:id="728453965">
          <w:marLeft w:val="0"/>
          <w:marRight w:val="0"/>
          <w:marTop w:val="0"/>
          <w:marBottom w:val="0"/>
          <w:divBdr>
            <w:top w:val="none" w:sz="0" w:space="0" w:color="auto"/>
            <w:left w:val="none" w:sz="0" w:space="0" w:color="auto"/>
            <w:bottom w:val="none" w:sz="0" w:space="0" w:color="auto"/>
            <w:right w:val="none" w:sz="0" w:space="0" w:color="auto"/>
          </w:divBdr>
        </w:div>
        <w:div w:id="1850289483">
          <w:marLeft w:val="0"/>
          <w:marRight w:val="0"/>
          <w:marTop w:val="0"/>
          <w:marBottom w:val="0"/>
          <w:divBdr>
            <w:top w:val="none" w:sz="0" w:space="0" w:color="auto"/>
            <w:left w:val="none" w:sz="0" w:space="0" w:color="auto"/>
            <w:bottom w:val="none" w:sz="0" w:space="0" w:color="auto"/>
            <w:right w:val="none" w:sz="0" w:space="0" w:color="auto"/>
          </w:divBdr>
        </w:div>
        <w:div w:id="2129544531">
          <w:marLeft w:val="0"/>
          <w:marRight w:val="0"/>
          <w:marTop w:val="0"/>
          <w:marBottom w:val="0"/>
          <w:divBdr>
            <w:top w:val="none" w:sz="0" w:space="0" w:color="auto"/>
            <w:left w:val="none" w:sz="0" w:space="0" w:color="auto"/>
            <w:bottom w:val="none" w:sz="0" w:space="0" w:color="auto"/>
            <w:right w:val="none" w:sz="0" w:space="0" w:color="auto"/>
          </w:divBdr>
          <w:divsChild>
            <w:div w:id="43915200">
              <w:marLeft w:val="0"/>
              <w:marRight w:val="0"/>
              <w:marTop w:val="0"/>
              <w:marBottom w:val="0"/>
              <w:divBdr>
                <w:top w:val="none" w:sz="0" w:space="0" w:color="auto"/>
                <w:left w:val="none" w:sz="0" w:space="0" w:color="auto"/>
                <w:bottom w:val="none" w:sz="0" w:space="0" w:color="auto"/>
                <w:right w:val="none" w:sz="0" w:space="0" w:color="auto"/>
              </w:divBdr>
            </w:div>
            <w:div w:id="1692875667">
              <w:marLeft w:val="0"/>
              <w:marRight w:val="0"/>
              <w:marTop w:val="0"/>
              <w:marBottom w:val="0"/>
              <w:divBdr>
                <w:top w:val="none" w:sz="0" w:space="0" w:color="auto"/>
                <w:left w:val="none" w:sz="0" w:space="0" w:color="auto"/>
                <w:bottom w:val="none" w:sz="0" w:space="0" w:color="auto"/>
                <w:right w:val="none" w:sz="0" w:space="0" w:color="auto"/>
              </w:divBdr>
            </w:div>
            <w:div w:id="1796169027">
              <w:marLeft w:val="0"/>
              <w:marRight w:val="0"/>
              <w:marTop w:val="0"/>
              <w:marBottom w:val="0"/>
              <w:divBdr>
                <w:top w:val="none" w:sz="0" w:space="0" w:color="auto"/>
                <w:left w:val="none" w:sz="0" w:space="0" w:color="auto"/>
                <w:bottom w:val="none" w:sz="0" w:space="0" w:color="auto"/>
                <w:right w:val="none" w:sz="0" w:space="0" w:color="auto"/>
              </w:divBdr>
            </w:div>
            <w:div w:id="182218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409967">
      <w:bodyDiv w:val="1"/>
      <w:marLeft w:val="0"/>
      <w:marRight w:val="0"/>
      <w:marTop w:val="0"/>
      <w:marBottom w:val="0"/>
      <w:divBdr>
        <w:top w:val="none" w:sz="0" w:space="0" w:color="auto"/>
        <w:left w:val="none" w:sz="0" w:space="0" w:color="auto"/>
        <w:bottom w:val="none" w:sz="0" w:space="0" w:color="auto"/>
        <w:right w:val="none" w:sz="0" w:space="0" w:color="auto"/>
      </w:divBdr>
    </w:div>
    <w:div w:id="492571274">
      <w:bodyDiv w:val="1"/>
      <w:marLeft w:val="0"/>
      <w:marRight w:val="0"/>
      <w:marTop w:val="0"/>
      <w:marBottom w:val="0"/>
      <w:divBdr>
        <w:top w:val="none" w:sz="0" w:space="0" w:color="auto"/>
        <w:left w:val="none" w:sz="0" w:space="0" w:color="auto"/>
        <w:bottom w:val="none" w:sz="0" w:space="0" w:color="auto"/>
        <w:right w:val="none" w:sz="0" w:space="0" w:color="auto"/>
      </w:divBdr>
    </w:div>
    <w:div w:id="493105456">
      <w:bodyDiv w:val="1"/>
      <w:marLeft w:val="0"/>
      <w:marRight w:val="0"/>
      <w:marTop w:val="0"/>
      <w:marBottom w:val="0"/>
      <w:divBdr>
        <w:top w:val="none" w:sz="0" w:space="0" w:color="auto"/>
        <w:left w:val="none" w:sz="0" w:space="0" w:color="auto"/>
        <w:bottom w:val="none" w:sz="0" w:space="0" w:color="auto"/>
        <w:right w:val="none" w:sz="0" w:space="0" w:color="auto"/>
      </w:divBdr>
    </w:div>
    <w:div w:id="525290777">
      <w:bodyDiv w:val="1"/>
      <w:marLeft w:val="0"/>
      <w:marRight w:val="0"/>
      <w:marTop w:val="0"/>
      <w:marBottom w:val="0"/>
      <w:divBdr>
        <w:top w:val="none" w:sz="0" w:space="0" w:color="auto"/>
        <w:left w:val="none" w:sz="0" w:space="0" w:color="auto"/>
        <w:bottom w:val="none" w:sz="0" w:space="0" w:color="auto"/>
        <w:right w:val="none" w:sz="0" w:space="0" w:color="auto"/>
      </w:divBdr>
      <w:divsChild>
        <w:div w:id="965888613">
          <w:marLeft w:val="547"/>
          <w:marRight w:val="0"/>
          <w:marTop w:val="0"/>
          <w:marBottom w:val="0"/>
          <w:divBdr>
            <w:top w:val="none" w:sz="0" w:space="0" w:color="auto"/>
            <w:left w:val="none" w:sz="0" w:space="0" w:color="auto"/>
            <w:bottom w:val="none" w:sz="0" w:space="0" w:color="auto"/>
            <w:right w:val="none" w:sz="0" w:space="0" w:color="auto"/>
          </w:divBdr>
        </w:div>
      </w:divsChild>
    </w:div>
    <w:div w:id="552280240">
      <w:bodyDiv w:val="1"/>
      <w:marLeft w:val="0"/>
      <w:marRight w:val="0"/>
      <w:marTop w:val="0"/>
      <w:marBottom w:val="0"/>
      <w:divBdr>
        <w:top w:val="none" w:sz="0" w:space="0" w:color="auto"/>
        <w:left w:val="none" w:sz="0" w:space="0" w:color="auto"/>
        <w:bottom w:val="none" w:sz="0" w:space="0" w:color="auto"/>
        <w:right w:val="none" w:sz="0" w:space="0" w:color="auto"/>
      </w:divBdr>
    </w:div>
    <w:div w:id="561213157">
      <w:bodyDiv w:val="1"/>
      <w:marLeft w:val="0"/>
      <w:marRight w:val="0"/>
      <w:marTop w:val="0"/>
      <w:marBottom w:val="0"/>
      <w:divBdr>
        <w:top w:val="none" w:sz="0" w:space="0" w:color="auto"/>
        <w:left w:val="none" w:sz="0" w:space="0" w:color="auto"/>
        <w:bottom w:val="none" w:sz="0" w:space="0" w:color="auto"/>
        <w:right w:val="none" w:sz="0" w:space="0" w:color="auto"/>
      </w:divBdr>
    </w:div>
    <w:div w:id="581914341">
      <w:bodyDiv w:val="1"/>
      <w:marLeft w:val="0"/>
      <w:marRight w:val="0"/>
      <w:marTop w:val="0"/>
      <w:marBottom w:val="0"/>
      <w:divBdr>
        <w:top w:val="none" w:sz="0" w:space="0" w:color="auto"/>
        <w:left w:val="none" w:sz="0" w:space="0" w:color="auto"/>
        <w:bottom w:val="none" w:sz="0" w:space="0" w:color="auto"/>
        <w:right w:val="none" w:sz="0" w:space="0" w:color="auto"/>
      </w:divBdr>
      <w:divsChild>
        <w:div w:id="19211039">
          <w:marLeft w:val="0"/>
          <w:marRight w:val="0"/>
          <w:marTop w:val="0"/>
          <w:marBottom w:val="0"/>
          <w:divBdr>
            <w:top w:val="none" w:sz="0" w:space="0" w:color="auto"/>
            <w:left w:val="none" w:sz="0" w:space="0" w:color="auto"/>
            <w:bottom w:val="none" w:sz="0" w:space="0" w:color="auto"/>
            <w:right w:val="none" w:sz="0" w:space="0" w:color="auto"/>
          </w:divBdr>
          <w:divsChild>
            <w:div w:id="354573597">
              <w:marLeft w:val="0"/>
              <w:marRight w:val="0"/>
              <w:marTop w:val="0"/>
              <w:marBottom w:val="0"/>
              <w:divBdr>
                <w:top w:val="none" w:sz="0" w:space="0" w:color="auto"/>
                <w:left w:val="none" w:sz="0" w:space="0" w:color="auto"/>
                <w:bottom w:val="none" w:sz="0" w:space="0" w:color="auto"/>
                <w:right w:val="none" w:sz="0" w:space="0" w:color="auto"/>
              </w:divBdr>
            </w:div>
            <w:div w:id="750006902">
              <w:marLeft w:val="0"/>
              <w:marRight w:val="0"/>
              <w:marTop w:val="0"/>
              <w:marBottom w:val="0"/>
              <w:divBdr>
                <w:top w:val="none" w:sz="0" w:space="0" w:color="auto"/>
                <w:left w:val="none" w:sz="0" w:space="0" w:color="auto"/>
                <w:bottom w:val="none" w:sz="0" w:space="0" w:color="auto"/>
                <w:right w:val="none" w:sz="0" w:space="0" w:color="auto"/>
              </w:divBdr>
            </w:div>
            <w:div w:id="977222311">
              <w:marLeft w:val="0"/>
              <w:marRight w:val="0"/>
              <w:marTop w:val="0"/>
              <w:marBottom w:val="0"/>
              <w:divBdr>
                <w:top w:val="none" w:sz="0" w:space="0" w:color="auto"/>
                <w:left w:val="none" w:sz="0" w:space="0" w:color="auto"/>
                <w:bottom w:val="none" w:sz="0" w:space="0" w:color="auto"/>
                <w:right w:val="none" w:sz="0" w:space="0" w:color="auto"/>
              </w:divBdr>
            </w:div>
          </w:divsChild>
        </w:div>
        <w:div w:id="45685921">
          <w:marLeft w:val="0"/>
          <w:marRight w:val="0"/>
          <w:marTop w:val="0"/>
          <w:marBottom w:val="0"/>
          <w:divBdr>
            <w:top w:val="none" w:sz="0" w:space="0" w:color="auto"/>
            <w:left w:val="none" w:sz="0" w:space="0" w:color="auto"/>
            <w:bottom w:val="none" w:sz="0" w:space="0" w:color="auto"/>
            <w:right w:val="none" w:sz="0" w:space="0" w:color="auto"/>
          </w:divBdr>
        </w:div>
        <w:div w:id="111482917">
          <w:marLeft w:val="0"/>
          <w:marRight w:val="0"/>
          <w:marTop w:val="0"/>
          <w:marBottom w:val="0"/>
          <w:divBdr>
            <w:top w:val="none" w:sz="0" w:space="0" w:color="auto"/>
            <w:left w:val="none" w:sz="0" w:space="0" w:color="auto"/>
            <w:bottom w:val="none" w:sz="0" w:space="0" w:color="auto"/>
            <w:right w:val="none" w:sz="0" w:space="0" w:color="auto"/>
          </w:divBdr>
        </w:div>
        <w:div w:id="785271251">
          <w:marLeft w:val="0"/>
          <w:marRight w:val="0"/>
          <w:marTop w:val="0"/>
          <w:marBottom w:val="0"/>
          <w:divBdr>
            <w:top w:val="none" w:sz="0" w:space="0" w:color="auto"/>
            <w:left w:val="none" w:sz="0" w:space="0" w:color="auto"/>
            <w:bottom w:val="none" w:sz="0" w:space="0" w:color="auto"/>
            <w:right w:val="none" w:sz="0" w:space="0" w:color="auto"/>
          </w:divBdr>
        </w:div>
        <w:div w:id="813108271">
          <w:marLeft w:val="0"/>
          <w:marRight w:val="0"/>
          <w:marTop w:val="0"/>
          <w:marBottom w:val="0"/>
          <w:divBdr>
            <w:top w:val="none" w:sz="0" w:space="0" w:color="auto"/>
            <w:left w:val="none" w:sz="0" w:space="0" w:color="auto"/>
            <w:bottom w:val="none" w:sz="0" w:space="0" w:color="auto"/>
            <w:right w:val="none" w:sz="0" w:space="0" w:color="auto"/>
          </w:divBdr>
        </w:div>
        <w:div w:id="1070927599">
          <w:marLeft w:val="0"/>
          <w:marRight w:val="0"/>
          <w:marTop w:val="0"/>
          <w:marBottom w:val="0"/>
          <w:divBdr>
            <w:top w:val="none" w:sz="0" w:space="0" w:color="auto"/>
            <w:left w:val="none" w:sz="0" w:space="0" w:color="auto"/>
            <w:bottom w:val="none" w:sz="0" w:space="0" w:color="auto"/>
            <w:right w:val="none" w:sz="0" w:space="0" w:color="auto"/>
          </w:divBdr>
        </w:div>
        <w:div w:id="1388725943">
          <w:marLeft w:val="0"/>
          <w:marRight w:val="0"/>
          <w:marTop w:val="0"/>
          <w:marBottom w:val="0"/>
          <w:divBdr>
            <w:top w:val="none" w:sz="0" w:space="0" w:color="auto"/>
            <w:left w:val="none" w:sz="0" w:space="0" w:color="auto"/>
            <w:bottom w:val="none" w:sz="0" w:space="0" w:color="auto"/>
            <w:right w:val="none" w:sz="0" w:space="0" w:color="auto"/>
          </w:divBdr>
        </w:div>
        <w:div w:id="1585217448">
          <w:marLeft w:val="0"/>
          <w:marRight w:val="0"/>
          <w:marTop w:val="0"/>
          <w:marBottom w:val="0"/>
          <w:divBdr>
            <w:top w:val="none" w:sz="0" w:space="0" w:color="auto"/>
            <w:left w:val="none" w:sz="0" w:space="0" w:color="auto"/>
            <w:bottom w:val="none" w:sz="0" w:space="0" w:color="auto"/>
            <w:right w:val="none" w:sz="0" w:space="0" w:color="auto"/>
          </w:divBdr>
        </w:div>
        <w:div w:id="1624068857">
          <w:marLeft w:val="0"/>
          <w:marRight w:val="0"/>
          <w:marTop w:val="0"/>
          <w:marBottom w:val="0"/>
          <w:divBdr>
            <w:top w:val="none" w:sz="0" w:space="0" w:color="auto"/>
            <w:left w:val="none" w:sz="0" w:space="0" w:color="auto"/>
            <w:bottom w:val="none" w:sz="0" w:space="0" w:color="auto"/>
            <w:right w:val="none" w:sz="0" w:space="0" w:color="auto"/>
          </w:divBdr>
        </w:div>
        <w:div w:id="1626086170">
          <w:marLeft w:val="0"/>
          <w:marRight w:val="0"/>
          <w:marTop w:val="0"/>
          <w:marBottom w:val="0"/>
          <w:divBdr>
            <w:top w:val="none" w:sz="0" w:space="0" w:color="auto"/>
            <w:left w:val="none" w:sz="0" w:space="0" w:color="auto"/>
            <w:bottom w:val="none" w:sz="0" w:space="0" w:color="auto"/>
            <w:right w:val="none" w:sz="0" w:space="0" w:color="auto"/>
          </w:divBdr>
          <w:divsChild>
            <w:div w:id="39403811">
              <w:marLeft w:val="0"/>
              <w:marRight w:val="0"/>
              <w:marTop w:val="0"/>
              <w:marBottom w:val="0"/>
              <w:divBdr>
                <w:top w:val="none" w:sz="0" w:space="0" w:color="auto"/>
                <w:left w:val="none" w:sz="0" w:space="0" w:color="auto"/>
                <w:bottom w:val="none" w:sz="0" w:space="0" w:color="auto"/>
                <w:right w:val="none" w:sz="0" w:space="0" w:color="auto"/>
              </w:divBdr>
            </w:div>
            <w:div w:id="384640918">
              <w:marLeft w:val="0"/>
              <w:marRight w:val="0"/>
              <w:marTop w:val="0"/>
              <w:marBottom w:val="0"/>
              <w:divBdr>
                <w:top w:val="none" w:sz="0" w:space="0" w:color="auto"/>
                <w:left w:val="none" w:sz="0" w:space="0" w:color="auto"/>
                <w:bottom w:val="none" w:sz="0" w:space="0" w:color="auto"/>
                <w:right w:val="none" w:sz="0" w:space="0" w:color="auto"/>
              </w:divBdr>
            </w:div>
            <w:div w:id="1103258466">
              <w:marLeft w:val="0"/>
              <w:marRight w:val="0"/>
              <w:marTop w:val="0"/>
              <w:marBottom w:val="0"/>
              <w:divBdr>
                <w:top w:val="none" w:sz="0" w:space="0" w:color="auto"/>
                <w:left w:val="none" w:sz="0" w:space="0" w:color="auto"/>
                <w:bottom w:val="none" w:sz="0" w:space="0" w:color="auto"/>
                <w:right w:val="none" w:sz="0" w:space="0" w:color="auto"/>
              </w:divBdr>
            </w:div>
            <w:div w:id="1130201002">
              <w:marLeft w:val="0"/>
              <w:marRight w:val="0"/>
              <w:marTop w:val="0"/>
              <w:marBottom w:val="0"/>
              <w:divBdr>
                <w:top w:val="none" w:sz="0" w:space="0" w:color="auto"/>
                <w:left w:val="none" w:sz="0" w:space="0" w:color="auto"/>
                <w:bottom w:val="none" w:sz="0" w:space="0" w:color="auto"/>
                <w:right w:val="none" w:sz="0" w:space="0" w:color="auto"/>
              </w:divBdr>
            </w:div>
            <w:div w:id="1252591370">
              <w:marLeft w:val="0"/>
              <w:marRight w:val="0"/>
              <w:marTop w:val="0"/>
              <w:marBottom w:val="0"/>
              <w:divBdr>
                <w:top w:val="none" w:sz="0" w:space="0" w:color="auto"/>
                <w:left w:val="none" w:sz="0" w:space="0" w:color="auto"/>
                <w:bottom w:val="none" w:sz="0" w:space="0" w:color="auto"/>
                <w:right w:val="none" w:sz="0" w:space="0" w:color="auto"/>
              </w:divBdr>
            </w:div>
            <w:div w:id="1360934865">
              <w:marLeft w:val="0"/>
              <w:marRight w:val="0"/>
              <w:marTop w:val="0"/>
              <w:marBottom w:val="0"/>
              <w:divBdr>
                <w:top w:val="none" w:sz="0" w:space="0" w:color="auto"/>
                <w:left w:val="none" w:sz="0" w:space="0" w:color="auto"/>
                <w:bottom w:val="none" w:sz="0" w:space="0" w:color="auto"/>
                <w:right w:val="none" w:sz="0" w:space="0" w:color="auto"/>
              </w:divBdr>
            </w:div>
          </w:divsChild>
        </w:div>
        <w:div w:id="1682732629">
          <w:marLeft w:val="0"/>
          <w:marRight w:val="0"/>
          <w:marTop w:val="0"/>
          <w:marBottom w:val="0"/>
          <w:divBdr>
            <w:top w:val="none" w:sz="0" w:space="0" w:color="auto"/>
            <w:left w:val="none" w:sz="0" w:space="0" w:color="auto"/>
            <w:bottom w:val="none" w:sz="0" w:space="0" w:color="auto"/>
            <w:right w:val="none" w:sz="0" w:space="0" w:color="auto"/>
          </w:divBdr>
        </w:div>
        <w:div w:id="1999265259">
          <w:marLeft w:val="0"/>
          <w:marRight w:val="0"/>
          <w:marTop w:val="0"/>
          <w:marBottom w:val="0"/>
          <w:divBdr>
            <w:top w:val="none" w:sz="0" w:space="0" w:color="auto"/>
            <w:left w:val="none" w:sz="0" w:space="0" w:color="auto"/>
            <w:bottom w:val="none" w:sz="0" w:space="0" w:color="auto"/>
            <w:right w:val="none" w:sz="0" w:space="0" w:color="auto"/>
          </w:divBdr>
        </w:div>
        <w:div w:id="2062630160">
          <w:marLeft w:val="0"/>
          <w:marRight w:val="0"/>
          <w:marTop w:val="0"/>
          <w:marBottom w:val="0"/>
          <w:divBdr>
            <w:top w:val="none" w:sz="0" w:space="0" w:color="auto"/>
            <w:left w:val="none" w:sz="0" w:space="0" w:color="auto"/>
            <w:bottom w:val="none" w:sz="0" w:space="0" w:color="auto"/>
            <w:right w:val="none" w:sz="0" w:space="0" w:color="auto"/>
          </w:divBdr>
        </w:div>
      </w:divsChild>
    </w:div>
    <w:div w:id="635725069">
      <w:bodyDiv w:val="1"/>
      <w:marLeft w:val="0"/>
      <w:marRight w:val="0"/>
      <w:marTop w:val="0"/>
      <w:marBottom w:val="0"/>
      <w:divBdr>
        <w:top w:val="none" w:sz="0" w:space="0" w:color="auto"/>
        <w:left w:val="none" w:sz="0" w:space="0" w:color="auto"/>
        <w:bottom w:val="none" w:sz="0" w:space="0" w:color="auto"/>
        <w:right w:val="none" w:sz="0" w:space="0" w:color="auto"/>
      </w:divBdr>
    </w:div>
    <w:div w:id="637225935">
      <w:bodyDiv w:val="1"/>
      <w:marLeft w:val="0"/>
      <w:marRight w:val="0"/>
      <w:marTop w:val="0"/>
      <w:marBottom w:val="0"/>
      <w:divBdr>
        <w:top w:val="none" w:sz="0" w:space="0" w:color="auto"/>
        <w:left w:val="none" w:sz="0" w:space="0" w:color="auto"/>
        <w:bottom w:val="none" w:sz="0" w:space="0" w:color="auto"/>
        <w:right w:val="none" w:sz="0" w:space="0" w:color="auto"/>
      </w:divBdr>
      <w:divsChild>
        <w:div w:id="1508523657">
          <w:marLeft w:val="480"/>
          <w:marRight w:val="0"/>
          <w:marTop w:val="0"/>
          <w:marBottom w:val="0"/>
          <w:divBdr>
            <w:top w:val="none" w:sz="0" w:space="0" w:color="auto"/>
            <w:left w:val="none" w:sz="0" w:space="0" w:color="auto"/>
            <w:bottom w:val="none" w:sz="0" w:space="0" w:color="auto"/>
            <w:right w:val="none" w:sz="0" w:space="0" w:color="auto"/>
          </w:divBdr>
        </w:div>
      </w:divsChild>
    </w:div>
    <w:div w:id="693461661">
      <w:bodyDiv w:val="1"/>
      <w:marLeft w:val="0"/>
      <w:marRight w:val="0"/>
      <w:marTop w:val="0"/>
      <w:marBottom w:val="0"/>
      <w:divBdr>
        <w:top w:val="none" w:sz="0" w:space="0" w:color="auto"/>
        <w:left w:val="none" w:sz="0" w:space="0" w:color="auto"/>
        <w:bottom w:val="none" w:sz="0" w:space="0" w:color="auto"/>
        <w:right w:val="none" w:sz="0" w:space="0" w:color="auto"/>
      </w:divBdr>
    </w:div>
    <w:div w:id="703018139">
      <w:bodyDiv w:val="1"/>
      <w:marLeft w:val="0"/>
      <w:marRight w:val="0"/>
      <w:marTop w:val="0"/>
      <w:marBottom w:val="0"/>
      <w:divBdr>
        <w:top w:val="none" w:sz="0" w:space="0" w:color="auto"/>
        <w:left w:val="none" w:sz="0" w:space="0" w:color="auto"/>
        <w:bottom w:val="none" w:sz="0" w:space="0" w:color="auto"/>
        <w:right w:val="none" w:sz="0" w:space="0" w:color="auto"/>
      </w:divBdr>
    </w:div>
    <w:div w:id="719011158">
      <w:bodyDiv w:val="1"/>
      <w:marLeft w:val="0"/>
      <w:marRight w:val="0"/>
      <w:marTop w:val="0"/>
      <w:marBottom w:val="0"/>
      <w:divBdr>
        <w:top w:val="none" w:sz="0" w:space="0" w:color="auto"/>
        <w:left w:val="none" w:sz="0" w:space="0" w:color="auto"/>
        <w:bottom w:val="none" w:sz="0" w:space="0" w:color="auto"/>
        <w:right w:val="none" w:sz="0" w:space="0" w:color="auto"/>
      </w:divBdr>
    </w:div>
    <w:div w:id="766388743">
      <w:bodyDiv w:val="1"/>
      <w:marLeft w:val="0"/>
      <w:marRight w:val="0"/>
      <w:marTop w:val="0"/>
      <w:marBottom w:val="0"/>
      <w:divBdr>
        <w:top w:val="none" w:sz="0" w:space="0" w:color="auto"/>
        <w:left w:val="none" w:sz="0" w:space="0" w:color="auto"/>
        <w:bottom w:val="none" w:sz="0" w:space="0" w:color="auto"/>
        <w:right w:val="none" w:sz="0" w:space="0" w:color="auto"/>
      </w:divBdr>
    </w:div>
    <w:div w:id="770708758">
      <w:bodyDiv w:val="1"/>
      <w:marLeft w:val="0"/>
      <w:marRight w:val="0"/>
      <w:marTop w:val="0"/>
      <w:marBottom w:val="0"/>
      <w:divBdr>
        <w:top w:val="none" w:sz="0" w:space="0" w:color="auto"/>
        <w:left w:val="none" w:sz="0" w:space="0" w:color="auto"/>
        <w:bottom w:val="none" w:sz="0" w:space="0" w:color="auto"/>
        <w:right w:val="none" w:sz="0" w:space="0" w:color="auto"/>
      </w:divBdr>
    </w:div>
    <w:div w:id="778648578">
      <w:bodyDiv w:val="1"/>
      <w:marLeft w:val="0"/>
      <w:marRight w:val="0"/>
      <w:marTop w:val="0"/>
      <w:marBottom w:val="0"/>
      <w:divBdr>
        <w:top w:val="none" w:sz="0" w:space="0" w:color="auto"/>
        <w:left w:val="none" w:sz="0" w:space="0" w:color="auto"/>
        <w:bottom w:val="none" w:sz="0" w:space="0" w:color="auto"/>
        <w:right w:val="none" w:sz="0" w:space="0" w:color="auto"/>
      </w:divBdr>
    </w:div>
    <w:div w:id="814758209">
      <w:bodyDiv w:val="1"/>
      <w:marLeft w:val="0"/>
      <w:marRight w:val="0"/>
      <w:marTop w:val="0"/>
      <w:marBottom w:val="0"/>
      <w:divBdr>
        <w:top w:val="none" w:sz="0" w:space="0" w:color="auto"/>
        <w:left w:val="none" w:sz="0" w:space="0" w:color="auto"/>
        <w:bottom w:val="none" w:sz="0" w:space="0" w:color="auto"/>
        <w:right w:val="none" w:sz="0" w:space="0" w:color="auto"/>
      </w:divBdr>
    </w:div>
    <w:div w:id="836652442">
      <w:bodyDiv w:val="1"/>
      <w:marLeft w:val="0"/>
      <w:marRight w:val="0"/>
      <w:marTop w:val="0"/>
      <w:marBottom w:val="0"/>
      <w:divBdr>
        <w:top w:val="none" w:sz="0" w:space="0" w:color="auto"/>
        <w:left w:val="none" w:sz="0" w:space="0" w:color="auto"/>
        <w:bottom w:val="none" w:sz="0" w:space="0" w:color="auto"/>
        <w:right w:val="none" w:sz="0" w:space="0" w:color="auto"/>
      </w:divBdr>
    </w:div>
    <w:div w:id="850804799">
      <w:bodyDiv w:val="1"/>
      <w:marLeft w:val="0"/>
      <w:marRight w:val="0"/>
      <w:marTop w:val="0"/>
      <w:marBottom w:val="0"/>
      <w:divBdr>
        <w:top w:val="none" w:sz="0" w:space="0" w:color="auto"/>
        <w:left w:val="none" w:sz="0" w:space="0" w:color="auto"/>
        <w:bottom w:val="none" w:sz="0" w:space="0" w:color="auto"/>
        <w:right w:val="none" w:sz="0" w:space="0" w:color="auto"/>
      </w:divBdr>
      <w:divsChild>
        <w:div w:id="482889559">
          <w:marLeft w:val="0"/>
          <w:marRight w:val="0"/>
          <w:marTop w:val="0"/>
          <w:marBottom w:val="0"/>
          <w:divBdr>
            <w:top w:val="none" w:sz="0" w:space="0" w:color="auto"/>
            <w:left w:val="none" w:sz="0" w:space="0" w:color="auto"/>
            <w:bottom w:val="none" w:sz="0" w:space="0" w:color="auto"/>
            <w:right w:val="none" w:sz="0" w:space="0" w:color="auto"/>
          </w:divBdr>
        </w:div>
        <w:div w:id="1722514768">
          <w:marLeft w:val="0"/>
          <w:marRight w:val="0"/>
          <w:marTop w:val="0"/>
          <w:marBottom w:val="0"/>
          <w:divBdr>
            <w:top w:val="none" w:sz="0" w:space="0" w:color="auto"/>
            <w:left w:val="none" w:sz="0" w:space="0" w:color="auto"/>
            <w:bottom w:val="none" w:sz="0" w:space="0" w:color="auto"/>
            <w:right w:val="none" w:sz="0" w:space="0" w:color="auto"/>
          </w:divBdr>
        </w:div>
        <w:div w:id="1750468276">
          <w:marLeft w:val="0"/>
          <w:marRight w:val="0"/>
          <w:marTop w:val="0"/>
          <w:marBottom w:val="0"/>
          <w:divBdr>
            <w:top w:val="none" w:sz="0" w:space="0" w:color="auto"/>
            <w:left w:val="none" w:sz="0" w:space="0" w:color="auto"/>
            <w:bottom w:val="none" w:sz="0" w:space="0" w:color="auto"/>
            <w:right w:val="none" w:sz="0" w:space="0" w:color="auto"/>
          </w:divBdr>
        </w:div>
      </w:divsChild>
    </w:div>
    <w:div w:id="853769058">
      <w:bodyDiv w:val="1"/>
      <w:marLeft w:val="0"/>
      <w:marRight w:val="0"/>
      <w:marTop w:val="0"/>
      <w:marBottom w:val="0"/>
      <w:divBdr>
        <w:top w:val="none" w:sz="0" w:space="0" w:color="auto"/>
        <w:left w:val="none" w:sz="0" w:space="0" w:color="auto"/>
        <w:bottom w:val="none" w:sz="0" w:space="0" w:color="auto"/>
        <w:right w:val="none" w:sz="0" w:space="0" w:color="auto"/>
      </w:divBdr>
    </w:div>
    <w:div w:id="858735541">
      <w:bodyDiv w:val="1"/>
      <w:marLeft w:val="0"/>
      <w:marRight w:val="0"/>
      <w:marTop w:val="0"/>
      <w:marBottom w:val="0"/>
      <w:divBdr>
        <w:top w:val="none" w:sz="0" w:space="0" w:color="auto"/>
        <w:left w:val="none" w:sz="0" w:space="0" w:color="auto"/>
        <w:bottom w:val="none" w:sz="0" w:space="0" w:color="auto"/>
        <w:right w:val="none" w:sz="0" w:space="0" w:color="auto"/>
      </w:divBdr>
      <w:divsChild>
        <w:div w:id="660933237">
          <w:marLeft w:val="547"/>
          <w:marRight w:val="0"/>
          <w:marTop w:val="0"/>
          <w:marBottom w:val="0"/>
          <w:divBdr>
            <w:top w:val="none" w:sz="0" w:space="0" w:color="auto"/>
            <w:left w:val="none" w:sz="0" w:space="0" w:color="auto"/>
            <w:bottom w:val="none" w:sz="0" w:space="0" w:color="auto"/>
            <w:right w:val="none" w:sz="0" w:space="0" w:color="auto"/>
          </w:divBdr>
        </w:div>
      </w:divsChild>
    </w:div>
    <w:div w:id="859898090">
      <w:bodyDiv w:val="1"/>
      <w:marLeft w:val="0"/>
      <w:marRight w:val="0"/>
      <w:marTop w:val="0"/>
      <w:marBottom w:val="0"/>
      <w:divBdr>
        <w:top w:val="none" w:sz="0" w:space="0" w:color="auto"/>
        <w:left w:val="none" w:sz="0" w:space="0" w:color="auto"/>
        <w:bottom w:val="none" w:sz="0" w:space="0" w:color="auto"/>
        <w:right w:val="none" w:sz="0" w:space="0" w:color="auto"/>
      </w:divBdr>
      <w:divsChild>
        <w:div w:id="195119374">
          <w:marLeft w:val="0"/>
          <w:marRight w:val="0"/>
          <w:marTop w:val="0"/>
          <w:marBottom w:val="0"/>
          <w:divBdr>
            <w:top w:val="none" w:sz="0" w:space="0" w:color="auto"/>
            <w:left w:val="none" w:sz="0" w:space="0" w:color="auto"/>
            <w:bottom w:val="none" w:sz="0" w:space="0" w:color="auto"/>
            <w:right w:val="none" w:sz="0" w:space="0" w:color="auto"/>
          </w:divBdr>
        </w:div>
        <w:div w:id="303119624">
          <w:marLeft w:val="0"/>
          <w:marRight w:val="0"/>
          <w:marTop w:val="0"/>
          <w:marBottom w:val="0"/>
          <w:divBdr>
            <w:top w:val="none" w:sz="0" w:space="0" w:color="auto"/>
            <w:left w:val="none" w:sz="0" w:space="0" w:color="auto"/>
            <w:bottom w:val="none" w:sz="0" w:space="0" w:color="auto"/>
            <w:right w:val="none" w:sz="0" w:space="0" w:color="auto"/>
          </w:divBdr>
        </w:div>
        <w:div w:id="707461325">
          <w:marLeft w:val="0"/>
          <w:marRight w:val="0"/>
          <w:marTop w:val="0"/>
          <w:marBottom w:val="0"/>
          <w:divBdr>
            <w:top w:val="none" w:sz="0" w:space="0" w:color="auto"/>
            <w:left w:val="none" w:sz="0" w:space="0" w:color="auto"/>
            <w:bottom w:val="none" w:sz="0" w:space="0" w:color="auto"/>
            <w:right w:val="none" w:sz="0" w:space="0" w:color="auto"/>
          </w:divBdr>
        </w:div>
        <w:div w:id="742677179">
          <w:marLeft w:val="0"/>
          <w:marRight w:val="0"/>
          <w:marTop w:val="0"/>
          <w:marBottom w:val="0"/>
          <w:divBdr>
            <w:top w:val="none" w:sz="0" w:space="0" w:color="auto"/>
            <w:left w:val="none" w:sz="0" w:space="0" w:color="auto"/>
            <w:bottom w:val="none" w:sz="0" w:space="0" w:color="auto"/>
            <w:right w:val="none" w:sz="0" w:space="0" w:color="auto"/>
          </w:divBdr>
        </w:div>
        <w:div w:id="1062869261">
          <w:marLeft w:val="0"/>
          <w:marRight w:val="0"/>
          <w:marTop w:val="0"/>
          <w:marBottom w:val="0"/>
          <w:divBdr>
            <w:top w:val="none" w:sz="0" w:space="0" w:color="auto"/>
            <w:left w:val="none" w:sz="0" w:space="0" w:color="auto"/>
            <w:bottom w:val="none" w:sz="0" w:space="0" w:color="auto"/>
            <w:right w:val="none" w:sz="0" w:space="0" w:color="auto"/>
          </w:divBdr>
        </w:div>
        <w:div w:id="1135374525">
          <w:marLeft w:val="0"/>
          <w:marRight w:val="0"/>
          <w:marTop w:val="0"/>
          <w:marBottom w:val="0"/>
          <w:divBdr>
            <w:top w:val="none" w:sz="0" w:space="0" w:color="auto"/>
            <w:left w:val="none" w:sz="0" w:space="0" w:color="auto"/>
            <w:bottom w:val="none" w:sz="0" w:space="0" w:color="auto"/>
            <w:right w:val="none" w:sz="0" w:space="0" w:color="auto"/>
          </w:divBdr>
        </w:div>
        <w:div w:id="1547639767">
          <w:marLeft w:val="0"/>
          <w:marRight w:val="0"/>
          <w:marTop w:val="0"/>
          <w:marBottom w:val="0"/>
          <w:divBdr>
            <w:top w:val="none" w:sz="0" w:space="0" w:color="auto"/>
            <w:left w:val="none" w:sz="0" w:space="0" w:color="auto"/>
            <w:bottom w:val="none" w:sz="0" w:space="0" w:color="auto"/>
            <w:right w:val="none" w:sz="0" w:space="0" w:color="auto"/>
          </w:divBdr>
        </w:div>
        <w:div w:id="2020620458">
          <w:marLeft w:val="0"/>
          <w:marRight w:val="0"/>
          <w:marTop w:val="0"/>
          <w:marBottom w:val="0"/>
          <w:divBdr>
            <w:top w:val="none" w:sz="0" w:space="0" w:color="auto"/>
            <w:left w:val="none" w:sz="0" w:space="0" w:color="auto"/>
            <w:bottom w:val="none" w:sz="0" w:space="0" w:color="auto"/>
            <w:right w:val="none" w:sz="0" w:space="0" w:color="auto"/>
          </w:divBdr>
        </w:div>
        <w:div w:id="2047173460">
          <w:marLeft w:val="0"/>
          <w:marRight w:val="0"/>
          <w:marTop w:val="0"/>
          <w:marBottom w:val="0"/>
          <w:divBdr>
            <w:top w:val="none" w:sz="0" w:space="0" w:color="auto"/>
            <w:left w:val="none" w:sz="0" w:space="0" w:color="auto"/>
            <w:bottom w:val="none" w:sz="0" w:space="0" w:color="auto"/>
            <w:right w:val="none" w:sz="0" w:space="0" w:color="auto"/>
          </w:divBdr>
        </w:div>
        <w:div w:id="2076508922">
          <w:marLeft w:val="0"/>
          <w:marRight w:val="0"/>
          <w:marTop w:val="0"/>
          <w:marBottom w:val="0"/>
          <w:divBdr>
            <w:top w:val="none" w:sz="0" w:space="0" w:color="auto"/>
            <w:left w:val="none" w:sz="0" w:space="0" w:color="auto"/>
            <w:bottom w:val="none" w:sz="0" w:space="0" w:color="auto"/>
            <w:right w:val="none" w:sz="0" w:space="0" w:color="auto"/>
          </w:divBdr>
        </w:div>
      </w:divsChild>
    </w:div>
    <w:div w:id="873926899">
      <w:bodyDiv w:val="1"/>
      <w:marLeft w:val="0"/>
      <w:marRight w:val="0"/>
      <w:marTop w:val="0"/>
      <w:marBottom w:val="0"/>
      <w:divBdr>
        <w:top w:val="none" w:sz="0" w:space="0" w:color="auto"/>
        <w:left w:val="none" w:sz="0" w:space="0" w:color="auto"/>
        <w:bottom w:val="none" w:sz="0" w:space="0" w:color="auto"/>
        <w:right w:val="none" w:sz="0" w:space="0" w:color="auto"/>
      </w:divBdr>
      <w:divsChild>
        <w:div w:id="795879518">
          <w:marLeft w:val="0"/>
          <w:marRight w:val="0"/>
          <w:marTop w:val="0"/>
          <w:marBottom w:val="0"/>
          <w:divBdr>
            <w:top w:val="none" w:sz="0" w:space="0" w:color="auto"/>
            <w:left w:val="none" w:sz="0" w:space="0" w:color="auto"/>
            <w:bottom w:val="none" w:sz="0" w:space="0" w:color="auto"/>
            <w:right w:val="none" w:sz="0" w:space="0" w:color="auto"/>
          </w:divBdr>
        </w:div>
      </w:divsChild>
    </w:div>
    <w:div w:id="895046182">
      <w:bodyDiv w:val="1"/>
      <w:marLeft w:val="0"/>
      <w:marRight w:val="0"/>
      <w:marTop w:val="0"/>
      <w:marBottom w:val="0"/>
      <w:divBdr>
        <w:top w:val="none" w:sz="0" w:space="0" w:color="auto"/>
        <w:left w:val="none" w:sz="0" w:space="0" w:color="auto"/>
        <w:bottom w:val="none" w:sz="0" w:space="0" w:color="auto"/>
        <w:right w:val="none" w:sz="0" w:space="0" w:color="auto"/>
      </w:divBdr>
    </w:div>
    <w:div w:id="926353721">
      <w:bodyDiv w:val="1"/>
      <w:marLeft w:val="0"/>
      <w:marRight w:val="0"/>
      <w:marTop w:val="0"/>
      <w:marBottom w:val="0"/>
      <w:divBdr>
        <w:top w:val="none" w:sz="0" w:space="0" w:color="auto"/>
        <w:left w:val="none" w:sz="0" w:space="0" w:color="auto"/>
        <w:bottom w:val="none" w:sz="0" w:space="0" w:color="auto"/>
        <w:right w:val="none" w:sz="0" w:space="0" w:color="auto"/>
      </w:divBdr>
    </w:div>
    <w:div w:id="982125441">
      <w:bodyDiv w:val="1"/>
      <w:marLeft w:val="0"/>
      <w:marRight w:val="0"/>
      <w:marTop w:val="0"/>
      <w:marBottom w:val="0"/>
      <w:divBdr>
        <w:top w:val="none" w:sz="0" w:space="0" w:color="auto"/>
        <w:left w:val="none" w:sz="0" w:space="0" w:color="auto"/>
        <w:bottom w:val="none" w:sz="0" w:space="0" w:color="auto"/>
        <w:right w:val="none" w:sz="0" w:space="0" w:color="auto"/>
      </w:divBdr>
    </w:div>
    <w:div w:id="982584323">
      <w:bodyDiv w:val="1"/>
      <w:marLeft w:val="0"/>
      <w:marRight w:val="0"/>
      <w:marTop w:val="0"/>
      <w:marBottom w:val="0"/>
      <w:divBdr>
        <w:top w:val="none" w:sz="0" w:space="0" w:color="auto"/>
        <w:left w:val="none" w:sz="0" w:space="0" w:color="auto"/>
        <w:bottom w:val="none" w:sz="0" w:space="0" w:color="auto"/>
        <w:right w:val="none" w:sz="0" w:space="0" w:color="auto"/>
      </w:divBdr>
    </w:div>
    <w:div w:id="985625558">
      <w:bodyDiv w:val="1"/>
      <w:marLeft w:val="0"/>
      <w:marRight w:val="0"/>
      <w:marTop w:val="0"/>
      <w:marBottom w:val="0"/>
      <w:divBdr>
        <w:top w:val="none" w:sz="0" w:space="0" w:color="auto"/>
        <w:left w:val="none" w:sz="0" w:space="0" w:color="auto"/>
        <w:bottom w:val="none" w:sz="0" w:space="0" w:color="auto"/>
        <w:right w:val="none" w:sz="0" w:space="0" w:color="auto"/>
      </w:divBdr>
    </w:div>
    <w:div w:id="1046417631">
      <w:bodyDiv w:val="1"/>
      <w:marLeft w:val="0"/>
      <w:marRight w:val="0"/>
      <w:marTop w:val="0"/>
      <w:marBottom w:val="0"/>
      <w:divBdr>
        <w:top w:val="none" w:sz="0" w:space="0" w:color="auto"/>
        <w:left w:val="none" w:sz="0" w:space="0" w:color="auto"/>
        <w:bottom w:val="none" w:sz="0" w:space="0" w:color="auto"/>
        <w:right w:val="none" w:sz="0" w:space="0" w:color="auto"/>
      </w:divBdr>
    </w:div>
    <w:div w:id="1152796482">
      <w:bodyDiv w:val="1"/>
      <w:marLeft w:val="0"/>
      <w:marRight w:val="0"/>
      <w:marTop w:val="0"/>
      <w:marBottom w:val="0"/>
      <w:divBdr>
        <w:top w:val="none" w:sz="0" w:space="0" w:color="auto"/>
        <w:left w:val="none" w:sz="0" w:space="0" w:color="auto"/>
        <w:bottom w:val="none" w:sz="0" w:space="0" w:color="auto"/>
        <w:right w:val="none" w:sz="0" w:space="0" w:color="auto"/>
      </w:divBdr>
    </w:div>
    <w:div w:id="1153907800">
      <w:bodyDiv w:val="1"/>
      <w:marLeft w:val="0"/>
      <w:marRight w:val="0"/>
      <w:marTop w:val="0"/>
      <w:marBottom w:val="0"/>
      <w:divBdr>
        <w:top w:val="none" w:sz="0" w:space="0" w:color="auto"/>
        <w:left w:val="none" w:sz="0" w:space="0" w:color="auto"/>
        <w:bottom w:val="none" w:sz="0" w:space="0" w:color="auto"/>
        <w:right w:val="none" w:sz="0" w:space="0" w:color="auto"/>
      </w:divBdr>
      <w:divsChild>
        <w:div w:id="51123478">
          <w:marLeft w:val="0"/>
          <w:marRight w:val="0"/>
          <w:marTop w:val="0"/>
          <w:marBottom w:val="0"/>
          <w:divBdr>
            <w:top w:val="none" w:sz="0" w:space="0" w:color="auto"/>
            <w:left w:val="none" w:sz="0" w:space="0" w:color="auto"/>
            <w:bottom w:val="none" w:sz="0" w:space="0" w:color="auto"/>
            <w:right w:val="none" w:sz="0" w:space="0" w:color="auto"/>
          </w:divBdr>
          <w:divsChild>
            <w:div w:id="271478571">
              <w:marLeft w:val="0"/>
              <w:marRight w:val="0"/>
              <w:marTop w:val="0"/>
              <w:marBottom w:val="0"/>
              <w:divBdr>
                <w:top w:val="none" w:sz="0" w:space="0" w:color="auto"/>
                <w:left w:val="none" w:sz="0" w:space="0" w:color="auto"/>
                <w:bottom w:val="none" w:sz="0" w:space="0" w:color="auto"/>
                <w:right w:val="none" w:sz="0" w:space="0" w:color="auto"/>
              </w:divBdr>
            </w:div>
            <w:div w:id="721028029">
              <w:marLeft w:val="0"/>
              <w:marRight w:val="0"/>
              <w:marTop w:val="0"/>
              <w:marBottom w:val="0"/>
              <w:divBdr>
                <w:top w:val="none" w:sz="0" w:space="0" w:color="auto"/>
                <w:left w:val="none" w:sz="0" w:space="0" w:color="auto"/>
                <w:bottom w:val="none" w:sz="0" w:space="0" w:color="auto"/>
                <w:right w:val="none" w:sz="0" w:space="0" w:color="auto"/>
              </w:divBdr>
            </w:div>
            <w:div w:id="1512525304">
              <w:marLeft w:val="0"/>
              <w:marRight w:val="0"/>
              <w:marTop w:val="0"/>
              <w:marBottom w:val="0"/>
              <w:divBdr>
                <w:top w:val="none" w:sz="0" w:space="0" w:color="auto"/>
                <w:left w:val="none" w:sz="0" w:space="0" w:color="auto"/>
                <w:bottom w:val="none" w:sz="0" w:space="0" w:color="auto"/>
                <w:right w:val="none" w:sz="0" w:space="0" w:color="auto"/>
              </w:divBdr>
            </w:div>
            <w:div w:id="1840075859">
              <w:marLeft w:val="0"/>
              <w:marRight w:val="0"/>
              <w:marTop w:val="0"/>
              <w:marBottom w:val="0"/>
              <w:divBdr>
                <w:top w:val="none" w:sz="0" w:space="0" w:color="auto"/>
                <w:left w:val="none" w:sz="0" w:space="0" w:color="auto"/>
                <w:bottom w:val="none" w:sz="0" w:space="0" w:color="auto"/>
                <w:right w:val="none" w:sz="0" w:space="0" w:color="auto"/>
              </w:divBdr>
            </w:div>
          </w:divsChild>
        </w:div>
        <w:div w:id="187257326">
          <w:marLeft w:val="0"/>
          <w:marRight w:val="0"/>
          <w:marTop w:val="0"/>
          <w:marBottom w:val="0"/>
          <w:divBdr>
            <w:top w:val="none" w:sz="0" w:space="0" w:color="auto"/>
            <w:left w:val="none" w:sz="0" w:space="0" w:color="auto"/>
            <w:bottom w:val="none" w:sz="0" w:space="0" w:color="auto"/>
            <w:right w:val="none" w:sz="0" w:space="0" w:color="auto"/>
          </w:divBdr>
        </w:div>
        <w:div w:id="314726911">
          <w:marLeft w:val="0"/>
          <w:marRight w:val="0"/>
          <w:marTop w:val="0"/>
          <w:marBottom w:val="0"/>
          <w:divBdr>
            <w:top w:val="none" w:sz="0" w:space="0" w:color="auto"/>
            <w:left w:val="none" w:sz="0" w:space="0" w:color="auto"/>
            <w:bottom w:val="none" w:sz="0" w:space="0" w:color="auto"/>
            <w:right w:val="none" w:sz="0" w:space="0" w:color="auto"/>
          </w:divBdr>
        </w:div>
        <w:div w:id="542061070">
          <w:marLeft w:val="0"/>
          <w:marRight w:val="0"/>
          <w:marTop w:val="0"/>
          <w:marBottom w:val="0"/>
          <w:divBdr>
            <w:top w:val="none" w:sz="0" w:space="0" w:color="auto"/>
            <w:left w:val="none" w:sz="0" w:space="0" w:color="auto"/>
            <w:bottom w:val="none" w:sz="0" w:space="0" w:color="auto"/>
            <w:right w:val="none" w:sz="0" w:space="0" w:color="auto"/>
          </w:divBdr>
        </w:div>
        <w:div w:id="825126832">
          <w:marLeft w:val="0"/>
          <w:marRight w:val="0"/>
          <w:marTop w:val="0"/>
          <w:marBottom w:val="0"/>
          <w:divBdr>
            <w:top w:val="none" w:sz="0" w:space="0" w:color="auto"/>
            <w:left w:val="none" w:sz="0" w:space="0" w:color="auto"/>
            <w:bottom w:val="none" w:sz="0" w:space="0" w:color="auto"/>
            <w:right w:val="none" w:sz="0" w:space="0" w:color="auto"/>
          </w:divBdr>
          <w:divsChild>
            <w:div w:id="95714634">
              <w:marLeft w:val="0"/>
              <w:marRight w:val="0"/>
              <w:marTop w:val="0"/>
              <w:marBottom w:val="0"/>
              <w:divBdr>
                <w:top w:val="none" w:sz="0" w:space="0" w:color="auto"/>
                <w:left w:val="none" w:sz="0" w:space="0" w:color="auto"/>
                <w:bottom w:val="none" w:sz="0" w:space="0" w:color="auto"/>
                <w:right w:val="none" w:sz="0" w:space="0" w:color="auto"/>
              </w:divBdr>
            </w:div>
            <w:div w:id="394738778">
              <w:marLeft w:val="0"/>
              <w:marRight w:val="0"/>
              <w:marTop w:val="0"/>
              <w:marBottom w:val="0"/>
              <w:divBdr>
                <w:top w:val="none" w:sz="0" w:space="0" w:color="auto"/>
                <w:left w:val="none" w:sz="0" w:space="0" w:color="auto"/>
                <w:bottom w:val="none" w:sz="0" w:space="0" w:color="auto"/>
                <w:right w:val="none" w:sz="0" w:space="0" w:color="auto"/>
              </w:divBdr>
            </w:div>
            <w:div w:id="889343456">
              <w:marLeft w:val="0"/>
              <w:marRight w:val="0"/>
              <w:marTop w:val="0"/>
              <w:marBottom w:val="0"/>
              <w:divBdr>
                <w:top w:val="none" w:sz="0" w:space="0" w:color="auto"/>
                <w:left w:val="none" w:sz="0" w:space="0" w:color="auto"/>
                <w:bottom w:val="none" w:sz="0" w:space="0" w:color="auto"/>
                <w:right w:val="none" w:sz="0" w:space="0" w:color="auto"/>
              </w:divBdr>
            </w:div>
            <w:div w:id="1236210709">
              <w:marLeft w:val="0"/>
              <w:marRight w:val="0"/>
              <w:marTop w:val="0"/>
              <w:marBottom w:val="0"/>
              <w:divBdr>
                <w:top w:val="none" w:sz="0" w:space="0" w:color="auto"/>
                <w:left w:val="none" w:sz="0" w:space="0" w:color="auto"/>
                <w:bottom w:val="none" w:sz="0" w:space="0" w:color="auto"/>
                <w:right w:val="none" w:sz="0" w:space="0" w:color="auto"/>
              </w:divBdr>
            </w:div>
            <w:div w:id="1972053260">
              <w:marLeft w:val="0"/>
              <w:marRight w:val="0"/>
              <w:marTop w:val="0"/>
              <w:marBottom w:val="0"/>
              <w:divBdr>
                <w:top w:val="none" w:sz="0" w:space="0" w:color="auto"/>
                <w:left w:val="none" w:sz="0" w:space="0" w:color="auto"/>
                <w:bottom w:val="none" w:sz="0" w:space="0" w:color="auto"/>
                <w:right w:val="none" w:sz="0" w:space="0" w:color="auto"/>
              </w:divBdr>
            </w:div>
          </w:divsChild>
        </w:div>
        <w:div w:id="923488010">
          <w:marLeft w:val="0"/>
          <w:marRight w:val="0"/>
          <w:marTop w:val="0"/>
          <w:marBottom w:val="0"/>
          <w:divBdr>
            <w:top w:val="none" w:sz="0" w:space="0" w:color="auto"/>
            <w:left w:val="none" w:sz="0" w:space="0" w:color="auto"/>
            <w:bottom w:val="none" w:sz="0" w:space="0" w:color="auto"/>
            <w:right w:val="none" w:sz="0" w:space="0" w:color="auto"/>
          </w:divBdr>
          <w:divsChild>
            <w:div w:id="499196220">
              <w:marLeft w:val="0"/>
              <w:marRight w:val="0"/>
              <w:marTop w:val="0"/>
              <w:marBottom w:val="0"/>
              <w:divBdr>
                <w:top w:val="none" w:sz="0" w:space="0" w:color="auto"/>
                <w:left w:val="none" w:sz="0" w:space="0" w:color="auto"/>
                <w:bottom w:val="none" w:sz="0" w:space="0" w:color="auto"/>
                <w:right w:val="none" w:sz="0" w:space="0" w:color="auto"/>
              </w:divBdr>
            </w:div>
            <w:div w:id="726225067">
              <w:marLeft w:val="0"/>
              <w:marRight w:val="0"/>
              <w:marTop w:val="0"/>
              <w:marBottom w:val="0"/>
              <w:divBdr>
                <w:top w:val="none" w:sz="0" w:space="0" w:color="auto"/>
                <w:left w:val="none" w:sz="0" w:space="0" w:color="auto"/>
                <w:bottom w:val="none" w:sz="0" w:space="0" w:color="auto"/>
                <w:right w:val="none" w:sz="0" w:space="0" w:color="auto"/>
              </w:divBdr>
            </w:div>
            <w:div w:id="1302878417">
              <w:marLeft w:val="0"/>
              <w:marRight w:val="0"/>
              <w:marTop w:val="0"/>
              <w:marBottom w:val="0"/>
              <w:divBdr>
                <w:top w:val="none" w:sz="0" w:space="0" w:color="auto"/>
                <w:left w:val="none" w:sz="0" w:space="0" w:color="auto"/>
                <w:bottom w:val="none" w:sz="0" w:space="0" w:color="auto"/>
                <w:right w:val="none" w:sz="0" w:space="0" w:color="auto"/>
              </w:divBdr>
            </w:div>
            <w:div w:id="1443526092">
              <w:marLeft w:val="0"/>
              <w:marRight w:val="0"/>
              <w:marTop w:val="0"/>
              <w:marBottom w:val="0"/>
              <w:divBdr>
                <w:top w:val="none" w:sz="0" w:space="0" w:color="auto"/>
                <w:left w:val="none" w:sz="0" w:space="0" w:color="auto"/>
                <w:bottom w:val="none" w:sz="0" w:space="0" w:color="auto"/>
                <w:right w:val="none" w:sz="0" w:space="0" w:color="auto"/>
              </w:divBdr>
            </w:div>
            <w:div w:id="1814372738">
              <w:marLeft w:val="0"/>
              <w:marRight w:val="0"/>
              <w:marTop w:val="0"/>
              <w:marBottom w:val="0"/>
              <w:divBdr>
                <w:top w:val="none" w:sz="0" w:space="0" w:color="auto"/>
                <w:left w:val="none" w:sz="0" w:space="0" w:color="auto"/>
                <w:bottom w:val="none" w:sz="0" w:space="0" w:color="auto"/>
                <w:right w:val="none" w:sz="0" w:space="0" w:color="auto"/>
              </w:divBdr>
            </w:div>
          </w:divsChild>
        </w:div>
        <w:div w:id="1364599130">
          <w:marLeft w:val="0"/>
          <w:marRight w:val="0"/>
          <w:marTop w:val="0"/>
          <w:marBottom w:val="0"/>
          <w:divBdr>
            <w:top w:val="none" w:sz="0" w:space="0" w:color="auto"/>
            <w:left w:val="none" w:sz="0" w:space="0" w:color="auto"/>
            <w:bottom w:val="none" w:sz="0" w:space="0" w:color="auto"/>
            <w:right w:val="none" w:sz="0" w:space="0" w:color="auto"/>
          </w:divBdr>
        </w:div>
        <w:div w:id="1475101539">
          <w:marLeft w:val="0"/>
          <w:marRight w:val="0"/>
          <w:marTop w:val="0"/>
          <w:marBottom w:val="0"/>
          <w:divBdr>
            <w:top w:val="none" w:sz="0" w:space="0" w:color="auto"/>
            <w:left w:val="none" w:sz="0" w:space="0" w:color="auto"/>
            <w:bottom w:val="none" w:sz="0" w:space="0" w:color="auto"/>
            <w:right w:val="none" w:sz="0" w:space="0" w:color="auto"/>
          </w:divBdr>
          <w:divsChild>
            <w:div w:id="35669199">
              <w:marLeft w:val="0"/>
              <w:marRight w:val="0"/>
              <w:marTop w:val="0"/>
              <w:marBottom w:val="0"/>
              <w:divBdr>
                <w:top w:val="none" w:sz="0" w:space="0" w:color="auto"/>
                <w:left w:val="none" w:sz="0" w:space="0" w:color="auto"/>
                <w:bottom w:val="none" w:sz="0" w:space="0" w:color="auto"/>
                <w:right w:val="none" w:sz="0" w:space="0" w:color="auto"/>
              </w:divBdr>
            </w:div>
            <w:div w:id="251940657">
              <w:marLeft w:val="0"/>
              <w:marRight w:val="0"/>
              <w:marTop w:val="0"/>
              <w:marBottom w:val="0"/>
              <w:divBdr>
                <w:top w:val="none" w:sz="0" w:space="0" w:color="auto"/>
                <w:left w:val="none" w:sz="0" w:space="0" w:color="auto"/>
                <w:bottom w:val="none" w:sz="0" w:space="0" w:color="auto"/>
                <w:right w:val="none" w:sz="0" w:space="0" w:color="auto"/>
              </w:divBdr>
            </w:div>
            <w:div w:id="415175338">
              <w:marLeft w:val="0"/>
              <w:marRight w:val="0"/>
              <w:marTop w:val="0"/>
              <w:marBottom w:val="0"/>
              <w:divBdr>
                <w:top w:val="none" w:sz="0" w:space="0" w:color="auto"/>
                <w:left w:val="none" w:sz="0" w:space="0" w:color="auto"/>
                <w:bottom w:val="none" w:sz="0" w:space="0" w:color="auto"/>
                <w:right w:val="none" w:sz="0" w:space="0" w:color="auto"/>
              </w:divBdr>
            </w:div>
          </w:divsChild>
        </w:div>
        <w:div w:id="1553425501">
          <w:marLeft w:val="0"/>
          <w:marRight w:val="0"/>
          <w:marTop w:val="0"/>
          <w:marBottom w:val="0"/>
          <w:divBdr>
            <w:top w:val="none" w:sz="0" w:space="0" w:color="auto"/>
            <w:left w:val="none" w:sz="0" w:space="0" w:color="auto"/>
            <w:bottom w:val="none" w:sz="0" w:space="0" w:color="auto"/>
            <w:right w:val="none" w:sz="0" w:space="0" w:color="auto"/>
          </w:divBdr>
        </w:div>
        <w:div w:id="1558278502">
          <w:marLeft w:val="0"/>
          <w:marRight w:val="0"/>
          <w:marTop w:val="0"/>
          <w:marBottom w:val="0"/>
          <w:divBdr>
            <w:top w:val="none" w:sz="0" w:space="0" w:color="auto"/>
            <w:left w:val="none" w:sz="0" w:space="0" w:color="auto"/>
            <w:bottom w:val="none" w:sz="0" w:space="0" w:color="auto"/>
            <w:right w:val="none" w:sz="0" w:space="0" w:color="auto"/>
          </w:divBdr>
        </w:div>
        <w:div w:id="1565918768">
          <w:marLeft w:val="0"/>
          <w:marRight w:val="0"/>
          <w:marTop w:val="0"/>
          <w:marBottom w:val="0"/>
          <w:divBdr>
            <w:top w:val="none" w:sz="0" w:space="0" w:color="auto"/>
            <w:left w:val="none" w:sz="0" w:space="0" w:color="auto"/>
            <w:bottom w:val="none" w:sz="0" w:space="0" w:color="auto"/>
            <w:right w:val="none" w:sz="0" w:space="0" w:color="auto"/>
          </w:divBdr>
          <w:divsChild>
            <w:div w:id="427042721">
              <w:marLeft w:val="0"/>
              <w:marRight w:val="0"/>
              <w:marTop w:val="0"/>
              <w:marBottom w:val="0"/>
              <w:divBdr>
                <w:top w:val="none" w:sz="0" w:space="0" w:color="auto"/>
                <w:left w:val="none" w:sz="0" w:space="0" w:color="auto"/>
                <w:bottom w:val="none" w:sz="0" w:space="0" w:color="auto"/>
                <w:right w:val="none" w:sz="0" w:space="0" w:color="auto"/>
              </w:divBdr>
            </w:div>
          </w:divsChild>
        </w:div>
        <w:div w:id="1981424206">
          <w:marLeft w:val="0"/>
          <w:marRight w:val="0"/>
          <w:marTop w:val="0"/>
          <w:marBottom w:val="0"/>
          <w:divBdr>
            <w:top w:val="none" w:sz="0" w:space="0" w:color="auto"/>
            <w:left w:val="none" w:sz="0" w:space="0" w:color="auto"/>
            <w:bottom w:val="none" w:sz="0" w:space="0" w:color="auto"/>
            <w:right w:val="none" w:sz="0" w:space="0" w:color="auto"/>
          </w:divBdr>
        </w:div>
      </w:divsChild>
    </w:div>
    <w:div w:id="1168516133">
      <w:bodyDiv w:val="1"/>
      <w:marLeft w:val="0"/>
      <w:marRight w:val="0"/>
      <w:marTop w:val="0"/>
      <w:marBottom w:val="0"/>
      <w:divBdr>
        <w:top w:val="none" w:sz="0" w:space="0" w:color="auto"/>
        <w:left w:val="none" w:sz="0" w:space="0" w:color="auto"/>
        <w:bottom w:val="none" w:sz="0" w:space="0" w:color="auto"/>
        <w:right w:val="none" w:sz="0" w:space="0" w:color="auto"/>
      </w:divBdr>
    </w:div>
    <w:div w:id="1196428658">
      <w:bodyDiv w:val="1"/>
      <w:marLeft w:val="0"/>
      <w:marRight w:val="0"/>
      <w:marTop w:val="0"/>
      <w:marBottom w:val="0"/>
      <w:divBdr>
        <w:top w:val="none" w:sz="0" w:space="0" w:color="auto"/>
        <w:left w:val="none" w:sz="0" w:space="0" w:color="auto"/>
        <w:bottom w:val="none" w:sz="0" w:space="0" w:color="auto"/>
        <w:right w:val="none" w:sz="0" w:space="0" w:color="auto"/>
      </w:divBdr>
      <w:divsChild>
        <w:div w:id="1659075251">
          <w:marLeft w:val="0"/>
          <w:marRight w:val="0"/>
          <w:marTop w:val="0"/>
          <w:marBottom w:val="0"/>
          <w:divBdr>
            <w:top w:val="none" w:sz="0" w:space="0" w:color="auto"/>
            <w:left w:val="none" w:sz="0" w:space="0" w:color="auto"/>
            <w:bottom w:val="none" w:sz="0" w:space="0" w:color="auto"/>
            <w:right w:val="none" w:sz="0" w:space="0" w:color="auto"/>
          </w:divBdr>
          <w:divsChild>
            <w:div w:id="521935603">
              <w:marLeft w:val="0"/>
              <w:marRight w:val="0"/>
              <w:marTop w:val="0"/>
              <w:marBottom w:val="0"/>
              <w:divBdr>
                <w:top w:val="none" w:sz="0" w:space="0" w:color="auto"/>
                <w:left w:val="none" w:sz="0" w:space="0" w:color="auto"/>
                <w:bottom w:val="none" w:sz="0" w:space="0" w:color="auto"/>
                <w:right w:val="none" w:sz="0" w:space="0" w:color="auto"/>
              </w:divBdr>
            </w:div>
          </w:divsChild>
        </w:div>
        <w:div w:id="1872062518">
          <w:marLeft w:val="0"/>
          <w:marRight w:val="0"/>
          <w:marTop w:val="0"/>
          <w:marBottom w:val="0"/>
          <w:divBdr>
            <w:top w:val="none" w:sz="0" w:space="0" w:color="auto"/>
            <w:left w:val="none" w:sz="0" w:space="0" w:color="auto"/>
            <w:bottom w:val="none" w:sz="0" w:space="0" w:color="auto"/>
            <w:right w:val="none" w:sz="0" w:space="0" w:color="auto"/>
          </w:divBdr>
          <w:divsChild>
            <w:div w:id="323970286">
              <w:marLeft w:val="0"/>
              <w:marRight w:val="0"/>
              <w:marTop w:val="0"/>
              <w:marBottom w:val="0"/>
              <w:divBdr>
                <w:top w:val="none" w:sz="0" w:space="0" w:color="auto"/>
                <w:left w:val="none" w:sz="0" w:space="0" w:color="auto"/>
                <w:bottom w:val="none" w:sz="0" w:space="0" w:color="auto"/>
                <w:right w:val="none" w:sz="0" w:space="0" w:color="auto"/>
              </w:divBdr>
            </w:div>
            <w:div w:id="900947550">
              <w:marLeft w:val="0"/>
              <w:marRight w:val="0"/>
              <w:marTop w:val="0"/>
              <w:marBottom w:val="0"/>
              <w:divBdr>
                <w:top w:val="none" w:sz="0" w:space="0" w:color="auto"/>
                <w:left w:val="none" w:sz="0" w:space="0" w:color="auto"/>
                <w:bottom w:val="none" w:sz="0" w:space="0" w:color="auto"/>
                <w:right w:val="none" w:sz="0" w:space="0" w:color="auto"/>
              </w:divBdr>
            </w:div>
            <w:div w:id="95953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770782">
      <w:bodyDiv w:val="1"/>
      <w:marLeft w:val="0"/>
      <w:marRight w:val="0"/>
      <w:marTop w:val="0"/>
      <w:marBottom w:val="0"/>
      <w:divBdr>
        <w:top w:val="none" w:sz="0" w:space="0" w:color="auto"/>
        <w:left w:val="none" w:sz="0" w:space="0" w:color="auto"/>
        <w:bottom w:val="none" w:sz="0" w:space="0" w:color="auto"/>
        <w:right w:val="none" w:sz="0" w:space="0" w:color="auto"/>
      </w:divBdr>
    </w:div>
    <w:div w:id="1235816745">
      <w:bodyDiv w:val="1"/>
      <w:marLeft w:val="0"/>
      <w:marRight w:val="0"/>
      <w:marTop w:val="0"/>
      <w:marBottom w:val="0"/>
      <w:divBdr>
        <w:top w:val="none" w:sz="0" w:space="0" w:color="auto"/>
        <w:left w:val="none" w:sz="0" w:space="0" w:color="auto"/>
        <w:bottom w:val="none" w:sz="0" w:space="0" w:color="auto"/>
        <w:right w:val="none" w:sz="0" w:space="0" w:color="auto"/>
      </w:divBdr>
      <w:divsChild>
        <w:div w:id="25107720">
          <w:marLeft w:val="0"/>
          <w:marRight w:val="0"/>
          <w:marTop w:val="0"/>
          <w:marBottom w:val="0"/>
          <w:divBdr>
            <w:top w:val="none" w:sz="0" w:space="0" w:color="auto"/>
            <w:left w:val="none" w:sz="0" w:space="0" w:color="auto"/>
            <w:bottom w:val="none" w:sz="0" w:space="0" w:color="auto"/>
            <w:right w:val="none" w:sz="0" w:space="0" w:color="auto"/>
          </w:divBdr>
        </w:div>
        <w:div w:id="125438365">
          <w:marLeft w:val="0"/>
          <w:marRight w:val="0"/>
          <w:marTop w:val="0"/>
          <w:marBottom w:val="0"/>
          <w:divBdr>
            <w:top w:val="none" w:sz="0" w:space="0" w:color="auto"/>
            <w:left w:val="none" w:sz="0" w:space="0" w:color="auto"/>
            <w:bottom w:val="none" w:sz="0" w:space="0" w:color="auto"/>
            <w:right w:val="none" w:sz="0" w:space="0" w:color="auto"/>
          </w:divBdr>
        </w:div>
        <w:div w:id="151987473">
          <w:marLeft w:val="0"/>
          <w:marRight w:val="0"/>
          <w:marTop w:val="0"/>
          <w:marBottom w:val="0"/>
          <w:divBdr>
            <w:top w:val="none" w:sz="0" w:space="0" w:color="auto"/>
            <w:left w:val="none" w:sz="0" w:space="0" w:color="auto"/>
            <w:bottom w:val="none" w:sz="0" w:space="0" w:color="auto"/>
            <w:right w:val="none" w:sz="0" w:space="0" w:color="auto"/>
          </w:divBdr>
        </w:div>
        <w:div w:id="294455570">
          <w:marLeft w:val="0"/>
          <w:marRight w:val="0"/>
          <w:marTop w:val="0"/>
          <w:marBottom w:val="0"/>
          <w:divBdr>
            <w:top w:val="none" w:sz="0" w:space="0" w:color="auto"/>
            <w:left w:val="none" w:sz="0" w:space="0" w:color="auto"/>
            <w:bottom w:val="none" w:sz="0" w:space="0" w:color="auto"/>
            <w:right w:val="none" w:sz="0" w:space="0" w:color="auto"/>
          </w:divBdr>
        </w:div>
        <w:div w:id="444344950">
          <w:marLeft w:val="0"/>
          <w:marRight w:val="0"/>
          <w:marTop w:val="0"/>
          <w:marBottom w:val="0"/>
          <w:divBdr>
            <w:top w:val="none" w:sz="0" w:space="0" w:color="auto"/>
            <w:left w:val="none" w:sz="0" w:space="0" w:color="auto"/>
            <w:bottom w:val="none" w:sz="0" w:space="0" w:color="auto"/>
            <w:right w:val="none" w:sz="0" w:space="0" w:color="auto"/>
          </w:divBdr>
        </w:div>
        <w:div w:id="510216541">
          <w:marLeft w:val="0"/>
          <w:marRight w:val="0"/>
          <w:marTop w:val="0"/>
          <w:marBottom w:val="0"/>
          <w:divBdr>
            <w:top w:val="none" w:sz="0" w:space="0" w:color="auto"/>
            <w:left w:val="none" w:sz="0" w:space="0" w:color="auto"/>
            <w:bottom w:val="none" w:sz="0" w:space="0" w:color="auto"/>
            <w:right w:val="none" w:sz="0" w:space="0" w:color="auto"/>
          </w:divBdr>
        </w:div>
        <w:div w:id="564533005">
          <w:marLeft w:val="0"/>
          <w:marRight w:val="0"/>
          <w:marTop w:val="0"/>
          <w:marBottom w:val="0"/>
          <w:divBdr>
            <w:top w:val="none" w:sz="0" w:space="0" w:color="auto"/>
            <w:left w:val="none" w:sz="0" w:space="0" w:color="auto"/>
            <w:bottom w:val="none" w:sz="0" w:space="0" w:color="auto"/>
            <w:right w:val="none" w:sz="0" w:space="0" w:color="auto"/>
          </w:divBdr>
        </w:div>
        <w:div w:id="589392676">
          <w:marLeft w:val="0"/>
          <w:marRight w:val="0"/>
          <w:marTop w:val="0"/>
          <w:marBottom w:val="0"/>
          <w:divBdr>
            <w:top w:val="none" w:sz="0" w:space="0" w:color="auto"/>
            <w:left w:val="none" w:sz="0" w:space="0" w:color="auto"/>
            <w:bottom w:val="none" w:sz="0" w:space="0" w:color="auto"/>
            <w:right w:val="none" w:sz="0" w:space="0" w:color="auto"/>
          </w:divBdr>
        </w:div>
        <w:div w:id="611132399">
          <w:marLeft w:val="0"/>
          <w:marRight w:val="0"/>
          <w:marTop w:val="0"/>
          <w:marBottom w:val="0"/>
          <w:divBdr>
            <w:top w:val="none" w:sz="0" w:space="0" w:color="auto"/>
            <w:left w:val="none" w:sz="0" w:space="0" w:color="auto"/>
            <w:bottom w:val="none" w:sz="0" w:space="0" w:color="auto"/>
            <w:right w:val="none" w:sz="0" w:space="0" w:color="auto"/>
          </w:divBdr>
        </w:div>
        <w:div w:id="666638341">
          <w:marLeft w:val="0"/>
          <w:marRight w:val="0"/>
          <w:marTop w:val="0"/>
          <w:marBottom w:val="0"/>
          <w:divBdr>
            <w:top w:val="none" w:sz="0" w:space="0" w:color="auto"/>
            <w:left w:val="none" w:sz="0" w:space="0" w:color="auto"/>
            <w:bottom w:val="none" w:sz="0" w:space="0" w:color="auto"/>
            <w:right w:val="none" w:sz="0" w:space="0" w:color="auto"/>
          </w:divBdr>
          <w:divsChild>
            <w:div w:id="22678916">
              <w:marLeft w:val="0"/>
              <w:marRight w:val="0"/>
              <w:marTop w:val="0"/>
              <w:marBottom w:val="0"/>
              <w:divBdr>
                <w:top w:val="none" w:sz="0" w:space="0" w:color="auto"/>
                <w:left w:val="none" w:sz="0" w:space="0" w:color="auto"/>
                <w:bottom w:val="none" w:sz="0" w:space="0" w:color="auto"/>
                <w:right w:val="none" w:sz="0" w:space="0" w:color="auto"/>
              </w:divBdr>
            </w:div>
            <w:div w:id="169568695">
              <w:marLeft w:val="0"/>
              <w:marRight w:val="0"/>
              <w:marTop w:val="0"/>
              <w:marBottom w:val="0"/>
              <w:divBdr>
                <w:top w:val="none" w:sz="0" w:space="0" w:color="auto"/>
                <w:left w:val="none" w:sz="0" w:space="0" w:color="auto"/>
                <w:bottom w:val="none" w:sz="0" w:space="0" w:color="auto"/>
                <w:right w:val="none" w:sz="0" w:space="0" w:color="auto"/>
              </w:divBdr>
            </w:div>
            <w:div w:id="226771810">
              <w:marLeft w:val="0"/>
              <w:marRight w:val="0"/>
              <w:marTop w:val="0"/>
              <w:marBottom w:val="0"/>
              <w:divBdr>
                <w:top w:val="none" w:sz="0" w:space="0" w:color="auto"/>
                <w:left w:val="none" w:sz="0" w:space="0" w:color="auto"/>
                <w:bottom w:val="none" w:sz="0" w:space="0" w:color="auto"/>
                <w:right w:val="none" w:sz="0" w:space="0" w:color="auto"/>
              </w:divBdr>
            </w:div>
            <w:div w:id="290401221">
              <w:marLeft w:val="0"/>
              <w:marRight w:val="0"/>
              <w:marTop w:val="0"/>
              <w:marBottom w:val="0"/>
              <w:divBdr>
                <w:top w:val="none" w:sz="0" w:space="0" w:color="auto"/>
                <w:left w:val="none" w:sz="0" w:space="0" w:color="auto"/>
                <w:bottom w:val="none" w:sz="0" w:space="0" w:color="auto"/>
                <w:right w:val="none" w:sz="0" w:space="0" w:color="auto"/>
              </w:divBdr>
            </w:div>
            <w:div w:id="1271816197">
              <w:marLeft w:val="0"/>
              <w:marRight w:val="0"/>
              <w:marTop w:val="0"/>
              <w:marBottom w:val="0"/>
              <w:divBdr>
                <w:top w:val="none" w:sz="0" w:space="0" w:color="auto"/>
                <w:left w:val="none" w:sz="0" w:space="0" w:color="auto"/>
                <w:bottom w:val="none" w:sz="0" w:space="0" w:color="auto"/>
                <w:right w:val="none" w:sz="0" w:space="0" w:color="auto"/>
              </w:divBdr>
            </w:div>
          </w:divsChild>
        </w:div>
        <w:div w:id="695892308">
          <w:marLeft w:val="0"/>
          <w:marRight w:val="0"/>
          <w:marTop w:val="0"/>
          <w:marBottom w:val="0"/>
          <w:divBdr>
            <w:top w:val="none" w:sz="0" w:space="0" w:color="auto"/>
            <w:left w:val="none" w:sz="0" w:space="0" w:color="auto"/>
            <w:bottom w:val="none" w:sz="0" w:space="0" w:color="auto"/>
            <w:right w:val="none" w:sz="0" w:space="0" w:color="auto"/>
          </w:divBdr>
        </w:div>
        <w:div w:id="794252346">
          <w:marLeft w:val="0"/>
          <w:marRight w:val="0"/>
          <w:marTop w:val="0"/>
          <w:marBottom w:val="0"/>
          <w:divBdr>
            <w:top w:val="none" w:sz="0" w:space="0" w:color="auto"/>
            <w:left w:val="none" w:sz="0" w:space="0" w:color="auto"/>
            <w:bottom w:val="none" w:sz="0" w:space="0" w:color="auto"/>
            <w:right w:val="none" w:sz="0" w:space="0" w:color="auto"/>
          </w:divBdr>
        </w:div>
        <w:div w:id="1116099968">
          <w:marLeft w:val="0"/>
          <w:marRight w:val="0"/>
          <w:marTop w:val="0"/>
          <w:marBottom w:val="0"/>
          <w:divBdr>
            <w:top w:val="none" w:sz="0" w:space="0" w:color="auto"/>
            <w:left w:val="none" w:sz="0" w:space="0" w:color="auto"/>
            <w:bottom w:val="none" w:sz="0" w:space="0" w:color="auto"/>
            <w:right w:val="none" w:sz="0" w:space="0" w:color="auto"/>
          </w:divBdr>
        </w:div>
        <w:div w:id="1136875265">
          <w:marLeft w:val="0"/>
          <w:marRight w:val="0"/>
          <w:marTop w:val="0"/>
          <w:marBottom w:val="0"/>
          <w:divBdr>
            <w:top w:val="none" w:sz="0" w:space="0" w:color="auto"/>
            <w:left w:val="none" w:sz="0" w:space="0" w:color="auto"/>
            <w:bottom w:val="none" w:sz="0" w:space="0" w:color="auto"/>
            <w:right w:val="none" w:sz="0" w:space="0" w:color="auto"/>
          </w:divBdr>
        </w:div>
        <w:div w:id="1179856802">
          <w:marLeft w:val="0"/>
          <w:marRight w:val="0"/>
          <w:marTop w:val="0"/>
          <w:marBottom w:val="0"/>
          <w:divBdr>
            <w:top w:val="none" w:sz="0" w:space="0" w:color="auto"/>
            <w:left w:val="none" w:sz="0" w:space="0" w:color="auto"/>
            <w:bottom w:val="none" w:sz="0" w:space="0" w:color="auto"/>
            <w:right w:val="none" w:sz="0" w:space="0" w:color="auto"/>
          </w:divBdr>
        </w:div>
        <w:div w:id="1280331767">
          <w:marLeft w:val="0"/>
          <w:marRight w:val="0"/>
          <w:marTop w:val="0"/>
          <w:marBottom w:val="0"/>
          <w:divBdr>
            <w:top w:val="none" w:sz="0" w:space="0" w:color="auto"/>
            <w:left w:val="none" w:sz="0" w:space="0" w:color="auto"/>
            <w:bottom w:val="none" w:sz="0" w:space="0" w:color="auto"/>
            <w:right w:val="none" w:sz="0" w:space="0" w:color="auto"/>
          </w:divBdr>
        </w:div>
        <w:div w:id="1319925078">
          <w:marLeft w:val="0"/>
          <w:marRight w:val="0"/>
          <w:marTop w:val="0"/>
          <w:marBottom w:val="0"/>
          <w:divBdr>
            <w:top w:val="none" w:sz="0" w:space="0" w:color="auto"/>
            <w:left w:val="none" w:sz="0" w:space="0" w:color="auto"/>
            <w:bottom w:val="none" w:sz="0" w:space="0" w:color="auto"/>
            <w:right w:val="none" w:sz="0" w:space="0" w:color="auto"/>
          </w:divBdr>
        </w:div>
        <w:div w:id="1344164813">
          <w:marLeft w:val="0"/>
          <w:marRight w:val="0"/>
          <w:marTop w:val="0"/>
          <w:marBottom w:val="0"/>
          <w:divBdr>
            <w:top w:val="none" w:sz="0" w:space="0" w:color="auto"/>
            <w:left w:val="none" w:sz="0" w:space="0" w:color="auto"/>
            <w:bottom w:val="none" w:sz="0" w:space="0" w:color="auto"/>
            <w:right w:val="none" w:sz="0" w:space="0" w:color="auto"/>
          </w:divBdr>
        </w:div>
        <w:div w:id="1460149103">
          <w:marLeft w:val="0"/>
          <w:marRight w:val="0"/>
          <w:marTop w:val="0"/>
          <w:marBottom w:val="0"/>
          <w:divBdr>
            <w:top w:val="none" w:sz="0" w:space="0" w:color="auto"/>
            <w:left w:val="none" w:sz="0" w:space="0" w:color="auto"/>
            <w:bottom w:val="none" w:sz="0" w:space="0" w:color="auto"/>
            <w:right w:val="none" w:sz="0" w:space="0" w:color="auto"/>
          </w:divBdr>
        </w:div>
        <w:div w:id="1495149612">
          <w:marLeft w:val="0"/>
          <w:marRight w:val="0"/>
          <w:marTop w:val="0"/>
          <w:marBottom w:val="0"/>
          <w:divBdr>
            <w:top w:val="none" w:sz="0" w:space="0" w:color="auto"/>
            <w:left w:val="none" w:sz="0" w:space="0" w:color="auto"/>
            <w:bottom w:val="none" w:sz="0" w:space="0" w:color="auto"/>
            <w:right w:val="none" w:sz="0" w:space="0" w:color="auto"/>
          </w:divBdr>
        </w:div>
        <w:div w:id="1670525862">
          <w:marLeft w:val="0"/>
          <w:marRight w:val="0"/>
          <w:marTop w:val="0"/>
          <w:marBottom w:val="0"/>
          <w:divBdr>
            <w:top w:val="none" w:sz="0" w:space="0" w:color="auto"/>
            <w:left w:val="none" w:sz="0" w:space="0" w:color="auto"/>
            <w:bottom w:val="none" w:sz="0" w:space="0" w:color="auto"/>
            <w:right w:val="none" w:sz="0" w:space="0" w:color="auto"/>
          </w:divBdr>
        </w:div>
        <w:div w:id="1699311621">
          <w:marLeft w:val="0"/>
          <w:marRight w:val="0"/>
          <w:marTop w:val="0"/>
          <w:marBottom w:val="0"/>
          <w:divBdr>
            <w:top w:val="none" w:sz="0" w:space="0" w:color="auto"/>
            <w:left w:val="none" w:sz="0" w:space="0" w:color="auto"/>
            <w:bottom w:val="none" w:sz="0" w:space="0" w:color="auto"/>
            <w:right w:val="none" w:sz="0" w:space="0" w:color="auto"/>
          </w:divBdr>
        </w:div>
        <w:div w:id="1755852806">
          <w:marLeft w:val="0"/>
          <w:marRight w:val="0"/>
          <w:marTop w:val="0"/>
          <w:marBottom w:val="0"/>
          <w:divBdr>
            <w:top w:val="none" w:sz="0" w:space="0" w:color="auto"/>
            <w:left w:val="none" w:sz="0" w:space="0" w:color="auto"/>
            <w:bottom w:val="none" w:sz="0" w:space="0" w:color="auto"/>
            <w:right w:val="none" w:sz="0" w:space="0" w:color="auto"/>
          </w:divBdr>
          <w:divsChild>
            <w:div w:id="36778301">
              <w:marLeft w:val="0"/>
              <w:marRight w:val="0"/>
              <w:marTop w:val="0"/>
              <w:marBottom w:val="0"/>
              <w:divBdr>
                <w:top w:val="none" w:sz="0" w:space="0" w:color="auto"/>
                <w:left w:val="none" w:sz="0" w:space="0" w:color="auto"/>
                <w:bottom w:val="none" w:sz="0" w:space="0" w:color="auto"/>
                <w:right w:val="none" w:sz="0" w:space="0" w:color="auto"/>
              </w:divBdr>
            </w:div>
            <w:div w:id="651056505">
              <w:marLeft w:val="0"/>
              <w:marRight w:val="0"/>
              <w:marTop w:val="0"/>
              <w:marBottom w:val="0"/>
              <w:divBdr>
                <w:top w:val="none" w:sz="0" w:space="0" w:color="auto"/>
                <w:left w:val="none" w:sz="0" w:space="0" w:color="auto"/>
                <w:bottom w:val="none" w:sz="0" w:space="0" w:color="auto"/>
                <w:right w:val="none" w:sz="0" w:space="0" w:color="auto"/>
              </w:divBdr>
            </w:div>
            <w:div w:id="1234585340">
              <w:marLeft w:val="0"/>
              <w:marRight w:val="0"/>
              <w:marTop w:val="0"/>
              <w:marBottom w:val="0"/>
              <w:divBdr>
                <w:top w:val="none" w:sz="0" w:space="0" w:color="auto"/>
                <w:left w:val="none" w:sz="0" w:space="0" w:color="auto"/>
                <w:bottom w:val="none" w:sz="0" w:space="0" w:color="auto"/>
                <w:right w:val="none" w:sz="0" w:space="0" w:color="auto"/>
              </w:divBdr>
            </w:div>
            <w:div w:id="1481774067">
              <w:marLeft w:val="0"/>
              <w:marRight w:val="0"/>
              <w:marTop w:val="0"/>
              <w:marBottom w:val="0"/>
              <w:divBdr>
                <w:top w:val="none" w:sz="0" w:space="0" w:color="auto"/>
                <w:left w:val="none" w:sz="0" w:space="0" w:color="auto"/>
                <w:bottom w:val="none" w:sz="0" w:space="0" w:color="auto"/>
                <w:right w:val="none" w:sz="0" w:space="0" w:color="auto"/>
              </w:divBdr>
            </w:div>
            <w:div w:id="1847355215">
              <w:marLeft w:val="0"/>
              <w:marRight w:val="0"/>
              <w:marTop w:val="0"/>
              <w:marBottom w:val="0"/>
              <w:divBdr>
                <w:top w:val="none" w:sz="0" w:space="0" w:color="auto"/>
                <w:left w:val="none" w:sz="0" w:space="0" w:color="auto"/>
                <w:bottom w:val="none" w:sz="0" w:space="0" w:color="auto"/>
                <w:right w:val="none" w:sz="0" w:space="0" w:color="auto"/>
              </w:divBdr>
            </w:div>
          </w:divsChild>
        </w:div>
        <w:div w:id="1804543715">
          <w:marLeft w:val="0"/>
          <w:marRight w:val="0"/>
          <w:marTop w:val="0"/>
          <w:marBottom w:val="0"/>
          <w:divBdr>
            <w:top w:val="none" w:sz="0" w:space="0" w:color="auto"/>
            <w:left w:val="none" w:sz="0" w:space="0" w:color="auto"/>
            <w:bottom w:val="none" w:sz="0" w:space="0" w:color="auto"/>
            <w:right w:val="none" w:sz="0" w:space="0" w:color="auto"/>
          </w:divBdr>
        </w:div>
        <w:div w:id="1847085932">
          <w:marLeft w:val="0"/>
          <w:marRight w:val="0"/>
          <w:marTop w:val="0"/>
          <w:marBottom w:val="0"/>
          <w:divBdr>
            <w:top w:val="none" w:sz="0" w:space="0" w:color="auto"/>
            <w:left w:val="none" w:sz="0" w:space="0" w:color="auto"/>
            <w:bottom w:val="none" w:sz="0" w:space="0" w:color="auto"/>
            <w:right w:val="none" w:sz="0" w:space="0" w:color="auto"/>
          </w:divBdr>
        </w:div>
        <w:div w:id="1885675461">
          <w:marLeft w:val="0"/>
          <w:marRight w:val="0"/>
          <w:marTop w:val="0"/>
          <w:marBottom w:val="0"/>
          <w:divBdr>
            <w:top w:val="none" w:sz="0" w:space="0" w:color="auto"/>
            <w:left w:val="none" w:sz="0" w:space="0" w:color="auto"/>
            <w:bottom w:val="none" w:sz="0" w:space="0" w:color="auto"/>
            <w:right w:val="none" w:sz="0" w:space="0" w:color="auto"/>
          </w:divBdr>
        </w:div>
        <w:div w:id="1898200601">
          <w:marLeft w:val="0"/>
          <w:marRight w:val="0"/>
          <w:marTop w:val="0"/>
          <w:marBottom w:val="0"/>
          <w:divBdr>
            <w:top w:val="none" w:sz="0" w:space="0" w:color="auto"/>
            <w:left w:val="none" w:sz="0" w:space="0" w:color="auto"/>
            <w:bottom w:val="none" w:sz="0" w:space="0" w:color="auto"/>
            <w:right w:val="none" w:sz="0" w:space="0" w:color="auto"/>
          </w:divBdr>
        </w:div>
        <w:div w:id="1910916521">
          <w:marLeft w:val="0"/>
          <w:marRight w:val="0"/>
          <w:marTop w:val="0"/>
          <w:marBottom w:val="0"/>
          <w:divBdr>
            <w:top w:val="none" w:sz="0" w:space="0" w:color="auto"/>
            <w:left w:val="none" w:sz="0" w:space="0" w:color="auto"/>
            <w:bottom w:val="none" w:sz="0" w:space="0" w:color="auto"/>
            <w:right w:val="none" w:sz="0" w:space="0" w:color="auto"/>
          </w:divBdr>
        </w:div>
        <w:div w:id="1942057840">
          <w:marLeft w:val="0"/>
          <w:marRight w:val="0"/>
          <w:marTop w:val="0"/>
          <w:marBottom w:val="0"/>
          <w:divBdr>
            <w:top w:val="none" w:sz="0" w:space="0" w:color="auto"/>
            <w:left w:val="none" w:sz="0" w:space="0" w:color="auto"/>
            <w:bottom w:val="none" w:sz="0" w:space="0" w:color="auto"/>
            <w:right w:val="none" w:sz="0" w:space="0" w:color="auto"/>
          </w:divBdr>
        </w:div>
        <w:div w:id="2016835207">
          <w:marLeft w:val="0"/>
          <w:marRight w:val="0"/>
          <w:marTop w:val="0"/>
          <w:marBottom w:val="0"/>
          <w:divBdr>
            <w:top w:val="none" w:sz="0" w:space="0" w:color="auto"/>
            <w:left w:val="none" w:sz="0" w:space="0" w:color="auto"/>
            <w:bottom w:val="none" w:sz="0" w:space="0" w:color="auto"/>
            <w:right w:val="none" w:sz="0" w:space="0" w:color="auto"/>
          </w:divBdr>
        </w:div>
        <w:div w:id="2031295959">
          <w:marLeft w:val="0"/>
          <w:marRight w:val="0"/>
          <w:marTop w:val="0"/>
          <w:marBottom w:val="0"/>
          <w:divBdr>
            <w:top w:val="none" w:sz="0" w:space="0" w:color="auto"/>
            <w:left w:val="none" w:sz="0" w:space="0" w:color="auto"/>
            <w:bottom w:val="none" w:sz="0" w:space="0" w:color="auto"/>
            <w:right w:val="none" w:sz="0" w:space="0" w:color="auto"/>
          </w:divBdr>
        </w:div>
        <w:div w:id="2077044497">
          <w:marLeft w:val="0"/>
          <w:marRight w:val="0"/>
          <w:marTop w:val="0"/>
          <w:marBottom w:val="0"/>
          <w:divBdr>
            <w:top w:val="none" w:sz="0" w:space="0" w:color="auto"/>
            <w:left w:val="none" w:sz="0" w:space="0" w:color="auto"/>
            <w:bottom w:val="none" w:sz="0" w:space="0" w:color="auto"/>
            <w:right w:val="none" w:sz="0" w:space="0" w:color="auto"/>
          </w:divBdr>
        </w:div>
        <w:div w:id="2119787724">
          <w:marLeft w:val="0"/>
          <w:marRight w:val="0"/>
          <w:marTop w:val="0"/>
          <w:marBottom w:val="0"/>
          <w:divBdr>
            <w:top w:val="none" w:sz="0" w:space="0" w:color="auto"/>
            <w:left w:val="none" w:sz="0" w:space="0" w:color="auto"/>
            <w:bottom w:val="none" w:sz="0" w:space="0" w:color="auto"/>
            <w:right w:val="none" w:sz="0" w:space="0" w:color="auto"/>
          </w:divBdr>
        </w:div>
      </w:divsChild>
    </w:div>
    <w:div w:id="1370908731">
      <w:bodyDiv w:val="1"/>
      <w:marLeft w:val="0"/>
      <w:marRight w:val="0"/>
      <w:marTop w:val="0"/>
      <w:marBottom w:val="0"/>
      <w:divBdr>
        <w:top w:val="none" w:sz="0" w:space="0" w:color="auto"/>
        <w:left w:val="none" w:sz="0" w:space="0" w:color="auto"/>
        <w:bottom w:val="none" w:sz="0" w:space="0" w:color="auto"/>
        <w:right w:val="none" w:sz="0" w:space="0" w:color="auto"/>
      </w:divBdr>
    </w:div>
    <w:div w:id="1408500448">
      <w:bodyDiv w:val="1"/>
      <w:marLeft w:val="0"/>
      <w:marRight w:val="0"/>
      <w:marTop w:val="0"/>
      <w:marBottom w:val="0"/>
      <w:divBdr>
        <w:top w:val="none" w:sz="0" w:space="0" w:color="auto"/>
        <w:left w:val="none" w:sz="0" w:space="0" w:color="auto"/>
        <w:bottom w:val="none" w:sz="0" w:space="0" w:color="auto"/>
        <w:right w:val="none" w:sz="0" w:space="0" w:color="auto"/>
      </w:divBdr>
    </w:div>
    <w:div w:id="1419400608">
      <w:bodyDiv w:val="1"/>
      <w:marLeft w:val="0"/>
      <w:marRight w:val="0"/>
      <w:marTop w:val="0"/>
      <w:marBottom w:val="0"/>
      <w:divBdr>
        <w:top w:val="none" w:sz="0" w:space="0" w:color="auto"/>
        <w:left w:val="none" w:sz="0" w:space="0" w:color="auto"/>
        <w:bottom w:val="none" w:sz="0" w:space="0" w:color="auto"/>
        <w:right w:val="none" w:sz="0" w:space="0" w:color="auto"/>
      </w:divBdr>
      <w:divsChild>
        <w:div w:id="1102845358">
          <w:marLeft w:val="0"/>
          <w:marRight w:val="0"/>
          <w:marTop w:val="0"/>
          <w:marBottom w:val="0"/>
          <w:divBdr>
            <w:top w:val="none" w:sz="0" w:space="0" w:color="auto"/>
            <w:left w:val="none" w:sz="0" w:space="0" w:color="auto"/>
            <w:bottom w:val="none" w:sz="0" w:space="0" w:color="auto"/>
            <w:right w:val="none" w:sz="0" w:space="0" w:color="auto"/>
          </w:divBdr>
        </w:div>
      </w:divsChild>
    </w:div>
    <w:div w:id="1425344310">
      <w:bodyDiv w:val="1"/>
      <w:marLeft w:val="0"/>
      <w:marRight w:val="0"/>
      <w:marTop w:val="0"/>
      <w:marBottom w:val="0"/>
      <w:divBdr>
        <w:top w:val="none" w:sz="0" w:space="0" w:color="auto"/>
        <w:left w:val="none" w:sz="0" w:space="0" w:color="auto"/>
        <w:bottom w:val="none" w:sz="0" w:space="0" w:color="auto"/>
        <w:right w:val="none" w:sz="0" w:space="0" w:color="auto"/>
      </w:divBdr>
    </w:div>
    <w:div w:id="1431852502">
      <w:bodyDiv w:val="1"/>
      <w:marLeft w:val="0"/>
      <w:marRight w:val="0"/>
      <w:marTop w:val="0"/>
      <w:marBottom w:val="0"/>
      <w:divBdr>
        <w:top w:val="none" w:sz="0" w:space="0" w:color="auto"/>
        <w:left w:val="none" w:sz="0" w:space="0" w:color="auto"/>
        <w:bottom w:val="none" w:sz="0" w:space="0" w:color="auto"/>
        <w:right w:val="none" w:sz="0" w:space="0" w:color="auto"/>
      </w:divBdr>
    </w:div>
    <w:div w:id="1495292287">
      <w:bodyDiv w:val="1"/>
      <w:marLeft w:val="0"/>
      <w:marRight w:val="0"/>
      <w:marTop w:val="0"/>
      <w:marBottom w:val="0"/>
      <w:divBdr>
        <w:top w:val="none" w:sz="0" w:space="0" w:color="auto"/>
        <w:left w:val="none" w:sz="0" w:space="0" w:color="auto"/>
        <w:bottom w:val="none" w:sz="0" w:space="0" w:color="auto"/>
        <w:right w:val="none" w:sz="0" w:space="0" w:color="auto"/>
      </w:divBdr>
      <w:divsChild>
        <w:div w:id="1831208599">
          <w:marLeft w:val="480"/>
          <w:marRight w:val="0"/>
          <w:marTop w:val="0"/>
          <w:marBottom w:val="0"/>
          <w:divBdr>
            <w:top w:val="none" w:sz="0" w:space="0" w:color="auto"/>
            <w:left w:val="none" w:sz="0" w:space="0" w:color="auto"/>
            <w:bottom w:val="none" w:sz="0" w:space="0" w:color="auto"/>
            <w:right w:val="none" w:sz="0" w:space="0" w:color="auto"/>
          </w:divBdr>
        </w:div>
      </w:divsChild>
    </w:div>
    <w:div w:id="1496845971">
      <w:bodyDiv w:val="1"/>
      <w:marLeft w:val="0"/>
      <w:marRight w:val="0"/>
      <w:marTop w:val="0"/>
      <w:marBottom w:val="0"/>
      <w:divBdr>
        <w:top w:val="none" w:sz="0" w:space="0" w:color="auto"/>
        <w:left w:val="none" w:sz="0" w:space="0" w:color="auto"/>
        <w:bottom w:val="none" w:sz="0" w:space="0" w:color="auto"/>
        <w:right w:val="none" w:sz="0" w:space="0" w:color="auto"/>
      </w:divBdr>
      <w:divsChild>
        <w:div w:id="88164757">
          <w:marLeft w:val="0"/>
          <w:marRight w:val="0"/>
          <w:marTop w:val="0"/>
          <w:marBottom w:val="0"/>
          <w:divBdr>
            <w:top w:val="none" w:sz="0" w:space="0" w:color="auto"/>
            <w:left w:val="none" w:sz="0" w:space="0" w:color="auto"/>
            <w:bottom w:val="none" w:sz="0" w:space="0" w:color="auto"/>
            <w:right w:val="none" w:sz="0" w:space="0" w:color="auto"/>
          </w:divBdr>
          <w:divsChild>
            <w:div w:id="324285026">
              <w:marLeft w:val="0"/>
              <w:marRight w:val="0"/>
              <w:marTop w:val="0"/>
              <w:marBottom w:val="0"/>
              <w:divBdr>
                <w:top w:val="none" w:sz="0" w:space="0" w:color="auto"/>
                <w:left w:val="none" w:sz="0" w:space="0" w:color="auto"/>
                <w:bottom w:val="none" w:sz="0" w:space="0" w:color="auto"/>
                <w:right w:val="none" w:sz="0" w:space="0" w:color="auto"/>
              </w:divBdr>
            </w:div>
            <w:div w:id="885719157">
              <w:marLeft w:val="0"/>
              <w:marRight w:val="0"/>
              <w:marTop w:val="0"/>
              <w:marBottom w:val="0"/>
              <w:divBdr>
                <w:top w:val="none" w:sz="0" w:space="0" w:color="auto"/>
                <w:left w:val="none" w:sz="0" w:space="0" w:color="auto"/>
                <w:bottom w:val="none" w:sz="0" w:space="0" w:color="auto"/>
                <w:right w:val="none" w:sz="0" w:space="0" w:color="auto"/>
              </w:divBdr>
            </w:div>
            <w:div w:id="991176092">
              <w:marLeft w:val="0"/>
              <w:marRight w:val="0"/>
              <w:marTop w:val="0"/>
              <w:marBottom w:val="0"/>
              <w:divBdr>
                <w:top w:val="none" w:sz="0" w:space="0" w:color="auto"/>
                <w:left w:val="none" w:sz="0" w:space="0" w:color="auto"/>
                <w:bottom w:val="none" w:sz="0" w:space="0" w:color="auto"/>
                <w:right w:val="none" w:sz="0" w:space="0" w:color="auto"/>
              </w:divBdr>
            </w:div>
            <w:div w:id="1541893977">
              <w:marLeft w:val="0"/>
              <w:marRight w:val="0"/>
              <w:marTop w:val="0"/>
              <w:marBottom w:val="0"/>
              <w:divBdr>
                <w:top w:val="none" w:sz="0" w:space="0" w:color="auto"/>
                <w:left w:val="none" w:sz="0" w:space="0" w:color="auto"/>
                <w:bottom w:val="none" w:sz="0" w:space="0" w:color="auto"/>
                <w:right w:val="none" w:sz="0" w:space="0" w:color="auto"/>
              </w:divBdr>
            </w:div>
            <w:div w:id="1564291201">
              <w:marLeft w:val="0"/>
              <w:marRight w:val="0"/>
              <w:marTop w:val="0"/>
              <w:marBottom w:val="0"/>
              <w:divBdr>
                <w:top w:val="none" w:sz="0" w:space="0" w:color="auto"/>
                <w:left w:val="none" w:sz="0" w:space="0" w:color="auto"/>
                <w:bottom w:val="none" w:sz="0" w:space="0" w:color="auto"/>
                <w:right w:val="none" w:sz="0" w:space="0" w:color="auto"/>
              </w:divBdr>
            </w:div>
            <w:div w:id="2123725497">
              <w:marLeft w:val="0"/>
              <w:marRight w:val="0"/>
              <w:marTop w:val="0"/>
              <w:marBottom w:val="0"/>
              <w:divBdr>
                <w:top w:val="none" w:sz="0" w:space="0" w:color="auto"/>
                <w:left w:val="none" w:sz="0" w:space="0" w:color="auto"/>
                <w:bottom w:val="none" w:sz="0" w:space="0" w:color="auto"/>
                <w:right w:val="none" w:sz="0" w:space="0" w:color="auto"/>
              </w:divBdr>
            </w:div>
          </w:divsChild>
        </w:div>
        <w:div w:id="226957601">
          <w:marLeft w:val="0"/>
          <w:marRight w:val="0"/>
          <w:marTop w:val="0"/>
          <w:marBottom w:val="0"/>
          <w:divBdr>
            <w:top w:val="none" w:sz="0" w:space="0" w:color="auto"/>
            <w:left w:val="none" w:sz="0" w:space="0" w:color="auto"/>
            <w:bottom w:val="none" w:sz="0" w:space="0" w:color="auto"/>
            <w:right w:val="none" w:sz="0" w:space="0" w:color="auto"/>
          </w:divBdr>
          <w:divsChild>
            <w:div w:id="748312090">
              <w:marLeft w:val="0"/>
              <w:marRight w:val="0"/>
              <w:marTop w:val="0"/>
              <w:marBottom w:val="0"/>
              <w:divBdr>
                <w:top w:val="none" w:sz="0" w:space="0" w:color="auto"/>
                <w:left w:val="none" w:sz="0" w:space="0" w:color="auto"/>
                <w:bottom w:val="none" w:sz="0" w:space="0" w:color="auto"/>
                <w:right w:val="none" w:sz="0" w:space="0" w:color="auto"/>
              </w:divBdr>
            </w:div>
            <w:div w:id="847712360">
              <w:marLeft w:val="0"/>
              <w:marRight w:val="0"/>
              <w:marTop w:val="0"/>
              <w:marBottom w:val="0"/>
              <w:divBdr>
                <w:top w:val="none" w:sz="0" w:space="0" w:color="auto"/>
                <w:left w:val="none" w:sz="0" w:space="0" w:color="auto"/>
                <w:bottom w:val="none" w:sz="0" w:space="0" w:color="auto"/>
                <w:right w:val="none" w:sz="0" w:space="0" w:color="auto"/>
              </w:divBdr>
            </w:div>
            <w:div w:id="917012280">
              <w:marLeft w:val="0"/>
              <w:marRight w:val="0"/>
              <w:marTop w:val="0"/>
              <w:marBottom w:val="0"/>
              <w:divBdr>
                <w:top w:val="none" w:sz="0" w:space="0" w:color="auto"/>
                <w:left w:val="none" w:sz="0" w:space="0" w:color="auto"/>
                <w:bottom w:val="none" w:sz="0" w:space="0" w:color="auto"/>
                <w:right w:val="none" w:sz="0" w:space="0" w:color="auto"/>
              </w:divBdr>
            </w:div>
            <w:div w:id="1063137188">
              <w:marLeft w:val="0"/>
              <w:marRight w:val="0"/>
              <w:marTop w:val="0"/>
              <w:marBottom w:val="0"/>
              <w:divBdr>
                <w:top w:val="none" w:sz="0" w:space="0" w:color="auto"/>
                <w:left w:val="none" w:sz="0" w:space="0" w:color="auto"/>
                <w:bottom w:val="none" w:sz="0" w:space="0" w:color="auto"/>
                <w:right w:val="none" w:sz="0" w:space="0" w:color="auto"/>
              </w:divBdr>
            </w:div>
            <w:div w:id="1314213480">
              <w:marLeft w:val="0"/>
              <w:marRight w:val="0"/>
              <w:marTop w:val="0"/>
              <w:marBottom w:val="0"/>
              <w:divBdr>
                <w:top w:val="none" w:sz="0" w:space="0" w:color="auto"/>
                <w:left w:val="none" w:sz="0" w:space="0" w:color="auto"/>
                <w:bottom w:val="none" w:sz="0" w:space="0" w:color="auto"/>
                <w:right w:val="none" w:sz="0" w:space="0" w:color="auto"/>
              </w:divBdr>
            </w:div>
            <w:div w:id="1808627626">
              <w:marLeft w:val="0"/>
              <w:marRight w:val="0"/>
              <w:marTop w:val="0"/>
              <w:marBottom w:val="0"/>
              <w:divBdr>
                <w:top w:val="none" w:sz="0" w:space="0" w:color="auto"/>
                <w:left w:val="none" w:sz="0" w:space="0" w:color="auto"/>
                <w:bottom w:val="none" w:sz="0" w:space="0" w:color="auto"/>
                <w:right w:val="none" w:sz="0" w:space="0" w:color="auto"/>
              </w:divBdr>
            </w:div>
            <w:div w:id="1909000435">
              <w:marLeft w:val="0"/>
              <w:marRight w:val="0"/>
              <w:marTop w:val="0"/>
              <w:marBottom w:val="0"/>
              <w:divBdr>
                <w:top w:val="none" w:sz="0" w:space="0" w:color="auto"/>
                <w:left w:val="none" w:sz="0" w:space="0" w:color="auto"/>
                <w:bottom w:val="none" w:sz="0" w:space="0" w:color="auto"/>
                <w:right w:val="none" w:sz="0" w:space="0" w:color="auto"/>
              </w:divBdr>
            </w:div>
          </w:divsChild>
        </w:div>
        <w:div w:id="276835323">
          <w:marLeft w:val="0"/>
          <w:marRight w:val="0"/>
          <w:marTop w:val="0"/>
          <w:marBottom w:val="0"/>
          <w:divBdr>
            <w:top w:val="none" w:sz="0" w:space="0" w:color="auto"/>
            <w:left w:val="none" w:sz="0" w:space="0" w:color="auto"/>
            <w:bottom w:val="none" w:sz="0" w:space="0" w:color="auto"/>
            <w:right w:val="none" w:sz="0" w:space="0" w:color="auto"/>
          </w:divBdr>
        </w:div>
        <w:div w:id="445851473">
          <w:marLeft w:val="0"/>
          <w:marRight w:val="0"/>
          <w:marTop w:val="0"/>
          <w:marBottom w:val="0"/>
          <w:divBdr>
            <w:top w:val="none" w:sz="0" w:space="0" w:color="auto"/>
            <w:left w:val="none" w:sz="0" w:space="0" w:color="auto"/>
            <w:bottom w:val="none" w:sz="0" w:space="0" w:color="auto"/>
            <w:right w:val="none" w:sz="0" w:space="0" w:color="auto"/>
          </w:divBdr>
        </w:div>
        <w:div w:id="450704625">
          <w:marLeft w:val="0"/>
          <w:marRight w:val="0"/>
          <w:marTop w:val="0"/>
          <w:marBottom w:val="0"/>
          <w:divBdr>
            <w:top w:val="none" w:sz="0" w:space="0" w:color="auto"/>
            <w:left w:val="none" w:sz="0" w:space="0" w:color="auto"/>
            <w:bottom w:val="none" w:sz="0" w:space="0" w:color="auto"/>
            <w:right w:val="none" w:sz="0" w:space="0" w:color="auto"/>
          </w:divBdr>
          <w:divsChild>
            <w:div w:id="386030133">
              <w:marLeft w:val="0"/>
              <w:marRight w:val="0"/>
              <w:marTop w:val="0"/>
              <w:marBottom w:val="0"/>
              <w:divBdr>
                <w:top w:val="none" w:sz="0" w:space="0" w:color="auto"/>
                <w:left w:val="none" w:sz="0" w:space="0" w:color="auto"/>
                <w:bottom w:val="none" w:sz="0" w:space="0" w:color="auto"/>
                <w:right w:val="none" w:sz="0" w:space="0" w:color="auto"/>
              </w:divBdr>
            </w:div>
            <w:div w:id="763191306">
              <w:marLeft w:val="0"/>
              <w:marRight w:val="0"/>
              <w:marTop w:val="0"/>
              <w:marBottom w:val="0"/>
              <w:divBdr>
                <w:top w:val="none" w:sz="0" w:space="0" w:color="auto"/>
                <w:left w:val="none" w:sz="0" w:space="0" w:color="auto"/>
                <w:bottom w:val="none" w:sz="0" w:space="0" w:color="auto"/>
                <w:right w:val="none" w:sz="0" w:space="0" w:color="auto"/>
              </w:divBdr>
            </w:div>
            <w:div w:id="879053207">
              <w:marLeft w:val="0"/>
              <w:marRight w:val="0"/>
              <w:marTop w:val="0"/>
              <w:marBottom w:val="0"/>
              <w:divBdr>
                <w:top w:val="none" w:sz="0" w:space="0" w:color="auto"/>
                <w:left w:val="none" w:sz="0" w:space="0" w:color="auto"/>
                <w:bottom w:val="none" w:sz="0" w:space="0" w:color="auto"/>
                <w:right w:val="none" w:sz="0" w:space="0" w:color="auto"/>
              </w:divBdr>
            </w:div>
            <w:div w:id="1031417792">
              <w:marLeft w:val="0"/>
              <w:marRight w:val="0"/>
              <w:marTop w:val="0"/>
              <w:marBottom w:val="0"/>
              <w:divBdr>
                <w:top w:val="none" w:sz="0" w:space="0" w:color="auto"/>
                <w:left w:val="none" w:sz="0" w:space="0" w:color="auto"/>
                <w:bottom w:val="none" w:sz="0" w:space="0" w:color="auto"/>
                <w:right w:val="none" w:sz="0" w:space="0" w:color="auto"/>
              </w:divBdr>
            </w:div>
            <w:div w:id="1153177869">
              <w:marLeft w:val="0"/>
              <w:marRight w:val="0"/>
              <w:marTop w:val="0"/>
              <w:marBottom w:val="0"/>
              <w:divBdr>
                <w:top w:val="none" w:sz="0" w:space="0" w:color="auto"/>
                <w:left w:val="none" w:sz="0" w:space="0" w:color="auto"/>
                <w:bottom w:val="none" w:sz="0" w:space="0" w:color="auto"/>
                <w:right w:val="none" w:sz="0" w:space="0" w:color="auto"/>
              </w:divBdr>
            </w:div>
          </w:divsChild>
        </w:div>
        <w:div w:id="452017284">
          <w:marLeft w:val="0"/>
          <w:marRight w:val="0"/>
          <w:marTop w:val="0"/>
          <w:marBottom w:val="0"/>
          <w:divBdr>
            <w:top w:val="none" w:sz="0" w:space="0" w:color="auto"/>
            <w:left w:val="none" w:sz="0" w:space="0" w:color="auto"/>
            <w:bottom w:val="none" w:sz="0" w:space="0" w:color="auto"/>
            <w:right w:val="none" w:sz="0" w:space="0" w:color="auto"/>
          </w:divBdr>
          <w:divsChild>
            <w:div w:id="707952433">
              <w:marLeft w:val="0"/>
              <w:marRight w:val="0"/>
              <w:marTop w:val="0"/>
              <w:marBottom w:val="0"/>
              <w:divBdr>
                <w:top w:val="none" w:sz="0" w:space="0" w:color="auto"/>
                <w:left w:val="none" w:sz="0" w:space="0" w:color="auto"/>
                <w:bottom w:val="none" w:sz="0" w:space="0" w:color="auto"/>
                <w:right w:val="none" w:sz="0" w:space="0" w:color="auto"/>
              </w:divBdr>
            </w:div>
            <w:div w:id="887491094">
              <w:marLeft w:val="0"/>
              <w:marRight w:val="0"/>
              <w:marTop w:val="0"/>
              <w:marBottom w:val="0"/>
              <w:divBdr>
                <w:top w:val="none" w:sz="0" w:space="0" w:color="auto"/>
                <w:left w:val="none" w:sz="0" w:space="0" w:color="auto"/>
                <w:bottom w:val="none" w:sz="0" w:space="0" w:color="auto"/>
                <w:right w:val="none" w:sz="0" w:space="0" w:color="auto"/>
              </w:divBdr>
            </w:div>
            <w:div w:id="1980648508">
              <w:marLeft w:val="0"/>
              <w:marRight w:val="0"/>
              <w:marTop w:val="0"/>
              <w:marBottom w:val="0"/>
              <w:divBdr>
                <w:top w:val="none" w:sz="0" w:space="0" w:color="auto"/>
                <w:left w:val="none" w:sz="0" w:space="0" w:color="auto"/>
                <w:bottom w:val="none" w:sz="0" w:space="0" w:color="auto"/>
                <w:right w:val="none" w:sz="0" w:space="0" w:color="auto"/>
              </w:divBdr>
            </w:div>
            <w:div w:id="1996646435">
              <w:marLeft w:val="0"/>
              <w:marRight w:val="0"/>
              <w:marTop w:val="0"/>
              <w:marBottom w:val="0"/>
              <w:divBdr>
                <w:top w:val="none" w:sz="0" w:space="0" w:color="auto"/>
                <w:left w:val="none" w:sz="0" w:space="0" w:color="auto"/>
                <w:bottom w:val="none" w:sz="0" w:space="0" w:color="auto"/>
                <w:right w:val="none" w:sz="0" w:space="0" w:color="auto"/>
              </w:divBdr>
            </w:div>
            <w:div w:id="2055809479">
              <w:marLeft w:val="0"/>
              <w:marRight w:val="0"/>
              <w:marTop w:val="0"/>
              <w:marBottom w:val="0"/>
              <w:divBdr>
                <w:top w:val="none" w:sz="0" w:space="0" w:color="auto"/>
                <w:left w:val="none" w:sz="0" w:space="0" w:color="auto"/>
                <w:bottom w:val="none" w:sz="0" w:space="0" w:color="auto"/>
                <w:right w:val="none" w:sz="0" w:space="0" w:color="auto"/>
              </w:divBdr>
            </w:div>
          </w:divsChild>
        </w:div>
        <w:div w:id="491486724">
          <w:marLeft w:val="0"/>
          <w:marRight w:val="0"/>
          <w:marTop w:val="0"/>
          <w:marBottom w:val="0"/>
          <w:divBdr>
            <w:top w:val="none" w:sz="0" w:space="0" w:color="auto"/>
            <w:left w:val="none" w:sz="0" w:space="0" w:color="auto"/>
            <w:bottom w:val="none" w:sz="0" w:space="0" w:color="auto"/>
            <w:right w:val="none" w:sz="0" w:space="0" w:color="auto"/>
          </w:divBdr>
          <w:divsChild>
            <w:div w:id="259990325">
              <w:marLeft w:val="0"/>
              <w:marRight w:val="0"/>
              <w:marTop w:val="0"/>
              <w:marBottom w:val="0"/>
              <w:divBdr>
                <w:top w:val="none" w:sz="0" w:space="0" w:color="auto"/>
                <w:left w:val="none" w:sz="0" w:space="0" w:color="auto"/>
                <w:bottom w:val="none" w:sz="0" w:space="0" w:color="auto"/>
                <w:right w:val="none" w:sz="0" w:space="0" w:color="auto"/>
              </w:divBdr>
            </w:div>
            <w:div w:id="794715759">
              <w:marLeft w:val="0"/>
              <w:marRight w:val="0"/>
              <w:marTop w:val="0"/>
              <w:marBottom w:val="0"/>
              <w:divBdr>
                <w:top w:val="none" w:sz="0" w:space="0" w:color="auto"/>
                <w:left w:val="none" w:sz="0" w:space="0" w:color="auto"/>
                <w:bottom w:val="none" w:sz="0" w:space="0" w:color="auto"/>
                <w:right w:val="none" w:sz="0" w:space="0" w:color="auto"/>
              </w:divBdr>
            </w:div>
            <w:div w:id="1137606432">
              <w:marLeft w:val="0"/>
              <w:marRight w:val="0"/>
              <w:marTop w:val="0"/>
              <w:marBottom w:val="0"/>
              <w:divBdr>
                <w:top w:val="none" w:sz="0" w:space="0" w:color="auto"/>
                <w:left w:val="none" w:sz="0" w:space="0" w:color="auto"/>
                <w:bottom w:val="none" w:sz="0" w:space="0" w:color="auto"/>
                <w:right w:val="none" w:sz="0" w:space="0" w:color="auto"/>
              </w:divBdr>
            </w:div>
          </w:divsChild>
        </w:div>
        <w:div w:id="801727969">
          <w:marLeft w:val="0"/>
          <w:marRight w:val="0"/>
          <w:marTop w:val="0"/>
          <w:marBottom w:val="0"/>
          <w:divBdr>
            <w:top w:val="none" w:sz="0" w:space="0" w:color="auto"/>
            <w:left w:val="none" w:sz="0" w:space="0" w:color="auto"/>
            <w:bottom w:val="none" w:sz="0" w:space="0" w:color="auto"/>
            <w:right w:val="none" w:sz="0" w:space="0" w:color="auto"/>
          </w:divBdr>
          <w:divsChild>
            <w:div w:id="651252304">
              <w:marLeft w:val="0"/>
              <w:marRight w:val="0"/>
              <w:marTop w:val="0"/>
              <w:marBottom w:val="0"/>
              <w:divBdr>
                <w:top w:val="none" w:sz="0" w:space="0" w:color="auto"/>
                <w:left w:val="none" w:sz="0" w:space="0" w:color="auto"/>
                <w:bottom w:val="none" w:sz="0" w:space="0" w:color="auto"/>
                <w:right w:val="none" w:sz="0" w:space="0" w:color="auto"/>
              </w:divBdr>
            </w:div>
            <w:div w:id="1060909301">
              <w:marLeft w:val="0"/>
              <w:marRight w:val="0"/>
              <w:marTop w:val="0"/>
              <w:marBottom w:val="0"/>
              <w:divBdr>
                <w:top w:val="none" w:sz="0" w:space="0" w:color="auto"/>
                <w:left w:val="none" w:sz="0" w:space="0" w:color="auto"/>
                <w:bottom w:val="none" w:sz="0" w:space="0" w:color="auto"/>
                <w:right w:val="none" w:sz="0" w:space="0" w:color="auto"/>
              </w:divBdr>
            </w:div>
            <w:div w:id="1107115545">
              <w:marLeft w:val="0"/>
              <w:marRight w:val="0"/>
              <w:marTop w:val="0"/>
              <w:marBottom w:val="0"/>
              <w:divBdr>
                <w:top w:val="none" w:sz="0" w:space="0" w:color="auto"/>
                <w:left w:val="none" w:sz="0" w:space="0" w:color="auto"/>
                <w:bottom w:val="none" w:sz="0" w:space="0" w:color="auto"/>
                <w:right w:val="none" w:sz="0" w:space="0" w:color="auto"/>
              </w:divBdr>
            </w:div>
            <w:div w:id="1293488003">
              <w:marLeft w:val="0"/>
              <w:marRight w:val="0"/>
              <w:marTop w:val="0"/>
              <w:marBottom w:val="0"/>
              <w:divBdr>
                <w:top w:val="none" w:sz="0" w:space="0" w:color="auto"/>
                <w:left w:val="none" w:sz="0" w:space="0" w:color="auto"/>
                <w:bottom w:val="none" w:sz="0" w:space="0" w:color="auto"/>
                <w:right w:val="none" w:sz="0" w:space="0" w:color="auto"/>
              </w:divBdr>
            </w:div>
            <w:div w:id="1323006313">
              <w:marLeft w:val="0"/>
              <w:marRight w:val="0"/>
              <w:marTop w:val="0"/>
              <w:marBottom w:val="0"/>
              <w:divBdr>
                <w:top w:val="none" w:sz="0" w:space="0" w:color="auto"/>
                <w:left w:val="none" w:sz="0" w:space="0" w:color="auto"/>
                <w:bottom w:val="none" w:sz="0" w:space="0" w:color="auto"/>
                <w:right w:val="none" w:sz="0" w:space="0" w:color="auto"/>
              </w:divBdr>
            </w:div>
            <w:div w:id="1451320272">
              <w:marLeft w:val="0"/>
              <w:marRight w:val="0"/>
              <w:marTop w:val="0"/>
              <w:marBottom w:val="0"/>
              <w:divBdr>
                <w:top w:val="none" w:sz="0" w:space="0" w:color="auto"/>
                <w:left w:val="none" w:sz="0" w:space="0" w:color="auto"/>
                <w:bottom w:val="none" w:sz="0" w:space="0" w:color="auto"/>
                <w:right w:val="none" w:sz="0" w:space="0" w:color="auto"/>
              </w:divBdr>
              <w:divsChild>
                <w:div w:id="2018267371">
                  <w:marLeft w:val="-420"/>
                  <w:marRight w:val="0"/>
                  <w:marTop w:val="0"/>
                  <w:marBottom w:val="0"/>
                  <w:divBdr>
                    <w:top w:val="single" w:sz="6" w:space="0" w:color="8AA2BF"/>
                    <w:left w:val="single" w:sz="6" w:space="0" w:color="8AA2BF"/>
                    <w:bottom w:val="single" w:sz="6" w:space="0" w:color="8AA2BF"/>
                    <w:right w:val="single" w:sz="6" w:space="0" w:color="8AA2BF"/>
                  </w:divBdr>
                </w:div>
              </w:divsChild>
            </w:div>
            <w:div w:id="1653875312">
              <w:marLeft w:val="0"/>
              <w:marRight w:val="0"/>
              <w:marTop w:val="0"/>
              <w:marBottom w:val="0"/>
              <w:divBdr>
                <w:top w:val="none" w:sz="0" w:space="0" w:color="auto"/>
                <w:left w:val="none" w:sz="0" w:space="0" w:color="auto"/>
                <w:bottom w:val="none" w:sz="0" w:space="0" w:color="auto"/>
                <w:right w:val="none" w:sz="0" w:space="0" w:color="auto"/>
              </w:divBdr>
            </w:div>
          </w:divsChild>
        </w:div>
        <w:div w:id="1140002979">
          <w:marLeft w:val="0"/>
          <w:marRight w:val="0"/>
          <w:marTop w:val="0"/>
          <w:marBottom w:val="0"/>
          <w:divBdr>
            <w:top w:val="none" w:sz="0" w:space="0" w:color="auto"/>
            <w:left w:val="none" w:sz="0" w:space="0" w:color="auto"/>
            <w:bottom w:val="none" w:sz="0" w:space="0" w:color="auto"/>
            <w:right w:val="none" w:sz="0" w:space="0" w:color="auto"/>
          </w:divBdr>
          <w:divsChild>
            <w:div w:id="733892467">
              <w:marLeft w:val="0"/>
              <w:marRight w:val="0"/>
              <w:marTop w:val="0"/>
              <w:marBottom w:val="0"/>
              <w:divBdr>
                <w:top w:val="none" w:sz="0" w:space="0" w:color="auto"/>
                <w:left w:val="none" w:sz="0" w:space="0" w:color="auto"/>
                <w:bottom w:val="none" w:sz="0" w:space="0" w:color="auto"/>
                <w:right w:val="none" w:sz="0" w:space="0" w:color="auto"/>
              </w:divBdr>
            </w:div>
            <w:div w:id="806583810">
              <w:marLeft w:val="0"/>
              <w:marRight w:val="0"/>
              <w:marTop w:val="0"/>
              <w:marBottom w:val="0"/>
              <w:divBdr>
                <w:top w:val="none" w:sz="0" w:space="0" w:color="auto"/>
                <w:left w:val="none" w:sz="0" w:space="0" w:color="auto"/>
                <w:bottom w:val="none" w:sz="0" w:space="0" w:color="auto"/>
                <w:right w:val="none" w:sz="0" w:space="0" w:color="auto"/>
              </w:divBdr>
            </w:div>
            <w:div w:id="1047604195">
              <w:marLeft w:val="0"/>
              <w:marRight w:val="0"/>
              <w:marTop w:val="0"/>
              <w:marBottom w:val="0"/>
              <w:divBdr>
                <w:top w:val="none" w:sz="0" w:space="0" w:color="auto"/>
                <w:left w:val="none" w:sz="0" w:space="0" w:color="auto"/>
                <w:bottom w:val="none" w:sz="0" w:space="0" w:color="auto"/>
                <w:right w:val="none" w:sz="0" w:space="0" w:color="auto"/>
              </w:divBdr>
            </w:div>
            <w:div w:id="1179659850">
              <w:marLeft w:val="0"/>
              <w:marRight w:val="0"/>
              <w:marTop w:val="0"/>
              <w:marBottom w:val="0"/>
              <w:divBdr>
                <w:top w:val="none" w:sz="0" w:space="0" w:color="auto"/>
                <w:left w:val="none" w:sz="0" w:space="0" w:color="auto"/>
                <w:bottom w:val="none" w:sz="0" w:space="0" w:color="auto"/>
                <w:right w:val="none" w:sz="0" w:space="0" w:color="auto"/>
              </w:divBdr>
            </w:div>
            <w:div w:id="1480338687">
              <w:marLeft w:val="0"/>
              <w:marRight w:val="0"/>
              <w:marTop w:val="0"/>
              <w:marBottom w:val="0"/>
              <w:divBdr>
                <w:top w:val="none" w:sz="0" w:space="0" w:color="auto"/>
                <w:left w:val="none" w:sz="0" w:space="0" w:color="auto"/>
                <w:bottom w:val="none" w:sz="0" w:space="0" w:color="auto"/>
                <w:right w:val="none" w:sz="0" w:space="0" w:color="auto"/>
              </w:divBdr>
            </w:div>
          </w:divsChild>
        </w:div>
        <w:div w:id="1670910041">
          <w:marLeft w:val="0"/>
          <w:marRight w:val="0"/>
          <w:marTop w:val="0"/>
          <w:marBottom w:val="0"/>
          <w:divBdr>
            <w:top w:val="none" w:sz="0" w:space="0" w:color="auto"/>
            <w:left w:val="none" w:sz="0" w:space="0" w:color="auto"/>
            <w:bottom w:val="none" w:sz="0" w:space="0" w:color="auto"/>
            <w:right w:val="none" w:sz="0" w:space="0" w:color="auto"/>
          </w:divBdr>
        </w:div>
        <w:div w:id="1699547543">
          <w:marLeft w:val="0"/>
          <w:marRight w:val="0"/>
          <w:marTop w:val="0"/>
          <w:marBottom w:val="0"/>
          <w:divBdr>
            <w:top w:val="none" w:sz="0" w:space="0" w:color="auto"/>
            <w:left w:val="none" w:sz="0" w:space="0" w:color="auto"/>
            <w:bottom w:val="none" w:sz="0" w:space="0" w:color="auto"/>
            <w:right w:val="none" w:sz="0" w:space="0" w:color="auto"/>
          </w:divBdr>
        </w:div>
        <w:div w:id="2022849226">
          <w:marLeft w:val="0"/>
          <w:marRight w:val="0"/>
          <w:marTop w:val="0"/>
          <w:marBottom w:val="0"/>
          <w:divBdr>
            <w:top w:val="none" w:sz="0" w:space="0" w:color="auto"/>
            <w:left w:val="none" w:sz="0" w:space="0" w:color="auto"/>
            <w:bottom w:val="none" w:sz="0" w:space="0" w:color="auto"/>
            <w:right w:val="none" w:sz="0" w:space="0" w:color="auto"/>
          </w:divBdr>
          <w:divsChild>
            <w:div w:id="662052710">
              <w:marLeft w:val="0"/>
              <w:marRight w:val="0"/>
              <w:marTop w:val="0"/>
              <w:marBottom w:val="0"/>
              <w:divBdr>
                <w:top w:val="none" w:sz="0" w:space="0" w:color="auto"/>
                <w:left w:val="none" w:sz="0" w:space="0" w:color="auto"/>
                <w:bottom w:val="none" w:sz="0" w:space="0" w:color="auto"/>
                <w:right w:val="none" w:sz="0" w:space="0" w:color="auto"/>
              </w:divBdr>
            </w:div>
            <w:div w:id="798693386">
              <w:marLeft w:val="0"/>
              <w:marRight w:val="0"/>
              <w:marTop w:val="0"/>
              <w:marBottom w:val="0"/>
              <w:divBdr>
                <w:top w:val="none" w:sz="0" w:space="0" w:color="auto"/>
                <w:left w:val="none" w:sz="0" w:space="0" w:color="auto"/>
                <w:bottom w:val="none" w:sz="0" w:space="0" w:color="auto"/>
                <w:right w:val="none" w:sz="0" w:space="0" w:color="auto"/>
              </w:divBdr>
            </w:div>
            <w:div w:id="964821174">
              <w:marLeft w:val="0"/>
              <w:marRight w:val="0"/>
              <w:marTop w:val="0"/>
              <w:marBottom w:val="0"/>
              <w:divBdr>
                <w:top w:val="none" w:sz="0" w:space="0" w:color="auto"/>
                <w:left w:val="none" w:sz="0" w:space="0" w:color="auto"/>
                <w:bottom w:val="none" w:sz="0" w:space="0" w:color="auto"/>
                <w:right w:val="none" w:sz="0" w:space="0" w:color="auto"/>
              </w:divBdr>
            </w:div>
            <w:div w:id="1244609827">
              <w:marLeft w:val="0"/>
              <w:marRight w:val="0"/>
              <w:marTop w:val="0"/>
              <w:marBottom w:val="0"/>
              <w:divBdr>
                <w:top w:val="none" w:sz="0" w:space="0" w:color="auto"/>
                <w:left w:val="none" w:sz="0" w:space="0" w:color="auto"/>
                <w:bottom w:val="none" w:sz="0" w:space="0" w:color="auto"/>
                <w:right w:val="none" w:sz="0" w:space="0" w:color="auto"/>
              </w:divBdr>
            </w:div>
            <w:div w:id="2134127727">
              <w:marLeft w:val="0"/>
              <w:marRight w:val="0"/>
              <w:marTop w:val="0"/>
              <w:marBottom w:val="0"/>
              <w:divBdr>
                <w:top w:val="none" w:sz="0" w:space="0" w:color="auto"/>
                <w:left w:val="none" w:sz="0" w:space="0" w:color="auto"/>
                <w:bottom w:val="none" w:sz="0" w:space="0" w:color="auto"/>
                <w:right w:val="none" w:sz="0" w:space="0" w:color="auto"/>
              </w:divBdr>
            </w:div>
          </w:divsChild>
        </w:div>
        <w:div w:id="2086604007">
          <w:marLeft w:val="0"/>
          <w:marRight w:val="0"/>
          <w:marTop w:val="0"/>
          <w:marBottom w:val="0"/>
          <w:divBdr>
            <w:top w:val="none" w:sz="0" w:space="0" w:color="auto"/>
            <w:left w:val="none" w:sz="0" w:space="0" w:color="auto"/>
            <w:bottom w:val="none" w:sz="0" w:space="0" w:color="auto"/>
            <w:right w:val="none" w:sz="0" w:space="0" w:color="auto"/>
          </w:divBdr>
        </w:div>
        <w:div w:id="2092702511">
          <w:marLeft w:val="0"/>
          <w:marRight w:val="0"/>
          <w:marTop w:val="0"/>
          <w:marBottom w:val="0"/>
          <w:divBdr>
            <w:top w:val="none" w:sz="0" w:space="0" w:color="auto"/>
            <w:left w:val="none" w:sz="0" w:space="0" w:color="auto"/>
            <w:bottom w:val="none" w:sz="0" w:space="0" w:color="auto"/>
            <w:right w:val="none" w:sz="0" w:space="0" w:color="auto"/>
          </w:divBdr>
          <w:divsChild>
            <w:div w:id="108815273">
              <w:marLeft w:val="0"/>
              <w:marRight w:val="0"/>
              <w:marTop w:val="0"/>
              <w:marBottom w:val="0"/>
              <w:divBdr>
                <w:top w:val="none" w:sz="0" w:space="0" w:color="auto"/>
                <w:left w:val="none" w:sz="0" w:space="0" w:color="auto"/>
                <w:bottom w:val="none" w:sz="0" w:space="0" w:color="auto"/>
                <w:right w:val="none" w:sz="0" w:space="0" w:color="auto"/>
              </w:divBdr>
            </w:div>
            <w:div w:id="345637972">
              <w:marLeft w:val="0"/>
              <w:marRight w:val="0"/>
              <w:marTop w:val="0"/>
              <w:marBottom w:val="0"/>
              <w:divBdr>
                <w:top w:val="none" w:sz="0" w:space="0" w:color="auto"/>
                <w:left w:val="none" w:sz="0" w:space="0" w:color="auto"/>
                <w:bottom w:val="none" w:sz="0" w:space="0" w:color="auto"/>
                <w:right w:val="none" w:sz="0" w:space="0" w:color="auto"/>
              </w:divBdr>
            </w:div>
            <w:div w:id="770323553">
              <w:marLeft w:val="0"/>
              <w:marRight w:val="0"/>
              <w:marTop w:val="0"/>
              <w:marBottom w:val="0"/>
              <w:divBdr>
                <w:top w:val="none" w:sz="0" w:space="0" w:color="auto"/>
                <w:left w:val="none" w:sz="0" w:space="0" w:color="auto"/>
                <w:bottom w:val="none" w:sz="0" w:space="0" w:color="auto"/>
                <w:right w:val="none" w:sz="0" w:space="0" w:color="auto"/>
              </w:divBdr>
            </w:div>
            <w:div w:id="1352609272">
              <w:marLeft w:val="0"/>
              <w:marRight w:val="0"/>
              <w:marTop w:val="0"/>
              <w:marBottom w:val="0"/>
              <w:divBdr>
                <w:top w:val="none" w:sz="0" w:space="0" w:color="auto"/>
                <w:left w:val="none" w:sz="0" w:space="0" w:color="auto"/>
                <w:bottom w:val="none" w:sz="0" w:space="0" w:color="auto"/>
                <w:right w:val="none" w:sz="0" w:space="0" w:color="auto"/>
              </w:divBdr>
            </w:div>
            <w:div w:id="206420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778251">
      <w:bodyDiv w:val="1"/>
      <w:marLeft w:val="0"/>
      <w:marRight w:val="0"/>
      <w:marTop w:val="0"/>
      <w:marBottom w:val="0"/>
      <w:divBdr>
        <w:top w:val="none" w:sz="0" w:space="0" w:color="auto"/>
        <w:left w:val="none" w:sz="0" w:space="0" w:color="auto"/>
        <w:bottom w:val="none" w:sz="0" w:space="0" w:color="auto"/>
        <w:right w:val="none" w:sz="0" w:space="0" w:color="auto"/>
      </w:divBdr>
    </w:div>
    <w:div w:id="1554001623">
      <w:bodyDiv w:val="1"/>
      <w:marLeft w:val="0"/>
      <w:marRight w:val="0"/>
      <w:marTop w:val="0"/>
      <w:marBottom w:val="0"/>
      <w:divBdr>
        <w:top w:val="none" w:sz="0" w:space="0" w:color="auto"/>
        <w:left w:val="none" w:sz="0" w:space="0" w:color="auto"/>
        <w:bottom w:val="none" w:sz="0" w:space="0" w:color="auto"/>
        <w:right w:val="none" w:sz="0" w:space="0" w:color="auto"/>
      </w:divBdr>
    </w:div>
    <w:div w:id="1579365186">
      <w:bodyDiv w:val="1"/>
      <w:marLeft w:val="0"/>
      <w:marRight w:val="0"/>
      <w:marTop w:val="0"/>
      <w:marBottom w:val="0"/>
      <w:divBdr>
        <w:top w:val="none" w:sz="0" w:space="0" w:color="auto"/>
        <w:left w:val="none" w:sz="0" w:space="0" w:color="auto"/>
        <w:bottom w:val="none" w:sz="0" w:space="0" w:color="auto"/>
        <w:right w:val="none" w:sz="0" w:space="0" w:color="auto"/>
      </w:divBdr>
    </w:div>
    <w:div w:id="1606187300">
      <w:bodyDiv w:val="1"/>
      <w:marLeft w:val="0"/>
      <w:marRight w:val="0"/>
      <w:marTop w:val="0"/>
      <w:marBottom w:val="0"/>
      <w:divBdr>
        <w:top w:val="none" w:sz="0" w:space="0" w:color="auto"/>
        <w:left w:val="none" w:sz="0" w:space="0" w:color="auto"/>
        <w:bottom w:val="none" w:sz="0" w:space="0" w:color="auto"/>
        <w:right w:val="none" w:sz="0" w:space="0" w:color="auto"/>
      </w:divBdr>
      <w:divsChild>
        <w:div w:id="499809872">
          <w:marLeft w:val="0"/>
          <w:marRight w:val="0"/>
          <w:marTop w:val="0"/>
          <w:marBottom w:val="0"/>
          <w:divBdr>
            <w:top w:val="none" w:sz="0" w:space="0" w:color="auto"/>
            <w:left w:val="none" w:sz="0" w:space="0" w:color="auto"/>
            <w:bottom w:val="none" w:sz="0" w:space="0" w:color="auto"/>
            <w:right w:val="none" w:sz="0" w:space="0" w:color="auto"/>
          </w:divBdr>
          <w:divsChild>
            <w:div w:id="144591261">
              <w:marLeft w:val="0"/>
              <w:marRight w:val="0"/>
              <w:marTop w:val="0"/>
              <w:marBottom w:val="0"/>
              <w:divBdr>
                <w:top w:val="none" w:sz="0" w:space="0" w:color="auto"/>
                <w:left w:val="none" w:sz="0" w:space="0" w:color="auto"/>
                <w:bottom w:val="none" w:sz="0" w:space="0" w:color="auto"/>
                <w:right w:val="none" w:sz="0" w:space="0" w:color="auto"/>
              </w:divBdr>
              <w:divsChild>
                <w:div w:id="952787838">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542520275">
          <w:marLeft w:val="0"/>
          <w:marRight w:val="0"/>
          <w:marTop w:val="0"/>
          <w:marBottom w:val="0"/>
          <w:divBdr>
            <w:top w:val="none" w:sz="0" w:space="0" w:color="auto"/>
            <w:left w:val="none" w:sz="0" w:space="0" w:color="auto"/>
            <w:bottom w:val="none" w:sz="0" w:space="0" w:color="auto"/>
            <w:right w:val="none" w:sz="0" w:space="0" w:color="auto"/>
          </w:divBdr>
          <w:divsChild>
            <w:div w:id="1705640397">
              <w:marLeft w:val="0"/>
              <w:marRight w:val="0"/>
              <w:marTop w:val="0"/>
              <w:marBottom w:val="0"/>
              <w:divBdr>
                <w:top w:val="none" w:sz="0" w:space="0" w:color="auto"/>
                <w:left w:val="none" w:sz="0" w:space="0" w:color="auto"/>
                <w:bottom w:val="none" w:sz="0" w:space="0" w:color="auto"/>
                <w:right w:val="none" w:sz="0" w:space="0" w:color="auto"/>
              </w:divBdr>
              <w:divsChild>
                <w:div w:id="396754986">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155073">
      <w:bodyDiv w:val="1"/>
      <w:marLeft w:val="0"/>
      <w:marRight w:val="0"/>
      <w:marTop w:val="0"/>
      <w:marBottom w:val="0"/>
      <w:divBdr>
        <w:top w:val="none" w:sz="0" w:space="0" w:color="auto"/>
        <w:left w:val="none" w:sz="0" w:space="0" w:color="auto"/>
        <w:bottom w:val="none" w:sz="0" w:space="0" w:color="auto"/>
        <w:right w:val="none" w:sz="0" w:space="0" w:color="auto"/>
      </w:divBdr>
    </w:div>
    <w:div w:id="1621257639">
      <w:bodyDiv w:val="1"/>
      <w:marLeft w:val="0"/>
      <w:marRight w:val="0"/>
      <w:marTop w:val="0"/>
      <w:marBottom w:val="0"/>
      <w:divBdr>
        <w:top w:val="none" w:sz="0" w:space="0" w:color="auto"/>
        <w:left w:val="none" w:sz="0" w:space="0" w:color="auto"/>
        <w:bottom w:val="none" w:sz="0" w:space="0" w:color="auto"/>
        <w:right w:val="none" w:sz="0" w:space="0" w:color="auto"/>
      </w:divBdr>
    </w:div>
    <w:div w:id="1655722725">
      <w:bodyDiv w:val="1"/>
      <w:marLeft w:val="0"/>
      <w:marRight w:val="0"/>
      <w:marTop w:val="0"/>
      <w:marBottom w:val="0"/>
      <w:divBdr>
        <w:top w:val="none" w:sz="0" w:space="0" w:color="auto"/>
        <w:left w:val="none" w:sz="0" w:space="0" w:color="auto"/>
        <w:bottom w:val="none" w:sz="0" w:space="0" w:color="auto"/>
        <w:right w:val="none" w:sz="0" w:space="0" w:color="auto"/>
      </w:divBdr>
    </w:div>
    <w:div w:id="1658151724">
      <w:bodyDiv w:val="1"/>
      <w:marLeft w:val="0"/>
      <w:marRight w:val="0"/>
      <w:marTop w:val="0"/>
      <w:marBottom w:val="0"/>
      <w:divBdr>
        <w:top w:val="none" w:sz="0" w:space="0" w:color="auto"/>
        <w:left w:val="none" w:sz="0" w:space="0" w:color="auto"/>
        <w:bottom w:val="none" w:sz="0" w:space="0" w:color="auto"/>
        <w:right w:val="none" w:sz="0" w:space="0" w:color="auto"/>
      </w:divBdr>
    </w:div>
    <w:div w:id="1696687963">
      <w:bodyDiv w:val="1"/>
      <w:marLeft w:val="0"/>
      <w:marRight w:val="0"/>
      <w:marTop w:val="0"/>
      <w:marBottom w:val="0"/>
      <w:divBdr>
        <w:top w:val="none" w:sz="0" w:space="0" w:color="auto"/>
        <w:left w:val="none" w:sz="0" w:space="0" w:color="auto"/>
        <w:bottom w:val="none" w:sz="0" w:space="0" w:color="auto"/>
        <w:right w:val="none" w:sz="0" w:space="0" w:color="auto"/>
      </w:divBdr>
    </w:div>
    <w:div w:id="1704208364">
      <w:bodyDiv w:val="1"/>
      <w:marLeft w:val="0"/>
      <w:marRight w:val="0"/>
      <w:marTop w:val="0"/>
      <w:marBottom w:val="0"/>
      <w:divBdr>
        <w:top w:val="none" w:sz="0" w:space="0" w:color="auto"/>
        <w:left w:val="none" w:sz="0" w:space="0" w:color="auto"/>
        <w:bottom w:val="none" w:sz="0" w:space="0" w:color="auto"/>
        <w:right w:val="none" w:sz="0" w:space="0" w:color="auto"/>
      </w:divBdr>
    </w:div>
    <w:div w:id="1707367683">
      <w:bodyDiv w:val="1"/>
      <w:marLeft w:val="0"/>
      <w:marRight w:val="0"/>
      <w:marTop w:val="0"/>
      <w:marBottom w:val="0"/>
      <w:divBdr>
        <w:top w:val="none" w:sz="0" w:space="0" w:color="auto"/>
        <w:left w:val="none" w:sz="0" w:space="0" w:color="auto"/>
        <w:bottom w:val="none" w:sz="0" w:space="0" w:color="auto"/>
        <w:right w:val="none" w:sz="0" w:space="0" w:color="auto"/>
      </w:divBdr>
    </w:div>
    <w:div w:id="1761753837">
      <w:bodyDiv w:val="1"/>
      <w:marLeft w:val="0"/>
      <w:marRight w:val="0"/>
      <w:marTop w:val="0"/>
      <w:marBottom w:val="0"/>
      <w:divBdr>
        <w:top w:val="none" w:sz="0" w:space="0" w:color="auto"/>
        <w:left w:val="none" w:sz="0" w:space="0" w:color="auto"/>
        <w:bottom w:val="none" w:sz="0" w:space="0" w:color="auto"/>
        <w:right w:val="none" w:sz="0" w:space="0" w:color="auto"/>
      </w:divBdr>
    </w:div>
    <w:div w:id="1806001373">
      <w:bodyDiv w:val="1"/>
      <w:marLeft w:val="0"/>
      <w:marRight w:val="0"/>
      <w:marTop w:val="0"/>
      <w:marBottom w:val="0"/>
      <w:divBdr>
        <w:top w:val="none" w:sz="0" w:space="0" w:color="auto"/>
        <w:left w:val="none" w:sz="0" w:space="0" w:color="auto"/>
        <w:bottom w:val="none" w:sz="0" w:space="0" w:color="auto"/>
        <w:right w:val="none" w:sz="0" w:space="0" w:color="auto"/>
      </w:divBdr>
    </w:div>
    <w:div w:id="1821001358">
      <w:bodyDiv w:val="1"/>
      <w:marLeft w:val="0"/>
      <w:marRight w:val="0"/>
      <w:marTop w:val="0"/>
      <w:marBottom w:val="0"/>
      <w:divBdr>
        <w:top w:val="none" w:sz="0" w:space="0" w:color="auto"/>
        <w:left w:val="none" w:sz="0" w:space="0" w:color="auto"/>
        <w:bottom w:val="none" w:sz="0" w:space="0" w:color="auto"/>
        <w:right w:val="none" w:sz="0" w:space="0" w:color="auto"/>
      </w:divBdr>
      <w:divsChild>
        <w:div w:id="217712000">
          <w:marLeft w:val="0"/>
          <w:marRight w:val="0"/>
          <w:marTop w:val="0"/>
          <w:marBottom w:val="0"/>
          <w:divBdr>
            <w:top w:val="none" w:sz="0" w:space="0" w:color="auto"/>
            <w:left w:val="none" w:sz="0" w:space="0" w:color="auto"/>
            <w:bottom w:val="none" w:sz="0" w:space="0" w:color="auto"/>
            <w:right w:val="none" w:sz="0" w:space="0" w:color="auto"/>
          </w:divBdr>
        </w:div>
        <w:div w:id="378013893">
          <w:marLeft w:val="0"/>
          <w:marRight w:val="0"/>
          <w:marTop w:val="0"/>
          <w:marBottom w:val="0"/>
          <w:divBdr>
            <w:top w:val="none" w:sz="0" w:space="0" w:color="auto"/>
            <w:left w:val="none" w:sz="0" w:space="0" w:color="auto"/>
            <w:bottom w:val="none" w:sz="0" w:space="0" w:color="auto"/>
            <w:right w:val="none" w:sz="0" w:space="0" w:color="auto"/>
          </w:divBdr>
        </w:div>
        <w:div w:id="1412313235">
          <w:marLeft w:val="0"/>
          <w:marRight w:val="0"/>
          <w:marTop w:val="0"/>
          <w:marBottom w:val="0"/>
          <w:divBdr>
            <w:top w:val="none" w:sz="0" w:space="0" w:color="auto"/>
            <w:left w:val="none" w:sz="0" w:space="0" w:color="auto"/>
            <w:bottom w:val="none" w:sz="0" w:space="0" w:color="auto"/>
            <w:right w:val="none" w:sz="0" w:space="0" w:color="auto"/>
          </w:divBdr>
        </w:div>
        <w:div w:id="1588462905">
          <w:marLeft w:val="0"/>
          <w:marRight w:val="0"/>
          <w:marTop w:val="0"/>
          <w:marBottom w:val="0"/>
          <w:divBdr>
            <w:top w:val="none" w:sz="0" w:space="0" w:color="auto"/>
            <w:left w:val="none" w:sz="0" w:space="0" w:color="auto"/>
            <w:bottom w:val="none" w:sz="0" w:space="0" w:color="auto"/>
            <w:right w:val="none" w:sz="0" w:space="0" w:color="auto"/>
          </w:divBdr>
        </w:div>
        <w:div w:id="2067335731">
          <w:marLeft w:val="0"/>
          <w:marRight w:val="0"/>
          <w:marTop w:val="0"/>
          <w:marBottom w:val="0"/>
          <w:divBdr>
            <w:top w:val="none" w:sz="0" w:space="0" w:color="auto"/>
            <w:left w:val="none" w:sz="0" w:space="0" w:color="auto"/>
            <w:bottom w:val="none" w:sz="0" w:space="0" w:color="auto"/>
            <w:right w:val="none" w:sz="0" w:space="0" w:color="auto"/>
          </w:divBdr>
        </w:div>
      </w:divsChild>
    </w:div>
    <w:div w:id="1835295037">
      <w:bodyDiv w:val="1"/>
      <w:marLeft w:val="0"/>
      <w:marRight w:val="0"/>
      <w:marTop w:val="0"/>
      <w:marBottom w:val="0"/>
      <w:divBdr>
        <w:top w:val="none" w:sz="0" w:space="0" w:color="auto"/>
        <w:left w:val="none" w:sz="0" w:space="0" w:color="auto"/>
        <w:bottom w:val="none" w:sz="0" w:space="0" w:color="auto"/>
        <w:right w:val="none" w:sz="0" w:space="0" w:color="auto"/>
      </w:divBdr>
    </w:div>
    <w:div w:id="1859812044">
      <w:bodyDiv w:val="1"/>
      <w:marLeft w:val="0"/>
      <w:marRight w:val="0"/>
      <w:marTop w:val="0"/>
      <w:marBottom w:val="0"/>
      <w:divBdr>
        <w:top w:val="none" w:sz="0" w:space="0" w:color="auto"/>
        <w:left w:val="none" w:sz="0" w:space="0" w:color="auto"/>
        <w:bottom w:val="none" w:sz="0" w:space="0" w:color="auto"/>
        <w:right w:val="none" w:sz="0" w:space="0" w:color="auto"/>
      </w:divBdr>
    </w:div>
    <w:div w:id="1892112847">
      <w:bodyDiv w:val="1"/>
      <w:marLeft w:val="0"/>
      <w:marRight w:val="0"/>
      <w:marTop w:val="0"/>
      <w:marBottom w:val="0"/>
      <w:divBdr>
        <w:top w:val="none" w:sz="0" w:space="0" w:color="auto"/>
        <w:left w:val="none" w:sz="0" w:space="0" w:color="auto"/>
        <w:bottom w:val="none" w:sz="0" w:space="0" w:color="auto"/>
        <w:right w:val="none" w:sz="0" w:space="0" w:color="auto"/>
      </w:divBdr>
    </w:div>
    <w:div w:id="1949042803">
      <w:bodyDiv w:val="1"/>
      <w:marLeft w:val="0"/>
      <w:marRight w:val="0"/>
      <w:marTop w:val="0"/>
      <w:marBottom w:val="0"/>
      <w:divBdr>
        <w:top w:val="none" w:sz="0" w:space="0" w:color="auto"/>
        <w:left w:val="none" w:sz="0" w:space="0" w:color="auto"/>
        <w:bottom w:val="none" w:sz="0" w:space="0" w:color="auto"/>
        <w:right w:val="none" w:sz="0" w:space="0" w:color="auto"/>
      </w:divBdr>
    </w:div>
    <w:div w:id="1956520090">
      <w:bodyDiv w:val="1"/>
      <w:marLeft w:val="0"/>
      <w:marRight w:val="0"/>
      <w:marTop w:val="0"/>
      <w:marBottom w:val="0"/>
      <w:divBdr>
        <w:top w:val="none" w:sz="0" w:space="0" w:color="auto"/>
        <w:left w:val="none" w:sz="0" w:space="0" w:color="auto"/>
        <w:bottom w:val="none" w:sz="0" w:space="0" w:color="auto"/>
        <w:right w:val="none" w:sz="0" w:space="0" w:color="auto"/>
      </w:divBdr>
    </w:div>
    <w:div w:id="1960404976">
      <w:bodyDiv w:val="1"/>
      <w:marLeft w:val="0"/>
      <w:marRight w:val="0"/>
      <w:marTop w:val="0"/>
      <w:marBottom w:val="0"/>
      <w:divBdr>
        <w:top w:val="none" w:sz="0" w:space="0" w:color="auto"/>
        <w:left w:val="none" w:sz="0" w:space="0" w:color="auto"/>
        <w:bottom w:val="none" w:sz="0" w:space="0" w:color="auto"/>
        <w:right w:val="none" w:sz="0" w:space="0" w:color="auto"/>
      </w:divBdr>
    </w:div>
    <w:div w:id="1970234553">
      <w:bodyDiv w:val="1"/>
      <w:marLeft w:val="0"/>
      <w:marRight w:val="0"/>
      <w:marTop w:val="0"/>
      <w:marBottom w:val="0"/>
      <w:divBdr>
        <w:top w:val="none" w:sz="0" w:space="0" w:color="auto"/>
        <w:left w:val="none" w:sz="0" w:space="0" w:color="auto"/>
        <w:bottom w:val="none" w:sz="0" w:space="0" w:color="auto"/>
        <w:right w:val="none" w:sz="0" w:space="0" w:color="auto"/>
      </w:divBdr>
    </w:div>
    <w:div w:id="1978996868">
      <w:bodyDiv w:val="1"/>
      <w:marLeft w:val="0"/>
      <w:marRight w:val="0"/>
      <w:marTop w:val="0"/>
      <w:marBottom w:val="0"/>
      <w:divBdr>
        <w:top w:val="none" w:sz="0" w:space="0" w:color="auto"/>
        <w:left w:val="none" w:sz="0" w:space="0" w:color="auto"/>
        <w:bottom w:val="none" w:sz="0" w:space="0" w:color="auto"/>
        <w:right w:val="none" w:sz="0" w:space="0" w:color="auto"/>
      </w:divBdr>
      <w:divsChild>
        <w:div w:id="24522112">
          <w:marLeft w:val="0"/>
          <w:marRight w:val="0"/>
          <w:marTop w:val="0"/>
          <w:marBottom w:val="0"/>
          <w:divBdr>
            <w:top w:val="none" w:sz="0" w:space="0" w:color="auto"/>
            <w:left w:val="none" w:sz="0" w:space="0" w:color="auto"/>
            <w:bottom w:val="none" w:sz="0" w:space="0" w:color="auto"/>
            <w:right w:val="none" w:sz="0" w:space="0" w:color="auto"/>
          </w:divBdr>
        </w:div>
        <w:div w:id="43257167">
          <w:marLeft w:val="0"/>
          <w:marRight w:val="0"/>
          <w:marTop w:val="0"/>
          <w:marBottom w:val="0"/>
          <w:divBdr>
            <w:top w:val="none" w:sz="0" w:space="0" w:color="auto"/>
            <w:left w:val="none" w:sz="0" w:space="0" w:color="auto"/>
            <w:bottom w:val="none" w:sz="0" w:space="0" w:color="auto"/>
            <w:right w:val="none" w:sz="0" w:space="0" w:color="auto"/>
          </w:divBdr>
        </w:div>
        <w:div w:id="88623403">
          <w:marLeft w:val="0"/>
          <w:marRight w:val="0"/>
          <w:marTop w:val="0"/>
          <w:marBottom w:val="0"/>
          <w:divBdr>
            <w:top w:val="none" w:sz="0" w:space="0" w:color="auto"/>
            <w:left w:val="none" w:sz="0" w:space="0" w:color="auto"/>
            <w:bottom w:val="none" w:sz="0" w:space="0" w:color="auto"/>
            <w:right w:val="none" w:sz="0" w:space="0" w:color="auto"/>
          </w:divBdr>
        </w:div>
        <w:div w:id="186986517">
          <w:marLeft w:val="0"/>
          <w:marRight w:val="0"/>
          <w:marTop w:val="0"/>
          <w:marBottom w:val="0"/>
          <w:divBdr>
            <w:top w:val="none" w:sz="0" w:space="0" w:color="auto"/>
            <w:left w:val="none" w:sz="0" w:space="0" w:color="auto"/>
            <w:bottom w:val="none" w:sz="0" w:space="0" w:color="auto"/>
            <w:right w:val="none" w:sz="0" w:space="0" w:color="auto"/>
          </w:divBdr>
        </w:div>
        <w:div w:id="207424773">
          <w:marLeft w:val="0"/>
          <w:marRight w:val="0"/>
          <w:marTop w:val="0"/>
          <w:marBottom w:val="0"/>
          <w:divBdr>
            <w:top w:val="none" w:sz="0" w:space="0" w:color="auto"/>
            <w:left w:val="none" w:sz="0" w:space="0" w:color="auto"/>
            <w:bottom w:val="none" w:sz="0" w:space="0" w:color="auto"/>
            <w:right w:val="none" w:sz="0" w:space="0" w:color="auto"/>
          </w:divBdr>
        </w:div>
        <w:div w:id="214633572">
          <w:marLeft w:val="0"/>
          <w:marRight w:val="0"/>
          <w:marTop w:val="0"/>
          <w:marBottom w:val="0"/>
          <w:divBdr>
            <w:top w:val="none" w:sz="0" w:space="0" w:color="auto"/>
            <w:left w:val="none" w:sz="0" w:space="0" w:color="auto"/>
            <w:bottom w:val="none" w:sz="0" w:space="0" w:color="auto"/>
            <w:right w:val="none" w:sz="0" w:space="0" w:color="auto"/>
          </w:divBdr>
        </w:div>
        <w:div w:id="227494897">
          <w:marLeft w:val="0"/>
          <w:marRight w:val="0"/>
          <w:marTop w:val="0"/>
          <w:marBottom w:val="0"/>
          <w:divBdr>
            <w:top w:val="none" w:sz="0" w:space="0" w:color="auto"/>
            <w:left w:val="none" w:sz="0" w:space="0" w:color="auto"/>
            <w:bottom w:val="none" w:sz="0" w:space="0" w:color="auto"/>
            <w:right w:val="none" w:sz="0" w:space="0" w:color="auto"/>
          </w:divBdr>
        </w:div>
        <w:div w:id="271406199">
          <w:marLeft w:val="0"/>
          <w:marRight w:val="0"/>
          <w:marTop w:val="0"/>
          <w:marBottom w:val="0"/>
          <w:divBdr>
            <w:top w:val="none" w:sz="0" w:space="0" w:color="auto"/>
            <w:left w:val="none" w:sz="0" w:space="0" w:color="auto"/>
            <w:bottom w:val="none" w:sz="0" w:space="0" w:color="auto"/>
            <w:right w:val="none" w:sz="0" w:space="0" w:color="auto"/>
          </w:divBdr>
        </w:div>
        <w:div w:id="376010257">
          <w:marLeft w:val="0"/>
          <w:marRight w:val="0"/>
          <w:marTop w:val="0"/>
          <w:marBottom w:val="0"/>
          <w:divBdr>
            <w:top w:val="none" w:sz="0" w:space="0" w:color="auto"/>
            <w:left w:val="none" w:sz="0" w:space="0" w:color="auto"/>
            <w:bottom w:val="none" w:sz="0" w:space="0" w:color="auto"/>
            <w:right w:val="none" w:sz="0" w:space="0" w:color="auto"/>
          </w:divBdr>
        </w:div>
        <w:div w:id="484976207">
          <w:marLeft w:val="0"/>
          <w:marRight w:val="0"/>
          <w:marTop w:val="0"/>
          <w:marBottom w:val="0"/>
          <w:divBdr>
            <w:top w:val="none" w:sz="0" w:space="0" w:color="auto"/>
            <w:left w:val="none" w:sz="0" w:space="0" w:color="auto"/>
            <w:bottom w:val="none" w:sz="0" w:space="0" w:color="auto"/>
            <w:right w:val="none" w:sz="0" w:space="0" w:color="auto"/>
          </w:divBdr>
        </w:div>
        <w:div w:id="566302865">
          <w:marLeft w:val="0"/>
          <w:marRight w:val="0"/>
          <w:marTop w:val="0"/>
          <w:marBottom w:val="0"/>
          <w:divBdr>
            <w:top w:val="none" w:sz="0" w:space="0" w:color="auto"/>
            <w:left w:val="none" w:sz="0" w:space="0" w:color="auto"/>
            <w:bottom w:val="none" w:sz="0" w:space="0" w:color="auto"/>
            <w:right w:val="none" w:sz="0" w:space="0" w:color="auto"/>
          </w:divBdr>
        </w:div>
        <w:div w:id="566496645">
          <w:marLeft w:val="0"/>
          <w:marRight w:val="0"/>
          <w:marTop w:val="0"/>
          <w:marBottom w:val="0"/>
          <w:divBdr>
            <w:top w:val="none" w:sz="0" w:space="0" w:color="auto"/>
            <w:left w:val="none" w:sz="0" w:space="0" w:color="auto"/>
            <w:bottom w:val="none" w:sz="0" w:space="0" w:color="auto"/>
            <w:right w:val="none" w:sz="0" w:space="0" w:color="auto"/>
          </w:divBdr>
        </w:div>
        <w:div w:id="704598885">
          <w:marLeft w:val="0"/>
          <w:marRight w:val="0"/>
          <w:marTop w:val="0"/>
          <w:marBottom w:val="0"/>
          <w:divBdr>
            <w:top w:val="none" w:sz="0" w:space="0" w:color="auto"/>
            <w:left w:val="none" w:sz="0" w:space="0" w:color="auto"/>
            <w:bottom w:val="none" w:sz="0" w:space="0" w:color="auto"/>
            <w:right w:val="none" w:sz="0" w:space="0" w:color="auto"/>
          </w:divBdr>
        </w:div>
        <w:div w:id="709838622">
          <w:marLeft w:val="0"/>
          <w:marRight w:val="0"/>
          <w:marTop w:val="0"/>
          <w:marBottom w:val="0"/>
          <w:divBdr>
            <w:top w:val="none" w:sz="0" w:space="0" w:color="auto"/>
            <w:left w:val="none" w:sz="0" w:space="0" w:color="auto"/>
            <w:bottom w:val="none" w:sz="0" w:space="0" w:color="auto"/>
            <w:right w:val="none" w:sz="0" w:space="0" w:color="auto"/>
          </w:divBdr>
          <w:divsChild>
            <w:div w:id="89785432">
              <w:marLeft w:val="0"/>
              <w:marRight w:val="0"/>
              <w:marTop w:val="0"/>
              <w:marBottom w:val="0"/>
              <w:divBdr>
                <w:top w:val="none" w:sz="0" w:space="0" w:color="auto"/>
                <w:left w:val="none" w:sz="0" w:space="0" w:color="auto"/>
                <w:bottom w:val="none" w:sz="0" w:space="0" w:color="auto"/>
                <w:right w:val="none" w:sz="0" w:space="0" w:color="auto"/>
              </w:divBdr>
            </w:div>
            <w:div w:id="962030344">
              <w:marLeft w:val="0"/>
              <w:marRight w:val="0"/>
              <w:marTop w:val="0"/>
              <w:marBottom w:val="0"/>
              <w:divBdr>
                <w:top w:val="none" w:sz="0" w:space="0" w:color="auto"/>
                <w:left w:val="none" w:sz="0" w:space="0" w:color="auto"/>
                <w:bottom w:val="none" w:sz="0" w:space="0" w:color="auto"/>
                <w:right w:val="none" w:sz="0" w:space="0" w:color="auto"/>
              </w:divBdr>
            </w:div>
            <w:div w:id="1209494388">
              <w:marLeft w:val="0"/>
              <w:marRight w:val="0"/>
              <w:marTop w:val="0"/>
              <w:marBottom w:val="0"/>
              <w:divBdr>
                <w:top w:val="none" w:sz="0" w:space="0" w:color="auto"/>
                <w:left w:val="none" w:sz="0" w:space="0" w:color="auto"/>
                <w:bottom w:val="none" w:sz="0" w:space="0" w:color="auto"/>
                <w:right w:val="none" w:sz="0" w:space="0" w:color="auto"/>
              </w:divBdr>
            </w:div>
            <w:div w:id="1392146027">
              <w:marLeft w:val="0"/>
              <w:marRight w:val="0"/>
              <w:marTop w:val="0"/>
              <w:marBottom w:val="0"/>
              <w:divBdr>
                <w:top w:val="none" w:sz="0" w:space="0" w:color="auto"/>
                <w:left w:val="none" w:sz="0" w:space="0" w:color="auto"/>
                <w:bottom w:val="none" w:sz="0" w:space="0" w:color="auto"/>
                <w:right w:val="none" w:sz="0" w:space="0" w:color="auto"/>
              </w:divBdr>
            </w:div>
            <w:div w:id="1569923240">
              <w:marLeft w:val="0"/>
              <w:marRight w:val="0"/>
              <w:marTop w:val="0"/>
              <w:marBottom w:val="0"/>
              <w:divBdr>
                <w:top w:val="none" w:sz="0" w:space="0" w:color="auto"/>
                <w:left w:val="none" w:sz="0" w:space="0" w:color="auto"/>
                <w:bottom w:val="none" w:sz="0" w:space="0" w:color="auto"/>
                <w:right w:val="none" w:sz="0" w:space="0" w:color="auto"/>
              </w:divBdr>
            </w:div>
          </w:divsChild>
        </w:div>
        <w:div w:id="722869022">
          <w:marLeft w:val="0"/>
          <w:marRight w:val="0"/>
          <w:marTop w:val="0"/>
          <w:marBottom w:val="0"/>
          <w:divBdr>
            <w:top w:val="none" w:sz="0" w:space="0" w:color="auto"/>
            <w:left w:val="none" w:sz="0" w:space="0" w:color="auto"/>
            <w:bottom w:val="none" w:sz="0" w:space="0" w:color="auto"/>
            <w:right w:val="none" w:sz="0" w:space="0" w:color="auto"/>
          </w:divBdr>
        </w:div>
        <w:div w:id="733548946">
          <w:marLeft w:val="0"/>
          <w:marRight w:val="0"/>
          <w:marTop w:val="0"/>
          <w:marBottom w:val="0"/>
          <w:divBdr>
            <w:top w:val="none" w:sz="0" w:space="0" w:color="auto"/>
            <w:left w:val="none" w:sz="0" w:space="0" w:color="auto"/>
            <w:bottom w:val="none" w:sz="0" w:space="0" w:color="auto"/>
            <w:right w:val="none" w:sz="0" w:space="0" w:color="auto"/>
          </w:divBdr>
        </w:div>
        <w:div w:id="935747394">
          <w:marLeft w:val="0"/>
          <w:marRight w:val="0"/>
          <w:marTop w:val="0"/>
          <w:marBottom w:val="0"/>
          <w:divBdr>
            <w:top w:val="none" w:sz="0" w:space="0" w:color="auto"/>
            <w:left w:val="none" w:sz="0" w:space="0" w:color="auto"/>
            <w:bottom w:val="none" w:sz="0" w:space="0" w:color="auto"/>
            <w:right w:val="none" w:sz="0" w:space="0" w:color="auto"/>
          </w:divBdr>
        </w:div>
        <w:div w:id="999424290">
          <w:marLeft w:val="0"/>
          <w:marRight w:val="0"/>
          <w:marTop w:val="0"/>
          <w:marBottom w:val="0"/>
          <w:divBdr>
            <w:top w:val="none" w:sz="0" w:space="0" w:color="auto"/>
            <w:left w:val="none" w:sz="0" w:space="0" w:color="auto"/>
            <w:bottom w:val="none" w:sz="0" w:space="0" w:color="auto"/>
            <w:right w:val="none" w:sz="0" w:space="0" w:color="auto"/>
          </w:divBdr>
        </w:div>
        <w:div w:id="1049694895">
          <w:marLeft w:val="0"/>
          <w:marRight w:val="0"/>
          <w:marTop w:val="0"/>
          <w:marBottom w:val="0"/>
          <w:divBdr>
            <w:top w:val="none" w:sz="0" w:space="0" w:color="auto"/>
            <w:left w:val="none" w:sz="0" w:space="0" w:color="auto"/>
            <w:bottom w:val="none" w:sz="0" w:space="0" w:color="auto"/>
            <w:right w:val="none" w:sz="0" w:space="0" w:color="auto"/>
          </w:divBdr>
        </w:div>
        <w:div w:id="1056390646">
          <w:marLeft w:val="0"/>
          <w:marRight w:val="0"/>
          <w:marTop w:val="0"/>
          <w:marBottom w:val="0"/>
          <w:divBdr>
            <w:top w:val="none" w:sz="0" w:space="0" w:color="auto"/>
            <w:left w:val="none" w:sz="0" w:space="0" w:color="auto"/>
            <w:bottom w:val="none" w:sz="0" w:space="0" w:color="auto"/>
            <w:right w:val="none" w:sz="0" w:space="0" w:color="auto"/>
          </w:divBdr>
        </w:div>
        <w:div w:id="1122724621">
          <w:marLeft w:val="0"/>
          <w:marRight w:val="0"/>
          <w:marTop w:val="0"/>
          <w:marBottom w:val="0"/>
          <w:divBdr>
            <w:top w:val="none" w:sz="0" w:space="0" w:color="auto"/>
            <w:left w:val="none" w:sz="0" w:space="0" w:color="auto"/>
            <w:bottom w:val="none" w:sz="0" w:space="0" w:color="auto"/>
            <w:right w:val="none" w:sz="0" w:space="0" w:color="auto"/>
          </w:divBdr>
        </w:div>
        <w:div w:id="1146360067">
          <w:marLeft w:val="0"/>
          <w:marRight w:val="0"/>
          <w:marTop w:val="0"/>
          <w:marBottom w:val="0"/>
          <w:divBdr>
            <w:top w:val="none" w:sz="0" w:space="0" w:color="auto"/>
            <w:left w:val="none" w:sz="0" w:space="0" w:color="auto"/>
            <w:bottom w:val="none" w:sz="0" w:space="0" w:color="auto"/>
            <w:right w:val="none" w:sz="0" w:space="0" w:color="auto"/>
          </w:divBdr>
          <w:divsChild>
            <w:div w:id="244648571">
              <w:marLeft w:val="0"/>
              <w:marRight w:val="0"/>
              <w:marTop w:val="0"/>
              <w:marBottom w:val="0"/>
              <w:divBdr>
                <w:top w:val="none" w:sz="0" w:space="0" w:color="auto"/>
                <w:left w:val="none" w:sz="0" w:space="0" w:color="auto"/>
                <w:bottom w:val="none" w:sz="0" w:space="0" w:color="auto"/>
                <w:right w:val="none" w:sz="0" w:space="0" w:color="auto"/>
              </w:divBdr>
            </w:div>
            <w:div w:id="668096683">
              <w:marLeft w:val="0"/>
              <w:marRight w:val="0"/>
              <w:marTop w:val="0"/>
              <w:marBottom w:val="0"/>
              <w:divBdr>
                <w:top w:val="none" w:sz="0" w:space="0" w:color="auto"/>
                <w:left w:val="none" w:sz="0" w:space="0" w:color="auto"/>
                <w:bottom w:val="none" w:sz="0" w:space="0" w:color="auto"/>
                <w:right w:val="none" w:sz="0" w:space="0" w:color="auto"/>
              </w:divBdr>
            </w:div>
            <w:div w:id="711687618">
              <w:marLeft w:val="0"/>
              <w:marRight w:val="0"/>
              <w:marTop w:val="0"/>
              <w:marBottom w:val="0"/>
              <w:divBdr>
                <w:top w:val="none" w:sz="0" w:space="0" w:color="auto"/>
                <w:left w:val="none" w:sz="0" w:space="0" w:color="auto"/>
                <w:bottom w:val="none" w:sz="0" w:space="0" w:color="auto"/>
                <w:right w:val="none" w:sz="0" w:space="0" w:color="auto"/>
              </w:divBdr>
            </w:div>
            <w:div w:id="1431006312">
              <w:marLeft w:val="0"/>
              <w:marRight w:val="0"/>
              <w:marTop w:val="0"/>
              <w:marBottom w:val="0"/>
              <w:divBdr>
                <w:top w:val="none" w:sz="0" w:space="0" w:color="auto"/>
                <w:left w:val="none" w:sz="0" w:space="0" w:color="auto"/>
                <w:bottom w:val="none" w:sz="0" w:space="0" w:color="auto"/>
                <w:right w:val="none" w:sz="0" w:space="0" w:color="auto"/>
              </w:divBdr>
            </w:div>
            <w:div w:id="1898010707">
              <w:marLeft w:val="0"/>
              <w:marRight w:val="0"/>
              <w:marTop w:val="0"/>
              <w:marBottom w:val="0"/>
              <w:divBdr>
                <w:top w:val="none" w:sz="0" w:space="0" w:color="auto"/>
                <w:left w:val="none" w:sz="0" w:space="0" w:color="auto"/>
                <w:bottom w:val="none" w:sz="0" w:space="0" w:color="auto"/>
                <w:right w:val="none" w:sz="0" w:space="0" w:color="auto"/>
              </w:divBdr>
            </w:div>
          </w:divsChild>
        </w:div>
        <w:div w:id="1333681707">
          <w:marLeft w:val="0"/>
          <w:marRight w:val="0"/>
          <w:marTop w:val="0"/>
          <w:marBottom w:val="0"/>
          <w:divBdr>
            <w:top w:val="none" w:sz="0" w:space="0" w:color="auto"/>
            <w:left w:val="none" w:sz="0" w:space="0" w:color="auto"/>
            <w:bottom w:val="none" w:sz="0" w:space="0" w:color="auto"/>
            <w:right w:val="none" w:sz="0" w:space="0" w:color="auto"/>
          </w:divBdr>
        </w:div>
        <w:div w:id="1481531374">
          <w:marLeft w:val="0"/>
          <w:marRight w:val="0"/>
          <w:marTop w:val="0"/>
          <w:marBottom w:val="0"/>
          <w:divBdr>
            <w:top w:val="none" w:sz="0" w:space="0" w:color="auto"/>
            <w:left w:val="none" w:sz="0" w:space="0" w:color="auto"/>
            <w:bottom w:val="none" w:sz="0" w:space="0" w:color="auto"/>
            <w:right w:val="none" w:sz="0" w:space="0" w:color="auto"/>
          </w:divBdr>
        </w:div>
        <w:div w:id="1535802738">
          <w:marLeft w:val="0"/>
          <w:marRight w:val="0"/>
          <w:marTop w:val="0"/>
          <w:marBottom w:val="0"/>
          <w:divBdr>
            <w:top w:val="none" w:sz="0" w:space="0" w:color="auto"/>
            <w:left w:val="none" w:sz="0" w:space="0" w:color="auto"/>
            <w:bottom w:val="none" w:sz="0" w:space="0" w:color="auto"/>
            <w:right w:val="none" w:sz="0" w:space="0" w:color="auto"/>
          </w:divBdr>
        </w:div>
        <w:div w:id="1547445097">
          <w:marLeft w:val="0"/>
          <w:marRight w:val="0"/>
          <w:marTop w:val="0"/>
          <w:marBottom w:val="0"/>
          <w:divBdr>
            <w:top w:val="none" w:sz="0" w:space="0" w:color="auto"/>
            <w:left w:val="none" w:sz="0" w:space="0" w:color="auto"/>
            <w:bottom w:val="none" w:sz="0" w:space="0" w:color="auto"/>
            <w:right w:val="none" w:sz="0" w:space="0" w:color="auto"/>
          </w:divBdr>
        </w:div>
        <w:div w:id="1734965092">
          <w:marLeft w:val="0"/>
          <w:marRight w:val="0"/>
          <w:marTop w:val="0"/>
          <w:marBottom w:val="0"/>
          <w:divBdr>
            <w:top w:val="none" w:sz="0" w:space="0" w:color="auto"/>
            <w:left w:val="none" w:sz="0" w:space="0" w:color="auto"/>
            <w:bottom w:val="none" w:sz="0" w:space="0" w:color="auto"/>
            <w:right w:val="none" w:sz="0" w:space="0" w:color="auto"/>
          </w:divBdr>
        </w:div>
        <w:div w:id="1796827623">
          <w:marLeft w:val="0"/>
          <w:marRight w:val="0"/>
          <w:marTop w:val="0"/>
          <w:marBottom w:val="0"/>
          <w:divBdr>
            <w:top w:val="none" w:sz="0" w:space="0" w:color="auto"/>
            <w:left w:val="none" w:sz="0" w:space="0" w:color="auto"/>
            <w:bottom w:val="none" w:sz="0" w:space="0" w:color="auto"/>
            <w:right w:val="none" w:sz="0" w:space="0" w:color="auto"/>
          </w:divBdr>
        </w:div>
        <w:div w:id="1870072260">
          <w:marLeft w:val="0"/>
          <w:marRight w:val="0"/>
          <w:marTop w:val="0"/>
          <w:marBottom w:val="0"/>
          <w:divBdr>
            <w:top w:val="none" w:sz="0" w:space="0" w:color="auto"/>
            <w:left w:val="none" w:sz="0" w:space="0" w:color="auto"/>
            <w:bottom w:val="none" w:sz="0" w:space="0" w:color="auto"/>
            <w:right w:val="none" w:sz="0" w:space="0" w:color="auto"/>
          </w:divBdr>
        </w:div>
        <w:div w:id="1888251853">
          <w:marLeft w:val="0"/>
          <w:marRight w:val="0"/>
          <w:marTop w:val="0"/>
          <w:marBottom w:val="0"/>
          <w:divBdr>
            <w:top w:val="none" w:sz="0" w:space="0" w:color="auto"/>
            <w:left w:val="none" w:sz="0" w:space="0" w:color="auto"/>
            <w:bottom w:val="none" w:sz="0" w:space="0" w:color="auto"/>
            <w:right w:val="none" w:sz="0" w:space="0" w:color="auto"/>
          </w:divBdr>
        </w:div>
        <w:div w:id="1969701272">
          <w:marLeft w:val="0"/>
          <w:marRight w:val="0"/>
          <w:marTop w:val="0"/>
          <w:marBottom w:val="0"/>
          <w:divBdr>
            <w:top w:val="none" w:sz="0" w:space="0" w:color="auto"/>
            <w:left w:val="none" w:sz="0" w:space="0" w:color="auto"/>
            <w:bottom w:val="none" w:sz="0" w:space="0" w:color="auto"/>
            <w:right w:val="none" w:sz="0" w:space="0" w:color="auto"/>
          </w:divBdr>
        </w:div>
        <w:div w:id="2075615731">
          <w:marLeft w:val="0"/>
          <w:marRight w:val="0"/>
          <w:marTop w:val="0"/>
          <w:marBottom w:val="0"/>
          <w:divBdr>
            <w:top w:val="none" w:sz="0" w:space="0" w:color="auto"/>
            <w:left w:val="none" w:sz="0" w:space="0" w:color="auto"/>
            <w:bottom w:val="none" w:sz="0" w:space="0" w:color="auto"/>
            <w:right w:val="none" w:sz="0" w:space="0" w:color="auto"/>
          </w:divBdr>
        </w:div>
        <w:div w:id="2104573336">
          <w:marLeft w:val="0"/>
          <w:marRight w:val="0"/>
          <w:marTop w:val="0"/>
          <w:marBottom w:val="0"/>
          <w:divBdr>
            <w:top w:val="none" w:sz="0" w:space="0" w:color="auto"/>
            <w:left w:val="none" w:sz="0" w:space="0" w:color="auto"/>
            <w:bottom w:val="none" w:sz="0" w:space="0" w:color="auto"/>
            <w:right w:val="none" w:sz="0" w:space="0" w:color="auto"/>
          </w:divBdr>
        </w:div>
      </w:divsChild>
    </w:div>
    <w:div w:id="1985423435">
      <w:bodyDiv w:val="1"/>
      <w:marLeft w:val="0"/>
      <w:marRight w:val="0"/>
      <w:marTop w:val="0"/>
      <w:marBottom w:val="0"/>
      <w:divBdr>
        <w:top w:val="none" w:sz="0" w:space="0" w:color="auto"/>
        <w:left w:val="none" w:sz="0" w:space="0" w:color="auto"/>
        <w:bottom w:val="none" w:sz="0" w:space="0" w:color="auto"/>
        <w:right w:val="none" w:sz="0" w:space="0" w:color="auto"/>
      </w:divBdr>
    </w:div>
    <w:div w:id="2003653652">
      <w:bodyDiv w:val="1"/>
      <w:marLeft w:val="0"/>
      <w:marRight w:val="0"/>
      <w:marTop w:val="0"/>
      <w:marBottom w:val="0"/>
      <w:divBdr>
        <w:top w:val="none" w:sz="0" w:space="0" w:color="auto"/>
        <w:left w:val="none" w:sz="0" w:space="0" w:color="auto"/>
        <w:bottom w:val="none" w:sz="0" w:space="0" w:color="auto"/>
        <w:right w:val="none" w:sz="0" w:space="0" w:color="auto"/>
      </w:divBdr>
    </w:div>
    <w:div w:id="2014532073">
      <w:bodyDiv w:val="1"/>
      <w:marLeft w:val="0"/>
      <w:marRight w:val="0"/>
      <w:marTop w:val="0"/>
      <w:marBottom w:val="0"/>
      <w:divBdr>
        <w:top w:val="none" w:sz="0" w:space="0" w:color="auto"/>
        <w:left w:val="none" w:sz="0" w:space="0" w:color="auto"/>
        <w:bottom w:val="none" w:sz="0" w:space="0" w:color="auto"/>
        <w:right w:val="none" w:sz="0" w:space="0" w:color="auto"/>
      </w:divBdr>
    </w:div>
    <w:div w:id="2023701222">
      <w:bodyDiv w:val="1"/>
      <w:marLeft w:val="0"/>
      <w:marRight w:val="0"/>
      <w:marTop w:val="0"/>
      <w:marBottom w:val="0"/>
      <w:divBdr>
        <w:top w:val="none" w:sz="0" w:space="0" w:color="auto"/>
        <w:left w:val="none" w:sz="0" w:space="0" w:color="auto"/>
        <w:bottom w:val="none" w:sz="0" w:space="0" w:color="auto"/>
        <w:right w:val="none" w:sz="0" w:space="0" w:color="auto"/>
      </w:divBdr>
    </w:div>
    <w:div w:id="2048556743">
      <w:bodyDiv w:val="1"/>
      <w:marLeft w:val="0"/>
      <w:marRight w:val="0"/>
      <w:marTop w:val="0"/>
      <w:marBottom w:val="0"/>
      <w:divBdr>
        <w:top w:val="none" w:sz="0" w:space="0" w:color="auto"/>
        <w:left w:val="none" w:sz="0" w:space="0" w:color="auto"/>
        <w:bottom w:val="none" w:sz="0" w:space="0" w:color="auto"/>
        <w:right w:val="none" w:sz="0" w:space="0" w:color="auto"/>
      </w:divBdr>
    </w:div>
    <w:div w:id="2079548510">
      <w:bodyDiv w:val="1"/>
      <w:marLeft w:val="0"/>
      <w:marRight w:val="0"/>
      <w:marTop w:val="0"/>
      <w:marBottom w:val="0"/>
      <w:divBdr>
        <w:top w:val="none" w:sz="0" w:space="0" w:color="auto"/>
        <w:left w:val="none" w:sz="0" w:space="0" w:color="auto"/>
        <w:bottom w:val="none" w:sz="0" w:space="0" w:color="auto"/>
        <w:right w:val="none" w:sz="0" w:space="0" w:color="auto"/>
      </w:divBdr>
    </w:div>
    <w:div w:id="2089112923">
      <w:bodyDiv w:val="1"/>
      <w:marLeft w:val="0"/>
      <w:marRight w:val="0"/>
      <w:marTop w:val="0"/>
      <w:marBottom w:val="0"/>
      <w:divBdr>
        <w:top w:val="none" w:sz="0" w:space="0" w:color="auto"/>
        <w:left w:val="none" w:sz="0" w:space="0" w:color="auto"/>
        <w:bottom w:val="none" w:sz="0" w:space="0" w:color="auto"/>
        <w:right w:val="none" w:sz="0" w:space="0" w:color="auto"/>
      </w:divBdr>
    </w:div>
    <w:div w:id="2112237980">
      <w:bodyDiv w:val="1"/>
      <w:marLeft w:val="0"/>
      <w:marRight w:val="0"/>
      <w:marTop w:val="0"/>
      <w:marBottom w:val="0"/>
      <w:divBdr>
        <w:top w:val="none" w:sz="0" w:space="0" w:color="auto"/>
        <w:left w:val="none" w:sz="0" w:space="0" w:color="auto"/>
        <w:bottom w:val="none" w:sz="0" w:space="0" w:color="auto"/>
        <w:right w:val="none" w:sz="0" w:space="0" w:color="auto"/>
      </w:divBdr>
    </w:div>
    <w:div w:id="212292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23" Type="http://schemas.microsoft.com/office/2016/09/relationships/commentsIds" Target="commentsIds.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acer.europa.eu/sites/default/files/documents/Media/News/Documents/2022%2006%2001%20FG%20Request%20to%20ACER_final.pdf" TargetMode="External"/><Relationship Id="rId13" Type="http://schemas.openxmlformats.org/officeDocument/2006/relationships/hyperlink" Target="https://ec.europa.eu/info/funding-tenders/opportunities/portal/screen/opportunities/topic-details/digital-2021-cloud-ai-01-suppcentre" TargetMode="External"/><Relationship Id="rId18" Type="http://schemas.openxmlformats.org/officeDocument/2006/relationships/hyperlink" Target="https://ec.europa.eu/info/funding-tenders/find-funding/eu-funding-programmes/technical-support-instrument/technical-support-instrument-tsi_ro" TargetMode="External"/><Relationship Id="rId26" Type="http://schemas.openxmlformats.org/officeDocument/2006/relationships/hyperlink" Target="https://www.bloomberg.com/professional/blog/why-bitcoins-energy-problem-is-so-hard-to-fix-quicktake/" TargetMode="External"/><Relationship Id="rId3" Type="http://schemas.openxmlformats.org/officeDocument/2006/relationships/hyperlink" Target="https://www.eurelectric.org/connecting-the-dots/" TargetMode="External"/><Relationship Id="rId21" Type="http://schemas.openxmlformats.org/officeDocument/2006/relationships/hyperlink" Target="https://ec.europa.eu/info/news/ecodesign-and-energy-labelling-working-plan-2022-2024-2022-apr-06_en" TargetMode="External"/><Relationship Id="rId7" Type="http://schemas.openxmlformats.org/officeDocument/2006/relationships/hyperlink" Target="https://ec.europa.eu/transparency/expert-groups-register/screen/expert-groups/consult?do=groupDetail.groupDetail&amp;groupID=2892&amp;lang=ro" TargetMode="External"/><Relationship Id="rId12" Type="http://schemas.openxmlformats.org/officeDocument/2006/relationships/hyperlink" Target="https://transport.ec.europa.eu/transport-themes/clean-transport-urban-transport/sustainable-transport-forum-stf_en" TargetMode="External"/><Relationship Id="rId17" Type="http://schemas.openxmlformats.org/officeDocument/2006/relationships/hyperlink" Target="https://bridge-smart-grid-storage-systems-digital-projects.ec.europa.eu/" TargetMode="External"/><Relationship Id="rId25" Type="http://schemas.openxmlformats.org/officeDocument/2006/relationships/hyperlink" Target="https://ccaf.io/cbeci/index" TargetMode="External"/><Relationship Id="rId2" Type="http://schemas.openxmlformats.org/officeDocument/2006/relationships/hyperlink" Target="https://www.eurelectric.org/connecting-the-dots/" TargetMode="External"/><Relationship Id="rId16" Type="http://schemas.openxmlformats.org/officeDocument/2006/relationships/hyperlink" Target="https://ec.europa.eu/info/funding-tenders/opportunities/portal/screen/opportunities/topic-details/horizon-cl5-2021-d3-01-01" TargetMode="External"/><Relationship Id="rId20" Type="http://schemas.openxmlformats.org/officeDocument/2006/relationships/hyperlink" Target="https://ec.europa.eu/info/funding-tenders/opportunities/docs/2021-2027/digital/wp-call/2022/call-fiche_digital-2022-skills-03-specialised-edu_en.pdf" TargetMode="External"/><Relationship Id="rId1" Type="http://schemas.openxmlformats.org/officeDocument/2006/relationships/hyperlink" Target="https://iea.blob.core.windows.net/assets/b1e6600c-4e40-4d9c-809d-1d1724c763d5/DigitalizationandEnergy3.pdf" TargetMode="External"/><Relationship Id="rId6" Type="http://schemas.openxmlformats.org/officeDocument/2006/relationships/hyperlink" Target="https://op.europa.eu/en/publication-detail/-/publication/c230dd32-a5a2-11ec-83e1-01aa75ed71a1/language-en" TargetMode="External"/><Relationship Id="rId11" Type="http://schemas.openxmlformats.org/officeDocument/2006/relationships/hyperlink" Target="https://eefig.ec.europa.eu/index_en" TargetMode="External"/><Relationship Id="rId24" Type="http://schemas.openxmlformats.org/officeDocument/2006/relationships/hyperlink" Target="https://digital-strategy.ec.europa.eu/en/library/energy-efficient-cloud-computing-technologies-and-policies-eco-friendly-cloud-market" TargetMode="External"/><Relationship Id="rId5" Type="http://schemas.openxmlformats.org/officeDocument/2006/relationships/hyperlink" Target="https://data.europa.eu/doi/10.2833/492070" TargetMode="External"/><Relationship Id="rId15" Type="http://schemas.openxmlformats.org/officeDocument/2006/relationships/hyperlink" Target="https://ses.jrc.ec.europa.eu/development-of-policy-proposals-for-energy-smart-appliances" TargetMode="External"/><Relationship Id="rId23" Type="http://schemas.openxmlformats.org/officeDocument/2006/relationships/hyperlink" Target="https://ec.europa.eu/newsroom/dae/document.cfm?doc_id=71330" TargetMode="External"/><Relationship Id="rId28" Type="http://schemas.openxmlformats.org/officeDocument/2006/relationships/hyperlink" Target="https://digital-strategy.ec.europa.eu/en/policies/cybersecurity-competence-centre" TargetMode="External"/><Relationship Id="rId10" Type="http://schemas.openxmlformats.org/officeDocument/2006/relationships/hyperlink" Target="https://ec.europa.eu/transparency/expert-groups-register/screen/expert-groups/consult?lang=ro&amp;groupID=3763" TargetMode="External"/><Relationship Id="rId19" Type="http://schemas.openxmlformats.org/officeDocument/2006/relationships/hyperlink" Target="https://ec.europa.eu/info/energy-climate-change-environment/standards-tools-and-labels/products-labelling-rules-and-requirements/energy-label-and-ecodesign/product-database_en" TargetMode="External"/><Relationship Id="rId4" Type="http://schemas.openxmlformats.org/officeDocument/2006/relationships/hyperlink" Target="https://www.cbi.eu/market-information/outsourcing-itobpo/industrial-internet-things/market-potential" TargetMode="External"/><Relationship Id="rId9" Type="http://schemas.openxmlformats.org/officeDocument/2006/relationships/hyperlink" Target="https://eur-lex.europa.eu/resource.html?uri=cellar:dbb134db-e575-11eb-a1a5-01aa75ed71a1.0018.02/DOC_1&amp;format=PDF" TargetMode="External"/><Relationship Id="rId14" Type="http://schemas.openxmlformats.org/officeDocument/2006/relationships/hyperlink" Target="https://joinup.ec.europa.eu/collection/nifo-national-interoperability-framework-observatory/3-interoperability-layers" TargetMode="External"/><Relationship Id="rId22" Type="http://schemas.openxmlformats.org/officeDocument/2006/relationships/hyperlink" Target="https://ec.europa.eu/info/strategy/priorities-2019-2024/europe-fit-digital-age/shaping-europe-digital-future_ro" TargetMode="External"/><Relationship Id="rId27" Type="http://schemas.openxmlformats.org/officeDocument/2006/relationships/hyperlink" Target="https://fsr.eui.eu/eu-india-high-level-platform-on-smart-gri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CB26D-C568-443B-B318-25561E931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11242</Words>
  <Characters>67233</Characters>
  <Application>Microsoft Office Word</Application>
  <DocSecurity>0</DocSecurity>
  <Lines>974</Lines>
  <Paragraphs>198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2022-10-16T23:33:00Z</dcterms:created>
  <dcterms:modified xsi:type="dcterms:W3CDTF">2022-10-24T16:15:00Z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2022-09-21T06:59:49Z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e6954fa5-32ba-4b64-8f6c-382dd472479f</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8.1, Build 20220902</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