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BC613" w14:textId="48FA28BC" w:rsidR="00DC0E84" w:rsidRDefault="00D56C0D" w:rsidP="00D56C0D">
      <w:pPr>
        <w:pStyle w:val="Pagedecouverture"/>
        <w:rPr>
          <w:noProof/>
        </w:rPr>
      </w:pPr>
      <w:bookmarkStart w:id="0" w:name="LW_BM_COVERPAGE"/>
      <w:r>
        <w:rPr>
          <w:noProof/>
        </w:rPr>
        <w:pict w14:anchorId="62D1AD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70F07E9-07BF-4609-B399-59D0ABFCC019" style="width:455.15pt;height:351.55pt">
            <v:imagedata r:id="rId11" o:title=""/>
          </v:shape>
        </w:pict>
      </w:r>
    </w:p>
    <w:bookmarkEnd w:id="0"/>
    <w:p w14:paraId="4A2A8445" w14:textId="77777777" w:rsidR="00DC0E84" w:rsidRDefault="00DC0E84" w:rsidP="00DC0E84">
      <w:pPr>
        <w:rPr>
          <w:noProof/>
        </w:rPr>
        <w:sectPr w:rsidR="00DC0E84" w:rsidSect="00D56C0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C211BD7" w14:textId="77777777" w:rsidR="009515A5" w:rsidRPr="00B221F1" w:rsidRDefault="009515A5" w:rsidP="00BA6354">
      <w:pPr>
        <w:pStyle w:val="Heading1"/>
        <w:spacing w:afterLines="120" w:after="288"/>
        <w:rPr>
          <w:rStyle w:val="Strong"/>
          <w:b/>
          <w:bCs w:val="0"/>
          <w:noProof/>
        </w:rPr>
      </w:pPr>
      <w:bookmarkStart w:id="1" w:name="_GoBack"/>
      <w:bookmarkEnd w:id="1"/>
      <w:r>
        <w:rPr>
          <w:rStyle w:val="Strong"/>
          <w:b/>
          <w:noProof/>
        </w:rPr>
        <w:lastRenderedPageBreak/>
        <w:t>Introducere</w:t>
      </w:r>
    </w:p>
    <w:p w14:paraId="7D35F09A" w14:textId="314ECDB1" w:rsidR="00757C7C" w:rsidRDefault="002F1328"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prezent, se desfășoară o </w:t>
      </w:r>
      <w:r>
        <w:rPr>
          <w:rFonts w:ascii="Times New Roman" w:hAnsi="Times New Roman"/>
          <w:b/>
          <w:noProof/>
          <w:sz w:val="24"/>
        </w:rPr>
        <w:t>criză globală a îngrășămintelor minerale</w:t>
      </w:r>
      <w:r>
        <w:rPr>
          <w:rFonts w:ascii="Times New Roman" w:hAnsi="Times New Roman"/>
          <w:noProof/>
          <w:sz w:val="24"/>
        </w:rPr>
        <w:t xml:space="preserve">, de o gravitate nemaiîntâlnită din anii 1970. Pandemia de COVID-19, cu perturbările pe care le-a provocat lanțului de aprovizionare, urmată de criza energetică, a condus la prețuri record ale îngrășămintelor. </w:t>
      </w:r>
    </w:p>
    <w:p w14:paraId="195C3A8F" w14:textId="53CBD205" w:rsidR="002F1328" w:rsidRDefault="004C43B0"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Îngrășămintele joacă un </w:t>
      </w:r>
      <w:r>
        <w:rPr>
          <w:rFonts w:ascii="Times New Roman" w:hAnsi="Times New Roman"/>
          <w:b/>
          <w:noProof/>
          <w:sz w:val="24"/>
        </w:rPr>
        <w:t>rol semnificativ în ceea ce privește securitatea alimentară</w:t>
      </w:r>
      <w:r>
        <w:rPr>
          <w:rStyle w:val="FootnoteReference"/>
          <w:rFonts w:ascii="Times New Roman" w:hAnsi="Times New Roman" w:cs="Times New Roman"/>
          <w:noProof/>
          <w:sz w:val="24"/>
          <w:szCs w:val="24"/>
        </w:rPr>
        <w:footnoteReference w:id="2"/>
      </w:r>
      <w:r>
        <w:rPr>
          <w:rFonts w:ascii="Times New Roman" w:hAnsi="Times New Roman"/>
          <w:noProof/>
          <w:sz w:val="24"/>
        </w:rPr>
        <w:t>.</w:t>
      </w:r>
    </w:p>
    <w:p w14:paraId="2C099E41" w14:textId="5B10EAE2" w:rsidR="008D63B6" w:rsidRDefault="00757C7C" w:rsidP="00757C7C">
      <w:pPr>
        <w:spacing w:afterLines="120" w:after="288" w:line="240" w:lineRule="auto"/>
        <w:jc w:val="both"/>
        <w:rPr>
          <w:rFonts w:ascii="Times New Roman" w:hAnsi="Times New Roman" w:cs="Times New Roman"/>
          <w:noProof/>
          <w:color w:val="000000" w:themeColor="text1"/>
          <w:sz w:val="24"/>
          <w:szCs w:val="24"/>
        </w:rPr>
      </w:pPr>
      <w:r>
        <w:rPr>
          <w:rFonts w:ascii="Times New Roman" w:hAnsi="Times New Roman"/>
          <w:b/>
          <w:noProof/>
          <w:sz w:val="24"/>
        </w:rPr>
        <w:t>Invadarea ilegală și nejustificată a Ucrainei de către Rusia</w:t>
      </w:r>
      <w:r>
        <w:rPr>
          <w:rFonts w:ascii="Times New Roman" w:hAnsi="Times New Roman"/>
          <w:noProof/>
          <w:sz w:val="24"/>
        </w:rPr>
        <w:t xml:space="preserve"> a avut efecte negative semnificative asupra piețelor deja foarte tensionate ale îngrășămintelor la nivel mondial, ceea ce a scos la iveală deficiențe cauzate de dependența lumii de câțiva furnizori la nivel mondial. Rusia, care în 2020 acoperea aproximativ 15 % din exporturile mondiale de îngrășăminte, a impus restricții asupra propriilor exporturi de alimente și îngrășăminte, reducând oferta la nivel mondial și determinând creșterea prețurilor. Penuria și prețurile ridicate la îngrășăminte agravează criza în materie de securitate alimentară din lume</w:t>
      </w:r>
      <w:r>
        <w:rPr>
          <w:rStyle w:val="FootnoteReference"/>
          <w:rFonts w:ascii="Times New Roman" w:hAnsi="Times New Roman" w:cs="Times New Roman"/>
          <w:noProof/>
          <w:sz w:val="24"/>
          <w:szCs w:val="24"/>
        </w:rPr>
        <w:footnoteReference w:id="3"/>
      </w:r>
      <w:r>
        <w:rPr>
          <w:noProof/>
        </w:rPr>
        <w:t xml:space="preserve"> </w:t>
      </w:r>
      <w:r>
        <w:rPr>
          <w:rFonts w:ascii="Times New Roman" w:hAnsi="Times New Roman"/>
          <w:noProof/>
          <w:sz w:val="24"/>
        </w:rPr>
        <w:t xml:space="preserve">și este necesar un efort concertat pentru a face față crizei globale de îngrășăminte. </w:t>
      </w:r>
      <w:r>
        <w:rPr>
          <w:rFonts w:ascii="Times New Roman" w:hAnsi="Times New Roman"/>
          <w:noProof/>
          <w:color w:val="000000" w:themeColor="text1"/>
          <w:sz w:val="24"/>
        </w:rPr>
        <w:t xml:space="preserve">UE și-a intensificat eforturile de abordare a insecurității alimentare mondiale și de atenuare a efectelor crizei alimentare în țările vulnerabile, prin intermediul unui </w:t>
      </w:r>
      <w:r>
        <w:rPr>
          <w:rFonts w:ascii="Times New Roman" w:hAnsi="Times New Roman"/>
          <w:b/>
          <w:noProof/>
          <w:color w:val="000000" w:themeColor="text1"/>
          <w:sz w:val="24"/>
        </w:rPr>
        <w:t>răspuns rapid și cuprinzător al Echipei Europa la insecuritatea alimentară mondială</w:t>
      </w:r>
      <w:r>
        <w:rPr>
          <w:rFonts w:ascii="Times New Roman" w:hAnsi="Times New Roman"/>
          <w:noProof/>
          <w:color w:val="000000" w:themeColor="text1"/>
          <w:sz w:val="24"/>
        </w:rPr>
        <w:t xml:space="preserve">. </w:t>
      </w:r>
    </w:p>
    <w:p w14:paraId="45E4B50A" w14:textId="40046A28" w:rsidR="0056236C" w:rsidRDefault="0056236C" w:rsidP="00757C7C">
      <w:pPr>
        <w:spacing w:afterLines="120" w:after="288"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plus, </w:t>
      </w:r>
      <w:r>
        <w:rPr>
          <w:rFonts w:ascii="Times New Roman" w:hAnsi="Times New Roman"/>
          <w:b/>
          <w:noProof/>
          <w:color w:val="000000" w:themeColor="text1"/>
          <w:sz w:val="24"/>
        </w:rPr>
        <w:t>culoarele de solidaritate ale UE</w:t>
      </w:r>
      <w:r>
        <w:rPr>
          <w:rFonts w:ascii="Times New Roman" w:hAnsi="Times New Roman"/>
          <w:noProof/>
          <w:color w:val="000000" w:themeColor="text1"/>
          <w:sz w:val="24"/>
        </w:rPr>
        <w:t xml:space="preserve"> și </w:t>
      </w:r>
      <w:r>
        <w:rPr>
          <w:rFonts w:ascii="Times New Roman" w:hAnsi="Times New Roman"/>
          <w:b/>
          <w:noProof/>
          <w:color w:val="000000" w:themeColor="text1"/>
          <w:sz w:val="24"/>
        </w:rPr>
        <w:t>Inițiativa privind exportul de cereale prin Marea Neagră</w:t>
      </w:r>
      <w:r>
        <w:rPr>
          <w:rFonts w:ascii="Times New Roman" w:hAnsi="Times New Roman"/>
          <w:noProof/>
          <w:color w:val="000000" w:themeColor="text1"/>
          <w:sz w:val="24"/>
        </w:rPr>
        <w:t xml:space="preserve"> au fost eficace la atenuarea crizei alimentare, permițând Ucrainei să continue să exporte cereale și contribuind la stabilizarea piețelor și la scăderea prețurilor la alimente. </w:t>
      </w:r>
      <w:r>
        <w:rPr>
          <w:rFonts w:ascii="Times New Roman" w:hAnsi="Times New Roman"/>
          <w:b/>
          <w:noProof/>
          <w:color w:val="000000" w:themeColor="text1"/>
          <w:sz w:val="24"/>
        </w:rPr>
        <w:t>Culoarele de solidaritate UE-Ucraina</w:t>
      </w:r>
      <w:r>
        <w:rPr>
          <w:rFonts w:ascii="Times New Roman" w:hAnsi="Times New Roman"/>
          <w:noProof/>
          <w:color w:val="000000" w:themeColor="text1"/>
          <w:sz w:val="24"/>
        </w:rPr>
        <w:t xml:space="preserve"> au devenit o legătură comercială majoră între Ucraina, UE și restul lumii și au facilitat până în prezent exportul a peste 14 milioane de tone de produse agricole ucrainene (cereale, semințe oleaginoase și produse conexe, inclusiv îngrășăminte), contribuind astfel la atenuarea crizei alimentare mondiale. UE sprijină rolul de facilitator al ONU și al </w:t>
      </w:r>
      <w:r>
        <w:rPr>
          <w:rStyle w:val="Emphasis"/>
          <w:rFonts w:ascii="Times New Roman" w:hAnsi="Times New Roman"/>
          <w:i w:val="0"/>
          <w:noProof/>
          <w:sz w:val="24"/>
        </w:rPr>
        <w:t>Turciei</w:t>
      </w:r>
      <w:r>
        <w:rPr>
          <w:rFonts w:ascii="Times New Roman" w:hAnsi="Times New Roman"/>
          <w:noProof/>
          <w:color w:val="000000" w:themeColor="text1"/>
          <w:sz w:val="24"/>
        </w:rPr>
        <w:t>, solicitând reînnoirea Inițiativei privind exportul de cereale prin Marea Neagră după 19 noiembrie. O întrerupere a acestei scheme ar avea consecințe grave asupra securității alimentare la nivel mondial.</w:t>
      </w:r>
    </w:p>
    <w:p w14:paraId="50BE0A93" w14:textId="32808993" w:rsidR="00BB6388" w:rsidRDefault="00160E0D" w:rsidP="00BA6354">
      <w:pPr>
        <w:spacing w:afterLines="120" w:after="288"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special </w:t>
      </w:r>
      <w:r>
        <w:rPr>
          <w:rFonts w:ascii="Times New Roman" w:hAnsi="Times New Roman"/>
          <w:b/>
          <w:noProof/>
          <w:color w:val="000000" w:themeColor="text1"/>
          <w:sz w:val="24"/>
        </w:rPr>
        <w:t>țările cu venituri mici și medii</w:t>
      </w:r>
      <w:r>
        <w:rPr>
          <w:rFonts w:ascii="Times New Roman" w:hAnsi="Times New Roman"/>
          <w:noProof/>
          <w:color w:val="000000" w:themeColor="text1"/>
          <w:sz w:val="24"/>
        </w:rPr>
        <w:t xml:space="preserve"> sunt cele mai afectate de piețele tensionate ale îngrășămintelor. În 2022, un număr record de </w:t>
      </w:r>
      <w:r>
        <w:rPr>
          <w:rFonts w:ascii="Times New Roman" w:hAnsi="Times New Roman"/>
          <w:b/>
          <w:noProof/>
          <w:color w:val="000000" w:themeColor="text1"/>
          <w:sz w:val="24"/>
        </w:rPr>
        <w:t>222 de milioane de persoane din 53 de țări sunt grav afectate de insecuritate alimentară</w:t>
      </w:r>
      <w:r>
        <w:rPr>
          <w:rFonts w:ascii="Times New Roman" w:hAnsi="Times New Roman"/>
          <w:noProof/>
          <w:color w:val="000000" w:themeColor="text1"/>
          <w:sz w:val="24"/>
        </w:rPr>
        <w:t xml:space="preserve"> și au nevoie urgentă de asistență. Printre țările cele mai afectate se numără Somalia, Afganistan, Etiopia, Nigeria, Sudanul de Sud și Yemen, dar și regiunea Americii de Sud.</w:t>
      </w:r>
    </w:p>
    <w:p w14:paraId="25A89048" w14:textId="77777777" w:rsidR="004C43B0" w:rsidRPr="00BB6388" w:rsidRDefault="004C43B0"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color w:val="000000" w:themeColor="text1"/>
          <w:sz w:val="24"/>
        </w:rPr>
        <w:lastRenderedPageBreak/>
        <w:t xml:space="preserve">Deși o producție alimentară viabilă depinde de mai mulți factori decât îngrășămintele, ceea ce face ca situația actuală să fie deosebit de critică este </w:t>
      </w:r>
      <w:r>
        <w:rPr>
          <w:rFonts w:ascii="Times New Roman" w:hAnsi="Times New Roman"/>
          <w:b/>
          <w:noProof/>
          <w:color w:val="000000" w:themeColor="text1"/>
          <w:sz w:val="24"/>
        </w:rPr>
        <w:t>efectul pe termen scurt pe care penuria de îngrășăminte îl poate avea asupra randamentului agricol</w:t>
      </w:r>
      <w:r>
        <w:rPr>
          <w:rFonts w:ascii="Times New Roman" w:hAnsi="Times New Roman"/>
          <w:noProof/>
          <w:color w:val="000000" w:themeColor="text1"/>
          <w:sz w:val="24"/>
        </w:rPr>
        <w:t>. O producție mai scăzută înseamnă mai puțină hrană. ONU a avertizat cu privire la</w:t>
      </w:r>
      <w:r>
        <w:rPr>
          <w:rFonts w:ascii="Times New Roman" w:hAnsi="Times New Roman"/>
          <w:noProof/>
          <w:sz w:val="24"/>
        </w:rPr>
        <w:t xml:space="preserve"> o criză globală a îngrășămintelor, indicând că aceasta ar putea pune în pericol producția de alimente în următorii ani, </w:t>
      </w:r>
      <w:r>
        <w:rPr>
          <w:rFonts w:ascii="Times New Roman" w:hAnsi="Times New Roman"/>
          <w:noProof/>
          <w:color w:val="000000" w:themeColor="text1"/>
          <w:sz w:val="24"/>
        </w:rPr>
        <w:t>ceea ce ar afecta țările care nu dispun de o marjă de manevră bugetară pentru a desfășura programe de sprijin prin care să susțină accesibilitatea prețurilor îngrășămintelor</w:t>
      </w:r>
      <w:r>
        <w:rPr>
          <w:rFonts w:ascii="Times New Roman" w:hAnsi="Times New Roman"/>
          <w:noProof/>
          <w:sz w:val="24"/>
        </w:rPr>
        <w:t>.</w:t>
      </w:r>
      <w:r>
        <w:rPr>
          <w:rFonts w:ascii="Times New Roman" w:hAnsi="Times New Roman"/>
          <w:noProof/>
          <w:color w:val="000000" w:themeColor="text1"/>
          <w:sz w:val="24"/>
        </w:rPr>
        <w:t xml:space="preserve"> </w:t>
      </w:r>
    </w:p>
    <w:p w14:paraId="4EB3F3B2" w14:textId="11020A3F" w:rsidR="003F465F" w:rsidRPr="00DC3A26" w:rsidRDefault="003F465F" w:rsidP="003F465F">
      <w:pPr>
        <w:keepNext/>
        <w:spacing w:afterLines="120" w:after="288" w:line="240" w:lineRule="auto"/>
        <w:jc w:val="both"/>
        <w:rPr>
          <w:rFonts w:ascii="Times New Roman" w:hAnsi="Times New Roman" w:cs="Times New Roman"/>
          <w:noProof/>
          <w:sz w:val="24"/>
          <w:szCs w:val="24"/>
        </w:rPr>
      </w:pPr>
      <w:r>
        <w:rPr>
          <w:rFonts w:ascii="Times New Roman" w:hAnsi="Times New Roman"/>
          <w:noProof/>
          <w:sz w:val="24"/>
        </w:rPr>
        <w:t>Figura 1: Comerțul net cu îngrășăminte exprimat în milioane de tone de nutrienți</w:t>
      </w:r>
    </w:p>
    <w:p w14:paraId="6898CFD3" w14:textId="1D069B72" w:rsidR="003F465F" w:rsidRDefault="00404E00" w:rsidP="003F465F">
      <w:pPr>
        <w:spacing w:afterLines="120" w:after="288" w:line="240" w:lineRule="auto"/>
        <w:jc w:val="both"/>
        <w:rPr>
          <w:rFonts w:ascii="Times New Roman" w:hAnsi="Times New Roman" w:cs="Times New Roman"/>
          <w:noProof/>
          <w:sz w:val="24"/>
          <w:szCs w:val="24"/>
        </w:rPr>
      </w:pPr>
      <w:r>
        <w:rPr>
          <w:noProof/>
        </w:rPr>
        <w:t xml:space="preserve"> </w:t>
      </w:r>
      <w:r w:rsidR="00273A14">
        <w:rPr>
          <w:noProof/>
          <w:lang w:val="en-GB" w:eastAsia="en-GB"/>
        </w:rPr>
        <w:drawing>
          <wp:inline distT="0" distB="0" distL="0" distR="0" wp14:anchorId="4FF67E3F" wp14:editId="732781F3">
            <wp:extent cx="5291480" cy="3450211"/>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15389" cy="3465800"/>
                    </a:xfrm>
                    <a:prstGeom prst="rect">
                      <a:avLst/>
                    </a:prstGeom>
                    <a:noFill/>
                  </pic:spPr>
                </pic:pic>
              </a:graphicData>
            </a:graphic>
          </wp:inline>
        </w:drawing>
      </w:r>
    </w:p>
    <w:p w14:paraId="11FB5756" w14:textId="77777777" w:rsidR="00A47B3B" w:rsidRDefault="003F465F"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16"/>
        </w:rPr>
        <w:t>Sursă FAOSTAT</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w:t>
      </w:r>
    </w:p>
    <w:p w14:paraId="784BF6C4" w14:textId="5FEA03FB" w:rsidR="002F1328" w:rsidRPr="00544AF7" w:rsidRDefault="002F1328" w:rsidP="00BA6354">
      <w:pPr>
        <w:spacing w:afterLines="120" w:after="288" w:line="240" w:lineRule="auto"/>
        <w:jc w:val="both"/>
        <w:rPr>
          <w:rFonts w:ascii="Times New Roman" w:hAnsi="Times New Roman" w:cs="Times New Roman"/>
          <w:noProof/>
          <w:color w:val="000000"/>
          <w:sz w:val="24"/>
          <w:szCs w:val="24"/>
          <w:shd w:val="clear" w:color="auto" w:fill="FFFFFF"/>
        </w:rPr>
      </w:pPr>
      <w:r>
        <w:rPr>
          <w:rFonts w:ascii="Times New Roman" w:hAnsi="Times New Roman"/>
          <w:noProof/>
          <w:color w:val="000000"/>
          <w:sz w:val="24"/>
          <w:shd w:val="clear" w:color="auto" w:fill="FFFFFF"/>
        </w:rPr>
        <w:t>Deficitul mondial de îngrășăminte este cauzat în principal de prețul ridicat al gazelor naturale, care sunt necesare pentru producția de îngrășăminte azotoase</w:t>
      </w:r>
      <w:r>
        <w:rPr>
          <w:rStyle w:val="FootnoteReference"/>
          <w:rFonts w:ascii="Times New Roman" w:hAnsi="Times New Roman" w:cs="Times New Roman"/>
          <w:noProof/>
          <w:sz w:val="24"/>
          <w:szCs w:val="24"/>
          <w:lang w:eastAsia="fr-BE"/>
        </w:rPr>
        <w:footnoteReference w:id="5"/>
      </w:r>
      <w:r>
        <w:rPr>
          <w:rFonts w:ascii="Times New Roman" w:hAnsi="Times New Roman"/>
          <w:noProof/>
          <w:color w:val="000000"/>
          <w:sz w:val="24"/>
          <w:shd w:val="clear" w:color="auto" w:fill="FFFFFF"/>
        </w:rPr>
        <w:t xml:space="preserve">. </w:t>
      </w:r>
      <w:r>
        <w:rPr>
          <w:rFonts w:ascii="Times New Roman" w:hAnsi="Times New Roman"/>
          <w:b/>
          <w:noProof/>
          <w:color w:val="000000"/>
          <w:sz w:val="24"/>
          <w:shd w:val="clear" w:color="auto" w:fill="FFFFFF"/>
        </w:rPr>
        <w:t>Europa deține o industrie importantă a îngrășămintelor</w:t>
      </w:r>
      <w:r>
        <w:rPr>
          <w:rFonts w:ascii="Times New Roman" w:hAnsi="Times New Roman"/>
          <w:noProof/>
          <w:color w:val="000000"/>
          <w:sz w:val="24"/>
          <w:shd w:val="clear" w:color="auto" w:fill="FFFFFF"/>
        </w:rPr>
        <w:t>, dar depinde de importurile de gaze naturale, precum și de importurile de fosfați și potasă</w:t>
      </w:r>
      <w:r>
        <w:rPr>
          <w:rStyle w:val="FootnoteReference"/>
          <w:rFonts w:ascii="Times New Roman" w:hAnsi="Times New Roman" w:cs="Times New Roman"/>
          <w:noProof/>
          <w:color w:val="000000"/>
          <w:sz w:val="24"/>
          <w:szCs w:val="24"/>
          <w:shd w:val="clear" w:color="auto" w:fill="FFFFFF"/>
        </w:rPr>
        <w:footnoteReference w:id="6"/>
      </w:r>
      <w:r>
        <w:rPr>
          <w:rFonts w:ascii="Times New Roman" w:hAnsi="Times New Roman"/>
          <w:noProof/>
          <w:sz w:val="24"/>
        </w:rPr>
        <w:t>.</w:t>
      </w:r>
      <w:r>
        <w:rPr>
          <w:rFonts w:ascii="Times New Roman" w:hAnsi="Times New Roman"/>
          <w:noProof/>
          <w:color w:val="000000"/>
          <w:sz w:val="24"/>
          <w:shd w:val="clear" w:color="auto" w:fill="FFFFFF"/>
        </w:rPr>
        <w:t xml:space="preserve"> </w:t>
      </w:r>
      <w:r>
        <w:rPr>
          <w:rFonts w:ascii="Times New Roman" w:hAnsi="Times New Roman"/>
          <w:noProof/>
          <w:sz w:val="24"/>
        </w:rPr>
        <w:t xml:space="preserve">În vara anului 2022, gazele au reprezentat până la 90 % din costul de producție variabil al producției de amoniac în UE (amoniacul </w:t>
      </w:r>
      <w:r>
        <w:rPr>
          <w:rFonts w:ascii="Times New Roman" w:hAnsi="Times New Roman"/>
          <w:noProof/>
          <w:sz w:val="24"/>
        </w:rPr>
        <w:lastRenderedPageBreak/>
        <w:t xml:space="preserve">este un produs intermediar pentru îngrășămintele azotoase). În august 2022, când prețurile gazelor au atins un nivel maxim, industria a închis 70 % din capacitatea sa de producție de amoniac, deoarece producția devenise neprofitabilă. Există indicii că utilizarea actuală a capacității este de 50 %. În cazul în care prețurile gazelor scad și mai mult, este de așteptat ca utilizarea capacității să crească și mai mult. Reducerea producției în UE înseamnă, de asemenea, mai puține exporturi ale Uniunii către țări din afara UE. Exporturile de produse intermediare și de îngrășăminte de azot au scăzut cu 9 %, în timp ce importurile au crescut cu 19 % în primele opt luni ale acestui an. </w:t>
      </w:r>
    </w:p>
    <w:p w14:paraId="1546BD69" w14:textId="3643E156" w:rsidR="00544AF7" w:rsidRDefault="002F1328"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Deși îngrășămintele rămân disponibile în UE, accesibilitatea acestora constituie o provocare pentru fermieri (o creștere cu 149 % a prețurilor de la un an la altul în septembrie 2022 pentru îngrășămintele azotoase), în special deoarece și prețurile altor factori de producție (energie) au crescut semnificativ. Prețurile ridicate ale îngrășămintelor afectează deciziile de achiziționare și plantare ale fermierilor, iar acest lucru, la rândul său, ar putea afecta recolta din sezonul următor și </w:t>
      </w:r>
      <w:r>
        <w:rPr>
          <w:rFonts w:ascii="Times New Roman" w:hAnsi="Times New Roman"/>
          <w:b/>
          <w:noProof/>
          <w:sz w:val="24"/>
        </w:rPr>
        <w:t>contribuția UE la disponibilitatea și accesibilitatea prețurilor alimentelor</w:t>
      </w:r>
      <w:r>
        <w:rPr>
          <w:rFonts w:ascii="Times New Roman" w:hAnsi="Times New Roman"/>
          <w:noProof/>
          <w:sz w:val="24"/>
        </w:rPr>
        <w:t xml:space="preserve"> la nivel mondial.</w:t>
      </w:r>
    </w:p>
    <w:p w14:paraId="55DD1087" w14:textId="77777777" w:rsidR="00524C35" w:rsidRDefault="00C16EAE"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Măsurile pe care UE le pune în aplicare pentru a </w:t>
      </w:r>
      <w:r>
        <w:rPr>
          <w:rFonts w:ascii="Times New Roman" w:hAnsi="Times New Roman"/>
          <w:b/>
          <w:noProof/>
          <w:sz w:val="24"/>
        </w:rPr>
        <w:t>atenua prețurile ridicate la energie</w:t>
      </w:r>
      <w:r>
        <w:rPr>
          <w:rFonts w:ascii="Times New Roman" w:hAnsi="Times New Roman"/>
          <w:noProof/>
          <w:sz w:val="24"/>
        </w:rPr>
        <w:t xml:space="preserve"> vor îmbunătăți condițiile pentru industria îngrășămintelor. Cu toate acestea, sunt necesare acțiuni mai urgente și mai specifice. Acțiunile pe termen scurt propuse în prezentul document ar trebui să atenueze dificultățile cu care se confruntă fermierii și producătorii de îngrășăminte din UE și să promoveze obiectivul strategic al UE de a </w:t>
      </w:r>
      <w:r>
        <w:rPr>
          <w:rFonts w:ascii="Times New Roman" w:hAnsi="Times New Roman"/>
          <w:b/>
          <w:noProof/>
          <w:sz w:val="24"/>
        </w:rPr>
        <w:t>reduce dependența de importurile din Rusia</w:t>
      </w:r>
      <w:r>
        <w:rPr>
          <w:rFonts w:ascii="Times New Roman" w:hAnsi="Times New Roman"/>
          <w:noProof/>
          <w:sz w:val="24"/>
        </w:rPr>
        <w:t xml:space="preserve"> prin diversificarea producției și asigurarea unor lanțuri de aprovizionare fiabile. La nivel mondial, angajamentul UE în combaterea insecurității alimentare trebuie consolidat în continuare.</w:t>
      </w:r>
    </w:p>
    <w:p w14:paraId="1CCFEB67" w14:textId="37F2F4FF" w:rsidR="00416E0B" w:rsidRDefault="00416E0B" w:rsidP="00601FFB">
      <w:pPr>
        <w:keepNext/>
        <w:spacing w:afterLines="120" w:after="288" w:line="240" w:lineRule="auto"/>
        <w:jc w:val="both"/>
        <w:rPr>
          <w:rFonts w:ascii="Times New Roman" w:hAnsi="Times New Roman" w:cs="Times New Roman"/>
          <w:noProof/>
          <w:sz w:val="24"/>
          <w:szCs w:val="24"/>
        </w:rPr>
      </w:pPr>
      <w:r>
        <w:rPr>
          <w:rFonts w:ascii="Times New Roman" w:hAnsi="Times New Roman"/>
          <w:noProof/>
          <w:sz w:val="24"/>
        </w:rPr>
        <w:lastRenderedPageBreak/>
        <w:t>Figura 2: Indicele global al prețurilor îngrășămintelor și produselor alimentare (indice 100 = 2010)</w:t>
      </w:r>
    </w:p>
    <w:p w14:paraId="6F869885" w14:textId="28A2551D" w:rsidR="00416E0B" w:rsidRDefault="003A4175" w:rsidP="00BA6354">
      <w:pPr>
        <w:spacing w:afterLines="120" w:after="288"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64194E66" wp14:editId="39D4B769">
            <wp:extent cx="5478162" cy="3526433"/>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4967" cy="3537251"/>
                    </a:xfrm>
                    <a:prstGeom prst="rect">
                      <a:avLst/>
                    </a:prstGeom>
                    <a:noFill/>
                  </pic:spPr>
                </pic:pic>
              </a:graphicData>
            </a:graphic>
          </wp:inline>
        </w:drawing>
      </w:r>
    </w:p>
    <w:p w14:paraId="7ABA8455" w14:textId="77777777" w:rsidR="00173CCB" w:rsidRDefault="00416E0B" w:rsidP="00BA6354">
      <w:pPr>
        <w:spacing w:afterLines="120" w:after="288" w:line="240" w:lineRule="auto"/>
        <w:jc w:val="both"/>
        <w:rPr>
          <w:rFonts w:ascii="Times New Roman" w:hAnsi="Times New Roman" w:cs="Times New Roman"/>
          <w:noProof/>
          <w:sz w:val="16"/>
          <w:szCs w:val="16"/>
        </w:rPr>
      </w:pPr>
      <w:r>
        <w:rPr>
          <w:rFonts w:ascii="Times New Roman" w:hAnsi="Times New Roman"/>
          <w:noProof/>
          <w:sz w:val="16"/>
        </w:rPr>
        <w:t>Sursă: Banca Mondială</w:t>
      </w:r>
    </w:p>
    <w:p w14:paraId="2E4285A8" w14:textId="1916A331" w:rsidR="00E80C04" w:rsidRDefault="002F1328"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Obiectivul strategic general al UE rămâne definit de țintele stabilite în </w:t>
      </w:r>
      <w:r>
        <w:rPr>
          <w:rFonts w:ascii="Times New Roman" w:hAnsi="Times New Roman"/>
          <w:b/>
          <w:noProof/>
          <w:sz w:val="24"/>
        </w:rPr>
        <w:t>Strategia „De la fermă la consumator”</w:t>
      </w:r>
      <w:r>
        <w:rPr>
          <w:rFonts w:ascii="Times New Roman" w:hAnsi="Times New Roman"/>
          <w:noProof/>
          <w:sz w:val="24"/>
        </w:rPr>
        <w:t xml:space="preserve">. Dovezile arată că îngrășămintele nu sunt întotdeauna aplicate în mod corespunzător. </w:t>
      </w:r>
      <w:r>
        <w:rPr>
          <w:rFonts w:ascii="Times New Roman" w:hAnsi="Times New Roman"/>
          <w:b/>
          <w:noProof/>
          <w:sz w:val="24"/>
        </w:rPr>
        <w:t>Pierderile de nutrienți</w:t>
      </w:r>
      <w:r>
        <w:rPr>
          <w:rFonts w:ascii="Times New Roman" w:hAnsi="Times New Roman"/>
          <w:noProof/>
          <w:sz w:val="24"/>
        </w:rPr>
        <w:t xml:space="preserve"> reprezintă până la 50-60 % din cantitatea aplicată pe terenuri în anumite regiuni și indică o utilizare excesivă a îngrășămintelor pe hectar de terenuri cultivate în multe părți ale UE, cu un câștig de producție evident redus. Prin urmare, obiectivul Strategiei „De la fermă la consumator” de a reduce pierderile de nutrienți cu 50 % până în 2030, menținând în același timp fertilitatea solului, este realizabil. </w:t>
      </w:r>
    </w:p>
    <w:p w14:paraId="490E4A4F" w14:textId="5902FB5A" w:rsidR="002F1328" w:rsidRDefault="00B61427"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Cu toate acestea, pe termen scurt și în contextul incertitudinilor geopolitice, ar trebui depuse toate eforturile rezonabile pentru a evita compromiterea </w:t>
      </w:r>
      <w:r>
        <w:rPr>
          <w:rFonts w:ascii="Times New Roman" w:hAnsi="Times New Roman"/>
          <w:b/>
          <w:bCs/>
          <w:noProof/>
          <w:sz w:val="24"/>
        </w:rPr>
        <w:t>contribuției</w:t>
      </w:r>
      <w:r>
        <w:rPr>
          <w:rFonts w:ascii="Times New Roman" w:hAnsi="Times New Roman"/>
          <w:noProof/>
          <w:sz w:val="24"/>
        </w:rPr>
        <w:t xml:space="preserve"> continue a UE la </w:t>
      </w:r>
      <w:r>
        <w:rPr>
          <w:rFonts w:ascii="Times New Roman" w:hAnsi="Times New Roman"/>
          <w:b/>
          <w:noProof/>
          <w:sz w:val="24"/>
        </w:rPr>
        <w:t>disponibilitatea și accesibilitatea prețurilor alimentelor</w:t>
      </w:r>
      <w:r>
        <w:rPr>
          <w:rFonts w:ascii="Times New Roman" w:hAnsi="Times New Roman"/>
          <w:noProof/>
          <w:sz w:val="24"/>
        </w:rPr>
        <w:t>.</w:t>
      </w:r>
      <w:r>
        <w:rPr>
          <w:noProof/>
        </w:rPr>
        <w:t xml:space="preserve"> </w:t>
      </w:r>
      <w:r>
        <w:rPr>
          <w:rFonts w:ascii="Times New Roman" w:hAnsi="Times New Roman"/>
          <w:noProof/>
          <w:sz w:val="24"/>
        </w:rPr>
        <w:t xml:space="preserve">Trebuie să ne asigurăm că sancțiunile UE împotriva Rusiei sunt implementate astfel cum s-a prevăzut, permițând tranzitul și fluxul de îngrășăminte pentru a fi utilizate de fermierii din UE și din afara acesteia. Accelerarea tranziției către o </w:t>
      </w:r>
      <w:r>
        <w:rPr>
          <w:rFonts w:ascii="Times New Roman" w:hAnsi="Times New Roman"/>
          <w:b/>
          <w:noProof/>
          <w:sz w:val="24"/>
        </w:rPr>
        <w:t>producție alimentară durabilă și către tehnologii inovatoare</w:t>
      </w:r>
      <w:r>
        <w:rPr>
          <w:rFonts w:ascii="Times New Roman" w:hAnsi="Times New Roman"/>
          <w:noProof/>
          <w:sz w:val="24"/>
        </w:rPr>
        <w:t xml:space="preserve"> constituie soluția structurală a Uniunii pentru a asigura disponibilitatea și accesibilitatea alimentelor și pentru a proteja sănătatea mediului și a planetei noastre.</w:t>
      </w:r>
    </w:p>
    <w:p w14:paraId="3E23CB9C" w14:textId="2B89D283" w:rsidR="00BE11B1" w:rsidRDefault="00B2158A">
      <w:pPr>
        <w:rPr>
          <w:rFonts w:ascii="Times New Roman" w:hAnsi="Times New Roman" w:cs="Times New Roman"/>
          <w:noProof/>
          <w:sz w:val="24"/>
          <w:szCs w:val="24"/>
        </w:rPr>
      </w:pPr>
      <w:r>
        <w:rPr>
          <w:rFonts w:ascii="Times New Roman" w:hAnsi="Times New Roman"/>
          <w:noProof/>
          <w:sz w:val="24"/>
          <w:lang w:val="en-GB" w:eastAsia="en-GB"/>
        </w:rPr>
        <w:lastRenderedPageBreak/>
        <mc:AlternateContent>
          <mc:Choice Requires="wps">
            <w:drawing>
              <wp:anchor distT="45720" distB="45720" distL="114300" distR="114300" simplePos="0" relativeHeight="251660288" behindDoc="0" locked="0" layoutInCell="1" allowOverlap="1" wp14:anchorId="56FA979B" wp14:editId="373D4DAE">
                <wp:simplePos x="0" y="0"/>
                <wp:positionH relativeFrom="column">
                  <wp:posOffset>1270</wp:posOffset>
                </wp:positionH>
                <wp:positionV relativeFrom="page">
                  <wp:posOffset>4219575</wp:posOffset>
                </wp:positionV>
                <wp:extent cx="5499735" cy="4910455"/>
                <wp:effectExtent l="0" t="0" r="2476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735" cy="4910455"/>
                        </a:xfrm>
                        <a:prstGeom prst="rect">
                          <a:avLst/>
                        </a:prstGeom>
                        <a:solidFill>
                          <a:srgbClr val="FFFFFF"/>
                        </a:solidFill>
                        <a:ln w="9525">
                          <a:solidFill>
                            <a:srgbClr val="000000"/>
                          </a:solidFill>
                          <a:miter lim="800000"/>
                          <a:headEnd/>
                          <a:tailEnd/>
                        </a:ln>
                      </wps:spPr>
                      <wps:txbx>
                        <w:txbxContent>
                          <w:p w14:paraId="47E2EC11" w14:textId="32E90956" w:rsidR="00AE3FC2" w:rsidRPr="002F1328" w:rsidRDefault="00AE3FC2" w:rsidP="00AE3FC2">
                            <w:pPr>
                              <w:tabs>
                                <w:tab w:val="left" w:pos="0"/>
                              </w:tabs>
                              <w:rPr>
                                <w:rFonts w:ascii="Times New Roman" w:hAnsi="Times New Roman" w:cs="Times New Roman"/>
                                <w:sz w:val="24"/>
                                <w:szCs w:val="24"/>
                              </w:rPr>
                            </w:pPr>
                            <w:r>
                              <w:rPr>
                                <w:rFonts w:ascii="Times New Roman" w:hAnsi="Times New Roman"/>
                                <w:sz w:val="24"/>
                              </w:rPr>
                              <w:t xml:space="preserve">Prin prezenta comunicare, Comisia prezintă următoarele </w:t>
                            </w:r>
                            <w:r>
                              <w:rPr>
                                <w:rFonts w:ascii="Times New Roman" w:hAnsi="Times New Roman"/>
                                <w:b/>
                                <w:sz w:val="24"/>
                              </w:rPr>
                              <w:t>acțiuni interne</w:t>
                            </w:r>
                            <w:r>
                              <w:rPr>
                                <w:rFonts w:ascii="Times New Roman" w:hAnsi="Times New Roman"/>
                                <w:sz w:val="24"/>
                              </w:rPr>
                              <w:t>:</w:t>
                            </w:r>
                          </w:p>
                          <w:p w14:paraId="55322B8B" w14:textId="77777777" w:rsidR="00AE3FC2"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Comisia indică faptul că statele membre </w:t>
                            </w:r>
                            <w:r>
                              <w:rPr>
                                <w:rFonts w:ascii="Times New Roman" w:hAnsi="Times New Roman"/>
                                <w:sz w:val="24"/>
                                <w:shd w:val="clear" w:color="auto" w:fill="FFFFFF"/>
                              </w:rPr>
                              <w:t>pot</w:t>
                            </w:r>
                            <w:r>
                              <w:rPr>
                                <w:rFonts w:ascii="Times New Roman" w:hAnsi="Times New Roman"/>
                                <w:sz w:val="24"/>
                              </w:rPr>
                              <w:t xml:space="preserve"> acorda prioritate, în planurile lor naționale de urgență, </w:t>
                            </w:r>
                            <w:r>
                              <w:rPr>
                                <w:rFonts w:ascii="Times New Roman" w:hAnsi="Times New Roman"/>
                                <w:b/>
                                <w:sz w:val="24"/>
                              </w:rPr>
                              <w:t>accesului continuu și neperturbat la gazele naturale</w:t>
                            </w:r>
                            <w:r>
                              <w:rPr>
                                <w:rFonts w:ascii="Times New Roman" w:hAnsi="Times New Roman"/>
                                <w:sz w:val="24"/>
                              </w:rPr>
                              <w:t xml:space="preserve"> al producătorilor de îngrășăminte</w:t>
                            </w:r>
                            <w:r>
                              <w:t xml:space="preserve"> </w:t>
                            </w:r>
                            <w:r>
                              <w:rPr>
                                <w:rFonts w:ascii="Times New Roman" w:hAnsi="Times New Roman"/>
                                <w:sz w:val="24"/>
                                <w:shd w:val="clear" w:color="auto" w:fill="FFFFFF"/>
                              </w:rPr>
                              <w:t>în cazul raționalizării gazelor,</w:t>
                            </w:r>
                            <w:r>
                              <w:t xml:space="preserve"> </w:t>
                            </w:r>
                            <w:r>
                              <w:rPr>
                                <w:rFonts w:ascii="Times New Roman" w:hAnsi="Times New Roman"/>
                                <w:sz w:val="24"/>
                                <w:shd w:val="clear" w:color="auto" w:fill="FFFFFF"/>
                              </w:rPr>
                              <w:t>în conformitate cu Comunicarea Comisiei intitulată „Să economisim gazele pentru siguranță la iarnă”.</w:t>
                            </w:r>
                            <w:r>
                              <w:rPr>
                                <w:rFonts w:ascii="Times New Roman" w:hAnsi="Times New Roman"/>
                                <w:sz w:val="24"/>
                              </w:rPr>
                              <w:t xml:space="preserve"> </w:t>
                            </w:r>
                          </w:p>
                          <w:p w14:paraId="0F5E8A51" w14:textId="0636AA43" w:rsidR="007D6F8E" w:rsidRPr="000F26A2" w:rsidRDefault="007D6F8E"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b/>
                                <w:bCs/>
                                <w:sz w:val="24"/>
                              </w:rPr>
                              <w:t>Cadrul</w:t>
                            </w:r>
                            <w:r>
                              <w:rPr>
                                <w:rFonts w:ascii="Times New Roman" w:hAnsi="Times New Roman"/>
                                <w:sz w:val="24"/>
                              </w:rPr>
                              <w:t xml:space="preserve"> </w:t>
                            </w:r>
                            <w:r>
                              <w:rPr>
                                <w:rFonts w:ascii="Times New Roman" w:hAnsi="Times New Roman"/>
                                <w:sz w:val="24"/>
                                <w:shd w:val="clear" w:color="auto" w:fill="FFFFFF"/>
                              </w:rPr>
                              <w:t>t</w:t>
                            </w:r>
                            <w:r>
                              <w:rPr>
                                <w:rFonts w:ascii="Times New Roman" w:hAnsi="Times New Roman"/>
                                <w:sz w:val="24"/>
                              </w:rPr>
                              <w:t xml:space="preserve">emporar de </w:t>
                            </w:r>
                            <w:r>
                              <w:rPr>
                                <w:rFonts w:ascii="Times New Roman" w:hAnsi="Times New Roman"/>
                                <w:b/>
                                <w:bCs/>
                                <w:sz w:val="24"/>
                              </w:rPr>
                              <w:t>criză pentru ajutoarele de stat</w:t>
                            </w:r>
                            <w:r>
                              <w:rPr>
                                <w:rFonts w:ascii="Times New Roman" w:hAnsi="Times New Roman"/>
                                <w:sz w:val="24"/>
                              </w:rPr>
                              <w:t xml:space="preserve"> permite un sprijin specific pentru fermieri și producătorii de îngrășăminte. Prin cea de a doua modificare a cadrului, care a avut loc la 28 octombrie 2022, Comisia a majorat plafoanele stabilite pentru ajutoarele în cuantumuri limitate pentru fermieri și a sporit flexibilitatea și posibilitățile de sprijin pentru întreprinderile afectate de creșterea costurilor energiei, cum ar fi producătorii de îngrășăminte, sub rezerva unor garanții. Există potențial de extindere a unui astfel de ajutor specific peste nivelul actual scăzut al ajutoarelor aprobate pentru acest sector. Autoritățile publice ar putea, de exemplu, să achiziționeze îngrășăminte și să le ofere fermierilor la prețuri mai mici. </w:t>
                            </w:r>
                          </w:p>
                          <w:p w14:paraId="29CDD0E8" w14:textId="6F5845FB" w:rsidR="00AE3FC2" w:rsidRPr="00D03636"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Fondurile generate de măsuri precum </w:t>
                            </w:r>
                            <w:r>
                              <w:rPr>
                                <w:rFonts w:ascii="Times New Roman" w:hAnsi="Times New Roman"/>
                                <w:b/>
                                <w:sz w:val="24"/>
                              </w:rPr>
                              <w:t>plafonarea veniturilor de pe piață</w:t>
                            </w:r>
                            <w:r>
                              <w:rPr>
                                <w:rFonts w:ascii="Times New Roman" w:hAnsi="Times New Roman"/>
                                <w:sz w:val="24"/>
                              </w:rPr>
                              <w:t xml:space="preserve"> ale anumitor producători de energie electrică și </w:t>
                            </w:r>
                            <w:r>
                              <w:rPr>
                                <w:rFonts w:ascii="Times New Roman" w:hAnsi="Times New Roman"/>
                                <w:b/>
                                <w:sz w:val="24"/>
                              </w:rPr>
                              <w:t>contribuția de solidaritate</w:t>
                            </w:r>
                            <w:r>
                              <w:rPr>
                                <w:rFonts w:ascii="Times New Roman" w:hAnsi="Times New Roman"/>
                                <w:sz w:val="24"/>
                              </w:rPr>
                              <w:t xml:space="preserve"> prevăzută în temeiul legislației</w:t>
                            </w:r>
                            <w:r>
                              <w:rPr>
                                <w:rFonts w:ascii="Times New Roman" w:hAnsi="Times New Roman"/>
                                <w:b/>
                                <w:sz w:val="24"/>
                              </w:rPr>
                              <w:t xml:space="preserve"> </w:t>
                            </w:r>
                            <w:r>
                              <w:rPr>
                                <w:rFonts w:ascii="Times New Roman" w:hAnsi="Times New Roman"/>
                                <w:sz w:val="24"/>
                              </w:rPr>
                              <w:t xml:space="preserve">Uniunii pot fi, de asemenea, utilizate, sub rezerva condițiilor aplicabile, în scopul schemelor naționale de sprijin. </w:t>
                            </w:r>
                          </w:p>
                          <w:p w14:paraId="03E3A053" w14:textId="77777777" w:rsidR="00AE3FC2" w:rsidRPr="002F1328"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Comisia va examina împreună cu statele membre oportunitatea de a utiliza </w:t>
                            </w:r>
                            <w:r>
                              <w:rPr>
                                <w:rFonts w:ascii="Times New Roman" w:hAnsi="Times New Roman"/>
                                <w:b/>
                                <w:sz w:val="24"/>
                              </w:rPr>
                              <w:t>rezerva pentru agricultură</w:t>
                            </w:r>
                            <w:r>
                              <w:rPr>
                                <w:rFonts w:ascii="Times New Roman" w:hAnsi="Times New Roman"/>
                                <w:sz w:val="24"/>
                              </w:rPr>
                              <w:t xml:space="preserve"> în valoare de 450 de milioane EUR pentru exercițiul financiar 2023 pentru fermierii afectați de costurile ridicate ale factorilor de producție.</w:t>
                            </w:r>
                          </w:p>
                          <w:p w14:paraId="1416762E" w14:textId="2C22176A" w:rsidR="00AE3FC2" w:rsidRDefault="00AE3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FA979B" id="_x0000_t202" coordsize="21600,21600" o:spt="202" path="m,l,21600r21600,l21600,xe">
                <v:stroke joinstyle="miter"/>
                <v:path gradientshapeok="t" o:connecttype="rect"/>
              </v:shapetype>
              <v:shape id="_x0000_s1026" type="#_x0000_t202" style="position:absolute;margin-left:.1pt;margin-top:332.25pt;width:433.05pt;height:386.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">
                <v:textbox>
                  <w:txbxContent>
                    <w:p w14:paraId="47E2EC11" w14:textId="32E90956" w:rsidR="00AE3FC2" w:rsidRPr="002F1328" w:rsidRDefault="00AE3FC2" w:rsidP="00AE3FC2">
                      <w:pPr>
                        <w:tabs>
                          <w:tab w:val="left" w:pos="0"/>
                        </w:tabs>
                        <w:rPr>
                          <w:rFonts w:ascii="Times New Roman" w:hAnsi="Times New Roman" w:cs="Times New Roman"/>
                          <w:sz w:val="24"/>
                          <w:szCs w:val="24"/>
                        </w:rPr>
                      </w:pPr>
                      <w:r>
                        <w:rPr>
                          <w:rFonts w:ascii="Times New Roman" w:hAnsi="Times New Roman"/>
                          <w:sz w:val="24"/>
                        </w:rPr>
                        <w:t xml:space="preserve">Prin prezenta comunicare, Comisia prezintă următoarele </w:t>
                      </w:r>
                      <w:r>
                        <w:rPr>
                          <w:rFonts w:ascii="Times New Roman" w:hAnsi="Times New Roman"/>
                          <w:b/>
                          <w:sz w:val="24"/>
                        </w:rPr>
                        <w:t>acțiuni interne</w:t>
                      </w:r>
                      <w:r>
                        <w:rPr>
                          <w:rFonts w:ascii="Times New Roman" w:hAnsi="Times New Roman"/>
                          <w:sz w:val="24"/>
                        </w:rPr>
                        <w:t>:</w:t>
                      </w:r>
                    </w:p>
                    <w:p w14:paraId="55322B8B" w14:textId="77777777" w:rsidR="00AE3FC2"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Comisia indică faptul că statele membre </w:t>
                      </w:r>
                      <w:r>
                        <w:rPr>
                          <w:rFonts w:ascii="Times New Roman" w:hAnsi="Times New Roman"/>
                          <w:sz w:val="24"/>
                          <w:shd w:val="clear" w:color="auto" w:fill="FFFFFF"/>
                        </w:rPr>
                        <w:t>pot</w:t>
                      </w:r>
                      <w:r>
                        <w:rPr>
                          <w:rFonts w:ascii="Times New Roman" w:hAnsi="Times New Roman"/>
                          <w:sz w:val="24"/>
                        </w:rPr>
                        <w:t xml:space="preserve"> acorda prioritate, în planurile lor naționale de urgență, </w:t>
                      </w:r>
                      <w:r>
                        <w:rPr>
                          <w:rFonts w:ascii="Times New Roman" w:hAnsi="Times New Roman"/>
                          <w:b/>
                          <w:sz w:val="24"/>
                        </w:rPr>
                        <w:t>accesului continuu și neperturbat la gazele naturale</w:t>
                      </w:r>
                      <w:r>
                        <w:rPr>
                          <w:rFonts w:ascii="Times New Roman" w:hAnsi="Times New Roman"/>
                          <w:sz w:val="24"/>
                        </w:rPr>
                        <w:t xml:space="preserve"> al producătorilor de îngrășăminte</w:t>
                      </w:r>
                      <w:r>
                        <w:t xml:space="preserve"> </w:t>
                      </w:r>
                      <w:r>
                        <w:rPr>
                          <w:rFonts w:ascii="Times New Roman" w:hAnsi="Times New Roman"/>
                          <w:sz w:val="24"/>
                          <w:shd w:val="clear" w:color="auto" w:fill="FFFFFF"/>
                        </w:rPr>
                        <w:t>în cazul raționalizării gazelor,</w:t>
                      </w:r>
                      <w:r>
                        <w:t xml:space="preserve"> </w:t>
                      </w:r>
                      <w:r>
                        <w:rPr>
                          <w:rFonts w:ascii="Times New Roman" w:hAnsi="Times New Roman"/>
                          <w:sz w:val="24"/>
                          <w:shd w:val="clear" w:color="auto" w:fill="FFFFFF"/>
                        </w:rPr>
                        <w:t>în conformitate cu Comunicarea Comisiei intitulată „Să economisim gazele pentru siguranță la iarnă”.</w:t>
                      </w:r>
                      <w:r>
                        <w:rPr>
                          <w:rFonts w:ascii="Times New Roman" w:hAnsi="Times New Roman"/>
                          <w:sz w:val="24"/>
                        </w:rPr>
                        <w:t xml:space="preserve"> </w:t>
                      </w:r>
                    </w:p>
                    <w:p w14:paraId="0F5E8A51" w14:textId="0636AA43" w:rsidR="007D6F8E" w:rsidRPr="000F26A2" w:rsidRDefault="007D6F8E"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b/>
                          <w:bCs/>
                          <w:sz w:val="24"/>
                        </w:rPr>
                        <w:t>Cadrul</w:t>
                      </w:r>
                      <w:r>
                        <w:rPr>
                          <w:rFonts w:ascii="Times New Roman" w:hAnsi="Times New Roman"/>
                          <w:sz w:val="24"/>
                        </w:rPr>
                        <w:t xml:space="preserve"> </w:t>
                      </w:r>
                      <w:r>
                        <w:rPr>
                          <w:rFonts w:ascii="Times New Roman" w:hAnsi="Times New Roman"/>
                          <w:sz w:val="24"/>
                          <w:shd w:val="clear" w:color="auto" w:fill="FFFFFF"/>
                        </w:rPr>
                        <w:t>t</w:t>
                      </w:r>
                      <w:r>
                        <w:rPr>
                          <w:rFonts w:ascii="Times New Roman" w:hAnsi="Times New Roman"/>
                          <w:sz w:val="24"/>
                        </w:rPr>
                        <w:t xml:space="preserve">emporar de </w:t>
                      </w:r>
                      <w:r>
                        <w:rPr>
                          <w:rFonts w:ascii="Times New Roman" w:hAnsi="Times New Roman"/>
                          <w:b/>
                          <w:bCs/>
                          <w:sz w:val="24"/>
                        </w:rPr>
                        <w:t>criză pentru ajutoarele de stat</w:t>
                      </w:r>
                      <w:r>
                        <w:rPr>
                          <w:rFonts w:ascii="Times New Roman" w:hAnsi="Times New Roman"/>
                          <w:sz w:val="24"/>
                        </w:rPr>
                        <w:t xml:space="preserve"> permite un sprijin specific pentru fermieri și producătorii de îngrășăminte. Prin cea de a doua modificare a cadrului, care a avut loc la 28 octombrie 2022, Comisia a majorat plafoanele stabilite pentru ajutoarele în cuantumuri limitate pentru fermieri și a sporit flexibilitatea și posibilitățile de sprijin pentru întreprinderile afectate de creșterea costurilor energiei, cum ar fi producătorii de îngrășăminte, sub rezerva unor garanții. Există potențial de extindere a unui astfel de ajutor specific peste nivelul actual scăzut al ajutoarelor aprobate pentru acest sector. Autoritățile publice ar putea, de exemplu, să achiziționeze îngrășăminte și să le ofere fermierilor la prețuri mai mici. </w:t>
                      </w:r>
                    </w:p>
                    <w:p w14:paraId="29CDD0E8" w14:textId="6F5845FB" w:rsidR="00AE3FC2" w:rsidRPr="00D03636"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Fondurile generate de măsuri precum </w:t>
                      </w:r>
                      <w:r>
                        <w:rPr>
                          <w:rFonts w:ascii="Times New Roman" w:hAnsi="Times New Roman"/>
                          <w:b/>
                          <w:sz w:val="24"/>
                        </w:rPr>
                        <w:t>plafonarea veniturilor de pe piață</w:t>
                      </w:r>
                      <w:r>
                        <w:rPr>
                          <w:rFonts w:ascii="Times New Roman" w:hAnsi="Times New Roman"/>
                          <w:sz w:val="24"/>
                        </w:rPr>
                        <w:t xml:space="preserve"> ale anumitor producători de energie electrică și </w:t>
                      </w:r>
                      <w:r>
                        <w:rPr>
                          <w:rFonts w:ascii="Times New Roman" w:hAnsi="Times New Roman"/>
                          <w:b/>
                          <w:sz w:val="24"/>
                        </w:rPr>
                        <w:t>contribuția de solidaritate</w:t>
                      </w:r>
                      <w:r>
                        <w:rPr>
                          <w:rFonts w:ascii="Times New Roman" w:hAnsi="Times New Roman"/>
                          <w:sz w:val="24"/>
                        </w:rPr>
                        <w:t xml:space="preserve"> prevăzută în temeiul legislației</w:t>
                      </w:r>
                      <w:r>
                        <w:rPr>
                          <w:rFonts w:ascii="Times New Roman" w:hAnsi="Times New Roman"/>
                          <w:b/>
                          <w:sz w:val="24"/>
                        </w:rPr>
                        <w:t xml:space="preserve"> </w:t>
                      </w:r>
                      <w:r>
                        <w:rPr>
                          <w:rFonts w:ascii="Times New Roman" w:hAnsi="Times New Roman"/>
                          <w:sz w:val="24"/>
                        </w:rPr>
                        <w:t xml:space="preserve">Uniunii pot fi, de asemenea, utilizate, sub rezerva condițiilor aplicabile, în scopul schemelor naționale de sprijin. </w:t>
                      </w:r>
                    </w:p>
                    <w:p w14:paraId="03E3A053" w14:textId="77777777" w:rsidR="00AE3FC2" w:rsidRPr="002F1328" w:rsidRDefault="00AE3FC2" w:rsidP="007D6F8E">
                      <w:pPr>
                        <w:numPr>
                          <w:ilvl w:val="0"/>
                          <w:numId w:val="7"/>
                        </w:numPr>
                        <w:tabs>
                          <w:tab w:val="left" w:pos="0"/>
                        </w:tabs>
                        <w:spacing w:after="120" w:line="280" w:lineRule="atLeast"/>
                        <w:ind w:left="709"/>
                        <w:jc w:val="both"/>
                        <w:rPr>
                          <w:rFonts w:ascii="Times New Roman" w:eastAsia="Calibri" w:hAnsi="Times New Roman" w:cs="Times New Roman"/>
                          <w:sz w:val="24"/>
                          <w:szCs w:val="24"/>
                        </w:rPr>
                      </w:pPr>
                      <w:r>
                        <w:rPr>
                          <w:rFonts w:ascii="Times New Roman" w:hAnsi="Times New Roman"/>
                          <w:sz w:val="24"/>
                        </w:rPr>
                        <w:t xml:space="preserve">Comisia va examina împreună cu statele membre oportunitatea de a utiliza </w:t>
                      </w:r>
                      <w:r>
                        <w:rPr>
                          <w:rFonts w:ascii="Times New Roman" w:hAnsi="Times New Roman"/>
                          <w:b/>
                          <w:sz w:val="24"/>
                        </w:rPr>
                        <w:t>rezerva pentru agricultură</w:t>
                      </w:r>
                      <w:r>
                        <w:rPr>
                          <w:rFonts w:ascii="Times New Roman" w:hAnsi="Times New Roman"/>
                          <w:sz w:val="24"/>
                        </w:rPr>
                        <w:t xml:space="preserve"> în valoare de 450 de milioane EUR pentru exercițiul financiar 2023 pentru fermierii afectați de costurile ridicate ale factorilor de producție.</w:t>
                      </w:r>
                    </w:p>
                    <w:p w14:paraId="1416762E" w14:textId="2C22176A" w:rsidR="00AE3FC2" w:rsidRDefault="00AE3FC2"/>
                  </w:txbxContent>
                </v:textbox>
                <w10:wrap type="square" anchory="page"/>
              </v:shape>
            </w:pict>
          </mc:Fallback>
        </mc:AlternateContent>
      </w:r>
      <w:r>
        <w:rPr>
          <w:noProof/>
        </w:rPr>
        <w:br w:type="page"/>
      </w:r>
    </w:p>
    <w:p w14:paraId="3B8F4FC1" w14:textId="73658096" w:rsidR="00FA1A95" w:rsidRDefault="003D650F" w:rsidP="007679B3">
      <w:pPr>
        <w:ind w:left="426" w:right="-596"/>
        <w:rPr>
          <w:rFonts w:ascii="Times New Roman" w:hAnsi="Times New Roman" w:cs="Times New Roman"/>
          <w:noProof/>
          <w:sz w:val="24"/>
          <w:szCs w:val="24"/>
        </w:rPr>
      </w:pPr>
      <w:r>
        <w:rPr>
          <w:rFonts w:ascii="Times New Roman" w:hAnsi="Times New Roman"/>
          <w:noProof/>
          <w:sz w:val="24"/>
          <w:lang w:val="en-GB" w:eastAsia="en-GB"/>
        </w:rPr>
        <w:lastRenderedPageBreak/>
        <mc:AlternateContent>
          <mc:Choice Requires="wps">
            <w:drawing>
              <wp:anchor distT="45720" distB="45720" distL="114300" distR="114300" simplePos="0" relativeHeight="251662336" behindDoc="0" locked="0" layoutInCell="1" allowOverlap="1" wp14:anchorId="1802F78D" wp14:editId="603FC65A">
                <wp:simplePos x="0" y="0"/>
                <wp:positionH relativeFrom="margin">
                  <wp:posOffset>88265</wp:posOffset>
                </wp:positionH>
                <wp:positionV relativeFrom="page">
                  <wp:posOffset>410210</wp:posOffset>
                </wp:positionV>
                <wp:extent cx="5624830" cy="7391400"/>
                <wp:effectExtent l="0" t="0" r="1397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4830" cy="7391400"/>
                        </a:xfrm>
                        <a:prstGeom prst="rect">
                          <a:avLst/>
                        </a:prstGeom>
                        <a:solidFill>
                          <a:srgbClr val="FFFFFF"/>
                        </a:solidFill>
                        <a:ln w="9525">
                          <a:solidFill>
                            <a:srgbClr val="000000"/>
                          </a:solidFill>
                          <a:miter lim="800000"/>
                          <a:headEnd/>
                          <a:tailEnd/>
                        </a:ln>
                      </wps:spPr>
                      <wps:txbx>
                        <w:txbxContent>
                          <w:p w14:paraId="48A75128" w14:textId="77777777" w:rsidR="003D650F" w:rsidRPr="00371E1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Comisia va examina și va discuta cu statele membre modul optim de utilizare a </w:t>
                            </w:r>
                            <w:r>
                              <w:rPr>
                                <w:rFonts w:ascii="Times New Roman" w:hAnsi="Times New Roman"/>
                                <w:b/>
                                <w:sz w:val="24"/>
                              </w:rPr>
                              <w:t>planurilor strategice PAC</w:t>
                            </w:r>
                            <w:r>
                              <w:rPr>
                                <w:rFonts w:ascii="Times New Roman" w:hAnsi="Times New Roman"/>
                                <w:sz w:val="24"/>
                              </w:rPr>
                              <w:t xml:space="preserve"> pentru a aborda situația îngrășămintelor. Măsurile de fertilizare durabilă ar trebui puse în aplicare în mod accelerat. Comisia încurajează statele membre să se asigure că revizuirile planurilor lor – dacă sunt programate insuficient în acest moment– îi ajută pe fermieri să utilizeze îngrășămintele într-un mod mai eficient și mai durabil. Comisia va saluta și va sprijini astfel de modificări și se va asigura că aceste intervenții reduc și previn pierderile de nutrienți care dăunează mediului.</w:t>
                            </w:r>
                          </w:p>
                          <w:p w14:paraId="55E14991" w14:textId="77777777" w:rsidR="003D650F"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Comisia va lua măsuri pentru a îmbunătăți </w:t>
                            </w:r>
                            <w:r>
                              <w:rPr>
                                <w:rFonts w:ascii="Times New Roman" w:hAnsi="Times New Roman"/>
                                <w:b/>
                                <w:sz w:val="24"/>
                              </w:rPr>
                              <w:t>transparența pieței</w:t>
                            </w:r>
                            <w:r>
                              <w:rPr>
                                <w:rFonts w:ascii="Times New Roman" w:hAnsi="Times New Roman"/>
                                <w:sz w:val="24"/>
                              </w:rPr>
                              <w:t xml:space="preserve"> îngrășămintelor din UE prin intermediul unui nou observator al pieței, care urmează să fie înființat în 2023, și prin organizarea de consultări periodice cu părțile interesate în cadrul grupului de experți al mecanismului european în caz de criză în materie de securitate alimentară (EFSCM).</w:t>
                            </w:r>
                          </w:p>
                          <w:p w14:paraId="3ED017F1" w14:textId="77777777" w:rsidR="003D650F" w:rsidRPr="002F1328" w:rsidRDefault="003D650F" w:rsidP="003D650F">
                            <w:pPr>
                              <w:numPr>
                                <w:ilvl w:val="0"/>
                                <w:numId w:val="7"/>
                              </w:numPr>
                              <w:tabs>
                                <w:tab w:val="left" w:pos="0"/>
                              </w:tabs>
                              <w:spacing w:after="120" w:line="280" w:lineRule="atLeast"/>
                              <w:ind w:left="567" w:hanging="357"/>
                              <w:jc w:val="both"/>
                              <w:rPr>
                                <w:rFonts w:ascii="Times New Roman" w:eastAsia="Calibri" w:hAnsi="Times New Roman" w:cs="Times New Roman"/>
                                <w:sz w:val="24"/>
                                <w:szCs w:val="24"/>
                              </w:rPr>
                            </w:pPr>
                            <w:r>
                              <w:rPr>
                                <w:rFonts w:ascii="Times New Roman" w:hAnsi="Times New Roman"/>
                                <w:sz w:val="24"/>
                              </w:rPr>
                              <w:t xml:space="preserve">În efortul de a promova </w:t>
                            </w:r>
                            <w:r>
                              <w:rPr>
                                <w:rFonts w:ascii="Times New Roman" w:hAnsi="Times New Roman"/>
                                <w:b/>
                                <w:sz w:val="24"/>
                              </w:rPr>
                              <w:t>autonomia strategică</w:t>
                            </w:r>
                            <w:r>
                              <w:rPr>
                                <w:rFonts w:ascii="Times New Roman" w:hAnsi="Times New Roman"/>
                                <w:sz w:val="24"/>
                              </w:rPr>
                              <w:t xml:space="preserve"> </w:t>
                            </w:r>
                            <w:r>
                              <w:rPr>
                                <w:rFonts w:ascii="Times New Roman" w:hAnsi="Times New Roman"/>
                                <w:b/>
                                <w:sz w:val="24"/>
                              </w:rPr>
                              <w:t>deschisă</w:t>
                            </w:r>
                            <w:r>
                              <w:rPr>
                                <w:rFonts w:ascii="Times New Roman" w:hAnsi="Times New Roman"/>
                                <w:sz w:val="24"/>
                              </w:rPr>
                              <w:t xml:space="preserve"> a UE ca o oportunitate pentru UE de a-și asigura securitatea aprovizionării cu alimente și de a stabili standarde înalte de durabilitate, Comisia va promova următoarele măsuri în ceea ce privește îngrășămintele:</w:t>
                            </w:r>
                          </w:p>
                          <w:p w14:paraId="50335157" w14:textId="77777777" w:rsidR="003D650F" w:rsidRPr="002F1328"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îmbunătățirea accesului la </w:t>
                            </w:r>
                            <w:r>
                              <w:rPr>
                                <w:rFonts w:ascii="Times New Roman" w:hAnsi="Times New Roman"/>
                                <w:b/>
                                <w:sz w:val="24"/>
                              </w:rPr>
                              <w:t>îngrășăminte organice</w:t>
                            </w:r>
                            <w:r>
                              <w:rPr>
                                <w:rFonts w:ascii="Times New Roman" w:hAnsi="Times New Roman"/>
                                <w:sz w:val="24"/>
                              </w:rPr>
                              <w:t xml:space="preserve"> și nutrienți din fluxurile de deșeuri reciclate, în special în regiunile cu o utilizare scăzută a îngrășămintelor organice;</w:t>
                            </w:r>
                          </w:p>
                          <w:p w14:paraId="5BC459CF" w14:textId="77777777" w:rsidR="003D650F"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sprijinirea conversiei industriei europene a îngrășămintelor azotoase la o industrie bazată pe </w:t>
                            </w:r>
                            <w:r>
                              <w:rPr>
                                <w:rFonts w:ascii="Times New Roman" w:hAnsi="Times New Roman"/>
                                <w:b/>
                                <w:sz w:val="24"/>
                              </w:rPr>
                              <w:t>amoniac produs din hidrogen din surse regenerabile și fără combustibili fosili</w:t>
                            </w:r>
                            <w:r>
                              <w:rPr>
                                <w:rFonts w:ascii="Times New Roman" w:hAnsi="Times New Roman"/>
                                <w:sz w:val="24"/>
                              </w:rPr>
                              <w:t>;</w:t>
                            </w:r>
                          </w:p>
                          <w:p w14:paraId="16B646EC" w14:textId="77777777" w:rsidR="003D650F" w:rsidRPr="00AE3FC2"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asigurarea unui mediu de reglementare stabil și funcțional care să reglementeze producția de </w:t>
                            </w:r>
                            <w:r>
                              <w:rPr>
                                <w:rFonts w:ascii="Times New Roman" w:hAnsi="Times New Roman"/>
                                <w:b/>
                                <w:sz w:val="24"/>
                              </w:rPr>
                              <w:t>hidrogen din surse regenerabile și cu emisii scăzute de carbon</w:t>
                            </w:r>
                            <w:r>
                              <w:rPr>
                                <w:rFonts w:ascii="Times New Roman" w:hAnsi="Times New Roman"/>
                                <w:sz w:val="24"/>
                              </w:rPr>
                              <w:t>, asigurând astfel dezvoltarea rapidă a unei piețe pentru îngrășămintele pe bază de hidrogen din surse regenerabile și cu emisii scăzute de carbon;</w:t>
                            </w:r>
                          </w:p>
                          <w:p w14:paraId="69CB94B6" w14:textId="77777777" w:rsidR="003D650F"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sprijinirea </w:t>
                            </w:r>
                            <w:r>
                              <w:rPr>
                                <w:rFonts w:ascii="Times New Roman" w:hAnsi="Times New Roman"/>
                                <w:b/>
                                <w:sz w:val="24"/>
                              </w:rPr>
                              <w:t>diversificării importurilor</w:t>
                            </w:r>
                            <w:r>
                              <w:rPr>
                                <w:rFonts w:ascii="Times New Roman" w:hAnsi="Times New Roman"/>
                                <w:sz w:val="24"/>
                              </w:rPr>
                              <w:t xml:space="preserve"> în vederea reducerii dependenței de Rusia;</w:t>
                            </w:r>
                          </w:p>
                          <w:p w14:paraId="4215072C" w14:textId="77777777" w:rsidR="003D650F" w:rsidRDefault="003D650F" w:rsidP="003D650F">
                            <w:pPr>
                              <w:tabs>
                                <w:tab w:val="left" w:pos="0"/>
                              </w:tabs>
                              <w:spacing w:after="240" w:line="280" w:lineRule="atLeast"/>
                              <w:ind w:left="851"/>
                              <w:contextualSpacing/>
                              <w:jc w:val="both"/>
                              <w:rPr>
                                <w:rFonts w:ascii="Times New Roman" w:eastAsia="Calibri" w:hAnsi="Times New Roman" w:cs="Times New Roman"/>
                                <w:sz w:val="24"/>
                                <w:szCs w:val="24"/>
                                <w:lang w:eastAsia="en-GB"/>
                              </w:rPr>
                            </w:pPr>
                          </w:p>
                          <w:p w14:paraId="3BC102E5" w14:textId="77777777" w:rsidR="003D650F" w:rsidRPr="002F1328"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lansarea, în 2023, a unei noi provocări a </w:t>
                            </w:r>
                            <w:r>
                              <w:rPr>
                                <w:rFonts w:ascii="Times New Roman" w:hAnsi="Times New Roman"/>
                                <w:b/>
                                <w:sz w:val="24"/>
                              </w:rPr>
                              <w:t>Consiliului European pentru Inovare</w:t>
                            </w:r>
                            <w:r>
                              <w:rPr>
                                <w:rFonts w:ascii="Times New Roman" w:hAnsi="Times New Roman"/>
                                <w:sz w:val="24"/>
                              </w:rPr>
                              <w:t xml:space="preserve"> privind agricultura rezilientă. </w:t>
                            </w:r>
                          </w:p>
                          <w:p w14:paraId="7698D1D9" w14:textId="77777777" w:rsidR="003D650F" w:rsidRPr="002F1328" w:rsidRDefault="003D650F" w:rsidP="003D650F">
                            <w:pPr>
                              <w:tabs>
                                <w:tab w:val="left" w:pos="0"/>
                              </w:tabs>
                              <w:spacing w:after="240" w:line="280" w:lineRule="atLeast"/>
                              <w:ind w:left="567"/>
                              <w:contextualSpacing/>
                              <w:jc w:val="both"/>
                              <w:rPr>
                                <w:rFonts w:ascii="Times New Roman" w:eastAsia="Calibri" w:hAnsi="Times New Roman" w:cs="Times New Roman"/>
                                <w:sz w:val="24"/>
                                <w:szCs w:val="24"/>
                                <w:lang w:eastAsia="en-GB"/>
                              </w:rPr>
                            </w:pPr>
                          </w:p>
                          <w:p w14:paraId="5FB756AF" w14:textId="77777777" w:rsidR="003D650F" w:rsidRPr="002F132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Comisia va adopta un </w:t>
                            </w:r>
                            <w:r>
                              <w:rPr>
                                <w:rFonts w:ascii="Times New Roman" w:hAnsi="Times New Roman"/>
                                <w:b/>
                                <w:sz w:val="24"/>
                              </w:rPr>
                              <w:t>Plan de acțiune pentru gestionarea integrată a nutrienților</w:t>
                            </w:r>
                            <w:r>
                              <w:rPr>
                                <w:rFonts w:ascii="Times New Roman" w:hAnsi="Times New Roman"/>
                                <w:sz w:val="24"/>
                              </w:rPr>
                              <w:t xml:space="preserve"> în primul trimestru al anului 2023, care va viza acțiuni la nivelul UE și la nivel național pentru a promova o utilizare mai eficientă a nutrienților, ținând seama de punctele de plecare ale statelor membre și de obiectivul ambițios de reducere la zero a poluării.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2F78D" id="_x0000_s1027" type="#_x0000_t202" style="position:absolute;left:0;text-align:left;margin-left:6.95pt;margin-top:32.3pt;width:442.9pt;height:58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">
                <v:textbox>
                  <w:txbxContent>
                    <w:p w14:paraId="48A75128" w14:textId="77777777" w:rsidR="003D650F" w:rsidRPr="00371E1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Comisia va examina și va discuta cu statele membre modul optim de utilizare a </w:t>
                      </w:r>
                      <w:r>
                        <w:rPr>
                          <w:rFonts w:ascii="Times New Roman" w:hAnsi="Times New Roman"/>
                          <w:b/>
                          <w:sz w:val="24"/>
                        </w:rPr>
                        <w:t>planurilor strategice PAC</w:t>
                      </w:r>
                      <w:r>
                        <w:rPr>
                          <w:rFonts w:ascii="Times New Roman" w:hAnsi="Times New Roman"/>
                          <w:sz w:val="24"/>
                        </w:rPr>
                        <w:t xml:space="preserve"> pentru a aborda situația îngrășămintelor. Măsurile de fertilizare durabilă ar trebui puse în aplicare în mod accelerat. Comisia încurajează statele membre să se asigure că revizuirile planurilor lor – dacă sunt programate insuficient în acest moment– îi ajută pe fermieri să utilizeze îngrășămintele într-un mod mai eficient și mai durabil. Comisia va saluta și va sprijini astfel de modificări și se va asigura că aceste intervenții reduc și previn pierderile de nutrienți care dăunează mediului.</w:t>
                      </w:r>
                    </w:p>
                    <w:p w14:paraId="55E14991" w14:textId="77777777" w:rsidR="003D650F"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Comisia va lua măsuri pentru a îmbunătăți </w:t>
                      </w:r>
                      <w:r>
                        <w:rPr>
                          <w:rFonts w:ascii="Times New Roman" w:hAnsi="Times New Roman"/>
                          <w:b/>
                          <w:sz w:val="24"/>
                        </w:rPr>
                        <w:t>transparența pieței</w:t>
                      </w:r>
                      <w:r>
                        <w:rPr>
                          <w:rFonts w:ascii="Times New Roman" w:hAnsi="Times New Roman"/>
                          <w:sz w:val="24"/>
                        </w:rPr>
                        <w:t xml:space="preserve"> îngrășămintelor din UE prin intermediul unui nou observator al pieței, care urmează să fie înființat în 2023, și prin organizarea de consultări periodice cu părțile interesate în cadrul grupului de experți al mecanismului european în caz de criză în materie de securitate alimentară (EFSCM).</w:t>
                      </w:r>
                    </w:p>
                    <w:p w14:paraId="3ED017F1" w14:textId="77777777" w:rsidR="003D650F" w:rsidRPr="002F1328" w:rsidRDefault="003D650F" w:rsidP="003D650F">
                      <w:pPr>
                        <w:numPr>
                          <w:ilvl w:val="0"/>
                          <w:numId w:val="7"/>
                        </w:numPr>
                        <w:tabs>
                          <w:tab w:val="left" w:pos="0"/>
                        </w:tabs>
                        <w:spacing w:after="120" w:line="280" w:lineRule="atLeast"/>
                        <w:ind w:left="567" w:hanging="357"/>
                        <w:jc w:val="both"/>
                        <w:rPr>
                          <w:rFonts w:ascii="Times New Roman" w:eastAsia="Calibri" w:hAnsi="Times New Roman" w:cs="Times New Roman"/>
                          <w:sz w:val="24"/>
                          <w:szCs w:val="24"/>
                        </w:rPr>
                      </w:pPr>
                      <w:r>
                        <w:rPr>
                          <w:rFonts w:ascii="Times New Roman" w:hAnsi="Times New Roman"/>
                          <w:sz w:val="24"/>
                        </w:rPr>
                        <w:t xml:space="preserve">În efortul de a promova </w:t>
                      </w:r>
                      <w:r>
                        <w:rPr>
                          <w:rFonts w:ascii="Times New Roman" w:hAnsi="Times New Roman"/>
                          <w:b/>
                          <w:sz w:val="24"/>
                        </w:rPr>
                        <w:t>autonomia strategică</w:t>
                      </w:r>
                      <w:r>
                        <w:rPr>
                          <w:rFonts w:ascii="Times New Roman" w:hAnsi="Times New Roman"/>
                          <w:sz w:val="24"/>
                        </w:rPr>
                        <w:t xml:space="preserve"> </w:t>
                      </w:r>
                      <w:r>
                        <w:rPr>
                          <w:rFonts w:ascii="Times New Roman" w:hAnsi="Times New Roman"/>
                          <w:b/>
                          <w:sz w:val="24"/>
                        </w:rPr>
                        <w:t>deschisă</w:t>
                      </w:r>
                      <w:r>
                        <w:rPr>
                          <w:rFonts w:ascii="Times New Roman" w:hAnsi="Times New Roman"/>
                          <w:sz w:val="24"/>
                        </w:rPr>
                        <w:t xml:space="preserve"> a UE ca o oportunitate pentru UE de a-și asigura securitatea aprovizionării cu alimente și de a stabili standarde înalte de durabilitate, Comisia va promova următoarele măsuri în ceea ce privește îngrășămintele:</w:t>
                      </w:r>
                    </w:p>
                    <w:p w14:paraId="50335157" w14:textId="77777777" w:rsidR="003D650F" w:rsidRPr="002F1328"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îmbunătățirea accesului la </w:t>
                      </w:r>
                      <w:r>
                        <w:rPr>
                          <w:rFonts w:ascii="Times New Roman" w:hAnsi="Times New Roman"/>
                          <w:b/>
                          <w:sz w:val="24"/>
                        </w:rPr>
                        <w:t>îngrășăminte organice</w:t>
                      </w:r>
                      <w:r>
                        <w:rPr>
                          <w:rFonts w:ascii="Times New Roman" w:hAnsi="Times New Roman"/>
                          <w:sz w:val="24"/>
                        </w:rPr>
                        <w:t xml:space="preserve"> și nutrienți din fluxurile de deșeuri reciclate, în special în regiunile cu o utilizare scăzută a îngrășămintelor organice;</w:t>
                      </w:r>
                    </w:p>
                    <w:p w14:paraId="5BC459CF" w14:textId="77777777" w:rsidR="003D650F"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sprijinirea conversiei industriei europene a îngrășămintelor azotoase la o industrie bazată pe </w:t>
                      </w:r>
                      <w:r>
                        <w:rPr>
                          <w:rFonts w:ascii="Times New Roman" w:hAnsi="Times New Roman"/>
                          <w:b/>
                          <w:sz w:val="24"/>
                        </w:rPr>
                        <w:t>amoniac produs din hidrogen din surse regenerabile și fără combustibili fosili</w:t>
                      </w:r>
                      <w:r>
                        <w:rPr>
                          <w:rFonts w:ascii="Times New Roman" w:hAnsi="Times New Roman"/>
                          <w:sz w:val="24"/>
                        </w:rPr>
                        <w:t>;</w:t>
                      </w:r>
                    </w:p>
                    <w:p w14:paraId="16B646EC" w14:textId="77777777" w:rsidR="003D650F" w:rsidRPr="00AE3FC2" w:rsidRDefault="003D650F" w:rsidP="003D650F">
                      <w:pPr>
                        <w:numPr>
                          <w:ilvl w:val="1"/>
                          <w:numId w:val="7"/>
                        </w:numPr>
                        <w:tabs>
                          <w:tab w:val="left" w:pos="0"/>
                        </w:tabs>
                        <w:spacing w:after="120" w:line="280" w:lineRule="atLeast"/>
                        <w:ind w:left="851"/>
                        <w:jc w:val="both"/>
                        <w:rPr>
                          <w:rFonts w:ascii="Times New Roman" w:eastAsia="Calibri" w:hAnsi="Times New Roman" w:cs="Times New Roman"/>
                          <w:sz w:val="24"/>
                          <w:szCs w:val="24"/>
                        </w:rPr>
                      </w:pPr>
                      <w:r>
                        <w:rPr>
                          <w:rFonts w:ascii="Times New Roman" w:hAnsi="Times New Roman"/>
                          <w:sz w:val="24"/>
                        </w:rPr>
                        <w:t xml:space="preserve">asigurarea unui mediu de reglementare stabil și funcțional care să reglementeze producția de </w:t>
                      </w:r>
                      <w:r>
                        <w:rPr>
                          <w:rFonts w:ascii="Times New Roman" w:hAnsi="Times New Roman"/>
                          <w:b/>
                          <w:sz w:val="24"/>
                        </w:rPr>
                        <w:t>hidrogen din surse regenerabile și cu emisii scăzute de carbon</w:t>
                      </w:r>
                      <w:r>
                        <w:rPr>
                          <w:rFonts w:ascii="Times New Roman" w:hAnsi="Times New Roman"/>
                          <w:sz w:val="24"/>
                        </w:rPr>
                        <w:t>, asigurând astfel dezvoltarea rapidă a unei piețe pentru îngrășămintele pe bază de hidrogen din surse regenerabile și cu emisii scăzute de carbon;</w:t>
                      </w:r>
                    </w:p>
                    <w:p w14:paraId="69CB94B6" w14:textId="77777777" w:rsidR="003D650F"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sprijinirea </w:t>
                      </w:r>
                      <w:r>
                        <w:rPr>
                          <w:rFonts w:ascii="Times New Roman" w:hAnsi="Times New Roman"/>
                          <w:b/>
                          <w:sz w:val="24"/>
                        </w:rPr>
                        <w:t>diversificării importurilor</w:t>
                      </w:r>
                      <w:r>
                        <w:rPr>
                          <w:rFonts w:ascii="Times New Roman" w:hAnsi="Times New Roman"/>
                          <w:sz w:val="24"/>
                        </w:rPr>
                        <w:t xml:space="preserve"> în vederea reducerii dependenței de Rusia;</w:t>
                      </w:r>
                    </w:p>
                    <w:p w14:paraId="4215072C" w14:textId="77777777" w:rsidR="003D650F" w:rsidRDefault="003D650F" w:rsidP="003D650F">
                      <w:pPr>
                        <w:tabs>
                          <w:tab w:val="left" w:pos="0"/>
                        </w:tabs>
                        <w:spacing w:after="240" w:line="280" w:lineRule="atLeast"/>
                        <w:ind w:left="851"/>
                        <w:contextualSpacing/>
                        <w:jc w:val="both"/>
                        <w:rPr>
                          <w:rFonts w:ascii="Times New Roman" w:eastAsia="Calibri" w:hAnsi="Times New Roman" w:cs="Times New Roman"/>
                          <w:sz w:val="24"/>
                          <w:szCs w:val="24"/>
                          <w:lang w:eastAsia="en-GB"/>
                        </w:rPr>
                      </w:pPr>
                    </w:p>
                    <w:p w14:paraId="3BC102E5" w14:textId="77777777" w:rsidR="003D650F" w:rsidRPr="002F1328" w:rsidRDefault="003D650F" w:rsidP="003D650F">
                      <w:pPr>
                        <w:numPr>
                          <w:ilvl w:val="1"/>
                          <w:numId w:val="7"/>
                        </w:numPr>
                        <w:tabs>
                          <w:tab w:val="left" w:pos="0"/>
                        </w:tabs>
                        <w:spacing w:after="240" w:line="280" w:lineRule="atLeast"/>
                        <w:ind w:left="851"/>
                        <w:contextualSpacing/>
                        <w:jc w:val="both"/>
                        <w:rPr>
                          <w:rFonts w:ascii="Times New Roman" w:eastAsia="Calibri" w:hAnsi="Times New Roman" w:cs="Times New Roman"/>
                          <w:sz w:val="24"/>
                          <w:szCs w:val="24"/>
                        </w:rPr>
                      </w:pPr>
                      <w:r>
                        <w:rPr>
                          <w:rFonts w:ascii="Times New Roman" w:hAnsi="Times New Roman"/>
                          <w:sz w:val="24"/>
                        </w:rPr>
                        <w:t xml:space="preserve">lansarea, în 2023, a unei noi provocări a </w:t>
                      </w:r>
                      <w:r>
                        <w:rPr>
                          <w:rFonts w:ascii="Times New Roman" w:hAnsi="Times New Roman"/>
                          <w:b/>
                          <w:sz w:val="24"/>
                        </w:rPr>
                        <w:t>Consiliului European pentru Inovare</w:t>
                      </w:r>
                      <w:r>
                        <w:rPr>
                          <w:rFonts w:ascii="Times New Roman" w:hAnsi="Times New Roman"/>
                          <w:sz w:val="24"/>
                        </w:rPr>
                        <w:t xml:space="preserve"> privind agricultura rezilientă. </w:t>
                      </w:r>
                    </w:p>
                    <w:p w14:paraId="7698D1D9" w14:textId="77777777" w:rsidR="003D650F" w:rsidRPr="002F1328" w:rsidRDefault="003D650F" w:rsidP="003D650F">
                      <w:pPr>
                        <w:tabs>
                          <w:tab w:val="left" w:pos="0"/>
                        </w:tabs>
                        <w:spacing w:after="240" w:line="280" w:lineRule="atLeast"/>
                        <w:ind w:left="567"/>
                        <w:contextualSpacing/>
                        <w:jc w:val="both"/>
                        <w:rPr>
                          <w:rFonts w:ascii="Times New Roman" w:eastAsia="Calibri" w:hAnsi="Times New Roman" w:cs="Times New Roman"/>
                          <w:sz w:val="24"/>
                          <w:szCs w:val="24"/>
                          <w:lang w:eastAsia="en-GB"/>
                        </w:rPr>
                      </w:pPr>
                    </w:p>
                    <w:p w14:paraId="5FB756AF" w14:textId="77777777" w:rsidR="003D650F" w:rsidRPr="002F1328" w:rsidRDefault="003D650F" w:rsidP="003D650F">
                      <w:pPr>
                        <w:numPr>
                          <w:ilvl w:val="0"/>
                          <w:numId w:val="7"/>
                        </w:numPr>
                        <w:tabs>
                          <w:tab w:val="left" w:pos="0"/>
                        </w:tabs>
                        <w:spacing w:after="120" w:line="280" w:lineRule="atLeast"/>
                        <w:ind w:left="567"/>
                        <w:jc w:val="both"/>
                        <w:rPr>
                          <w:rFonts w:ascii="Times New Roman" w:eastAsia="Calibri" w:hAnsi="Times New Roman" w:cs="Times New Roman"/>
                          <w:sz w:val="24"/>
                          <w:szCs w:val="24"/>
                        </w:rPr>
                      </w:pPr>
                      <w:r>
                        <w:rPr>
                          <w:rFonts w:ascii="Times New Roman" w:hAnsi="Times New Roman"/>
                          <w:sz w:val="24"/>
                        </w:rPr>
                        <w:t xml:space="preserve">Comisia va adopta un </w:t>
                      </w:r>
                      <w:r>
                        <w:rPr>
                          <w:rFonts w:ascii="Times New Roman" w:hAnsi="Times New Roman"/>
                          <w:b/>
                          <w:sz w:val="24"/>
                        </w:rPr>
                        <w:t>Plan de acțiune pentru gestionarea integrată a nutrienților</w:t>
                      </w:r>
                      <w:r>
                        <w:rPr>
                          <w:rFonts w:ascii="Times New Roman" w:hAnsi="Times New Roman"/>
                          <w:sz w:val="24"/>
                        </w:rPr>
                        <w:t xml:space="preserve"> în primul trimestru al anului 2023, care va viza acțiuni la nivelul UE și la nivel național pentru a promova o utilizare mai eficientă a nutrienților, ținând seama de punctele de plecare ale statelor membre și de obiectivul ambițios de reducere la zero a poluării.</w:t>
                      </w:r>
                    </w:p>
                  </w:txbxContent>
                </v:textbox>
                <w10:wrap type="square" anchorx="margin" anchory="page"/>
              </v:shape>
            </w:pict>
          </mc:Fallback>
        </mc:AlternateContent>
      </w:r>
    </w:p>
    <w:p w14:paraId="03F37642" w14:textId="18A2B8B5" w:rsidR="002F1328" w:rsidRDefault="00AE3FC2" w:rsidP="007679B3">
      <w:pPr>
        <w:ind w:left="426" w:right="-596"/>
        <w:rPr>
          <w:rFonts w:ascii="Times New Roman" w:hAnsi="Times New Roman" w:cs="Times New Roman"/>
          <w:noProof/>
          <w:sz w:val="24"/>
          <w:szCs w:val="24"/>
        </w:rPr>
      </w:pPr>
      <w:r>
        <w:rPr>
          <w:noProof/>
          <w:lang w:val="en-GB" w:eastAsia="en-GB"/>
        </w:rPr>
        <w:lastRenderedPageBreak/>
        <mc:AlternateContent>
          <mc:Choice Requires="wps">
            <w:drawing>
              <wp:inline distT="45720" distB="45720" distL="114300" distR="114300" wp14:anchorId="137D8C4D" wp14:editId="23867260">
                <wp:extent cx="5397288" cy="6934412"/>
                <wp:effectExtent l="0" t="0" r="13335" b="15875"/>
                <wp:docPr id="1299568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288" cy="6934412"/>
                        </a:xfrm>
                        <a:prstGeom prst="rect">
                          <a:avLst/>
                        </a:prstGeom>
                        <a:solidFill>
                          <a:srgbClr val="FFFFFF"/>
                        </a:solidFill>
                        <a:ln w="9525">
                          <a:solidFill>
                            <a:srgbClr val="000000"/>
                          </a:solidFill>
                          <a:miter lim="800000"/>
                          <a:headEnd/>
                          <a:tailEnd/>
                        </a:ln>
                      </wps:spPr>
                      <wps:txbx>
                        <w:txbxContent>
                          <w:p w14:paraId="2DA1997D" w14:textId="77777777" w:rsidR="00AE3FC2" w:rsidRPr="007D378B" w:rsidRDefault="00AE3FC2" w:rsidP="00AE3FC2">
                            <w:pPr>
                              <w:spacing w:before="240" w:after="120"/>
                              <w:rPr>
                                <w:rFonts w:ascii="Times New Roman" w:eastAsia="Calibri" w:hAnsi="Times New Roman" w:cs="Times New Roman"/>
                                <w:sz w:val="24"/>
                                <w:szCs w:val="24"/>
                              </w:rPr>
                            </w:pPr>
                            <w:r>
                              <w:rPr>
                                <w:rFonts w:ascii="Times New Roman" w:hAnsi="Times New Roman"/>
                                <w:b/>
                                <w:sz w:val="24"/>
                              </w:rPr>
                              <w:t>În domeniul internațional</w:t>
                            </w:r>
                            <w:r>
                              <w:rPr>
                                <w:rFonts w:ascii="Times New Roman" w:hAnsi="Times New Roman"/>
                                <w:sz w:val="24"/>
                              </w:rPr>
                              <w:t>, Comisia:</w:t>
                            </w:r>
                          </w:p>
                          <w:p w14:paraId="2B8A1798" w14:textId="77777777" w:rsidR="00AE3FC2" w:rsidRDefault="00AE3FC2" w:rsidP="00AE3FC2">
                            <w:pPr>
                              <w:pStyle w:val="ListParagraph"/>
                              <w:numPr>
                                <w:ilvl w:val="0"/>
                                <w:numId w:val="7"/>
                              </w:numPr>
                              <w:spacing w:after="120"/>
                              <w:ind w:left="567" w:hanging="357"/>
                              <w:contextualSpacing w:val="0"/>
                            </w:pPr>
                            <w:r>
                              <w:t xml:space="preserve">Va continua colaborarea cu statele sale membre și cu instituțiile financiare europene, în cadrul unei abordări de tip Echipa Europa, în ceea ce privește contribuția la cele patru componente ale </w:t>
                            </w:r>
                            <w:r>
                              <w:rPr>
                                <w:b/>
                                <w:color w:val="000000" w:themeColor="text1"/>
                              </w:rPr>
                              <w:t>răspunsului Echipei Europa la insecuritatea alimentară la nivel mondial</w:t>
                            </w:r>
                            <w:r>
                              <w:rPr>
                                <w:b/>
                              </w:rPr>
                              <w:t xml:space="preserve"> (solidaritate, producție, comerț și multilateralism)</w:t>
                            </w:r>
                            <w:r>
                              <w:t>.</w:t>
                            </w:r>
                          </w:p>
                          <w:p w14:paraId="6BB7EB1F" w14:textId="77777777" w:rsidR="00AE3FC2" w:rsidRDefault="00AE3FC2" w:rsidP="00AE3FC2">
                            <w:pPr>
                              <w:pStyle w:val="ListParagraph"/>
                              <w:numPr>
                                <w:ilvl w:val="0"/>
                                <w:numId w:val="7"/>
                              </w:numPr>
                              <w:spacing w:after="120"/>
                              <w:ind w:left="567"/>
                              <w:contextualSpacing w:val="0"/>
                            </w:pPr>
                            <w:r>
                              <w:t>Va continua colaborarea cu statele sale membre, cu Ucraina, cu Moldova și cu părțile interesate relevante pentru a spori capacitatea culoarelor de solidaritate UE-Ucraina.</w:t>
                            </w:r>
                          </w:p>
                          <w:p w14:paraId="09C3FA5A" w14:textId="77777777" w:rsidR="00AE3FC2" w:rsidRDefault="00AE3FC2" w:rsidP="00AE3FC2">
                            <w:pPr>
                              <w:pStyle w:val="ListParagraph"/>
                              <w:numPr>
                                <w:ilvl w:val="0"/>
                                <w:numId w:val="7"/>
                              </w:numPr>
                              <w:spacing w:after="120"/>
                              <w:ind w:left="567"/>
                              <w:contextualSpacing w:val="0"/>
                            </w:pPr>
                            <w:r>
                              <w:rPr>
                                <w:b/>
                              </w:rPr>
                              <w:t>Va coopera cu anumite țări partenere ale UE</w:t>
                            </w:r>
                            <w:r>
                              <w:t>, inclusiv prin intermediul Provocării globale privind îngrășămintele, pentru a reduce dependența și consumul lor de îngrășăminte minerale importate</w:t>
                            </w:r>
                            <w:r>
                              <w:rPr>
                                <w:b/>
                              </w:rPr>
                              <w:t xml:space="preserve"> </w:t>
                            </w:r>
                            <w:r>
                              <w:t xml:space="preserve">prin </w:t>
                            </w:r>
                            <w:r>
                              <w:rPr>
                                <w:b/>
                              </w:rPr>
                              <w:t>utilizarea unor practici agricole eficace și durabile</w:t>
                            </w:r>
                            <w:r>
                              <w:t xml:space="preserve"> și a unor alternative bazate pe gestionarea durabilă a fertilității solului.</w:t>
                            </w:r>
                          </w:p>
                          <w:p w14:paraId="3E680C5D" w14:textId="77777777" w:rsidR="00AE3FC2" w:rsidRDefault="00AE3FC2" w:rsidP="00AE3FC2">
                            <w:pPr>
                              <w:pStyle w:val="ListParagraph"/>
                              <w:numPr>
                                <w:ilvl w:val="0"/>
                                <w:numId w:val="7"/>
                              </w:numPr>
                              <w:spacing w:after="120"/>
                              <w:ind w:left="567"/>
                              <w:contextualSpacing w:val="0"/>
                            </w:pPr>
                            <w:r>
                              <w:t xml:space="preserve">Va îmbunătăți transparența pieței mondiale a îngrășămintelor, prin contribuția la inițiativele internaționale relevante privind îngrășămintele, în special la </w:t>
                            </w:r>
                            <w:r>
                              <w:rPr>
                                <w:b/>
                              </w:rPr>
                              <w:t>Sistemul de informații privind piața agricolă (AMIS)</w:t>
                            </w:r>
                            <w:r>
                              <w:t xml:space="preserve"> al G20.</w:t>
                            </w:r>
                          </w:p>
                          <w:p w14:paraId="38AF1212" w14:textId="77777777" w:rsidR="00AE3FC2" w:rsidRPr="00BC7C26" w:rsidRDefault="00AE3FC2" w:rsidP="00AE3FC2">
                            <w:pPr>
                              <w:pStyle w:val="ListParagraph"/>
                              <w:numPr>
                                <w:ilvl w:val="0"/>
                                <w:numId w:val="7"/>
                              </w:numPr>
                              <w:spacing w:after="120"/>
                              <w:ind w:left="567"/>
                              <w:contextualSpacing w:val="0"/>
                            </w:pPr>
                            <w:r>
                              <w:t>Va continua colaborarea cu agențiile ONU și cu instituțiile financiare internaționale pentru a</w:t>
                            </w:r>
                            <w:r>
                              <w:rPr>
                                <w:b/>
                              </w:rPr>
                              <w:t xml:space="preserve"> </w:t>
                            </w:r>
                            <w:r>
                              <w:t xml:space="preserve">aborda în cadrul </w:t>
                            </w:r>
                            <w:r>
                              <w:rPr>
                                <w:b/>
                              </w:rPr>
                              <w:t>forurilor bilaterale și multilaterale</w:t>
                            </w:r>
                            <w:r>
                              <w:t xml:space="preserve"> aspectele legate de disponibilitatea și accesibilitatea prețurilor îngrășămintelor și pentru a contribui la soluții multilaterale durabile.</w:t>
                            </w:r>
                          </w:p>
                          <w:p w14:paraId="2F54FE8D" w14:textId="268116DF" w:rsidR="00AE3FC2" w:rsidRDefault="00AE3FC2" w:rsidP="00AE3FC2">
                            <w:pPr>
                              <w:pStyle w:val="ListParagraph"/>
                              <w:numPr>
                                <w:ilvl w:val="0"/>
                                <w:numId w:val="7"/>
                              </w:numPr>
                              <w:spacing w:after="120"/>
                              <w:ind w:left="567"/>
                              <w:contextualSpacing w:val="0"/>
                            </w:pPr>
                            <w:r>
                              <w:t xml:space="preserve">Va intensifica sprijinul pentru </w:t>
                            </w:r>
                            <w:r>
                              <w:rPr>
                                <w:b/>
                              </w:rPr>
                              <w:t>abordarea nevoilor legate de balanța de plăți</w:t>
                            </w:r>
                            <w:r>
                              <w:t xml:space="preserve">, inclusiv prin intermediul Fondului FMI pentru reducerea sărăciei și creștere economică, și consolidarea cooperării cu instituțiile financiare independente în cadrul Global Gateway pentru a dezvolta investiții inovatoare și durabile. </w:t>
                            </w:r>
                          </w:p>
                          <w:p w14:paraId="6AB64209" w14:textId="49621140" w:rsidR="00AE3FC2" w:rsidRDefault="00AE3FC2" w:rsidP="00AE3FC2">
                            <w:pPr>
                              <w:pStyle w:val="ListParagraph"/>
                              <w:numPr>
                                <w:ilvl w:val="0"/>
                                <w:numId w:val="7"/>
                              </w:numPr>
                              <w:spacing w:after="120"/>
                              <w:contextualSpacing w:val="0"/>
                            </w:pPr>
                            <w:r>
                              <w:t xml:space="preserve">Va iniția discuții privind îmbunătățirea transparenței, inclusiv </w:t>
                            </w:r>
                            <w:r>
                              <w:rPr>
                                <w:b/>
                              </w:rPr>
                              <w:t>evitarea restricțiilor la export în ceea ce privește comerțul cu îngrășăminte</w:t>
                            </w:r>
                            <w:r>
                              <w:t xml:space="preserve"> în cadrul </w:t>
                            </w:r>
                            <w:r>
                              <w:rPr>
                                <w:b/>
                              </w:rPr>
                              <w:t>OMC</w:t>
                            </w:r>
                            <w:r>
                              <w:t>, în vederea îndeplinirii angajamentelor asumate în cadrul declarației privind insecuritatea alimentară convenite cu ocazia ultimei conferințe ministeriale.</w:t>
                            </w:r>
                          </w:p>
                          <w:p w14:paraId="6D1032CD" w14:textId="77777777" w:rsidR="00AE3FC2" w:rsidRPr="00806379" w:rsidRDefault="00AE3FC2" w:rsidP="00AE3FC2">
                            <w:pPr>
                              <w:pStyle w:val="ListParagraph"/>
                              <w:numPr>
                                <w:ilvl w:val="0"/>
                                <w:numId w:val="7"/>
                              </w:numPr>
                              <w:spacing w:after="120"/>
                              <w:ind w:left="567"/>
                              <w:contextualSpacing w:val="0"/>
                            </w:pPr>
                            <w:r>
                              <w:t xml:space="preserve">Va continua colaborarea cu statele membre pentru a asigura buna desfășurare a </w:t>
                            </w:r>
                            <w:r>
                              <w:rPr>
                                <w:b/>
                              </w:rPr>
                              <w:t>comerțului mondial cu produse agroalimentare, inclusiv cu îngrășăminte</w:t>
                            </w:r>
                            <w:r>
                              <w:t>.</w:t>
                            </w:r>
                          </w:p>
                          <w:p w14:paraId="2179D304" w14:textId="77777777" w:rsidR="00AE3FC2" w:rsidRDefault="00AE3FC2" w:rsidP="00AE3FC2">
                            <w:pPr>
                              <w:pStyle w:val="ListParagraph"/>
                              <w:numPr>
                                <w:ilvl w:val="0"/>
                                <w:numId w:val="7"/>
                              </w:numPr>
                              <w:ind w:left="567"/>
                            </w:pPr>
                            <w:r>
                              <w:rPr>
                                <w:b/>
                              </w:rPr>
                              <w:t>Își va intensifica activitatea de comunicare comună și de informare diplomatică</w:t>
                            </w:r>
                            <w:r>
                              <w:t xml:space="preserve"> pentru a evidenția și a consolida răspunsul</w:t>
                            </w:r>
                            <w:r>
                              <w:rPr>
                                <w:b/>
                              </w:rPr>
                              <w:t xml:space="preserve"> </w:t>
                            </w:r>
                            <w:r>
                              <w:t xml:space="preserve">Echipei Europa la insecuritatea alimentară și pentru a combate dezinformarea rusă. UE va continua să monitorizeze și să combată manipularea informațiilor de către Rusia, inclusiv prin intermediul canalelor publice ale UE, cum ar fi EUvsDisinfo, continuând totodată colaborarea cu parteneri care împărtășesc aceeași viziune, în special în cadrul G7 și al NATO. </w:t>
                            </w:r>
                          </w:p>
                        </w:txbxContent>
                      </wps:txbx>
                      <wps:bodyPr rot="0" vert="horz" wrap="square" lIns="91440" tIns="45720" rIns="91440" bIns="45720" anchor="t" anchorCtr="0">
                        <a:spAutoFit/>
                      </wps:bodyPr>
                    </wps:wsp>
                  </a:graphicData>
                </a:graphic>
              </wp:inline>
            </w:drawing>
          </mc:Choice>
          <mc:Fallback>
            <w:pict>
              <v:shape w14:anchorId="137D8C4D" id="Text Box 2" o:spid="_x0000_s1028" type="#_x0000_t202" style="width:425pt;height:5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">
                <v:textbox style="mso-fit-shape-to-text:t">
                  <w:txbxContent>
                    <w:p w14:paraId="2DA1997D" w14:textId="77777777" w:rsidR="00AE3FC2" w:rsidRPr="007D378B" w:rsidRDefault="00AE3FC2" w:rsidP="00AE3FC2">
                      <w:pPr>
                        <w:spacing w:before="240" w:after="120"/>
                        <w:rPr>
                          <w:rFonts w:ascii="Times New Roman" w:eastAsia="Calibri" w:hAnsi="Times New Roman" w:cs="Times New Roman"/>
                          <w:sz w:val="24"/>
                          <w:szCs w:val="24"/>
                        </w:rPr>
                      </w:pPr>
                      <w:r>
                        <w:rPr>
                          <w:rFonts w:ascii="Times New Roman" w:hAnsi="Times New Roman"/>
                          <w:b/>
                          <w:sz w:val="24"/>
                        </w:rPr>
                        <w:t>În domeniul internațional</w:t>
                      </w:r>
                      <w:r>
                        <w:rPr>
                          <w:rFonts w:ascii="Times New Roman" w:hAnsi="Times New Roman"/>
                          <w:sz w:val="24"/>
                        </w:rPr>
                        <w:t>, Comisia:</w:t>
                      </w:r>
                    </w:p>
                    <w:p w14:paraId="2B8A1798" w14:textId="77777777" w:rsidR="00AE3FC2" w:rsidRDefault="00AE3FC2" w:rsidP="00AE3FC2">
                      <w:pPr>
                        <w:pStyle w:val="ListParagraph"/>
                        <w:numPr>
                          <w:ilvl w:val="0"/>
                          <w:numId w:val="7"/>
                        </w:numPr>
                        <w:spacing w:after="120"/>
                        <w:ind w:left="567" w:hanging="357"/>
                        <w:contextualSpacing w:val="0"/>
                      </w:pPr>
                      <w:r>
                        <w:t xml:space="preserve">Va continua colaborarea cu statele sale membre și cu instituțiile financiare europene, în cadrul unei abordări de tip Echipa Europa, în ceea ce privește contribuția la cele patru componente ale </w:t>
                      </w:r>
                      <w:r>
                        <w:rPr>
                          <w:b/>
                          <w:color w:val="000000" w:themeColor="text1"/>
                        </w:rPr>
                        <w:t>răspunsului Echipei Europa la insecuritatea alimentară la nivel mondial</w:t>
                      </w:r>
                      <w:r>
                        <w:rPr>
                          <w:b/>
                        </w:rPr>
                        <w:t xml:space="preserve"> (solidaritate, producție, comerț și multilateralism)</w:t>
                      </w:r>
                      <w:r>
                        <w:t>.</w:t>
                      </w:r>
                    </w:p>
                    <w:p w14:paraId="6BB7EB1F" w14:textId="77777777" w:rsidR="00AE3FC2" w:rsidRDefault="00AE3FC2" w:rsidP="00AE3FC2">
                      <w:pPr>
                        <w:pStyle w:val="ListParagraph"/>
                        <w:numPr>
                          <w:ilvl w:val="0"/>
                          <w:numId w:val="7"/>
                        </w:numPr>
                        <w:spacing w:after="120"/>
                        <w:ind w:left="567"/>
                        <w:contextualSpacing w:val="0"/>
                      </w:pPr>
                      <w:r>
                        <w:t>Va continua colaborarea cu statele sale membre, cu Ucraina, cu Moldova și cu părțile interesate relevante pentru a spori capacitatea culoarelor de solidaritate UE-Ucraina.</w:t>
                      </w:r>
                    </w:p>
                    <w:p w14:paraId="09C3FA5A" w14:textId="77777777" w:rsidR="00AE3FC2" w:rsidRDefault="00AE3FC2" w:rsidP="00AE3FC2">
                      <w:pPr>
                        <w:pStyle w:val="ListParagraph"/>
                        <w:numPr>
                          <w:ilvl w:val="0"/>
                          <w:numId w:val="7"/>
                        </w:numPr>
                        <w:spacing w:after="120"/>
                        <w:ind w:left="567"/>
                        <w:contextualSpacing w:val="0"/>
                      </w:pPr>
                      <w:r>
                        <w:rPr>
                          <w:b/>
                        </w:rPr>
                        <w:t>Va coopera cu anumite țări partenere ale UE</w:t>
                      </w:r>
                      <w:r>
                        <w:t>, inclusiv prin intermediul Provocării globale privind îngrășămintele, pentru a reduce dependența și consumul lor de îngrășăminte minerale importate</w:t>
                      </w:r>
                      <w:r>
                        <w:rPr>
                          <w:b/>
                        </w:rPr>
                        <w:t xml:space="preserve"> </w:t>
                      </w:r>
                      <w:r>
                        <w:t xml:space="preserve">prin </w:t>
                      </w:r>
                      <w:r>
                        <w:rPr>
                          <w:b/>
                        </w:rPr>
                        <w:t>utilizarea unor practici agricole eficace și durabile</w:t>
                      </w:r>
                      <w:r>
                        <w:t xml:space="preserve"> și a unor alternative bazate pe gestionarea durabilă a fertilității solului.</w:t>
                      </w:r>
                    </w:p>
                    <w:p w14:paraId="3E680C5D" w14:textId="77777777" w:rsidR="00AE3FC2" w:rsidRDefault="00AE3FC2" w:rsidP="00AE3FC2">
                      <w:pPr>
                        <w:pStyle w:val="ListParagraph"/>
                        <w:numPr>
                          <w:ilvl w:val="0"/>
                          <w:numId w:val="7"/>
                        </w:numPr>
                        <w:spacing w:after="120"/>
                        <w:ind w:left="567"/>
                        <w:contextualSpacing w:val="0"/>
                      </w:pPr>
                      <w:r>
                        <w:t xml:space="preserve">Va îmbunătăți transparența pieței mondiale a îngrășămintelor, prin contribuția la inițiativele internaționale relevante privind îngrășămintele, în special la </w:t>
                      </w:r>
                      <w:r>
                        <w:rPr>
                          <w:b/>
                        </w:rPr>
                        <w:t>Sistemul de informații privind piața agricolă (AMIS)</w:t>
                      </w:r>
                      <w:r>
                        <w:t xml:space="preserve"> al G20.</w:t>
                      </w:r>
                    </w:p>
                    <w:p w14:paraId="38AF1212" w14:textId="77777777" w:rsidR="00AE3FC2" w:rsidRPr="00BC7C26" w:rsidRDefault="00AE3FC2" w:rsidP="00AE3FC2">
                      <w:pPr>
                        <w:pStyle w:val="ListParagraph"/>
                        <w:numPr>
                          <w:ilvl w:val="0"/>
                          <w:numId w:val="7"/>
                        </w:numPr>
                        <w:spacing w:after="120"/>
                        <w:ind w:left="567"/>
                        <w:contextualSpacing w:val="0"/>
                      </w:pPr>
                      <w:r>
                        <w:t>Va continua colaborarea cu agențiile ONU și cu instituțiile financiare internaționale pentru a</w:t>
                      </w:r>
                      <w:r>
                        <w:rPr>
                          <w:b/>
                        </w:rPr>
                        <w:t xml:space="preserve"> </w:t>
                      </w:r>
                      <w:r>
                        <w:t xml:space="preserve">aborda în cadrul </w:t>
                      </w:r>
                      <w:r>
                        <w:rPr>
                          <w:b/>
                        </w:rPr>
                        <w:t>forurilor bilaterale și multilaterale</w:t>
                      </w:r>
                      <w:r>
                        <w:t xml:space="preserve"> aspectele legate de disponibilitatea și accesibilitatea prețurilor îngrășămintelor și pentru a contribui la soluții multilaterale durabile.</w:t>
                      </w:r>
                    </w:p>
                    <w:p w14:paraId="2F54FE8D" w14:textId="268116DF" w:rsidR="00AE3FC2" w:rsidRDefault="00AE3FC2" w:rsidP="00AE3FC2">
                      <w:pPr>
                        <w:pStyle w:val="ListParagraph"/>
                        <w:numPr>
                          <w:ilvl w:val="0"/>
                          <w:numId w:val="7"/>
                        </w:numPr>
                        <w:spacing w:after="120"/>
                        <w:ind w:left="567"/>
                        <w:contextualSpacing w:val="0"/>
                      </w:pPr>
                      <w:r>
                        <w:t xml:space="preserve">Va intensifica sprijinul pentru </w:t>
                      </w:r>
                      <w:r>
                        <w:rPr>
                          <w:b/>
                        </w:rPr>
                        <w:t>abordarea nevoilor legate de balanța de plăți</w:t>
                      </w:r>
                      <w:r>
                        <w:t xml:space="preserve">, inclusiv prin intermediul Fondului FMI pentru reducerea sărăciei și creștere economică, și consolidarea cooperării cu instituțiile financiare independente în cadrul Global Gateway pentru a dezvolta investiții inovatoare și durabile. </w:t>
                      </w:r>
                    </w:p>
                    <w:p w14:paraId="6AB64209" w14:textId="49621140" w:rsidR="00AE3FC2" w:rsidRDefault="00AE3FC2" w:rsidP="00AE3FC2">
                      <w:pPr>
                        <w:pStyle w:val="ListParagraph"/>
                        <w:numPr>
                          <w:ilvl w:val="0"/>
                          <w:numId w:val="7"/>
                        </w:numPr>
                        <w:spacing w:after="120"/>
                        <w:contextualSpacing w:val="0"/>
                      </w:pPr>
                      <w:r>
                        <w:t xml:space="preserve">Va iniția discuții privind îmbunătățirea transparenței, inclusiv </w:t>
                      </w:r>
                      <w:r>
                        <w:rPr>
                          <w:b/>
                        </w:rPr>
                        <w:t>evitarea restricțiilor la export în ceea ce privește comerțul cu îngrășăminte</w:t>
                      </w:r>
                      <w:r>
                        <w:t xml:space="preserve"> în cadrul </w:t>
                      </w:r>
                      <w:r>
                        <w:rPr>
                          <w:b/>
                        </w:rPr>
                        <w:t>OMC</w:t>
                      </w:r>
                      <w:r>
                        <w:t>, în vederea îndeplinirii angajamentelor asumate în cadrul declarației privind insecuritatea alimentară convenite cu ocazia ultimei conferințe ministeriale.</w:t>
                      </w:r>
                    </w:p>
                    <w:p w14:paraId="6D1032CD" w14:textId="77777777" w:rsidR="00AE3FC2" w:rsidRPr="00806379" w:rsidRDefault="00AE3FC2" w:rsidP="00AE3FC2">
                      <w:pPr>
                        <w:pStyle w:val="ListParagraph"/>
                        <w:numPr>
                          <w:ilvl w:val="0"/>
                          <w:numId w:val="7"/>
                        </w:numPr>
                        <w:spacing w:after="120"/>
                        <w:ind w:left="567"/>
                        <w:contextualSpacing w:val="0"/>
                      </w:pPr>
                      <w:r>
                        <w:t xml:space="preserve">Va continua colaborarea cu statele membre pentru a asigura buna desfășurare a </w:t>
                      </w:r>
                      <w:r>
                        <w:rPr>
                          <w:b/>
                        </w:rPr>
                        <w:t>comerțului mondial cu produse agroalimentare, inclusiv cu îngrășăminte</w:t>
                      </w:r>
                      <w:r>
                        <w:t>.</w:t>
                      </w:r>
                    </w:p>
                    <w:p w14:paraId="2179D304" w14:textId="77777777" w:rsidR="00AE3FC2" w:rsidRDefault="00AE3FC2" w:rsidP="00AE3FC2">
                      <w:pPr>
                        <w:pStyle w:val="ListParagraph"/>
                        <w:numPr>
                          <w:ilvl w:val="0"/>
                          <w:numId w:val="7"/>
                        </w:numPr>
                        <w:ind w:left="567"/>
                      </w:pPr>
                      <w:r>
                        <w:rPr>
                          <w:b/>
                        </w:rPr>
                        <w:t>Își va intensifica activitatea de comunicare comună și de informare diplomatică</w:t>
                      </w:r>
                      <w:r>
                        <w:t xml:space="preserve"> pentru a evidenția și a consolida răspunsul</w:t>
                      </w:r>
                      <w:r>
                        <w:rPr>
                          <w:b/>
                        </w:rPr>
                        <w:t xml:space="preserve"> </w:t>
                      </w:r>
                      <w:r>
                        <w:t xml:space="preserve">Echipei Europa la insecuritatea alimentară și pentru a combate dezinformarea rusă. UE va continua să monitorizeze și să combată manipularea informațiilor de către Rusia, inclusiv prin intermediul canalelor publice ale UE, cum ar fi EUvsDisinfo, continuând totodată colaborarea cu parteneri care împărtășesc aceeași viziune, în special în cadrul G7 și al NATO. </w:t>
                      </w:r>
                    </w:p>
                  </w:txbxContent>
                </v:textbox>
                <w10:anchorlock/>
              </v:shape>
            </w:pict>
          </mc:Fallback>
        </mc:AlternateContent>
      </w:r>
      <w:r>
        <w:rPr>
          <w:noProof/>
        </w:rPr>
        <w:br w:type="page"/>
      </w:r>
    </w:p>
    <w:p w14:paraId="2E0C7EF8" w14:textId="77777777" w:rsidR="001E5515" w:rsidRDefault="001E5515" w:rsidP="00BA6354">
      <w:pPr>
        <w:spacing w:afterLines="120" w:after="288"/>
        <w:rPr>
          <w:rFonts w:ascii="Times New Roman" w:hAnsi="Times New Roman" w:cs="Times New Roman"/>
          <w:noProof/>
          <w:sz w:val="24"/>
          <w:szCs w:val="24"/>
        </w:rPr>
      </w:pPr>
    </w:p>
    <w:p w14:paraId="306FC464" w14:textId="77777777" w:rsidR="007679B3" w:rsidRPr="00B221F1" w:rsidRDefault="007679B3" w:rsidP="007679B3">
      <w:pPr>
        <w:pStyle w:val="Heading1"/>
        <w:spacing w:afterLines="120" w:after="288"/>
        <w:rPr>
          <w:rStyle w:val="Strong"/>
          <w:b/>
          <w:bCs w:val="0"/>
          <w:noProof/>
        </w:rPr>
      </w:pPr>
      <w:bookmarkStart w:id="2" w:name="_Toc97810956"/>
      <w:bookmarkStart w:id="3" w:name="_Toc97811379"/>
      <w:bookmarkEnd w:id="2"/>
      <w:bookmarkEnd w:id="3"/>
      <w:r>
        <w:rPr>
          <w:rStyle w:val="Strong"/>
          <w:b/>
          <w:noProof/>
        </w:rPr>
        <w:t>Asigurarea disponibilității și accesibilității prețurilor îngrășămintelor în UE</w:t>
      </w:r>
    </w:p>
    <w:p w14:paraId="4ACDF111" w14:textId="77777777" w:rsidR="005E4C28" w:rsidRPr="007A72F7" w:rsidRDefault="005E4C28" w:rsidP="0082240B">
      <w:pPr>
        <w:pStyle w:val="Heading2"/>
        <w:rPr>
          <w:noProof/>
        </w:rPr>
      </w:pPr>
      <w:r>
        <w:rPr>
          <w:noProof/>
        </w:rPr>
        <w:t>Monitorizarea pieței</w:t>
      </w:r>
    </w:p>
    <w:p w14:paraId="59A5F09E" w14:textId="66AE7F33" w:rsidR="001473B2" w:rsidRDefault="001473B2"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De la creșterea prețurilor factorilor de producție agricolă în 2021, piața îngrășămintelor s-a aflat pe ordinea de zi a reuniunilor Comisiei cu părțile interesate și cu statele membre, inclusiv în cadrul mecanismului european de pregătire și răspuns în caz de criză în materie de securitate alimentară (EFSCM) și în cadrul reuniunilor grupului de experți privind produsele fertilizante.</w:t>
      </w:r>
    </w:p>
    <w:p w14:paraId="4E0CB643" w14:textId="3A544197" w:rsidR="005E4C28" w:rsidRPr="005E4C28" w:rsidRDefault="001473B2"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Nu există date privind stocurile deținute de industria îngrășămintelor și/sau de fermieri și de organizațiile de producători ale acestora. Comisia va îmbunătăți transparența pieței prin intermediul unui </w:t>
      </w:r>
      <w:r>
        <w:rPr>
          <w:rFonts w:ascii="Times New Roman" w:hAnsi="Times New Roman"/>
          <w:b/>
          <w:noProof/>
          <w:sz w:val="24"/>
        </w:rPr>
        <w:t xml:space="preserve">observator pentru piețele îngrășămintelor </w:t>
      </w:r>
      <w:r>
        <w:rPr>
          <w:rFonts w:ascii="Times New Roman" w:hAnsi="Times New Roman"/>
          <w:noProof/>
          <w:sz w:val="24"/>
        </w:rPr>
        <w:t xml:space="preserve">din UE și va examina modalitățile prin care se pot obține mai multe date în timp real de la statele membre și de la părțile interesate. </w:t>
      </w:r>
    </w:p>
    <w:p w14:paraId="58B91283" w14:textId="77777777" w:rsidR="005E4C28" w:rsidRPr="005E4C28" w:rsidRDefault="005E4C28" w:rsidP="0082240B">
      <w:pPr>
        <w:pStyle w:val="Heading2"/>
        <w:rPr>
          <w:noProof/>
        </w:rPr>
      </w:pPr>
      <w:r>
        <w:rPr>
          <w:noProof/>
        </w:rPr>
        <w:t>Politica agricolă comună (PAC) și planurile strategice PAC ale statelor membre</w:t>
      </w:r>
    </w:p>
    <w:p w14:paraId="4F081430" w14:textId="4D650171" w:rsidR="001473B2" w:rsidRDefault="001473B2"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cadrul noii PAC, sprijinul financiar este disponibil pe scară largă pentru fermieri în vederea </w:t>
      </w:r>
      <w:r>
        <w:rPr>
          <w:rFonts w:ascii="Times New Roman" w:hAnsi="Times New Roman"/>
          <w:b/>
          <w:noProof/>
          <w:sz w:val="24"/>
        </w:rPr>
        <w:t>optimizării utilizării îngrășămintelor</w:t>
      </w:r>
      <w:r>
        <w:rPr>
          <w:rFonts w:ascii="Times New Roman" w:hAnsi="Times New Roman"/>
          <w:noProof/>
          <w:sz w:val="24"/>
        </w:rPr>
        <w:t>, permițându-le astfel să obțină beneficii de mediu, climatice și economice. Cele mai bune practici din statele membre arată că, cu o utilizare mai eficientă a azotului, gradul de utilizare a îngrășămintelor poate fi redus, menținând sau chiar crescând randamentele, precum și având un impact pozitiv asupra fertilității solului în ansamblu</w:t>
      </w:r>
      <w:r>
        <w:rPr>
          <w:rFonts w:ascii="Times New Roman" w:hAnsi="Times New Roman" w:cs="Times New Roman"/>
          <w:noProof/>
          <w:sz w:val="24"/>
          <w:szCs w:val="24"/>
          <w:vertAlign w:val="superscript"/>
        </w:rPr>
        <w:footnoteReference w:id="7"/>
      </w:r>
      <w:r>
        <w:rPr>
          <w:rFonts w:ascii="Times New Roman" w:hAnsi="Times New Roman"/>
          <w:noProof/>
          <w:sz w:val="24"/>
        </w:rPr>
        <w:t>. În același timp, creșterea eficienței în UE ne va reduce nevoia de îngrășăminte, reducând tensiunile de pe piața mondială.</w:t>
      </w:r>
    </w:p>
    <w:p w14:paraId="03FB6529" w14:textId="77777777" w:rsidR="001473B2" w:rsidRDefault="001473B2" w:rsidP="00BA6354">
      <w:pPr>
        <w:spacing w:afterLines="120" w:after="288" w:line="240" w:lineRule="auto"/>
        <w:jc w:val="both"/>
        <w:rPr>
          <w:rFonts w:ascii="Times New Roman" w:hAnsi="Times New Roman" w:cs="Times New Roman"/>
          <w:noProof/>
          <w:sz w:val="24"/>
          <w:szCs w:val="24"/>
        </w:rPr>
      </w:pPr>
      <w:r>
        <w:rPr>
          <w:rFonts w:ascii="Times New Roman" w:hAnsi="Times New Roman"/>
          <w:b/>
          <w:noProof/>
          <w:sz w:val="24"/>
        </w:rPr>
        <w:t>Noua arhitectură verde</w:t>
      </w:r>
      <w:r>
        <w:rPr>
          <w:rFonts w:ascii="Times New Roman" w:hAnsi="Times New Roman"/>
          <w:noProof/>
          <w:sz w:val="24"/>
        </w:rPr>
        <w:t xml:space="preserve"> combină condiționalitatea sporită (GAEC și SMR) pentru a proteja și a îmbunătăți sănătatea și fertilitatea solului</w:t>
      </w:r>
      <w:r>
        <w:rPr>
          <w:rFonts w:ascii="Times New Roman" w:hAnsi="Times New Roman" w:cs="Times New Roman"/>
          <w:noProof/>
          <w:sz w:val="24"/>
          <w:szCs w:val="24"/>
          <w:vertAlign w:val="superscript"/>
        </w:rPr>
        <w:footnoteReference w:id="8"/>
      </w:r>
      <w:r>
        <w:rPr>
          <w:rFonts w:ascii="Times New Roman" w:hAnsi="Times New Roman"/>
          <w:noProof/>
          <w:sz w:val="24"/>
        </w:rPr>
        <w:t xml:space="preserve"> cu măsuri voluntare concepute de statele membre pentru a sprijini fermierii dincolo de cerințele minime, inclusiv în domeniul gestionării nutrienților. Măsurile voluntare pentru fermieri includ intervenții precum </w:t>
      </w:r>
      <w:r>
        <w:rPr>
          <w:rFonts w:ascii="Times New Roman" w:hAnsi="Times New Roman"/>
          <w:b/>
          <w:noProof/>
          <w:sz w:val="24"/>
        </w:rPr>
        <w:t>programele ecologice și angajamentele de gestionare a agromediului și a climei</w:t>
      </w:r>
      <w:r>
        <w:rPr>
          <w:rFonts w:ascii="Times New Roman" w:hAnsi="Times New Roman"/>
          <w:noProof/>
          <w:sz w:val="24"/>
        </w:rPr>
        <w:t>. Toate planurile strategice PAC abordează eficiența utilizării nutrienților prin diferite acțiuni:</w:t>
      </w:r>
    </w:p>
    <w:p w14:paraId="5E6482B3" w14:textId="77777777" w:rsidR="001473B2" w:rsidRDefault="00092160"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rPr>
      </w:pPr>
      <w:r>
        <w:rPr>
          <w:rFonts w:ascii="Times New Roman" w:hAnsi="Times New Roman"/>
          <w:noProof/>
          <w:sz w:val="24"/>
        </w:rPr>
        <w:lastRenderedPageBreak/>
        <w:t xml:space="preserve">Intervențiile stimulează </w:t>
      </w:r>
      <w:r>
        <w:rPr>
          <w:rFonts w:ascii="Times New Roman" w:hAnsi="Times New Roman"/>
          <w:b/>
          <w:noProof/>
          <w:sz w:val="24"/>
        </w:rPr>
        <w:t>diversificarea culturilor și creșterea rotației, cu includerea culturilor proteice</w:t>
      </w:r>
      <w:r>
        <w:rPr>
          <w:rFonts w:ascii="Times New Roman" w:hAnsi="Times New Roman"/>
          <w:noProof/>
          <w:sz w:val="24"/>
        </w:rPr>
        <w:t xml:space="preserve">. Planurile PAC sprijină, de asemenea, </w:t>
      </w:r>
      <w:r>
        <w:rPr>
          <w:rFonts w:ascii="Times New Roman" w:hAnsi="Times New Roman"/>
          <w:b/>
          <w:noProof/>
          <w:sz w:val="24"/>
        </w:rPr>
        <w:t>„culturile de captare”</w:t>
      </w:r>
      <w:r>
        <w:rPr>
          <w:rStyle w:val="FootnoteReference"/>
          <w:rFonts w:ascii="Times New Roman" w:eastAsia="Calibri" w:hAnsi="Times New Roman" w:cs="Times New Roman"/>
          <w:noProof/>
          <w:sz w:val="24"/>
          <w:szCs w:val="24"/>
          <w:lang w:eastAsia="en-GB"/>
        </w:rPr>
        <w:footnoteReference w:id="9"/>
      </w:r>
      <w:r>
        <w:rPr>
          <w:rFonts w:ascii="Times New Roman" w:hAnsi="Times New Roman"/>
          <w:noProof/>
          <w:sz w:val="24"/>
        </w:rPr>
        <w:t xml:space="preserve"> care sporesc fertilizarea ecologică și </w:t>
      </w:r>
      <w:r>
        <w:rPr>
          <w:rFonts w:ascii="Times New Roman" w:hAnsi="Times New Roman"/>
          <w:b/>
          <w:noProof/>
          <w:sz w:val="24"/>
        </w:rPr>
        <w:t>materia organică din sol</w:t>
      </w:r>
      <w:r>
        <w:rPr>
          <w:rFonts w:ascii="Times New Roman" w:hAnsi="Times New Roman"/>
          <w:noProof/>
          <w:sz w:val="24"/>
        </w:rPr>
        <w:t xml:space="preserve"> sau angajamentele de a crește acoperirea solului dincolo de cerințele minime.</w:t>
      </w:r>
    </w:p>
    <w:p w14:paraId="50F6FEB1" w14:textId="74CFB81A" w:rsidR="001473B2" w:rsidRDefault="001473B2"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rPr>
      </w:pPr>
      <w:r>
        <w:rPr>
          <w:rFonts w:ascii="Times New Roman" w:hAnsi="Times New Roman"/>
          <w:noProof/>
          <w:sz w:val="24"/>
        </w:rPr>
        <w:t xml:space="preserve">Planurile strategice PAC sprijină adoptarea pe scară mai largă a </w:t>
      </w:r>
      <w:r>
        <w:rPr>
          <w:rFonts w:ascii="Times New Roman" w:hAnsi="Times New Roman"/>
          <w:b/>
          <w:noProof/>
          <w:sz w:val="24"/>
        </w:rPr>
        <w:t>planurilor de gestionare a nutrienților</w:t>
      </w:r>
      <w:r>
        <w:rPr>
          <w:rFonts w:ascii="Times New Roman" w:hAnsi="Times New Roman"/>
          <w:noProof/>
          <w:sz w:val="24"/>
        </w:rPr>
        <w:t xml:space="preserve"> – dincolo de domeniile în care acestea sunt deja obligatorii în temeiul Directivei privind nitrații – care sporesc eficiența utilizării.</w:t>
      </w:r>
    </w:p>
    <w:p w14:paraId="2E95BB32" w14:textId="77777777" w:rsidR="001473B2" w:rsidRDefault="001473B2" w:rsidP="00A81A63">
      <w:pPr>
        <w:numPr>
          <w:ilvl w:val="0"/>
          <w:numId w:val="10"/>
        </w:numPr>
        <w:spacing w:afterLines="120" w:after="288" w:line="240" w:lineRule="auto"/>
        <w:ind w:left="567" w:hanging="567"/>
        <w:jc w:val="both"/>
        <w:rPr>
          <w:rFonts w:ascii="Times New Roman" w:eastAsia="Calibri" w:hAnsi="Times New Roman" w:cs="Times New Roman"/>
          <w:noProof/>
          <w:sz w:val="24"/>
          <w:szCs w:val="24"/>
        </w:rPr>
      </w:pPr>
      <w:r>
        <w:rPr>
          <w:rFonts w:ascii="Times New Roman" w:hAnsi="Times New Roman"/>
          <w:b/>
          <w:noProof/>
          <w:sz w:val="24"/>
        </w:rPr>
        <w:t>Agricultura de precizie, agricultura ecologică și agroecologia</w:t>
      </w:r>
      <w:r>
        <w:rPr>
          <w:rFonts w:ascii="Times New Roman" w:hAnsi="Times New Roman"/>
          <w:noProof/>
          <w:sz w:val="24"/>
        </w:rPr>
        <w:t xml:space="preserve"> sunt sprijinite în cadrul planurilor sub forma angajamentelor în materie de gestionare și a investițiilor în utilaje noi, practici care necesită un grad redus de utilizare a îngrășămintelor și un acces mai larg la consiliere și formare</w:t>
      </w:r>
      <w:r>
        <w:rPr>
          <w:rStyle w:val="FootnoteReference"/>
          <w:rFonts w:ascii="Times New Roman" w:eastAsia="Calibri" w:hAnsi="Times New Roman" w:cs="Times New Roman"/>
          <w:noProof/>
          <w:sz w:val="24"/>
          <w:szCs w:val="24"/>
          <w:lang w:eastAsia="en-GB"/>
        </w:rPr>
        <w:footnoteReference w:id="10"/>
      </w:r>
      <w:r>
        <w:rPr>
          <w:rFonts w:ascii="Times New Roman" w:hAnsi="Times New Roman"/>
          <w:noProof/>
          <w:sz w:val="24"/>
        </w:rPr>
        <w:t>.</w:t>
      </w:r>
    </w:p>
    <w:p w14:paraId="413B4069" w14:textId="18357F57" w:rsidR="009B1DF7" w:rsidRDefault="001473B2" w:rsidP="006E3DF1">
      <w:pPr>
        <w:numPr>
          <w:ilvl w:val="0"/>
          <w:numId w:val="10"/>
        </w:numPr>
        <w:spacing w:afterLines="120" w:after="288" w:line="240" w:lineRule="auto"/>
        <w:ind w:left="567"/>
        <w:jc w:val="both"/>
        <w:rPr>
          <w:rFonts w:ascii="Times New Roman" w:eastAsia="Calibri" w:hAnsi="Times New Roman" w:cs="Times New Roman"/>
          <w:noProof/>
          <w:sz w:val="24"/>
          <w:szCs w:val="24"/>
        </w:rPr>
      </w:pPr>
      <w:r>
        <w:rPr>
          <w:rFonts w:ascii="Times New Roman" w:hAnsi="Times New Roman"/>
          <w:noProof/>
          <w:sz w:val="24"/>
        </w:rPr>
        <w:t xml:space="preserve">Planurile strategice PAC sprijină </w:t>
      </w:r>
      <w:r>
        <w:rPr>
          <w:rFonts w:ascii="Times New Roman" w:hAnsi="Times New Roman"/>
          <w:b/>
          <w:bCs/>
          <w:noProof/>
          <w:sz w:val="24"/>
        </w:rPr>
        <w:t>înlocuirea</w:t>
      </w:r>
      <w:r>
        <w:rPr>
          <w:rFonts w:ascii="Times New Roman" w:hAnsi="Times New Roman"/>
          <w:noProof/>
          <w:sz w:val="24"/>
        </w:rPr>
        <w:t xml:space="preserve"> parțială a î</w:t>
      </w:r>
      <w:r>
        <w:rPr>
          <w:rFonts w:ascii="Times New Roman" w:hAnsi="Times New Roman"/>
          <w:b/>
          <w:noProof/>
          <w:sz w:val="24"/>
        </w:rPr>
        <w:t>îngrășămintelor minerale cu îngrășăminte organice</w:t>
      </w:r>
      <w:r>
        <w:rPr>
          <w:rFonts w:ascii="Times New Roman" w:hAnsi="Times New Roman"/>
          <w:noProof/>
          <w:sz w:val="24"/>
        </w:rPr>
        <w:t>, cum ar fi gunoiul de grajd, nămolul de epurare și deșeurile biologice, provenite din procesele de metanizare sau din tratamentele biologice și termice, asigurându-se, în același timp, că acest lucru nu duce la pierderi mai mari de nutrienți.</w:t>
      </w:r>
    </w:p>
    <w:p w14:paraId="6755A347" w14:textId="2A544EDF" w:rsidR="001473B2" w:rsidRDefault="00125359"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cadrul negocierilor care au condus la adoptarea planurilor strategice PAC, Comisia a îndemnat statele membre să includă în planurile lor măsuri în ceea ce privește practicile de optimizare a utilizării eficiente a îngrășămintelor. Odată ce toate planurile sunt adoptate, </w:t>
      </w:r>
      <w:r>
        <w:rPr>
          <w:rFonts w:ascii="Times New Roman" w:hAnsi="Times New Roman"/>
          <w:b/>
          <w:noProof/>
          <w:sz w:val="24"/>
        </w:rPr>
        <w:t>Comisia se va asigura că intervențiile planificate sunt monitorizate și puse în aplicare</w:t>
      </w:r>
      <w:r>
        <w:rPr>
          <w:rFonts w:ascii="Times New Roman" w:hAnsi="Times New Roman"/>
          <w:noProof/>
          <w:sz w:val="24"/>
        </w:rPr>
        <w:t xml:space="preserve"> și va încuraja statele membre să promoveze o </w:t>
      </w:r>
      <w:r>
        <w:rPr>
          <w:rFonts w:ascii="Times New Roman" w:hAnsi="Times New Roman"/>
          <w:b/>
          <w:noProof/>
          <w:sz w:val="24"/>
        </w:rPr>
        <w:t>adoptare pe scară mai largă a acestor măsuri</w:t>
      </w:r>
      <w:r>
        <w:rPr>
          <w:rFonts w:ascii="Times New Roman" w:hAnsi="Times New Roman"/>
          <w:noProof/>
          <w:sz w:val="24"/>
        </w:rPr>
        <w:t xml:space="preserve"> de către fermieri. Comisia va invita statele membre să analizeze stabilirea de priorități ulterioare și să crească nivelul de ambiție al unor astfel de intervenții cu ocazia </w:t>
      </w:r>
      <w:r>
        <w:rPr>
          <w:rFonts w:ascii="Times New Roman" w:hAnsi="Times New Roman"/>
          <w:b/>
          <w:noProof/>
          <w:sz w:val="24"/>
        </w:rPr>
        <w:t>viitoarelor revizuiri ale planurilor lor strategice PAC</w:t>
      </w:r>
      <w:r>
        <w:rPr>
          <w:rFonts w:ascii="Times New Roman" w:hAnsi="Times New Roman"/>
          <w:noProof/>
          <w:sz w:val="24"/>
        </w:rPr>
        <w:t xml:space="preserve">. În special, </w:t>
      </w:r>
      <w:r>
        <w:rPr>
          <w:rFonts w:ascii="Times New Roman" w:hAnsi="Times New Roman"/>
          <w:b/>
          <w:noProof/>
          <w:sz w:val="24"/>
        </w:rPr>
        <w:t>Comisia invită statele membre să accelereze implementarea instrumentului pentru sustenabilitatea fermelor în ceea ce privește utilizarea nutrienților (FAsT)</w:t>
      </w:r>
      <w:r>
        <w:rPr>
          <w:rFonts w:ascii="Times New Roman" w:hAnsi="Times New Roman"/>
          <w:noProof/>
          <w:sz w:val="24"/>
        </w:rPr>
        <w:t xml:space="preserve"> și adoptarea acestuia de către fermieri</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w:t>
      </w:r>
    </w:p>
    <w:p w14:paraId="5B65D4C6" w14:textId="77777777" w:rsidR="005E4C28" w:rsidRPr="005E4C28" w:rsidRDefault="005E4C28" w:rsidP="0082240B">
      <w:pPr>
        <w:pStyle w:val="Heading2"/>
        <w:rPr>
          <w:noProof/>
        </w:rPr>
      </w:pPr>
      <w:r>
        <w:rPr>
          <w:noProof/>
        </w:rPr>
        <w:t>Măsuri excepționale și rezerva pentru agricultură</w:t>
      </w:r>
    </w:p>
    <w:p w14:paraId="6CA0A50A" w14:textId="77777777" w:rsidR="00356ADB" w:rsidRDefault="00356ADB"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martie 2022, Comisia a adoptat un </w:t>
      </w:r>
      <w:r>
        <w:rPr>
          <w:rFonts w:ascii="Times New Roman" w:hAnsi="Times New Roman"/>
          <w:b/>
          <w:noProof/>
          <w:sz w:val="24"/>
        </w:rPr>
        <w:t>pachet excepțional de sprijin</w:t>
      </w:r>
      <w:r>
        <w:rPr>
          <w:rFonts w:ascii="Times New Roman" w:hAnsi="Times New Roman"/>
          <w:noProof/>
          <w:sz w:val="24"/>
        </w:rPr>
        <w:t xml:space="preserve"> în valoare de 500 de milioane EUR pentru a sprijini producătorii cei mai afectați de consecințele grave ale </w:t>
      </w:r>
      <w:r>
        <w:rPr>
          <w:rFonts w:ascii="Times New Roman" w:hAnsi="Times New Roman"/>
          <w:noProof/>
          <w:sz w:val="24"/>
        </w:rPr>
        <w:lastRenderedPageBreak/>
        <w:t>războiului din Ucraina. Fondurile din rezerva pentru situații de criză a PAC au fost utilizate în acest scop. Pe această bază, statele membre au acordat sprijin financiar în valoare de 492 de milioane EUR, acordând prioritate fermierilor implicați în practici durabile și celor care au fost cel mai grav afectați de criză.</w:t>
      </w:r>
    </w:p>
    <w:p w14:paraId="69E86D29" w14:textId="77777777" w:rsidR="00356ADB" w:rsidRDefault="00356ADB"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cadrul </w:t>
      </w:r>
      <w:r>
        <w:rPr>
          <w:rFonts w:ascii="Times New Roman" w:hAnsi="Times New Roman"/>
          <w:b/>
          <w:noProof/>
          <w:sz w:val="24"/>
        </w:rPr>
        <w:t>rezervei pentru agricultură</w:t>
      </w:r>
      <w:r>
        <w:rPr>
          <w:rFonts w:ascii="Times New Roman" w:hAnsi="Times New Roman"/>
          <w:noProof/>
          <w:sz w:val="24"/>
        </w:rPr>
        <w:t xml:space="preserve"> a PAC reformate, în 2023, 450 de milioane EUR vor fi disponibile pentru măsuri de intervenție publică și de depozitare în vederea stabilizării piețelor agricole sau pentru măsuri excepționale care ar răspunde amenințărilor de perturbare a pieței, riscurilor la adresa sănătății sau altor situații de urgență, astfel cum se prevede în Regulamentul privind organizarea comună a piețelor. Comisia va analiza, împreună cu statele membre, oportunitatea punerii în aplicare a unor măsuri excepționale în cadrul rezervei pentru agricultură pentru a preveni perturbările pieței care ar rezulta din impactul pieței tensionate a îngrășămintelor asupra producției fermierilor din UE.</w:t>
      </w:r>
    </w:p>
    <w:p w14:paraId="14B0B9E7" w14:textId="77777777" w:rsidR="005E4C28" w:rsidRPr="005E4C28" w:rsidRDefault="005E4C28" w:rsidP="00766350">
      <w:pPr>
        <w:pStyle w:val="Heading2"/>
        <w:rPr>
          <w:noProof/>
        </w:rPr>
      </w:pPr>
      <w:r>
        <w:rPr>
          <w:noProof/>
        </w:rPr>
        <w:t>Cadrul temporar privind ajutoarele de stat în situații de criză ca mijloc de asistență financiară</w:t>
      </w:r>
    </w:p>
    <w:p w14:paraId="5AD89DFF" w14:textId="28A074A6" w:rsidR="00356ADB" w:rsidRDefault="00356ADB" w:rsidP="4D8993BD">
      <w:pPr>
        <w:spacing w:afterLines="120" w:after="288" w:line="240" w:lineRule="auto"/>
        <w:jc w:val="both"/>
        <w:rPr>
          <w:rFonts w:ascii="Times New Roman" w:eastAsiaTheme="minorEastAsia" w:hAnsi="Times New Roman" w:cs="Times New Roman"/>
          <w:noProof/>
          <w:sz w:val="24"/>
          <w:szCs w:val="24"/>
        </w:rPr>
      </w:pPr>
      <w:r>
        <w:rPr>
          <w:rFonts w:ascii="Times New Roman" w:hAnsi="Times New Roman"/>
          <w:b/>
          <w:noProof/>
          <w:sz w:val="24"/>
        </w:rPr>
        <w:t>Cadrul temporar privind ajutoarele de stat în situații de criză</w:t>
      </w:r>
      <w:r>
        <w:rPr>
          <w:rFonts w:ascii="Times New Roman" w:hAnsi="Times New Roman"/>
          <w:noProof/>
          <w:sz w:val="24"/>
        </w:rPr>
        <w:t xml:space="preserve"> (denumit în continuare „cadrul”) permite statelor membre să utilizeze flexibilitatea prevăzută de normele privind ajutoarele de stat și să sprijine, printre altele, producătorii agricoli primari, inclusiv în ceea ce privește achizițiile lor de îngrășăminte, precum și producătorii de îngrășăminte. Statele membre pot acorda ajutoare pentru a acoperi o parte din creșterea recentă a costurilor gazelor și energiei electrice pentru întreprinderi, inclusiv, de exemplu, pentru agricultura primară și producătorii de îngrășăminte, sub rezerva unor garanții. </w:t>
      </w:r>
    </w:p>
    <w:p w14:paraId="433219A0" w14:textId="77777777" w:rsidR="00356ADB" w:rsidRDefault="00356ADB" w:rsidP="00356ADB">
      <w:pPr>
        <w:spacing w:afterLines="120" w:after="288"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perioada martie-septembrie 2022, Comisia a aprobat 18 </w:t>
      </w:r>
      <w:r>
        <w:rPr>
          <w:rFonts w:ascii="Times New Roman" w:hAnsi="Times New Roman"/>
          <w:b/>
          <w:noProof/>
          <w:sz w:val="24"/>
        </w:rPr>
        <w:t>scheme de ajutoare specifice pentru agricultură</w:t>
      </w:r>
      <w:r>
        <w:rPr>
          <w:rFonts w:ascii="Times New Roman" w:hAnsi="Times New Roman"/>
          <w:noProof/>
          <w:sz w:val="24"/>
        </w:rPr>
        <w:t xml:space="preserve">, cu un buget total de aproximativ 3,5 miliarde EUR în temeiul cadrului. Trei dintre scheme sunt dedicate achizițiilor de îngrășăminte de către fermieri (buget total de 855 milioane EUR). Majoritatea statelor membre au optat pentru scheme de tip umbrelă deschise tuturor sectoarelor economiei (455 miliarde EUR în septembrie 2022). Unele state membre au optat pentru scheme de ajutoare de stat specifice pentru a sprijini întreprinderile mari consumatoare de energie. </w:t>
      </w:r>
    </w:p>
    <w:p w14:paraId="740DEEBB" w14:textId="2EA7BF0D" w:rsidR="00B802A7" w:rsidRDefault="00B802A7" w:rsidP="00B802A7">
      <w:pPr>
        <w:spacing w:afterLines="120" w:after="288"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La 28 octombrie 2022, </w:t>
      </w:r>
      <w:r>
        <w:rPr>
          <w:rFonts w:ascii="Times New Roman" w:hAnsi="Times New Roman"/>
          <w:b/>
          <w:noProof/>
          <w:sz w:val="24"/>
        </w:rPr>
        <w:t>cadrul a fost adaptat</w:t>
      </w:r>
      <w:r>
        <w:rPr>
          <w:rFonts w:ascii="Times New Roman" w:hAnsi="Times New Roman"/>
          <w:noProof/>
          <w:sz w:val="24"/>
        </w:rPr>
        <w:t xml:space="preserve"> la nevoile statelor membre pentru a sprijini întreprinderile mari consumatoare de energie cele mai afectate de criză, inclusiv producătorii de îngrășăminte. Producătorii de îngrășăminte, ca sector deosebit de afectat, pot beneficia, în cazul în care îndeplinesc criteriile de eligibilitate, de intensități mai mari ale ajutorului și de un cuantum al ajutorului de până la 150 milioane EUR</w:t>
      </w:r>
      <w:r>
        <w:rPr>
          <w:rStyle w:val="FootnoteReference"/>
          <w:rFonts w:ascii="Times New Roman" w:eastAsiaTheme="minorEastAsia" w:hAnsi="Times New Roman" w:cs="Times New Roman"/>
          <w:noProof/>
          <w:sz w:val="24"/>
          <w:szCs w:val="24"/>
        </w:rPr>
        <w:footnoteReference w:id="12"/>
      </w:r>
      <w:r>
        <w:rPr>
          <w:rFonts w:ascii="Times New Roman" w:hAnsi="Times New Roman"/>
          <w:noProof/>
          <w:sz w:val="24"/>
        </w:rPr>
        <w:t xml:space="preserve">. Pentru întreprinderile care primesc sume mai importante ca ajutoare, cadrul temporar de criză prevede angajamente în sensul stabilirii unei căi de reducere a amprentei de carbon a </w:t>
      </w:r>
      <w:r>
        <w:rPr>
          <w:rFonts w:ascii="Times New Roman" w:hAnsi="Times New Roman"/>
          <w:noProof/>
          <w:sz w:val="24"/>
        </w:rPr>
        <w:lastRenderedPageBreak/>
        <w:t>consumului de energie și al punerii în aplicare a măsurilor de eficiență energetică. De asemenea, a fost majorat plafonul ajutorului maxim pentru agricultura primară (fermieri), ceea ce permite statelor membre să sprijine achiziționarea de îngrășăminte de către fermieri, dacă este necesar.</w:t>
      </w:r>
    </w:p>
    <w:p w14:paraId="558C7371" w14:textId="745918C8" w:rsidR="003750F9" w:rsidRPr="00356ADB" w:rsidRDefault="003750F9" w:rsidP="00356ADB">
      <w:pPr>
        <w:spacing w:afterLines="120" w:after="288" w:line="240" w:lineRule="auto"/>
        <w:jc w:val="both"/>
        <w:rPr>
          <w:rFonts w:ascii="Times New Roman" w:eastAsia="Times New Roman" w:hAnsi="Times New Roman" w:cs="Times New Roman"/>
          <w:noProof/>
          <w:sz w:val="24"/>
          <w:szCs w:val="24"/>
        </w:rPr>
      </w:pPr>
      <w:r>
        <w:rPr>
          <w:rFonts w:ascii="Times New Roman" w:hAnsi="Times New Roman"/>
          <w:noProof/>
          <w:sz w:val="24"/>
        </w:rPr>
        <w:t>Sprijinul de stat poate lua diferite forme, dincolo de măsurile de ajutor de stat. De exemplu, este posibil ca autoritățile publice să achiziționeze îngrășăminte la prețuri de piață mai competitive (având în vedere puterea lor de negociere) și să le ofere fermierilor la prețuri mai mici (în acest caz, ar exista un element de ajutor de stat), sub rezerva limitelor aplicabile ale cadrului. Statele membre ar putea, de asemenea, să se asigure că îngrășămintele sunt distribuite fermierilor într-un mod rezonabil și nediscriminatoriu,</w:t>
      </w:r>
      <w:r>
        <w:rPr>
          <w:noProof/>
        </w:rPr>
        <w:t xml:space="preserve"> </w:t>
      </w:r>
      <w:r>
        <w:rPr>
          <w:rFonts w:ascii="Times New Roman" w:hAnsi="Times New Roman"/>
          <w:noProof/>
          <w:sz w:val="24"/>
        </w:rPr>
        <w:t>în special în cazul unei raționalizări a gazelor în caz de necesitate.</w:t>
      </w:r>
    </w:p>
    <w:p w14:paraId="0835AB78" w14:textId="77777777" w:rsidR="005E4C28" w:rsidRPr="005E4C28" w:rsidRDefault="005E4C28" w:rsidP="0082240B">
      <w:pPr>
        <w:pStyle w:val="Heading2"/>
        <w:rPr>
          <w:noProof/>
        </w:rPr>
      </w:pPr>
      <w:r>
        <w:rPr>
          <w:noProof/>
        </w:rPr>
        <w:t>Alte finanțări din partea UE</w:t>
      </w:r>
    </w:p>
    <w:p w14:paraId="0DFFBFE9" w14:textId="43FF3C46" w:rsidR="003750F9" w:rsidRPr="00A024C8" w:rsidRDefault="003750F9" w:rsidP="003750F9">
      <w:pPr>
        <w:spacing w:afterLines="120" w:after="288" w:line="240" w:lineRule="auto"/>
        <w:jc w:val="both"/>
        <w:rPr>
          <w:rFonts w:ascii="Times New Roman" w:eastAsia="Times New Roman" w:hAnsi="Times New Roman" w:cs="Times New Roman"/>
          <w:noProof/>
          <w:sz w:val="24"/>
          <w:szCs w:val="24"/>
        </w:rPr>
      </w:pPr>
      <w:r>
        <w:rPr>
          <w:rFonts w:ascii="Times New Roman" w:hAnsi="Times New Roman"/>
          <w:noProof/>
          <w:sz w:val="24"/>
        </w:rPr>
        <w:t>În virtutea unui plafon al veniturilor de pe piață ale anumitor producători de energie electrică și a contribuției de solidaritate</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 xml:space="preserve">, statele membre pot dispune de fonduri pe care, printre altele, </w:t>
      </w:r>
      <w:r>
        <w:rPr>
          <w:rFonts w:ascii="Times New Roman" w:hAnsi="Times New Roman"/>
          <w:b/>
          <w:noProof/>
          <w:sz w:val="24"/>
        </w:rPr>
        <w:t>le pot redirecționa prin intermediul cadrului către utilizatorii mari consumatori de energie, cum ar fi fermierii sau producătorii de îngrășăminte</w:t>
      </w:r>
      <w:r>
        <w:rPr>
          <w:rFonts w:ascii="Times New Roman" w:hAnsi="Times New Roman"/>
          <w:noProof/>
          <w:sz w:val="24"/>
        </w:rPr>
        <w:t xml:space="preserve"> (până la o valoare estimată de 140 miliarde EUR), pentru a sprijini întreprinderile din industriile mari consumatoare de energie, cu condiția ca aceste fonduri să fie utilizate pentru investiții în energia din surse regenerabile, eficiența energetică sau alte tehnologii de decarbonizare. Măsurile specifice și excepționale propuse recent (SAFE – Sprijinirea energiei la prețuri abordabile) în temeiul normelor </w:t>
      </w:r>
      <w:r>
        <w:rPr>
          <w:rFonts w:ascii="Times New Roman" w:hAnsi="Times New Roman"/>
          <w:b/>
          <w:noProof/>
          <w:sz w:val="24"/>
        </w:rPr>
        <w:t>politicii de coeziune</w:t>
      </w:r>
      <w:r>
        <w:rPr>
          <w:rFonts w:ascii="Times New Roman" w:hAnsi="Times New Roman"/>
          <w:noProof/>
          <w:sz w:val="24"/>
        </w:rPr>
        <w:t xml:space="preserve"> pentru perioada 2014-2020 ar permite autorităților naționale să aleagă redirecționarea a până la 40 de miliarde EUR pentru a sprijini IMM-urile, lucrătorii și gospodăriile vulnerabile să facă față creșterii prețurilor la energie. În plus, Comisia încurajează statele membre să acorde prioritate măsurilor care vizează accesibilitatea prețurilor îngrășămintelor, consolidând astfel securitatea alimentară. </w:t>
      </w:r>
    </w:p>
    <w:p w14:paraId="277212A8" w14:textId="7F627C0D" w:rsidR="00612B7E" w:rsidRDefault="00612B7E" w:rsidP="00612B7E">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Având în vedere criza energetică actuală, Comisia a propus modificări specifice ale Regulamentului privind Mecanismul de redresare și reziliență (MRR) pentru a integra capitole dedicate planului REPowerEU, pe care statele membre le pot adăuga la planurile lor de redresare și reziliență (PRR) existente. Comisia a emis, de asemenea, orientări pentru statele membre cu privire la modul de modificare și completare a PRR cu capitole dedicate planului REPowerEU, care ar trebui să vizeze economiile de energie, diversificarea surselor de aprovizionare cu energie și introducerea accelerată a energiei din surse regenerabile pentru a înlocui combustibilii fosili în locuințe, în industrie și în producția de energie electrică. Când își revizuiesc planurile, statele membre ar putea integra sprijinul pentru o producție durabilă de îngrășăminte ca parte a acestei </w:t>
      </w:r>
      <w:r>
        <w:rPr>
          <w:rFonts w:ascii="Times New Roman" w:hAnsi="Times New Roman"/>
          <w:noProof/>
          <w:sz w:val="24"/>
        </w:rPr>
        <w:lastRenderedPageBreak/>
        <w:t>diversificări, cu respectarea deplină a principiului de „a nu aduce prejudicii semnificative”</w:t>
      </w:r>
      <w:r>
        <w:rPr>
          <w:rStyle w:val="FootnoteReference"/>
          <w:rFonts w:ascii="Times New Roman" w:hAnsi="Times New Roman" w:cs="Times New Roman"/>
          <w:noProof/>
          <w:sz w:val="24"/>
          <w:szCs w:val="24"/>
          <w:lang w:eastAsia="fr-BE"/>
        </w:rPr>
        <w:footnoteReference w:id="14"/>
      </w:r>
      <w:r>
        <w:rPr>
          <w:rFonts w:ascii="Times New Roman" w:hAnsi="Times New Roman"/>
          <w:noProof/>
          <w:sz w:val="24"/>
        </w:rPr>
        <w:t>.</w:t>
      </w:r>
    </w:p>
    <w:p w14:paraId="5E4275AB" w14:textId="2E1EC38E" w:rsidR="00612B7E" w:rsidRPr="006E3DF1" w:rsidRDefault="00612B7E" w:rsidP="00E241AA">
      <w:pPr>
        <w:spacing w:afterLines="120" w:after="288" w:line="240" w:lineRule="auto"/>
        <w:jc w:val="both"/>
        <w:rPr>
          <w:rFonts w:ascii="Times New Roman" w:hAnsi="Times New Roman"/>
          <w:noProof/>
          <w:sz w:val="24"/>
        </w:rPr>
      </w:pPr>
      <w:r>
        <w:rPr>
          <w:rFonts w:ascii="Times New Roman" w:hAnsi="Times New Roman"/>
          <w:noProof/>
          <w:sz w:val="24"/>
        </w:rPr>
        <w:t xml:space="preserve">În cadrul programului </w:t>
      </w:r>
      <w:r>
        <w:rPr>
          <w:rFonts w:ascii="Times New Roman" w:hAnsi="Times New Roman"/>
          <w:b/>
          <w:noProof/>
          <w:sz w:val="24"/>
        </w:rPr>
        <w:t>Orizont Europa</w:t>
      </w:r>
      <w:r>
        <w:rPr>
          <w:noProof/>
          <w:vertAlign w:val="superscript"/>
          <w:lang w:val="en-IE"/>
        </w:rPr>
        <w:footnoteReference w:id="15"/>
      </w:r>
      <w:r>
        <w:rPr>
          <w:rFonts w:ascii="Times New Roman" w:hAnsi="Times New Roman"/>
          <w:noProof/>
          <w:sz w:val="24"/>
        </w:rPr>
        <w:t>, sunt mobilizate investiții specifice cu un volum de aproximativ 9 miliarde EUR pentru perioada actualului cadru financiar multianual 2021-2027, dedicate programelor de lucru, parteneriatelor și misiunilor clusterului 6 legate de alimentație, bioeconomie, resurse naturale, agricultură și mediu. În primii doi ani ai programului Orizont Europa, se estimează că peste 35 de proiecte cu un buget de aproximativ 180 de milioane EUR vizează îngrășămintele în agricultură, printre acestea numărându-se proiecte privind optimizarea bugetului pentru nutrienți, produse fertilizante alternative și soluții agroecologice bazate pe natură pentru gestionarea nutrienților. Finanțarea se acordă, de asemenea, în cadrul misiunii „Un pact al solului pentru Europa”. Unul dintre obiectivele sale specifice este reducerea poluării solului, direcționând acțiunile către reducerea utilizării îngrășămintelor și a pierderilor de nutrienți.</w:t>
      </w:r>
    </w:p>
    <w:p w14:paraId="661B816C" w14:textId="69BA9C44" w:rsidR="002E5A54" w:rsidRPr="00E241AA" w:rsidRDefault="00F8462C" w:rsidP="00E241AA">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În 2023, Comisia va lansa o nouă provocare a Consiliului European pentru Inovare în ceea ce privește agricultura rezilientă, cu un buget de 65 de milioane EUR pentru a sprijini întreprinderile nou-înființate din domeniul tehnologiei agricole (agtech) pentru dezvoltarea rapidă a inovațiilor deep-tech în vederea menținerii și îmbunătățirii randamentului culturilor cu tehnologii ecologice, în special în domeniul fertilizării.</w:t>
      </w:r>
    </w:p>
    <w:p w14:paraId="36A91BA1" w14:textId="6D40E9BD" w:rsidR="003B4D11" w:rsidRPr="006E3DF1" w:rsidRDefault="003B4D11" w:rsidP="00E241AA">
      <w:pPr>
        <w:spacing w:afterLines="120" w:after="288" w:line="240" w:lineRule="auto"/>
        <w:jc w:val="both"/>
        <w:rPr>
          <w:rFonts w:ascii="Times New Roman" w:hAnsi="Times New Roman"/>
          <w:noProof/>
          <w:sz w:val="24"/>
        </w:rPr>
      </w:pPr>
      <w:r>
        <w:rPr>
          <w:rFonts w:ascii="Times New Roman" w:hAnsi="Times New Roman"/>
          <w:b/>
          <w:noProof/>
          <w:sz w:val="24"/>
        </w:rPr>
        <w:t>Fondul pentru inovare al sistemului de comercializare a certificatelor de emisii (ETS)</w:t>
      </w:r>
      <w:r>
        <w:rPr>
          <w:rFonts w:ascii="Times New Roman" w:hAnsi="Times New Roman"/>
          <w:noProof/>
          <w:sz w:val="24"/>
        </w:rPr>
        <w:t xml:space="preserve"> oferă, de asemenea, finanțare pentru proiecte demonstrative inovatoare care contribuie la obiectivele economiei circulare și sunt legate de recuperarea materialelor din deșeuri și ape uzate, cum ar fi, printre altele, nutrienții.</w:t>
      </w:r>
    </w:p>
    <w:p w14:paraId="1095C8A8" w14:textId="77777777" w:rsidR="005E4C28" w:rsidRPr="005E4C28" w:rsidRDefault="005678E4" w:rsidP="0082240B">
      <w:pPr>
        <w:pStyle w:val="Heading2"/>
        <w:rPr>
          <w:noProof/>
        </w:rPr>
      </w:pPr>
      <w:r>
        <w:rPr>
          <w:noProof/>
        </w:rPr>
        <w:t>Îngrășăminte organice</w:t>
      </w:r>
    </w:p>
    <w:p w14:paraId="5D3F8E5A" w14:textId="003E0406" w:rsidR="00356ADB" w:rsidRDefault="00356ADB"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Înlocuirea îngrășămintelor minerale cu îngrășăminte organice face parte din soluția de </w:t>
      </w:r>
      <w:r>
        <w:rPr>
          <w:rFonts w:ascii="Times New Roman" w:hAnsi="Times New Roman"/>
          <w:b/>
          <w:noProof/>
          <w:sz w:val="24"/>
        </w:rPr>
        <w:t>reducere a dependenței UE de gaze</w:t>
      </w:r>
      <w:r>
        <w:rPr>
          <w:rFonts w:ascii="Times New Roman" w:hAnsi="Times New Roman"/>
          <w:noProof/>
          <w:sz w:val="24"/>
        </w:rPr>
        <w:t xml:space="preserve"> și este promovată, de asemenea, prin intermediul obiectivului ecologic al UE (25 % din terenurile arabile până în 2030</w:t>
      </w:r>
      <w:r>
        <w:rPr>
          <w:rStyle w:val="FootnoteReference"/>
          <w:rFonts w:ascii="Times New Roman" w:hAnsi="Times New Roman" w:cs="Times New Roman"/>
          <w:noProof/>
          <w:sz w:val="24"/>
          <w:szCs w:val="24"/>
          <w:lang w:val="en-IE"/>
        </w:rPr>
        <w:footnoteReference w:id="16"/>
      </w:r>
      <w:r>
        <w:rPr>
          <w:rFonts w:ascii="Times New Roman" w:hAnsi="Times New Roman"/>
          <w:noProof/>
          <w:sz w:val="24"/>
        </w:rPr>
        <w:t>). Aceasta va contribui la reducerea amprentei de carbon a îngrășămintelor.</w:t>
      </w:r>
    </w:p>
    <w:p w14:paraId="6A44EACF" w14:textId="77777777" w:rsidR="00356ADB" w:rsidRPr="00356ADB" w:rsidRDefault="00356ADB" w:rsidP="00356ADB">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Începând din iulie 2022, </w:t>
      </w:r>
      <w:r>
        <w:rPr>
          <w:rFonts w:ascii="Times New Roman" w:hAnsi="Times New Roman"/>
          <w:b/>
          <w:noProof/>
          <w:sz w:val="24"/>
        </w:rPr>
        <w:t>Regulamentul privind produsele fertilizante</w:t>
      </w:r>
      <w:r>
        <w:rPr>
          <w:rStyle w:val="FootnoteReference"/>
          <w:rFonts w:ascii="Times New Roman" w:hAnsi="Times New Roman" w:cs="Times New Roman"/>
          <w:noProof/>
          <w:sz w:val="24"/>
          <w:szCs w:val="24"/>
          <w:lang w:val="en-IE"/>
        </w:rPr>
        <w:footnoteReference w:id="17"/>
      </w:r>
      <w:r>
        <w:rPr>
          <w:rFonts w:ascii="Times New Roman" w:hAnsi="Times New Roman"/>
          <w:noProof/>
          <w:sz w:val="24"/>
        </w:rPr>
        <w:t xml:space="preserve"> (RPF) a deschis piața unică, în special pentru îngrășămintele fabricate din deșeuri și subproduse recuperate disponibile în UE. Acest regulament </w:t>
      </w:r>
      <w:r>
        <w:rPr>
          <w:rFonts w:ascii="Times New Roman" w:hAnsi="Times New Roman"/>
          <w:b/>
          <w:noProof/>
          <w:sz w:val="24"/>
        </w:rPr>
        <w:t>promovează alternative ecologice și circulare</w:t>
      </w:r>
      <w:r>
        <w:rPr>
          <w:rFonts w:ascii="Times New Roman" w:hAnsi="Times New Roman"/>
          <w:noProof/>
          <w:sz w:val="24"/>
        </w:rPr>
        <w:t xml:space="preserve"> la gazele naturale și la materiile prime extrase pentru producția de îngrășăminte. Produsele fertilizante specializate din UE, cum ar fi îngrășămintele cu tehnologie de inhibare, îngrășămintele cu eliberare controlată și biostimulatorii plantelor, vor spori eficiența utilizării și, prin urmare, vor reduce cantitățile de îngrășăminte necesare pentru optimizarea producției. Viitoarea definiție a punctelor finale din lanțul de producție în temeiul Regulamentului privind subprodusele de origine animală – o condiție prealabilă pentru accesul pe piață acordat prin RPF – va constitui un progres suplimentar important. </w:t>
      </w:r>
    </w:p>
    <w:p w14:paraId="70F0F86A" w14:textId="77777777" w:rsidR="0046184E" w:rsidRDefault="00356ADB" w:rsidP="005678E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Dezvoltarea unor metode de extindere a </w:t>
      </w:r>
      <w:r>
        <w:rPr>
          <w:rFonts w:ascii="Times New Roman" w:hAnsi="Times New Roman"/>
          <w:b/>
          <w:noProof/>
          <w:sz w:val="24"/>
        </w:rPr>
        <w:t>reciclării eficiente a nutrienților din deșeurile organice</w:t>
      </w:r>
      <w:r>
        <w:rPr>
          <w:rFonts w:ascii="Times New Roman" w:hAnsi="Times New Roman"/>
          <w:noProof/>
          <w:sz w:val="24"/>
        </w:rPr>
        <w:t xml:space="preserve"> (de exemplu, gunoiul de grajd, digestia anaerobă, nămolul și alte fluxuri de deșeuri organice) în bioproduse fertilizante regenerabile contribuie la obiectivele </w:t>
      </w:r>
      <w:r>
        <w:rPr>
          <w:rFonts w:ascii="Times New Roman" w:hAnsi="Times New Roman"/>
          <w:b/>
          <w:noProof/>
          <w:sz w:val="24"/>
        </w:rPr>
        <w:t>Strategiei „De la fermă la consumator”</w:t>
      </w:r>
      <w:r>
        <w:rPr>
          <w:rFonts w:ascii="Times New Roman" w:hAnsi="Times New Roman"/>
          <w:noProof/>
          <w:sz w:val="24"/>
        </w:rPr>
        <w:t>. Un element important în acest sens este separarea și colectarea deșeurilor biologice. O mai bună utilizare a deșeurilor organice la nivel local are nu numai beneficii pentru mediu, ci și beneficii economice pentru crescătorii de animale și pentru fermierii care produc culturi arabile și va reduce dependența agriculturii europene de îngrășămintele minerale din afara UE. La 26 octombrie 2022, Comisia a adoptat o revizuire a Directivei privind tratarea apelor urbane reziduale</w:t>
      </w:r>
      <w:r>
        <w:rPr>
          <w:rFonts w:ascii="Times New Roman" w:hAnsi="Times New Roman" w:cs="Times New Roman"/>
          <w:noProof/>
          <w:sz w:val="24"/>
          <w:szCs w:val="24"/>
          <w:vertAlign w:val="superscript"/>
        </w:rPr>
        <w:footnoteReference w:id="18"/>
      </w:r>
      <w:r>
        <w:rPr>
          <w:rFonts w:ascii="Times New Roman" w:hAnsi="Times New Roman"/>
          <w:noProof/>
          <w:sz w:val="24"/>
        </w:rPr>
        <w:t xml:space="preserve">, inclusiv obligații mai stricte de recuperare a nutrienților din apele uzate, care pot fi apoi reutilizați în agricultură. </w:t>
      </w:r>
    </w:p>
    <w:p w14:paraId="6776E5F4" w14:textId="5064B25E" w:rsidR="005678E4" w:rsidRDefault="005678E4" w:rsidP="005678E4">
      <w:pPr>
        <w:spacing w:afterLines="120" w:after="288" w:line="240" w:lineRule="auto"/>
        <w:jc w:val="both"/>
        <w:rPr>
          <w:rFonts w:ascii="Times New Roman" w:hAnsi="Times New Roman" w:cs="Times New Roman"/>
          <w:noProof/>
          <w:sz w:val="24"/>
          <w:szCs w:val="24"/>
        </w:rPr>
      </w:pPr>
      <w:r>
        <w:rPr>
          <w:rFonts w:ascii="Times New Roman" w:hAnsi="Times New Roman"/>
          <w:b/>
          <w:noProof/>
          <w:sz w:val="24"/>
        </w:rPr>
        <w:t>Utilizarea gunoiului de grajd și a gunoiului de grajd prelucrat</w:t>
      </w:r>
      <w:r>
        <w:rPr>
          <w:rFonts w:ascii="Times New Roman" w:hAnsi="Times New Roman" w:cs="Times New Roman"/>
          <w:noProof/>
          <w:sz w:val="24"/>
          <w:szCs w:val="24"/>
          <w:vertAlign w:val="superscript"/>
        </w:rPr>
        <w:footnoteReference w:id="19"/>
      </w:r>
      <w:r>
        <w:rPr>
          <w:rFonts w:ascii="Times New Roman" w:hAnsi="Times New Roman"/>
          <w:noProof/>
          <w:sz w:val="24"/>
        </w:rPr>
        <w:t>, în conformitate cu Directiva privind nitrații, poate juca un rol în a-i ajuta pe fermieri să își reducă expunerea la prețurile volatile ale îngrășămintelor minerale și să închidă ciclurile nutrienților</w:t>
      </w:r>
      <w:r>
        <w:rPr>
          <w:rStyle w:val="FootnoteReference"/>
          <w:rFonts w:ascii="Times New Roman" w:hAnsi="Times New Roman" w:cs="Times New Roman"/>
          <w:noProof/>
          <w:sz w:val="24"/>
          <w:szCs w:val="24"/>
        </w:rPr>
        <w:footnoteReference w:id="20"/>
      </w:r>
      <w:r>
        <w:rPr>
          <w:rFonts w:ascii="Times New Roman" w:hAnsi="Times New Roman"/>
          <w:noProof/>
          <w:sz w:val="24"/>
        </w:rPr>
        <w:t xml:space="preserve">. </w:t>
      </w:r>
      <w:r>
        <w:rPr>
          <w:rFonts w:ascii="Times New Roman" w:hAnsi="Times New Roman"/>
          <w:noProof/>
          <w:sz w:val="24"/>
        </w:rPr>
        <w:lastRenderedPageBreak/>
        <w:t xml:space="preserve">Utilizarea circulară a deșeurilor biologice ca îngrășământ va fi discutată în </w:t>
      </w:r>
      <w:r>
        <w:rPr>
          <w:rFonts w:ascii="Times New Roman" w:hAnsi="Times New Roman"/>
          <w:b/>
          <w:noProof/>
          <w:sz w:val="24"/>
        </w:rPr>
        <w:t>Planul de acțiune al Comisiei pentru gestionarea integrată a nutrienților</w:t>
      </w:r>
      <w:r>
        <w:rPr>
          <w:rFonts w:ascii="Times New Roman" w:hAnsi="Times New Roman"/>
          <w:noProof/>
          <w:sz w:val="24"/>
        </w:rPr>
        <w:t xml:space="preserve">, care va fi adoptat la începutul anului 2023. În acest context, Comisia va evalua, de asemenea, noi măsuri de reglementare și de altă natură pentru a permite utilizarea pe scară mai largă a nutrienților recuperați din gunoiul de grajd. </w:t>
      </w:r>
    </w:p>
    <w:p w14:paraId="5760ADC3" w14:textId="77777777" w:rsidR="005E4C28" w:rsidRPr="005E4C28" w:rsidRDefault="005678E4" w:rsidP="006D4125">
      <w:pPr>
        <w:pStyle w:val="Heading2"/>
        <w:rPr>
          <w:noProof/>
        </w:rPr>
      </w:pPr>
      <w:r>
        <w:rPr>
          <w:noProof/>
        </w:rPr>
        <w:t>Surse alternative de aprovizionare pentru importuri și suspendarea taxelor la import pentru amoniac și uree</w:t>
      </w:r>
    </w:p>
    <w:p w14:paraId="32F6EFCD" w14:textId="7957561C" w:rsidR="00480CFF" w:rsidRDefault="00480CFF" w:rsidP="00BA6354">
      <w:pPr>
        <w:spacing w:afterLines="120" w:after="288" w:line="240" w:lineRule="auto"/>
        <w:jc w:val="both"/>
        <w:rPr>
          <w:rFonts w:ascii="Times New Roman" w:hAnsi="Times New Roman" w:cs="Times New Roman"/>
          <w:b/>
          <w:noProof/>
          <w:sz w:val="24"/>
          <w:szCs w:val="24"/>
          <w:bdr w:val="none" w:sz="0" w:space="0" w:color="auto" w:frame="1"/>
        </w:rPr>
      </w:pPr>
      <w:r>
        <w:rPr>
          <w:rFonts w:ascii="Times New Roman" w:hAnsi="Times New Roman"/>
          <w:b/>
          <w:noProof/>
          <w:sz w:val="24"/>
          <w:bdr w:val="none" w:sz="0" w:space="0" w:color="auto" w:frame="1"/>
        </w:rPr>
        <w:t>Diversificarea surselor de aprovizionare cu îngrășăminte importate și produse intermediare</w:t>
      </w:r>
      <w:r>
        <w:rPr>
          <w:rFonts w:ascii="Times New Roman" w:hAnsi="Times New Roman"/>
          <w:noProof/>
          <w:sz w:val="24"/>
          <w:bdr w:val="none" w:sz="0" w:space="0" w:color="auto" w:frame="1"/>
        </w:rPr>
        <w:t xml:space="preserve"> pentru a asigura disponibilitatea îngrășămintelor constituie o reacție pragmatică la reducerea producției în UE, în special în regiunile în care există legături adecvate cu porturile. În acest sens, acordurile de liber schimb (ALS) ale UE promovează accesul la îngrășăminte din partea principalilor parteneri comerciali. Acest lucru nu distrage atenția de la interesul strategic pe care UE îl are în ceea ce privește un sector viabil al producției de îngrășăminte în UE.</w:t>
      </w:r>
    </w:p>
    <w:p w14:paraId="465A5CC5" w14:textId="77777777" w:rsidR="00480CFF" w:rsidRPr="00480CFF" w:rsidRDefault="00480CFF" w:rsidP="00480CFF">
      <w:pPr>
        <w:spacing w:afterLines="120" w:after="288" w:line="240" w:lineRule="auto"/>
        <w:jc w:val="both"/>
        <w:rPr>
          <w:rFonts w:ascii="Times New Roman" w:hAnsi="Times New Roman" w:cs="Times New Roman"/>
          <w:noProof/>
          <w:sz w:val="24"/>
          <w:szCs w:val="24"/>
          <w:bdr w:val="none" w:sz="0" w:space="0" w:color="auto" w:frame="1"/>
        </w:rPr>
      </w:pPr>
      <w:r>
        <w:rPr>
          <w:rFonts w:ascii="Times New Roman" w:hAnsi="Times New Roman"/>
          <w:noProof/>
          <w:sz w:val="24"/>
          <w:bdr w:val="none" w:sz="0" w:space="0" w:color="auto" w:frame="1"/>
        </w:rPr>
        <w:t xml:space="preserve">Comisia a contactat </w:t>
      </w:r>
      <w:r>
        <w:rPr>
          <w:rFonts w:ascii="Times New Roman" w:hAnsi="Times New Roman"/>
          <w:b/>
          <w:noProof/>
          <w:sz w:val="24"/>
          <w:bdr w:val="none" w:sz="0" w:space="0" w:color="auto" w:frame="1"/>
        </w:rPr>
        <w:t>furnizori alternativi de îngrășăminte</w:t>
      </w:r>
      <w:r>
        <w:rPr>
          <w:rFonts w:ascii="Times New Roman" w:hAnsi="Times New Roman"/>
          <w:noProof/>
          <w:sz w:val="24"/>
          <w:bdr w:val="none" w:sz="0" w:space="0" w:color="auto" w:frame="1"/>
        </w:rPr>
        <w:t xml:space="preserve"> pentru a compensa lipsa celor care proveneau anterior din Belarus și Rusia. Oman, Turkmenistan și Qatar au fost identificate ca surse alternative de îngrășăminte azotoase. Economiile acestor țări din afara UE vor beneficia de astfel de importuri prin creștere economică și ocuparea forței de muncă. Importurile din Egipt și Algeria au crescut substanțial (cu aproape 20 % și, respectiv, 40 %), cu perspectiva realistă ca Egiptul să înlocuiască Rusia ca principala sursă de importuri a UE în 2022.  </w:t>
      </w:r>
    </w:p>
    <w:p w14:paraId="13A5CE7B" w14:textId="268F6B0E" w:rsidR="00480CFF" w:rsidRDefault="00480CFF" w:rsidP="00BA6354">
      <w:pPr>
        <w:spacing w:afterLines="120" w:after="288" w:line="240" w:lineRule="auto"/>
        <w:jc w:val="both"/>
        <w:rPr>
          <w:rFonts w:ascii="Times New Roman" w:hAnsi="Times New Roman" w:cs="Times New Roman"/>
          <w:noProof/>
          <w:sz w:val="24"/>
          <w:szCs w:val="24"/>
          <w:bdr w:val="none" w:sz="0" w:space="0" w:color="auto" w:frame="1"/>
        </w:rPr>
      </w:pPr>
      <w:r>
        <w:rPr>
          <w:rFonts w:ascii="Times New Roman" w:hAnsi="Times New Roman"/>
          <w:b/>
          <w:noProof/>
          <w:sz w:val="24"/>
          <w:bdr w:val="none" w:sz="0" w:space="0" w:color="auto" w:frame="1"/>
        </w:rPr>
        <w:t xml:space="preserve">Nivelul taxelor vamale aplicabile națiunii celei mai favorizate, </w:t>
      </w:r>
      <w:r>
        <w:rPr>
          <w:rFonts w:ascii="Times New Roman" w:hAnsi="Times New Roman"/>
          <w:noProof/>
          <w:sz w:val="24"/>
          <w:bdr w:val="none" w:sz="0" w:space="0" w:color="auto" w:frame="1"/>
        </w:rPr>
        <w:t>de 6,5%, se aplică importurilor în UE de îngrășăminte azotoase</w:t>
      </w:r>
      <w:r>
        <w:rPr>
          <w:rFonts w:ascii="Times New Roman" w:hAnsi="Times New Roman" w:cs="Times New Roman"/>
          <w:noProof/>
          <w:sz w:val="24"/>
          <w:szCs w:val="24"/>
          <w:bdr w:val="none" w:sz="0" w:space="0" w:color="auto" w:frame="1"/>
          <w:vertAlign w:val="superscript"/>
        </w:rPr>
        <w:footnoteReference w:id="21"/>
      </w:r>
      <w:r>
        <w:rPr>
          <w:rFonts w:ascii="Times New Roman" w:hAnsi="Times New Roman"/>
          <w:noProof/>
          <w:sz w:val="24"/>
        </w:rPr>
        <w:t>.</w:t>
      </w:r>
      <w:r>
        <w:rPr>
          <w:rFonts w:ascii="Times New Roman" w:hAnsi="Times New Roman"/>
          <w:noProof/>
          <w:sz w:val="24"/>
          <w:bdr w:val="none" w:sz="0" w:space="0" w:color="auto" w:frame="1"/>
        </w:rPr>
        <w:t xml:space="preserve"> Comisia a propus suspendarea acestor tarife pentru două mărfuri intermediare esențiale utilizate în producția de îngrășăminte azotoase, și anume amoniacul și ureea, până la sfârșitul anului 2024</w:t>
      </w:r>
      <w:r>
        <w:rPr>
          <w:rFonts w:ascii="Times New Roman" w:hAnsi="Times New Roman" w:cs="Times New Roman"/>
          <w:noProof/>
          <w:sz w:val="24"/>
          <w:szCs w:val="24"/>
          <w:bdr w:val="none" w:sz="0" w:space="0" w:color="auto" w:frame="1"/>
          <w:vertAlign w:val="superscript"/>
        </w:rPr>
        <w:footnoteReference w:id="22"/>
      </w:r>
      <w:r>
        <w:rPr>
          <w:rFonts w:ascii="Times New Roman" w:hAnsi="Times New Roman"/>
          <w:noProof/>
          <w:sz w:val="24"/>
          <w:bdr w:val="none" w:sz="0" w:space="0" w:color="auto" w:frame="1"/>
        </w:rPr>
        <w:t xml:space="preserve">. Acest lucru ar aborda preocupările legate de disponibilitate și de accesibilitatea prețurilor în cadrul aprovizionării cu amoniac și uree și ar promova diversificarea importurilor. Propunerea este discutată în prezent în cadrul Consiliului. În 2019, în urma unei anchete privind dumpingul care cauza prejudiciu industriei UE, Comisia a instituit </w:t>
      </w:r>
      <w:r>
        <w:rPr>
          <w:rFonts w:ascii="Times New Roman" w:hAnsi="Times New Roman"/>
          <w:b/>
          <w:noProof/>
          <w:sz w:val="24"/>
          <w:bdr w:val="none" w:sz="0" w:space="0" w:color="auto" w:frame="1"/>
        </w:rPr>
        <w:t>taxe antidumping</w:t>
      </w:r>
      <w:r>
        <w:rPr>
          <w:rFonts w:ascii="Times New Roman" w:hAnsi="Times New Roman"/>
          <w:noProof/>
          <w:sz w:val="24"/>
          <w:bdr w:val="none" w:sz="0" w:space="0" w:color="auto" w:frame="1"/>
        </w:rPr>
        <w:t xml:space="preserve"> la importurile de uree și nitrat de amoniu (UAN) din Rusia, Trinidad și Tobago și Statele Unite. La 26 octombrie 2022, Comisia a decis să nu le suspende</w:t>
      </w:r>
      <w:r>
        <w:rPr>
          <w:rStyle w:val="FootnoteReference"/>
          <w:rFonts w:ascii="Times New Roman" w:hAnsi="Times New Roman" w:cs="Times New Roman"/>
          <w:noProof/>
          <w:sz w:val="24"/>
          <w:szCs w:val="24"/>
          <w:bdr w:val="none" w:sz="0" w:space="0" w:color="auto" w:frame="1"/>
        </w:rPr>
        <w:footnoteReference w:id="23"/>
      </w:r>
      <w:r>
        <w:rPr>
          <w:rFonts w:ascii="Times New Roman" w:hAnsi="Times New Roman"/>
          <w:noProof/>
          <w:sz w:val="24"/>
          <w:bdr w:val="none" w:sz="0" w:space="0" w:color="auto" w:frame="1"/>
        </w:rPr>
        <w:t xml:space="preserve">. </w:t>
      </w:r>
    </w:p>
    <w:p w14:paraId="1E0BFF0D" w14:textId="391B4EBE" w:rsidR="005E4C28" w:rsidRPr="005E4C28" w:rsidRDefault="005E4C28" w:rsidP="0082240B">
      <w:pPr>
        <w:pStyle w:val="Heading2"/>
        <w:rPr>
          <w:noProof/>
        </w:rPr>
      </w:pPr>
      <w:r>
        <w:rPr>
          <w:noProof/>
        </w:rPr>
        <w:lastRenderedPageBreak/>
        <w:t>Măsuri de asigurare a securității aprovizionării și a accesibilității prețurilor la gaze</w:t>
      </w:r>
    </w:p>
    <w:p w14:paraId="4D444CF2" w14:textId="67A8972D" w:rsidR="00480CFF" w:rsidRDefault="00480CFF"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În ultimul an, Comisia a luat măsuri decisive pentru a asigura securitatea aprovizionării cu gaze și pentru a stabiliza piețele gazelor. La 13 octombrie 2021</w:t>
      </w:r>
      <w:r>
        <w:rPr>
          <w:rFonts w:ascii="Times New Roman" w:hAnsi="Times New Roman"/>
          <w:i/>
          <w:noProof/>
          <w:sz w:val="24"/>
        </w:rPr>
        <w:t xml:space="preserve">, </w:t>
      </w:r>
      <w:r>
        <w:rPr>
          <w:rFonts w:ascii="Times New Roman" w:hAnsi="Times New Roman"/>
          <w:noProof/>
          <w:sz w:val="24"/>
        </w:rPr>
        <w:t>Comisia a publicat orientări adresate statelor membre („</w:t>
      </w:r>
      <w:r>
        <w:rPr>
          <w:rFonts w:ascii="Times New Roman" w:hAnsi="Times New Roman"/>
          <w:b/>
          <w:noProof/>
          <w:sz w:val="24"/>
        </w:rPr>
        <w:t>setul de instrumente privind prețurile la energie</w:t>
      </w:r>
      <w:r>
        <w:rPr>
          <w:rFonts w:ascii="Times New Roman" w:hAnsi="Times New Roman"/>
          <w:noProof/>
          <w:sz w:val="24"/>
        </w:rPr>
        <w:t>”) pentru a aborda impactul imediat al creșterii prețurilor și pentru a consolida și mai mult reziliența la șocurile viitoare</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w:t>
      </w:r>
    </w:p>
    <w:p w14:paraId="5048B4BB" w14:textId="77777777" w:rsidR="00A37159" w:rsidRDefault="00A37159" w:rsidP="00BA6354">
      <w:pPr>
        <w:spacing w:afterLines="120" w:after="288" w:line="240" w:lineRule="auto"/>
        <w:jc w:val="both"/>
        <w:rPr>
          <w:rFonts w:ascii="Times New Roman" w:hAnsi="Times New Roman" w:cs="Times New Roman"/>
          <w:noProof/>
          <w:sz w:val="24"/>
          <w:szCs w:val="24"/>
        </w:rPr>
      </w:pPr>
      <w:r>
        <w:rPr>
          <w:rFonts w:ascii="Times New Roman" w:hAnsi="Times New Roman"/>
          <w:b/>
          <w:noProof/>
          <w:sz w:val="24"/>
        </w:rPr>
        <w:t>Planul REPower EU</w:t>
      </w:r>
      <w:r>
        <w:rPr>
          <w:rFonts w:ascii="Times New Roman" w:hAnsi="Times New Roman"/>
          <w:noProof/>
          <w:sz w:val="24"/>
        </w:rPr>
        <w:t xml:space="preserve"> din 18 mai 2022 a introdus măsuri de decarbonizare a piețelor gazelor și de promovare a gazelor din surse regenerabile, precum și a economiilor de energie, a diversificării surselor de aprovizionare cu energie și a introducerii accelerate a energiei din surse regenerabile pentru a limita impactul întreruperii aprovizionării și pentru a menține sub control prețurile energiei.</w:t>
      </w:r>
    </w:p>
    <w:p w14:paraId="104A5B74" w14:textId="342EF160" w:rsidR="005B02D2" w:rsidRDefault="00DD0EAD" w:rsidP="005B02D2">
      <w:pPr>
        <w:spacing w:afterLines="120" w:after="288" w:line="240" w:lineRule="auto"/>
        <w:jc w:val="both"/>
        <w:rPr>
          <w:rFonts w:ascii="Times New Roman" w:hAnsi="Times New Roman" w:cs="Times New Roman"/>
          <w:noProof/>
          <w:sz w:val="24"/>
          <w:szCs w:val="24"/>
          <w:shd w:val="clear" w:color="auto" w:fill="FFFFFF"/>
        </w:rPr>
      </w:pPr>
      <w:r>
        <w:rPr>
          <w:rFonts w:ascii="Times New Roman" w:hAnsi="Times New Roman"/>
          <w:noProof/>
          <w:sz w:val="24"/>
        </w:rPr>
        <w:t>În comunicarea sa din iulie 2022 intitulată „</w:t>
      </w:r>
      <w:r>
        <w:rPr>
          <w:rFonts w:ascii="Times New Roman" w:hAnsi="Times New Roman"/>
          <w:b/>
          <w:noProof/>
          <w:sz w:val="24"/>
        </w:rPr>
        <w:t>Să economisim gazele pentru siguranță la iarnă</w:t>
      </w:r>
      <w:r>
        <w:rPr>
          <w:rFonts w:ascii="Times New Roman" w:hAnsi="Times New Roman"/>
          <w:noProof/>
          <w:sz w:val="24"/>
        </w:rPr>
        <w:t>”</w:t>
      </w:r>
      <w:r>
        <w:rPr>
          <w:rFonts w:ascii="Times New Roman" w:hAnsi="Times New Roman" w:cs="Times New Roman"/>
          <w:noProof/>
          <w:sz w:val="24"/>
          <w:szCs w:val="24"/>
          <w:vertAlign w:val="superscript"/>
          <w:lang w:eastAsia="fr-BE"/>
        </w:rPr>
        <w:footnoteReference w:id="25"/>
      </w:r>
      <w:r>
        <w:rPr>
          <w:rFonts w:ascii="Times New Roman" w:hAnsi="Times New Roman"/>
          <w:noProof/>
          <w:sz w:val="24"/>
        </w:rPr>
        <w:t xml:space="preserve">, Comisia a consolidat gradul de pregătire al UE pentru această iarnă. </w:t>
      </w:r>
      <w:r>
        <w:rPr>
          <w:rFonts w:ascii="Times New Roman" w:hAnsi="Times New Roman"/>
          <w:b/>
          <w:noProof/>
          <w:sz w:val="24"/>
          <w:shd w:val="clear" w:color="auto" w:fill="FFFFFF"/>
        </w:rPr>
        <w:t>Măsurile de reducere a cererii</w:t>
      </w:r>
      <w:r>
        <w:rPr>
          <w:rFonts w:ascii="Times New Roman" w:hAnsi="Times New Roman"/>
          <w:noProof/>
          <w:sz w:val="24"/>
          <w:shd w:val="clear" w:color="auto" w:fill="FFFFFF"/>
        </w:rPr>
        <w:t>, împreună cu eforturile depuse în temeiul Regulamentului privind înmagazinarea gazelor pentru a atinge și chiar a depăși obiectivele Uniunii privind înmagazinarea gazelor, și-au atins obiectivul. Deși încă la niveluri foarte ridicate din punct de vedere istoric, prețurile au scăzut în comparație cu nivelul maxim atins în august 2022.</w:t>
      </w:r>
      <w:r>
        <w:rPr>
          <w:rFonts w:ascii="Times New Roman" w:hAnsi="Times New Roman"/>
          <w:noProof/>
          <w:sz w:val="24"/>
        </w:rPr>
        <w:t xml:space="preserve"> Comisia a furnizat statelor membre orientări cu privire la industriile considerate critice sau strategice dintr-o perspectivă societală în scopul stabilirii priorităților. Sectorul alimentar este identificat ca fiind un sector critic, iar sectorul îngrășămintelor ca aprovizionând </w:t>
      </w:r>
      <w:r>
        <w:rPr>
          <w:rFonts w:ascii="Times New Roman" w:hAnsi="Times New Roman"/>
          <w:b/>
          <w:noProof/>
          <w:sz w:val="24"/>
        </w:rPr>
        <w:t>sectorul agricol critic din punct de vedere social</w:t>
      </w:r>
      <w:r>
        <w:rPr>
          <w:rFonts w:ascii="Times New Roman" w:hAnsi="Times New Roman"/>
          <w:noProof/>
          <w:sz w:val="24"/>
        </w:rPr>
        <w:t xml:space="preserve"> în întreaga UE. Comisia </w:t>
      </w:r>
      <w:r>
        <w:rPr>
          <w:rFonts w:ascii="Times New Roman" w:hAnsi="Times New Roman"/>
          <w:b/>
          <w:bCs/>
          <w:noProof/>
          <w:sz w:val="24"/>
        </w:rPr>
        <w:t>subliniază că statele membre pot acorda prioritate</w:t>
      </w:r>
      <w:r>
        <w:rPr>
          <w:rFonts w:ascii="Times New Roman" w:hAnsi="Times New Roman"/>
          <w:noProof/>
          <w:sz w:val="24"/>
        </w:rPr>
        <w:t xml:space="preserve"> prin intermediul planurilor lor naționale de urgență, </w:t>
      </w:r>
      <w:r>
        <w:rPr>
          <w:rFonts w:ascii="Times New Roman" w:hAnsi="Times New Roman"/>
          <w:b/>
          <w:bCs/>
          <w:noProof/>
          <w:sz w:val="24"/>
        </w:rPr>
        <w:t>accesului continuu și neperturbat la gaze naturale</w:t>
      </w:r>
      <w:r>
        <w:rPr>
          <w:noProof/>
        </w:rPr>
        <w:t xml:space="preserve"> </w:t>
      </w:r>
      <w:r>
        <w:rPr>
          <w:rFonts w:ascii="Times New Roman" w:hAnsi="Times New Roman"/>
          <w:noProof/>
          <w:sz w:val="24"/>
          <w:shd w:val="clear" w:color="auto" w:fill="FFFFFF"/>
        </w:rPr>
        <w:t>pentru producătorii de îngrășăminte în cazul raționalizării gazelor</w:t>
      </w:r>
      <w:r>
        <w:rPr>
          <w:rFonts w:ascii="Times New Roman" w:hAnsi="Times New Roman"/>
          <w:noProof/>
          <w:sz w:val="24"/>
        </w:rPr>
        <w:t xml:space="preserve">. </w:t>
      </w:r>
    </w:p>
    <w:p w14:paraId="0FA32BBD" w14:textId="6FC8971F" w:rsidR="007D4CDE" w:rsidRDefault="007D4CDE" w:rsidP="007D4CDE">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Mai recent, la 18 octombrie 2022, Comisia a propus un nou regulament de urgență pentru a aborda prețurile ridicate ale gazelor în UE și pentru a asigura securitatea aprovizionării în această iarnă</w:t>
      </w:r>
      <w:r>
        <w:rPr>
          <w:rStyle w:val="FootnoteReference"/>
          <w:rFonts w:ascii="Times New Roman" w:hAnsi="Times New Roman" w:cs="Times New Roman"/>
          <w:noProof/>
          <w:sz w:val="24"/>
          <w:szCs w:val="24"/>
          <w:lang w:eastAsia="fr-BE"/>
        </w:rPr>
        <w:footnoteReference w:id="26"/>
      </w:r>
      <w:r>
        <w:rPr>
          <w:rFonts w:ascii="Times New Roman" w:hAnsi="Times New Roman"/>
          <w:noProof/>
          <w:sz w:val="24"/>
        </w:rPr>
        <w:t xml:space="preserve">. Aceasta se va realiza prin achiziționarea de gaze în comun, mecanisme de limitare a prețurilor, noi măsuri privind utilizarea transparentă a infrastructurii și exercitarea solidarității între statele membre, precum și prin eforturi continue de reducere a cererii de gaze. Aceste noi măsuri vor ajuta și la </w:t>
      </w:r>
      <w:r>
        <w:rPr>
          <w:rFonts w:ascii="Times New Roman" w:hAnsi="Times New Roman"/>
          <w:b/>
          <w:noProof/>
          <w:sz w:val="24"/>
        </w:rPr>
        <w:t xml:space="preserve">atenuarea suplimentară a presiunii </w:t>
      </w:r>
      <w:r>
        <w:rPr>
          <w:rFonts w:ascii="Times New Roman" w:hAnsi="Times New Roman"/>
          <w:b/>
          <w:noProof/>
          <w:sz w:val="24"/>
        </w:rPr>
        <w:lastRenderedPageBreak/>
        <w:t>asupra prețurilor, resimțită de cetățenii și industria din Europa</w:t>
      </w:r>
      <w:r>
        <w:rPr>
          <w:rFonts w:ascii="Times New Roman" w:hAnsi="Times New Roman"/>
          <w:noProof/>
          <w:sz w:val="24"/>
        </w:rPr>
        <w:t>, asigurând totodată securitatea aprovizionării și o piață internă funcțională.</w:t>
      </w:r>
    </w:p>
    <w:p w14:paraId="01D1A6CA" w14:textId="13FC472F" w:rsidR="005E4C28" w:rsidRPr="005E4C28" w:rsidRDefault="00FD37A1" w:rsidP="0082240B">
      <w:pPr>
        <w:pStyle w:val="Heading2"/>
        <w:rPr>
          <w:noProof/>
        </w:rPr>
      </w:pPr>
      <w:r>
        <w:rPr>
          <w:noProof/>
        </w:rPr>
        <w:t>Promovarea producției de amoniac verde și biometan</w:t>
      </w:r>
    </w:p>
    <w:p w14:paraId="62F83E8A" w14:textId="6A40AE64" w:rsidR="00FD37A1" w:rsidRDefault="00FD37A1"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îngrășămintele azotoase, </w:t>
      </w:r>
      <w:r>
        <w:rPr>
          <w:rFonts w:ascii="Times New Roman" w:hAnsi="Times New Roman"/>
          <w:b/>
          <w:noProof/>
          <w:sz w:val="24"/>
        </w:rPr>
        <w:t>amoniacul</w:t>
      </w:r>
      <w:r>
        <w:rPr>
          <w:rFonts w:ascii="Times New Roman" w:hAnsi="Times New Roman"/>
          <w:noProof/>
          <w:sz w:val="24"/>
        </w:rPr>
        <w:t xml:space="preserve"> </w:t>
      </w:r>
      <w:r>
        <w:rPr>
          <w:rFonts w:ascii="Times New Roman" w:hAnsi="Times New Roman"/>
          <w:b/>
          <w:noProof/>
          <w:sz w:val="24"/>
        </w:rPr>
        <w:t>produs din hidrogen regenerabil, cu emisii scăzute de dioxid de carbon și fără alți combustibili fosili</w:t>
      </w:r>
      <w:r>
        <w:rPr>
          <w:rFonts w:ascii="Times New Roman" w:hAnsi="Times New Roman"/>
          <w:noProof/>
          <w:sz w:val="24"/>
        </w:rPr>
        <w:t xml:space="preserve"> este o tehnologie care promite să reducă semnificativ emisiile de gaze cu efect de seră generate de procesul de producție a îngrășămintelor. Utilizarea hidrogenului din surse regenerabile ar elimina și mai mult dependența UE de gazele naturale pentru producția de îngrășăminte. Deși sunt în curs de desfășurare multe proiecte la scară largă, acestea vor începe să producă cantități semnificative de îngrășăminte abia începând din 2025.</w:t>
      </w:r>
    </w:p>
    <w:p w14:paraId="688425F3" w14:textId="18D035A7" w:rsidR="00FD37A1" w:rsidRPr="00FD37A1" w:rsidRDefault="00FD37A1" w:rsidP="00FD37A1">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Există în continuare provocări în ceea ce privește creșterea producției de amoniac pe baza hidrogenului din surse regenerabile, inclusiv lipsa infrastructurii, accelerarea procedurilor de autorizare și un cadru de reglementare care este încă în curs de elaborare. Planul </w:t>
      </w:r>
      <w:r>
        <w:rPr>
          <w:rFonts w:ascii="Times New Roman" w:hAnsi="Times New Roman"/>
          <w:b/>
          <w:noProof/>
          <w:sz w:val="24"/>
        </w:rPr>
        <w:t>REPowerEU</w:t>
      </w:r>
      <w:r>
        <w:rPr>
          <w:rFonts w:ascii="Times New Roman" w:hAnsi="Times New Roman"/>
          <w:noProof/>
          <w:sz w:val="24"/>
        </w:rPr>
        <w:t xml:space="preserve"> prezintă o serie de acțiuni menite să abordeze aceste provocări. Pe măsură ce prețurile gazelor cresc, aceste proiecte devin viabile din punct de vedere comercial în comparație cu amoniacul bazat pe gaze naturale, accelerând implementarea acestor proiecte. Pentru a contribui la extinderea economiei UE bazate pe hidrogen din surse regenerabile, va fi creată o nouă Bancă europeană a hidrogenului pentru a investi 3 miliarde EUR în relansarea unei piețe a hidrogenului în UE, inclusiv prin corelarea ofertei cu cererea.</w:t>
      </w:r>
    </w:p>
    <w:p w14:paraId="30B0C8C0" w14:textId="5147F1BB" w:rsidR="00FD37A1" w:rsidRPr="00FD37A1" w:rsidRDefault="00B64E5B" w:rsidP="00FD37A1">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Pe lângă cadrul temporar de criză privind ajutoarele de stat, Comisia și-a revizuit și modernizat recent </w:t>
      </w:r>
      <w:r>
        <w:rPr>
          <w:rFonts w:ascii="Times New Roman" w:hAnsi="Times New Roman"/>
          <w:b/>
          <w:noProof/>
          <w:sz w:val="24"/>
        </w:rPr>
        <w:t>setul de instrumente privind ajutoarele de stat</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pe care statele membre le pot utiliza pentru a sprijini transformarea industriei europene a îngrășămintelor azotoase în energie electrică din surse regenerabile sau hidrogen din surse regenerabile, în combinație cu proiecte locale circulare de recuperare a nutrienților, dacă sunt îndeplinite condițiile relevante.  </w:t>
      </w:r>
    </w:p>
    <w:p w14:paraId="09122FB1" w14:textId="08F1BE86" w:rsidR="00FD37A1" w:rsidRPr="00FD37A1" w:rsidRDefault="00FD37A1" w:rsidP="00B64E5B">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Comisia va avea ca scop asigurarea unui mediu de reglementare stabil și funcțional care să guverneze producția de hidrogen din surse regenerabile și cu emisii scăzute de carbon, asigurând astfel dezvoltarea rapidă a unei piețe pentru îngrășămintele pe bază de hidrogen din surse regenerabile și cu emisii scăzute de carbon. Comisia va publica în curând două acte delegate în temeiul Directivei (UE) 2018/2001 de stabilire a unui cadru de reglementare pentru combustibilii din surse regenerabile de origine nebiologică. </w:t>
      </w:r>
    </w:p>
    <w:p w14:paraId="19BC46C9" w14:textId="1269C11B" w:rsidR="00FD37A1" w:rsidRDefault="00FD37A1" w:rsidP="00FD37A1">
      <w:pPr>
        <w:spacing w:afterLines="120" w:after="288" w:line="240" w:lineRule="auto"/>
        <w:jc w:val="both"/>
        <w:rPr>
          <w:rFonts w:ascii="Times New Roman" w:hAnsi="Times New Roman" w:cs="Times New Roman"/>
          <w:noProof/>
          <w:sz w:val="24"/>
          <w:szCs w:val="24"/>
        </w:rPr>
      </w:pPr>
      <w:r>
        <w:rPr>
          <w:rFonts w:ascii="Times New Roman" w:hAnsi="Times New Roman"/>
          <w:b/>
          <w:noProof/>
          <w:sz w:val="24"/>
        </w:rPr>
        <w:t>Biometanul</w:t>
      </w:r>
      <w:r>
        <w:rPr>
          <w:rFonts w:ascii="Times New Roman" w:hAnsi="Times New Roman"/>
          <w:noProof/>
          <w:sz w:val="24"/>
        </w:rPr>
        <w:t xml:space="preserve"> are un potențial promițător de substituire în ceea ce privește gazele, în special acolo unde hidrogenul din surse regenerabile ar fi mai puțin competitiv. Astfel </w:t>
      </w:r>
      <w:r>
        <w:rPr>
          <w:rFonts w:ascii="Times New Roman" w:hAnsi="Times New Roman"/>
          <w:noProof/>
          <w:sz w:val="24"/>
        </w:rPr>
        <w:lastRenderedPageBreak/>
        <w:t xml:space="preserve">cum se indică în REPowerEU, stimularea producției durabile de biometan la 35 miliarde de metri cubi până în 2030 este o cale eficientă din punctul de vedere al costurilor pentru realizarea obiectivului ambițios al UE de a reduce importurile de gaze naturale din Rusia. Acest lucru nu numai că va furniza energie din surse regenerabile și va stimula veniturile fermierilor, ci va crea, de asemenea, un nou flux de aprovizionare cu îngrășăminte organice. </w:t>
      </w:r>
      <w:r>
        <w:rPr>
          <w:rFonts w:ascii="Times New Roman" w:hAnsi="Times New Roman"/>
          <w:b/>
          <w:noProof/>
          <w:sz w:val="24"/>
        </w:rPr>
        <w:t>Alianța industrială europeană privind biometanul</w:t>
      </w:r>
      <w:r>
        <w:rPr>
          <w:rFonts w:ascii="Times New Roman" w:hAnsi="Times New Roman"/>
          <w:noProof/>
          <w:sz w:val="24"/>
        </w:rPr>
        <w:t xml:space="preserve"> a fost lansată la 28 septembrie 2022, cu obiectivul ca, până în 2030, să se producă anual și să se utilizeze 35 de miliarde de metri cubi de biometan.</w:t>
      </w:r>
    </w:p>
    <w:p w14:paraId="66F44A4F" w14:textId="527C6DBB" w:rsidR="005E4C28" w:rsidRPr="005E4C28" w:rsidRDefault="00FD37A1"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plus, Comisia va analiza măsurile care pot contribui la </w:t>
      </w:r>
      <w:r>
        <w:rPr>
          <w:rFonts w:ascii="Times New Roman" w:hAnsi="Times New Roman"/>
          <w:b/>
          <w:noProof/>
          <w:sz w:val="24"/>
        </w:rPr>
        <w:t>creșterea competitivității îngrășămintelor verzi pe piață</w:t>
      </w:r>
      <w:r>
        <w:rPr>
          <w:rFonts w:ascii="Times New Roman" w:hAnsi="Times New Roman"/>
          <w:noProof/>
          <w:sz w:val="24"/>
        </w:rPr>
        <w:t xml:space="preserve"> în timpul tranziției către o economie complet decarbonizată.</w:t>
      </w:r>
    </w:p>
    <w:p w14:paraId="44D3A8DE" w14:textId="77777777" w:rsidR="009515A5" w:rsidRPr="00B221F1" w:rsidRDefault="009515A5" w:rsidP="00BA6354">
      <w:pPr>
        <w:pStyle w:val="Heading1"/>
        <w:spacing w:afterLines="120" w:after="288"/>
        <w:rPr>
          <w:rStyle w:val="Strong"/>
          <w:b/>
          <w:bCs w:val="0"/>
          <w:noProof/>
        </w:rPr>
      </w:pPr>
      <w:bookmarkStart w:id="4" w:name="_Toc97811381"/>
      <w:bookmarkStart w:id="5" w:name="_Hlk97561944"/>
      <w:r>
        <w:rPr>
          <w:rStyle w:val="Strong"/>
          <w:b/>
          <w:noProof/>
        </w:rPr>
        <w:t>Asigurarea disponibilității și a accesibilității prețurilor îngrășămintelor la nivel mondial</w:t>
      </w:r>
    </w:p>
    <w:bookmarkEnd w:id="4"/>
    <w:p w14:paraId="07022345" w14:textId="77777777" w:rsidR="00A755E5" w:rsidRPr="0045137E" w:rsidRDefault="00A755E5" w:rsidP="0082240B">
      <w:pPr>
        <w:pStyle w:val="Heading2"/>
        <w:rPr>
          <w:noProof/>
        </w:rPr>
      </w:pPr>
      <w:r>
        <w:rPr>
          <w:noProof/>
        </w:rPr>
        <w:t xml:space="preserve">Sprijinul UE pentru inițiativele multilaterale și bilaterale </w:t>
      </w:r>
    </w:p>
    <w:p w14:paraId="4F080BBD" w14:textId="276B10DB" w:rsidR="008D63B6" w:rsidRDefault="003A487D" w:rsidP="003A487D">
      <w:pPr>
        <w:spacing w:afterLines="120" w:after="288"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Uniunea Europeană a reacționat rapid la șocul sistemic generat de agresiunea Rusiei împotriva Ucrainei prin intermediul răspunsului bazat pe patru aspecte al Echipei Europa în ceea ce privește insecuritatea alimentară mondială: (1) solidaritate, (2) producție, (3) comerț și (4) multilateralism. În total, se estimează că Uniunea Europeană va furniza 7,7 miliarde EUR până în 2024 pentru a sprijini securitatea alimentară și sistemele alimentare durabile la nivel mondial. UE sprijină, printre altele, măsurile care vizează însănătoșirea solului, precum și o utilizare mai optimă și mai durabilă a îngrășămintelor. </w:t>
      </w:r>
    </w:p>
    <w:p w14:paraId="0F5E44B9" w14:textId="6E1A6628" w:rsidR="00A755E5" w:rsidRDefault="001319CA" w:rsidP="00BA6354">
      <w:pPr>
        <w:spacing w:afterLines="120" w:after="288" w:line="240" w:lineRule="auto"/>
        <w:jc w:val="both"/>
        <w:rPr>
          <w:rFonts w:ascii="Times New Roman" w:hAnsi="Times New Roman" w:cs="Times New Roman"/>
          <w:iCs/>
          <w:noProof/>
          <w:sz w:val="24"/>
          <w:szCs w:val="24"/>
        </w:rPr>
      </w:pPr>
      <w:r>
        <w:rPr>
          <w:rFonts w:ascii="Times New Roman" w:hAnsi="Times New Roman"/>
          <w:noProof/>
          <w:sz w:val="24"/>
        </w:rPr>
        <w:t>Comisia recunoaște activitatea Grupului de răspuns la criza mondială privind alimentația, energia și finanțele condus de ONU, precum și alte inițiative internaționale, cum ar fi Alianța mondială a G7 pentru securitatea alimentară, Apelul la acțiune și FARM. Aceste inițiative includ măsuri de abordare a penuriei de îngrășăminte, în special prin menținerea deschiderii piețelor și evitarea restricțiilor la export, creșterea temporară a producției de îngrășăminte pentru a compensa penuria, sprijinirea inovării în materie de îngrășăminte și promovarea metodelor de optimizare a eficienței îngrășămintelor.</w:t>
      </w:r>
    </w:p>
    <w:p w14:paraId="2E7F2B79" w14:textId="05CDF296" w:rsidR="00A755E5" w:rsidRDefault="00A755E5"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Comisia consolidează </w:t>
      </w:r>
      <w:r>
        <w:rPr>
          <w:rFonts w:ascii="Times New Roman" w:hAnsi="Times New Roman"/>
          <w:b/>
          <w:noProof/>
          <w:sz w:val="24"/>
        </w:rPr>
        <w:t>abordarea multilaterală</w:t>
      </w:r>
      <w:r>
        <w:rPr>
          <w:rFonts w:ascii="Times New Roman" w:hAnsi="Times New Roman"/>
          <w:noProof/>
          <w:sz w:val="24"/>
        </w:rPr>
        <w:t xml:space="preserve"> în cadrul discuțiilor sale bilaterale cu parteneri strategici. De exemplu, prin intermediul Platformei de colaborare în domeniul agriculturii, înființată cu SUA în noiembrie 2021, sunt abordate aspecte-cheie, cum ar fi lipsa de informații fiabile privind cererea și oferta pe piețele internaționale, necesitatea de a îmbunătăți eficiența producției vegetale și utilizarea nutrienților, precum și rafinarea practicilor de producție utilizând date și aplicații de precizie. Comisia și Canada vor organiza un eveniment comun privind utilizarea durabilă a îngrășămintelor, axat pe optimizarea utilizării și pe dezvoltarea de noi produse.</w:t>
      </w:r>
    </w:p>
    <w:p w14:paraId="5FB3989F" w14:textId="2E2BDB11" w:rsidR="0045137E" w:rsidRDefault="00A755E5" w:rsidP="00BA6354">
      <w:p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 xml:space="preserve">Comisia se va alătura inițiativei </w:t>
      </w:r>
      <w:r>
        <w:rPr>
          <w:rFonts w:ascii="Times New Roman" w:hAnsi="Times New Roman"/>
          <w:b/>
          <w:noProof/>
          <w:color w:val="000000" w:themeColor="text1"/>
          <w:sz w:val="24"/>
        </w:rPr>
        <w:t>Global Fertiliser Challenge</w:t>
      </w:r>
      <w:r>
        <w:rPr>
          <w:rFonts w:ascii="Times New Roman" w:hAnsi="Times New Roman"/>
          <w:noProof/>
          <w:color w:val="000000" w:themeColor="text1"/>
          <w:sz w:val="24"/>
        </w:rPr>
        <w:t xml:space="preserve"> (GFC), lansată în cadrul Forumului economiilor majore din iunie 2022. Inițiativa urmărește să consolideze securitatea alimentară la nivel mondial și să reducă emisiile de gaze cu efect de seră din agricultură, contribuind la atenuarea penuriei de îngrășăminte, în special printr-</w:t>
      </w:r>
      <w:r>
        <w:rPr>
          <w:rFonts w:ascii="Times New Roman" w:hAnsi="Times New Roman"/>
          <w:b/>
          <w:noProof/>
          <w:color w:val="000000" w:themeColor="text1"/>
          <w:sz w:val="24"/>
        </w:rPr>
        <w:t xml:space="preserve">o mai bună gestionare a nutrienților, printr-o eficiență sporită a utilizării îngrășămintelor, </w:t>
      </w:r>
      <w:r>
        <w:rPr>
          <w:rFonts w:ascii="Times New Roman" w:hAnsi="Times New Roman"/>
          <w:b/>
          <w:noProof/>
          <w:color w:val="000000" w:themeColor="text1"/>
          <w:sz w:val="24"/>
        </w:rPr>
        <w:lastRenderedPageBreak/>
        <w:t>prin practici agricole alternative și prin alternative la îngrășămintele minerale</w:t>
      </w:r>
      <w:r>
        <w:rPr>
          <w:noProof/>
        </w:rPr>
        <w:t xml:space="preserve"> </w:t>
      </w:r>
      <w:r>
        <w:rPr>
          <w:rFonts w:ascii="Times New Roman" w:hAnsi="Times New Roman"/>
          <w:noProof/>
          <w:color w:val="000000" w:themeColor="text1"/>
          <w:sz w:val="24"/>
        </w:rPr>
        <w:t xml:space="preserve"> și este în curs de a identifica acțiuni concrete care contribuie la obiectivele GFC</w:t>
      </w:r>
      <w:r>
        <w:rPr>
          <w:rFonts w:ascii="Times New Roman" w:hAnsi="Times New Roman"/>
          <w:b/>
          <w:noProof/>
          <w:color w:val="000000" w:themeColor="text1"/>
          <w:sz w:val="24"/>
        </w:rPr>
        <w:t>.</w:t>
      </w:r>
      <w:r>
        <w:rPr>
          <w:rFonts w:ascii="Times New Roman" w:hAnsi="Times New Roman"/>
          <w:noProof/>
          <w:color w:val="000000" w:themeColor="text1"/>
          <w:sz w:val="24"/>
        </w:rPr>
        <w:t xml:space="preserve"> </w:t>
      </w:r>
    </w:p>
    <w:p w14:paraId="07F2F989" w14:textId="3B4CB5A4" w:rsidR="00FB493A" w:rsidRDefault="007A6C83" w:rsidP="00BA6354">
      <w:p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Pe lângă impactul invaziei ruse, piețele mondiale ale îngrășămintelor au fost puternic afectate de perturbările pieței. Principalele țări producătoare, precum Rusia și China, au impus restricții la export, care au afectat 20 % din comerțul mondial cu îngrășăminte exprimat în nutrienți</w:t>
      </w:r>
      <w:r>
        <w:rPr>
          <w:rStyle w:val="FootnoteReference"/>
          <w:rFonts w:ascii="Times New Roman" w:eastAsiaTheme="minorEastAsia" w:hAnsi="Times New Roman" w:cs="Times New Roman"/>
          <w:noProof/>
          <w:color w:val="000000" w:themeColor="text1"/>
          <w:sz w:val="24"/>
          <w:szCs w:val="24"/>
          <w:lang w:val="en-IE"/>
        </w:rPr>
        <w:footnoteReference w:id="28"/>
      </w:r>
      <w:r>
        <w:rPr>
          <w:rFonts w:ascii="Times New Roman" w:hAnsi="Times New Roman"/>
          <w:noProof/>
          <w:color w:val="000000" w:themeColor="text1"/>
          <w:sz w:val="24"/>
        </w:rPr>
        <w:t>. UE a depus toate eforturile pentru a coopera cu partenerii săi și cu organizațiile internaționale, cu scopul de a evita astfel de restricții în calea comerțului.</w:t>
      </w:r>
    </w:p>
    <w:p w14:paraId="0F5BB438" w14:textId="77777777" w:rsidR="0045137E" w:rsidRPr="0045137E" w:rsidRDefault="0045137E" w:rsidP="0082240B">
      <w:pPr>
        <w:pStyle w:val="Heading2"/>
        <w:rPr>
          <w:noProof/>
        </w:rPr>
      </w:pPr>
      <w:r>
        <w:rPr>
          <w:noProof/>
        </w:rPr>
        <w:t>Sprijin pentru țările partenere: gestionarea durabilă a fertilității solului și capacitățile de producție ale fermierilor</w:t>
      </w:r>
    </w:p>
    <w:p w14:paraId="4C1D8BB4" w14:textId="77777777" w:rsidR="00826D57" w:rsidRDefault="00826D57" w:rsidP="00BA6354">
      <w:p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Nivelurile globale ale consumului de îngrășăminte minerale pe hectar de teren arabil variază considerabil</w:t>
      </w:r>
      <w:r>
        <w:rPr>
          <w:rFonts w:ascii="Times New Roman" w:eastAsiaTheme="minorEastAsia" w:hAnsi="Times New Roman" w:cs="Times New Roman"/>
          <w:noProof/>
          <w:color w:val="000000" w:themeColor="text1"/>
          <w:sz w:val="24"/>
          <w:szCs w:val="24"/>
          <w:vertAlign w:val="superscript"/>
        </w:rPr>
        <w:footnoteReference w:id="29"/>
      </w:r>
      <w:r>
        <w:rPr>
          <w:rFonts w:ascii="Times New Roman" w:hAnsi="Times New Roman"/>
          <w:noProof/>
          <w:color w:val="000000" w:themeColor="text1"/>
          <w:sz w:val="24"/>
        </w:rPr>
        <w:t xml:space="preserve">. </w:t>
      </w:r>
      <w:r>
        <w:rPr>
          <w:rFonts w:ascii="Times New Roman" w:hAnsi="Times New Roman"/>
          <w:b/>
          <w:noProof/>
          <w:color w:val="000000" w:themeColor="text1"/>
          <w:sz w:val="24"/>
        </w:rPr>
        <w:t>Practicile agricole diversificate</w:t>
      </w:r>
      <w:r>
        <w:rPr>
          <w:rFonts w:ascii="Times New Roman" w:hAnsi="Times New Roman"/>
          <w:noProof/>
          <w:color w:val="000000" w:themeColor="text1"/>
          <w:sz w:val="24"/>
        </w:rPr>
        <w:t xml:space="preserve">, accesul la apă, formarea adaptată și serviciile de consiliere rurală, drepturile funciare garantate, accesul echitabil la semințe de calitate și accesul la credite se numără printre principalele pârghii pentru sprijinirea producției și a strategiilor de reziliență ale fermierilor. Acești factori sunt esențiali, în special în zonele în care degradarea terenurilor duce la un răspuns scăzut în urma aplicării de îngrășăminte. </w:t>
      </w:r>
    </w:p>
    <w:p w14:paraId="24855D8C" w14:textId="77777777" w:rsidR="00826D57" w:rsidRPr="00826D57" w:rsidRDefault="00826D57" w:rsidP="00826D57">
      <w:p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 xml:space="preserve">În acest context și în conformitate cu strategiile sale „De la fermă la consumator” și privind biodiversitatea, Comisia se angajează să pregătească, la nivel mondial, terenul pentru </w:t>
      </w:r>
      <w:r>
        <w:rPr>
          <w:rFonts w:ascii="Times New Roman" w:hAnsi="Times New Roman"/>
          <w:b/>
          <w:noProof/>
          <w:color w:val="000000" w:themeColor="text1"/>
          <w:sz w:val="24"/>
        </w:rPr>
        <w:t>abordări inovatoare în sprijinul gestionării integrate a fertilității solului</w:t>
      </w:r>
      <w:r>
        <w:rPr>
          <w:rFonts w:ascii="Times New Roman" w:hAnsi="Times New Roman"/>
          <w:noProof/>
          <w:color w:val="000000" w:themeColor="text1"/>
          <w:sz w:val="24"/>
        </w:rPr>
        <w:t>, aplicând un set divers de soluții specifice sitului pentru fertilizarea solului, care să conducă la câștiguri de producție durabile. Agroecosistemele diversificate, un conținut mai mare de materii organice în sol și o mai bună gestionare a ciclului nutrienților (i) sporesc reziliența la schimbările climatice, (ii) contribuie la atenuarea schimbărilor climatice printr-o mai mare stocare a carbonului în sol și (iii) îmbunătățesc conservarea biodiversității.</w:t>
      </w:r>
    </w:p>
    <w:p w14:paraId="2B627F94" w14:textId="08E11A1E" w:rsidR="00826D57" w:rsidRPr="00826D57" w:rsidRDefault="00687366" w:rsidP="00826D57">
      <w:p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Deși</w:t>
      </w:r>
      <w:r>
        <w:rPr>
          <w:rFonts w:ascii="Times New Roman" w:hAnsi="Times New Roman"/>
          <w:noProof/>
          <w:sz w:val="24"/>
        </w:rPr>
        <w:t xml:space="preserve"> nu toți fermierii sunt afectați în același mod și la aceeași scară în fiecare țară, </w:t>
      </w:r>
      <w:r>
        <w:rPr>
          <w:rFonts w:ascii="Times New Roman" w:hAnsi="Times New Roman"/>
          <w:noProof/>
          <w:color w:val="000000" w:themeColor="text1"/>
          <w:sz w:val="24"/>
        </w:rPr>
        <w:t xml:space="preserve">UE îi ajută pe partenerii săi să își reducă dependența de îngrășămintele importate și de îngrășămintele minerale prin investiții în alternative, inclusiv în îngrășăminte organice, precum și în </w:t>
      </w:r>
      <w:r>
        <w:rPr>
          <w:rFonts w:ascii="Times New Roman" w:hAnsi="Times New Roman"/>
          <w:b/>
          <w:noProof/>
          <w:color w:val="000000" w:themeColor="text1"/>
          <w:sz w:val="24"/>
        </w:rPr>
        <w:t>agricultura durabilă și gestionarea fertilității solului</w:t>
      </w:r>
      <w:r>
        <w:rPr>
          <w:rFonts w:ascii="Times New Roman" w:hAnsi="Times New Roman"/>
          <w:noProof/>
          <w:color w:val="000000" w:themeColor="text1"/>
          <w:sz w:val="24"/>
        </w:rPr>
        <w:t xml:space="preserve">. Aceasta este o componentă-cheie a implementării căilor de transformare a sistemelor alimentare naționale conduse de fiecare țară, în urma Summitului ONU privind sistemele alimentare din 2021. În acest scop, vor fi concepute o serie de intervenții finanțate din Instrumentul </w:t>
      </w:r>
      <w:r>
        <w:rPr>
          <w:rFonts w:ascii="Times New Roman" w:hAnsi="Times New Roman"/>
          <w:noProof/>
          <w:color w:val="000000" w:themeColor="text1"/>
          <w:sz w:val="24"/>
        </w:rPr>
        <w:lastRenderedPageBreak/>
        <w:t>IVCDCI</w:t>
      </w:r>
      <w:r>
        <w:rPr>
          <w:rStyle w:val="FootnoteReference"/>
          <w:rFonts w:ascii="Times New Roman" w:eastAsiaTheme="minorEastAsia" w:hAnsi="Times New Roman" w:cs="Times New Roman"/>
          <w:noProof/>
          <w:color w:val="000000" w:themeColor="text1"/>
          <w:sz w:val="24"/>
          <w:szCs w:val="24"/>
        </w:rPr>
        <w:footnoteReference w:id="30"/>
      </w:r>
      <w:r>
        <w:rPr>
          <w:rFonts w:ascii="Times New Roman" w:hAnsi="Times New Roman"/>
          <w:noProof/>
          <w:color w:val="000000" w:themeColor="text1"/>
          <w:sz w:val="24"/>
        </w:rPr>
        <w:t>– Europa globală, inclusiv din noul Mecanism pentru alimente și reziliență în valoare de 225 de milioane EUR pentru țările din Africa de Nord și din Orientul Mijlociu, precum și din pachetul pentru dezvoltare al sprijinului în valoare de 600 de milioane EUR anunțat recent din rezervele FED pentru țările ACP și din Mecanismul pentru alimente și reziliență. În special, UE:</w:t>
      </w:r>
    </w:p>
    <w:p w14:paraId="7CC521AF" w14:textId="77777777" w:rsidR="00826D57" w:rsidRPr="00826D57"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va facilita dialogul și schimbul de experiență, sprijinirea activităților de cercetare și inovare, în special în țările cu un nivel ridicat de utilizare a îngrășămintelor și/sau cu o eficiență scăzută a utilizării nutrienților;</w:t>
      </w:r>
    </w:p>
    <w:p w14:paraId="31AA3D5F" w14:textId="77777777" w:rsidR="00826D57" w:rsidRPr="00826D57"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va colabora îndeaproape cu organizațiile de fermieri din cadrul unor lanțuri valorice agricole specifice și le va corela în mod sistematic cu organizațiile de cercetare agricolă și cu sectorul privat, bazându-se, printre altele, pe portofoliile DeSIRA și AMSC+</w:t>
      </w:r>
      <w:r>
        <w:rPr>
          <w:rStyle w:val="FootnoteReference"/>
          <w:rFonts w:ascii="Times New Roman" w:eastAsiaTheme="minorEastAsia" w:hAnsi="Times New Roman" w:cs="Times New Roman"/>
          <w:noProof/>
          <w:color w:val="000000" w:themeColor="text1"/>
          <w:sz w:val="24"/>
          <w:szCs w:val="24"/>
        </w:rPr>
        <w:footnoteReference w:id="31"/>
      </w:r>
      <w:r>
        <w:rPr>
          <w:rFonts w:ascii="Times New Roman" w:hAnsi="Times New Roman"/>
          <w:noProof/>
          <w:color w:val="000000" w:themeColor="text1"/>
          <w:sz w:val="24"/>
        </w:rPr>
        <w:t>;</w:t>
      </w:r>
    </w:p>
    <w:p w14:paraId="6B0136A8" w14:textId="0A31E585" w:rsidR="00826D57" w:rsidRPr="00826D57" w:rsidRDefault="00826D57"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va promova abordările agroecologice, inclusiv în ceea ce privește lanțurile valorice și culturile concrete, precum și practicile agricole durabile care sunt esențiale pentru îmbunătățirea și susținerea fertilității solului (leguminoase și proteine vegetale, culturi de protecție, agrosilvicultură, policultură-șeptel etc.). De exemplu, astfel de acțiuni vor fi adoptate în Maroc, Tunisia, Egipt, Iordania, Liban și Siria în cadrul „Mecanismului regional pentru alimente și reziliență”, în valoare de 225 de milioane EUR;</w:t>
      </w:r>
    </w:p>
    <w:p w14:paraId="289AC05F" w14:textId="77777777" w:rsidR="00826D57" w:rsidRDefault="00D37FDF" w:rsidP="00826D57">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 xml:space="preserve">va îmbunătăți accesul la îngrășăminte și utilizarea eficientă a acestora pentru micii fermieri prin instrumente transparente și bine orientate (de exemplu, bonuri valorice electronice, scheme de coplată, utilizarea microdozelor pentru o mai mare eficiență), servicii de consiliere eficiente (calcularea bilanțurilor nutrienților, mobilizarea diferitelor surse de nutrienți) și programe îmbunătățite de subvenționare publică a factorilor de producție pentru îngrășămintele minerale și organice; </w:t>
      </w:r>
    </w:p>
    <w:p w14:paraId="53D2C15F" w14:textId="77777777" w:rsidR="00806379" w:rsidRPr="00601FFB" w:rsidRDefault="00826D57" w:rsidP="00806379">
      <w:pPr>
        <w:numPr>
          <w:ilvl w:val="0"/>
          <w:numId w:val="21"/>
        </w:num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sz w:val="24"/>
        </w:rPr>
        <w:t>va promova parteneriatele strategice în curs, în special cu CGIAR</w:t>
      </w:r>
      <w:r>
        <w:rPr>
          <w:rStyle w:val="FootnoteReference"/>
          <w:rFonts w:ascii="Times New Roman" w:eastAsiaTheme="minorEastAsia" w:hAnsi="Times New Roman" w:cs="Times New Roman"/>
          <w:noProof/>
          <w:color w:val="000000" w:themeColor="text1"/>
          <w:sz w:val="24"/>
          <w:szCs w:val="24"/>
        </w:rPr>
        <w:footnoteReference w:id="32"/>
      </w:r>
      <w:r>
        <w:rPr>
          <w:rFonts w:ascii="Times New Roman" w:hAnsi="Times New Roman"/>
          <w:noProof/>
          <w:sz w:val="24"/>
        </w:rPr>
        <w:t>, cu Fondul Internațional pentru Dezvoltare Agricolă (</w:t>
      </w:r>
      <w:r>
        <w:rPr>
          <w:rFonts w:ascii="Times New Roman" w:hAnsi="Times New Roman"/>
          <w:noProof/>
          <w:color w:val="000000" w:themeColor="text1"/>
          <w:sz w:val="24"/>
        </w:rPr>
        <w:t>IFAD) și cu FAO, pentru a consolida gestionarea durabilă a fertilității solului și pentru a facilita abordările agroecologice.</w:t>
      </w:r>
      <w:r>
        <w:rPr>
          <w:rFonts w:ascii="Times New Roman" w:hAnsi="Times New Roman"/>
          <w:noProof/>
          <w:sz w:val="24"/>
        </w:rPr>
        <w:t xml:space="preserve"> </w:t>
      </w:r>
    </w:p>
    <w:p w14:paraId="57513094" w14:textId="5D238593" w:rsidR="00806379" w:rsidRPr="00826D57" w:rsidRDefault="00806379" w:rsidP="00806379">
      <w:pPr>
        <w:spacing w:afterLines="120" w:after="288"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sz w:val="24"/>
        </w:rPr>
        <w:t xml:space="preserve">În paralel, UE urmărește să își consolideze în continuare </w:t>
      </w:r>
      <w:r>
        <w:rPr>
          <w:rFonts w:ascii="Times New Roman" w:hAnsi="Times New Roman"/>
          <w:b/>
          <w:noProof/>
          <w:sz w:val="24"/>
        </w:rPr>
        <w:t>asistența alimentară umanitară</w:t>
      </w:r>
      <w:r>
        <w:rPr>
          <w:rFonts w:ascii="Times New Roman" w:hAnsi="Times New Roman"/>
          <w:noProof/>
          <w:sz w:val="24"/>
        </w:rPr>
        <w:t xml:space="preserve">, care se ridică deja la peste 900 de milioane EUR până în prezent în 2022. Cu </w:t>
      </w:r>
      <w:r>
        <w:rPr>
          <w:rFonts w:ascii="Times New Roman" w:hAnsi="Times New Roman"/>
          <w:noProof/>
          <w:sz w:val="24"/>
        </w:rPr>
        <w:lastRenderedPageBreak/>
        <w:t>aproximativ 55 % mai mult decât anul trecut și cu aproape 80 % mai mult decât în 2020. Fondurile vor fi utilizate pentru a consolida securitatea alimentară și starea nutrițională a populațiilor vulnerabile prin modalități care ar urma să varieze în funcție de țară și de contextele regionale (asistență alimentară directă în natură/în numerar, inclusiv numerar cu scopuri multiple, nutriție).</w:t>
      </w:r>
    </w:p>
    <w:p w14:paraId="60C17A27" w14:textId="77777777" w:rsidR="0045137E" w:rsidRPr="0045137E" w:rsidRDefault="0045137E" w:rsidP="0082240B">
      <w:pPr>
        <w:pStyle w:val="Heading2"/>
        <w:rPr>
          <w:noProof/>
        </w:rPr>
      </w:pPr>
      <w:r>
        <w:rPr>
          <w:noProof/>
        </w:rPr>
        <w:t>Transparența pieței și Sistemul de informații privind piața agricolă (AMIS) al G20</w:t>
      </w:r>
    </w:p>
    <w:p w14:paraId="79780295" w14:textId="18555EC4" w:rsidR="00826D57" w:rsidRDefault="00826D57" w:rsidP="00BA635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UE va continua să promoveze </w:t>
      </w:r>
      <w:r>
        <w:rPr>
          <w:rFonts w:ascii="Times New Roman" w:hAnsi="Times New Roman"/>
          <w:b/>
          <w:noProof/>
          <w:sz w:val="24"/>
        </w:rPr>
        <w:t>transparența pieței pentru a asigura stabilitatea piețelor</w:t>
      </w:r>
      <w:r>
        <w:rPr>
          <w:rFonts w:ascii="Times New Roman" w:hAnsi="Times New Roman"/>
          <w:noProof/>
          <w:sz w:val="24"/>
        </w:rPr>
        <w:t xml:space="preserve"> și pentru a evita perturbarea pieței și creșterea bruscă a prețurilor. Comisia salută extinderea acoperirii AMIS a G20 pentru a include piața îngrășămintelor și se angajează să furnizeze secretariatului AMIS toate datele și sprijinul necesare. În acest sens, Comisia analizează împreună cu statele membre posibilitățile de creștere a finanțării AMIS.</w:t>
      </w:r>
    </w:p>
    <w:p w14:paraId="48438A5C" w14:textId="36C84679" w:rsidR="00155BC4" w:rsidRDefault="00155BC4" w:rsidP="004A04AA">
      <w:pPr>
        <w:pStyle w:val="Heading2"/>
        <w:rPr>
          <w:noProof/>
        </w:rPr>
      </w:pPr>
      <w:r>
        <w:rPr>
          <w:noProof/>
        </w:rPr>
        <w:t>Facilitarea comerțului mondial cu îngrășăminte</w:t>
      </w:r>
    </w:p>
    <w:p w14:paraId="0AEC66F3" w14:textId="5765CFBB" w:rsidR="00180230" w:rsidRPr="0033678E" w:rsidRDefault="00180230" w:rsidP="004A04AA">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UE va continua să pledeze împotriva măsurilor de restricționare sau de interzicere a exportului de îngrășăminte, astfel cum se reflectă în comunicarea Comisiei din 23 martie. UE va continua să colaboreze îndeaproape cu alte țări în cadrul forurilor internaționale (în special în cadrul OMC, G7, FAO) împotriva restricțiilor comerciale sau a interdicțiilor la exportul de îngrășăminte și va asigura un mediu comercial deschis, transparent și previzibil. În acest sens, UE va promova acțiuni de creștere a transparenței în ceea ce privește restricțiile la export, inclusiv în cazul îngrășămintelor, ca modalitate de punere în aplicare a angajamentelor asumate în temeiul declarației privind insecuritatea alimentară convenite în ultima conferință ministerială a OMC.  </w:t>
      </w:r>
    </w:p>
    <w:p w14:paraId="4E71D4EA" w14:textId="77DF0AD4" w:rsidR="0056236C" w:rsidRPr="0056236C" w:rsidRDefault="00AB0D0E" w:rsidP="00180230">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Noile rute logistice extinse create de </w:t>
      </w:r>
      <w:r>
        <w:rPr>
          <w:rFonts w:ascii="Times New Roman" w:hAnsi="Times New Roman"/>
          <w:b/>
          <w:noProof/>
          <w:sz w:val="24"/>
        </w:rPr>
        <w:t>culoarele de solidaritate UE-Ucraina</w:t>
      </w:r>
      <w:r>
        <w:rPr>
          <w:rFonts w:ascii="Times New Roman" w:hAnsi="Times New Roman"/>
          <w:noProof/>
          <w:sz w:val="24"/>
        </w:rPr>
        <w:t xml:space="preserve"> au devenit coridoare esențiale pentru exporturile Ucrainei, atât în sectorul agricol, cât și în alte sectoare. Începând cu luna august, </w:t>
      </w:r>
      <w:r>
        <w:rPr>
          <w:rFonts w:ascii="Times New Roman" w:hAnsi="Times New Roman"/>
          <w:b/>
          <w:noProof/>
          <w:sz w:val="24"/>
        </w:rPr>
        <w:t>inițiativa privind exportul de cereale prin Marea Neagră</w:t>
      </w:r>
      <w:r>
        <w:rPr>
          <w:rFonts w:ascii="Times New Roman" w:hAnsi="Times New Roman"/>
          <w:noProof/>
          <w:sz w:val="24"/>
        </w:rPr>
        <w:t>, intermediată de ONU, a contribuit la relansarea transporturilor de cereale din porturile ucrainene de la Marea Neagră. Împreună, ambele inițiative au permis exportul a peste 22 de milioane de tone de cereale, semințe oleaginoase și produse conexe din Ucraina în perioada cuprinsă între lunile mai și octombrie. O parte semnificativă a acestor produse agricole a ajuns în țări partenere aflate în dificultate.</w:t>
      </w:r>
    </w:p>
    <w:p w14:paraId="68BBC833" w14:textId="48A3F581" w:rsidR="00155BC4" w:rsidRPr="001821E2" w:rsidRDefault="007A2FED" w:rsidP="00155BC4">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 xml:space="preserve">În același timp, UE </w:t>
      </w:r>
      <w:r>
        <w:rPr>
          <w:rFonts w:ascii="Times New Roman" w:hAnsi="Times New Roman"/>
          <w:b/>
          <w:noProof/>
          <w:sz w:val="24"/>
        </w:rPr>
        <w:t>a exceptat, în esență, sectorul agroalimentar și îngrășămintele de la măsurile sale restrictive împotriva Rusiei</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Întrucât aceste sancțiuni nu sunt extrateritoriale, ele nu se aplică întreprinderilor din afara UE și nici persoanelor fizice care își desfășoară activitatea în întregime în afara UE. În plus, se permite ca transferul </w:t>
      </w:r>
      <w:r>
        <w:rPr>
          <w:rFonts w:ascii="Times New Roman" w:hAnsi="Times New Roman"/>
          <w:noProof/>
          <w:sz w:val="24"/>
        </w:rPr>
        <w:lastRenderedPageBreak/>
        <w:t>îngrășămintelor pe bază de potasă, originare sau exportate din Rusia către țări din afara UE, să fie efectuat de către operatorii din UE sau pe teritoriul UE</w:t>
      </w:r>
      <w:r>
        <w:rPr>
          <w:rStyle w:val="FootnoteReference"/>
          <w:rFonts w:ascii="Times New Roman" w:hAnsi="Times New Roman" w:cs="Times New Roman"/>
          <w:noProof/>
          <w:sz w:val="24"/>
          <w:szCs w:val="24"/>
        </w:rPr>
        <w:footnoteReference w:id="34"/>
      </w:r>
      <w:r>
        <w:rPr>
          <w:rFonts w:ascii="Times New Roman" w:hAnsi="Times New Roman"/>
          <w:noProof/>
          <w:sz w:val="24"/>
        </w:rPr>
        <w:t>. Finanțarea sau asistența financiară asociată cu astfel de transferuri este permisă, la fel ca și furnizarea de asigurări. În plus, sancțiunile UE conțin, de asemenea, dispoziții specifice pentru a se asigura că tranzacțiile cu produse agricole rusești, inclusiv îngrășăminte, se pot derula fără probleme. Comisia a emis orientări în acest sens, pentru a sprijini statele membre în punerea în aplicare eficace și uniformă a sancțiunilor impuse de UE, ceea ce este esențial pentru sectorul agroalimentar. În plus, Comisia continuă să colaboreze îndeaproape cu statele membre și cu organizațiile internaționale pentru a se asigura că orientările și punerea în aplicare de către autoritățile competente sunt transparente și coerente, permițând industriei să mențină lanțuri de aprovizionare funcționale în deplină conformitate cu sancțiunile UE și contribuind la disponibilitatea îngrășămintelor pentru fermieri. Sancțiunile UE au un obiectiv clar: să descurajeze războiul de agresiune purtat de Rusia în Ucraina și să răspundă la acesta. Din acest motiv, sancțiunile UE impun restricții asupra unor sectoare-cheie ale economiei pentru a împiedica finanțarea unor venituri semnificative pentru mașina de război rusă și pentru a îngheța activele persoanelor și entităților care sprijină războiul. Cu toate acestea, contrar afirmațiilor din propaganda rusă, aceste obiective nu sunt incompatibile cu securitatea alimentară.</w:t>
      </w:r>
    </w:p>
    <w:p w14:paraId="0C07F4DC" w14:textId="77777777" w:rsidR="00826D57" w:rsidRPr="00826D57" w:rsidRDefault="006E63DC" w:rsidP="0082240B">
      <w:pPr>
        <w:pStyle w:val="Heading2"/>
        <w:rPr>
          <w:noProof/>
        </w:rPr>
      </w:pPr>
      <w:r>
        <w:rPr>
          <w:noProof/>
        </w:rPr>
        <w:t>Abordarea obținerii accesibilității prețurilor printr-un spațiu fiscal sporit</w:t>
      </w:r>
    </w:p>
    <w:p w14:paraId="28495099" w14:textId="1E36EB65" w:rsidR="00826D57" w:rsidRDefault="00826D57" w:rsidP="00826D57">
      <w:pPr>
        <w:spacing w:afterLines="120" w:after="288" w:line="240" w:lineRule="auto"/>
        <w:jc w:val="both"/>
        <w:rPr>
          <w:rFonts w:ascii="Times New Roman" w:hAnsi="Times New Roman" w:cs="Times New Roman"/>
          <w:bCs/>
          <w:noProof/>
          <w:sz w:val="24"/>
          <w:szCs w:val="24"/>
        </w:rPr>
      </w:pPr>
      <w:r>
        <w:rPr>
          <w:rFonts w:ascii="Times New Roman" w:hAnsi="Times New Roman"/>
          <w:noProof/>
          <w:sz w:val="24"/>
        </w:rPr>
        <w:t xml:space="preserve">Creșterea prețurilor de import la alimente și îngrășăminte și perturbarea lanțurilor de aprovizionare pentru importatorii de alimente, precum și pierderea de venituri pentru unii exportatori de alimente, contribuie la </w:t>
      </w:r>
      <w:r>
        <w:rPr>
          <w:rFonts w:ascii="Times New Roman" w:hAnsi="Times New Roman"/>
          <w:b/>
          <w:bCs/>
          <w:noProof/>
          <w:sz w:val="24"/>
        </w:rPr>
        <w:t>nevoi</w:t>
      </w:r>
      <w:r>
        <w:rPr>
          <w:rFonts w:ascii="Times New Roman" w:hAnsi="Times New Roman"/>
          <w:noProof/>
          <w:sz w:val="24"/>
        </w:rPr>
        <w:t xml:space="preserve"> urgente </w:t>
      </w:r>
      <w:r>
        <w:rPr>
          <w:rFonts w:ascii="Times New Roman" w:hAnsi="Times New Roman"/>
          <w:b/>
          <w:noProof/>
          <w:sz w:val="24"/>
        </w:rPr>
        <w:t>legate de balanța de plăți</w:t>
      </w:r>
      <w:r>
        <w:rPr>
          <w:rFonts w:ascii="Times New Roman" w:hAnsi="Times New Roman"/>
          <w:noProof/>
          <w:sz w:val="24"/>
        </w:rPr>
        <w:t xml:space="preserve"> pentru anumite țări din afara UE. Contribuția în valoare de 100 de milioane EUR a UE la Fondul FMI pentru reducerea sărăciei și creșterea economică (PRGT) și efectul său de pârghie vor sprijini țările vulnerabile care au înregistrat o creștere a facturilor de import. FMI a lansat recent</w:t>
      </w:r>
      <w:r>
        <w:rPr>
          <w:rFonts w:ascii="Times New Roman" w:hAnsi="Times New Roman"/>
          <w:b/>
          <w:noProof/>
          <w:sz w:val="24"/>
        </w:rPr>
        <w:t xml:space="preserve"> </w:t>
      </w:r>
      <w:r>
        <w:rPr>
          <w:rFonts w:ascii="Times New Roman" w:hAnsi="Times New Roman"/>
          <w:noProof/>
          <w:sz w:val="24"/>
        </w:rPr>
        <w:t>o</w:t>
      </w:r>
      <w:r>
        <w:rPr>
          <w:rFonts w:ascii="Times New Roman" w:hAnsi="Times New Roman"/>
          <w:b/>
          <w:noProof/>
          <w:sz w:val="24"/>
        </w:rPr>
        <w:t xml:space="preserve"> </w:t>
      </w:r>
      <w:r>
        <w:rPr>
          <w:rFonts w:ascii="Times New Roman" w:hAnsi="Times New Roman"/>
          <w:noProof/>
          <w:sz w:val="24"/>
        </w:rPr>
        <w:t>componentă privind șocurile alimentare. UE sprijină această componentă prin contribuția sa la PRGT, deoarece ajută țările ACP (în principal țări cu venituri mici) să aibă acces la împrumuturi preferențiale pentru a atenua consecințele crizei alimentare.</w:t>
      </w:r>
      <w:r>
        <w:rPr>
          <w:noProof/>
        </w:rPr>
        <w:t xml:space="preserve"> </w:t>
      </w:r>
      <w:r>
        <w:rPr>
          <w:rFonts w:ascii="Times New Roman" w:hAnsi="Times New Roman"/>
          <w:noProof/>
          <w:sz w:val="24"/>
        </w:rPr>
        <w:t>În plus, prin intermediul noului mecanism pentru securitate și reziliență alimentară în valoare de 225 de milioane EUR, UE va sprijini, printre altele, stabilizarea balanței de plăți în țările din vecinătatea sudică, iar acest sprijin ar trebui extins și mai mult în 2023.</w:t>
      </w:r>
    </w:p>
    <w:p w14:paraId="1FA5CBA9" w14:textId="77777777" w:rsidR="00826D57" w:rsidRPr="00826D57" w:rsidRDefault="00826D57" w:rsidP="0082240B">
      <w:pPr>
        <w:pStyle w:val="Heading2"/>
        <w:rPr>
          <w:noProof/>
        </w:rPr>
      </w:pPr>
      <w:r>
        <w:rPr>
          <w:noProof/>
        </w:rPr>
        <w:t>Consolidarea parteneriatelor cu instituțiile financiare internaționale</w:t>
      </w:r>
    </w:p>
    <w:p w14:paraId="3682D036" w14:textId="5DE5CB37" w:rsidR="00826D57" w:rsidRDefault="00826D57" w:rsidP="00826D57">
      <w:pPr>
        <w:spacing w:afterLines="120" w:after="288" w:line="240" w:lineRule="auto"/>
        <w:jc w:val="both"/>
        <w:rPr>
          <w:rFonts w:ascii="Times New Roman" w:hAnsi="Times New Roman" w:cs="Times New Roman"/>
          <w:noProof/>
          <w:sz w:val="24"/>
          <w:szCs w:val="24"/>
        </w:rPr>
      </w:pPr>
      <w:r>
        <w:rPr>
          <w:rFonts w:ascii="Times New Roman" w:hAnsi="Times New Roman"/>
          <w:noProof/>
          <w:sz w:val="24"/>
        </w:rPr>
        <w:t>UE va căuta modalități de consolidare a parteneriatelor și de dezvoltare a unor</w:t>
      </w:r>
      <w:r>
        <w:rPr>
          <w:rFonts w:ascii="Times New Roman" w:hAnsi="Times New Roman"/>
          <w:b/>
          <w:noProof/>
          <w:sz w:val="24"/>
        </w:rPr>
        <w:t xml:space="preserve"> investiții inovatoare și durabile în sectorul agricol</w:t>
      </w:r>
      <w:r>
        <w:rPr>
          <w:rFonts w:ascii="Times New Roman" w:hAnsi="Times New Roman"/>
          <w:noProof/>
          <w:sz w:val="24"/>
        </w:rPr>
        <w:t xml:space="preserve"> prin consolidarea cooperării cu instituțiile financiare internaționale în cadrul Global Gateway, ca parte a unui răspuns cuprinzător al Echipei Europa, inclusiv prin intermediul componentei de investiții pentru agricultură în arhitectura deschisă a Fondului european pentru dezvoltare durabilă (FEDD+). FEDD+ </w:t>
      </w:r>
      <w:r>
        <w:rPr>
          <w:rFonts w:ascii="Times New Roman" w:hAnsi="Times New Roman"/>
          <w:noProof/>
          <w:sz w:val="24"/>
        </w:rPr>
        <w:lastRenderedPageBreak/>
        <w:t>sprijină sistemele agricole</w:t>
      </w:r>
      <w:r>
        <w:rPr>
          <w:rFonts w:ascii="Times New Roman" w:hAnsi="Times New Roman"/>
          <w:i/>
          <w:noProof/>
          <w:sz w:val="24"/>
        </w:rPr>
        <w:t xml:space="preserve"> </w:t>
      </w:r>
      <w:r>
        <w:rPr>
          <w:rFonts w:ascii="Times New Roman" w:hAnsi="Times New Roman"/>
          <w:noProof/>
          <w:sz w:val="24"/>
        </w:rPr>
        <w:t>și lanțurile valorice inteligente din punct de vedere climatic. Portofoliul BERD acoperă deja investiții semnificative în sectorul agroalimentar privat. Banca Europeană de Investiții va pune la dispoziția Fondului Internațional pentru Dezvoltarea Agricolă (FIDA) un împrumut preferențial în valoare de 500 de milioane EUR pentru a finanța investiții care stimulează producția agricolă durabilă și generează reziliență.</w:t>
      </w:r>
    </w:p>
    <w:p w14:paraId="537A7BD6" w14:textId="53B1E19C" w:rsidR="00826D57" w:rsidRPr="00826D57" w:rsidRDefault="00826D57" w:rsidP="0082240B">
      <w:pPr>
        <w:pStyle w:val="Heading2"/>
        <w:rPr>
          <w:noProof/>
        </w:rPr>
      </w:pPr>
      <w:r>
        <w:rPr>
          <w:noProof/>
        </w:rPr>
        <w:t>Comunicarea strategică și combaterea dezinformării</w:t>
      </w:r>
    </w:p>
    <w:p w14:paraId="1CEDA0E1" w14:textId="77777777" w:rsidR="00826D57" w:rsidRDefault="00826D57" w:rsidP="00826D57">
      <w:pPr>
        <w:spacing w:afterLines="120" w:after="288" w:line="240" w:lineRule="auto"/>
        <w:jc w:val="both"/>
        <w:rPr>
          <w:rFonts w:ascii="Times New Roman" w:hAnsi="Times New Roman" w:cs="Times New Roman"/>
          <w:bCs/>
          <w:noProof/>
          <w:sz w:val="24"/>
          <w:szCs w:val="24"/>
        </w:rPr>
      </w:pPr>
      <w:r>
        <w:rPr>
          <w:rFonts w:ascii="Times New Roman" w:hAnsi="Times New Roman"/>
          <w:noProof/>
          <w:sz w:val="24"/>
        </w:rPr>
        <w:t>Comisia va intensifica comunicarea comună privind eforturile sale în materie de îngrășăminte la nivel multilateral, regional și național, inclusiv prin intermediul delegațiilor UE, pentru a aborda percepțiile și preocupările din țările partenere. În paralel, UE va continua să monitorizeze și să combată activitățile Rusiei de manipulare a informațiilor și de interferență care vizează deturnarea responsabilității pentru criza securității alimentare de la războiul său de agresiune împotriva Ucrainei, inclusiv prin canalele publice ale UE, cum ar fi EUvsDisinfo, și cu parteneri care împărtășesc aceeași viziune, precum cei din cadrul G7 și NATO.</w:t>
      </w:r>
    </w:p>
    <w:p w14:paraId="63418CEF" w14:textId="13B8DE3B" w:rsidR="009515A5" w:rsidRDefault="009515A5" w:rsidP="00BA6354">
      <w:pPr>
        <w:pStyle w:val="Heading1"/>
        <w:spacing w:before="0" w:afterLines="120" w:after="288"/>
        <w:rPr>
          <w:noProof/>
        </w:rPr>
      </w:pPr>
      <w:bookmarkStart w:id="6" w:name="_Toc1339584508"/>
      <w:bookmarkStart w:id="7" w:name="_Toc1076767797"/>
      <w:bookmarkStart w:id="8" w:name="_Toc1979169824"/>
      <w:bookmarkStart w:id="9" w:name="_Toc617652357"/>
      <w:bookmarkStart w:id="10" w:name="_Toc1437844666"/>
      <w:bookmarkStart w:id="11" w:name="_Toc52962447"/>
      <w:bookmarkStart w:id="12" w:name="_Toc9032860"/>
      <w:bookmarkStart w:id="13" w:name="_Toc123819021"/>
      <w:bookmarkStart w:id="14" w:name="_Toc2057630816"/>
      <w:bookmarkStart w:id="15" w:name="_Toc907404370"/>
      <w:bookmarkStart w:id="16" w:name="_Toc1234157050"/>
      <w:bookmarkStart w:id="17" w:name="_Toc401970024"/>
      <w:bookmarkStart w:id="18" w:name="_Toc1202860919"/>
      <w:bookmarkStart w:id="19" w:name="_Toc1106897486"/>
      <w:bookmarkStart w:id="20" w:name="_Toc922555665"/>
      <w:bookmarkStart w:id="21" w:name="_Toc1698179253"/>
      <w:bookmarkStart w:id="22" w:name="_Toc441743690"/>
      <w:bookmarkStart w:id="23" w:name="_Toc466341556"/>
      <w:bookmarkStart w:id="24" w:name="_Toc1920453207"/>
      <w:bookmarkStart w:id="25" w:name="_Toc100862254"/>
      <w:bookmarkStart w:id="26" w:name="_Toc1016252085"/>
      <w:bookmarkStart w:id="27" w:name="_Toc679240824"/>
      <w:bookmarkStart w:id="28" w:name="_Toc25176464"/>
      <w:bookmarkStart w:id="29" w:name="_Toc97811385"/>
      <w:bookmarkEnd w:id="5"/>
      <w:r>
        <w:rPr>
          <w:noProof/>
        </w:rPr>
        <w:t>Concluzie</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64C8ABAD" w14:textId="0907856F" w:rsidR="00826D57" w:rsidRDefault="00826D57" w:rsidP="00703EBA">
      <w:pPr>
        <w:pStyle w:val="Text1"/>
        <w:spacing w:afterLines="120" w:after="288"/>
        <w:ind w:left="0"/>
        <w:rPr>
          <w:rFonts w:eastAsiaTheme="minorHAnsi"/>
          <w:noProof/>
          <w:szCs w:val="24"/>
        </w:rPr>
      </w:pPr>
      <w:r>
        <w:rPr>
          <w:noProof/>
        </w:rPr>
        <w:t>Îngrășămintele sunt importante pentru asigurarea producției continue de alimente și furaje în UE și la nivel mondial. Prețurile ridicate ale gazelor și războiul de agresiune al Rusiei împotriva Ucrainei, pe lângă dependența de un număr limitat de furnizori – inclusiv Rusia – au pus în pericol disponibilitatea și accesibilitatea prețurilor îngrășămintelor, periclitând securitatea alimentară, în special în țările cele mai vulnerabile din lume.</w:t>
      </w:r>
    </w:p>
    <w:p w14:paraId="29D135F3" w14:textId="4010C936" w:rsidR="00016862" w:rsidRDefault="00E074EB" w:rsidP="006A20FE">
      <w:pPr>
        <w:pStyle w:val="Text1"/>
        <w:spacing w:afterLines="120" w:after="288"/>
        <w:ind w:left="0"/>
        <w:rPr>
          <w:noProof/>
          <w:szCs w:val="24"/>
        </w:rPr>
      </w:pPr>
      <w:r>
        <w:rPr>
          <w:noProof/>
        </w:rPr>
        <w:t xml:space="preserve">În acest context, sunt necesare acțiuni pe termen scurt pentru a sprijini fermierii și producătorii de îngrășăminte. Acestea constau într-o mai mare transparență a pieței, în măsuri de asistență în beneficiul producătorilor de îngrășăminte și al fermierilor prin intermediul ajutoarelor de stat și al finanțării din partea UE, cum ar fi planurile strategice PAC și măsurile de piață din cadrul rezervei pentru agricultură, în diversificarea surselor de import de îngrășăminte și în măsuri de asigurare a securității gazelor și de limitare a prețurilor gazelor, sprijinind în același timp practicile agricole durabile pentru o mai bună utilizare a îngrășămintelor și pentru reducerea dependenței de îngrășăminte. Astfel de acțiuni ar trebui să rămână coerente cu obiectivele pe termen lung ale Pactului verde european și cu strategiile aferente acestuia. </w:t>
      </w:r>
    </w:p>
    <w:p w14:paraId="016EF98C" w14:textId="36D1CDCE" w:rsidR="006A20FE" w:rsidRPr="00A37159" w:rsidRDefault="006A20FE" w:rsidP="006A20FE">
      <w:pPr>
        <w:pStyle w:val="Text1"/>
        <w:spacing w:afterLines="120" w:after="288"/>
        <w:ind w:left="0"/>
        <w:rPr>
          <w:noProof/>
          <w:szCs w:val="24"/>
        </w:rPr>
      </w:pPr>
      <w:r>
        <w:rPr>
          <w:noProof/>
        </w:rPr>
        <w:t xml:space="preserve">UE va continua să colaboreze cu statele membre, cu băncile europene de dezvoltare, cu organizațiile internaționale, cu țările partenere și cu alți actori-cheie pentru a atenua impactul creșterii prețurilor îngrășămintelor asupra securității alimentare la nivel mondial și pentru a îmbunătăți utilizarea eficientă a acestora. UE s-a alăturat unor noi inițiative internaționale, cum ar fi provocările globale privind îngrășămintele, își intensifică parteneriatul cu instituțiile financiare internaționale și va continua să promoveze măsuri de asigurare a transparenței pieței mondiale și de evitare a restricțiilor la export. </w:t>
      </w:r>
    </w:p>
    <w:p w14:paraId="578BCCE8" w14:textId="53D15AC3" w:rsidR="00251D0E" w:rsidRDefault="00826D57" w:rsidP="00703EBA">
      <w:pPr>
        <w:pStyle w:val="Text1"/>
        <w:spacing w:afterLines="120" w:after="288"/>
        <w:ind w:left="0"/>
        <w:rPr>
          <w:noProof/>
          <w:szCs w:val="24"/>
        </w:rPr>
      </w:pPr>
      <w:r>
        <w:rPr>
          <w:noProof/>
        </w:rPr>
        <w:t xml:space="preserve">Pe termen mediu și lung, o parte importantă a soluției la provocările legate de aprovizionarea cu îngrășăminte, precum și de mediu și climă, constă în sprijinirea tranziției către utilizarea durabilă a îngrășămintelor și utilizarea unor alternative durabile </w:t>
      </w:r>
      <w:r>
        <w:rPr>
          <w:noProof/>
        </w:rPr>
        <w:lastRenderedPageBreak/>
        <w:t>la îngrășămintele minerale. Sprijinirea reciclării nutrienților din fluxurile de deșeuri și extinderea producției de amoniac verde vor fi acțiuni de însoțire esențiale.</w:t>
      </w:r>
      <w:r>
        <w:rPr>
          <w:rFonts w:asciiTheme="minorHAnsi" w:hAnsiTheme="minorHAnsi"/>
          <w:noProof/>
          <w:color w:val="000000"/>
          <w:sz w:val="22"/>
          <w:shd w:val="clear" w:color="auto" w:fill="FFFFFF"/>
        </w:rPr>
        <w:t xml:space="preserve"> </w:t>
      </w:r>
      <w:r>
        <w:rPr>
          <w:noProof/>
        </w:rPr>
        <w:t>Acest lucru va genera beneficii pentru fermieri, mediu și climă și, în același timp, va reduce dependența UE de îngrășămintele pe bază de combustibili fosili. Acest lucru ar trebui să meargă mână în mână cu continuarea acțiunilor, cum ar fi o mai bună transparență a pieței, diversificarea surselor de import, prevenirea restricțiilor pe piață și acțiuni care vizează o aprovizionare cu energie accesibilă și sigură.</w:t>
      </w:r>
    </w:p>
    <w:p w14:paraId="19682057" w14:textId="6295EEF6" w:rsidR="00A37159" w:rsidRDefault="00826D57" w:rsidP="00703EBA">
      <w:pPr>
        <w:pStyle w:val="Text1"/>
        <w:spacing w:afterLines="120" w:after="288"/>
        <w:ind w:left="0"/>
        <w:rPr>
          <w:noProof/>
          <w:szCs w:val="24"/>
        </w:rPr>
      </w:pPr>
      <w:r>
        <w:rPr>
          <w:noProof/>
        </w:rPr>
        <w:t>Această abordare oferă oportunități și pentru țările partenere ale UE. UE le va sprijini în ceea ce privește promovarea alternativelor la îngrășămintele minerale bazate pe gestionarea durabilă a fertilității solului.</w:t>
      </w:r>
    </w:p>
    <w:p w14:paraId="4AAD7117" w14:textId="1FD0E6E9" w:rsidR="003932CB" w:rsidRPr="00C51D3A" w:rsidRDefault="00826D57" w:rsidP="00703EBA">
      <w:pPr>
        <w:pStyle w:val="Text1"/>
        <w:spacing w:afterLines="120" w:after="288"/>
        <w:ind w:left="0"/>
        <w:rPr>
          <w:noProof/>
          <w:szCs w:val="24"/>
        </w:rPr>
      </w:pPr>
      <w:r>
        <w:rPr>
          <w:noProof/>
        </w:rPr>
        <w:t>Criza actuală constituie o oportunitate de a accelera tranziția către o agricultură durabilă și un sistem alimentar durabil, îndepărtându-ne de dependența de îngrășămintele sintetice, asigurând în același timp o aprovizionare cu îngrășăminte adecvată și la prețuri accesibile pentru fermierii din UE și din lume.</w:t>
      </w:r>
    </w:p>
    <w:sectPr w:rsidR="003932CB" w:rsidRPr="00C51D3A" w:rsidSect="00371E18">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709" w:right="1701" w:bottom="851"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96475" w14:textId="77777777" w:rsidR="0086707E" w:rsidRDefault="0086707E" w:rsidP="00DC0E84">
      <w:pPr>
        <w:spacing w:after="0" w:line="240" w:lineRule="auto"/>
      </w:pPr>
      <w:r>
        <w:separator/>
      </w:r>
    </w:p>
    <w:p w14:paraId="52FFC853" w14:textId="77777777" w:rsidR="0086707E" w:rsidRDefault="0086707E"/>
  </w:endnote>
  <w:endnote w:type="continuationSeparator" w:id="0">
    <w:p w14:paraId="6FE4F5B9" w14:textId="77777777" w:rsidR="0086707E" w:rsidRDefault="0086707E" w:rsidP="00DC0E84">
      <w:pPr>
        <w:spacing w:after="0" w:line="240" w:lineRule="auto"/>
      </w:pPr>
      <w:r>
        <w:continuationSeparator/>
      </w:r>
    </w:p>
    <w:p w14:paraId="3DB3BBFC" w14:textId="77777777" w:rsidR="0086707E" w:rsidRDefault="0086707E"/>
  </w:endnote>
  <w:endnote w:type="continuationNotice" w:id="1">
    <w:p w14:paraId="25AF1E05" w14:textId="77777777" w:rsidR="0086707E" w:rsidRDefault="0086707E">
      <w:pPr>
        <w:spacing w:after="0" w:line="240" w:lineRule="auto"/>
      </w:pPr>
    </w:p>
    <w:p w14:paraId="4A1F7BE9" w14:textId="77777777" w:rsidR="0086707E" w:rsidRDefault="008670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67FB" w14:textId="77777777" w:rsidR="00D56C0D" w:rsidRPr="00D56C0D" w:rsidRDefault="00D56C0D" w:rsidP="00D56C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D73E4" w14:textId="43E4107A" w:rsidR="00B84A5E" w:rsidRPr="00D56C0D" w:rsidRDefault="00D56C0D" w:rsidP="00D56C0D">
    <w:pPr>
      <w:pStyle w:val="FooterCoverPage"/>
      <w:rPr>
        <w:rFonts w:ascii="Arial" w:hAnsi="Arial" w:cs="Arial"/>
        <w:b/>
        <w:sz w:val="48"/>
      </w:rPr>
    </w:pPr>
    <w:r w:rsidRPr="00D56C0D">
      <w:rPr>
        <w:rFonts w:ascii="Arial" w:hAnsi="Arial" w:cs="Arial"/>
        <w:b/>
        <w:sz w:val="48"/>
      </w:rPr>
      <w:t>RO</w:t>
    </w:r>
    <w:r w:rsidRPr="00D56C0D">
      <w:rPr>
        <w:rFonts w:ascii="Arial" w:hAnsi="Arial" w:cs="Arial"/>
        <w:b/>
        <w:sz w:val="48"/>
      </w:rPr>
      <w:tab/>
    </w:r>
    <w:r w:rsidRPr="00D56C0D">
      <w:rPr>
        <w:rFonts w:ascii="Arial" w:hAnsi="Arial" w:cs="Arial"/>
        <w:b/>
        <w:sz w:val="48"/>
      </w:rPr>
      <w:tab/>
    </w:r>
    <w:r w:rsidRPr="00D56C0D">
      <w:tab/>
    </w:r>
    <w:r w:rsidRPr="00D56C0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AD757" w14:textId="77777777" w:rsidR="00D56C0D" w:rsidRPr="00D56C0D" w:rsidRDefault="00D56C0D" w:rsidP="00D56C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3C923" w14:textId="2C373EEE" w:rsidR="00820078" w:rsidRPr="00A47B3B" w:rsidRDefault="00820078" w:rsidP="00B2425F">
    <w:pPr>
      <w:pStyle w:val="Footer"/>
    </w:pPr>
  </w:p>
  <w:p w14:paraId="212EAB8D" w14:textId="77777777" w:rsidR="00693759" w:rsidRDefault="0069375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59609479"/>
      <w:docPartObj>
        <w:docPartGallery w:val="Page Numbers (Bottom of Page)"/>
        <w:docPartUnique/>
      </w:docPartObj>
    </w:sdtPr>
    <w:sdtEndPr>
      <w:rPr>
        <w:rFonts w:ascii="Times New Roman" w:hAnsi="Times New Roman" w:cs="Times New Roman"/>
        <w:noProof/>
      </w:rPr>
    </w:sdtEndPr>
    <w:sdtContent>
      <w:p w14:paraId="2C1FC88A" w14:textId="6FBEF6C6" w:rsidR="00820078" w:rsidRPr="006E3DF1" w:rsidRDefault="00820078" w:rsidP="006E3DF1">
        <w:pPr>
          <w:pStyle w:val="Footer"/>
          <w:jc w:val="center"/>
          <w:rPr>
            <w:rFonts w:ascii="Times New Roman" w:hAnsi="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D56C0D">
          <w:rPr>
            <w:rFonts w:ascii="Times New Roman" w:hAnsi="Times New Roman" w:cs="Times New Roman"/>
            <w:noProof/>
            <w:sz w:val="24"/>
          </w:rPr>
          <w:t>23</w:t>
        </w:r>
        <w:r>
          <w:rPr>
            <w:rFonts w:ascii="Times New Roman" w:hAnsi="Times New Roman" w:cs="Times New Roman"/>
            <w:sz w:val="24"/>
          </w:rPr>
          <w:fldChar w:fldCharType="end"/>
        </w:r>
      </w:p>
    </w:sdtContent>
  </w:sdt>
  <w:p w14:paraId="6D4F8312" w14:textId="77777777" w:rsidR="00693759" w:rsidRDefault="0069375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CE1B1" w14:textId="2D34E017" w:rsidR="00820078" w:rsidRPr="0078002D" w:rsidRDefault="00820078">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D56C0D">
      <w:rPr>
        <w:rFonts w:ascii="Times New Roman" w:hAnsi="Times New Roman" w:cs="Times New Roman"/>
        <w:noProof/>
        <w:sz w:val="24"/>
      </w:rPr>
      <w:t>1</w:t>
    </w:r>
    <w:r>
      <w:rPr>
        <w:rFonts w:ascii="Times New Roman" w:hAnsi="Times New Roman" w:cs="Times New Roman"/>
        <w:sz w:val="24"/>
      </w:rPr>
      <w:fldChar w:fldCharType="end"/>
    </w:r>
  </w:p>
  <w:p w14:paraId="5F391D64" w14:textId="77777777" w:rsidR="00820078" w:rsidRPr="006E3DF1" w:rsidRDefault="00820078" w:rsidP="00A47B3B">
    <w:pPr>
      <w:pStyle w:val="Footer"/>
      <w:rPr>
        <w:sz w:val="24"/>
      </w:rPr>
    </w:pPr>
  </w:p>
  <w:p w14:paraId="1EABE0C3" w14:textId="77777777" w:rsidR="00693759" w:rsidRDefault="0069375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AAEE6" w14:textId="77777777" w:rsidR="0086707E" w:rsidRDefault="0086707E" w:rsidP="00DC0E84">
      <w:pPr>
        <w:spacing w:after="0" w:line="240" w:lineRule="auto"/>
      </w:pPr>
      <w:r>
        <w:separator/>
      </w:r>
    </w:p>
    <w:p w14:paraId="21A4A179" w14:textId="77777777" w:rsidR="0086707E" w:rsidRDefault="0086707E"/>
  </w:footnote>
  <w:footnote w:type="continuationSeparator" w:id="0">
    <w:p w14:paraId="1D0B5E21" w14:textId="77777777" w:rsidR="0086707E" w:rsidRDefault="0086707E" w:rsidP="00DC0E84">
      <w:pPr>
        <w:spacing w:after="0" w:line="240" w:lineRule="auto"/>
      </w:pPr>
      <w:r>
        <w:continuationSeparator/>
      </w:r>
    </w:p>
    <w:p w14:paraId="5826CF22" w14:textId="77777777" w:rsidR="0086707E" w:rsidRDefault="0086707E"/>
  </w:footnote>
  <w:footnote w:type="continuationNotice" w:id="1">
    <w:p w14:paraId="6CC46CF3" w14:textId="77777777" w:rsidR="0086707E" w:rsidRDefault="0086707E">
      <w:pPr>
        <w:spacing w:after="0" w:line="240" w:lineRule="auto"/>
      </w:pPr>
    </w:p>
    <w:p w14:paraId="469486DC" w14:textId="77777777" w:rsidR="0086707E" w:rsidRDefault="0086707E"/>
  </w:footnote>
  <w:footnote w:id="2">
    <w:p w14:paraId="2226A64B" w14:textId="292F0B18" w:rsidR="00820078" w:rsidRPr="009025AA" w:rsidRDefault="00820078">
      <w:pPr>
        <w:pStyle w:val="FootnoteText"/>
      </w:pPr>
      <w:r>
        <w:rPr>
          <w:rStyle w:val="FootnoteReference"/>
        </w:rPr>
        <w:footnoteRef/>
      </w:r>
      <w:r>
        <w:t xml:space="preserve"> </w:t>
      </w:r>
      <w:r>
        <w:tab/>
        <w:t xml:space="preserve">A se vedea </w:t>
      </w:r>
      <w:r>
        <w:rPr>
          <w:u w:val="single"/>
        </w:rPr>
        <w:t>anexa 1</w:t>
      </w:r>
      <w:r>
        <w:t xml:space="preserve"> la prezenta comunicare pentru o scurtă explicație a proceselor biologice și chimice care stau la baza funcționării îngrășămintelor și a impactului acestora.</w:t>
      </w:r>
    </w:p>
  </w:footnote>
  <w:footnote w:id="3">
    <w:p w14:paraId="3FC64A43" w14:textId="23FAD540" w:rsidR="00820078" w:rsidRPr="009025AA" w:rsidRDefault="00820078" w:rsidP="00757C7C">
      <w:pPr>
        <w:pStyle w:val="FootnoteText"/>
      </w:pPr>
      <w:r>
        <w:rPr>
          <w:rStyle w:val="FootnoteReference"/>
        </w:rPr>
        <w:footnoteRef/>
      </w:r>
      <w:r>
        <w:t xml:space="preserve"> </w:t>
      </w:r>
      <w:r>
        <w:tab/>
        <w:t>A se vedea Comunicarea Comisiei din 23 martie 2022 intitulată „Garantarea securității alimentare și consolidarea rezilienței sistemelor alimentare”, COM/2022/133 final.</w:t>
      </w:r>
    </w:p>
  </w:footnote>
  <w:footnote w:id="4">
    <w:p w14:paraId="351BBCF7" w14:textId="77777777" w:rsidR="00820078" w:rsidRPr="003F465F" w:rsidRDefault="00820078" w:rsidP="003F465F">
      <w:pPr>
        <w:pStyle w:val="FootnoteText"/>
      </w:pPr>
      <w:r>
        <w:rPr>
          <w:rStyle w:val="FootnoteReference"/>
        </w:rPr>
        <w:footnoteRef/>
      </w:r>
      <w:r>
        <w:t xml:space="preserve"> </w:t>
      </w:r>
      <w:r>
        <w:tab/>
        <w:t>Agregatele geografice sunt agregatele FAOSTAT sau cele construite din acestea.</w:t>
      </w:r>
    </w:p>
  </w:footnote>
  <w:footnote w:id="5">
    <w:p w14:paraId="042D144B" w14:textId="68D3B863" w:rsidR="00820078" w:rsidRPr="009025AA" w:rsidRDefault="00820078" w:rsidP="0077058A">
      <w:pPr>
        <w:pStyle w:val="FootnoteText"/>
      </w:pPr>
      <w:r>
        <w:rPr>
          <w:rStyle w:val="FootnoteReference"/>
        </w:rPr>
        <w:footnoteRef/>
      </w:r>
      <w:r>
        <w:t xml:space="preserve"> </w:t>
      </w:r>
      <w:r>
        <w:tab/>
        <w:t xml:space="preserve">Situația și mecanismele pieței îngrășămintelor în UE și în lume sunt explicate pe scurt în </w:t>
      </w:r>
      <w:r>
        <w:rPr>
          <w:u w:val="single"/>
        </w:rPr>
        <w:t>anexa 2</w:t>
      </w:r>
      <w:r>
        <w:t xml:space="preserve"> la prezenta comunicare.</w:t>
      </w:r>
    </w:p>
  </w:footnote>
  <w:footnote w:id="6">
    <w:p w14:paraId="50703C70" w14:textId="77777777" w:rsidR="00820078" w:rsidRPr="009025AA" w:rsidRDefault="00820078">
      <w:pPr>
        <w:pStyle w:val="FootnoteText"/>
      </w:pPr>
      <w:r>
        <w:rPr>
          <w:rStyle w:val="FootnoteReference"/>
        </w:rPr>
        <w:footnoteRef/>
      </w:r>
      <w:r>
        <w:t xml:space="preserve"> </w:t>
      </w:r>
      <w:r>
        <w:tab/>
        <w:t>Macronutrienții principali utilizați în producția de îngrășăminte sunt azotul, fosforul și potasiul.</w:t>
      </w:r>
    </w:p>
  </w:footnote>
  <w:footnote w:id="7">
    <w:p w14:paraId="7CCB818E" w14:textId="77777777" w:rsidR="00820078" w:rsidRPr="009025AA" w:rsidRDefault="00820078" w:rsidP="001473B2">
      <w:pPr>
        <w:pStyle w:val="FootnoteText"/>
      </w:pPr>
      <w:r>
        <w:rPr>
          <w:rStyle w:val="FootnoteReference"/>
        </w:rPr>
        <w:footnoteRef/>
      </w:r>
      <w:r>
        <w:t xml:space="preserve"> </w:t>
      </w:r>
      <w:r>
        <w:tab/>
        <w:t>În acest context, propunerea de lege privind sănătatea solului din 2023 va oferi mai multe răspunsuri specifice pe termen mediu/lung la problema fertilității solului pentru securitatea alimentară în UE.</w:t>
      </w:r>
    </w:p>
  </w:footnote>
  <w:footnote w:id="8">
    <w:p w14:paraId="263621DE" w14:textId="77777777" w:rsidR="00820078" w:rsidRPr="009025AA" w:rsidRDefault="00820078" w:rsidP="001473B2">
      <w:pPr>
        <w:pStyle w:val="FootnoteText"/>
      </w:pPr>
      <w:r>
        <w:rPr>
          <w:rStyle w:val="FootnoteReference"/>
        </w:rPr>
        <w:footnoteRef/>
      </w:r>
      <w:r>
        <w:t xml:space="preserve"> </w:t>
      </w:r>
      <w:r>
        <w:tab/>
        <w:t xml:space="preserve">GAEC (bune condiții agricole și de mediu) și SMR (cerințele legale în materie de gestionare) relevante în domeniul nutrienților respectă obligațiile care decurg din Directiva privind nitrații (SMR 2), stabilirea de zone tampon de-a lungul cursurilor de apă (GAEC 4), măsurile de evitare a eroziunii solului și de asigurare a unei acoperiri minime a solului (GAEC 5 și 6) și rotația culturilor (GAEC 7). </w:t>
      </w:r>
    </w:p>
  </w:footnote>
  <w:footnote w:id="9">
    <w:p w14:paraId="05BE101A" w14:textId="77777777" w:rsidR="00820078" w:rsidRPr="009025AA" w:rsidRDefault="00820078">
      <w:pPr>
        <w:pStyle w:val="FootnoteText"/>
      </w:pPr>
      <w:r>
        <w:rPr>
          <w:rStyle w:val="FootnoteReference"/>
        </w:rPr>
        <w:footnoteRef/>
      </w:r>
      <w:r>
        <w:t xml:space="preserve"> </w:t>
      </w:r>
      <w:r>
        <w:tab/>
        <w:t>Culturile de captare preiau surplusul de azot rămas din fertilizarea culturii anterioare, împiedicând pierderea acestuia prin spălarea nutrienților.</w:t>
      </w:r>
    </w:p>
  </w:footnote>
  <w:footnote w:id="10">
    <w:p w14:paraId="677C6FBD" w14:textId="77777777" w:rsidR="00820078" w:rsidRPr="009025AA" w:rsidDel="005968D6" w:rsidRDefault="00820078" w:rsidP="001473B2">
      <w:pPr>
        <w:pStyle w:val="FootnoteText"/>
      </w:pPr>
      <w:r>
        <w:rPr>
          <w:rStyle w:val="FootnoteReference"/>
        </w:rPr>
        <w:footnoteRef/>
      </w:r>
      <w:r>
        <w:t xml:space="preserve"> </w:t>
      </w:r>
      <w:r>
        <w:tab/>
        <w:t>Investițiile legate de agricultura de precizie sunt incluse în mod explicit în 24 de proiecte de planuri.</w:t>
      </w:r>
    </w:p>
  </w:footnote>
  <w:footnote w:id="11">
    <w:p w14:paraId="2BD78BA4" w14:textId="18D4171B" w:rsidR="00820078" w:rsidRPr="003F465F" w:rsidRDefault="00820078">
      <w:pPr>
        <w:pStyle w:val="FootnoteText"/>
      </w:pPr>
      <w:r>
        <w:rPr>
          <w:rStyle w:val="FootnoteReference"/>
        </w:rPr>
        <w:footnoteRef/>
      </w:r>
      <w:r>
        <w:t xml:space="preserve"> </w:t>
      </w:r>
      <w:r>
        <w:tab/>
        <w:t>Instrumentul pentru sustenabilitatea fermelor în ceea ce privește utilizarea nutrienților le permite fermierilor să își optimizeze utilizarea îngrășămintelor din punctul de vedere al calendarului de aplicare, al cantităților și al plasării acestora.</w:t>
      </w:r>
    </w:p>
  </w:footnote>
  <w:footnote w:id="12">
    <w:p w14:paraId="0714CE3A" w14:textId="78109B6F" w:rsidR="00820078" w:rsidRPr="000E547A" w:rsidRDefault="00820078" w:rsidP="00B802A7">
      <w:pPr>
        <w:pStyle w:val="FootnoteText"/>
      </w:pPr>
      <w:r>
        <w:rPr>
          <w:rStyle w:val="FootnoteReference"/>
        </w:rPr>
        <w:footnoteRef/>
      </w:r>
      <w:r>
        <w:t xml:space="preserve"> </w:t>
      </w:r>
      <w:r>
        <w:tab/>
        <w:t>Comunicarea Comisiei, „Cadru temporar de criză pentru măsuri de ajutor de stat de sprijinire a economiei ca urmare a agresiunii Rusiei împotriva Ucrainei”, C(2022) 7945 final.</w:t>
      </w:r>
    </w:p>
  </w:footnote>
  <w:footnote w:id="13">
    <w:p w14:paraId="44382AA9" w14:textId="77777777" w:rsidR="00820078" w:rsidRPr="009025AA" w:rsidRDefault="00820078" w:rsidP="00B802A7">
      <w:pPr>
        <w:pStyle w:val="FootnoteText"/>
      </w:pPr>
      <w:r>
        <w:rPr>
          <w:rStyle w:val="FootnoteReference"/>
        </w:rPr>
        <w:footnoteRef/>
      </w:r>
      <w:r>
        <w:t xml:space="preserve"> </w:t>
      </w:r>
      <w:r>
        <w:tab/>
        <w:t>Regulamentul (UE) 2022/1854 al Consiliului din 6 octombrie 2022 privind o intervenție de urgență pentru abordarea problemei prețurilor ridicate la energie.</w:t>
      </w:r>
    </w:p>
  </w:footnote>
  <w:footnote w:id="14">
    <w:p w14:paraId="39C979F3" w14:textId="195F9343" w:rsidR="00820078" w:rsidRPr="009025AA" w:rsidRDefault="00820078" w:rsidP="00612B7E">
      <w:pPr>
        <w:pStyle w:val="FootnoteText"/>
      </w:pPr>
      <w:r>
        <w:rPr>
          <w:rStyle w:val="FootnoteReference"/>
        </w:rPr>
        <w:footnoteRef/>
      </w:r>
      <w:r>
        <w:t xml:space="preserve"> </w:t>
      </w:r>
      <w:r>
        <w:tab/>
        <w:t>12 februarie 2021, Comunicarea Comisiei, Orientări tehnice privind aplicarea principiului de „a nu aduce prejudicii semnificative”, (2021/C58/01).</w:t>
      </w:r>
    </w:p>
  </w:footnote>
  <w:footnote w:id="15">
    <w:p w14:paraId="6655DC5E" w14:textId="5817F6FB" w:rsidR="00820078" w:rsidRDefault="00820078" w:rsidP="00E241AA">
      <w:pPr>
        <w:pStyle w:val="FootnoteText"/>
      </w:pPr>
      <w:r>
        <w:rPr>
          <w:rStyle w:val="FootnoteReference"/>
        </w:rPr>
        <w:footnoteRef/>
      </w:r>
      <w:r>
        <w:t xml:space="preserve"> 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p>
  </w:footnote>
  <w:footnote w:id="16">
    <w:p w14:paraId="01582FFB" w14:textId="7CF121DE" w:rsidR="00820078" w:rsidRPr="00DC3A26" w:rsidRDefault="00820078">
      <w:pPr>
        <w:pStyle w:val="FootnoteText"/>
      </w:pPr>
      <w:r>
        <w:rPr>
          <w:rStyle w:val="FootnoteReference"/>
        </w:rPr>
        <w:footnoteRef/>
      </w:r>
      <w:r>
        <w:t xml:space="preserve"> </w:t>
      </w:r>
      <w:r>
        <w:tab/>
        <w:t>Agricultura ecologică nu autorizează utilizarea îngrășămintelor sintetice.</w:t>
      </w:r>
    </w:p>
  </w:footnote>
  <w:footnote w:id="17">
    <w:p w14:paraId="2F355559" w14:textId="77777777" w:rsidR="00820078" w:rsidRPr="007248A2" w:rsidRDefault="00820078">
      <w:pPr>
        <w:pStyle w:val="FootnoteText"/>
      </w:pPr>
      <w:r>
        <w:rPr>
          <w:rStyle w:val="FootnoteReference"/>
        </w:rPr>
        <w:footnoteRef/>
      </w:r>
      <w:r>
        <w:t xml:space="preserve"> </w:t>
      </w:r>
      <w:r>
        <w:tab/>
        <w:t>Regulamentul (UE) 2019/1009 al Parlamentului European și al Consiliului din 5 iunie 2019 de stabilire a normelor privind punerea la dispoziție pe piață a produselor fertilizante UE.</w:t>
      </w:r>
    </w:p>
  </w:footnote>
  <w:footnote w:id="18">
    <w:p w14:paraId="2C1814C5" w14:textId="77777777" w:rsidR="00820078" w:rsidRPr="00DC3A26" w:rsidRDefault="00820078" w:rsidP="005678E4">
      <w:pPr>
        <w:pStyle w:val="FootnoteText"/>
      </w:pPr>
      <w:r>
        <w:rPr>
          <w:rStyle w:val="FootnoteReference"/>
        </w:rPr>
        <w:footnoteRef/>
      </w:r>
      <w:r>
        <w:t xml:space="preserve"> </w:t>
      </w:r>
      <w:r>
        <w:tab/>
        <w:t>Directiva 91/271/CEE a Consiliului din 21 mai 1991 privind tratarea apelor urbane reziduale.</w:t>
      </w:r>
    </w:p>
  </w:footnote>
  <w:footnote w:id="19">
    <w:p w14:paraId="32E19BF4" w14:textId="49AD3F9B" w:rsidR="00820078" w:rsidRPr="009025AA" w:rsidRDefault="00820078" w:rsidP="005678E4">
      <w:pPr>
        <w:pStyle w:val="FootnoteText"/>
      </w:pPr>
      <w:r>
        <w:rPr>
          <w:rStyle w:val="FootnoteReference"/>
        </w:rPr>
        <w:footnoteRef/>
      </w:r>
      <w:r>
        <w:t xml:space="preserve"> </w:t>
      </w:r>
      <w:r>
        <w:tab/>
        <w:t>JRC 2020, „REcovered Nitrogen from manURE” (azot recuperat din gunoi de grajd) – Propuneri tehnice pentru utilizarea în condiții de siguranță a gunoiului de grajd prelucrat peste pragul stabilit pentru zonele vulnerabile la nitrați de Directiva privind nitrații. Un raport al Centrului Comun de Cercetare din 2020 (denumit „RENURE”), concluzionează că s-au înregistrat progrese considerabile în ceea ce privește dezvoltarea tehnologiilor care reduc spălarea nutrienților din gunoiul de grajd prelucrat. Cu toate acestea, este probabil ca tehnologiile disponibile să genereze produse cu emisii mai ridicate de amoniac decât anumite îngrășăminte minerale, cum ar fi nitratul de calciu și amoniu (NCA) și nitratul de amoniu (NA) – deși mai bune decât gunoiul de grajd și similare sau mai mici decât ureea. Prin urmare, utilizarea produselor RENURE ar trebui să facă obiectul unor cerințe stricte privind practicile de aplicare, în deplină conformitate cu criteriile Directivei privind nitrații.</w:t>
      </w:r>
    </w:p>
  </w:footnote>
  <w:footnote w:id="20">
    <w:p w14:paraId="14289B53" w14:textId="77777777" w:rsidR="00820078" w:rsidRPr="009025AA" w:rsidRDefault="00820078" w:rsidP="00657E6D">
      <w:pPr>
        <w:pStyle w:val="FootnoteText"/>
      </w:pPr>
      <w:r>
        <w:rPr>
          <w:rStyle w:val="FootnoteReference"/>
        </w:rPr>
        <w:footnoteRef/>
      </w:r>
      <w:r>
        <w:t xml:space="preserve"> </w:t>
      </w:r>
      <w:r>
        <w:tab/>
        <w:t>Directiva Consiliului din 12 decembrie 1991 privind protecția apelor împotriva poluării cu nitrați proveniți din surse agricole. În zonele vulnerabile la nitrați, se poate utiliza gunoiul de grajd, dar și gunoiul de grajd prelucrat pentru a înlocui îngrășămintele minerale numai în limitele stabilite prin Directiva privind nitrații (170 kg/ha/an) pentru a se evita poluarea suplimentară.</w:t>
      </w:r>
    </w:p>
  </w:footnote>
  <w:footnote w:id="21">
    <w:p w14:paraId="74DB7968" w14:textId="77777777" w:rsidR="00820078" w:rsidRPr="009025AA" w:rsidRDefault="00820078" w:rsidP="00480CFF">
      <w:pPr>
        <w:pStyle w:val="FootnoteText"/>
      </w:pPr>
      <w:r>
        <w:rPr>
          <w:rStyle w:val="FootnoteReference"/>
        </w:rPr>
        <w:footnoteRef/>
      </w:r>
      <w:r>
        <w:t xml:space="preserve"> </w:t>
      </w:r>
      <w:r>
        <w:tab/>
        <w:t>O serie de țări exportatoare de îngrășăminte, cum ar fi Marocul, Egiptul, Algeria, Tunisia, Trinidad și Tobago, beneficiază de acces fără taxe vamale în UE în temeiul acordurilor de liber schimb.</w:t>
      </w:r>
    </w:p>
  </w:footnote>
  <w:footnote w:id="22">
    <w:p w14:paraId="22CD8075" w14:textId="4DB287D7" w:rsidR="00820078" w:rsidRPr="009025AA" w:rsidRDefault="00820078" w:rsidP="00480CFF">
      <w:pPr>
        <w:pStyle w:val="FootnoteText"/>
      </w:pPr>
      <w:r>
        <w:rPr>
          <w:rStyle w:val="FootnoteReference"/>
        </w:rPr>
        <w:footnoteRef/>
      </w:r>
      <w:r>
        <w:t xml:space="preserve"> </w:t>
      </w:r>
      <w:r>
        <w:tab/>
        <w:t>19 iulie 2022, Propunere de Regulament al Consiliului de modificare a anexei I la Regulamentul (CEE) nr. 2658/87 privind Nomenclatura tarifară și statistică și Tariful Vamal Comun, COM(2022) 359.</w:t>
      </w:r>
    </w:p>
  </w:footnote>
  <w:footnote w:id="23">
    <w:p w14:paraId="40C5D980" w14:textId="77777777" w:rsidR="00820078" w:rsidRPr="00DC3A26" w:rsidRDefault="00820078">
      <w:pPr>
        <w:pStyle w:val="FootnoteText"/>
      </w:pPr>
      <w:r>
        <w:rPr>
          <w:rStyle w:val="FootnoteReference"/>
        </w:rPr>
        <w:footnoteRef/>
      </w:r>
      <w:r>
        <w:t xml:space="preserve"> </w:t>
      </w:r>
      <w:r>
        <w:tab/>
        <w:t>Decizia de punere în aplicare (UE) 2022/2070 a Comisiei din 26 octombrie 2022, C/2022/7826.</w:t>
      </w:r>
    </w:p>
  </w:footnote>
  <w:footnote w:id="24">
    <w:p w14:paraId="5C3A6F64" w14:textId="623072E9" w:rsidR="00820078" w:rsidRPr="003F465F" w:rsidRDefault="00820078">
      <w:pPr>
        <w:pStyle w:val="FootnoteText"/>
      </w:pPr>
      <w:r>
        <w:rPr>
          <w:rStyle w:val="FootnoteReference"/>
        </w:rPr>
        <w:footnoteRef/>
      </w:r>
      <w:r>
        <w:t xml:space="preserve"> </w:t>
      </w:r>
      <w:r>
        <w:tab/>
        <w:t>13 octombrie 2021, Comunicarea Comisiei, „Un set de măsuri de acțiune și de sprijin pentru abordarea creșterii prețurilor energiei”, COM(2021) 660 final.</w:t>
      </w:r>
    </w:p>
  </w:footnote>
  <w:footnote w:id="25">
    <w:p w14:paraId="48D04680" w14:textId="6744900E" w:rsidR="00820078" w:rsidRPr="009025AA" w:rsidRDefault="00820078" w:rsidP="00AA15E4">
      <w:pPr>
        <w:pStyle w:val="FootnoteText"/>
      </w:pPr>
      <w:r>
        <w:rPr>
          <w:vertAlign w:val="superscript"/>
        </w:rPr>
        <w:footnoteRef/>
      </w:r>
      <w:r>
        <w:t xml:space="preserve"> </w:t>
      </w:r>
      <w:r>
        <w:tab/>
        <w:t>17 iulie 2022, Comunicarea Comisiei, „Să economisim gazele pentru siguranță la iarnă”, COM (2022) 360 final.</w:t>
      </w:r>
    </w:p>
  </w:footnote>
  <w:footnote w:id="26">
    <w:p w14:paraId="792D85B2" w14:textId="507D785F" w:rsidR="00820078" w:rsidRPr="00E85E8E" w:rsidRDefault="00820078">
      <w:pPr>
        <w:pStyle w:val="FootnoteText"/>
      </w:pPr>
      <w:r>
        <w:rPr>
          <w:vertAlign w:val="superscript"/>
        </w:rPr>
        <w:footnoteRef/>
      </w:r>
      <w:r>
        <w:t xml:space="preserve"> </w:t>
      </w:r>
      <w:r>
        <w:tab/>
        <w:t>Propunere de Regulament al Consiliului, Consolidarea solidarității prin ameliorarea coordonării achiziționărilor de gaze, prin schimburile transfrontaliere de gaze și prin fiabilitatea indicilor de referință, COM(2022) 549 final.</w:t>
      </w:r>
    </w:p>
  </w:footnote>
  <w:footnote w:id="27">
    <w:p w14:paraId="626EFEC4" w14:textId="5A6D01DC" w:rsidR="00820078" w:rsidRPr="009025AA" w:rsidRDefault="00820078" w:rsidP="00B64E5B">
      <w:pPr>
        <w:pStyle w:val="FootnoteText"/>
      </w:pPr>
      <w:r>
        <w:rPr>
          <w:rStyle w:val="FootnoteReference"/>
        </w:rPr>
        <w:footnoteRef/>
      </w:r>
      <w:r>
        <w:t xml:space="preserve"> </w:t>
      </w:r>
      <w:r>
        <w:tab/>
        <w:t>18 februarie 2022, „Orientări privind ajutoarele de stat pentru climă, protecția mediului și energie”, C/2022/481; 19 octombrie 2022, „Cadrul pentru ajutoarele de stat pentru cercetare, dezvoltare și inovare”, C (2022) 7388 final.</w:t>
      </w:r>
    </w:p>
  </w:footnote>
  <w:footnote w:id="28">
    <w:p w14:paraId="57307DD8" w14:textId="22ED3EF3" w:rsidR="00820078" w:rsidRPr="00F16B25" w:rsidRDefault="00820078" w:rsidP="007A6C83">
      <w:pPr>
        <w:pStyle w:val="FootnoteText"/>
      </w:pPr>
      <w:r>
        <w:rPr>
          <w:rStyle w:val="FootnoteReference"/>
        </w:rPr>
        <w:footnoteRef/>
      </w:r>
      <w:r>
        <w:t xml:space="preserve"> </w:t>
      </w:r>
      <w:r>
        <w:tab/>
        <w:t>Instrumentul IFPRI de monitorizare a politicii în domeniul comerțului cu alimente, https://www.ifpri.org/project/covid-19-food-trade-policy-tracker</w:t>
      </w:r>
    </w:p>
  </w:footnote>
  <w:footnote w:id="29">
    <w:p w14:paraId="7A589CBC" w14:textId="77777777" w:rsidR="00820078" w:rsidRPr="009025AA" w:rsidRDefault="00820078" w:rsidP="00826D57">
      <w:pPr>
        <w:pStyle w:val="FootnoteText"/>
      </w:pPr>
      <w:r>
        <w:rPr>
          <w:rStyle w:val="FootnoteReference"/>
        </w:rPr>
        <w:footnoteRef/>
      </w:r>
      <w:r>
        <w:t xml:space="preserve"> </w:t>
      </w:r>
      <w:r>
        <w:tab/>
        <w:t>De la 20 kg/ha în regiunea Subsahariană la 77 kg în Africa de Nord, 125 kg/h în America de Nord, 155 kg/ha în Europa, 171 kg/ha în America Latină și 294 kg/ha în Asia de Est (2018, Banca Mondială).</w:t>
      </w:r>
    </w:p>
  </w:footnote>
  <w:footnote w:id="30">
    <w:p w14:paraId="7A51EE5E" w14:textId="78BA3A3B" w:rsidR="00AB0D0E" w:rsidRPr="00B2425F" w:rsidRDefault="00AB0D0E">
      <w:pPr>
        <w:pStyle w:val="FootnoteText"/>
      </w:pPr>
      <w:r>
        <w:rPr>
          <w:rStyle w:val="FootnoteReference"/>
        </w:rPr>
        <w:footnoteRef/>
      </w:r>
      <w:r>
        <w:t xml:space="preserve"> </w:t>
      </w:r>
      <w:r>
        <w:tab/>
        <w:t>Instrumentul de vecinătate, cooperare pentru dezvoltare și cooperare internațională.</w:t>
      </w:r>
    </w:p>
  </w:footnote>
  <w:footnote w:id="31">
    <w:p w14:paraId="3481CD43" w14:textId="77777777" w:rsidR="00820078" w:rsidRPr="009025AA" w:rsidRDefault="00820078">
      <w:pPr>
        <w:pStyle w:val="FootnoteText"/>
      </w:pPr>
      <w:r>
        <w:rPr>
          <w:rStyle w:val="FootnoteReference"/>
        </w:rPr>
        <w:footnoteRef/>
      </w:r>
      <w:r>
        <w:t xml:space="preserve"> </w:t>
      </w:r>
      <w:r>
        <w:tab/>
        <w:t>DeSIRA: Dezvoltarea inovării inteligente prin cercetare în agricultură. AMSC+: Alianța mondială împotriva schimbărilor climatice+.</w:t>
      </w:r>
    </w:p>
  </w:footnote>
  <w:footnote w:id="32">
    <w:p w14:paraId="72AC4BA5" w14:textId="77777777" w:rsidR="00820078" w:rsidRPr="009025AA" w:rsidRDefault="00820078">
      <w:pPr>
        <w:pStyle w:val="FootnoteText"/>
      </w:pPr>
      <w:r>
        <w:rPr>
          <w:rStyle w:val="FootnoteReference"/>
        </w:rPr>
        <w:footnoteRef/>
      </w:r>
      <w:r>
        <w:t xml:space="preserve"> </w:t>
      </w:r>
      <w:r>
        <w:tab/>
        <w:t>Grupul consultativ pentru cercetare agricolă internațională.</w:t>
      </w:r>
    </w:p>
  </w:footnote>
  <w:footnote w:id="33">
    <w:p w14:paraId="3E4C9671" w14:textId="37D77463" w:rsidR="00820078" w:rsidRPr="009025AA" w:rsidRDefault="00820078" w:rsidP="00155BC4">
      <w:pPr>
        <w:pStyle w:val="FootnoteText"/>
      </w:pPr>
      <w:r>
        <w:rPr>
          <w:rStyle w:val="FootnoteReference"/>
        </w:rPr>
        <w:footnoteRef/>
      </w:r>
      <w:r>
        <w:t xml:space="preserve"> </w:t>
      </w:r>
      <w:r>
        <w:tab/>
        <w:t>Singura restricție în vigoare în prezent cu privire la Rusia se referă la importurile în UE de anumite îngrășăminte pe bază de potasă, pentru care există totuși o cotă mare bazată pe consumul anterior. Sancțiunile la adresa anumitor persoane sunt, de asemenea, relevante.</w:t>
      </w:r>
    </w:p>
  </w:footnote>
  <w:footnote w:id="34">
    <w:p w14:paraId="1B3443D2" w14:textId="2A0FD5D0" w:rsidR="00820078" w:rsidRPr="009025AA" w:rsidRDefault="00820078" w:rsidP="00155BC4">
      <w:pPr>
        <w:pStyle w:val="FootnoteText"/>
      </w:pPr>
      <w:r>
        <w:rPr>
          <w:rStyle w:val="FootnoteReference"/>
        </w:rPr>
        <w:footnoteRef/>
      </w:r>
      <w:r>
        <w:t xml:space="preserve"> </w:t>
      </w:r>
      <w:r>
        <w:tab/>
        <w:t>Acest lucru nu aduce atingere capacității statelor membre de a lua măsurile necesare pentru a-și proteja interesele de securitate națională.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5EE2" w14:textId="77777777" w:rsidR="00D56C0D" w:rsidRPr="00D56C0D" w:rsidRDefault="00D56C0D" w:rsidP="00D56C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860C" w14:textId="77777777" w:rsidR="00D56C0D" w:rsidRPr="00D56C0D" w:rsidRDefault="00D56C0D" w:rsidP="00D56C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2D0D1" w14:textId="77777777" w:rsidR="00D56C0D" w:rsidRPr="00D56C0D" w:rsidRDefault="00D56C0D" w:rsidP="00D56C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BA756" w14:textId="77777777" w:rsidR="00820078" w:rsidRPr="00E4344F" w:rsidRDefault="00820078" w:rsidP="00371E18">
    <w:pPr>
      <w:pStyle w:val="Header"/>
    </w:pPr>
  </w:p>
  <w:p w14:paraId="6F15DED2" w14:textId="77777777" w:rsidR="00693759" w:rsidRDefault="00693759"/>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A558C" w14:textId="77777777" w:rsidR="00820078" w:rsidRDefault="00820078">
    <w:pPr>
      <w:pStyle w:val="Header"/>
    </w:pPr>
  </w:p>
  <w:p w14:paraId="5EC50984" w14:textId="77777777" w:rsidR="00693759" w:rsidRDefault="00693759"/>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A035B" w14:textId="77777777" w:rsidR="00820078" w:rsidRPr="00E4344F" w:rsidRDefault="00820078" w:rsidP="00371E18">
    <w:pPr>
      <w:pStyle w:val="Header"/>
    </w:pPr>
  </w:p>
  <w:p w14:paraId="61941A6C" w14:textId="77777777" w:rsidR="00693759" w:rsidRDefault="0069375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2FE5"/>
    <w:multiLevelType w:val="hybridMultilevel"/>
    <w:tmpl w:val="4DB2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085B80"/>
    <w:multiLevelType w:val="hybridMultilevel"/>
    <w:tmpl w:val="501E0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A033EC"/>
    <w:multiLevelType w:val="hybridMultilevel"/>
    <w:tmpl w:val="82D460F2"/>
    <w:lvl w:ilvl="0" w:tplc="EB0CD8B0">
      <w:start w:val="10"/>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EA2A9F"/>
    <w:multiLevelType w:val="hybridMultilevel"/>
    <w:tmpl w:val="82CEB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3CF7A2D"/>
    <w:multiLevelType w:val="hybridMultilevel"/>
    <w:tmpl w:val="B3123AF4"/>
    <w:lvl w:ilvl="0" w:tplc="08090001">
      <w:start w:val="1"/>
      <w:numFmt w:val="bullet"/>
      <w:lvlText w:val=""/>
      <w:lvlJc w:val="left"/>
      <w:pPr>
        <w:ind w:left="360" w:hanging="360"/>
      </w:pPr>
      <w:rPr>
        <w:rFonts w:ascii="Symbol" w:hAnsi="Symbol" w:hint="default"/>
      </w:rPr>
    </w:lvl>
    <w:lvl w:ilvl="1" w:tplc="F7A4E092">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8C3575"/>
    <w:multiLevelType w:val="hybridMultilevel"/>
    <w:tmpl w:val="9CAC1FD0"/>
    <w:lvl w:ilvl="0" w:tplc="10640F9E">
      <w:start w:val="3"/>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82D4A4B"/>
    <w:multiLevelType w:val="multilevel"/>
    <w:tmpl w:val="FD82F7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4125"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BD32E34"/>
    <w:multiLevelType w:val="hybridMultilevel"/>
    <w:tmpl w:val="8EE6BA72"/>
    <w:lvl w:ilvl="0" w:tplc="E45E7678">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955DFF"/>
    <w:multiLevelType w:val="hybridMultilevel"/>
    <w:tmpl w:val="B5C4C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4175F91"/>
    <w:multiLevelType w:val="hybridMultilevel"/>
    <w:tmpl w:val="25AEC7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9C5682"/>
    <w:multiLevelType w:val="hybridMultilevel"/>
    <w:tmpl w:val="3EFA579A"/>
    <w:lvl w:ilvl="0" w:tplc="0C427AA2">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65145E"/>
    <w:multiLevelType w:val="multilevel"/>
    <w:tmpl w:val="91DA040E"/>
    <w:lvl w:ilvl="0">
      <w:start w:val="1"/>
      <w:numFmt w:val="decimal"/>
      <w:pStyle w:val="Heading1"/>
      <w:lvlText w:val="%1."/>
      <w:lvlJc w:val="left"/>
      <w:pPr>
        <w:tabs>
          <w:tab w:val="num" w:pos="482"/>
        </w:tabs>
        <w:ind w:left="482" w:hanging="482"/>
      </w:pPr>
      <w:rPr>
        <w:rFonts w:ascii="Times New Roman" w:hAnsi="Times New Roman" w:cs="Times New Roman" w:hint="default"/>
        <w:b/>
        <w:lang w:val="en-GB"/>
      </w:rPr>
    </w:lvl>
    <w:lvl w:ilvl="1">
      <w:start w:val="1"/>
      <w:numFmt w:val="decimal"/>
      <w:pStyle w:val="Heading2"/>
      <w:lvlText w:val="%1.%2."/>
      <w:lvlJc w:val="left"/>
      <w:pPr>
        <w:tabs>
          <w:tab w:val="num" w:pos="2564"/>
        </w:tabs>
        <w:ind w:left="2564" w:hanging="72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562"/>
        </w:tabs>
        <w:ind w:left="2562" w:hanging="720"/>
      </w:pPr>
      <w:rPr>
        <w:i/>
      </w:r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num w:numId="1">
    <w:abstractNumId w:val="12"/>
  </w:num>
  <w:num w:numId="2">
    <w:abstractNumId w:val="3"/>
  </w:num>
  <w:num w:numId="3">
    <w:abstractNumId w:val="0"/>
  </w:num>
  <w:num w:numId="4">
    <w:abstractNumId w:val="1"/>
  </w:num>
  <w:num w:numId="5">
    <w:abstractNumId w:val="4"/>
  </w:num>
  <w:num w:numId="6">
    <w:abstractNumId w:val="9"/>
  </w:num>
  <w:num w:numId="7">
    <w:abstractNumId w:val="2"/>
  </w:num>
  <w:num w:numId="8">
    <w:abstractNumId w:val="6"/>
  </w:num>
  <w:num w:numId="9">
    <w:abstractNumId w:val="7"/>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1"/>
  </w:num>
  <w:num w:numId="22">
    <w:abstractNumId w:val="12"/>
  </w:num>
  <w:num w:numId="23">
    <w:abstractNumId w:val="12"/>
  </w:num>
  <w:num w:numId="24">
    <w:abstractNumId w:val="12"/>
  </w:num>
  <w:num w:numId="25">
    <w:abstractNumId w:val="5"/>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de-AT"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de-AT"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70F07E9-07BF-4609-B399-59D0ABFCC019"/>
    <w:docVar w:name="LW_COVERPAGE_TYPE" w:val="1"/>
    <w:docVar w:name="LW_CROSSREFERENCE" w:val="&lt;UNUSED&gt;"/>
    <w:docVar w:name="LW_DocType" w:val="NORMAL"/>
    <w:docVar w:name="LW_EMISSION" w:val="9.11.2022"/>
    <w:docVar w:name="LW_EMISSION_ISODATE" w:val="2022-11-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5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sigurarea disponibilității și accesibilității prețurilor îngrășămintelor_x000d__x000d__x000d__x000d__x000d__x000d__x000d__x000b__x000d__x000d__x000d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DC0E84"/>
    <w:rsid w:val="0000140E"/>
    <w:rsid w:val="00005FF6"/>
    <w:rsid w:val="00016862"/>
    <w:rsid w:val="000178C4"/>
    <w:rsid w:val="00017F1A"/>
    <w:rsid w:val="0002487B"/>
    <w:rsid w:val="000335CC"/>
    <w:rsid w:val="000421DD"/>
    <w:rsid w:val="000504DA"/>
    <w:rsid w:val="000541D6"/>
    <w:rsid w:val="0006760F"/>
    <w:rsid w:val="00070E08"/>
    <w:rsid w:val="00085D18"/>
    <w:rsid w:val="00087E5E"/>
    <w:rsid w:val="00092160"/>
    <w:rsid w:val="0009526A"/>
    <w:rsid w:val="000A623C"/>
    <w:rsid w:val="000A650B"/>
    <w:rsid w:val="000B0580"/>
    <w:rsid w:val="000B0F52"/>
    <w:rsid w:val="000B6F05"/>
    <w:rsid w:val="000C1EDF"/>
    <w:rsid w:val="000E547A"/>
    <w:rsid w:val="000E62D5"/>
    <w:rsid w:val="000E7CCC"/>
    <w:rsid w:val="000F26A2"/>
    <w:rsid w:val="000F7107"/>
    <w:rsid w:val="00100978"/>
    <w:rsid w:val="0010188D"/>
    <w:rsid w:val="0010280D"/>
    <w:rsid w:val="00103FDF"/>
    <w:rsid w:val="001044C3"/>
    <w:rsid w:val="00106F92"/>
    <w:rsid w:val="00117771"/>
    <w:rsid w:val="00125359"/>
    <w:rsid w:val="00126212"/>
    <w:rsid w:val="001319CA"/>
    <w:rsid w:val="001332F1"/>
    <w:rsid w:val="00136AE8"/>
    <w:rsid w:val="001431F2"/>
    <w:rsid w:val="00145420"/>
    <w:rsid w:val="001473B2"/>
    <w:rsid w:val="00151492"/>
    <w:rsid w:val="00153DC1"/>
    <w:rsid w:val="00155BC4"/>
    <w:rsid w:val="00160E0D"/>
    <w:rsid w:val="00162DDE"/>
    <w:rsid w:val="00167787"/>
    <w:rsid w:val="001724F9"/>
    <w:rsid w:val="00173C26"/>
    <w:rsid w:val="00173CCB"/>
    <w:rsid w:val="0017616F"/>
    <w:rsid w:val="00180230"/>
    <w:rsid w:val="00181569"/>
    <w:rsid w:val="001821E2"/>
    <w:rsid w:val="001824DF"/>
    <w:rsid w:val="00184554"/>
    <w:rsid w:val="001910C7"/>
    <w:rsid w:val="00191C52"/>
    <w:rsid w:val="001954E0"/>
    <w:rsid w:val="00197B76"/>
    <w:rsid w:val="00197BA7"/>
    <w:rsid w:val="001A5D9C"/>
    <w:rsid w:val="001A7F12"/>
    <w:rsid w:val="001B1B3F"/>
    <w:rsid w:val="001B37C8"/>
    <w:rsid w:val="001B4BE8"/>
    <w:rsid w:val="001D1B41"/>
    <w:rsid w:val="001D5A8A"/>
    <w:rsid w:val="001D5D48"/>
    <w:rsid w:val="001E0AF4"/>
    <w:rsid w:val="001E319C"/>
    <w:rsid w:val="001E35D3"/>
    <w:rsid w:val="001E527B"/>
    <w:rsid w:val="001E5515"/>
    <w:rsid w:val="001E5C91"/>
    <w:rsid w:val="001F0CAA"/>
    <w:rsid w:val="001F3EAC"/>
    <w:rsid w:val="001F5D25"/>
    <w:rsid w:val="001F6E20"/>
    <w:rsid w:val="002054CC"/>
    <w:rsid w:val="0021331D"/>
    <w:rsid w:val="002145FE"/>
    <w:rsid w:val="00226B05"/>
    <w:rsid w:val="0023354F"/>
    <w:rsid w:val="00241F25"/>
    <w:rsid w:val="00242B4D"/>
    <w:rsid w:val="00243ECA"/>
    <w:rsid w:val="0024413E"/>
    <w:rsid w:val="002467C8"/>
    <w:rsid w:val="0025063C"/>
    <w:rsid w:val="00251D0E"/>
    <w:rsid w:val="00256C1D"/>
    <w:rsid w:val="00256C2C"/>
    <w:rsid w:val="00257840"/>
    <w:rsid w:val="00264508"/>
    <w:rsid w:val="00267FD6"/>
    <w:rsid w:val="00270C31"/>
    <w:rsid w:val="00271389"/>
    <w:rsid w:val="00273A14"/>
    <w:rsid w:val="00277AC0"/>
    <w:rsid w:val="002819DE"/>
    <w:rsid w:val="002A05FE"/>
    <w:rsid w:val="002A2728"/>
    <w:rsid w:val="002C3720"/>
    <w:rsid w:val="002C6D93"/>
    <w:rsid w:val="002E0ADE"/>
    <w:rsid w:val="002E0CC3"/>
    <w:rsid w:val="002E1D35"/>
    <w:rsid w:val="002E3644"/>
    <w:rsid w:val="002E3897"/>
    <w:rsid w:val="002E5A54"/>
    <w:rsid w:val="002E7370"/>
    <w:rsid w:val="002F1328"/>
    <w:rsid w:val="002F1708"/>
    <w:rsid w:val="002F377F"/>
    <w:rsid w:val="002F3A02"/>
    <w:rsid w:val="002F598C"/>
    <w:rsid w:val="00302D6C"/>
    <w:rsid w:val="00305044"/>
    <w:rsid w:val="00314D9D"/>
    <w:rsid w:val="00314E03"/>
    <w:rsid w:val="0031605A"/>
    <w:rsid w:val="00320331"/>
    <w:rsid w:val="003205D6"/>
    <w:rsid w:val="00322B90"/>
    <w:rsid w:val="0033678E"/>
    <w:rsid w:val="00340B47"/>
    <w:rsid w:val="00341A67"/>
    <w:rsid w:val="00342F09"/>
    <w:rsid w:val="00345DC8"/>
    <w:rsid w:val="00346E78"/>
    <w:rsid w:val="00352627"/>
    <w:rsid w:val="00356224"/>
    <w:rsid w:val="00356483"/>
    <w:rsid w:val="00356ADB"/>
    <w:rsid w:val="00356F89"/>
    <w:rsid w:val="00365460"/>
    <w:rsid w:val="00370C5F"/>
    <w:rsid w:val="00371698"/>
    <w:rsid w:val="00371E18"/>
    <w:rsid w:val="003750F9"/>
    <w:rsid w:val="00377212"/>
    <w:rsid w:val="00382061"/>
    <w:rsid w:val="00382E2F"/>
    <w:rsid w:val="003932CB"/>
    <w:rsid w:val="00396492"/>
    <w:rsid w:val="003A0900"/>
    <w:rsid w:val="003A1635"/>
    <w:rsid w:val="003A1F14"/>
    <w:rsid w:val="003A4175"/>
    <w:rsid w:val="003A45C6"/>
    <w:rsid w:val="003A487D"/>
    <w:rsid w:val="003A50E5"/>
    <w:rsid w:val="003A7D9B"/>
    <w:rsid w:val="003B3914"/>
    <w:rsid w:val="003B4D11"/>
    <w:rsid w:val="003B5E9D"/>
    <w:rsid w:val="003B7395"/>
    <w:rsid w:val="003B73BC"/>
    <w:rsid w:val="003C1B78"/>
    <w:rsid w:val="003C1CA0"/>
    <w:rsid w:val="003C2769"/>
    <w:rsid w:val="003C5902"/>
    <w:rsid w:val="003C5BC3"/>
    <w:rsid w:val="003D16B1"/>
    <w:rsid w:val="003D41A7"/>
    <w:rsid w:val="003D51CF"/>
    <w:rsid w:val="003D650F"/>
    <w:rsid w:val="003E122D"/>
    <w:rsid w:val="003E1E8E"/>
    <w:rsid w:val="003E4314"/>
    <w:rsid w:val="003F465F"/>
    <w:rsid w:val="003F7662"/>
    <w:rsid w:val="004018C0"/>
    <w:rsid w:val="0040295F"/>
    <w:rsid w:val="00404E00"/>
    <w:rsid w:val="0041259B"/>
    <w:rsid w:val="00415BA6"/>
    <w:rsid w:val="00416E0B"/>
    <w:rsid w:val="00423336"/>
    <w:rsid w:val="00425C6F"/>
    <w:rsid w:val="00426B79"/>
    <w:rsid w:val="00433C5A"/>
    <w:rsid w:val="004414A3"/>
    <w:rsid w:val="0045137E"/>
    <w:rsid w:val="00452514"/>
    <w:rsid w:val="00453B1F"/>
    <w:rsid w:val="00456656"/>
    <w:rsid w:val="00460B5F"/>
    <w:rsid w:val="0046184E"/>
    <w:rsid w:val="00464B9C"/>
    <w:rsid w:val="00474BCA"/>
    <w:rsid w:val="004758AD"/>
    <w:rsid w:val="00475A02"/>
    <w:rsid w:val="00475EB5"/>
    <w:rsid w:val="00480CFF"/>
    <w:rsid w:val="00481627"/>
    <w:rsid w:val="004877DB"/>
    <w:rsid w:val="00490A8E"/>
    <w:rsid w:val="004946CE"/>
    <w:rsid w:val="00496C10"/>
    <w:rsid w:val="004A04AA"/>
    <w:rsid w:val="004A3EB8"/>
    <w:rsid w:val="004A69E4"/>
    <w:rsid w:val="004B02E9"/>
    <w:rsid w:val="004B0364"/>
    <w:rsid w:val="004B7D57"/>
    <w:rsid w:val="004C1868"/>
    <w:rsid w:val="004C43B0"/>
    <w:rsid w:val="004C7D92"/>
    <w:rsid w:val="004D10B9"/>
    <w:rsid w:val="004D22E8"/>
    <w:rsid w:val="004D2B6D"/>
    <w:rsid w:val="004D5B4B"/>
    <w:rsid w:val="004D7A39"/>
    <w:rsid w:val="004E0903"/>
    <w:rsid w:val="004E4CB1"/>
    <w:rsid w:val="004E68E2"/>
    <w:rsid w:val="004F2985"/>
    <w:rsid w:val="004F513D"/>
    <w:rsid w:val="004F7510"/>
    <w:rsid w:val="005052E6"/>
    <w:rsid w:val="00511841"/>
    <w:rsid w:val="00515A3F"/>
    <w:rsid w:val="00520CC6"/>
    <w:rsid w:val="005234F0"/>
    <w:rsid w:val="00524515"/>
    <w:rsid w:val="00524C35"/>
    <w:rsid w:val="005259D6"/>
    <w:rsid w:val="00526A18"/>
    <w:rsid w:val="00533B82"/>
    <w:rsid w:val="00535584"/>
    <w:rsid w:val="00536380"/>
    <w:rsid w:val="00540AAE"/>
    <w:rsid w:val="00541113"/>
    <w:rsid w:val="00544AF7"/>
    <w:rsid w:val="00546B6C"/>
    <w:rsid w:val="00556025"/>
    <w:rsid w:val="00556E84"/>
    <w:rsid w:val="005621FF"/>
    <w:rsid w:val="0056236C"/>
    <w:rsid w:val="00564741"/>
    <w:rsid w:val="005677E7"/>
    <w:rsid w:val="005678E4"/>
    <w:rsid w:val="00572356"/>
    <w:rsid w:val="005819F2"/>
    <w:rsid w:val="00582DA2"/>
    <w:rsid w:val="00584936"/>
    <w:rsid w:val="00586E11"/>
    <w:rsid w:val="00587FF2"/>
    <w:rsid w:val="00593A1C"/>
    <w:rsid w:val="0059450B"/>
    <w:rsid w:val="005968D6"/>
    <w:rsid w:val="005A0BFB"/>
    <w:rsid w:val="005A1545"/>
    <w:rsid w:val="005A2072"/>
    <w:rsid w:val="005A3DF4"/>
    <w:rsid w:val="005B02D2"/>
    <w:rsid w:val="005B068A"/>
    <w:rsid w:val="005B281E"/>
    <w:rsid w:val="005B36E6"/>
    <w:rsid w:val="005B6C89"/>
    <w:rsid w:val="005B7247"/>
    <w:rsid w:val="005C0F6F"/>
    <w:rsid w:val="005C67CF"/>
    <w:rsid w:val="005D5019"/>
    <w:rsid w:val="005E1C30"/>
    <w:rsid w:val="005E3703"/>
    <w:rsid w:val="005E4C28"/>
    <w:rsid w:val="005E4F25"/>
    <w:rsid w:val="005E75E1"/>
    <w:rsid w:val="005F4296"/>
    <w:rsid w:val="00601FFB"/>
    <w:rsid w:val="00606F00"/>
    <w:rsid w:val="00607652"/>
    <w:rsid w:val="00612B7E"/>
    <w:rsid w:val="00615A06"/>
    <w:rsid w:val="00617B7F"/>
    <w:rsid w:val="00620DAE"/>
    <w:rsid w:val="00630898"/>
    <w:rsid w:val="00652192"/>
    <w:rsid w:val="00655C5A"/>
    <w:rsid w:val="006575FB"/>
    <w:rsid w:val="00657E6D"/>
    <w:rsid w:val="00667C9E"/>
    <w:rsid w:val="00672946"/>
    <w:rsid w:val="00676D3D"/>
    <w:rsid w:val="00681A16"/>
    <w:rsid w:val="0068248A"/>
    <w:rsid w:val="00687366"/>
    <w:rsid w:val="00693759"/>
    <w:rsid w:val="006939ED"/>
    <w:rsid w:val="00697719"/>
    <w:rsid w:val="006A20FE"/>
    <w:rsid w:val="006B45D0"/>
    <w:rsid w:val="006B5A7F"/>
    <w:rsid w:val="006C687C"/>
    <w:rsid w:val="006D0E1C"/>
    <w:rsid w:val="006D142B"/>
    <w:rsid w:val="006D4125"/>
    <w:rsid w:val="006D608E"/>
    <w:rsid w:val="006D67D8"/>
    <w:rsid w:val="006E3DF1"/>
    <w:rsid w:val="006E3EA6"/>
    <w:rsid w:val="006E63DC"/>
    <w:rsid w:val="006F619A"/>
    <w:rsid w:val="006F6318"/>
    <w:rsid w:val="00703EBA"/>
    <w:rsid w:val="0070547F"/>
    <w:rsid w:val="007072D8"/>
    <w:rsid w:val="007124ED"/>
    <w:rsid w:val="00717D6D"/>
    <w:rsid w:val="007211A5"/>
    <w:rsid w:val="00722844"/>
    <w:rsid w:val="007248A2"/>
    <w:rsid w:val="00730C6C"/>
    <w:rsid w:val="00730EEE"/>
    <w:rsid w:val="00731C6F"/>
    <w:rsid w:val="00735148"/>
    <w:rsid w:val="007402DA"/>
    <w:rsid w:val="00743087"/>
    <w:rsid w:val="007437A6"/>
    <w:rsid w:val="00757C7C"/>
    <w:rsid w:val="007658D5"/>
    <w:rsid w:val="00766350"/>
    <w:rsid w:val="007679B3"/>
    <w:rsid w:val="00767D6C"/>
    <w:rsid w:val="0077058A"/>
    <w:rsid w:val="00773C7D"/>
    <w:rsid w:val="0078002D"/>
    <w:rsid w:val="00781402"/>
    <w:rsid w:val="0079497B"/>
    <w:rsid w:val="0079599F"/>
    <w:rsid w:val="0079781F"/>
    <w:rsid w:val="007A1F18"/>
    <w:rsid w:val="007A2FED"/>
    <w:rsid w:val="007A36AF"/>
    <w:rsid w:val="007A6C83"/>
    <w:rsid w:val="007A7049"/>
    <w:rsid w:val="007B176F"/>
    <w:rsid w:val="007B565A"/>
    <w:rsid w:val="007B66C8"/>
    <w:rsid w:val="007B6AEF"/>
    <w:rsid w:val="007C4E09"/>
    <w:rsid w:val="007C6408"/>
    <w:rsid w:val="007C7813"/>
    <w:rsid w:val="007D0249"/>
    <w:rsid w:val="007D2D18"/>
    <w:rsid w:val="007D378B"/>
    <w:rsid w:val="007D4CDE"/>
    <w:rsid w:val="007D665D"/>
    <w:rsid w:val="007D6F8E"/>
    <w:rsid w:val="007E0776"/>
    <w:rsid w:val="007E1A28"/>
    <w:rsid w:val="007E4106"/>
    <w:rsid w:val="007E662E"/>
    <w:rsid w:val="007F033B"/>
    <w:rsid w:val="007F59CF"/>
    <w:rsid w:val="007F7FCE"/>
    <w:rsid w:val="00801D76"/>
    <w:rsid w:val="0080376C"/>
    <w:rsid w:val="008041E8"/>
    <w:rsid w:val="00806379"/>
    <w:rsid w:val="0081099E"/>
    <w:rsid w:val="00820078"/>
    <w:rsid w:val="00820915"/>
    <w:rsid w:val="008220A4"/>
    <w:rsid w:val="0082240B"/>
    <w:rsid w:val="00823439"/>
    <w:rsid w:val="00826D57"/>
    <w:rsid w:val="00833A93"/>
    <w:rsid w:val="00840C0E"/>
    <w:rsid w:val="0084292E"/>
    <w:rsid w:val="00842CD7"/>
    <w:rsid w:val="008479A5"/>
    <w:rsid w:val="0085221D"/>
    <w:rsid w:val="008563CA"/>
    <w:rsid w:val="00857AE0"/>
    <w:rsid w:val="0086044F"/>
    <w:rsid w:val="0086372F"/>
    <w:rsid w:val="008645C0"/>
    <w:rsid w:val="0086707E"/>
    <w:rsid w:val="00875AA3"/>
    <w:rsid w:val="00875F3F"/>
    <w:rsid w:val="008765C5"/>
    <w:rsid w:val="00876B5C"/>
    <w:rsid w:val="008830D4"/>
    <w:rsid w:val="00884846"/>
    <w:rsid w:val="00885F48"/>
    <w:rsid w:val="0088701E"/>
    <w:rsid w:val="00887A6E"/>
    <w:rsid w:val="008909DB"/>
    <w:rsid w:val="00892EA8"/>
    <w:rsid w:val="008A1CC4"/>
    <w:rsid w:val="008A2498"/>
    <w:rsid w:val="008A42E3"/>
    <w:rsid w:val="008B1B00"/>
    <w:rsid w:val="008C0DF0"/>
    <w:rsid w:val="008C11ED"/>
    <w:rsid w:val="008C13D5"/>
    <w:rsid w:val="008C2DF5"/>
    <w:rsid w:val="008C3EC2"/>
    <w:rsid w:val="008C7728"/>
    <w:rsid w:val="008D08EC"/>
    <w:rsid w:val="008D35EC"/>
    <w:rsid w:val="008D4028"/>
    <w:rsid w:val="008D4F2E"/>
    <w:rsid w:val="008D63B6"/>
    <w:rsid w:val="008E3D89"/>
    <w:rsid w:val="008E5283"/>
    <w:rsid w:val="008F27C0"/>
    <w:rsid w:val="008F3AA0"/>
    <w:rsid w:val="008F5F85"/>
    <w:rsid w:val="008F6202"/>
    <w:rsid w:val="0090055E"/>
    <w:rsid w:val="009018A3"/>
    <w:rsid w:val="009025AA"/>
    <w:rsid w:val="009100B8"/>
    <w:rsid w:val="00910CF9"/>
    <w:rsid w:val="009138BC"/>
    <w:rsid w:val="009138D1"/>
    <w:rsid w:val="00916400"/>
    <w:rsid w:val="009257E9"/>
    <w:rsid w:val="009258F9"/>
    <w:rsid w:val="0092690C"/>
    <w:rsid w:val="00931715"/>
    <w:rsid w:val="00937B84"/>
    <w:rsid w:val="00940B31"/>
    <w:rsid w:val="009410B3"/>
    <w:rsid w:val="00946799"/>
    <w:rsid w:val="009515A5"/>
    <w:rsid w:val="00953821"/>
    <w:rsid w:val="00953939"/>
    <w:rsid w:val="00965CB8"/>
    <w:rsid w:val="00965E79"/>
    <w:rsid w:val="0098467F"/>
    <w:rsid w:val="009848C3"/>
    <w:rsid w:val="00990F46"/>
    <w:rsid w:val="00994885"/>
    <w:rsid w:val="009A2040"/>
    <w:rsid w:val="009A62D4"/>
    <w:rsid w:val="009B1C5A"/>
    <w:rsid w:val="009B1DF7"/>
    <w:rsid w:val="009B433D"/>
    <w:rsid w:val="009B48D3"/>
    <w:rsid w:val="009B50A3"/>
    <w:rsid w:val="009D4210"/>
    <w:rsid w:val="009D54B4"/>
    <w:rsid w:val="009D61D8"/>
    <w:rsid w:val="009D6C16"/>
    <w:rsid w:val="009E2133"/>
    <w:rsid w:val="009F14C3"/>
    <w:rsid w:val="009F1C71"/>
    <w:rsid w:val="009F36C9"/>
    <w:rsid w:val="009F77FA"/>
    <w:rsid w:val="00A00B7F"/>
    <w:rsid w:val="00A00C71"/>
    <w:rsid w:val="00A024C8"/>
    <w:rsid w:val="00A04EE1"/>
    <w:rsid w:val="00A05F1C"/>
    <w:rsid w:val="00A14050"/>
    <w:rsid w:val="00A14641"/>
    <w:rsid w:val="00A22600"/>
    <w:rsid w:val="00A237AD"/>
    <w:rsid w:val="00A342B2"/>
    <w:rsid w:val="00A37159"/>
    <w:rsid w:val="00A47B3B"/>
    <w:rsid w:val="00A47BA5"/>
    <w:rsid w:val="00A51D06"/>
    <w:rsid w:val="00A52867"/>
    <w:rsid w:val="00A53548"/>
    <w:rsid w:val="00A538B9"/>
    <w:rsid w:val="00A553BE"/>
    <w:rsid w:val="00A62886"/>
    <w:rsid w:val="00A64866"/>
    <w:rsid w:val="00A66117"/>
    <w:rsid w:val="00A70592"/>
    <w:rsid w:val="00A71B08"/>
    <w:rsid w:val="00A755E5"/>
    <w:rsid w:val="00A80E28"/>
    <w:rsid w:val="00A81A63"/>
    <w:rsid w:val="00A91B0F"/>
    <w:rsid w:val="00A97CFB"/>
    <w:rsid w:val="00AA15E4"/>
    <w:rsid w:val="00AA1B4F"/>
    <w:rsid w:val="00AA1F9D"/>
    <w:rsid w:val="00AA379C"/>
    <w:rsid w:val="00AA5293"/>
    <w:rsid w:val="00AB0D0E"/>
    <w:rsid w:val="00AB7B84"/>
    <w:rsid w:val="00AC1A79"/>
    <w:rsid w:val="00AC2F01"/>
    <w:rsid w:val="00AC695D"/>
    <w:rsid w:val="00AC75BA"/>
    <w:rsid w:val="00AD06B9"/>
    <w:rsid w:val="00AD0B16"/>
    <w:rsid w:val="00AD2AA2"/>
    <w:rsid w:val="00AD490B"/>
    <w:rsid w:val="00AD4DCB"/>
    <w:rsid w:val="00AD5B10"/>
    <w:rsid w:val="00AE3ECE"/>
    <w:rsid w:val="00AE3FC2"/>
    <w:rsid w:val="00AE45A7"/>
    <w:rsid w:val="00AE57A6"/>
    <w:rsid w:val="00AE78FD"/>
    <w:rsid w:val="00AF3940"/>
    <w:rsid w:val="00AF4F2A"/>
    <w:rsid w:val="00AF6371"/>
    <w:rsid w:val="00B01B35"/>
    <w:rsid w:val="00B067B7"/>
    <w:rsid w:val="00B13410"/>
    <w:rsid w:val="00B13C81"/>
    <w:rsid w:val="00B1450E"/>
    <w:rsid w:val="00B1630F"/>
    <w:rsid w:val="00B166FB"/>
    <w:rsid w:val="00B2158A"/>
    <w:rsid w:val="00B221F1"/>
    <w:rsid w:val="00B2425F"/>
    <w:rsid w:val="00B24B4E"/>
    <w:rsid w:val="00B267C6"/>
    <w:rsid w:val="00B3438A"/>
    <w:rsid w:val="00B35520"/>
    <w:rsid w:val="00B36C59"/>
    <w:rsid w:val="00B40F55"/>
    <w:rsid w:val="00B41293"/>
    <w:rsid w:val="00B55439"/>
    <w:rsid w:val="00B55462"/>
    <w:rsid w:val="00B5702C"/>
    <w:rsid w:val="00B57B01"/>
    <w:rsid w:val="00B606BB"/>
    <w:rsid w:val="00B61427"/>
    <w:rsid w:val="00B6292A"/>
    <w:rsid w:val="00B645B1"/>
    <w:rsid w:val="00B64E5B"/>
    <w:rsid w:val="00B72E93"/>
    <w:rsid w:val="00B7359A"/>
    <w:rsid w:val="00B757DA"/>
    <w:rsid w:val="00B802A7"/>
    <w:rsid w:val="00B808CC"/>
    <w:rsid w:val="00B84A5E"/>
    <w:rsid w:val="00B873EA"/>
    <w:rsid w:val="00B8783F"/>
    <w:rsid w:val="00B91088"/>
    <w:rsid w:val="00B92780"/>
    <w:rsid w:val="00B97824"/>
    <w:rsid w:val="00BA3288"/>
    <w:rsid w:val="00BA4EC9"/>
    <w:rsid w:val="00BA6354"/>
    <w:rsid w:val="00BA790E"/>
    <w:rsid w:val="00BB34A6"/>
    <w:rsid w:val="00BB3BED"/>
    <w:rsid w:val="00BB3F7E"/>
    <w:rsid w:val="00BB6388"/>
    <w:rsid w:val="00BB677A"/>
    <w:rsid w:val="00BB77FE"/>
    <w:rsid w:val="00BC1685"/>
    <w:rsid w:val="00BC3F87"/>
    <w:rsid w:val="00BC3FA1"/>
    <w:rsid w:val="00BC5277"/>
    <w:rsid w:val="00BC7C26"/>
    <w:rsid w:val="00BD6623"/>
    <w:rsid w:val="00BE0631"/>
    <w:rsid w:val="00BE11B1"/>
    <w:rsid w:val="00BE60C6"/>
    <w:rsid w:val="00BE75B7"/>
    <w:rsid w:val="00BF0276"/>
    <w:rsid w:val="00BF3456"/>
    <w:rsid w:val="00BF6473"/>
    <w:rsid w:val="00BF69CA"/>
    <w:rsid w:val="00BF6A6E"/>
    <w:rsid w:val="00C06D70"/>
    <w:rsid w:val="00C16EAE"/>
    <w:rsid w:val="00C2544B"/>
    <w:rsid w:val="00C26B24"/>
    <w:rsid w:val="00C30392"/>
    <w:rsid w:val="00C309E1"/>
    <w:rsid w:val="00C34D51"/>
    <w:rsid w:val="00C354C5"/>
    <w:rsid w:val="00C40085"/>
    <w:rsid w:val="00C40C8E"/>
    <w:rsid w:val="00C41448"/>
    <w:rsid w:val="00C47D22"/>
    <w:rsid w:val="00C5075D"/>
    <w:rsid w:val="00C51D3A"/>
    <w:rsid w:val="00C53982"/>
    <w:rsid w:val="00C54463"/>
    <w:rsid w:val="00C56B6F"/>
    <w:rsid w:val="00C5733B"/>
    <w:rsid w:val="00C6072C"/>
    <w:rsid w:val="00C61BA9"/>
    <w:rsid w:val="00C6442B"/>
    <w:rsid w:val="00C65925"/>
    <w:rsid w:val="00C66080"/>
    <w:rsid w:val="00C7221A"/>
    <w:rsid w:val="00C72638"/>
    <w:rsid w:val="00C73850"/>
    <w:rsid w:val="00C74FE5"/>
    <w:rsid w:val="00C752F2"/>
    <w:rsid w:val="00C84783"/>
    <w:rsid w:val="00C854E2"/>
    <w:rsid w:val="00C858E0"/>
    <w:rsid w:val="00C9144A"/>
    <w:rsid w:val="00C9294C"/>
    <w:rsid w:val="00C9398E"/>
    <w:rsid w:val="00C94820"/>
    <w:rsid w:val="00C96F11"/>
    <w:rsid w:val="00C97638"/>
    <w:rsid w:val="00CB0B88"/>
    <w:rsid w:val="00CB266F"/>
    <w:rsid w:val="00CB2E7C"/>
    <w:rsid w:val="00CC25A9"/>
    <w:rsid w:val="00CD0069"/>
    <w:rsid w:val="00CD00F9"/>
    <w:rsid w:val="00CE12CB"/>
    <w:rsid w:val="00CE5E96"/>
    <w:rsid w:val="00CF4764"/>
    <w:rsid w:val="00D002B0"/>
    <w:rsid w:val="00D0326F"/>
    <w:rsid w:val="00D0347E"/>
    <w:rsid w:val="00D03636"/>
    <w:rsid w:val="00D113F5"/>
    <w:rsid w:val="00D157EA"/>
    <w:rsid w:val="00D16FB1"/>
    <w:rsid w:val="00D207DF"/>
    <w:rsid w:val="00D20CE3"/>
    <w:rsid w:val="00D24EF9"/>
    <w:rsid w:val="00D315AA"/>
    <w:rsid w:val="00D32493"/>
    <w:rsid w:val="00D37FDF"/>
    <w:rsid w:val="00D40B7B"/>
    <w:rsid w:val="00D4320D"/>
    <w:rsid w:val="00D44866"/>
    <w:rsid w:val="00D520E8"/>
    <w:rsid w:val="00D527FB"/>
    <w:rsid w:val="00D55274"/>
    <w:rsid w:val="00D55694"/>
    <w:rsid w:val="00D557E3"/>
    <w:rsid w:val="00D56C0D"/>
    <w:rsid w:val="00D670CC"/>
    <w:rsid w:val="00D71F02"/>
    <w:rsid w:val="00D83B99"/>
    <w:rsid w:val="00D84F10"/>
    <w:rsid w:val="00D86114"/>
    <w:rsid w:val="00D90A83"/>
    <w:rsid w:val="00D9365D"/>
    <w:rsid w:val="00DA36D2"/>
    <w:rsid w:val="00DA5E82"/>
    <w:rsid w:val="00DB2023"/>
    <w:rsid w:val="00DB2049"/>
    <w:rsid w:val="00DB4511"/>
    <w:rsid w:val="00DC01B0"/>
    <w:rsid w:val="00DC0E84"/>
    <w:rsid w:val="00DC3A26"/>
    <w:rsid w:val="00DC4B61"/>
    <w:rsid w:val="00DC7E27"/>
    <w:rsid w:val="00DD077C"/>
    <w:rsid w:val="00DD0EAD"/>
    <w:rsid w:val="00DD31F4"/>
    <w:rsid w:val="00DD359E"/>
    <w:rsid w:val="00DD5808"/>
    <w:rsid w:val="00DD6397"/>
    <w:rsid w:val="00DD781E"/>
    <w:rsid w:val="00DE45D1"/>
    <w:rsid w:val="00DF0394"/>
    <w:rsid w:val="00DF4B08"/>
    <w:rsid w:val="00DF60A6"/>
    <w:rsid w:val="00DF74F1"/>
    <w:rsid w:val="00E02F46"/>
    <w:rsid w:val="00E0369B"/>
    <w:rsid w:val="00E06389"/>
    <w:rsid w:val="00E074EB"/>
    <w:rsid w:val="00E1078D"/>
    <w:rsid w:val="00E10E30"/>
    <w:rsid w:val="00E14A47"/>
    <w:rsid w:val="00E20C41"/>
    <w:rsid w:val="00E241AA"/>
    <w:rsid w:val="00E2459F"/>
    <w:rsid w:val="00E24739"/>
    <w:rsid w:val="00E25C56"/>
    <w:rsid w:val="00E25FEB"/>
    <w:rsid w:val="00E26992"/>
    <w:rsid w:val="00E34D6C"/>
    <w:rsid w:val="00E44606"/>
    <w:rsid w:val="00E474D0"/>
    <w:rsid w:val="00E53A1E"/>
    <w:rsid w:val="00E549FB"/>
    <w:rsid w:val="00E6423A"/>
    <w:rsid w:val="00E6678D"/>
    <w:rsid w:val="00E72FC5"/>
    <w:rsid w:val="00E80C04"/>
    <w:rsid w:val="00E85E8E"/>
    <w:rsid w:val="00E9433A"/>
    <w:rsid w:val="00E9573A"/>
    <w:rsid w:val="00E9625C"/>
    <w:rsid w:val="00E97B08"/>
    <w:rsid w:val="00EA3F3E"/>
    <w:rsid w:val="00EA4347"/>
    <w:rsid w:val="00EA4773"/>
    <w:rsid w:val="00EA51DB"/>
    <w:rsid w:val="00EA534D"/>
    <w:rsid w:val="00EA72F4"/>
    <w:rsid w:val="00EA7C4C"/>
    <w:rsid w:val="00EB1367"/>
    <w:rsid w:val="00EB4B95"/>
    <w:rsid w:val="00EB71C6"/>
    <w:rsid w:val="00EC324A"/>
    <w:rsid w:val="00EC44B9"/>
    <w:rsid w:val="00EC4F2E"/>
    <w:rsid w:val="00ED1161"/>
    <w:rsid w:val="00ED7A5E"/>
    <w:rsid w:val="00EE0769"/>
    <w:rsid w:val="00EE27FD"/>
    <w:rsid w:val="00EF4DB3"/>
    <w:rsid w:val="00EF6EFC"/>
    <w:rsid w:val="00EF6FB9"/>
    <w:rsid w:val="00F00EC2"/>
    <w:rsid w:val="00F07BE0"/>
    <w:rsid w:val="00F14EF1"/>
    <w:rsid w:val="00F175DB"/>
    <w:rsid w:val="00F2357A"/>
    <w:rsid w:val="00F24F3C"/>
    <w:rsid w:val="00F254C5"/>
    <w:rsid w:val="00F275FE"/>
    <w:rsid w:val="00F31359"/>
    <w:rsid w:val="00F3160F"/>
    <w:rsid w:val="00F33EFD"/>
    <w:rsid w:val="00F3428D"/>
    <w:rsid w:val="00F375DB"/>
    <w:rsid w:val="00F37CC8"/>
    <w:rsid w:val="00F4291E"/>
    <w:rsid w:val="00F42CCD"/>
    <w:rsid w:val="00F432AA"/>
    <w:rsid w:val="00F435BE"/>
    <w:rsid w:val="00F50BB6"/>
    <w:rsid w:val="00F52BF0"/>
    <w:rsid w:val="00F530FB"/>
    <w:rsid w:val="00F56987"/>
    <w:rsid w:val="00F56CD6"/>
    <w:rsid w:val="00F576ED"/>
    <w:rsid w:val="00F63BA8"/>
    <w:rsid w:val="00F717F8"/>
    <w:rsid w:val="00F72716"/>
    <w:rsid w:val="00F72CA0"/>
    <w:rsid w:val="00F7395A"/>
    <w:rsid w:val="00F73BF6"/>
    <w:rsid w:val="00F7452B"/>
    <w:rsid w:val="00F74E82"/>
    <w:rsid w:val="00F74FCA"/>
    <w:rsid w:val="00F75890"/>
    <w:rsid w:val="00F7795E"/>
    <w:rsid w:val="00F8462C"/>
    <w:rsid w:val="00F84887"/>
    <w:rsid w:val="00F857A6"/>
    <w:rsid w:val="00F85BBC"/>
    <w:rsid w:val="00F93FB1"/>
    <w:rsid w:val="00FA1A85"/>
    <w:rsid w:val="00FA1A95"/>
    <w:rsid w:val="00FB2913"/>
    <w:rsid w:val="00FB3B34"/>
    <w:rsid w:val="00FB493A"/>
    <w:rsid w:val="00FB5293"/>
    <w:rsid w:val="00FB6944"/>
    <w:rsid w:val="00FB7E3A"/>
    <w:rsid w:val="00FC12E8"/>
    <w:rsid w:val="00FC7305"/>
    <w:rsid w:val="00FD313C"/>
    <w:rsid w:val="00FD37A1"/>
    <w:rsid w:val="00FD4899"/>
    <w:rsid w:val="00FD6D60"/>
    <w:rsid w:val="00FF4E5E"/>
    <w:rsid w:val="01F762D1"/>
    <w:rsid w:val="024AD210"/>
    <w:rsid w:val="029967BE"/>
    <w:rsid w:val="03B48583"/>
    <w:rsid w:val="0491DDCF"/>
    <w:rsid w:val="04EAA95F"/>
    <w:rsid w:val="06AC8632"/>
    <w:rsid w:val="06EC2645"/>
    <w:rsid w:val="07D60374"/>
    <w:rsid w:val="0887F6A6"/>
    <w:rsid w:val="09401B8E"/>
    <w:rsid w:val="09413EEB"/>
    <w:rsid w:val="09907956"/>
    <w:rsid w:val="0A2BF0FB"/>
    <w:rsid w:val="0BAE5C91"/>
    <w:rsid w:val="0BC7C15C"/>
    <w:rsid w:val="0CE59A25"/>
    <w:rsid w:val="0E14B00E"/>
    <w:rsid w:val="0EFF621E"/>
    <w:rsid w:val="1136EA6E"/>
    <w:rsid w:val="114C50D0"/>
    <w:rsid w:val="149C9F1D"/>
    <w:rsid w:val="158F2112"/>
    <w:rsid w:val="161674A2"/>
    <w:rsid w:val="19AE489A"/>
    <w:rsid w:val="1B0BE0A1"/>
    <w:rsid w:val="1BCF7E9F"/>
    <w:rsid w:val="1C0D4235"/>
    <w:rsid w:val="1C4EC133"/>
    <w:rsid w:val="1C8FAE0C"/>
    <w:rsid w:val="1CA7B102"/>
    <w:rsid w:val="1D81A30D"/>
    <w:rsid w:val="1D9A32F7"/>
    <w:rsid w:val="21D551D0"/>
    <w:rsid w:val="22551430"/>
    <w:rsid w:val="22D117A8"/>
    <w:rsid w:val="24A41DFE"/>
    <w:rsid w:val="258CB4F2"/>
    <w:rsid w:val="25A1B3E6"/>
    <w:rsid w:val="25FA34CC"/>
    <w:rsid w:val="266D2951"/>
    <w:rsid w:val="29757405"/>
    <w:rsid w:val="2996C656"/>
    <w:rsid w:val="29A503AA"/>
    <w:rsid w:val="29E7425C"/>
    <w:rsid w:val="2A58388F"/>
    <w:rsid w:val="2A602615"/>
    <w:rsid w:val="2AA63762"/>
    <w:rsid w:val="2AF81C09"/>
    <w:rsid w:val="2B00098F"/>
    <w:rsid w:val="2B114466"/>
    <w:rsid w:val="2CAD14C7"/>
    <w:rsid w:val="302EA419"/>
    <w:rsid w:val="30F78C1E"/>
    <w:rsid w:val="32AA2471"/>
    <w:rsid w:val="32FD291E"/>
    <w:rsid w:val="33B45818"/>
    <w:rsid w:val="33DC88CF"/>
    <w:rsid w:val="33F6F0E1"/>
    <w:rsid w:val="34A7ECE5"/>
    <w:rsid w:val="34F523B3"/>
    <w:rsid w:val="35919DE5"/>
    <w:rsid w:val="35D9BDC3"/>
    <w:rsid w:val="373B1877"/>
    <w:rsid w:val="37F9E943"/>
    <w:rsid w:val="3802EB0D"/>
    <w:rsid w:val="390C2E71"/>
    <w:rsid w:val="39944C5D"/>
    <w:rsid w:val="39C892AD"/>
    <w:rsid w:val="3A663265"/>
    <w:rsid w:val="3FCCA99A"/>
    <w:rsid w:val="40181DFA"/>
    <w:rsid w:val="40BB1204"/>
    <w:rsid w:val="41A1FAF6"/>
    <w:rsid w:val="421BAFAD"/>
    <w:rsid w:val="42327345"/>
    <w:rsid w:val="425A0301"/>
    <w:rsid w:val="4282044F"/>
    <w:rsid w:val="44E3CEC6"/>
    <w:rsid w:val="45C8E7AA"/>
    <w:rsid w:val="4744B56D"/>
    <w:rsid w:val="474A988A"/>
    <w:rsid w:val="47A15CCD"/>
    <w:rsid w:val="4A5999CD"/>
    <w:rsid w:val="4B3D1128"/>
    <w:rsid w:val="4B4DA374"/>
    <w:rsid w:val="4D8993BD"/>
    <w:rsid w:val="50EB1CE1"/>
    <w:rsid w:val="5286ED42"/>
    <w:rsid w:val="542B6269"/>
    <w:rsid w:val="56874B2A"/>
    <w:rsid w:val="5760E4DA"/>
    <w:rsid w:val="5A04FE15"/>
    <w:rsid w:val="5B7D2C09"/>
    <w:rsid w:val="5C312991"/>
    <w:rsid w:val="5CA0FA04"/>
    <w:rsid w:val="5D18FC6A"/>
    <w:rsid w:val="5DD244AF"/>
    <w:rsid w:val="5E309138"/>
    <w:rsid w:val="5EB723D2"/>
    <w:rsid w:val="5EF8F2B1"/>
    <w:rsid w:val="6090093B"/>
    <w:rsid w:val="61665063"/>
    <w:rsid w:val="61EA5B33"/>
    <w:rsid w:val="6226B377"/>
    <w:rsid w:val="623B3C7D"/>
    <w:rsid w:val="63306C9E"/>
    <w:rsid w:val="63883DEE"/>
    <w:rsid w:val="63D7A8CB"/>
    <w:rsid w:val="65137C03"/>
    <w:rsid w:val="65E5441A"/>
    <w:rsid w:val="6609AC46"/>
    <w:rsid w:val="674C9C76"/>
    <w:rsid w:val="6781147B"/>
    <w:rsid w:val="67D25B71"/>
    <w:rsid w:val="67F7F6D8"/>
    <w:rsid w:val="6873FBA2"/>
    <w:rsid w:val="69F2D6A7"/>
    <w:rsid w:val="6B50FAA8"/>
    <w:rsid w:val="6C5CAF92"/>
    <w:rsid w:val="6C86A28C"/>
    <w:rsid w:val="6CD8C2C1"/>
    <w:rsid w:val="6F7AEB89"/>
    <w:rsid w:val="72740885"/>
    <w:rsid w:val="74BA43F1"/>
    <w:rsid w:val="772A7FE6"/>
    <w:rsid w:val="79496793"/>
    <w:rsid w:val="7AC6EB81"/>
    <w:rsid w:val="7B5FA484"/>
    <w:rsid w:val="7BD0EA48"/>
    <w:rsid w:val="7C1F19B5"/>
    <w:rsid w:val="7C51810B"/>
    <w:rsid w:val="7D173CD3"/>
    <w:rsid w:val="7D3C9F38"/>
    <w:rsid w:val="7DD6A636"/>
    <w:rsid w:val="7E3E4D9B"/>
    <w:rsid w:val="7FDC5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D68A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BC4"/>
  </w:style>
  <w:style w:type="paragraph" w:styleId="Heading1">
    <w:name w:val="heading 1"/>
    <w:basedOn w:val="Normal"/>
    <w:next w:val="Text1"/>
    <w:link w:val="Heading1Char"/>
    <w:uiPriority w:val="1"/>
    <w:qFormat/>
    <w:rsid w:val="009515A5"/>
    <w:pPr>
      <w:keepNext/>
      <w:numPr>
        <w:numId w:val="1"/>
      </w:numPr>
      <w:spacing w:before="240" w:after="240" w:line="240" w:lineRule="auto"/>
      <w:jc w:val="both"/>
      <w:outlineLvl w:val="0"/>
    </w:pPr>
    <w:rPr>
      <w:rFonts w:ascii="Times New Roman" w:eastAsia="Times New Roman" w:hAnsi="Times New Roman" w:cs="Times New Roman"/>
      <w:b/>
      <w:smallCaps/>
      <w:sz w:val="24"/>
      <w:szCs w:val="20"/>
      <w:lang w:eastAsia="fr-BE"/>
    </w:rPr>
  </w:style>
  <w:style w:type="paragraph" w:styleId="Heading2">
    <w:name w:val="heading 2"/>
    <w:basedOn w:val="Normal"/>
    <w:next w:val="Normal"/>
    <w:link w:val="Heading2Char"/>
    <w:uiPriority w:val="1"/>
    <w:qFormat/>
    <w:rsid w:val="0082240B"/>
    <w:pPr>
      <w:keepNext/>
      <w:numPr>
        <w:ilvl w:val="1"/>
        <w:numId w:val="1"/>
      </w:numPr>
      <w:tabs>
        <w:tab w:val="clear" w:pos="2564"/>
      </w:tabs>
      <w:spacing w:after="240" w:line="240" w:lineRule="auto"/>
      <w:ind w:left="993" w:hanging="709"/>
      <w:jc w:val="both"/>
      <w:outlineLvl w:val="1"/>
    </w:pPr>
    <w:rPr>
      <w:rFonts w:ascii="Times New Roman" w:eastAsia="Times New Roman" w:hAnsi="Times New Roman" w:cs="Times New Roman"/>
      <w:b/>
      <w:sz w:val="24"/>
      <w:szCs w:val="20"/>
      <w:lang w:eastAsia="fr-BE"/>
    </w:rPr>
  </w:style>
  <w:style w:type="paragraph" w:styleId="Heading3">
    <w:name w:val="heading 3"/>
    <w:basedOn w:val="Normal"/>
    <w:next w:val="Normal"/>
    <w:link w:val="Heading3Char"/>
    <w:uiPriority w:val="1"/>
    <w:qFormat/>
    <w:rsid w:val="009515A5"/>
    <w:pPr>
      <w:keepNext/>
      <w:numPr>
        <w:ilvl w:val="2"/>
        <w:numId w:val="1"/>
      </w:numPr>
      <w:spacing w:after="240" w:line="240" w:lineRule="auto"/>
      <w:jc w:val="both"/>
      <w:outlineLvl w:val="2"/>
    </w:pPr>
    <w:rPr>
      <w:rFonts w:ascii="Times New Roman" w:eastAsia="Times New Roman" w:hAnsi="Times New Roman" w:cs="Times New Roman"/>
      <w:i/>
      <w:sz w:val="24"/>
      <w:szCs w:val="20"/>
      <w:lang w:eastAsia="fr-BE"/>
    </w:rPr>
  </w:style>
  <w:style w:type="paragraph" w:styleId="Heading4">
    <w:name w:val="heading 4"/>
    <w:basedOn w:val="Normal"/>
    <w:next w:val="Normal"/>
    <w:link w:val="Heading4Char"/>
    <w:uiPriority w:val="1"/>
    <w:qFormat/>
    <w:rsid w:val="009515A5"/>
    <w:pPr>
      <w:keepNext/>
      <w:numPr>
        <w:ilvl w:val="3"/>
        <w:numId w:val="1"/>
      </w:numPr>
      <w:spacing w:after="240" w:line="240" w:lineRule="auto"/>
      <w:jc w:val="both"/>
      <w:outlineLvl w:val="3"/>
    </w:pPr>
    <w:rPr>
      <w:rFonts w:ascii="Times New Roman" w:eastAsia="Times New Roman" w:hAnsi="Times New Roman" w:cs="Times New Roman"/>
      <w:sz w:val="24"/>
      <w:szCs w:val="20"/>
      <w:lang w:eastAsia="fr-BE"/>
    </w:rPr>
  </w:style>
  <w:style w:type="paragraph" w:styleId="Heading5">
    <w:name w:val="heading 5"/>
    <w:basedOn w:val="Normal"/>
    <w:next w:val="Normal"/>
    <w:link w:val="Heading5Char"/>
    <w:semiHidden/>
    <w:qFormat/>
    <w:rsid w:val="009515A5"/>
    <w:pPr>
      <w:keepNext/>
      <w:numPr>
        <w:ilvl w:val="4"/>
        <w:numId w:val="1"/>
      </w:numPr>
      <w:spacing w:after="240" w:line="240" w:lineRule="auto"/>
      <w:jc w:val="both"/>
      <w:outlineLvl w:val="4"/>
    </w:pPr>
    <w:rPr>
      <w:rFonts w:ascii="Times New Roman" w:eastAsia="Times New Roman" w:hAnsi="Times New Roman" w:cs="Times New Roman"/>
      <w:sz w:val="24"/>
      <w:szCs w:val="20"/>
      <w:lang w:eastAsia="fr-BE"/>
    </w:rPr>
  </w:style>
  <w:style w:type="paragraph" w:styleId="Heading6">
    <w:name w:val="heading 6"/>
    <w:basedOn w:val="Normal"/>
    <w:next w:val="Normal"/>
    <w:link w:val="Heading6Char"/>
    <w:semiHidden/>
    <w:qFormat/>
    <w:rsid w:val="009515A5"/>
    <w:pPr>
      <w:keepNext/>
      <w:numPr>
        <w:ilvl w:val="5"/>
        <w:numId w:val="1"/>
      </w:numPr>
      <w:spacing w:after="240" w:line="240" w:lineRule="auto"/>
      <w:jc w:val="both"/>
      <w:outlineLvl w:val="5"/>
    </w:pPr>
    <w:rPr>
      <w:rFonts w:ascii="Times New Roman" w:eastAsia="Times New Roman" w:hAnsi="Times New Roman" w:cs="Times New Roman"/>
      <w:sz w:val="24"/>
      <w:szCs w:val="20"/>
      <w:lang w:eastAsia="fr-BE"/>
    </w:rPr>
  </w:style>
  <w:style w:type="paragraph" w:styleId="Heading7">
    <w:name w:val="heading 7"/>
    <w:basedOn w:val="Normal"/>
    <w:next w:val="Normal"/>
    <w:link w:val="Heading7Char"/>
    <w:semiHidden/>
    <w:qFormat/>
    <w:rsid w:val="009515A5"/>
    <w:pPr>
      <w:keepNext/>
      <w:numPr>
        <w:ilvl w:val="6"/>
        <w:numId w:val="1"/>
      </w:numPr>
      <w:spacing w:after="240" w:line="240" w:lineRule="auto"/>
      <w:jc w:val="both"/>
      <w:outlineLvl w:val="6"/>
    </w:pPr>
    <w:rPr>
      <w:rFonts w:ascii="Times New Roman" w:eastAsia="Times New Roman" w:hAnsi="Times New Roman" w:cs="Times New Roman"/>
      <w:sz w:val="24"/>
      <w:szCs w:val="20"/>
      <w:lang w:eastAsia="fr-BE"/>
    </w:rPr>
  </w:style>
  <w:style w:type="paragraph" w:styleId="Heading8">
    <w:name w:val="heading 8"/>
    <w:basedOn w:val="Normal"/>
    <w:next w:val="Normal"/>
    <w:link w:val="Heading8Char"/>
    <w:semiHidden/>
    <w:qFormat/>
    <w:rsid w:val="009515A5"/>
    <w:pPr>
      <w:keepNext/>
      <w:numPr>
        <w:ilvl w:val="7"/>
        <w:numId w:val="1"/>
      </w:numPr>
      <w:spacing w:after="240" w:line="240" w:lineRule="auto"/>
      <w:jc w:val="both"/>
      <w:outlineLvl w:val="7"/>
    </w:pPr>
    <w:rPr>
      <w:rFonts w:ascii="Times New Roman" w:eastAsia="Times New Roman" w:hAnsi="Times New Roman" w:cs="Times New Roman"/>
      <w:sz w:val="24"/>
      <w:szCs w:val="20"/>
      <w:lang w:eastAsia="fr-BE"/>
    </w:rPr>
  </w:style>
  <w:style w:type="paragraph" w:styleId="Heading9">
    <w:name w:val="heading 9"/>
    <w:basedOn w:val="Normal"/>
    <w:next w:val="Normal"/>
    <w:link w:val="Heading9Char"/>
    <w:semiHidden/>
    <w:qFormat/>
    <w:rsid w:val="009515A5"/>
    <w:pPr>
      <w:keepNext/>
      <w:numPr>
        <w:ilvl w:val="8"/>
        <w:numId w:val="1"/>
      </w:numPr>
      <w:spacing w:after="240" w:line="240" w:lineRule="auto"/>
      <w:jc w:val="both"/>
      <w:outlineLvl w:val="8"/>
    </w:pPr>
    <w:rPr>
      <w:rFonts w:ascii="Times New Roman" w:eastAsia="Times New Roman" w:hAnsi="Times New Roman" w:cs="Times New Roman"/>
      <w:sz w:val="24"/>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C0E84"/>
    <w:rPr>
      <w:color w:val="0000FF"/>
      <w:shd w:val="clear" w:color="auto" w:fill="auto"/>
    </w:rPr>
  </w:style>
  <w:style w:type="paragraph" w:styleId="Header">
    <w:name w:val="header"/>
    <w:basedOn w:val="Normal"/>
    <w:link w:val="HeaderChar"/>
    <w:uiPriority w:val="99"/>
    <w:unhideWhenUsed/>
    <w:rsid w:val="00DC0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E84"/>
  </w:style>
  <w:style w:type="paragraph" w:styleId="Footer">
    <w:name w:val="footer"/>
    <w:basedOn w:val="Normal"/>
    <w:link w:val="FooterChar"/>
    <w:uiPriority w:val="99"/>
    <w:unhideWhenUsed/>
    <w:rsid w:val="00DC0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E84"/>
  </w:style>
  <w:style w:type="paragraph" w:customStyle="1" w:styleId="Pagedecouverture">
    <w:name w:val="Page de couverture"/>
    <w:basedOn w:val="Normal"/>
    <w:next w:val="Normal"/>
    <w:rsid w:val="00DC0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C0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C0E84"/>
    <w:rPr>
      <w:rFonts w:ascii="Times New Roman" w:hAnsi="Times New Roman" w:cs="Times New Roman"/>
      <w:sz w:val="24"/>
    </w:rPr>
  </w:style>
  <w:style w:type="paragraph" w:customStyle="1" w:styleId="FooterSensitivity">
    <w:name w:val="Footer Sensitivity"/>
    <w:basedOn w:val="Normal"/>
    <w:link w:val="FooterSensitivityChar"/>
    <w:rsid w:val="00DC0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C0E84"/>
    <w:rPr>
      <w:rFonts w:ascii="Times New Roman" w:hAnsi="Times New Roman" w:cs="Times New Roman"/>
      <w:b/>
      <w:sz w:val="32"/>
    </w:rPr>
  </w:style>
  <w:style w:type="paragraph" w:customStyle="1" w:styleId="HeaderCoverPage">
    <w:name w:val="Header Cover Page"/>
    <w:basedOn w:val="Normal"/>
    <w:link w:val="HeaderCoverPageChar"/>
    <w:rsid w:val="00DC0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C0E84"/>
    <w:rPr>
      <w:rFonts w:ascii="Times New Roman" w:hAnsi="Times New Roman" w:cs="Times New Roman"/>
      <w:sz w:val="24"/>
    </w:rPr>
  </w:style>
  <w:style w:type="paragraph" w:customStyle="1" w:styleId="HeaderSensitivity">
    <w:name w:val="Header Sensitivity"/>
    <w:basedOn w:val="Normal"/>
    <w:link w:val="HeaderSensitivityChar"/>
    <w:rsid w:val="00DC0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C0E84"/>
    <w:rPr>
      <w:rFonts w:ascii="Times New Roman" w:hAnsi="Times New Roman" w:cs="Times New Roman"/>
      <w:b/>
      <w:sz w:val="32"/>
    </w:rPr>
  </w:style>
  <w:style w:type="paragraph" w:customStyle="1" w:styleId="HeaderSensitivityRight">
    <w:name w:val="Header Sensitivity Right"/>
    <w:basedOn w:val="Normal"/>
    <w:link w:val="HeaderSensitivityRightChar"/>
    <w:rsid w:val="00DC0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C0E84"/>
    <w:rPr>
      <w:rFonts w:ascii="Times New Roman" w:hAnsi="Times New Roman" w:cs="Times New Roman"/>
      <w:sz w:val="28"/>
    </w:rPr>
  </w:style>
  <w:style w:type="character" w:customStyle="1" w:styleId="Heading1Char">
    <w:name w:val="Heading 1 Char"/>
    <w:basedOn w:val="DefaultParagraphFont"/>
    <w:link w:val="Heading1"/>
    <w:uiPriority w:val="1"/>
    <w:rsid w:val="009515A5"/>
    <w:rPr>
      <w:rFonts w:ascii="Times New Roman" w:eastAsia="Times New Roman" w:hAnsi="Times New Roman" w:cs="Times New Roman"/>
      <w:b/>
      <w:smallCaps/>
      <w:sz w:val="24"/>
      <w:szCs w:val="20"/>
      <w:lang w:eastAsia="fr-BE"/>
    </w:rPr>
  </w:style>
  <w:style w:type="character" w:customStyle="1" w:styleId="Heading2Char">
    <w:name w:val="Heading 2 Char"/>
    <w:basedOn w:val="DefaultParagraphFont"/>
    <w:link w:val="Heading2"/>
    <w:uiPriority w:val="1"/>
    <w:rsid w:val="0082240B"/>
    <w:rPr>
      <w:rFonts w:ascii="Times New Roman" w:eastAsia="Times New Roman" w:hAnsi="Times New Roman" w:cs="Times New Roman"/>
      <w:b/>
      <w:sz w:val="24"/>
      <w:szCs w:val="20"/>
      <w:lang w:val="ro-RO" w:eastAsia="fr-BE"/>
    </w:rPr>
  </w:style>
  <w:style w:type="character" w:customStyle="1" w:styleId="Heading3Char">
    <w:name w:val="Heading 3 Char"/>
    <w:basedOn w:val="DefaultParagraphFont"/>
    <w:link w:val="Heading3"/>
    <w:uiPriority w:val="1"/>
    <w:rsid w:val="009515A5"/>
    <w:rPr>
      <w:rFonts w:ascii="Times New Roman" w:eastAsia="Times New Roman" w:hAnsi="Times New Roman" w:cs="Times New Roman"/>
      <w:i/>
      <w:sz w:val="24"/>
      <w:szCs w:val="20"/>
      <w:lang w:eastAsia="fr-BE"/>
    </w:rPr>
  </w:style>
  <w:style w:type="character" w:customStyle="1" w:styleId="Heading4Char">
    <w:name w:val="Heading 4 Char"/>
    <w:basedOn w:val="DefaultParagraphFont"/>
    <w:link w:val="Heading4"/>
    <w:uiPriority w:val="1"/>
    <w:rsid w:val="009515A5"/>
    <w:rPr>
      <w:rFonts w:ascii="Times New Roman" w:eastAsia="Times New Roman" w:hAnsi="Times New Roman" w:cs="Times New Roman"/>
      <w:sz w:val="24"/>
      <w:szCs w:val="20"/>
      <w:lang w:eastAsia="fr-BE"/>
    </w:rPr>
  </w:style>
  <w:style w:type="character" w:customStyle="1" w:styleId="Heading5Char">
    <w:name w:val="Heading 5 Char"/>
    <w:basedOn w:val="DefaultParagraphFont"/>
    <w:link w:val="Heading5"/>
    <w:semiHidden/>
    <w:rsid w:val="009515A5"/>
    <w:rPr>
      <w:rFonts w:ascii="Times New Roman" w:eastAsia="Times New Roman" w:hAnsi="Times New Roman" w:cs="Times New Roman"/>
      <w:sz w:val="24"/>
      <w:szCs w:val="20"/>
      <w:lang w:eastAsia="fr-BE"/>
    </w:rPr>
  </w:style>
  <w:style w:type="character" w:customStyle="1" w:styleId="Heading6Char">
    <w:name w:val="Heading 6 Char"/>
    <w:basedOn w:val="DefaultParagraphFont"/>
    <w:link w:val="Heading6"/>
    <w:semiHidden/>
    <w:rsid w:val="009515A5"/>
    <w:rPr>
      <w:rFonts w:ascii="Times New Roman" w:eastAsia="Times New Roman" w:hAnsi="Times New Roman" w:cs="Times New Roman"/>
      <w:sz w:val="24"/>
      <w:szCs w:val="20"/>
      <w:lang w:eastAsia="fr-BE"/>
    </w:rPr>
  </w:style>
  <w:style w:type="character" w:customStyle="1" w:styleId="Heading7Char">
    <w:name w:val="Heading 7 Char"/>
    <w:basedOn w:val="DefaultParagraphFont"/>
    <w:link w:val="Heading7"/>
    <w:semiHidden/>
    <w:rsid w:val="009515A5"/>
    <w:rPr>
      <w:rFonts w:ascii="Times New Roman" w:eastAsia="Times New Roman" w:hAnsi="Times New Roman" w:cs="Times New Roman"/>
      <w:sz w:val="24"/>
      <w:szCs w:val="20"/>
      <w:lang w:eastAsia="fr-BE"/>
    </w:rPr>
  </w:style>
  <w:style w:type="character" w:customStyle="1" w:styleId="Heading8Char">
    <w:name w:val="Heading 8 Char"/>
    <w:basedOn w:val="DefaultParagraphFont"/>
    <w:link w:val="Heading8"/>
    <w:semiHidden/>
    <w:rsid w:val="009515A5"/>
    <w:rPr>
      <w:rFonts w:ascii="Times New Roman" w:eastAsia="Times New Roman" w:hAnsi="Times New Roman" w:cs="Times New Roman"/>
      <w:sz w:val="24"/>
      <w:szCs w:val="20"/>
      <w:lang w:eastAsia="fr-BE"/>
    </w:rPr>
  </w:style>
  <w:style w:type="character" w:customStyle="1" w:styleId="Heading9Char">
    <w:name w:val="Heading 9 Char"/>
    <w:basedOn w:val="DefaultParagraphFont"/>
    <w:link w:val="Heading9"/>
    <w:semiHidden/>
    <w:rsid w:val="009515A5"/>
    <w:rPr>
      <w:rFonts w:ascii="Times New Roman" w:eastAsia="Times New Roman" w:hAnsi="Times New Roman" w:cs="Times New Roman"/>
      <w:sz w:val="24"/>
      <w:szCs w:val="20"/>
      <w:lang w:eastAsia="fr-BE"/>
    </w:rPr>
  </w:style>
  <w:style w:type="character" w:styleId="Strong">
    <w:name w:val="Strong"/>
    <w:qFormat/>
    <w:rsid w:val="009515A5"/>
    <w:rPr>
      <w:b/>
      <w:bCs/>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qFormat/>
    <w:rsid w:val="009515A5"/>
    <w:pPr>
      <w:spacing w:after="240" w:line="280" w:lineRule="atLeast"/>
      <w:ind w:left="720"/>
      <w:contextualSpacing/>
      <w:jc w:val="both"/>
    </w:pPr>
    <w:rPr>
      <w:rFonts w:ascii="Times New Roman" w:eastAsia="Calibri" w:hAnsi="Times New Roman" w:cs="Times New Roman"/>
      <w:sz w:val="24"/>
      <w:szCs w:val="24"/>
      <w:lang w:eastAsia="en-GB"/>
    </w:rPr>
  </w:style>
  <w:style w:type="character" w:styleId="Hyperlink">
    <w:name w:val="Hyperlink"/>
    <w:uiPriority w:val="99"/>
    <w:rsid w:val="009515A5"/>
    <w:rPr>
      <w:color w:val="0000FF"/>
      <w:u w:val="singl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qFormat/>
    <w:rsid w:val="009515A5"/>
    <w:rPr>
      <w:vertAlign w:val="superscript"/>
    </w:rPr>
  </w:style>
  <w:style w:type="paragraph" w:customStyle="1" w:styleId="CharCharChar">
    <w:name w:val="Char Char Char"/>
    <w:basedOn w:val="Normal"/>
    <w:link w:val="FootnoteReference"/>
    <w:qFormat/>
    <w:rsid w:val="009515A5"/>
    <w:pPr>
      <w:spacing w:after="160" w:line="240" w:lineRule="exact"/>
    </w:pPr>
    <w:rPr>
      <w:vertAlign w:val="superscript"/>
    </w:rPr>
  </w:style>
  <w:style w:type="paragraph" w:customStyle="1" w:styleId="FooterLine">
    <w:name w:val="Footer Line"/>
    <w:basedOn w:val="Footer"/>
    <w:next w:val="Footer"/>
    <w:uiPriority w:val="2"/>
    <w:rsid w:val="009515A5"/>
    <w:pPr>
      <w:tabs>
        <w:tab w:val="clear" w:pos="4680"/>
        <w:tab w:val="clear" w:pos="9360"/>
        <w:tab w:val="right" w:pos="8646"/>
      </w:tabs>
      <w:spacing w:before="120" w:line="264" w:lineRule="auto"/>
      <w:jc w:val="both"/>
    </w:pPr>
    <w:rPr>
      <w:rFonts w:ascii="Times New Roman" w:eastAsia="Times New Roman" w:hAnsi="Times New Roman" w:cs="Times New Roman"/>
      <w:sz w:val="16"/>
      <w:szCs w:val="20"/>
      <w:lang w:eastAsia="fr-BE"/>
    </w:rPr>
  </w:style>
  <w:style w:type="paragraph" w:customStyle="1" w:styleId="Text1">
    <w:name w:val="Text 1"/>
    <w:basedOn w:val="Normal"/>
    <w:uiPriority w:val="1"/>
    <w:qFormat/>
    <w:rsid w:val="009515A5"/>
    <w:pPr>
      <w:spacing w:after="240" w:line="240" w:lineRule="auto"/>
      <w:ind w:left="482"/>
      <w:jc w:val="both"/>
    </w:pPr>
    <w:rPr>
      <w:rFonts w:ascii="Times New Roman" w:eastAsia="Times New Roman" w:hAnsi="Times New Roman" w:cs="Times New Roman"/>
      <w:sz w:val="24"/>
      <w:szCs w:val="20"/>
      <w:lang w:eastAsia="fr-BE"/>
    </w:rPr>
  </w:style>
  <w:style w:type="paragraph" w:styleId="EndnoteText">
    <w:name w:val="endnote text"/>
    <w:basedOn w:val="Normal"/>
    <w:link w:val="EndnoteTextChar"/>
    <w:uiPriority w:val="99"/>
    <w:unhideWhenUsed/>
    <w:rsid w:val="009515A5"/>
    <w:pPr>
      <w:spacing w:after="240" w:line="240" w:lineRule="auto"/>
      <w:jc w:val="both"/>
    </w:pPr>
    <w:rPr>
      <w:rFonts w:ascii="Times New Roman" w:eastAsia="Times New Roman" w:hAnsi="Times New Roman" w:cs="Times New Roman"/>
      <w:sz w:val="20"/>
      <w:szCs w:val="20"/>
      <w:lang w:eastAsia="fr-BE"/>
    </w:rPr>
  </w:style>
  <w:style w:type="character" w:customStyle="1" w:styleId="EndnoteTextChar">
    <w:name w:val="Endnote Text Char"/>
    <w:basedOn w:val="DefaultParagraphFont"/>
    <w:link w:val="EndnoteText"/>
    <w:uiPriority w:val="99"/>
    <w:rsid w:val="009515A5"/>
    <w:rPr>
      <w:rFonts w:ascii="Times New Roman" w:eastAsia="Times New Roman" w:hAnsi="Times New Roman" w:cs="Times New Roman"/>
      <w:sz w:val="20"/>
      <w:szCs w:val="20"/>
      <w:lang w:eastAsia="fr-B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9515A5"/>
    <w:pPr>
      <w:spacing w:after="120" w:line="240" w:lineRule="auto"/>
      <w:ind w:left="357" w:hanging="357"/>
      <w:jc w:val="both"/>
    </w:pPr>
    <w:rPr>
      <w:rFonts w:ascii="Times New Roman" w:eastAsia="Times New Roman" w:hAnsi="Times New Roman" w:cs="Times New Roman"/>
      <w:sz w:val="20"/>
      <w:szCs w:val="20"/>
      <w:lang w:eastAsia="fr-B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rsid w:val="009515A5"/>
    <w:rPr>
      <w:rFonts w:ascii="Times New Roman" w:eastAsia="Times New Roman" w:hAnsi="Times New Roman" w:cs="Times New Roman"/>
      <w:sz w:val="20"/>
      <w:szCs w:val="20"/>
      <w:lang w:eastAsia="fr-BE"/>
    </w:rPr>
  </w:style>
  <w:style w:type="character" w:styleId="CommentReference">
    <w:name w:val="annotation reference"/>
    <w:basedOn w:val="DefaultParagraphFont"/>
    <w:uiPriority w:val="99"/>
    <w:semiHidden/>
    <w:rsid w:val="009515A5"/>
    <w:rPr>
      <w:sz w:val="16"/>
      <w:szCs w:val="16"/>
    </w:rPr>
  </w:style>
  <w:style w:type="paragraph" w:styleId="CommentText">
    <w:name w:val="annotation text"/>
    <w:basedOn w:val="Normal"/>
    <w:link w:val="CommentTextChar"/>
    <w:uiPriority w:val="99"/>
    <w:semiHidden/>
    <w:rsid w:val="009515A5"/>
    <w:pPr>
      <w:spacing w:after="240" w:line="240" w:lineRule="auto"/>
      <w:jc w:val="both"/>
    </w:pPr>
    <w:rPr>
      <w:rFonts w:ascii="Times New Roman" w:eastAsia="Times New Roman" w:hAnsi="Times New Roman" w:cs="Times New Roman"/>
      <w:sz w:val="20"/>
      <w:szCs w:val="20"/>
      <w:lang w:eastAsia="fr-BE"/>
    </w:rPr>
  </w:style>
  <w:style w:type="character" w:customStyle="1" w:styleId="CommentTextChar">
    <w:name w:val="Comment Text Char"/>
    <w:basedOn w:val="DefaultParagraphFont"/>
    <w:link w:val="CommentText"/>
    <w:uiPriority w:val="99"/>
    <w:semiHidden/>
    <w:rsid w:val="009515A5"/>
    <w:rPr>
      <w:rFonts w:ascii="Times New Roman" w:eastAsia="Times New Roman" w:hAnsi="Times New Roman" w:cs="Times New Roman"/>
      <w:sz w:val="20"/>
      <w:szCs w:val="20"/>
      <w:lang w:eastAsia="fr-BE"/>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qFormat/>
    <w:locked/>
    <w:rsid w:val="009515A5"/>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951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5A5"/>
    <w:rPr>
      <w:rFonts w:ascii="Segoe UI" w:hAnsi="Segoe UI" w:cs="Segoe UI"/>
      <w:sz w:val="18"/>
      <w:szCs w:val="18"/>
    </w:rPr>
  </w:style>
  <w:style w:type="character" w:customStyle="1" w:styleId="normaltextrun">
    <w:name w:val="normaltextrun"/>
    <w:basedOn w:val="DefaultParagraphFont"/>
    <w:rsid w:val="001E5515"/>
    <w:rPr>
      <w:b/>
      <w:bCs/>
    </w:rPr>
  </w:style>
  <w:style w:type="paragraph" w:customStyle="1" w:styleId="LegalNumPar">
    <w:name w:val="LegalNumPar"/>
    <w:basedOn w:val="Normal"/>
    <w:rsid w:val="005E4C28"/>
    <w:pPr>
      <w:numPr>
        <w:numId w:val="8"/>
      </w:numPr>
      <w:spacing w:line="360" w:lineRule="auto"/>
      <w:jc w:val="both"/>
    </w:pPr>
    <w:rPr>
      <w:rFonts w:ascii="Times New Roman" w:hAnsi="Times New Roman" w:cs="Times New Roman"/>
      <w:sz w:val="24"/>
      <w:szCs w:val="24"/>
    </w:rPr>
  </w:style>
  <w:style w:type="paragraph" w:customStyle="1" w:styleId="LegalNumPar2">
    <w:name w:val="LegalNumPar2"/>
    <w:basedOn w:val="Normal"/>
    <w:rsid w:val="005E4C28"/>
    <w:pPr>
      <w:numPr>
        <w:ilvl w:val="1"/>
        <w:numId w:val="8"/>
      </w:numPr>
      <w:spacing w:line="360" w:lineRule="auto"/>
      <w:jc w:val="both"/>
    </w:pPr>
    <w:rPr>
      <w:rFonts w:ascii="Times New Roman" w:hAnsi="Times New Roman" w:cs="Times New Roman"/>
      <w:sz w:val="24"/>
      <w:szCs w:val="24"/>
    </w:rPr>
  </w:style>
  <w:style w:type="paragraph" w:customStyle="1" w:styleId="LegalNumPar3">
    <w:name w:val="LegalNumPar3"/>
    <w:basedOn w:val="Normal"/>
    <w:rsid w:val="005E4C28"/>
    <w:pPr>
      <w:numPr>
        <w:ilvl w:val="2"/>
        <w:numId w:val="8"/>
      </w:numPr>
      <w:spacing w:line="360" w:lineRule="auto"/>
      <w:jc w:val="both"/>
    </w:pPr>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40085"/>
    <w:pPr>
      <w:spacing w:after="200"/>
      <w:jc w:val="left"/>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C40085"/>
    <w:rPr>
      <w:rFonts w:ascii="Times New Roman" w:eastAsia="Times New Roman" w:hAnsi="Times New Roman" w:cs="Times New Roman"/>
      <w:b/>
      <w:bCs/>
      <w:sz w:val="20"/>
      <w:szCs w:val="20"/>
      <w:lang w:eastAsia="fr-BE"/>
    </w:rPr>
  </w:style>
  <w:style w:type="paragraph" w:styleId="Revision">
    <w:name w:val="Revision"/>
    <w:hidden/>
    <w:uiPriority w:val="99"/>
    <w:semiHidden/>
    <w:rsid w:val="00F52BF0"/>
    <w:pPr>
      <w:spacing w:after="0" w:line="240" w:lineRule="auto"/>
    </w:pPr>
  </w:style>
  <w:style w:type="character" w:styleId="FollowedHyperlink">
    <w:name w:val="FollowedHyperlink"/>
    <w:basedOn w:val="DefaultParagraphFont"/>
    <w:uiPriority w:val="99"/>
    <w:semiHidden/>
    <w:unhideWhenUsed/>
    <w:rsid w:val="00F52BF0"/>
    <w:rPr>
      <w:color w:val="800080" w:themeColor="followedHyperlink"/>
      <w:u w:val="single"/>
    </w:rPr>
  </w:style>
  <w:style w:type="character" w:customStyle="1" w:styleId="superscript">
    <w:name w:val="superscript"/>
    <w:basedOn w:val="DefaultParagraphFont"/>
    <w:rsid w:val="007D4CDE"/>
  </w:style>
  <w:style w:type="character" w:customStyle="1" w:styleId="eop">
    <w:name w:val="eop"/>
    <w:basedOn w:val="DefaultParagraphFont"/>
    <w:rsid w:val="007D4CDE"/>
  </w:style>
  <w:style w:type="paragraph" w:customStyle="1" w:styleId="Default">
    <w:name w:val="Default"/>
    <w:rsid w:val="00AA15E4"/>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623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6060">
      <w:bodyDiv w:val="1"/>
      <w:marLeft w:val="0"/>
      <w:marRight w:val="0"/>
      <w:marTop w:val="0"/>
      <w:marBottom w:val="0"/>
      <w:divBdr>
        <w:top w:val="none" w:sz="0" w:space="0" w:color="auto"/>
        <w:left w:val="none" w:sz="0" w:space="0" w:color="auto"/>
        <w:bottom w:val="none" w:sz="0" w:space="0" w:color="auto"/>
        <w:right w:val="none" w:sz="0" w:space="0" w:color="auto"/>
      </w:divBdr>
    </w:div>
    <w:div w:id="768353124">
      <w:bodyDiv w:val="1"/>
      <w:marLeft w:val="0"/>
      <w:marRight w:val="0"/>
      <w:marTop w:val="0"/>
      <w:marBottom w:val="0"/>
      <w:divBdr>
        <w:top w:val="none" w:sz="0" w:space="0" w:color="auto"/>
        <w:left w:val="none" w:sz="0" w:space="0" w:color="auto"/>
        <w:bottom w:val="none" w:sz="0" w:space="0" w:color="auto"/>
        <w:right w:val="none" w:sz="0" w:space="0" w:color="auto"/>
      </w:divBdr>
    </w:div>
    <w:div w:id="788665992">
      <w:bodyDiv w:val="1"/>
      <w:marLeft w:val="0"/>
      <w:marRight w:val="0"/>
      <w:marTop w:val="0"/>
      <w:marBottom w:val="0"/>
      <w:divBdr>
        <w:top w:val="none" w:sz="0" w:space="0" w:color="auto"/>
        <w:left w:val="none" w:sz="0" w:space="0" w:color="auto"/>
        <w:bottom w:val="none" w:sz="0" w:space="0" w:color="auto"/>
        <w:right w:val="none" w:sz="0" w:space="0" w:color="auto"/>
      </w:divBdr>
    </w:div>
    <w:div w:id="1084113446">
      <w:bodyDiv w:val="1"/>
      <w:marLeft w:val="0"/>
      <w:marRight w:val="0"/>
      <w:marTop w:val="0"/>
      <w:marBottom w:val="0"/>
      <w:divBdr>
        <w:top w:val="none" w:sz="0" w:space="0" w:color="auto"/>
        <w:left w:val="none" w:sz="0" w:space="0" w:color="auto"/>
        <w:bottom w:val="none" w:sz="0" w:space="0" w:color="auto"/>
        <w:right w:val="none" w:sz="0" w:space="0" w:color="auto"/>
      </w:divBdr>
    </w:div>
    <w:div w:id="1503860206">
      <w:bodyDiv w:val="1"/>
      <w:marLeft w:val="0"/>
      <w:marRight w:val="0"/>
      <w:marTop w:val="0"/>
      <w:marBottom w:val="0"/>
      <w:divBdr>
        <w:top w:val="none" w:sz="0" w:space="0" w:color="auto"/>
        <w:left w:val="none" w:sz="0" w:space="0" w:color="auto"/>
        <w:bottom w:val="none" w:sz="0" w:space="0" w:color="auto"/>
        <w:right w:val="none" w:sz="0" w:space="0" w:color="auto"/>
      </w:divBdr>
    </w:div>
    <w:div w:id="1763531311">
      <w:bodyDiv w:val="1"/>
      <w:marLeft w:val="0"/>
      <w:marRight w:val="0"/>
      <w:marTop w:val="0"/>
      <w:marBottom w:val="0"/>
      <w:divBdr>
        <w:top w:val="none" w:sz="0" w:space="0" w:color="auto"/>
        <w:left w:val="none" w:sz="0" w:space="0" w:color="auto"/>
        <w:bottom w:val="none" w:sz="0" w:space="0" w:color="auto"/>
        <w:right w:val="none" w:sz="0" w:space="0" w:color="auto"/>
      </w:divBdr>
    </w:div>
    <w:div w:id="20177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4DCC0AC9070440AC8F58F2A787C016" ma:contentTypeVersion="4" ma:contentTypeDescription="Create a new document." ma:contentTypeScope="" ma:versionID="6b6c4d6dcf57ec963e5782d0f234ebca">
  <xsd:schema xmlns:xsd="http://www.w3.org/2001/XMLSchema" xmlns:xs="http://www.w3.org/2001/XMLSchema" xmlns:p="http://schemas.microsoft.com/office/2006/metadata/properties" xmlns:ns2="a1ae7e3d-ea02-4f8b-a6ae-4ba92f54bfa6" xmlns:ns3="39579b5d-f307-4cba-adf0-92bbc0d34603" targetNamespace="http://schemas.microsoft.com/office/2006/metadata/properties" ma:root="true" ma:fieldsID="c3fc4101192be32eca7d01dca346a804" ns2:_="" ns3:_="">
    <xsd:import namespace="a1ae7e3d-ea02-4f8b-a6ae-4ba92f54bfa6"/>
    <xsd:import namespace="39579b5d-f307-4cba-adf0-92bbc0d346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e7e3d-ea02-4f8b-a6ae-4ba92f54b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579b5d-f307-4cba-adf0-92bbc0d346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FF3A2-131E-4280-BAD2-2EA0D1811705}">
  <ds:schemaRefs>
    <ds:schemaRef ds:uri="http://schemas.microsoft.com/sharepoint/v3/contenttype/forms"/>
  </ds:schemaRefs>
</ds:datastoreItem>
</file>

<file path=customXml/itemProps2.xml><?xml version="1.0" encoding="utf-8"?>
<ds:datastoreItem xmlns:ds="http://schemas.openxmlformats.org/officeDocument/2006/customXml" ds:itemID="{428FCB41-1EE2-4096-9EEC-88FB01A30E34}">
  <ds:schemaRefs>
    <ds:schemaRef ds:uri="http://schemas.microsoft.com/office/2006/documentManagement/types"/>
    <ds:schemaRef ds:uri="a1ae7e3d-ea02-4f8b-a6ae-4ba92f54bfa6"/>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metadata/properties"/>
    <ds:schemaRef ds:uri="39579b5d-f307-4cba-adf0-92bbc0d34603"/>
    <ds:schemaRef ds:uri="http://www.w3.org/XML/1998/namespace"/>
    <ds:schemaRef ds:uri="http://purl.org/dc/dcmitype/"/>
  </ds:schemaRefs>
</ds:datastoreItem>
</file>

<file path=customXml/itemProps3.xml><?xml version="1.0" encoding="utf-8"?>
<ds:datastoreItem xmlns:ds="http://schemas.openxmlformats.org/officeDocument/2006/customXml" ds:itemID="{8F889A81-77A1-4369-AF6A-8D8CCE8F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e7e3d-ea02-4f8b-a6ae-4ba92f54bfa6"/>
    <ds:schemaRef ds:uri="39579b5d-f307-4cba-adf0-92bbc0d346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D5D353-A6DA-4747-8B24-065ACA382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6925</Words>
  <Characters>41278</Characters>
  <Application>Microsoft Office Word</Application>
  <DocSecurity>0</DocSecurity>
  <Lines>616</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2022-11-11T11:26:00Z</dcterms:created>
  <dcterms:modified xsi:type="dcterms:W3CDTF">2022-11-21T07:25:00Z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8.1, Build 20220902</vt:lpwstr>
  </property>
  <property fmtid="{D5CDD505-2E9C-101B-9397-08002B2CF9AE}" pid="4" name="ContentTypeId">
    <vt:lpwstr>0x0101008B4DCC0AC9070440AC8F58F2A787C016</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CPTemplateID">
    <vt:lpwstr>CP-014</vt:lpwstr>
  </property>
  <property fmtid="{D5CDD505-2E9C-101B-9397-08002B2CF9AE}" pid="9" name="MSIP_Label_6bd9ddd1-4d20-43f6-abfa-fc3c07406f94_Enabled">
    <vt:lpwstr>true</vt:lpwstr>
  </property>
  <property fmtid="{D5CDD505-2E9C-101B-9397-08002B2CF9AE}" pid="10" name="MSIP_Label_6bd9ddd1-4d20-43f6-abfa-fc3c07406f94_SetDate">
    <vt:lpwstr>2022-11-08T09:44:16Z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6686139b-5260-4d50-a4f9-47de383f333a</vt:lpwstr>
  </property>
  <property fmtid="{D5CDD505-2E9C-101B-9397-08002B2CF9AE}" pid="15" name="MSIP_Label_6bd9ddd1-4d20-43f6-abfa-fc3c07406f94_ContentBits">
    <vt:lpwstr>0</vt:lpwstr>
  </property>
</Properties>
</file>