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280" w:rsidRPr="002242ED" w:rsidRDefault="005D3D3D" w:rsidP="005D3D3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99D8C9E-D1A7-49EA-B326-122C81E74C22" style="width:455.25pt;height:351.75pt">
            <v:imagedata r:id="rId11" o:title=""/>
          </v:shape>
        </w:pict>
      </w:r>
    </w:p>
    <w:bookmarkEnd w:id="0"/>
    <w:p w:rsidR="009D1280" w:rsidRPr="002242ED" w:rsidRDefault="009D1280" w:rsidP="000B1E8F">
      <w:pPr>
        <w:spacing w:line="240" w:lineRule="auto"/>
        <w:rPr>
          <w:rFonts w:ascii="EC Square Sans Pro" w:hAnsi="EC Square Sans Pro"/>
          <w:noProof/>
          <w:sz w:val="20"/>
          <w:szCs w:val="20"/>
        </w:rPr>
        <w:sectPr w:rsidR="009D1280" w:rsidRPr="002242ED" w:rsidSect="005D3D3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2B7E5B" w:rsidRPr="006602E5" w:rsidRDefault="002B7E5B">
      <w:pPr>
        <w:rPr>
          <w:rFonts w:ascii="EC Square Sans Pro" w:hAnsi="EC Square Sans Pro"/>
          <w:b/>
          <w:bCs/>
          <w:noProof/>
          <w:color w:val="DF4E2B"/>
          <w:sz w:val="28"/>
          <w:szCs w:val="28"/>
          <w:lang w:val="fr-BE"/>
        </w:rPr>
      </w:pPr>
      <w:bookmarkStart w:id="1" w:name="_GoBack"/>
      <w:bookmarkEnd w:id="1"/>
      <w:r w:rsidRPr="006602E5">
        <w:rPr>
          <w:rFonts w:ascii="EC Square Sans Pro" w:hAnsi="EC Square Sans Pro"/>
          <w:b/>
          <w:noProof/>
          <w:color w:val="DF4E2B"/>
          <w:sz w:val="28"/>
          <w:lang w:val="fr-BE"/>
        </w:rPr>
        <w:lastRenderedPageBreak/>
        <w:t>Table des matières</w:t>
      </w:r>
    </w:p>
    <w:p w:rsidR="00380B65" w:rsidRPr="006602E5" w:rsidRDefault="00380B65" w:rsidP="001C0F0D">
      <w:pPr>
        <w:pStyle w:val="TOC1"/>
        <w:rPr>
          <w:lang w:val="fr-BE"/>
        </w:rPr>
      </w:pPr>
    </w:p>
    <w:p w:rsidR="00F40A11" w:rsidRPr="00F40A11" w:rsidRDefault="00380B65">
      <w:pPr>
        <w:pStyle w:val="TOC1"/>
        <w:rPr>
          <w:rFonts w:eastAsiaTheme="minorEastAsia"/>
          <w:b w:val="0"/>
          <w:color w:val="auto"/>
          <w:lang w:val="fr-BE"/>
        </w:rPr>
      </w:pPr>
      <w:r>
        <w:rPr>
          <w:rFonts w:ascii="EC Square Sans Pro" w:hAnsi="EC Square Sans Pro"/>
          <w:smallCaps/>
          <w:sz w:val="20"/>
        </w:rPr>
        <w:fldChar w:fldCharType="begin"/>
      </w:r>
      <w:r w:rsidRPr="00F40A11">
        <w:rPr>
          <w:rFonts w:ascii="EC Square Sans Pro" w:hAnsi="EC Square Sans Pro"/>
          <w:smallCaps/>
          <w:sz w:val="20"/>
          <w:lang w:val="fr-BE"/>
        </w:rPr>
        <w:instrText xml:space="preserve"> TOC \t "2022 Head1;1;2022 Head2;2" </w:instrText>
      </w:r>
      <w:r>
        <w:rPr>
          <w:rFonts w:ascii="EC Square Sans Pro" w:hAnsi="EC Square Sans Pro"/>
          <w:smallCaps/>
          <w:sz w:val="20"/>
        </w:rPr>
        <w:fldChar w:fldCharType="separate"/>
      </w:r>
      <w:r w:rsidR="00F40A11">
        <w:t xml:space="preserve">1. </w:t>
      </w:r>
      <w:r w:rsidR="00F40A11" w:rsidRPr="00F40A11">
        <w:rPr>
          <w:rFonts w:eastAsiaTheme="minorEastAsia"/>
          <w:b w:val="0"/>
          <w:color w:val="auto"/>
          <w:lang w:val="fr-BE"/>
        </w:rPr>
        <w:tab/>
      </w:r>
      <w:r w:rsidR="00F40A11">
        <w:t>Introduction</w:t>
      </w:r>
      <w:r w:rsidR="00F40A11">
        <w:tab/>
      </w:r>
      <w:r w:rsidR="00F40A11">
        <w:fldChar w:fldCharType="begin"/>
      </w:r>
      <w:r w:rsidR="00F40A11">
        <w:instrText xml:space="preserve"> PAGEREF _Toc118981454 \h </w:instrText>
      </w:r>
      <w:r w:rsidR="00F40A11">
        <w:fldChar w:fldCharType="separate"/>
      </w:r>
      <w:r w:rsidR="00F40A11">
        <w:t>2</w:t>
      </w:r>
      <w:r w:rsidR="00F40A11">
        <w:fldChar w:fldCharType="end"/>
      </w:r>
    </w:p>
    <w:p w:rsidR="00F40A11" w:rsidRPr="00F40A11" w:rsidRDefault="00F40A11">
      <w:pPr>
        <w:pStyle w:val="TOC1"/>
        <w:rPr>
          <w:rFonts w:eastAsiaTheme="minorEastAsia"/>
          <w:b w:val="0"/>
          <w:color w:val="auto"/>
          <w:lang w:val="fr-BE"/>
        </w:rPr>
      </w:pPr>
      <w:r>
        <w:t>2.</w:t>
      </w:r>
      <w:r w:rsidRPr="00F40A11">
        <w:rPr>
          <w:rFonts w:eastAsiaTheme="minorEastAsia"/>
          <w:b w:val="0"/>
          <w:color w:val="auto"/>
          <w:lang w:val="fr-BE"/>
        </w:rPr>
        <w:tab/>
      </w:r>
      <w:r>
        <w:t>Progrès accomplis à ce jour dans la réalisation de l’espace européen de l’éducation (EEE)</w:t>
      </w:r>
      <w:r>
        <w:tab/>
      </w:r>
      <w:r>
        <w:fldChar w:fldCharType="begin"/>
      </w:r>
      <w:r>
        <w:instrText xml:space="preserve"> PAGEREF _Toc118981455 \h </w:instrText>
      </w:r>
      <w:r>
        <w:fldChar w:fldCharType="separate"/>
      </w:r>
      <w:r>
        <w:t>5</w:t>
      </w:r>
      <w:r>
        <w:fldChar w:fldCharType="end"/>
      </w:r>
    </w:p>
    <w:p w:rsidR="00F40A11" w:rsidRPr="00F40A11" w:rsidRDefault="00F40A11">
      <w:pPr>
        <w:pStyle w:val="TOC2"/>
        <w:rPr>
          <w:rFonts w:eastAsiaTheme="minorEastAsia"/>
          <w:noProof/>
          <w:lang w:val="fr-BE"/>
        </w:rPr>
      </w:pPr>
      <w:r>
        <w:rPr>
          <w:noProof/>
        </w:rPr>
        <w:t>2.1.</w:t>
      </w:r>
      <w:r w:rsidRPr="00F40A11">
        <w:rPr>
          <w:rFonts w:eastAsiaTheme="minorEastAsia"/>
          <w:noProof/>
          <w:lang w:val="fr-BE"/>
        </w:rPr>
        <w:tab/>
      </w:r>
      <w:r>
        <w:rPr>
          <w:noProof/>
        </w:rPr>
        <w:t>Les initiatives à l’échelle de l’UE visant à façonner l’EEE sont en bonne voie</w:t>
      </w:r>
      <w:r>
        <w:rPr>
          <w:noProof/>
        </w:rPr>
        <w:tab/>
      </w:r>
      <w:r>
        <w:rPr>
          <w:noProof/>
        </w:rPr>
        <w:fldChar w:fldCharType="begin"/>
      </w:r>
      <w:r>
        <w:rPr>
          <w:noProof/>
        </w:rPr>
        <w:instrText xml:space="preserve"> PAGEREF _Toc118981456 \h </w:instrText>
      </w:r>
      <w:r>
        <w:rPr>
          <w:noProof/>
        </w:rPr>
      </w:r>
      <w:r>
        <w:rPr>
          <w:noProof/>
        </w:rPr>
        <w:fldChar w:fldCharType="separate"/>
      </w:r>
      <w:r>
        <w:rPr>
          <w:noProof/>
        </w:rPr>
        <w:t>5</w:t>
      </w:r>
      <w:r>
        <w:rPr>
          <w:noProof/>
        </w:rPr>
        <w:fldChar w:fldCharType="end"/>
      </w:r>
    </w:p>
    <w:p w:rsidR="00F40A11" w:rsidRPr="00F40A11" w:rsidRDefault="00F40A11">
      <w:pPr>
        <w:pStyle w:val="TOC2"/>
        <w:rPr>
          <w:rFonts w:eastAsiaTheme="minorEastAsia"/>
          <w:noProof/>
          <w:lang w:val="fr-BE"/>
        </w:rPr>
      </w:pPr>
      <w:r>
        <w:rPr>
          <w:noProof/>
        </w:rPr>
        <w:t>2.2.</w:t>
      </w:r>
      <w:r w:rsidRPr="00F40A11">
        <w:rPr>
          <w:rFonts w:eastAsiaTheme="minorEastAsia"/>
          <w:noProof/>
          <w:lang w:val="fr-BE"/>
        </w:rPr>
        <w:tab/>
      </w:r>
      <w:r>
        <w:rPr>
          <w:noProof/>
        </w:rPr>
        <w:t>Un cadre de gouvernance renforcé pour piloter la réalisation de l’EEE</w:t>
      </w:r>
      <w:r>
        <w:rPr>
          <w:noProof/>
        </w:rPr>
        <w:tab/>
      </w:r>
      <w:r>
        <w:rPr>
          <w:noProof/>
        </w:rPr>
        <w:fldChar w:fldCharType="begin"/>
      </w:r>
      <w:r>
        <w:rPr>
          <w:noProof/>
        </w:rPr>
        <w:instrText xml:space="preserve"> PAGEREF _Toc118981457 \h </w:instrText>
      </w:r>
      <w:r>
        <w:rPr>
          <w:noProof/>
        </w:rPr>
      </w:r>
      <w:r>
        <w:rPr>
          <w:noProof/>
        </w:rPr>
        <w:fldChar w:fldCharType="separate"/>
      </w:r>
      <w:r>
        <w:rPr>
          <w:noProof/>
        </w:rPr>
        <w:t>7</w:t>
      </w:r>
      <w:r>
        <w:rPr>
          <w:noProof/>
        </w:rPr>
        <w:fldChar w:fldCharType="end"/>
      </w:r>
    </w:p>
    <w:p w:rsidR="00F40A11" w:rsidRPr="00F40A11" w:rsidRDefault="00F40A11">
      <w:pPr>
        <w:pStyle w:val="TOC2"/>
        <w:rPr>
          <w:rFonts w:eastAsiaTheme="minorEastAsia"/>
          <w:noProof/>
          <w:lang w:val="fr-BE"/>
        </w:rPr>
      </w:pPr>
      <w:r>
        <w:rPr>
          <w:noProof/>
        </w:rPr>
        <w:t>2.3.</w:t>
      </w:r>
      <w:r w:rsidRPr="00F40A11">
        <w:rPr>
          <w:rFonts w:eastAsiaTheme="minorEastAsia"/>
          <w:noProof/>
          <w:lang w:val="fr-BE"/>
        </w:rPr>
        <w:tab/>
      </w:r>
      <w:r>
        <w:rPr>
          <w:noProof/>
        </w:rPr>
        <w:t>Progrès accomplis dans la réalisation des objectifs fixés au niveau de l’UE et état de l’enseignement au sein de l’UE</w:t>
      </w:r>
      <w:r>
        <w:rPr>
          <w:noProof/>
        </w:rPr>
        <w:tab/>
      </w:r>
      <w:r>
        <w:rPr>
          <w:noProof/>
        </w:rPr>
        <w:fldChar w:fldCharType="begin"/>
      </w:r>
      <w:r>
        <w:rPr>
          <w:noProof/>
        </w:rPr>
        <w:instrText xml:space="preserve"> PAGEREF _Toc118981458 \h </w:instrText>
      </w:r>
      <w:r>
        <w:rPr>
          <w:noProof/>
        </w:rPr>
      </w:r>
      <w:r>
        <w:rPr>
          <w:noProof/>
        </w:rPr>
        <w:fldChar w:fldCharType="separate"/>
      </w:r>
      <w:r>
        <w:rPr>
          <w:noProof/>
        </w:rPr>
        <w:t>8</w:t>
      </w:r>
      <w:r>
        <w:rPr>
          <w:noProof/>
        </w:rPr>
        <w:fldChar w:fldCharType="end"/>
      </w:r>
    </w:p>
    <w:p w:rsidR="00F40A11" w:rsidRPr="00F40A11" w:rsidRDefault="00F40A11">
      <w:pPr>
        <w:pStyle w:val="TOC1"/>
        <w:rPr>
          <w:rFonts w:eastAsiaTheme="minorEastAsia"/>
          <w:b w:val="0"/>
          <w:color w:val="auto"/>
          <w:lang w:val="fr-BE"/>
        </w:rPr>
      </w:pPr>
      <w:r>
        <w:t xml:space="preserve">3. </w:t>
      </w:r>
      <w:r w:rsidRPr="00F40A11">
        <w:rPr>
          <w:rFonts w:eastAsiaTheme="minorEastAsia"/>
          <w:b w:val="0"/>
          <w:color w:val="auto"/>
          <w:lang w:val="fr-BE"/>
        </w:rPr>
        <w:tab/>
      </w:r>
      <w:r>
        <w:t>Reconstruire sur des bases plus solides</w:t>
      </w:r>
      <w:r>
        <w:tab/>
      </w:r>
      <w:r>
        <w:fldChar w:fldCharType="begin"/>
      </w:r>
      <w:r>
        <w:instrText xml:space="preserve"> PAGEREF _Toc118981459 \h </w:instrText>
      </w:r>
      <w:r>
        <w:fldChar w:fldCharType="separate"/>
      </w:r>
      <w:r>
        <w:t>12</w:t>
      </w:r>
      <w:r>
        <w:fldChar w:fldCharType="end"/>
      </w:r>
    </w:p>
    <w:p w:rsidR="00F40A11" w:rsidRPr="00F40A11" w:rsidRDefault="00F40A11">
      <w:pPr>
        <w:pStyle w:val="TOC2"/>
        <w:rPr>
          <w:rFonts w:eastAsiaTheme="minorEastAsia"/>
          <w:noProof/>
          <w:lang w:val="fr-BE"/>
        </w:rPr>
      </w:pPr>
      <w:r>
        <w:rPr>
          <w:noProof/>
        </w:rPr>
        <w:t>3.1.</w:t>
      </w:r>
      <w:r w:rsidRPr="00F40A11">
        <w:rPr>
          <w:rFonts w:eastAsiaTheme="minorEastAsia"/>
          <w:noProof/>
          <w:lang w:val="fr-BE"/>
        </w:rPr>
        <w:tab/>
      </w:r>
      <w:r>
        <w:rPr>
          <w:noProof/>
        </w:rPr>
        <w:t>Mobiliser la facilité pour la reprise et la résilience ainsi que d’autres fonds de l’UE pour financer, au niveau national, les actions en faveur de l’EEE et les réformes en vue d’une reprise durable et inclusive</w:t>
      </w:r>
      <w:r>
        <w:rPr>
          <w:noProof/>
        </w:rPr>
        <w:tab/>
      </w:r>
      <w:r>
        <w:rPr>
          <w:noProof/>
        </w:rPr>
        <w:fldChar w:fldCharType="begin"/>
      </w:r>
      <w:r>
        <w:rPr>
          <w:noProof/>
        </w:rPr>
        <w:instrText xml:space="preserve"> PAGEREF _Toc118981460 \h </w:instrText>
      </w:r>
      <w:r>
        <w:rPr>
          <w:noProof/>
        </w:rPr>
      </w:r>
      <w:r>
        <w:rPr>
          <w:noProof/>
        </w:rPr>
        <w:fldChar w:fldCharType="separate"/>
      </w:r>
      <w:r>
        <w:rPr>
          <w:noProof/>
        </w:rPr>
        <w:t>12</w:t>
      </w:r>
      <w:r>
        <w:rPr>
          <w:noProof/>
        </w:rPr>
        <w:fldChar w:fldCharType="end"/>
      </w:r>
    </w:p>
    <w:p w:rsidR="00F40A11" w:rsidRPr="00F40A11" w:rsidRDefault="00F40A11">
      <w:pPr>
        <w:pStyle w:val="TOC2"/>
        <w:rPr>
          <w:rFonts w:eastAsiaTheme="minorEastAsia"/>
          <w:noProof/>
          <w:lang w:val="fr-BE"/>
        </w:rPr>
      </w:pPr>
      <w:r>
        <w:rPr>
          <w:noProof/>
        </w:rPr>
        <w:t>3.2.</w:t>
      </w:r>
      <w:r w:rsidRPr="00F40A11">
        <w:rPr>
          <w:rFonts w:eastAsiaTheme="minorEastAsia"/>
          <w:noProof/>
          <w:lang w:val="fr-BE"/>
        </w:rPr>
        <w:tab/>
      </w:r>
      <w:r>
        <w:rPr>
          <w:noProof/>
        </w:rPr>
        <w:t>Mobiliser les outils de l’EEE et les fonds de l’UE au nom de la solidarité avec l’Ukraine en matière d’éducation</w:t>
      </w:r>
      <w:r>
        <w:rPr>
          <w:noProof/>
        </w:rPr>
        <w:tab/>
      </w:r>
      <w:r>
        <w:rPr>
          <w:noProof/>
        </w:rPr>
        <w:fldChar w:fldCharType="begin"/>
      </w:r>
      <w:r>
        <w:rPr>
          <w:noProof/>
        </w:rPr>
        <w:instrText xml:space="preserve"> PAGEREF _Toc118981461 \h </w:instrText>
      </w:r>
      <w:r>
        <w:rPr>
          <w:noProof/>
        </w:rPr>
      </w:r>
      <w:r>
        <w:rPr>
          <w:noProof/>
        </w:rPr>
        <w:fldChar w:fldCharType="separate"/>
      </w:r>
      <w:r>
        <w:rPr>
          <w:noProof/>
        </w:rPr>
        <w:t>14</w:t>
      </w:r>
      <w:r>
        <w:rPr>
          <w:noProof/>
        </w:rPr>
        <w:fldChar w:fldCharType="end"/>
      </w:r>
    </w:p>
    <w:p w:rsidR="00F40A11" w:rsidRPr="00F40A11" w:rsidRDefault="00F40A11">
      <w:pPr>
        <w:pStyle w:val="TOC1"/>
        <w:rPr>
          <w:rFonts w:eastAsiaTheme="minorEastAsia"/>
          <w:b w:val="0"/>
          <w:color w:val="auto"/>
          <w:lang w:val="fr-BE"/>
        </w:rPr>
      </w:pPr>
      <w:r>
        <w:t xml:space="preserve">4. </w:t>
      </w:r>
      <w:r w:rsidRPr="00F40A11">
        <w:rPr>
          <w:rFonts w:eastAsiaTheme="minorEastAsia"/>
          <w:b w:val="0"/>
          <w:color w:val="auto"/>
          <w:lang w:val="fr-BE"/>
        </w:rPr>
        <w:tab/>
      </w:r>
      <w:r>
        <w:t>Mesures supplémentaires nécessaires à la réalisation de l’EEE d’ici à 2025</w:t>
      </w:r>
      <w:r>
        <w:tab/>
      </w:r>
      <w:r>
        <w:fldChar w:fldCharType="begin"/>
      </w:r>
      <w:r>
        <w:instrText xml:space="preserve"> PAGEREF _Toc118981462 \h </w:instrText>
      </w:r>
      <w:r>
        <w:fldChar w:fldCharType="separate"/>
      </w:r>
      <w:r>
        <w:t>17</w:t>
      </w:r>
      <w:r>
        <w:fldChar w:fldCharType="end"/>
      </w:r>
    </w:p>
    <w:p w:rsidR="00F40A11" w:rsidRPr="00F40A11" w:rsidRDefault="00F40A11">
      <w:pPr>
        <w:pStyle w:val="TOC2"/>
        <w:rPr>
          <w:rFonts w:eastAsiaTheme="minorEastAsia"/>
          <w:noProof/>
          <w:lang w:val="fr-BE"/>
        </w:rPr>
      </w:pPr>
      <w:r>
        <w:rPr>
          <w:noProof/>
        </w:rPr>
        <w:t xml:space="preserve">4.1. </w:t>
      </w:r>
      <w:r w:rsidRPr="00F40A11">
        <w:rPr>
          <w:rFonts w:eastAsiaTheme="minorEastAsia"/>
          <w:noProof/>
          <w:lang w:val="fr-BE"/>
        </w:rPr>
        <w:tab/>
      </w:r>
      <w:r>
        <w:rPr>
          <w:noProof/>
        </w:rPr>
        <w:t>Six initiatives stratégiques en faveur de l’EEE, à mener à l’échelle de l’UE, sont en cours d’élaboration</w:t>
      </w:r>
      <w:r>
        <w:rPr>
          <w:noProof/>
        </w:rPr>
        <w:tab/>
      </w:r>
      <w:r>
        <w:rPr>
          <w:noProof/>
        </w:rPr>
        <w:fldChar w:fldCharType="begin"/>
      </w:r>
      <w:r>
        <w:rPr>
          <w:noProof/>
        </w:rPr>
        <w:instrText xml:space="preserve"> PAGEREF _Toc118981463 \h </w:instrText>
      </w:r>
      <w:r>
        <w:rPr>
          <w:noProof/>
        </w:rPr>
      </w:r>
      <w:r>
        <w:rPr>
          <w:noProof/>
        </w:rPr>
        <w:fldChar w:fldCharType="separate"/>
      </w:r>
      <w:r>
        <w:rPr>
          <w:noProof/>
        </w:rPr>
        <w:t>17</w:t>
      </w:r>
      <w:r>
        <w:rPr>
          <w:noProof/>
        </w:rPr>
        <w:fldChar w:fldCharType="end"/>
      </w:r>
    </w:p>
    <w:p w:rsidR="00F40A11" w:rsidRPr="00F40A11" w:rsidRDefault="00F40A11">
      <w:pPr>
        <w:pStyle w:val="TOC2"/>
        <w:rPr>
          <w:rFonts w:eastAsiaTheme="minorEastAsia"/>
          <w:noProof/>
          <w:lang w:val="fr-BE"/>
        </w:rPr>
      </w:pPr>
      <w:r>
        <w:rPr>
          <w:noProof/>
        </w:rPr>
        <w:t xml:space="preserve">4.2. </w:t>
      </w:r>
      <w:r w:rsidRPr="00F40A11">
        <w:rPr>
          <w:rFonts w:eastAsiaTheme="minorEastAsia"/>
          <w:noProof/>
          <w:lang w:val="fr-BE"/>
        </w:rPr>
        <w:tab/>
      </w:r>
      <w:r>
        <w:rPr>
          <w:noProof/>
        </w:rPr>
        <w:t>Nouvel indicateur d’équité et autres mesures pour apporter davantage d’éléments factuels</w:t>
      </w:r>
      <w:r>
        <w:rPr>
          <w:noProof/>
        </w:rPr>
        <w:tab/>
      </w:r>
      <w:r>
        <w:rPr>
          <w:noProof/>
        </w:rPr>
        <w:fldChar w:fldCharType="begin"/>
      </w:r>
      <w:r>
        <w:rPr>
          <w:noProof/>
        </w:rPr>
        <w:instrText xml:space="preserve"> PAGEREF _Toc118981464 \h </w:instrText>
      </w:r>
      <w:r>
        <w:rPr>
          <w:noProof/>
        </w:rPr>
      </w:r>
      <w:r>
        <w:rPr>
          <w:noProof/>
        </w:rPr>
        <w:fldChar w:fldCharType="separate"/>
      </w:r>
      <w:r>
        <w:rPr>
          <w:noProof/>
        </w:rPr>
        <w:t>19</w:t>
      </w:r>
      <w:r>
        <w:rPr>
          <w:noProof/>
        </w:rPr>
        <w:fldChar w:fldCharType="end"/>
      </w:r>
    </w:p>
    <w:p w:rsidR="00F40A11" w:rsidRPr="00F40A11" w:rsidRDefault="00F40A11">
      <w:pPr>
        <w:pStyle w:val="TOC2"/>
        <w:rPr>
          <w:rFonts w:eastAsiaTheme="minorEastAsia"/>
          <w:noProof/>
          <w:lang w:val="fr-BE"/>
        </w:rPr>
      </w:pPr>
      <w:r>
        <w:rPr>
          <w:noProof/>
        </w:rPr>
        <w:t xml:space="preserve">4.3. </w:t>
      </w:r>
      <w:r w:rsidRPr="00F40A11">
        <w:rPr>
          <w:rFonts w:eastAsiaTheme="minorEastAsia"/>
          <w:noProof/>
          <w:lang w:val="fr-BE"/>
        </w:rPr>
        <w:tab/>
      </w:r>
      <w:r>
        <w:rPr>
          <w:noProof/>
        </w:rPr>
        <w:t>Garantir la qualité des investissements dans l’éducation et la formation grâce à un nouveau laboratoire d’apprentissage</w:t>
      </w:r>
      <w:r>
        <w:rPr>
          <w:noProof/>
        </w:rPr>
        <w:tab/>
      </w:r>
      <w:r>
        <w:rPr>
          <w:noProof/>
        </w:rPr>
        <w:fldChar w:fldCharType="begin"/>
      </w:r>
      <w:r>
        <w:rPr>
          <w:noProof/>
        </w:rPr>
        <w:instrText xml:space="preserve"> PAGEREF _Toc118981465 \h </w:instrText>
      </w:r>
      <w:r>
        <w:rPr>
          <w:noProof/>
        </w:rPr>
      </w:r>
      <w:r>
        <w:rPr>
          <w:noProof/>
        </w:rPr>
        <w:fldChar w:fldCharType="separate"/>
      </w:r>
      <w:r>
        <w:rPr>
          <w:noProof/>
        </w:rPr>
        <w:t>21</w:t>
      </w:r>
      <w:r>
        <w:rPr>
          <w:noProof/>
        </w:rPr>
        <w:fldChar w:fldCharType="end"/>
      </w:r>
    </w:p>
    <w:p w:rsidR="00F40A11" w:rsidRPr="00F40A11" w:rsidRDefault="00F40A11">
      <w:pPr>
        <w:pStyle w:val="TOC2"/>
        <w:rPr>
          <w:rFonts w:eastAsiaTheme="minorEastAsia"/>
          <w:noProof/>
          <w:lang w:val="fr-BE"/>
        </w:rPr>
      </w:pPr>
      <w:r>
        <w:rPr>
          <w:noProof/>
        </w:rPr>
        <w:t xml:space="preserve">4.4. </w:t>
      </w:r>
      <w:r w:rsidRPr="00F40A11">
        <w:rPr>
          <w:rFonts w:eastAsiaTheme="minorEastAsia"/>
          <w:noProof/>
          <w:lang w:val="fr-BE"/>
        </w:rPr>
        <w:tab/>
      </w:r>
      <w:r>
        <w:rPr>
          <w:noProof/>
        </w:rPr>
        <w:t>Renforcer la gouvernance de l’EEE</w:t>
      </w:r>
      <w:r>
        <w:rPr>
          <w:noProof/>
        </w:rPr>
        <w:tab/>
      </w:r>
      <w:r>
        <w:rPr>
          <w:noProof/>
        </w:rPr>
        <w:fldChar w:fldCharType="begin"/>
      </w:r>
      <w:r>
        <w:rPr>
          <w:noProof/>
        </w:rPr>
        <w:instrText xml:space="preserve"> PAGEREF _Toc118981466 \h </w:instrText>
      </w:r>
      <w:r>
        <w:rPr>
          <w:noProof/>
        </w:rPr>
      </w:r>
      <w:r>
        <w:rPr>
          <w:noProof/>
        </w:rPr>
        <w:fldChar w:fldCharType="separate"/>
      </w:r>
      <w:r>
        <w:rPr>
          <w:noProof/>
        </w:rPr>
        <w:t>22</w:t>
      </w:r>
      <w:r>
        <w:rPr>
          <w:noProof/>
        </w:rPr>
        <w:fldChar w:fldCharType="end"/>
      </w:r>
    </w:p>
    <w:p w:rsidR="00F40A11" w:rsidRPr="00F40A11" w:rsidRDefault="00F40A11">
      <w:pPr>
        <w:pStyle w:val="TOC2"/>
        <w:rPr>
          <w:rFonts w:eastAsiaTheme="minorEastAsia"/>
          <w:noProof/>
          <w:lang w:val="fr-BE"/>
        </w:rPr>
      </w:pPr>
      <w:r>
        <w:rPr>
          <w:noProof/>
        </w:rPr>
        <w:t xml:space="preserve">4.5. </w:t>
      </w:r>
      <w:r w:rsidRPr="00F40A11">
        <w:rPr>
          <w:rFonts w:eastAsiaTheme="minorEastAsia"/>
          <w:noProof/>
          <w:lang w:val="fr-BE"/>
        </w:rPr>
        <w:tab/>
      </w:r>
      <w:r>
        <w:rPr>
          <w:noProof/>
        </w:rPr>
        <w:t>Renforcer la dimension géopolitique de l’EEE</w:t>
      </w:r>
      <w:r>
        <w:rPr>
          <w:noProof/>
        </w:rPr>
        <w:tab/>
      </w:r>
      <w:r>
        <w:rPr>
          <w:noProof/>
        </w:rPr>
        <w:fldChar w:fldCharType="begin"/>
      </w:r>
      <w:r>
        <w:rPr>
          <w:noProof/>
        </w:rPr>
        <w:instrText xml:space="preserve"> PAGEREF _Toc118981467 \h </w:instrText>
      </w:r>
      <w:r>
        <w:rPr>
          <w:noProof/>
        </w:rPr>
      </w:r>
      <w:r>
        <w:rPr>
          <w:noProof/>
        </w:rPr>
        <w:fldChar w:fldCharType="separate"/>
      </w:r>
      <w:r>
        <w:rPr>
          <w:noProof/>
        </w:rPr>
        <w:t>23</w:t>
      </w:r>
      <w:r>
        <w:rPr>
          <w:noProof/>
        </w:rPr>
        <w:fldChar w:fldCharType="end"/>
      </w:r>
    </w:p>
    <w:p w:rsidR="00F40A11" w:rsidRPr="00F40A11" w:rsidRDefault="00F40A11">
      <w:pPr>
        <w:pStyle w:val="TOC1"/>
        <w:rPr>
          <w:rFonts w:eastAsiaTheme="minorEastAsia"/>
          <w:b w:val="0"/>
          <w:color w:val="auto"/>
          <w:lang w:val="fr-BE"/>
        </w:rPr>
      </w:pPr>
      <w:r>
        <w:t xml:space="preserve">5. </w:t>
      </w:r>
      <w:r w:rsidRPr="00F40A11">
        <w:rPr>
          <w:rFonts w:eastAsiaTheme="minorEastAsia"/>
          <w:b w:val="0"/>
          <w:color w:val="auto"/>
          <w:lang w:val="fr-BE"/>
        </w:rPr>
        <w:tab/>
      </w:r>
      <w:r>
        <w:t>Conclusions et prochaines étapes</w:t>
      </w:r>
      <w:r>
        <w:tab/>
      </w:r>
      <w:r>
        <w:fldChar w:fldCharType="begin"/>
      </w:r>
      <w:r>
        <w:instrText xml:space="preserve"> PAGEREF _Toc118981468 \h </w:instrText>
      </w:r>
      <w:r>
        <w:fldChar w:fldCharType="separate"/>
      </w:r>
      <w:r>
        <w:t>25</w:t>
      </w:r>
      <w:r>
        <w:fldChar w:fldCharType="end"/>
      </w:r>
    </w:p>
    <w:p w:rsidR="00F40A11" w:rsidRPr="00F40A11" w:rsidRDefault="00F40A11">
      <w:pPr>
        <w:pStyle w:val="TOC2"/>
        <w:rPr>
          <w:rFonts w:eastAsiaTheme="minorEastAsia"/>
          <w:noProof/>
          <w:lang w:val="fr-BE"/>
        </w:rPr>
      </w:pPr>
      <w:r>
        <w:rPr>
          <w:noProof/>
        </w:rPr>
        <w:t xml:space="preserve">5.1. </w:t>
      </w:r>
      <w:r w:rsidRPr="00F40A11">
        <w:rPr>
          <w:rFonts w:eastAsiaTheme="minorEastAsia"/>
          <w:noProof/>
          <w:lang w:val="fr-BE"/>
        </w:rPr>
        <w:tab/>
      </w:r>
      <w:r>
        <w:rPr>
          <w:noProof/>
        </w:rPr>
        <w:t>Principales conclusions</w:t>
      </w:r>
      <w:r>
        <w:rPr>
          <w:noProof/>
        </w:rPr>
        <w:tab/>
      </w:r>
      <w:r>
        <w:rPr>
          <w:noProof/>
        </w:rPr>
        <w:fldChar w:fldCharType="begin"/>
      </w:r>
      <w:r>
        <w:rPr>
          <w:noProof/>
        </w:rPr>
        <w:instrText xml:space="preserve"> PAGEREF _Toc118981469 \h </w:instrText>
      </w:r>
      <w:r>
        <w:rPr>
          <w:noProof/>
        </w:rPr>
      </w:r>
      <w:r>
        <w:rPr>
          <w:noProof/>
        </w:rPr>
        <w:fldChar w:fldCharType="separate"/>
      </w:r>
      <w:r>
        <w:rPr>
          <w:noProof/>
        </w:rPr>
        <w:t>25</w:t>
      </w:r>
      <w:r>
        <w:rPr>
          <w:noProof/>
        </w:rPr>
        <w:fldChar w:fldCharType="end"/>
      </w:r>
    </w:p>
    <w:p w:rsidR="00F40A11" w:rsidRPr="006602E5" w:rsidRDefault="00F40A11">
      <w:pPr>
        <w:pStyle w:val="TOC2"/>
        <w:rPr>
          <w:rFonts w:eastAsiaTheme="minorEastAsia"/>
          <w:noProof/>
          <w:lang w:val="fr-BE"/>
        </w:rPr>
      </w:pPr>
      <w:r>
        <w:rPr>
          <w:noProof/>
        </w:rPr>
        <w:t xml:space="preserve">5.2. </w:t>
      </w:r>
      <w:r w:rsidRPr="006602E5">
        <w:rPr>
          <w:rFonts w:eastAsiaTheme="minorEastAsia"/>
          <w:noProof/>
          <w:lang w:val="fr-BE"/>
        </w:rPr>
        <w:tab/>
      </w:r>
      <w:r>
        <w:rPr>
          <w:noProof/>
        </w:rPr>
        <w:t>Examen à mi-parcours</w:t>
      </w:r>
      <w:r>
        <w:rPr>
          <w:noProof/>
        </w:rPr>
        <w:tab/>
      </w:r>
      <w:r>
        <w:rPr>
          <w:noProof/>
        </w:rPr>
        <w:fldChar w:fldCharType="begin"/>
      </w:r>
      <w:r>
        <w:rPr>
          <w:noProof/>
        </w:rPr>
        <w:instrText xml:space="preserve"> PAGEREF _Toc118981470 \h </w:instrText>
      </w:r>
      <w:r>
        <w:rPr>
          <w:noProof/>
        </w:rPr>
      </w:r>
      <w:r>
        <w:rPr>
          <w:noProof/>
        </w:rPr>
        <w:fldChar w:fldCharType="separate"/>
      </w:r>
      <w:r>
        <w:rPr>
          <w:noProof/>
        </w:rPr>
        <w:t>25</w:t>
      </w:r>
      <w:r>
        <w:rPr>
          <w:noProof/>
        </w:rPr>
        <w:fldChar w:fldCharType="end"/>
      </w:r>
    </w:p>
    <w:p w:rsidR="00380B65" w:rsidRDefault="00380B65">
      <w:pPr>
        <w:rPr>
          <w:rFonts w:ascii="EC Square Sans Pro" w:hAnsi="EC Square Sans Pro"/>
          <w:b/>
          <w:smallCaps/>
          <w:noProof/>
          <w:sz w:val="20"/>
        </w:rPr>
      </w:pPr>
      <w:r>
        <w:rPr>
          <w:rFonts w:ascii="EC Square Sans Pro" w:hAnsi="EC Square Sans Pro"/>
          <w:b/>
          <w:smallCaps/>
          <w:noProof/>
          <w:sz w:val="20"/>
        </w:rPr>
        <w:fldChar w:fldCharType="end"/>
      </w:r>
    </w:p>
    <w:p w:rsidR="002B7E5B" w:rsidRDefault="002B7E5B">
      <w:pPr>
        <w:rPr>
          <w:rFonts w:ascii="EC Square Sans Pro" w:hAnsi="EC Square Sans Pro"/>
          <w:b/>
          <w:bCs/>
          <w:smallCaps/>
          <w:noProof/>
          <w:sz w:val="20"/>
          <w:szCs w:val="20"/>
        </w:rPr>
      </w:pPr>
      <w:r>
        <w:rPr>
          <w:noProof/>
        </w:rPr>
        <w:br w:type="page"/>
      </w:r>
    </w:p>
    <w:p w:rsidR="510F4D10" w:rsidRPr="002B7E5B" w:rsidRDefault="006C5862" w:rsidP="002B7E5B">
      <w:pPr>
        <w:pStyle w:val="2022Head1"/>
        <w:rPr>
          <w:noProof/>
        </w:rPr>
      </w:pPr>
      <w:bookmarkStart w:id="2" w:name="_Toc118981454"/>
      <w:r>
        <w:rPr>
          <w:noProof/>
        </w:rPr>
        <w:t xml:space="preserve">1. </w:t>
      </w:r>
      <w:r>
        <w:rPr>
          <w:noProof/>
        </w:rPr>
        <w:tab/>
        <w:t>Introduction</w:t>
      </w:r>
      <w:bookmarkEnd w:id="2"/>
    </w:p>
    <w:p w:rsidR="000E3A34" w:rsidRPr="002242ED" w:rsidRDefault="00814F72" w:rsidP="00C3534B">
      <w:pPr>
        <w:spacing w:after="120" w:line="240" w:lineRule="auto"/>
        <w:jc w:val="both"/>
        <w:rPr>
          <w:rFonts w:ascii="EC Square Sans Pro" w:hAnsi="EC Square Sans Pro"/>
          <w:noProof/>
          <w:sz w:val="20"/>
          <w:szCs w:val="20"/>
        </w:rPr>
      </w:pPr>
      <w:r>
        <w:rPr>
          <w:rFonts w:ascii="EC Square Sans Pro" w:hAnsi="EC Square Sans Pro"/>
          <w:noProof/>
          <w:sz w:val="20"/>
        </w:rPr>
        <w:t xml:space="preserve">Ces dernières années, au niveau de l’UE, les décideurs politiques ont accordé une attention accrue à la promotion de la qualité et de l’inclusion dans l’éducation. En 2017, dans la </w:t>
      </w:r>
      <w:hyperlink r:id="rId18" w:anchor=":~:text=1.,2." w:history="1">
        <w:r>
          <w:rPr>
            <w:rStyle w:val="Hyperlink"/>
            <w:rFonts w:ascii="EC Square Sans Pro" w:hAnsi="EC Square Sans Pro"/>
            <w:noProof/>
            <w:sz w:val="20"/>
          </w:rPr>
          <w:t>déclaration de Rome</w:t>
        </w:r>
      </w:hyperlink>
      <w:r>
        <w:rPr>
          <w:rFonts w:ascii="EC Square Sans Pro" w:hAnsi="EC Square Sans Pro"/>
          <w:noProof/>
          <w:sz w:val="20"/>
        </w:rPr>
        <w:t>, les dirigeants se sont engagés à œuvrer à la réalisation d’une «</w:t>
      </w:r>
      <w:r>
        <w:rPr>
          <w:rFonts w:ascii="EC Square Sans Pro" w:hAnsi="EC Square Sans Pro"/>
          <w:i/>
          <w:noProof/>
          <w:sz w:val="20"/>
        </w:rPr>
        <w:t>Union où les jeunes bénéficient du meilleur niveau d’éducation et de formation et peuvent étudier et trouver un emploi sur tout le continent</w:t>
      </w:r>
      <w:r>
        <w:rPr>
          <w:rFonts w:ascii="EC Square Sans Pro" w:hAnsi="EC Square Sans Pro"/>
          <w:noProof/>
          <w:sz w:val="20"/>
        </w:rPr>
        <w:t xml:space="preserve">». La même année, la Commission a présenté sa </w:t>
      </w:r>
      <w:r>
        <w:rPr>
          <w:rFonts w:ascii="EC Square Sans Pro" w:hAnsi="EC Square Sans Pro"/>
          <w:b/>
          <w:noProof/>
          <w:sz w:val="20"/>
        </w:rPr>
        <w:t>vision de l’espace européen de l’éducation (EEE)</w:t>
      </w:r>
      <w:r w:rsidR="00C3534B" w:rsidRPr="002242ED">
        <w:rPr>
          <w:rFonts w:ascii="EC Square Sans Pro" w:hAnsi="EC Square Sans Pro"/>
          <w:noProof/>
          <w:sz w:val="20"/>
          <w:szCs w:val="20"/>
          <w:vertAlign w:val="superscript"/>
        </w:rPr>
        <w:footnoteReference w:id="2"/>
      </w:r>
      <w:r>
        <w:rPr>
          <w:rFonts w:ascii="EC Square Sans Pro" w:hAnsi="EC Square Sans Pro"/>
          <w:noProof/>
          <w:sz w:val="20"/>
        </w:rPr>
        <w:t xml:space="preserve">, le définissant comme un véritable espace commun pour offrir à tous, par-delà les frontières, une éducation et un apprentissage tout au long de la vie de qualité. Lors du sommet social de Göteborg, le Parlement européen, le Conseil et la Commission ont proclamé solennellement le </w:t>
      </w:r>
      <w:hyperlink r:id="rId19" w:history="1">
        <w:r>
          <w:rPr>
            <w:rStyle w:val="Hyperlink"/>
            <w:rFonts w:ascii="EC Square Sans Pro" w:hAnsi="EC Square Sans Pro"/>
            <w:noProof/>
            <w:sz w:val="20"/>
          </w:rPr>
          <w:t>socle européen des droits sociaux</w:t>
        </w:r>
      </w:hyperlink>
      <w:r>
        <w:rPr>
          <w:rFonts w:ascii="EC Square Sans Pro" w:hAnsi="EC Square Sans Pro"/>
          <w:noProof/>
          <w:sz w:val="20"/>
        </w:rPr>
        <w:t>, qui énonce comme principe premier que «</w:t>
      </w:r>
      <w:r>
        <w:rPr>
          <w:rFonts w:ascii="EC Square Sans Pro" w:hAnsi="EC Square Sans Pro"/>
          <w:i/>
          <w:noProof/>
          <w:sz w:val="20"/>
        </w:rPr>
        <w:t>[t]oute personne a droit à une éducation, une formation et un apprentissage tout au long de la vie inclusifs et de qualité</w:t>
      </w:r>
      <w:r>
        <w:rPr>
          <w:rFonts w:ascii="EC Square Sans Pro" w:hAnsi="EC Square Sans Pro"/>
          <w:noProof/>
          <w:sz w:val="20"/>
        </w:rPr>
        <w:t xml:space="preserve">». En 2019, la présidente de la Commission européenne, Ursula von der Leyen, s’est engagée à faire de l’EEE une réalité d’ici à 2025: </w:t>
      </w:r>
      <w:r>
        <w:rPr>
          <w:rFonts w:ascii="EC Square Sans Pro" w:hAnsi="EC Square Sans Pro"/>
          <w:i/>
          <w:noProof/>
          <w:sz w:val="20"/>
        </w:rPr>
        <w:t>«Nous devons supprimer les obstacles à l’apprentissage et améliorer l’accès à une éducation de qualité. Nous devons permettre aux apprenants de passer plus facilement d’un système d’enseignement à l’autre dans les différents pays. Et nous devons faire évoluer la culture de l’éducation vers un apprentissage tout au long de la vie qui nous enrichisse tous»</w:t>
      </w:r>
      <w:r w:rsidR="00816664" w:rsidRPr="009C4719">
        <w:rPr>
          <w:rStyle w:val="FootnoteReference"/>
          <w:rFonts w:ascii="EC Square Sans Pro" w:hAnsi="EC Square Sans Pro"/>
          <w:iCs/>
          <w:noProof/>
          <w:sz w:val="20"/>
          <w:szCs w:val="20"/>
        </w:rPr>
        <w:footnoteReference w:id="3"/>
      </w:r>
      <w:r>
        <w:rPr>
          <w:rFonts w:ascii="EC Square Sans Pro" w:hAnsi="EC Square Sans Pro"/>
          <w:i/>
          <w:noProof/>
          <w:sz w:val="20"/>
        </w:rPr>
        <w:t>.</w:t>
      </w:r>
    </w:p>
    <w:p w:rsidR="00AA26FC" w:rsidRDefault="00AA26FC" w:rsidP="003C74A6">
      <w:pPr>
        <w:spacing w:after="0" w:line="240" w:lineRule="auto"/>
        <w:jc w:val="both"/>
        <w:rPr>
          <w:rFonts w:ascii="EC Square Sans Pro" w:hAnsi="EC Square Sans Pro"/>
          <w:noProof/>
          <w:sz w:val="20"/>
          <w:szCs w:val="20"/>
        </w:rPr>
      </w:pPr>
      <w:r>
        <w:rPr>
          <w:rFonts w:ascii="EC Square Sans Pro" w:hAnsi="EC Square Sans Pro"/>
          <w:noProof/>
          <w:sz w:val="20"/>
        </w:rPr>
        <w:t xml:space="preserve">Comme énoncé en 2020 dans la </w:t>
      </w:r>
      <w:hyperlink r:id="rId20">
        <w:r>
          <w:rPr>
            <w:rStyle w:val="Hyperlink"/>
            <w:rFonts w:ascii="EC Square Sans Pro" w:hAnsi="EC Square Sans Pro"/>
            <w:noProof/>
            <w:sz w:val="20"/>
          </w:rPr>
          <w:t>communication de la Commission relative à la réalisation de l’espace européen de l’éducation d’ici à 2025</w:t>
        </w:r>
      </w:hyperlink>
      <w:r>
        <w:rPr>
          <w:rFonts w:ascii="EC Square Sans Pro" w:hAnsi="EC Square Sans Pro"/>
          <w:noProof/>
          <w:sz w:val="20"/>
        </w:rPr>
        <w:t xml:space="preserve"> (ci-après la «communication relative à l’EEE») et dans deux résolutions du Conseil</w:t>
      </w:r>
      <w:r w:rsidR="002A6504" w:rsidRPr="002242ED">
        <w:rPr>
          <w:rStyle w:val="FootnoteReference"/>
          <w:rFonts w:ascii="EC Square Sans Pro" w:hAnsi="EC Square Sans Pro"/>
          <w:noProof/>
          <w:sz w:val="20"/>
          <w:szCs w:val="20"/>
        </w:rPr>
        <w:footnoteReference w:id="4"/>
      </w:r>
      <w:r>
        <w:rPr>
          <w:rFonts w:ascii="EC Square Sans Pro" w:hAnsi="EC Square Sans Pro"/>
          <w:noProof/>
          <w:sz w:val="20"/>
        </w:rPr>
        <w:t xml:space="preserve"> de 2021, l’</w:t>
      </w:r>
      <w:r>
        <w:rPr>
          <w:rFonts w:ascii="EC Square Sans Pro" w:hAnsi="EC Square Sans Pro"/>
          <w:b/>
          <w:noProof/>
          <w:sz w:val="20"/>
        </w:rPr>
        <w:t>approche globale pour réaliser l’EEE</w:t>
      </w:r>
      <w:r>
        <w:rPr>
          <w:rFonts w:ascii="EC Square Sans Pro" w:hAnsi="EC Square Sans Pro"/>
          <w:noProof/>
          <w:sz w:val="20"/>
        </w:rPr>
        <w:t xml:space="preserve"> repose sur un ensemble d’éléments:</w:t>
      </w:r>
    </w:p>
    <w:p w:rsidR="00AA26FC" w:rsidRPr="00F90591" w:rsidRDefault="003C74A6" w:rsidP="00F90591">
      <w:pPr>
        <w:pStyle w:val="ListParagraph"/>
        <w:numPr>
          <w:ilvl w:val="0"/>
          <w:numId w:val="22"/>
        </w:numPr>
        <w:spacing w:after="120" w:line="240" w:lineRule="auto"/>
        <w:jc w:val="both"/>
        <w:rPr>
          <w:rFonts w:ascii="EC Square Sans Pro" w:hAnsi="EC Square Sans Pro"/>
          <w:noProof/>
          <w:sz w:val="20"/>
          <w:szCs w:val="20"/>
        </w:rPr>
      </w:pPr>
      <w:r>
        <w:rPr>
          <w:rFonts w:ascii="EC Square Sans Pro" w:hAnsi="EC Square Sans Pro"/>
          <w:noProof/>
          <w:sz w:val="20"/>
        </w:rPr>
        <w:t>des objectifs stratégiques en faveur des réformes et de la coopération européenne</w:t>
      </w:r>
      <w:r w:rsidR="00B116A2" w:rsidRPr="002242ED">
        <w:rPr>
          <w:rStyle w:val="FootnoteReference"/>
          <w:rFonts w:ascii="EC Square Sans Pro" w:hAnsi="EC Square Sans Pro"/>
          <w:noProof/>
          <w:sz w:val="20"/>
          <w:szCs w:val="20"/>
        </w:rPr>
        <w:footnoteReference w:id="5"/>
      </w:r>
      <w:r>
        <w:rPr>
          <w:rFonts w:ascii="EC Square Sans Pro" w:hAnsi="EC Square Sans Pro"/>
          <w:noProof/>
          <w:sz w:val="20"/>
        </w:rPr>
        <w:t>;</w:t>
      </w:r>
    </w:p>
    <w:p w:rsidR="00AA26FC" w:rsidRPr="00F90591" w:rsidRDefault="00682AD8" w:rsidP="00F90591">
      <w:pPr>
        <w:pStyle w:val="ListParagraph"/>
        <w:numPr>
          <w:ilvl w:val="0"/>
          <w:numId w:val="22"/>
        </w:numPr>
        <w:spacing w:after="120" w:line="240" w:lineRule="auto"/>
        <w:jc w:val="both"/>
        <w:rPr>
          <w:rFonts w:ascii="EC Square Sans Pro" w:hAnsi="EC Square Sans Pro"/>
          <w:noProof/>
          <w:sz w:val="20"/>
          <w:szCs w:val="20"/>
        </w:rPr>
      </w:pPr>
      <w:r>
        <w:rPr>
          <w:rFonts w:ascii="EC Square Sans Pro" w:hAnsi="EC Square Sans Pro"/>
          <w:noProof/>
          <w:sz w:val="20"/>
        </w:rPr>
        <w:t>des objectifs fixés au niveau de l’UE pour mesurer les progrès accomplis</w:t>
      </w:r>
      <w:r w:rsidRPr="002242ED">
        <w:rPr>
          <w:rStyle w:val="FootnoteReference"/>
          <w:rFonts w:ascii="EC Square Sans Pro" w:hAnsi="EC Square Sans Pro"/>
          <w:noProof/>
          <w:sz w:val="20"/>
          <w:szCs w:val="20"/>
        </w:rPr>
        <w:footnoteReference w:id="6"/>
      </w:r>
      <w:r>
        <w:rPr>
          <w:rFonts w:ascii="EC Square Sans Pro" w:hAnsi="EC Square Sans Pro"/>
          <w:noProof/>
          <w:sz w:val="20"/>
        </w:rPr>
        <w:t>;</w:t>
      </w:r>
    </w:p>
    <w:p w:rsidR="00AA26FC" w:rsidRPr="00F90591" w:rsidRDefault="006C3E43" w:rsidP="00F90591">
      <w:pPr>
        <w:pStyle w:val="ListParagraph"/>
        <w:numPr>
          <w:ilvl w:val="0"/>
          <w:numId w:val="22"/>
        </w:numPr>
        <w:spacing w:after="120" w:line="240" w:lineRule="auto"/>
        <w:jc w:val="both"/>
        <w:rPr>
          <w:rFonts w:ascii="EC Square Sans Pro" w:hAnsi="EC Square Sans Pro"/>
          <w:noProof/>
          <w:sz w:val="20"/>
          <w:szCs w:val="20"/>
        </w:rPr>
      </w:pPr>
      <w:r>
        <w:rPr>
          <w:rFonts w:ascii="EC Square Sans Pro" w:hAnsi="EC Square Sans Pro"/>
          <w:noProof/>
          <w:sz w:val="20"/>
        </w:rPr>
        <w:t>des actions à l’échelle de l’UE afin d’accompagner les États membres dans leur mise en œuvre</w:t>
      </w:r>
      <w:r w:rsidR="00891D79" w:rsidRPr="002242ED">
        <w:rPr>
          <w:rStyle w:val="FootnoteReference"/>
          <w:rFonts w:ascii="EC Square Sans Pro" w:hAnsi="EC Square Sans Pro"/>
          <w:noProof/>
          <w:sz w:val="20"/>
          <w:szCs w:val="20"/>
        </w:rPr>
        <w:footnoteReference w:id="7"/>
      </w:r>
      <w:r>
        <w:rPr>
          <w:rFonts w:ascii="EC Square Sans Pro" w:hAnsi="EC Square Sans Pro"/>
          <w:noProof/>
          <w:sz w:val="20"/>
        </w:rPr>
        <w:t>; et</w:t>
      </w:r>
    </w:p>
    <w:p w:rsidR="00AA26FC" w:rsidRPr="00F90591" w:rsidRDefault="006C3E43" w:rsidP="00F90591">
      <w:pPr>
        <w:pStyle w:val="ListParagraph"/>
        <w:numPr>
          <w:ilvl w:val="0"/>
          <w:numId w:val="22"/>
        </w:numPr>
        <w:spacing w:after="120" w:line="240" w:lineRule="auto"/>
        <w:jc w:val="both"/>
        <w:rPr>
          <w:rFonts w:ascii="EC Square Sans Pro" w:hAnsi="EC Square Sans Pro"/>
          <w:noProof/>
          <w:sz w:val="20"/>
          <w:szCs w:val="20"/>
        </w:rPr>
      </w:pPr>
      <w:r>
        <w:rPr>
          <w:rFonts w:ascii="EC Square Sans Pro" w:hAnsi="EC Square Sans Pro"/>
          <w:noProof/>
          <w:sz w:val="20"/>
        </w:rPr>
        <w:t>un cadre de gouvernance réformé en faveur de la coopération et de la cocréation</w:t>
      </w:r>
      <w:r w:rsidR="00891D79" w:rsidRPr="002242ED">
        <w:rPr>
          <w:rStyle w:val="FootnoteReference"/>
          <w:rFonts w:ascii="EC Square Sans Pro" w:hAnsi="EC Square Sans Pro"/>
          <w:noProof/>
          <w:sz w:val="20"/>
          <w:szCs w:val="20"/>
        </w:rPr>
        <w:footnoteReference w:id="8"/>
      </w:r>
      <w:r>
        <w:rPr>
          <w:rFonts w:ascii="EC Square Sans Pro" w:hAnsi="EC Square Sans Pro"/>
          <w:noProof/>
          <w:sz w:val="20"/>
        </w:rPr>
        <w:t xml:space="preserve">. </w:t>
      </w:r>
    </w:p>
    <w:p w:rsidR="006C3E43" w:rsidRPr="005B6FCF" w:rsidRDefault="0099239B" w:rsidP="00781195">
      <w:pPr>
        <w:spacing w:after="120" w:line="240" w:lineRule="auto"/>
        <w:jc w:val="both"/>
        <w:rPr>
          <w:rFonts w:ascii="EC Square Sans Pro" w:hAnsi="EC Square Sans Pro"/>
          <w:noProof/>
          <w:sz w:val="20"/>
          <w:szCs w:val="20"/>
        </w:rPr>
      </w:pPr>
      <w:r>
        <w:rPr>
          <w:rFonts w:ascii="EC Square Sans Pro" w:hAnsi="EC Square Sans Pro"/>
          <w:noProof/>
          <w:sz w:val="20"/>
        </w:rPr>
        <w:t>La mise en place d’un programme aussi ambitieux nécessite la participation active des États membres, des institutions européennes et des acteurs concernés, en particulier les enseignants, les formateurs, les apprenants ainsi que les établissements d’enseignement et de formation.</w:t>
      </w:r>
    </w:p>
    <w:p w:rsidR="00007496" w:rsidRDefault="008A2A16" w:rsidP="000B1E8F">
      <w:pPr>
        <w:spacing w:after="120" w:line="240" w:lineRule="auto"/>
        <w:jc w:val="both"/>
        <w:rPr>
          <w:rFonts w:ascii="EC Square Sans Pro" w:eastAsia="Calibri" w:hAnsi="EC Square Sans Pro" w:cs="Calibri"/>
          <w:noProof/>
          <w:sz w:val="20"/>
          <w:szCs w:val="20"/>
        </w:rPr>
      </w:pPr>
      <w:r>
        <w:rPr>
          <w:rFonts w:ascii="EC Square Sans Pro" w:hAnsi="EC Square Sans Pro"/>
          <w:noProof/>
          <w:sz w:val="20"/>
        </w:rPr>
        <w:t xml:space="preserve">L’EEE joue un rôle fondamental dans la poursuite des </w:t>
      </w:r>
      <w:r>
        <w:rPr>
          <w:rFonts w:ascii="EC Square Sans Pro" w:hAnsi="EC Square Sans Pro"/>
          <w:b/>
          <w:noProof/>
          <w:sz w:val="20"/>
        </w:rPr>
        <w:t>priorités stratégiques de l’UE</w:t>
      </w:r>
      <w:r>
        <w:rPr>
          <w:rFonts w:ascii="EC Square Sans Pro" w:hAnsi="EC Square Sans Pro"/>
          <w:noProof/>
          <w:sz w:val="20"/>
        </w:rPr>
        <w:t>, notamment dans la «promotion de notre mode de vie européen» et dans la création d’une «économie au service des personnes»</w:t>
      </w:r>
      <w:r w:rsidR="00DC0B4F">
        <w:rPr>
          <w:rStyle w:val="FootnoteReference"/>
          <w:rFonts w:ascii="EC Square Sans Pro" w:eastAsia="Calibri" w:hAnsi="EC Square Sans Pro" w:cs="Calibri"/>
          <w:noProof/>
          <w:sz w:val="20"/>
          <w:szCs w:val="20"/>
        </w:rPr>
        <w:footnoteReference w:id="9"/>
      </w:r>
      <w:r>
        <w:rPr>
          <w:rFonts w:ascii="EC Square Sans Pro" w:hAnsi="EC Square Sans Pro"/>
          <w:noProof/>
          <w:sz w:val="20"/>
        </w:rPr>
        <w:t>. Il constitue l’un des moteurs en faveur d’une «Europe adaptée à l’ère du numérique»</w:t>
      </w:r>
      <w:r w:rsidR="00007496" w:rsidRPr="009C4719">
        <w:rPr>
          <w:rStyle w:val="FootnoteReference"/>
          <w:rFonts w:ascii="EC Square Sans Pro" w:eastAsia="Calibri" w:hAnsi="EC Square Sans Pro" w:cs="Times New Roman"/>
          <w:bCs/>
          <w:noProof/>
          <w:sz w:val="20"/>
          <w:szCs w:val="20"/>
        </w:rPr>
        <w:footnoteReference w:id="10"/>
      </w:r>
      <w:r>
        <w:rPr>
          <w:rFonts w:ascii="EC Square Sans Pro" w:hAnsi="EC Square Sans Pro"/>
          <w:noProof/>
          <w:sz w:val="20"/>
        </w:rPr>
        <w:t xml:space="preserve"> et du pacte vert pour l’Europe. Il contribue aux objectifs intitulés «une Union de l’égalité», «une Europe plus forte dans le monde» et «un nouvel élan pour la démocratie européenne». </w:t>
      </w:r>
    </w:p>
    <w:p w:rsidR="00DB5971" w:rsidRDefault="00DB5971" w:rsidP="000B1E8F">
      <w:pPr>
        <w:spacing w:after="120" w:line="240" w:lineRule="auto"/>
        <w:jc w:val="both"/>
        <w:rPr>
          <w:rFonts w:ascii="EC Square Sans Pro" w:eastAsia="Calibri" w:hAnsi="EC Square Sans Pro" w:cs="Calibri"/>
          <w:noProof/>
          <w:sz w:val="20"/>
          <w:szCs w:val="20"/>
        </w:rPr>
      </w:pPr>
      <w:r>
        <w:rPr>
          <w:rFonts w:ascii="EC Square Sans Pro" w:hAnsi="EC Square Sans Pro"/>
          <w:noProof/>
          <w:sz w:val="20"/>
        </w:rPr>
        <w:t xml:space="preserve">Les </w:t>
      </w:r>
      <w:r>
        <w:rPr>
          <w:rFonts w:ascii="EC Square Sans Pro" w:hAnsi="EC Square Sans Pro"/>
          <w:b/>
          <w:noProof/>
          <w:sz w:val="20"/>
        </w:rPr>
        <w:t>difficultés inattendues</w:t>
      </w:r>
      <w:r>
        <w:rPr>
          <w:rFonts w:ascii="EC Square Sans Pro" w:hAnsi="EC Square Sans Pro"/>
          <w:noProof/>
          <w:sz w:val="20"/>
        </w:rPr>
        <w:t>, la pandémie de COVID-19 et la guerre d’agression menée par la Russie contre l’Ukraine ont mis à l’épreuve les systèmes d’éducation et de formation, touchant très fortement les enseignants, les formateurs et les apprenants (bien qu’à des degrés différents) partout au sein de l’UE. Des instruments et des processus nouveaux, tels que NextGenerationEU et la conférence sur l’avenir de l’Europe, ont également contribué à faire progresser l’EEE.</w:t>
      </w:r>
    </w:p>
    <w:p w:rsidR="00614B99" w:rsidRPr="002C02B5" w:rsidRDefault="000C71D9" w:rsidP="000B1E8F">
      <w:pPr>
        <w:spacing w:after="120" w:line="240" w:lineRule="auto"/>
        <w:jc w:val="both"/>
        <w:rPr>
          <w:rFonts w:ascii="EC Square Sans Pro" w:hAnsi="EC Square Sans Pro"/>
          <w:noProof/>
          <w:sz w:val="20"/>
          <w:szCs w:val="20"/>
        </w:rPr>
      </w:pPr>
      <w:r>
        <w:rPr>
          <w:rFonts w:ascii="EC Square Sans Pro" w:hAnsi="EC Square Sans Pro"/>
          <w:noProof/>
          <w:sz w:val="20"/>
        </w:rPr>
        <w:t>L’</w:t>
      </w:r>
      <w:r>
        <w:rPr>
          <w:rFonts w:ascii="EC Square Sans Pro" w:hAnsi="EC Square Sans Pro"/>
          <w:b/>
          <w:noProof/>
          <w:sz w:val="20"/>
        </w:rPr>
        <w:t>UE</w:t>
      </w:r>
      <w:r>
        <w:rPr>
          <w:rFonts w:ascii="EC Square Sans Pro" w:hAnsi="EC Square Sans Pro"/>
          <w:noProof/>
          <w:sz w:val="20"/>
        </w:rPr>
        <w:t xml:space="preserve"> apporte son </w:t>
      </w:r>
      <w:r>
        <w:rPr>
          <w:rFonts w:ascii="EC Square Sans Pro" w:hAnsi="EC Square Sans Pro"/>
          <w:b/>
          <w:noProof/>
          <w:sz w:val="20"/>
        </w:rPr>
        <w:t>soutien financier</w:t>
      </w:r>
      <w:r>
        <w:rPr>
          <w:rFonts w:ascii="EC Square Sans Pro" w:hAnsi="EC Square Sans Pro"/>
          <w:noProof/>
          <w:sz w:val="20"/>
        </w:rPr>
        <w:t xml:space="preserve"> à la construction de l’EEE. Le programme </w:t>
      </w:r>
      <w:hyperlink r:id="rId21" w:history="1">
        <w:r>
          <w:rPr>
            <w:rStyle w:val="Hyperlink"/>
            <w:rFonts w:ascii="EC Square Sans Pro" w:hAnsi="EC Square Sans Pro"/>
            <w:noProof/>
            <w:sz w:val="20"/>
          </w:rPr>
          <w:t>Erasmus+</w:t>
        </w:r>
      </w:hyperlink>
      <w:r>
        <w:rPr>
          <w:rFonts w:ascii="EC Square Sans Pro" w:hAnsi="EC Square Sans Pro"/>
          <w:noProof/>
          <w:sz w:val="20"/>
        </w:rPr>
        <w:t>, dont le budget a doublé par rapport à la période 2014-2020 (pour atteindre plus de 26 milliards d’EUR) et qui propose une approche plus inclusive, davantage tournée vers le numérique et l’écologie, contribue à stimuler la coopération européenne et les réformes nationales en vue de la réalisation de l’EEE</w:t>
      </w:r>
      <w:r w:rsidR="002E1FEB">
        <w:rPr>
          <w:rStyle w:val="FootnoteReference"/>
          <w:rFonts w:ascii="EC Square Sans Pro" w:hAnsi="EC Square Sans Pro"/>
          <w:noProof/>
          <w:sz w:val="20"/>
          <w:szCs w:val="20"/>
        </w:rPr>
        <w:footnoteReference w:id="11"/>
      </w:r>
      <w:r>
        <w:rPr>
          <w:noProof/>
        </w:rPr>
        <w:t>.</w:t>
      </w:r>
      <w:r>
        <w:rPr>
          <w:rFonts w:ascii="EC Square Sans Pro" w:hAnsi="EC Square Sans Pro"/>
          <w:noProof/>
          <w:sz w:val="20"/>
        </w:rPr>
        <w:t xml:space="preserve"> La facilité pour la reprise et la résilience (FRR), principal instrument du programme NextGenerationEU, peut changer la donne dans la réalisation des objectifs de l’EEE dans tous les domaines. Elle bénéficie de fonds complémentaires provenant de la politique de cohésion. Selon les estimations, les dépenses totales consacrées par l’UE à l’éducation et à l’acquisition de compétences entre 2021 et 2027 devraient donc tripler par rapport à la période 2014-2020.</w:t>
      </w:r>
    </w:p>
    <w:p w:rsidR="00614B99" w:rsidRPr="002242ED" w:rsidRDefault="00614B99" w:rsidP="00614B99">
      <w:pPr>
        <w:spacing w:after="120" w:line="240" w:lineRule="auto"/>
        <w:jc w:val="both"/>
        <w:rPr>
          <w:rFonts w:ascii="EC Square Sans Pro" w:hAnsi="EC Square Sans Pro"/>
          <w:noProof/>
          <w:sz w:val="20"/>
          <w:szCs w:val="20"/>
        </w:rPr>
      </w:pPr>
      <w:r>
        <w:rPr>
          <w:rFonts w:ascii="EC Square Sans Pro" w:hAnsi="EC Square Sans Pro"/>
          <w:noProof/>
          <w:sz w:val="20"/>
        </w:rPr>
        <w:t xml:space="preserve">La présente communication, étayée par les éléments concrets fournis dans le document de travail des services de la Commission qui l’accompagne [SWD(2022) 750], dresse un inventaire des </w:t>
      </w:r>
      <w:r>
        <w:rPr>
          <w:rFonts w:ascii="EC Square Sans Pro" w:hAnsi="EC Square Sans Pro"/>
          <w:b/>
          <w:noProof/>
          <w:sz w:val="20"/>
        </w:rPr>
        <w:t>progrès accomplis dans la réalisation de l’EEE</w:t>
      </w:r>
      <w:r>
        <w:rPr>
          <w:rFonts w:ascii="EC Square Sans Pro" w:hAnsi="EC Square Sans Pro"/>
          <w:noProof/>
          <w:sz w:val="20"/>
        </w:rPr>
        <w:t>, en examinant en particulier les actions clés, la gouvernance, les investissements et la mobilisation des fonds de l’UE, ainsi que les travaux destinés à l’élaboration d’indicateurs applicables à l’échelle de l’UE. Cette communication met également en lumière les questions qui doivent faire l’objet d’une attention accrue et d’actions supplémentaires jusqu’en 2025.</w:t>
      </w:r>
    </w:p>
    <w:p w:rsidR="002C0533" w:rsidRPr="002242ED" w:rsidRDefault="002C0533" w:rsidP="000B1E8F">
      <w:pPr>
        <w:spacing w:after="120" w:line="240" w:lineRule="auto"/>
        <w:jc w:val="both"/>
        <w:rPr>
          <w:rFonts w:ascii="EC Square Sans Pro" w:hAnsi="EC Square Sans Pro"/>
          <w:noProof/>
          <w:sz w:val="20"/>
          <w:szCs w:val="20"/>
        </w:rPr>
      </w:pPr>
      <w:r>
        <w:rPr>
          <w:rFonts w:ascii="EC Square Sans Pro" w:hAnsi="EC Square Sans Pro"/>
          <w:noProof/>
          <w:sz w:val="20"/>
        </w:rPr>
        <w:t xml:space="preserve">Le </w:t>
      </w:r>
      <w:r>
        <w:rPr>
          <w:rFonts w:ascii="EC Square Sans Pro" w:hAnsi="EC Square Sans Pro"/>
          <w:b/>
          <w:noProof/>
          <w:sz w:val="20"/>
        </w:rPr>
        <w:t>rapport de suivi de l’éducation et de la formation, édition 2022</w:t>
      </w:r>
      <w:r>
        <w:rPr>
          <w:rFonts w:ascii="EC Square Sans Pro" w:hAnsi="EC Square Sans Pro"/>
          <w:noProof/>
          <w:sz w:val="20"/>
        </w:rPr>
        <w:t xml:space="preserve"> [SWD (2022) 751] fait partie de l’ensemble de rapports sur l’état d’avancement des travaux concernant l’EEE</w:t>
      </w:r>
      <w:r w:rsidR="00644B98">
        <w:rPr>
          <w:rStyle w:val="FootnoteReference"/>
          <w:rFonts w:ascii="EC Square Sans Pro" w:hAnsi="EC Square Sans Pro"/>
          <w:noProof/>
          <w:sz w:val="20"/>
          <w:szCs w:val="20"/>
        </w:rPr>
        <w:footnoteReference w:id="12"/>
      </w:r>
      <w:r>
        <w:rPr>
          <w:rFonts w:ascii="EC Square Sans Pro" w:hAnsi="EC Square Sans Pro"/>
          <w:noProof/>
          <w:sz w:val="20"/>
        </w:rPr>
        <w:t>. Le rapport d’avancement concernant l’EEE et le rapport de suivi se complètent mutuellement, le premier examinant les progrès accomplis dans la mise en œuvre, et le second dressant une analyse des progrès accomplis dans la réalisation des objectifs fixés au niveau de l’UE. Le rapport de suivi présente également les principales conclusions qui ressortent du nouvel indicateur complémentaire établi par la Commission afin de mesurer l’</w:t>
      </w:r>
      <w:r>
        <w:rPr>
          <w:rFonts w:ascii="EC Square Sans Pro" w:hAnsi="EC Square Sans Pro"/>
          <w:b/>
          <w:noProof/>
          <w:sz w:val="20"/>
        </w:rPr>
        <w:t>équité dans le domaine de l’éducation</w:t>
      </w:r>
      <w:r>
        <w:rPr>
          <w:rFonts w:ascii="EC Square Sans Pro" w:hAnsi="EC Square Sans Pro"/>
          <w:noProof/>
          <w:sz w:val="20"/>
        </w:rPr>
        <w:t xml:space="preserve"> au niveau de l’UE.</w:t>
      </w:r>
    </w:p>
    <w:p w:rsidR="00614B99" w:rsidRDefault="00A9300F" w:rsidP="00A9300F">
      <w:pPr>
        <w:spacing w:after="120" w:line="240" w:lineRule="auto"/>
        <w:jc w:val="both"/>
        <w:rPr>
          <w:rFonts w:ascii="EC Square Sans Pro" w:hAnsi="EC Square Sans Pro"/>
          <w:noProof/>
          <w:sz w:val="20"/>
          <w:szCs w:val="20"/>
        </w:rPr>
      </w:pPr>
      <w:r>
        <w:rPr>
          <w:rFonts w:ascii="EC Square Sans Pro" w:hAnsi="EC Square Sans Pro"/>
          <w:noProof/>
          <w:sz w:val="20"/>
        </w:rPr>
        <w:t xml:space="preserve">La Commission publie le présent rapport d’avancement afin de contribuer à un processus de réflexion qui sera mené dans le cadre d’un </w:t>
      </w:r>
      <w:r>
        <w:rPr>
          <w:rFonts w:ascii="EC Square Sans Pro" w:hAnsi="EC Square Sans Pro"/>
          <w:b/>
          <w:noProof/>
          <w:sz w:val="20"/>
        </w:rPr>
        <w:t>examen à mi-parcours en 2023</w:t>
      </w:r>
      <w:r>
        <w:rPr>
          <w:rFonts w:ascii="EC Square Sans Pro" w:hAnsi="EC Square Sans Pro"/>
          <w:noProof/>
          <w:sz w:val="20"/>
        </w:rPr>
        <w:t xml:space="preserve">, et qui passera notamment par l’organisation d’une rencontre avec le Parlement européen afin de dresser un bilan, de débattre et d’insuffler un nouvel élan à la réalisation de l’EEE, en collaboration avec d’autres institutions de l’UE, les États membres, les autorités régionales et locales, les partenaires sociaux, la société civile et d’autres parties prenantes. Jusqu’en 2025, les États membres, avec le soutien de la Commission, devront se concentrer sur la </w:t>
      </w:r>
      <w:r>
        <w:rPr>
          <w:rFonts w:ascii="EC Square Sans Pro" w:hAnsi="EC Square Sans Pro"/>
          <w:b/>
          <w:noProof/>
          <w:sz w:val="20"/>
        </w:rPr>
        <w:t>mise en œuvre</w:t>
      </w:r>
      <w:r>
        <w:rPr>
          <w:rFonts w:ascii="EC Square Sans Pro" w:hAnsi="EC Square Sans Pro"/>
          <w:noProof/>
          <w:sz w:val="20"/>
        </w:rPr>
        <w:t>, notamment en veillant à l’</w:t>
      </w:r>
      <w:r>
        <w:rPr>
          <w:rFonts w:ascii="EC Square Sans Pro" w:hAnsi="EC Square Sans Pro"/>
          <w:b/>
          <w:noProof/>
          <w:sz w:val="20"/>
        </w:rPr>
        <w:t>exploitation judicieuse des ressources de l’UE et des États membres pour les réformes et les investissements</w:t>
      </w:r>
      <w:r>
        <w:rPr>
          <w:rFonts w:ascii="EC Square Sans Pro" w:hAnsi="EC Square Sans Pro"/>
          <w:noProof/>
          <w:sz w:val="20"/>
        </w:rPr>
        <w:t>, et en suivant les progrès accomplis. En 2025, la Commission présentera un rapport complet sur l’EEE.</w:t>
      </w:r>
    </w:p>
    <w:p w:rsidR="00E85C57" w:rsidRPr="002242ED" w:rsidRDefault="00E85C57" w:rsidP="00A9300F">
      <w:pPr>
        <w:spacing w:after="120" w:line="240" w:lineRule="auto"/>
        <w:jc w:val="both"/>
        <w:rPr>
          <w:rFonts w:ascii="EC Square Sans Pro" w:hAnsi="EC Square Sans Pro"/>
          <w:noProof/>
          <w:sz w:val="20"/>
          <w:szCs w:val="20"/>
        </w:rPr>
      </w:pPr>
    </w:p>
    <w:p w:rsidR="00614B99" w:rsidRPr="002242ED" w:rsidRDefault="00614B99" w:rsidP="000B1E8F">
      <w:pPr>
        <w:spacing w:after="120" w:line="240" w:lineRule="auto"/>
        <w:jc w:val="both"/>
        <w:rPr>
          <w:rFonts w:ascii="EC Square Sans Pro" w:hAnsi="EC Square Sans Pro"/>
          <w:noProof/>
          <w:sz w:val="20"/>
          <w:szCs w:val="20"/>
        </w:rPr>
      </w:pPr>
    </w:p>
    <w:p w:rsidR="00D06928" w:rsidRPr="002242ED" w:rsidRDefault="00D06928" w:rsidP="000B1E8F">
      <w:pPr>
        <w:spacing w:line="240" w:lineRule="auto"/>
        <w:rPr>
          <w:rFonts w:ascii="EC Square Sans Pro" w:hAnsi="EC Square Sans Pro"/>
          <w:b/>
          <w:iCs/>
          <w:smallCaps/>
          <w:noProof/>
          <w:sz w:val="20"/>
          <w:szCs w:val="20"/>
        </w:rPr>
      </w:pPr>
      <w:r>
        <w:rPr>
          <w:noProof/>
        </w:rPr>
        <w:br w:type="page"/>
      </w:r>
    </w:p>
    <w:p w:rsidR="00943433" w:rsidRPr="002242ED" w:rsidRDefault="002B7E5B" w:rsidP="002B7E5B">
      <w:pPr>
        <w:pStyle w:val="2022Head1"/>
        <w:rPr>
          <w:noProof/>
        </w:rPr>
      </w:pPr>
      <w:bookmarkStart w:id="3" w:name="_Toc118981455"/>
      <w:r>
        <w:rPr>
          <w:noProof/>
        </w:rPr>
        <w:t>2.</w:t>
      </w:r>
      <w:r>
        <w:rPr>
          <w:noProof/>
        </w:rPr>
        <w:tab/>
        <w:t>Progrès accomplis à ce jour dans la réalisation de l’espace européen de l’éducation (EEE)</w:t>
      </w:r>
      <w:bookmarkEnd w:id="3"/>
    </w:p>
    <w:p w:rsidR="00BB635F" w:rsidRPr="002B7E5B" w:rsidRDefault="00BB635F" w:rsidP="002B7E5B">
      <w:pPr>
        <w:pStyle w:val="2022Head2"/>
        <w:rPr>
          <w:noProof/>
        </w:rPr>
      </w:pPr>
      <w:bookmarkStart w:id="4" w:name="_Toc118981456"/>
      <w:r>
        <w:rPr>
          <w:noProof/>
        </w:rPr>
        <w:t>2.1.</w:t>
      </w:r>
      <w:r>
        <w:rPr>
          <w:noProof/>
        </w:rPr>
        <w:tab/>
        <w:t>Les initiatives à l’échelle de l’UE visant à façonner l’EEE sont en bonne voie</w:t>
      </w:r>
      <w:bookmarkEnd w:id="4"/>
    </w:p>
    <w:p w:rsidR="00943433" w:rsidRPr="002242ED" w:rsidRDefault="001C0F0D" w:rsidP="000B1E8F">
      <w:pPr>
        <w:spacing w:after="120" w:line="240" w:lineRule="auto"/>
        <w:jc w:val="both"/>
        <w:rPr>
          <w:rFonts w:ascii="EC Square Sans Pro" w:hAnsi="EC Square Sans Pro"/>
          <w:b/>
          <w:bCs/>
          <w:noProof/>
          <w:sz w:val="20"/>
          <w:szCs w:val="20"/>
        </w:rPr>
      </w:pPr>
      <w:r>
        <w:rPr>
          <w:rFonts w:ascii="EC Square Sans Pro" w:hAnsi="EC Square Sans Pro"/>
          <w:b/>
          <w:noProof/>
          <w:sz w:val="20"/>
        </w:rPr>
        <w:t>La mise en œuvre des actions à l’échelle de l’UE est en bonne voie</w:t>
      </w:r>
      <w:r>
        <w:rPr>
          <w:rFonts w:ascii="EC Square Sans Pro" w:hAnsi="EC Square Sans Pro"/>
          <w:noProof/>
          <w:sz w:val="20"/>
        </w:rPr>
        <w:t xml:space="preserve">. Au total, </w:t>
      </w:r>
      <w:r>
        <w:rPr>
          <w:rFonts w:ascii="EC Square Sans Pro" w:hAnsi="EC Square Sans Pro"/>
          <w:b/>
          <w:noProof/>
          <w:sz w:val="20"/>
        </w:rPr>
        <w:t>40 actions à l’échelle de l’UE</w:t>
      </w:r>
      <w:r w:rsidR="00CD4FA3" w:rsidRPr="007C1CCB">
        <w:rPr>
          <w:rStyle w:val="FootnoteReference"/>
          <w:rFonts w:ascii="EC Square Sans Pro" w:hAnsi="EC Square Sans Pro"/>
          <w:bCs/>
          <w:noProof/>
          <w:sz w:val="20"/>
          <w:szCs w:val="20"/>
        </w:rPr>
        <w:footnoteReference w:id="13"/>
      </w:r>
      <w:r>
        <w:rPr>
          <w:rFonts w:ascii="EC Square Sans Pro" w:hAnsi="EC Square Sans Pro"/>
          <w:noProof/>
          <w:sz w:val="20"/>
        </w:rPr>
        <w:t xml:space="preserve"> ont été définies dans le cadre de l’EEE. Parmi celles-ci, quatorze sont des initiatives stratégiques en faveur de l’EEE soumises à la décision du collège des commissaires, la plupart étant mises en œuvre conjointement par la Commission et le Conseil. Ces initiatives apportent un cadre d’action et des orientations politiques en matière de réforme et de coopération européenne afin de progresser dans les principaux domaines prioritaires. La Commission a déjà proposé huit de ces initiatives, et le Conseil a adopté la plupart d’entre elles. (Pour connaître les initiatives stratégiques en faveur de l’EEE qui doivent encore être présentées au Conseil, voir la section 4.1). </w:t>
      </w:r>
    </w:p>
    <w:p w:rsidR="00943433" w:rsidRPr="002B7E5B" w:rsidRDefault="00943433" w:rsidP="00584F7C">
      <w:pPr>
        <w:pStyle w:val="2022Figures"/>
        <w:rPr>
          <w:noProof/>
        </w:rPr>
      </w:pPr>
      <w:r>
        <w:rPr>
          <w:noProof/>
        </w:rPr>
        <w:t>Initiatives stratégiques en faveur l’EEE déjà adoptées</w:t>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4395"/>
        <w:gridCol w:w="1134"/>
        <w:gridCol w:w="850"/>
        <w:gridCol w:w="1418"/>
        <w:gridCol w:w="1275"/>
      </w:tblGrid>
      <w:tr w:rsidR="00584F7C" w:rsidRPr="00584F7C" w:rsidTr="00584F7C">
        <w:trPr>
          <w:trHeight w:val="629"/>
          <w:tblHeader/>
        </w:trPr>
        <w:tc>
          <w:tcPr>
            <w:tcW w:w="4395" w:type="dxa"/>
            <w:shd w:val="clear" w:color="auto" w:fill="DDDCF0"/>
            <w:vAlign w:val="center"/>
          </w:tcPr>
          <w:p w:rsidR="00954DA8" w:rsidRPr="00900448" w:rsidRDefault="00A40D64" w:rsidP="00584F7C">
            <w:pPr>
              <w:keepNext/>
              <w:keepLines/>
              <w:contextualSpacing/>
              <w:jc w:val="center"/>
              <w:rPr>
                <w:rFonts w:ascii="EC Square Sans Pro" w:hAnsi="EC Square Sans Pro"/>
                <w:b/>
                <w:noProof/>
                <w:color w:val="DF4E2B"/>
                <w:sz w:val="16"/>
                <w:szCs w:val="16"/>
              </w:rPr>
            </w:pPr>
            <w:r>
              <w:rPr>
                <w:rFonts w:ascii="EC Square Sans Pro" w:hAnsi="EC Square Sans Pro"/>
                <w:b/>
                <w:noProof/>
                <w:color w:val="DF4E2B"/>
                <w:sz w:val="16"/>
              </w:rPr>
              <w:t>Action</w:t>
            </w:r>
          </w:p>
        </w:tc>
        <w:tc>
          <w:tcPr>
            <w:tcW w:w="1134" w:type="dxa"/>
            <w:shd w:val="clear" w:color="auto" w:fill="DDDCF0"/>
            <w:vAlign w:val="center"/>
          </w:tcPr>
          <w:p w:rsidR="00954DA8" w:rsidRPr="00900448" w:rsidRDefault="00954DA8" w:rsidP="00584F7C">
            <w:pPr>
              <w:keepNext/>
              <w:keepLines/>
              <w:contextualSpacing/>
              <w:jc w:val="center"/>
              <w:rPr>
                <w:rFonts w:ascii="EC Square Sans Pro" w:hAnsi="EC Square Sans Pro"/>
                <w:noProof/>
                <w:color w:val="DF4E2B"/>
                <w:sz w:val="16"/>
                <w:szCs w:val="16"/>
              </w:rPr>
            </w:pPr>
            <w:r>
              <w:rPr>
                <w:rFonts w:ascii="EC Square Sans Pro" w:hAnsi="EC Square Sans Pro"/>
                <w:b/>
                <w:noProof/>
                <w:color w:val="DF4E2B"/>
                <w:sz w:val="16"/>
              </w:rPr>
              <w:t>Commission</w:t>
            </w:r>
            <w:r>
              <w:rPr>
                <w:rFonts w:ascii="EC Square Sans Pro" w:hAnsi="EC Square Sans Pro"/>
                <w:noProof/>
                <w:color w:val="DF4E2B"/>
                <w:sz w:val="16"/>
              </w:rPr>
              <w:t xml:space="preserve"> (proposition/</w:t>
            </w:r>
          </w:p>
          <w:p w:rsidR="00954DA8" w:rsidRPr="00584F7C" w:rsidRDefault="00954DA8" w:rsidP="00071B71">
            <w:pPr>
              <w:keepNext/>
              <w:keepLines/>
              <w:contextualSpacing/>
              <w:jc w:val="center"/>
              <w:rPr>
                <w:rFonts w:ascii="EC Square Sans Pro" w:hAnsi="EC Square Sans Pro"/>
                <w:b/>
                <w:bCs/>
                <w:noProof/>
                <w:color w:val="DF4E2B"/>
                <w:sz w:val="16"/>
                <w:szCs w:val="16"/>
              </w:rPr>
            </w:pPr>
            <w:r>
              <w:rPr>
                <w:rFonts w:ascii="EC Square Sans Pro" w:hAnsi="EC Square Sans Pro"/>
                <w:noProof/>
                <w:color w:val="DF4E2B"/>
                <w:sz w:val="16"/>
              </w:rPr>
              <w:t>décision)</w:t>
            </w:r>
          </w:p>
        </w:tc>
        <w:tc>
          <w:tcPr>
            <w:tcW w:w="850" w:type="dxa"/>
            <w:shd w:val="clear" w:color="auto" w:fill="DDDCF0"/>
            <w:vAlign w:val="center"/>
          </w:tcPr>
          <w:p w:rsidR="00954DA8" w:rsidRPr="00900448" w:rsidRDefault="00954DA8" w:rsidP="00584F7C">
            <w:pPr>
              <w:keepNext/>
              <w:keepLines/>
              <w:ind w:left="-104" w:right="-108"/>
              <w:contextualSpacing/>
              <w:jc w:val="center"/>
              <w:rPr>
                <w:rFonts w:ascii="EC Square Sans Pro" w:hAnsi="EC Square Sans Pro"/>
                <w:b/>
                <w:noProof/>
                <w:color w:val="DF4E2B"/>
                <w:sz w:val="16"/>
                <w:szCs w:val="16"/>
              </w:rPr>
            </w:pPr>
            <w:r>
              <w:rPr>
                <w:rFonts w:ascii="EC Square Sans Pro" w:hAnsi="EC Square Sans Pro"/>
                <w:b/>
                <w:noProof/>
                <w:color w:val="DF4E2B"/>
                <w:sz w:val="16"/>
              </w:rPr>
              <w:t>Conseil</w:t>
            </w:r>
          </w:p>
          <w:p w:rsidR="00954DA8" w:rsidRPr="00900448" w:rsidRDefault="00954DA8" w:rsidP="00584F7C">
            <w:pPr>
              <w:keepNext/>
              <w:keepLines/>
              <w:ind w:left="-104" w:right="-108"/>
              <w:contextualSpacing/>
              <w:jc w:val="center"/>
              <w:rPr>
                <w:rFonts w:ascii="EC Square Sans Pro" w:hAnsi="EC Square Sans Pro"/>
                <w:noProof/>
                <w:color w:val="DF4E2B"/>
                <w:sz w:val="16"/>
                <w:szCs w:val="16"/>
              </w:rPr>
            </w:pPr>
            <w:r>
              <w:rPr>
                <w:rFonts w:ascii="EC Square Sans Pro" w:hAnsi="EC Square Sans Pro"/>
                <w:noProof/>
                <w:color w:val="DF4E2B"/>
                <w:sz w:val="16"/>
              </w:rPr>
              <w:t>(adoption)</w:t>
            </w:r>
          </w:p>
          <w:p w:rsidR="00954DA8" w:rsidRPr="00900448" w:rsidRDefault="00954DA8" w:rsidP="00584F7C">
            <w:pPr>
              <w:keepNext/>
              <w:keepLines/>
              <w:ind w:left="-104" w:right="-108"/>
              <w:contextualSpacing/>
              <w:jc w:val="center"/>
              <w:rPr>
                <w:rFonts w:ascii="EC Square Sans Pro" w:hAnsi="EC Square Sans Pro"/>
                <w:b/>
                <w:noProof/>
                <w:color w:val="DF4E2B"/>
                <w:sz w:val="16"/>
                <w:szCs w:val="16"/>
              </w:rPr>
            </w:pPr>
          </w:p>
        </w:tc>
        <w:tc>
          <w:tcPr>
            <w:tcW w:w="1418" w:type="dxa"/>
            <w:shd w:val="clear" w:color="auto" w:fill="DDDCF0"/>
            <w:vAlign w:val="center"/>
          </w:tcPr>
          <w:p w:rsidR="00954DA8" w:rsidRPr="00900448" w:rsidRDefault="00954DA8" w:rsidP="00584F7C">
            <w:pPr>
              <w:keepNext/>
              <w:keepLines/>
              <w:contextualSpacing/>
              <w:jc w:val="center"/>
              <w:rPr>
                <w:rFonts w:ascii="EC Square Sans Pro" w:hAnsi="EC Square Sans Pro"/>
                <w:b/>
                <w:noProof/>
                <w:color w:val="DF4E2B"/>
                <w:sz w:val="16"/>
                <w:szCs w:val="16"/>
              </w:rPr>
            </w:pPr>
            <w:r>
              <w:rPr>
                <w:rFonts w:ascii="EC Square Sans Pro" w:hAnsi="EC Square Sans Pro"/>
                <w:b/>
                <w:noProof/>
                <w:color w:val="DF4E2B"/>
                <w:sz w:val="16"/>
              </w:rPr>
              <w:t>Mise en œuvre</w:t>
            </w:r>
            <w:r>
              <w:rPr>
                <w:rFonts w:ascii="EC Square Sans Pro" w:hAnsi="EC Square Sans Pro"/>
                <w:noProof/>
                <w:color w:val="DF4E2B"/>
                <w:sz w:val="16"/>
              </w:rPr>
              <w:t xml:space="preserve"> (à l’échelle de l’UE et des États membres)</w:t>
            </w:r>
          </w:p>
        </w:tc>
        <w:tc>
          <w:tcPr>
            <w:tcW w:w="1275" w:type="dxa"/>
            <w:shd w:val="clear" w:color="auto" w:fill="DDDCF0"/>
            <w:vAlign w:val="center"/>
          </w:tcPr>
          <w:p w:rsidR="00954DA8" w:rsidRPr="00900448" w:rsidRDefault="00954DA8" w:rsidP="00584F7C">
            <w:pPr>
              <w:keepNext/>
              <w:keepLines/>
              <w:contextualSpacing/>
              <w:jc w:val="center"/>
              <w:rPr>
                <w:rFonts w:ascii="EC Square Sans Pro" w:hAnsi="EC Square Sans Pro"/>
                <w:b/>
                <w:noProof/>
                <w:color w:val="DF4E2B"/>
                <w:sz w:val="16"/>
                <w:szCs w:val="16"/>
              </w:rPr>
            </w:pPr>
            <w:r>
              <w:rPr>
                <w:rFonts w:ascii="EC Square Sans Pro" w:hAnsi="EC Square Sans Pro"/>
                <w:b/>
                <w:noProof/>
                <w:color w:val="DF4E2B"/>
                <w:sz w:val="16"/>
              </w:rPr>
              <w:t>Domaine prioritaire</w:t>
            </w:r>
          </w:p>
        </w:tc>
      </w:tr>
      <w:tr w:rsidR="00943433" w:rsidRPr="00584F7C" w:rsidTr="00071B71">
        <w:tc>
          <w:tcPr>
            <w:tcW w:w="4395" w:type="dxa"/>
            <w:shd w:val="clear" w:color="auto" w:fill="auto"/>
            <w:vAlign w:val="center"/>
          </w:tcPr>
          <w:p w:rsidR="000C71D9" w:rsidRPr="00900448" w:rsidRDefault="005D3D3D">
            <w:pPr>
              <w:keepNext/>
              <w:keepLines/>
              <w:contextualSpacing/>
              <w:rPr>
                <w:rFonts w:ascii="EC Square Sans Pro" w:hAnsi="EC Square Sans Pro"/>
                <w:b/>
                <w:noProof/>
                <w:sz w:val="16"/>
                <w:szCs w:val="16"/>
              </w:rPr>
            </w:pPr>
            <w:hyperlink r:id="rId22" w:history="1">
              <w:r w:rsidR="00F717E4">
                <w:rPr>
                  <w:rFonts w:ascii="EC Square Sans Pro" w:hAnsi="EC Square Sans Pro"/>
                  <w:b/>
                  <w:noProof/>
                  <w:color w:val="0563C1" w:themeColor="hyperlink"/>
                  <w:sz w:val="16"/>
                  <w:u w:val="single"/>
                </w:rPr>
                <w:t>Cadre de mesures d’inclusion pour le programme Erasmus+ et pour le programme «Corps européen de solidarité» pour la période 2021-2027</w:t>
              </w:r>
            </w:hyperlink>
            <w:r w:rsidR="00F717E4">
              <w:rPr>
                <w:rFonts w:ascii="EC Square Sans Pro" w:hAnsi="EC Square Sans Pro"/>
                <w:b/>
                <w:noProof/>
                <w:color w:val="0563C1" w:themeColor="hyperlink"/>
                <w:sz w:val="16"/>
                <w:u w:val="single"/>
              </w:rPr>
              <w:t>:</w:t>
            </w:r>
            <w:r w:rsidR="00F717E4">
              <w:rPr>
                <w:rFonts w:ascii="EC Square Sans Pro" w:hAnsi="EC Square Sans Pro"/>
                <w:b/>
                <w:noProof/>
                <w:sz w:val="16"/>
              </w:rPr>
              <w:t xml:space="preserve"> </w:t>
            </w:r>
            <w:r w:rsidR="00F717E4">
              <w:rPr>
                <w:rFonts w:ascii="EC Square Sans Pro" w:hAnsi="EC Square Sans Pro"/>
                <w:noProof/>
                <w:sz w:val="16"/>
              </w:rPr>
              <w:t>cette décision d’exécution de la Commission recense une série de mesures nécessaires pour favoriser l’inclusion, l’équité et la diversité dans les deux programmes précités.</w:t>
            </w:r>
          </w:p>
        </w:tc>
        <w:tc>
          <w:tcPr>
            <w:tcW w:w="1134" w:type="dxa"/>
            <w:vAlign w:val="center"/>
          </w:tcPr>
          <w:p w:rsidR="00943433" w:rsidRPr="00900448" w:rsidRDefault="00584F7C" w:rsidP="00584F7C">
            <w:pPr>
              <w:keepNext/>
              <w:keepLines/>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850" w:type="dxa"/>
            <w:vAlign w:val="center"/>
          </w:tcPr>
          <w:p w:rsidR="00943433" w:rsidRPr="00900448" w:rsidRDefault="00B04896" w:rsidP="000B1E8F">
            <w:pPr>
              <w:keepNext/>
              <w:keepLines/>
              <w:contextualSpacing/>
              <w:jc w:val="center"/>
              <w:rPr>
                <w:rFonts w:ascii="EC Square Sans Pro" w:hAnsi="EC Square Sans Pro"/>
                <w:noProof/>
                <w:sz w:val="16"/>
                <w:szCs w:val="16"/>
              </w:rPr>
            </w:pPr>
            <w:r>
              <w:rPr>
                <w:rFonts w:ascii="EC Square Sans Pro" w:hAnsi="EC Square Sans Pro"/>
                <w:noProof/>
                <w:sz w:val="16"/>
              </w:rPr>
              <w:t>-</w:t>
            </w:r>
          </w:p>
        </w:tc>
        <w:tc>
          <w:tcPr>
            <w:tcW w:w="1418" w:type="dxa"/>
            <w:vAlign w:val="center"/>
          </w:tcPr>
          <w:p w:rsidR="00943433" w:rsidRPr="00900448" w:rsidRDefault="00584F7C" w:rsidP="00584F7C">
            <w:pPr>
              <w:keepNext/>
              <w:keepLines/>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275" w:type="dxa"/>
            <w:vAlign w:val="center"/>
          </w:tcPr>
          <w:p w:rsidR="00943433" w:rsidRPr="00900448" w:rsidRDefault="00943433" w:rsidP="000B1E8F">
            <w:pPr>
              <w:keepNext/>
              <w:keepLines/>
              <w:contextualSpacing/>
              <w:rPr>
                <w:rFonts w:ascii="EC Square Sans Pro" w:hAnsi="EC Square Sans Pro"/>
                <w:noProof/>
                <w:sz w:val="16"/>
                <w:szCs w:val="16"/>
              </w:rPr>
            </w:pPr>
            <w:r>
              <w:rPr>
                <w:rFonts w:ascii="EC Square Sans Pro" w:hAnsi="EC Square Sans Pro"/>
                <w:noProof/>
                <w:sz w:val="16"/>
              </w:rPr>
              <w:t>Qualité, équité, inclusion et égalité des genres</w:t>
            </w:r>
          </w:p>
        </w:tc>
      </w:tr>
      <w:tr w:rsidR="00943433" w:rsidRPr="00584F7C" w:rsidTr="00071B71">
        <w:tc>
          <w:tcPr>
            <w:tcW w:w="4395" w:type="dxa"/>
            <w:shd w:val="clear" w:color="auto" w:fill="D1E7FE"/>
            <w:vAlign w:val="center"/>
          </w:tcPr>
          <w:p w:rsidR="000C71D9" w:rsidRPr="00900448" w:rsidRDefault="005D3D3D" w:rsidP="00897501">
            <w:pPr>
              <w:contextualSpacing/>
              <w:rPr>
                <w:rFonts w:ascii="EC Square Sans Pro" w:hAnsi="EC Square Sans Pro"/>
                <w:b/>
                <w:noProof/>
                <w:color w:val="0563C1" w:themeColor="hyperlink"/>
                <w:sz w:val="16"/>
                <w:szCs w:val="16"/>
                <w:u w:val="single"/>
              </w:rPr>
            </w:pPr>
            <w:hyperlink r:id="rId23" w:history="1">
              <w:r w:rsidR="00F717E4">
                <w:rPr>
                  <w:rFonts w:ascii="EC Square Sans Pro" w:hAnsi="EC Square Sans Pro"/>
                  <w:b/>
                  <w:noProof/>
                  <w:color w:val="0563C1" w:themeColor="hyperlink"/>
                  <w:sz w:val="16"/>
                  <w:u w:val="single"/>
                </w:rPr>
                <w:t>Approches d’apprentissage hybride pour une éducation primaire et secondaire inclusive et de haute qualité</w:t>
              </w:r>
            </w:hyperlink>
            <w:r w:rsidR="00F717E4">
              <w:rPr>
                <w:rFonts w:ascii="EC Square Sans Pro" w:hAnsi="EC Square Sans Pro"/>
                <w:b/>
                <w:noProof/>
                <w:color w:val="0563C1" w:themeColor="hyperlink"/>
                <w:sz w:val="16"/>
                <w:u w:val="single"/>
              </w:rPr>
              <w:t>:</w:t>
            </w:r>
            <w:r w:rsidR="00F717E4">
              <w:rPr>
                <w:rFonts w:ascii="EC Square Sans Pro" w:hAnsi="EC Square Sans Pro"/>
                <w:noProof/>
                <w:sz w:val="16"/>
              </w:rPr>
              <w:t xml:space="preserve"> cette recommandation du Conseil aborde la question des environnements et des outils d’apprentissage hybride afin de mettre en place des systèmes d’éducation et de formation primaire et secondaire plus résilients, à la lumière de la pandémie de COVID-19.</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850"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418"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Transition numérique</w:t>
            </w:r>
          </w:p>
        </w:tc>
      </w:tr>
      <w:tr w:rsidR="00943433" w:rsidRPr="00584F7C" w:rsidTr="00071B71">
        <w:tc>
          <w:tcPr>
            <w:tcW w:w="4395" w:type="dxa"/>
            <w:shd w:val="clear" w:color="auto" w:fill="auto"/>
            <w:vAlign w:val="center"/>
          </w:tcPr>
          <w:p w:rsidR="000C71D9" w:rsidRPr="00900448" w:rsidRDefault="005D3D3D" w:rsidP="00897501">
            <w:pPr>
              <w:contextualSpacing/>
              <w:rPr>
                <w:rFonts w:ascii="EC Square Sans Pro" w:hAnsi="EC Square Sans Pro"/>
                <w:b/>
                <w:noProof/>
                <w:color w:val="0563C1" w:themeColor="hyperlink"/>
                <w:sz w:val="16"/>
                <w:szCs w:val="16"/>
                <w:u w:val="single"/>
              </w:rPr>
            </w:pPr>
            <w:hyperlink r:id="rId24" w:history="1">
              <w:r w:rsidR="00F717E4">
                <w:rPr>
                  <w:rFonts w:ascii="EC Square Sans Pro" w:hAnsi="EC Square Sans Pro"/>
                  <w:b/>
                  <w:noProof/>
                  <w:color w:val="0563C1" w:themeColor="hyperlink"/>
                  <w:sz w:val="16"/>
                  <w:u w:val="single"/>
                </w:rPr>
                <w:t>Mobilité des jeunes volontaires dans l’Union européenne</w:t>
              </w:r>
            </w:hyperlink>
            <w:r w:rsidR="00F717E4">
              <w:rPr>
                <w:rFonts w:ascii="EC Square Sans Pro" w:hAnsi="EC Square Sans Pro"/>
                <w:b/>
                <w:noProof/>
                <w:color w:val="0563C1" w:themeColor="hyperlink"/>
                <w:sz w:val="16"/>
                <w:u w:val="single"/>
              </w:rPr>
              <w:t>:</w:t>
            </w:r>
            <w:r w:rsidR="00F717E4">
              <w:rPr>
                <w:rFonts w:ascii="EC Square Sans Pro" w:hAnsi="EC Square Sans Pro"/>
                <w:noProof/>
                <w:sz w:val="16"/>
              </w:rPr>
              <w:t xml:space="preserve"> cette recommandation du Conseil vise à permettre aux jeunes de se porter volontaires dans d’autres pays de l’UE, favorisant ainsi l’inclusion, la qualité, la reconnaissance et la durabilité.</w:t>
            </w:r>
          </w:p>
        </w:tc>
        <w:tc>
          <w:tcPr>
            <w:tcW w:w="1134" w:type="dxa"/>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850" w:type="dxa"/>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418" w:type="dxa"/>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275" w:type="dxa"/>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Qualité, équité, inclusion et égalité des genres</w:t>
            </w:r>
          </w:p>
        </w:tc>
      </w:tr>
      <w:tr w:rsidR="00943433" w:rsidRPr="00584F7C" w:rsidTr="00071B71">
        <w:tc>
          <w:tcPr>
            <w:tcW w:w="4395" w:type="dxa"/>
            <w:shd w:val="clear" w:color="auto" w:fill="D1E7FE"/>
            <w:vAlign w:val="center"/>
          </w:tcPr>
          <w:p w:rsidR="000C71D9" w:rsidRPr="00900448" w:rsidRDefault="005D3D3D" w:rsidP="00897501">
            <w:pPr>
              <w:contextualSpacing/>
              <w:rPr>
                <w:rFonts w:ascii="EC Square Sans Pro" w:hAnsi="EC Square Sans Pro"/>
                <w:b/>
                <w:noProof/>
                <w:color w:val="0563C1" w:themeColor="hyperlink"/>
                <w:sz w:val="16"/>
                <w:szCs w:val="16"/>
                <w:u w:val="single"/>
              </w:rPr>
            </w:pPr>
            <w:hyperlink r:id="rId25" w:history="1">
              <w:r w:rsidR="00F717E4">
                <w:rPr>
                  <w:rFonts w:ascii="EC Square Sans Pro" w:hAnsi="EC Square Sans Pro"/>
                  <w:b/>
                  <w:noProof/>
                  <w:color w:val="0563C1" w:themeColor="hyperlink"/>
                  <w:sz w:val="16"/>
                  <w:u w:val="single"/>
                </w:rPr>
                <w:t>Stratégie européenne pour les universités</w:t>
              </w:r>
            </w:hyperlink>
            <w:r w:rsidR="00F717E4">
              <w:rPr>
                <w:rFonts w:ascii="EC Square Sans Pro" w:hAnsi="EC Square Sans Pro"/>
                <w:b/>
                <w:noProof/>
                <w:color w:val="0563C1" w:themeColor="hyperlink"/>
                <w:sz w:val="16"/>
                <w:u w:val="single"/>
              </w:rPr>
              <w:t>:</w:t>
            </w:r>
            <w:r w:rsidR="00F717E4">
              <w:rPr>
                <w:rFonts w:ascii="EC Square Sans Pro" w:hAnsi="EC Square Sans Pro"/>
                <w:noProof/>
                <w:sz w:val="16"/>
              </w:rPr>
              <w:t xml:space="preserve"> cette communication a pour objectif d’aider le secteur de l’enseignement supérieur à s’adapter au changement et de renforcer la coopération transfrontalière. </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850" w:type="dxa"/>
            <w:shd w:val="clear" w:color="auto" w:fill="D1E7FE"/>
            <w:vAlign w:val="center"/>
          </w:tcPr>
          <w:p w:rsidR="00943433" w:rsidRPr="00900448" w:rsidRDefault="005D3D3D" w:rsidP="000B1E8F">
            <w:pPr>
              <w:contextualSpacing/>
              <w:jc w:val="center"/>
              <w:rPr>
                <w:rFonts w:ascii="EC Square Sans Pro" w:hAnsi="EC Square Sans Pro"/>
                <w:noProof/>
                <w:sz w:val="16"/>
                <w:szCs w:val="16"/>
              </w:rPr>
            </w:pPr>
            <w:hyperlink r:id="rId26" w:history="1">
              <w:r w:rsidR="00F717E4">
                <w:rPr>
                  <w:rStyle w:val="Hyperlink"/>
                  <w:rFonts w:ascii="EC Square Sans Pro" w:hAnsi="EC Square Sans Pro"/>
                  <w:noProof/>
                  <w:sz w:val="16"/>
                </w:rPr>
                <w:t>Conclusions du Conseil</w:t>
              </w:r>
            </w:hyperlink>
          </w:p>
        </w:tc>
        <w:tc>
          <w:tcPr>
            <w:tcW w:w="1418" w:type="dxa"/>
            <w:shd w:val="clear" w:color="auto" w:fill="D1E7FE"/>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Enseignement supérieur</w:t>
            </w:r>
          </w:p>
        </w:tc>
      </w:tr>
      <w:tr w:rsidR="00943433" w:rsidRPr="00584F7C" w:rsidTr="00071B71">
        <w:tc>
          <w:tcPr>
            <w:tcW w:w="4395" w:type="dxa"/>
            <w:shd w:val="clear" w:color="auto" w:fill="auto"/>
            <w:vAlign w:val="center"/>
          </w:tcPr>
          <w:p w:rsidR="000C71D9" w:rsidRPr="00900448" w:rsidRDefault="005D3D3D" w:rsidP="00946516">
            <w:pPr>
              <w:contextualSpacing/>
              <w:rPr>
                <w:rFonts w:ascii="EC Square Sans Pro" w:hAnsi="EC Square Sans Pro"/>
                <w:b/>
                <w:noProof/>
                <w:color w:val="0563C1" w:themeColor="hyperlink"/>
                <w:sz w:val="16"/>
                <w:szCs w:val="16"/>
                <w:u w:val="single"/>
              </w:rPr>
            </w:pPr>
            <w:hyperlink r:id="rId27" w:history="1">
              <w:r w:rsidR="00F717E4">
                <w:rPr>
                  <w:rFonts w:ascii="EC Square Sans Pro" w:hAnsi="EC Square Sans Pro"/>
                  <w:b/>
                  <w:noProof/>
                  <w:color w:val="0563C1" w:themeColor="hyperlink"/>
                  <w:sz w:val="16"/>
                  <w:u w:val="single"/>
                </w:rPr>
                <w:t>Jeter des ponts pour une coopération européenne efficace dans le domaine de l’enseignement supérieur</w:t>
              </w:r>
            </w:hyperlink>
            <w:r w:rsidR="00F717E4">
              <w:rPr>
                <w:rFonts w:ascii="EC Square Sans Pro" w:hAnsi="EC Square Sans Pro"/>
                <w:b/>
                <w:noProof/>
                <w:color w:val="0563C1" w:themeColor="hyperlink"/>
                <w:sz w:val="16"/>
                <w:u w:val="single"/>
              </w:rPr>
              <w:t>:</w:t>
            </w:r>
            <w:r w:rsidR="00F717E4">
              <w:rPr>
                <w:rFonts w:ascii="EC Square Sans Pro" w:hAnsi="EC Square Sans Pro"/>
                <w:noProof/>
                <w:sz w:val="16"/>
              </w:rPr>
              <w:t xml:space="preserve"> cette recommandation du Conseil vise à renforcer la coopération en accompagnant les alliances entre établissements d’enseignement supérieur dans l’élaboration de programmes et d’initiatives communs.</w:t>
            </w:r>
          </w:p>
        </w:tc>
        <w:tc>
          <w:tcPr>
            <w:tcW w:w="1134" w:type="dxa"/>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850" w:type="dxa"/>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418" w:type="dxa"/>
            <w:vAlign w:val="center"/>
          </w:tcPr>
          <w:p w:rsidR="00943433" w:rsidRPr="00900448" w:rsidRDefault="00584F7C" w:rsidP="00584F7C">
            <w:pPr>
              <w:contextualSpacing/>
              <w:jc w:val="center"/>
              <w:rPr>
                <w:rFonts w:ascii="EC Square Sans Pro" w:hAnsi="EC Square Sans Pro"/>
                <w:noProof/>
                <w:color w:val="249EB1"/>
                <w:sz w:val="16"/>
                <w:szCs w:val="16"/>
              </w:rPr>
            </w:pPr>
            <w:r>
              <w:rPr>
                <w:rFonts w:ascii="Wingdings" w:hAnsi="Wingdings"/>
                <w:noProof/>
                <w:color w:val="249EB1"/>
                <w:sz w:val="16"/>
              </w:rPr>
              <w:t></w:t>
            </w:r>
          </w:p>
        </w:tc>
        <w:tc>
          <w:tcPr>
            <w:tcW w:w="1275" w:type="dxa"/>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Enseignement supérieur</w:t>
            </w:r>
          </w:p>
        </w:tc>
      </w:tr>
      <w:tr w:rsidR="00943433" w:rsidRPr="00584F7C" w:rsidTr="00071B71">
        <w:tc>
          <w:tcPr>
            <w:tcW w:w="4395" w:type="dxa"/>
            <w:shd w:val="clear" w:color="auto" w:fill="D1E7FE"/>
            <w:vAlign w:val="center"/>
          </w:tcPr>
          <w:p w:rsidR="000C71D9" w:rsidRPr="00900448" w:rsidRDefault="005D3D3D" w:rsidP="00946516">
            <w:pPr>
              <w:contextualSpacing/>
              <w:rPr>
                <w:rFonts w:ascii="EC Square Sans Pro" w:hAnsi="EC Square Sans Pro"/>
                <w:noProof/>
                <w:sz w:val="16"/>
                <w:szCs w:val="16"/>
              </w:rPr>
            </w:pPr>
            <w:hyperlink r:id="rId28" w:history="1">
              <w:r w:rsidR="00F717E4">
                <w:rPr>
                  <w:rStyle w:val="Hyperlink"/>
                  <w:rFonts w:ascii="EC Square Sans Pro" w:hAnsi="EC Square Sans Pro"/>
                  <w:b/>
                  <w:noProof/>
                  <w:sz w:val="16"/>
                </w:rPr>
                <w:t>Approche européenne des microcertifications pour l’apprentissage tout au long de la vie et l’employabilité</w:t>
              </w:r>
            </w:hyperlink>
            <w:r w:rsidR="00F717E4">
              <w:rPr>
                <w:rStyle w:val="Hyperlink"/>
                <w:rFonts w:ascii="EC Square Sans Pro" w:hAnsi="EC Square Sans Pro"/>
                <w:b/>
                <w:noProof/>
                <w:sz w:val="16"/>
              </w:rPr>
              <w:t>:</w:t>
            </w:r>
            <w:r w:rsidR="00F717E4">
              <w:rPr>
                <w:rFonts w:ascii="EC Square Sans Pro" w:hAnsi="EC Square Sans Pro"/>
                <w:noProof/>
                <w:sz w:val="16"/>
              </w:rPr>
              <w:t xml:space="preserve"> cette recommandation du Conseil vise à aider les établissements qui délivrent des microcertifications, et donc les apprenants, en appliquant une approche européenne à la conception de ces microcertifications et à l’usage qui en est fait, favorisant ainsi l’inclusion et l’égalité des chances.</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Pr>
                <w:rFonts w:ascii="Wingdings" w:hAnsi="Wingdings"/>
                <w:noProof/>
                <w:color w:val="249EB1"/>
                <w:sz w:val="16"/>
              </w:rPr>
              <w:t></w:t>
            </w:r>
          </w:p>
        </w:tc>
        <w:tc>
          <w:tcPr>
            <w:tcW w:w="850"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Pr>
                <w:rFonts w:ascii="Wingdings" w:hAnsi="Wingdings"/>
                <w:noProof/>
                <w:color w:val="249EB1"/>
                <w:sz w:val="16"/>
              </w:rPr>
              <w:t></w:t>
            </w:r>
          </w:p>
        </w:tc>
        <w:tc>
          <w:tcPr>
            <w:tcW w:w="1418"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Pr>
                <w:rFonts w:ascii="Wingdings" w:hAnsi="Wingdings"/>
                <w:noProof/>
                <w:color w:val="249EB1"/>
                <w:sz w:val="16"/>
              </w:rPr>
              <w:t></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Apprentissage tout au long de la vie et mobilité</w:t>
            </w:r>
          </w:p>
        </w:tc>
      </w:tr>
      <w:tr w:rsidR="00943433" w:rsidRPr="00584F7C" w:rsidTr="00071B71">
        <w:tc>
          <w:tcPr>
            <w:tcW w:w="4395" w:type="dxa"/>
            <w:shd w:val="clear" w:color="auto" w:fill="auto"/>
            <w:vAlign w:val="center"/>
          </w:tcPr>
          <w:p w:rsidR="000C71D9" w:rsidRPr="00900448" w:rsidRDefault="005D3D3D">
            <w:pPr>
              <w:keepNext/>
              <w:keepLines/>
              <w:contextualSpacing/>
              <w:rPr>
                <w:rFonts w:ascii="EC Square Sans Pro" w:hAnsi="EC Square Sans Pro"/>
                <w:b/>
                <w:noProof/>
                <w:sz w:val="16"/>
                <w:szCs w:val="16"/>
              </w:rPr>
            </w:pPr>
            <w:hyperlink r:id="rId29" w:history="1">
              <w:r w:rsidR="00F717E4">
                <w:rPr>
                  <w:rStyle w:val="Hyperlink"/>
                  <w:rFonts w:ascii="EC Square Sans Pro" w:hAnsi="EC Square Sans Pro"/>
                  <w:b/>
                  <w:noProof/>
                  <w:sz w:val="16"/>
                </w:rPr>
                <w:t>Apprentissage au service de la transition écologique et du développement durable</w:t>
              </w:r>
            </w:hyperlink>
            <w:r w:rsidR="00F717E4">
              <w:rPr>
                <w:rStyle w:val="Hyperlink"/>
                <w:rFonts w:ascii="EC Square Sans Pro" w:hAnsi="EC Square Sans Pro"/>
                <w:b/>
                <w:noProof/>
                <w:sz w:val="16"/>
              </w:rPr>
              <w:t>:</w:t>
            </w:r>
            <w:r w:rsidR="00F717E4">
              <w:rPr>
                <w:rFonts w:ascii="EC Square Sans Pro" w:hAnsi="EC Square Sans Pro"/>
                <w:noProof/>
                <w:sz w:val="16"/>
              </w:rPr>
              <w:t xml:space="preserve"> cette recommandation du Conseil fournit aux États membres une feuille de route pour soutenir l’apprentissage et l’enseignement au service de la transition écologique et du développement durable, à tous les niveaux de l’éducation et de la formation.</w:t>
            </w:r>
          </w:p>
        </w:tc>
        <w:tc>
          <w:tcPr>
            <w:tcW w:w="1134" w:type="dxa"/>
            <w:vAlign w:val="center"/>
          </w:tcPr>
          <w:p w:rsidR="00943433" w:rsidRPr="00900448" w:rsidRDefault="00584F7C" w:rsidP="00584F7C">
            <w:pPr>
              <w:contextualSpacing/>
              <w:jc w:val="center"/>
              <w:rPr>
                <w:rFonts w:ascii="EC Square Sans Pro" w:hAnsi="EC Square Sans Pro"/>
                <w:noProof/>
                <w:sz w:val="16"/>
                <w:szCs w:val="16"/>
              </w:rPr>
            </w:pPr>
            <w:r>
              <w:rPr>
                <w:rFonts w:ascii="Wingdings" w:hAnsi="Wingdings"/>
                <w:noProof/>
                <w:color w:val="249EB1"/>
                <w:sz w:val="16"/>
              </w:rPr>
              <w:t></w:t>
            </w:r>
          </w:p>
        </w:tc>
        <w:tc>
          <w:tcPr>
            <w:tcW w:w="850" w:type="dxa"/>
            <w:vAlign w:val="center"/>
          </w:tcPr>
          <w:p w:rsidR="00943433" w:rsidRPr="00900448" w:rsidRDefault="00584F7C" w:rsidP="00584F7C">
            <w:pPr>
              <w:contextualSpacing/>
              <w:jc w:val="center"/>
              <w:rPr>
                <w:rFonts w:ascii="EC Square Sans Pro" w:hAnsi="EC Square Sans Pro"/>
                <w:noProof/>
                <w:sz w:val="16"/>
                <w:szCs w:val="16"/>
              </w:rPr>
            </w:pPr>
            <w:r>
              <w:rPr>
                <w:rFonts w:ascii="Wingdings" w:hAnsi="Wingdings"/>
                <w:noProof/>
                <w:color w:val="249EB1"/>
                <w:sz w:val="16"/>
              </w:rPr>
              <w:t></w:t>
            </w:r>
          </w:p>
        </w:tc>
        <w:tc>
          <w:tcPr>
            <w:tcW w:w="1418" w:type="dxa"/>
            <w:vAlign w:val="center"/>
          </w:tcPr>
          <w:p w:rsidR="00943433" w:rsidRPr="00900448" w:rsidRDefault="00584F7C" w:rsidP="00584F7C">
            <w:pPr>
              <w:contextualSpacing/>
              <w:jc w:val="center"/>
              <w:rPr>
                <w:rFonts w:ascii="EC Square Sans Pro" w:hAnsi="EC Square Sans Pro"/>
                <w:noProof/>
                <w:sz w:val="16"/>
                <w:szCs w:val="16"/>
              </w:rPr>
            </w:pPr>
            <w:r>
              <w:rPr>
                <w:rFonts w:ascii="Wingdings" w:hAnsi="Wingdings"/>
                <w:noProof/>
                <w:color w:val="249EB1"/>
                <w:sz w:val="16"/>
              </w:rPr>
              <w:t></w:t>
            </w:r>
          </w:p>
        </w:tc>
        <w:tc>
          <w:tcPr>
            <w:tcW w:w="1275" w:type="dxa"/>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Transition écologique</w:t>
            </w:r>
          </w:p>
        </w:tc>
      </w:tr>
      <w:tr w:rsidR="00943433" w:rsidRPr="00584F7C" w:rsidTr="00071B71">
        <w:tc>
          <w:tcPr>
            <w:tcW w:w="4395" w:type="dxa"/>
            <w:shd w:val="clear" w:color="auto" w:fill="D1E7FE"/>
            <w:vAlign w:val="center"/>
          </w:tcPr>
          <w:p w:rsidR="00BB588A" w:rsidRPr="00900448" w:rsidRDefault="005D3D3D" w:rsidP="00F53709">
            <w:pPr>
              <w:contextualSpacing/>
              <w:rPr>
                <w:rFonts w:ascii="EC Square Sans Pro" w:hAnsi="EC Square Sans Pro"/>
                <w:b/>
                <w:noProof/>
                <w:sz w:val="16"/>
                <w:szCs w:val="16"/>
              </w:rPr>
            </w:pPr>
            <w:hyperlink r:id="rId30" w:history="1">
              <w:r w:rsidR="00F717E4">
                <w:rPr>
                  <w:rStyle w:val="Hyperlink"/>
                  <w:rFonts w:ascii="EC Square Sans Pro" w:hAnsi="EC Square Sans Pro"/>
                  <w:b/>
                  <w:noProof/>
                  <w:sz w:val="16"/>
                </w:rPr>
                <w:t>Passeport pour la réussite scolaire</w:t>
              </w:r>
            </w:hyperlink>
            <w:r w:rsidR="00F717E4">
              <w:rPr>
                <w:rFonts w:ascii="EC Square Sans Pro" w:hAnsi="EC Square Sans Pro"/>
                <w:b/>
                <w:noProof/>
                <w:sz w:val="16"/>
              </w:rPr>
              <w:t>:</w:t>
            </w:r>
            <w:r w:rsidR="00F717E4">
              <w:rPr>
                <w:rFonts w:ascii="EC Square Sans Pro" w:hAnsi="EC Square Sans Pro"/>
                <w:noProof/>
                <w:sz w:val="16"/>
              </w:rPr>
              <w:t xml:space="preserve"> cette proposition de recommandation du Conseil vise à favoriser de meilleurs résultats scolaires pour tous les apprenants en réduisant le pourcentage d’élèves ne possédant pas une maîtrise suffisante des compétences élémentaires et de jeunes en décrochage scolaire, tout en promouvant le bien-être à l’école.</w:t>
            </w:r>
          </w:p>
        </w:tc>
        <w:tc>
          <w:tcPr>
            <w:tcW w:w="1134" w:type="dxa"/>
            <w:shd w:val="clear" w:color="auto" w:fill="D1E7FE"/>
            <w:vAlign w:val="center"/>
          </w:tcPr>
          <w:p w:rsidR="00943433" w:rsidRPr="00900448" w:rsidRDefault="00584F7C" w:rsidP="00584F7C">
            <w:pPr>
              <w:contextualSpacing/>
              <w:jc w:val="center"/>
              <w:rPr>
                <w:rFonts w:ascii="EC Square Sans Pro" w:hAnsi="EC Square Sans Pro"/>
                <w:noProof/>
                <w:sz w:val="16"/>
                <w:szCs w:val="16"/>
              </w:rPr>
            </w:pPr>
            <w:r>
              <w:rPr>
                <w:rFonts w:ascii="Wingdings" w:hAnsi="Wingdings"/>
                <w:noProof/>
                <w:color w:val="249EB1"/>
                <w:sz w:val="16"/>
              </w:rPr>
              <w:t></w:t>
            </w:r>
          </w:p>
        </w:tc>
        <w:tc>
          <w:tcPr>
            <w:tcW w:w="850" w:type="dxa"/>
            <w:shd w:val="clear" w:color="auto" w:fill="D1E7FE"/>
            <w:vAlign w:val="center"/>
          </w:tcPr>
          <w:p w:rsidR="00943433" w:rsidRPr="00900448" w:rsidRDefault="00943433" w:rsidP="000B1E8F">
            <w:pPr>
              <w:contextualSpacing/>
              <w:jc w:val="center"/>
              <w:rPr>
                <w:rFonts w:ascii="EC Square Sans Pro" w:hAnsi="EC Square Sans Pro"/>
                <w:noProof/>
                <w:sz w:val="16"/>
                <w:szCs w:val="16"/>
              </w:rPr>
            </w:pPr>
            <w:r>
              <w:rPr>
                <w:rFonts w:ascii="EC Square Sans Pro" w:hAnsi="EC Square Sans Pro"/>
                <w:noProof/>
                <w:sz w:val="16"/>
              </w:rPr>
              <w:t>À paraître</w:t>
            </w:r>
          </w:p>
        </w:tc>
        <w:tc>
          <w:tcPr>
            <w:tcW w:w="1418" w:type="dxa"/>
            <w:shd w:val="clear" w:color="auto" w:fill="D1E7FE"/>
            <w:vAlign w:val="center"/>
          </w:tcPr>
          <w:p w:rsidR="00943433" w:rsidRPr="00900448" w:rsidRDefault="00943433" w:rsidP="000B1E8F">
            <w:pPr>
              <w:contextualSpacing/>
              <w:jc w:val="center"/>
              <w:rPr>
                <w:rFonts w:ascii="EC Square Sans Pro" w:hAnsi="EC Square Sans Pro"/>
                <w:noProof/>
                <w:sz w:val="16"/>
                <w:szCs w:val="16"/>
              </w:rPr>
            </w:pPr>
            <w:r>
              <w:rPr>
                <w:rFonts w:ascii="EC Square Sans Pro" w:hAnsi="EC Square Sans Pro"/>
                <w:noProof/>
                <w:sz w:val="16"/>
              </w:rPr>
              <w:t>À paraître</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Qualité, équité, inclusion et égalité des genres</w:t>
            </w:r>
          </w:p>
        </w:tc>
      </w:tr>
    </w:tbl>
    <w:p w:rsidR="00943433" w:rsidRPr="002242ED" w:rsidRDefault="00271525" w:rsidP="000B1E8F">
      <w:pPr>
        <w:spacing w:before="120" w:after="120" w:line="240" w:lineRule="auto"/>
        <w:jc w:val="both"/>
        <w:rPr>
          <w:rFonts w:ascii="EC Square Sans Pro" w:hAnsi="EC Square Sans Pro"/>
          <w:noProof/>
          <w:sz w:val="20"/>
          <w:szCs w:val="20"/>
        </w:rPr>
      </w:pPr>
      <w:r>
        <w:rPr>
          <w:rFonts w:ascii="EC Square Sans Pro" w:hAnsi="EC Square Sans Pro"/>
          <w:noProof/>
          <w:sz w:val="20"/>
        </w:rPr>
        <w:t xml:space="preserve">Parallèlement à ces initiatives stratégiques qui doivent être adoptées par la Commission et le Conseil, d’autres actions importantes visant à soutenir la réforme des politiques ainsi que la coopération entre les établissements d’enseignement et de formation ont été lancées en 2021 et 2022 au niveau des services de la Commission, nombre d’entre elles nécessitant un soutien financier de l’UE. </w:t>
      </w:r>
    </w:p>
    <w:p w:rsidR="00943433" w:rsidRPr="002242ED" w:rsidRDefault="00943433" w:rsidP="00584F7C">
      <w:pPr>
        <w:pStyle w:val="2022Figures"/>
        <w:rPr>
          <w:noProof/>
        </w:rPr>
      </w:pPr>
      <w:r>
        <w:rPr>
          <w:noProof/>
        </w:rPr>
        <w:t xml:space="preserve"> Sélection d’actions en faveur de l’EEE financées par l’UE</w:t>
      </w:r>
    </w:p>
    <w:tbl>
      <w:tblPr>
        <w:tblStyle w:val="TableGrid1"/>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ook w:val="04A0" w:firstRow="1" w:lastRow="0" w:firstColumn="1" w:lastColumn="0" w:noHBand="0" w:noVBand="1"/>
      </w:tblPr>
      <w:tblGrid>
        <w:gridCol w:w="1333"/>
        <w:gridCol w:w="6464"/>
        <w:gridCol w:w="1275"/>
      </w:tblGrid>
      <w:tr w:rsidR="00584F7C" w:rsidRPr="00584F7C" w:rsidTr="00584F7C">
        <w:trPr>
          <w:cantSplit/>
          <w:tblHeader/>
        </w:trPr>
        <w:tc>
          <w:tcPr>
            <w:tcW w:w="1301" w:type="dxa"/>
            <w:shd w:val="clear" w:color="auto" w:fill="DDDCF0"/>
            <w:vAlign w:val="center"/>
          </w:tcPr>
          <w:p w:rsidR="00943433" w:rsidRPr="00900448" w:rsidRDefault="00943433" w:rsidP="000B1E8F">
            <w:pPr>
              <w:keepNext/>
              <w:keepLines/>
              <w:jc w:val="center"/>
              <w:rPr>
                <w:rFonts w:ascii="EC Square Sans Pro" w:hAnsi="EC Square Sans Pro"/>
                <w:noProof/>
                <w:color w:val="DF4E2B"/>
                <w:sz w:val="16"/>
                <w:szCs w:val="16"/>
              </w:rPr>
            </w:pPr>
            <w:r>
              <w:rPr>
                <w:rFonts w:ascii="EC Square Sans Pro" w:hAnsi="EC Square Sans Pro"/>
                <w:b/>
                <w:noProof/>
                <w:color w:val="DF4E2B"/>
                <w:sz w:val="16"/>
              </w:rPr>
              <w:t>Action</w:t>
            </w:r>
          </w:p>
        </w:tc>
        <w:tc>
          <w:tcPr>
            <w:tcW w:w="6496" w:type="dxa"/>
            <w:shd w:val="clear" w:color="auto" w:fill="DDDCF0"/>
            <w:vAlign w:val="center"/>
          </w:tcPr>
          <w:p w:rsidR="00943433" w:rsidRPr="00900448" w:rsidRDefault="00943433" w:rsidP="000B1E8F">
            <w:pPr>
              <w:keepNext/>
              <w:keepLines/>
              <w:ind w:left="156"/>
              <w:contextualSpacing/>
              <w:jc w:val="center"/>
              <w:rPr>
                <w:rFonts w:ascii="EC Square Sans Pro" w:hAnsi="EC Square Sans Pro"/>
                <w:noProof/>
                <w:color w:val="DF4E2B"/>
                <w:sz w:val="16"/>
                <w:szCs w:val="16"/>
              </w:rPr>
            </w:pPr>
            <w:r>
              <w:rPr>
                <w:rFonts w:ascii="EC Square Sans Pro" w:hAnsi="EC Square Sans Pro"/>
                <w:b/>
                <w:noProof/>
                <w:color w:val="DF4E2B"/>
                <w:sz w:val="16"/>
              </w:rPr>
              <w:t>Mise en œuvre</w:t>
            </w:r>
          </w:p>
        </w:tc>
        <w:tc>
          <w:tcPr>
            <w:tcW w:w="1275" w:type="dxa"/>
            <w:shd w:val="clear" w:color="auto" w:fill="DDDCF0"/>
            <w:vAlign w:val="center"/>
          </w:tcPr>
          <w:p w:rsidR="00943433" w:rsidRPr="00900448" w:rsidRDefault="00943433" w:rsidP="000B1E8F">
            <w:pPr>
              <w:keepNext/>
              <w:keepLines/>
              <w:jc w:val="center"/>
              <w:rPr>
                <w:rFonts w:ascii="EC Square Sans Pro" w:hAnsi="EC Square Sans Pro"/>
                <w:noProof/>
                <w:color w:val="DF4E2B"/>
                <w:sz w:val="16"/>
                <w:szCs w:val="16"/>
              </w:rPr>
            </w:pPr>
            <w:r>
              <w:rPr>
                <w:rFonts w:ascii="EC Square Sans Pro" w:hAnsi="EC Square Sans Pro"/>
                <w:b/>
                <w:noProof/>
                <w:color w:val="DF4E2B"/>
                <w:sz w:val="16"/>
              </w:rPr>
              <w:t>Domaine prioritaire</w:t>
            </w:r>
          </w:p>
        </w:tc>
      </w:tr>
      <w:tr w:rsidR="00943433" w:rsidRPr="00584F7C" w:rsidTr="00584F7C">
        <w:tc>
          <w:tcPr>
            <w:tcW w:w="1301" w:type="dxa"/>
            <w:shd w:val="clear" w:color="auto" w:fill="auto"/>
            <w:vAlign w:val="center"/>
          </w:tcPr>
          <w:p w:rsidR="00943433" w:rsidRPr="00900448" w:rsidRDefault="00943433" w:rsidP="14FA6798">
            <w:pPr>
              <w:contextualSpacing/>
              <w:rPr>
                <w:rFonts w:ascii="EC Square Sans Pro" w:hAnsi="EC Square Sans Pro"/>
                <w:b/>
                <w:noProof/>
                <w:color w:val="7975C8"/>
                <w:sz w:val="16"/>
                <w:szCs w:val="16"/>
              </w:rPr>
            </w:pPr>
            <w:r>
              <w:rPr>
                <w:rFonts w:ascii="EC Square Sans Pro" w:hAnsi="EC Square Sans Pro"/>
                <w:b/>
                <w:noProof/>
                <w:color w:val="7975C8"/>
                <w:sz w:val="16"/>
              </w:rPr>
              <w:t>Actions «Jean Monnet» en faveur des écoles et de l’EFP</w:t>
            </w:r>
          </w:p>
        </w:tc>
        <w:tc>
          <w:tcPr>
            <w:tcW w:w="6496" w:type="dxa"/>
            <w:vAlign w:val="center"/>
          </w:tcPr>
          <w:p w:rsidR="00943433" w:rsidRPr="00900448" w:rsidRDefault="00943433" w:rsidP="00FB088B">
            <w:pPr>
              <w:contextualSpacing/>
              <w:rPr>
                <w:rFonts w:ascii="EC Square Sans Pro" w:hAnsi="EC Square Sans Pro"/>
                <w:noProof/>
                <w:sz w:val="16"/>
                <w:szCs w:val="16"/>
              </w:rPr>
            </w:pPr>
            <w:r>
              <w:rPr>
                <w:rFonts w:ascii="EC Square Sans Pro" w:hAnsi="EC Square Sans Pro"/>
                <w:noProof/>
                <w:sz w:val="16"/>
              </w:rPr>
              <w:t xml:space="preserve">Appels annuels lancés depuis 2021 pour promouvoir la citoyenneté active et les apprentissages relatifs à l’UE dans les pays participant au programme Erasmus+. 15 millions d’EUR alloués au titre d’Erasmus+ 2021-2022 pour financer: </w:t>
            </w:r>
            <w:r>
              <w:rPr>
                <w:rFonts w:ascii="EC Square Sans Pro" w:hAnsi="EC Square Sans Pro"/>
                <w:noProof/>
                <w:sz w:val="16"/>
              </w:rPr>
              <w:sym w:font="Wingdings" w:char="F0FC"/>
            </w:r>
            <w:r>
              <w:rPr>
                <w:rFonts w:ascii="EC Square Sans Pro" w:hAnsi="EC Square Sans Pro"/>
                <w:noProof/>
                <w:sz w:val="16"/>
              </w:rPr>
              <w:t xml:space="preserve"> la formation des enseignants; </w:t>
            </w:r>
            <w:r>
              <w:rPr>
                <w:rFonts w:ascii="EC Square Sans Pro" w:hAnsi="EC Square Sans Pro"/>
                <w:noProof/>
                <w:sz w:val="16"/>
              </w:rPr>
              <w:sym w:font="Wingdings" w:char="F0FC"/>
            </w:r>
            <w:r>
              <w:rPr>
                <w:rFonts w:ascii="EC Square Sans Pro" w:hAnsi="EC Square Sans Pro"/>
                <w:noProof/>
                <w:sz w:val="16"/>
              </w:rPr>
              <w:t xml:space="preserve">les réseaux scolaires; </w:t>
            </w:r>
            <w:r>
              <w:rPr>
                <w:rFonts w:ascii="EC Square Sans Pro" w:hAnsi="EC Square Sans Pro"/>
                <w:noProof/>
                <w:sz w:val="16"/>
              </w:rPr>
              <w:sym w:font="Wingdings" w:char="F0FC"/>
            </w:r>
            <w:r>
              <w:rPr>
                <w:rFonts w:ascii="EC Square Sans Pro" w:hAnsi="EC Square Sans Pro"/>
                <w:noProof/>
                <w:sz w:val="16"/>
              </w:rPr>
              <w:t>les apprentissages relatifs à l’UE/des méthodes innovantes pour enseigner l’UE, ses politiques et ses valeurs.</w:t>
            </w:r>
          </w:p>
        </w:tc>
        <w:tc>
          <w:tcPr>
            <w:tcW w:w="1275" w:type="dxa"/>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Qualité, équité, inclusion et égalité des genres</w:t>
            </w:r>
          </w:p>
        </w:tc>
      </w:tr>
      <w:tr w:rsidR="00943433" w:rsidRPr="00584F7C" w:rsidTr="00584F7C">
        <w:tc>
          <w:tcPr>
            <w:tcW w:w="1301" w:type="dxa"/>
            <w:shd w:val="clear" w:color="auto" w:fill="D1E7FE"/>
            <w:vAlign w:val="center"/>
          </w:tcPr>
          <w:p w:rsidR="00943433" w:rsidRPr="00900448" w:rsidRDefault="00943433" w:rsidP="14FA6798">
            <w:pPr>
              <w:contextualSpacing/>
              <w:rPr>
                <w:rFonts w:ascii="EC Square Sans Pro" w:hAnsi="EC Square Sans Pro"/>
                <w:b/>
                <w:noProof/>
                <w:color w:val="7975C8"/>
                <w:sz w:val="16"/>
                <w:szCs w:val="16"/>
              </w:rPr>
            </w:pPr>
            <w:r>
              <w:rPr>
                <w:rFonts w:ascii="EC Square Sans Pro" w:hAnsi="EC Square Sans Pro"/>
                <w:b/>
                <w:noProof/>
                <w:color w:val="7975C8"/>
                <w:sz w:val="16"/>
              </w:rPr>
              <w:t>Centres d’excellence professionnelle</w:t>
            </w:r>
          </w:p>
        </w:tc>
        <w:tc>
          <w:tcPr>
            <w:tcW w:w="6496" w:type="dxa"/>
            <w:shd w:val="clear" w:color="auto" w:fill="D1E7FE"/>
            <w:vAlign w:val="center"/>
          </w:tcPr>
          <w:p w:rsidR="00943433" w:rsidRPr="00900448" w:rsidRDefault="00943433" w:rsidP="00FB088B">
            <w:pPr>
              <w:contextualSpacing/>
              <w:rPr>
                <w:rFonts w:ascii="EC Square Sans Pro" w:hAnsi="EC Square Sans Pro"/>
                <w:noProof/>
                <w:sz w:val="16"/>
                <w:szCs w:val="16"/>
              </w:rPr>
            </w:pPr>
            <w:r>
              <w:rPr>
                <w:rFonts w:ascii="EC Square Sans Pro" w:hAnsi="EC Square Sans Pro"/>
                <w:noProof/>
                <w:sz w:val="16"/>
              </w:rPr>
              <w:t>Plus de 90 millions d’EUR alloués à 25 projets au titre d’Erasmus+ en 2021 et 2022 afin d’accélérer les réformes et de garantir un haut niveau de qualifications et de compétences qui permettent l’accès à des emplois de qualité et ouvrent des perspectives tout au long de la carrière répondant aux besoins d’une économie innovante, inclusive et durable.</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Qualité, équité, inclusion et égalité des genres</w:t>
            </w:r>
          </w:p>
        </w:tc>
      </w:tr>
      <w:tr w:rsidR="00943433" w:rsidRPr="00584F7C" w:rsidTr="00584F7C">
        <w:tc>
          <w:tcPr>
            <w:tcW w:w="1301" w:type="dxa"/>
            <w:shd w:val="clear" w:color="auto" w:fill="auto"/>
            <w:vAlign w:val="center"/>
          </w:tcPr>
          <w:p w:rsidR="00943433" w:rsidRPr="00900448" w:rsidRDefault="00943433" w:rsidP="14FA6798">
            <w:pPr>
              <w:contextualSpacing/>
              <w:rPr>
                <w:rFonts w:ascii="EC Square Sans Pro" w:hAnsi="EC Square Sans Pro"/>
                <w:b/>
                <w:noProof/>
                <w:color w:val="7975C8"/>
                <w:sz w:val="16"/>
                <w:szCs w:val="16"/>
              </w:rPr>
            </w:pPr>
            <w:r>
              <w:rPr>
                <w:rFonts w:ascii="EC Square Sans Pro" w:hAnsi="EC Square Sans Pro"/>
                <w:b/>
                <w:noProof/>
                <w:color w:val="7975C8"/>
                <w:sz w:val="16"/>
              </w:rPr>
              <w:t>Les femmes et les filles dans le domaine des STIM et des TIC</w:t>
            </w:r>
          </w:p>
        </w:tc>
        <w:tc>
          <w:tcPr>
            <w:tcW w:w="6496" w:type="dxa"/>
            <w:vAlign w:val="center"/>
          </w:tcPr>
          <w:p w:rsidR="00943433" w:rsidRPr="00900448" w:rsidRDefault="00943433" w:rsidP="00FF3C6F">
            <w:pPr>
              <w:contextualSpacing/>
              <w:rPr>
                <w:rFonts w:ascii="EC Square Sans Pro" w:hAnsi="EC Square Sans Pro"/>
                <w:noProof/>
                <w:sz w:val="16"/>
                <w:szCs w:val="16"/>
              </w:rPr>
            </w:pPr>
            <w:r w:rsidRPr="00F40A11">
              <w:rPr>
                <w:rFonts w:ascii="EC Square Sans Pro" w:hAnsi="EC Square Sans Pro"/>
                <w:noProof/>
                <w:sz w:val="16"/>
              </w:rPr>
              <w:t xml:space="preserve">Promotion des compétences numériques et entrepreneuriales pour les femmes et les filles; </w:t>
            </w:r>
            <w:r w:rsidRPr="00F40A11">
              <w:rPr>
                <w:rFonts w:ascii="EC Square Sans Pro" w:hAnsi="EC Square Sans Pro"/>
                <w:noProof/>
                <w:sz w:val="16"/>
              </w:rPr>
              <w:sym w:font="Wingdings" w:char="F0FC"/>
            </w:r>
            <w:r w:rsidRPr="00F40A11">
              <w:rPr>
                <w:rFonts w:ascii="EC Square Sans Pro" w:hAnsi="EC Square Sans Pro"/>
                <w:noProof/>
                <w:sz w:val="16"/>
              </w:rPr>
              <w:t xml:space="preserve">initiative </w:t>
            </w:r>
            <w:hyperlink r:id="rId31" w:history="1">
              <w:r w:rsidRPr="00F40A11">
                <w:rPr>
                  <w:noProof/>
                </w:rPr>
                <w:t>«Girls Go Circular»</w:t>
              </w:r>
            </w:hyperlink>
            <w:r w:rsidRPr="00F40A11">
              <w:rPr>
                <w:rFonts w:ascii="EC Square Sans Pro" w:hAnsi="EC Square Sans Pro"/>
                <w:noProof/>
                <w:sz w:val="16"/>
              </w:rPr>
              <w:t xml:space="preserve"> lancée par l’Institut européen d’innovation et de technologie et les communautés rassemblées autour de la connaissance et de l’innovation:</w:t>
            </w:r>
            <w:r>
              <w:rPr>
                <w:rFonts w:ascii="EC Square Sans Pro" w:hAnsi="EC Square Sans Pro"/>
                <w:noProof/>
                <w:sz w:val="16"/>
              </w:rPr>
              <w:t xml:space="preserve"> </w:t>
            </w:r>
            <w:r w:rsidRPr="00F40A11">
              <w:rPr>
                <w:rFonts w:ascii="EC Square Sans Pro" w:hAnsi="EC Square Sans Pro"/>
                <w:noProof/>
                <w:sz w:val="16"/>
              </w:rPr>
              <w:t>11</w:t>
            </w:r>
            <w:r w:rsidRPr="00F40A11">
              <w:rPr>
                <w:rFonts w:ascii="Calibri" w:hAnsi="Calibri" w:cs="Calibri"/>
                <w:noProof/>
                <w:sz w:val="16"/>
              </w:rPr>
              <w:t> </w:t>
            </w:r>
            <w:r w:rsidRPr="00F40A11">
              <w:rPr>
                <w:rFonts w:ascii="EC Square Sans Pro" w:hAnsi="EC Square Sans Pro"/>
                <w:noProof/>
                <w:sz w:val="16"/>
              </w:rPr>
              <w:t>205</w:t>
            </w:r>
            <w:r w:rsidRPr="00F40A11">
              <w:rPr>
                <w:rFonts w:ascii="Calibri" w:hAnsi="Calibri" w:cs="Calibri"/>
                <w:noProof/>
                <w:sz w:val="16"/>
              </w:rPr>
              <w:t> </w:t>
            </w:r>
            <w:r w:rsidRPr="00F40A11">
              <w:rPr>
                <w:rFonts w:ascii="EC Square Sans Pro" w:hAnsi="EC Square Sans Pro" w:cs="EC Square Sans Pro"/>
                <w:noProof/>
                <w:sz w:val="16"/>
              </w:rPr>
              <w:t>é</w:t>
            </w:r>
            <w:r w:rsidRPr="00F40A11">
              <w:rPr>
                <w:rFonts w:ascii="EC Square Sans Pro" w:hAnsi="EC Square Sans Pro"/>
                <w:noProof/>
                <w:sz w:val="16"/>
              </w:rPr>
              <w:t>tudiantes ont suivi le programme; 7</w:t>
            </w:r>
            <w:r w:rsidRPr="00F40A11">
              <w:rPr>
                <w:rFonts w:ascii="Calibri" w:hAnsi="Calibri" w:cs="Calibri"/>
                <w:noProof/>
                <w:sz w:val="16"/>
              </w:rPr>
              <w:t> </w:t>
            </w:r>
            <w:r w:rsidRPr="00F40A11">
              <w:rPr>
                <w:rFonts w:ascii="EC Square Sans Pro" w:hAnsi="EC Square Sans Pro"/>
                <w:noProof/>
                <w:sz w:val="16"/>
              </w:rPr>
              <w:t>682 l</w:t>
            </w:r>
            <w:r w:rsidRPr="00F40A11">
              <w:rPr>
                <w:rFonts w:ascii="EC Square Sans Pro" w:hAnsi="EC Square Sans Pro" w:cs="EC Square Sans Pro"/>
                <w:noProof/>
                <w:sz w:val="16"/>
              </w:rPr>
              <w:t>’</w:t>
            </w:r>
            <w:r w:rsidRPr="00F40A11">
              <w:rPr>
                <w:rFonts w:ascii="EC Square Sans Pro" w:hAnsi="EC Square Sans Pro"/>
                <w:noProof/>
                <w:sz w:val="16"/>
              </w:rPr>
              <w:t>ont achev</w:t>
            </w:r>
            <w:r w:rsidRPr="00F40A11">
              <w:rPr>
                <w:rFonts w:ascii="EC Square Sans Pro" w:hAnsi="EC Square Sans Pro" w:cs="EC Square Sans Pro"/>
                <w:noProof/>
                <w:sz w:val="16"/>
              </w:rPr>
              <w:t>é</w:t>
            </w:r>
            <w:r w:rsidRPr="00F40A11">
              <w:rPr>
                <w:rFonts w:ascii="EC Square Sans Pro" w:hAnsi="EC Square Sans Pro"/>
                <w:noProof/>
                <w:sz w:val="16"/>
              </w:rPr>
              <w:t xml:space="preserve"> en</w:t>
            </w:r>
            <w:r w:rsidRPr="00F40A11">
              <w:rPr>
                <w:rFonts w:ascii="Calibri" w:hAnsi="Calibri" w:cs="Calibri"/>
                <w:noProof/>
                <w:sz w:val="16"/>
              </w:rPr>
              <w:t> </w:t>
            </w:r>
            <w:r w:rsidRPr="00F40A11">
              <w:rPr>
                <w:rFonts w:ascii="EC Square Sans Pro" w:hAnsi="EC Square Sans Pro"/>
                <w:noProof/>
                <w:sz w:val="16"/>
              </w:rPr>
              <w:t>2021 et 10</w:t>
            </w:r>
            <w:r w:rsidRPr="00F40A11">
              <w:rPr>
                <w:rFonts w:ascii="Calibri" w:hAnsi="Calibri" w:cs="Calibri"/>
                <w:noProof/>
                <w:sz w:val="16"/>
              </w:rPr>
              <w:t> </w:t>
            </w:r>
            <w:r w:rsidRPr="00F40A11">
              <w:rPr>
                <w:rFonts w:ascii="EC Square Sans Pro" w:hAnsi="EC Square Sans Pro"/>
                <w:noProof/>
                <w:sz w:val="16"/>
              </w:rPr>
              <w:t>000</w:t>
            </w:r>
            <w:r w:rsidRPr="00F40A11">
              <w:rPr>
                <w:rFonts w:ascii="Calibri" w:hAnsi="Calibri" w:cs="Calibri"/>
                <w:noProof/>
                <w:sz w:val="16"/>
              </w:rPr>
              <w:t> </w:t>
            </w:r>
            <w:r w:rsidRPr="00F40A11">
              <w:rPr>
                <w:rFonts w:ascii="EC Square Sans Pro" w:hAnsi="EC Square Sans Pro"/>
                <w:noProof/>
                <w:sz w:val="16"/>
              </w:rPr>
              <w:t>autres, dans 10</w:t>
            </w:r>
            <w:r w:rsidRPr="00F40A11">
              <w:rPr>
                <w:rFonts w:ascii="Calibri" w:hAnsi="Calibri" w:cs="Calibri"/>
                <w:noProof/>
                <w:sz w:val="16"/>
              </w:rPr>
              <w:t> </w:t>
            </w:r>
            <w:r w:rsidRPr="00F40A11">
              <w:rPr>
                <w:rFonts w:ascii="EC Square Sans Pro" w:hAnsi="EC Square Sans Pro"/>
                <w:noProof/>
                <w:sz w:val="16"/>
              </w:rPr>
              <w:t>pays différents, le termineront d’ici la fin de l’année</w:t>
            </w:r>
            <w:r w:rsidRPr="00F40A11">
              <w:rPr>
                <w:rFonts w:ascii="Calibri" w:hAnsi="Calibri" w:cs="Calibri"/>
                <w:noProof/>
                <w:sz w:val="16"/>
              </w:rPr>
              <w:t> </w:t>
            </w:r>
            <w:r w:rsidRPr="00F40A11">
              <w:rPr>
                <w:rFonts w:ascii="EC Square Sans Pro" w:hAnsi="EC Square Sans Pro"/>
                <w:noProof/>
                <w:sz w:val="16"/>
              </w:rPr>
              <w:t>2022.</w:t>
            </w:r>
            <w:r>
              <w:rPr>
                <w:noProof/>
              </w:rPr>
              <w:t xml:space="preserve"> </w:t>
            </w:r>
            <w:r>
              <w:rPr>
                <w:rFonts w:ascii="EC Square Sans Pro" w:hAnsi="EC Square Sans Pro"/>
                <w:noProof/>
                <w:sz w:val="16"/>
              </w:rPr>
              <w:sym w:font="Wingdings" w:char="F0FC"/>
            </w:r>
            <w:r>
              <w:rPr>
                <w:rFonts w:ascii="EC Square Sans Pro" w:hAnsi="EC Square Sans Pro"/>
                <w:noProof/>
                <w:sz w:val="16"/>
              </w:rPr>
              <w:t>Des communautés destinées aux femmes et aux jeunes filles ont été créées en ligne sous l’appellation «ESTEAM»</w:t>
            </w:r>
            <w:r w:rsidRPr="00900448">
              <w:rPr>
                <w:rStyle w:val="FootnoteReference"/>
                <w:rFonts w:ascii="EC Square Sans Pro" w:hAnsi="EC Square Sans Pro"/>
                <w:noProof/>
                <w:sz w:val="16"/>
                <w:szCs w:val="16"/>
              </w:rPr>
              <w:footnoteReference w:id="14"/>
            </w:r>
            <w:r>
              <w:rPr>
                <w:rFonts w:ascii="EC Square Sans Pro" w:hAnsi="EC Square Sans Pro"/>
                <w:noProof/>
                <w:sz w:val="16"/>
              </w:rPr>
              <w:t xml:space="preserve"> et cinq événements intitulés «</w:t>
            </w:r>
            <w:hyperlink r:id="rId32" w:history="1">
              <w:r>
                <w:rPr>
                  <w:rStyle w:val="Hyperlink"/>
                  <w:rFonts w:ascii="EC Square Sans Pro" w:hAnsi="EC Square Sans Pro"/>
                  <w:noProof/>
                  <w:sz w:val="16"/>
                </w:rPr>
                <w:t>ESTEAM Fests</w:t>
              </w:r>
            </w:hyperlink>
            <w:r>
              <w:rPr>
                <w:rFonts w:ascii="EC Square Sans Pro" w:hAnsi="EC Square Sans Pro"/>
                <w:noProof/>
                <w:sz w:val="16"/>
              </w:rPr>
              <w:t xml:space="preserve">» ont été organisés en 2022 afin de renforcer les compétences en gestion d’entreprise ainsi que dans le domaine des sciences, des technologies, de l’ingénierie, des arts et des mathématiques (STEAM). </w:t>
            </w:r>
          </w:p>
        </w:tc>
        <w:tc>
          <w:tcPr>
            <w:tcW w:w="1275" w:type="dxa"/>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Transition numérique</w:t>
            </w:r>
          </w:p>
        </w:tc>
      </w:tr>
      <w:tr w:rsidR="00943433" w:rsidRPr="00584F7C" w:rsidTr="00584F7C">
        <w:tc>
          <w:tcPr>
            <w:tcW w:w="1301" w:type="dxa"/>
            <w:shd w:val="clear" w:color="auto" w:fill="D1E7FE"/>
            <w:vAlign w:val="center"/>
          </w:tcPr>
          <w:p w:rsidR="00943433" w:rsidRPr="00900448" w:rsidRDefault="00943433" w:rsidP="14FA6798">
            <w:pPr>
              <w:contextualSpacing/>
              <w:rPr>
                <w:rFonts w:ascii="EC Square Sans Pro" w:hAnsi="EC Square Sans Pro"/>
                <w:b/>
                <w:noProof/>
                <w:color w:val="7975C8"/>
                <w:sz w:val="16"/>
                <w:szCs w:val="16"/>
              </w:rPr>
            </w:pPr>
            <w:r>
              <w:rPr>
                <w:rFonts w:ascii="EC Square Sans Pro" w:hAnsi="EC Square Sans Pro"/>
                <w:b/>
                <w:noProof/>
                <w:color w:val="7975C8"/>
                <w:sz w:val="16"/>
              </w:rPr>
              <w:t>Coalition «Éducation pour le climat»</w:t>
            </w:r>
          </w:p>
        </w:tc>
        <w:tc>
          <w:tcPr>
            <w:tcW w:w="6496" w:type="dxa"/>
            <w:shd w:val="clear" w:color="auto" w:fill="D1E7FE"/>
            <w:vAlign w:val="center"/>
          </w:tcPr>
          <w:p w:rsidR="00943433" w:rsidRPr="00900448" w:rsidRDefault="00943433" w:rsidP="00FF3C6F">
            <w:pPr>
              <w:contextualSpacing/>
              <w:rPr>
                <w:rFonts w:ascii="EC Square Sans Pro" w:hAnsi="EC Square Sans Pro"/>
                <w:noProof/>
                <w:sz w:val="16"/>
                <w:szCs w:val="16"/>
              </w:rPr>
            </w:pPr>
            <w:r>
              <w:rPr>
                <w:rFonts w:ascii="EC Square Sans Pro" w:hAnsi="EC Square Sans Pro"/>
                <w:noProof/>
                <w:sz w:val="16"/>
              </w:rPr>
              <w:t>Initiative ascendante cocréée pour associer la communauté éducative aux niveaux européen, national et local, en partageant des initiatives visant à favoriser l’acquisition de compétences en matière d’écologie et les changement</w:t>
            </w:r>
            <w:r w:rsidR="006602E5">
              <w:rPr>
                <w:rFonts w:ascii="EC Square Sans Pro" w:hAnsi="EC Square Sans Pro"/>
                <w:noProof/>
                <w:sz w:val="16"/>
              </w:rPr>
              <w:t>s</w:t>
            </w:r>
            <w:r>
              <w:rPr>
                <w:rFonts w:ascii="EC Square Sans Pro" w:hAnsi="EC Square Sans Pro"/>
                <w:noProof/>
                <w:sz w:val="16"/>
              </w:rPr>
              <w:t xml:space="preserve"> comportementaux. </w:t>
            </w:r>
            <w:hyperlink r:id="rId33">
              <w:r>
                <w:rPr>
                  <w:rFonts w:ascii="EC Square Sans Pro" w:hAnsi="EC Square Sans Pro"/>
                  <w:noProof/>
                  <w:color w:val="0563C1" w:themeColor="hyperlink"/>
                  <w:sz w:val="16"/>
                  <w:u w:val="single"/>
                </w:rPr>
                <w:t>Plateforme «Éducation pour le climat»</w:t>
              </w:r>
            </w:hyperlink>
            <w:r>
              <w:rPr>
                <w:rFonts w:ascii="EC Square Sans Pro" w:hAnsi="EC Square Sans Pro"/>
                <w:noProof/>
                <w:sz w:val="16"/>
              </w:rPr>
              <w:t>, journée annuelle de l’éducation pour le climat et dix défis pour la communauté active, mobilisant plus de 4 400 membres officiels de la communauté.</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Transition écologique</w:t>
            </w:r>
          </w:p>
        </w:tc>
      </w:tr>
      <w:tr w:rsidR="00943433" w:rsidRPr="00584F7C" w:rsidTr="00584F7C">
        <w:tc>
          <w:tcPr>
            <w:tcW w:w="1301" w:type="dxa"/>
            <w:shd w:val="clear" w:color="auto" w:fill="auto"/>
            <w:vAlign w:val="center"/>
          </w:tcPr>
          <w:p w:rsidR="00943433" w:rsidRPr="00900448" w:rsidRDefault="00943433" w:rsidP="00AF51AC">
            <w:pPr>
              <w:contextualSpacing/>
              <w:rPr>
                <w:rFonts w:ascii="EC Square Sans Pro" w:hAnsi="EC Square Sans Pro"/>
                <w:b/>
                <w:noProof/>
                <w:color w:val="7975C8"/>
                <w:sz w:val="16"/>
                <w:szCs w:val="16"/>
              </w:rPr>
            </w:pPr>
            <w:r>
              <w:rPr>
                <w:rFonts w:ascii="EC Square Sans Pro" w:hAnsi="EC Square Sans Pro"/>
                <w:b/>
                <w:noProof/>
                <w:color w:val="7975C8"/>
                <w:sz w:val="16"/>
              </w:rPr>
              <w:t>Académies Erasmus+ de l’enseignement («Erasmus+ Teacher Academies»)</w:t>
            </w:r>
          </w:p>
        </w:tc>
        <w:tc>
          <w:tcPr>
            <w:tcW w:w="6496" w:type="dxa"/>
            <w:vAlign w:val="center"/>
          </w:tcPr>
          <w:p w:rsidR="00943433" w:rsidRPr="00900448" w:rsidRDefault="00943433" w:rsidP="00FB088B">
            <w:pPr>
              <w:contextualSpacing/>
              <w:rPr>
                <w:rFonts w:ascii="EC Square Sans Pro" w:hAnsi="EC Square Sans Pro"/>
                <w:noProof/>
                <w:sz w:val="16"/>
                <w:szCs w:val="16"/>
              </w:rPr>
            </w:pPr>
            <w:r>
              <w:rPr>
                <w:rFonts w:ascii="EC Square Sans Pro" w:hAnsi="EC Square Sans Pro"/>
                <w:noProof/>
                <w:sz w:val="16"/>
              </w:rPr>
              <w:t>Appels annuels visant à soutenir les réseaux de prestataires de formation des enseignants afin d’élaborer et de tester des programmes efficaces, innovants et transférables qui renforcent la dimension européenne et l’internationalisation de la formation des enseignants en fonction des priorités de l’EEE. Ces académies élaborent et testent des modèles innovants de mobilité des enseignants. Onze académies pour la formation des enseignants ont été fondées en 2022. 37,5 millions d’EUR alloués au titre d’Erasmus+ 2021-2022.</w:t>
            </w:r>
          </w:p>
        </w:tc>
        <w:tc>
          <w:tcPr>
            <w:tcW w:w="1275" w:type="dxa"/>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Enseignants et formateurs</w:t>
            </w:r>
          </w:p>
        </w:tc>
      </w:tr>
      <w:tr w:rsidR="00943433" w:rsidRPr="00584F7C" w:rsidTr="00584F7C">
        <w:tc>
          <w:tcPr>
            <w:tcW w:w="1301" w:type="dxa"/>
            <w:shd w:val="clear" w:color="auto" w:fill="D1E7FE"/>
            <w:vAlign w:val="center"/>
          </w:tcPr>
          <w:p w:rsidR="00943433" w:rsidRPr="00900448" w:rsidRDefault="00943433" w:rsidP="14FA6798">
            <w:pPr>
              <w:contextualSpacing/>
              <w:rPr>
                <w:rFonts w:ascii="EC Square Sans Pro" w:hAnsi="EC Square Sans Pro"/>
                <w:b/>
                <w:noProof/>
                <w:color w:val="7975C8"/>
                <w:sz w:val="16"/>
                <w:szCs w:val="16"/>
              </w:rPr>
            </w:pPr>
            <w:r>
              <w:rPr>
                <w:rFonts w:ascii="EC Square Sans Pro" w:hAnsi="EC Square Sans Pro"/>
                <w:b/>
                <w:noProof/>
                <w:color w:val="7975C8"/>
                <w:sz w:val="16"/>
              </w:rPr>
              <w:t>Prix européen de l’enseignement innovant</w:t>
            </w:r>
          </w:p>
        </w:tc>
        <w:tc>
          <w:tcPr>
            <w:tcW w:w="6496" w:type="dxa"/>
            <w:shd w:val="clear" w:color="auto" w:fill="D1E7FE"/>
            <w:vAlign w:val="center"/>
          </w:tcPr>
          <w:p w:rsidR="00943433" w:rsidRPr="00900448" w:rsidRDefault="00943433" w:rsidP="003C591F">
            <w:pPr>
              <w:contextualSpacing/>
              <w:rPr>
                <w:rFonts w:ascii="EC Square Sans Pro" w:hAnsi="EC Square Sans Pro"/>
                <w:noProof/>
                <w:sz w:val="16"/>
                <w:szCs w:val="16"/>
              </w:rPr>
            </w:pPr>
            <w:r>
              <w:rPr>
                <w:rFonts w:ascii="EC Square Sans Pro" w:hAnsi="EC Square Sans Pro"/>
                <w:noProof/>
                <w:sz w:val="16"/>
              </w:rPr>
              <w:t xml:space="preserve">Prix annuel destiné à mettre en avant les méthodes d’enseignement innovantes, conformes aux priorités de l’EEE (2021: enseignement à distance et apprentissage hybride; 2022: promotion de la créativité et de la durabilité). </w:t>
            </w:r>
            <w:r w:rsidRPr="00F40A11">
              <w:rPr>
                <w:rFonts w:ascii="EC Square Sans Pro" w:hAnsi="EC Square Sans Pro"/>
                <w:noProof/>
                <w:sz w:val="16"/>
              </w:rPr>
              <w:t>104</w:t>
            </w:r>
            <w:r w:rsidRPr="00F40A11">
              <w:rPr>
                <w:rFonts w:ascii="Calibri" w:hAnsi="Calibri" w:cs="Calibri"/>
                <w:noProof/>
                <w:sz w:val="16"/>
              </w:rPr>
              <w:t> </w:t>
            </w:r>
            <w:r w:rsidRPr="00F40A11">
              <w:rPr>
                <w:rFonts w:ascii="EC Square Sans Pro" w:hAnsi="EC Square Sans Pro"/>
                <w:noProof/>
                <w:sz w:val="16"/>
              </w:rPr>
              <w:t>projets men</w:t>
            </w:r>
            <w:r w:rsidRPr="00F40A11">
              <w:rPr>
                <w:rFonts w:ascii="EC Square Sans Pro" w:hAnsi="EC Square Sans Pro" w:cs="EC Square Sans Pro"/>
                <w:noProof/>
                <w:sz w:val="16"/>
              </w:rPr>
              <w:t>é</w:t>
            </w:r>
            <w:r w:rsidRPr="00F40A11">
              <w:rPr>
                <w:rFonts w:ascii="EC Square Sans Pro" w:hAnsi="EC Square Sans Pro"/>
                <w:noProof/>
                <w:sz w:val="16"/>
              </w:rPr>
              <w:t>s dans 31</w:t>
            </w:r>
            <w:r w:rsidRPr="00F40A11">
              <w:rPr>
                <w:rFonts w:ascii="Calibri" w:hAnsi="Calibri" w:cs="Calibri"/>
                <w:noProof/>
                <w:sz w:val="16"/>
              </w:rPr>
              <w:t> </w:t>
            </w:r>
            <w:r w:rsidRPr="00F40A11">
              <w:rPr>
                <w:rFonts w:ascii="EC Square Sans Pro" w:hAnsi="EC Square Sans Pro"/>
                <w:noProof/>
                <w:sz w:val="16"/>
              </w:rPr>
              <w:t>pays participant au programme Erasmus+ récompensés en</w:t>
            </w:r>
            <w:r w:rsidRPr="00F40A11">
              <w:rPr>
                <w:rFonts w:ascii="Calibri" w:hAnsi="Calibri" w:cs="Calibri"/>
                <w:noProof/>
                <w:sz w:val="16"/>
              </w:rPr>
              <w:t> </w:t>
            </w:r>
            <w:r w:rsidRPr="00F40A11">
              <w:rPr>
                <w:rFonts w:ascii="EC Square Sans Pro" w:hAnsi="EC Square Sans Pro"/>
                <w:noProof/>
                <w:sz w:val="16"/>
              </w:rPr>
              <w:t>2021;98</w:t>
            </w:r>
            <w:r w:rsidRPr="00F40A11">
              <w:rPr>
                <w:rFonts w:ascii="Calibri" w:hAnsi="Calibri" w:cs="Calibri"/>
                <w:noProof/>
                <w:sz w:val="16"/>
              </w:rPr>
              <w:t> </w:t>
            </w:r>
            <w:r w:rsidRPr="00F40A11">
              <w:rPr>
                <w:rFonts w:ascii="EC Square Sans Pro" w:hAnsi="EC Square Sans Pro"/>
                <w:noProof/>
                <w:sz w:val="16"/>
              </w:rPr>
              <w:t>projets men</w:t>
            </w:r>
            <w:r w:rsidRPr="00F40A11">
              <w:rPr>
                <w:rFonts w:ascii="EC Square Sans Pro" w:hAnsi="EC Square Sans Pro" w:cs="EC Square Sans Pro"/>
                <w:noProof/>
                <w:sz w:val="16"/>
              </w:rPr>
              <w:t>é</w:t>
            </w:r>
            <w:r w:rsidRPr="00F40A11">
              <w:rPr>
                <w:rFonts w:ascii="EC Square Sans Pro" w:hAnsi="EC Square Sans Pro"/>
                <w:noProof/>
                <w:sz w:val="16"/>
              </w:rPr>
              <w:t>s dans</w:t>
            </w:r>
            <w:r w:rsidRPr="00F40A11">
              <w:rPr>
                <w:rFonts w:ascii="Calibri" w:hAnsi="Calibri" w:cs="Calibri"/>
                <w:noProof/>
                <w:sz w:val="16"/>
              </w:rPr>
              <w:t> </w:t>
            </w:r>
            <w:r w:rsidRPr="00F40A11">
              <w:rPr>
                <w:rFonts w:ascii="EC Square Sans Pro" w:hAnsi="EC Square Sans Pro"/>
                <w:noProof/>
                <w:sz w:val="16"/>
              </w:rPr>
              <w:t>29</w:t>
            </w:r>
            <w:r w:rsidRPr="00F40A11">
              <w:rPr>
                <w:rFonts w:ascii="Calibri" w:hAnsi="Calibri" w:cs="Calibri"/>
                <w:noProof/>
                <w:sz w:val="16"/>
              </w:rPr>
              <w:t> </w:t>
            </w:r>
            <w:r w:rsidRPr="00F40A11">
              <w:rPr>
                <w:rFonts w:ascii="EC Square Sans Pro" w:hAnsi="EC Square Sans Pro"/>
                <w:noProof/>
                <w:sz w:val="16"/>
              </w:rPr>
              <w:t>pays participant au programme</w:t>
            </w:r>
            <w:r>
              <w:rPr>
                <w:noProof/>
              </w:rPr>
              <w:t xml:space="preserve"> </w:t>
            </w:r>
            <w:r w:rsidRPr="00F40A11">
              <w:rPr>
                <w:rFonts w:ascii="EC Square Sans Pro" w:hAnsi="EC Square Sans Pro"/>
                <w:noProof/>
                <w:sz w:val="16"/>
              </w:rPr>
              <w:t>Erasmus+ récompensés en</w:t>
            </w:r>
            <w:r w:rsidRPr="00F40A11">
              <w:rPr>
                <w:rFonts w:ascii="Calibri" w:hAnsi="Calibri" w:cs="Calibri"/>
                <w:noProof/>
                <w:sz w:val="16"/>
              </w:rPr>
              <w:t> </w:t>
            </w:r>
            <w:r w:rsidRPr="00F40A11">
              <w:rPr>
                <w:rFonts w:ascii="EC Square Sans Pro" w:hAnsi="EC Square Sans Pro"/>
                <w:noProof/>
                <w:sz w:val="16"/>
              </w:rPr>
              <w:t>2022.</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Enseignants et formateurs</w:t>
            </w:r>
          </w:p>
        </w:tc>
      </w:tr>
      <w:tr w:rsidR="00943433" w:rsidRPr="00584F7C" w:rsidTr="00584F7C">
        <w:tc>
          <w:tcPr>
            <w:tcW w:w="1301" w:type="dxa"/>
            <w:shd w:val="clear" w:color="auto" w:fill="auto"/>
            <w:vAlign w:val="center"/>
          </w:tcPr>
          <w:p w:rsidR="00943433" w:rsidRPr="00900448" w:rsidRDefault="00943433" w:rsidP="14FA6798">
            <w:pPr>
              <w:contextualSpacing/>
              <w:rPr>
                <w:rFonts w:ascii="EC Square Sans Pro" w:hAnsi="EC Square Sans Pro"/>
                <w:b/>
                <w:noProof/>
                <w:color w:val="7975C8"/>
                <w:sz w:val="16"/>
                <w:szCs w:val="16"/>
              </w:rPr>
            </w:pPr>
            <w:r>
              <w:rPr>
                <w:rFonts w:ascii="EC Square Sans Pro" w:hAnsi="EC Square Sans Pro"/>
                <w:b/>
                <w:noProof/>
                <w:color w:val="7975C8"/>
                <w:sz w:val="16"/>
              </w:rPr>
              <w:t>Initiative «universités européennes»</w:t>
            </w:r>
          </w:p>
        </w:tc>
        <w:tc>
          <w:tcPr>
            <w:tcW w:w="6496" w:type="dxa"/>
            <w:vAlign w:val="center"/>
          </w:tcPr>
          <w:p w:rsidR="00943433" w:rsidRPr="00900448" w:rsidRDefault="000F1F9F" w:rsidP="00307099">
            <w:pPr>
              <w:contextualSpacing/>
              <w:rPr>
                <w:rFonts w:ascii="EC Square Sans Pro" w:hAnsi="EC Square Sans Pro"/>
                <w:noProof/>
                <w:sz w:val="16"/>
                <w:szCs w:val="16"/>
              </w:rPr>
            </w:pPr>
            <w:r>
              <w:rPr>
                <w:rFonts w:ascii="EC Square Sans Pro" w:hAnsi="EC Square Sans Pro"/>
                <w:noProof/>
                <w:sz w:val="16"/>
              </w:rPr>
              <w:t xml:space="preserve">Poursuite du déploiement de l’initiative «universités européennes» avec un soutien aux alliances transnationales entre établissements d’enseignement supérieur renforçant leur coopération structurelle, stratégique et durable à long terme par la création de campus interuniversitaires. 44 universités européennes. 1,1 milliard d’EUR alloués au titre d’Erasmus+ 2021-2027. </w:t>
            </w:r>
          </w:p>
        </w:tc>
        <w:tc>
          <w:tcPr>
            <w:tcW w:w="1275" w:type="dxa"/>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Enseignement supérieur</w:t>
            </w:r>
          </w:p>
        </w:tc>
      </w:tr>
      <w:tr w:rsidR="00943433" w:rsidRPr="00584F7C" w:rsidTr="00584F7C">
        <w:tc>
          <w:tcPr>
            <w:tcW w:w="1301" w:type="dxa"/>
            <w:shd w:val="clear" w:color="auto" w:fill="D1E7FE"/>
            <w:vAlign w:val="center"/>
          </w:tcPr>
          <w:p w:rsidR="00943433" w:rsidRPr="00900448" w:rsidRDefault="00E23CD6" w:rsidP="14FA6798">
            <w:pPr>
              <w:contextualSpacing/>
              <w:rPr>
                <w:rFonts w:ascii="EC Square Sans Pro" w:hAnsi="EC Square Sans Pro"/>
                <w:b/>
                <w:noProof/>
                <w:color w:val="7975C8"/>
                <w:sz w:val="16"/>
                <w:szCs w:val="16"/>
              </w:rPr>
            </w:pPr>
            <w:r>
              <w:rPr>
                <w:rFonts w:ascii="EC Square Sans Pro" w:hAnsi="EC Square Sans Pro"/>
                <w:b/>
                <w:noProof/>
                <w:color w:val="7975C8"/>
                <w:sz w:val="16"/>
              </w:rPr>
              <w:t>Coopération accrue avec les Balkans occidentaux</w:t>
            </w:r>
          </w:p>
        </w:tc>
        <w:tc>
          <w:tcPr>
            <w:tcW w:w="6496" w:type="dxa"/>
            <w:shd w:val="clear" w:color="auto" w:fill="D1E7FE"/>
            <w:vAlign w:val="center"/>
          </w:tcPr>
          <w:p w:rsidR="00943433" w:rsidRPr="00900448" w:rsidRDefault="00943433" w:rsidP="00191ED1">
            <w:pPr>
              <w:contextualSpacing/>
              <w:rPr>
                <w:rFonts w:ascii="EC Square Sans Pro" w:hAnsi="EC Square Sans Pro"/>
                <w:noProof/>
                <w:sz w:val="16"/>
                <w:szCs w:val="16"/>
              </w:rPr>
            </w:pPr>
            <w:r>
              <w:rPr>
                <w:rFonts w:ascii="EC Square Sans Pro" w:hAnsi="EC Square Sans Pro"/>
                <w:noProof/>
                <w:sz w:val="16"/>
              </w:rPr>
              <w:t>Programme des Balkans occidentaux en matière d’innovation, de recherche, d’éducation, de culture, de jeunesse et de sport, et démarche de partenariat renforcé. Participation de la Macédoine du Nord et de la Serbie au programme Erasmus+, et participation de la Macédoine du Nord au programme «Corps européen de solidarité». Mise en œuvre du plan économique et d’investissement pour les Balkans occidentaux, axé sur le développement du capital humain.</w:t>
            </w:r>
          </w:p>
        </w:tc>
        <w:tc>
          <w:tcPr>
            <w:tcW w:w="1275" w:type="dxa"/>
            <w:shd w:val="clear" w:color="auto" w:fill="D1E7FE"/>
            <w:vAlign w:val="center"/>
          </w:tcPr>
          <w:p w:rsidR="00943433" w:rsidRPr="00900448" w:rsidRDefault="00943433" w:rsidP="000B1E8F">
            <w:pPr>
              <w:contextualSpacing/>
              <w:rPr>
                <w:rFonts w:ascii="EC Square Sans Pro" w:hAnsi="EC Square Sans Pro"/>
                <w:noProof/>
                <w:sz w:val="16"/>
                <w:szCs w:val="16"/>
              </w:rPr>
            </w:pPr>
            <w:r>
              <w:rPr>
                <w:rFonts w:ascii="EC Square Sans Pro" w:hAnsi="EC Square Sans Pro"/>
                <w:noProof/>
                <w:sz w:val="16"/>
              </w:rPr>
              <w:t>Dimension géopolitique</w:t>
            </w:r>
          </w:p>
        </w:tc>
      </w:tr>
    </w:tbl>
    <w:p w:rsidR="00BB635F" w:rsidRPr="002B7E5B" w:rsidRDefault="00BB635F" w:rsidP="00071B71">
      <w:pPr>
        <w:pStyle w:val="2022Head2"/>
        <w:rPr>
          <w:noProof/>
        </w:rPr>
      </w:pPr>
      <w:bookmarkStart w:id="5" w:name="_Toc118981457"/>
      <w:r>
        <w:rPr>
          <w:noProof/>
        </w:rPr>
        <w:t>2.2.</w:t>
      </w:r>
      <w:r>
        <w:rPr>
          <w:noProof/>
        </w:rPr>
        <w:tab/>
        <w:t>Un cadre de gouvernance renforcé pour piloter la réalisation de l’EEE</w:t>
      </w:r>
      <w:bookmarkEnd w:id="5"/>
    </w:p>
    <w:p w:rsidR="00C71F9B" w:rsidRDefault="00F25536" w:rsidP="00C71F9B">
      <w:pPr>
        <w:spacing w:after="120" w:line="240" w:lineRule="auto"/>
        <w:jc w:val="both"/>
        <w:rPr>
          <w:rFonts w:ascii="EC Square Sans Pro" w:hAnsi="EC Square Sans Pro"/>
          <w:noProof/>
          <w:sz w:val="20"/>
          <w:szCs w:val="20"/>
        </w:rPr>
      </w:pPr>
      <w:r>
        <w:rPr>
          <w:rFonts w:ascii="EC Square Sans Pro" w:hAnsi="EC Square Sans Pro"/>
          <w:b/>
          <w:noProof/>
          <w:sz w:val="20"/>
        </w:rPr>
        <w:t xml:space="preserve">Des progrès ont également été accomplis dans le renforcement de la gouvernance du cadre stratégique de l’EEE. </w:t>
      </w:r>
      <w:r>
        <w:rPr>
          <w:rFonts w:ascii="EC Square Sans Pro" w:hAnsi="EC Square Sans Pro"/>
          <w:noProof/>
          <w:sz w:val="20"/>
        </w:rPr>
        <w:t>Les réformes récentes ont montré des signes encourageants de réactivité et de souplesse accrues dans la gestion des défis communs tout en tirant parti des avantages offerts par les possibilités d’apprentissage mutuel. Le nouveau cadre stratégique, défini en 2021 dans deux résolutions du Conseil</w:t>
      </w:r>
      <w:r w:rsidR="00C71F9B" w:rsidRPr="002242ED">
        <w:rPr>
          <w:rStyle w:val="FootnoteReference"/>
          <w:rFonts w:ascii="EC Square Sans Pro" w:hAnsi="EC Square Sans Pro"/>
          <w:noProof/>
          <w:sz w:val="20"/>
          <w:szCs w:val="20"/>
        </w:rPr>
        <w:footnoteReference w:id="15"/>
      </w:r>
      <w:r>
        <w:rPr>
          <w:rFonts w:ascii="EC Square Sans Pro" w:hAnsi="EC Square Sans Pro"/>
          <w:noProof/>
          <w:sz w:val="20"/>
        </w:rPr>
        <w:t xml:space="preserve">, a jeté les bases d’un mécanisme de gouvernance renforcé reposant sur </w:t>
      </w:r>
      <w:r>
        <w:rPr>
          <w:rFonts w:ascii="EC Square Sans Pro" w:hAnsi="EC Square Sans Pro"/>
          <w:b/>
          <w:noProof/>
          <w:sz w:val="20"/>
        </w:rPr>
        <w:t>la confiance, la coopération volontaire, la cocréation, la souplesse et une plus grande adhésion</w:t>
      </w:r>
      <w:r>
        <w:rPr>
          <w:rFonts w:ascii="EC Square Sans Pro" w:hAnsi="EC Square Sans Pro"/>
          <w:noProof/>
          <w:sz w:val="20"/>
        </w:rPr>
        <w:t xml:space="preserve"> des États membres</w:t>
      </w:r>
      <w:r w:rsidR="00C71F9B" w:rsidRPr="002242ED">
        <w:rPr>
          <w:rStyle w:val="FootnoteReference"/>
          <w:rFonts w:ascii="EC Square Sans Pro" w:hAnsi="EC Square Sans Pro"/>
          <w:noProof/>
          <w:sz w:val="20"/>
          <w:szCs w:val="20"/>
        </w:rPr>
        <w:footnoteReference w:id="16"/>
      </w:r>
      <w:r>
        <w:rPr>
          <w:rFonts w:ascii="EC Square Sans Pro" w:hAnsi="EC Square Sans Pro"/>
          <w:noProof/>
          <w:sz w:val="20"/>
        </w:rPr>
        <w:t>.</w:t>
      </w:r>
      <w:r>
        <w:rPr>
          <w:rFonts w:ascii="EC Square Sans Pro" w:hAnsi="EC Square Sans Pro"/>
          <w:b/>
          <w:noProof/>
          <w:sz w:val="20"/>
        </w:rPr>
        <w:t xml:space="preserve"> </w:t>
      </w:r>
      <w:r>
        <w:rPr>
          <w:rFonts w:ascii="EC Square Sans Pro" w:hAnsi="EC Square Sans Pro"/>
          <w:noProof/>
          <w:sz w:val="20"/>
        </w:rPr>
        <w:t xml:space="preserve">La </w:t>
      </w:r>
      <w:hyperlink r:id="rId34" w:history="1">
        <w:r>
          <w:rPr>
            <w:rStyle w:val="Hyperlink"/>
            <w:rFonts w:ascii="EC Square Sans Pro" w:hAnsi="EC Square Sans Pro"/>
            <w:noProof/>
            <w:sz w:val="20"/>
          </w:rPr>
          <w:t>résolution relative à la gouvernance</w:t>
        </w:r>
      </w:hyperlink>
      <w:r>
        <w:rPr>
          <w:rFonts w:ascii="EC Square Sans Pro" w:hAnsi="EC Square Sans Pro"/>
          <w:noProof/>
          <w:sz w:val="20"/>
        </w:rPr>
        <w:t xml:space="preserve"> a clarifié et renforcé le rôle du </w:t>
      </w:r>
      <w:r>
        <w:rPr>
          <w:rFonts w:ascii="EC Square Sans Pro" w:hAnsi="EC Square Sans Pro"/>
          <w:b/>
          <w:noProof/>
          <w:sz w:val="20"/>
        </w:rPr>
        <w:t>groupe de haut niveau consacré à l’éducation et à la formation (GHN)</w:t>
      </w:r>
      <w:r w:rsidR="00F05A50">
        <w:rPr>
          <w:rStyle w:val="FootnoteReference"/>
          <w:rFonts w:ascii="EC Square Sans Pro" w:hAnsi="EC Square Sans Pro"/>
          <w:b/>
          <w:bCs/>
          <w:noProof/>
          <w:sz w:val="20"/>
          <w:szCs w:val="20"/>
        </w:rPr>
        <w:footnoteReference w:id="17"/>
      </w:r>
      <w:r>
        <w:rPr>
          <w:rFonts w:ascii="EC Square Sans Pro" w:hAnsi="EC Square Sans Pro"/>
          <w:noProof/>
          <w:sz w:val="20"/>
        </w:rPr>
        <w:t>.</w:t>
      </w:r>
      <w:r>
        <w:rPr>
          <w:rFonts w:ascii="EC Square Sans Pro" w:hAnsi="EC Square Sans Pro"/>
          <w:b/>
          <w:noProof/>
          <w:sz w:val="20"/>
        </w:rPr>
        <w:t xml:space="preserve"> </w:t>
      </w:r>
      <w:r>
        <w:rPr>
          <w:rFonts w:ascii="EC Square Sans Pro" w:hAnsi="EC Square Sans Pro"/>
          <w:noProof/>
          <w:sz w:val="20"/>
        </w:rPr>
        <w:t xml:space="preserve">Dans un contexte marqué par les répercussions de la guerre en Ukraine sur l’éducation, le GHN a constitué un espace de coopération pragmatique expressément consacrée à cette problématique. Ses travaux ont bénéficié de la création d’un nouvel organe, le </w:t>
      </w:r>
      <w:r>
        <w:rPr>
          <w:rFonts w:ascii="EC Square Sans Pro" w:hAnsi="EC Square Sans Pro"/>
          <w:b/>
          <w:noProof/>
          <w:sz w:val="20"/>
        </w:rPr>
        <w:t>conseil de coordination du GHN</w:t>
      </w:r>
      <w:r>
        <w:rPr>
          <w:rFonts w:ascii="EC Square Sans Pro" w:hAnsi="EC Square Sans Pro"/>
          <w:noProof/>
          <w:sz w:val="20"/>
        </w:rPr>
        <w:t xml:space="preserve">. Ces améliorations apportées à la gouvernance du nouveau cadre stratégique se sont révélées précieuses car elles ont renforcé sa réactivité face à l’imprévu (voir section 3.2 ci-dessous). </w:t>
      </w:r>
    </w:p>
    <w:p w:rsidR="001F5169" w:rsidRPr="00AE058B" w:rsidRDefault="004F04BA" w:rsidP="00345C65">
      <w:pPr>
        <w:spacing w:after="120" w:line="240" w:lineRule="auto"/>
        <w:jc w:val="both"/>
        <w:rPr>
          <w:rFonts w:ascii="EC Square Sans Pro" w:hAnsi="EC Square Sans Pro"/>
          <w:noProof/>
          <w:sz w:val="20"/>
          <w:szCs w:val="20"/>
        </w:rPr>
      </w:pPr>
      <w:r>
        <w:rPr>
          <w:rFonts w:ascii="EC Square Sans Pro" w:hAnsi="EC Square Sans Pro"/>
          <w:noProof/>
          <w:sz w:val="20"/>
        </w:rPr>
        <w:t xml:space="preserve">Les </w:t>
      </w:r>
      <w:r>
        <w:rPr>
          <w:rFonts w:ascii="EC Square Sans Pro" w:hAnsi="EC Square Sans Pro"/>
          <w:b/>
          <w:noProof/>
          <w:sz w:val="20"/>
        </w:rPr>
        <w:t>groupes de travail du cadre stratégique de l’EEE</w:t>
      </w:r>
      <w:r>
        <w:rPr>
          <w:rFonts w:ascii="EC Square Sans Pro" w:hAnsi="EC Square Sans Pro"/>
          <w:noProof/>
          <w:sz w:val="20"/>
        </w:rPr>
        <w:t xml:space="preserve"> mis en place pour la période 2021-2025 constituent la base d’une collaboration étroite et structurée et d’un apprentissage mutuel concernant les priorités de l’EEE, associant les États membres, l’Espace économique européen, l’Association européenne de libre-échange et les pays candidats, les parties prenantes, les experts ainsi que les organisations internationales. Ces nouveaux groupes de travail, mis en place conformément aux objectifs de l’EEE, ont constitué la base des échanges et de l’apprentissage par les pairs sur des sujets tels que l’inégalité, le décrochage scolaire, l’éducation à la durabilité environnementale, les compétences nécessaires à la transition écologique, les facteurs propices à l’éducation numérique ou encore la promotion de l’égalité des genres dans le domaine de l’éducation</w:t>
      </w:r>
      <w:r w:rsidR="00C71F9B" w:rsidRPr="00AE058B">
        <w:rPr>
          <w:rStyle w:val="FootnoteReference"/>
          <w:rFonts w:ascii="EC Square Sans Pro" w:hAnsi="EC Square Sans Pro"/>
          <w:noProof/>
          <w:sz w:val="20"/>
          <w:szCs w:val="20"/>
        </w:rPr>
        <w:footnoteReference w:id="18"/>
      </w:r>
      <w:r>
        <w:rPr>
          <w:rFonts w:ascii="EC Square Sans Pro" w:hAnsi="EC Square Sans Pro"/>
          <w:noProof/>
          <w:sz w:val="20"/>
        </w:rPr>
        <w:t xml:space="preserve">. Les groupes de travail constituent également un canal de communication important pour dialoguer avec les parties prenantes et leur permettre ainsi de contribuer à la réalisation de l’EEE. </w:t>
      </w:r>
    </w:p>
    <w:p w:rsidR="00C71F9B" w:rsidRPr="002242ED" w:rsidRDefault="00C71F9B" w:rsidP="000B1E8F">
      <w:pPr>
        <w:spacing w:after="120" w:line="240" w:lineRule="auto"/>
        <w:jc w:val="both"/>
        <w:rPr>
          <w:rFonts w:ascii="EC Square Sans Pro" w:hAnsi="EC Square Sans Pro"/>
          <w:noProof/>
          <w:sz w:val="20"/>
          <w:szCs w:val="20"/>
        </w:rPr>
      </w:pPr>
      <w:r>
        <w:rPr>
          <w:rFonts w:ascii="EC Square Sans Pro" w:hAnsi="EC Square Sans Pro"/>
          <w:noProof/>
          <w:sz w:val="20"/>
        </w:rPr>
        <w:t>La Commission a noué le dialogue avec l’</w:t>
      </w:r>
      <w:r>
        <w:rPr>
          <w:rFonts w:ascii="EC Square Sans Pro" w:hAnsi="EC Square Sans Pro"/>
          <w:b/>
          <w:noProof/>
          <w:sz w:val="20"/>
        </w:rPr>
        <w:t>ensemble des parties prenantes</w:t>
      </w:r>
      <w:r>
        <w:rPr>
          <w:rFonts w:ascii="EC Square Sans Pro" w:hAnsi="EC Square Sans Pro"/>
          <w:noProof/>
          <w:sz w:val="20"/>
        </w:rPr>
        <w:t xml:space="preserve"> dans le cadre des sommets européens annuels consacrés à l’éducation (lors desquels, notamment, des initiatives majeures en faveur de l’EEE, telles que la coalition «Éducation pour le climat», ont été lancées et le prix européen de l’enseignement innovant a été présenté), ainsi qu’à l’occasion du sommet sur l’éducation et l’innovation et de plusieurs consultations publiques ciblées et ouvertes. </w:t>
      </w:r>
    </w:p>
    <w:p w:rsidR="00AF7BFA" w:rsidRDefault="00082FFD" w:rsidP="00AF7BFA">
      <w:pPr>
        <w:spacing w:after="120" w:line="240" w:lineRule="auto"/>
        <w:jc w:val="both"/>
        <w:rPr>
          <w:rFonts w:ascii="EC Square Sans Pro" w:hAnsi="EC Square Sans Pro"/>
          <w:bCs/>
          <w:noProof/>
          <w:sz w:val="20"/>
          <w:szCs w:val="20"/>
        </w:rPr>
      </w:pPr>
      <w:r>
        <w:rPr>
          <w:rFonts w:ascii="EC Square Sans Pro" w:hAnsi="EC Square Sans Pro"/>
          <w:noProof/>
          <w:sz w:val="20"/>
        </w:rPr>
        <w:t xml:space="preserve">Divers </w:t>
      </w:r>
      <w:r>
        <w:rPr>
          <w:rFonts w:ascii="EC Square Sans Pro" w:hAnsi="EC Square Sans Pro"/>
          <w:b/>
          <w:noProof/>
          <w:sz w:val="20"/>
        </w:rPr>
        <w:t>outils en ligne et diverses communautés de pratiques de l’UE permettent d’interagir avec les parties prenantes</w:t>
      </w:r>
      <w:r w:rsidR="0092599E">
        <w:rPr>
          <w:rStyle w:val="FootnoteReference"/>
          <w:rFonts w:ascii="EC Square Sans Pro" w:hAnsi="EC Square Sans Pro"/>
          <w:noProof/>
          <w:sz w:val="20"/>
          <w:szCs w:val="20"/>
        </w:rPr>
        <w:footnoteReference w:id="19"/>
      </w:r>
      <w:r>
        <w:rPr>
          <w:rFonts w:ascii="EC Square Sans Pro" w:hAnsi="EC Square Sans Pro"/>
          <w:noProof/>
          <w:sz w:val="20"/>
        </w:rPr>
        <w:t xml:space="preserve">. Conformément à la proposition émise lors de la conférence sur l’avenir de l’Europe de créer de nouvelles plateformes d’information améliorées afin d’y mettre en commun et d’y échanger des informations relatives à l’éducation, le nouveau </w:t>
      </w:r>
      <w:hyperlink r:id="rId35" w:history="1">
        <w:r>
          <w:rPr>
            <w:rStyle w:val="Hyperlink"/>
            <w:rFonts w:ascii="EC Square Sans Pro" w:hAnsi="EC Square Sans Pro"/>
            <w:b/>
            <w:noProof/>
            <w:sz w:val="20"/>
          </w:rPr>
          <w:t>portail de l’EEE</w:t>
        </w:r>
      </w:hyperlink>
      <w:r>
        <w:rPr>
          <w:rFonts w:ascii="EC Square Sans Pro" w:hAnsi="EC Square Sans Pro"/>
          <w:noProof/>
          <w:sz w:val="20"/>
        </w:rPr>
        <w:t xml:space="preserve"> aide les apprenants, les enseignants, les formateurs et les parties prenantes à accéder aux financements de l’UE, aux programmes de renforcement des compétences, ainsi qu’à une éducation, à des formations et à un apprentissage tout au long de la vie de qualité. Ce portail permet d’accéder aux résultats des travaux menés par les groupes de travail et sert d’espace de référence pour connaître les évolutions stratégiques en matière d’éducation et découvrir des pratiques efficaces et innovantes. La </w:t>
      </w:r>
      <w:hyperlink r:id="rId36" w:history="1">
        <w:r>
          <w:rPr>
            <w:rStyle w:val="Hyperlink"/>
            <w:rFonts w:ascii="EC Square Sans Pro" w:hAnsi="EC Square Sans Pro"/>
            <w:b/>
            <w:noProof/>
            <w:sz w:val="20"/>
          </w:rPr>
          <w:t>plateforme éducative destinée aux établissements scolaires européens</w:t>
        </w:r>
      </w:hyperlink>
      <w:r>
        <w:rPr>
          <w:rFonts w:ascii="EC Square Sans Pro" w:hAnsi="EC Square Sans Pro"/>
          <w:noProof/>
          <w:sz w:val="20"/>
        </w:rPr>
        <w:t xml:space="preserve"> est une plateforme publique qui rassemble des informations et encourage l’échange des connaissances entre tous les acteurs du secteur de l’éducation scolaire à l’échelle de l’UE, y compris dans l’enseignement et la formation professionnels initiaux. La </w:t>
      </w:r>
      <w:hyperlink r:id="rId37" w:history="1">
        <w:r>
          <w:rPr>
            <w:rStyle w:val="Hyperlink"/>
            <w:rFonts w:ascii="EC Square Sans Pro" w:hAnsi="EC Square Sans Pro"/>
            <w:b/>
            <w:noProof/>
            <w:sz w:val="20"/>
          </w:rPr>
          <w:t>communauté EPALE des spécialistes de l’EFP</w:t>
        </w:r>
      </w:hyperlink>
      <w:r>
        <w:rPr>
          <w:rFonts w:ascii="EC Square Sans Pro" w:hAnsi="EC Square Sans Pro"/>
          <w:noProof/>
          <w:sz w:val="20"/>
        </w:rPr>
        <w:t xml:space="preserve"> offre également des possibilités de partage des connaissances, de mise en réseau et de diffusion dans le domaine de l’EFP. Le nouveau </w:t>
      </w:r>
      <w:hyperlink r:id="rId38">
        <w:r>
          <w:rPr>
            <w:rFonts w:ascii="EC Square Sans Pro" w:hAnsi="EC Square Sans Pro"/>
            <w:b/>
            <w:noProof/>
            <w:color w:val="0563C1" w:themeColor="hyperlink"/>
            <w:sz w:val="20"/>
            <w:u w:val="single"/>
          </w:rPr>
          <w:t>pôle d’éducation numérique</w:t>
        </w:r>
      </w:hyperlink>
      <w:r>
        <w:rPr>
          <w:rFonts w:ascii="EC Square Sans Pro" w:hAnsi="EC Square Sans Pro"/>
          <w:noProof/>
          <w:sz w:val="20"/>
        </w:rPr>
        <w:t xml:space="preserve"> sert d’espace de partage d’informations, d’échange et de coopération, qui favorise l’innovation et réunit les acteurs du secteur de l’éducation numérique. Le programme pour une Europe numérique encourage une collaboration plus étroite en matière d’éducation numérique en Europe entre les jeunes entreprises innovantes et les PME européennes actives dans le domaine des technologies éducatives, d’une part, et les autres acteurs concernés, d’autre part. L’action clé nº 2 du programme Erasmus+, intitulée «Projets en soutien à la coopération», offre à différents acteurs, y compris dans le domaine des technologies éducatives, la possibilité d’unir leurs forces à celles des acteurs du secteur de l’éducation et de la formation pour élaborer des programmes en faveur de la transformation numérique.</w:t>
      </w:r>
    </w:p>
    <w:p w:rsidR="00D26DC5" w:rsidRPr="002242ED" w:rsidRDefault="00006A7F" w:rsidP="00AF7BFA">
      <w:pPr>
        <w:spacing w:after="120" w:line="240" w:lineRule="auto"/>
        <w:jc w:val="both"/>
        <w:rPr>
          <w:rFonts w:ascii="EC Square Sans Pro" w:hAnsi="EC Square Sans Pro"/>
          <w:bCs/>
          <w:noProof/>
          <w:sz w:val="20"/>
          <w:szCs w:val="20"/>
        </w:rPr>
      </w:pPr>
      <w:r>
        <w:rPr>
          <w:rFonts w:ascii="EC Square Sans Pro" w:hAnsi="EC Square Sans Pro"/>
          <w:noProof/>
          <w:sz w:val="20"/>
        </w:rPr>
        <w:t xml:space="preserve">Divers </w:t>
      </w:r>
      <w:r>
        <w:rPr>
          <w:rFonts w:ascii="EC Square Sans Pro" w:hAnsi="EC Square Sans Pro"/>
          <w:b/>
          <w:noProof/>
          <w:sz w:val="20"/>
        </w:rPr>
        <w:t>réseaux</w:t>
      </w:r>
      <w:r>
        <w:rPr>
          <w:rFonts w:ascii="EC Square Sans Pro" w:hAnsi="EC Square Sans Pro"/>
          <w:noProof/>
          <w:sz w:val="20"/>
        </w:rPr>
        <w:t xml:space="preserve"> soutenus par la Commission</w:t>
      </w:r>
      <w:r w:rsidR="000654F3">
        <w:rPr>
          <w:rStyle w:val="FootnoteReference"/>
          <w:rFonts w:ascii="EC Square Sans Pro" w:hAnsi="EC Square Sans Pro"/>
          <w:noProof/>
          <w:sz w:val="20"/>
          <w:szCs w:val="20"/>
        </w:rPr>
        <w:footnoteReference w:id="20"/>
      </w:r>
      <w:r>
        <w:rPr>
          <w:rFonts w:ascii="EC Square Sans Pro" w:hAnsi="EC Square Sans Pro"/>
          <w:noProof/>
          <w:sz w:val="20"/>
        </w:rPr>
        <w:t xml:space="preserve"> et diverses </w:t>
      </w:r>
      <w:r>
        <w:rPr>
          <w:rFonts w:ascii="EC Square Sans Pro" w:hAnsi="EC Square Sans Pro"/>
          <w:b/>
          <w:noProof/>
          <w:sz w:val="20"/>
        </w:rPr>
        <w:t>organisations internationales</w:t>
      </w:r>
      <w:r w:rsidR="00D26DC5" w:rsidRPr="002242ED">
        <w:rPr>
          <w:rFonts w:ascii="EC Square Sans Pro" w:hAnsi="EC Square Sans Pro"/>
          <w:noProof/>
          <w:sz w:val="20"/>
          <w:szCs w:val="20"/>
          <w:vertAlign w:val="superscript"/>
        </w:rPr>
        <w:footnoteReference w:id="21"/>
      </w:r>
      <w:r>
        <w:rPr>
          <w:rFonts w:ascii="EC Square Sans Pro" w:hAnsi="EC Square Sans Pro"/>
          <w:noProof/>
          <w:sz w:val="20"/>
        </w:rPr>
        <w:t xml:space="preserve"> contribuent également à la réalisation de l’EEE.</w:t>
      </w:r>
    </w:p>
    <w:p w:rsidR="002E36EB" w:rsidRPr="00900448" w:rsidRDefault="002E36EB" w:rsidP="002E36EB">
      <w:pPr>
        <w:pStyle w:val="2022Head2"/>
        <w:rPr>
          <w:noProof/>
        </w:rPr>
      </w:pPr>
      <w:bookmarkStart w:id="6" w:name="_Toc118981458"/>
      <w:r>
        <w:rPr>
          <w:noProof/>
        </w:rPr>
        <w:t>2.3.</w:t>
      </w:r>
      <w:r>
        <w:rPr>
          <w:noProof/>
        </w:rPr>
        <w:tab/>
        <w:t>Progrès accomplis dans la réalisation des objectifs fixés au niveau de l’UE et état de l’enseignement au sein de l’UE</w:t>
      </w:r>
      <w:bookmarkEnd w:id="6"/>
    </w:p>
    <w:p w:rsidR="00D77502" w:rsidRPr="00B52BCE" w:rsidRDefault="002E36EB" w:rsidP="00C36628">
      <w:pPr>
        <w:spacing w:line="240" w:lineRule="auto"/>
        <w:jc w:val="both"/>
        <w:rPr>
          <w:rFonts w:ascii="EC Square Sans Pro" w:hAnsi="EC Square Sans Pro"/>
          <w:noProof/>
          <w:sz w:val="20"/>
          <w:szCs w:val="20"/>
        </w:rPr>
      </w:pPr>
      <w:r>
        <w:rPr>
          <w:rFonts w:ascii="EC Square Sans Pro" w:hAnsi="EC Square Sans Pro"/>
          <w:noProof/>
          <w:sz w:val="20"/>
        </w:rPr>
        <w:t xml:space="preserve">Dans le cadre de l’EEE, </w:t>
      </w:r>
      <w:r>
        <w:rPr>
          <w:rFonts w:ascii="EC Square Sans Pro" w:hAnsi="EC Square Sans Pro"/>
          <w:b/>
          <w:noProof/>
          <w:sz w:val="20"/>
        </w:rPr>
        <w:t>sept objectifs</w:t>
      </w:r>
      <w:r>
        <w:rPr>
          <w:rFonts w:ascii="EC Square Sans Pro" w:hAnsi="EC Square Sans Pro"/>
          <w:noProof/>
          <w:sz w:val="20"/>
        </w:rPr>
        <w:t xml:space="preserve"> ont été </w:t>
      </w:r>
      <w:r>
        <w:rPr>
          <w:rFonts w:ascii="EC Square Sans Pro" w:hAnsi="EC Square Sans Pro"/>
          <w:b/>
          <w:noProof/>
          <w:sz w:val="20"/>
        </w:rPr>
        <w:t>fixés au niveau de l’UE</w:t>
      </w:r>
      <w:r>
        <w:rPr>
          <w:rFonts w:ascii="EC Square Sans Pro" w:hAnsi="EC Square Sans Pro"/>
          <w:noProof/>
          <w:sz w:val="20"/>
        </w:rPr>
        <w:t>. L’édition 2022 du rapport de suivi de l’éducation et de la formation, qui accompagne la présente communication, examine les derniers progrès accomplis dans la réalisation de ces objectifs et dresse une analyse des principaux défis et des évolutions récentes survenus au sein des États membres, pour l’ensemble de l’UE [SWD (2022) 751 – Rapport comparatif] et pays par pays [SWD (2022) 751 – Rapports par pays]. Ce rapport fournit une multitude d’éléments concrets concernant l’état du secteur de l’éducation au sein de l’UE et contribue à recenser les défis communs qui ne sont pas encore suffisamment pris en considération dans les objectifs fixés au niveau de l’UE.</w:t>
      </w:r>
    </w:p>
    <w:p w:rsidR="00151EE6" w:rsidRDefault="003F56C7" w:rsidP="00C36628">
      <w:pPr>
        <w:spacing w:line="240" w:lineRule="auto"/>
        <w:jc w:val="both"/>
        <w:rPr>
          <w:rFonts w:ascii="EC Square Sans Pro" w:hAnsi="EC Square Sans Pro"/>
          <w:noProof/>
          <w:sz w:val="20"/>
          <w:szCs w:val="20"/>
        </w:rPr>
      </w:pPr>
      <w:r>
        <w:rPr>
          <w:rFonts w:ascii="EC Square Sans Pro" w:hAnsi="EC Square Sans Pro"/>
          <w:b/>
          <w:noProof/>
          <w:sz w:val="20"/>
        </w:rPr>
        <w:t>Les progrès observés dans la réalisation des objectifs fixés au niveau de l’UE sont contrastés.</w:t>
      </w:r>
      <w:r>
        <w:rPr>
          <w:rFonts w:ascii="EC Square Sans Pro" w:hAnsi="EC Square Sans Pro"/>
          <w:noProof/>
          <w:sz w:val="20"/>
        </w:rPr>
        <w:t xml:space="preserve"> D’une part, nous constatons une </w:t>
      </w:r>
      <w:r>
        <w:rPr>
          <w:rFonts w:ascii="EC Square Sans Pro" w:hAnsi="EC Square Sans Pro"/>
          <w:b/>
          <w:noProof/>
          <w:sz w:val="20"/>
        </w:rPr>
        <w:t>tendance claire et positive à la convergence ascendante</w:t>
      </w:r>
      <w:r>
        <w:rPr>
          <w:rFonts w:ascii="EC Square Sans Pro" w:hAnsi="EC Square Sans Pro"/>
          <w:noProof/>
          <w:sz w:val="20"/>
        </w:rPr>
        <w:t xml:space="preserve"> de plusieurs indicateurs de longue date: le </w:t>
      </w:r>
      <w:r>
        <w:rPr>
          <w:rFonts w:ascii="EC Square Sans Pro" w:hAnsi="EC Square Sans Pro"/>
          <w:b/>
          <w:bCs/>
          <w:noProof/>
          <w:sz w:val="20"/>
        </w:rPr>
        <w:t>décrochage scolaire</w:t>
      </w:r>
      <w:r>
        <w:rPr>
          <w:rFonts w:ascii="EC Square Sans Pro" w:hAnsi="EC Square Sans Pro"/>
          <w:noProof/>
          <w:sz w:val="20"/>
        </w:rPr>
        <w:t xml:space="preserve"> continue de diminuer, la proportion de jeunes titulaires d’un diplôme de l’enseignement </w:t>
      </w:r>
      <w:r>
        <w:rPr>
          <w:rFonts w:ascii="EC Square Sans Pro" w:hAnsi="EC Square Sans Pro"/>
          <w:b/>
          <w:bCs/>
          <w:noProof/>
          <w:sz w:val="20"/>
        </w:rPr>
        <w:t>supérieur</w:t>
      </w:r>
      <w:r>
        <w:rPr>
          <w:rFonts w:ascii="EC Square Sans Pro" w:hAnsi="EC Square Sans Pro"/>
          <w:noProof/>
          <w:sz w:val="20"/>
        </w:rPr>
        <w:t xml:space="preserve"> est en augmentation, quoique l’écart se creuse entre les jeunes hommes et les jeunes femmes, et le nombre d’enfants bénéficiant d’une </w:t>
      </w:r>
      <w:r>
        <w:rPr>
          <w:rFonts w:ascii="EC Square Sans Pro" w:hAnsi="EC Square Sans Pro"/>
          <w:b/>
          <w:bCs/>
          <w:noProof/>
          <w:sz w:val="20"/>
        </w:rPr>
        <w:t>éducation préscolaire</w:t>
      </w:r>
      <w:r>
        <w:rPr>
          <w:rFonts w:ascii="EC Square Sans Pro" w:hAnsi="EC Square Sans Pro"/>
          <w:noProof/>
          <w:sz w:val="20"/>
        </w:rPr>
        <w:t xml:space="preserve"> n’a cessé d’augmenter au cours des dix dernières années, maintenant l’UE sur la voie de la réalisation de ces objectifs à l’horizon 2030</w:t>
      </w:r>
      <w:r w:rsidR="00BD0DFC">
        <w:rPr>
          <w:rStyle w:val="FootnoteReference"/>
          <w:rFonts w:ascii="EC Square Sans Pro" w:hAnsi="EC Square Sans Pro"/>
          <w:noProof/>
          <w:sz w:val="20"/>
          <w:szCs w:val="20"/>
        </w:rPr>
        <w:footnoteReference w:id="22"/>
      </w:r>
      <w:r>
        <w:rPr>
          <w:rFonts w:ascii="EC Square Sans Pro" w:hAnsi="EC Square Sans Pro"/>
          <w:noProof/>
          <w:sz w:val="20"/>
        </w:rPr>
        <w:t xml:space="preserve">. D’autre part, des problèmes structurels persistent: 3,1 millions de jeunes ont quitté prématurément le système scolaire et nous constatons une </w:t>
      </w:r>
      <w:r>
        <w:rPr>
          <w:rFonts w:ascii="EC Square Sans Pro" w:hAnsi="EC Square Sans Pro"/>
          <w:b/>
          <w:noProof/>
          <w:sz w:val="20"/>
        </w:rPr>
        <w:t>stagnation</w:t>
      </w:r>
      <w:r>
        <w:rPr>
          <w:rFonts w:ascii="EC Square Sans Pro" w:hAnsi="EC Square Sans Pro"/>
          <w:noProof/>
          <w:sz w:val="20"/>
        </w:rPr>
        <w:t xml:space="preserve"> inquiétante du pourcentage d’élèves possédant une </w:t>
      </w:r>
      <w:r>
        <w:rPr>
          <w:rFonts w:ascii="EC Square Sans Pro" w:hAnsi="EC Square Sans Pro"/>
          <w:b/>
          <w:noProof/>
          <w:sz w:val="20"/>
        </w:rPr>
        <w:t>maîtrise insuffisante des compétences fondamentales</w:t>
      </w:r>
      <w:r>
        <w:rPr>
          <w:rFonts w:ascii="EC Square Sans Pro" w:hAnsi="EC Square Sans Pro"/>
          <w:noProof/>
          <w:sz w:val="20"/>
        </w:rPr>
        <w:t>. En outre, les progrès observés dans la réalisation des objectifs fixés au niveau de l’UE masquent d’importants écarts au sein des États membres et d’un État membre à l’autre, et rien ne garantit que ces progrès sont solides et qu’ils perdureront</w:t>
      </w:r>
      <w:r w:rsidR="00EE746A">
        <w:rPr>
          <w:rStyle w:val="FootnoteReference"/>
          <w:rFonts w:ascii="EC Square Sans Pro" w:hAnsi="EC Square Sans Pro"/>
          <w:noProof/>
          <w:sz w:val="20"/>
          <w:szCs w:val="20"/>
        </w:rPr>
        <w:footnoteReference w:id="23"/>
      </w:r>
      <w:r>
        <w:rPr>
          <w:rFonts w:ascii="EC Square Sans Pro" w:hAnsi="EC Square Sans Pro"/>
          <w:noProof/>
          <w:sz w:val="20"/>
        </w:rPr>
        <w:t xml:space="preserve">. </w:t>
      </w:r>
    </w:p>
    <w:p w:rsidR="00000D01" w:rsidRDefault="00000D01" w:rsidP="00C36628">
      <w:pPr>
        <w:spacing w:line="240" w:lineRule="auto"/>
        <w:jc w:val="both"/>
        <w:rPr>
          <w:rFonts w:ascii="EC Square Sans Pro" w:hAnsi="EC Square Sans Pro"/>
          <w:noProof/>
          <w:sz w:val="20"/>
          <w:szCs w:val="20"/>
        </w:rPr>
      </w:pPr>
      <w:r>
        <w:rPr>
          <w:rFonts w:ascii="EC Square Sans Pro" w:hAnsi="EC Square Sans Pro"/>
          <w:b/>
          <w:noProof/>
          <w:sz w:val="20"/>
        </w:rPr>
        <w:t>La lutte contre les inégalités dans le domaine de l’éducation est une priorité majeure dans les États membres</w:t>
      </w:r>
      <w:r>
        <w:rPr>
          <w:rStyle w:val="FootnoteReference"/>
          <w:rFonts w:ascii="EC Square Sans Pro" w:hAnsi="EC Square Sans Pro"/>
          <w:b/>
          <w:noProof/>
          <w:sz w:val="20"/>
          <w:szCs w:val="20"/>
        </w:rPr>
        <w:footnoteReference w:id="24"/>
      </w:r>
      <w:r>
        <w:rPr>
          <w:rFonts w:ascii="EC Square Sans Pro" w:hAnsi="EC Square Sans Pro"/>
          <w:b/>
          <w:noProof/>
          <w:sz w:val="20"/>
        </w:rPr>
        <w:t>.</w:t>
      </w:r>
      <w:r>
        <w:rPr>
          <w:rFonts w:ascii="EC Square Sans Pro" w:hAnsi="EC Square Sans Pro"/>
          <w:noProof/>
          <w:sz w:val="20"/>
        </w:rPr>
        <w:t xml:space="preserve"> Toute une série de mesures, telles que l’apport d’un soutien financier supplémentaire aux écoles défavorisées, la mise en place de programmes de formation à l’attention des enseignants, ou l’accroissement des effectifs du personnel de soutien, ont été mises en œuvre dans l’ensemble de l’UE. Avant la pandémie, environ la moitié des États membres avaient déjà mis en place des mesures visant à venir en aide aux enseignants dans les écoles défavorisées</w:t>
      </w:r>
      <w:r w:rsidR="00D905CF">
        <w:rPr>
          <w:rStyle w:val="FootnoteReference"/>
          <w:rFonts w:ascii="EC Square Sans Pro" w:hAnsi="EC Square Sans Pro"/>
          <w:noProof/>
          <w:sz w:val="20"/>
          <w:szCs w:val="20"/>
        </w:rPr>
        <w:footnoteReference w:id="25"/>
      </w:r>
      <w:r>
        <w:rPr>
          <w:rFonts w:ascii="EC Square Sans Pro" w:hAnsi="EC Square Sans Pro"/>
          <w:noProof/>
          <w:sz w:val="20"/>
        </w:rPr>
        <w:t xml:space="preserve">. Plusieurs pays ont lancé des programmes ciblés pour compenser le retard en matière d’apprentissage en raison de la pandémie, qui a surtout touché les enfants défavorisés. </w:t>
      </w:r>
    </w:p>
    <w:p w:rsidR="002E36EB" w:rsidRPr="00900448" w:rsidRDefault="00000D01" w:rsidP="00C36628">
      <w:pPr>
        <w:spacing w:line="240" w:lineRule="auto"/>
        <w:jc w:val="both"/>
        <w:rPr>
          <w:rFonts w:ascii="EC Square Sans Pro" w:hAnsi="EC Square Sans Pro"/>
          <w:noProof/>
          <w:sz w:val="20"/>
          <w:szCs w:val="20"/>
        </w:rPr>
      </w:pPr>
      <w:r>
        <w:rPr>
          <w:rFonts w:ascii="EC Square Sans Pro" w:hAnsi="EC Square Sans Pro"/>
          <w:noProof/>
          <w:sz w:val="20"/>
        </w:rPr>
        <w:t xml:space="preserve">Le </w:t>
      </w:r>
      <w:r>
        <w:rPr>
          <w:rFonts w:ascii="EC Square Sans Pro" w:hAnsi="EC Square Sans Pro"/>
          <w:b/>
          <w:noProof/>
          <w:sz w:val="20"/>
        </w:rPr>
        <w:t>milieu socio-économique demeure</w:t>
      </w:r>
      <w:r>
        <w:rPr>
          <w:rFonts w:ascii="EC Square Sans Pro" w:hAnsi="EC Square Sans Pro"/>
          <w:noProof/>
          <w:sz w:val="20"/>
        </w:rPr>
        <w:t xml:space="preserve"> malgré cela </w:t>
      </w:r>
      <w:r>
        <w:rPr>
          <w:rFonts w:ascii="EC Square Sans Pro" w:hAnsi="EC Square Sans Pro"/>
          <w:b/>
          <w:noProof/>
          <w:sz w:val="20"/>
        </w:rPr>
        <w:t>le principal facteur déterminant les résultats scolaires</w:t>
      </w:r>
      <w:r>
        <w:rPr>
          <w:rFonts w:ascii="EC Square Sans Pro" w:hAnsi="EC Square Sans Pro"/>
          <w:noProof/>
          <w:sz w:val="20"/>
        </w:rPr>
        <w:t>. Pour l’essentiel, les enfants et les jeunes issus de milieux défavorisés accusent un retard par rapport à tous les objectifs fixés au niveau de l’UE. Les enfants (âgés de 3 ans et plus) exposés au risque de pauvreté ou d’exclusion sociale sont moins susceptibles (7,5 points de pourcentage) de fréquenter les structures d’accueil officielles. Les jeunes dont les parents possèdent un faible niveau d’instruction sont neuf fois plus susceptibles de quitter prématurément le système scolaire et sont moins susceptibles (48,6 points de pourcentage) d’obtenir un diplôme de l’enseignement supérieur par rapport aux jeunes dont les parents possèdent un niveau d’instruction élevé. En ce qui concerne les compétences clés pour l’apprentissage tout au long de la vie, le manque de progrès en matière d’acquisition des compétences de base peut s’expliquer par le caractère insuffisant de la réponse apportée au problème sous-jacent que constitue l’inégalité. Les effets de la pandémie peuvent avoir exacerbé les inégalités en matière de résultats scolaires</w:t>
      </w:r>
      <w:r w:rsidR="00253DC9">
        <w:rPr>
          <w:rStyle w:val="FootnoteReference"/>
          <w:rFonts w:ascii="EC Square Sans Pro" w:hAnsi="EC Square Sans Pro"/>
          <w:noProof/>
          <w:sz w:val="20"/>
          <w:szCs w:val="20"/>
        </w:rPr>
        <w:footnoteReference w:id="26"/>
      </w:r>
      <w:r>
        <w:rPr>
          <w:rFonts w:ascii="EC Square Sans Pro" w:hAnsi="EC Square Sans Pro"/>
          <w:noProof/>
          <w:sz w:val="20"/>
        </w:rPr>
        <w:t>. Dans de pareilles circonstances, il est peu probable que les objectifs fixés au niveau de l’UE soient atteints sans qu’une attention accrue soit accordée à l’équité dans le domaine de l’éducation.</w:t>
      </w:r>
    </w:p>
    <w:p w:rsidR="002E36EB" w:rsidRPr="00900448" w:rsidRDefault="002E36EB">
      <w:pPr>
        <w:pStyle w:val="2022Figures"/>
        <w:spacing w:after="0"/>
        <w:contextualSpacing/>
        <w:rPr>
          <w:noProof/>
        </w:rPr>
      </w:pPr>
      <w:r>
        <w:rPr>
          <w:noProof/>
        </w:rPr>
        <w:t>Sept objectifs fixés au niveau de l’UE</w:t>
      </w:r>
    </w:p>
    <w:tbl>
      <w:tblPr>
        <w:tblStyle w:val="TableGrid"/>
        <w:tblW w:w="4908" w:type="pct"/>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ook w:val="04A0" w:firstRow="1" w:lastRow="0" w:firstColumn="1" w:lastColumn="0" w:noHBand="0" w:noVBand="1"/>
      </w:tblPr>
      <w:tblGrid>
        <w:gridCol w:w="312"/>
        <w:gridCol w:w="4086"/>
        <w:gridCol w:w="1557"/>
        <w:gridCol w:w="1558"/>
        <w:gridCol w:w="1559"/>
      </w:tblGrid>
      <w:tr w:rsidR="000C598E" w:rsidRPr="00900448" w:rsidTr="00B97C85">
        <w:trPr>
          <w:trHeight w:val="375"/>
          <w:tblHeader/>
        </w:trPr>
        <w:tc>
          <w:tcPr>
            <w:tcW w:w="169" w:type="pct"/>
            <w:vMerge w:val="restart"/>
            <w:shd w:val="clear" w:color="auto" w:fill="DDDCF0"/>
          </w:tcPr>
          <w:p w:rsidR="000C598E" w:rsidRPr="00AF5D1D" w:rsidRDefault="000C598E" w:rsidP="00191ED1">
            <w:pPr>
              <w:keepNext/>
              <w:keepLines/>
              <w:contextualSpacing/>
              <w:jc w:val="center"/>
              <w:rPr>
                <w:rFonts w:ascii="EC Square Sans Pro" w:hAnsi="EC Square Sans Pro"/>
                <w:b/>
                <w:bCs/>
                <w:noProof/>
                <w:color w:val="DF4E2B"/>
                <w:sz w:val="16"/>
                <w:szCs w:val="16"/>
              </w:rPr>
            </w:pPr>
          </w:p>
        </w:tc>
        <w:tc>
          <w:tcPr>
            <w:tcW w:w="2253" w:type="pct"/>
            <w:shd w:val="clear" w:color="auto" w:fill="DDDCF0"/>
            <w:vAlign w:val="center"/>
          </w:tcPr>
          <w:p w:rsidR="000C598E" w:rsidRPr="00900448" w:rsidRDefault="000C598E" w:rsidP="00191ED1">
            <w:pPr>
              <w:keepNext/>
              <w:keepLines/>
              <w:contextualSpacing/>
              <w:jc w:val="center"/>
              <w:rPr>
                <w:rFonts w:ascii="EC Square Sans Pro" w:hAnsi="EC Square Sans Pro"/>
                <w:b/>
                <w:bCs/>
                <w:noProof/>
                <w:color w:val="DF4E2B"/>
                <w:sz w:val="16"/>
                <w:szCs w:val="16"/>
              </w:rPr>
            </w:pPr>
            <w:r>
              <w:rPr>
                <w:rFonts w:ascii="EC Square Sans Pro" w:hAnsi="EC Square Sans Pro"/>
                <w:b/>
                <w:noProof/>
                <w:color w:val="DF4E2B"/>
                <w:sz w:val="16"/>
              </w:rPr>
              <w:t>Objectif fixé au niveau de l’UE</w:t>
            </w:r>
          </w:p>
        </w:tc>
        <w:tc>
          <w:tcPr>
            <w:tcW w:w="2578" w:type="pct"/>
            <w:gridSpan w:val="3"/>
            <w:shd w:val="clear" w:color="auto" w:fill="DDDCF0"/>
            <w:vAlign w:val="center"/>
          </w:tcPr>
          <w:p w:rsidR="000C598E" w:rsidRDefault="000C598E" w:rsidP="000C598E">
            <w:pPr>
              <w:keepNext/>
              <w:keepLines/>
              <w:contextualSpacing/>
              <w:jc w:val="center"/>
              <w:rPr>
                <w:rFonts w:ascii="EC Square Sans Pro" w:hAnsi="EC Square Sans Pro"/>
                <w:b/>
                <w:bCs/>
                <w:noProof/>
                <w:color w:val="DF4E2B"/>
                <w:sz w:val="16"/>
                <w:szCs w:val="16"/>
              </w:rPr>
            </w:pPr>
            <w:r>
              <w:rPr>
                <w:rFonts w:ascii="EC Square Sans Pro" w:hAnsi="EC Square Sans Pro"/>
                <w:b/>
                <w:noProof/>
                <w:color w:val="DF4E2B"/>
                <w:sz w:val="16"/>
              </w:rPr>
              <w:t>Dernière moyenne enregistrée au niveau de l’UE</w:t>
            </w:r>
          </w:p>
        </w:tc>
      </w:tr>
      <w:tr w:rsidR="00C73420" w:rsidRPr="00900448" w:rsidTr="00C73420">
        <w:trPr>
          <w:trHeight w:val="266"/>
          <w:tblHeader/>
        </w:trPr>
        <w:tc>
          <w:tcPr>
            <w:tcW w:w="169" w:type="pct"/>
            <w:vMerge/>
            <w:shd w:val="clear" w:color="auto" w:fill="DDDCF0"/>
          </w:tcPr>
          <w:p w:rsidR="000C598E" w:rsidRPr="00AF5D1D" w:rsidRDefault="000C598E" w:rsidP="00191ED1">
            <w:pPr>
              <w:keepNext/>
              <w:keepLines/>
              <w:contextualSpacing/>
              <w:jc w:val="center"/>
              <w:rPr>
                <w:rFonts w:ascii="EC Square Sans Pro" w:hAnsi="EC Square Sans Pro"/>
                <w:b/>
                <w:bCs/>
                <w:noProof/>
                <w:color w:val="DF4E2B"/>
                <w:sz w:val="16"/>
                <w:szCs w:val="16"/>
              </w:rPr>
            </w:pPr>
          </w:p>
        </w:tc>
        <w:tc>
          <w:tcPr>
            <w:tcW w:w="2253" w:type="pct"/>
            <w:shd w:val="clear" w:color="auto" w:fill="DDDCF0"/>
            <w:vAlign w:val="center"/>
          </w:tcPr>
          <w:p w:rsidR="000C598E" w:rsidRPr="005533EC" w:rsidRDefault="000C598E" w:rsidP="00191ED1">
            <w:pPr>
              <w:keepNext/>
              <w:keepLines/>
              <w:contextualSpacing/>
              <w:jc w:val="center"/>
              <w:rPr>
                <w:rFonts w:ascii="EC Square Sans Pro" w:hAnsi="EC Square Sans Pro"/>
                <w:b/>
                <w:bCs/>
                <w:noProof/>
                <w:color w:val="DF4E2B"/>
                <w:sz w:val="16"/>
                <w:szCs w:val="16"/>
              </w:rPr>
            </w:pPr>
          </w:p>
        </w:tc>
        <w:tc>
          <w:tcPr>
            <w:tcW w:w="859" w:type="pct"/>
            <w:shd w:val="clear" w:color="auto" w:fill="DDDCF0"/>
            <w:vAlign w:val="center"/>
          </w:tcPr>
          <w:p w:rsidR="000C598E" w:rsidRPr="00AF5D1D" w:rsidRDefault="000C598E" w:rsidP="000C598E">
            <w:pPr>
              <w:keepNext/>
              <w:keepLines/>
              <w:contextualSpacing/>
              <w:jc w:val="center"/>
              <w:rPr>
                <w:rFonts w:ascii="EC Square Sans Pro" w:hAnsi="EC Square Sans Pro"/>
                <w:b/>
                <w:bCs/>
                <w:noProof/>
                <w:color w:val="DF4E2B"/>
                <w:sz w:val="16"/>
                <w:szCs w:val="16"/>
              </w:rPr>
            </w:pPr>
            <w:r>
              <w:rPr>
                <w:rFonts w:ascii="EC Square Sans Pro" w:hAnsi="EC Square Sans Pro"/>
                <w:b/>
                <w:noProof/>
                <w:color w:val="DF4E2B"/>
                <w:sz w:val="16"/>
              </w:rPr>
              <w:t>Total</w:t>
            </w:r>
          </w:p>
        </w:tc>
        <w:tc>
          <w:tcPr>
            <w:tcW w:w="859" w:type="pct"/>
            <w:shd w:val="clear" w:color="auto" w:fill="DDDCF0"/>
            <w:vAlign w:val="center"/>
          </w:tcPr>
          <w:p w:rsidR="000C598E" w:rsidRDefault="00EE746A" w:rsidP="00EE746A">
            <w:pPr>
              <w:keepNext/>
              <w:keepLines/>
              <w:contextualSpacing/>
              <w:jc w:val="center"/>
              <w:rPr>
                <w:rFonts w:ascii="EC Square Sans Pro" w:hAnsi="EC Square Sans Pro"/>
                <w:b/>
                <w:bCs/>
                <w:noProof/>
                <w:color w:val="DF4E2B"/>
                <w:sz w:val="16"/>
                <w:szCs w:val="16"/>
              </w:rPr>
            </w:pPr>
            <w:r>
              <w:rPr>
                <w:rFonts w:ascii="EC Square Sans Pro" w:hAnsi="EC Square Sans Pro"/>
                <w:b/>
                <w:noProof/>
                <w:color w:val="DF4E2B"/>
                <w:sz w:val="16"/>
              </w:rPr>
              <w:t>Filles</w:t>
            </w:r>
          </w:p>
        </w:tc>
        <w:tc>
          <w:tcPr>
            <w:tcW w:w="860" w:type="pct"/>
            <w:shd w:val="clear" w:color="auto" w:fill="DDDCF0"/>
            <w:vAlign w:val="center"/>
          </w:tcPr>
          <w:p w:rsidR="000C598E" w:rsidRDefault="00EE746A" w:rsidP="000C598E">
            <w:pPr>
              <w:keepNext/>
              <w:keepLines/>
              <w:contextualSpacing/>
              <w:jc w:val="center"/>
              <w:rPr>
                <w:rFonts w:ascii="EC Square Sans Pro" w:hAnsi="EC Square Sans Pro"/>
                <w:b/>
                <w:bCs/>
                <w:noProof/>
                <w:color w:val="DF4E2B"/>
                <w:sz w:val="16"/>
                <w:szCs w:val="16"/>
              </w:rPr>
            </w:pPr>
            <w:r>
              <w:rPr>
                <w:rFonts w:ascii="EC Square Sans Pro" w:hAnsi="EC Square Sans Pro"/>
                <w:b/>
                <w:noProof/>
                <w:color w:val="DF4E2B"/>
                <w:sz w:val="16"/>
              </w:rPr>
              <w:t>Garçons</w:t>
            </w:r>
          </w:p>
        </w:tc>
      </w:tr>
      <w:tr w:rsidR="00C73420" w:rsidRPr="00900448" w:rsidTr="00B97C85">
        <w:trPr>
          <w:trHeight w:val="590"/>
        </w:trPr>
        <w:tc>
          <w:tcPr>
            <w:tcW w:w="169" w:type="pct"/>
            <w:vAlign w:val="center"/>
          </w:tcPr>
          <w:p w:rsidR="000C598E" w:rsidRPr="00900448" w:rsidRDefault="000C598E">
            <w:pPr>
              <w:keepNext/>
              <w:keepLines/>
              <w:contextualSpacing/>
              <w:rPr>
                <w:rFonts w:ascii="EC Square Sans Pro" w:hAnsi="EC Square Sans Pro"/>
                <w:noProof/>
                <w:sz w:val="12"/>
                <w:szCs w:val="12"/>
              </w:rPr>
            </w:pPr>
            <w:r>
              <w:rPr>
                <w:rFonts w:ascii="EC Square Sans Pro" w:hAnsi="EC Square Sans Pro"/>
                <w:noProof/>
                <w:sz w:val="12"/>
              </w:rPr>
              <w:t>1.</w:t>
            </w:r>
          </w:p>
        </w:tc>
        <w:tc>
          <w:tcPr>
            <w:tcW w:w="2253" w:type="pct"/>
            <w:shd w:val="clear" w:color="auto" w:fill="auto"/>
            <w:vAlign w:val="center"/>
          </w:tcPr>
          <w:p w:rsidR="000C598E" w:rsidRPr="00900448" w:rsidRDefault="000C598E" w:rsidP="00006A7F">
            <w:pPr>
              <w:keepNext/>
              <w:keepLines/>
              <w:contextualSpacing/>
              <w:rPr>
                <w:rFonts w:ascii="EC Square Sans Pro" w:hAnsi="EC Square Sans Pro"/>
                <w:noProof/>
                <w:sz w:val="16"/>
                <w:szCs w:val="16"/>
              </w:rPr>
            </w:pPr>
            <w:r>
              <w:rPr>
                <w:rFonts w:ascii="EC Square Sans Pro" w:hAnsi="EC Square Sans Pro"/>
                <w:noProof/>
                <w:sz w:val="16"/>
              </w:rPr>
              <w:t>D’ici à 2030, au moins 96 % des enfants ayant entre trois ans et l’âge de l’instruction obligatoire devraient bénéficier des programmes d’éducation et de prise en charge de la petite enfance.</w:t>
            </w:r>
          </w:p>
        </w:tc>
        <w:tc>
          <w:tcPr>
            <w:tcW w:w="859" w:type="pct"/>
            <w:vAlign w:val="center"/>
          </w:tcPr>
          <w:p w:rsidR="000C598E" w:rsidRPr="00900448" w:rsidRDefault="000C598E"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93 % </w:t>
            </w:r>
            <w:r>
              <w:rPr>
                <w:rFonts w:ascii="EC Square Sans Pro" w:hAnsi="EC Square Sans Pro"/>
                <w:noProof/>
                <w:sz w:val="16"/>
                <w:vertAlign w:val="superscript"/>
              </w:rPr>
              <w:t>[2020]</w:t>
            </w:r>
          </w:p>
        </w:tc>
        <w:tc>
          <w:tcPr>
            <w:tcW w:w="859" w:type="pct"/>
            <w:vAlign w:val="center"/>
          </w:tcPr>
          <w:p w:rsidR="000C598E" w:rsidRPr="00AF5D1D" w:rsidRDefault="00570D87"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93,1 % </w:t>
            </w:r>
            <w:r>
              <w:rPr>
                <w:rFonts w:ascii="EC Square Sans Pro" w:hAnsi="EC Square Sans Pro"/>
                <w:noProof/>
                <w:sz w:val="16"/>
                <w:vertAlign w:val="superscript"/>
              </w:rPr>
              <w:t>[2020]</w:t>
            </w:r>
          </w:p>
        </w:tc>
        <w:tc>
          <w:tcPr>
            <w:tcW w:w="860" w:type="pct"/>
            <w:vAlign w:val="center"/>
          </w:tcPr>
          <w:p w:rsidR="000C598E" w:rsidRDefault="00570D87" w:rsidP="000C598E">
            <w:pPr>
              <w:keepNext/>
              <w:keepLines/>
              <w:contextualSpacing/>
              <w:jc w:val="center"/>
              <w:rPr>
                <w:rFonts w:ascii="EC Square Sans Pro" w:hAnsi="EC Square Sans Pro"/>
                <w:noProof/>
                <w:sz w:val="16"/>
                <w:szCs w:val="16"/>
              </w:rPr>
            </w:pPr>
            <w:r>
              <w:rPr>
                <w:rFonts w:ascii="EC Square Sans Pro" w:hAnsi="EC Square Sans Pro"/>
                <w:noProof/>
                <w:sz w:val="16"/>
              </w:rPr>
              <w:t>93 %</w:t>
            </w:r>
            <w:r>
              <w:rPr>
                <w:rFonts w:ascii="EC Square Sans Pro" w:hAnsi="EC Square Sans Pro"/>
                <w:noProof/>
                <w:sz w:val="16"/>
                <w:vertAlign w:val="superscript"/>
              </w:rPr>
              <w:t>[2020]</w:t>
            </w:r>
          </w:p>
        </w:tc>
      </w:tr>
      <w:tr w:rsidR="00C73420" w:rsidRPr="00900448" w:rsidTr="00B97C85">
        <w:trPr>
          <w:trHeight w:val="590"/>
        </w:trPr>
        <w:tc>
          <w:tcPr>
            <w:tcW w:w="169" w:type="pct"/>
            <w:shd w:val="clear" w:color="auto" w:fill="D1E7FE"/>
            <w:vAlign w:val="center"/>
          </w:tcPr>
          <w:p w:rsidR="000C598E" w:rsidRPr="00900448" w:rsidRDefault="000C598E">
            <w:pPr>
              <w:keepNext/>
              <w:keepLines/>
              <w:contextualSpacing/>
              <w:rPr>
                <w:rFonts w:ascii="EC Square Sans Pro" w:hAnsi="EC Square Sans Pro"/>
                <w:noProof/>
                <w:sz w:val="12"/>
                <w:szCs w:val="12"/>
              </w:rPr>
            </w:pPr>
            <w:r>
              <w:rPr>
                <w:rFonts w:ascii="EC Square Sans Pro" w:hAnsi="EC Square Sans Pro"/>
                <w:noProof/>
                <w:sz w:val="12"/>
              </w:rPr>
              <w:t>2.</w:t>
            </w:r>
          </w:p>
        </w:tc>
        <w:tc>
          <w:tcPr>
            <w:tcW w:w="2253" w:type="pct"/>
            <w:shd w:val="clear" w:color="auto" w:fill="D1E7FE"/>
            <w:vAlign w:val="center"/>
          </w:tcPr>
          <w:p w:rsidR="000C598E" w:rsidRPr="00900448" w:rsidRDefault="000C598E" w:rsidP="00006A7F">
            <w:pPr>
              <w:keepNext/>
              <w:keepLines/>
              <w:contextualSpacing/>
              <w:rPr>
                <w:rFonts w:ascii="EC Square Sans Pro" w:hAnsi="EC Square Sans Pro"/>
                <w:noProof/>
                <w:sz w:val="16"/>
                <w:szCs w:val="16"/>
              </w:rPr>
            </w:pPr>
            <w:r>
              <w:rPr>
                <w:rFonts w:ascii="EC Square Sans Pro" w:hAnsi="EC Square Sans Pro"/>
                <w:noProof/>
                <w:sz w:val="16"/>
              </w:rPr>
              <w:t>D’ici à 2030, la proportion de jeunes en décrochage scolaire dans le cadre de l’éducation et de la formation devrait être inférieure à 9 %.</w:t>
            </w:r>
          </w:p>
        </w:tc>
        <w:tc>
          <w:tcPr>
            <w:tcW w:w="859" w:type="pct"/>
            <w:shd w:val="clear" w:color="auto" w:fill="D1E7FE"/>
            <w:vAlign w:val="center"/>
          </w:tcPr>
          <w:p w:rsidR="000C598E" w:rsidRPr="00900448" w:rsidRDefault="000C598E"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9,7 % </w:t>
            </w:r>
            <w:r>
              <w:rPr>
                <w:rFonts w:ascii="EC Square Sans Pro" w:hAnsi="EC Square Sans Pro"/>
                <w:noProof/>
                <w:sz w:val="16"/>
                <w:vertAlign w:val="superscript"/>
              </w:rPr>
              <w:t>[2021]</w:t>
            </w:r>
          </w:p>
        </w:tc>
        <w:tc>
          <w:tcPr>
            <w:tcW w:w="859" w:type="pct"/>
            <w:shd w:val="clear" w:color="auto" w:fill="D1E7FE"/>
            <w:vAlign w:val="center"/>
          </w:tcPr>
          <w:p w:rsidR="000C598E" w:rsidRPr="00AF5D1D"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7,9 % </w:t>
            </w:r>
            <w:r>
              <w:rPr>
                <w:rFonts w:ascii="EC Square Sans Pro" w:hAnsi="EC Square Sans Pro"/>
                <w:noProof/>
                <w:sz w:val="16"/>
                <w:vertAlign w:val="superscript"/>
              </w:rPr>
              <w:t>[2021]</w:t>
            </w:r>
          </w:p>
        </w:tc>
        <w:tc>
          <w:tcPr>
            <w:tcW w:w="860" w:type="pct"/>
            <w:shd w:val="clear" w:color="auto" w:fill="D1E7FE"/>
            <w:vAlign w:val="center"/>
          </w:tcPr>
          <w:p w:rsidR="000C598E"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11,4 % </w:t>
            </w:r>
            <w:r>
              <w:rPr>
                <w:rFonts w:ascii="EC Square Sans Pro" w:hAnsi="EC Square Sans Pro"/>
                <w:noProof/>
                <w:sz w:val="16"/>
                <w:vertAlign w:val="superscript"/>
              </w:rPr>
              <w:t>[2021]</w:t>
            </w:r>
          </w:p>
        </w:tc>
      </w:tr>
      <w:tr w:rsidR="00C73420" w:rsidRPr="00900448" w:rsidTr="00B97C85">
        <w:trPr>
          <w:trHeight w:val="590"/>
        </w:trPr>
        <w:tc>
          <w:tcPr>
            <w:tcW w:w="169" w:type="pct"/>
            <w:vAlign w:val="center"/>
          </w:tcPr>
          <w:p w:rsidR="000C598E" w:rsidRPr="00900448" w:rsidRDefault="000C598E">
            <w:pPr>
              <w:keepNext/>
              <w:keepLines/>
              <w:contextualSpacing/>
              <w:rPr>
                <w:rFonts w:ascii="EC Square Sans Pro" w:hAnsi="EC Square Sans Pro"/>
                <w:noProof/>
                <w:sz w:val="12"/>
                <w:szCs w:val="12"/>
              </w:rPr>
            </w:pPr>
            <w:r>
              <w:rPr>
                <w:rFonts w:ascii="EC Square Sans Pro" w:hAnsi="EC Square Sans Pro"/>
                <w:noProof/>
                <w:sz w:val="12"/>
              </w:rPr>
              <w:t>3.</w:t>
            </w:r>
          </w:p>
        </w:tc>
        <w:tc>
          <w:tcPr>
            <w:tcW w:w="2253" w:type="pct"/>
            <w:shd w:val="clear" w:color="auto" w:fill="auto"/>
            <w:vAlign w:val="center"/>
          </w:tcPr>
          <w:p w:rsidR="000C598E" w:rsidRPr="00900448" w:rsidRDefault="000C598E" w:rsidP="002509A9">
            <w:pPr>
              <w:keepNext/>
              <w:keepLines/>
              <w:contextualSpacing/>
              <w:rPr>
                <w:rFonts w:ascii="EC Square Sans Pro" w:hAnsi="EC Square Sans Pro"/>
                <w:noProof/>
                <w:sz w:val="16"/>
                <w:szCs w:val="16"/>
              </w:rPr>
            </w:pPr>
            <w:r>
              <w:rPr>
                <w:rFonts w:ascii="EC Square Sans Pro" w:hAnsi="EC Square Sans Pro"/>
                <w:noProof/>
                <w:sz w:val="16"/>
              </w:rPr>
              <w:t xml:space="preserve">D’ici à 2025, la proportion de jeunes diplômés de l’EFP (enseignement et formation professionnels) ayant bénéficié d’un apprentissage en milieu professionnel au cours de leurs études devrait atteindre au moins 60 %. </w:t>
            </w:r>
          </w:p>
        </w:tc>
        <w:tc>
          <w:tcPr>
            <w:tcW w:w="859" w:type="pct"/>
            <w:vAlign w:val="center"/>
          </w:tcPr>
          <w:p w:rsidR="000C598E" w:rsidRPr="00900448" w:rsidRDefault="000C598E"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60,7 % </w:t>
            </w:r>
            <w:r>
              <w:rPr>
                <w:rFonts w:ascii="EC Square Sans Pro" w:hAnsi="EC Square Sans Pro"/>
                <w:noProof/>
                <w:sz w:val="16"/>
                <w:vertAlign w:val="superscript"/>
              </w:rPr>
              <w:t>[2021]</w:t>
            </w:r>
          </w:p>
        </w:tc>
        <w:tc>
          <w:tcPr>
            <w:tcW w:w="859" w:type="pct"/>
            <w:vAlign w:val="center"/>
          </w:tcPr>
          <w:p w:rsidR="000C598E" w:rsidRPr="00AF5D1D"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60,3 % </w:t>
            </w:r>
            <w:r>
              <w:rPr>
                <w:rFonts w:ascii="EC Square Sans Pro" w:hAnsi="EC Square Sans Pro"/>
                <w:noProof/>
                <w:sz w:val="16"/>
                <w:vertAlign w:val="superscript"/>
              </w:rPr>
              <w:t>[2021]</w:t>
            </w:r>
          </w:p>
        </w:tc>
        <w:tc>
          <w:tcPr>
            <w:tcW w:w="860" w:type="pct"/>
            <w:vAlign w:val="center"/>
          </w:tcPr>
          <w:p w:rsidR="000C598E" w:rsidRDefault="00E60A48" w:rsidP="000C598E">
            <w:pPr>
              <w:keepNext/>
              <w:keepLines/>
              <w:contextualSpacing/>
              <w:jc w:val="center"/>
              <w:rPr>
                <w:rFonts w:ascii="EC Square Sans Pro" w:hAnsi="EC Square Sans Pro"/>
                <w:noProof/>
                <w:sz w:val="16"/>
                <w:szCs w:val="16"/>
              </w:rPr>
            </w:pPr>
            <w:r>
              <w:rPr>
                <w:rFonts w:ascii="EC Square Sans Pro" w:hAnsi="EC Square Sans Pro"/>
                <w:noProof/>
                <w:sz w:val="16"/>
              </w:rPr>
              <w:t xml:space="preserve">61,0 % </w:t>
            </w:r>
            <w:r>
              <w:rPr>
                <w:rFonts w:ascii="EC Square Sans Pro" w:hAnsi="EC Square Sans Pro"/>
                <w:noProof/>
                <w:sz w:val="16"/>
                <w:vertAlign w:val="superscript"/>
              </w:rPr>
              <w:t>[2021]</w:t>
            </w:r>
          </w:p>
        </w:tc>
      </w:tr>
      <w:tr w:rsidR="00C73420" w:rsidRPr="00900448" w:rsidTr="00B97C85">
        <w:trPr>
          <w:trHeight w:val="590"/>
        </w:trPr>
        <w:tc>
          <w:tcPr>
            <w:tcW w:w="169" w:type="pct"/>
            <w:shd w:val="clear" w:color="auto" w:fill="D1E7FE"/>
            <w:vAlign w:val="center"/>
          </w:tcPr>
          <w:p w:rsidR="000C598E" w:rsidRPr="00900448" w:rsidRDefault="000C598E">
            <w:pPr>
              <w:contextualSpacing/>
              <w:rPr>
                <w:rFonts w:ascii="EC Square Sans Pro" w:hAnsi="EC Square Sans Pro"/>
                <w:noProof/>
                <w:sz w:val="12"/>
                <w:szCs w:val="12"/>
              </w:rPr>
            </w:pPr>
            <w:r>
              <w:rPr>
                <w:rFonts w:ascii="EC Square Sans Pro" w:hAnsi="EC Square Sans Pro"/>
                <w:noProof/>
                <w:sz w:val="12"/>
              </w:rPr>
              <w:t>4.</w:t>
            </w:r>
          </w:p>
        </w:tc>
        <w:tc>
          <w:tcPr>
            <w:tcW w:w="2253" w:type="pct"/>
            <w:shd w:val="clear" w:color="auto" w:fill="D1E7FE"/>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rPr>
              <w:t>D’ici à 2030, la proportion de personnes âgées de 25 à 34 ans diplômées de l’enseignement supérieur devrait atteindre au moins 45 %.</w:t>
            </w:r>
          </w:p>
        </w:tc>
        <w:tc>
          <w:tcPr>
            <w:tcW w:w="859" w:type="pct"/>
            <w:shd w:val="clear" w:color="auto" w:fill="D1E7FE"/>
            <w:vAlign w:val="center"/>
          </w:tcPr>
          <w:p w:rsidR="000C598E" w:rsidRPr="00900448" w:rsidRDefault="000C598E" w:rsidP="000C598E">
            <w:pPr>
              <w:contextualSpacing/>
              <w:jc w:val="center"/>
              <w:rPr>
                <w:rFonts w:ascii="EC Square Sans Pro" w:hAnsi="EC Square Sans Pro"/>
                <w:noProof/>
                <w:sz w:val="16"/>
                <w:szCs w:val="16"/>
              </w:rPr>
            </w:pPr>
            <w:r>
              <w:rPr>
                <w:rFonts w:ascii="EC Square Sans Pro" w:hAnsi="EC Square Sans Pro"/>
                <w:noProof/>
                <w:sz w:val="16"/>
              </w:rPr>
              <w:t xml:space="preserve">41,2 % </w:t>
            </w:r>
            <w:r>
              <w:rPr>
                <w:rFonts w:ascii="EC Square Sans Pro" w:hAnsi="EC Square Sans Pro"/>
                <w:noProof/>
                <w:sz w:val="16"/>
                <w:vertAlign w:val="superscript"/>
              </w:rPr>
              <w:t>[2021]</w:t>
            </w:r>
          </w:p>
        </w:tc>
        <w:tc>
          <w:tcPr>
            <w:tcW w:w="859" w:type="pct"/>
            <w:shd w:val="clear" w:color="auto" w:fill="D1E7FE"/>
            <w:vAlign w:val="center"/>
          </w:tcPr>
          <w:p w:rsidR="000C598E" w:rsidRPr="00AF5D1D" w:rsidRDefault="00E60A48" w:rsidP="000C598E">
            <w:pPr>
              <w:contextualSpacing/>
              <w:jc w:val="center"/>
              <w:rPr>
                <w:rFonts w:ascii="EC Square Sans Pro" w:hAnsi="EC Square Sans Pro"/>
                <w:noProof/>
                <w:sz w:val="16"/>
                <w:szCs w:val="16"/>
              </w:rPr>
            </w:pPr>
            <w:r>
              <w:rPr>
                <w:rFonts w:ascii="EC Square Sans Pro" w:hAnsi="EC Square Sans Pro"/>
                <w:noProof/>
                <w:sz w:val="16"/>
              </w:rPr>
              <w:t xml:space="preserve">46,8 % </w:t>
            </w:r>
            <w:r>
              <w:rPr>
                <w:rFonts w:ascii="EC Square Sans Pro" w:hAnsi="EC Square Sans Pro"/>
                <w:noProof/>
                <w:sz w:val="16"/>
                <w:vertAlign w:val="superscript"/>
              </w:rPr>
              <w:t>[2021]</w:t>
            </w:r>
          </w:p>
        </w:tc>
        <w:tc>
          <w:tcPr>
            <w:tcW w:w="860" w:type="pct"/>
            <w:shd w:val="clear" w:color="auto" w:fill="D1E7FE"/>
            <w:vAlign w:val="center"/>
          </w:tcPr>
          <w:p w:rsidR="000C598E" w:rsidRDefault="00E60A48" w:rsidP="000C598E">
            <w:pPr>
              <w:contextualSpacing/>
              <w:jc w:val="center"/>
              <w:rPr>
                <w:rFonts w:ascii="EC Square Sans Pro" w:hAnsi="EC Square Sans Pro"/>
                <w:noProof/>
                <w:sz w:val="16"/>
                <w:szCs w:val="16"/>
              </w:rPr>
            </w:pPr>
            <w:r>
              <w:rPr>
                <w:rFonts w:ascii="EC Square Sans Pro" w:hAnsi="EC Square Sans Pro"/>
                <w:noProof/>
                <w:sz w:val="16"/>
              </w:rPr>
              <w:t xml:space="preserve">35,7 % </w:t>
            </w:r>
            <w:r>
              <w:rPr>
                <w:rFonts w:ascii="EC Square Sans Pro" w:hAnsi="EC Square Sans Pro"/>
                <w:noProof/>
                <w:sz w:val="16"/>
                <w:vertAlign w:val="superscript"/>
              </w:rPr>
              <w:t>[2021]</w:t>
            </w:r>
          </w:p>
        </w:tc>
      </w:tr>
      <w:tr w:rsidR="00C73420" w:rsidRPr="00900448" w:rsidTr="00B97C85">
        <w:trPr>
          <w:trHeight w:val="590"/>
        </w:trPr>
        <w:tc>
          <w:tcPr>
            <w:tcW w:w="169" w:type="pct"/>
            <w:vAlign w:val="center"/>
          </w:tcPr>
          <w:p w:rsidR="000C598E" w:rsidRPr="00900448" w:rsidRDefault="000C598E">
            <w:pPr>
              <w:contextualSpacing/>
              <w:rPr>
                <w:rFonts w:ascii="EC Square Sans Pro" w:hAnsi="EC Square Sans Pro"/>
                <w:noProof/>
                <w:sz w:val="12"/>
                <w:szCs w:val="12"/>
              </w:rPr>
            </w:pPr>
            <w:r>
              <w:rPr>
                <w:rFonts w:ascii="EC Square Sans Pro" w:hAnsi="EC Square Sans Pro"/>
                <w:noProof/>
                <w:sz w:val="12"/>
              </w:rPr>
              <w:t>5.</w:t>
            </w:r>
          </w:p>
        </w:tc>
        <w:tc>
          <w:tcPr>
            <w:tcW w:w="2253" w:type="pct"/>
            <w:shd w:val="clear" w:color="auto" w:fill="auto"/>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rPr>
              <w:t xml:space="preserve">D’ici à 2025, au moins 47 % des adultes âgés de 25 à 64 ans devraient prendre part à des activités d’apprentissage chaque année. </w:t>
            </w:r>
          </w:p>
        </w:tc>
        <w:tc>
          <w:tcPr>
            <w:tcW w:w="859" w:type="pct"/>
            <w:vAlign w:val="center"/>
          </w:tcPr>
          <w:p w:rsidR="000C598E" w:rsidRPr="00900448" w:rsidRDefault="000C598E" w:rsidP="000C598E">
            <w:pPr>
              <w:contextualSpacing/>
              <w:jc w:val="center"/>
              <w:rPr>
                <w:rFonts w:ascii="EC Square Sans Pro" w:hAnsi="EC Square Sans Pro"/>
                <w:noProof/>
                <w:sz w:val="16"/>
                <w:szCs w:val="16"/>
              </w:rPr>
            </w:pPr>
            <w:r>
              <w:rPr>
                <w:rFonts w:ascii="EC Square Sans Pro" w:hAnsi="EC Square Sans Pro"/>
                <w:noProof/>
                <w:sz w:val="16"/>
              </w:rPr>
              <w:t>[*]</w:t>
            </w:r>
          </w:p>
        </w:tc>
        <w:tc>
          <w:tcPr>
            <w:tcW w:w="859" w:type="pct"/>
            <w:vAlign w:val="center"/>
          </w:tcPr>
          <w:p w:rsidR="000C598E" w:rsidRPr="00AF5D1D" w:rsidRDefault="000C598E" w:rsidP="000C598E">
            <w:pPr>
              <w:contextualSpacing/>
              <w:jc w:val="center"/>
              <w:rPr>
                <w:rFonts w:ascii="EC Square Sans Pro" w:hAnsi="EC Square Sans Pro"/>
                <w:noProof/>
                <w:sz w:val="16"/>
                <w:szCs w:val="16"/>
              </w:rPr>
            </w:pPr>
            <w:r>
              <w:rPr>
                <w:rFonts w:ascii="EC Square Sans Pro" w:hAnsi="EC Square Sans Pro"/>
                <w:noProof/>
                <w:sz w:val="16"/>
              </w:rPr>
              <w:t>[*]</w:t>
            </w:r>
          </w:p>
        </w:tc>
        <w:tc>
          <w:tcPr>
            <w:tcW w:w="860" w:type="pct"/>
            <w:vAlign w:val="center"/>
          </w:tcPr>
          <w:p w:rsidR="000C598E" w:rsidRDefault="000C598E" w:rsidP="000C598E">
            <w:pPr>
              <w:contextualSpacing/>
              <w:jc w:val="center"/>
              <w:rPr>
                <w:rFonts w:ascii="EC Square Sans Pro" w:hAnsi="EC Square Sans Pro"/>
                <w:noProof/>
                <w:sz w:val="16"/>
                <w:szCs w:val="16"/>
              </w:rPr>
            </w:pPr>
            <w:r>
              <w:rPr>
                <w:rFonts w:ascii="EC Square Sans Pro" w:hAnsi="EC Square Sans Pro"/>
                <w:noProof/>
                <w:sz w:val="16"/>
              </w:rPr>
              <w:t>[*]</w:t>
            </w:r>
          </w:p>
        </w:tc>
      </w:tr>
      <w:tr w:rsidR="00C73420" w:rsidRPr="00900448" w:rsidTr="00B97C85">
        <w:trPr>
          <w:trHeight w:val="590"/>
        </w:trPr>
        <w:tc>
          <w:tcPr>
            <w:tcW w:w="169" w:type="pct"/>
            <w:shd w:val="clear" w:color="auto" w:fill="D1E7FE"/>
            <w:vAlign w:val="center"/>
          </w:tcPr>
          <w:p w:rsidR="000C598E" w:rsidRPr="00900448" w:rsidRDefault="000C598E">
            <w:pPr>
              <w:contextualSpacing/>
              <w:rPr>
                <w:rFonts w:ascii="EC Square Sans Pro" w:hAnsi="EC Square Sans Pro"/>
                <w:noProof/>
                <w:sz w:val="12"/>
                <w:szCs w:val="12"/>
              </w:rPr>
            </w:pPr>
            <w:r>
              <w:rPr>
                <w:rFonts w:ascii="EC Square Sans Pro" w:hAnsi="EC Square Sans Pro"/>
                <w:noProof/>
                <w:sz w:val="12"/>
              </w:rPr>
              <w:t>6.</w:t>
            </w:r>
          </w:p>
        </w:tc>
        <w:tc>
          <w:tcPr>
            <w:tcW w:w="2253" w:type="pct"/>
            <w:shd w:val="clear" w:color="auto" w:fill="D1E7FE"/>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rPr>
              <w:t>D’ici à 2030, la proportion de jeunes de 15 ans ayant une maîtrise insuffisante de la lecture, des mathématiques et des sciences devrait être inférieure à 15 %.</w:t>
            </w:r>
          </w:p>
        </w:tc>
        <w:tc>
          <w:tcPr>
            <w:tcW w:w="859" w:type="pct"/>
            <w:shd w:val="clear" w:color="auto" w:fill="D1E7FE"/>
            <w:vAlign w:val="center"/>
          </w:tcPr>
          <w:p w:rsidR="000C598E" w:rsidRPr="005533EC" w:rsidRDefault="000C598E" w:rsidP="000C598E">
            <w:pPr>
              <w:contextualSpacing/>
              <w:jc w:val="center"/>
              <w:rPr>
                <w:rFonts w:ascii="EC Square Sans Pro" w:hAnsi="EC Square Sans Pro"/>
                <w:noProof/>
                <w:sz w:val="16"/>
                <w:szCs w:val="16"/>
              </w:rPr>
            </w:pPr>
            <w:r>
              <w:rPr>
                <w:rFonts w:ascii="EC Square Sans Pro" w:hAnsi="EC Square Sans Pro"/>
                <w:noProof/>
                <w:sz w:val="16"/>
              </w:rPr>
              <w:t xml:space="preserve">Lecture: 22,5 % </w:t>
            </w:r>
            <w:r>
              <w:rPr>
                <w:rFonts w:ascii="EC Square Sans Pro" w:hAnsi="EC Square Sans Pro"/>
                <w:noProof/>
                <w:sz w:val="16"/>
                <w:vertAlign w:val="superscript"/>
              </w:rPr>
              <w:t>[2018]</w:t>
            </w:r>
          </w:p>
          <w:p w:rsidR="000C598E" w:rsidRPr="00900448" w:rsidRDefault="000C598E" w:rsidP="000C598E">
            <w:pPr>
              <w:contextualSpacing/>
              <w:jc w:val="center"/>
              <w:rPr>
                <w:rFonts w:ascii="EC Square Sans Pro" w:hAnsi="EC Square Sans Pro"/>
                <w:noProof/>
                <w:sz w:val="16"/>
                <w:szCs w:val="16"/>
              </w:rPr>
            </w:pPr>
            <w:r>
              <w:rPr>
                <w:rFonts w:ascii="EC Square Sans Pro" w:hAnsi="EC Square Sans Pro"/>
                <w:noProof/>
                <w:sz w:val="16"/>
              </w:rPr>
              <w:t xml:space="preserve">Mathématiques: 22,9 % </w:t>
            </w:r>
            <w:r>
              <w:rPr>
                <w:rFonts w:ascii="EC Square Sans Pro" w:hAnsi="EC Square Sans Pro"/>
                <w:noProof/>
                <w:sz w:val="16"/>
                <w:vertAlign w:val="superscript"/>
              </w:rPr>
              <w:t>[2018]</w:t>
            </w:r>
          </w:p>
          <w:p w:rsidR="000C598E" w:rsidRPr="00900448" w:rsidRDefault="000C598E" w:rsidP="000C598E">
            <w:pPr>
              <w:contextualSpacing/>
              <w:jc w:val="center"/>
              <w:rPr>
                <w:rFonts w:ascii="EC Square Sans Pro" w:hAnsi="EC Square Sans Pro"/>
                <w:noProof/>
                <w:sz w:val="16"/>
                <w:szCs w:val="16"/>
              </w:rPr>
            </w:pPr>
            <w:r>
              <w:rPr>
                <w:rFonts w:ascii="EC Square Sans Pro" w:hAnsi="EC Square Sans Pro"/>
                <w:noProof/>
                <w:sz w:val="16"/>
              </w:rPr>
              <w:t xml:space="preserve">Sciences: 22,3 % </w:t>
            </w:r>
            <w:r>
              <w:rPr>
                <w:rFonts w:ascii="EC Square Sans Pro" w:hAnsi="EC Square Sans Pro"/>
                <w:noProof/>
                <w:sz w:val="16"/>
                <w:vertAlign w:val="superscript"/>
              </w:rPr>
              <w:t>[2018]</w:t>
            </w:r>
          </w:p>
        </w:tc>
        <w:tc>
          <w:tcPr>
            <w:tcW w:w="859" w:type="pct"/>
            <w:shd w:val="clear" w:color="auto" w:fill="D1E7FE"/>
            <w:vAlign w:val="center"/>
          </w:tcPr>
          <w:p w:rsidR="00E60A48" w:rsidRPr="005533EC" w:rsidRDefault="00E60A48" w:rsidP="00E60A48">
            <w:pPr>
              <w:contextualSpacing/>
              <w:jc w:val="center"/>
              <w:rPr>
                <w:rFonts w:ascii="EC Square Sans Pro" w:hAnsi="EC Square Sans Pro"/>
                <w:noProof/>
                <w:sz w:val="16"/>
                <w:szCs w:val="16"/>
              </w:rPr>
            </w:pPr>
            <w:r>
              <w:rPr>
                <w:rFonts w:ascii="EC Square Sans Pro" w:hAnsi="EC Square Sans Pro"/>
                <w:noProof/>
                <w:sz w:val="16"/>
              </w:rPr>
              <w:t xml:space="preserve">Lecture: 17,5 % </w:t>
            </w:r>
            <w:r>
              <w:rPr>
                <w:rFonts w:ascii="EC Square Sans Pro" w:hAnsi="EC Square Sans Pro"/>
                <w:noProof/>
                <w:sz w:val="16"/>
                <w:vertAlign w:val="superscript"/>
              </w:rPr>
              <w:t>[2018]</w:t>
            </w:r>
          </w:p>
          <w:p w:rsidR="00E60A48" w:rsidRPr="00900448" w:rsidRDefault="00E60A48" w:rsidP="00E60A48">
            <w:pPr>
              <w:contextualSpacing/>
              <w:jc w:val="center"/>
              <w:rPr>
                <w:rFonts w:ascii="EC Square Sans Pro" w:hAnsi="EC Square Sans Pro"/>
                <w:noProof/>
                <w:sz w:val="16"/>
                <w:szCs w:val="16"/>
              </w:rPr>
            </w:pPr>
            <w:r>
              <w:rPr>
                <w:rFonts w:ascii="EC Square Sans Pro" w:hAnsi="EC Square Sans Pro"/>
                <w:noProof/>
                <w:sz w:val="16"/>
              </w:rPr>
              <w:t xml:space="preserve">Mathématiques: 22,9 % </w:t>
            </w:r>
            <w:r>
              <w:rPr>
                <w:rFonts w:ascii="EC Square Sans Pro" w:hAnsi="EC Square Sans Pro"/>
                <w:noProof/>
                <w:sz w:val="16"/>
                <w:vertAlign w:val="superscript"/>
              </w:rPr>
              <w:t>[2018]</w:t>
            </w:r>
          </w:p>
          <w:p w:rsidR="000C598E" w:rsidRPr="00AF5D1D" w:rsidRDefault="00E60A48" w:rsidP="000228A6">
            <w:pPr>
              <w:contextualSpacing/>
              <w:jc w:val="center"/>
              <w:rPr>
                <w:rFonts w:ascii="EC Square Sans Pro" w:hAnsi="EC Square Sans Pro"/>
                <w:noProof/>
                <w:sz w:val="16"/>
                <w:szCs w:val="16"/>
              </w:rPr>
            </w:pPr>
            <w:r>
              <w:rPr>
                <w:rFonts w:ascii="EC Square Sans Pro" w:hAnsi="EC Square Sans Pro"/>
                <w:noProof/>
                <w:sz w:val="16"/>
              </w:rPr>
              <w:t xml:space="preserve">Sciences: 21,2 % </w:t>
            </w:r>
            <w:r>
              <w:rPr>
                <w:rFonts w:ascii="EC Square Sans Pro" w:hAnsi="EC Square Sans Pro"/>
                <w:noProof/>
                <w:sz w:val="16"/>
                <w:vertAlign w:val="superscript"/>
              </w:rPr>
              <w:t>[2018]</w:t>
            </w:r>
          </w:p>
        </w:tc>
        <w:tc>
          <w:tcPr>
            <w:tcW w:w="860" w:type="pct"/>
            <w:shd w:val="clear" w:color="auto" w:fill="D1E7FE"/>
            <w:vAlign w:val="center"/>
          </w:tcPr>
          <w:p w:rsidR="00E60A48" w:rsidRPr="005533EC" w:rsidRDefault="00E60A48" w:rsidP="00E60A48">
            <w:pPr>
              <w:contextualSpacing/>
              <w:jc w:val="center"/>
              <w:rPr>
                <w:rFonts w:ascii="EC Square Sans Pro" w:hAnsi="EC Square Sans Pro"/>
                <w:noProof/>
                <w:sz w:val="16"/>
                <w:szCs w:val="16"/>
              </w:rPr>
            </w:pPr>
            <w:r>
              <w:rPr>
                <w:rFonts w:ascii="EC Square Sans Pro" w:hAnsi="EC Square Sans Pro"/>
                <w:noProof/>
                <w:sz w:val="16"/>
              </w:rPr>
              <w:t xml:space="preserve">Lecture: 27,4 % </w:t>
            </w:r>
            <w:r>
              <w:rPr>
                <w:rFonts w:ascii="EC Square Sans Pro" w:hAnsi="EC Square Sans Pro"/>
                <w:noProof/>
                <w:sz w:val="16"/>
                <w:vertAlign w:val="superscript"/>
              </w:rPr>
              <w:t>[2018]</w:t>
            </w:r>
          </w:p>
          <w:p w:rsidR="00E60A48" w:rsidRPr="00900448" w:rsidRDefault="00E60A48" w:rsidP="00E60A48">
            <w:pPr>
              <w:contextualSpacing/>
              <w:jc w:val="center"/>
              <w:rPr>
                <w:rFonts w:ascii="EC Square Sans Pro" w:hAnsi="EC Square Sans Pro"/>
                <w:noProof/>
                <w:sz w:val="16"/>
                <w:szCs w:val="16"/>
              </w:rPr>
            </w:pPr>
            <w:r>
              <w:rPr>
                <w:rFonts w:ascii="EC Square Sans Pro" w:hAnsi="EC Square Sans Pro"/>
                <w:noProof/>
                <w:sz w:val="16"/>
              </w:rPr>
              <w:t xml:space="preserve">Mathématiques: 22,8 % </w:t>
            </w:r>
            <w:r>
              <w:rPr>
                <w:rFonts w:ascii="EC Square Sans Pro" w:hAnsi="EC Square Sans Pro"/>
                <w:noProof/>
                <w:sz w:val="16"/>
                <w:vertAlign w:val="superscript"/>
              </w:rPr>
              <w:t>[2018]</w:t>
            </w:r>
          </w:p>
          <w:p w:rsidR="000C598E" w:rsidRDefault="00E60A48" w:rsidP="000228A6">
            <w:pPr>
              <w:contextualSpacing/>
              <w:jc w:val="center"/>
              <w:rPr>
                <w:rFonts w:ascii="EC Square Sans Pro" w:hAnsi="EC Square Sans Pro"/>
                <w:noProof/>
                <w:sz w:val="16"/>
                <w:szCs w:val="16"/>
              </w:rPr>
            </w:pPr>
            <w:r>
              <w:rPr>
                <w:rFonts w:ascii="EC Square Sans Pro" w:hAnsi="EC Square Sans Pro"/>
                <w:noProof/>
                <w:sz w:val="16"/>
              </w:rPr>
              <w:t xml:space="preserve">Sciences: 23,2 % </w:t>
            </w:r>
            <w:r>
              <w:rPr>
                <w:rFonts w:ascii="EC Square Sans Pro" w:hAnsi="EC Square Sans Pro"/>
                <w:noProof/>
                <w:sz w:val="16"/>
                <w:vertAlign w:val="superscript"/>
              </w:rPr>
              <w:t>[2018]</w:t>
            </w:r>
          </w:p>
        </w:tc>
      </w:tr>
      <w:tr w:rsidR="00C73420" w:rsidRPr="00900448" w:rsidTr="00B97C85">
        <w:trPr>
          <w:trHeight w:val="590"/>
        </w:trPr>
        <w:tc>
          <w:tcPr>
            <w:tcW w:w="169" w:type="pct"/>
            <w:vAlign w:val="center"/>
          </w:tcPr>
          <w:p w:rsidR="000C598E" w:rsidRPr="00900448" w:rsidRDefault="000C598E">
            <w:pPr>
              <w:contextualSpacing/>
              <w:rPr>
                <w:rFonts w:ascii="EC Square Sans Pro" w:hAnsi="EC Square Sans Pro"/>
                <w:noProof/>
                <w:sz w:val="12"/>
                <w:szCs w:val="12"/>
              </w:rPr>
            </w:pPr>
            <w:r>
              <w:rPr>
                <w:rFonts w:ascii="EC Square Sans Pro" w:hAnsi="EC Square Sans Pro"/>
                <w:noProof/>
                <w:sz w:val="12"/>
              </w:rPr>
              <w:t>7.</w:t>
            </w:r>
          </w:p>
        </w:tc>
        <w:tc>
          <w:tcPr>
            <w:tcW w:w="2253" w:type="pct"/>
            <w:shd w:val="clear" w:color="auto" w:fill="auto"/>
            <w:vAlign w:val="center"/>
          </w:tcPr>
          <w:p w:rsidR="000C598E" w:rsidRPr="00900448" w:rsidRDefault="000C598E" w:rsidP="00F85D26">
            <w:pPr>
              <w:contextualSpacing/>
              <w:rPr>
                <w:rFonts w:ascii="EC Square Sans Pro" w:hAnsi="EC Square Sans Pro"/>
                <w:noProof/>
                <w:sz w:val="16"/>
                <w:szCs w:val="16"/>
              </w:rPr>
            </w:pPr>
            <w:r>
              <w:rPr>
                <w:rFonts w:ascii="EC Square Sans Pro" w:hAnsi="EC Square Sans Pro"/>
                <w:noProof/>
                <w:sz w:val="16"/>
              </w:rPr>
              <w:t xml:space="preserve">D’ici à 2030, la proportion d’élèves en huitième année de scolarité ayant une maîtrise des outils informatiques et une culture de l’information insuffisantes devrait être inférieure à 15 %. </w:t>
            </w:r>
          </w:p>
        </w:tc>
        <w:tc>
          <w:tcPr>
            <w:tcW w:w="859" w:type="pct"/>
            <w:shd w:val="clear" w:color="auto" w:fill="auto"/>
            <w:vAlign w:val="center"/>
          </w:tcPr>
          <w:p w:rsidR="000C598E" w:rsidRPr="005533EC" w:rsidRDefault="000C598E" w:rsidP="000C598E">
            <w:pPr>
              <w:contextualSpacing/>
              <w:jc w:val="center"/>
              <w:rPr>
                <w:rFonts w:ascii="EC Square Sans Pro" w:hAnsi="EC Square Sans Pro"/>
                <w:noProof/>
                <w:sz w:val="16"/>
                <w:szCs w:val="16"/>
              </w:rPr>
            </w:pPr>
            <w:r>
              <w:rPr>
                <w:rFonts w:ascii="EC Square Sans Pro" w:hAnsi="EC Square Sans Pro"/>
                <w:noProof/>
                <w:sz w:val="16"/>
              </w:rPr>
              <w:t>[**]</w:t>
            </w:r>
          </w:p>
        </w:tc>
        <w:tc>
          <w:tcPr>
            <w:tcW w:w="859" w:type="pct"/>
            <w:vAlign w:val="center"/>
          </w:tcPr>
          <w:p w:rsidR="000C598E" w:rsidRPr="00AF5D1D" w:rsidRDefault="000C598E" w:rsidP="000C598E">
            <w:pPr>
              <w:contextualSpacing/>
              <w:jc w:val="center"/>
              <w:rPr>
                <w:rFonts w:ascii="EC Square Sans Pro" w:hAnsi="EC Square Sans Pro"/>
                <w:noProof/>
                <w:sz w:val="16"/>
                <w:szCs w:val="16"/>
              </w:rPr>
            </w:pPr>
            <w:r>
              <w:rPr>
                <w:rFonts w:ascii="EC Square Sans Pro" w:hAnsi="EC Square Sans Pro"/>
                <w:noProof/>
                <w:sz w:val="16"/>
              </w:rPr>
              <w:t>[*]</w:t>
            </w:r>
          </w:p>
        </w:tc>
        <w:tc>
          <w:tcPr>
            <w:tcW w:w="860" w:type="pct"/>
            <w:vAlign w:val="center"/>
          </w:tcPr>
          <w:p w:rsidR="000C598E" w:rsidRDefault="000C598E" w:rsidP="000C598E">
            <w:pPr>
              <w:contextualSpacing/>
              <w:jc w:val="center"/>
              <w:rPr>
                <w:rFonts w:ascii="EC Square Sans Pro" w:hAnsi="EC Square Sans Pro"/>
                <w:noProof/>
                <w:sz w:val="16"/>
                <w:szCs w:val="16"/>
              </w:rPr>
            </w:pPr>
            <w:r>
              <w:rPr>
                <w:rFonts w:ascii="EC Square Sans Pro" w:hAnsi="EC Square Sans Pro"/>
                <w:noProof/>
                <w:sz w:val="16"/>
              </w:rPr>
              <w:t>[*]</w:t>
            </w:r>
          </w:p>
        </w:tc>
      </w:tr>
    </w:tbl>
    <w:p w:rsidR="002E36EB" w:rsidRPr="00900448" w:rsidRDefault="002E36EB">
      <w:pPr>
        <w:spacing w:line="240" w:lineRule="auto"/>
        <w:jc w:val="both"/>
        <w:rPr>
          <w:rFonts w:ascii="EC Square Sans Pro" w:hAnsi="EC Square Sans Pro"/>
          <w:noProof/>
          <w:sz w:val="16"/>
          <w:szCs w:val="16"/>
        </w:rPr>
      </w:pPr>
      <w:r>
        <w:rPr>
          <w:rFonts w:ascii="EC Square Sans Pro" w:hAnsi="EC Square Sans Pro"/>
          <w:noProof/>
          <w:sz w:val="16"/>
        </w:rPr>
        <w:t>Source: pour l’objectif nº 1, collecte conjointe de données de l’UNESCO, de l’OCDE et d’Eurostat (UOE); pour les objectifs nº 2, 3, 4 et 5, enquête sur la population active [Labour Force Survey (LFS)]; pour l’objectif nº 6, OCDE [programme international pour le suivi des acquis des élèves (PISA)]; et pour l’objectif nº 7, association internationale pour l’évaluation du rendement scolaire (IEA) [étude internationale sur la maîtrise des outils informatiques et la culture de l’information (ICILS)]. Remarque: [*] les données sous-jacentes relatives à l’enquête sur la population active (LFS) seront disponibles tous les deux ans dès 2023</w:t>
      </w:r>
      <w:r w:rsidRPr="00900448">
        <w:rPr>
          <w:rStyle w:val="FootnoteReference"/>
          <w:rFonts w:ascii="EC Square Sans Pro" w:hAnsi="EC Square Sans Pro"/>
          <w:noProof/>
          <w:sz w:val="16"/>
          <w:szCs w:val="16"/>
        </w:rPr>
        <w:footnoteReference w:id="27"/>
      </w:r>
      <w:r>
        <w:rPr>
          <w:rFonts w:ascii="EC Square Sans Pro" w:hAnsi="EC Square Sans Pro"/>
          <w:noProof/>
          <w:sz w:val="16"/>
        </w:rPr>
        <w:t>; [**] les données de l’enquête internationale ICILS de 2023 seront disponibles en 2024</w:t>
      </w:r>
      <w:r w:rsidR="00C73420">
        <w:rPr>
          <w:rStyle w:val="FootnoteReference"/>
          <w:rFonts w:ascii="EC Square Sans Pro" w:hAnsi="EC Square Sans Pro"/>
          <w:noProof/>
          <w:sz w:val="16"/>
          <w:szCs w:val="16"/>
        </w:rPr>
        <w:footnoteReference w:id="28"/>
      </w:r>
      <w:r>
        <w:rPr>
          <w:rFonts w:ascii="EC Square Sans Pro" w:hAnsi="EC Square Sans Pro"/>
          <w:noProof/>
          <w:sz w:val="16"/>
        </w:rPr>
        <w:t xml:space="preserve">. </w:t>
      </w:r>
    </w:p>
    <w:p w:rsidR="002E36EB" w:rsidRPr="00B44CF9" w:rsidRDefault="00C07CD8" w:rsidP="00C915BA">
      <w:pPr>
        <w:spacing w:after="120" w:line="240" w:lineRule="auto"/>
        <w:jc w:val="both"/>
        <w:rPr>
          <w:noProof/>
        </w:rPr>
      </w:pPr>
      <w:r>
        <w:rPr>
          <w:rFonts w:ascii="EC Square Sans Pro" w:hAnsi="EC Square Sans Pro"/>
          <w:noProof/>
          <w:sz w:val="20"/>
        </w:rPr>
        <w:t xml:space="preserve">En outre, </w:t>
      </w:r>
      <w:r>
        <w:rPr>
          <w:rFonts w:ascii="EC Square Sans Pro" w:hAnsi="EC Square Sans Pro"/>
          <w:b/>
          <w:noProof/>
          <w:sz w:val="20"/>
        </w:rPr>
        <w:t>la pénurie d’enseignants</w:t>
      </w:r>
      <w:r>
        <w:rPr>
          <w:rFonts w:ascii="EC Square Sans Pro" w:hAnsi="EC Square Sans Pro"/>
          <w:noProof/>
          <w:sz w:val="20"/>
        </w:rPr>
        <w:t>, due en grande partie au vieillissement du corps enseignant</w:t>
      </w:r>
      <w:r w:rsidR="008E0EF0">
        <w:rPr>
          <w:rStyle w:val="FootnoteReference"/>
          <w:rFonts w:ascii="EC Square Sans Pro" w:hAnsi="EC Square Sans Pro"/>
          <w:noProof/>
          <w:sz w:val="20"/>
          <w:szCs w:val="20"/>
        </w:rPr>
        <w:footnoteReference w:id="29"/>
      </w:r>
      <w:r>
        <w:rPr>
          <w:rFonts w:ascii="EC Square Sans Pro" w:hAnsi="EC Square Sans Pro"/>
          <w:noProof/>
          <w:sz w:val="20"/>
        </w:rPr>
        <w:t xml:space="preserve"> et au faible attrait de la profession, </w:t>
      </w:r>
      <w:r>
        <w:rPr>
          <w:rFonts w:ascii="EC Square Sans Pro" w:hAnsi="EC Square Sans Pro"/>
          <w:b/>
          <w:noProof/>
          <w:sz w:val="20"/>
        </w:rPr>
        <w:t>s’aggrave dans l’ensemble de l’UE</w:t>
      </w:r>
      <w:r>
        <w:rPr>
          <w:rFonts w:ascii="EC Square Sans Pro" w:hAnsi="EC Square Sans Pro"/>
          <w:noProof/>
          <w:sz w:val="20"/>
        </w:rPr>
        <w:t>, ce qui menace sérieusement la qualité et l’équité dans le domaine de l’éducation, et ce, même dans certains des pays les mieux classés à ce niveau. Bien que des données comparables, par État membre, ne soient pas disponibles, les estimations communiquées par les États membres et mentionnées dans les rapports par pays respectifs [SWD (2022) 751 — Rapports par pays] donnent une idée de l’ampleur du problème. Les difficultés s’accentuent généralement dans des domaines tels que celui des STIM (sciences, technologie, ingénierie et mathématiques) et des TIC, et dans les régions isolées ou défavorisées. Afin de stimuler l’enseignement et l’apprentissage fondés sur les compétences, des réformes complètes des programmes d’études, nécessitant des enseignants bien formés et expérimentés, sont en cours de déploiement dans plusieurs pays.</w:t>
      </w:r>
      <w:r>
        <w:rPr>
          <w:rFonts w:ascii="EC Square Sans Pro" w:hAnsi="EC Square Sans Pro"/>
          <w:noProof/>
          <w:sz w:val="16"/>
        </w:rPr>
        <w:t xml:space="preserve"> </w:t>
      </w:r>
      <w:r>
        <w:rPr>
          <w:rFonts w:ascii="EC Square Sans Pro" w:hAnsi="EC Square Sans Pro"/>
          <w:noProof/>
          <w:sz w:val="20"/>
        </w:rPr>
        <w:t xml:space="preserve">Afin d’améliorer l’attrait de la profession, les salaires ont été sensiblement augmentés dans plusieurs pays ces dernières années. Les États membres souhaitent attirer davantage de candidats à la formation initiale des enseignants, soutenir les jeunes enseignants, améliorer leurs conditions de travail et proposer d’autres voies d’accès à la profession. </w:t>
      </w:r>
    </w:p>
    <w:p w:rsidR="0084045C" w:rsidRDefault="0084045C" w:rsidP="00AD5177">
      <w:pPr>
        <w:spacing w:after="120" w:line="240" w:lineRule="auto"/>
        <w:jc w:val="both"/>
        <w:rPr>
          <w:rFonts w:ascii="EC Square Sans Pro" w:hAnsi="EC Square Sans Pro"/>
          <w:b/>
          <w:bCs/>
          <w:noProof/>
          <w:color w:val="DF4E2B"/>
          <w:sz w:val="28"/>
          <w:szCs w:val="28"/>
        </w:rPr>
      </w:pPr>
      <w:r>
        <w:rPr>
          <w:noProof/>
        </w:rPr>
        <w:br w:type="page"/>
      </w:r>
    </w:p>
    <w:p w:rsidR="00C825D2" w:rsidRPr="002242ED" w:rsidRDefault="00E4261B" w:rsidP="002B7E5B">
      <w:pPr>
        <w:pStyle w:val="2022Head1"/>
        <w:rPr>
          <w:noProof/>
        </w:rPr>
      </w:pPr>
      <w:bookmarkStart w:id="7" w:name="_Toc118981459"/>
      <w:r>
        <w:rPr>
          <w:noProof/>
        </w:rPr>
        <w:t xml:space="preserve">3. </w:t>
      </w:r>
      <w:r>
        <w:rPr>
          <w:noProof/>
        </w:rPr>
        <w:tab/>
        <w:t>Reconstruire sur des bases plus solides</w:t>
      </w:r>
      <w:bookmarkEnd w:id="7"/>
    </w:p>
    <w:p w:rsidR="00DC0B4F" w:rsidRDefault="00566E7C" w:rsidP="14FA6798">
      <w:pPr>
        <w:spacing w:after="120" w:line="240" w:lineRule="auto"/>
        <w:jc w:val="both"/>
        <w:rPr>
          <w:rFonts w:ascii="EC Square Sans Pro" w:hAnsi="EC Square Sans Pro"/>
          <w:noProof/>
          <w:sz w:val="20"/>
          <w:szCs w:val="20"/>
        </w:rPr>
      </w:pPr>
      <w:r>
        <w:rPr>
          <w:rFonts w:ascii="EC Square Sans Pro" w:hAnsi="EC Square Sans Pro"/>
          <w:b/>
          <w:noProof/>
          <w:sz w:val="20"/>
        </w:rPr>
        <w:t xml:space="preserve">La pandémie de COVID-19 et la guerre d’agression menée par la Russie contre l’Ukraine ont toutes deux profondément touché et mobilisé l’EEE. </w:t>
      </w:r>
      <w:r>
        <w:rPr>
          <w:rFonts w:ascii="EC Square Sans Pro" w:hAnsi="EC Square Sans Pro"/>
          <w:noProof/>
          <w:sz w:val="20"/>
        </w:rPr>
        <w:t xml:space="preserve">Les fonds alloués par l’UE, en particulier le budget assigné au programme Erasmus+ qui a presque doublé, et la coopération accrue au titre de la gouvernance du cadre stratégique de l’EEE sont venus soutenir les systèmes d’enseignement nationaux en temps de crise et visaient à renforcer leur capacité à stimuler la reprise, par des investissements et des réformes conformes aux objectifs fixés dans le cadre de l’EEE. Les effets persistants de la pandémie de COVID-19 et l’invasion de l’Ukraine par la Russie, qui perdure, peuvent encore ralentir les progrès ou détourner l’attention des problèmes structurels de longue durée (lesquels se sont aggravés en raison de la pandémie et de la guerre). </w:t>
      </w:r>
    </w:p>
    <w:p w:rsidR="002D2AF3" w:rsidRPr="002242ED" w:rsidRDefault="00DF4D0D" w:rsidP="14FA6798">
      <w:pPr>
        <w:spacing w:after="120" w:line="240" w:lineRule="auto"/>
        <w:jc w:val="both"/>
        <w:rPr>
          <w:rFonts w:ascii="EC Square Sans Pro" w:hAnsi="EC Square Sans Pro"/>
          <w:b/>
          <w:bCs/>
          <w:noProof/>
          <w:sz w:val="20"/>
          <w:szCs w:val="20"/>
        </w:rPr>
      </w:pPr>
      <w:r>
        <w:rPr>
          <w:rFonts w:ascii="EC Square Sans Pro" w:hAnsi="EC Square Sans Pro"/>
          <w:noProof/>
          <w:sz w:val="20"/>
        </w:rPr>
        <w:t xml:space="preserve">Le présent chapitre se penche sur la manière dont la facilité pour la reprise et la résilience (FRR) et d’autres fonds de l’UE alloués pour la période 2021-2027 contribuent à stimuler la reprise conformément aux objectifs fixés dans le cadre de l’EEE, ainsi que la façon dont les fonds et la coopération de l’UE dans le cadre de l’EEE ont été mobilisés pour réagir aux effets de la </w:t>
      </w:r>
      <w:r>
        <w:rPr>
          <w:rFonts w:ascii="EC Square Sans Pro" w:hAnsi="EC Square Sans Pro"/>
          <w:b/>
          <w:noProof/>
          <w:sz w:val="20"/>
        </w:rPr>
        <w:t>guerre d’agression menée par la Russie contre l’Ukraine</w:t>
      </w:r>
      <w:r>
        <w:rPr>
          <w:rFonts w:ascii="EC Square Sans Pro" w:hAnsi="EC Square Sans Pro"/>
          <w:noProof/>
          <w:sz w:val="20"/>
        </w:rPr>
        <w:t xml:space="preserve"> sur l’éducation (conformément aux objectifs de l’EEE en matière de promotion de la qualité, de l’équité et de l’inclusion). Si la programmation des fonds de l’UE en vue d’atteindre les objectifs fixés dans le cadre de l’EEE constitue une réalisation importante de ces deux dernières années, la mise en œuvre effective des réformes et des investissements et leur suivi rigoureux au cours de la prochaine étape seront essentiels pour garantir la réalisation de l’EEE.</w:t>
      </w:r>
    </w:p>
    <w:p w:rsidR="00C03325" w:rsidRPr="002242ED" w:rsidRDefault="00221CE1" w:rsidP="00516F04">
      <w:pPr>
        <w:pStyle w:val="2022Head2"/>
        <w:ind w:left="0" w:firstLine="0"/>
        <w:rPr>
          <w:noProof/>
        </w:rPr>
      </w:pPr>
      <w:bookmarkStart w:id="8" w:name="_Toc110850848"/>
      <w:bookmarkStart w:id="9" w:name="_Toc118981460"/>
      <w:r>
        <w:rPr>
          <w:noProof/>
        </w:rPr>
        <w:t>3.1.</w:t>
      </w:r>
      <w:r>
        <w:rPr>
          <w:noProof/>
        </w:rPr>
        <w:tab/>
        <w:t>Mobiliser la facilité pour la reprise et la résilience ainsi que d’autres fonds de l’UE pour financer, au niveau national, les actions en faveur de l’EEE et les réformes en vue d’une reprise durable et inclusive</w:t>
      </w:r>
      <w:bookmarkEnd w:id="8"/>
      <w:bookmarkEnd w:id="9"/>
    </w:p>
    <w:p w:rsidR="00516F04" w:rsidRDefault="00C664CF" w:rsidP="000B1E8F">
      <w:pPr>
        <w:spacing w:after="120" w:line="240" w:lineRule="auto"/>
        <w:jc w:val="both"/>
        <w:rPr>
          <w:rFonts w:ascii="EC Square Sans Pro" w:eastAsia="Calibri" w:hAnsi="EC Square Sans Pro" w:cs="Times New Roman"/>
          <w:noProof/>
          <w:sz w:val="20"/>
          <w:szCs w:val="20"/>
        </w:rPr>
      </w:pPr>
      <w:r>
        <w:rPr>
          <w:rFonts w:ascii="EC Square Sans Pro" w:hAnsi="EC Square Sans Pro"/>
          <w:b/>
          <w:noProof/>
          <w:sz w:val="20"/>
        </w:rPr>
        <w:t>Les politiques en matière d’éducation et de formation ont fait l’objet d’une attention accrue à la suite de la pandémie et des conséquences dramatiques qu’elle a eues sur les apprenants et les enseignants</w:t>
      </w:r>
      <w:r>
        <w:rPr>
          <w:rFonts w:ascii="EC Square Sans Pro" w:hAnsi="EC Square Sans Pro"/>
          <w:noProof/>
          <w:sz w:val="20"/>
        </w:rPr>
        <w:t>. Tous les niveaux de gouvernance du cadre stratégique renforcé de l’EEE ont été mobilisés pour intensifier la coopération et l’apprentissage mutuel et contribuer ainsi à limiter les effets négatifs de la pandémie sur les résultats scolaires et le bien-être</w:t>
      </w:r>
      <w:r w:rsidR="00A83BE0">
        <w:rPr>
          <w:rStyle w:val="FootnoteReference"/>
          <w:rFonts w:ascii="EC Square Sans Pro" w:eastAsia="Calibri" w:hAnsi="EC Square Sans Pro" w:cs="Times New Roman"/>
          <w:noProof/>
          <w:sz w:val="20"/>
          <w:szCs w:val="20"/>
        </w:rPr>
        <w:footnoteReference w:id="30"/>
      </w:r>
      <w:r>
        <w:rPr>
          <w:rFonts w:ascii="EC Square Sans Pro" w:hAnsi="EC Square Sans Pro"/>
          <w:noProof/>
          <w:sz w:val="20"/>
        </w:rPr>
        <w:t>.</w:t>
      </w:r>
    </w:p>
    <w:p w:rsidR="00C03325" w:rsidRPr="004634C7" w:rsidRDefault="0007369E" w:rsidP="007D5EFF">
      <w:pPr>
        <w:spacing w:after="120" w:line="240" w:lineRule="auto"/>
        <w:jc w:val="both"/>
        <w:rPr>
          <w:rFonts w:ascii="EC Square Sans Pro" w:hAnsi="EC Square Sans Pro"/>
          <w:iCs/>
          <w:noProof/>
          <w:sz w:val="20"/>
          <w:szCs w:val="20"/>
        </w:rPr>
      </w:pPr>
      <w:r>
        <w:rPr>
          <w:rFonts w:ascii="EC Square Sans Pro" w:hAnsi="EC Square Sans Pro"/>
          <w:b/>
          <w:noProof/>
          <w:sz w:val="20"/>
        </w:rPr>
        <w:t>L’EEE est étroitement lié au Semestre européen et à la programmation des fonds de l’UE pour financer les réformes et les investissements dans le domaine de l’éducation et de la formation.</w:t>
      </w:r>
      <w:r>
        <w:rPr>
          <w:rFonts w:ascii="EC Square Sans Pro" w:hAnsi="EC Square Sans Pro"/>
          <w:noProof/>
          <w:sz w:val="20"/>
        </w:rPr>
        <w:t xml:space="preserve"> Le Semestre européen définit les grandes orientations à l’échelle de l’UE et au niveau national, et dresse une analyse approfondie du rôle de l’éducation et de la formation dans la situation socio-économique des États membres. Il joue un rôle essentiel dans le recensement des priorités nationales en matière de politiques et d’investissements</w:t>
      </w:r>
      <w:r w:rsidRPr="0007369E">
        <w:rPr>
          <w:rFonts w:ascii="EC Square Sans Pro" w:eastAsia="Calibri" w:hAnsi="EC Square Sans Pro" w:cs="Times New Roman"/>
          <w:noProof/>
          <w:sz w:val="20"/>
          <w:szCs w:val="20"/>
          <w:vertAlign w:val="superscript"/>
        </w:rPr>
        <w:footnoteReference w:id="31"/>
      </w:r>
      <w:r>
        <w:rPr>
          <w:rFonts w:ascii="EC Square Sans Pro" w:hAnsi="EC Square Sans Pro"/>
          <w:noProof/>
          <w:sz w:val="20"/>
        </w:rPr>
        <w:t>, l’EEE contribuant à relever les défis recensés. Le lien entre le financement de l’UE et les priorités en matière de réforme a encore été renforcé au titre du cadre financier pluriannuel pour la période 2021-2027 et de la FRR.</w:t>
      </w:r>
    </w:p>
    <w:p w:rsidR="00C03325" w:rsidRPr="002242ED" w:rsidRDefault="00C03325" w:rsidP="000B1E8F">
      <w:pPr>
        <w:spacing w:after="120" w:line="240" w:lineRule="auto"/>
        <w:jc w:val="both"/>
        <w:rPr>
          <w:rFonts w:ascii="EC Square Sans Pro" w:eastAsia="Calibri" w:hAnsi="EC Square Sans Pro" w:cs="Times New Roman"/>
          <w:noProof/>
          <w:sz w:val="20"/>
          <w:szCs w:val="20"/>
        </w:rPr>
      </w:pPr>
      <w:r>
        <w:rPr>
          <w:rFonts w:ascii="EC Square Sans Pro" w:hAnsi="EC Square Sans Pro"/>
          <w:b/>
          <w:noProof/>
          <w:sz w:val="20"/>
        </w:rPr>
        <w:t>La FRR, qui consacre à l’éducation et à la formation quelque 71 milliards d’EUR, soit environ 14 % de son budget total</w:t>
      </w:r>
      <w:r w:rsidR="0025324E">
        <w:rPr>
          <w:rStyle w:val="FootnoteReference"/>
          <w:rFonts w:ascii="EC Square Sans Pro" w:eastAsia="Calibri" w:hAnsi="EC Square Sans Pro" w:cs="Times New Roman"/>
          <w:b/>
          <w:bCs/>
          <w:noProof/>
          <w:sz w:val="20"/>
          <w:szCs w:val="20"/>
        </w:rPr>
        <w:footnoteReference w:id="32"/>
      </w:r>
      <w:r>
        <w:rPr>
          <w:rFonts w:ascii="EC Square Sans Pro" w:hAnsi="EC Square Sans Pro"/>
          <w:b/>
          <w:noProof/>
          <w:sz w:val="20"/>
        </w:rPr>
        <w:t>, est désormais la principale source de financement de l’UE dans ce domaine, y compris dans l’éducation et les compétences numériques, qui font l’objet de réformes et d’investissements.</w:t>
      </w:r>
      <w:r>
        <w:rPr>
          <w:rFonts w:ascii="EC Square Sans Pro" w:hAnsi="EC Square Sans Pro"/>
          <w:noProof/>
          <w:sz w:val="20"/>
        </w:rPr>
        <w:t xml:space="preserve"> La programmation de l’investissement des fonds de la politique de cohésion dans l’éducation et la formation est toujours en cours, une dotation préliminaire de 21,13 milliards d’EUR provenant du FSE+ et de 2,3 milliards d’EUR provenant du FEDER ayant été programmée à ce jour pour soutenir les politiques en matière d’éducation, de formation et de compétences</w:t>
      </w:r>
      <w:r w:rsidR="00063884">
        <w:rPr>
          <w:rStyle w:val="FootnoteReference"/>
          <w:rFonts w:ascii="EC Square Sans Pro" w:eastAsia="Calibri" w:hAnsi="EC Square Sans Pro" w:cs="Times New Roman"/>
          <w:noProof/>
          <w:sz w:val="20"/>
          <w:szCs w:val="20"/>
        </w:rPr>
        <w:footnoteReference w:id="33"/>
      </w:r>
      <w:r>
        <w:rPr>
          <w:rFonts w:ascii="EC Square Sans Pro" w:hAnsi="EC Square Sans Pro"/>
          <w:noProof/>
          <w:sz w:val="20"/>
        </w:rPr>
        <w:t>.</w:t>
      </w:r>
      <w:r>
        <w:rPr>
          <w:noProof/>
        </w:rPr>
        <w:t xml:space="preserve"> </w:t>
      </w:r>
      <w:r>
        <w:rPr>
          <w:rFonts w:ascii="EC Square Sans Pro" w:hAnsi="EC Square Sans Pro"/>
          <w:noProof/>
          <w:sz w:val="20"/>
        </w:rPr>
        <w:t>En outre, grâce à l’instrument d’appui technique, la Commission apporte un soutien supplémentaire dans le domaine de l’éducation et de la formation à la demande des États membres, sur une base bilatérale ou plurinationale.</w:t>
      </w:r>
    </w:p>
    <w:p w:rsidR="009730DD" w:rsidRPr="002242ED" w:rsidDel="00585744" w:rsidRDefault="009730DD" w:rsidP="009730DD">
      <w:pPr>
        <w:spacing w:after="120" w:line="240" w:lineRule="auto"/>
        <w:jc w:val="both"/>
        <w:rPr>
          <w:rFonts w:ascii="EC Square Sans Pro" w:eastAsia="Calibri" w:hAnsi="EC Square Sans Pro" w:cs="Times New Roman"/>
          <w:noProof/>
          <w:sz w:val="20"/>
          <w:szCs w:val="20"/>
        </w:rPr>
      </w:pPr>
      <w:r>
        <w:rPr>
          <w:rFonts w:ascii="EC Square Sans Pro" w:hAnsi="EC Square Sans Pro"/>
          <w:b/>
          <w:noProof/>
          <w:sz w:val="20"/>
        </w:rPr>
        <w:t xml:space="preserve">Des fonds de l’UE ont été mobilisés pour lutter contre les inégalités et rendre les systèmes d’enseignement plus résilients à la suite de la pandémie. </w:t>
      </w:r>
      <w:r>
        <w:rPr>
          <w:rFonts w:ascii="EC Square Sans Pro" w:hAnsi="EC Square Sans Pro"/>
          <w:noProof/>
          <w:sz w:val="20"/>
        </w:rPr>
        <w:t>En réaction à la crise, les États membres ont pris un certain nombre de mesures immédiates qui s’inscrivent généralement dans des stratégies à plus long terme applicables jusqu’en 2030</w:t>
      </w:r>
      <w:r w:rsidRPr="00D0276D">
        <w:rPr>
          <w:rStyle w:val="FootnoteReference"/>
          <w:rFonts w:ascii="EC Square Sans Pro" w:eastAsia="Calibri" w:hAnsi="EC Square Sans Pro" w:cs="Times New Roman"/>
          <w:bCs/>
          <w:noProof/>
          <w:sz w:val="20"/>
          <w:szCs w:val="20"/>
        </w:rPr>
        <w:footnoteReference w:id="34"/>
      </w:r>
      <w:r>
        <w:rPr>
          <w:rFonts w:ascii="EC Square Sans Pro" w:hAnsi="EC Square Sans Pro"/>
          <w:noProof/>
          <w:sz w:val="20"/>
        </w:rPr>
        <w:t>. Souvent, ces stratégies sont financées par des fonds de l’UE et guidées par les objectifs fixés dans le cadre de l’EEE. En particulier, la FRR et les fonds de la politique de cohésion apportent un soutien financier de taille aux programmes d’apprentissage compensatoire ainsi qu’à des mesures plus globales visant à promouvoir l’accès à une éducation de qualité pour tous, y compris en réformant les programmes scolaires, et à lutter contre l’inadéquation des compétences grâce à la reconversion et au perfectionnement professionnels. En outre, les fonds de l’UE, y compris le FEDER, contribuent à la modernisation des infrastructures afin de renforcer l’égalité d’accès à des services éducatifs inclusifs et de qualité, à la création d’environnements d’apprentissage innovants et à la mise en place des conditions nécessaires à l’éducation numérique inclusive au moyen d’équipements et de plateformes.</w:t>
      </w:r>
    </w:p>
    <w:p w:rsidR="00C03325" w:rsidRPr="00BB5594" w:rsidDel="00585744" w:rsidRDefault="00C03325" w:rsidP="00BB5594">
      <w:pPr>
        <w:spacing w:after="120" w:line="240" w:lineRule="auto"/>
        <w:jc w:val="both"/>
        <w:rPr>
          <w:rFonts w:ascii="EC Square Sans Pro" w:eastAsia="Calibri" w:hAnsi="EC Square Sans Pro" w:cs="Times New Roman"/>
          <w:noProof/>
          <w:sz w:val="20"/>
          <w:szCs w:val="20"/>
        </w:rPr>
      </w:pPr>
      <w:r>
        <w:rPr>
          <w:rFonts w:ascii="EC Square Sans Pro" w:hAnsi="EC Square Sans Pro"/>
          <w:b/>
          <w:noProof/>
          <w:sz w:val="20"/>
        </w:rPr>
        <w:t>Les réformes et les investissements au titre de la FRR stimulent la transformation numérique et écologique de l’éducation et de la formation, conformément aux objectifs fixés en vue de la réalisation de l’EEE. Sur les 71 milliards d’EUR consacrés, environ 28 milliards contribuent à soutenir l’éducation et les compétences numériques partout dans l’UE</w:t>
      </w:r>
      <w:r w:rsidR="0025324E">
        <w:rPr>
          <w:rStyle w:val="FootnoteReference"/>
          <w:rFonts w:ascii="EC Square Sans Pro" w:eastAsia="Calibri" w:hAnsi="EC Square Sans Pro" w:cs="Times New Roman"/>
          <w:b/>
          <w:bCs/>
          <w:noProof/>
          <w:sz w:val="20"/>
          <w:szCs w:val="20"/>
        </w:rPr>
        <w:footnoteReference w:id="35"/>
      </w:r>
      <w:r>
        <w:rPr>
          <w:rFonts w:ascii="EC Square Sans Pro" w:hAnsi="EC Square Sans Pro"/>
          <w:noProof/>
          <w:sz w:val="20"/>
        </w:rPr>
        <w:t xml:space="preserve">. Les pays concernés prévoient d’améliorer les infrastructures et la connectivité numériques, souvent en accordant une attention particulière aux écoles défavorisées. Ils investissent dans des mesures visant à développer les compétences numériques des étudiants et des enseignants ainsi que les ressources et les contenus numériques, et à adapter les programmes scolaires. Des fonds de la FRR sont également programmés en vue de renforcer les compétences numériques de la main-d’œuvre, en particulier celles des travailleurs peu qualifiés, et pour adapter les programmes d’enseignement et de formation professionnels (EFP) aux exigences numériques. La FRR contribue également à l’écologisation de l’éducation et de la formation, notamment en investissant dans des infrastructures d’éducation et de formation économes en énergie, mais aussi en améliorant les politiques en matière d’éducation et de formation en faveur de la durabilité environnementale. </w:t>
      </w:r>
    </w:p>
    <w:p w:rsidR="00C03325" w:rsidRPr="002242ED" w:rsidRDefault="008C5756" w:rsidP="000B1E8F">
      <w:pPr>
        <w:spacing w:after="120" w:line="240" w:lineRule="auto"/>
        <w:jc w:val="both"/>
        <w:rPr>
          <w:rFonts w:ascii="EC Square Sans Pro" w:eastAsia="Calibri" w:hAnsi="EC Square Sans Pro" w:cs="Calibri"/>
          <w:noProof/>
          <w:sz w:val="20"/>
          <w:szCs w:val="20"/>
        </w:rPr>
      </w:pPr>
      <w:r>
        <w:rPr>
          <w:rFonts w:ascii="EC Square Sans Pro" w:hAnsi="EC Square Sans Pro"/>
          <w:b/>
          <w:noProof/>
          <w:sz w:val="20"/>
        </w:rPr>
        <w:t xml:space="preserve">Les fonds de l’UE contribuent grandement à donner aux universités les moyens de devenir des moteurs du changement, conformément aux objectifs fixés en vue de la réalisation de l’EEE. </w:t>
      </w:r>
      <w:r>
        <w:rPr>
          <w:rFonts w:ascii="EC Square Sans Pro" w:hAnsi="EC Square Sans Pro"/>
          <w:noProof/>
          <w:sz w:val="20"/>
        </w:rPr>
        <w:t xml:space="preserve">La pandémie a stimulé l’innovation, en particulier dans les solutions numériques. Les fonds de l’UE devraient permettre d’accélérer et de consolider encore la numérisation et la transformation du secteur de l’enseignement supérieur, conformément à la stratégie européenne pour les universités et au </w:t>
      </w:r>
      <w:hyperlink r:id="rId39" w:history="1">
        <w:r>
          <w:rPr>
            <w:rStyle w:val="Hyperlink"/>
            <w:rFonts w:ascii="EC Square Sans Pro" w:hAnsi="EC Square Sans Pro"/>
            <w:noProof/>
            <w:sz w:val="20"/>
          </w:rPr>
          <w:t>nouveau programme européen d’innovation</w:t>
        </w:r>
      </w:hyperlink>
      <w:r>
        <w:rPr>
          <w:rFonts w:ascii="EC Square Sans Pro" w:hAnsi="EC Square Sans Pro"/>
          <w:noProof/>
          <w:sz w:val="20"/>
        </w:rPr>
        <w:t>, en exploitant les synergies entre l’EEE et l’Espace européen de la recherche (EER). Outre leurs investissements dans des infrastructures numériques, les États membres prévoient d’investir dans la création de contenu numérique, le perfectionnement des compétences numériques, l’adaptation des programmes d’études, la formation du personnel universitaire, la conception de cours en ligne et de cours hybrides, ainsi que la numérisation de la gouvernance. Les investissements et les réformes visent à améliorer l’adéquation entre l’enseignement supérieur et le marché du travail en modernisant les programmes d’études, en concevant de nouveaux parcours d’apprentissage, y compris les microcertifications, en promouvant la spécialisation dans les STIM ou STIAM, en améliorant la gouvernance et le financement, en facilitant l’accès des étudiants défavorisés à l’enseignement supérieur et en encourageant l’inclusion, par exemple par l’attribution de bourses ciblées, la reconnaissance des qualifications ou la mise à disposition de logements abordables pour les étudiants.</w:t>
      </w:r>
    </w:p>
    <w:p w:rsidR="00F44D1C" w:rsidRPr="002242ED" w:rsidRDefault="00221CE1" w:rsidP="005A3302">
      <w:pPr>
        <w:pStyle w:val="2022Head2"/>
        <w:rPr>
          <w:noProof/>
        </w:rPr>
      </w:pPr>
      <w:bookmarkStart w:id="10" w:name="_Toc110850849"/>
      <w:bookmarkStart w:id="11" w:name="_Toc118981461"/>
      <w:r>
        <w:rPr>
          <w:noProof/>
        </w:rPr>
        <w:t>3.2.</w:t>
      </w:r>
      <w:r>
        <w:rPr>
          <w:noProof/>
        </w:rPr>
        <w:tab/>
        <w:t>Mobiliser les outils de l’EEE et les fonds de l’UE au nom de la solidarité avec l’Ukraine en matière d’éducation</w:t>
      </w:r>
      <w:bookmarkEnd w:id="10"/>
      <w:bookmarkEnd w:id="11"/>
    </w:p>
    <w:p w:rsidR="00BA4FE1" w:rsidRDefault="00BA4FE1" w:rsidP="005A3302">
      <w:pPr>
        <w:spacing w:after="120" w:line="240" w:lineRule="auto"/>
        <w:jc w:val="both"/>
        <w:rPr>
          <w:rFonts w:ascii="EC Square Sans Pro" w:hAnsi="EC Square Sans Pro"/>
          <w:iCs/>
          <w:noProof/>
          <w:sz w:val="20"/>
          <w:szCs w:val="20"/>
        </w:rPr>
      </w:pPr>
      <w:r>
        <w:rPr>
          <w:rFonts w:ascii="EC Square Sans Pro" w:hAnsi="EC Square Sans Pro"/>
          <w:noProof/>
          <w:sz w:val="20"/>
        </w:rPr>
        <w:t>En raison de la guerre d’agression menée par la Russie contre l’Ukraine, des millions de personnes déplacées, majoritairement des femmes et des enfants, ont rejoint l’UE. L’insertion des enfants et des jeunes (dont beaucoup sont traumatisés par la guerre et ne maîtrisent pas les langues de l’UE) dans le système d’éducation et de formation des États membres a constitué un défi majeur dans un contexte de grande incertitude. La priorité immédiate est de garantir l’insertion des enfants dans un enseignement général inclusif et de qualité pour l’année scolaire 2022-2023, tout en préservant leurs liens avec l’Ukraine</w:t>
      </w:r>
      <w:r>
        <w:rPr>
          <w:rStyle w:val="FootnoteReference"/>
          <w:rFonts w:ascii="EC Square Sans Pro" w:hAnsi="EC Square Sans Pro"/>
          <w:iCs/>
          <w:noProof/>
          <w:sz w:val="20"/>
          <w:szCs w:val="20"/>
        </w:rPr>
        <w:footnoteReference w:id="36"/>
      </w:r>
      <w:r>
        <w:rPr>
          <w:rFonts w:ascii="EC Square Sans Pro" w:hAnsi="EC Square Sans Pro"/>
          <w:noProof/>
          <w:sz w:val="20"/>
        </w:rPr>
        <w:t>.</w:t>
      </w:r>
    </w:p>
    <w:p w:rsidR="001C7503" w:rsidRDefault="007113A8" w:rsidP="005A3302">
      <w:pPr>
        <w:spacing w:after="120" w:line="240" w:lineRule="auto"/>
        <w:jc w:val="both"/>
        <w:rPr>
          <w:rFonts w:ascii="EC Square Sans Pro" w:hAnsi="EC Square Sans Pro"/>
          <w:noProof/>
          <w:sz w:val="20"/>
          <w:szCs w:val="20"/>
        </w:rPr>
      </w:pPr>
      <w:r>
        <w:rPr>
          <w:rFonts w:ascii="EC Square Sans Pro" w:hAnsi="EC Square Sans Pro"/>
          <w:noProof/>
          <w:sz w:val="20"/>
        </w:rPr>
        <w:t xml:space="preserve">L’intervention du </w:t>
      </w:r>
      <w:r>
        <w:rPr>
          <w:rFonts w:ascii="EC Square Sans Pro" w:hAnsi="EC Square Sans Pro"/>
          <w:b/>
          <w:noProof/>
          <w:sz w:val="20"/>
        </w:rPr>
        <w:t>groupe européen de solidarité avec l’Ukraine en matière d’éducation</w:t>
      </w:r>
      <w:r>
        <w:rPr>
          <w:rStyle w:val="FootnoteReference"/>
          <w:rFonts w:ascii="EC Square Sans Pro" w:hAnsi="EC Square Sans Pro"/>
          <w:b/>
          <w:bCs/>
          <w:iCs/>
          <w:noProof/>
          <w:sz w:val="20"/>
          <w:szCs w:val="20"/>
        </w:rPr>
        <w:footnoteReference w:id="37"/>
      </w:r>
      <w:r>
        <w:rPr>
          <w:rFonts w:ascii="EC Square Sans Pro" w:hAnsi="EC Square Sans Pro"/>
          <w:noProof/>
          <w:sz w:val="20"/>
        </w:rPr>
        <w:t>, qui a mobilisé le cadre stratégique de l’EEE à tous les niveaux, a contribué à l’intégration des apprenants et des enseignants déportés d’Ukraine dans les systèmes d’éducation de l’UE.</w:t>
      </w:r>
      <w:r>
        <w:rPr>
          <w:rFonts w:ascii="EC Square Sans Pro" w:hAnsi="EC Square Sans Pro"/>
          <w:b/>
          <w:noProof/>
          <w:sz w:val="20"/>
        </w:rPr>
        <w:t xml:space="preserve"> </w:t>
      </w:r>
      <w:r>
        <w:rPr>
          <w:rFonts w:ascii="EC Square Sans Pro" w:hAnsi="EC Square Sans Pro"/>
          <w:noProof/>
          <w:sz w:val="20"/>
        </w:rPr>
        <w:t xml:space="preserve">Le </w:t>
      </w:r>
      <w:r>
        <w:rPr>
          <w:rFonts w:ascii="EC Square Sans Pro" w:hAnsi="EC Square Sans Pro"/>
          <w:b/>
          <w:noProof/>
          <w:sz w:val="20"/>
        </w:rPr>
        <w:t>groupe de haut niveau</w:t>
      </w:r>
      <w:r>
        <w:rPr>
          <w:rFonts w:ascii="EC Square Sans Pro" w:hAnsi="EC Square Sans Pro"/>
          <w:noProof/>
          <w:sz w:val="20"/>
        </w:rPr>
        <w:t xml:space="preserve"> a joué un rôle déterminant dans le recensement des besoins des États membres pour venir en aide aux enfants ukrainiens réfugiés et dans la mise en place d’une action rapide et coordonnée de l’UE, dans le cadre de laquelle, de concert avec le conseil de coordination du GHN, il a servi d’instance adéquate pour cerner les préoccupations communes à l’échelle de l’Union et coordonner les actions des États membres. Les </w:t>
      </w:r>
      <w:r>
        <w:rPr>
          <w:rFonts w:ascii="EC Square Sans Pro" w:hAnsi="EC Square Sans Pro"/>
          <w:b/>
          <w:noProof/>
          <w:sz w:val="20"/>
        </w:rPr>
        <w:t>groupes de travail</w:t>
      </w:r>
      <w:r>
        <w:rPr>
          <w:rFonts w:ascii="EC Square Sans Pro" w:hAnsi="EC Square Sans Pro"/>
          <w:noProof/>
          <w:sz w:val="20"/>
        </w:rPr>
        <w:t xml:space="preserve"> relevant du cadre stratégique de l’EEE ont mis en commun l’expertise de toute l’UE grâce à des échanges et à des activités d’apprentissage par les pairs. Ces échanges ont été bénéfiques aux États membres lors de la mise en œuvre de la </w:t>
      </w:r>
      <w:hyperlink r:id="rId40" w:history="1">
        <w:r>
          <w:rPr>
            <w:rStyle w:val="Hyperlink"/>
            <w:rFonts w:ascii="EC Square Sans Pro" w:hAnsi="EC Square Sans Pro"/>
            <w:noProof/>
            <w:sz w:val="20"/>
          </w:rPr>
          <w:t>directive relative à la protection temporaire</w:t>
        </w:r>
      </w:hyperlink>
      <w:r>
        <w:rPr>
          <w:rFonts w:ascii="EC Square Sans Pro" w:hAnsi="EC Square Sans Pro"/>
          <w:noProof/>
          <w:sz w:val="20"/>
        </w:rPr>
        <w:t xml:space="preserve"> pour répondre à certaines questions fondamentales telles que:</w:t>
      </w:r>
      <w:r>
        <w:rPr>
          <w:noProof/>
        </w:rPr>
        <w:t xml:space="preserve"> </w:t>
      </w:r>
      <w:r>
        <w:rPr>
          <w:rFonts w:ascii="EC Square Sans Pro" w:hAnsi="EC Square Sans Pro"/>
          <w:noProof/>
        </w:rPr>
        <w:t>i) le recrutement de personnel ukrainien, ii) les services d’approche des enfants réfugiés qui ne sont pas encore scolarisés dans leur pays d’accueil, iii) l’accès aux services d’éducation et d’accueil de la petite enfance, iv) la reconnaissance des qualifications, v) l’accueil des étudiants dans l’enseignement supérieur, vi) la lutte contre la désinformation en temps de guerre, vii) l’aide psychosociale et viii) l’organisation des examens d’entrée dans l’enseignement supérieur ukrainien, ou encore l’apprentissage des langues.</w:t>
      </w:r>
      <w:r>
        <w:rPr>
          <w:rFonts w:ascii="EC Square Sans Pro" w:hAnsi="EC Square Sans Pro"/>
          <w:noProof/>
          <w:sz w:val="20"/>
        </w:rPr>
        <w:t xml:space="preserve"> </w:t>
      </w:r>
    </w:p>
    <w:p w:rsidR="002F4589" w:rsidRDefault="00811A70" w:rsidP="005A3302">
      <w:pPr>
        <w:spacing w:after="120" w:line="240" w:lineRule="auto"/>
        <w:jc w:val="both"/>
        <w:rPr>
          <w:rFonts w:ascii="EC Square Sans Pro" w:hAnsi="EC Square Sans Pro"/>
          <w:noProof/>
          <w:sz w:val="20"/>
          <w:szCs w:val="20"/>
        </w:rPr>
      </w:pPr>
      <w:r>
        <w:rPr>
          <w:rFonts w:ascii="EC Square Sans Pro" w:hAnsi="EC Square Sans Pro"/>
          <w:noProof/>
          <w:sz w:val="20"/>
        </w:rPr>
        <w:t>Ce partage de connaissances a contribué à l’</w:t>
      </w:r>
      <w:r>
        <w:rPr>
          <w:rFonts w:ascii="EC Square Sans Pro" w:hAnsi="EC Square Sans Pro"/>
          <w:b/>
          <w:noProof/>
          <w:sz w:val="20"/>
        </w:rPr>
        <w:t>actualisation des orientations et des informations en matière de bonnes pratiques</w:t>
      </w:r>
      <w:r>
        <w:rPr>
          <w:rFonts w:ascii="EC Square Sans Pro" w:hAnsi="EC Square Sans Pro"/>
          <w:noProof/>
          <w:sz w:val="20"/>
        </w:rPr>
        <w:t xml:space="preserve"> et a fourni une vision pratique afin d’aider les États membres à intégrer les enfants déplacés dans l’éducation</w:t>
      </w:r>
      <w:r w:rsidR="007113A8" w:rsidRPr="002242ED">
        <w:rPr>
          <w:rFonts w:ascii="EC Square Sans Pro" w:hAnsi="EC Square Sans Pro"/>
          <w:noProof/>
          <w:sz w:val="20"/>
          <w:szCs w:val="20"/>
          <w:vertAlign w:val="superscript"/>
        </w:rPr>
        <w:footnoteReference w:id="38"/>
      </w:r>
      <w:r>
        <w:rPr>
          <w:rFonts w:ascii="EC Square Sans Pro" w:hAnsi="EC Square Sans Pro"/>
          <w:noProof/>
          <w:sz w:val="20"/>
        </w:rPr>
        <w:t>. En juin 2022, la Commission européenne a également publié des orientations stratégiques à l’intention des États membres pour les guider dans la mise en œuvre des dispositions de la directive relative à la protection temporaire concernant l’accès au marché du travail, l’EFP ainsi que le perfectionnement et la reconversion professionnels</w:t>
      </w:r>
      <w:r w:rsidR="002E56BC">
        <w:rPr>
          <w:rStyle w:val="FootnoteReference"/>
          <w:rFonts w:ascii="EC Square Sans Pro" w:hAnsi="EC Square Sans Pro"/>
          <w:noProof/>
          <w:sz w:val="20"/>
          <w:szCs w:val="20"/>
        </w:rPr>
        <w:footnoteReference w:id="39"/>
      </w:r>
      <w:r>
        <w:rPr>
          <w:rFonts w:ascii="EC Square Sans Pro" w:hAnsi="EC Square Sans Pro"/>
          <w:noProof/>
          <w:sz w:val="20"/>
        </w:rPr>
        <w:t>. La Fondation européenne pour la formation (ETF) a élaboré et publié un train de mesures d’urgence visant à garantir une continuité dans l’instruction des jeunes ukrainiens grâce à des cours en ligne et à accroître les chances d’insertion professionnelle des réfugiés ukrainiens en dehors de leur pays.</w:t>
      </w:r>
    </w:p>
    <w:p w:rsidR="007113A8" w:rsidRDefault="008E0E1D" w:rsidP="005A3302">
      <w:pPr>
        <w:spacing w:after="120" w:line="240" w:lineRule="auto"/>
        <w:jc w:val="both"/>
        <w:rPr>
          <w:rFonts w:ascii="EC Square Sans Pro" w:hAnsi="EC Square Sans Pro"/>
          <w:noProof/>
          <w:sz w:val="20"/>
          <w:szCs w:val="20"/>
        </w:rPr>
      </w:pPr>
      <w:r>
        <w:rPr>
          <w:rFonts w:ascii="EC Square Sans Pro" w:hAnsi="EC Square Sans Pro"/>
          <w:noProof/>
          <w:sz w:val="20"/>
        </w:rPr>
        <w:t xml:space="preserve">Le </w:t>
      </w:r>
      <w:r>
        <w:rPr>
          <w:rFonts w:ascii="EC Square Sans Pro" w:hAnsi="EC Square Sans Pro"/>
          <w:b/>
          <w:noProof/>
          <w:sz w:val="20"/>
        </w:rPr>
        <w:t>portail de l’EEE</w:t>
      </w:r>
      <w:r>
        <w:rPr>
          <w:rFonts w:ascii="EC Square Sans Pro" w:hAnsi="EC Square Sans Pro"/>
          <w:noProof/>
          <w:sz w:val="20"/>
        </w:rPr>
        <w:t xml:space="preserve"> a joué un rôle fondamental dans la diffusion d’informations sur la réaction rapide et coordonnée de l’UE en matière d’éducation face à la guerre d’agression menée par la Russie contre l’Ukraine. Le portail </w:t>
      </w:r>
      <w:r>
        <w:rPr>
          <w:rFonts w:ascii="EC Square Sans Pro" w:hAnsi="EC Square Sans Pro"/>
          <w:b/>
          <w:noProof/>
          <w:sz w:val="20"/>
        </w:rPr>
        <w:t>School Education Gateway</w:t>
      </w:r>
      <w:r>
        <w:rPr>
          <w:rFonts w:ascii="EC Square Sans Pro" w:hAnsi="EC Square Sans Pro"/>
          <w:noProof/>
          <w:sz w:val="20"/>
        </w:rPr>
        <w:t xml:space="preserve"> a servi de plateforme publique pour venir en aide aux enseignants et à la communauté pédagogique au sens large, en mettant en commun des ressources et en proposant gratuitement des cours de perfectionnement professionnel en ligne en lien avec l’instruction des réfugiés</w:t>
      </w:r>
      <w:r w:rsidRPr="002242ED">
        <w:rPr>
          <w:rFonts w:ascii="EC Square Sans Pro" w:hAnsi="EC Square Sans Pro"/>
          <w:noProof/>
          <w:sz w:val="20"/>
          <w:szCs w:val="20"/>
          <w:vertAlign w:val="superscript"/>
        </w:rPr>
        <w:footnoteReference w:id="40"/>
      </w:r>
      <w:r>
        <w:rPr>
          <w:rFonts w:ascii="EC Square Sans Pro" w:hAnsi="EC Square Sans Pro"/>
          <w:noProof/>
          <w:sz w:val="20"/>
        </w:rPr>
        <w:t>.</w:t>
      </w:r>
    </w:p>
    <w:p w:rsidR="00C03325" w:rsidRPr="002242ED" w:rsidRDefault="00426157" w:rsidP="000B1E8F">
      <w:pPr>
        <w:spacing w:after="120" w:line="240" w:lineRule="auto"/>
        <w:jc w:val="both"/>
        <w:rPr>
          <w:rFonts w:ascii="EC Square Sans Pro" w:eastAsia="Calibri" w:hAnsi="EC Square Sans Pro" w:cs="Times New Roman"/>
          <w:noProof/>
          <w:sz w:val="20"/>
          <w:szCs w:val="20"/>
        </w:rPr>
      </w:pPr>
      <w:r>
        <w:rPr>
          <w:rFonts w:ascii="EC Square Sans Pro" w:hAnsi="EC Square Sans Pro"/>
          <w:noProof/>
          <w:sz w:val="20"/>
        </w:rPr>
        <w:t xml:space="preserve">La Commission a mobilisé des </w:t>
      </w:r>
      <w:r>
        <w:rPr>
          <w:rFonts w:ascii="EC Square Sans Pro" w:hAnsi="EC Square Sans Pro"/>
          <w:b/>
          <w:noProof/>
          <w:sz w:val="20"/>
        </w:rPr>
        <w:t>fonds de l’UE pour soutenir l’intégration des personnes fuyant l’Ukraine dans l’éducation</w:t>
      </w:r>
      <w:r>
        <w:rPr>
          <w:rFonts w:ascii="EC Square Sans Pro" w:hAnsi="EC Square Sans Pro"/>
          <w:noProof/>
          <w:sz w:val="20"/>
        </w:rPr>
        <w:t>. L’initiative intitulée «Action de cohésion pour les réfugiés en Europe» (CARE), adoptée en avril 2022, offre une marge de manœuvre maximale pour réorienter les fonds structurels inutilisés au cours de la période 2014-2020 (soit environ 7 milliards d’EUR). Les modifications apportées à la législation permettent un cofinancement de l’UE équivalent à 100 % et les États membres peuvent recourir indifféremment au FEDER et au FSE. La proposition législative «FAST-CARE», adoptée le 29 juin 2022, a permis l’introduction d’une nouvelle série de mesures prévoyant une plus grande souplesse dans les règlements portant dispositions communes pour les périodes 2014-2020 et 2021-2027. Elle a permis d’augmenter la marge de manœuvre prévue dans le règlement «CARE» et d’introduire des mesures supplémentaires, notamment afin d’aider les États membres à mieux répondre aux besoins naissants et aux conséquences à long terme de la crise. Le programme «REACT-EU» a apporté aux programmes de la politique de cohésion en cours pour les années 2021 et 2022 [le FSE, le FEDER et le Fonds européen d’aide aux plus démunis (FEAD)] 50 milliards d’EUR de ressources complémentaires à dépenser avant la fin de l’année 2023. L’enveloppe totale allouée à l’éducation au titre du programme REACT-EU s’élève à quelque 4,9 milliards d’EUR</w:t>
      </w:r>
      <w:r w:rsidR="00801AD9">
        <w:rPr>
          <w:rStyle w:val="FootnoteReference"/>
          <w:rFonts w:ascii="EC Square Sans Pro" w:eastAsia="Calibri" w:hAnsi="EC Square Sans Pro" w:cs="Times New Roman"/>
          <w:noProof/>
          <w:sz w:val="20"/>
          <w:szCs w:val="20"/>
        </w:rPr>
        <w:footnoteReference w:id="41"/>
      </w:r>
      <w:r>
        <w:rPr>
          <w:rFonts w:ascii="EC Square Sans Pro" w:hAnsi="EC Square Sans Pro"/>
          <w:noProof/>
          <w:sz w:val="20"/>
        </w:rPr>
        <w:t xml:space="preserve">. </w:t>
      </w:r>
    </w:p>
    <w:p w:rsidR="00D7570A" w:rsidRDefault="00C03325" w:rsidP="00517847">
      <w:pPr>
        <w:spacing w:after="120" w:line="240" w:lineRule="auto"/>
        <w:jc w:val="both"/>
        <w:rPr>
          <w:rFonts w:ascii="EC Square Sans Pro" w:hAnsi="EC Square Sans Pro"/>
          <w:b/>
          <w:bCs/>
          <w:noProof/>
          <w:color w:val="DF4E2B"/>
          <w:sz w:val="28"/>
          <w:szCs w:val="28"/>
        </w:rPr>
      </w:pPr>
      <w:r>
        <w:rPr>
          <w:rFonts w:ascii="EC Square Sans Pro" w:hAnsi="EC Square Sans Pro"/>
          <w:b/>
          <w:noProof/>
          <w:sz w:val="20"/>
        </w:rPr>
        <w:t>Dans le cadre du programme Erasmus+, de nouvelles possibilités s’offrent désormais aux futurs participants venant d’Ukraine.</w:t>
      </w:r>
      <w:r>
        <w:rPr>
          <w:rFonts w:ascii="EC Square Sans Pro" w:hAnsi="EC Square Sans Pro"/>
          <w:noProof/>
          <w:sz w:val="20"/>
        </w:rPr>
        <w:t xml:space="preserve"> Les organisations ayant des projets Erasmus+ en cours peuvent accueillir des enseignants et des étudiants ukrainiens désireux d’effectuer des missions d’enseignement, de poursuivre des études ou de réaliser des stages. Le personnel universitaire possédant les compétences requises peut être envoyé dans les régions où des réfugiés sont hébergés. Les organisations actives dans le programme Erasmus+ peuvent inviter des enseignants, des formateurs et d’autres experts ukrainiens à les assister temporairement dans leur travail dans des domaines tels que l’apprentissage des langues ou l’intégration. Les établissements d’enseignement supérieur des États membres et des pays tiers associés au programme peuvent accueillir et soutenir financièrement les étudiants et le personnel provenant d’établissements d’enseignement supérieur ukrainiens sans que leur établissement d’origine ne participe formellement au programme. Les étudiants ukrainiens peuvent suivre des cours dans les établissements d’accueil et bénéficier d’une aide supplémentaire, notamment en matière d’hébergement, d’intégration au sein de la communauté universitaire locale ou de préparation linguistique. Les étudiants et les jeunes diplômés (titulaires d’un diplôme délivré par un établissement d’enseignement supérieur ukrainien dans les douze mois précédant leur fuite d’Ukraine) peuvent également prétendre à un stage. Le personnel universitaire peut prétendre à la mobilité à des fins d’enseignement et bénéficier de formations. Les activités en faveur de la mobilité des jeunes sont ouvertes aux jeunes ukrainiens et aux animateurs socio-éducatifs provenant d’Ukraine. Les candidats potentiels au programme Erasmus+ sont encouragés à inclure des activités liées à l’intégration des personnes déportées d’Ukraine dans les projets proposés dans le cadre des appels en cours et à venir. Ces sujets sont profondément ancrés dans le programme Erasmus+, l’inclusion, la diversité et la participation citoyenne constituant des priorités transversales essentielles.</w:t>
      </w:r>
      <w:bookmarkStart w:id="12" w:name="_Toc110850850"/>
      <w:r>
        <w:rPr>
          <w:noProof/>
        </w:rPr>
        <w:br w:type="page"/>
      </w:r>
    </w:p>
    <w:p w:rsidR="006C5862" w:rsidRPr="002B7E5B" w:rsidRDefault="00221CE1" w:rsidP="00517847">
      <w:pPr>
        <w:pStyle w:val="2022Head1"/>
        <w:keepNext/>
        <w:keepLines/>
        <w:ind w:left="0" w:firstLine="0"/>
        <w:rPr>
          <w:noProof/>
        </w:rPr>
      </w:pPr>
      <w:bookmarkStart w:id="13" w:name="_Toc118981462"/>
      <w:r>
        <w:rPr>
          <w:noProof/>
        </w:rPr>
        <w:t xml:space="preserve">4. </w:t>
      </w:r>
      <w:r>
        <w:rPr>
          <w:noProof/>
        </w:rPr>
        <w:tab/>
        <w:t>Mesures supplémentaires nécessaires à la réalisation de l’EEE d’ici à 2025</w:t>
      </w:r>
      <w:bookmarkEnd w:id="12"/>
      <w:bookmarkEnd w:id="13"/>
    </w:p>
    <w:p w:rsidR="006C5862" w:rsidRPr="002B7E5B" w:rsidRDefault="00221CE1" w:rsidP="002B7E5B">
      <w:pPr>
        <w:pStyle w:val="2022Head2"/>
        <w:rPr>
          <w:noProof/>
        </w:rPr>
      </w:pPr>
      <w:bookmarkStart w:id="14" w:name="_Toc110850851"/>
      <w:bookmarkStart w:id="15" w:name="_Toc118981463"/>
      <w:r>
        <w:rPr>
          <w:noProof/>
        </w:rPr>
        <w:t xml:space="preserve">4.1. </w:t>
      </w:r>
      <w:r>
        <w:rPr>
          <w:noProof/>
        </w:rPr>
        <w:tab/>
        <w:t>Six initiatives stratégiques en faveur de l’EEE, à mener à l’échelle de l’UE, sont en cours d’élaboration</w:t>
      </w:r>
      <w:bookmarkEnd w:id="14"/>
      <w:bookmarkEnd w:id="15"/>
    </w:p>
    <w:p w:rsidR="00FC3D77" w:rsidRDefault="00FC3D77" w:rsidP="14FA6798">
      <w:pPr>
        <w:spacing w:before="120" w:after="120" w:line="240" w:lineRule="auto"/>
        <w:jc w:val="both"/>
        <w:rPr>
          <w:rFonts w:ascii="EC Square Sans Pro" w:hAnsi="EC Square Sans Pro"/>
          <w:b/>
          <w:bCs/>
          <w:noProof/>
          <w:sz w:val="20"/>
          <w:szCs w:val="20"/>
        </w:rPr>
      </w:pPr>
      <w:r>
        <w:rPr>
          <w:rFonts w:ascii="EC Square Sans Pro" w:hAnsi="EC Square Sans Pro"/>
          <w:noProof/>
          <w:sz w:val="20"/>
        </w:rPr>
        <w:t>La Commission prépare actuellement les six dernières initiatives stratégiques en faveur de l’EEE qui doivent être adoptées d’ici à 2025 et soutient les États membres dans la mise en œuvre de toutes les initiatives stratégiques en place. La cocréation de nouvelles initiatives stratégiques en faveur de l’EEE et l’expérience acquise en matière de suivi, au niveau national, de toutes les initiatives menées dans le cadre de l’EEE seront toutes deux à l’ordre du jour lors de l’examen à mi-parcours qui aura lieu en 2023 (voir section 5.2).</w:t>
      </w:r>
    </w:p>
    <w:p w:rsidR="0070738C" w:rsidRPr="002242ED" w:rsidRDefault="0070738C" w:rsidP="0070738C">
      <w:pPr>
        <w:pStyle w:val="2022Figures"/>
        <w:rPr>
          <w:noProof/>
        </w:rPr>
      </w:pPr>
      <w:r>
        <w:rPr>
          <w:noProof/>
        </w:rPr>
        <w:t>Initiatives stratégiques en faveur de l’EEE à adopter d’ici à 2025</w:t>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6840"/>
        <w:gridCol w:w="2232"/>
      </w:tblGrid>
      <w:tr w:rsidR="0070738C" w:rsidRPr="00411EC5" w:rsidTr="0039147A">
        <w:trPr>
          <w:trHeight w:val="245"/>
          <w:tblHeader/>
        </w:trPr>
        <w:tc>
          <w:tcPr>
            <w:tcW w:w="6840" w:type="dxa"/>
            <w:vMerge w:val="restart"/>
            <w:shd w:val="clear" w:color="auto" w:fill="DDDCF0"/>
            <w:vAlign w:val="center"/>
          </w:tcPr>
          <w:p w:rsidR="0070738C" w:rsidRPr="00900448" w:rsidRDefault="0070738C" w:rsidP="00AB56C6">
            <w:pPr>
              <w:keepNext/>
              <w:keepLines/>
              <w:contextualSpacing/>
              <w:jc w:val="center"/>
              <w:rPr>
                <w:rFonts w:ascii="EC Square Sans Pro" w:hAnsi="EC Square Sans Pro"/>
                <w:b/>
                <w:noProof/>
                <w:color w:val="DF4E2B"/>
                <w:sz w:val="18"/>
                <w:szCs w:val="18"/>
              </w:rPr>
            </w:pPr>
            <w:r>
              <w:rPr>
                <w:rFonts w:ascii="EC Square Sans Pro" w:hAnsi="EC Square Sans Pro"/>
                <w:b/>
                <w:noProof/>
                <w:color w:val="DF4E2B"/>
                <w:sz w:val="18"/>
              </w:rPr>
              <w:t>Action</w:t>
            </w:r>
          </w:p>
        </w:tc>
        <w:tc>
          <w:tcPr>
            <w:tcW w:w="2232" w:type="dxa"/>
            <w:vMerge w:val="restart"/>
            <w:shd w:val="clear" w:color="auto" w:fill="DDDCF0"/>
            <w:vAlign w:val="center"/>
          </w:tcPr>
          <w:p w:rsidR="0070738C" w:rsidRPr="00900448" w:rsidRDefault="0070738C" w:rsidP="00AB56C6">
            <w:pPr>
              <w:contextualSpacing/>
              <w:jc w:val="center"/>
              <w:rPr>
                <w:rFonts w:ascii="EC Square Sans Pro" w:hAnsi="EC Square Sans Pro"/>
                <w:b/>
                <w:noProof/>
                <w:color w:val="DF4E2B"/>
                <w:sz w:val="18"/>
                <w:szCs w:val="18"/>
              </w:rPr>
            </w:pPr>
            <w:r>
              <w:rPr>
                <w:rFonts w:ascii="EC Square Sans Pro" w:hAnsi="EC Square Sans Pro"/>
                <w:b/>
                <w:noProof/>
                <w:color w:val="DF4E2B"/>
                <w:sz w:val="18"/>
              </w:rPr>
              <w:t>Domaine prioritaire</w:t>
            </w:r>
          </w:p>
        </w:tc>
      </w:tr>
      <w:tr w:rsidR="0070738C" w:rsidRPr="00411EC5" w:rsidTr="0039147A">
        <w:trPr>
          <w:trHeight w:val="252"/>
        </w:trPr>
        <w:tc>
          <w:tcPr>
            <w:tcW w:w="6840" w:type="dxa"/>
            <w:vMerge/>
            <w:shd w:val="clear" w:color="auto" w:fill="DDDCF0"/>
            <w:vAlign w:val="center"/>
          </w:tcPr>
          <w:p w:rsidR="0070738C" w:rsidRPr="00900448" w:rsidRDefault="0070738C" w:rsidP="00AB56C6">
            <w:pPr>
              <w:keepNext/>
              <w:keepLines/>
              <w:contextualSpacing/>
              <w:rPr>
                <w:rFonts w:ascii="EC Square Sans Pro" w:hAnsi="EC Square Sans Pro"/>
                <w:b/>
                <w:noProof/>
                <w:sz w:val="18"/>
                <w:szCs w:val="18"/>
              </w:rPr>
            </w:pPr>
          </w:p>
        </w:tc>
        <w:tc>
          <w:tcPr>
            <w:tcW w:w="2232" w:type="dxa"/>
            <w:vMerge/>
            <w:shd w:val="clear" w:color="auto" w:fill="DDDCF0"/>
          </w:tcPr>
          <w:p w:rsidR="0070738C" w:rsidRPr="00900448" w:rsidRDefault="0070738C" w:rsidP="00AB56C6">
            <w:pPr>
              <w:contextualSpacing/>
              <w:rPr>
                <w:rFonts w:ascii="EC Square Sans Pro" w:hAnsi="EC Square Sans Pro"/>
                <w:noProof/>
                <w:sz w:val="18"/>
                <w:szCs w:val="18"/>
              </w:rPr>
            </w:pPr>
          </w:p>
        </w:tc>
      </w:tr>
      <w:tr w:rsidR="0070738C" w:rsidRPr="00411EC5" w:rsidTr="0039147A">
        <w:tc>
          <w:tcPr>
            <w:tcW w:w="6840" w:type="dxa"/>
            <w:shd w:val="clear" w:color="auto" w:fill="auto"/>
            <w:vAlign w:val="center"/>
          </w:tcPr>
          <w:p w:rsidR="0070738C" w:rsidRPr="00900448" w:rsidRDefault="0070738C" w:rsidP="00976EFC">
            <w:pPr>
              <w:keepNext/>
              <w:keepLines/>
              <w:contextualSpacing/>
              <w:rPr>
                <w:rFonts w:ascii="EC Square Sans Pro" w:hAnsi="EC Square Sans Pro"/>
                <w:noProof/>
                <w:sz w:val="18"/>
                <w:szCs w:val="18"/>
              </w:rPr>
            </w:pPr>
            <w:r>
              <w:rPr>
                <w:rFonts w:ascii="EC Square Sans Pro" w:hAnsi="EC Square Sans Pro"/>
                <w:b/>
                <w:noProof/>
                <w:sz w:val="18"/>
              </w:rPr>
              <w:t xml:space="preserve">Facteurs propices à l’éducation numérique: </w:t>
            </w:r>
            <w:r>
              <w:rPr>
                <w:rFonts w:ascii="EC Square Sans Pro" w:hAnsi="EC Square Sans Pro"/>
                <w:noProof/>
                <w:sz w:val="18"/>
              </w:rPr>
              <w:t>l’objectif sera de soutenir les États membres dans la transformation numérique de leurs systèmes d’éducation et de formation en définissant les principaux facteurs propices à une éducation numérique efficace et inclusive.</w:t>
            </w:r>
          </w:p>
        </w:tc>
        <w:tc>
          <w:tcPr>
            <w:tcW w:w="2232" w:type="dxa"/>
            <w:vAlign w:val="center"/>
          </w:tcPr>
          <w:p w:rsidR="0070738C" w:rsidRPr="00900448" w:rsidRDefault="0070738C" w:rsidP="00AB56C6">
            <w:pPr>
              <w:contextualSpacing/>
              <w:jc w:val="center"/>
              <w:rPr>
                <w:rFonts w:ascii="EC Square Sans Pro" w:hAnsi="EC Square Sans Pro"/>
                <w:noProof/>
                <w:sz w:val="18"/>
                <w:szCs w:val="18"/>
              </w:rPr>
            </w:pPr>
            <w:r>
              <w:rPr>
                <w:rFonts w:ascii="EC Square Sans Pro" w:hAnsi="EC Square Sans Pro"/>
                <w:noProof/>
                <w:sz w:val="18"/>
              </w:rPr>
              <w:t>Transition numérique</w:t>
            </w:r>
          </w:p>
        </w:tc>
      </w:tr>
      <w:tr w:rsidR="0070738C" w:rsidRPr="00411EC5" w:rsidTr="0039147A">
        <w:tc>
          <w:tcPr>
            <w:tcW w:w="6840" w:type="dxa"/>
            <w:shd w:val="clear" w:color="auto" w:fill="D1E7FE"/>
            <w:vAlign w:val="center"/>
          </w:tcPr>
          <w:p w:rsidR="0070738C" w:rsidRPr="00900448" w:rsidRDefault="0070738C" w:rsidP="000C6DB0">
            <w:pPr>
              <w:keepNext/>
              <w:keepLines/>
              <w:contextualSpacing/>
              <w:rPr>
                <w:rFonts w:ascii="EC Square Sans Pro" w:hAnsi="EC Square Sans Pro"/>
                <w:noProof/>
                <w:sz w:val="18"/>
                <w:szCs w:val="18"/>
              </w:rPr>
            </w:pPr>
            <w:r>
              <w:rPr>
                <w:rFonts w:ascii="EC Square Sans Pro" w:hAnsi="EC Square Sans Pro"/>
                <w:b/>
                <w:noProof/>
                <w:sz w:val="18"/>
              </w:rPr>
              <w:t xml:space="preserve">Amélioration de l’enseignement des compétences numériques dans le domaine de l’éducation et de la formation: </w:t>
            </w:r>
            <w:r>
              <w:rPr>
                <w:rFonts w:ascii="EC Square Sans Pro" w:hAnsi="EC Square Sans Pro"/>
                <w:noProof/>
                <w:sz w:val="18"/>
              </w:rPr>
              <w:t>l’objectif sera d’aider les États membres à relever les défis communs liés au niveau de la maîtrise des compétences numériques des différentes couches de population et d’accroître la capacité de leurs systèmes d’éducation et de formation à enseigner ces compétences.</w:t>
            </w:r>
          </w:p>
        </w:tc>
        <w:tc>
          <w:tcPr>
            <w:tcW w:w="2232" w:type="dxa"/>
            <w:shd w:val="clear" w:color="auto" w:fill="D1E7FE"/>
            <w:vAlign w:val="center"/>
          </w:tcPr>
          <w:p w:rsidR="0070738C" w:rsidRPr="00900448" w:rsidRDefault="0070738C" w:rsidP="00AB56C6">
            <w:pPr>
              <w:contextualSpacing/>
              <w:jc w:val="center"/>
              <w:rPr>
                <w:rFonts w:ascii="EC Square Sans Pro" w:hAnsi="EC Square Sans Pro"/>
                <w:noProof/>
                <w:sz w:val="18"/>
                <w:szCs w:val="18"/>
              </w:rPr>
            </w:pPr>
            <w:r>
              <w:rPr>
                <w:rFonts w:ascii="EC Square Sans Pro" w:hAnsi="EC Square Sans Pro"/>
                <w:noProof/>
                <w:sz w:val="18"/>
              </w:rPr>
              <w:t>Transition numérique</w:t>
            </w:r>
          </w:p>
        </w:tc>
      </w:tr>
      <w:tr w:rsidR="0070738C" w:rsidRPr="00411EC5" w:rsidTr="0039147A">
        <w:tc>
          <w:tcPr>
            <w:tcW w:w="6840" w:type="dxa"/>
            <w:shd w:val="clear" w:color="auto" w:fill="auto"/>
            <w:vAlign w:val="center"/>
          </w:tcPr>
          <w:p w:rsidR="0070738C" w:rsidRPr="00900448" w:rsidRDefault="0070738C" w:rsidP="00AB56C6">
            <w:pPr>
              <w:contextualSpacing/>
              <w:rPr>
                <w:rFonts w:ascii="EC Square Sans Pro" w:hAnsi="EC Square Sans Pro"/>
                <w:noProof/>
                <w:sz w:val="18"/>
                <w:szCs w:val="18"/>
              </w:rPr>
            </w:pPr>
            <w:r>
              <w:rPr>
                <w:rFonts w:ascii="EC Square Sans Pro" w:hAnsi="EC Square Sans Pro"/>
                <w:b/>
                <w:noProof/>
                <w:sz w:val="18"/>
              </w:rPr>
              <w:t xml:space="preserve">Cadre européen de mobilité à des fins d’apprentissage: </w:t>
            </w:r>
            <w:r>
              <w:rPr>
                <w:rFonts w:ascii="EC Square Sans Pro" w:hAnsi="EC Square Sans Pro"/>
                <w:noProof/>
                <w:sz w:val="18"/>
              </w:rPr>
              <w:t>l’objectif sera de promouvoir à tous les niveaux la mobilité transnationale à des fins d’apprentissage, de recenser les obstacles qui subsistent et de fournir des orientations quant à la manière de les franchir.</w:t>
            </w:r>
          </w:p>
        </w:tc>
        <w:tc>
          <w:tcPr>
            <w:tcW w:w="2232" w:type="dxa"/>
            <w:vAlign w:val="center"/>
          </w:tcPr>
          <w:p w:rsidR="0070738C" w:rsidRPr="00900448" w:rsidRDefault="0070738C" w:rsidP="00AB56C6">
            <w:pPr>
              <w:contextualSpacing/>
              <w:jc w:val="center"/>
              <w:rPr>
                <w:rFonts w:ascii="EC Square Sans Pro" w:hAnsi="EC Square Sans Pro"/>
                <w:noProof/>
                <w:sz w:val="18"/>
                <w:szCs w:val="18"/>
              </w:rPr>
            </w:pPr>
            <w:r>
              <w:rPr>
                <w:rFonts w:ascii="EC Square Sans Pro" w:hAnsi="EC Square Sans Pro"/>
                <w:noProof/>
                <w:sz w:val="18"/>
              </w:rPr>
              <w:t>Apprentissage tout au long de la vie et mobilité</w:t>
            </w:r>
          </w:p>
        </w:tc>
      </w:tr>
      <w:tr w:rsidR="0070738C" w:rsidRPr="00411EC5" w:rsidTr="0039147A">
        <w:tc>
          <w:tcPr>
            <w:tcW w:w="6840" w:type="dxa"/>
            <w:shd w:val="clear" w:color="auto" w:fill="D1E7FE"/>
            <w:vAlign w:val="center"/>
          </w:tcPr>
          <w:p w:rsidR="0070738C" w:rsidRPr="00900448" w:rsidRDefault="0070738C" w:rsidP="00AB56C6">
            <w:pPr>
              <w:contextualSpacing/>
              <w:rPr>
                <w:rFonts w:ascii="EC Square Sans Pro" w:hAnsi="EC Square Sans Pro"/>
                <w:noProof/>
                <w:sz w:val="18"/>
                <w:szCs w:val="18"/>
              </w:rPr>
            </w:pPr>
            <w:r>
              <w:rPr>
                <w:rFonts w:ascii="EC Square Sans Pro" w:hAnsi="EC Square Sans Pro"/>
                <w:b/>
                <w:noProof/>
                <w:sz w:val="18"/>
              </w:rPr>
              <w:t xml:space="preserve">Système européen d’assurance et de reconnaissance de la qualité: </w:t>
            </w:r>
            <w:r>
              <w:rPr>
                <w:rFonts w:ascii="EC Square Sans Pro" w:hAnsi="EC Square Sans Pro"/>
                <w:noProof/>
                <w:sz w:val="18"/>
              </w:rPr>
              <w:t>l’objectif sera de réexaminer les dispositifs actuels d’assurance et de reconnaissance de la qualité et de veiller à ce qu’ils soient adaptés à leur finalité dans un contexte où l’enseignement supérieur est en pleine évolution.</w:t>
            </w:r>
          </w:p>
        </w:tc>
        <w:tc>
          <w:tcPr>
            <w:tcW w:w="2232" w:type="dxa"/>
            <w:shd w:val="clear" w:color="auto" w:fill="D1E7FE"/>
            <w:vAlign w:val="center"/>
          </w:tcPr>
          <w:p w:rsidR="0070738C" w:rsidRPr="00900448" w:rsidRDefault="0070738C" w:rsidP="00AB56C6">
            <w:pPr>
              <w:contextualSpacing/>
              <w:jc w:val="center"/>
              <w:rPr>
                <w:rFonts w:ascii="EC Square Sans Pro" w:hAnsi="EC Square Sans Pro"/>
                <w:noProof/>
                <w:sz w:val="18"/>
                <w:szCs w:val="18"/>
              </w:rPr>
            </w:pPr>
            <w:r>
              <w:rPr>
                <w:rFonts w:ascii="EC Square Sans Pro" w:hAnsi="EC Square Sans Pro"/>
                <w:noProof/>
                <w:sz w:val="18"/>
              </w:rPr>
              <w:t>Enseignement supérieur</w:t>
            </w:r>
          </w:p>
        </w:tc>
      </w:tr>
      <w:tr w:rsidR="0070738C" w:rsidRPr="00411EC5" w:rsidTr="0039147A">
        <w:tc>
          <w:tcPr>
            <w:tcW w:w="6840" w:type="dxa"/>
            <w:shd w:val="clear" w:color="auto" w:fill="auto"/>
            <w:vAlign w:val="center"/>
          </w:tcPr>
          <w:p w:rsidR="0070738C" w:rsidRPr="00900448" w:rsidRDefault="0070738C" w:rsidP="00336F7D">
            <w:pPr>
              <w:keepNext/>
              <w:keepLines/>
              <w:contextualSpacing/>
              <w:rPr>
                <w:rFonts w:ascii="EC Square Sans Pro" w:hAnsi="EC Square Sans Pro"/>
                <w:noProof/>
                <w:sz w:val="18"/>
                <w:szCs w:val="18"/>
              </w:rPr>
            </w:pPr>
            <w:r>
              <w:rPr>
                <w:rFonts w:ascii="EC Square Sans Pro" w:hAnsi="EC Square Sans Pro"/>
                <w:b/>
                <w:noProof/>
                <w:sz w:val="18"/>
              </w:rPr>
              <w:t>Label destiné à la reconnaissance d’un diplôme européen commun</w:t>
            </w:r>
            <w:r>
              <w:rPr>
                <w:rFonts w:ascii="EC Square Sans Pro" w:hAnsi="EC Square Sans Pro"/>
                <w:noProof/>
                <w:sz w:val="18"/>
              </w:rPr>
              <w:t>: l’objectif est de tester le label «diplôme européen», qui sera délivré sur une base volontaire, afin d’attester des résultats obtenus et des compétences acquises dans le cadre de cursus européens communs reposant sur une étroite collaboration transnationale.</w:t>
            </w:r>
          </w:p>
        </w:tc>
        <w:tc>
          <w:tcPr>
            <w:tcW w:w="2232" w:type="dxa"/>
            <w:vAlign w:val="center"/>
          </w:tcPr>
          <w:p w:rsidR="0070738C" w:rsidRPr="00900448" w:rsidRDefault="0070738C" w:rsidP="00AB56C6">
            <w:pPr>
              <w:contextualSpacing/>
              <w:jc w:val="center"/>
              <w:rPr>
                <w:rFonts w:ascii="EC Square Sans Pro" w:hAnsi="EC Square Sans Pro"/>
                <w:noProof/>
                <w:sz w:val="18"/>
                <w:szCs w:val="18"/>
              </w:rPr>
            </w:pPr>
            <w:r>
              <w:rPr>
                <w:rFonts w:ascii="EC Square Sans Pro" w:hAnsi="EC Square Sans Pro"/>
                <w:noProof/>
                <w:sz w:val="18"/>
              </w:rPr>
              <w:t>Enseignement supérieur</w:t>
            </w:r>
          </w:p>
        </w:tc>
      </w:tr>
      <w:tr w:rsidR="0070738C" w:rsidRPr="00411EC5" w:rsidTr="0039147A">
        <w:tc>
          <w:tcPr>
            <w:tcW w:w="6840" w:type="dxa"/>
            <w:shd w:val="clear" w:color="auto" w:fill="D1E7FE"/>
            <w:vAlign w:val="center"/>
          </w:tcPr>
          <w:p w:rsidR="0070738C" w:rsidRPr="00900448" w:rsidRDefault="0070738C" w:rsidP="006100CD">
            <w:pPr>
              <w:contextualSpacing/>
              <w:rPr>
                <w:rFonts w:ascii="EC Square Sans Pro" w:hAnsi="EC Square Sans Pro"/>
                <w:noProof/>
                <w:sz w:val="18"/>
                <w:szCs w:val="18"/>
              </w:rPr>
            </w:pPr>
            <w:r>
              <w:rPr>
                <w:rFonts w:ascii="EC Square Sans Pro" w:hAnsi="EC Square Sans Pro"/>
                <w:b/>
                <w:noProof/>
                <w:sz w:val="18"/>
              </w:rPr>
              <w:t>Possibilité d’un statut juridique pour les alliances entre établissements d’enseignement supérieur</w:t>
            </w:r>
            <w:r>
              <w:rPr>
                <w:rFonts w:ascii="EC Square Sans Pro" w:hAnsi="EC Square Sans Pro"/>
                <w:noProof/>
                <w:sz w:val="18"/>
              </w:rPr>
              <w:t>: l’objectif est de tester un programme d’études qui nécessite une coopération plus approfondie entre les établissements d’enseignement supérieur au moyen d’instruments institutionnalisés permettant de partager, le cas échéant, les compétences humaines et techniques ainsi que les capacités en matière de données, d’éducation, de recherche et d’innovation.</w:t>
            </w:r>
          </w:p>
        </w:tc>
        <w:tc>
          <w:tcPr>
            <w:tcW w:w="2232" w:type="dxa"/>
            <w:shd w:val="clear" w:color="auto" w:fill="D1E7FE"/>
            <w:vAlign w:val="center"/>
          </w:tcPr>
          <w:p w:rsidR="0070738C" w:rsidRPr="00900448" w:rsidRDefault="0070738C" w:rsidP="00AB56C6">
            <w:pPr>
              <w:contextualSpacing/>
              <w:jc w:val="center"/>
              <w:rPr>
                <w:rFonts w:ascii="EC Square Sans Pro" w:hAnsi="EC Square Sans Pro"/>
                <w:noProof/>
                <w:sz w:val="18"/>
                <w:szCs w:val="18"/>
              </w:rPr>
            </w:pPr>
            <w:r>
              <w:rPr>
                <w:rFonts w:ascii="EC Square Sans Pro" w:hAnsi="EC Square Sans Pro"/>
                <w:noProof/>
                <w:sz w:val="18"/>
              </w:rPr>
              <w:t>Enseignement supérieur</w:t>
            </w:r>
          </w:p>
        </w:tc>
      </w:tr>
    </w:tbl>
    <w:p w:rsidR="00F75F1B" w:rsidRDefault="00F75F1B" w:rsidP="14FA6798">
      <w:pPr>
        <w:spacing w:before="120" w:after="120" w:line="240" w:lineRule="auto"/>
        <w:jc w:val="both"/>
        <w:rPr>
          <w:rFonts w:ascii="EC Square Sans Pro" w:hAnsi="EC Square Sans Pro"/>
          <w:noProof/>
          <w:sz w:val="20"/>
          <w:szCs w:val="20"/>
        </w:rPr>
      </w:pPr>
      <w:r>
        <w:rPr>
          <w:rFonts w:ascii="EC Square Sans Pro" w:hAnsi="EC Square Sans Pro"/>
          <w:noProof/>
          <w:sz w:val="20"/>
        </w:rPr>
        <w:t>L’adoption par la Commission de la recommandation du Conseil relative à l’initiative «</w:t>
      </w:r>
      <w:r>
        <w:rPr>
          <w:rFonts w:ascii="EC Square Sans Pro" w:hAnsi="EC Square Sans Pro"/>
          <w:b/>
          <w:noProof/>
          <w:sz w:val="20"/>
        </w:rPr>
        <w:t>Passeport pour la réussite scolaire</w:t>
      </w:r>
      <w:r>
        <w:rPr>
          <w:rFonts w:ascii="EC Square Sans Pro" w:hAnsi="EC Square Sans Pro"/>
          <w:noProof/>
          <w:sz w:val="20"/>
        </w:rPr>
        <w:t>» (voir la section 2.1 ci-dessus concernant la proposition de la Commission) constituera une étape importante vers la mise en place d’un cadre d’action visant à promouvoir de meilleurs résultats scolaires pour tous les jeunes européens, indépendamment de leurs origines socio-économiques et des caractéristiques qui leur sont propres. Elle propose une approche globale consistant à i) mettre en avant la réussite scolaire et le bien-être à l’école, ii) privilégier les mesures d’intervention préventives outre les mesures compensatoires, iii) conjuguer les mesures universelles, spécifiques et individuelles afin qu’elles s’adressent à tous de manière efficace. Pour soutenir sa mise en œuvre, la Commission instaurera au début de l’année 2023 un groupe d’experts en matière de bien-être et d’environnements propices à l’apprentissage pour les groupes exposés au risque d’échec. Ce groupe élaborera des orientations de l’UE en matière de promotion du bien-être dans les écoles, dont la corrélation avec les résultats scolaires des élèves défavorisés est largement démontrée.</w:t>
      </w:r>
    </w:p>
    <w:p w:rsidR="004F158A" w:rsidRDefault="00557C4C" w:rsidP="14FA6798">
      <w:pPr>
        <w:spacing w:before="120" w:after="120" w:line="240" w:lineRule="auto"/>
        <w:jc w:val="both"/>
        <w:rPr>
          <w:rFonts w:ascii="EC Square Sans Pro" w:hAnsi="EC Square Sans Pro"/>
          <w:noProof/>
          <w:sz w:val="20"/>
          <w:szCs w:val="20"/>
        </w:rPr>
      </w:pPr>
      <w:r>
        <w:rPr>
          <w:rFonts w:ascii="EC Square Sans Pro" w:hAnsi="EC Square Sans Pro"/>
          <w:noProof/>
          <w:sz w:val="20"/>
        </w:rPr>
        <w:t>Dans le cadre de la mise en œuvre du plan d’action en matière d’éducation numérique, la Commission présentera, au début de l’année 2023, deux propositions phares fondées sur les résultats du dialogue structuré sur l’éducation et les compétences numériques</w:t>
      </w:r>
      <w:r w:rsidR="00A823AC" w:rsidRPr="002242ED">
        <w:rPr>
          <w:rFonts w:ascii="EC Square Sans Pro" w:hAnsi="EC Square Sans Pro"/>
          <w:noProof/>
          <w:sz w:val="20"/>
          <w:szCs w:val="20"/>
          <w:vertAlign w:val="superscript"/>
        </w:rPr>
        <w:footnoteReference w:id="42"/>
      </w:r>
      <w:r>
        <w:rPr>
          <w:rFonts w:ascii="EC Square Sans Pro" w:hAnsi="EC Square Sans Pro"/>
          <w:noProof/>
          <w:sz w:val="20"/>
        </w:rPr>
        <w:t xml:space="preserve">. La future proposition de recommandation du Conseil relative aux </w:t>
      </w:r>
      <w:r>
        <w:rPr>
          <w:rFonts w:ascii="EC Square Sans Pro" w:hAnsi="EC Square Sans Pro"/>
          <w:b/>
          <w:noProof/>
          <w:sz w:val="20"/>
        </w:rPr>
        <w:t>facteurs propices à l’éducation numérique</w:t>
      </w:r>
      <w:r>
        <w:rPr>
          <w:rFonts w:ascii="EC Square Sans Pro" w:hAnsi="EC Square Sans Pro"/>
          <w:noProof/>
          <w:sz w:val="20"/>
        </w:rPr>
        <w:t xml:space="preserve"> portera sur l’éducation et la formation formelles et mettra l’accent sur l’investissement, le renforcement des capacités et l’utilisation concluante des technologies numériques afin de favoriser l’enseignement et l’apprentissage, et dans le but d’améliorer les résultats scolaires de tous les apprenants. La proposition de recommandation du Conseil relative à l’</w:t>
      </w:r>
      <w:r>
        <w:rPr>
          <w:rFonts w:ascii="EC Square Sans Pro" w:hAnsi="EC Square Sans Pro"/>
          <w:b/>
          <w:noProof/>
          <w:sz w:val="20"/>
        </w:rPr>
        <w:t>amélioration de l’enseignement des compétences numériques</w:t>
      </w:r>
      <w:r>
        <w:rPr>
          <w:rFonts w:ascii="EC Square Sans Pro" w:hAnsi="EC Square Sans Pro"/>
          <w:noProof/>
          <w:sz w:val="20"/>
        </w:rPr>
        <w:t xml:space="preserve"> dans le domaine de l’éducation et de la formation mettra en avant une vision plus stratégique de l’acquisition des compétences numériques et défendra une approche qualitative, inclusive, cohérente et coordonnée de l’enseignement des compétences numériques à tous les niveaux de l’éducation et de la formation. Ces propositions </w:t>
      </w:r>
      <w:r>
        <w:rPr>
          <w:rFonts w:ascii="EC Square Sans Pro" w:hAnsi="EC Square Sans Pro"/>
          <w:b/>
          <w:noProof/>
          <w:sz w:val="20"/>
        </w:rPr>
        <w:t>répondront</w:t>
      </w:r>
      <w:r>
        <w:rPr>
          <w:rFonts w:ascii="EC Square Sans Pro" w:hAnsi="EC Square Sans Pro"/>
          <w:noProof/>
          <w:sz w:val="20"/>
        </w:rPr>
        <w:t xml:space="preserve"> toutes deux </w:t>
      </w:r>
      <w:r>
        <w:rPr>
          <w:rFonts w:ascii="EC Square Sans Pro" w:hAnsi="EC Square Sans Pro"/>
          <w:b/>
          <w:noProof/>
          <w:sz w:val="20"/>
        </w:rPr>
        <w:t>aux besoins d’apprentissage des enseignants</w:t>
      </w:r>
      <w:r>
        <w:rPr>
          <w:rFonts w:ascii="EC Square Sans Pro" w:hAnsi="EC Square Sans Pro"/>
          <w:noProof/>
          <w:sz w:val="20"/>
        </w:rPr>
        <w:t>. La recommandation du Conseil relative aux facteurs propices à l’éducation numérique mettra l’accent sur la pédagogie numérique des enseignants et sur leur capacité à recourir aux technologies numériques dans les processus d’enseignement et d’apprentissage. La recommandation du Conseil relative à l’amélioration de l’enseignement des compétences numériques dans le domaine de l’éducation et de la formation mettra l’accent sur les compétences numériques des enseignants et sur leur capacité à enseigner l’informatique et/ou d’autres matières en lien avec le numérique afin de permettre aux apprenants d’acquérir des compétences numériques.</w:t>
      </w:r>
    </w:p>
    <w:p w:rsidR="00CF048C" w:rsidRPr="00071B71" w:rsidRDefault="00A86FF2" w:rsidP="14FA6798">
      <w:pPr>
        <w:spacing w:before="120" w:after="120" w:line="240" w:lineRule="auto"/>
        <w:jc w:val="both"/>
        <w:rPr>
          <w:rFonts w:ascii="EC Square Sans Pro" w:hAnsi="EC Square Sans Pro"/>
          <w:b/>
          <w:noProof/>
          <w:sz w:val="20"/>
          <w:szCs w:val="20"/>
        </w:rPr>
      </w:pPr>
      <w:r>
        <w:rPr>
          <w:rFonts w:ascii="EC Square Sans Pro" w:hAnsi="EC Square Sans Pro"/>
          <w:noProof/>
          <w:sz w:val="20"/>
        </w:rPr>
        <w:t xml:space="preserve">D’ici la fin de l’année 2023, la Commission proposera un </w:t>
      </w:r>
      <w:r>
        <w:rPr>
          <w:rFonts w:ascii="EC Square Sans Pro" w:hAnsi="EC Square Sans Pro"/>
          <w:b/>
          <w:noProof/>
          <w:sz w:val="20"/>
        </w:rPr>
        <w:t>cadre européen de mobilité à des fins d’apprentissage</w:t>
      </w:r>
      <w:r>
        <w:rPr>
          <w:rFonts w:ascii="EC Square Sans Pro" w:hAnsi="EC Square Sans Pro"/>
          <w:noProof/>
          <w:sz w:val="20"/>
        </w:rPr>
        <w:t xml:space="preserve"> afin que les périodes d’apprentissage à l’étranger deviennent la règle, et non l’exception. Ce nouveau cadre encouragera les États membres à faire des expériences de mobilité un élément précieux de tous les parcours d’éducation et de formation et intégrera la mobilité comme une possibilité dans les programmes d’éducation et de formation. Il mettra davantage l’accent sur la mobilité inclusive et élargira le champ d’application de la </w:t>
      </w:r>
      <w:hyperlink r:id="rId41" w:history="1">
        <w:r>
          <w:rPr>
            <w:rStyle w:val="Hyperlink"/>
            <w:rFonts w:ascii="EC Square Sans Pro" w:hAnsi="EC Square Sans Pro"/>
            <w:noProof/>
            <w:sz w:val="20"/>
          </w:rPr>
          <w:t>recommandation «Jeunesse en mouvement» de 2011</w:t>
        </w:r>
      </w:hyperlink>
      <w:r>
        <w:rPr>
          <w:rFonts w:ascii="EC Square Sans Pro" w:hAnsi="EC Square Sans Pro"/>
          <w:noProof/>
          <w:sz w:val="20"/>
        </w:rPr>
        <w:t xml:space="preserve"> afin d’y inclure l’ensemble des apprenants et du personnel éducatif (enseignants et animateurs socio-éducatifs confondus) de tous les secteurs de l’éducation et de la formation, y compris ceux de la jeunesse et du sport, qu’il s’agisse d’enseignement formel, non formel ou informel. Ce cadre apportera des réponses aux problèmes persistants faisant obstacle à la mobilité, tels que la charge administrative, la barrière des langues, le manque de moyens financiers et l’absence de systèmes de reconnaissance automatique. Il s’adaptera également aux nouvelles évolutions des schémas d’apprentissage et visera à rendre la mobilité à des fins d’apprentissage plus respectueuse de l’environnement et à l’associer davantage aux possibilités d’apprentissage numérique. </w:t>
      </w:r>
    </w:p>
    <w:p w:rsidR="00C22354" w:rsidRPr="001C5D21" w:rsidRDefault="00C22354" w:rsidP="0049641A">
      <w:pPr>
        <w:spacing w:before="120" w:after="120" w:line="240" w:lineRule="auto"/>
        <w:jc w:val="both"/>
        <w:rPr>
          <w:rFonts w:ascii="EC Square Sans Pro" w:hAnsi="EC Square Sans Pro"/>
          <w:noProof/>
          <w:sz w:val="20"/>
          <w:szCs w:val="20"/>
        </w:rPr>
      </w:pPr>
      <w:r>
        <w:rPr>
          <w:rFonts w:ascii="EC Square Sans Pro" w:hAnsi="EC Square Sans Pro"/>
          <w:noProof/>
          <w:sz w:val="20"/>
        </w:rPr>
        <w:t xml:space="preserve">Dans le domaine de l’enseignement supérieur, certaines actions relevant de la stratégie européenne pour les universités comptent parmi les prochaines initiatives stratégiques en faveur de l’EEE. Après la publication du rapport au Conseil sur la mise en œuvre de la reconnaissance automatique, prévue pour la fin de l’année 2022, la Commission mènera en 2023 des consultations sur la voie à suivre en vue de la mise en place d’un </w:t>
      </w:r>
      <w:r>
        <w:rPr>
          <w:rFonts w:ascii="EC Square Sans Pro" w:hAnsi="EC Square Sans Pro"/>
          <w:b/>
          <w:noProof/>
          <w:sz w:val="20"/>
        </w:rPr>
        <w:t>système européen d’assurance et de reconnaissance de la qualité</w:t>
      </w:r>
      <w:r>
        <w:rPr>
          <w:rFonts w:ascii="EC Square Sans Pro" w:hAnsi="EC Square Sans Pro"/>
          <w:noProof/>
          <w:sz w:val="20"/>
        </w:rPr>
        <w:t xml:space="preserve">. Au cours de la période 2022-2023, des projets financés par le programme Erasmus+ permettront de tester un </w:t>
      </w:r>
      <w:r>
        <w:rPr>
          <w:rFonts w:ascii="EC Square Sans Pro" w:hAnsi="EC Square Sans Pro"/>
          <w:b/>
          <w:noProof/>
          <w:sz w:val="20"/>
        </w:rPr>
        <w:t>label destiné à la reconnaissance d’un diplôme européen commun</w:t>
      </w:r>
      <w:r>
        <w:rPr>
          <w:rFonts w:ascii="EC Square Sans Pro" w:hAnsi="EC Square Sans Pro"/>
          <w:noProof/>
          <w:sz w:val="20"/>
        </w:rPr>
        <w:t xml:space="preserve">, défini en fonction de critères européens, ainsi que des instruments de coopération institutionnalisés, afin de permettre une collaboration plus étroite entre les établissements d’enseignement supérieur en examinant la </w:t>
      </w:r>
      <w:r>
        <w:rPr>
          <w:rFonts w:ascii="EC Square Sans Pro" w:hAnsi="EC Square Sans Pro"/>
          <w:b/>
          <w:noProof/>
          <w:sz w:val="20"/>
        </w:rPr>
        <w:t>possibilité d’un éventuel statut juridique pour les alliances entre établissements d’enseignement supérieur</w:t>
      </w:r>
      <w:r>
        <w:rPr>
          <w:rFonts w:ascii="EC Square Sans Pro" w:hAnsi="EC Square Sans Pro"/>
          <w:noProof/>
          <w:sz w:val="20"/>
        </w:rPr>
        <w:t xml:space="preserve">. Les prochaines étapes seront définies avec les États membres et les parties prenantes en fonction de l’issue de ces projets pilotes. </w:t>
      </w:r>
    </w:p>
    <w:p w:rsidR="00E44997" w:rsidRPr="002242ED" w:rsidRDefault="00221CE1">
      <w:pPr>
        <w:pStyle w:val="2022Head2"/>
        <w:keepNext/>
        <w:keepLines/>
        <w:rPr>
          <w:noProof/>
        </w:rPr>
      </w:pPr>
      <w:bookmarkStart w:id="16" w:name="_Toc110850852"/>
      <w:bookmarkStart w:id="17" w:name="_Toc118981464"/>
      <w:r>
        <w:rPr>
          <w:noProof/>
        </w:rPr>
        <w:t xml:space="preserve">4.2. </w:t>
      </w:r>
      <w:r>
        <w:rPr>
          <w:noProof/>
        </w:rPr>
        <w:tab/>
        <w:t>Nouvel indicateur d’équité et autres mesures pour apporter davantage d’éléments factuels</w:t>
      </w:r>
      <w:bookmarkEnd w:id="16"/>
      <w:bookmarkEnd w:id="17"/>
      <w:r>
        <w:rPr>
          <w:noProof/>
        </w:rPr>
        <w:t xml:space="preserve"> </w:t>
      </w:r>
    </w:p>
    <w:p w:rsidR="00C734BD" w:rsidRDefault="00C734BD" w:rsidP="0066789C">
      <w:pPr>
        <w:keepNext/>
        <w:keepLines/>
        <w:spacing w:after="120" w:line="240" w:lineRule="auto"/>
        <w:jc w:val="both"/>
        <w:rPr>
          <w:rFonts w:ascii="EC Square Sans Pro" w:hAnsi="EC Square Sans Pro"/>
          <w:noProof/>
          <w:sz w:val="20"/>
          <w:szCs w:val="20"/>
        </w:rPr>
      </w:pPr>
      <w:r>
        <w:rPr>
          <w:rFonts w:ascii="EC Square Sans Pro" w:hAnsi="EC Square Sans Pro"/>
          <w:b/>
          <w:noProof/>
          <w:sz w:val="20"/>
        </w:rPr>
        <w:t>L’équité a joué dès le départ un rôle fondamental dans la coopération de l’UE en matière d’éducation et de formation</w:t>
      </w:r>
      <w:r>
        <w:rPr>
          <w:rFonts w:ascii="EC Square Sans Pro" w:hAnsi="EC Square Sans Pro"/>
          <w:noProof/>
          <w:sz w:val="20"/>
        </w:rPr>
        <w:t>, ce qui transparaît dans l’objectif fixé de longue date au niveau de l’UE en vue de réduire la proportion d’élèves ne possédant pas une maîtrise suffisante des compétences élémentaires, telle que mesurée dans le cadre du programme international de l’OCDE pour le suivi des acquis des élèves (PISA). Les jeunes ayant une maîtrise insuffisante de la lecture, des mathématiques ou des sciences sont plus susceptibles de rencontrer des difficultés plus tard dans leur vie en ce qui concerne, par exemple, les perspectives qui s’offriront à eux sur le marché du travail ou leur insertion dans la société</w:t>
      </w:r>
      <w:r w:rsidR="00E17136">
        <w:rPr>
          <w:rStyle w:val="FootnoteReference"/>
          <w:rFonts w:ascii="EC Square Sans Pro" w:hAnsi="EC Square Sans Pro"/>
          <w:noProof/>
          <w:sz w:val="20"/>
          <w:szCs w:val="20"/>
        </w:rPr>
        <w:footnoteReference w:id="43"/>
      </w:r>
      <w:r>
        <w:rPr>
          <w:rFonts w:ascii="EC Square Sans Pro" w:hAnsi="EC Square Sans Pro"/>
          <w:noProof/>
          <w:sz w:val="20"/>
        </w:rPr>
        <w:t>.</w:t>
      </w:r>
    </w:p>
    <w:p w:rsidR="00C734BD" w:rsidRDefault="00854503" w:rsidP="00854503">
      <w:pPr>
        <w:spacing w:after="120" w:line="240" w:lineRule="auto"/>
        <w:jc w:val="both"/>
        <w:rPr>
          <w:rFonts w:ascii="EC Square Sans Pro" w:hAnsi="EC Square Sans Pro"/>
          <w:noProof/>
          <w:sz w:val="20"/>
          <w:szCs w:val="20"/>
        </w:rPr>
      </w:pPr>
      <w:r>
        <w:rPr>
          <w:rFonts w:ascii="EC Square Sans Pro" w:hAnsi="EC Square Sans Pro"/>
          <w:noProof/>
          <w:sz w:val="20"/>
        </w:rPr>
        <w:t xml:space="preserve">Pour compléter cet indicateur d’alerte rapide, la Commission a franchi une nouvelle étape: dans son rapport de suivi de l’éducation et de la formation, édition 2022, elle présente pour la toute première fois un </w:t>
      </w:r>
      <w:r>
        <w:rPr>
          <w:rFonts w:ascii="EC Square Sans Pro" w:hAnsi="EC Square Sans Pro"/>
          <w:b/>
          <w:bCs/>
          <w:noProof/>
          <w:sz w:val="20"/>
        </w:rPr>
        <w:t>indicateur qui apporte des éléments concrets concernant les causes profondes de l’échec scolaire</w:t>
      </w:r>
      <w:r>
        <w:rPr>
          <w:rFonts w:ascii="EC Square Sans Pro" w:hAnsi="EC Square Sans Pro"/>
          <w:noProof/>
          <w:sz w:val="20"/>
        </w:rPr>
        <w:t xml:space="preserve"> [voir SWD (2022) 750, section II.2.2.1, et SWD (2022) 751]. Ce nouvel indicateur permet d’analyser le pourcentage d’échec scolaire dans les trois domaines examinés par l’enquête PISA simultanément</w:t>
      </w:r>
      <w:r w:rsidRPr="00854503">
        <w:rPr>
          <w:rFonts w:ascii="EC Square Sans Pro" w:hAnsi="EC Square Sans Pro"/>
          <w:noProof/>
          <w:sz w:val="20"/>
          <w:szCs w:val="20"/>
          <w:vertAlign w:val="superscript"/>
        </w:rPr>
        <w:footnoteReference w:id="44"/>
      </w:r>
      <w:r>
        <w:rPr>
          <w:rFonts w:ascii="EC Square Sans Pro" w:hAnsi="EC Square Sans Pro"/>
          <w:noProof/>
          <w:sz w:val="20"/>
        </w:rPr>
        <w:t>, en comparant, pour chaque pays, les résultats obtenus selon que les apprenants se situent dans le quart supérieur ou dans le quart inférieur de l’échelle socio-économique.</w:t>
      </w:r>
    </w:p>
    <w:p w:rsidR="00854503" w:rsidRPr="00854503" w:rsidRDefault="00854503" w:rsidP="00854503">
      <w:pPr>
        <w:jc w:val="both"/>
        <w:rPr>
          <w:rFonts w:ascii="EC Square Sans Pro" w:hAnsi="EC Square Sans Pro"/>
          <w:noProof/>
          <w:sz w:val="20"/>
          <w:szCs w:val="20"/>
        </w:rPr>
      </w:pPr>
      <w:r>
        <w:rPr>
          <w:rFonts w:ascii="EC Square Sans Pro" w:hAnsi="EC Square Sans Pro"/>
          <w:b/>
          <w:noProof/>
          <w:sz w:val="20"/>
        </w:rPr>
        <w:t>Les données confirment que le milieu socio-économique constitue l’un des principaux facteurs à l’origine de l’échec scolaire.</w:t>
      </w:r>
      <w:r>
        <w:rPr>
          <w:rFonts w:ascii="EC Square Sans Pro" w:hAnsi="EC Square Sans Pro"/>
          <w:noProof/>
          <w:sz w:val="20"/>
        </w:rPr>
        <w:t xml:space="preserve"> Dans l’UE, le risque d’échec scolaire est en moyenne près de six fois plus élevé chez les jeunes issus d’un milieu socio-économique défavorisé que chez ceux issus d’un milieu socio-économique aisé, ce qui est révélateur d’un problème majeur en matière d’équité. Comme indiqué plus haut, les systèmes éducatifs de la plupart des États membres ne permettent pas de dissocier les résultats scolaires du milieu socio-économique. En effet, les données indiquent que le chômage et l’exclusion sociale sont un cercle vicieux qui se perpétue de génération en génération. </w:t>
      </w:r>
    </w:p>
    <w:p w:rsidR="00DA47E2" w:rsidRPr="002242ED" w:rsidRDefault="00DA47E2" w:rsidP="00DA47E2">
      <w:pPr>
        <w:pStyle w:val="2022Figures"/>
        <w:rPr>
          <w:noProof/>
        </w:rPr>
      </w:pPr>
      <w:r>
        <w:rPr>
          <w:noProof/>
        </w:rPr>
        <w:t>Nouvel indicateur pour mesurer l’équité dans le domaine de l’éducation à l’échelle de l’UE</w:t>
      </w:r>
      <w:r w:rsidRPr="002242ED">
        <w:rPr>
          <w:rStyle w:val="FootnoteReference"/>
          <w:noProof/>
        </w:rPr>
        <w:footnoteReference w:id="45"/>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DA47E2" w:rsidRPr="00900448" w:rsidTr="000F4E89">
        <w:trPr>
          <w:trHeight w:val="752"/>
          <w:tblHeader/>
        </w:trPr>
        <w:tc>
          <w:tcPr>
            <w:tcW w:w="9072" w:type="dxa"/>
            <w:shd w:val="clear" w:color="auto" w:fill="DDDCF0"/>
            <w:vAlign w:val="center"/>
          </w:tcPr>
          <w:p w:rsidR="00DA47E2" w:rsidRPr="007342E0" w:rsidRDefault="00DA47E2" w:rsidP="00DA47E2">
            <w:pPr>
              <w:shd w:val="clear" w:color="auto" w:fill="DDDCF0"/>
              <w:jc w:val="both"/>
              <w:rPr>
                <w:rFonts w:ascii="EC Square Sans Pro" w:hAnsi="EC Square Sans Pro"/>
                <w:noProof/>
                <w:sz w:val="18"/>
                <w:szCs w:val="18"/>
              </w:rPr>
            </w:pPr>
            <w:r>
              <w:rPr>
                <w:rFonts w:ascii="EC Square Sans Pro" w:hAnsi="EC Square Sans Pro"/>
                <w:noProof/>
                <w:sz w:val="18"/>
              </w:rPr>
              <w:t>Le nouvel indicateur d’équité dans le domaine de l’éducation, applicable au niveau de l’UE, est élaboré à partir du programme international de l’OCDE pour le suivi des acquis des élèves (PISA). Il exprime la proportion de jeunes, parmi la population âgée de quinze ans issue du quart inférieur de l’échelle socio-économique [C], possédant une maîtrise insuffisante à la fois de la lecture, des mathématiques et des sciences. Les deux éléments de comparaison sont [A] la proportion moyenne de jeunes en échec scolaire au niveau national et [B] la proportion de jeunes en échec scolaire parmi ceux se situant dans le quart supérieur de l’échelle économique, sociale et culturelle.</w:t>
            </w:r>
          </w:p>
          <w:p w:rsidR="00DA47E2" w:rsidRDefault="006602E5" w:rsidP="00DA47E2">
            <w:pPr>
              <w:shd w:val="clear" w:color="auto" w:fill="DDDCF0"/>
              <w:jc w:val="both"/>
              <w:rPr>
                <w:rFonts w:ascii="EC Square Sans Pro" w:hAnsi="EC Square Sans Pro"/>
                <w:noProof/>
                <w:sz w:val="20"/>
                <w:szCs w:val="20"/>
              </w:rPr>
            </w:pPr>
            <w:r>
              <w:rPr>
                <w:noProof/>
                <w:lang w:val="en-GB" w:eastAsia="en-GB"/>
              </w:rPr>
              <w:drawing>
                <wp:inline distT="0" distB="0" distL="0" distR="0" wp14:anchorId="66FB8661" wp14:editId="5A5F3305">
                  <wp:extent cx="5648325" cy="20764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45B1D" w:rsidRDefault="00DA47E2" w:rsidP="00DA47E2">
            <w:pPr>
              <w:shd w:val="clear" w:color="auto" w:fill="DDDCF0"/>
              <w:jc w:val="both"/>
              <w:rPr>
                <w:rFonts w:ascii="EC Square Sans Pro" w:hAnsi="EC Square Sans Pro"/>
                <w:noProof/>
                <w:sz w:val="16"/>
                <w:szCs w:val="16"/>
              </w:rPr>
            </w:pPr>
            <w:r>
              <w:rPr>
                <w:rFonts w:ascii="EC Square Sans Pro" w:hAnsi="EC Square Sans Pro"/>
                <w:i/>
                <w:noProof/>
                <w:sz w:val="16"/>
              </w:rPr>
              <w:t>Sources:</w:t>
            </w:r>
            <w:r>
              <w:rPr>
                <w:rFonts w:ascii="EC Square Sans Pro" w:hAnsi="EC Square Sans Pro"/>
                <w:noProof/>
                <w:sz w:val="16"/>
              </w:rPr>
              <w:t xml:space="preserve"> rapport de suivi de l’éducation et de la formation, édition 2022 (calculs de la Commission européenne effectués à partir des données de l’enquête PISA de l’OCDE datées de 2018).</w:t>
            </w:r>
          </w:p>
          <w:p w:rsidR="00545B1D" w:rsidRPr="007342E0" w:rsidRDefault="00545B1D" w:rsidP="00DA47E2">
            <w:pPr>
              <w:shd w:val="clear" w:color="auto" w:fill="DDDCF0"/>
              <w:jc w:val="both"/>
              <w:rPr>
                <w:rFonts w:ascii="EC Square Sans Pro" w:hAnsi="EC Square Sans Pro"/>
                <w:noProof/>
                <w:sz w:val="18"/>
                <w:szCs w:val="18"/>
              </w:rPr>
            </w:pPr>
          </w:p>
          <w:p w:rsidR="00DA47E2" w:rsidRPr="007342E0" w:rsidRDefault="00545B1D" w:rsidP="007342E0">
            <w:pPr>
              <w:shd w:val="clear" w:color="auto" w:fill="DDDCF0"/>
              <w:jc w:val="both"/>
              <w:rPr>
                <w:rFonts w:ascii="EC Square Sans Pro" w:hAnsi="EC Square Sans Pro"/>
                <w:noProof/>
                <w:sz w:val="20"/>
                <w:szCs w:val="20"/>
              </w:rPr>
            </w:pPr>
            <w:r>
              <w:rPr>
                <w:rFonts w:ascii="EC Square Sans Pro" w:hAnsi="EC Square Sans Pro"/>
                <w:noProof/>
                <w:sz w:val="18"/>
              </w:rPr>
              <w:t>La publication de nouvelles données PISA en décembre 2023 permettra de poser un regard nouveau sur la situation et de mesurer les premiers effets de la pandémie. Elle servira également de base pour la définition de tout objectif à l’horizon 2030 que les États membres voudraient éventuellement fixer au titre du cycle 2026-2030 du cadre stratégique pour la coopération européenne dans le domaine de l’éducation et de la formation.</w:t>
            </w:r>
          </w:p>
        </w:tc>
      </w:tr>
    </w:tbl>
    <w:p w:rsidR="001E6BE8" w:rsidRPr="001E6BE8" w:rsidRDefault="001E6BE8" w:rsidP="0066789C">
      <w:pPr>
        <w:spacing w:before="120"/>
        <w:jc w:val="both"/>
        <w:rPr>
          <w:rFonts w:ascii="EC Square Sans Pro" w:hAnsi="EC Square Sans Pro"/>
          <w:noProof/>
          <w:sz w:val="20"/>
          <w:szCs w:val="20"/>
        </w:rPr>
      </w:pPr>
      <w:r>
        <w:rPr>
          <w:rFonts w:ascii="EC Square Sans Pro" w:hAnsi="EC Square Sans Pro"/>
          <w:b/>
          <w:noProof/>
          <w:sz w:val="20"/>
        </w:rPr>
        <w:t xml:space="preserve">Ce nouvel indicateur apporte une multitude de données concrètes et d’éléments nouveaux. </w:t>
      </w:r>
      <w:r>
        <w:rPr>
          <w:rFonts w:ascii="EC Square Sans Pro" w:hAnsi="EC Square Sans Pro"/>
          <w:noProof/>
          <w:sz w:val="20"/>
        </w:rPr>
        <w:t>Premièrement, si le résultat pour la moyenne de l’UE est déjà alarmant, dans certains États membres, la situation est encore bien pire, avec un écart de près de 40 points de pourcentage. Deuxièmement, les écarts d’un pays à l’autre sont tellement importants que le taux d’échec scolaire observé dans un État membre donné parmi la population issue de milieux socio-économiques aisés est parfois plus élevé que celui enregistré dans un autre État membre parmi la population issue de milieux socio-économiques défavorisés. Troisièmement, les données obtenues sont également porteuses de bonnes nouvelles: quelques pays parviennent à limiter les écarts liés à l’origine socio-économique en matière d’échec scolaire et, qui plus est, il s’agit des pays qui affichent de bons résultats dans l’enquête PISA dans l’ensemble. Cela donne à penser qu’il est possible de conjuguer éducation de qualité et éducation équitable. Cela prouve que les politiques en matière d’éducation peuvent viser à la fois la qualité et l’inclusion, et qu’aucun compromis entre excellence et équité sociale n’est fondamentalement nécessaire.</w:t>
      </w:r>
    </w:p>
    <w:p w:rsidR="001E6BE8" w:rsidRDefault="001E6BE8" w:rsidP="001E6BE8">
      <w:pPr>
        <w:spacing w:after="120" w:line="240" w:lineRule="auto"/>
        <w:jc w:val="both"/>
        <w:rPr>
          <w:rFonts w:ascii="EC Square Sans Pro" w:hAnsi="EC Square Sans Pro"/>
          <w:noProof/>
          <w:sz w:val="20"/>
          <w:szCs w:val="20"/>
        </w:rPr>
      </w:pPr>
      <w:r>
        <w:rPr>
          <w:rFonts w:ascii="EC Square Sans Pro" w:hAnsi="EC Square Sans Pro"/>
          <w:b/>
          <w:noProof/>
          <w:sz w:val="20"/>
        </w:rPr>
        <w:t>Ces conclusions sont d’une grande utilité sur le plan stratégique.</w:t>
      </w:r>
      <w:r>
        <w:rPr>
          <w:rFonts w:ascii="EC Square Sans Pro" w:hAnsi="EC Square Sans Pro"/>
          <w:noProof/>
          <w:sz w:val="20"/>
        </w:rPr>
        <w:t xml:space="preserve"> La meilleure manière de poursuivre ces objectifs pourra être examinée au cours du processus de réflexion à mi-parcours. L’une des questions essentielles est de savoir comment faire en sorte que ce nouvel indicateur ne serve pas uniquement à combler les lacunes en matière de connaissances, mais soit également exploité afin d’améliorer l’élaboration des politiques. L’une des solutions consiste à définir, à partir des données obtenues grâce au nouvel indicateur, un nouvel objectif au niveau de l’UE pour le cycle 2026-2030 afin de contribuer à capter l’attention des décideurs politiques et à résoudre les problèmes de manière systématique et permanente dans le cadre des travaux menés en vue de la réalisation de l’EEE (voir section 5.2).</w:t>
      </w:r>
    </w:p>
    <w:p w:rsidR="001E6BE8" w:rsidRPr="0066789C" w:rsidRDefault="001E6BE8" w:rsidP="001E6BE8">
      <w:pPr>
        <w:keepNext/>
        <w:keepLines/>
        <w:shd w:val="clear" w:color="auto" w:fill="7975C8"/>
        <w:spacing w:after="60" w:line="240" w:lineRule="auto"/>
        <w:jc w:val="center"/>
        <w:rPr>
          <w:rFonts w:ascii="EC Square Sans Pro" w:hAnsi="EC Square Sans Pro"/>
          <w:b/>
          <w:noProof/>
          <w:color w:val="FFFFFF" w:themeColor="background1"/>
          <w:sz w:val="18"/>
          <w:szCs w:val="18"/>
        </w:rPr>
      </w:pPr>
      <w:r>
        <w:rPr>
          <w:rFonts w:ascii="EC Square Sans Pro" w:hAnsi="EC Square Sans Pro"/>
          <w:b/>
          <w:noProof/>
          <w:color w:val="FFFFFF" w:themeColor="background1"/>
          <w:sz w:val="18"/>
        </w:rPr>
        <w:t>Efforts supplémentaires pour soutenir davantage l’élaboration des politiques sur la base d’éléments concrets</w:t>
      </w:r>
    </w:p>
    <w:tbl>
      <w:tblPr>
        <w:tblStyle w:val="TableGrid2"/>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1E6BE8" w:rsidRPr="00E53C7E" w:rsidTr="00DB1C40">
        <w:trPr>
          <w:trHeight w:val="752"/>
          <w:tblHeader/>
        </w:trPr>
        <w:tc>
          <w:tcPr>
            <w:tcW w:w="9072" w:type="dxa"/>
            <w:shd w:val="clear" w:color="auto" w:fill="DDDCF0"/>
            <w:vAlign w:val="center"/>
          </w:tcPr>
          <w:p w:rsidR="001E6BE8" w:rsidRPr="0066789C" w:rsidRDefault="001E6BE8" w:rsidP="001E6BE8">
            <w:pPr>
              <w:shd w:val="clear" w:color="auto" w:fill="DDDCF0"/>
              <w:jc w:val="both"/>
              <w:rPr>
                <w:rFonts w:ascii="EC Square Sans Pro" w:hAnsi="EC Square Sans Pro"/>
                <w:noProof/>
                <w:sz w:val="18"/>
                <w:szCs w:val="18"/>
              </w:rPr>
            </w:pPr>
            <w:r>
              <w:rPr>
                <w:rFonts w:ascii="EC Square Sans Pro" w:hAnsi="EC Square Sans Pro"/>
                <w:noProof/>
                <w:sz w:val="18"/>
              </w:rPr>
              <w:t>L’équité n’est pas le seul domaine dans lequel des améliorations sont apportées aux données factuelles sur lesquelles s’appuie le cadre stratégique de l’EEE. Deux </w:t>
            </w:r>
            <w:r>
              <w:rPr>
                <w:rFonts w:ascii="EC Square Sans Pro" w:hAnsi="EC Square Sans Pro"/>
                <w:b/>
                <w:noProof/>
                <w:sz w:val="18"/>
              </w:rPr>
              <w:t>indicateurs supplémentaires applicables à l’échelle de l’UE</w:t>
            </w:r>
            <w:r>
              <w:rPr>
                <w:rFonts w:ascii="EC Square Sans Pro" w:hAnsi="EC Square Sans Pro"/>
                <w:noProof/>
                <w:sz w:val="18"/>
              </w:rPr>
              <w:t xml:space="preserve"> sont </w:t>
            </w:r>
            <w:r>
              <w:rPr>
                <w:rFonts w:ascii="EC Square Sans Pro" w:hAnsi="EC Square Sans Pro"/>
                <w:b/>
                <w:noProof/>
                <w:sz w:val="18"/>
              </w:rPr>
              <w:t>en cours d’élaboration</w:t>
            </w:r>
            <w:r>
              <w:rPr>
                <w:rFonts w:ascii="EC Square Sans Pro" w:hAnsi="EC Square Sans Pro"/>
                <w:noProof/>
                <w:sz w:val="18"/>
              </w:rPr>
              <w:t xml:space="preserve">: l’un concerne la </w:t>
            </w:r>
            <w:r>
              <w:rPr>
                <w:rFonts w:ascii="EC Square Sans Pro" w:hAnsi="EC Square Sans Pro"/>
                <w:b/>
                <w:noProof/>
                <w:sz w:val="18"/>
              </w:rPr>
              <w:t>profession d’enseignant</w:t>
            </w:r>
            <w:r>
              <w:rPr>
                <w:rFonts w:ascii="EC Square Sans Pro" w:hAnsi="EC Square Sans Pro"/>
                <w:noProof/>
                <w:sz w:val="18"/>
              </w:rPr>
              <w:t xml:space="preserve"> et l’autre concerne l’</w:t>
            </w:r>
            <w:r>
              <w:rPr>
                <w:rFonts w:ascii="EC Square Sans Pro" w:hAnsi="EC Square Sans Pro"/>
                <w:b/>
                <w:noProof/>
                <w:sz w:val="18"/>
              </w:rPr>
              <w:t>éducation à la durabilité environnementale</w:t>
            </w:r>
            <w:r>
              <w:rPr>
                <w:rFonts w:ascii="EC Square Sans Pro" w:hAnsi="EC Square Sans Pro"/>
                <w:noProof/>
                <w:sz w:val="18"/>
              </w:rPr>
              <w:t>. L’Observatoire européen du secteur de l’enseignement supérieur est un troisième exemple qu’il convient de souligner.</w:t>
            </w:r>
          </w:p>
          <w:p w:rsidR="001E6BE8" w:rsidRPr="0066789C" w:rsidRDefault="001E6BE8" w:rsidP="001E6BE8">
            <w:pPr>
              <w:shd w:val="clear" w:color="auto" w:fill="DDDCF0"/>
              <w:jc w:val="both"/>
              <w:rPr>
                <w:rFonts w:ascii="EC Square Sans Pro" w:hAnsi="EC Square Sans Pro"/>
                <w:noProof/>
                <w:sz w:val="18"/>
                <w:szCs w:val="18"/>
              </w:rPr>
            </w:pPr>
          </w:p>
          <w:p w:rsidR="001E6BE8" w:rsidRPr="0066789C" w:rsidRDefault="001E6BE8" w:rsidP="001E6BE8">
            <w:pPr>
              <w:shd w:val="clear" w:color="auto" w:fill="DDDCF0"/>
              <w:jc w:val="both"/>
              <w:rPr>
                <w:rFonts w:ascii="EC Square Sans Pro" w:hAnsi="EC Square Sans Pro"/>
                <w:noProof/>
                <w:sz w:val="18"/>
                <w:szCs w:val="18"/>
              </w:rPr>
            </w:pPr>
            <w:r>
              <w:rPr>
                <w:rFonts w:ascii="EC Square Sans Pro" w:hAnsi="EC Square Sans Pro"/>
                <w:noProof/>
                <w:sz w:val="18"/>
              </w:rPr>
              <w:t>Premièrement, afin d’apporter davantage d’éléments factuels sur lesquels s’appuyer, d’améliorer le suivi régulier, au niveau de l’UE, des aspects spécifiques à la profession d’enseignant, de permettre l’apprentissage mutuel et de mieux comprendre les obstacles et les leviers politiques, la Commission, avec le soutien technique du groupe permanent sur les indicateurs et les critères de référence (SGIB), prépare actuellement un tableau de bord qui rassemblera plusieurs indicateurs équivalents tirés de différents sous-domaines. La principale priorité sera l’attrait de la profession d’enseignant, en réponse à la pénurie généralisée d’enseignants dans les États membres.</w:t>
            </w:r>
          </w:p>
          <w:p w:rsidR="001E6BE8" w:rsidRPr="0066789C" w:rsidRDefault="001E6BE8" w:rsidP="001E6BE8">
            <w:pPr>
              <w:shd w:val="clear" w:color="auto" w:fill="DDDCF0"/>
              <w:jc w:val="both"/>
              <w:rPr>
                <w:rFonts w:ascii="EC Square Sans Pro" w:hAnsi="EC Square Sans Pro"/>
                <w:noProof/>
                <w:sz w:val="18"/>
                <w:szCs w:val="18"/>
              </w:rPr>
            </w:pPr>
          </w:p>
          <w:p w:rsidR="001E6BE8" w:rsidRPr="0066789C" w:rsidRDefault="001E6BE8" w:rsidP="001E6BE8">
            <w:pPr>
              <w:jc w:val="both"/>
              <w:rPr>
                <w:rFonts w:ascii="EC Square Sans Pro" w:hAnsi="EC Square Sans Pro"/>
                <w:noProof/>
                <w:sz w:val="18"/>
                <w:szCs w:val="18"/>
              </w:rPr>
            </w:pPr>
            <w:r>
              <w:rPr>
                <w:rFonts w:ascii="EC Square Sans Pro" w:hAnsi="EC Square Sans Pro"/>
                <w:noProof/>
                <w:sz w:val="18"/>
              </w:rPr>
              <w:t>Deuxièmement, la Commission travaille actuellement à l’élaboration d’indicateurs visant à reconnaître le rôle de l’éducation et de la formation dans la réussite de la transition écologique</w:t>
            </w:r>
            <w:r w:rsidRPr="0066789C">
              <w:rPr>
                <w:rFonts w:ascii="EC Square Sans Pro" w:hAnsi="EC Square Sans Pro"/>
                <w:noProof/>
                <w:sz w:val="18"/>
                <w:szCs w:val="18"/>
                <w:vertAlign w:val="superscript"/>
              </w:rPr>
              <w:footnoteReference w:id="46"/>
            </w:r>
            <w:r>
              <w:rPr>
                <w:rFonts w:ascii="EC Square Sans Pro" w:hAnsi="EC Square Sans Pro"/>
                <w:noProof/>
                <w:sz w:val="18"/>
              </w:rPr>
              <w:t xml:space="preserve">. En s’appuyant sur la </w:t>
            </w:r>
            <w:hyperlink r:id="rId43" w:history="1">
              <w:r>
                <w:rPr>
                  <w:rFonts w:ascii="EC Square Sans Pro" w:hAnsi="EC Square Sans Pro"/>
                  <w:noProof/>
                  <w:color w:val="0563C1" w:themeColor="hyperlink"/>
                  <w:sz w:val="18"/>
                  <w:u w:val="single"/>
                </w:rPr>
                <w:t>recommandation du Conseil de 2022</w:t>
              </w:r>
            </w:hyperlink>
            <w:r>
              <w:rPr>
                <w:rFonts w:ascii="EC Square Sans Pro" w:hAnsi="EC Square Sans Pro"/>
                <w:noProof/>
                <w:sz w:val="18"/>
              </w:rPr>
              <w:t xml:space="preserve"> sur l’apprentissage au service de la transition écologique et du développement durable, et en s’inspirant du nouveau </w:t>
            </w:r>
            <w:hyperlink r:id="rId44" w:history="1">
              <w:r>
                <w:rPr>
                  <w:rFonts w:ascii="EC Square Sans Pro" w:hAnsi="EC Square Sans Pro"/>
                  <w:noProof/>
                  <w:color w:val="0563C1" w:themeColor="hyperlink"/>
                  <w:sz w:val="18"/>
                  <w:u w:val="single"/>
                </w:rPr>
                <w:t>cadre européen de compétences en matière de durabilité</w:t>
              </w:r>
            </w:hyperlink>
            <w:r>
              <w:rPr>
                <w:rFonts w:ascii="EC Square Sans Pro" w:hAnsi="EC Square Sans Pro"/>
                <w:noProof/>
                <w:sz w:val="18"/>
              </w:rPr>
              <w:t>, les sources de données disponibles et à venir sont actuellement à l’étude. Les travaux en sont à un stade préliminaire et se déroulent avec l’appui technique du SGIB.</w:t>
            </w:r>
          </w:p>
          <w:p w:rsidR="001E6BE8" w:rsidRPr="0066789C" w:rsidRDefault="001E6BE8" w:rsidP="001E6BE8">
            <w:pPr>
              <w:shd w:val="clear" w:color="auto" w:fill="DDDCF0"/>
              <w:jc w:val="both"/>
              <w:rPr>
                <w:rFonts w:ascii="EC Square Sans Pro" w:hAnsi="EC Square Sans Pro"/>
                <w:noProof/>
                <w:sz w:val="18"/>
                <w:szCs w:val="18"/>
              </w:rPr>
            </w:pPr>
          </w:p>
          <w:p w:rsidR="001E6BE8" w:rsidRPr="0066789C" w:rsidRDefault="001E6BE8" w:rsidP="00B97C85">
            <w:pPr>
              <w:shd w:val="clear" w:color="auto" w:fill="DDDCF0"/>
              <w:spacing w:after="120"/>
              <w:jc w:val="both"/>
              <w:rPr>
                <w:rFonts w:ascii="EC Square Sans Pro" w:hAnsi="EC Square Sans Pro"/>
                <w:noProof/>
                <w:sz w:val="18"/>
                <w:szCs w:val="18"/>
              </w:rPr>
            </w:pPr>
            <w:r>
              <w:rPr>
                <w:rFonts w:ascii="EC Square Sans Pro" w:hAnsi="EC Square Sans Pro"/>
                <w:noProof/>
                <w:sz w:val="18"/>
              </w:rPr>
              <w:t xml:space="preserve">Enfin, la Commission s’emploiera à créer un </w:t>
            </w:r>
            <w:r>
              <w:rPr>
                <w:rFonts w:ascii="EC Square Sans Pro" w:hAnsi="EC Square Sans Pro"/>
                <w:b/>
                <w:noProof/>
                <w:sz w:val="18"/>
              </w:rPr>
              <w:t>Observatoire européen du secteur de l’enseignement supérieur</w:t>
            </w:r>
            <w:r>
              <w:rPr>
                <w:rFonts w:ascii="EC Square Sans Pro" w:hAnsi="EC Square Sans Pro"/>
                <w:noProof/>
                <w:sz w:val="18"/>
              </w:rPr>
              <w:t>, comprenant un tableau de bord, afin d’apporter des éléments concrets sur les progrès accomplis dans la mise en œuvre de la stratégie européenne pour les universités.</w:t>
            </w:r>
            <w:r>
              <w:rPr>
                <w:rFonts w:ascii="EC Square Sans Pro" w:hAnsi="EC Square Sans Pro"/>
                <w:b/>
                <w:noProof/>
                <w:sz w:val="18"/>
              </w:rPr>
              <w:t xml:space="preserve"> </w:t>
            </w:r>
            <w:r>
              <w:rPr>
                <w:rFonts w:ascii="EC Square Sans Pro" w:hAnsi="EC Square Sans Pro"/>
                <w:noProof/>
                <w:sz w:val="18"/>
              </w:rPr>
              <w:t>Il bénéficiera des meilleurs outils et des meilleures capacités de l’UE en matière de données pour apporter des éléments concrets et des indicateurs sur des priorités fondamentales telles que l’inclusion, les valeurs, la qualité et la pertinence, la mobilité, les compétences écologiques et numériques, l’aptitude à l’emploi, la coopération transnationale, le transfert de technologies et la valorisation des connaissances.</w:t>
            </w:r>
          </w:p>
        </w:tc>
      </w:tr>
    </w:tbl>
    <w:p w:rsidR="00592AFE" w:rsidRPr="002242ED" w:rsidRDefault="00221CE1" w:rsidP="00B97C85">
      <w:pPr>
        <w:pStyle w:val="2022Head2"/>
        <w:keepNext/>
        <w:keepLines/>
        <w:ind w:left="562" w:hanging="562"/>
        <w:rPr>
          <w:noProof/>
        </w:rPr>
      </w:pPr>
      <w:bookmarkStart w:id="18" w:name="_Toc110850853"/>
      <w:bookmarkStart w:id="19" w:name="_Toc118981465"/>
      <w:r>
        <w:rPr>
          <w:noProof/>
        </w:rPr>
        <w:t xml:space="preserve">4.3. </w:t>
      </w:r>
      <w:r>
        <w:rPr>
          <w:noProof/>
        </w:rPr>
        <w:tab/>
        <w:t>Garantir la qualité des investissements dans l’éducation et la formation</w:t>
      </w:r>
      <w:bookmarkEnd w:id="18"/>
      <w:r>
        <w:rPr>
          <w:noProof/>
        </w:rPr>
        <w:t xml:space="preserve"> grâce à un nouveau laboratoire d’apprentissage</w:t>
      </w:r>
      <w:bookmarkEnd w:id="19"/>
    </w:p>
    <w:p w:rsidR="00681890" w:rsidRPr="002242ED" w:rsidRDefault="003E71E5" w:rsidP="0066789C">
      <w:pPr>
        <w:keepNext/>
        <w:keepLines/>
        <w:spacing w:after="120" w:line="240" w:lineRule="auto"/>
        <w:jc w:val="both"/>
        <w:rPr>
          <w:rFonts w:ascii="EC Square Sans Pro" w:eastAsia="Calibri" w:hAnsi="EC Square Sans Pro" w:cs="Calibri"/>
          <w:noProof/>
          <w:sz w:val="20"/>
          <w:szCs w:val="20"/>
        </w:rPr>
      </w:pPr>
      <w:r>
        <w:rPr>
          <w:rFonts w:ascii="EC Square Sans Pro" w:hAnsi="EC Square Sans Pro"/>
          <w:noProof/>
          <w:sz w:val="20"/>
        </w:rPr>
        <w:t xml:space="preserve">La pression croissante exercée sur les budgets publics dans un contexte où le besoin de réformes et d’investissements dans l’éducation est croissant (des infrastructures et de la construction de bâtiments à la formation des enseignants, en passant par la fourniture de dispositifs numériques et le financement de ressources éducatives libres) met de plus en plus en lumière les </w:t>
      </w:r>
      <w:r>
        <w:rPr>
          <w:rFonts w:ascii="EC Square Sans Pro" w:hAnsi="EC Square Sans Pro"/>
          <w:b/>
          <w:noProof/>
          <w:sz w:val="20"/>
        </w:rPr>
        <w:t>questions relatives à la qualité des investissements</w:t>
      </w:r>
      <w:r>
        <w:rPr>
          <w:rFonts w:ascii="EC Square Sans Pro" w:hAnsi="EC Square Sans Pro"/>
          <w:noProof/>
          <w:sz w:val="20"/>
        </w:rPr>
        <w:t>.</w:t>
      </w:r>
      <w:r>
        <w:rPr>
          <w:rFonts w:ascii="EC Square Sans Pro" w:hAnsi="EC Square Sans Pro"/>
          <w:b/>
          <w:noProof/>
          <w:sz w:val="20"/>
        </w:rPr>
        <w:t xml:space="preserve"> </w:t>
      </w:r>
      <w:r>
        <w:rPr>
          <w:rFonts w:ascii="EC Square Sans Pro" w:hAnsi="EC Square Sans Pro"/>
          <w:noProof/>
          <w:sz w:val="20"/>
        </w:rPr>
        <w:t>Les États membres ont compris que la performance des systèmes éducatifs dépendait de leur capacité à maintenir les investissements à un niveau approprié et à garantir leur efficacité, leur équité, leur qualité et leur rentabilité. À cette fin, ils sont prêts à élaborer et à partager des méthodes d’évaluation qui permettent de dresser une liste des mesures ayant une réelle incidence sur l’individu et la société, en fonction de leurs propres exigences nationales</w:t>
      </w:r>
      <w:r w:rsidR="00592AFE" w:rsidRPr="002242ED">
        <w:rPr>
          <w:rFonts w:ascii="EC Square Sans Pro" w:eastAsia="Calibri" w:hAnsi="EC Square Sans Pro" w:cs="Calibri"/>
          <w:noProof/>
          <w:sz w:val="20"/>
          <w:szCs w:val="20"/>
          <w:vertAlign w:val="superscript"/>
        </w:rPr>
        <w:footnoteReference w:id="47"/>
      </w:r>
      <w:r>
        <w:rPr>
          <w:rFonts w:ascii="EC Square Sans Pro" w:hAnsi="EC Square Sans Pro"/>
          <w:noProof/>
          <w:sz w:val="20"/>
        </w:rPr>
        <w:t>.</w:t>
      </w:r>
    </w:p>
    <w:p w:rsidR="00592AFE" w:rsidRDefault="00592AFE" w:rsidP="000B1E8F">
      <w:pPr>
        <w:spacing w:after="120" w:line="240" w:lineRule="auto"/>
        <w:jc w:val="both"/>
        <w:rPr>
          <w:rFonts w:ascii="EC Square Sans Pro" w:eastAsia="Calibri" w:hAnsi="EC Square Sans Pro" w:cs="Calibri"/>
          <w:noProof/>
          <w:sz w:val="20"/>
          <w:szCs w:val="20"/>
        </w:rPr>
      </w:pPr>
      <w:r>
        <w:rPr>
          <w:rFonts w:ascii="EC Square Sans Pro" w:hAnsi="EC Square Sans Pro"/>
          <w:noProof/>
          <w:sz w:val="20"/>
        </w:rPr>
        <w:t xml:space="preserve">En mai 2021, la Commission européenne a instauré un </w:t>
      </w:r>
      <w:r>
        <w:rPr>
          <w:rFonts w:ascii="EC Square Sans Pro" w:hAnsi="EC Square Sans Pro"/>
          <w:b/>
          <w:noProof/>
          <w:sz w:val="20"/>
        </w:rPr>
        <w:t>groupe d’experts consacré à la qualité des investissements dans l’éducation et la formation</w:t>
      </w:r>
      <w:r>
        <w:rPr>
          <w:rFonts w:ascii="EC Square Sans Pro" w:hAnsi="EC Square Sans Pro"/>
          <w:noProof/>
          <w:sz w:val="20"/>
        </w:rPr>
        <w:t xml:space="preserve"> afin de recenser les politiques les plus susceptibles de stimuler les résultats en matière d’éducation et l’inclusion, tout en améliorant l’efficacité des dépenses ainsi que leur suivi et leur évaluation</w:t>
      </w:r>
      <w:r w:rsidRPr="002242ED">
        <w:rPr>
          <w:rStyle w:val="FootnoteReference"/>
          <w:rFonts w:ascii="EC Square Sans Pro" w:eastAsia="Calibri" w:hAnsi="EC Square Sans Pro" w:cs="Calibri"/>
          <w:noProof/>
          <w:sz w:val="20"/>
          <w:szCs w:val="20"/>
        </w:rPr>
        <w:footnoteReference w:id="48"/>
      </w:r>
      <w:r>
        <w:rPr>
          <w:rFonts w:ascii="EC Square Sans Pro" w:hAnsi="EC Square Sans Pro"/>
          <w:noProof/>
          <w:sz w:val="20"/>
        </w:rPr>
        <w:t>. C’est dans cet esprit que ce groupe a proposé i) d’évaluer plus souvent les politiques en matière d’éducation, de manière systématique, ii) de partager les connaissances concernant les meilleures méthodes d’évaluation et iii) d’organiser l’apprentissage mutuel et le renforcement des capacités dans le domaine des méthodes d’évaluation, ce qui permettrait aux États membres de faire des choix éclairés en matière d’investissement dans le domaine de l’éducation.</w:t>
      </w:r>
    </w:p>
    <w:p w:rsidR="006A6FD4" w:rsidRPr="006A6FD4" w:rsidRDefault="006A6FD4" w:rsidP="006A6FD4">
      <w:pPr>
        <w:keepNext/>
        <w:keepLines/>
        <w:shd w:val="clear" w:color="auto" w:fill="7975C8"/>
        <w:spacing w:after="60" w:line="240" w:lineRule="auto"/>
        <w:jc w:val="center"/>
        <w:rPr>
          <w:rFonts w:ascii="EC Square Sans Pro" w:hAnsi="EC Square Sans Pro"/>
          <w:b/>
          <w:noProof/>
          <w:color w:val="FFFFFF" w:themeColor="background1"/>
          <w:sz w:val="18"/>
          <w:szCs w:val="18"/>
        </w:rPr>
      </w:pPr>
      <w:r>
        <w:rPr>
          <w:rFonts w:ascii="EC Square Sans Pro" w:hAnsi="EC Square Sans Pro"/>
          <w:b/>
          <w:noProof/>
          <w:color w:val="FFFFFF" w:themeColor="background1"/>
          <w:sz w:val="18"/>
        </w:rPr>
        <w:t>Rapport final du groupe d’experts consacré à la qualité des investissements</w:t>
      </w:r>
      <w:r w:rsidR="00C074B6">
        <w:rPr>
          <w:rStyle w:val="FootnoteReference"/>
          <w:rFonts w:ascii="EC Square Sans Pro" w:hAnsi="EC Square Sans Pro"/>
          <w:b/>
          <w:noProof/>
          <w:color w:val="FFFFFF" w:themeColor="background1"/>
          <w:sz w:val="18"/>
          <w:szCs w:val="18"/>
        </w:rPr>
        <w:footnoteReference w:id="49"/>
      </w:r>
      <w:r>
        <w:rPr>
          <w:rFonts w:ascii="EC Square Sans Pro" w:hAnsi="EC Square Sans Pro"/>
          <w:b/>
          <w:noProof/>
          <w:color w:val="FFFFFF" w:themeColor="background1"/>
          <w:sz w:val="18"/>
        </w:rPr>
        <w:t xml:space="preserve"> – Principales conclusions stratégiques</w:t>
      </w:r>
    </w:p>
    <w:tbl>
      <w:tblPr>
        <w:tblStyle w:val="TableGrid2"/>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6A6FD4" w:rsidRPr="006A6FD4" w:rsidTr="00DB1C40">
        <w:trPr>
          <w:trHeight w:val="752"/>
          <w:tblHeader/>
        </w:trPr>
        <w:tc>
          <w:tcPr>
            <w:tcW w:w="9072" w:type="dxa"/>
            <w:shd w:val="clear" w:color="auto" w:fill="DDDCF0"/>
            <w:vAlign w:val="center"/>
          </w:tcPr>
          <w:p w:rsidR="006A6FD4" w:rsidRPr="006A6FD4" w:rsidRDefault="006A6FD4" w:rsidP="006A6FD4">
            <w:pPr>
              <w:shd w:val="clear" w:color="auto" w:fill="DDDCF0"/>
              <w:spacing w:after="120"/>
              <w:jc w:val="both"/>
              <w:rPr>
                <w:rFonts w:ascii="EC Square Sans Pro" w:hAnsi="EC Square Sans Pro"/>
                <w:noProof/>
                <w:sz w:val="18"/>
                <w:szCs w:val="18"/>
              </w:rPr>
            </w:pPr>
            <w:r>
              <w:rPr>
                <w:rFonts w:ascii="EC Square Sans Pro" w:hAnsi="EC Square Sans Pro"/>
                <w:noProof/>
                <w:sz w:val="18"/>
              </w:rPr>
              <w:t>Le rapport final propose de nombreuses mesures stratégiques prometteuses en matière d’éducation, qui méritent néanmoins d’être testées davantage au niveau des États membres. L’expérimentation et l’évaluation sont des étapes fondamentales dans la conception et l’élaboration réussie d’interventions politiques adaptées à chaque réalité locale, régionale ou nationale spécifique.</w:t>
            </w:r>
          </w:p>
          <w:p w:rsidR="006A6FD4" w:rsidRPr="006A6FD4" w:rsidRDefault="006A6FD4" w:rsidP="006A6FD4">
            <w:pPr>
              <w:shd w:val="clear" w:color="auto" w:fill="DDDCF0"/>
              <w:spacing w:after="120"/>
              <w:jc w:val="both"/>
              <w:rPr>
                <w:rFonts w:ascii="EC Square Sans Pro" w:hAnsi="EC Square Sans Pro"/>
                <w:noProof/>
                <w:sz w:val="18"/>
                <w:szCs w:val="18"/>
              </w:rPr>
            </w:pPr>
            <w:r>
              <w:rPr>
                <w:rFonts w:ascii="EC Square Sans Pro" w:hAnsi="EC Square Sans Pro"/>
                <w:noProof/>
                <w:sz w:val="18"/>
              </w:rPr>
              <w:t xml:space="preserve">D’un point de vue méthodologique, le bilan a révélé que </w:t>
            </w:r>
            <w:r>
              <w:rPr>
                <w:rFonts w:ascii="EC Square Sans Pro" w:hAnsi="EC Square Sans Pro"/>
                <w:b/>
                <w:noProof/>
                <w:sz w:val="18"/>
              </w:rPr>
              <w:t>bon nombre des preuves solides provenaient des États-Unis et du Royaume-Uni, et dans une bien plus faible mesure des États membres de l’UE</w:t>
            </w:r>
            <w:r>
              <w:rPr>
                <w:rFonts w:ascii="EC Square Sans Pro" w:hAnsi="EC Square Sans Pro"/>
                <w:noProof/>
                <w:sz w:val="18"/>
              </w:rPr>
              <w:t xml:space="preserve">. En outre, le nombre d’évaluations fournissant une analyse détaillée des coûts et des bénéfices est encore plus limité. </w:t>
            </w:r>
            <w:r>
              <w:rPr>
                <w:rFonts w:ascii="EC Square Sans Pro" w:hAnsi="EC Square Sans Pro"/>
                <w:b/>
                <w:noProof/>
                <w:sz w:val="18"/>
              </w:rPr>
              <w:t>Il est donc nécessaire d’accroître les compétences en matière d’évaluation et de diffusion des conclusions à l’échelle de l’UE</w:t>
            </w:r>
            <w:r>
              <w:rPr>
                <w:rFonts w:ascii="EC Square Sans Pro" w:hAnsi="EC Square Sans Pro"/>
                <w:noProof/>
                <w:sz w:val="18"/>
              </w:rPr>
              <w:t>.</w:t>
            </w:r>
            <w:r>
              <w:rPr>
                <w:rFonts w:ascii="EC Square Sans Pro" w:hAnsi="EC Square Sans Pro"/>
                <w:b/>
                <w:noProof/>
                <w:sz w:val="18"/>
              </w:rPr>
              <w:t xml:space="preserve"> </w:t>
            </w:r>
          </w:p>
          <w:p w:rsidR="006A6FD4" w:rsidRPr="006A6FD4" w:rsidRDefault="006A6FD4" w:rsidP="006A6FD4">
            <w:pPr>
              <w:shd w:val="clear" w:color="auto" w:fill="DDDCF0"/>
              <w:spacing w:after="60"/>
              <w:jc w:val="both"/>
              <w:rPr>
                <w:rFonts w:ascii="EC Square Sans Pro" w:hAnsi="EC Square Sans Pro"/>
                <w:noProof/>
                <w:sz w:val="18"/>
                <w:szCs w:val="18"/>
              </w:rPr>
            </w:pPr>
            <w:r>
              <w:rPr>
                <w:rFonts w:ascii="EC Square Sans Pro" w:hAnsi="EC Square Sans Pro"/>
                <w:b/>
                <w:noProof/>
                <w:sz w:val="18"/>
              </w:rPr>
              <w:t>La mise en commun des compétences et des données probantes en matière d’évaluation des politiques à l’échelle de l’UE devrait apporter une plus-value</w:t>
            </w:r>
            <w:r>
              <w:rPr>
                <w:rFonts w:ascii="EC Square Sans Pro" w:hAnsi="EC Square Sans Pro"/>
                <w:noProof/>
                <w:sz w:val="18"/>
              </w:rPr>
              <w:t>. Les experts ont conclu que l’instauration d’une culture de l’évaluation au sein de l’UE devrait être étayée par les actions suivantes:</w:t>
            </w:r>
          </w:p>
          <w:p w:rsidR="006A6FD4" w:rsidRPr="006A6FD4" w:rsidRDefault="00186154" w:rsidP="006A6FD4">
            <w:pPr>
              <w:numPr>
                <w:ilvl w:val="0"/>
                <w:numId w:val="25"/>
              </w:numPr>
              <w:shd w:val="clear" w:color="auto" w:fill="DDDCF0"/>
              <w:ind w:left="429"/>
              <w:jc w:val="both"/>
              <w:rPr>
                <w:rFonts w:ascii="EC Square Sans Pro" w:hAnsi="EC Square Sans Pro"/>
                <w:noProof/>
                <w:sz w:val="18"/>
                <w:szCs w:val="18"/>
              </w:rPr>
            </w:pPr>
            <w:r>
              <w:rPr>
                <w:rFonts w:ascii="EC Square Sans Pro" w:hAnsi="EC Square Sans Pro"/>
                <w:noProof/>
                <w:sz w:val="18"/>
              </w:rPr>
              <w:t>la promotion de l’acquisition d’une expertise dans le domaine des méthodes d’évaluation dans chaque État membre;</w:t>
            </w:r>
          </w:p>
          <w:p w:rsidR="006A6FD4" w:rsidRPr="006A6FD4" w:rsidRDefault="00186154" w:rsidP="006A6FD4">
            <w:pPr>
              <w:numPr>
                <w:ilvl w:val="0"/>
                <w:numId w:val="25"/>
              </w:numPr>
              <w:shd w:val="clear" w:color="auto" w:fill="DDDCF0"/>
              <w:ind w:left="429"/>
              <w:jc w:val="both"/>
              <w:rPr>
                <w:rFonts w:ascii="EC Square Sans Pro" w:hAnsi="EC Square Sans Pro"/>
                <w:noProof/>
                <w:sz w:val="18"/>
                <w:szCs w:val="18"/>
              </w:rPr>
            </w:pPr>
            <w:r>
              <w:rPr>
                <w:rFonts w:ascii="EC Square Sans Pro" w:hAnsi="EC Square Sans Pro"/>
                <w:noProof/>
                <w:sz w:val="18"/>
              </w:rPr>
              <w:t>la diffusion des connaissances acquises dans l’évaluation rigoureuse des politiques afin de définir et de mettre en commun les pratiques exemplaires; et</w:t>
            </w:r>
          </w:p>
          <w:p w:rsidR="006A6FD4" w:rsidRPr="006A6FD4" w:rsidRDefault="00186154" w:rsidP="006A6FD4">
            <w:pPr>
              <w:numPr>
                <w:ilvl w:val="0"/>
                <w:numId w:val="25"/>
              </w:numPr>
              <w:shd w:val="clear" w:color="auto" w:fill="DDDCF0"/>
              <w:spacing w:after="120"/>
              <w:ind w:left="432"/>
              <w:jc w:val="both"/>
              <w:rPr>
                <w:rFonts w:ascii="EC Square Sans Pro" w:hAnsi="EC Square Sans Pro"/>
                <w:noProof/>
                <w:sz w:val="18"/>
                <w:szCs w:val="18"/>
              </w:rPr>
            </w:pPr>
            <w:r>
              <w:rPr>
                <w:rFonts w:ascii="EC Square Sans Pro" w:hAnsi="EC Square Sans Pro"/>
                <w:noProof/>
                <w:sz w:val="18"/>
              </w:rPr>
              <w:t>la mise à disposition de fonds de l’UE pour mener des politiques expérimentales en vue d’évaluer et d’élaborer des politiques innovantes en matière d’éducation.</w:t>
            </w:r>
          </w:p>
        </w:tc>
      </w:tr>
    </w:tbl>
    <w:tbl>
      <w:tblPr>
        <w:tblStyle w:val="TableGrid"/>
        <w:tblW w:w="0" w:type="auto"/>
        <w:tblLook w:val="04A0" w:firstRow="1" w:lastRow="0" w:firstColumn="1" w:lastColumn="0" w:noHBand="0" w:noVBand="1"/>
      </w:tblPr>
      <w:tblGrid>
        <w:gridCol w:w="9242"/>
      </w:tblGrid>
      <w:tr w:rsidR="00592AFE" w:rsidRPr="002242ED" w:rsidTr="00071B71">
        <w:tc>
          <w:tcPr>
            <w:tcW w:w="9738" w:type="dxa"/>
            <w:tcBorders>
              <w:top w:val="nil"/>
              <w:left w:val="nil"/>
              <w:bottom w:val="nil"/>
              <w:right w:val="nil"/>
            </w:tcBorders>
          </w:tcPr>
          <w:p w:rsidR="00BF7F7F" w:rsidRPr="00900448" w:rsidRDefault="006A6FD4" w:rsidP="00BE05D9">
            <w:pPr>
              <w:tabs>
                <w:tab w:val="left" w:pos="9030"/>
              </w:tabs>
              <w:spacing w:before="120" w:after="120"/>
              <w:jc w:val="both"/>
              <w:rPr>
                <w:rFonts w:ascii="EC Square Sans Pro" w:eastAsia="Calibri" w:hAnsi="EC Square Sans Pro" w:cs="Calibri"/>
                <w:noProof/>
                <w:sz w:val="20"/>
                <w:szCs w:val="20"/>
              </w:rPr>
            </w:pPr>
            <w:r>
              <w:rPr>
                <w:rFonts w:ascii="EC Square Sans Pro" w:hAnsi="EC Square Sans Pro"/>
                <w:b/>
                <w:noProof/>
                <w:sz w:val="20"/>
              </w:rPr>
              <w:t>Pour donner suite aux principales conclusions du groupe d’experts, la Commission lancera, en novembre 2022, un laboratoire d’apprentissage sur la qualité des investissements dans l’éducation et la formation afin d’aider les États membres à faire des choix judicieux, efficaces et fondés sur des données probantes en matière de financement de l’éducation.</w:t>
            </w:r>
            <w:r>
              <w:rPr>
                <w:rFonts w:ascii="EC Square Sans Pro" w:hAnsi="EC Square Sans Pro"/>
                <w:noProof/>
                <w:sz w:val="20"/>
              </w:rPr>
              <w:t xml:space="preserve"> Ce laboratoire fera en sorte que les évaluations des politiques en matière d’éducation soient adaptées aux besoins locaux, régionaux et nationaux spécifiques, et encouragera leur utilisation régulière dans l’élaboration des politiques. Il offrira aux États membres les connaissances, les outils, les méthodes et les ressources nécessaires à l’évaluation de leurs dépenses publiques en matière d’éducation et de formation. Il favorisera également la mise en réseau et la collaboration entre les prestataires d’évaluation et les centres d’expertise dans l’ensemble de l’UE, y compris les organisations internationales telles que l’OCDE.</w:t>
            </w:r>
          </w:p>
        </w:tc>
      </w:tr>
    </w:tbl>
    <w:p w:rsidR="005435DB" w:rsidRPr="002242ED" w:rsidRDefault="00221CE1" w:rsidP="00071B71">
      <w:pPr>
        <w:pStyle w:val="2022Head2"/>
        <w:ind w:left="0" w:firstLine="0"/>
        <w:rPr>
          <w:noProof/>
        </w:rPr>
      </w:pPr>
      <w:bookmarkStart w:id="20" w:name="_Toc118981466"/>
      <w:bookmarkStart w:id="21" w:name="_Toc110850854"/>
      <w:r>
        <w:rPr>
          <w:noProof/>
        </w:rPr>
        <w:t xml:space="preserve">4.4. </w:t>
      </w:r>
      <w:r>
        <w:rPr>
          <w:noProof/>
        </w:rPr>
        <w:tab/>
        <w:t>Renforcer la gouvernance de l’EEE</w:t>
      </w:r>
      <w:bookmarkEnd w:id="20"/>
      <w:r>
        <w:rPr>
          <w:noProof/>
        </w:rPr>
        <w:t xml:space="preserve"> </w:t>
      </w:r>
      <w:bookmarkEnd w:id="21"/>
    </w:p>
    <w:p w:rsidR="00C8207E" w:rsidRDefault="00DD10FF" w:rsidP="007342E0">
      <w:pPr>
        <w:spacing w:before="120" w:after="120" w:line="240" w:lineRule="auto"/>
        <w:jc w:val="both"/>
        <w:rPr>
          <w:rFonts w:ascii="EC Square Sans Pro" w:hAnsi="EC Square Sans Pro"/>
          <w:i/>
          <w:noProof/>
          <w:sz w:val="20"/>
          <w:szCs w:val="20"/>
        </w:rPr>
      </w:pPr>
      <w:r>
        <w:rPr>
          <w:rFonts w:ascii="EC Square Sans Pro" w:hAnsi="EC Square Sans Pro"/>
          <w:noProof/>
          <w:sz w:val="20"/>
        </w:rPr>
        <w:t xml:space="preserve">Les effets de la pandémie de COVID-19 et de l’invasion de l’Ukraine par la Russie sur les systèmes d’éducation et de formation ont accentué l’urgence de certaines questions structurelles. La résolution efficace de ces problèmes systémiques nécessite des efforts à long terme auxquels une </w:t>
      </w:r>
      <w:r>
        <w:rPr>
          <w:rFonts w:ascii="EC Square Sans Pro" w:hAnsi="EC Square Sans Pro"/>
          <w:b/>
          <w:noProof/>
          <w:sz w:val="20"/>
        </w:rPr>
        <w:t>étroite coopération</w:t>
      </w:r>
      <w:r w:rsidRPr="00583130">
        <w:rPr>
          <w:iCs/>
          <w:noProof/>
          <w:vertAlign w:val="superscript"/>
        </w:rPr>
        <w:footnoteReference w:id="50"/>
      </w:r>
      <w:r>
        <w:rPr>
          <w:rFonts w:ascii="EC Square Sans Pro" w:hAnsi="EC Square Sans Pro"/>
          <w:noProof/>
          <w:sz w:val="20"/>
        </w:rPr>
        <w:t xml:space="preserve"> sera bénéfique. La résolution des </w:t>
      </w:r>
      <w:r>
        <w:rPr>
          <w:rFonts w:ascii="EC Square Sans Pro" w:hAnsi="EC Square Sans Pro"/>
          <w:b/>
          <w:noProof/>
          <w:sz w:val="20"/>
        </w:rPr>
        <w:t>problématiques</w:t>
      </w:r>
      <w:r>
        <w:rPr>
          <w:rFonts w:ascii="EC Square Sans Pro" w:hAnsi="EC Square Sans Pro"/>
          <w:noProof/>
          <w:sz w:val="20"/>
        </w:rPr>
        <w:t xml:space="preserve"> recensées dans le présent rapport d’avancement (telles que le renforcement de l’équité dans l’éducation et la formation, et la lutte contre la pénurie d’enseignants) figure parmi les domaines prioritaires de cette coopération.</w:t>
      </w:r>
      <w:r>
        <w:rPr>
          <w:rFonts w:ascii="EC Square Sans Pro" w:hAnsi="EC Square Sans Pro"/>
          <w:i/>
          <w:noProof/>
          <w:sz w:val="20"/>
        </w:rPr>
        <w:t xml:space="preserve"> </w:t>
      </w:r>
    </w:p>
    <w:p w:rsidR="00DD10FF" w:rsidRPr="00DD10FF" w:rsidRDefault="000A21F9" w:rsidP="007342E0">
      <w:pPr>
        <w:spacing w:before="120" w:after="120" w:line="240" w:lineRule="auto"/>
        <w:jc w:val="both"/>
        <w:rPr>
          <w:rFonts w:ascii="EC Square Sans Pro" w:hAnsi="EC Square Sans Pro"/>
          <w:iCs/>
          <w:noProof/>
          <w:sz w:val="20"/>
          <w:szCs w:val="20"/>
        </w:rPr>
      </w:pPr>
      <w:r>
        <w:rPr>
          <w:rFonts w:ascii="EC Square Sans Pro" w:hAnsi="EC Square Sans Pro"/>
          <w:noProof/>
          <w:sz w:val="20"/>
        </w:rPr>
        <w:t xml:space="preserve">Lors de la </w:t>
      </w:r>
      <w:r>
        <w:rPr>
          <w:rFonts w:ascii="EC Square Sans Pro" w:hAnsi="EC Square Sans Pro"/>
          <w:b/>
          <w:noProof/>
          <w:sz w:val="20"/>
        </w:rPr>
        <w:t>conférence sur l’avenir de l’Europe</w:t>
      </w:r>
      <w:r>
        <w:rPr>
          <w:rFonts w:ascii="EC Square Sans Pro" w:hAnsi="EC Square Sans Pro"/>
          <w:noProof/>
          <w:sz w:val="20"/>
        </w:rPr>
        <w:t xml:space="preserve">, des idées ont été formulées en vue de faire progresser l’UE; parmi celles-ci figuraient des propositions de </w:t>
      </w:r>
      <w:r>
        <w:rPr>
          <w:rFonts w:ascii="EC Square Sans Pro" w:hAnsi="EC Square Sans Pro"/>
          <w:b/>
          <w:noProof/>
          <w:sz w:val="20"/>
        </w:rPr>
        <w:t>mesures orientées vers l’avenir</w:t>
      </w:r>
      <w:r>
        <w:rPr>
          <w:rFonts w:ascii="EC Square Sans Pro" w:hAnsi="EC Square Sans Pro"/>
          <w:noProof/>
          <w:sz w:val="20"/>
        </w:rPr>
        <w:t xml:space="preserve"> entièrement conformes aux objectifs de l’EEE qui ont tout à gagner d’une coopération plus étroite (par exemple la promotion de l’éducation à la citoyenneté européenne pour contribuer à la construction de l’identité civique ou la création de nouvelles plateformes d’information améliorées pour mettre en commun et échanger des informations en matière d’éducation).</w:t>
      </w:r>
    </w:p>
    <w:p w:rsidR="00D21F08" w:rsidRDefault="00D21F08" w:rsidP="007342E0">
      <w:pPr>
        <w:spacing w:before="120" w:after="120" w:line="240" w:lineRule="auto"/>
        <w:jc w:val="both"/>
        <w:rPr>
          <w:rFonts w:ascii="EC Square Sans Pro" w:hAnsi="EC Square Sans Pro"/>
          <w:noProof/>
          <w:sz w:val="20"/>
          <w:szCs w:val="20"/>
        </w:rPr>
      </w:pPr>
      <w:r>
        <w:rPr>
          <w:rFonts w:ascii="EC Square Sans Pro" w:hAnsi="EC Square Sans Pro"/>
          <w:noProof/>
          <w:sz w:val="20"/>
        </w:rPr>
        <w:t xml:space="preserve">La participation des parties prenantes, y compris celle de la société civile, joue un rôle déterminant dans le déploiement des actions en faveur de l’EEE. Afin de mieux </w:t>
      </w:r>
      <w:r>
        <w:rPr>
          <w:rFonts w:ascii="EC Square Sans Pro" w:hAnsi="EC Square Sans Pro"/>
          <w:b/>
          <w:noProof/>
          <w:sz w:val="20"/>
        </w:rPr>
        <w:t>associer la société civile aux efforts déployés à l’échelle de l’UE en vue de la réalisation de l’EEE</w:t>
      </w:r>
      <w:r>
        <w:rPr>
          <w:rFonts w:ascii="EC Square Sans Pro" w:hAnsi="EC Square Sans Pro"/>
          <w:noProof/>
          <w:sz w:val="20"/>
        </w:rPr>
        <w:t>, dès 2023, la Commission examinera les possibilités d’accroître le soutien financier, dans le cadre du programme Erasmus+, afin de stimuler la participation de la société civile à l’élaboration des politiques en matière d’éducation et de jeunesse. La Commission soutiendra la mobilisation des structures de gouvernance du cadre stratégique de l’EEE et renforcera sa démarche volontaire en vue d’une coopération et d’une coordination plus étroites entre les États membres et les autres acteurs du domaine de l’éducation.</w:t>
      </w:r>
    </w:p>
    <w:p w:rsidR="00804DB1" w:rsidRDefault="00F67D6A" w:rsidP="00BF6D96">
      <w:pPr>
        <w:spacing w:before="120" w:after="120" w:line="240" w:lineRule="auto"/>
        <w:jc w:val="both"/>
        <w:rPr>
          <w:rFonts w:ascii="EC Square Sans Pro" w:hAnsi="EC Square Sans Pro"/>
          <w:noProof/>
          <w:sz w:val="20"/>
          <w:szCs w:val="20"/>
        </w:rPr>
      </w:pPr>
      <w:r>
        <w:rPr>
          <w:rFonts w:ascii="EC Square Sans Pro" w:hAnsi="EC Square Sans Pro"/>
          <w:noProof/>
          <w:sz w:val="20"/>
        </w:rPr>
        <w:t xml:space="preserve">Afin de pouvoir dresser un bilan plus précis des progrès accomplis dans la réalisation de l’EEE, notamment grâce au groupe de haut niveau et à son conseil de coordination récemment instauré, la Commission propose de mener un processus de réflexion à mi-parcours, tel que décrit à la section 5.2 ci-dessous. Cette réflexion permettra d’examiner </w:t>
      </w:r>
      <w:r>
        <w:rPr>
          <w:rFonts w:ascii="EC Square Sans Pro" w:hAnsi="EC Square Sans Pro"/>
          <w:b/>
          <w:noProof/>
          <w:sz w:val="20"/>
        </w:rPr>
        <w:t>comment une gouvernance et une coopération réformées au niveau de l’UE peuvent contribuer à relever les défis émergents et récurrents dans le cadre d’une réforme systémique</w:t>
      </w:r>
      <w:r>
        <w:rPr>
          <w:rFonts w:ascii="EC Square Sans Pro" w:hAnsi="EC Square Sans Pro"/>
          <w:noProof/>
          <w:sz w:val="20"/>
        </w:rPr>
        <w:t xml:space="preserve"> et participer ainsi à la réalisation de l’EEE, et de recenser les domaines dans lesquels des ajustements pourraient être apportés. L’</w:t>
      </w:r>
      <w:r>
        <w:rPr>
          <w:rFonts w:ascii="EC Square Sans Pro" w:hAnsi="EC Square Sans Pro"/>
          <w:b/>
          <w:noProof/>
          <w:sz w:val="20"/>
        </w:rPr>
        <w:t>efficacité de l’apprentissage mutuel</w:t>
      </w:r>
      <w:r>
        <w:rPr>
          <w:rFonts w:ascii="EC Square Sans Pro" w:hAnsi="EC Square Sans Pro"/>
          <w:noProof/>
          <w:sz w:val="20"/>
        </w:rPr>
        <w:t xml:space="preserve"> et la manière dont il peut aider les États membres de l’UE à relever les défis communs et à élaborer des mesures orientées vers l’avenir grâce à une meilleure élaboration des politiques, s’appuyant sur un ensemble plus fourni d’éléments comparatifs au niveau de l’UE et une meilleure diffusion des résultats aux niveaux européen, national et local, seront également examinées. </w:t>
      </w:r>
    </w:p>
    <w:p w:rsidR="00592AFE" w:rsidRPr="002242ED" w:rsidRDefault="00221CE1" w:rsidP="00B97C85">
      <w:pPr>
        <w:pStyle w:val="2022Head2"/>
        <w:keepLines/>
        <w:ind w:left="562" w:hanging="562"/>
        <w:rPr>
          <w:noProof/>
        </w:rPr>
      </w:pPr>
      <w:bookmarkStart w:id="22" w:name="_Toc110850855"/>
      <w:bookmarkStart w:id="23" w:name="_Toc118981467"/>
      <w:r>
        <w:rPr>
          <w:noProof/>
        </w:rPr>
        <w:t xml:space="preserve">4.5. </w:t>
      </w:r>
      <w:r>
        <w:rPr>
          <w:noProof/>
        </w:rPr>
        <w:tab/>
        <w:t>Renforcer la dimension géopolitique de l’EEE</w:t>
      </w:r>
      <w:bookmarkEnd w:id="22"/>
      <w:bookmarkEnd w:id="23"/>
    </w:p>
    <w:p w:rsidR="00407769" w:rsidRPr="002242ED" w:rsidRDefault="00592AFE" w:rsidP="006A6D12">
      <w:pPr>
        <w:keepLines/>
        <w:spacing w:after="120" w:line="240" w:lineRule="auto"/>
        <w:jc w:val="both"/>
        <w:rPr>
          <w:rFonts w:ascii="EC Square Sans Pro" w:hAnsi="EC Square Sans Pro"/>
          <w:iCs/>
          <w:noProof/>
          <w:sz w:val="20"/>
          <w:szCs w:val="20"/>
        </w:rPr>
      </w:pPr>
      <w:r>
        <w:rPr>
          <w:rFonts w:ascii="EC Square Sans Pro" w:hAnsi="EC Square Sans Pro"/>
          <w:b/>
          <w:noProof/>
          <w:sz w:val="20"/>
        </w:rPr>
        <w:t>La dimension géopolitique de l’EEE revêt une importance sans cesse grandissante.</w:t>
      </w:r>
      <w:r>
        <w:rPr>
          <w:rFonts w:ascii="EC Square Sans Pro" w:hAnsi="EC Square Sans Pro"/>
          <w:noProof/>
          <w:sz w:val="20"/>
        </w:rPr>
        <w:t xml:space="preserve"> L’EEE s’est révélé être un moteur de réformes dans d’autres pays et sert de norme de qualité à l’échelle mondiale grâce aux multiples actions menées dans son cadre (par exemple les actions «Jean Monnet», les centres d’excellence professionnelle et les académies Erasmus+ de l’enseignement) qui s’adressent à des pays et à des participants au-delà des frontières de l’UE, qui promeuvent l’attrait des systèmes d’éducation et de formation européens, qui motivent les pays sur la voie de l’adhésion à l’UE et les aident à transformer leurs systèmes d’éducation, de recherche et d’innovation</w:t>
      </w:r>
      <w:r w:rsidR="000C6DB0">
        <w:rPr>
          <w:rStyle w:val="FootnoteReference"/>
          <w:rFonts w:ascii="EC Square Sans Pro" w:hAnsi="EC Square Sans Pro"/>
          <w:noProof/>
          <w:sz w:val="20"/>
          <w:szCs w:val="20"/>
        </w:rPr>
        <w:footnoteReference w:id="51"/>
      </w:r>
      <w:r>
        <w:rPr>
          <w:rFonts w:ascii="EC Square Sans Pro" w:hAnsi="EC Square Sans Pro"/>
          <w:noProof/>
          <w:sz w:val="20"/>
        </w:rPr>
        <w:t xml:space="preserve">. Cette influence a été encore renforcée par la </w:t>
      </w:r>
      <w:hyperlink r:id="rId45" w:history="1">
        <w:r>
          <w:rPr>
            <w:rStyle w:val="Hyperlink"/>
            <w:rFonts w:ascii="EC Square Sans Pro" w:hAnsi="EC Square Sans Pro"/>
            <w:noProof/>
            <w:sz w:val="20"/>
          </w:rPr>
          <w:t>stratégie «Global Gateway»</w:t>
        </w:r>
      </w:hyperlink>
      <w:r>
        <w:rPr>
          <w:rFonts w:ascii="EC Square Sans Pro" w:hAnsi="EC Square Sans Pro"/>
          <w:noProof/>
          <w:sz w:val="20"/>
        </w:rPr>
        <w:t xml:space="preserve"> et l’investissement global de l’UE dans la réalisation de l’objectif de développement durable nº 4 visant à assurer à tous une éducation équitable, inclusive et de qualité et des possibilités d’apprentissage tout au long de la vie</w:t>
      </w:r>
      <w:r w:rsidR="000C6DB0" w:rsidRPr="002242ED">
        <w:rPr>
          <w:rStyle w:val="FootnoteReference"/>
          <w:rFonts w:ascii="EC Square Sans Pro" w:hAnsi="EC Square Sans Pro"/>
          <w:noProof/>
          <w:sz w:val="20"/>
          <w:szCs w:val="20"/>
        </w:rPr>
        <w:footnoteReference w:id="52"/>
      </w:r>
      <w:r>
        <w:rPr>
          <w:rFonts w:ascii="EC Square Sans Pro" w:hAnsi="EC Square Sans Pro"/>
          <w:noProof/>
          <w:sz w:val="20"/>
        </w:rPr>
        <w:t>, qui encourage la mobilité à des fins d’apprentissage et la transition numérique, tant dans l’éducation que grâce à elle, ainsi que la qualité, l’équité, l’inclusion et l’égalité des genres dans le domaine de l’éducation. Le rayonnement de l’EEE a en outre gagné en amplitude grâce à une augmentation du budget consacré à l’éducation par l’instrument de voisinage, de coopération au développement et de coopération internationale, qui est passé de 7 à 10 %, et à un renforcement de la dimension internationale du programme Erasmus+ par la création du programme Erasmus Mundus qui, doté d’un budget total de 2,2 milliards d’EUR, est désormais entièrement opérationnel.</w:t>
      </w:r>
    </w:p>
    <w:p w:rsidR="00407769" w:rsidRPr="006E452C" w:rsidRDefault="00F71D85" w:rsidP="005C5482">
      <w:pPr>
        <w:spacing w:after="120" w:line="240" w:lineRule="auto"/>
        <w:jc w:val="both"/>
        <w:rPr>
          <w:rFonts w:ascii="EC Square Sans Pro" w:hAnsi="EC Square Sans Pro"/>
          <w:iCs/>
          <w:noProof/>
          <w:sz w:val="20"/>
          <w:szCs w:val="20"/>
        </w:rPr>
      </w:pPr>
      <w:r>
        <w:rPr>
          <w:rFonts w:ascii="EC Square Sans Pro" w:hAnsi="EC Square Sans Pro"/>
          <w:b/>
          <w:noProof/>
          <w:sz w:val="20"/>
        </w:rPr>
        <w:t>Les aides combinées de l’UE et des États membres à l’Ukraine dans le domaine de l’éducation montrent que l’approche «</w:t>
      </w:r>
      <w:hyperlink r:id="rId46" w:history="1">
        <w:r>
          <w:rPr>
            <w:rStyle w:val="Hyperlink"/>
            <w:rFonts w:ascii="EC Square Sans Pro" w:hAnsi="EC Square Sans Pro"/>
            <w:b/>
            <w:noProof/>
            <w:sz w:val="20"/>
          </w:rPr>
          <w:t>Team Europe</w:t>
        </w:r>
      </w:hyperlink>
      <w:r>
        <w:rPr>
          <w:rFonts w:ascii="EC Square Sans Pro" w:hAnsi="EC Square Sans Pro"/>
          <w:b/>
          <w:noProof/>
          <w:sz w:val="20"/>
        </w:rPr>
        <w:t>» permet de réagir aux situations de crise avec souplesse et efficacité</w:t>
      </w:r>
      <w:r>
        <w:rPr>
          <w:rFonts w:ascii="EC Square Sans Pro" w:hAnsi="EC Square Sans Pro"/>
          <w:noProof/>
          <w:sz w:val="20"/>
        </w:rPr>
        <w:t>, ce qui démontre la valeur ajoutée de cette coopération informelle et volontaire</w:t>
      </w:r>
      <w:r w:rsidR="009E5B72">
        <w:rPr>
          <w:rStyle w:val="FootnoteReference"/>
          <w:rFonts w:ascii="EC Square Sans Pro" w:hAnsi="EC Square Sans Pro"/>
          <w:noProof/>
          <w:sz w:val="20"/>
          <w:szCs w:val="20"/>
        </w:rPr>
        <w:footnoteReference w:id="53"/>
      </w:r>
      <w:r>
        <w:rPr>
          <w:rFonts w:ascii="EC Square Sans Pro" w:hAnsi="EC Square Sans Pro"/>
          <w:noProof/>
          <w:sz w:val="20"/>
        </w:rPr>
        <w:t>. Le programme Erasmus+, qui a contribué à l’intégration d’élèves, d’étudiants et de personnel ukrainiens dans les systèmes éducatifs de l’UE, a fait preuve d’une souplesse sans précédent, notamment au niveau de sa dimension internationale. En outre, la Commission soutiendra la reprise du secteur de l’éducation en Ukraine, y compris la reconstruction des écoles ukrainiennes endommagées</w:t>
      </w:r>
      <w:r w:rsidR="00C2581B">
        <w:rPr>
          <w:rStyle w:val="FootnoteReference"/>
          <w:rFonts w:ascii="EC Square Sans Pro" w:hAnsi="EC Square Sans Pro"/>
          <w:noProof/>
          <w:sz w:val="20"/>
          <w:szCs w:val="20"/>
        </w:rPr>
        <w:footnoteReference w:id="54"/>
      </w:r>
      <w:r>
        <w:rPr>
          <w:rFonts w:ascii="EC Square Sans Pro" w:hAnsi="EC Square Sans Pro"/>
          <w:noProof/>
          <w:sz w:val="20"/>
        </w:rPr>
        <w:t xml:space="preserve">. En s’appuyant sur la dimension éducative de l’initiative «Global Gateway», la Commission continuera d’encourager l’adoption d’une approche «Team Europe» afin de promouvoir la qualité de l’éducation dans les pays partenaires et, en particulier, en vue de la future reconstruction du système éducatif ukrainien après la guerre. Après l’obtention par l’Ukraine du statut de pays candidat à l’adhésion à l’UE, le 23 juin 2022, la Commission a invité les autorités compétentes en matière d’éducation à rejoindre les groupes de travail relevant du cadre stratégique de l’EEE qui contribueront à l’amélioration de l’apprentissage mutuel et au maintien de l’aide déployée pour réparer les dommages que l’invasion de l’Ukraine a causés à l’éducation. </w:t>
      </w:r>
    </w:p>
    <w:p w:rsidR="00592AFE" w:rsidRPr="00C22354" w:rsidRDefault="00592AFE" w:rsidP="14FA6798">
      <w:pPr>
        <w:spacing w:after="120" w:line="240" w:lineRule="auto"/>
        <w:jc w:val="both"/>
        <w:rPr>
          <w:rFonts w:ascii="EC Square Sans Pro" w:hAnsi="EC Square Sans Pro"/>
          <w:noProof/>
          <w:sz w:val="20"/>
          <w:szCs w:val="20"/>
        </w:rPr>
      </w:pPr>
      <w:r>
        <w:rPr>
          <w:rFonts w:ascii="EC Square Sans Pro" w:hAnsi="EC Square Sans Pro"/>
          <w:noProof/>
          <w:sz w:val="20"/>
        </w:rPr>
        <w:t xml:space="preserve">La Commission, en collaboration avec les Balkans occidentaux, a élaboré le </w:t>
      </w:r>
      <w:r>
        <w:rPr>
          <w:rFonts w:ascii="EC Square Sans Pro" w:hAnsi="EC Square Sans Pro"/>
          <w:b/>
          <w:noProof/>
          <w:sz w:val="20"/>
        </w:rPr>
        <w:t>programme des Balkans occidentaux en matière d’innovation, de recherche, d’éducation, de culture, de jeunesse et de sport</w:t>
      </w:r>
      <w:r w:rsidR="00611E4B" w:rsidRPr="002242ED">
        <w:rPr>
          <w:rFonts w:ascii="EC Square Sans Pro" w:hAnsi="EC Square Sans Pro"/>
          <w:noProof/>
          <w:sz w:val="20"/>
          <w:szCs w:val="20"/>
          <w:vertAlign w:val="superscript"/>
        </w:rPr>
        <w:footnoteReference w:id="55"/>
      </w:r>
      <w:r>
        <w:rPr>
          <w:rFonts w:ascii="EC Square Sans Pro" w:hAnsi="EC Square Sans Pro"/>
          <w:noProof/>
          <w:sz w:val="20"/>
        </w:rPr>
        <w:t xml:space="preserve">. Ce programme vise essentiellement à rapprocher les Balkans occidentaux de l’UE, y compris dans le domaine de l’éducation. Concrètement, un partenariat renforcé avec les Balkans occidentaux sera encouragé dans le cadre d’Erasmus+ afin de donner aux organisations et aux établissements à vocation éducative la possibilité de participer à d’importantes actions stratégiques dans le cadre du programme, à commencer par les alliances d’universités européennes. Les travaux se poursuivront également à l’échelle mondiale, afin de renforcer le </w:t>
      </w:r>
      <w:r>
        <w:rPr>
          <w:rFonts w:ascii="EC Square Sans Pro" w:hAnsi="EC Square Sans Pro"/>
          <w:b/>
          <w:noProof/>
          <w:sz w:val="20"/>
        </w:rPr>
        <w:t>rôle fondamental que les universités européennes peuvent jouer dans l’expansion maximale de l’influence de l’Europe dans le monde ainsi que dans la promotion des valeurs démocratiques</w:t>
      </w:r>
      <w:r>
        <w:rPr>
          <w:rFonts w:ascii="EC Square Sans Pro" w:hAnsi="EC Square Sans Pro"/>
          <w:noProof/>
          <w:sz w:val="20"/>
        </w:rPr>
        <w:t xml:space="preserve"> et de la coopération en faveur de la paix. Les alliances d’universités européennes soutenues par le programme Erasmus+</w:t>
      </w:r>
      <w:r w:rsidR="0045123E">
        <w:rPr>
          <w:rStyle w:val="FootnoteReference"/>
          <w:rFonts w:ascii="EC Square Sans Pro" w:hAnsi="EC Square Sans Pro"/>
          <w:noProof/>
          <w:sz w:val="20"/>
          <w:szCs w:val="20"/>
        </w:rPr>
        <w:footnoteReference w:id="56"/>
      </w:r>
      <w:r>
        <w:rPr>
          <w:rFonts w:ascii="EC Square Sans Pro" w:hAnsi="EC Square Sans Pro"/>
          <w:noProof/>
          <w:sz w:val="20"/>
        </w:rPr>
        <w:t xml:space="preserve"> font figure de chef de file en promouvant les valeurs et l’identité européennes, ainsi qu’en révolutionnant la qualité et la compétitivité du secteur européen de l’enseignement supérieur. Le </w:t>
      </w:r>
      <w:r>
        <w:rPr>
          <w:rFonts w:ascii="EC Square Sans Pro" w:hAnsi="EC Square Sans Pro"/>
          <w:b/>
          <w:noProof/>
          <w:sz w:val="20"/>
        </w:rPr>
        <w:t>portail «Study in Europe»</w:t>
      </w:r>
      <w:r>
        <w:rPr>
          <w:rFonts w:ascii="EC Square Sans Pro" w:hAnsi="EC Square Sans Pro"/>
          <w:noProof/>
          <w:sz w:val="20"/>
        </w:rPr>
        <w:t xml:space="preserve"> sert également de guichet unique pour promouvoir les études en Europe et fournir des informations et des conseils en la matière. Il redirige le trafic vers des sites nationaux traitant de l’enseignement supérieur, notamment grâce aux profils individuels par pays, et met en avant l’intérêt de poursuivre des études en Europe. Il s’agit là d’une manifestation concrète de l’approche «Team Europe», et les activités de mise en réseau organisées sous sa bannière favorisent l’apprentissage par les pairs et l’échange de bonnes pratiques. Ces activités contribuent à promouvoir l’Europe en tant que destination pour les études et la recherche, dans les pays partenaires du monde entier. Le portail «Study in Europe», en particulier ses aspects liés à la mise en réseau, sera étoffé davantage à l’avenir. L’éducation reste également une priorité de la coopération de l’UE dans les régions couvertes par la politique européenne de voisinage et celles qui sont candidates à l’élargissement, et bénéficie d’un financement bilatéral et régional au titre de l’instrument d’aide de préadhésion et de l’instrument de voisinage, de coopération au développement et de coopération internationale.</w:t>
      </w:r>
    </w:p>
    <w:p w:rsidR="00411EC5" w:rsidRDefault="63A87036" w:rsidP="00411EC5">
      <w:pPr>
        <w:spacing w:after="120" w:line="240" w:lineRule="auto"/>
        <w:jc w:val="both"/>
        <w:rPr>
          <w:rFonts w:ascii="EC Square Sans Pro" w:eastAsia="Calibri" w:hAnsi="EC Square Sans Pro" w:cs="Calibri"/>
          <w:noProof/>
          <w:sz w:val="20"/>
          <w:szCs w:val="20"/>
        </w:rPr>
      </w:pPr>
      <w:r>
        <w:rPr>
          <w:rFonts w:ascii="EC Square Sans Pro" w:hAnsi="EC Square Sans Pro"/>
          <w:noProof/>
          <w:sz w:val="20"/>
        </w:rPr>
        <w:t xml:space="preserve">À moyen et à long terme, la Commission soutiendra le processus de réflexion mené avec les États membres de l’UE concernant la nécessité de </w:t>
      </w:r>
      <w:r>
        <w:rPr>
          <w:rFonts w:ascii="EC Square Sans Pro" w:hAnsi="EC Square Sans Pro"/>
          <w:b/>
          <w:noProof/>
          <w:sz w:val="20"/>
        </w:rPr>
        <w:t>promouvoir</w:t>
      </w:r>
      <w:r>
        <w:rPr>
          <w:rFonts w:ascii="EC Square Sans Pro" w:hAnsi="EC Square Sans Pro"/>
          <w:noProof/>
          <w:sz w:val="20"/>
        </w:rPr>
        <w:t xml:space="preserve"> davantage </w:t>
      </w:r>
      <w:r>
        <w:rPr>
          <w:rFonts w:ascii="EC Square Sans Pro" w:hAnsi="EC Square Sans Pro"/>
          <w:b/>
          <w:noProof/>
          <w:sz w:val="20"/>
        </w:rPr>
        <w:t>une action coordonnée en matière d’investissement dans l’éducation</w:t>
      </w:r>
      <w:r>
        <w:rPr>
          <w:rFonts w:ascii="EC Square Sans Pro" w:hAnsi="EC Square Sans Pro"/>
          <w:noProof/>
          <w:sz w:val="20"/>
        </w:rPr>
        <w:t xml:space="preserve"> dans les pays partenaires, en vue de faire de l’approche «Team Europe» un outil de référence pour défendre et propulser efficacement le secteur de l’éducation, que ce soit à l’échelle nationale, régionale ou mondiale.</w:t>
      </w:r>
      <w:r>
        <w:rPr>
          <w:rFonts w:ascii="EC Square Sans Pro" w:hAnsi="EC Square Sans Pro"/>
          <w:noProof/>
          <w:sz w:val="20"/>
        </w:rPr>
        <w:br w:type="page"/>
      </w:r>
    </w:p>
    <w:p w:rsidR="002F6100" w:rsidRPr="002242ED" w:rsidRDefault="00221CE1" w:rsidP="00173F0E">
      <w:pPr>
        <w:pStyle w:val="2022Head1"/>
        <w:ind w:left="0" w:firstLine="0"/>
        <w:rPr>
          <w:noProof/>
        </w:rPr>
      </w:pPr>
      <w:bookmarkStart w:id="24" w:name="_Toc110850857"/>
      <w:bookmarkStart w:id="25" w:name="_Toc118981468"/>
      <w:r>
        <w:rPr>
          <w:noProof/>
        </w:rPr>
        <w:t xml:space="preserve">5. </w:t>
      </w:r>
      <w:r>
        <w:rPr>
          <w:noProof/>
        </w:rPr>
        <w:tab/>
        <w:t>Conclusions et prochaines étapes</w:t>
      </w:r>
      <w:bookmarkEnd w:id="24"/>
      <w:bookmarkEnd w:id="25"/>
      <w:r>
        <w:rPr>
          <w:noProof/>
        </w:rPr>
        <w:t xml:space="preserve"> </w:t>
      </w:r>
    </w:p>
    <w:p w:rsidR="00B341F7" w:rsidRPr="002242ED" w:rsidRDefault="00221CE1" w:rsidP="002B7E5B">
      <w:pPr>
        <w:pStyle w:val="2022Head2"/>
        <w:rPr>
          <w:noProof/>
        </w:rPr>
      </w:pPr>
      <w:bookmarkStart w:id="26" w:name="_Toc110850858"/>
      <w:bookmarkStart w:id="27" w:name="_Toc118981469"/>
      <w:r>
        <w:rPr>
          <w:noProof/>
        </w:rPr>
        <w:t xml:space="preserve">5.1. </w:t>
      </w:r>
      <w:r>
        <w:rPr>
          <w:noProof/>
        </w:rPr>
        <w:tab/>
        <w:t>Principales conclusions</w:t>
      </w:r>
      <w:bookmarkEnd w:id="26"/>
      <w:bookmarkEnd w:id="27"/>
    </w:p>
    <w:p w:rsidR="00AA5040" w:rsidRDefault="00EB01A8" w:rsidP="0046695F">
      <w:pPr>
        <w:keepNext/>
        <w:keepLines/>
        <w:spacing w:after="120" w:line="240" w:lineRule="auto"/>
        <w:jc w:val="both"/>
        <w:rPr>
          <w:rFonts w:ascii="EC Square Sans Pro" w:hAnsi="EC Square Sans Pro"/>
          <w:noProof/>
          <w:sz w:val="20"/>
          <w:szCs w:val="20"/>
        </w:rPr>
      </w:pPr>
      <w:r>
        <w:rPr>
          <w:rFonts w:ascii="EC Square Sans Pro" w:hAnsi="EC Square Sans Pro"/>
          <w:b/>
          <w:noProof/>
          <w:sz w:val="20"/>
        </w:rPr>
        <w:t xml:space="preserve">Le présent bilan montre que l’EEE est sur la bonne voie: </w:t>
      </w:r>
      <w:r>
        <w:rPr>
          <w:rFonts w:ascii="EC Square Sans Pro" w:hAnsi="EC Square Sans Pro"/>
          <w:noProof/>
          <w:sz w:val="20"/>
        </w:rPr>
        <w:t xml:space="preserve">des progrès ont été accomplis au cours des deux dernières années en ce qui concerne la définition des initiatives en faveur de l’EEE, le renforcement de la coopération et de la cocréation, ainsi que la mobilisation de fonds pour les réformes et les investissements nationaux. L’EEE a apporté un programme de réformes, d’investissements et de coopération pour garantir à chacun en Europe une éducation plus équitable, de meilleure qualité et pérenne. D’une part, il est encore trop tôt dans le processus de mise en œuvre pour pouvoir mesurer objectivement l’incidence des actions menées dans le cadre de l’EEE, des réformes en matière de gouvernance et du financement de l’UE aux niveaux national, régional et local. D’autre part, les premiers indices montrent que grâce à l’engagement commun en faveur de l’EEE et à la coopération européenne, les initiatives menées dans les États membres et au niveau de l’UE se renforcent mutuellement. </w:t>
      </w:r>
    </w:p>
    <w:p w:rsidR="00373447" w:rsidRPr="00D577F7" w:rsidRDefault="00373447" w:rsidP="00373447">
      <w:pPr>
        <w:spacing w:after="120" w:line="240" w:lineRule="auto"/>
        <w:jc w:val="both"/>
        <w:rPr>
          <w:rFonts w:ascii="EC Square Sans Pro" w:eastAsiaTheme="minorEastAsia" w:hAnsi="EC Square Sans Pro"/>
          <w:noProof/>
          <w:sz w:val="20"/>
          <w:szCs w:val="20"/>
        </w:rPr>
      </w:pPr>
      <w:r>
        <w:rPr>
          <w:rFonts w:ascii="EC Square Sans Pro" w:hAnsi="EC Square Sans Pro"/>
          <w:b/>
          <w:noProof/>
          <w:sz w:val="20"/>
        </w:rPr>
        <w:t>Le renforcement de la gouvernance nous a permis de voir à l’œuvre l’EEE</w:t>
      </w:r>
      <w:r>
        <w:rPr>
          <w:rFonts w:ascii="EC Square Sans Pro" w:hAnsi="EC Square Sans Pro"/>
          <w:noProof/>
          <w:sz w:val="20"/>
        </w:rPr>
        <w:t xml:space="preserve">, qui a fait preuve d’une aptitude à assumer des responsabilités communes aux États membres et à l’UE en renforçant la coopération dans les réformes et les actions menées en vue d’atteindre les objectifs fixés au niveau de l’UE, ainsi que de réactivité face aux nouveaux défis. Le renforcement du cadre stratégique a permis la mise en commun des connaissances et des ressources, l’échange organisé de bonnes pratiques et la mise en œuvre de solutions concrètes. L’ambition commune de l’EEE a renforcé la coopération et la prise en charge des priorités communes. L’éducation et la formation sont ainsi devenues une préoccupation commune en raison des intérêts partagés. </w:t>
      </w:r>
    </w:p>
    <w:p w:rsidR="002F6100" w:rsidRPr="002242ED" w:rsidRDefault="00FA3753" w:rsidP="0046695F">
      <w:pPr>
        <w:keepNext/>
        <w:keepLines/>
        <w:spacing w:after="120" w:line="240" w:lineRule="auto"/>
        <w:jc w:val="both"/>
        <w:rPr>
          <w:rFonts w:ascii="EC Square Sans Pro" w:hAnsi="EC Square Sans Pro"/>
          <w:noProof/>
          <w:sz w:val="20"/>
          <w:szCs w:val="20"/>
        </w:rPr>
      </w:pPr>
      <w:r>
        <w:rPr>
          <w:rFonts w:ascii="EC Square Sans Pro" w:hAnsi="EC Square Sans Pro"/>
          <w:b/>
          <w:noProof/>
          <w:sz w:val="20"/>
        </w:rPr>
        <w:t>Bien que les progrès observés dans la réalisation de divers objectifs fixés au niveau de l’UE affichent une convergence ascendante et positive</w:t>
      </w:r>
      <w:r>
        <w:rPr>
          <w:rFonts w:ascii="EC Square Sans Pro" w:hAnsi="EC Square Sans Pro"/>
          <w:noProof/>
          <w:sz w:val="20"/>
        </w:rPr>
        <w:t xml:space="preserve"> (en effet, le décrochage scolaire est en baisse, tandis que le taux de diplômés de l’enseignement supérieur et le nombre de jeunes enfants préscolarisés sont en hausse), </w:t>
      </w:r>
      <w:r>
        <w:rPr>
          <w:rFonts w:ascii="EC Square Sans Pro" w:hAnsi="EC Square Sans Pro"/>
          <w:b/>
          <w:noProof/>
          <w:sz w:val="20"/>
        </w:rPr>
        <w:t>d’importants signaux d’alerte pointent la nécessité de déployer des efforts systématiques à plus long terme</w:t>
      </w:r>
      <w:r>
        <w:rPr>
          <w:rFonts w:ascii="EC Square Sans Pro" w:hAnsi="EC Square Sans Pro"/>
          <w:noProof/>
          <w:sz w:val="20"/>
        </w:rPr>
        <w:t xml:space="preserve"> afin d’améliorer la qualité et l’équité dans le domaine de l’éducation et de la formation. La Commission continuera d’améliorer le suivi des résultats obtenus au niveau de l’UE afin de soutenir l’élaboration des politiques sur la base d’éléments concrets et de faciliter l’apprentissage mutuel sur les grands défis recensés (notamment la promotion de l’équité dans le domaine de l’éducation, et la lutte contre la pénurie grandissante d’enseignants partout dans l’UE).</w:t>
      </w:r>
    </w:p>
    <w:p w:rsidR="00E64EBC" w:rsidRPr="002242ED" w:rsidRDefault="00BE3F8F" w:rsidP="000B1E8F">
      <w:pPr>
        <w:spacing w:after="120" w:line="240" w:lineRule="auto"/>
        <w:jc w:val="both"/>
        <w:rPr>
          <w:rFonts w:ascii="EC Square Sans Pro" w:hAnsi="EC Square Sans Pro"/>
          <w:noProof/>
          <w:sz w:val="20"/>
          <w:szCs w:val="20"/>
        </w:rPr>
      </w:pPr>
      <w:r>
        <w:rPr>
          <w:rFonts w:ascii="EC Square Sans Pro" w:hAnsi="EC Square Sans Pro"/>
          <w:b/>
          <w:noProof/>
          <w:sz w:val="20"/>
        </w:rPr>
        <w:t>Il sera essentiel, pour les années à venir, de mettre l’accent sur la mise en œuvre, la qualité des investissements, l’absorption des ressources et le suivi rigoureux.</w:t>
      </w:r>
      <w:r>
        <w:rPr>
          <w:rFonts w:ascii="EC Square Sans Pro" w:hAnsi="EC Square Sans Pro"/>
          <w:noProof/>
          <w:sz w:val="20"/>
        </w:rPr>
        <w:t xml:space="preserve"> Après la phase d’élaboration des politiques (2021-2022) et le lancement à l’échelle de l’UE d’un ensemble d’actions en faveur de l’EEE, il convient à présent de garantir en priorité i) le suivi des initiatives stratégiques en faveur de l’EEE menées au niveau national, ii) la qualité des investissements par l’absorption efficace des ressources de l’UE et des États membres et iii) le suivi rigoureux des progrès accomplis. Ces actions pourraient contribuer à consolider les réformes systémiques menées par les États membres et se répercuter positivement sur les apprenants et les enseignants. Les groupes de travail relevant du cadre stratégique de l’EEE et d’autres forums de cocréation soutenant les travaux en faveur de l’EEE</w:t>
      </w:r>
      <w:r w:rsidR="00F06062">
        <w:rPr>
          <w:rStyle w:val="FootnoteReference"/>
          <w:rFonts w:ascii="EC Square Sans Pro" w:hAnsi="EC Square Sans Pro"/>
          <w:noProof/>
          <w:sz w:val="20"/>
          <w:szCs w:val="20"/>
        </w:rPr>
        <w:footnoteReference w:id="57"/>
      </w:r>
      <w:r>
        <w:rPr>
          <w:rFonts w:ascii="EC Square Sans Pro" w:hAnsi="EC Square Sans Pro"/>
          <w:noProof/>
          <w:sz w:val="20"/>
        </w:rPr>
        <w:t xml:space="preserve"> peuvent jouer un rôle fondamental à cet égard, la participation active de tous les membres et l’établissement de liens avec les décideurs nationaux étant essentiels à la réussite. Le programme Erasmus+ continuera de soutenir la mise en œuvre des objectifs fixés en vue de la réalisation de l’EEE par ses actions et ses priorités en matière de mobilité, de coopération et de stratégie. </w:t>
      </w:r>
    </w:p>
    <w:p w:rsidR="00B341F7" w:rsidRPr="002242ED" w:rsidRDefault="00221CE1" w:rsidP="002B7E5B">
      <w:pPr>
        <w:pStyle w:val="2022Head2"/>
        <w:rPr>
          <w:noProof/>
        </w:rPr>
      </w:pPr>
      <w:bookmarkStart w:id="28" w:name="_Toc110850859"/>
      <w:bookmarkStart w:id="29" w:name="_Toc118981470"/>
      <w:r>
        <w:rPr>
          <w:noProof/>
        </w:rPr>
        <w:t xml:space="preserve">5.2. </w:t>
      </w:r>
      <w:r>
        <w:rPr>
          <w:noProof/>
        </w:rPr>
        <w:tab/>
        <w:t>Examen à mi-parcours</w:t>
      </w:r>
      <w:bookmarkEnd w:id="28"/>
      <w:bookmarkEnd w:id="29"/>
      <w:r>
        <w:rPr>
          <w:noProof/>
        </w:rPr>
        <w:t xml:space="preserve"> </w:t>
      </w:r>
    </w:p>
    <w:p w:rsidR="00373447" w:rsidRDefault="006B54E7" w:rsidP="000B1E8F">
      <w:pPr>
        <w:spacing w:after="120" w:line="240" w:lineRule="auto"/>
        <w:jc w:val="both"/>
        <w:rPr>
          <w:rFonts w:ascii="EC Square Sans Pro" w:hAnsi="EC Square Sans Pro"/>
          <w:noProof/>
          <w:sz w:val="20"/>
          <w:szCs w:val="20"/>
        </w:rPr>
      </w:pPr>
      <w:r>
        <w:rPr>
          <w:rFonts w:ascii="EC Square Sans Pro" w:hAnsi="EC Square Sans Pro"/>
          <w:noProof/>
          <w:sz w:val="20"/>
        </w:rPr>
        <w:t>Le présent rapport d’avancement constitue la contribution de la Commission à l’</w:t>
      </w:r>
      <w:r>
        <w:rPr>
          <w:rFonts w:ascii="EC Square Sans Pro" w:hAnsi="EC Square Sans Pro"/>
          <w:b/>
          <w:noProof/>
          <w:sz w:val="20"/>
        </w:rPr>
        <w:t>examen à mi-parcours de 2023</w:t>
      </w:r>
      <w:r>
        <w:rPr>
          <w:rFonts w:ascii="EC Square Sans Pro" w:hAnsi="EC Square Sans Pro"/>
          <w:noProof/>
          <w:sz w:val="20"/>
        </w:rPr>
        <w:t xml:space="preserve">, qui aura pour objectif de dresser un bilan de la situation et de faire en sorte de conserver la dynamique, l’engagement et la participation de tous en vue de la réalisation de l’EEE. </w:t>
      </w:r>
    </w:p>
    <w:p w:rsidR="00E5113F" w:rsidRDefault="000C026C" w:rsidP="000B1E8F">
      <w:pPr>
        <w:spacing w:after="120" w:line="240" w:lineRule="auto"/>
        <w:jc w:val="both"/>
        <w:rPr>
          <w:rFonts w:ascii="EC Square Sans Pro" w:hAnsi="EC Square Sans Pro"/>
          <w:noProof/>
          <w:sz w:val="20"/>
          <w:szCs w:val="20"/>
        </w:rPr>
      </w:pPr>
      <w:r>
        <w:rPr>
          <w:rFonts w:ascii="EC Square Sans Pro" w:hAnsi="EC Square Sans Pro"/>
          <w:b/>
          <w:noProof/>
          <w:sz w:val="20"/>
        </w:rPr>
        <w:t>La Commission invite les États membres, les autres institutions de l’UE et les parties prenantes, y compris les partenaires sociaux et la société civile, à y prendre part.</w:t>
      </w:r>
      <w:r>
        <w:rPr>
          <w:rFonts w:ascii="EC Square Sans Pro" w:hAnsi="EC Square Sans Pro"/>
          <w:noProof/>
          <w:sz w:val="20"/>
        </w:rPr>
        <w:t xml:space="preserve"> Ce processus d’écoute, de dialogue et de réflexion commune mobilisera tous les niveaux de gouvernance du cadre stratégique de l’EEE et prévoira une </w:t>
      </w:r>
      <w:r>
        <w:rPr>
          <w:rFonts w:ascii="EC Square Sans Pro" w:hAnsi="EC Square Sans Pro"/>
          <w:b/>
          <w:noProof/>
          <w:sz w:val="20"/>
        </w:rPr>
        <w:t>séance d’examen à mi-parcours</w:t>
      </w:r>
      <w:r>
        <w:rPr>
          <w:rFonts w:ascii="EC Square Sans Pro" w:hAnsi="EC Square Sans Pro"/>
          <w:noProof/>
          <w:sz w:val="20"/>
        </w:rPr>
        <w:t xml:space="preserve"> à laquelle sera convié le Parlement européen. Le sommet sur l’éducation, qui se tiendra le 1</w:t>
      </w:r>
      <w:r>
        <w:rPr>
          <w:rFonts w:ascii="EC Square Sans Pro" w:hAnsi="EC Square Sans Pro"/>
          <w:noProof/>
          <w:sz w:val="20"/>
          <w:vertAlign w:val="superscript"/>
        </w:rPr>
        <w:t>er</w:t>
      </w:r>
      <w:r>
        <w:rPr>
          <w:rFonts w:ascii="EC Square Sans Pro" w:hAnsi="EC Square Sans Pro"/>
          <w:noProof/>
          <w:sz w:val="20"/>
        </w:rPr>
        <w:t> décembre 2022, sera la première occasion de mener une réflexion commune avec toutes les parties prenantes.</w:t>
      </w:r>
    </w:p>
    <w:p w:rsidR="00421322" w:rsidRDefault="00421322" w:rsidP="00545CF5">
      <w:pPr>
        <w:keepNext/>
        <w:keepLines/>
        <w:spacing w:after="120" w:line="240" w:lineRule="auto"/>
        <w:jc w:val="both"/>
        <w:rPr>
          <w:rFonts w:ascii="EC Square Sans Pro" w:hAnsi="EC Square Sans Pro"/>
          <w:noProof/>
          <w:sz w:val="20"/>
          <w:szCs w:val="20"/>
        </w:rPr>
      </w:pPr>
      <w:r>
        <w:rPr>
          <w:rFonts w:ascii="EC Square Sans Pro" w:hAnsi="EC Square Sans Pro"/>
          <w:noProof/>
          <w:sz w:val="20"/>
        </w:rPr>
        <w:t xml:space="preserve">Les conclusions du présent rapport d’avancement fournissent les orientations nécessaires pour répondre aux </w:t>
      </w:r>
      <w:r>
        <w:rPr>
          <w:rFonts w:ascii="EC Square Sans Pro" w:hAnsi="EC Square Sans Pro"/>
          <w:b/>
          <w:noProof/>
          <w:sz w:val="20"/>
        </w:rPr>
        <w:t>principales questions qui seront abordées au cours du processus de réflexion à mi-parcours</w:t>
      </w:r>
      <w:r>
        <w:rPr>
          <w:rFonts w:ascii="EC Square Sans Pro" w:hAnsi="EC Square Sans Pro"/>
          <w:noProof/>
          <w:sz w:val="20"/>
        </w:rPr>
        <w:t>, chaque acteur apportant sa propre expérience en fonction des mesures qu’il aura prises et des efforts qu’il aura déployés en vue de la réalisation de l’EEE:</w:t>
      </w:r>
    </w:p>
    <w:p w:rsidR="00421322" w:rsidRDefault="003D58FF" w:rsidP="00545CF5">
      <w:pPr>
        <w:keepNext/>
        <w:keepLines/>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l’échange sur les actions phares et les principales réformes stratégiques en vue d’atteindre les objectifs communs au titre de l’EEE;</w:t>
      </w:r>
    </w:p>
    <w:p w:rsidR="00D15E34" w:rsidRDefault="003D58FF" w:rsidP="00545CF5">
      <w:pPr>
        <w:keepNext/>
        <w:keepLines/>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la cocréation des initiatives stratégiques en faveur de l’EEE qu’il reste à mettre en place jusqu’en 2025;</w:t>
      </w:r>
    </w:p>
    <w:p w:rsidR="00421322" w:rsidRDefault="00100472" w:rsidP="008E3296">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 xml:space="preserve">la mise en œuvre de la gouvernance renforcée afin de pouvoir dresser un bilan complet des progrès accomplis dans la réalisation de l’EEE, notamment grâce au groupe de haut niveau et à son conseil de coordination récemment instauré, et le recensement des domaines dans lesquels des ajustements pourraient être apportés; </w:t>
      </w:r>
    </w:p>
    <w:p w:rsidR="00C8207E" w:rsidRDefault="003D58FF" w:rsidP="006A6FD4">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 xml:space="preserve">la réflexion commune sur les défis majeurs et les mesures orientées vers l’avenir (qui ressortent des conclusions du présent rapport d’avancement et de la conférence sur l’avenir de l’Europe), notamment: i) le renforcement de l’équité et de l’inclusion à tous les niveaux de l’éducation et de la formation, ii) l’amélioration de la qualité en remédiant à la pénurie d’enseignants et en augmentant l’attrait de la profession, ou iii) la promotion de l’éducation à la citoyenneté européenne; </w:t>
      </w:r>
    </w:p>
    <w:p w:rsidR="00C8207E" w:rsidRDefault="00D15E34" w:rsidP="00D8000B">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la réflexion sur la possibilité de fixer d’autres objectifs au niveau de l’UE dans le cadre de l’EEE et sur leur valeur ajoutée, en particulier en ce qui concerne l’équité, l’attrait de la profession d’enseignant et la durabilité;</w:t>
      </w:r>
    </w:p>
    <w:p w:rsidR="007F4660" w:rsidRDefault="00111714" w:rsidP="00421322">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le soutien apporté à la réforme des politiques, les mesures visant à garantir la qualité des investissements et la promotion de la coopération européenne en vue d’améliorer l’élaboration des politiques afin de relever les grands défis futurs recensés, par l’évaluation régulière des politiques en matière d’éducation;</w:t>
      </w:r>
    </w:p>
    <w:p w:rsidR="006F79EF" w:rsidRDefault="00E52A09" w:rsidP="00421322">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le renforcement des activités d’apprentissage mutuel et leur adaptation aux besoins des États membres</w:t>
      </w:r>
      <w:r w:rsidR="00111714">
        <w:rPr>
          <w:rStyle w:val="FootnoteReference"/>
          <w:rFonts w:ascii="EC Square Sans Pro" w:hAnsi="EC Square Sans Pro"/>
          <w:noProof/>
          <w:sz w:val="20"/>
          <w:szCs w:val="20"/>
        </w:rPr>
        <w:footnoteReference w:id="58"/>
      </w:r>
      <w:r>
        <w:rPr>
          <w:rFonts w:ascii="EC Square Sans Pro" w:hAnsi="EC Square Sans Pro"/>
          <w:noProof/>
          <w:sz w:val="20"/>
        </w:rPr>
        <w:t>;</w:t>
      </w:r>
    </w:p>
    <w:p w:rsidR="00421322" w:rsidRPr="00D8000B" w:rsidRDefault="00CD7D05" w:rsidP="00801AD9">
      <w:pPr>
        <w:numPr>
          <w:ilvl w:val="0"/>
          <w:numId w:val="8"/>
        </w:numPr>
        <w:spacing w:after="120" w:line="240" w:lineRule="auto"/>
        <w:jc w:val="both"/>
        <w:rPr>
          <w:rFonts w:ascii="EC Square Sans Pro" w:hAnsi="EC Square Sans Pro"/>
          <w:noProof/>
          <w:sz w:val="20"/>
          <w:szCs w:val="20"/>
        </w:rPr>
      </w:pPr>
      <w:r>
        <w:rPr>
          <w:rFonts w:ascii="EC Square Sans Pro" w:hAnsi="EC Square Sans Pro"/>
          <w:noProof/>
          <w:sz w:val="20"/>
        </w:rPr>
        <w:t>le renforcement du contrôle de la suite réservée par les États membres aux initiatives stratégiques en faveur de l’EEE.</w:t>
      </w:r>
    </w:p>
    <w:p w:rsidR="00E5113F" w:rsidRDefault="00B278C5" w:rsidP="00B278C5">
      <w:pPr>
        <w:spacing w:after="120" w:line="240" w:lineRule="auto"/>
        <w:jc w:val="both"/>
        <w:rPr>
          <w:rFonts w:ascii="EC Square Sans Pro" w:hAnsi="EC Square Sans Pro"/>
          <w:noProof/>
          <w:sz w:val="20"/>
          <w:szCs w:val="20"/>
        </w:rPr>
      </w:pPr>
      <w:r>
        <w:rPr>
          <w:rFonts w:ascii="EC Square Sans Pro" w:hAnsi="EC Square Sans Pro"/>
          <w:noProof/>
          <w:sz w:val="20"/>
        </w:rPr>
        <w:t xml:space="preserve">Si l’examen à mi-parcours de 2023 vise principalement à tirer les enseignements des premières années et à insuffler une dynamique d’engagement pour la période qui courra jusqu’à 2025, en 2023, la Commission publiera également un appel à contributions et procédera à une évaluation des politiques en faveur de l’EEE. Le </w:t>
      </w:r>
      <w:r>
        <w:rPr>
          <w:rFonts w:ascii="EC Square Sans Pro" w:hAnsi="EC Square Sans Pro"/>
          <w:b/>
          <w:noProof/>
          <w:sz w:val="20"/>
        </w:rPr>
        <w:t>rapport complet sur l’EEE qui sera établi en 2025</w:t>
      </w:r>
      <w:r>
        <w:rPr>
          <w:rFonts w:ascii="EC Square Sans Pro" w:hAnsi="EC Square Sans Pro"/>
          <w:noProof/>
          <w:sz w:val="20"/>
        </w:rPr>
        <w:t xml:space="preserve"> bénéficiera ainsi d’éléments factuels supplémentaires sur lesquels s’appuyer. </w:t>
      </w:r>
    </w:p>
    <w:p w:rsidR="003E10A1" w:rsidRPr="002242ED" w:rsidRDefault="009F114C" w:rsidP="00B278C5">
      <w:pPr>
        <w:spacing w:after="120" w:line="240" w:lineRule="auto"/>
        <w:jc w:val="both"/>
        <w:rPr>
          <w:rFonts w:ascii="EC Square Sans Pro" w:hAnsi="EC Square Sans Pro"/>
          <w:noProof/>
          <w:sz w:val="20"/>
          <w:szCs w:val="20"/>
        </w:rPr>
      </w:pPr>
      <w:r>
        <w:rPr>
          <w:rFonts w:ascii="EC Square Sans Pro" w:hAnsi="EC Square Sans Pro"/>
          <w:noProof/>
          <w:sz w:val="20"/>
        </w:rPr>
        <w:t xml:space="preserve">Comme énoncé dans la </w:t>
      </w:r>
      <w:hyperlink r:id="rId47" w:history="1">
        <w:r>
          <w:rPr>
            <w:rStyle w:val="Hyperlink"/>
            <w:rFonts w:ascii="EC Square Sans Pro" w:hAnsi="EC Square Sans Pro"/>
            <w:noProof/>
            <w:sz w:val="20"/>
          </w:rPr>
          <w:t>résolution relative à un cadre stratégique dans la perspective de l’EEE</w:t>
        </w:r>
      </w:hyperlink>
      <w:r>
        <w:rPr>
          <w:rFonts w:ascii="EC Square Sans Pro" w:hAnsi="EC Square Sans Pro"/>
          <w:noProof/>
          <w:sz w:val="20"/>
        </w:rPr>
        <w:t>, c’est «</w:t>
      </w:r>
      <w:r>
        <w:rPr>
          <w:rFonts w:ascii="EC Square Sans Pro" w:hAnsi="EC Square Sans Pro"/>
          <w:i/>
          <w:noProof/>
          <w:sz w:val="20"/>
        </w:rPr>
        <w:t xml:space="preserve">[s]ur la base de cette évaluation [que] le </w:t>
      </w:r>
      <w:r>
        <w:rPr>
          <w:rFonts w:ascii="EC Square Sans Pro" w:hAnsi="EC Square Sans Pro"/>
          <w:b/>
          <w:i/>
          <w:noProof/>
          <w:sz w:val="20"/>
        </w:rPr>
        <w:t>Conseil réexaminera le cadre stratégique</w:t>
      </w:r>
      <w:r>
        <w:rPr>
          <w:rFonts w:ascii="EC Square Sans Pro" w:hAnsi="EC Square Sans Pro"/>
          <w:i/>
          <w:noProof/>
          <w:sz w:val="20"/>
        </w:rPr>
        <w:t xml:space="preserve"> - y compris les objectifs au niveau de l’UE, la structure de gouvernance et les méthodes de travail - et procédera, le cas échéant, aux ajustements nécessaires pour le deuxième cycle [2026-2030], afin de l’adapter à la réalité et aux besoins de l’espace européen de l’éducation ou à toute autre évolution importante dans l’Union européenne</w:t>
      </w:r>
      <w:r>
        <w:rPr>
          <w:rFonts w:ascii="EC Square Sans Pro" w:hAnsi="EC Square Sans Pro"/>
          <w:noProof/>
          <w:sz w:val="20"/>
        </w:rPr>
        <w:t>».</w:t>
      </w:r>
      <w:r>
        <w:rPr>
          <w:rFonts w:ascii="EC Square Sans Pro" w:hAnsi="EC Square Sans Pro"/>
          <w:i/>
          <w:noProof/>
          <w:sz w:val="20"/>
        </w:rPr>
        <w:t xml:space="preserve"> </w:t>
      </w:r>
    </w:p>
    <w:sectPr w:rsidR="003E10A1" w:rsidRPr="002242ED" w:rsidSect="00DD10FF">
      <w:headerReference w:type="even" r:id="rId48"/>
      <w:headerReference w:type="default" r:id="rId49"/>
      <w:footerReference w:type="even" r:id="rId50"/>
      <w:footerReference w:type="default" r:id="rId51"/>
      <w:headerReference w:type="first" r:id="rId52"/>
      <w:footerReference w:type="firs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859" w:rsidRDefault="00D82859" w:rsidP="009D1280">
      <w:pPr>
        <w:spacing w:after="0" w:line="240" w:lineRule="auto"/>
      </w:pPr>
      <w:r>
        <w:separator/>
      </w:r>
    </w:p>
  </w:endnote>
  <w:endnote w:type="continuationSeparator" w:id="0">
    <w:p w:rsidR="00D82859" w:rsidRDefault="00D82859" w:rsidP="009D1280">
      <w:pPr>
        <w:spacing w:after="0" w:line="240" w:lineRule="auto"/>
      </w:pPr>
      <w:r>
        <w:continuationSeparator/>
      </w:r>
    </w:p>
  </w:endnote>
  <w:endnote w:type="continuationNotice" w:id="1">
    <w:p w:rsidR="00D82859" w:rsidRDefault="00D828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EC Square Sans Pro">
    <w:altName w:val="Bahnschrift Light"/>
    <w:charset w:val="00"/>
    <w:family w:val="swiss"/>
    <w:pitch w:val="variable"/>
    <w:sig w:usb0="00000001"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EC Square Sans Cond Pro">
    <w:altName w:val="Bahnschrift Light"/>
    <w:charset w:val="00"/>
    <w:family w:val="swiss"/>
    <w:pitch w:val="variable"/>
    <w:sig w:usb0="00000001" w:usb1="500000D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3D" w:rsidRPr="005D3D3D" w:rsidRDefault="005D3D3D" w:rsidP="005D3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2FA" w:rsidRPr="005D3D3D" w:rsidRDefault="005D3D3D" w:rsidP="005D3D3D">
    <w:pPr>
      <w:pStyle w:val="FooterCoverPage"/>
      <w:rPr>
        <w:rFonts w:ascii="Arial" w:hAnsi="Arial" w:cs="Arial"/>
        <w:b/>
        <w:sz w:val="48"/>
      </w:rPr>
    </w:pPr>
    <w:r w:rsidRPr="005D3D3D">
      <w:rPr>
        <w:rFonts w:ascii="Arial" w:hAnsi="Arial" w:cs="Arial"/>
        <w:b/>
        <w:sz w:val="48"/>
      </w:rPr>
      <w:t>FR</w:t>
    </w:r>
    <w:r w:rsidRPr="005D3D3D">
      <w:rPr>
        <w:rFonts w:ascii="Arial" w:hAnsi="Arial" w:cs="Arial"/>
        <w:b/>
        <w:sz w:val="48"/>
      </w:rPr>
      <w:tab/>
    </w:r>
    <w:r w:rsidRPr="005D3D3D">
      <w:rPr>
        <w:rFonts w:ascii="Arial" w:hAnsi="Arial" w:cs="Arial"/>
        <w:b/>
        <w:sz w:val="48"/>
      </w:rPr>
      <w:tab/>
    </w:r>
    <w:r w:rsidRPr="005D3D3D">
      <w:tab/>
    </w:r>
    <w:r w:rsidRPr="005D3D3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3D" w:rsidRPr="005D3D3D" w:rsidRDefault="005D3D3D" w:rsidP="005D3D3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Pr="00CE0FD9" w:rsidRDefault="006D21C8" w:rsidP="00CE0FD9">
    <w:pPr>
      <w:pStyle w:val="Footer"/>
      <w:tabs>
        <w:tab w:val="right" w:pos="9072"/>
      </w:tabs>
      <w:rPr>
        <w:rFonts w:ascii="EC Square Sans Pro" w:hAnsi="EC Square Sans Pro"/>
        <w:color w:val="7975C8"/>
        <w:sz w:val="20"/>
        <w:szCs w:val="20"/>
      </w:rPr>
    </w:pPr>
  </w:p>
  <w:p w:rsidR="006D21C8" w:rsidRPr="00CE0FD9" w:rsidRDefault="006D21C8" w:rsidP="00CE0FD9">
    <w:pPr>
      <w:pStyle w:val="Footer"/>
      <w:tabs>
        <w:tab w:val="right" w:pos="9072"/>
      </w:tabs>
      <w:rPr>
        <w:rFonts w:ascii="EC Square Sans Pro" w:hAnsi="EC Square Sans Pro"/>
        <w:i/>
        <w:color w:val="7975C8"/>
        <w:sz w:val="18"/>
        <w:szCs w:val="18"/>
      </w:rPr>
    </w:pPr>
    <w:r>
      <w:rPr>
        <w:rFonts w:ascii="EC Square Sans Pro" w:hAnsi="EC Square Sans Pro"/>
        <w:color w:val="7975C8"/>
        <w:sz w:val="18"/>
      </w:rPr>
      <w:t>Communication - Premiers progrès accomplis dans la réalisation de l’espace européen de l’éducation</w:t>
    </w:r>
    <w:r>
      <w:rPr>
        <w:rFonts w:ascii="EC Square Sans Pro" w:hAnsi="EC Square Sans Pro"/>
        <w:color w:val="7975C8"/>
        <w:sz w:val="18"/>
      </w:rPr>
      <w:tab/>
      <w:t>Novembre 2022</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Pr="00CE0FD9" w:rsidRDefault="006D21C8" w:rsidP="00CE0FD9">
    <w:pPr>
      <w:pStyle w:val="Footer"/>
      <w:tabs>
        <w:tab w:val="right" w:pos="9072"/>
      </w:tabs>
      <w:rPr>
        <w:rFonts w:ascii="EC Square Sans Pro" w:hAnsi="EC Square Sans Pro"/>
        <w:color w:val="7975C8"/>
        <w:sz w:val="20"/>
        <w:szCs w:val="20"/>
      </w:rPr>
    </w:pPr>
  </w:p>
  <w:p w:rsidR="006D21C8" w:rsidRPr="00CE0FD9" w:rsidRDefault="006D21C8" w:rsidP="00CE0FD9">
    <w:pPr>
      <w:pStyle w:val="Footer"/>
      <w:tabs>
        <w:tab w:val="right" w:pos="9072"/>
      </w:tabs>
      <w:rPr>
        <w:rFonts w:ascii="EC Square Sans Pro" w:hAnsi="EC Square Sans Pro"/>
        <w:i/>
        <w:color w:val="7975C8"/>
        <w:sz w:val="18"/>
        <w:szCs w:val="18"/>
      </w:rPr>
    </w:pPr>
    <w:r>
      <w:rPr>
        <w:rFonts w:ascii="EC Square Sans Pro" w:hAnsi="EC Square Sans Pro"/>
        <w:color w:val="7975C8"/>
        <w:sz w:val="18"/>
      </w:rPr>
      <w:t>Communication - Progrès accomplis dans la réalisation de l’espace européen de l’éducation</w:t>
    </w:r>
    <w:r>
      <w:rPr>
        <w:rFonts w:ascii="EC Square Sans Pro" w:hAnsi="EC Square Sans Pro"/>
        <w:color w:val="7975C8"/>
        <w:sz w:val="18"/>
      </w:rPr>
      <w:tab/>
      <w:t>Novembre 2022</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Default="006D2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859" w:rsidRDefault="00D82859" w:rsidP="009D1280">
      <w:pPr>
        <w:spacing w:after="0" w:line="240" w:lineRule="auto"/>
      </w:pPr>
      <w:r>
        <w:separator/>
      </w:r>
    </w:p>
  </w:footnote>
  <w:footnote w:type="continuationSeparator" w:id="0">
    <w:p w:rsidR="00D82859" w:rsidRDefault="00D82859" w:rsidP="009D1280">
      <w:pPr>
        <w:spacing w:after="0" w:line="240" w:lineRule="auto"/>
      </w:pPr>
      <w:r>
        <w:continuationSeparator/>
      </w:r>
    </w:p>
  </w:footnote>
  <w:footnote w:type="continuationNotice" w:id="1">
    <w:p w:rsidR="00D82859" w:rsidRDefault="00D82859">
      <w:pPr>
        <w:spacing w:after="0" w:line="240" w:lineRule="auto"/>
      </w:pPr>
    </w:p>
  </w:footnote>
  <w:footnote w:id="2">
    <w:p w:rsidR="006D21C8" w:rsidRPr="002242ED" w:rsidRDefault="006D21C8" w:rsidP="005B6FCF">
      <w:pPr>
        <w:pStyle w:val="FootnoteText"/>
        <w:tabs>
          <w:tab w:val="left" w:pos="426"/>
        </w:tabs>
        <w:ind w:left="720" w:hanging="720"/>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1" w:history="1">
        <w:r>
          <w:rPr>
            <w:rStyle w:val="Hyperlink"/>
            <w:rFonts w:ascii="EC Square Sans Pro" w:hAnsi="EC Square Sans Pro"/>
            <w:sz w:val="16"/>
          </w:rPr>
          <w:t>Contribution de la Commission européenne à la réunion des dirigeants à Göteborg</w:t>
        </w:r>
      </w:hyperlink>
      <w:r>
        <w:rPr>
          <w:rFonts w:ascii="EC Square Sans Pro" w:hAnsi="EC Square Sans Pro"/>
          <w:sz w:val="16"/>
        </w:rPr>
        <w:t xml:space="preserve">. </w:t>
      </w:r>
    </w:p>
  </w:footnote>
  <w:footnote w:id="3">
    <w:p w:rsidR="006D21C8" w:rsidRPr="00F40A11" w:rsidRDefault="006D21C8">
      <w:pPr>
        <w:pStyle w:val="FootnoteText"/>
        <w:tabs>
          <w:tab w:val="left" w:pos="426"/>
        </w:tabs>
        <w:ind w:left="426" w:hanging="426"/>
        <w:rPr>
          <w:rFonts w:ascii="EC Square Sans Pro" w:hAnsi="EC Square Sans Pro"/>
          <w:sz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2" w:history="1">
        <w:r w:rsidRPr="00F40A11">
          <w:rPr>
            <w:rFonts w:ascii="EC Square Sans Pro" w:hAnsi="EC Square Sans Pro"/>
            <w:sz w:val="16"/>
          </w:rPr>
          <w:t>Orientations politiques pour la prochaine Commission européenne</w:t>
        </w:r>
        <w:r w:rsidRPr="00F40A11">
          <w:rPr>
            <w:rFonts w:ascii="Calibri" w:hAnsi="Calibri" w:cs="Calibri"/>
            <w:sz w:val="16"/>
          </w:rPr>
          <w:t> </w:t>
        </w:r>
        <w:r w:rsidRPr="00F40A11">
          <w:rPr>
            <w:rFonts w:ascii="EC Square Sans Pro" w:hAnsi="EC Square Sans Pro"/>
            <w:sz w:val="16"/>
          </w:rPr>
          <w:t>2019-2024</w:t>
        </w:r>
      </w:hyperlink>
      <w:r>
        <w:rPr>
          <w:rFonts w:ascii="EC Square Sans Pro" w:hAnsi="EC Square Sans Pro"/>
          <w:sz w:val="16"/>
        </w:rPr>
        <w:t>.</w:t>
      </w:r>
    </w:p>
  </w:footnote>
  <w:footnote w:id="4">
    <w:p w:rsidR="006D21C8" w:rsidRPr="002242ED" w:rsidRDefault="006D21C8">
      <w:pPr>
        <w:pStyle w:val="FootnoteText"/>
        <w:tabs>
          <w:tab w:val="left" w:pos="426"/>
        </w:tabs>
        <w:ind w:left="426" w:hanging="426"/>
        <w:rPr>
          <w:rFonts w:ascii="EC Square Sans Pro" w:hAnsi="EC Square Sans Pro" w:cstheme="minorHAnsi"/>
          <w:sz w:val="16"/>
          <w:szCs w:val="16"/>
          <w:highlight w:val="yellow"/>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3">
        <w:r>
          <w:rPr>
            <w:rStyle w:val="Hyperlink"/>
            <w:rFonts w:ascii="EC Square Sans Pro" w:hAnsi="EC Square Sans Pro"/>
            <w:sz w:val="16"/>
          </w:rPr>
          <w:t>Résolution du Conseil relative à un cadre stratégique pour la coopération européenne dans le domaine de l’éducation et de la formation, dans la perspective de l’espace européen de l’éducation et au-delà (2021-2030)</w:t>
        </w:r>
      </w:hyperlink>
      <w:r>
        <w:rPr>
          <w:rFonts w:ascii="EC Square Sans Pro" w:hAnsi="EC Square Sans Pro"/>
          <w:sz w:val="16"/>
        </w:rPr>
        <w:t xml:space="preserve"> (ci-après la «résolution relative à un cadre stratégique dans la perspective de l’EEE»), </w:t>
      </w:r>
      <w:hyperlink r:id="rId4">
        <w:r>
          <w:rPr>
            <w:rStyle w:val="Hyperlink"/>
            <w:rFonts w:ascii="EC Square Sans Pro" w:hAnsi="EC Square Sans Pro"/>
            <w:sz w:val="16"/>
          </w:rPr>
          <w:t>résolution du Conseil relative à la structure de gouvernance du cadre stratégique pour la coopération européenne dans le domaine de l’éducation et de la formation, dans la perspective de l’espace européen de l’éducation et au-delà (2021-2030)</w:t>
        </w:r>
      </w:hyperlink>
      <w:r>
        <w:rPr>
          <w:rFonts w:ascii="EC Square Sans Pro" w:hAnsi="EC Square Sans Pro"/>
          <w:sz w:val="16"/>
        </w:rPr>
        <w:t xml:space="preserve"> (ci-après la «résolution relative à la gouvernance»).</w:t>
      </w:r>
    </w:p>
  </w:footnote>
  <w:footnote w:id="5">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Voir le document SWD(2022) 750, section I.1.1.</w:t>
      </w:r>
    </w:p>
  </w:footnote>
  <w:footnote w:id="6">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sidRPr="00F40A11">
        <w:rPr>
          <w:rFonts w:ascii="EC Square Sans Pro" w:hAnsi="EC Square Sans Pro"/>
          <w:sz w:val="16"/>
        </w:rPr>
        <w:t>D’ici à</w:t>
      </w:r>
      <w:r w:rsidRPr="00F40A11">
        <w:rPr>
          <w:rFonts w:ascii="Calibri" w:hAnsi="Calibri" w:cs="Calibri"/>
          <w:sz w:val="16"/>
        </w:rPr>
        <w:t> </w:t>
      </w:r>
      <w:r w:rsidRPr="00F40A11">
        <w:rPr>
          <w:rFonts w:ascii="EC Square Sans Pro" w:hAnsi="EC Square Sans Pro"/>
          <w:sz w:val="16"/>
        </w:rPr>
        <w:t>2030, au moins 96</w:t>
      </w:r>
      <w:r w:rsidRPr="00F40A11">
        <w:rPr>
          <w:rFonts w:ascii="Calibri" w:hAnsi="Calibri" w:cs="Calibri"/>
          <w:sz w:val="16"/>
        </w:rPr>
        <w:t> </w:t>
      </w:r>
      <w:r w:rsidRPr="00F40A11">
        <w:rPr>
          <w:rFonts w:ascii="EC Square Sans Pro" w:hAnsi="EC Square Sans Pro"/>
          <w:sz w:val="16"/>
        </w:rPr>
        <w:t>% des enfants ayant entre trois</w:t>
      </w:r>
      <w:r w:rsidRPr="00F40A11">
        <w:rPr>
          <w:rFonts w:ascii="Calibri" w:hAnsi="Calibri" w:cs="Calibri"/>
          <w:sz w:val="16"/>
        </w:rPr>
        <w:t> </w:t>
      </w:r>
      <w:r w:rsidRPr="00F40A11">
        <w:rPr>
          <w:rFonts w:ascii="EC Square Sans Pro" w:hAnsi="EC Square Sans Pro"/>
          <w:sz w:val="16"/>
        </w:rPr>
        <w:t>ans et l</w:t>
      </w:r>
      <w:r w:rsidRPr="00F40A11">
        <w:rPr>
          <w:rFonts w:ascii="EC Square Sans Pro" w:hAnsi="EC Square Sans Pro" w:cs="EC Square Sans Pro"/>
          <w:sz w:val="16"/>
        </w:rPr>
        <w:t>’â</w:t>
      </w:r>
      <w:r w:rsidRPr="00F40A11">
        <w:rPr>
          <w:rFonts w:ascii="EC Square Sans Pro" w:hAnsi="EC Square Sans Pro"/>
          <w:sz w:val="16"/>
        </w:rPr>
        <w:t>ge de l</w:t>
      </w:r>
      <w:r w:rsidRPr="00F40A11">
        <w:rPr>
          <w:rFonts w:ascii="EC Square Sans Pro" w:hAnsi="EC Square Sans Pro" w:cs="EC Square Sans Pro"/>
          <w:sz w:val="16"/>
        </w:rPr>
        <w:t>’</w:t>
      </w:r>
      <w:r w:rsidRPr="00F40A11">
        <w:rPr>
          <w:rFonts w:ascii="EC Square Sans Pro" w:hAnsi="EC Square Sans Pro"/>
          <w:sz w:val="16"/>
        </w:rPr>
        <w:t>instruction obligatoire devront b</w:t>
      </w:r>
      <w:r w:rsidRPr="00F40A11">
        <w:rPr>
          <w:rFonts w:ascii="EC Square Sans Pro" w:hAnsi="EC Square Sans Pro" w:cs="EC Square Sans Pro"/>
          <w:sz w:val="16"/>
        </w:rPr>
        <w:t>é</w:t>
      </w:r>
      <w:r w:rsidRPr="00F40A11">
        <w:rPr>
          <w:rFonts w:ascii="EC Square Sans Pro" w:hAnsi="EC Square Sans Pro"/>
          <w:sz w:val="16"/>
        </w:rPr>
        <w:t>n</w:t>
      </w:r>
      <w:r w:rsidRPr="00F40A11">
        <w:rPr>
          <w:rFonts w:ascii="EC Square Sans Pro" w:hAnsi="EC Square Sans Pro" w:cs="EC Square Sans Pro"/>
          <w:sz w:val="16"/>
        </w:rPr>
        <w:t>é</w:t>
      </w:r>
      <w:r w:rsidRPr="00F40A11">
        <w:rPr>
          <w:rFonts w:ascii="EC Square Sans Pro" w:hAnsi="EC Square Sans Pro"/>
          <w:sz w:val="16"/>
        </w:rPr>
        <w:t>ficier des programmes d</w:t>
      </w:r>
      <w:r w:rsidRPr="00F40A11">
        <w:rPr>
          <w:rFonts w:ascii="EC Square Sans Pro" w:hAnsi="EC Square Sans Pro" w:cs="EC Square Sans Pro"/>
          <w:sz w:val="16"/>
        </w:rPr>
        <w:t>’é</w:t>
      </w:r>
      <w:r w:rsidRPr="00F40A11">
        <w:rPr>
          <w:rFonts w:ascii="EC Square Sans Pro" w:hAnsi="EC Square Sans Pro"/>
          <w:sz w:val="16"/>
        </w:rPr>
        <w:t>ducation et d</w:t>
      </w:r>
      <w:r w:rsidRPr="00F40A11">
        <w:rPr>
          <w:rFonts w:ascii="EC Square Sans Pro" w:hAnsi="EC Square Sans Pro" w:cs="EC Square Sans Pro"/>
          <w:sz w:val="16"/>
        </w:rPr>
        <w:t>’</w:t>
      </w:r>
      <w:r w:rsidRPr="00F40A11">
        <w:rPr>
          <w:rFonts w:ascii="EC Square Sans Pro" w:hAnsi="EC Square Sans Pro"/>
          <w:sz w:val="16"/>
        </w:rPr>
        <w:t>accueil de la petite enfance, tandis que la proportion d</w:t>
      </w:r>
      <w:r w:rsidRPr="00F40A11">
        <w:rPr>
          <w:rFonts w:ascii="EC Square Sans Pro" w:hAnsi="EC Square Sans Pro" w:cs="EC Square Sans Pro"/>
          <w:sz w:val="16"/>
        </w:rPr>
        <w:t>’é</w:t>
      </w:r>
      <w:r w:rsidRPr="00F40A11">
        <w:rPr>
          <w:rFonts w:ascii="EC Square Sans Pro" w:hAnsi="EC Square Sans Pro"/>
          <w:sz w:val="16"/>
        </w:rPr>
        <w:t>l</w:t>
      </w:r>
      <w:r w:rsidRPr="00F40A11">
        <w:rPr>
          <w:rFonts w:ascii="EC Square Sans Pro" w:hAnsi="EC Square Sans Pro" w:cs="EC Square Sans Pro"/>
          <w:sz w:val="16"/>
        </w:rPr>
        <w:t>è</w:t>
      </w:r>
      <w:r w:rsidRPr="00F40A11">
        <w:rPr>
          <w:rFonts w:ascii="EC Square Sans Pro" w:hAnsi="EC Square Sans Pro"/>
          <w:sz w:val="16"/>
        </w:rPr>
        <w:t>ves poss</w:t>
      </w:r>
      <w:r w:rsidRPr="00F40A11">
        <w:rPr>
          <w:rFonts w:ascii="EC Square Sans Pro" w:hAnsi="EC Square Sans Pro" w:cs="EC Square Sans Pro"/>
          <w:sz w:val="16"/>
        </w:rPr>
        <w:t>é</w:t>
      </w:r>
      <w:r w:rsidRPr="00F40A11">
        <w:rPr>
          <w:rFonts w:ascii="EC Square Sans Pro" w:hAnsi="EC Square Sans Pro"/>
          <w:sz w:val="16"/>
        </w:rPr>
        <w:t>dant une ma</w:t>
      </w:r>
      <w:r w:rsidRPr="00F40A11">
        <w:rPr>
          <w:rFonts w:ascii="EC Square Sans Pro" w:hAnsi="EC Square Sans Pro" w:cs="EC Square Sans Pro"/>
          <w:sz w:val="16"/>
        </w:rPr>
        <w:t>î</w:t>
      </w:r>
      <w:r w:rsidRPr="00F40A11">
        <w:rPr>
          <w:rFonts w:ascii="EC Square Sans Pro" w:hAnsi="EC Square Sans Pro"/>
          <w:sz w:val="16"/>
        </w:rPr>
        <w:t>trise insuffisante de la lecture, des mathématiques, des sciences ou des outils numériques devra être inférieure à 15</w:t>
      </w:r>
      <w:r w:rsidRPr="00F40A11">
        <w:rPr>
          <w:rFonts w:ascii="Calibri" w:hAnsi="Calibri" w:cs="Calibri"/>
          <w:sz w:val="16"/>
        </w:rPr>
        <w:t> </w:t>
      </w:r>
      <w:r w:rsidRPr="00F40A11">
        <w:rPr>
          <w:rFonts w:ascii="EC Square Sans Pro" w:hAnsi="EC Square Sans Pro"/>
          <w:sz w:val="16"/>
        </w:rPr>
        <w:t>%.</w:t>
      </w:r>
      <w:r>
        <w:rPr>
          <w:rFonts w:ascii="EC Square Sans Pro" w:hAnsi="EC Square Sans Pro"/>
          <w:sz w:val="16"/>
        </w:rPr>
        <w:t xml:space="preserve"> La proportion de jeunes quittant le système scolaire alors qu’ils ne possèdent qu’un diplôme du premier cycle de l’enseignement secondaire devra être inférieure à 9 %, tandis que la proportion de jeunes diplômés de l’enseignement supérieur devra atteindre au moins 45 %. D’ici à 2025, au moins 60 % des jeunes diplômés de l’EFP devront avoir bénéficié d’un apprentissage en milieu professionnel et au moins 47 % des adultes devront avoir pris part à des activités éducatives au cours des douze derniers mois. Voir le rapport de suivi de l’éducation et de la formation, édition 2022, accompagnant la présente communication de la Commission [SWD (2022) 751].</w:t>
      </w:r>
    </w:p>
  </w:footnote>
  <w:footnote w:id="7">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Voir le document SWD(2022) 750 et l’annexe 1.</w:t>
      </w:r>
    </w:p>
  </w:footnote>
  <w:footnote w:id="8">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Voir le document SWD(2022) 750 et l’annexe 2.</w:t>
      </w:r>
    </w:p>
  </w:footnote>
  <w:footnote w:id="9">
    <w:p w:rsidR="006D21C8" w:rsidRPr="00DC0B4F" w:rsidRDefault="006D21C8" w:rsidP="00DC0B4F">
      <w:pPr>
        <w:pStyle w:val="FootnoteText"/>
        <w:tabs>
          <w:tab w:val="left" w:pos="426"/>
        </w:tabs>
        <w:ind w:left="426" w:hanging="426"/>
      </w:pPr>
      <w:r>
        <w:rPr>
          <w:rStyle w:val="FootnoteReference"/>
          <w:rFonts w:ascii="EC Square Sans Pro" w:hAnsi="EC Square Sans Pro" w:cstheme="minorHAnsi"/>
          <w:sz w:val="16"/>
          <w:szCs w:val="16"/>
        </w:rPr>
        <w:footnoteRef/>
      </w:r>
      <w:r>
        <w:t xml:space="preserve"> </w:t>
      </w:r>
      <w:r>
        <w:tab/>
      </w:r>
      <w:r>
        <w:rPr>
          <w:rFonts w:ascii="EC Square Sans Pro" w:hAnsi="EC Square Sans Pro"/>
          <w:sz w:val="16"/>
        </w:rPr>
        <w:t xml:space="preserve">La stratégie européenne en matière de compétences, la politique renouvelée en matière d’EFP et la stratégie européenne en matière d’accueil et de soins contribuent également à la réalisation des objectifs de l’EEE, en particulier en ce qui concerne l’éducation et l’accueil de la petite enfance, l’apprentissage tout au long de la vie, l’éducation et la formation des adultes ainsi que l’enseignement et la formation professionnels (EFP). Les initiatives propres à ces domaines (par exemple la </w:t>
      </w:r>
      <w:hyperlink r:id="rId5" w:history="1">
        <w:r>
          <w:rPr>
            <w:rStyle w:val="Hyperlink"/>
            <w:rFonts w:ascii="EC Square Sans Pro" w:hAnsi="EC Square Sans Pro"/>
            <w:sz w:val="16"/>
          </w:rPr>
          <w:t>recommandation du Conseil relative aux comptes de formation individuels</w:t>
        </w:r>
      </w:hyperlink>
      <w:r>
        <w:rPr>
          <w:rFonts w:ascii="EC Square Sans Pro" w:hAnsi="EC Square Sans Pro"/>
          <w:sz w:val="16"/>
        </w:rPr>
        <w:t>) ne sont pas décrites dans le présent rapport, qui traite essentiellement des 40 actions annoncées dans la communication relative à l’EEE.</w:t>
      </w:r>
    </w:p>
  </w:footnote>
  <w:footnote w:id="10">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ab/>
        <w:t xml:space="preserve">Le </w:t>
      </w:r>
      <w:hyperlink r:id="rId6" w:history="1">
        <w:r>
          <w:rPr>
            <w:rStyle w:val="Hyperlink"/>
            <w:rFonts w:ascii="EC Square Sans Pro" w:hAnsi="EC Square Sans Pro"/>
            <w:sz w:val="16"/>
          </w:rPr>
          <w:t>plan d’action en matière d’éducation numérique</w:t>
        </w:r>
      </w:hyperlink>
      <w:r>
        <w:rPr>
          <w:rFonts w:ascii="EC Square Sans Pro" w:hAnsi="EC Square Sans Pro"/>
          <w:sz w:val="16"/>
        </w:rPr>
        <w:t xml:space="preserve"> a été adopté en même temps que la communication relative à l’EEE. Il s’inscrit dans la vision de l’EEE, l’accompagnement des transitions écologique et numérique dans l’éducation et la formation constituant l’un des domaines prioritaires de l’EEE. Ce rapport d’avancement porte sur un nombre limité d’actions en faveur du numérique parmi celles mentionnées dans la communication relative à l’EEE. Le suivi de toutes les actions annoncées dans le cadre du plan d’action en matière d’éducation numérique, qui s’échelonne sur une période différente (2021-2027) et concerne un plus grand nombre d’actions en faveur du numérique, dépasse son champ d’application.</w:t>
      </w:r>
    </w:p>
  </w:footnote>
  <w:footnote w:id="11">
    <w:p w:rsidR="006D21C8" w:rsidRPr="00C802AC" w:rsidRDefault="006D21C8" w:rsidP="002E1FEB">
      <w:pPr>
        <w:pStyle w:val="FootnoteText"/>
        <w:ind w:left="426" w:hanging="426"/>
      </w:pPr>
      <w:r>
        <w:rPr>
          <w:rStyle w:val="FootnoteReference"/>
          <w:rFonts w:ascii="EC Square Sans Pro" w:hAnsi="EC Square Sans Pro"/>
          <w:sz w:val="16"/>
          <w:szCs w:val="16"/>
        </w:rPr>
        <w:footnoteRef/>
      </w:r>
      <w:r>
        <w:rPr>
          <w:rFonts w:ascii="EC Square Sans Pro" w:hAnsi="EC Square Sans Pro"/>
          <w:sz w:val="16"/>
        </w:rPr>
        <w:tab/>
        <w:t>L’instrument d’appui technique et le programme pour une Europe numérique figurent également parmi les principaux programmes et instruments de financement de l’UE qui consacrent des fonds à l’éducation et à la formation.</w:t>
      </w:r>
    </w:p>
  </w:footnote>
  <w:footnote w:id="12">
    <w:p w:rsidR="006D21C8" w:rsidRPr="006A6D12" w:rsidRDefault="006D21C8">
      <w:pPr>
        <w:pStyle w:val="FootnoteText"/>
        <w:ind w:left="426" w:hanging="426"/>
        <w:rPr>
          <w:rFonts w:ascii="EC Square Sans Pro" w:hAnsi="EC Square Sans Pro"/>
          <w:sz w:val="16"/>
          <w:szCs w:val="16"/>
        </w:rPr>
      </w:pPr>
      <w:r>
        <w:rPr>
          <w:rStyle w:val="FootnoteReference"/>
          <w:rFonts w:ascii="EC Square Sans Pro" w:hAnsi="EC Square Sans Pro"/>
          <w:sz w:val="16"/>
          <w:szCs w:val="16"/>
        </w:rPr>
        <w:footnoteRef/>
      </w:r>
      <w:r>
        <w:rPr>
          <w:rFonts w:ascii="EC Square Sans Pro" w:hAnsi="EC Square Sans Pro"/>
          <w:sz w:val="16"/>
        </w:rPr>
        <w:tab/>
        <w:t>Le volume 1 présente une comparaison de tous les systèmes d’éducation et de formation existant au sein de l’UE, tandis que le volume 2, composé de 27 rapports approfondis par pays, traite des réformes stratégiques qui traduisent les efforts déployés par les États membres en vue d’atteindre les objectifs fixés dans le cadre de l’EEE.</w:t>
      </w:r>
    </w:p>
  </w:footnote>
  <w:footnote w:id="13">
    <w:p w:rsidR="006D21C8" w:rsidRPr="002242ED" w:rsidRDefault="006D21C8" w:rsidP="00CD4FA3">
      <w:pPr>
        <w:pStyle w:val="FootnoteText"/>
        <w:tabs>
          <w:tab w:val="left" w:pos="180"/>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L’annexe 1 du document SWD (2022) 750 donne un aperçu de l’état d’avancement de toutes les actions en faveur de l’EEE menées à l’échelle de l’UE. Cette section, quant à elle, met en lumière les initiatives prioritaires proposées par la Commission (et adoptées par le Conseil), ainsi qu’une sélection de projets transnationaux financés par l’UE.</w:t>
      </w:r>
    </w:p>
  </w:footnote>
  <w:footnote w:id="14">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7" w:history="1">
        <w:r>
          <w:rPr>
            <w:rStyle w:val="Hyperlink"/>
            <w:rFonts w:ascii="EC Square Sans Pro" w:hAnsi="EC Square Sans Pro"/>
            <w:color w:val="0563C1"/>
            <w:sz w:val="16"/>
          </w:rPr>
          <w:t>Communauté ESTEAM destinée aux femmes</w:t>
        </w:r>
      </w:hyperlink>
      <w:r>
        <w:rPr>
          <w:rFonts w:ascii="EC Square Sans Pro" w:hAnsi="EC Square Sans Pro"/>
          <w:sz w:val="16"/>
        </w:rPr>
        <w:t xml:space="preserve">, </w:t>
      </w:r>
      <w:hyperlink r:id="rId8" w:history="1">
        <w:r>
          <w:rPr>
            <w:rStyle w:val="Hyperlink"/>
            <w:rFonts w:ascii="EC Square Sans Pro" w:hAnsi="EC Square Sans Pro"/>
            <w:color w:val="0563C1"/>
            <w:sz w:val="16"/>
          </w:rPr>
          <w:t>communauté ESTEAM destinée aux jeunes filles</w:t>
        </w:r>
      </w:hyperlink>
      <w:r>
        <w:rPr>
          <w:rFonts w:ascii="EC Square Sans Pro" w:hAnsi="EC Square Sans Pro"/>
          <w:sz w:val="16"/>
        </w:rPr>
        <w:t>.</w:t>
      </w:r>
    </w:p>
  </w:footnote>
  <w:footnote w:id="15">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9" w:history="1">
        <w:r>
          <w:rPr>
            <w:rStyle w:val="Hyperlink"/>
            <w:rFonts w:ascii="EC Square Sans Pro" w:hAnsi="EC Square Sans Pro"/>
            <w:color w:val="0563C1"/>
            <w:sz w:val="16"/>
          </w:rPr>
          <w:t>Résolution relative à un cadre stratégique dans la perspective de l’EEE</w:t>
        </w:r>
      </w:hyperlink>
      <w:r>
        <w:rPr>
          <w:rFonts w:ascii="EC Square Sans Pro" w:hAnsi="EC Square Sans Pro"/>
          <w:sz w:val="16"/>
        </w:rPr>
        <w:t xml:space="preserve">, </w:t>
      </w:r>
      <w:hyperlink r:id="rId10" w:history="1">
        <w:r>
          <w:rPr>
            <w:rStyle w:val="Hyperlink"/>
            <w:rFonts w:ascii="EC Square Sans Pro" w:hAnsi="EC Square Sans Pro"/>
            <w:color w:val="0563C1"/>
            <w:sz w:val="16"/>
          </w:rPr>
          <w:t>résolution relative à la gouvernance</w:t>
        </w:r>
      </w:hyperlink>
      <w:r>
        <w:rPr>
          <w:rFonts w:ascii="EC Square Sans Pro" w:hAnsi="EC Square Sans Pro"/>
          <w:sz w:val="16"/>
        </w:rPr>
        <w:t>.</w:t>
      </w:r>
    </w:p>
  </w:footnote>
  <w:footnote w:id="16">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 xml:space="preserve">Voir SWD (2022) 750, section II.1 et annexe 2. </w:t>
      </w:r>
    </w:p>
  </w:footnote>
  <w:footnote w:id="17">
    <w:p w:rsidR="006D21C8" w:rsidRPr="00F05A50" w:rsidRDefault="006D21C8" w:rsidP="00C36628">
      <w:pPr>
        <w:pStyle w:val="FootnoteText"/>
        <w:tabs>
          <w:tab w:val="left" w:pos="426"/>
        </w:tabs>
        <w:ind w:left="426" w:hanging="426"/>
      </w:pPr>
      <w:r>
        <w:rPr>
          <w:rStyle w:val="FootnoteReference"/>
          <w:rFonts w:ascii="EC Square Sans Cond Pro" w:hAnsi="EC Square Sans Cond Pro"/>
          <w:sz w:val="16"/>
          <w:szCs w:val="16"/>
        </w:rPr>
        <w:footnoteRef/>
      </w:r>
      <w:r>
        <w:rPr>
          <w:rFonts w:ascii="EC Square Sans Cond Pro" w:hAnsi="EC Square Sans Cond Pro"/>
          <w:sz w:val="16"/>
        </w:rPr>
        <w:t xml:space="preserve"> </w:t>
      </w:r>
      <w:r>
        <w:rPr>
          <w:rFonts w:ascii="EC Square Sans Cond Pro" w:hAnsi="EC Square Sans Cond Pro"/>
          <w:sz w:val="16"/>
        </w:rPr>
        <w:tab/>
      </w:r>
      <w:r>
        <w:rPr>
          <w:rFonts w:ascii="EC Square Sans Pro" w:hAnsi="EC Square Sans Pro"/>
          <w:sz w:val="16"/>
        </w:rPr>
        <w:t>Le groupe de haut niveau consacré à l’éducation et à la formation assure le lien entre le niveau technique et le niveau politique et joue un rôle central dans le recensement, la discussion et la gestion des questions stratégiques et transversales pertinentes pour l’espace européen de l’éducation, en adoptant un regard tourné vers l’avenir. Voir le document SWD(2022) 750, section II.1.2.</w:t>
      </w:r>
    </w:p>
  </w:footnote>
  <w:footnote w:id="18">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Pour connaître les progrès réalisés et les résultats obtenus à ce jour, voir le document SWD (2022) 750, section II.1.3.</w:t>
      </w:r>
    </w:p>
  </w:footnote>
  <w:footnote w:id="19">
    <w:p w:rsidR="006D21C8" w:rsidRPr="00C36628" w:rsidRDefault="006D21C8" w:rsidP="00C36628">
      <w:pPr>
        <w:pStyle w:val="FootnoteText"/>
        <w:tabs>
          <w:tab w:val="left" w:pos="426"/>
        </w:tabs>
        <w:ind w:left="426" w:hanging="426"/>
        <w:rPr>
          <w:rFonts w:ascii="EC Square Sans Cond Pro" w:hAnsi="EC Square Sans Cond Pro"/>
          <w:sz w:val="16"/>
          <w:szCs w:val="16"/>
        </w:rPr>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r>
        <w:rPr>
          <w:rFonts w:ascii="EC Square Sans Pro" w:hAnsi="EC Square Sans Pro"/>
          <w:sz w:val="16"/>
        </w:rPr>
        <w:t>Les plateformes «</w:t>
      </w:r>
      <w:hyperlink r:id="rId11">
        <w:r>
          <w:rPr>
            <w:rStyle w:val="Hyperlink"/>
            <w:rFonts w:ascii="EC Square Sans Pro" w:hAnsi="EC Square Sans Pro"/>
            <w:sz w:val="16"/>
          </w:rPr>
          <w:t>School Education Gateway</w:t>
        </w:r>
      </w:hyperlink>
      <w:r>
        <w:rPr>
          <w:rFonts w:ascii="EC Square Sans Pro" w:hAnsi="EC Square Sans Pro"/>
          <w:sz w:val="16"/>
        </w:rPr>
        <w:t xml:space="preserve">» (laquelle contient la </w:t>
      </w:r>
      <w:hyperlink r:id="rId12">
        <w:r>
          <w:rPr>
            <w:rStyle w:val="Hyperlink"/>
            <w:rFonts w:ascii="EC Square Sans Pro" w:hAnsi="EC Square Sans Pro"/>
            <w:sz w:val="16"/>
          </w:rPr>
          <w:t>boîte à outils européenne pour les écoles et établissements</w:t>
        </w:r>
      </w:hyperlink>
      <w:r>
        <w:rPr>
          <w:rFonts w:ascii="EC Square Sans Pro" w:hAnsi="EC Square Sans Pro"/>
          <w:sz w:val="16"/>
        </w:rPr>
        <w:t>) et «</w:t>
      </w:r>
      <w:hyperlink r:id="rId13">
        <w:r>
          <w:rPr>
            <w:rStyle w:val="Hyperlink"/>
            <w:rFonts w:ascii="EC Square Sans Pro" w:hAnsi="EC Square Sans Pro"/>
            <w:sz w:val="16"/>
          </w:rPr>
          <w:t>eTwinning</w:t>
        </w:r>
      </w:hyperlink>
      <w:r>
        <w:rPr>
          <w:rFonts w:ascii="EC Square Sans Pro" w:hAnsi="EC Square Sans Pro"/>
          <w:sz w:val="16"/>
        </w:rPr>
        <w:t xml:space="preserve">» ont fusionné pour devenir la </w:t>
      </w:r>
      <w:hyperlink r:id="rId14" w:history="1">
        <w:r>
          <w:rPr>
            <w:rStyle w:val="Hyperlink"/>
            <w:rFonts w:ascii="EC Square Sans Pro" w:hAnsi="EC Square Sans Pro"/>
            <w:sz w:val="16"/>
          </w:rPr>
          <w:t>plateforme éducative destinée aux établissements scolaires européens</w:t>
        </w:r>
      </w:hyperlink>
      <w:r>
        <w:rPr>
          <w:rFonts w:ascii="EC Square Sans Pro" w:hAnsi="EC Square Sans Pro"/>
          <w:sz w:val="16"/>
        </w:rPr>
        <w:t xml:space="preserve">. </w:t>
      </w:r>
      <w:hyperlink r:id="rId15" w:history="1">
        <w:r>
          <w:rPr>
            <w:rStyle w:val="Hyperlink"/>
            <w:rFonts w:ascii="EC Square Sans Pro" w:hAnsi="EC Square Sans Pro"/>
            <w:sz w:val="16"/>
          </w:rPr>
          <w:t>Espace apprentissage de l’UE</w:t>
        </w:r>
      </w:hyperlink>
      <w:r>
        <w:rPr>
          <w:rFonts w:ascii="EC Square Sans Pro" w:hAnsi="EC Square Sans Pro"/>
          <w:sz w:val="16"/>
        </w:rPr>
        <w:t>;</w:t>
      </w:r>
      <w:r>
        <w:t xml:space="preserve"> </w:t>
      </w:r>
      <w:hyperlink r:id="rId16" w:history="1">
        <w:r>
          <w:rPr>
            <w:rStyle w:val="Hyperlink"/>
            <w:rFonts w:ascii="EC Square Sans Pro" w:hAnsi="EC Square Sans Pro"/>
            <w:sz w:val="16"/>
          </w:rPr>
          <w:t>coalition «Éducation pour le climat»</w:t>
        </w:r>
      </w:hyperlink>
      <w:r>
        <w:rPr>
          <w:rFonts w:ascii="EC Square Sans Pro" w:hAnsi="EC Square Sans Pro"/>
          <w:sz w:val="16"/>
        </w:rPr>
        <w:t>;</w:t>
      </w:r>
      <w:hyperlink r:id="rId17">
        <w:r>
          <w:rPr>
            <w:rStyle w:val="Hyperlink"/>
            <w:rFonts w:ascii="EC Square Sans Pro" w:hAnsi="EC Square Sans Pro"/>
            <w:sz w:val="16"/>
          </w:rPr>
          <w:t>pôle d’éducation numérique</w:t>
        </w:r>
      </w:hyperlink>
      <w:r>
        <w:t>.</w:t>
      </w:r>
    </w:p>
  </w:footnote>
  <w:footnote w:id="20">
    <w:p w:rsidR="006D21C8" w:rsidRPr="002B7CF9" w:rsidRDefault="006D21C8" w:rsidP="002B7CF9">
      <w:pPr>
        <w:pStyle w:val="FootnoteText"/>
        <w:tabs>
          <w:tab w:val="left" w:pos="426"/>
        </w:tabs>
        <w:ind w:left="426" w:hanging="426"/>
      </w:pPr>
      <w:r>
        <w:rPr>
          <w:rStyle w:val="FootnoteReference"/>
          <w:rFonts w:ascii="EC Square Sans Pro" w:hAnsi="EC Square Sans Pro" w:cstheme="minorHAnsi"/>
          <w:sz w:val="16"/>
          <w:szCs w:val="16"/>
        </w:rPr>
        <w:footnoteRef/>
      </w:r>
      <w:r>
        <w:tab/>
      </w:r>
      <w:hyperlink r:id="rId18" w:history="1">
        <w:r>
          <w:rPr>
            <w:rStyle w:val="Hyperlink"/>
            <w:rFonts w:ascii="EC Square Sans Pro" w:hAnsi="EC Square Sans Pro"/>
            <w:sz w:val="16"/>
          </w:rPr>
          <w:t>EURYDICE</w:t>
        </w:r>
      </w:hyperlink>
      <w:r>
        <w:rPr>
          <w:rFonts w:ascii="EC Square Sans Pro" w:hAnsi="EC Square Sans Pro"/>
          <w:sz w:val="16"/>
        </w:rPr>
        <w:t xml:space="preserve">, </w:t>
      </w:r>
      <w:hyperlink r:id="rId19" w:history="1">
        <w:r>
          <w:rPr>
            <w:rStyle w:val="Hyperlink"/>
            <w:rFonts w:ascii="EC Square Sans Pro" w:hAnsi="EC Square Sans Pro"/>
            <w:sz w:val="16"/>
          </w:rPr>
          <w:t>NESET</w:t>
        </w:r>
      </w:hyperlink>
      <w:r>
        <w:rPr>
          <w:rFonts w:ascii="EC Square Sans Pro" w:hAnsi="EC Square Sans Pro"/>
          <w:sz w:val="16"/>
        </w:rPr>
        <w:t xml:space="preserve">, </w:t>
      </w:r>
      <w:hyperlink r:id="rId20" w:history="1">
        <w:r>
          <w:rPr>
            <w:rStyle w:val="Hyperlink"/>
            <w:rFonts w:ascii="EC Square Sans Pro" w:hAnsi="EC Square Sans Pro"/>
            <w:sz w:val="16"/>
          </w:rPr>
          <w:t>EENEE</w:t>
        </w:r>
      </w:hyperlink>
      <w:r>
        <w:rPr>
          <w:rFonts w:ascii="EC Square Sans Pro" w:hAnsi="EC Square Sans Pro"/>
          <w:sz w:val="16"/>
        </w:rPr>
        <w:t>.</w:t>
      </w:r>
    </w:p>
  </w:footnote>
  <w:footnote w:id="21">
    <w:p w:rsidR="006D21C8" w:rsidRPr="002242ED" w:rsidRDefault="006D21C8" w:rsidP="00D26DC5">
      <w:pPr>
        <w:pStyle w:val="FootnoteText"/>
        <w:tabs>
          <w:tab w:val="left" w:pos="180"/>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 xml:space="preserve">Tels que l’Organisation de coopération et de développement économiques (OCDE), le Conseil de l’Europe et différents organes des Nations unies, voir SWD (2022) 750, annexe 2. </w:t>
      </w:r>
    </w:p>
  </w:footnote>
  <w:footnote w:id="22">
    <w:p w:rsidR="006D21C8" w:rsidRPr="00073C1F" w:rsidRDefault="006D21C8" w:rsidP="00B97C85">
      <w:pPr>
        <w:pStyle w:val="FootnoteText"/>
        <w:tabs>
          <w:tab w:val="left" w:pos="180"/>
          <w:tab w:val="left" w:pos="426"/>
        </w:tabs>
        <w:ind w:left="426" w:hanging="426"/>
        <w:rPr>
          <w:rFonts w:ascii="EC Square Sans Pro" w:hAnsi="EC Square Sans Pro"/>
          <w:sz w:val="16"/>
          <w:szCs w:val="16"/>
        </w:rPr>
      </w:pPr>
      <w:r>
        <w:rPr>
          <w:rStyle w:val="FootnoteReference"/>
          <w:rFonts w:ascii="EC Square Sans Pro" w:hAnsi="EC Square Sans Pro" w:cstheme="minorHAnsi"/>
          <w:sz w:val="16"/>
          <w:szCs w:val="16"/>
        </w:rPr>
        <w:footnoteRef/>
      </w:r>
      <w:r>
        <w:t xml:space="preserve"> </w:t>
      </w:r>
      <w:r>
        <w:tab/>
      </w:r>
      <w:r>
        <w:rPr>
          <w:rFonts w:ascii="EC Square Sans Pro" w:hAnsi="EC Square Sans Pro"/>
          <w:sz w:val="16"/>
        </w:rPr>
        <w:t>Un écart en faveur des filles sépare ces dernières des garçons au niveau du décrochage scolaire et de la maîtrise insuffisante de la lecture; en outre, un écart important en faveur des jeunes filles continue de se creuser entre celles-ci et les jeunes hommes en ce qui concerne l’aboutissement des études supérieures. [Voir le tableau présentant les sept objectifs fixés au niveau de l’UE ainsi que le document SWD (2022) 751 - Rapport comparatif].</w:t>
      </w:r>
    </w:p>
  </w:footnote>
  <w:footnote w:id="23">
    <w:p w:rsidR="00EE746A" w:rsidRPr="00073C1F" w:rsidRDefault="00EE746A" w:rsidP="00EE746A">
      <w:pPr>
        <w:pStyle w:val="FootnoteText"/>
        <w:tabs>
          <w:tab w:val="left" w:pos="180"/>
          <w:tab w:val="left" w:pos="426"/>
        </w:tabs>
        <w:ind w:left="426" w:hanging="426"/>
        <w:rPr>
          <w:rFonts w:ascii="EC Square Sans Pro" w:hAnsi="EC Square Sans Pro"/>
          <w:sz w:val="16"/>
          <w:szCs w:val="16"/>
        </w:rPr>
      </w:pPr>
      <w:r>
        <w:rPr>
          <w:rStyle w:val="FootnoteReference"/>
          <w:rFonts w:ascii="EC Square Sans Pro" w:hAnsi="EC Square Sans Pro" w:cstheme="minorHAnsi"/>
          <w:sz w:val="16"/>
          <w:szCs w:val="16"/>
        </w:rPr>
        <w:footnoteRef/>
      </w:r>
      <w:r>
        <w:t xml:space="preserve"> </w:t>
      </w:r>
      <w:r>
        <w:tab/>
      </w:r>
      <w:r>
        <w:rPr>
          <w:rFonts w:ascii="EC Square Sans Pro" w:hAnsi="EC Square Sans Pro"/>
          <w:sz w:val="16"/>
        </w:rPr>
        <w:t>Le rapport comparatif établi dans le cadre du suivi de l’éducation et de la formation en 2022 [SWD (2022) 751] s’articule autour des sept objectifs fixés au niveau de l’UE, chaque chapitre pointant des retards dans de nombreux États membres ainsi que d’importantes disparités entre les sous-groupes de population dans pratiquement tous les pays.</w:t>
      </w:r>
    </w:p>
  </w:footnote>
  <w:footnote w:id="24">
    <w:p w:rsidR="006D21C8" w:rsidRPr="00073C1F" w:rsidRDefault="006D21C8" w:rsidP="00000D01">
      <w:pPr>
        <w:tabs>
          <w:tab w:val="left" w:pos="426"/>
        </w:tabs>
        <w:spacing w:after="0" w:line="240" w:lineRule="auto"/>
        <w:ind w:left="426" w:hanging="426"/>
        <w:jc w:val="both"/>
        <w:rPr>
          <w:rFonts w:ascii="EC Square Sans Pro" w:hAnsi="EC Square Sans Pro"/>
          <w:sz w:val="16"/>
          <w:szCs w:val="16"/>
        </w:rPr>
      </w:pPr>
      <w:r>
        <w:rPr>
          <w:rStyle w:val="FootnoteReference"/>
          <w:rFonts w:ascii="EC Square Sans Pro" w:hAnsi="EC Square Sans Pro"/>
          <w:sz w:val="16"/>
          <w:szCs w:val="16"/>
        </w:rPr>
        <w:footnoteRef/>
      </w:r>
      <w:r>
        <w:rPr>
          <w:rStyle w:val="FootnoteReference"/>
          <w:rFonts w:ascii="EC Square Sans Pro" w:hAnsi="EC Square Sans Pro"/>
          <w:sz w:val="16"/>
        </w:rPr>
        <w:t xml:space="preserve"> </w:t>
      </w:r>
      <w:r>
        <w:rPr>
          <w:rFonts w:ascii="EC Square Sans Pro" w:hAnsi="EC Square Sans Pro"/>
          <w:sz w:val="16"/>
        </w:rPr>
        <w:tab/>
        <w:t>Voir SWD (2022) 751 – Rapports par pays.</w:t>
      </w:r>
    </w:p>
  </w:footnote>
  <w:footnote w:id="25">
    <w:p w:rsidR="006D21C8" w:rsidRPr="00073C1F" w:rsidRDefault="006D21C8" w:rsidP="00D905CF">
      <w:pPr>
        <w:tabs>
          <w:tab w:val="left" w:pos="426"/>
        </w:tabs>
        <w:spacing w:after="0" w:line="240" w:lineRule="auto"/>
        <w:ind w:left="426" w:hanging="426"/>
        <w:jc w:val="both"/>
        <w:rPr>
          <w:rFonts w:ascii="EC Square Sans Pro" w:hAnsi="EC Square Sans Pro"/>
          <w:sz w:val="16"/>
          <w:szCs w:val="16"/>
        </w:rPr>
      </w:pPr>
      <w:r>
        <w:rPr>
          <w:rStyle w:val="FootnoteReference"/>
          <w:rFonts w:ascii="EC Square Sans Pro" w:hAnsi="EC Square Sans Pro"/>
          <w:sz w:val="16"/>
          <w:szCs w:val="16"/>
        </w:rPr>
        <w:footnoteRef/>
      </w:r>
      <w:r>
        <w:rPr>
          <w:rFonts w:ascii="EC Square Sans Pro" w:hAnsi="EC Square Sans Pro"/>
          <w:sz w:val="16"/>
        </w:rPr>
        <w:tab/>
        <w:t>Bien que les données disponibles indiquent que l’orientation précoce, le redoublement et la ségrégation augmentent les inégalités, les solutions visant à lever les obstacles institutionnels à l’équité et à l’inclusion restent limitées.</w:t>
      </w:r>
    </w:p>
  </w:footnote>
  <w:footnote w:id="26">
    <w:p w:rsidR="006D21C8" w:rsidRPr="00073C1F" w:rsidRDefault="006D21C8" w:rsidP="00253DC9">
      <w:pPr>
        <w:pStyle w:val="FootnoteText"/>
        <w:tabs>
          <w:tab w:val="left" w:pos="180"/>
          <w:tab w:val="left" w:pos="426"/>
        </w:tabs>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sidR="00F40A11">
        <w:tab/>
      </w:r>
      <w:r>
        <w:rPr>
          <w:rFonts w:ascii="EC Square Sans Pro" w:hAnsi="EC Square Sans Pro"/>
          <w:sz w:val="16"/>
        </w:rPr>
        <w:t xml:space="preserve">Les recherches indiquent que le retard en matière d’apprentissage en raison de la pandémie tend à avoir une incidence disproportionnée sur les enfants socialement et économiquement défavorisés. Certains enfants ont été particulièrement touchés; c’est le cas des enfants exposés au risque de pauvreté ou d’exclusion sociale, de ceux vivant dans des foyers monoparentaux, de ceux dont les parents ont un faible niveau d’instruction ou des enfants issus de l’immigration. Bien que les mesures correctives en faveur des étudiants défavorisés se soient avérées efficaces pour inverser la tendance à la baisse, elles demeurent néanmoins sous-exploitées. </w:t>
      </w:r>
      <w:hyperlink r:id="rId21" w:history="1">
        <w:r>
          <w:rPr>
            <w:rStyle w:val="Hyperlink"/>
            <w:rFonts w:ascii="EC Square Sans Pro" w:hAnsi="EC Square Sans Pro"/>
            <w:sz w:val="16"/>
          </w:rPr>
          <w:t>Évolution de l’emploi et de la situation sociale en Europe, rapport annuel de 2022</w:t>
        </w:r>
      </w:hyperlink>
      <w:r>
        <w:rPr>
          <w:rFonts w:ascii="EC Square Sans Pro" w:hAnsi="EC Square Sans Pro"/>
          <w:sz w:val="16"/>
        </w:rPr>
        <w:t xml:space="preserve">, </w:t>
      </w:r>
      <w:hyperlink r:id="rId22" w:history="1">
        <w:r>
          <w:rPr>
            <w:rStyle w:val="Hyperlink"/>
            <w:rFonts w:ascii="EC Square Sans Pro" w:hAnsi="EC Square Sans Pro"/>
            <w:sz w:val="16"/>
          </w:rPr>
          <w:t>incidences de la COVID-19 sur l’enseignement</w:t>
        </w:r>
      </w:hyperlink>
      <w:r>
        <w:rPr>
          <w:rFonts w:ascii="EC Square Sans Pro" w:hAnsi="EC Square Sans Pro"/>
          <w:sz w:val="16"/>
        </w:rPr>
        <w:t xml:space="preserve">. </w:t>
      </w:r>
    </w:p>
  </w:footnote>
  <w:footnote w:id="27">
    <w:p w:rsidR="006D21C8" w:rsidRPr="005533EC" w:rsidRDefault="006D21C8" w:rsidP="00857C9F">
      <w:pPr>
        <w:pStyle w:val="FootnoteText"/>
        <w:tabs>
          <w:tab w:val="left" w:pos="480"/>
        </w:tabs>
        <w:ind w:left="360" w:hanging="360"/>
        <w:rPr>
          <w:rFonts w:ascii="EC Square Sans Pro" w:hAnsi="EC Square Sans Pro"/>
          <w:sz w:val="16"/>
          <w:szCs w:val="16"/>
        </w:rPr>
      </w:pPr>
      <w:r>
        <w:rPr>
          <w:rStyle w:val="FootnoteReference"/>
          <w:rFonts w:ascii="EC Square Sans Pro" w:hAnsi="EC Square Sans Pro"/>
          <w:sz w:val="16"/>
          <w:szCs w:val="16"/>
        </w:rPr>
        <w:footnoteRef/>
      </w:r>
      <w:r w:rsidR="00857C9F">
        <w:rPr>
          <w:rFonts w:ascii="EC Square Sans Pro" w:hAnsi="EC Square Sans Pro"/>
          <w:sz w:val="16"/>
        </w:rPr>
        <w:tab/>
      </w:r>
      <w:r w:rsidR="00F40A11">
        <w:rPr>
          <w:rFonts w:ascii="EC Square Sans Pro" w:hAnsi="EC Square Sans Pro"/>
          <w:sz w:val="16"/>
        </w:rPr>
        <w:t>L</w:t>
      </w:r>
      <w:r>
        <w:rPr>
          <w:rFonts w:ascii="EC Square Sans Pro" w:hAnsi="EC Square Sans Pro"/>
          <w:sz w:val="16"/>
        </w:rPr>
        <w:t xml:space="preserve">a </w:t>
      </w:r>
      <w:hyperlink r:id="rId23" w:history="1">
        <w:r>
          <w:rPr>
            <w:rStyle w:val="Hyperlink"/>
            <w:rFonts w:ascii="EC Square Sans Pro" w:hAnsi="EC Square Sans Pro"/>
            <w:sz w:val="16"/>
          </w:rPr>
          <w:t>résolution du Conseil de 2021 sur un agenda européen renouvelé dans le domaine de l’éducation et de la formation des adultes</w:t>
        </w:r>
      </w:hyperlink>
      <w:r>
        <w:rPr>
          <w:rFonts w:ascii="EC Square Sans Pro" w:hAnsi="EC Square Sans Pro"/>
          <w:sz w:val="16"/>
        </w:rPr>
        <w:t xml:space="preserve"> propose d’aborder l’objectif correspondant fixé au niveau de l’UE en deux étapes. L’éducation et la formation des adultes devrait atteindre au moins 47 % d’ici à 2025 et au moins 60 % d’ici à 2030. L’objectif fixé pour 2030 trouve son origine dans le </w:t>
      </w:r>
      <w:hyperlink r:id="rId24" w:history="1">
        <w:r>
          <w:rPr>
            <w:rStyle w:val="Hyperlink"/>
            <w:rFonts w:ascii="EC Square Sans Pro" w:hAnsi="EC Square Sans Pro"/>
            <w:sz w:val="16"/>
          </w:rPr>
          <w:t>plan d’action sur le socle européen des droits sociaux</w:t>
        </w:r>
      </w:hyperlink>
      <w:r>
        <w:rPr>
          <w:rFonts w:ascii="EC Square Sans Pro" w:hAnsi="EC Square Sans Pro"/>
          <w:sz w:val="16"/>
        </w:rPr>
        <w:t xml:space="preserve"> et dans la </w:t>
      </w:r>
      <w:hyperlink r:id="rId25" w:anchor="porto-social-summit-and-porto-social-commitment" w:history="1">
        <w:r>
          <w:rPr>
            <w:rStyle w:val="Hyperlink"/>
            <w:rFonts w:ascii="EC Square Sans Pro" w:hAnsi="EC Square Sans Pro"/>
            <w:sz w:val="16"/>
          </w:rPr>
          <w:t>déclaration de Porto</w:t>
        </w:r>
      </w:hyperlink>
      <w:r>
        <w:rPr>
          <w:rFonts w:ascii="EC Square Sans Pro" w:hAnsi="EC Square Sans Pro"/>
          <w:sz w:val="16"/>
        </w:rPr>
        <w:t xml:space="preserve"> qui s’en est suivie. La Commission, en coopération avec le groupe permanent sur les indicateurs et les critères de référence, évaluera les nouvelles données bisannuelles dès qu’elles seront disponibles pour la première fois, en 2023, et comparera les résultats obtenus avec ceux de l’enquête sur l’éducation des adultes. Cette évaluation vise à guider d’éventuelles modifications de la méthodologie et/ou à suggérer au Conseil une réévaluation du niveau des objectifs pour 2025.</w:t>
      </w:r>
    </w:p>
  </w:footnote>
  <w:footnote w:id="28">
    <w:p w:rsidR="006D21C8" w:rsidRPr="00B97C85" w:rsidRDefault="006D21C8" w:rsidP="00C73420">
      <w:pPr>
        <w:pStyle w:val="FootnoteText"/>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L’étude ICILS de 2023 sera la première à couvrir la quasi-totalité des États membres de l’UE, doublant ainsi le nombre d’États membres sur lesquels elle se penche, qui passera à 22 en 2023, contre 9 en 2013 et 7 en 2018.</w:t>
      </w:r>
    </w:p>
  </w:footnote>
  <w:footnote w:id="29">
    <w:p w:rsidR="006D21C8" w:rsidRPr="008626EB" w:rsidRDefault="006D21C8" w:rsidP="008626EB">
      <w:pPr>
        <w:tabs>
          <w:tab w:val="left" w:pos="426"/>
        </w:tabs>
        <w:spacing w:after="0" w:line="240" w:lineRule="auto"/>
        <w:ind w:left="426" w:hanging="426"/>
        <w:jc w:val="both"/>
        <w:rPr>
          <w:rFonts w:ascii="EC Square Sans Pro" w:hAnsi="EC Square Sans Pro"/>
          <w:sz w:val="16"/>
          <w:szCs w:val="16"/>
        </w:rPr>
      </w:pPr>
      <w:r>
        <w:rPr>
          <w:rStyle w:val="FootnoteReference"/>
          <w:rFonts w:ascii="EC Square Sans Pro" w:hAnsi="EC Square Sans Pro"/>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r>
        <w:rPr>
          <w:rFonts w:ascii="EC Square Sans Pro" w:hAnsi="EC Square Sans Pro"/>
          <w:sz w:val="16"/>
        </w:rPr>
        <w:t>À l’échelle de l’UE, près de 40 % du personnel enseignant est âgé de plus de 50 ans.</w:t>
      </w:r>
    </w:p>
  </w:footnote>
  <w:footnote w:id="30">
    <w:p w:rsidR="006D21C8" w:rsidRPr="0066789C" w:rsidRDefault="006D21C8" w:rsidP="0066789C">
      <w:pPr>
        <w:pStyle w:val="FootnoteText"/>
        <w:tabs>
          <w:tab w:val="left" w:pos="426"/>
        </w:tabs>
        <w:ind w:left="426" w:hanging="426"/>
      </w:pPr>
      <w:r>
        <w:rPr>
          <w:rStyle w:val="FootnoteReference"/>
          <w:rFonts w:ascii="EC Square Sans Pro" w:hAnsi="EC Square Sans Pro" w:cstheme="minorHAnsi"/>
          <w:sz w:val="16"/>
          <w:szCs w:val="16"/>
        </w:rPr>
        <w:footnoteRef/>
      </w:r>
      <w:r>
        <w:tab/>
      </w:r>
      <w:r>
        <w:rPr>
          <w:rFonts w:ascii="EC Square Sans Pro" w:hAnsi="EC Square Sans Pro"/>
          <w:sz w:val="16"/>
        </w:rPr>
        <w:t>Voir le document SWD(2022) 750, section II.1.</w:t>
      </w:r>
    </w:p>
  </w:footnote>
  <w:footnote w:id="31">
    <w:p w:rsidR="006D21C8" w:rsidRPr="00B97C85" w:rsidRDefault="006D21C8" w:rsidP="0007369E">
      <w:pPr>
        <w:pStyle w:val="FootnoteText"/>
        <w:tabs>
          <w:tab w:val="left" w:pos="426"/>
        </w:tabs>
        <w:ind w:left="426" w:hanging="426"/>
        <w:rPr>
          <w:rFonts w:ascii="EC Square Sans Cond Pro" w:hAnsi="EC Square Sans Cond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En 2022, huit États membres se sont vu adresser une recommandation spécifique concernant les difficultés liées à l’éducation et aux compétences auxquelles une solution adéquate n’est pas apportée dans les PRR (</w:t>
      </w:r>
      <w:hyperlink r:id="rId26">
        <w:r>
          <w:rPr>
            <w:rStyle w:val="Hyperlink"/>
            <w:rFonts w:ascii="EC Square Sans Pro" w:hAnsi="EC Square Sans Pro"/>
            <w:sz w:val="16"/>
          </w:rPr>
          <w:t>voir les recommandations par pays</w:t>
        </w:r>
      </w:hyperlink>
      <w:r>
        <w:rPr>
          <w:rFonts w:ascii="EC Square Sans Pro" w:hAnsi="EC Square Sans Pro"/>
          <w:sz w:val="16"/>
        </w:rPr>
        <w:t>)</w:t>
      </w:r>
      <w:r>
        <w:rPr>
          <w:rStyle w:val="Hyperlink"/>
          <w:rFonts w:ascii="EC Square Sans Pro" w:hAnsi="EC Square Sans Pro"/>
          <w:sz w:val="16"/>
        </w:rPr>
        <w:t>.</w:t>
      </w:r>
      <w:r>
        <w:t xml:space="preserve"> </w:t>
      </w:r>
      <w:r>
        <w:rPr>
          <w:rFonts w:ascii="EC Square Sans Pro" w:hAnsi="EC Square Sans Pro"/>
          <w:sz w:val="16"/>
        </w:rPr>
        <w:t>Une recommandation par pays en matière d’éducation ou de compétences a été adressée à tous les États membres en 2019, et à 24 États membres en 2020.</w:t>
      </w:r>
    </w:p>
  </w:footnote>
  <w:footnote w:id="32">
    <w:p w:rsidR="006D21C8" w:rsidRPr="00B97C85" w:rsidRDefault="006D21C8" w:rsidP="00B97C85">
      <w:pPr>
        <w:pStyle w:val="FootnoteText"/>
        <w:tabs>
          <w:tab w:val="left" w:pos="426"/>
        </w:tabs>
        <w:ind w:left="426" w:hanging="426"/>
        <w:rPr>
          <w:color w:val="000000" w:themeColor="text1"/>
        </w:rPr>
      </w:pPr>
      <w:r>
        <w:rPr>
          <w:rStyle w:val="FootnoteReference"/>
          <w:rFonts w:ascii="EC Square Sans Pro" w:hAnsi="EC Square Sans Pro" w:cstheme="minorHAnsi"/>
          <w:sz w:val="16"/>
          <w:szCs w:val="16"/>
        </w:rPr>
        <w:footnoteRef/>
      </w:r>
      <w:r>
        <w:t xml:space="preserve"> </w:t>
      </w:r>
      <w:r>
        <w:tab/>
      </w:r>
      <w:r>
        <w:rPr>
          <w:rStyle w:val="normaltextrun"/>
          <w:rFonts w:ascii="EC Square Sans Pro" w:hAnsi="EC Square Sans Pro"/>
          <w:color w:val="000000" w:themeColor="text1"/>
          <w:sz w:val="16"/>
          <w:shd w:val="clear" w:color="auto" w:fill="FFFFFF"/>
        </w:rPr>
        <w:t>Ce chiffre est calculé selon la méthode de marquage des piliers établie pour le tableau de bord de la reprise et de la résilience. Il correspond au coût total estimé des mesures affectées en tant que domaine d’action prioritaire ou secondaire à l’un des postes suivants: «Enseignement général, professionnel et supérieur: accessibilité, caractère abordable, qualité et inclusion, y compris la numérisation et les infrastructures», «Éducation et formation des adultes, y compris l’enseignement et la formation professionnels continus; reconnaissance et validation des compétences», «Éducation et accueil de la petite enfance: accessibilité, caractère abordable, qualité et inclusion, y compris la numérisation et les infrastructures» ou «Capital humain dans la numérisation». Ce calcul est effectué à partir des 25 plans pour la reprise et la résilience approuvés par la Commission et le Conseil jusqu’en septembre 2022. Il s’agit là d’une estimation; le financement réel sera calculé en fonction des jalons et des cibles atteints. La Commission a évalué les estimations de coûts lors de la présentation et de l’approbation des plans initiaux. Les États membres ne sont pas tenus de présenter les certificats de dépenses et la Commission ne vérifiera pas les coûts réels des mesures soutenues par la FRR.</w:t>
      </w:r>
    </w:p>
  </w:footnote>
  <w:footnote w:id="33">
    <w:p w:rsidR="006D21C8" w:rsidRPr="0066789C" w:rsidRDefault="006D21C8" w:rsidP="0066789C">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tab/>
      </w:r>
      <w:r>
        <w:rPr>
          <w:rFonts w:ascii="EC Square Sans Pro" w:hAnsi="EC Square Sans Pro"/>
          <w:sz w:val="16"/>
        </w:rPr>
        <w:t xml:space="preserve">Au 30 septembre 2022, 23 États membres avaient déjà programmé l’investissement de 21,13 milliards d’EUR provenant du Fonds social européen plus (FSE+) pour soutenir l’éducation et les compétences. La dotation préliminaire du Fonds européen de développement régional (FEDER) en faveur des infrastructures d’éducation et de formation, sur la base des programmes adoptés dans sept États membres, s’élève à 2,3 milliards d’EUR. </w:t>
      </w:r>
    </w:p>
  </w:footnote>
  <w:footnote w:id="34">
    <w:p w:rsidR="006D21C8" w:rsidRPr="002242ED" w:rsidRDefault="006D21C8" w:rsidP="009730DD">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 xml:space="preserve">Voir le document SWD(2022) 750, section I.2.2. </w:t>
      </w:r>
    </w:p>
  </w:footnote>
  <w:footnote w:id="35">
    <w:p w:rsidR="006D21C8" w:rsidRPr="00B97C85" w:rsidRDefault="006D21C8" w:rsidP="00B97C85">
      <w:pPr>
        <w:pStyle w:val="FootnoteText"/>
        <w:tabs>
          <w:tab w:val="left" w:pos="426"/>
        </w:tabs>
        <w:ind w:left="426" w:hanging="426"/>
        <w:rPr>
          <w:color w:val="000000" w:themeColor="text1"/>
        </w:rPr>
      </w:pPr>
      <w:r>
        <w:rPr>
          <w:rStyle w:val="FootnoteReference"/>
          <w:rFonts w:ascii="EC Square Sans Pro" w:hAnsi="EC Square Sans Pro" w:cstheme="minorHAnsi"/>
          <w:sz w:val="16"/>
          <w:szCs w:val="16"/>
        </w:rPr>
        <w:footnoteRef/>
      </w:r>
      <w:r>
        <w:t xml:space="preserve"> </w:t>
      </w:r>
      <w:r>
        <w:tab/>
      </w:r>
      <w:r>
        <w:rPr>
          <w:rStyle w:val="normaltextrun"/>
          <w:rFonts w:ascii="EC Square Sans Pro" w:hAnsi="EC Square Sans Pro"/>
          <w:color w:val="000000" w:themeColor="text1"/>
          <w:sz w:val="16"/>
          <w:shd w:val="clear" w:color="auto" w:fill="FFFFFF"/>
        </w:rPr>
        <w:t>Ce chiffre est calculé selon la méthode de marquage des piliers établie pour le tableau de bord de la reprise et de la résilience. Il correspond au coût estimé des mesures affectées au poste «Capital humain dans la numérisation» en tant que domaine d’action prioritaire ou secondaire. Ce calcul est effectué à partir des 25 plans pour la reprise et la résilience approuvés par la Commission et le Conseil jusqu’en septembre 2022. Il s’agit là d’une estimation; le financement réel sera calculé en fonction des jalons et des cibles atteints. La Commission a évalué les estimations de coûts lors de la présentation et de l’approbation des plans initiaux. Les États membres ne sont pas tenus de présenter les certificats de dépenses et la Commission ne vérifiera pas les coûts réels des mesures soutenues par la FRR.</w:t>
      </w:r>
    </w:p>
  </w:footnote>
  <w:footnote w:id="36">
    <w:p w:rsidR="006D21C8" w:rsidRPr="00073C1F" w:rsidRDefault="006D21C8" w:rsidP="00BA4FE1">
      <w:pPr>
        <w:pStyle w:val="FootnoteText"/>
        <w:tabs>
          <w:tab w:val="left" w:pos="426"/>
        </w:tabs>
        <w:ind w:left="426" w:hanging="426"/>
        <w:rPr>
          <w:rFonts w:ascii="EC Square Sans Pro" w:hAnsi="EC Square Sans Pro"/>
        </w:rPr>
      </w:pPr>
      <w:r>
        <w:rPr>
          <w:rStyle w:val="FootnoteReference"/>
          <w:rFonts w:ascii="EC Square Sans Pro" w:hAnsi="EC Square Sans Pro"/>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r>
        <w:rPr>
          <w:rFonts w:ascii="EC Square Sans Pro" w:hAnsi="EC Square Sans Pro"/>
          <w:sz w:val="16"/>
        </w:rPr>
        <w:t>Au début de l’année scolaire 2022-2023, 26 États membres et le Liechtenstein ont accueilli quelque 500 000 enfants ukrainiens dans leur système d’éducation nationale. Ce chiffre est bien inférieur au nombre d’enfants déplacés, qui se comptent en millions. (Plus de quatre millions de personnes ont introduit une demande de protection temporaire).</w:t>
      </w:r>
    </w:p>
  </w:footnote>
  <w:footnote w:id="37">
    <w:p w:rsidR="006D21C8" w:rsidRPr="00073C1F" w:rsidRDefault="006D21C8">
      <w:pPr>
        <w:pStyle w:val="FootnoteText"/>
        <w:tabs>
          <w:tab w:val="left" w:pos="426"/>
        </w:tabs>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La Commission a mis en place un groupe européen de solidarité avec l’Ukraine en matière d’éducation qui contribue à déterminer les besoins spécifiques afin que les enfants ukrainiens puissent continuer à bénéficier d’une instruction et à soutenir les pays qui les accueillent en mettant en commun l’expertise disponible dans toute l’Europe. Ce groupe s’appuie sur les outils et les mécanismes existants relevant du cadre stratégique de l’EEE, dont font partie les groupes de travail.</w:t>
      </w:r>
    </w:p>
  </w:footnote>
  <w:footnote w:id="38">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27" w:history="1">
        <w:r>
          <w:rPr>
            <w:rStyle w:val="Hyperlink"/>
            <w:rFonts w:ascii="EC Square Sans Pro" w:hAnsi="EC Square Sans Pro"/>
            <w:sz w:val="16"/>
          </w:rPr>
          <w:t>Soutenir l’inclusion des enfants déportés d’Ukraine dans l’éducation: considérations, principes et pratiques clés pour l’année scolaire 2022-23</w:t>
        </w:r>
      </w:hyperlink>
      <w:r>
        <w:rPr>
          <w:rFonts w:ascii="EC Square Sans Pro" w:hAnsi="EC Square Sans Pro"/>
          <w:sz w:val="16"/>
        </w:rPr>
        <w:t>, juin 2022.</w:t>
      </w:r>
      <w:r>
        <w:cr/>
      </w:r>
      <w:r>
        <w:br/>
      </w:r>
      <w:r>
        <w:rPr>
          <w:rFonts w:ascii="EC Square Sans Pro" w:hAnsi="EC Square Sans Pro"/>
          <w:sz w:val="16"/>
        </w:rPr>
        <w:t xml:space="preserve"> Voir également le document SWD(2022) 750, page 7. </w:t>
      </w:r>
    </w:p>
  </w:footnote>
  <w:footnote w:id="39">
    <w:p w:rsidR="006D21C8" w:rsidRPr="0066789C" w:rsidRDefault="006D21C8" w:rsidP="0066789C">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hyperlink r:id="rId28" w:history="1">
        <w:r>
          <w:rPr>
            <w:rStyle w:val="Hyperlink"/>
            <w:rFonts w:ascii="EC Square Sans Pro" w:hAnsi="EC Square Sans Pro"/>
            <w:sz w:val="16"/>
          </w:rPr>
          <w:t>Orientations stratégiques pour favoriser l’accès des personnes fuyant la guerre d’agression menée par la Russie contre l’Ukraine au marché du travail, à l’enseignement et à la formation professionnels, ainsi qu’à l’éducation et à la formation des adultes</w:t>
        </w:r>
      </w:hyperlink>
      <w:r>
        <w:rPr>
          <w:rFonts w:ascii="EC Square Sans Pro" w:hAnsi="EC Square Sans Pro"/>
          <w:sz w:val="16"/>
        </w:rPr>
        <w:t xml:space="preserve">, juin 2022. </w:t>
      </w:r>
    </w:p>
  </w:footnote>
  <w:footnote w:id="40">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Par exemple du matériel d’apprentissage en ligne rédigé en ukrainien et des informations sur le système scolaire ukrainien, la reconnaissance des diplômes universitaires, les ressources et les formations disponibles dans le domaine du soutien psychosocial, consultables notamment dans la boîte à outils européenne pour les écoles et établissements.</w:t>
      </w:r>
    </w:p>
  </w:footnote>
  <w:footnote w:id="41">
    <w:p w:rsidR="006D21C8" w:rsidRPr="00801AD9" w:rsidRDefault="006D21C8" w:rsidP="00801AD9">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Quelque quatorze États membres prévoient de consacrer à l’éducation plus de 3,5 milliards d’EUR provenant du FSE. Au titre du FEDER, cinq États membres ont alloué 1,4 milliard d’EUR provenant des ressources apportées par le programme REACT-EU à des mesures en lien avec l’éducation et la formation en ligne, et six États membres ont alloué près d’un milliard d’EUR au financement des infrastructures de l’enseignement primaire et secondaire.</w:t>
      </w:r>
    </w:p>
  </w:footnote>
  <w:footnote w:id="42">
    <w:p w:rsidR="006D21C8" w:rsidRPr="002242ED" w:rsidRDefault="006D21C8">
      <w:pPr>
        <w:pStyle w:val="FootnoteText"/>
        <w:tabs>
          <w:tab w:val="left" w:pos="90"/>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ab/>
        <w:t xml:space="preserve">Annoncé dans le </w:t>
      </w:r>
      <w:hyperlink r:id="rId29" w:history="1">
        <w:r>
          <w:rPr>
            <w:rStyle w:val="Hyperlink"/>
            <w:rFonts w:ascii="EC Square Sans Pro" w:hAnsi="EC Square Sans Pro"/>
            <w:sz w:val="16"/>
          </w:rPr>
          <w:t>discours sur l’état de l’Union prononcé en 2021</w:t>
        </w:r>
      </w:hyperlink>
      <w:r>
        <w:rPr>
          <w:rFonts w:ascii="EC Square Sans Pro" w:hAnsi="EC Square Sans Pro"/>
          <w:sz w:val="16"/>
        </w:rPr>
        <w:t xml:space="preserve"> et soutenu par les conclusions du Conseil européen, ce dialogue avec les États membres et les parties prenantes sera mené jusqu’à la fin de l’année 2022.</w:t>
      </w:r>
    </w:p>
  </w:footnote>
  <w:footnote w:id="43">
    <w:p w:rsidR="006D21C8" w:rsidRPr="00481349" w:rsidRDefault="006D21C8" w:rsidP="00481349">
      <w:pPr>
        <w:pStyle w:val="FootnoteText"/>
        <w:ind w:left="426" w:hanging="426"/>
        <w:rPr>
          <w:rFonts w:ascii="EC Square Sans Pro" w:hAnsi="EC Square Sans Pro"/>
          <w:sz w:val="16"/>
          <w:szCs w:val="16"/>
        </w:rPr>
      </w:pPr>
      <w:r>
        <w:rPr>
          <w:rStyle w:val="FootnoteReference"/>
          <w:rFonts w:ascii="EC Square Sans Pro" w:hAnsi="EC Square Sans Pro"/>
          <w:sz w:val="16"/>
          <w:szCs w:val="16"/>
        </w:rPr>
        <w:footnoteRef/>
      </w:r>
      <w:r>
        <w:t xml:space="preserve"> </w:t>
      </w:r>
      <w:r>
        <w:tab/>
      </w:r>
      <w:r>
        <w:rPr>
          <w:rFonts w:ascii="EC Square Sans Pro" w:hAnsi="EC Square Sans Pro"/>
          <w:sz w:val="16"/>
        </w:rPr>
        <w:t>Voir SWD (2022) 751 – Rapport comparatif, chapitre 1.</w:t>
      </w:r>
    </w:p>
    <w:p w:rsidR="006D21C8" w:rsidRPr="00F40A11" w:rsidRDefault="006D21C8" w:rsidP="00481349">
      <w:pPr>
        <w:pStyle w:val="FootnoteText"/>
        <w:rPr>
          <w:rFonts w:ascii="EC Square Sans Cond Pro" w:hAnsi="EC Square Sans Cond Pro"/>
          <w:sz w:val="4"/>
          <w:szCs w:val="4"/>
          <w:lang w:val="fr-BE"/>
        </w:rPr>
      </w:pPr>
    </w:p>
  </w:footnote>
  <w:footnote w:id="44">
    <w:p w:rsidR="006D21C8" w:rsidRPr="00270DBB" w:rsidRDefault="006D21C8" w:rsidP="00854503">
      <w:pPr>
        <w:pStyle w:val="FootnoteText"/>
        <w:ind w:left="426" w:hanging="426"/>
      </w:pPr>
      <w:r>
        <w:rPr>
          <w:rStyle w:val="FootnoteReference"/>
          <w:rFonts w:ascii="EC Square Sans Pro" w:hAnsi="EC Square Sans Pro"/>
          <w:sz w:val="16"/>
          <w:szCs w:val="16"/>
        </w:rPr>
        <w:footnoteRef/>
      </w:r>
      <w:r>
        <w:tab/>
      </w:r>
      <w:r>
        <w:rPr>
          <w:rFonts w:ascii="EC Square Sans Pro" w:hAnsi="EC Square Sans Pro"/>
          <w:sz w:val="16"/>
        </w:rPr>
        <w:t>Cette méthode d’analyse des insuffisances graves en matière d’instruction s’éloigne de celle adoptée jusqu’à présent, dans laquelle chaque domaine PISA était examiné séparément. L’avantage d’analyser l’échec scolaire dans trois domaines de compétences élémentaires simultanément est que cette méthode est amplement indicative du niveau d’équité dans le domaine de l’éducation et permet d’attirer l’attention sur les jeunes les plus à risque.</w:t>
      </w:r>
    </w:p>
  </w:footnote>
  <w:footnote w:id="45">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 xml:space="preserve">Tous les aspects techniques de ce nouvel indicateur applicable à l’échelle de l’UE, ainsi que de nombreux indicateurs contextuels, sont détaillés dans les documents SWD (2022) 750 et SWD (2022) 751. </w:t>
      </w:r>
    </w:p>
  </w:footnote>
  <w:footnote w:id="46">
    <w:p w:rsidR="006D21C8" w:rsidRPr="00FA4D27" w:rsidRDefault="006D21C8" w:rsidP="00857C9F">
      <w:pPr>
        <w:pStyle w:val="FootnoteText"/>
        <w:tabs>
          <w:tab w:val="left" w:pos="90"/>
          <w:tab w:val="left" w:pos="426"/>
        </w:tabs>
        <w:ind w:left="426" w:hanging="426"/>
        <w:rPr>
          <w:rFonts w:ascii="EC Square Sans Pro" w:hAnsi="EC Square Sans Pro"/>
          <w:sz w:val="16"/>
          <w:szCs w:val="16"/>
        </w:rPr>
      </w:pPr>
      <w:r>
        <w:rPr>
          <w:rStyle w:val="FootnoteReference"/>
          <w:rFonts w:ascii="EC Square Sans Pro" w:hAnsi="EC Square Sans Pro"/>
          <w:sz w:val="16"/>
          <w:szCs w:val="16"/>
        </w:rPr>
        <w:footnoteRef/>
      </w:r>
      <w:r w:rsidR="00F40A11">
        <w:rPr>
          <w:rFonts w:ascii="EC Square Sans Pro" w:hAnsi="EC Square Sans Pro"/>
          <w:sz w:val="16"/>
        </w:rPr>
        <w:t xml:space="preserve"> </w:t>
      </w:r>
      <w:r w:rsidR="00F40A11">
        <w:rPr>
          <w:rFonts w:ascii="EC Square Sans Pro" w:hAnsi="EC Square Sans Pro"/>
          <w:sz w:val="16"/>
        </w:rPr>
        <w:tab/>
        <w:t>C</w:t>
      </w:r>
      <w:r>
        <w:rPr>
          <w:rFonts w:ascii="EC Square Sans Pro" w:hAnsi="EC Square Sans Pro"/>
          <w:sz w:val="16"/>
        </w:rPr>
        <w:t xml:space="preserve">omme le soulignent le </w:t>
      </w:r>
      <w:hyperlink r:id="rId30" w:history="1">
        <w:r>
          <w:rPr>
            <w:rStyle w:val="Hyperlink"/>
            <w:rFonts w:ascii="EC Square Sans Pro" w:hAnsi="EC Square Sans Pro"/>
            <w:sz w:val="16"/>
          </w:rPr>
          <w:t>pacte vert pour l’Europe</w:t>
        </w:r>
      </w:hyperlink>
      <w:r>
        <w:rPr>
          <w:rFonts w:ascii="EC Square Sans Pro" w:hAnsi="EC Square Sans Pro"/>
          <w:sz w:val="16"/>
          <w:vertAlign w:val="superscript"/>
        </w:rPr>
        <w:t xml:space="preserve"> </w:t>
      </w:r>
      <w:r>
        <w:rPr>
          <w:rFonts w:ascii="EC Square Sans Pro" w:hAnsi="EC Square Sans Pro"/>
          <w:sz w:val="16"/>
        </w:rPr>
        <w:t xml:space="preserve">et la </w:t>
      </w:r>
      <w:hyperlink r:id="rId31" w:history="1">
        <w:r>
          <w:rPr>
            <w:rStyle w:val="Hyperlink"/>
            <w:rFonts w:ascii="EC Square Sans Pro" w:hAnsi="EC Square Sans Pro"/>
            <w:sz w:val="16"/>
          </w:rPr>
          <w:t>stratégie de l’UE en faveur de la biodiversité à l’horizon 2030</w:t>
        </w:r>
      </w:hyperlink>
      <w:r>
        <w:rPr>
          <w:rStyle w:val="Hyperlink"/>
          <w:rFonts w:ascii="EC Square Sans Pro" w:hAnsi="EC Square Sans Pro"/>
          <w:sz w:val="16"/>
        </w:rPr>
        <w:t>.</w:t>
      </w:r>
    </w:p>
  </w:footnote>
  <w:footnote w:id="47">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32" w:history="1">
        <w:r>
          <w:rPr>
            <w:rStyle w:val="Hyperlink"/>
            <w:rFonts w:ascii="EC Square Sans Pro" w:hAnsi="EC Square Sans Pro"/>
            <w:color w:val="0563C1"/>
            <w:sz w:val="16"/>
          </w:rPr>
          <w:t>Déclaration intergouvernementale pour construire une vision partagée sur l’efficacité, l’efficience et l’équité des investissements en éducation</w:t>
        </w:r>
      </w:hyperlink>
      <w:r>
        <w:rPr>
          <w:rFonts w:ascii="EC Square Sans Pro" w:hAnsi="EC Square Sans Pro"/>
          <w:sz w:val="16"/>
        </w:rPr>
        <w:t>.</w:t>
      </w:r>
    </w:p>
  </w:footnote>
  <w:footnote w:id="48">
    <w:p w:rsidR="006D21C8" w:rsidRPr="002242ED"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Voir le document SWD(2022) 750, section I.2.1.</w:t>
      </w:r>
    </w:p>
  </w:footnote>
  <w:footnote w:id="49">
    <w:p w:rsidR="006D21C8" w:rsidRPr="00C074B6" w:rsidRDefault="006D21C8" w:rsidP="00C074B6">
      <w:pPr>
        <w:pStyle w:val="FootnoteText"/>
        <w:tabs>
          <w:tab w:val="left" w:pos="426"/>
        </w:tabs>
        <w:ind w:left="426" w:hanging="426"/>
        <w:rPr>
          <w:rFonts w:ascii="EC Square Sans Cond Pro" w:hAnsi="EC Square Sans Cond Pro" w:cstheme="minorHAnsi"/>
          <w:sz w:val="16"/>
          <w:szCs w:val="16"/>
        </w:rPr>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hyperlink r:id="rId33" w:history="1">
        <w:r>
          <w:rPr>
            <w:rStyle w:val="Hyperlink"/>
            <w:rFonts w:ascii="EC Square Sans Pro" w:hAnsi="EC Square Sans Pro"/>
            <w:sz w:val="16"/>
          </w:rPr>
          <w:t>Rapport final du groupe d’experts consacré à la qualité des investissements dans l’éducation et la formation</w:t>
        </w:r>
      </w:hyperlink>
      <w:r>
        <w:rPr>
          <w:rFonts w:ascii="EC Square Sans Cond Pro" w:hAnsi="EC Square Sans Cond Pro"/>
          <w:sz w:val="16"/>
        </w:rPr>
        <w:t xml:space="preserve">, octobre 2022. </w:t>
      </w:r>
    </w:p>
  </w:footnote>
  <w:footnote w:id="50">
    <w:p w:rsidR="006D21C8" w:rsidRPr="00860B67" w:rsidRDefault="006D21C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ab/>
        <w:t xml:space="preserve">Le </w:t>
      </w:r>
      <w:hyperlink r:id="rId34" w:history="1">
        <w:r>
          <w:rPr>
            <w:rStyle w:val="Hyperlink"/>
            <w:rFonts w:ascii="EC Square Sans Pro" w:hAnsi="EC Square Sans Pro"/>
            <w:sz w:val="16"/>
          </w:rPr>
          <w:t>rapport de prospective stratégique 2022</w:t>
        </w:r>
      </w:hyperlink>
      <w:r>
        <w:rPr>
          <w:rFonts w:ascii="EC Square Sans Pro" w:hAnsi="EC Square Sans Pro"/>
          <w:sz w:val="16"/>
        </w:rPr>
        <w:t xml:space="preserve"> examine, entre autres, les effets de l’interaction entre les transitions écologique et numérique sur le secteur de l’éducation, à l’heure où la situation géopolitique est marquée par des changements rapides.</w:t>
      </w:r>
    </w:p>
  </w:footnote>
  <w:footnote w:id="51">
    <w:p w:rsidR="006D21C8" w:rsidRPr="00F97A33" w:rsidRDefault="006D21C8" w:rsidP="000C6DB0">
      <w:pPr>
        <w:pStyle w:val="FootnoteText"/>
        <w:tabs>
          <w:tab w:val="left" w:pos="426"/>
        </w:tabs>
        <w:ind w:left="426" w:hanging="426"/>
      </w:pPr>
      <w:r>
        <w:rPr>
          <w:rStyle w:val="FootnoteReference"/>
          <w:rFonts w:ascii="EC Square Sans Pro" w:hAnsi="EC Square Sans Pro" w:cstheme="minorHAnsi"/>
          <w:sz w:val="16"/>
          <w:szCs w:val="16"/>
        </w:rPr>
        <w:footnoteRef/>
      </w:r>
      <w:r>
        <w:rPr>
          <w:rStyle w:val="FootnoteReference"/>
        </w:rPr>
        <w:tab/>
      </w:r>
      <w:r>
        <w:rPr>
          <w:rFonts w:ascii="EC Square Sans Pro" w:hAnsi="EC Square Sans Pro"/>
          <w:sz w:val="16"/>
        </w:rPr>
        <w:t>Voir SWD (2022) 750, section I.1.2 et annexe 1.</w:t>
      </w:r>
    </w:p>
  </w:footnote>
  <w:footnote w:id="52">
    <w:p w:rsidR="006D21C8" w:rsidRPr="002242ED" w:rsidRDefault="006D21C8" w:rsidP="000C6DB0">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35" w:history="1">
        <w:r>
          <w:rPr>
            <w:rStyle w:val="Hyperlink"/>
            <w:rFonts w:ascii="EC Square Sans Pro" w:hAnsi="EC Square Sans Pro"/>
            <w:sz w:val="16"/>
          </w:rPr>
          <w:t>Objectif de développement durable nº 4</w:t>
        </w:r>
      </w:hyperlink>
      <w:r>
        <w:rPr>
          <w:rFonts w:ascii="EC Square Sans Pro" w:hAnsi="EC Square Sans Pro"/>
          <w:sz w:val="16"/>
        </w:rPr>
        <w:t>.</w:t>
      </w:r>
    </w:p>
  </w:footnote>
  <w:footnote w:id="53">
    <w:p w:rsidR="006D21C8" w:rsidRPr="00545CF5" w:rsidRDefault="006D21C8" w:rsidP="00545CF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r>
        <w:rPr>
          <w:rFonts w:ascii="EC Square Sans Pro" w:hAnsi="EC Square Sans Pro"/>
          <w:sz w:val="16"/>
        </w:rPr>
        <w:t>La Fondation européenne pour la formation (FEF) a réagi rapidement à l’invasion de l’Ukraine par la Russie, et ce, en parfaite coordination avec l’UE, le gouvernement ukrainien et d’autres organisations internationales. La Commission européenne, en collaboration avec la FEF, les autorités ukrainiennes et les États membres de l’UE, a comparé le cadre européen des certifications au cadre national de l’Ukraine en la matière, de l’enseignement primaire à l’enseignement post-universitaire. La FEF a mis en place un pôle de ressources à l’intention des Ukrainiens qui cherchent à faire reconnaître leurs qualifications et de quiconque ayant besoin d’une aide pour évaluer ces qualifications. Dans le cadre des politiques de l’UE en matière de relations extérieures, la FEF œuvre essentiellement à l’amélioration du développement du capital humain dans les pays tiers (pays partenaires). La FEF opère actuellement dans les régions couvertes par la politique européenne de voisinage, dans les pays candidats à l’élargissement ainsi qu’en Asie centrale, et participe au développement des compétences en Afrique, en collaboration avec l’UE. (Voir également la section 3.2 ci-dessus).</w:t>
      </w:r>
    </w:p>
  </w:footnote>
  <w:footnote w:id="54">
    <w:p w:rsidR="006D21C8" w:rsidRPr="00545CF5" w:rsidRDefault="006D21C8" w:rsidP="00545CF5">
      <w:pPr>
        <w:pStyle w:val="FootnoteText"/>
        <w:tabs>
          <w:tab w:val="left" w:pos="426"/>
        </w:tabs>
        <w:ind w:left="426" w:hanging="426"/>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r>
        <w:rPr>
          <w:rFonts w:ascii="EC Square Sans Pro" w:hAnsi="EC Square Sans Pro"/>
          <w:sz w:val="16"/>
        </w:rPr>
        <w:t xml:space="preserve">Comme annoncé dans le </w:t>
      </w:r>
      <w:hyperlink r:id="rId36" w:history="1">
        <w:r>
          <w:rPr>
            <w:rStyle w:val="Hyperlink"/>
            <w:rFonts w:ascii="EC Square Sans Pro" w:hAnsi="EC Square Sans Pro"/>
            <w:sz w:val="16"/>
          </w:rPr>
          <w:t>discours sur l’état de l’Union prononcé en 2022</w:t>
        </w:r>
      </w:hyperlink>
      <w:r>
        <w:rPr>
          <w:rFonts w:ascii="EC Square Sans Pro" w:hAnsi="EC Square Sans Pro"/>
          <w:sz w:val="16"/>
        </w:rPr>
        <w:t>.</w:t>
      </w:r>
    </w:p>
  </w:footnote>
  <w:footnote w:id="55">
    <w:p w:rsidR="006D21C8" w:rsidRPr="00860B67" w:rsidRDefault="006D21C8" w:rsidP="00611E4B">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Fonts w:ascii="EC Square Sans Pro" w:hAnsi="EC Square Sans Pro"/>
          <w:sz w:val="16"/>
        </w:rPr>
        <w:t xml:space="preserve"> </w:t>
      </w:r>
      <w:r>
        <w:rPr>
          <w:rFonts w:ascii="EC Square Sans Pro" w:hAnsi="EC Square Sans Pro"/>
          <w:sz w:val="16"/>
        </w:rPr>
        <w:tab/>
      </w:r>
      <w:hyperlink r:id="rId37" w:history="1">
        <w:r>
          <w:rPr>
            <w:rStyle w:val="Hyperlink"/>
            <w:rFonts w:ascii="EC Square Sans Pro" w:hAnsi="EC Square Sans Pro"/>
            <w:sz w:val="16"/>
          </w:rPr>
          <w:t>Programme d’innovation de l’UE et des Balkans occidentaux</w:t>
        </w:r>
      </w:hyperlink>
      <w:r>
        <w:rPr>
          <w:rFonts w:ascii="EC Square Sans Pro" w:hAnsi="EC Square Sans Pro"/>
          <w:sz w:val="16"/>
        </w:rPr>
        <w:t>.</w:t>
      </w:r>
    </w:p>
  </w:footnote>
  <w:footnote w:id="56">
    <w:p w:rsidR="006D21C8" w:rsidRPr="0045123E" w:rsidRDefault="006D21C8" w:rsidP="0045123E">
      <w:pPr>
        <w:pStyle w:val="FootnoteText"/>
        <w:tabs>
          <w:tab w:val="left" w:pos="426"/>
        </w:tabs>
        <w:ind w:left="426" w:hanging="426"/>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rPr>
          <w:rFonts w:ascii="EC Square Sans Pro" w:hAnsi="EC Square Sans Pro"/>
          <w:sz w:val="16"/>
        </w:rPr>
        <w:tab/>
        <w:t>Dont 39 bénéficient d’un soutien complémentaire au titre du programme «Horizon 2020» pour leur volet «recherche et innovation».</w:t>
      </w:r>
    </w:p>
  </w:footnote>
  <w:footnote w:id="57">
    <w:p w:rsidR="006D21C8" w:rsidRPr="00C500A8" w:rsidRDefault="006D21C8" w:rsidP="00C500A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rPr>
          <w:rStyle w:val="FootnoteReference"/>
        </w:rPr>
        <w:t xml:space="preserve"> </w:t>
      </w:r>
      <w:r>
        <w:rPr>
          <w:rStyle w:val="FootnoteReference"/>
        </w:rPr>
        <w:tab/>
      </w:r>
      <w:r>
        <w:rPr>
          <w:rFonts w:ascii="EC Square Sans Pro" w:hAnsi="EC Square Sans Pro"/>
          <w:sz w:val="16"/>
        </w:rPr>
        <w:t>Voir le document SWD(2022) 750 - annexe 2.</w:t>
      </w:r>
    </w:p>
  </w:footnote>
  <w:footnote w:id="58">
    <w:p w:rsidR="006D21C8" w:rsidRPr="00D53CB1" w:rsidRDefault="006D21C8" w:rsidP="00111714">
      <w:pPr>
        <w:pStyle w:val="FootnoteText"/>
        <w:tabs>
          <w:tab w:val="left" w:pos="360"/>
        </w:tabs>
        <w:ind w:left="360" w:hanging="360"/>
      </w:pPr>
      <w:r>
        <w:rPr>
          <w:rStyle w:val="FootnoteReference"/>
          <w:rFonts w:ascii="EC Square Sans Pro" w:hAnsi="EC Square Sans Pro" w:cstheme="minorHAnsi"/>
          <w:sz w:val="16"/>
          <w:szCs w:val="16"/>
        </w:rPr>
        <w:footnoteRef/>
      </w:r>
      <w:r>
        <w:rPr>
          <w:rStyle w:val="FootnoteReference"/>
          <w:rFonts w:ascii="EC Square Sans Pro" w:hAnsi="EC Square Sans Pro"/>
          <w:sz w:val="16"/>
        </w:rPr>
        <w:t xml:space="preserve"> </w:t>
      </w:r>
      <w:r>
        <w:rPr>
          <w:rStyle w:val="FootnoteReference"/>
          <w:rFonts w:ascii="EC Square Sans Pro" w:hAnsi="EC Square Sans Pro"/>
          <w:sz w:val="16"/>
        </w:rPr>
        <w:tab/>
      </w:r>
      <w:r>
        <w:rPr>
          <w:rFonts w:ascii="EC Square Sans Pro" w:hAnsi="EC Square Sans Pro"/>
          <w:sz w:val="16"/>
        </w:rPr>
        <w:t>Notamment dans le cadre du nouveau laboratoire d’apprentissage sur la qualité des investissements dans le domaine de l’éducation et de la formation, au sein des groupes de travail relevant du cadre stratégique de l’EEE et dans d’autres activités de conseil entre pairs axées sur la demande.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3D" w:rsidRPr="005D3D3D" w:rsidRDefault="005D3D3D" w:rsidP="005D3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3D" w:rsidRPr="005D3D3D" w:rsidRDefault="005D3D3D" w:rsidP="005D3D3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3D3D" w:rsidRPr="005D3D3D" w:rsidRDefault="005D3D3D" w:rsidP="005D3D3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Pr="00F0158A" w:rsidRDefault="006D21C8" w:rsidP="00CE0FD9">
    <w:pPr>
      <w:tabs>
        <w:tab w:val="right" w:pos="8306"/>
      </w:tabs>
      <w:spacing w:after="120"/>
      <w:jc w:val="both"/>
      <w:rPr>
        <w:rFonts w:eastAsia="Times New Roman" w:cs="Arial"/>
        <w:color w:val="FFFFFF" w:themeColor="background1"/>
        <w:szCs w:val="20"/>
      </w:rPr>
    </w:pPr>
  </w:p>
  <w:sdt>
    <w:sdtPr>
      <w:rPr>
        <w:rFonts w:eastAsia="Times New Roman" w:cs="Times New Roman"/>
        <w:sz w:val="16"/>
        <w:szCs w:val="18"/>
      </w:rPr>
      <w:id w:val="881127452"/>
      <w:docPartObj>
        <w:docPartGallery w:val="Page Numbers (Top of Page)"/>
        <w:docPartUnique/>
      </w:docPartObj>
    </w:sdtPr>
    <w:sdtEndPr>
      <w:rPr>
        <w:noProof/>
      </w:rPr>
    </w:sdtEndPr>
    <w:sdtContent>
      <w:p w:rsidR="006D21C8" w:rsidRPr="00424387" w:rsidRDefault="006D21C8" w:rsidP="00CE0FD9">
        <w:pPr>
          <w:tabs>
            <w:tab w:val="left" w:pos="851"/>
            <w:tab w:val="center" w:pos="4153"/>
            <w:tab w:val="right" w:pos="8306"/>
          </w:tabs>
          <w:spacing w:after="120" w:line="240" w:lineRule="auto"/>
          <w:rPr>
            <w:rFonts w:eastAsia="Times New Roman" w:cs="Times New Roman"/>
            <w:color w:val="FFFFFF" w:themeColor="background1"/>
          </w:rPr>
        </w:pPr>
        <w:r>
          <w:rPr>
            <w:noProof/>
            <w:color w:val="FFFFFF" w:themeColor="background1"/>
            <w:lang w:val="en-GB" w:eastAsia="en-GB"/>
          </w:rPr>
          <w:drawing>
            <wp:anchor distT="0" distB="0" distL="114300" distR="114300" simplePos="0" relativeHeight="251658244" behindDoc="1" locked="0" layoutInCell="1" allowOverlap="1" wp14:anchorId="4576E682" wp14:editId="7D75F186">
              <wp:simplePos x="0" y="0"/>
              <wp:positionH relativeFrom="page">
                <wp:align>left</wp:align>
              </wp:positionH>
              <wp:positionV relativeFrom="page">
                <wp:align>top</wp:align>
              </wp:positionV>
              <wp:extent cx="7572777" cy="1382485"/>
              <wp:effectExtent l="0" t="0" r="0" b="825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left-header-13-01 (cropped).png"/>
                      <pic:cNvPicPr/>
                    </pic:nvPicPr>
                    <pic:blipFill>
                      <a:blip r:embed="rId1">
                        <a:extLst>
                          <a:ext uri="{28A0092B-C50C-407E-A947-70E740481C1C}">
                            <a14:useLocalDpi xmlns:a14="http://schemas.microsoft.com/office/drawing/2010/main" val="0"/>
                          </a:ext>
                        </a:extLst>
                      </a:blip>
                      <a:stretch>
                        <a:fillRect/>
                      </a:stretch>
                    </pic:blipFill>
                    <pic:spPr>
                      <a:xfrm>
                        <a:off x="0" y="0"/>
                        <a:ext cx="7572777" cy="1382485"/>
                      </a:xfrm>
                      <a:prstGeom prst="rect">
                        <a:avLst/>
                      </a:prstGeom>
                    </pic:spPr>
                  </pic:pic>
                </a:graphicData>
              </a:graphic>
              <wp14:sizeRelH relativeFrom="page">
                <wp14:pctWidth>0</wp14:pctWidth>
              </wp14:sizeRelH>
              <wp14:sizeRelV relativeFrom="page">
                <wp14:pctHeight>0</wp14:pctHeight>
              </wp14:sizeRelV>
            </wp:anchor>
          </w:drawing>
        </w:r>
        <w:r>
          <w:rPr>
            <w:noProof/>
            <w:color w:val="FFFFFF" w:themeColor="background1"/>
            <w:lang w:val="en-GB" w:eastAsia="en-GB"/>
          </w:rPr>
          <w:drawing>
            <wp:anchor distT="0" distB="0" distL="114300" distR="114300" simplePos="0" relativeHeight="251658243" behindDoc="0" locked="0" layoutInCell="1" allowOverlap="1" wp14:anchorId="30BF9BE4" wp14:editId="41CC3732">
              <wp:simplePos x="0" y="0"/>
              <wp:positionH relativeFrom="page">
                <wp:posOffset>4999990</wp:posOffset>
              </wp:positionH>
              <wp:positionV relativeFrom="page">
                <wp:posOffset>370840</wp:posOffset>
              </wp:positionV>
              <wp:extent cx="1673860" cy="438785"/>
              <wp:effectExtent l="0" t="0" r="254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e-horizontal-en-neg-quadri.wmf"/>
                      <pic:cNvPicPr/>
                    </pic:nvPicPr>
                    <pic:blipFill>
                      <a:blip r:embed="rId2">
                        <a:extLst>
                          <a:ext uri="{28A0092B-C50C-407E-A947-70E740481C1C}">
                            <a14:useLocalDpi xmlns:a14="http://schemas.microsoft.com/office/drawing/2010/main" val="0"/>
                          </a:ext>
                        </a:extLst>
                      </a:blip>
                      <a:stretch>
                        <a:fillRect/>
                      </a:stretch>
                    </pic:blipFill>
                    <pic:spPr>
                      <a:xfrm>
                        <a:off x="0" y="0"/>
                        <a:ext cx="1673860" cy="438785"/>
                      </a:xfrm>
                      <a:prstGeom prst="rect">
                        <a:avLst/>
                      </a:prstGeom>
                    </pic:spPr>
                  </pic:pic>
                </a:graphicData>
              </a:graphic>
              <wp14:sizeRelH relativeFrom="page">
                <wp14:pctWidth>0</wp14:pctWidth>
              </wp14:sizeRelH>
              <wp14:sizeRelV relativeFrom="page">
                <wp14:pctHeight>0</wp14:pctHeight>
              </wp14:sizeRelV>
            </wp:anchor>
          </w:drawing>
        </w:r>
        <w:r w:rsidRPr="00424387">
          <w:rPr>
            <w:rFonts w:eastAsia="Times New Roman" w:cs="Times New Roman"/>
            <w:color w:val="FFFFFF" w:themeColor="background1"/>
          </w:rPr>
          <w:fldChar w:fldCharType="begin"/>
        </w:r>
        <w:r w:rsidRPr="00424387">
          <w:rPr>
            <w:rFonts w:eastAsia="Times New Roman" w:cs="Times New Roman"/>
            <w:color w:val="FFFFFF" w:themeColor="background1"/>
          </w:rPr>
          <w:instrText xml:space="preserve"> PAGE   \* MERGEFORMAT </w:instrText>
        </w:r>
        <w:r w:rsidRPr="00424387">
          <w:rPr>
            <w:rFonts w:eastAsia="Times New Roman" w:cs="Times New Roman"/>
            <w:color w:val="FFFFFF" w:themeColor="background1"/>
          </w:rPr>
          <w:fldChar w:fldCharType="separate"/>
        </w:r>
        <w:r>
          <w:rPr>
            <w:rFonts w:eastAsia="Times New Roman" w:cs="Times New Roman"/>
            <w:color w:val="FFFFFF" w:themeColor="background1"/>
          </w:rPr>
          <w:t>12</w:t>
        </w:r>
        <w:r w:rsidRPr="00424387">
          <w:rPr>
            <w:rFonts w:eastAsia="Times New Roman" w:cs="Times New Roman"/>
            <w:color w:val="FFFFFF" w:themeColor="background1"/>
          </w:rPr>
          <w:fldChar w:fldCharType="end"/>
        </w:r>
        <w:r>
          <w:rPr>
            <w:color w:val="FFFFFF" w:themeColor="background1"/>
          </w:rPr>
          <w:t xml:space="preserve"> </w:t>
        </w:r>
        <w:r>
          <w:rPr>
            <w:color w:val="FFFFFF" w:themeColor="background1"/>
          </w:rPr>
          <w:tab/>
        </w:r>
      </w:p>
      <w:p w:rsidR="006D21C8" w:rsidRPr="00424387" w:rsidRDefault="005D3D3D" w:rsidP="00CE0FD9">
        <w:pPr>
          <w:tabs>
            <w:tab w:val="center" w:pos="4153"/>
            <w:tab w:val="right" w:pos="8306"/>
          </w:tabs>
          <w:spacing w:after="0" w:line="240" w:lineRule="auto"/>
          <w:rPr>
            <w:rFonts w:eastAsia="Times New Roman" w:cs="Times New Roman"/>
            <w:i/>
            <w:noProof/>
            <w:sz w:val="18"/>
            <w:szCs w:val="18"/>
            <w:lang w:eastAsia="zh-CN"/>
          </w:rPr>
        </w:pPr>
      </w:p>
    </w:sdtContent>
  </w:sdt>
  <w:p w:rsidR="006D21C8" w:rsidRDefault="006D21C8" w:rsidP="00CE0FD9">
    <w:pPr>
      <w:tabs>
        <w:tab w:val="left" w:pos="851"/>
        <w:tab w:val="center" w:pos="4153"/>
        <w:tab w:val="right" w:pos="8306"/>
      </w:tabs>
      <w:spacing w:after="0" w:line="240" w:lineRule="auto"/>
      <w:rPr>
        <w:rFonts w:eastAsia="Times New Roman" w:cs="Times New Roman"/>
        <w:noProof/>
        <w:sz w:val="18"/>
        <w:szCs w:val="18"/>
        <w:lang w:val="en-US"/>
      </w:rPr>
    </w:pPr>
  </w:p>
  <w:p w:rsidR="006D21C8" w:rsidRPr="00424387" w:rsidRDefault="006D21C8" w:rsidP="00CE0FD9">
    <w:pPr>
      <w:tabs>
        <w:tab w:val="left" w:pos="851"/>
        <w:tab w:val="center" w:pos="4153"/>
        <w:tab w:val="right" w:pos="8306"/>
      </w:tabs>
      <w:spacing w:after="0" w:line="240" w:lineRule="auto"/>
      <w:rPr>
        <w:rFonts w:eastAsia="Times New Roman" w:cs="Times New Roman"/>
        <w:noProof/>
        <w:sz w:val="18"/>
        <w:szCs w:val="18"/>
        <w:lang w:val="en-US"/>
      </w:rPr>
    </w:pPr>
  </w:p>
  <w:p w:rsidR="006D21C8" w:rsidRPr="00F82ACB" w:rsidRDefault="006D21C8" w:rsidP="00CE0FD9">
    <w:pPr>
      <w:pStyle w:val="Header"/>
      <w:rPr>
        <w:sz w:val="18"/>
        <w:szCs w:val="18"/>
      </w:rPr>
    </w:pPr>
  </w:p>
  <w:p w:rsidR="006D21C8" w:rsidRPr="00F82ACB" w:rsidRDefault="006D21C8" w:rsidP="00CE0FD9">
    <w:pPr>
      <w:pStyle w:val="Header"/>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Times New Roman"/>
        <w:i/>
        <w:color w:val="000000"/>
        <w:sz w:val="16"/>
        <w:szCs w:val="18"/>
      </w:rPr>
      <w:id w:val="1638683660"/>
      <w:docPartObj>
        <w:docPartGallery w:val="Page Numbers (Top of Page)"/>
        <w:docPartUnique/>
      </w:docPartObj>
    </w:sdtPr>
    <w:sdtEndPr>
      <w:rPr>
        <w:i w:val="0"/>
        <w:noProof/>
        <w:color w:val="FFFFFF"/>
      </w:rPr>
    </w:sdtEndPr>
    <w:sdtContent>
      <w:p w:rsidR="006D21C8" w:rsidRPr="00F82ACB" w:rsidRDefault="006D21C8" w:rsidP="00CE0FD9">
        <w:pPr>
          <w:tabs>
            <w:tab w:val="right" w:pos="8222"/>
            <w:tab w:val="right" w:pos="9072"/>
          </w:tabs>
          <w:spacing w:after="180" w:line="240" w:lineRule="auto"/>
          <w:jc w:val="right"/>
          <w:rPr>
            <w:rFonts w:eastAsia="Times New Roman" w:cs="Times New Roman"/>
            <w:i/>
            <w:color w:val="000000"/>
            <w:sz w:val="16"/>
            <w:szCs w:val="18"/>
            <w:lang w:eastAsia="zh-CN"/>
          </w:rPr>
        </w:pPr>
      </w:p>
      <w:p w:rsidR="006D21C8" w:rsidRPr="00482737" w:rsidRDefault="006D21C8" w:rsidP="00CE0FD9">
        <w:pPr>
          <w:tabs>
            <w:tab w:val="right" w:pos="8222"/>
            <w:tab w:val="right" w:pos="9072"/>
          </w:tabs>
          <w:spacing w:after="120" w:line="240" w:lineRule="auto"/>
          <w:jc w:val="right"/>
          <w:rPr>
            <w:rFonts w:eastAsia="Times New Roman" w:cs="Times New Roman"/>
            <w:color w:val="FFFFFF"/>
            <w:sz w:val="16"/>
            <w:szCs w:val="18"/>
          </w:rPr>
        </w:pPr>
        <w:r>
          <w:rPr>
            <w:noProof/>
            <w:color w:val="FFFFFF"/>
            <w:sz w:val="16"/>
            <w:lang w:val="en-GB" w:eastAsia="en-GB"/>
          </w:rPr>
          <w:drawing>
            <wp:anchor distT="0" distB="0" distL="114300" distR="114300" simplePos="0" relativeHeight="251658242" behindDoc="1" locked="0" layoutInCell="1" allowOverlap="1" wp14:anchorId="526E49F0" wp14:editId="6C174EAE">
              <wp:simplePos x="0" y="0"/>
              <wp:positionH relativeFrom="page">
                <wp:posOffset>0</wp:posOffset>
              </wp:positionH>
              <wp:positionV relativeFrom="page">
                <wp:posOffset>0</wp:posOffset>
              </wp:positionV>
              <wp:extent cx="7553960" cy="1331595"/>
              <wp:effectExtent l="0" t="0" r="889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right-header-13-02 (cropped).png"/>
                      <pic:cNvPicPr/>
                    </pic:nvPicPr>
                    <pic:blipFill>
                      <a:blip r:embed="rId1">
                        <a:extLst>
                          <a:ext uri="{28A0092B-C50C-407E-A947-70E740481C1C}">
                            <a14:useLocalDpi xmlns:a14="http://schemas.microsoft.com/office/drawing/2010/main" val="0"/>
                          </a:ext>
                        </a:extLst>
                      </a:blip>
                      <a:stretch>
                        <a:fillRect/>
                      </a:stretch>
                    </pic:blipFill>
                    <pic:spPr>
                      <a:xfrm>
                        <a:off x="0" y="0"/>
                        <a:ext cx="7553960" cy="1331595"/>
                      </a:xfrm>
                      <a:prstGeom prst="rect">
                        <a:avLst/>
                      </a:prstGeom>
                    </pic:spPr>
                  </pic:pic>
                </a:graphicData>
              </a:graphic>
              <wp14:sizeRelH relativeFrom="page">
                <wp14:pctWidth>0</wp14:pctWidth>
              </wp14:sizeRelH>
              <wp14:sizeRelV relativeFrom="page">
                <wp14:pctHeight>0</wp14:pctHeight>
              </wp14:sizeRelV>
            </wp:anchor>
          </w:drawing>
        </w:r>
        <w:r>
          <w:rPr>
            <w:noProof/>
            <w:color w:val="FFFFFF"/>
            <w:sz w:val="16"/>
            <w:lang w:val="en-GB" w:eastAsia="en-GB"/>
          </w:rPr>
          <w:drawing>
            <wp:anchor distT="0" distB="0" distL="114300" distR="114300" simplePos="0" relativeHeight="251658241" behindDoc="0" locked="0" layoutInCell="1" allowOverlap="1" wp14:anchorId="553268E3" wp14:editId="09EEBA17">
              <wp:simplePos x="0" y="0"/>
              <wp:positionH relativeFrom="page">
                <wp:posOffset>911225</wp:posOffset>
              </wp:positionH>
              <wp:positionV relativeFrom="page">
                <wp:posOffset>381000</wp:posOffset>
              </wp:positionV>
              <wp:extent cx="1673860" cy="438785"/>
              <wp:effectExtent l="0" t="0" r="2540" b="0"/>
              <wp:wrapNone/>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e-horizontal-en-neg-quadri.wmf"/>
                      <pic:cNvPicPr/>
                    </pic:nvPicPr>
                    <pic:blipFill>
                      <a:blip r:embed="rId2">
                        <a:extLst>
                          <a:ext uri="{28A0092B-C50C-407E-A947-70E740481C1C}">
                            <a14:useLocalDpi xmlns:a14="http://schemas.microsoft.com/office/drawing/2010/main" val="0"/>
                          </a:ext>
                        </a:extLst>
                      </a:blip>
                      <a:stretch>
                        <a:fillRect/>
                      </a:stretch>
                    </pic:blipFill>
                    <pic:spPr>
                      <a:xfrm>
                        <a:off x="0" y="0"/>
                        <a:ext cx="1673860" cy="438785"/>
                      </a:xfrm>
                      <a:prstGeom prst="rect">
                        <a:avLst/>
                      </a:prstGeom>
                    </pic:spPr>
                  </pic:pic>
                </a:graphicData>
              </a:graphic>
              <wp14:sizeRelH relativeFrom="page">
                <wp14:pctWidth>0</wp14:pctWidth>
              </wp14:sizeRelH>
              <wp14:sizeRelV relativeFrom="page">
                <wp14:pctHeight>0</wp14:pctHeight>
              </wp14:sizeRelV>
            </wp:anchor>
          </w:drawing>
        </w:r>
        <w:r>
          <w:rPr>
            <w:i/>
            <w:color w:val="000000"/>
            <w:sz w:val="16"/>
          </w:rPr>
          <w:tab/>
        </w:r>
        <w:r>
          <w:rPr>
            <w:color w:val="FFFFFF"/>
          </w:rPr>
          <w:tab/>
        </w:r>
        <w:r>
          <w:rPr>
            <w:noProof/>
            <w:lang w:val="en-GB" w:eastAsia="en-GB"/>
          </w:rPr>
          <mc:AlternateContent>
            <mc:Choice Requires="wps">
              <w:drawing>
                <wp:anchor distT="0" distB="0" distL="114300" distR="114300" simplePos="0" relativeHeight="251658240" behindDoc="1" locked="0" layoutInCell="1" allowOverlap="1" wp14:anchorId="2665ADDE" wp14:editId="25CBE941">
                  <wp:simplePos x="0" y="0"/>
                  <wp:positionH relativeFrom="page">
                    <wp:posOffset>6496050</wp:posOffset>
                  </wp:positionH>
                  <wp:positionV relativeFrom="page">
                    <wp:posOffset>0</wp:posOffset>
                  </wp:positionV>
                  <wp:extent cx="257175" cy="838200"/>
                  <wp:effectExtent l="0" t="0" r="9525" b="0"/>
                  <wp:wrapNone/>
                  <wp:docPr id="483" name="Rectangle 483"/>
                  <wp:cNvGraphicFramePr/>
                  <a:graphic xmlns:a="http://schemas.openxmlformats.org/drawingml/2006/main">
                    <a:graphicData uri="http://schemas.microsoft.com/office/word/2010/wordprocessingShape">
                      <wps:wsp>
                        <wps:cNvSpPr/>
                        <wps:spPr>
                          <a:xfrm>
                            <a:off x="0" y="0"/>
                            <a:ext cx="257175" cy="838200"/>
                          </a:xfrm>
                          <a:prstGeom prst="rect">
                            <a:avLst/>
                          </a:prstGeom>
                          <a:solidFill>
                            <a:srgbClr val="00637E"/>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D045E5" id="Rectangle 483" o:spid="_x0000_s1026" style="position:absolute;margin-left:511.5pt;margin-top:0;width:20.25pt;height:66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" fillcolor="#00637e" stroked="f" strokeweight="2pt">
                  <w10:wrap anchorx="page" anchory="page"/>
                </v:rect>
              </w:pict>
            </mc:Fallback>
          </mc:AlternateContent>
        </w:r>
        <w:r w:rsidRPr="00482737">
          <w:rPr>
            <w:rFonts w:eastAsia="Times New Roman" w:cs="Times New Roman"/>
            <w:color w:val="FFFFFF"/>
          </w:rPr>
          <w:fldChar w:fldCharType="begin"/>
        </w:r>
        <w:r w:rsidRPr="00482737">
          <w:rPr>
            <w:rFonts w:eastAsia="Times New Roman" w:cs="Times New Roman"/>
            <w:color w:val="FFFFFF"/>
          </w:rPr>
          <w:instrText xml:space="preserve"> PAGE   \* MERGEFORMAT </w:instrText>
        </w:r>
        <w:r w:rsidRPr="00482737">
          <w:rPr>
            <w:rFonts w:eastAsia="Times New Roman" w:cs="Times New Roman"/>
            <w:color w:val="FFFFFF"/>
          </w:rPr>
          <w:fldChar w:fldCharType="separate"/>
        </w:r>
        <w:r w:rsidR="005D3D3D">
          <w:rPr>
            <w:rFonts w:eastAsia="Times New Roman" w:cs="Times New Roman"/>
            <w:noProof/>
            <w:color w:val="FFFFFF"/>
          </w:rPr>
          <w:t>1</w:t>
        </w:r>
        <w:r w:rsidRPr="00482737">
          <w:rPr>
            <w:rFonts w:eastAsia="Times New Roman" w:cs="Times New Roman"/>
            <w:color w:val="FFFFFF"/>
          </w:rPr>
          <w:fldChar w:fldCharType="end"/>
        </w:r>
      </w:p>
    </w:sdtContent>
  </w:sdt>
  <w:p w:rsidR="006D21C8" w:rsidRPr="00482737" w:rsidRDefault="006D21C8" w:rsidP="00CE0FD9">
    <w:pPr>
      <w:tabs>
        <w:tab w:val="center" w:pos="4153"/>
        <w:tab w:val="right" w:pos="8306"/>
      </w:tabs>
      <w:spacing w:after="0" w:line="240" w:lineRule="auto"/>
      <w:jc w:val="both"/>
      <w:rPr>
        <w:rFonts w:eastAsia="Times New Roman" w:cs="Times New Roman"/>
        <w:i/>
        <w:color w:val="000000"/>
        <w:sz w:val="18"/>
        <w:szCs w:val="18"/>
        <w:lang w:eastAsia="zh-CN"/>
      </w:rPr>
    </w:pPr>
  </w:p>
  <w:p w:rsidR="006D21C8" w:rsidRPr="00482737" w:rsidRDefault="006D21C8" w:rsidP="00CE0FD9">
    <w:pPr>
      <w:tabs>
        <w:tab w:val="center" w:pos="4153"/>
        <w:tab w:val="right" w:pos="8306"/>
      </w:tabs>
      <w:spacing w:after="0" w:line="240" w:lineRule="auto"/>
      <w:jc w:val="both"/>
      <w:rPr>
        <w:rFonts w:eastAsia="Times New Roman" w:cs="Times New Roman"/>
        <w:i/>
        <w:color w:val="000000"/>
        <w:sz w:val="18"/>
        <w:szCs w:val="18"/>
        <w:lang w:eastAsia="zh-CN"/>
      </w:rPr>
    </w:pPr>
  </w:p>
  <w:p w:rsidR="006D21C8" w:rsidRDefault="006D21C8" w:rsidP="00CE0FD9">
    <w:pPr>
      <w:pStyle w:val="Header"/>
      <w:rPr>
        <w:sz w:val="18"/>
        <w:szCs w:val="18"/>
      </w:rPr>
    </w:pPr>
  </w:p>
  <w:p w:rsidR="006D21C8" w:rsidRDefault="006D21C8" w:rsidP="00CE0FD9">
    <w:pPr>
      <w:pStyle w:val="Header"/>
      <w:rPr>
        <w:sz w:val="18"/>
        <w:szCs w:val="18"/>
      </w:rPr>
    </w:pPr>
  </w:p>
  <w:p w:rsidR="006D21C8" w:rsidRPr="00F82ACB" w:rsidRDefault="006D21C8" w:rsidP="00CE0FD9">
    <w:pPr>
      <w:pStyle w:val="Header"/>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1C8" w:rsidRDefault="006D2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FC1"/>
    <w:multiLevelType w:val="hybridMultilevel"/>
    <w:tmpl w:val="BB62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2050D"/>
    <w:multiLevelType w:val="hybridMultilevel"/>
    <w:tmpl w:val="425C4392"/>
    <w:lvl w:ilvl="0" w:tplc="7B0CF86E">
      <w:start w:val="2"/>
      <w:numFmt w:val="bullet"/>
      <w:lvlText w:val=""/>
      <w:lvlJc w:val="left"/>
      <w:pPr>
        <w:ind w:left="720" w:hanging="360"/>
      </w:pPr>
      <w:rPr>
        <w:rFonts w:ascii="Symbol" w:eastAsia="Calibr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6B5980"/>
    <w:multiLevelType w:val="hybridMultilevel"/>
    <w:tmpl w:val="AA52B30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0A1C0AE4"/>
    <w:multiLevelType w:val="hybridMultilevel"/>
    <w:tmpl w:val="81D42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5D15C9"/>
    <w:multiLevelType w:val="hybridMultilevel"/>
    <w:tmpl w:val="044888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E00D77"/>
    <w:multiLevelType w:val="hybridMultilevel"/>
    <w:tmpl w:val="71A06BD0"/>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3D902B4"/>
    <w:multiLevelType w:val="hybridMultilevel"/>
    <w:tmpl w:val="D7DEF174"/>
    <w:lvl w:ilvl="0" w:tplc="182A4492">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2D54E63"/>
    <w:multiLevelType w:val="hybridMultilevel"/>
    <w:tmpl w:val="9B5C8FA2"/>
    <w:lvl w:ilvl="0" w:tplc="0809000F">
      <w:start w:val="1"/>
      <w:numFmt w:val="decimal"/>
      <w:lvlText w:val="%1."/>
      <w:lvlJc w:val="left"/>
      <w:pPr>
        <w:ind w:left="360" w:hanging="360"/>
      </w:pPr>
      <w:rPr>
        <w:rFonts w:hint="default"/>
      </w:rPr>
    </w:lvl>
    <w:lvl w:ilvl="1" w:tplc="1DF00612">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5BC38D2"/>
    <w:multiLevelType w:val="hybridMultilevel"/>
    <w:tmpl w:val="DD98D512"/>
    <w:lvl w:ilvl="0" w:tplc="1809000D">
      <w:start w:val="1"/>
      <w:numFmt w:val="bullet"/>
      <w:lvlText w:val=""/>
      <w:lvlJc w:val="left"/>
      <w:pPr>
        <w:ind w:left="360" w:hanging="360"/>
      </w:pPr>
      <w:rPr>
        <w:rFonts w:ascii="Wingdings" w:hAnsi="Wingdings" w:hint="default"/>
      </w:rPr>
    </w:lvl>
    <w:lvl w:ilvl="1" w:tplc="1809000D">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BD766DE"/>
    <w:multiLevelType w:val="hybridMultilevel"/>
    <w:tmpl w:val="D67AC0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48B86C7A"/>
    <w:multiLevelType w:val="hybridMultilevel"/>
    <w:tmpl w:val="9BA44BA8"/>
    <w:lvl w:ilvl="0" w:tplc="18090001">
      <w:start w:val="1"/>
      <w:numFmt w:val="bullet"/>
      <w:lvlText w:val=""/>
      <w:lvlJc w:val="left"/>
      <w:pPr>
        <w:ind w:left="1077" w:hanging="360"/>
      </w:pPr>
      <w:rPr>
        <w:rFonts w:ascii="Symbol" w:hAnsi="Symbol" w:hint="default"/>
      </w:rPr>
    </w:lvl>
    <w:lvl w:ilvl="1" w:tplc="18090003">
      <w:start w:val="1"/>
      <w:numFmt w:val="bullet"/>
      <w:lvlText w:val="o"/>
      <w:lvlJc w:val="left"/>
      <w:pPr>
        <w:ind w:left="1797" w:hanging="360"/>
      </w:pPr>
      <w:rPr>
        <w:rFonts w:ascii="Courier New" w:hAnsi="Courier New" w:cs="Courier New" w:hint="default"/>
      </w:rPr>
    </w:lvl>
    <w:lvl w:ilvl="2" w:tplc="18090005">
      <w:start w:val="1"/>
      <w:numFmt w:val="bullet"/>
      <w:lvlText w:val=""/>
      <w:lvlJc w:val="left"/>
      <w:pPr>
        <w:ind w:left="2517" w:hanging="360"/>
      </w:pPr>
      <w:rPr>
        <w:rFonts w:ascii="Wingdings" w:hAnsi="Wingdings" w:hint="default"/>
      </w:rPr>
    </w:lvl>
    <w:lvl w:ilvl="3" w:tplc="18090001">
      <w:start w:val="1"/>
      <w:numFmt w:val="bullet"/>
      <w:lvlText w:val=""/>
      <w:lvlJc w:val="left"/>
      <w:pPr>
        <w:ind w:left="3237" w:hanging="360"/>
      </w:pPr>
      <w:rPr>
        <w:rFonts w:ascii="Symbol" w:hAnsi="Symbol" w:hint="default"/>
      </w:rPr>
    </w:lvl>
    <w:lvl w:ilvl="4" w:tplc="18090003">
      <w:start w:val="1"/>
      <w:numFmt w:val="bullet"/>
      <w:lvlText w:val="o"/>
      <w:lvlJc w:val="left"/>
      <w:pPr>
        <w:ind w:left="3957" w:hanging="360"/>
      </w:pPr>
      <w:rPr>
        <w:rFonts w:ascii="Courier New" w:hAnsi="Courier New" w:cs="Courier New" w:hint="default"/>
      </w:rPr>
    </w:lvl>
    <w:lvl w:ilvl="5" w:tplc="18090005">
      <w:start w:val="1"/>
      <w:numFmt w:val="bullet"/>
      <w:lvlText w:val=""/>
      <w:lvlJc w:val="left"/>
      <w:pPr>
        <w:ind w:left="4677" w:hanging="360"/>
      </w:pPr>
      <w:rPr>
        <w:rFonts w:ascii="Wingdings" w:hAnsi="Wingdings" w:hint="default"/>
      </w:rPr>
    </w:lvl>
    <w:lvl w:ilvl="6" w:tplc="18090001">
      <w:start w:val="1"/>
      <w:numFmt w:val="bullet"/>
      <w:lvlText w:val=""/>
      <w:lvlJc w:val="left"/>
      <w:pPr>
        <w:ind w:left="5397" w:hanging="360"/>
      </w:pPr>
      <w:rPr>
        <w:rFonts w:ascii="Symbol" w:hAnsi="Symbol" w:hint="default"/>
      </w:rPr>
    </w:lvl>
    <w:lvl w:ilvl="7" w:tplc="18090003">
      <w:start w:val="1"/>
      <w:numFmt w:val="bullet"/>
      <w:lvlText w:val="o"/>
      <w:lvlJc w:val="left"/>
      <w:pPr>
        <w:ind w:left="6117" w:hanging="360"/>
      </w:pPr>
      <w:rPr>
        <w:rFonts w:ascii="Courier New" w:hAnsi="Courier New" w:cs="Courier New" w:hint="default"/>
      </w:rPr>
    </w:lvl>
    <w:lvl w:ilvl="8" w:tplc="18090005">
      <w:start w:val="1"/>
      <w:numFmt w:val="bullet"/>
      <w:lvlText w:val=""/>
      <w:lvlJc w:val="left"/>
      <w:pPr>
        <w:ind w:left="6837" w:hanging="360"/>
      </w:pPr>
      <w:rPr>
        <w:rFonts w:ascii="Wingdings" w:hAnsi="Wingdings" w:hint="default"/>
      </w:rPr>
    </w:lvl>
  </w:abstractNum>
  <w:abstractNum w:abstractNumId="11"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C15AF1"/>
    <w:multiLevelType w:val="hybridMultilevel"/>
    <w:tmpl w:val="045A73CC"/>
    <w:lvl w:ilvl="0" w:tplc="18090003">
      <w:start w:val="1"/>
      <w:numFmt w:val="bullet"/>
      <w:lvlText w:val="o"/>
      <w:lvlJc w:val="left"/>
      <w:pPr>
        <w:ind w:left="1437" w:hanging="360"/>
      </w:pPr>
      <w:rPr>
        <w:rFonts w:ascii="Courier New" w:hAnsi="Courier New" w:cs="Courier New" w:hint="default"/>
      </w:rPr>
    </w:lvl>
    <w:lvl w:ilvl="1" w:tplc="18090003">
      <w:start w:val="1"/>
      <w:numFmt w:val="bullet"/>
      <w:lvlText w:val="o"/>
      <w:lvlJc w:val="left"/>
      <w:pPr>
        <w:ind w:left="2157" w:hanging="360"/>
      </w:pPr>
      <w:rPr>
        <w:rFonts w:ascii="Courier New" w:hAnsi="Courier New" w:cs="Courier New" w:hint="default"/>
      </w:rPr>
    </w:lvl>
    <w:lvl w:ilvl="2" w:tplc="18090005">
      <w:start w:val="1"/>
      <w:numFmt w:val="bullet"/>
      <w:lvlText w:val=""/>
      <w:lvlJc w:val="left"/>
      <w:pPr>
        <w:ind w:left="2877" w:hanging="360"/>
      </w:pPr>
      <w:rPr>
        <w:rFonts w:ascii="Wingdings" w:hAnsi="Wingdings" w:hint="default"/>
      </w:rPr>
    </w:lvl>
    <w:lvl w:ilvl="3" w:tplc="18090001">
      <w:start w:val="1"/>
      <w:numFmt w:val="bullet"/>
      <w:lvlText w:val=""/>
      <w:lvlJc w:val="left"/>
      <w:pPr>
        <w:ind w:left="3597" w:hanging="360"/>
      </w:pPr>
      <w:rPr>
        <w:rFonts w:ascii="Symbol" w:hAnsi="Symbol" w:hint="default"/>
      </w:rPr>
    </w:lvl>
    <w:lvl w:ilvl="4" w:tplc="18090003">
      <w:start w:val="1"/>
      <w:numFmt w:val="bullet"/>
      <w:lvlText w:val="o"/>
      <w:lvlJc w:val="left"/>
      <w:pPr>
        <w:ind w:left="4317" w:hanging="360"/>
      </w:pPr>
      <w:rPr>
        <w:rFonts w:ascii="Courier New" w:hAnsi="Courier New" w:cs="Courier New" w:hint="default"/>
      </w:rPr>
    </w:lvl>
    <w:lvl w:ilvl="5" w:tplc="18090005">
      <w:start w:val="1"/>
      <w:numFmt w:val="bullet"/>
      <w:lvlText w:val=""/>
      <w:lvlJc w:val="left"/>
      <w:pPr>
        <w:ind w:left="5037" w:hanging="360"/>
      </w:pPr>
      <w:rPr>
        <w:rFonts w:ascii="Wingdings" w:hAnsi="Wingdings" w:hint="default"/>
      </w:rPr>
    </w:lvl>
    <w:lvl w:ilvl="6" w:tplc="18090001">
      <w:start w:val="1"/>
      <w:numFmt w:val="bullet"/>
      <w:lvlText w:val=""/>
      <w:lvlJc w:val="left"/>
      <w:pPr>
        <w:ind w:left="5757" w:hanging="360"/>
      </w:pPr>
      <w:rPr>
        <w:rFonts w:ascii="Symbol" w:hAnsi="Symbol" w:hint="default"/>
      </w:rPr>
    </w:lvl>
    <w:lvl w:ilvl="7" w:tplc="18090003">
      <w:start w:val="1"/>
      <w:numFmt w:val="bullet"/>
      <w:lvlText w:val="o"/>
      <w:lvlJc w:val="left"/>
      <w:pPr>
        <w:ind w:left="6477" w:hanging="360"/>
      </w:pPr>
      <w:rPr>
        <w:rFonts w:ascii="Courier New" w:hAnsi="Courier New" w:cs="Courier New" w:hint="default"/>
      </w:rPr>
    </w:lvl>
    <w:lvl w:ilvl="8" w:tplc="18090005">
      <w:start w:val="1"/>
      <w:numFmt w:val="bullet"/>
      <w:lvlText w:val=""/>
      <w:lvlJc w:val="left"/>
      <w:pPr>
        <w:ind w:left="7197" w:hanging="360"/>
      </w:pPr>
      <w:rPr>
        <w:rFonts w:ascii="Wingdings" w:hAnsi="Wingdings" w:hint="default"/>
      </w:rPr>
    </w:lvl>
  </w:abstractNum>
  <w:abstractNum w:abstractNumId="13" w15:restartNumberingAfterBreak="0">
    <w:nsid w:val="4D516EAF"/>
    <w:multiLevelType w:val="hybridMultilevel"/>
    <w:tmpl w:val="812626A6"/>
    <w:lvl w:ilvl="0" w:tplc="D0666686">
      <w:numFmt w:val="bullet"/>
      <w:lvlText w:val="•"/>
      <w:lvlJc w:val="left"/>
      <w:pPr>
        <w:ind w:left="1080" w:hanging="720"/>
      </w:pPr>
      <w:rPr>
        <w:rFonts w:ascii="EC Square Sans Pro" w:eastAsiaTheme="minorHAnsi" w:hAnsi="EC Squar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3954C6"/>
    <w:multiLevelType w:val="hybridMultilevel"/>
    <w:tmpl w:val="E5F0D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DC6FEE"/>
    <w:multiLevelType w:val="hybridMultilevel"/>
    <w:tmpl w:val="19B8F422"/>
    <w:lvl w:ilvl="0" w:tplc="545CE768">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597B1CE2"/>
    <w:multiLevelType w:val="hybridMultilevel"/>
    <w:tmpl w:val="1E38A866"/>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05096A"/>
    <w:multiLevelType w:val="hybridMultilevel"/>
    <w:tmpl w:val="C6D20F3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8" w15:restartNumberingAfterBreak="0">
    <w:nsid w:val="636A35EA"/>
    <w:multiLevelType w:val="hybridMultilevel"/>
    <w:tmpl w:val="68609860"/>
    <w:lvl w:ilvl="0" w:tplc="9DEE229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7B4A7A"/>
    <w:multiLevelType w:val="hybridMultilevel"/>
    <w:tmpl w:val="E47A989E"/>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85969EA"/>
    <w:multiLevelType w:val="hybridMultilevel"/>
    <w:tmpl w:val="378414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3C6473B"/>
    <w:multiLevelType w:val="hybridMultilevel"/>
    <w:tmpl w:val="D2F21FD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5B277B1"/>
    <w:multiLevelType w:val="hybridMultilevel"/>
    <w:tmpl w:val="386E470A"/>
    <w:lvl w:ilvl="0" w:tplc="1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072D34"/>
    <w:multiLevelType w:val="hybridMultilevel"/>
    <w:tmpl w:val="A6E085F2"/>
    <w:lvl w:ilvl="0" w:tplc="1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D74248B"/>
    <w:multiLevelType w:val="hybridMultilevel"/>
    <w:tmpl w:val="5E880EBE"/>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4"/>
  </w:num>
  <w:num w:numId="2">
    <w:abstractNumId w:val="16"/>
  </w:num>
  <w:num w:numId="3">
    <w:abstractNumId w:val="7"/>
  </w:num>
  <w:num w:numId="4">
    <w:abstractNumId w:val="8"/>
  </w:num>
  <w:num w:numId="5">
    <w:abstractNumId w:val="6"/>
  </w:num>
  <w:num w:numId="6">
    <w:abstractNumId w:val="22"/>
  </w:num>
  <w:num w:numId="7">
    <w:abstractNumId w:val="20"/>
  </w:num>
  <w:num w:numId="8">
    <w:abstractNumId w:val="19"/>
  </w:num>
  <w:num w:numId="9">
    <w:abstractNumId w:val="9"/>
  </w:num>
  <w:num w:numId="10">
    <w:abstractNumId w:val="5"/>
  </w:num>
  <w:num w:numId="11">
    <w:abstractNumId w:val="23"/>
  </w:num>
  <w:num w:numId="12">
    <w:abstractNumId w:val="18"/>
  </w:num>
  <w:num w:numId="13">
    <w:abstractNumId w:val="3"/>
  </w:num>
  <w:num w:numId="14">
    <w:abstractNumId w:val="15"/>
  </w:num>
  <w:num w:numId="15">
    <w:abstractNumId w:val="10"/>
  </w:num>
  <w:num w:numId="16">
    <w:abstractNumId w:val="12"/>
  </w:num>
  <w:num w:numId="17">
    <w:abstractNumId w:val="0"/>
  </w:num>
  <w:num w:numId="18">
    <w:abstractNumId w:val="13"/>
  </w:num>
  <w:num w:numId="19">
    <w:abstractNumId w:val="1"/>
  </w:num>
  <w:num w:numId="20">
    <w:abstractNumId w:val="14"/>
  </w:num>
  <w:num w:numId="21">
    <w:abstractNumId w:val="4"/>
  </w:num>
  <w:num w:numId="22">
    <w:abstractNumId w:val="2"/>
  </w:num>
  <w:num w:numId="23">
    <w:abstractNumId w:val="11"/>
  </w:num>
  <w:num w:numId="24">
    <w:abstractNumId w:val="17"/>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99D8C9E-D1A7-49EA-B326-122C81E74C22"/>
    <w:docVar w:name="LW_COVERPAGE_TYPE" w:val="1"/>
    <w:docVar w:name="LW_CROSSREFERENCE" w:val="{SWD(2022) 750 final} - {SWD(2022) 751 final}"/>
    <w:docVar w:name="LW_DocType" w:val="NORMAL"/>
    <w:docVar w:name="LW_EMISSION" w:val="18.11.2022"/>
    <w:docVar w:name="LW_EMISSION_ISODATE" w:val="2022-11-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7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progrès accomplis dans la réalisation de l’espace européen de l’éducation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9D1280"/>
    <w:rsid w:val="0000086B"/>
    <w:rsid w:val="00000D01"/>
    <w:rsid w:val="000018C3"/>
    <w:rsid w:val="00001A0F"/>
    <w:rsid w:val="000040E6"/>
    <w:rsid w:val="00004216"/>
    <w:rsid w:val="0000491A"/>
    <w:rsid w:val="00004E23"/>
    <w:rsid w:val="00006A7F"/>
    <w:rsid w:val="00006CA9"/>
    <w:rsid w:val="00007496"/>
    <w:rsid w:val="0001029F"/>
    <w:rsid w:val="000102CE"/>
    <w:rsid w:val="00011BBD"/>
    <w:rsid w:val="00011F38"/>
    <w:rsid w:val="00012265"/>
    <w:rsid w:val="00013FEA"/>
    <w:rsid w:val="0001488C"/>
    <w:rsid w:val="000162BB"/>
    <w:rsid w:val="00017567"/>
    <w:rsid w:val="00017572"/>
    <w:rsid w:val="00020037"/>
    <w:rsid w:val="0002011A"/>
    <w:rsid w:val="00021335"/>
    <w:rsid w:val="000223D0"/>
    <w:rsid w:val="00022727"/>
    <w:rsid w:val="000228A6"/>
    <w:rsid w:val="00022C91"/>
    <w:rsid w:val="000232EB"/>
    <w:rsid w:val="00024479"/>
    <w:rsid w:val="00024D39"/>
    <w:rsid w:val="000262EE"/>
    <w:rsid w:val="000279A6"/>
    <w:rsid w:val="00030F7B"/>
    <w:rsid w:val="0003142E"/>
    <w:rsid w:val="0003145E"/>
    <w:rsid w:val="000317DE"/>
    <w:rsid w:val="00031C86"/>
    <w:rsid w:val="00033F82"/>
    <w:rsid w:val="000410B9"/>
    <w:rsid w:val="0004270D"/>
    <w:rsid w:val="00044ECB"/>
    <w:rsid w:val="00044F8B"/>
    <w:rsid w:val="00045358"/>
    <w:rsid w:val="000466DC"/>
    <w:rsid w:val="000516F4"/>
    <w:rsid w:val="00052758"/>
    <w:rsid w:val="00054CD3"/>
    <w:rsid w:val="00061C73"/>
    <w:rsid w:val="00063054"/>
    <w:rsid w:val="000636BA"/>
    <w:rsid w:val="000637B8"/>
    <w:rsid w:val="00063884"/>
    <w:rsid w:val="00064644"/>
    <w:rsid w:val="000654F3"/>
    <w:rsid w:val="000660F9"/>
    <w:rsid w:val="00067801"/>
    <w:rsid w:val="0007094C"/>
    <w:rsid w:val="0007125A"/>
    <w:rsid w:val="00071B71"/>
    <w:rsid w:val="00071DE2"/>
    <w:rsid w:val="00072EDD"/>
    <w:rsid w:val="00073266"/>
    <w:rsid w:val="0007369E"/>
    <w:rsid w:val="00073C1F"/>
    <w:rsid w:val="00074ED3"/>
    <w:rsid w:val="000756D0"/>
    <w:rsid w:val="00081858"/>
    <w:rsid w:val="00082FFD"/>
    <w:rsid w:val="000843FB"/>
    <w:rsid w:val="0008480B"/>
    <w:rsid w:val="00084E32"/>
    <w:rsid w:val="00090D8F"/>
    <w:rsid w:val="00090FEB"/>
    <w:rsid w:val="00092BBE"/>
    <w:rsid w:val="00095290"/>
    <w:rsid w:val="00095538"/>
    <w:rsid w:val="00097118"/>
    <w:rsid w:val="00097258"/>
    <w:rsid w:val="000A0A56"/>
    <w:rsid w:val="000A1803"/>
    <w:rsid w:val="000A21F9"/>
    <w:rsid w:val="000A443D"/>
    <w:rsid w:val="000A614A"/>
    <w:rsid w:val="000A6E3F"/>
    <w:rsid w:val="000A7ECA"/>
    <w:rsid w:val="000B044F"/>
    <w:rsid w:val="000B1344"/>
    <w:rsid w:val="000B1E8F"/>
    <w:rsid w:val="000B23EA"/>
    <w:rsid w:val="000B396D"/>
    <w:rsid w:val="000B7098"/>
    <w:rsid w:val="000C026C"/>
    <w:rsid w:val="000C02F9"/>
    <w:rsid w:val="000C2F34"/>
    <w:rsid w:val="000C3360"/>
    <w:rsid w:val="000C3ACF"/>
    <w:rsid w:val="000C598E"/>
    <w:rsid w:val="000C66B5"/>
    <w:rsid w:val="000C6DB0"/>
    <w:rsid w:val="000C71D9"/>
    <w:rsid w:val="000C7A7B"/>
    <w:rsid w:val="000C7E94"/>
    <w:rsid w:val="000D01F8"/>
    <w:rsid w:val="000D0C93"/>
    <w:rsid w:val="000D0DD5"/>
    <w:rsid w:val="000D5458"/>
    <w:rsid w:val="000D6739"/>
    <w:rsid w:val="000D6ACD"/>
    <w:rsid w:val="000D75FC"/>
    <w:rsid w:val="000D77F2"/>
    <w:rsid w:val="000E0874"/>
    <w:rsid w:val="000E0AD9"/>
    <w:rsid w:val="000E3A34"/>
    <w:rsid w:val="000E480C"/>
    <w:rsid w:val="000E4A22"/>
    <w:rsid w:val="000E5CDC"/>
    <w:rsid w:val="000E7163"/>
    <w:rsid w:val="000F1432"/>
    <w:rsid w:val="000F1A06"/>
    <w:rsid w:val="000F1F9F"/>
    <w:rsid w:val="000F1FE1"/>
    <w:rsid w:val="000F2BBD"/>
    <w:rsid w:val="000F4CE0"/>
    <w:rsid w:val="000F4E89"/>
    <w:rsid w:val="000F4EF3"/>
    <w:rsid w:val="000F5F7D"/>
    <w:rsid w:val="000F7F9D"/>
    <w:rsid w:val="000F7FA1"/>
    <w:rsid w:val="00100472"/>
    <w:rsid w:val="001028FB"/>
    <w:rsid w:val="00103FBE"/>
    <w:rsid w:val="0010764C"/>
    <w:rsid w:val="00107F81"/>
    <w:rsid w:val="00111714"/>
    <w:rsid w:val="0011194B"/>
    <w:rsid w:val="00112807"/>
    <w:rsid w:val="00114132"/>
    <w:rsid w:val="0011499D"/>
    <w:rsid w:val="00115969"/>
    <w:rsid w:val="0011697E"/>
    <w:rsid w:val="0012348E"/>
    <w:rsid w:val="00125C4A"/>
    <w:rsid w:val="00126EC3"/>
    <w:rsid w:val="00127295"/>
    <w:rsid w:val="00130818"/>
    <w:rsid w:val="001308A8"/>
    <w:rsid w:val="00131845"/>
    <w:rsid w:val="001319E0"/>
    <w:rsid w:val="0013333C"/>
    <w:rsid w:val="001337BC"/>
    <w:rsid w:val="001339CF"/>
    <w:rsid w:val="0013513A"/>
    <w:rsid w:val="00135E9F"/>
    <w:rsid w:val="001401CF"/>
    <w:rsid w:val="00140A61"/>
    <w:rsid w:val="0014123D"/>
    <w:rsid w:val="00147A0F"/>
    <w:rsid w:val="00150127"/>
    <w:rsid w:val="00150F73"/>
    <w:rsid w:val="00151019"/>
    <w:rsid w:val="001513E3"/>
    <w:rsid w:val="00151EE6"/>
    <w:rsid w:val="00152A98"/>
    <w:rsid w:val="00153319"/>
    <w:rsid w:val="00154B2D"/>
    <w:rsid w:val="00155189"/>
    <w:rsid w:val="00155953"/>
    <w:rsid w:val="00156DDF"/>
    <w:rsid w:val="00156FE3"/>
    <w:rsid w:val="00160473"/>
    <w:rsid w:val="001625E5"/>
    <w:rsid w:val="00163F18"/>
    <w:rsid w:val="00165D5F"/>
    <w:rsid w:val="00166032"/>
    <w:rsid w:val="00166D29"/>
    <w:rsid w:val="00167572"/>
    <w:rsid w:val="00167F53"/>
    <w:rsid w:val="00171634"/>
    <w:rsid w:val="00171772"/>
    <w:rsid w:val="00172166"/>
    <w:rsid w:val="00173F0E"/>
    <w:rsid w:val="0017667F"/>
    <w:rsid w:val="00176BE9"/>
    <w:rsid w:val="00176E7A"/>
    <w:rsid w:val="00180461"/>
    <w:rsid w:val="0018161D"/>
    <w:rsid w:val="00181DB6"/>
    <w:rsid w:val="00183702"/>
    <w:rsid w:val="001858E1"/>
    <w:rsid w:val="00186154"/>
    <w:rsid w:val="00186E58"/>
    <w:rsid w:val="00187079"/>
    <w:rsid w:val="00187B1F"/>
    <w:rsid w:val="00187D33"/>
    <w:rsid w:val="001900C3"/>
    <w:rsid w:val="00191DD9"/>
    <w:rsid w:val="00191ED1"/>
    <w:rsid w:val="00192739"/>
    <w:rsid w:val="001930A9"/>
    <w:rsid w:val="00194410"/>
    <w:rsid w:val="0019618A"/>
    <w:rsid w:val="00196802"/>
    <w:rsid w:val="0019711D"/>
    <w:rsid w:val="0019767B"/>
    <w:rsid w:val="001A02C5"/>
    <w:rsid w:val="001A0747"/>
    <w:rsid w:val="001A3AD3"/>
    <w:rsid w:val="001A5E12"/>
    <w:rsid w:val="001A6D4E"/>
    <w:rsid w:val="001A75AC"/>
    <w:rsid w:val="001B1D5F"/>
    <w:rsid w:val="001B573A"/>
    <w:rsid w:val="001B5CD4"/>
    <w:rsid w:val="001B67FC"/>
    <w:rsid w:val="001B7E9B"/>
    <w:rsid w:val="001C0078"/>
    <w:rsid w:val="001C0F0D"/>
    <w:rsid w:val="001C150C"/>
    <w:rsid w:val="001C2F2C"/>
    <w:rsid w:val="001C3433"/>
    <w:rsid w:val="001C38FD"/>
    <w:rsid w:val="001C4CD5"/>
    <w:rsid w:val="001C5D21"/>
    <w:rsid w:val="001C5F4F"/>
    <w:rsid w:val="001C699F"/>
    <w:rsid w:val="001C7503"/>
    <w:rsid w:val="001C79F7"/>
    <w:rsid w:val="001C7D43"/>
    <w:rsid w:val="001D045C"/>
    <w:rsid w:val="001D12D7"/>
    <w:rsid w:val="001D139E"/>
    <w:rsid w:val="001D1AE9"/>
    <w:rsid w:val="001D20BB"/>
    <w:rsid w:val="001D22CE"/>
    <w:rsid w:val="001D252B"/>
    <w:rsid w:val="001D6580"/>
    <w:rsid w:val="001D6B51"/>
    <w:rsid w:val="001D6C42"/>
    <w:rsid w:val="001E0150"/>
    <w:rsid w:val="001E27AD"/>
    <w:rsid w:val="001E27DA"/>
    <w:rsid w:val="001E3F58"/>
    <w:rsid w:val="001E485D"/>
    <w:rsid w:val="001E5367"/>
    <w:rsid w:val="001E5B2B"/>
    <w:rsid w:val="001E6627"/>
    <w:rsid w:val="001E6BE8"/>
    <w:rsid w:val="001E71DD"/>
    <w:rsid w:val="001E759A"/>
    <w:rsid w:val="001E7950"/>
    <w:rsid w:val="001E7F14"/>
    <w:rsid w:val="001F0702"/>
    <w:rsid w:val="001F0B27"/>
    <w:rsid w:val="001F1FC1"/>
    <w:rsid w:val="001F2027"/>
    <w:rsid w:val="001F2DB5"/>
    <w:rsid w:val="001F33ED"/>
    <w:rsid w:val="001F5169"/>
    <w:rsid w:val="001F58E5"/>
    <w:rsid w:val="001F58FE"/>
    <w:rsid w:val="0020071B"/>
    <w:rsid w:val="002015D2"/>
    <w:rsid w:val="00203116"/>
    <w:rsid w:val="00206432"/>
    <w:rsid w:val="002070CA"/>
    <w:rsid w:val="002073FE"/>
    <w:rsid w:val="00210312"/>
    <w:rsid w:val="002121F1"/>
    <w:rsid w:val="00214099"/>
    <w:rsid w:val="0021514F"/>
    <w:rsid w:val="0021637A"/>
    <w:rsid w:val="00221CE1"/>
    <w:rsid w:val="00221F2F"/>
    <w:rsid w:val="00222A55"/>
    <w:rsid w:val="00223DB1"/>
    <w:rsid w:val="002242ED"/>
    <w:rsid w:val="00224DDA"/>
    <w:rsid w:val="00225AC9"/>
    <w:rsid w:val="00227F1F"/>
    <w:rsid w:val="002318E6"/>
    <w:rsid w:val="00231D45"/>
    <w:rsid w:val="002337BC"/>
    <w:rsid w:val="00234083"/>
    <w:rsid w:val="00234A5A"/>
    <w:rsid w:val="00235C64"/>
    <w:rsid w:val="00235C8B"/>
    <w:rsid w:val="00236A42"/>
    <w:rsid w:val="00237CCE"/>
    <w:rsid w:val="00242743"/>
    <w:rsid w:val="00244813"/>
    <w:rsid w:val="00244819"/>
    <w:rsid w:val="002448B4"/>
    <w:rsid w:val="00244D65"/>
    <w:rsid w:val="0024625D"/>
    <w:rsid w:val="00246E4C"/>
    <w:rsid w:val="00247050"/>
    <w:rsid w:val="002509A9"/>
    <w:rsid w:val="00251610"/>
    <w:rsid w:val="00251D31"/>
    <w:rsid w:val="0025324E"/>
    <w:rsid w:val="00253AE0"/>
    <w:rsid w:val="00253DC9"/>
    <w:rsid w:val="002540D4"/>
    <w:rsid w:val="0025431A"/>
    <w:rsid w:val="00254E5A"/>
    <w:rsid w:val="00257255"/>
    <w:rsid w:val="002578C6"/>
    <w:rsid w:val="00257F8B"/>
    <w:rsid w:val="002614C4"/>
    <w:rsid w:val="002624F2"/>
    <w:rsid w:val="00262C0E"/>
    <w:rsid w:val="00263778"/>
    <w:rsid w:val="00266854"/>
    <w:rsid w:val="00266CD5"/>
    <w:rsid w:val="0026761D"/>
    <w:rsid w:val="00267C66"/>
    <w:rsid w:val="00270C06"/>
    <w:rsid w:val="00271525"/>
    <w:rsid w:val="00271CE5"/>
    <w:rsid w:val="002730E8"/>
    <w:rsid w:val="00273F54"/>
    <w:rsid w:val="00274D5A"/>
    <w:rsid w:val="00275E78"/>
    <w:rsid w:val="0027666E"/>
    <w:rsid w:val="00277822"/>
    <w:rsid w:val="0028053F"/>
    <w:rsid w:val="00281692"/>
    <w:rsid w:val="00285121"/>
    <w:rsid w:val="00287BAC"/>
    <w:rsid w:val="00293316"/>
    <w:rsid w:val="002934A6"/>
    <w:rsid w:val="00295F04"/>
    <w:rsid w:val="002A1697"/>
    <w:rsid w:val="002A311E"/>
    <w:rsid w:val="002A31DE"/>
    <w:rsid w:val="002A37E3"/>
    <w:rsid w:val="002A473E"/>
    <w:rsid w:val="002A631C"/>
    <w:rsid w:val="002A6504"/>
    <w:rsid w:val="002A722E"/>
    <w:rsid w:val="002B0C95"/>
    <w:rsid w:val="002B0E0B"/>
    <w:rsid w:val="002B12F7"/>
    <w:rsid w:val="002B474A"/>
    <w:rsid w:val="002B51FB"/>
    <w:rsid w:val="002B56B1"/>
    <w:rsid w:val="002B6553"/>
    <w:rsid w:val="002B6786"/>
    <w:rsid w:val="002B6AFB"/>
    <w:rsid w:val="002B7CF9"/>
    <w:rsid w:val="002B7E5B"/>
    <w:rsid w:val="002C02B5"/>
    <w:rsid w:val="002C0533"/>
    <w:rsid w:val="002C11D0"/>
    <w:rsid w:val="002C12AA"/>
    <w:rsid w:val="002C1435"/>
    <w:rsid w:val="002C2FFC"/>
    <w:rsid w:val="002C51E6"/>
    <w:rsid w:val="002C6C89"/>
    <w:rsid w:val="002C6FE2"/>
    <w:rsid w:val="002C7A17"/>
    <w:rsid w:val="002C7A4B"/>
    <w:rsid w:val="002D17E6"/>
    <w:rsid w:val="002D1EA5"/>
    <w:rsid w:val="002D24FF"/>
    <w:rsid w:val="002D2AF3"/>
    <w:rsid w:val="002D37AF"/>
    <w:rsid w:val="002D4F9F"/>
    <w:rsid w:val="002D5A75"/>
    <w:rsid w:val="002D7221"/>
    <w:rsid w:val="002E06CB"/>
    <w:rsid w:val="002E081F"/>
    <w:rsid w:val="002E107E"/>
    <w:rsid w:val="002E1C56"/>
    <w:rsid w:val="002E1FEB"/>
    <w:rsid w:val="002E21DF"/>
    <w:rsid w:val="002E36EB"/>
    <w:rsid w:val="002E40F7"/>
    <w:rsid w:val="002E56BC"/>
    <w:rsid w:val="002E5FCA"/>
    <w:rsid w:val="002E6261"/>
    <w:rsid w:val="002F3F94"/>
    <w:rsid w:val="002F4589"/>
    <w:rsid w:val="002F5349"/>
    <w:rsid w:val="002F5805"/>
    <w:rsid w:val="002F6100"/>
    <w:rsid w:val="003001E6"/>
    <w:rsid w:val="003013F2"/>
    <w:rsid w:val="003019D1"/>
    <w:rsid w:val="00302B4C"/>
    <w:rsid w:val="00304496"/>
    <w:rsid w:val="00305B9A"/>
    <w:rsid w:val="00306F2E"/>
    <w:rsid w:val="00307099"/>
    <w:rsid w:val="0031191F"/>
    <w:rsid w:val="00313AE9"/>
    <w:rsid w:val="00313B82"/>
    <w:rsid w:val="00314281"/>
    <w:rsid w:val="00316999"/>
    <w:rsid w:val="003206E1"/>
    <w:rsid w:val="0032122B"/>
    <w:rsid w:val="00321A92"/>
    <w:rsid w:val="00321BFA"/>
    <w:rsid w:val="0032265B"/>
    <w:rsid w:val="00325885"/>
    <w:rsid w:val="00327FBD"/>
    <w:rsid w:val="003303C3"/>
    <w:rsid w:val="003305FE"/>
    <w:rsid w:val="00331A5F"/>
    <w:rsid w:val="00331AB1"/>
    <w:rsid w:val="00331EB5"/>
    <w:rsid w:val="003332F3"/>
    <w:rsid w:val="0033390D"/>
    <w:rsid w:val="00333D9F"/>
    <w:rsid w:val="00333F6E"/>
    <w:rsid w:val="00336F7D"/>
    <w:rsid w:val="00337CC6"/>
    <w:rsid w:val="003409BC"/>
    <w:rsid w:val="00344185"/>
    <w:rsid w:val="003449B5"/>
    <w:rsid w:val="00345C65"/>
    <w:rsid w:val="0035205D"/>
    <w:rsid w:val="0035247A"/>
    <w:rsid w:val="00352673"/>
    <w:rsid w:val="00352D10"/>
    <w:rsid w:val="00352E48"/>
    <w:rsid w:val="00353ADA"/>
    <w:rsid w:val="00355CE2"/>
    <w:rsid w:val="00357766"/>
    <w:rsid w:val="003579A2"/>
    <w:rsid w:val="00357D1F"/>
    <w:rsid w:val="00360516"/>
    <w:rsid w:val="003617D6"/>
    <w:rsid w:val="003638B4"/>
    <w:rsid w:val="00363997"/>
    <w:rsid w:val="00363C26"/>
    <w:rsid w:val="00363E39"/>
    <w:rsid w:val="00365C8B"/>
    <w:rsid w:val="00366EAF"/>
    <w:rsid w:val="003675C8"/>
    <w:rsid w:val="003706AE"/>
    <w:rsid w:val="0037187C"/>
    <w:rsid w:val="00372180"/>
    <w:rsid w:val="003726E8"/>
    <w:rsid w:val="00373447"/>
    <w:rsid w:val="00374897"/>
    <w:rsid w:val="00374BBC"/>
    <w:rsid w:val="0037706A"/>
    <w:rsid w:val="00377705"/>
    <w:rsid w:val="00377C9E"/>
    <w:rsid w:val="00380AB5"/>
    <w:rsid w:val="00380B65"/>
    <w:rsid w:val="00381B10"/>
    <w:rsid w:val="00381B3E"/>
    <w:rsid w:val="0038223F"/>
    <w:rsid w:val="00382628"/>
    <w:rsid w:val="00382A47"/>
    <w:rsid w:val="00383032"/>
    <w:rsid w:val="00384248"/>
    <w:rsid w:val="003851E5"/>
    <w:rsid w:val="00387202"/>
    <w:rsid w:val="003874A3"/>
    <w:rsid w:val="00390510"/>
    <w:rsid w:val="003908D0"/>
    <w:rsid w:val="00390F9A"/>
    <w:rsid w:val="0039123E"/>
    <w:rsid w:val="0039147A"/>
    <w:rsid w:val="003927EB"/>
    <w:rsid w:val="00392FB0"/>
    <w:rsid w:val="00393011"/>
    <w:rsid w:val="00393D21"/>
    <w:rsid w:val="0039601F"/>
    <w:rsid w:val="003A3062"/>
    <w:rsid w:val="003A443A"/>
    <w:rsid w:val="003B00B8"/>
    <w:rsid w:val="003B0DF3"/>
    <w:rsid w:val="003B15CB"/>
    <w:rsid w:val="003B448C"/>
    <w:rsid w:val="003B4A9F"/>
    <w:rsid w:val="003B6648"/>
    <w:rsid w:val="003B67F8"/>
    <w:rsid w:val="003B7E5A"/>
    <w:rsid w:val="003C04EB"/>
    <w:rsid w:val="003C1CD9"/>
    <w:rsid w:val="003C277E"/>
    <w:rsid w:val="003C2DE4"/>
    <w:rsid w:val="003C591F"/>
    <w:rsid w:val="003C6DB3"/>
    <w:rsid w:val="003C7322"/>
    <w:rsid w:val="003C74A6"/>
    <w:rsid w:val="003D0EA1"/>
    <w:rsid w:val="003D10B0"/>
    <w:rsid w:val="003D1137"/>
    <w:rsid w:val="003D11EC"/>
    <w:rsid w:val="003D1F42"/>
    <w:rsid w:val="003D2427"/>
    <w:rsid w:val="003D264B"/>
    <w:rsid w:val="003D2BA1"/>
    <w:rsid w:val="003D3C7C"/>
    <w:rsid w:val="003D4598"/>
    <w:rsid w:val="003D58A6"/>
    <w:rsid w:val="003D58FF"/>
    <w:rsid w:val="003D5A72"/>
    <w:rsid w:val="003D5F08"/>
    <w:rsid w:val="003D6905"/>
    <w:rsid w:val="003E10A1"/>
    <w:rsid w:val="003E289E"/>
    <w:rsid w:val="003E2B2D"/>
    <w:rsid w:val="003E2DC6"/>
    <w:rsid w:val="003E3C07"/>
    <w:rsid w:val="003E71E5"/>
    <w:rsid w:val="003F13F2"/>
    <w:rsid w:val="003F2CBC"/>
    <w:rsid w:val="003F56C7"/>
    <w:rsid w:val="004009A6"/>
    <w:rsid w:val="00400BDC"/>
    <w:rsid w:val="004012BD"/>
    <w:rsid w:val="00407769"/>
    <w:rsid w:val="004102A3"/>
    <w:rsid w:val="00411EC5"/>
    <w:rsid w:val="00415BFB"/>
    <w:rsid w:val="00416026"/>
    <w:rsid w:val="00416B96"/>
    <w:rsid w:val="004172B4"/>
    <w:rsid w:val="004204FA"/>
    <w:rsid w:val="00421322"/>
    <w:rsid w:val="00423126"/>
    <w:rsid w:val="004233F7"/>
    <w:rsid w:val="00424611"/>
    <w:rsid w:val="00426157"/>
    <w:rsid w:val="004275F9"/>
    <w:rsid w:val="004318F3"/>
    <w:rsid w:val="00432925"/>
    <w:rsid w:val="00433B51"/>
    <w:rsid w:val="00434870"/>
    <w:rsid w:val="0043570E"/>
    <w:rsid w:val="004366DC"/>
    <w:rsid w:val="004375A7"/>
    <w:rsid w:val="00437F7D"/>
    <w:rsid w:val="00440A5E"/>
    <w:rsid w:val="004440E6"/>
    <w:rsid w:val="00444F8F"/>
    <w:rsid w:val="00445500"/>
    <w:rsid w:val="0044683D"/>
    <w:rsid w:val="00450538"/>
    <w:rsid w:val="00450CDD"/>
    <w:rsid w:val="00450D7D"/>
    <w:rsid w:val="0045123E"/>
    <w:rsid w:val="00452741"/>
    <w:rsid w:val="00453DDB"/>
    <w:rsid w:val="00454F50"/>
    <w:rsid w:val="00455A20"/>
    <w:rsid w:val="004602C8"/>
    <w:rsid w:val="00460D0F"/>
    <w:rsid w:val="004634C7"/>
    <w:rsid w:val="0046377D"/>
    <w:rsid w:val="004652FA"/>
    <w:rsid w:val="004659B6"/>
    <w:rsid w:val="0046695F"/>
    <w:rsid w:val="00467704"/>
    <w:rsid w:val="004700FD"/>
    <w:rsid w:val="00474EBA"/>
    <w:rsid w:val="00477098"/>
    <w:rsid w:val="00477835"/>
    <w:rsid w:val="00481349"/>
    <w:rsid w:val="00483873"/>
    <w:rsid w:val="00485118"/>
    <w:rsid w:val="00486BC7"/>
    <w:rsid w:val="00486E9E"/>
    <w:rsid w:val="00491418"/>
    <w:rsid w:val="0049277A"/>
    <w:rsid w:val="00493CCC"/>
    <w:rsid w:val="004954C5"/>
    <w:rsid w:val="00495FB0"/>
    <w:rsid w:val="0049641A"/>
    <w:rsid w:val="004A0725"/>
    <w:rsid w:val="004A104B"/>
    <w:rsid w:val="004A52A5"/>
    <w:rsid w:val="004B07F9"/>
    <w:rsid w:val="004B0825"/>
    <w:rsid w:val="004B22E0"/>
    <w:rsid w:val="004B41CB"/>
    <w:rsid w:val="004B49EF"/>
    <w:rsid w:val="004C0E63"/>
    <w:rsid w:val="004C1308"/>
    <w:rsid w:val="004C3928"/>
    <w:rsid w:val="004C57DC"/>
    <w:rsid w:val="004D13BA"/>
    <w:rsid w:val="004D24D6"/>
    <w:rsid w:val="004D2EAC"/>
    <w:rsid w:val="004D3D30"/>
    <w:rsid w:val="004D4C42"/>
    <w:rsid w:val="004D6A66"/>
    <w:rsid w:val="004D7332"/>
    <w:rsid w:val="004D74D8"/>
    <w:rsid w:val="004E105D"/>
    <w:rsid w:val="004E18B7"/>
    <w:rsid w:val="004E1F97"/>
    <w:rsid w:val="004E415C"/>
    <w:rsid w:val="004E6B86"/>
    <w:rsid w:val="004E7B7F"/>
    <w:rsid w:val="004F04BA"/>
    <w:rsid w:val="004F1256"/>
    <w:rsid w:val="004F158A"/>
    <w:rsid w:val="004F15C1"/>
    <w:rsid w:val="004F3477"/>
    <w:rsid w:val="004F3C88"/>
    <w:rsid w:val="004F5D7E"/>
    <w:rsid w:val="004F5D9B"/>
    <w:rsid w:val="004F5F63"/>
    <w:rsid w:val="004F7893"/>
    <w:rsid w:val="004F7E29"/>
    <w:rsid w:val="00503573"/>
    <w:rsid w:val="00504F41"/>
    <w:rsid w:val="005072FA"/>
    <w:rsid w:val="005078E9"/>
    <w:rsid w:val="00510794"/>
    <w:rsid w:val="00515EC3"/>
    <w:rsid w:val="00516CD5"/>
    <w:rsid w:val="00516F04"/>
    <w:rsid w:val="005170B4"/>
    <w:rsid w:val="00517847"/>
    <w:rsid w:val="00521E09"/>
    <w:rsid w:val="005246FD"/>
    <w:rsid w:val="005248DD"/>
    <w:rsid w:val="0053007A"/>
    <w:rsid w:val="0053036F"/>
    <w:rsid w:val="00530646"/>
    <w:rsid w:val="005307A9"/>
    <w:rsid w:val="00530BAF"/>
    <w:rsid w:val="005313E2"/>
    <w:rsid w:val="0053443E"/>
    <w:rsid w:val="00535720"/>
    <w:rsid w:val="00535839"/>
    <w:rsid w:val="00536BA8"/>
    <w:rsid w:val="005379F8"/>
    <w:rsid w:val="005422CD"/>
    <w:rsid w:val="005435DB"/>
    <w:rsid w:val="00545B1D"/>
    <w:rsid w:val="00545CF5"/>
    <w:rsid w:val="00546469"/>
    <w:rsid w:val="005501BA"/>
    <w:rsid w:val="005533EC"/>
    <w:rsid w:val="00553CB3"/>
    <w:rsid w:val="005542A0"/>
    <w:rsid w:val="00555B18"/>
    <w:rsid w:val="00556C38"/>
    <w:rsid w:val="00557C4C"/>
    <w:rsid w:val="005615A1"/>
    <w:rsid w:val="0056169F"/>
    <w:rsid w:val="0056237E"/>
    <w:rsid w:val="0056257F"/>
    <w:rsid w:val="005627D8"/>
    <w:rsid w:val="005630A1"/>
    <w:rsid w:val="00563105"/>
    <w:rsid w:val="0056394F"/>
    <w:rsid w:val="00564962"/>
    <w:rsid w:val="00564E68"/>
    <w:rsid w:val="00565845"/>
    <w:rsid w:val="00566C55"/>
    <w:rsid w:val="00566E7C"/>
    <w:rsid w:val="00567A2B"/>
    <w:rsid w:val="00567FF3"/>
    <w:rsid w:val="00570D87"/>
    <w:rsid w:val="00571F16"/>
    <w:rsid w:val="00574F09"/>
    <w:rsid w:val="00576058"/>
    <w:rsid w:val="00580B4B"/>
    <w:rsid w:val="00583130"/>
    <w:rsid w:val="00584219"/>
    <w:rsid w:val="00584699"/>
    <w:rsid w:val="0058476A"/>
    <w:rsid w:val="00584F7C"/>
    <w:rsid w:val="005859EB"/>
    <w:rsid w:val="00586DF8"/>
    <w:rsid w:val="00587494"/>
    <w:rsid w:val="00587B35"/>
    <w:rsid w:val="00590A9D"/>
    <w:rsid w:val="00591767"/>
    <w:rsid w:val="00591978"/>
    <w:rsid w:val="00592AFE"/>
    <w:rsid w:val="00592C54"/>
    <w:rsid w:val="00593A8F"/>
    <w:rsid w:val="0059490C"/>
    <w:rsid w:val="00596F8E"/>
    <w:rsid w:val="005A0FF9"/>
    <w:rsid w:val="005A19EC"/>
    <w:rsid w:val="005A3012"/>
    <w:rsid w:val="005A3143"/>
    <w:rsid w:val="005A3302"/>
    <w:rsid w:val="005A5386"/>
    <w:rsid w:val="005A6AE8"/>
    <w:rsid w:val="005B14A7"/>
    <w:rsid w:val="005B1BAF"/>
    <w:rsid w:val="005B1D84"/>
    <w:rsid w:val="005B6572"/>
    <w:rsid w:val="005B6FCF"/>
    <w:rsid w:val="005B7656"/>
    <w:rsid w:val="005B7B31"/>
    <w:rsid w:val="005C1647"/>
    <w:rsid w:val="005C23C0"/>
    <w:rsid w:val="005C3078"/>
    <w:rsid w:val="005C531E"/>
    <w:rsid w:val="005C5482"/>
    <w:rsid w:val="005C5861"/>
    <w:rsid w:val="005C6F18"/>
    <w:rsid w:val="005C73F2"/>
    <w:rsid w:val="005C7766"/>
    <w:rsid w:val="005D2423"/>
    <w:rsid w:val="005D3D3D"/>
    <w:rsid w:val="005D693A"/>
    <w:rsid w:val="005D7E53"/>
    <w:rsid w:val="005E0C8D"/>
    <w:rsid w:val="005E1EA1"/>
    <w:rsid w:val="005F048F"/>
    <w:rsid w:val="005F1681"/>
    <w:rsid w:val="005F30F2"/>
    <w:rsid w:val="005F3503"/>
    <w:rsid w:val="005F39B4"/>
    <w:rsid w:val="005F6A7E"/>
    <w:rsid w:val="00605218"/>
    <w:rsid w:val="00607185"/>
    <w:rsid w:val="00607539"/>
    <w:rsid w:val="006100CD"/>
    <w:rsid w:val="00611916"/>
    <w:rsid w:val="00611E4B"/>
    <w:rsid w:val="00612031"/>
    <w:rsid w:val="00612377"/>
    <w:rsid w:val="00612C7B"/>
    <w:rsid w:val="006136E4"/>
    <w:rsid w:val="00614974"/>
    <w:rsid w:val="00614B99"/>
    <w:rsid w:val="006158DF"/>
    <w:rsid w:val="006159E3"/>
    <w:rsid w:val="006160A0"/>
    <w:rsid w:val="006176B1"/>
    <w:rsid w:val="00621296"/>
    <w:rsid w:val="00622185"/>
    <w:rsid w:val="00622265"/>
    <w:rsid w:val="0062243C"/>
    <w:rsid w:val="00622C5A"/>
    <w:rsid w:val="006237DF"/>
    <w:rsid w:val="00623880"/>
    <w:rsid w:val="00623F21"/>
    <w:rsid w:val="00623FB1"/>
    <w:rsid w:val="006267D3"/>
    <w:rsid w:val="00627070"/>
    <w:rsid w:val="0063019A"/>
    <w:rsid w:val="00634719"/>
    <w:rsid w:val="00636025"/>
    <w:rsid w:val="006361A8"/>
    <w:rsid w:val="00640DF4"/>
    <w:rsid w:val="00641289"/>
    <w:rsid w:val="006423D3"/>
    <w:rsid w:val="006425D4"/>
    <w:rsid w:val="00644B98"/>
    <w:rsid w:val="00644C1A"/>
    <w:rsid w:val="00646388"/>
    <w:rsid w:val="00647277"/>
    <w:rsid w:val="006473FF"/>
    <w:rsid w:val="00650323"/>
    <w:rsid w:val="006510A7"/>
    <w:rsid w:val="006515EC"/>
    <w:rsid w:val="006521BC"/>
    <w:rsid w:val="006545A1"/>
    <w:rsid w:val="006602E5"/>
    <w:rsid w:val="006608F6"/>
    <w:rsid w:val="0066093F"/>
    <w:rsid w:val="006613EF"/>
    <w:rsid w:val="0066575B"/>
    <w:rsid w:val="0066581F"/>
    <w:rsid w:val="00665B12"/>
    <w:rsid w:val="0066789C"/>
    <w:rsid w:val="0067180E"/>
    <w:rsid w:val="00671A11"/>
    <w:rsid w:val="00671D12"/>
    <w:rsid w:val="00672F5B"/>
    <w:rsid w:val="00673113"/>
    <w:rsid w:val="00675842"/>
    <w:rsid w:val="00677A54"/>
    <w:rsid w:val="00677DE2"/>
    <w:rsid w:val="0068085B"/>
    <w:rsid w:val="00680BA3"/>
    <w:rsid w:val="00681645"/>
    <w:rsid w:val="00681890"/>
    <w:rsid w:val="0068195A"/>
    <w:rsid w:val="00682AD8"/>
    <w:rsid w:val="00682E68"/>
    <w:rsid w:val="00682FE0"/>
    <w:rsid w:val="0068385E"/>
    <w:rsid w:val="00684988"/>
    <w:rsid w:val="00684DBA"/>
    <w:rsid w:val="00685F92"/>
    <w:rsid w:val="00687B1A"/>
    <w:rsid w:val="0069221F"/>
    <w:rsid w:val="00693604"/>
    <w:rsid w:val="0069402D"/>
    <w:rsid w:val="00695A7A"/>
    <w:rsid w:val="00697BB4"/>
    <w:rsid w:val="006A0EC1"/>
    <w:rsid w:val="006A0EFA"/>
    <w:rsid w:val="006A15EC"/>
    <w:rsid w:val="006A1E49"/>
    <w:rsid w:val="006A33C9"/>
    <w:rsid w:val="006A3953"/>
    <w:rsid w:val="006A43DB"/>
    <w:rsid w:val="006A565C"/>
    <w:rsid w:val="006A6185"/>
    <w:rsid w:val="006A6D12"/>
    <w:rsid w:val="006A6FD4"/>
    <w:rsid w:val="006A7F17"/>
    <w:rsid w:val="006B0128"/>
    <w:rsid w:val="006B0291"/>
    <w:rsid w:val="006B1703"/>
    <w:rsid w:val="006B1DEB"/>
    <w:rsid w:val="006B3020"/>
    <w:rsid w:val="006B3312"/>
    <w:rsid w:val="006B36FD"/>
    <w:rsid w:val="006B41FA"/>
    <w:rsid w:val="006B54E7"/>
    <w:rsid w:val="006B6362"/>
    <w:rsid w:val="006B7CE4"/>
    <w:rsid w:val="006C0D8E"/>
    <w:rsid w:val="006C1C08"/>
    <w:rsid w:val="006C2C53"/>
    <w:rsid w:val="006C3E43"/>
    <w:rsid w:val="006C3FB8"/>
    <w:rsid w:val="006C4DE7"/>
    <w:rsid w:val="006C5513"/>
    <w:rsid w:val="006C5598"/>
    <w:rsid w:val="006C5862"/>
    <w:rsid w:val="006C6D28"/>
    <w:rsid w:val="006C7805"/>
    <w:rsid w:val="006D0905"/>
    <w:rsid w:val="006D0A46"/>
    <w:rsid w:val="006D0AD9"/>
    <w:rsid w:val="006D12BC"/>
    <w:rsid w:val="006D21C8"/>
    <w:rsid w:val="006D2664"/>
    <w:rsid w:val="006D2821"/>
    <w:rsid w:val="006D2BCA"/>
    <w:rsid w:val="006D4067"/>
    <w:rsid w:val="006D49DA"/>
    <w:rsid w:val="006E09AC"/>
    <w:rsid w:val="006E452C"/>
    <w:rsid w:val="006E5BC2"/>
    <w:rsid w:val="006E60A5"/>
    <w:rsid w:val="006E6625"/>
    <w:rsid w:val="006E6698"/>
    <w:rsid w:val="006F1A2D"/>
    <w:rsid w:val="006F2565"/>
    <w:rsid w:val="006F3247"/>
    <w:rsid w:val="006F47A5"/>
    <w:rsid w:val="006F4ACC"/>
    <w:rsid w:val="006F6921"/>
    <w:rsid w:val="006F6B6C"/>
    <w:rsid w:val="006F79EF"/>
    <w:rsid w:val="00701C69"/>
    <w:rsid w:val="00702FDA"/>
    <w:rsid w:val="0070318C"/>
    <w:rsid w:val="00703351"/>
    <w:rsid w:val="00704020"/>
    <w:rsid w:val="0070672B"/>
    <w:rsid w:val="00706B34"/>
    <w:rsid w:val="00706C72"/>
    <w:rsid w:val="0070738C"/>
    <w:rsid w:val="007076A3"/>
    <w:rsid w:val="00707A6B"/>
    <w:rsid w:val="00711374"/>
    <w:rsid w:val="007113A8"/>
    <w:rsid w:val="00711FCF"/>
    <w:rsid w:val="007121E7"/>
    <w:rsid w:val="00713A1F"/>
    <w:rsid w:val="00720FB0"/>
    <w:rsid w:val="007210D9"/>
    <w:rsid w:val="0072129C"/>
    <w:rsid w:val="00723230"/>
    <w:rsid w:val="00723487"/>
    <w:rsid w:val="00724ACD"/>
    <w:rsid w:val="00725D7C"/>
    <w:rsid w:val="00726129"/>
    <w:rsid w:val="00727E73"/>
    <w:rsid w:val="00730D5B"/>
    <w:rsid w:val="00731883"/>
    <w:rsid w:val="0073242A"/>
    <w:rsid w:val="00732BD3"/>
    <w:rsid w:val="00733147"/>
    <w:rsid w:val="007342E0"/>
    <w:rsid w:val="007344C0"/>
    <w:rsid w:val="00734D26"/>
    <w:rsid w:val="00734E5D"/>
    <w:rsid w:val="007367E3"/>
    <w:rsid w:val="00736F7E"/>
    <w:rsid w:val="007378E2"/>
    <w:rsid w:val="007428DA"/>
    <w:rsid w:val="00742C6C"/>
    <w:rsid w:val="00742DEF"/>
    <w:rsid w:val="00747857"/>
    <w:rsid w:val="00752CAD"/>
    <w:rsid w:val="00752E66"/>
    <w:rsid w:val="00753A9E"/>
    <w:rsid w:val="0075495A"/>
    <w:rsid w:val="00755771"/>
    <w:rsid w:val="00756769"/>
    <w:rsid w:val="007568D3"/>
    <w:rsid w:val="00757922"/>
    <w:rsid w:val="00757A48"/>
    <w:rsid w:val="00757CDD"/>
    <w:rsid w:val="00760AA6"/>
    <w:rsid w:val="00761703"/>
    <w:rsid w:val="00762540"/>
    <w:rsid w:val="00763327"/>
    <w:rsid w:val="00763B20"/>
    <w:rsid w:val="00764954"/>
    <w:rsid w:val="007657DD"/>
    <w:rsid w:val="00766C36"/>
    <w:rsid w:val="00766E66"/>
    <w:rsid w:val="007679C0"/>
    <w:rsid w:val="007701F4"/>
    <w:rsid w:val="007708A3"/>
    <w:rsid w:val="00771F17"/>
    <w:rsid w:val="007736A5"/>
    <w:rsid w:val="00780826"/>
    <w:rsid w:val="00781195"/>
    <w:rsid w:val="00782C29"/>
    <w:rsid w:val="00783FB2"/>
    <w:rsid w:val="007848F9"/>
    <w:rsid w:val="00784E83"/>
    <w:rsid w:val="0079192F"/>
    <w:rsid w:val="0079279D"/>
    <w:rsid w:val="00792C92"/>
    <w:rsid w:val="00794C76"/>
    <w:rsid w:val="00794E8C"/>
    <w:rsid w:val="00796887"/>
    <w:rsid w:val="007A136E"/>
    <w:rsid w:val="007A1EBA"/>
    <w:rsid w:val="007A27A1"/>
    <w:rsid w:val="007A3564"/>
    <w:rsid w:val="007A3B74"/>
    <w:rsid w:val="007A72AB"/>
    <w:rsid w:val="007A7A0C"/>
    <w:rsid w:val="007B3378"/>
    <w:rsid w:val="007B5511"/>
    <w:rsid w:val="007B5E60"/>
    <w:rsid w:val="007B6560"/>
    <w:rsid w:val="007B7FA9"/>
    <w:rsid w:val="007C0E1D"/>
    <w:rsid w:val="007C1737"/>
    <w:rsid w:val="007C3574"/>
    <w:rsid w:val="007C5E97"/>
    <w:rsid w:val="007C6247"/>
    <w:rsid w:val="007C6366"/>
    <w:rsid w:val="007C797D"/>
    <w:rsid w:val="007C7A4F"/>
    <w:rsid w:val="007D03BD"/>
    <w:rsid w:val="007D1097"/>
    <w:rsid w:val="007D24F8"/>
    <w:rsid w:val="007D31D2"/>
    <w:rsid w:val="007D4FE0"/>
    <w:rsid w:val="007D5EFF"/>
    <w:rsid w:val="007D65AB"/>
    <w:rsid w:val="007D73BA"/>
    <w:rsid w:val="007E057D"/>
    <w:rsid w:val="007E0EBE"/>
    <w:rsid w:val="007E1B58"/>
    <w:rsid w:val="007E3009"/>
    <w:rsid w:val="007E5A6D"/>
    <w:rsid w:val="007E6256"/>
    <w:rsid w:val="007E722D"/>
    <w:rsid w:val="007E7766"/>
    <w:rsid w:val="007F2147"/>
    <w:rsid w:val="007F23FE"/>
    <w:rsid w:val="007F2CCD"/>
    <w:rsid w:val="007F3B5B"/>
    <w:rsid w:val="007F4660"/>
    <w:rsid w:val="007F4C65"/>
    <w:rsid w:val="007F643B"/>
    <w:rsid w:val="007F76E6"/>
    <w:rsid w:val="00801AD9"/>
    <w:rsid w:val="00801B98"/>
    <w:rsid w:val="00802055"/>
    <w:rsid w:val="0080218F"/>
    <w:rsid w:val="00803076"/>
    <w:rsid w:val="00803418"/>
    <w:rsid w:val="0080418D"/>
    <w:rsid w:val="00804885"/>
    <w:rsid w:val="00804DB1"/>
    <w:rsid w:val="00806110"/>
    <w:rsid w:val="0080641B"/>
    <w:rsid w:val="0081166B"/>
    <w:rsid w:val="00811A70"/>
    <w:rsid w:val="00812A66"/>
    <w:rsid w:val="00814F72"/>
    <w:rsid w:val="00816664"/>
    <w:rsid w:val="00816C95"/>
    <w:rsid w:val="0082006B"/>
    <w:rsid w:val="00820795"/>
    <w:rsid w:val="008214BC"/>
    <w:rsid w:val="00821A05"/>
    <w:rsid w:val="008240B9"/>
    <w:rsid w:val="008247ED"/>
    <w:rsid w:val="00826439"/>
    <w:rsid w:val="00831572"/>
    <w:rsid w:val="008321DF"/>
    <w:rsid w:val="00832BD5"/>
    <w:rsid w:val="00832F73"/>
    <w:rsid w:val="008336AA"/>
    <w:rsid w:val="00833C3E"/>
    <w:rsid w:val="008342B8"/>
    <w:rsid w:val="00834E30"/>
    <w:rsid w:val="008350CD"/>
    <w:rsid w:val="00836660"/>
    <w:rsid w:val="008372F7"/>
    <w:rsid w:val="0084045C"/>
    <w:rsid w:val="0084180C"/>
    <w:rsid w:val="00844AE3"/>
    <w:rsid w:val="00844B26"/>
    <w:rsid w:val="00844E61"/>
    <w:rsid w:val="00845BC9"/>
    <w:rsid w:val="00845C0E"/>
    <w:rsid w:val="00845D64"/>
    <w:rsid w:val="00845F5C"/>
    <w:rsid w:val="008460E9"/>
    <w:rsid w:val="00846D71"/>
    <w:rsid w:val="00850121"/>
    <w:rsid w:val="00854017"/>
    <w:rsid w:val="00854503"/>
    <w:rsid w:val="00857C9F"/>
    <w:rsid w:val="00860B67"/>
    <w:rsid w:val="0086242B"/>
    <w:rsid w:val="008626EB"/>
    <w:rsid w:val="00862DC6"/>
    <w:rsid w:val="00863F56"/>
    <w:rsid w:val="00865503"/>
    <w:rsid w:val="0087117A"/>
    <w:rsid w:val="00871662"/>
    <w:rsid w:val="00873234"/>
    <w:rsid w:val="00873F0B"/>
    <w:rsid w:val="008741AD"/>
    <w:rsid w:val="0087456B"/>
    <w:rsid w:val="008745DC"/>
    <w:rsid w:val="00881C12"/>
    <w:rsid w:val="00882495"/>
    <w:rsid w:val="00883EB2"/>
    <w:rsid w:val="008845FB"/>
    <w:rsid w:val="008850F4"/>
    <w:rsid w:val="00885288"/>
    <w:rsid w:val="00886982"/>
    <w:rsid w:val="00891D79"/>
    <w:rsid w:val="0089225C"/>
    <w:rsid w:val="00892317"/>
    <w:rsid w:val="008927DA"/>
    <w:rsid w:val="00893C13"/>
    <w:rsid w:val="00894FA2"/>
    <w:rsid w:val="00897501"/>
    <w:rsid w:val="008A01AB"/>
    <w:rsid w:val="008A060D"/>
    <w:rsid w:val="008A2A16"/>
    <w:rsid w:val="008A39A9"/>
    <w:rsid w:val="008A4D75"/>
    <w:rsid w:val="008A5778"/>
    <w:rsid w:val="008B4121"/>
    <w:rsid w:val="008B46C3"/>
    <w:rsid w:val="008B4989"/>
    <w:rsid w:val="008B57B6"/>
    <w:rsid w:val="008B5CD0"/>
    <w:rsid w:val="008B637E"/>
    <w:rsid w:val="008B7810"/>
    <w:rsid w:val="008C092C"/>
    <w:rsid w:val="008C0E2D"/>
    <w:rsid w:val="008C1EAB"/>
    <w:rsid w:val="008C245F"/>
    <w:rsid w:val="008C292A"/>
    <w:rsid w:val="008C2A37"/>
    <w:rsid w:val="008C566C"/>
    <w:rsid w:val="008C5756"/>
    <w:rsid w:val="008C5FC0"/>
    <w:rsid w:val="008C6C54"/>
    <w:rsid w:val="008C7034"/>
    <w:rsid w:val="008C7F0E"/>
    <w:rsid w:val="008D34DC"/>
    <w:rsid w:val="008D3760"/>
    <w:rsid w:val="008D5AC1"/>
    <w:rsid w:val="008E0107"/>
    <w:rsid w:val="008E07E0"/>
    <w:rsid w:val="008E0E1D"/>
    <w:rsid w:val="008E0EF0"/>
    <w:rsid w:val="008E3296"/>
    <w:rsid w:val="008E4301"/>
    <w:rsid w:val="008F0159"/>
    <w:rsid w:val="008F2FF4"/>
    <w:rsid w:val="009002B5"/>
    <w:rsid w:val="00900448"/>
    <w:rsid w:val="00901FC1"/>
    <w:rsid w:val="00902D9F"/>
    <w:rsid w:val="0090470F"/>
    <w:rsid w:val="00905421"/>
    <w:rsid w:val="00905EEC"/>
    <w:rsid w:val="009061B9"/>
    <w:rsid w:val="00911217"/>
    <w:rsid w:val="009112B7"/>
    <w:rsid w:val="009113CD"/>
    <w:rsid w:val="009124C6"/>
    <w:rsid w:val="00913A4D"/>
    <w:rsid w:val="00921577"/>
    <w:rsid w:val="00922D50"/>
    <w:rsid w:val="00922E37"/>
    <w:rsid w:val="0092391C"/>
    <w:rsid w:val="00923CA6"/>
    <w:rsid w:val="009249D0"/>
    <w:rsid w:val="00924EA1"/>
    <w:rsid w:val="009254C5"/>
    <w:rsid w:val="009254E2"/>
    <w:rsid w:val="0092599E"/>
    <w:rsid w:val="00925F6A"/>
    <w:rsid w:val="00926599"/>
    <w:rsid w:val="00926BA5"/>
    <w:rsid w:val="00930498"/>
    <w:rsid w:val="0093323E"/>
    <w:rsid w:val="00934C74"/>
    <w:rsid w:val="00935968"/>
    <w:rsid w:val="00935CBA"/>
    <w:rsid w:val="00937529"/>
    <w:rsid w:val="00937AE8"/>
    <w:rsid w:val="00937DA8"/>
    <w:rsid w:val="0094072B"/>
    <w:rsid w:val="0094174D"/>
    <w:rsid w:val="00943433"/>
    <w:rsid w:val="009447E5"/>
    <w:rsid w:val="00946516"/>
    <w:rsid w:val="009476D1"/>
    <w:rsid w:val="00947991"/>
    <w:rsid w:val="00947C78"/>
    <w:rsid w:val="00950C2A"/>
    <w:rsid w:val="00950D60"/>
    <w:rsid w:val="00954DA8"/>
    <w:rsid w:val="00955173"/>
    <w:rsid w:val="00956611"/>
    <w:rsid w:val="0096019A"/>
    <w:rsid w:val="009623A2"/>
    <w:rsid w:val="00962BBB"/>
    <w:rsid w:val="009637EA"/>
    <w:rsid w:val="00966906"/>
    <w:rsid w:val="00967740"/>
    <w:rsid w:val="0097029E"/>
    <w:rsid w:val="009708B7"/>
    <w:rsid w:val="00972737"/>
    <w:rsid w:val="009730DD"/>
    <w:rsid w:val="0097496A"/>
    <w:rsid w:val="0097580A"/>
    <w:rsid w:val="00976B62"/>
    <w:rsid w:val="00976EFC"/>
    <w:rsid w:val="00981F1D"/>
    <w:rsid w:val="00984DC0"/>
    <w:rsid w:val="00985F22"/>
    <w:rsid w:val="00986B44"/>
    <w:rsid w:val="00990E3C"/>
    <w:rsid w:val="0099239B"/>
    <w:rsid w:val="00992598"/>
    <w:rsid w:val="00992E6F"/>
    <w:rsid w:val="009940D6"/>
    <w:rsid w:val="00994BFB"/>
    <w:rsid w:val="009A0978"/>
    <w:rsid w:val="009A15C0"/>
    <w:rsid w:val="009A1920"/>
    <w:rsid w:val="009A1BDD"/>
    <w:rsid w:val="009A2ED3"/>
    <w:rsid w:val="009A38FC"/>
    <w:rsid w:val="009A541F"/>
    <w:rsid w:val="009B080A"/>
    <w:rsid w:val="009B15F1"/>
    <w:rsid w:val="009B1DE3"/>
    <w:rsid w:val="009B468A"/>
    <w:rsid w:val="009B4872"/>
    <w:rsid w:val="009B4AD8"/>
    <w:rsid w:val="009B6432"/>
    <w:rsid w:val="009B6DBB"/>
    <w:rsid w:val="009B78D8"/>
    <w:rsid w:val="009C3420"/>
    <w:rsid w:val="009C3F21"/>
    <w:rsid w:val="009C4719"/>
    <w:rsid w:val="009C4870"/>
    <w:rsid w:val="009C6938"/>
    <w:rsid w:val="009C6DCF"/>
    <w:rsid w:val="009C6F58"/>
    <w:rsid w:val="009D1280"/>
    <w:rsid w:val="009D1CCA"/>
    <w:rsid w:val="009D32D1"/>
    <w:rsid w:val="009D44A3"/>
    <w:rsid w:val="009D4A9D"/>
    <w:rsid w:val="009D60B9"/>
    <w:rsid w:val="009D7A76"/>
    <w:rsid w:val="009E03B6"/>
    <w:rsid w:val="009E0813"/>
    <w:rsid w:val="009E2ED6"/>
    <w:rsid w:val="009E39D6"/>
    <w:rsid w:val="009E5B72"/>
    <w:rsid w:val="009E6127"/>
    <w:rsid w:val="009E68C1"/>
    <w:rsid w:val="009F0FA5"/>
    <w:rsid w:val="009F114C"/>
    <w:rsid w:val="009F3282"/>
    <w:rsid w:val="009F3C7B"/>
    <w:rsid w:val="009F467A"/>
    <w:rsid w:val="009F527A"/>
    <w:rsid w:val="00A0044D"/>
    <w:rsid w:val="00A0052D"/>
    <w:rsid w:val="00A0067B"/>
    <w:rsid w:val="00A00A5E"/>
    <w:rsid w:val="00A01A0B"/>
    <w:rsid w:val="00A01A53"/>
    <w:rsid w:val="00A020B7"/>
    <w:rsid w:val="00A03DF7"/>
    <w:rsid w:val="00A04A07"/>
    <w:rsid w:val="00A05CAA"/>
    <w:rsid w:val="00A06445"/>
    <w:rsid w:val="00A06888"/>
    <w:rsid w:val="00A10668"/>
    <w:rsid w:val="00A11660"/>
    <w:rsid w:val="00A139A8"/>
    <w:rsid w:val="00A144EB"/>
    <w:rsid w:val="00A14F46"/>
    <w:rsid w:val="00A15FFC"/>
    <w:rsid w:val="00A17D2F"/>
    <w:rsid w:val="00A21EE6"/>
    <w:rsid w:val="00A22E9C"/>
    <w:rsid w:val="00A24D8A"/>
    <w:rsid w:val="00A25910"/>
    <w:rsid w:val="00A2658A"/>
    <w:rsid w:val="00A27598"/>
    <w:rsid w:val="00A2795F"/>
    <w:rsid w:val="00A27E04"/>
    <w:rsid w:val="00A3324C"/>
    <w:rsid w:val="00A33296"/>
    <w:rsid w:val="00A341D7"/>
    <w:rsid w:val="00A344A0"/>
    <w:rsid w:val="00A3497C"/>
    <w:rsid w:val="00A361CC"/>
    <w:rsid w:val="00A40D64"/>
    <w:rsid w:val="00A4165E"/>
    <w:rsid w:val="00A428B0"/>
    <w:rsid w:val="00A47468"/>
    <w:rsid w:val="00A5289C"/>
    <w:rsid w:val="00A54CE6"/>
    <w:rsid w:val="00A55369"/>
    <w:rsid w:val="00A562B7"/>
    <w:rsid w:val="00A56E27"/>
    <w:rsid w:val="00A608ED"/>
    <w:rsid w:val="00A60E10"/>
    <w:rsid w:val="00A626C6"/>
    <w:rsid w:val="00A62951"/>
    <w:rsid w:val="00A674F5"/>
    <w:rsid w:val="00A67E5D"/>
    <w:rsid w:val="00A72AFE"/>
    <w:rsid w:val="00A72D3A"/>
    <w:rsid w:val="00A7325D"/>
    <w:rsid w:val="00A76380"/>
    <w:rsid w:val="00A800AF"/>
    <w:rsid w:val="00A802A0"/>
    <w:rsid w:val="00A8048E"/>
    <w:rsid w:val="00A81714"/>
    <w:rsid w:val="00A823AC"/>
    <w:rsid w:val="00A832FA"/>
    <w:rsid w:val="00A839F3"/>
    <w:rsid w:val="00A83BE0"/>
    <w:rsid w:val="00A86FF2"/>
    <w:rsid w:val="00A90889"/>
    <w:rsid w:val="00A90B4D"/>
    <w:rsid w:val="00A90BA9"/>
    <w:rsid w:val="00A91462"/>
    <w:rsid w:val="00A9300F"/>
    <w:rsid w:val="00A95F36"/>
    <w:rsid w:val="00A962E2"/>
    <w:rsid w:val="00A96E75"/>
    <w:rsid w:val="00A97B90"/>
    <w:rsid w:val="00A97F8F"/>
    <w:rsid w:val="00A97FCD"/>
    <w:rsid w:val="00AA1B19"/>
    <w:rsid w:val="00AA2281"/>
    <w:rsid w:val="00AA26FC"/>
    <w:rsid w:val="00AA2886"/>
    <w:rsid w:val="00AA30B3"/>
    <w:rsid w:val="00AA3D23"/>
    <w:rsid w:val="00AA3DCF"/>
    <w:rsid w:val="00AA401B"/>
    <w:rsid w:val="00AA5040"/>
    <w:rsid w:val="00AA5D7A"/>
    <w:rsid w:val="00AA5E7A"/>
    <w:rsid w:val="00AB0EF4"/>
    <w:rsid w:val="00AB1EBC"/>
    <w:rsid w:val="00AB56C6"/>
    <w:rsid w:val="00AB61D6"/>
    <w:rsid w:val="00AB6F03"/>
    <w:rsid w:val="00AB76AE"/>
    <w:rsid w:val="00AC0CBC"/>
    <w:rsid w:val="00AC164C"/>
    <w:rsid w:val="00AC2C85"/>
    <w:rsid w:val="00AC42AB"/>
    <w:rsid w:val="00AC555F"/>
    <w:rsid w:val="00AC64CC"/>
    <w:rsid w:val="00AC7062"/>
    <w:rsid w:val="00AC7B07"/>
    <w:rsid w:val="00AD227A"/>
    <w:rsid w:val="00AD5177"/>
    <w:rsid w:val="00AD760A"/>
    <w:rsid w:val="00AD7841"/>
    <w:rsid w:val="00AE058B"/>
    <w:rsid w:val="00AE0E78"/>
    <w:rsid w:val="00AE12E7"/>
    <w:rsid w:val="00AE1A86"/>
    <w:rsid w:val="00AE322B"/>
    <w:rsid w:val="00AE323B"/>
    <w:rsid w:val="00AE4CA1"/>
    <w:rsid w:val="00AF02A1"/>
    <w:rsid w:val="00AF0D4C"/>
    <w:rsid w:val="00AF1E06"/>
    <w:rsid w:val="00AF20E9"/>
    <w:rsid w:val="00AF2E66"/>
    <w:rsid w:val="00AF3288"/>
    <w:rsid w:val="00AF3293"/>
    <w:rsid w:val="00AF50F3"/>
    <w:rsid w:val="00AF51AC"/>
    <w:rsid w:val="00AF5D1D"/>
    <w:rsid w:val="00AF60A1"/>
    <w:rsid w:val="00AF6EBE"/>
    <w:rsid w:val="00AF7702"/>
    <w:rsid w:val="00AF7935"/>
    <w:rsid w:val="00AF7BFA"/>
    <w:rsid w:val="00B02119"/>
    <w:rsid w:val="00B02A25"/>
    <w:rsid w:val="00B04896"/>
    <w:rsid w:val="00B053A2"/>
    <w:rsid w:val="00B053F9"/>
    <w:rsid w:val="00B05520"/>
    <w:rsid w:val="00B055D8"/>
    <w:rsid w:val="00B10785"/>
    <w:rsid w:val="00B10C61"/>
    <w:rsid w:val="00B116A2"/>
    <w:rsid w:val="00B117CA"/>
    <w:rsid w:val="00B12BDB"/>
    <w:rsid w:val="00B148E8"/>
    <w:rsid w:val="00B15B83"/>
    <w:rsid w:val="00B17349"/>
    <w:rsid w:val="00B20E3F"/>
    <w:rsid w:val="00B219FC"/>
    <w:rsid w:val="00B220FA"/>
    <w:rsid w:val="00B228A1"/>
    <w:rsid w:val="00B22E78"/>
    <w:rsid w:val="00B2414C"/>
    <w:rsid w:val="00B24162"/>
    <w:rsid w:val="00B25E2A"/>
    <w:rsid w:val="00B26907"/>
    <w:rsid w:val="00B269A5"/>
    <w:rsid w:val="00B26BA4"/>
    <w:rsid w:val="00B270D0"/>
    <w:rsid w:val="00B278C5"/>
    <w:rsid w:val="00B30560"/>
    <w:rsid w:val="00B30FA0"/>
    <w:rsid w:val="00B31EF8"/>
    <w:rsid w:val="00B329CE"/>
    <w:rsid w:val="00B32F27"/>
    <w:rsid w:val="00B3389A"/>
    <w:rsid w:val="00B341F7"/>
    <w:rsid w:val="00B34F52"/>
    <w:rsid w:val="00B361C9"/>
    <w:rsid w:val="00B36300"/>
    <w:rsid w:val="00B37602"/>
    <w:rsid w:val="00B37BE3"/>
    <w:rsid w:val="00B43407"/>
    <w:rsid w:val="00B44289"/>
    <w:rsid w:val="00B44CF9"/>
    <w:rsid w:val="00B45227"/>
    <w:rsid w:val="00B462D2"/>
    <w:rsid w:val="00B471F1"/>
    <w:rsid w:val="00B47C84"/>
    <w:rsid w:val="00B5218C"/>
    <w:rsid w:val="00B52BCE"/>
    <w:rsid w:val="00B52D34"/>
    <w:rsid w:val="00B56AFE"/>
    <w:rsid w:val="00B62935"/>
    <w:rsid w:val="00B63616"/>
    <w:rsid w:val="00B63B38"/>
    <w:rsid w:val="00B64049"/>
    <w:rsid w:val="00B646E5"/>
    <w:rsid w:val="00B65B41"/>
    <w:rsid w:val="00B7022F"/>
    <w:rsid w:val="00B74293"/>
    <w:rsid w:val="00B766F0"/>
    <w:rsid w:val="00B768E9"/>
    <w:rsid w:val="00B772C9"/>
    <w:rsid w:val="00B823DC"/>
    <w:rsid w:val="00B82752"/>
    <w:rsid w:val="00B83F72"/>
    <w:rsid w:val="00B845F4"/>
    <w:rsid w:val="00B852E8"/>
    <w:rsid w:val="00B86C86"/>
    <w:rsid w:val="00B9055E"/>
    <w:rsid w:val="00B9143B"/>
    <w:rsid w:val="00B91A8C"/>
    <w:rsid w:val="00B92C74"/>
    <w:rsid w:val="00B9395A"/>
    <w:rsid w:val="00B93E62"/>
    <w:rsid w:val="00B957F5"/>
    <w:rsid w:val="00B97471"/>
    <w:rsid w:val="00B97C85"/>
    <w:rsid w:val="00BA1782"/>
    <w:rsid w:val="00BA28A1"/>
    <w:rsid w:val="00BA2BCA"/>
    <w:rsid w:val="00BA3828"/>
    <w:rsid w:val="00BA4E71"/>
    <w:rsid w:val="00BA4FE1"/>
    <w:rsid w:val="00BA793B"/>
    <w:rsid w:val="00BB04A7"/>
    <w:rsid w:val="00BB0DE4"/>
    <w:rsid w:val="00BB18AF"/>
    <w:rsid w:val="00BB1D25"/>
    <w:rsid w:val="00BB2862"/>
    <w:rsid w:val="00BB29F5"/>
    <w:rsid w:val="00BB32D2"/>
    <w:rsid w:val="00BB39ED"/>
    <w:rsid w:val="00BB5594"/>
    <w:rsid w:val="00BB56C2"/>
    <w:rsid w:val="00BB57EC"/>
    <w:rsid w:val="00BB588A"/>
    <w:rsid w:val="00BB635F"/>
    <w:rsid w:val="00BB6954"/>
    <w:rsid w:val="00BC0CB6"/>
    <w:rsid w:val="00BC1BEA"/>
    <w:rsid w:val="00BC2362"/>
    <w:rsid w:val="00BC2715"/>
    <w:rsid w:val="00BC2939"/>
    <w:rsid w:val="00BC31B1"/>
    <w:rsid w:val="00BC4237"/>
    <w:rsid w:val="00BC5DF6"/>
    <w:rsid w:val="00BC691E"/>
    <w:rsid w:val="00BC7358"/>
    <w:rsid w:val="00BD0DFC"/>
    <w:rsid w:val="00BD2AA2"/>
    <w:rsid w:val="00BD2B61"/>
    <w:rsid w:val="00BD46C5"/>
    <w:rsid w:val="00BD5D13"/>
    <w:rsid w:val="00BD784E"/>
    <w:rsid w:val="00BD7C39"/>
    <w:rsid w:val="00BD7F43"/>
    <w:rsid w:val="00BE05D9"/>
    <w:rsid w:val="00BE0BE0"/>
    <w:rsid w:val="00BE152C"/>
    <w:rsid w:val="00BE2139"/>
    <w:rsid w:val="00BE2591"/>
    <w:rsid w:val="00BE2904"/>
    <w:rsid w:val="00BE2E22"/>
    <w:rsid w:val="00BE2F57"/>
    <w:rsid w:val="00BE3F5A"/>
    <w:rsid w:val="00BE3F8F"/>
    <w:rsid w:val="00BE46A1"/>
    <w:rsid w:val="00BE51F3"/>
    <w:rsid w:val="00BF1A1F"/>
    <w:rsid w:val="00BF2CF5"/>
    <w:rsid w:val="00BF5E83"/>
    <w:rsid w:val="00BF6D96"/>
    <w:rsid w:val="00BF794C"/>
    <w:rsid w:val="00BF7F7F"/>
    <w:rsid w:val="00C002E4"/>
    <w:rsid w:val="00C00B51"/>
    <w:rsid w:val="00C014F2"/>
    <w:rsid w:val="00C02D45"/>
    <w:rsid w:val="00C03325"/>
    <w:rsid w:val="00C074B6"/>
    <w:rsid w:val="00C07CD8"/>
    <w:rsid w:val="00C11CF8"/>
    <w:rsid w:val="00C11DA1"/>
    <w:rsid w:val="00C136F6"/>
    <w:rsid w:val="00C14DA6"/>
    <w:rsid w:val="00C15342"/>
    <w:rsid w:val="00C204ED"/>
    <w:rsid w:val="00C2079A"/>
    <w:rsid w:val="00C22354"/>
    <w:rsid w:val="00C229B1"/>
    <w:rsid w:val="00C2581B"/>
    <w:rsid w:val="00C2645B"/>
    <w:rsid w:val="00C268D7"/>
    <w:rsid w:val="00C2792B"/>
    <w:rsid w:val="00C34832"/>
    <w:rsid w:val="00C3534B"/>
    <w:rsid w:val="00C36628"/>
    <w:rsid w:val="00C36ABA"/>
    <w:rsid w:val="00C40CCC"/>
    <w:rsid w:val="00C41832"/>
    <w:rsid w:val="00C422FD"/>
    <w:rsid w:val="00C4378A"/>
    <w:rsid w:val="00C44549"/>
    <w:rsid w:val="00C45917"/>
    <w:rsid w:val="00C467D8"/>
    <w:rsid w:val="00C46A1D"/>
    <w:rsid w:val="00C500A8"/>
    <w:rsid w:val="00C517C8"/>
    <w:rsid w:val="00C52B05"/>
    <w:rsid w:val="00C52D66"/>
    <w:rsid w:val="00C52E69"/>
    <w:rsid w:val="00C55CFB"/>
    <w:rsid w:val="00C55EC7"/>
    <w:rsid w:val="00C56EE3"/>
    <w:rsid w:val="00C577AE"/>
    <w:rsid w:val="00C57B23"/>
    <w:rsid w:val="00C60017"/>
    <w:rsid w:val="00C621D2"/>
    <w:rsid w:val="00C624B2"/>
    <w:rsid w:val="00C63D5F"/>
    <w:rsid w:val="00C640C0"/>
    <w:rsid w:val="00C6480F"/>
    <w:rsid w:val="00C65BF8"/>
    <w:rsid w:val="00C65F59"/>
    <w:rsid w:val="00C664CF"/>
    <w:rsid w:val="00C66B6C"/>
    <w:rsid w:val="00C71F9B"/>
    <w:rsid w:val="00C73275"/>
    <w:rsid w:val="00C7334B"/>
    <w:rsid w:val="00C73420"/>
    <w:rsid w:val="00C734BD"/>
    <w:rsid w:val="00C734DA"/>
    <w:rsid w:val="00C802AC"/>
    <w:rsid w:val="00C80444"/>
    <w:rsid w:val="00C80964"/>
    <w:rsid w:val="00C80CA2"/>
    <w:rsid w:val="00C812D4"/>
    <w:rsid w:val="00C81D0E"/>
    <w:rsid w:val="00C8207E"/>
    <w:rsid w:val="00C825D2"/>
    <w:rsid w:val="00C83B67"/>
    <w:rsid w:val="00C84CFD"/>
    <w:rsid w:val="00C85E1A"/>
    <w:rsid w:val="00C867B2"/>
    <w:rsid w:val="00C87F76"/>
    <w:rsid w:val="00C90279"/>
    <w:rsid w:val="00C9096A"/>
    <w:rsid w:val="00C90D9B"/>
    <w:rsid w:val="00C915BA"/>
    <w:rsid w:val="00C9236C"/>
    <w:rsid w:val="00C92B0E"/>
    <w:rsid w:val="00C95BDA"/>
    <w:rsid w:val="00C95E8E"/>
    <w:rsid w:val="00C96CEE"/>
    <w:rsid w:val="00C973E8"/>
    <w:rsid w:val="00CA008A"/>
    <w:rsid w:val="00CA347F"/>
    <w:rsid w:val="00CA491F"/>
    <w:rsid w:val="00CA6962"/>
    <w:rsid w:val="00CA7C8C"/>
    <w:rsid w:val="00CA7D48"/>
    <w:rsid w:val="00CB063A"/>
    <w:rsid w:val="00CB16D2"/>
    <w:rsid w:val="00CB2654"/>
    <w:rsid w:val="00CB281C"/>
    <w:rsid w:val="00CB3DD6"/>
    <w:rsid w:val="00CB4285"/>
    <w:rsid w:val="00CB4976"/>
    <w:rsid w:val="00CB4D84"/>
    <w:rsid w:val="00CB5EBE"/>
    <w:rsid w:val="00CB6A98"/>
    <w:rsid w:val="00CB7454"/>
    <w:rsid w:val="00CB7AE8"/>
    <w:rsid w:val="00CB7F0A"/>
    <w:rsid w:val="00CC0E83"/>
    <w:rsid w:val="00CC4E55"/>
    <w:rsid w:val="00CC6052"/>
    <w:rsid w:val="00CC624D"/>
    <w:rsid w:val="00CC6A43"/>
    <w:rsid w:val="00CD224C"/>
    <w:rsid w:val="00CD2EB1"/>
    <w:rsid w:val="00CD3BDD"/>
    <w:rsid w:val="00CD4386"/>
    <w:rsid w:val="00CD4FA3"/>
    <w:rsid w:val="00CD5C54"/>
    <w:rsid w:val="00CD7D05"/>
    <w:rsid w:val="00CE024C"/>
    <w:rsid w:val="00CE0A04"/>
    <w:rsid w:val="00CE0F01"/>
    <w:rsid w:val="00CE0FD9"/>
    <w:rsid w:val="00CE1C56"/>
    <w:rsid w:val="00CE2080"/>
    <w:rsid w:val="00CE32D7"/>
    <w:rsid w:val="00CE3362"/>
    <w:rsid w:val="00CE33E6"/>
    <w:rsid w:val="00CE383B"/>
    <w:rsid w:val="00CE4C09"/>
    <w:rsid w:val="00CE6427"/>
    <w:rsid w:val="00CE77A3"/>
    <w:rsid w:val="00CE7BC2"/>
    <w:rsid w:val="00CE7FB6"/>
    <w:rsid w:val="00CF048C"/>
    <w:rsid w:val="00CF0A50"/>
    <w:rsid w:val="00CF0FE3"/>
    <w:rsid w:val="00CF131A"/>
    <w:rsid w:val="00CF247C"/>
    <w:rsid w:val="00CF39EE"/>
    <w:rsid w:val="00CF3C6A"/>
    <w:rsid w:val="00CF5F99"/>
    <w:rsid w:val="00CF6F71"/>
    <w:rsid w:val="00CF7241"/>
    <w:rsid w:val="00CF742E"/>
    <w:rsid w:val="00D00485"/>
    <w:rsid w:val="00D007BB"/>
    <w:rsid w:val="00D01897"/>
    <w:rsid w:val="00D0276D"/>
    <w:rsid w:val="00D035C1"/>
    <w:rsid w:val="00D036B9"/>
    <w:rsid w:val="00D05360"/>
    <w:rsid w:val="00D063BC"/>
    <w:rsid w:val="00D06928"/>
    <w:rsid w:val="00D12EFD"/>
    <w:rsid w:val="00D14DAE"/>
    <w:rsid w:val="00D15E34"/>
    <w:rsid w:val="00D16763"/>
    <w:rsid w:val="00D2054D"/>
    <w:rsid w:val="00D21F08"/>
    <w:rsid w:val="00D22117"/>
    <w:rsid w:val="00D225AB"/>
    <w:rsid w:val="00D227CF"/>
    <w:rsid w:val="00D23B9C"/>
    <w:rsid w:val="00D249FF"/>
    <w:rsid w:val="00D25006"/>
    <w:rsid w:val="00D2513C"/>
    <w:rsid w:val="00D2565D"/>
    <w:rsid w:val="00D257BC"/>
    <w:rsid w:val="00D2671E"/>
    <w:rsid w:val="00D26DC5"/>
    <w:rsid w:val="00D27D43"/>
    <w:rsid w:val="00D30FF4"/>
    <w:rsid w:val="00D3246E"/>
    <w:rsid w:val="00D33053"/>
    <w:rsid w:val="00D34A39"/>
    <w:rsid w:val="00D417E0"/>
    <w:rsid w:val="00D41F02"/>
    <w:rsid w:val="00D42E60"/>
    <w:rsid w:val="00D45769"/>
    <w:rsid w:val="00D45EDA"/>
    <w:rsid w:val="00D46E5B"/>
    <w:rsid w:val="00D4739B"/>
    <w:rsid w:val="00D520B0"/>
    <w:rsid w:val="00D5226C"/>
    <w:rsid w:val="00D53474"/>
    <w:rsid w:val="00D53CB1"/>
    <w:rsid w:val="00D577F7"/>
    <w:rsid w:val="00D57A6D"/>
    <w:rsid w:val="00D57CD8"/>
    <w:rsid w:val="00D601DD"/>
    <w:rsid w:val="00D60944"/>
    <w:rsid w:val="00D648AE"/>
    <w:rsid w:val="00D64B06"/>
    <w:rsid w:val="00D655E1"/>
    <w:rsid w:val="00D660BB"/>
    <w:rsid w:val="00D661D0"/>
    <w:rsid w:val="00D702C9"/>
    <w:rsid w:val="00D710C1"/>
    <w:rsid w:val="00D711F8"/>
    <w:rsid w:val="00D7402B"/>
    <w:rsid w:val="00D7570A"/>
    <w:rsid w:val="00D75AB4"/>
    <w:rsid w:val="00D75C4F"/>
    <w:rsid w:val="00D76FE1"/>
    <w:rsid w:val="00D77502"/>
    <w:rsid w:val="00D8000B"/>
    <w:rsid w:val="00D812D9"/>
    <w:rsid w:val="00D81928"/>
    <w:rsid w:val="00D82859"/>
    <w:rsid w:val="00D82EFA"/>
    <w:rsid w:val="00D85372"/>
    <w:rsid w:val="00D8731A"/>
    <w:rsid w:val="00D875D6"/>
    <w:rsid w:val="00D87875"/>
    <w:rsid w:val="00D90366"/>
    <w:rsid w:val="00D905CF"/>
    <w:rsid w:val="00D91BB4"/>
    <w:rsid w:val="00D926C6"/>
    <w:rsid w:val="00D93A7E"/>
    <w:rsid w:val="00D93D55"/>
    <w:rsid w:val="00D9669C"/>
    <w:rsid w:val="00DA1FAF"/>
    <w:rsid w:val="00DA394B"/>
    <w:rsid w:val="00DA41FE"/>
    <w:rsid w:val="00DA47E2"/>
    <w:rsid w:val="00DA4A86"/>
    <w:rsid w:val="00DA55DB"/>
    <w:rsid w:val="00DA7621"/>
    <w:rsid w:val="00DB0DCB"/>
    <w:rsid w:val="00DB111D"/>
    <w:rsid w:val="00DB1C40"/>
    <w:rsid w:val="00DB2150"/>
    <w:rsid w:val="00DB222F"/>
    <w:rsid w:val="00DB2C46"/>
    <w:rsid w:val="00DB438C"/>
    <w:rsid w:val="00DB543F"/>
    <w:rsid w:val="00DB5971"/>
    <w:rsid w:val="00DB7785"/>
    <w:rsid w:val="00DB7A5D"/>
    <w:rsid w:val="00DC0B4F"/>
    <w:rsid w:val="00DC0CFE"/>
    <w:rsid w:val="00DC1D22"/>
    <w:rsid w:val="00DC23EC"/>
    <w:rsid w:val="00DC4961"/>
    <w:rsid w:val="00DC5522"/>
    <w:rsid w:val="00DC6CC7"/>
    <w:rsid w:val="00DC6FFA"/>
    <w:rsid w:val="00DD10FF"/>
    <w:rsid w:val="00DD11E0"/>
    <w:rsid w:val="00DD1AB2"/>
    <w:rsid w:val="00DD2BBE"/>
    <w:rsid w:val="00DD2C49"/>
    <w:rsid w:val="00DD2E07"/>
    <w:rsid w:val="00DD3FBC"/>
    <w:rsid w:val="00DD515A"/>
    <w:rsid w:val="00DE4F84"/>
    <w:rsid w:val="00DE62CC"/>
    <w:rsid w:val="00DE7F16"/>
    <w:rsid w:val="00DF0C28"/>
    <w:rsid w:val="00DF19FA"/>
    <w:rsid w:val="00DF1A5B"/>
    <w:rsid w:val="00DF2AE1"/>
    <w:rsid w:val="00DF43D4"/>
    <w:rsid w:val="00DF4D0D"/>
    <w:rsid w:val="00DF57AB"/>
    <w:rsid w:val="00DF6629"/>
    <w:rsid w:val="00DF76CC"/>
    <w:rsid w:val="00DF7972"/>
    <w:rsid w:val="00DF7F1D"/>
    <w:rsid w:val="00E00CF0"/>
    <w:rsid w:val="00E00F97"/>
    <w:rsid w:val="00E02515"/>
    <w:rsid w:val="00E02EA0"/>
    <w:rsid w:val="00E11C74"/>
    <w:rsid w:val="00E12117"/>
    <w:rsid w:val="00E15086"/>
    <w:rsid w:val="00E159E5"/>
    <w:rsid w:val="00E17136"/>
    <w:rsid w:val="00E17FE3"/>
    <w:rsid w:val="00E22148"/>
    <w:rsid w:val="00E22FDF"/>
    <w:rsid w:val="00E23CD6"/>
    <w:rsid w:val="00E24724"/>
    <w:rsid w:val="00E25E3C"/>
    <w:rsid w:val="00E270F3"/>
    <w:rsid w:val="00E2737F"/>
    <w:rsid w:val="00E308DA"/>
    <w:rsid w:val="00E335EC"/>
    <w:rsid w:val="00E336E9"/>
    <w:rsid w:val="00E33A62"/>
    <w:rsid w:val="00E34AEA"/>
    <w:rsid w:val="00E36058"/>
    <w:rsid w:val="00E373CE"/>
    <w:rsid w:val="00E37F77"/>
    <w:rsid w:val="00E4023E"/>
    <w:rsid w:val="00E4053D"/>
    <w:rsid w:val="00E4261B"/>
    <w:rsid w:val="00E4283F"/>
    <w:rsid w:val="00E44287"/>
    <w:rsid w:val="00E44997"/>
    <w:rsid w:val="00E44F49"/>
    <w:rsid w:val="00E47678"/>
    <w:rsid w:val="00E47B27"/>
    <w:rsid w:val="00E5113F"/>
    <w:rsid w:val="00E52A09"/>
    <w:rsid w:val="00E52B68"/>
    <w:rsid w:val="00E52D1F"/>
    <w:rsid w:val="00E53C7E"/>
    <w:rsid w:val="00E55051"/>
    <w:rsid w:val="00E552ED"/>
    <w:rsid w:val="00E56C2A"/>
    <w:rsid w:val="00E57542"/>
    <w:rsid w:val="00E60A48"/>
    <w:rsid w:val="00E617BE"/>
    <w:rsid w:val="00E630D9"/>
    <w:rsid w:val="00E64EBC"/>
    <w:rsid w:val="00E65064"/>
    <w:rsid w:val="00E66B16"/>
    <w:rsid w:val="00E70C65"/>
    <w:rsid w:val="00E724CB"/>
    <w:rsid w:val="00E74DE5"/>
    <w:rsid w:val="00E769D7"/>
    <w:rsid w:val="00E81CC6"/>
    <w:rsid w:val="00E85C57"/>
    <w:rsid w:val="00E85D8F"/>
    <w:rsid w:val="00E878A8"/>
    <w:rsid w:val="00E8792E"/>
    <w:rsid w:val="00E932DA"/>
    <w:rsid w:val="00E9462C"/>
    <w:rsid w:val="00E9593C"/>
    <w:rsid w:val="00E97A99"/>
    <w:rsid w:val="00EA05D0"/>
    <w:rsid w:val="00EA0777"/>
    <w:rsid w:val="00EA0F09"/>
    <w:rsid w:val="00EA61EF"/>
    <w:rsid w:val="00EA75BD"/>
    <w:rsid w:val="00EA7925"/>
    <w:rsid w:val="00EA7A88"/>
    <w:rsid w:val="00EB01A8"/>
    <w:rsid w:val="00EB1EB2"/>
    <w:rsid w:val="00EB42FF"/>
    <w:rsid w:val="00EB7C26"/>
    <w:rsid w:val="00EC0C8E"/>
    <w:rsid w:val="00EC0CC0"/>
    <w:rsid w:val="00EC1634"/>
    <w:rsid w:val="00EC29BF"/>
    <w:rsid w:val="00EC3A98"/>
    <w:rsid w:val="00EC6577"/>
    <w:rsid w:val="00EC6A06"/>
    <w:rsid w:val="00ED0CDB"/>
    <w:rsid w:val="00ED14F5"/>
    <w:rsid w:val="00ED2777"/>
    <w:rsid w:val="00ED32C9"/>
    <w:rsid w:val="00ED3B40"/>
    <w:rsid w:val="00ED5E1B"/>
    <w:rsid w:val="00ED662B"/>
    <w:rsid w:val="00EE040F"/>
    <w:rsid w:val="00EE0A97"/>
    <w:rsid w:val="00EE3840"/>
    <w:rsid w:val="00EE3A50"/>
    <w:rsid w:val="00EE4801"/>
    <w:rsid w:val="00EE559A"/>
    <w:rsid w:val="00EE6E24"/>
    <w:rsid w:val="00EE72AE"/>
    <w:rsid w:val="00EE746A"/>
    <w:rsid w:val="00EF1730"/>
    <w:rsid w:val="00EF1C32"/>
    <w:rsid w:val="00EF2872"/>
    <w:rsid w:val="00EF3C90"/>
    <w:rsid w:val="00EF5586"/>
    <w:rsid w:val="00EF6416"/>
    <w:rsid w:val="00EF7C46"/>
    <w:rsid w:val="00F01337"/>
    <w:rsid w:val="00F028A7"/>
    <w:rsid w:val="00F02E2F"/>
    <w:rsid w:val="00F04255"/>
    <w:rsid w:val="00F054A6"/>
    <w:rsid w:val="00F055A8"/>
    <w:rsid w:val="00F0581F"/>
    <w:rsid w:val="00F05A50"/>
    <w:rsid w:val="00F06062"/>
    <w:rsid w:val="00F0644E"/>
    <w:rsid w:val="00F11F56"/>
    <w:rsid w:val="00F12765"/>
    <w:rsid w:val="00F12D9A"/>
    <w:rsid w:val="00F1471F"/>
    <w:rsid w:val="00F15CC7"/>
    <w:rsid w:val="00F164D3"/>
    <w:rsid w:val="00F174EB"/>
    <w:rsid w:val="00F218B5"/>
    <w:rsid w:val="00F21AEF"/>
    <w:rsid w:val="00F21CEF"/>
    <w:rsid w:val="00F22D6C"/>
    <w:rsid w:val="00F2366E"/>
    <w:rsid w:val="00F25536"/>
    <w:rsid w:val="00F256B7"/>
    <w:rsid w:val="00F26048"/>
    <w:rsid w:val="00F27555"/>
    <w:rsid w:val="00F27DDF"/>
    <w:rsid w:val="00F30203"/>
    <w:rsid w:val="00F32E58"/>
    <w:rsid w:val="00F332C0"/>
    <w:rsid w:val="00F3407B"/>
    <w:rsid w:val="00F3451B"/>
    <w:rsid w:val="00F354D9"/>
    <w:rsid w:val="00F35D63"/>
    <w:rsid w:val="00F36557"/>
    <w:rsid w:val="00F40230"/>
    <w:rsid w:val="00F40A11"/>
    <w:rsid w:val="00F426DC"/>
    <w:rsid w:val="00F428AB"/>
    <w:rsid w:val="00F44B2A"/>
    <w:rsid w:val="00F44D1C"/>
    <w:rsid w:val="00F45BB7"/>
    <w:rsid w:val="00F50183"/>
    <w:rsid w:val="00F52699"/>
    <w:rsid w:val="00F53709"/>
    <w:rsid w:val="00F53A2C"/>
    <w:rsid w:val="00F553E8"/>
    <w:rsid w:val="00F57B9E"/>
    <w:rsid w:val="00F57FF1"/>
    <w:rsid w:val="00F63EB2"/>
    <w:rsid w:val="00F643DB"/>
    <w:rsid w:val="00F64938"/>
    <w:rsid w:val="00F66506"/>
    <w:rsid w:val="00F66AC1"/>
    <w:rsid w:val="00F67D6A"/>
    <w:rsid w:val="00F7049B"/>
    <w:rsid w:val="00F71432"/>
    <w:rsid w:val="00F717E4"/>
    <w:rsid w:val="00F7199D"/>
    <w:rsid w:val="00F71D85"/>
    <w:rsid w:val="00F73168"/>
    <w:rsid w:val="00F7353A"/>
    <w:rsid w:val="00F75F1B"/>
    <w:rsid w:val="00F76A75"/>
    <w:rsid w:val="00F76F01"/>
    <w:rsid w:val="00F7786E"/>
    <w:rsid w:val="00F77C78"/>
    <w:rsid w:val="00F77D56"/>
    <w:rsid w:val="00F81FEF"/>
    <w:rsid w:val="00F83F13"/>
    <w:rsid w:val="00F842AA"/>
    <w:rsid w:val="00F84675"/>
    <w:rsid w:val="00F85D26"/>
    <w:rsid w:val="00F8739C"/>
    <w:rsid w:val="00F90591"/>
    <w:rsid w:val="00F90A90"/>
    <w:rsid w:val="00F91652"/>
    <w:rsid w:val="00F9243D"/>
    <w:rsid w:val="00F93468"/>
    <w:rsid w:val="00F93F80"/>
    <w:rsid w:val="00F950E2"/>
    <w:rsid w:val="00F954F4"/>
    <w:rsid w:val="00F9574C"/>
    <w:rsid w:val="00F97656"/>
    <w:rsid w:val="00F97A33"/>
    <w:rsid w:val="00F97AB4"/>
    <w:rsid w:val="00F97F30"/>
    <w:rsid w:val="00FA1441"/>
    <w:rsid w:val="00FA1E98"/>
    <w:rsid w:val="00FA2B46"/>
    <w:rsid w:val="00FA2CBA"/>
    <w:rsid w:val="00FA3228"/>
    <w:rsid w:val="00FA3753"/>
    <w:rsid w:val="00FA48CD"/>
    <w:rsid w:val="00FA4D35"/>
    <w:rsid w:val="00FB07FA"/>
    <w:rsid w:val="00FB088B"/>
    <w:rsid w:val="00FB1CA1"/>
    <w:rsid w:val="00FB39EC"/>
    <w:rsid w:val="00FB51EA"/>
    <w:rsid w:val="00FB5B3F"/>
    <w:rsid w:val="00FB5C69"/>
    <w:rsid w:val="00FB7186"/>
    <w:rsid w:val="00FC0CE1"/>
    <w:rsid w:val="00FC2D3D"/>
    <w:rsid w:val="00FC3D77"/>
    <w:rsid w:val="00FC4FAA"/>
    <w:rsid w:val="00FC5424"/>
    <w:rsid w:val="00FD0EB1"/>
    <w:rsid w:val="00FD13E9"/>
    <w:rsid w:val="00FD2D9A"/>
    <w:rsid w:val="00FD6403"/>
    <w:rsid w:val="00FE10BA"/>
    <w:rsid w:val="00FE17DD"/>
    <w:rsid w:val="00FE1EC1"/>
    <w:rsid w:val="00FE2634"/>
    <w:rsid w:val="00FE2A7E"/>
    <w:rsid w:val="00FE2D63"/>
    <w:rsid w:val="00FE4DAA"/>
    <w:rsid w:val="00FE6E6E"/>
    <w:rsid w:val="00FE6FA9"/>
    <w:rsid w:val="00FE7346"/>
    <w:rsid w:val="00FE7A17"/>
    <w:rsid w:val="00FF016B"/>
    <w:rsid w:val="00FF0456"/>
    <w:rsid w:val="00FF0EAE"/>
    <w:rsid w:val="00FF2EFF"/>
    <w:rsid w:val="00FF2F3B"/>
    <w:rsid w:val="00FF3C6F"/>
    <w:rsid w:val="00FF4671"/>
    <w:rsid w:val="00FF5710"/>
    <w:rsid w:val="00FF6662"/>
    <w:rsid w:val="029642D2"/>
    <w:rsid w:val="03457F10"/>
    <w:rsid w:val="05F5263F"/>
    <w:rsid w:val="06D4A483"/>
    <w:rsid w:val="0769B3F5"/>
    <w:rsid w:val="0844BEC5"/>
    <w:rsid w:val="09BB0EF0"/>
    <w:rsid w:val="0B9517AA"/>
    <w:rsid w:val="0F7EE907"/>
    <w:rsid w:val="10DF02EA"/>
    <w:rsid w:val="138AFD41"/>
    <w:rsid w:val="14F39E6A"/>
    <w:rsid w:val="14FA6798"/>
    <w:rsid w:val="15D4601E"/>
    <w:rsid w:val="17469794"/>
    <w:rsid w:val="1799ACC4"/>
    <w:rsid w:val="18E267F5"/>
    <w:rsid w:val="19F642B6"/>
    <w:rsid w:val="1DDD1FB6"/>
    <w:rsid w:val="1EB9A7F2"/>
    <w:rsid w:val="1EC9B3D9"/>
    <w:rsid w:val="1FA4BEA9"/>
    <w:rsid w:val="2095BF15"/>
    <w:rsid w:val="21F148B4"/>
    <w:rsid w:val="226ADB34"/>
    <w:rsid w:val="23B75118"/>
    <w:rsid w:val="23C6F858"/>
    <w:rsid w:val="2406AB95"/>
    <w:rsid w:val="25551DAA"/>
    <w:rsid w:val="273E4C57"/>
    <w:rsid w:val="27BCA7B7"/>
    <w:rsid w:val="294D29EE"/>
    <w:rsid w:val="29D341C2"/>
    <w:rsid w:val="29E800CE"/>
    <w:rsid w:val="2A1689AD"/>
    <w:rsid w:val="2E7972B8"/>
    <w:rsid w:val="2FE62A62"/>
    <w:rsid w:val="30154319"/>
    <w:rsid w:val="30560735"/>
    <w:rsid w:val="3095CC80"/>
    <w:rsid w:val="321A7855"/>
    <w:rsid w:val="321F65EB"/>
    <w:rsid w:val="32319CE1"/>
    <w:rsid w:val="333A7A14"/>
    <w:rsid w:val="336444B1"/>
    <w:rsid w:val="33EB7127"/>
    <w:rsid w:val="35ABA4DC"/>
    <w:rsid w:val="36155D4B"/>
    <w:rsid w:val="3747753D"/>
    <w:rsid w:val="37CDE1DE"/>
    <w:rsid w:val="37FD6B23"/>
    <w:rsid w:val="38E3459E"/>
    <w:rsid w:val="38E637B3"/>
    <w:rsid w:val="395089E2"/>
    <w:rsid w:val="3B1E3AC3"/>
    <w:rsid w:val="3CAF7142"/>
    <w:rsid w:val="3E1228B6"/>
    <w:rsid w:val="3E9E4C3B"/>
    <w:rsid w:val="42F219EB"/>
    <w:rsid w:val="43A825D2"/>
    <w:rsid w:val="455D8337"/>
    <w:rsid w:val="46D468A6"/>
    <w:rsid w:val="4725F318"/>
    <w:rsid w:val="47DEA7D8"/>
    <w:rsid w:val="486B8B0E"/>
    <w:rsid w:val="4C291A5C"/>
    <w:rsid w:val="4CB218FB"/>
    <w:rsid w:val="4D3B31F8"/>
    <w:rsid w:val="4D755D2F"/>
    <w:rsid w:val="4DD21ABA"/>
    <w:rsid w:val="4E11A941"/>
    <w:rsid w:val="4E38693C"/>
    <w:rsid w:val="50052354"/>
    <w:rsid w:val="5047B7BD"/>
    <w:rsid w:val="510F4D10"/>
    <w:rsid w:val="5240024E"/>
    <w:rsid w:val="5273A0C5"/>
    <w:rsid w:val="536EFB62"/>
    <w:rsid w:val="549F7B8A"/>
    <w:rsid w:val="55452080"/>
    <w:rsid w:val="56AC9A59"/>
    <w:rsid w:val="571FCB4A"/>
    <w:rsid w:val="589BF31C"/>
    <w:rsid w:val="5F8BFC6B"/>
    <w:rsid w:val="6190F43E"/>
    <w:rsid w:val="63351D71"/>
    <w:rsid w:val="63895E76"/>
    <w:rsid w:val="63A87036"/>
    <w:rsid w:val="63EAB696"/>
    <w:rsid w:val="65F62D4E"/>
    <w:rsid w:val="67B82DD0"/>
    <w:rsid w:val="68D9ACFB"/>
    <w:rsid w:val="6A0843B0"/>
    <w:rsid w:val="6A757D5C"/>
    <w:rsid w:val="6B1E615C"/>
    <w:rsid w:val="6BB127A8"/>
    <w:rsid w:val="6C38945B"/>
    <w:rsid w:val="6CD7A2F4"/>
    <w:rsid w:val="6D78707F"/>
    <w:rsid w:val="6DAA8C0A"/>
    <w:rsid w:val="6DDDE4DE"/>
    <w:rsid w:val="6E5DD7C8"/>
    <w:rsid w:val="6E8634F7"/>
    <w:rsid w:val="7248FC10"/>
    <w:rsid w:val="72808F41"/>
    <w:rsid w:val="729B7D0B"/>
    <w:rsid w:val="7499A2D7"/>
    <w:rsid w:val="78F0F422"/>
    <w:rsid w:val="7AB6903F"/>
    <w:rsid w:val="7B13268C"/>
    <w:rsid w:val="7CAEF6ED"/>
    <w:rsid w:val="7D02CAD3"/>
    <w:rsid w:val="7D547F3D"/>
    <w:rsid w:val="7EA96071"/>
    <w:rsid w:val="7EF04F9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8731778E-34F9-4229-BFB3-0303BC76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DB1"/>
  </w:style>
  <w:style w:type="paragraph" w:styleId="Heading1">
    <w:name w:val="heading 1"/>
    <w:basedOn w:val="Normal"/>
    <w:next w:val="Normal"/>
    <w:link w:val="Heading1Char"/>
    <w:uiPriority w:val="9"/>
    <w:qFormat/>
    <w:rsid w:val="00380B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80B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0B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D1280"/>
    <w:rPr>
      <w:color w:val="0000FF"/>
      <w:shd w:val="clear" w:color="auto" w:fill="auto"/>
    </w:rPr>
  </w:style>
  <w:style w:type="paragraph" w:customStyle="1" w:styleId="Pagedecouverture">
    <w:name w:val="Page de couverture"/>
    <w:basedOn w:val="Normal"/>
    <w:next w:val="Normal"/>
    <w:rsid w:val="009D1280"/>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D1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280"/>
  </w:style>
  <w:style w:type="paragraph" w:styleId="Footer">
    <w:name w:val="footer"/>
    <w:basedOn w:val="Normal"/>
    <w:link w:val="FooterChar"/>
    <w:uiPriority w:val="99"/>
    <w:unhideWhenUsed/>
    <w:rsid w:val="009D1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280"/>
  </w:style>
  <w:style w:type="paragraph" w:customStyle="1" w:styleId="FooterCoverPage">
    <w:name w:val="Footer Cover Page"/>
    <w:basedOn w:val="Normal"/>
    <w:link w:val="FooterCoverPageChar"/>
    <w:rsid w:val="009D128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1280"/>
    <w:rPr>
      <w:rFonts w:ascii="Times New Roman" w:hAnsi="Times New Roman" w:cs="Times New Roman"/>
      <w:sz w:val="24"/>
    </w:rPr>
  </w:style>
  <w:style w:type="paragraph" w:customStyle="1" w:styleId="FooterSensitivity">
    <w:name w:val="Footer Sensitivity"/>
    <w:basedOn w:val="Normal"/>
    <w:link w:val="FooterSensitivityChar"/>
    <w:rsid w:val="009D128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1280"/>
    <w:rPr>
      <w:rFonts w:ascii="Times New Roman" w:hAnsi="Times New Roman" w:cs="Times New Roman"/>
      <w:b/>
      <w:sz w:val="32"/>
    </w:rPr>
  </w:style>
  <w:style w:type="paragraph" w:customStyle="1" w:styleId="HeaderCoverPage">
    <w:name w:val="Header Cover Page"/>
    <w:basedOn w:val="Normal"/>
    <w:link w:val="HeaderCoverPageChar"/>
    <w:rsid w:val="009D128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1280"/>
    <w:rPr>
      <w:rFonts w:ascii="Times New Roman" w:hAnsi="Times New Roman" w:cs="Times New Roman"/>
      <w:sz w:val="24"/>
    </w:rPr>
  </w:style>
  <w:style w:type="paragraph" w:customStyle="1" w:styleId="HeaderSensitivity">
    <w:name w:val="Header Sensitivity"/>
    <w:basedOn w:val="Normal"/>
    <w:link w:val="HeaderSensitivityChar"/>
    <w:rsid w:val="009D128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1280"/>
    <w:rPr>
      <w:rFonts w:ascii="Times New Roman" w:hAnsi="Times New Roman" w:cs="Times New Roman"/>
      <w:b/>
      <w:sz w:val="32"/>
    </w:rPr>
  </w:style>
  <w:style w:type="paragraph" w:customStyle="1" w:styleId="HeaderSensitivityRight">
    <w:name w:val="Header Sensitivity Right"/>
    <w:basedOn w:val="Normal"/>
    <w:link w:val="HeaderSensitivityRightChar"/>
    <w:rsid w:val="009D128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1280"/>
    <w:rPr>
      <w:rFonts w:ascii="Times New Roman" w:hAnsi="Times New Roman" w:cs="Times New Roman"/>
      <w:sz w:val="28"/>
    </w:rPr>
  </w:style>
  <w:style w:type="paragraph" w:styleId="FootnoteText">
    <w:name w:val="footnote text"/>
    <w:aliases w:val="FWC Footnote Text,Tekst przypisu,Footnote Text Char1,Footnote Text Char1 Char Char,Footnote Text Char Char Char Char,Footnote Text Char1 Char Char Char Char,Footnote Text Char Char Char Char Char Char,Char1,Fußnotentextf,Fußnote,Geneva 9,f"/>
    <w:basedOn w:val="Normal"/>
    <w:link w:val="FootnoteTextChar"/>
    <w:uiPriority w:val="99"/>
    <w:unhideWhenUsed/>
    <w:qFormat/>
    <w:rsid w:val="00E44997"/>
    <w:pPr>
      <w:spacing w:after="0" w:line="240" w:lineRule="auto"/>
      <w:jc w:val="both"/>
    </w:pPr>
    <w:rPr>
      <w:rFonts w:ascii="Verdana" w:hAnsi="Verdana"/>
      <w:sz w:val="20"/>
      <w:szCs w:val="20"/>
    </w:rPr>
  </w:style>
  <w:style w:type="character" w:customStyle="1" w:styleId="FootnoteTextChar">
    <w:name w:val="Footnote Text Char"/>
    <w:aliases w:val="FWC Footnote Text Char,Tekst przypisu Char,Footnote Text Char1 Char,Footnote Text Char1 Char Char Char,Footnote Text Char Char Char Char Char,Footnote Text Char1 Char Char Char Char Char,Char1 Char,Fußnotentextf Char,Fußnote Char"/>
    <w:basedOn w:val="DefaultParagraphFont"/>
    <w:link w:val="FootnoteText"/>
    <w:uiPriority w:val="99"/>
    <w:qFormat/>
    <w:rsid w:val="00E44997"/>
    <w:rPr>
      <w:rFonts w:ascii="Verdana" w:hAnsi="Verdana"/>
      <w:sz w:val="20"/>
      <w:szCs w:val="20"/>
    </w:rPr>
  </w:style>
  <w:style w:type="character" w:styleId="FootnoteReference">
    <w:name w:val="footnote reference"/>
    <w:aliases w:val="Footnote symbol,Footnote reference number,Times 10 Point,Exposant 3 Point,EN Footnote Reference,note TESI,Footnotes refss,Fussnota,texto nota a pie,ftref,BVI fnr,Footnote Reference Number,fr,E...,Footnote,N,Знак сноски-FN,callout,vnv"/>
    <w:basedOn w:val="DefaultParagraphFont"/>
    <w:link w:val="FootnoteReferneceCarcter"/>
    <w:uiPriority w:val="99"/>
    <w:unhideWhenUsed/>
    <w:qFormat/>
    <w:rsid w:val="00E44997"/>
    <w:rPr>
      <w:vertAlign w:val="superscript"/>
    </w:rPr>
  </w:style>
  <w:style w:type="character" w:styleId="CommentReference">
    <w:name w:val="annotation reference"/>
    <w:basedOn w:val="DefaultParagraphFont"/>
    <w:uiPriority w:val="99"/>
    <w:unhideWhenUsed/>
    <w:rsid w:val="00E44997"/>
    <w:rPr>
      <w:sz w:val="16"/>
      <w:szCs w:val="16"/>
    </w:rPr>
  </w:style>
  <w:style w:type="paragraph" w:styleId="CommentText">
    <w:name w:val="annotation text"/>
    <w:basedOn w:val="Normal"/>
    <w:link w:val="CommentTextChar"/>
    <w:unhideWhenUsed/>
    <w:rsid w:val="00E44997"/>
    <w:pPr>
      <w:spacing w:after="0" w:line="240" w:lineRule="auto"/>
      <w:jc w:val="both"/>
    </w:pPr>
    <w:rPr>
      <w:rFonts w:ascii="Verdana" w:hAnsi="Verdana"/>
      <w:sz w:val="20"/>
      <w:szCs w:val="20"/>
    </w:rPr>
  </w:style>
  <w:style w:type="character" w:customStyle="1" w:styleId="CommentTextChar">
    <w:name w:val="Comment Text Char"/>
    <w:basedOn w:val="DefaultParagraphFont"/>
    <w:link w:val="CommentText"/>
    <w:rsid w:val="00E44997"/>
    <w:rPr>
      <w:rFonts w:ascii="Verdana" w:hAnsi="Verdana"/>
      <w:sz w:val="20"/>
      <w:szCs w:val="20"/>
    </w:rPr>
  </w:style>
  <w:style w:type="character" w:styleId="Hyperlink">
    <w:name w:val="Hyperlink"/>
    <w:basedOn w:val="DefaultParagraphFont"/>
    <w:uiPriority w:val="99"/>
    <w:unhideWhenUsed/>
    <w:qFormat/>
    <w:rsid w:val="00E44997"/>
    <w:rPr>
      <w:color w:val="0563C1" w:themeColor="hyperlink"/>
      <w:u w:val="single"/>
    </w:rPr>
  </w:style>
  <w:style w:type="table" w:styleId="TableGrid">
    <w:name w:val="Table Grid"/>
    <w:basedOn w:val="TableNormal"/>
    <w:uiPriority w:val="39"/>
    <w:rsid w:val="00E4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4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4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99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24D8A"/>
    <w:pPr>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A24D8A"/>
    <w:rPr>
      <w:rFonts w:ascii="Verdana" w:hAnsi="Verdana"/>
      <w:b/>
      <w:bCs/>
      <w:sz w:val="20"/>
      <w:szCs w:val="20"/>
    </w:rPr>
  </w:style>
  <w:style w:type="character" w:styleId="FollowedHyperlink">
    <w:name w:val="FollowedHyperlink"/>
    <w:basedOn w:val="DefaultParagraphFont"/>
    <w:uiPriority w:val="99"/>
    <w:semiHidden/>
    <w:unhideWhenUsed/>
    <w:rsid w:val="00794C76"/>
    <w:rPr>
      <w:color w:val="954F72" w:themeColor="followedHyperlink"/>
      <w:u w:val="single"/>
    </w:rPr>
  </w:style>
  <w:style w:type="paragraph" w:styleId="ListParagraph">
    <w:name w:val="List Paragraph"/>
    <w:basedOn w:val="Normal"/>
    <w:uiPriority w:val="34"/>
    <w:qFormat/>
    <w:rsid w:val="002F6100"/>
    <w:pPr>
      <w:ind w:left="720"/>
      <w:contextualSpacing/>
    </w:pPr>
  </w:style>
  <w:style w:type="paragraph" w:styleId="NormalWeb">
    <w:name w:val="Normal (Web)"/>
    <w:basedOn w:val="Normal"/>
    <w:uiPriority w:val="99"/>
    <w:unhideWhenUsed/>
    <w:rsid w:val="002F61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F950E2"/>
    <w:pPr>
      <w:spacing w:after="0" w:line="240" w:lineRule="auto"/>
    </w:pPr>
  </w:style>
  <w:style w:type="paragraph" w:customStyle="1" w:styleId="FootnoteReferneceCarcter">
    <w:name w:val="Footnote Refernece Carácter"/>
    <w:aliases w:val="ftref Carácter,4_G Carácter"/>
    <w:basedOn w:val="Normal"/>
    <w:link w:val="FootnoteReference"/>
    <w:uiPriority w:val="99"/>
    <w:rsid w:val="0039601F"/>
    <w:pPr>
      <w:spacing w:before="120" w:line="240" w:lineRule="exact"/>
      <w:jc w:val="both"/>
    </w:pPr>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autoRedefine/>
    <w:uiPriority w:val="99"/>
    <w:rsid w:val="00BC2362"/>
    <w:pPr>
      <w:spacing w:before="120" w:line="240" w:lineRule="exact"/>
      <w:jc w:val="both"/>
    </w:pPr>
    <w:rPr>
      <w:vertAlign w:val="superscript"/>
    </w:rPr>
  </w:style>
  <w:style w:type="paragraph" w:customStyle="1" w:styleId="2022Head1">
    <w:name w:val="2022 Head1"/>
    <w:basedOn w:val="Normal"/>
    <w:link w:val="2022Head1Char"/>
    <w:qFormat/>
    <w:rsid w:val="002B7E5B"/>
    <w:pPr>
      <w:tabs>
        <w:tab w:val="left" w:pos="567"/>
      </w:tabs>
      <w:spacing w:before="240" w:after="180" w:line="240" w:lineRule="auto"/>
      <w:ind w:left="567" w:hanging="567"/>
      <w:jc w:val="both"/>
    </w:pPr>
    <w:rPr>
      <w:rFonts w:ascii="EC Square Sans Pro" w:hAnsi="EC Square Sans Pro"/>
      <w:b/>
      <w:bCs/>
      <w:color w:val="DF4E2B"/>
      <w:sz w:val="28"/>
      <w:szCs w:val="28"/>
    </w:rPr>
  </w:style>
  <w:style w:type="paragraph" w:customStyle="1" w:styleId="2022Head2">
    <w:name w:val="2022 Head2"/>
    <w:basedOn w:val="Normal"/>
    <w:link w:val="2022Head2Char"/>
    <w:qFormat/>
    <w:rsid w:val="002B7E5B"/>
    <w:pPr>
      <w:tabs>
        <w:tab w:val="left" w:pos="567"/>
      </w:tabs>
      <w:spacing w:before="240" w:after="120" w:line="240" w:lineRule="auto"/>
      <w:ind w:left="567" w:hanging="567"/>
      <w:jc w:val="both"/>
    </w:pPr>
    <w:rPr>
      <w:rFonts w:ascii="EC Square Sans Pro" w:hAnsi="EC Square Sans Pro"/>
      <w:b/>
      <w:bCs/>
      <w:color w:val="7975C8"/>
      <w:sz w:val="24"/>
      <w:szCs w:val="24"/>
    </w:rPr>
  </w:style>
  <w:style w:type="character" w:customStyle="1" w:styleId="2022Head1Char">
    <w:name w:val="2022 Head1 Char"/>
    <w:basedOn w:val="DefaultParagraphFont"/>
    <w:link w:val="2022Head1"/>
    <w:rsid w:val="002B7E5B"/>
    <w:rPr>
      <w:rFonts w:ascii="EC Square Sans Pro" w:hAnsi="EC Square Sans Pro"/>
      <w:b/>
      <w:bCs/>
      <w:color w:val="DF4E2B"/>
      <w:sz w:val="28"/>
      <w:szCs w:val="28"/>
    </w:rPr>
  </w:style>
  <w:style w:type="paragraph" w:customStyle="1" w:styleId="2022Figures">
    <w:name w:val="2022 Figures"/>
    <w:basedOn w:val="Normal"/>
    <w:link w:val="2022FiguresChar"/>
    <w:qFormat/>
    <w:rsid w:val="00584F7C"/>
    <w:pPr>
      <w:keepNext/>
      <w:keepLines/>
      <w:shd w:val="clear" w:color="auto" w:fill="7975C8"/>
      <w:spacing w:after="60" w:line="240" w:lineRule="auto"/>
      <w:jc w:val="center"/>
    </w:pPr>
    <w:rPr>
      <w:rFonts w:ascii="EC Square Sans Pro" w:hAnsi="EC Square Sans Pro"/>
      <w:b/>
      <w:color w:val="FFFFFF" w:themeColor="background1"/>
      <w:sz w:val="20"/>
      <w:szCs w:val="20"/>
    </w:rPr>
  </w:style>
  <w:style w:type="character" w:customStyle="1" w:styleId="2022Head2Char">
    <w:name w:val="2022 Head2 Char"/>
    <w:basedOn w:val="DefaultParagraphFont"/>
    <w:link w:val="2022Head2"/>
    <w:rsid w:val="002B7E5B"/>
    <w:rPr>
      <w:rFonts w:ascii="EC Square Sans Pro" w:hAnsi="EC Square Sans Pro"/>
      <w:b/>
      <w:bCs/>
      <w:color w:val="7975C8"/>
      <w:sz w:val="24"/>
      <w:szCs w:val="24"/>
    </w:rPr>
  </w:style>
  <w:style w:type="character" w:customStyle="1" w:styleId="Heading1Char">
    <w:name w:val="Heading 1 Char"/>
    <w:basedOn w:val="DefaultParagraphFont"/>
    <w:link w:val="Heading1"/>
    <w:uiPriority w:val="9"/>
    <w:rsid w:val="00380B65"/>
    <w:rPr>
      <w:rFonts w:asciiTheme="majorHAnsi" w:eastAsiaTheme="majorEastAsia" w:hAnsiTheme="majorHAnsi" w:cstheme="majorBidi"/>
      <w:color w:val="2E74B5" w:themeColor="accent1" w:themeShade="BF"/>
      <w:sz w:val="32"/>
      <w:szCs w:val="32"/>
    </w:rPr>
  </w:style>
  <w:style w:type="character" w:customStyle="1" w:styleId="2022FiguresChar">
    <w:name w:val="2022 Figures Char"/>
    <w:basedOn w:val="DefaultParagraphFont"/>
    <w:link w:val="2022Figures"/>
    <w:rsid w:val="00584F7C"/>
    <w:rPr>
      <w:rFonts w:ascii="EC Square Sans Pro" w:hAnsi="EC Square Sans Pro"/>
      <w:b/>
      <w:color w:val="FFFFFF" w:themeColor="background1"/>
      <w:sz w:val="20"/>
      <w:szCs w:val="20"/>
      <w:shd w:val="clear" w:color="auto" w:fill="7975C8"/>
    </w:rPr>
  </w:style>
  <w:style w:type="character" w:customStyle="1" w:styleId="Heading2Char">
    <w:name w:val="Heading 2 Char"/>
    <w:basedOn w:val="DefaultParagraphFont"/>
    <w:link w:val="Heading2"/>
    <w:uiPriority w:val="9"/>
    <w:semiHidden/>
    <w:rsid w:val="00380B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80B65"/>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1C0F0D"/>
    <w:pPr>
      <w:tabs>
        <w:tab w:val="left" w:pos="440"/>
        <w:tab w:val="right" w:leader="dot" w:pos="9060"/>
      </w:tabs>
      <w:spacing w:after="100"/>
      <w:ind w:left="426" w:hanging="426"/>
    </w:pPr>
    <w:rPr>
      <w:b/>
      <w:noProof/>
      <w:color w:val="7975C8"/>
    </w:rPr>
  </w:style>
  <w:style w:type="paragraph" w:styleId="TOC2">
    <w:name w:val="toc 2"/>
    <w:basedOn w:val="Normal"/>
    <w:next w:val="Normal"/>
    <w:autoRedefine/>
    <w:uiPriority w:val="39"/>
    <w:unhideWhenUsed/>
    <w:rsid w:val="001C0F0D"/>
    <w:pPr>
      <w:tabs>
        <w:tab w:val="left" w:pos="880"/>
        <w:tab w:val="right" w:leader="dot" w:pos="9060"/>
      </w:tabs>
      <w:spacing w:after="100"/>
      <w:ind w:left="851" w:hanging="631"/>
    </w:pPr>
  </w:style>
  <w:style w:type="character" w:styleId="Strong">
    <w:name w:val="Strong"/>
    <w:basedOn w:val="DefaultParagraphFont"/>
    <w:uiPriority w:val="22"/>
    <w:qFormat/>
    <w:rsid w:val="00BD5D13"/>
    <w:rPr>
      <w:b/>
      <w:bCs/>
    </w:rPr>
  </w:style>
  <w:style w:type="table" w:customStyle="1" w:styleId="TableGrid2">
    <w:name w:val="Table Grid2"/>
    <w:basedOn w:val="TableNormal"/>
    <w:next w:val="TableGrid"/>
    <w:uiPriority w:val="39"/>
    <w:rsid w:val="001E6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53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453420">
      <w:bodyDiv w:val="1"/>
      <w:marLeft w:val="0"/>
      <w:marRight w:val="0"/>
      <w:marTop w:val="0"/>
      <w:marBottom w:val="0"/>
      <w:divBdr>
        <w:top w:val="none" w:sz="0" w:space="0" w:color="auto"/>
        <w:left w:val="none" w:sz="0" w:space="0" w:color="auto"/>
        <w:bottom w:val="none" w:sz="0" w:space="0" w:color="auto"/>
        <w:right w:val="none" w:sz="0" w:space="0" w:color="auto"/>
      </w:divBdr>
    </w:div>
    <w:div w:id="578103403">
      <w:bodyDiv w:val="1"/>
      <w:marLeft w:val="0"/>
      <w:marRight w:val="0"/>
      <w:marTop w:val="0"/>
      <w:marBottom w:val="0"/>
      <w:divBdr>
        <w:top w:val="none" w:sz="0" w:space="0" w:color="auto"/>
        <w:left w:val="none" w:sz="0" w:space="0" w:color="auto"/>
        <w:bottom w:val="none" w:sz="0" w:space="0" w:color="auto"/>
        <w:right w:val="none" w:sz="0" w:space="0" w:color="auto"/>
      </w:divBdr>
    </w:div>
    <w:div w:id="744570929">
      <w:bodyDiv w:val="1"/>
      <w:marLeft w:val="0"/>
      <w:marRight w:val="0"/>
      <w:marTop w:val="0"/>
      <w:marBottom w:val="0"/>
      <w:divBdr>
        <w:top w:val="none" w:sz="0" w:space="0" w:color="auto"/>
        <w:left w:val="none" w:sz="0" w:space="0" w:color="auto"/>
        <w:bottom w:val="none" w:sz="0" w:space="0" w:color="auto"/>
        <w:right w:val="none" w:sz="0" w:space="0" w:color="auto"/>
      </w:divBdr>
    </w:div>
    <w:div w:id="838693282">
      <w:bodyDiv w:val="1"/>
      <w:marLeft w:val="0"/>
      <w:marRight w:val="0"/>
      <w:marTop w:val="0"/>
      <w:marBottom w:val="0"/>
      <w:divBdr>
        <w:top w:val="none" w:sz="0" w:space="0" w:color="auto"/>
        <w:left w:val="none" w:sz="0" w:space="0" w:color="auto"/>
        <w:bottom w:val="none" w:sz="0" w:space="0" w:color="auto"/>
        <w:right w:val="none" w:sz="0" w:space="0" w:color="auto"/>
      </w:divBdr>
    </w:div>
    <w:div w:id="902452099">
      <w:bodyDiv w:val="1"/>
      <w:marLeft w:val="0"/>
      <w:marRight w:val="0"/>
      <w:marTop w:val="0"/>
      <w:marBottom w:val="0"/>
      <w:divBdr>
        <w:top w:val="none" w:sz="0" w:space="0" w:color="auto"/>
        <w:left w:val="none" w:sz="0" w:space="0" w:color="auto"/>
        <w:bottom w:val="none" w:sz="0" w:space="0" w:color="auto"/>
        <w:right w:val="none" w:sz="0" w:space="0" w:color="auto"/>
      </w:divBdr>
    </w:div>
    <w:div w:id="971327836">
      <w:bodyDiv w:val="1"/>
      <w:marLeft w:val="0"/>
      <w:marRight w:val="0"/>
      <w:marTop w:val="0"/>
      <w:marBottom w:val="0"/>
      <w:divBdr>
        <w:top w:val="none" w:sz="0" w:space="0" w:color="auto"/>
        <w:left w:val="none" w:sz="0" w:space="0" w:color="auto"/>
        <w:bottom w:val="none" w:sz="0" w:space="0" w:color="auto"/>
        <w:right w:val="none" w:sz="0" w:space="0" w:color="auto"/>
      </w:divBdr>
    </w:div>
    <w:div w:id="1011298713">
      <w:bodyDiv w:val="1"/>
      <w:marLeft w:val="0"/>
      <w:marRight w:val="0"/>
      <w:marTop w:val="0"/>
      <w:marBottom w:val="0"/>
      <w:divBdr>
        <w:top w:val="none" w:sz="0" w:space="0" w:color="auto"/>
        <w:left w:val="none" w:sz="0" w:space="0" w:color="auto"/>
        <w:bottom w:val="none" w:sz="0" w:space="0" w:color="auto"/>
        <w:right w:val="none" w:sz="0" w:space="0" w:color="auto"/>
      </w:divBdr>
    </w:div>
    <w:div w:id="1121994177">
      <w:bodyDiv w:val="1"/>
      <w:marLeft w:val="0"/>
      <w:marRight w:val="0"/>
      <w:marTop w:val="0"/>
      <w:marBottom w:val="0"/>
      <w:divBdr>
        <w:top w:val="none" w:sz="0" w:space="0" w:color="auto"/>
        <w:left w:val="none" w:sz="0" w:space="0" w:color="auto"/>
        <w:bottom w:val="none" w:sz="0" w:space="0" w:color="auto"/>
        <w:right w:val="none" w:sz="0" w:space="0" w:color="auto"/>
      </w:divBdr>
    </w:div>
    <w:div w:id="1168793109">
      <w:bodyDiv w:val="1"/>
      <w:marLeft w:val="0"/>
      <w:marRight w:val="0"/>
      <w:marTop w:val="0"/>
      <w:marBottom w:val="0"/>
      <w:divBdr>
        <w:top w:val="none" w:sz="0" w:space="0" w:color="auto"/>
        <w:left w:val="none" w:sz="0" w:space="0" w:color="auto"/>
        <w:bottom w:val="none" w:sz="0" w:space="0" w:color="auto"/>
        <w:right w:val="none" w:sz="0" w:space="0" w:color="auto"/>
      </w:divBdr>
    </w:div>
    <w:div w:id="209728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consilium.europa.eu/fr/press/press-releases/2017/03/25/rome-declaration/pdf" TargetMode="External"/><Relationship Id="rId26" Type="http://schemas.openxmlformats.org/officeDocument/2006/relationships/hyperlink" Target="https://eur-lex.europa.eu/legal-content/FR/TXT/?uri=CELEX%3A52022XG0421%2802%29&amp;qid=1651054135484" TargetMode="External"/><Relationship Id="rId39" Type="http://schemas.openxmlformats.org/officeDocument/2006/relationships/hyperlink" Target="https://eur-lex.europa.eu/legal-content/FR/TXT/?uri=CELEX:52022DC0332" TargetMode="External"/><Relationship Id="rId21" Type="http://schemas.openxmlformats.org/officeDocument/2006/relationships/hyperlink" Target="https://erasmus-plus.ec.europa.eu/fr/about-erasmus/what-is-erasmus" TargetMode="External"/><Relationship Id="rId34" Type="http://schemas.openxmlformats.org/officeDocument/2006/relationships/hyperlink" Target="https://eur-lex.europa.eu/legal-content/FR/TXT/?uri=CELEX%3A32021G1210%2801%29&amp;qid=1639136492674" TargetMode="External"/><Relationship Id="rId42" Type="http://schemas.openxmlformats.org/officeDocument/2006/relationships/chart" Target="charts/chart1.xml"/><Relationship Id="rId47" Type="http://schemas.openxmlformats.org/officeDocument/2006/relationships/hyperlink" Target="https://eur-lex.europa.eu/legal-content/FR/ALL/?uri=CELEX:32021G0226(01)"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ducation.ec.europa.eu/sites/default/files/2022-01/communication-european-strategy-for-universities-graphic-version.pdf" TargetMode="External"/><Relationship Id="rId33" Type="http://schemas.openxmlformats.org/officeDocument/2006/relationships/hyperlink" Target="https://education-for-climate.ec.europa.eu/" TargetMode="External"/><Relationship Id="rId38" Type="http://schemas.openxmlformats.org/officeDocument/2006/relationships/hyperlink" Target="https://education.ec.europa.eu/fr/focus-topics/digital-education/action-plan/european-digital-education-hub" TargetMode="External"/><Relationship Id="rId46" Type="http://schemas.openxmlformats.org/officeDocument/2006/relationships/hyperlink" Target="https://europa.eu/capacity4dev/wbt-team-europ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ur-lex.europa.eu/legal-content/FR/TXT/?uri=CELEX%3A52020DC0625" TargetMode="External"/><Relationship Id="rId29" Type="http://schemas.openxmlformats.org/officeDocument/2006/relationships/hyperlink" Target="https://eur-lex.europa.eu/legal-content/FR/TXT/?uri=CELEX:32022H0627(01)" TargetMode="External"/><Relationship Id="rId41" Type="http://schemas.openxmlformats.org/officeDocument/2006/relationships/hyperlink" Target="https://eur-lex.europa.eu/legal-content/FR/TXT/?uri=celex%3A32011H0707%2801%29"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legal-content/FR/TXT/?uri=CELEX%3A32022H0411%2801%29" TargetMode="External"/><Relationship Id="rId32" Type="http://schemas.openxmlformats.org/officeDocument/2006/relationships/hyperlink" Target="https://eismea.ec.europa.eu/news/empowering-women-and-girls-through-digital-and-entrepreneurial-competences-esteam-fests-and-2022-03-07_en" TargetMode="External"/><Relationship Id="rId37" Type="http://schemas.openxmlformats.org/officeDocument/2006/relationships/hyperlink" Target="https://epale.ec.europa.eu/fr/practitioners-in-vet" TargetMode="External"/><Relationship Id="rId40" Type="http://schemas.openxmlformats.org/officeDocument/2006/relationships/hyperlink" Target="https://ec.europa.eu/home-affairs/policies/migration-and-asylum/common-european-asylum-system/temporary-protection_en" TargetMode="External"/><Relationship Id="rId45" Type="http://schemas.openxmlformats.org/officeDocument/2006/relationships/hyperlink" Target="https://ec.europa.eu/info/strategy/priorities-2019-2024/stronger-europe-world/global-gateway_fr" TargetMode="External"/><Relationship Id="rId53"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FR/TXT/?uri=CELEX%3A32021H1214%2801%29" TargetMode="External"/><Relationship Id="rId28" Type="http://schemas.openxmlformats.org/officeDocument/2006/relationships/hyperlink" Target="https://eur-lex.europa.eu/legal-content/FR/TXT/?uri=CELEX:32022H0627(02)" TargetMode="External"/><Relationship Id="rId36" Type="http://schemas.openxmlformats.org/officeDocument/2006/relationships/hyperlink" Target="https://school-education.ec.europa.eu/fr"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ec.europa.eu/info/strategy/priorities-2019-2024/economy-works-people/jobs-growth-and-investment/european-pillar-social-rights/european-pillar-social-rights-20-principles_fr" TargetMode="External"/><Relationship Id="rId31" Type="http://schemas.openxmlformats.org/officeDocument/2006/relationships/hyperlink" Target="https://eit.europa.eu/our-activities/opportunities/digital-and-entrepreneurship-skills-circular-economy-girls-go-circular" TargetMode="External"/><Relationship Id="rId44" Type="http://schemas.openxmlformats.org/officeDocument/2006/relationships/hyperlink" Target="https://joint-research-centre.ec.europa.eu/greencomp-european-sustainability-competence-framework_en" TargetMode="External"/><Relationship Id="rId52"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rasmus-plus.ec.europa.eu/document/commission-decision-framework-inclusion-2021-27" TargetMode="External"/><Relationship Id="rId27" Type="http://schemas.openxmlformats.org/officeDocument/2006/relationships/hyperlink" Target="https://eur-lex.europa.eu/legal-content/FR/TXT/?uri=CELEX%3A32022H0413%2801%29" TargetMode="External"/><Relationship Id="rId30" Type="http://schemas.openxmlformats.org/officeDocument/2006/relationships/hyperlink" Target="https://eur-lex.europa.eu/legal-content/FR/TXT/?uri=CELEX:52022DC0316" TargetMode="External"/><Relationship Id="rId35" Type="http://schemas.openxmlformats.org/officeDocument/2006/relationships/hyperlink" Target="https://education.ec.europa.eu/" TargetMode="External"/><Relationship Id="rId43" Type="http://schemas.openxmlformats.org/officeDocument/2006/relationships/hyperlink" Target="https://data.consilium.europa.eu/doc/document/ST-9242-2022-INIT/fr/pdf" TargetMode="External"/><Relationship Id="rId4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survey/runner/GirlsESTEAMCommunity" TargetMode="External"/><Relationship Id="rId13" Type="http://schemas.openxmlformats.org/officeDocument/2006/relationships/hyperlink" Target="https://www.etwinning.net/fr/pub/index.htm" TargetMode="External"/><Relationship Id="rId18" Type="http://schemas.openxmlformats.org/officeDocument/2006/relationships/hyperlink" Target="https://eacea.ec.europa.eu/national-policies/eurydice/index_fr.php_fr" TargetMode="External"/><Relationship Id="rId26" Type="http://schemas.openxmlformats.org/officeDocument/2006/relationships/hyperlink" Target="https://ec.europa.eu/info/publications/2022-european-semester-country-specific-recommendations-commission-recommendations_en" TargetMode="External"/><Relationship Id="rId3" Type="http://schemas.openxmlformats.org/officeDocument/2006/relationships/hyperlink" Target="https://eur-lex.europa.eu/legal-content/FR/ALL/?uri=CELEX:32021G0226(01)" TargetMode="External"/><Relationship Id="rId21" Type="http://schemas.openxmlformats.org/officeDocument/2006/relationships/hyperlink" Target="https://ec.europa.eu/social/main.jsp?catId=738&amp;langId=fr&amp;pubId=8483&amp;furtherPubs=yes" TargetMode="External"/><Relationship Id="rId34" Type="http://schemas.openxmlformats.org/officeDocument/2006/relationships/hyperlink" Target="https://ec.europa.eu/info/strategy/strategic-planning/strategic-foresight/2022-strategic-foresight-report_fr" TargetMode="External"/><Relationship Id="rId7" Type="http://schemas.openxmlformats.org/officeDocument/2006/relationships/hyperlink" Target="https://ec.europa.eu/eusurvey/runner/WomenESTEAMCommunity" TargetMode="External"/><Relationship Id="rId12" Type="http://schemas.openxmlformats.org/officeDocument/2006/relationships/hyperlink" Target="https://www.schooleducationgateway.eu/fr/pub/resources/toolkitsforschools.htm" TargetMode="External"/><Relationship Id="rId17" Type="http://schemas.openxmlformats.org/officeDocument/2006/relationships/hyperlink" Target="https://education.ec.europa.eu/fr/focus-topics/digital-education/action-plan/action-14-european-digital-education-hub" TargetMode="External"/><Relationship Id="rId25" Type="http://schemas.openxmlformats.org/officeDocument/2006/relationships/hyperlink" Target="https://ec.europa.eu/info/strategy/priorities-2019-2024/economy-works-people/jobs-growth-and-investment/european-pillar-social-rights/european-pillar-social-rights-action-plan_fr" TargetMode="External"/><Relationship Id="rId33" Type="http://schemas.openxmlformats.org/officeDocument/2006/relationships/hyperlink" Target="https://op.europa.eu/fr/publication-detail/-/publication/f1309d68-4f56-11ed-92ed-01aa75ed71a1" TargetMode="External"/><Relationship Id="rId2" Type="http://schemas.openxmlformats.org/officeDocument/2006/relationships/hyperlink" Target="https://ec.europa.eu/info/sites/default/files/political-guidelines-next-commission_en_0.pdf" TargetMode="External"/><Relationship Id="rId16" Type="http://schemas.openxmlformats.org/officeDocument/2006/relationships/hyperlink" Target="https://education-for-climate.ec.europa.eu/_en" TargetMode="External"/><Relationship Id="rId20" Type="http://schemas.openxmlformats.org/officeDocument/2006/relationships/hyperlink" Target="https://eenee.eu/fr/" TargetMode="External"/><Relationship Id="rId29" Type="http://schemas.openxmlformats.org/officeDocument/2006/relationships/hyperlink" Target="https://ec.europa.eu/info/strategy/strategic-planning/state-union-addresses/state-union-2021_fr" TargetMode="External"/><Relationship Id="rId1" Type="http://schemas.openxmlformats.org/officeDocument/2006/relationships/hyperlink" Target="https://eur-lex.europa.eu/legal-content/FR/TXT/?uri=COM%3A2017%3A673%3AFIN" TargetMode="External"/><Relationship Id="rId6" Type="http://schemas.openxmlformats.org/officeDocument/2006/relationships/hyperlink" Target="https://education.ec.europa.eu/fr/focus-topics/digital-education/action-plan" TargetMode="External"/><Relationship Id="rId11" Type="http://schemas.openxmlformats.org/officeDocument/2006/relationships/hyperlink" Target="https://www.schooleducationgateway.eu/fr/pub/index.htm" TargetMode="External"/><Relationship Id="rId24" Type="http://schemas.openxmlformats.org/officeDocument/2006/relationships/hyperlink" Target="https://ec.europa.eu/info/strategy/priorities-2019-2024/economy-works-people/jobs-growth-and-investment/european-pillar-social-rights/european-pillar-social-rights-action-plan_fr" TargetMode="External"/><Relationship Id="rId32" Type="http://schemas.openxmlformats.org/officeDocument/2006/relationships/hyperlink" Target="https://presidence-francaise.consilium.europa.eu/media/nzsidchk/fr-declaration-investissement-2022-04-04.pdf" TargetMode="External"/><Relationship Id="rId37" Type="http://schemas.openxmlformats.org/officeDocument/2006/relationships/hyperlink" Target="https://op.europa.eu/fr/publication-detail/-/publication/22b8829d-b786-11eb-8aca-01aa75ed71a1/language-fr/format-PDF/source-233221374" TargetMode="External"/><Relationship Id="rId5" Type="http://schemas.openxmlformats.org/officeDocument/2006/relationships/hyperlink" Target="https://eur-lex.europa.eu/legal-content/FR/TXT/?uri=celex%3A32022H0627%2803%29" TargetMode="External"/><Relationship Id="rId15" Type="http://schemas.openxmlformats.org/officeDocument/2006/relationships/hyperlink" Target="https://learning-corner.learning.europa.eu/network-other-teachers_fr" TargetMode="External"/><Relationship Id="rId23" Type="http://schemas.openxmlformats.org/officeDocument/2006/relationships/hyperlink" Target="https://eur-lex.europa.eu/legal-content/FR/TXT/?uri=CELEX%3A32021G1214%2801%29" TargetMode="External"/><Relationship Id="rId28" Type="http://schemas.openxmlformats.org/officeDocument/2006/relationships/hyperlink" Target="https://ec.europa.eu/social/main.jsp?langId=fr&amp;catId=89&amp;newsId=10294&amp;furtherNews=yes" TargetMode="External"/><Relationship Id="rId36" Type="http://schemas.openxmlformats.org/officeDocument/2006/relationships/hyperlink" Target="https://ec.europa.eu/commission/presscorner/detail/fr/speech_22_5493" TargetMode="External"/><Relationship Id="rId10" Type="http://schemas.openxmlformats.org/officeDocument/2006/relationships/hyperlink" Target="https://eur-lex.europa.eu/legal-content/FR/TXT/?uri=CELEX%3A32021G1210%2801%29&amp;qid=1639136492674" TargetMode="External"/><Relationship Id="rId19" Type="http://schemas.openxmlformats.org/officeDocument/2006/relationships/hyperlink" Target="https://nesetweb.eu/fr/" TargetMode="External"/><Relationship Id="rId31" Type="http://schemas.openxmlformats.org/officeDocument/2006/relationships/hyperlink" Target="https://environment.ec.europa.eu/strategy/biodiversity-strategy-2030_fr" TargetMode="External"/><Relationship Id="rId4" Type="http://schemas.openxmlformats.org/officeDocument/2006/relationships/hyperlink" Target="https://eur-lex.europa.eu/legal-content/FR/TXT/?uri=CELEX%3A32021G1210%2801%29&amp;qid=1639136492674" TargetMode="External"/><Relationship Id="rId9" Type="http://schemas.openxmlformats.org/officeDocument/2006/relationships/hyperlink" Target="https://eur-lex.europa.eu/legal-content/FR/ALL/?uri=CELEX:32021G0226(01)" TargetMode="External"/><Relationship Id="rId14" Type="http://schemas.openxmlformats.org/officeDocument/2006/relationships/hyperlink" Target="https://school-education.ec.europa.eu/fr" TargetMode="External"/><Relationship Id="rId22" Type="http://schemas.openxmlformats.org/officeDocument/2006/relationships/hyperlink" Target="https://op.europa.eu/fr/publication-detail/-/publication/e3804ae5-f68d-11ec-b976-01aa75ed71a1/language-fr" TargetMode="External"/><Relationship Id="rId27" Type="http://schemas.openxmlformats.org/officeDocument/2006/relationships/hyperlink" Target="https://ec.europa.eu/transparency/documents-register/detail?ref=SWD(2022)185&amp;lang=fr" TargetMode="External"/><Relationship Id="rId30" Type="http://schemas.openxmlformats.org/officeDocument/2006/relationships/hyperlink" Target="https://ec.europa.eu/info/strategy/priorities-2019-2024/european-green-deal_fr" TargetMode="External"/><Relationship Id="rId35" Type="http://schemas.openxmlformats.org/officeDocument/2006/relationships/hyperlink" Target="https://sdgs.un.org/fr/goals/goal4"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NET1.cec.eu.int\HOMES\108\dupondo\Desktop\EAC-2022-80060-00-00-fr-SRC-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66499465344609"/>
          <c:y val="5.5137844611528819E-2"/>
          <c:w val="0.85360661028482554"/>
          <c:h val="0.66859866200935414"/>
        </c:manualLayout>
      </c:layout>
      <c:stockChart>
        <c:ser>
          <c:idx val="2"/>
          <c:order val="0"/>
          <c:tx>
            <c:strRef>
              <c:f>'EU-27-prop-undach'!$C$1</c:f>
              <c:strCache>
                <c:ptCount val="1"/>
                <c:pt idx="0">
                  <c:v>Bas de l'échelle socioéconomique</c:v>
                </c:pt>
              </c:strCache>
            </c:strRef>
          </c:tx>
          <c:spPr>
            <a:ln w="19050" cap="rnd">
              <a:noFill/>
              <a:round/>
            </a:ln>
            <a:effectLst/>
          </c:spPr>
          <c:marker>
            <c:symbol val="dash"/>
            <c:size val="9"/>
            <c:spPr>
              <a:solidFill>
                <a:srgbClr val="DF4E2B"/>
              </a:solidFill>
              <a:ln w="9525">
                <a:solidFill>
                  <a:srgbClr val="DF4E2B"/>
                </a:solidFill>
              </a:ln>
              <a:effectLst/>
            </c:spPr>
          </c:marker>
          <c:dPt>
            <c:idx val="15"/>
            <c:bubble3D val="0"/>
            <c:extLst>
              <c:ext xmlns:c16="http://schemas.microsoft.com/office/drawing/2014/chart" uri="{C3380CC4-5D6E-409C-BE32-E72D297353CC}">
                <c16:uniqueId val="{00000000-189E-48C4-A03B-5F04F0DCA2AE}"/>
              </c:ext>
            </c:extLst>
          </c:dPt>
          <c:dLbls>
            <c:dLbl>
              <c:idx val="0"/>
              <c:tx>
                <c:rich>
                  <a:bodyPr/>
                  <a:lstStyle/>
                  <a:p>
                    <a:fld id="{06724783-AE55-44DD-AAE0-8445777B37F1}" type="CELLRANGE">
                      <a:rPr lang="en-US"/>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189E-48C4-A03B-5F04F0DCA2AE}"/>
                </c:ext>
              </c:extLst>
            </c:dLbl>
            <c:dLbl>
              <c:idx val="1"/>
              <c:tx>
                <c:rich>
                  <a:bodyPr/>
                  <a:lstStyle/>
                  <a:p>
                    <a:fld id="{29FCECF8-85CF-4F19-B5CE-8E6EB3ED6C95}"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89E-48C4-A03B-5F04F0DCA2AE}"/>
                </c:ext>
              </c:extLst>
            </c:dLbl>
            <c:dLbl>
              <c:idx val="2"/>
              <c:tx>
                <c:rich>
                  <a:bodyPr/>
                  <a:lstStyle/>
                  <a:p>
                    <a:fld id="{2EFCB23D-6CB2-40B8-8CE4-79B68C7B65C3}"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89E-48C4-A03B-5F04F0DCA2AE}"/>
                </c:ext>
              </c:extLst>
            </c:dLbl>
            <c:dLbl>
              <c:idx val="3"/>
              <c:tx>
                <c:rich>
                  <a:bodyPr/>
                  <a:lstStyle/>
                  <a:p>
                    <a:fld id="{00A2DE5D-6088-4951-9607-78207CEDB7E4}"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189E-48C4-A03B-5F04F0DCA2AE}"/>
                </c:ext>
              </c:extLst>
            </c:dLbl>
            <c:dLbl>
              <c:idx val="4"/>
              <c:tx>
                <c:rich>
                  <a:bodyPr/>
                  <a:lstStyle/>
                  <a:p>
                    <a:fld id="{BDD6E8AB-CAF8-4750-B1B4-53988316139A}"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189E-48C4-A03B-5F04F0DCA2AE}"/>
                </c:ext>
              </c:extLst>
            </c:dLbl>
            <c:dLbl>
              <c:idx val="5"/>
              <c:tx>
                <c:rich>
                  <a:bodyPr/>
                  <a:lstStyle/>
                  <a:p>
                    <a:fld id="{A3A050A3-1C63-46CD-92DB-E96AEC610B5E}"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189E-48C4-A03B-5F04F0DCA2AE}"/>
                </c:ext>
              </c:extLst>
            </c:dLbl>
            <c:dLbl>
              <c:idx val="6"/>
              <c:tx>
                <c:rich>
                  <a:bodyPr/>
                  <a:lstStyle/>
                  <a:p>
                    <a:fld id="{E78177B0-68FC-4812-AC01-015A6AFD92F5}"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189E-48C4-A03B-5F04F0DCA2AE}"/>
                </c:ext>
              </c:extLst>
            </c:dLbl>
            <c:dLbl>
              <c:idx val="7"/>
              <c:tx>
                <c:rich>
                  <a:bodyPr/>
                  <a:lstStyle/>
                  <a:p>
                    <a:fld id="{318A0F06-84C5-440D-BD01-39D3FB3EFC0E}"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189E-48C4-A03B-5F04F0DCA2AE}"/>
                </c:ext>
              </c:extLst>
            </c:dLbl>
            <c:dLbl>
              <c:idx val="8"/>
              <c:tx>
                <c:rich>
                  <a:bodyPr/>
                  <a:lstStyle/>
                  <a:p>
                    <a:fld id="{4F02772E-E1F6-4795-8ED4-43D0D969F65A}"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189E-48C4-A03B-5F04F0DCA2AE}"/>
                </c:ext>
              </c:extLst>
            </c:dLbl>
            <c:dLbl>
              <c:idx val="9"/>
              <c:tx>
                <c:rich>
                  <a:bodyPr/>
                  <a:lstStyle/>
                  <a:p>
                    <a:fld id="{CB7EA8BF-9D00-4A26-B230-91A57908EBE7}"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189E-48C4-A03B-5F04F0DCA2AE}"/>
                </c:ext>
              </c:extLst>
            </c:dLbl>
            <c:dLbl>
              <c:idx val="10"/>
              <c:tx>
                <c:rich>
                  <a:bodyPr/>
                  <a:lstStyle/>
                  <a:p>
                    <a:fld id="{58EE6850-2437-4BE3-AD4E-AEBC1B95ACBF}"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189E-48C4-A03B-5F04F0DCA2AE}"/>
                </c:ext>
              </c:extLst>
            </c:dLbl>
            <c:dLbl>
              <c:idx val="11"/>
              <c:tx>
                <c:rich>
                  <a:bodyPr/>
                  <a:lstStyle/>
                  <a:p>
                    <a:fld id="{03BBCFA6-8F6C-4B50-A0F1-15618CC52D6E}"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189E-48C4-A03B-5F04F0DCA2AE}"/>
                </c:ext>
              </c:extLst>
            </c:dLbl>
            <c:dLbl>
              <c:idx val="12"/>
              <c:tx>
                <c:rich>
                  <a:bodyPr/>
                  <a:lstStyle/>
                  <a:p>
                    <a:fld id="{AFAC62AD-0BAD-417A-A9FA-658644A61939}"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189E-48C4-A03B-5F04F0DCA2AE}"/>
                </c:ext>
              </c:extLst>
            </c:dLbl>
            <c:dLbl>
              <c:idx val="13"/>
              <c:tx>
                <c:rich>
                  <a:bodyPr/>
                  <a:lstStyle/>
                  <a:p>
                    <a:fld id="{91807935-8B54-446F-99B7-E6E4E554C508}"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189E-48C4-A03B-5F04F0DCA2AE}"/>
                </c:ext>
              </c:extLst>
            </c:dLbl>
            <c:dLbl>
              <c:idx val="14"/>
              <c:tx>
                <c:rich>
                  <a:bodyPr/>
                  <a:lstStyle/>
                  <a:p>
                    <a:fld id="{CAB2B8A0-F9D1-423B-9EC2-9E1A75A0B81B}"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189E-48C4-A03B-5F04F0DCA2AE}"/>
                </c:ext>
              </c:extLst>
            </c:dLbl>
            <c:dLbl>
              <c:idx val="15"/>
              <c:tx>
                <c:rich>
                  <a:bodyPr/>
                  <a:lstStyle/>
                  <a:p>
                    <a:fld id="{6DD5C0FA-2BB5-4A36-987F-72465A09D70F}"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189E-48C4-A03B-5F04F0DCA2AE}"/>
                </c:ext>
              </c:extLst>
            </c:dLbl>
            <c:dLbl>
              <c:idx val="16"/>
              <c:tx>
                <c:rich>
                  <a:bodyPr/>
                  <a:lstStyle/>
                  <a:p>
                    <a:fld id="{B9537E0B-4D3E-49D0-86FD-98477C61CFB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189E-48C4-A03B-5F04F0DCA2AE}"/>
                </c:ext>
              </c:extLst>
            </c:dLbl>
            <c:dLbl>
              <c:idx val="17"/>
              <c:tx>
                <c:rich>
                  <a:bodyPr/>
                  <a:lstStyle/>
                  <a:p>
                    <a:fld id="{94A4D582-19C5-455B-BC6D-102F15EA3724}"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189E-48C4-A03B-5F04F0DCA2AE}"/>
                </c:ext>
              </c:extLst>
            </c:dLbl>
            <c:dLbl>
              <c:idx val="18"/>
              <c:tx>
                <c:rich>
                  <a:bodyPr/>
                  <a:lstStyle/>
                  <a:p>
                    <a:fld id="{1A995B6A-B768-4D6C-9D15-D222E79D5CBB}"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189E-48C4-A03B-5F04F0DCA2AE}"/>
                </c:ext>
              </c:extLst>
            </c:dLbl>
            <c:dLbl>
              <c:idx val="19"/>
              <c:tx>
                <c:rich>
                  <a:bodyPr/>
                  <a:lstStyle/>
                  <a:p>
                    <a:fld id="{7D96DCB6-9571-4143-B922-100DDCDA66C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189E-48C4-A03B-5F04F0DCA2AE}"/>
                </c:ext>
              </c:extLst>
            </c:dLbl>
            <c:dLbl>
              <c:idx val="20"/>
              <c:tx>
                <c:rich>
                  <a:bodyPr/>
                  <a:lstStyle/>
                  <a:p>
                    <a:fld id="{91E97C91-AACD-4AC2-BDA7-1CEB0D3DFE65}"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189E-48C4-A03B-5F04F0DCA2AE}"/>
                </c:ext>
              </c:extLst>
            </c:dLbl>
            <c:dLbl>
              <c:idx val="21"/>
              <c:tx>
                <c:rich>
                  <a:bodyPr/>
                  <a:lstStyle/>
                  <a:p>
                    <a:fld id="{B3039FE1-E752-4827-85B3-4DB249AEEFC4}"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189E-48C4-A03B-5F04F0DCA2AE}"/>
                </c:ext>
              </c:extLst>
            </c:dLbl>
            <c:dLbl>
              <c:idx val="22"/>
              <c:tx>
                <c:rich>
                  <a:bodyPr/>
                  <a:lstStyle/>
                  <a:p>
                    <a:fld id="{A4245DD4-A8A2-4F2B-9FD5-399653322D1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189E-48C4-A03B-5F04F0DCA2AE}"/>
                </c:ext>
              </c:extLst>
            </c:dLbl>
            <c:dLbl>
              <c:idx val="23"/>
              <c:tx>
                <c:rich>
                  <a:bodyPr/>
                  <a:lstStyle/>
                  <a:p>
                    <a:fld id="{70028AC7-0CAB-454F-AD7F-EA7A8D5DE5D1}"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189E-48C4-A03B-5F04F0DCA2AE}"/>
                </c:ext>
              </c:extLst>
            </c:dLbl>
            <c:dLbl>
              <c:idx val="24"/>
              <c:tx>
                <c:rich>
                  <a:bodyPr/>
                  <a:lstStyle/>
                  <a:p>
                    <a:fld id="{64072636-AF04-4555-8192-538BEC00771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189E-48C4-A03B-5F04F0DCA2AE}"/>
                </c:ext>
              </c:extLst>
            </c:dLbl>
            <c:dLbl>
              <c:idx val="25"/>
              <c:tx>
                <c:rich>
                  <a:bodyPr/>
                  <a:lstStyle/>
                  <a:p>
                    <a:fld id="{72117388-0325-470E-B412-14F58E2AEFD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189E-48C4-A03B-5F04F0DCA2AE}"/>
                </c:ext>
              </c:extLst>
            </c:dLbl>
            <c:dLbl>
              <c:idx val="26"/>
              <c:tx>
                <c:rich>
                  <a:bodyPr/>
                  <a:lstStyle/>
                  <a:p>
                    <a:fld id="{29BCEAA1-C381-453C-A733-97F2AE90ACA2}"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189E-48C4-A03B-5F04F0DCA2AE}"/>
                </c:ext>
              </c:extLst>
            </c:dLbl>
            <c:dLbl>
              <c:idx val="27"/>
              <c:tx>
                <c:rich>
                  <a:bodyPr/>
                  <a:lstStyle/>
                  <a:p>
                    <a:fld id="{0A02E2CA-931E-4CDB-83A5-3696BA545E16}" type="CELLRANGE">
                      <a:rPr lang="en-GB"/>
                      <a:pPr/>
                      <a:t>[CELLRANGE]</a:t>
                    </a:fld>
                    <a:endParaRPr lang="en-GB"/>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B-189E-48C4-A03B-5F04F0DCA2AE}"/>
                </c:ext>
              </c:extLst>
            </c:dLbl>
            <c:spPr>
              <a:noFill/>
              <a:ln>
                <a:noFill/>
              </a:ln>
              <a:effectLst/>
            </c:spPr>
            <c:txPr>
              <a:bodyPr rot="0" spcFirstLastPara="1" vertOverflow="ellipsis" vert="horz" wrap="square" lIns="38100" tIns="0" rIns="38100" bIns="0" anchor="ctr" anchorCtr="1">
                <a:spAutoFit/>
              </a:bodyPr>
              <a:lstStyle/>
              <a:p>
                <a:pPr>
                  <a:defRPr sz="6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1"/>
                <c15:leaderLines>
                  <c:spPr>
                    <a:ln w="9525" cap="flat" cmpd="sng" algn="ctr">
                      <a:solidFill>
                        <a:schemeClr val="tx1">
                          <a:lumMod val="35000"/>
                          <a:lumOff val="65000"/>
                        </a:schemeClr>
                      </a:solidFill>
                      <a:round/>
                    </a:ln>
                    <a:effectLst/>
                  </c:spPr>
                </c15:leaderLines>
              </c:ext>
            </c:extLst>
          </c:dLbls>
          <c:cat>
            <c:strRef>
              <c:f>'EU-27-prop-undach'!$D$2:$D$29</c:f>
              <c:strCache>
                <c:ptCount val="28"/>
                <c:pt idx="0">
                  <c:v>Roumanie</c:v>
                </c:pt>
                <c:pt idx="1">
                  <c:v>Bulgarie</c:v>
                </c:pt>
                <c:pt idx="2">
                  <c:v>Slovaquie</c:v>
                </c:pt>
                <c:pt idx="3">
                  <c:v>Hongrie</c:v>
                </c:pt>
                <c:pt idx="4">
                  <c:v>Luxembourg</c:v>
                </c:pt>
                <c:pt idx="5">
                  <c:v>Malte</c:v>
                </c:pt>
                <c:pt idx="6">
                  <c:v>Chypre</c:v>
                </c:pt>
                <c:pt idx="7">
                  <c:v>Grèce</c:v>
                </c:pt>
                <c:pt idx="8">
                  <c:v>Belgique</c:v>
                </c:pt>
                <c:pt idx="9">
                  <c:v>France</c:v>
                </c:pt>
                <c:pt idx="10">
                  <c:v>Portugal</c:v>
                </c:pt>
                <c:pt idx="11">
                  <c:v>Lituanie</c:v>
                </c:pt>
                <c:pt idx="12">
                  <c:v>Allemagne</c:v>
                </c:pt>
                <c:pt idx="13">
                  <c:v>UE</c:v>
                </c:pt>
                <c:pt idx="14">
                  <c:v>Autriche</c:v>
                </c:pt>
                <c:pt idx="15">
                  <c:v>Tchéquie</c:v>
                </c:pt>
                <c:pt idx="16">
                  <c:v>Italie</c:v>
                </c:pt>
                <c:pt idx="17">
                  <c:v>Espagne</c:v>
                </c:pt>
                <c:pt idx="18">
                  <c:v>Suède</c:v>
                </c:pt>
                <c:pt idx="19">
                  <c:v>Pays-Bas</c:v>
                </c:pt>
                <c:pt idx="20">
                  <c:v>Croatie</c:v>
                </c:pt>
                <c:pt idx="21">
                  <c:v>Danemark</c:v>
                </c:pt>
                <c:pt idx="22">
                  <c:v>Irlande</c:v>
                </c:pt>
                <c:pt idx="23">
                  <c:v>Lettonie</c:v>
                </c:pt>
                <c:pt idx="24">
                  <c:v>Pologne</c:v>
                </c:pt>
                <c:pt idx="25">
                  <c:v>Slovénie</c:v>
                </c:pt>
                <c:pt idx="26">
                  <c:v>Finlande</c:v>
                </c:pt>
                <c:pt idx="27">
                  <c:v>Estonie</c:v>
                </c:pt>
              </c:strCache>
            </c:strRef>
          </c:cat>
          <c:val>
            <c:numRef>
              <c:f>'EU-27-prop-undach'!$C$2:$C$29</c:f>
              <c:numCache>
                <c:formatCode>0.0%</c:formatCode>
                <c:ptCount val="28"/>
                <c:pt idx="0">
                  <c:v>0.49819687003923002</c:v>
                </c:pt>
                <c:pt idx="1">
                  <c:v>0.52314169862658599</c:v>
                </c:pt>
                <c:pt idx="2">
                  <c:v>0.35350013587895301</c:v>
                </c:pt>
                <c:pt idx="3">
                  <c:v>0.32040298819186203</c:v>
                </c:pt>
                <c:pt idx="4">
                  <c:v>0.31071372300073802</c:v>
                </c:pt>
                <c:pt idx="5">
                  <c:v>0.36747105361530502</c:v>
                </c:pt>
                <c:pt idx="6">
                  <c:v>0.39031273223846102</c:v>
                </c:pt>
                <c:pt idx="7">
                  <c:v>0.33145311393272098</c:v>
                </c:pt>
                <c:pt idx="8">
                  <c:v>0.24308500762006999</c:v>
                </c:pt>
                <c:pt idx="9">
                  <c:v>0.24121034267736299</c:v>
                </c:pt>
                <c:pt idx="10">
                  <c:v>0.235126947963715</c:v>
                </c:pt>
                <c:pt idx="11">
                  <c:v>0.25468575599980903</c:v>
                </c:pt>
                <c:pt idx="12">
                  <c:v>0.23149324347956499</c:v>
                </c:pt>
                <c:pt idx="13">
                  <c:v>0.23479344311536801</c:v>
                </c:pt>
                <c:pt idx="14">
                  <c:v>0.24172608146878599</c:v>
                </c:pt>
                <c:pt idx="15">
                  <c:v>0.21605412663231199</c:v>
                </c:pt>
                <c:pt idx="16">
                  <c:v>0.24318570450711199</c:v>
                </c:pt>
                <c:pt idx="17">
                  <c:v>0.20311702313754701</c:v>
                </c:pt>
                <c:pt idx="18">
                  <c:v>0.18984569890133501</c:v>
                </c:pt>
                <c:pt idx="19">
                  <c:v>0.18095144199361199</c:v>
                </c:pt>
                <c:pt idx="20">
                  <c:v>0.19970247267689001</c:v>
                </c:pt>
                <c:pt idx="21">
                  <c:v>0.15386740556974099</c:v>
                </c:pt>
                <c:pt idx="22">
                  <c:v>0.14471516083227301</c:v>
                </c:pt>
                <c:pt idx="23">
                  <c:v>0.15237892121097901</c:v>
                </c:pt>
                <c:pt idx="24">
                  <c:v>0.126788472175623</c:v>
                </c:pt>
                <c:pt idx="25">
                  <c:v>0.130482988604598</c:v>
                </c:pt>
                <c:pt idx="26">
                  <c:v>0.12366873142444</c:v>
                </c:pt>
                <c:pt idx="27">
                  <c:v>7.1507760613024898E-2</c:v>
                </c:pt>
              </c:numCache>
            </c:numRef>
          </c:val>
          <c:smooth val="0"/>
          <c:extLst>
            <c:ext xmlns:c15="http://schemas.microsoft.com/office/drawing/2012/chart" uri="{02D57815-91ED-43cb-92C2-25804820EDAC}">
              <c15:datalabelsRange>
                <c15:f>'EU-27-prop-undach'!$I$2:$I$29</c15:f>
                <c15:dlblRangeCache>
                  <c:ptCount val="28"/>
                  <c:pt idx="0">
                    <c:v>C</c:v>
                  </c:pt>
                  <c:pt idx="1">
                    <c:v>C</c:v>
                  </c:pt>
                  <c:pt idx="2">
                    <c:v>C</c:v>
                  </c:pt>
                  <c:pt idx="3">
                    <c:v>C</c:v>
                  </c:pt>
                  <c:pt idx="4">
                    <c:v>C</c:v>
                  </c:pt>
                  <c:pt idx="5">
                    <c:v>C</c:v>
                  </c:pt>
                  <c:pt idx="6">
                    <c:v>C</c:v>
                  </c:pt>
                  <c:pt idx="7">
                    <c:v>C</c:v>
                  </c:pt>
                  <c:pt idx="8">
                    <c:v>C</c:v>
                  </c:pt>
                  <c:pt idx="9">
                    <c:v>C</c:v>
                  </c:pt>
                  <c:pt idx="10">
                    <c:v>C</c:v>
                  </c:pt>
                  <c:pt idx="11">
                    <c:v>C</c:v>
                  </c:pt>
                  <c:pt idx="12">
                    <c:v>C</c:v>
                  </c:pt>
                  <c:pt idx="13">
                    <c:v>C</c:v>
                  </c:pt>
                  <c:pt idx="14">
                    <c:v>C</c:v>
                  </c:pt>
                  <c:pt idx="15">
                    <c:v>C</c:v>
                  </c:pt>
                  <c:pt idx="16">
                    <c:v>C</c:v>
                  </c:pt>
                  <c:pt idx="17">
                    <c:v>C</c:v>
                  </c:pt>
                  <c:pt idx="18">
                    <c:v>C</c:v>
                  </c:pt>
                  <c:pt idx="19">
                    <c:v>C</c:v>
                  </c:pt>
                  <c:pt idx="20">
                    <c:v>C</c:v>
                  </c:pt>
                  <c:pt idx="21">
                    <c:v>C</c:v>
                  </c:pt>
                  <c:pt idx="22">
                    <c:v>C</c:v>
                  </c:pt>
                  <c:pt idx="23">
                    <c:v>C</c:v>
                  </c:pt>
                  <c:pt idx="24">
                    <c:v>C</c:v>
                  </c:pt>
                  <c:pt idx="25">
                    <c:v>C</c:v>
                  </c:pt>
                  <c:pt idx="26">
                    <c:v>C</c:v>
                  </c:pt>
                  <c:pt idx="27">
                    <c:v>C</c:v>
                  </c:pt>
                </c15:dlblRangeCache>
              </c15:datalabelsRange>
            </c:ext>
            <c:ext xmlns:c16="http://schemas.microsoft.com/office/drawing/2014/chart" uri="{C3380CC4-5D6E-409C-BE32-E72D297353CC}">
              <c16:uniqueId val="{0000001C-189E-48C4-A03B-5F04F0DCA2AE}"/>
            </c:ext>
          </c:extLst>
        </c:ser>
        <c:ser>
          <c:idx val="0"/>
          <c:order val="1"/>
          <c:tx>
            <c:strRef>
              <c:f>'EU-27-prop-undach'!$A$1</c:f>
              <c:strCache>
                <c:ptCount val="1"/>
                <c:pt idx="0">
                  <c:v>Moyenne nationale</c:v>
                </c:pt>
              </c:strCache>
            </c:strRef>
          </c:tx>
          <c:spPr>
            <a:ln w="19050" cap="rnd">
              <a:noFill/>
              <a:round/>
            </a:ln>
            <a:effectLst/>
          </c:spPr>
          <c:marker>
            <c:symbol val="square"/>
            <c:size val="6"/>
            <c:spPr>
              <a:solidFill>
                <a:srgbClr val="F0A81C"/>
              </a:solidFill>
              <a:ln w="9525">
                <a:solidFill>
                  <a:srgbClr val="F0A81C"/>
                </a:solidFill>
              </a:ln>
              <a:effectLst/>
            </c:spPr>
          </c:marker>
          <c:dPt>
            <c:idx val="15"/>
            <c:bubble3D val="0"/>
            <c:extLst>
              <c:ext xmlns:c16="http://schemas.microsoft.com/office/drawing/2014/chart" uri="{C3380CC4-5D6E-409C-BE32-E72D297353CC}">
                <c16:uniqueId val="{0000001D-189E-48C4-A03B-5F04F0DCA2AE}"/>
              </c:ext>
            </c:extLst>
          </c:dPt>
          <c:dLbls>
            <c:dLbl>
              <c:idx val="0"/>
              <c:tx>
                <c:rich>
                  <a:bodyPr/>
                  <a:lstStyle/>
                  <a:p>
                    <a:fld id="{231BDF8B-C208-4C57-8DD0-14458731AC11}" type="CELLRANGE">
                      <a:rPr lang="en-US"/>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189E-48C4-A03B-5F04F0DCA2AE}"/>
                </c:ext>
              </c:extLst>
            </c:dLbl>
            <c:dLbl>
              <c:idx val="1"/>
              <c:tx>
                <c:rich>
                  <a:bodyPr/>
                  <a:lstStyle/>
                  <a:p>
                    <a:fld id="{7C0590BC-0341-42C7-ADEF-B299DDCBB6E8}"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F-189E-48C4-A03B-5F04F0DCA2AE}"/>
                </c:ext>
              </c:extLst>
            </c:dLbl>
            <c:dLbl>
              <c:idx val="2"/>
              <c:tx>
                <c:rich>
                  <a:bodyPr/>
                  <a:lstStyle/>
                  <a:p>
                    <a:fld id="{5087405B-1060-4B96-9418-34C618C89F7A}"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0-189E-48C4-A03B-5F04F0DCA2AE}"/>
                </c:ext>
              </c:extLst>
            </c:dLbl>
            <c:dLbl>
              <c:idx val="3"/>
              <c:tx>
                <c:rich>
                  <a:bodyPr/>
                  <a:lstStyle/>
                  <a:p>
                    <a:fld id="{A520E33E-8021-4F37-87D0-61FCADA25F1E}"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1-189E-48C4-A03B-5F04F0DCA2AE}"/>
                </c:ext>
              </c:extLst>
            </c:dLbl>
            <c:dLbl>
              <c:idx val="4"/>
              <c:tx>
                <c:rich>
                  <a:bodyPr/>
                  <a:lstStyle/>
                  <a:p>
                    <a:fld id="{70523EBA-5EE1-46F5-A5F3-FAC734E8E81C}"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2-189E-48C4-A03B-5F04F0DCA2AE}"/>
                </c:ext>
              </c:extLst>
            </c:dLbl>
            <c:dLbl>
              <c:idx val="5"/>
              <c:tx>
                <c:rich>
                  <a:bodyPr/>
                  <a:lstStyle/>
                  <a:p>
                    <a:fld id="{D48867EB-993B-4AE5-83A3-D6CF8D04C903}"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3-189E-48C4-A03B-5F04F0DCA2AE}"/>
                </c:ext>
              </c:extLst>
            </c:dLbl>
            <c:dLbl>
              <c:idx val="6"/>
              <c:tx>
                <c:rich>
                  <a:bodyPr/>
                  <a:lstStyle/>
                  <a:p>
                    <a:fld id="{8703B44A-FCC5-4089-B445-37ECA5D6B360}"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4-189E-48C4-A03B-5F04F0DCA2AE}"/>
                </c:ext>
              </c:extLst>
            </c:dLbl>
            <c:dLbl>
              <c:idx val="7"/>
              <c:tx>
                <c:rich>
                  <a:bodyPr/>
                  <a:lstStyle/>
                  <a:p>
                    <a:fld id="{5A0CB084-3D6C-4929-9656-9D7B06DB1F10}"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5-189E-48C4-A03B-5F04F0DCA2AE}"/>
                </c:ext>
              </c:extLst>
            </c:dLbl>
            <c:dLbl>
              <c:idx val="8"/>
              <c:tx>
                <c:rich>
                  <a:bodyPr/>
                  <a:lstStyle/>
                  <a:p>
                    <a:fld id="{A339A1AD-1BC0-47C4-B7A7-953B6609E1AB}"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6-189E-48C4-A03B-5F04F0DCA2AE}"/>
                </c:ext>
              </c:extLst>
            </c:dLbl>
            <c:dLbl>
              <c:idx val="9"/>
              <c:tx>
                <c:rich>
                  <a:bodyPr/>
                  <a:lstStyle/>
                  <a:p>
                    <a:fld id="{473FA5B0-FD6A-47BD-AE0F-E7AEA58FBB25}"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7-189E-48C4-A03B-5F04F0DCA2AE}"/>
                </c:ext>
              </c:extLst>
            </c:dLbl>
            <c:dLbl>
              <c:idx val="10"/>
              <c:tx>
                <c:rich>
                  <a:bodyPr/>
                  <a:lstStyle/>
                  <a:p>
                    <a:fld id="{5741D54E-AC98-47D9-8A66-C57FF1A6EA42}"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8-189E-48C4-A03B-5F04F0DCA2AE}"/>
                </c:ext>
              </c:extLst>
            </c:dLbl>
            <c:dLbl>
              <c:idx val="11"/>
              <c:tx>
                <c:rich>
                  <a:bodyPr/>
                  <a:lstStyle/>
                  <a:p>
                    <a:fld id="{3DDA5CEB-EE3E-466A-8E55-9A803DBECDF1}"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9-189E-48C4-A03B-5F04F0DCA2AE}"/>
                </c:ext>
              </c:extLst>
            </c:dLbl>
            <c:dLbl>
              <c:idx val="12"/>
              <c:tx>
                <c:rich>
                  <a:bodyPr/>
                  <a:lstStyle/>
                  <a:p>
                    <a:fld id="{3A24C43A-38B2-4684-8888-B1A7AB4E95E1}"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A-189E-48C4-A03B-5F04F0DCA2AE}"/>
                </c:ext>
              </c:extLst>
            </c:dLbl>
            <c:dLbl>
              <c:idx val="13"/>
              <c:tx>
                <c:rich>
                  <a:bodyPr/>
                  <a:lstStyle/>
                  <a:p>
                    <a:fld id="{81A8085F-07AA-4EDD-9165-DDC183550004}"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B-189E-48C4-A03B-5F04F0DCA2AE}"/>
                </c:ext>
              </c:extLst>
            </c:dLbl>
            <c:dLbl>
              <c:idx val="14"/>
              <c:tx>
                <c:rich>
                  <a:bodyPr/>
                  <a:lstStyle/>
                  <a:p>
                    <a:fld id="{ACCD2F23-B66D-4E6F-A34D-D5A5E94C68D5}"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C-189E-48C4-A03B-5F04F0DCA2AE}"/>
                </c:ext>
              </c:extLst>
            </c:dLbl>
            <c:dLbl>
              <c:idx val="15"/>
              <c:tx>
                <c:rich>
                  <a:bodyPr/>
                  <a:lstStyle/>
                  <a:p>
                    <a:fld id="{2AB58645-3AF6-437D-9834-48C3560D916C}"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D-189E-48C4-A03B-5F04F0DCA2AE}"/>
                </c:ext>
              </c:extLst>
            </c:dLbl>
            <c:dLbl>
              <c:idx val="16"/>
              <c:tx>
                <c:rich>
                  <a:bodyPr/>
                  <a:lstStyle/>
                  <a:p>
                    <a:fld id="{EAEBE6CE-1827-4830-9876-5D9E4CCB4A7C}"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D-189E-48C4-A03B-5F04F0DCA2AE}"/>
                </c:ext>
              </c:extLst>
            </c:dLbl>
            <c:dLbl>
              <c:idx val="17"/>
              <c:tx>
                <c:rich>
                  <a:bodyPr/>
                  <a:lstStyle/>
                  <a:p>
                    <a:fld id="{C5C0784E-C40A-4675-8C8C-8DE692EA43C7}"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E-189E-48C4-A03B-5F04F0DCA2AE}"/>
                </c:ext>
              </c:extLst>
            </c:dLbl>
            <c:dLbl>
              <c:idx val="18"/>
              <c:tx>
                <c:rich>
                  <a:bodyPr/>
                  <a:lstStyle/>
                  <a:p>
                    <a:fld id="{F35E1F77-C4FC-4B25-A6D8-89927FFB3B71}"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F-189E-48C4-A03B-5F04F0DCA2AE}"/>
                </c:ext>
              </c:extLst>
            </c:dLbl>
            <c:dLbl>
              <c:idx val="19"/>
              <c:tx>
                <c:rich>
                  <a:bodyPr/>
                  <a:lstStyle/>
                  <a:p>
                    <a:fld id="{E7E26733-707B-4746-8569-9661C58EB464}"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0-189E-48C4-A03B-5F04F0DCA2AE}"/>
                </c:ext>
              </c:extLst>
            </c:dLbl>
            <c:dLbl>
              <c:idx val="20"/>
              <c:tx>
                <c:rich>
                  <a:bodyPr/>
                  <a:lstStyle/>
                  <a:p>
                    <a:fld id="{2DF01F2D-B379-4DEE-9339-170A69C8F3B7}"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1-189E-48C4-A03B-5F04F0DCA2AE}"/>
                </c:ext>
              </c:extLst>
            </c:dLbl>
            <c:dLbl>
              <c:idx val="21"/>
              <c:tx>
                <c:rich>
                  <a:bodyPr/>
                  <a:lstStyle/>
                  <a:p>
                    <a:fld id="{2A122074-E174-4485-8381-AE6FCE22E009}"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2-189E-48C4-A03B-5F04F0DCA2AE}"/>
                </c:ext>
              </c:extLst>
            </c:dLbl>
            <c:dLbl>
              <c:idx val="22"/>
              <c:tx>
                <c:rich>
                  <a:bodyPr/>
                  <a:lstStyle/>
                  <a:p>
                    <a:fld id="{1BB73760-6DB1-4B9C-A80B-F8FCB693E6D5}"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3-189E-48C4-A03B-5F04F0DCA2AE}"/>
                </c:ext>
              </c:extLst>
            </c:dLbl>
            <c:dLbl>
              <c:idx val="23"/>
              <c:tx>
                <c:rich>
                  <a:bodyPr/>
                  <a:lstStyle/>
                  <a:p>
                    <a:fld id="{4AFD14D7-30C7-43C7-9056-8E5D0CC217BF}"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4-189E-48C4-A03B-5F04F0DCA2AE}"/>
                </c:ext>
              </c:extLst>
            </c:dLbl>
            <c:dLbl>
              <c:idx val="24"/>
              <c:tx>
                <c:rich>
                  <a:bodyPr/>
                  <a:lstStyle/>
                  <a:p>
                    <a:fld id="{117FDE27-DE4B-4DE1-9FAC-621460BAB5B6}"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5-189E-48C4-A03B-5F04F0DCA2AE}"/>
                </c:ext>
              </c:extLst>
            </c:dLbl>
            <c:dLbl>
              <c:idx val="25"/>
              <c:tx>
                <c:rich>
                  <a:bodyPr/>
                  <a:lstStyle/>
                  <a:p>
                    <a:fld id="{1081A2D7-53F7-45F2-BC20-AB38EBF6FFB3}"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6-189E-48C4-A03B-5F04F0DCA2AE}"/>
                </c:ext>
              </c:extLst>
            </c:dLbl>
            <c:dLbl>
              <c:idx val="26"/>
              <c:tx>
                <c:rich>
                  <a:bodyPr/>
                  <a:lstStyle/>
                  <a:p>
                    <a:fld id="{E1F5DC86-53C3-441A-A02F-0622370DB9DC}"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7-189E-48C4-A03B-5F04F0DCA2AE}"/>
                </c:ext>
              </c:extLst>
            </c:dLbl>
            <c:dLbl>
              <c:idx val="27"/>
              <c:tx>
                <c:rich>
                  <a:bodyPr/>
                  <a:lstStyle/>
                  <a:p>
                    <a:fld id="{665E65F1-8EF7-47A0-AB37-28AFED64E312}" type="CELLRANGE">
                      <a:rPr lang="en-GB"/>
                      <a:pPr/>
                      <a:t>[CELLRANGE]</a:t>
                    </a:fld>
                    <a:endParaRPr lang="en-GB"/>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8-189E-48C4-A03B-5F04F0DCA2AE}"/>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mn-cs"/>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'EU-27-prop-undach'!$D$2:$D$29</c:f>
              <c:strCache>
                <c:ptCount val="28"/>
                <c:pt idx="0">
                  <c:v>Roumanie</c:v>
                </c:pt>
                <c:pt idx="1">
                  <c:v>Bulgarie</c:v>
                </c:pt>
                <c:pt idx="2">
                  <c:v>Slovaquie</c:v>
                </c:pt>
                <c:pt idx="3">
                  <c:v>Hongrie</c:v>
                </c:pt>
                <c:pt idx="4">
                  <c:v>Luxembourg</c:v>
                </c:pt>
                <c:pt idx="5">
                  <c:v>Malte</c:v>
                </c:pt>
                <c:pt idx="6">
                  <c:v>Chypre</c:v>
                </c:pt>
                <c:pt idx="7">
                  <c:v>Grèce</c:v>
                </c:pt>
                <c:pt idx="8">
                  <c:v>Belgique</c:v>
                </c:pt>
                <c:pt idx="9">
                  <c:v>France</c:v>
                </c:pt>
                <c:pt idx="10">
                  <c:v>Portugal</c:v>
                </c:pt>
                <c:pt idx="11">
                  <c:v>Lituanie</c:v>
                </c:pt>
                <c:pt idx="12">
                  <c:v>Allemagne</c:v>
                </c:pt>
                <c:pt idx="13">
                  <c:v>UE</c:v>
                </c:pt>
                <c:pt idx="14">
                  <c:v>Autriche</c:v>
                </c:pt>
                <c:pt idx="15">
                  <c:v>Tchéquie</c:v>
                </c:pt>
                <c:pt idx="16">
                  <c:v>Italie</c:v>
                </c:pt>
                <c:pt idx="17">
                  <c:v>Espagne</c:v>
                </c:pt>
                <c:pt idx="18">
                  <c:v>Suède</c:v>
                </c:pt>
                <c:pt idx="19">
                  <c:v>Pays-Bas</c:v>
                </c:pt>
                <c:pt idx="20">
                  <c:v>Croatie</c:v>
                </c:pt>
                <c:pt idx="21">
                  <c:v>Danemark</c:v>
                </c:pt>
                <c:pt idx="22">
                  <c:v>Irlande</c:v>
                </c:pt>
                <c:pt idx="23">
                  <c:v>Lettonie</c:v>
                </c:pt>
                <c:pt idx="24">
                  <c:v>Pologne</c:v>
                </c:pt>
                <c:pt idx="25">
                  <c:v>Slovénie</c:v>
                </c:pt>
                <c:pt idx="26">
                  <c:v>Finlande</c:v>
                </c:pt>
                <c:pt idx="27">
                  <c:v>Estonie</c:v>
                </c:pt>
              </c:strCache>
            </c:strRef>
          </c:cat>
          <c:val>
            <c:numRef>
              <c:f>'EU-27-prop-undach'!$A$2:$A$29</c:f>
              <c:numCache>
                <c:formatCode>0.0%</c:formatCode>
                <c:ptCount val="28"/>
                <c:pt idx="0">
                  <c:v>0.29772247730333101</c:v>
                </c:pt>
                <c:pt idx="1">
                  <c:v>0.31960630649588001</c:v>
                </c:pt>
                <c:pt idx="2">
                  <c:v>0.16942787055344999</c:v>
                </c:pt>
                <c:pt idx="3">
                  <c:v>0.15448173678714999</c:v>
                </c:pt>
                <c:pt idx="4">
                  <c:v>0.17415697598156901</c:v>
                </c:pt>
                <c:pt idx="5">
                  <c:v>0.22580834049940199</c:v>
                </c:pt>
                <c:pt idx="6">
                  <c:v>0.25681117771897899</c:v>
                </c:pt>
                <c:pt idx="7">
                  <c:v>0.19887659156404899</c:v>
                </c:pt>
                <c:pt idx="8">
                  <c:v>0.124832289052117</c:v>
                </c:pt>
                <c:pt idx="9">
                  <c:v>0.12522810376145199</c:v>
                </c:pt>
                <c:pt idx="10">
                  <c:v>0.12620650986826701</c:v>
                </c:pt>
                <c:pt idx="11">
                  <c:v>0.13878829247413099</c:v>
                </c:pt>
                <c:pt idx="12">
                  <c:v>0.12793886416541</c:v>
                </c:pt>
                <c:pt idx="13">
                  <c:v>0.12976470416384001</c:v>
                </c:pt>
                <c:pt idx="14">
                  <c:v>0.13521703340333099</c:v>
                </c:pt>
                <c:pt idx="15">
                  <c:v>0.105152589318939</c:v>
                </c:pt>
                <c:pt idx="16">
                  <c:v>0.13747171776137301</c:v>
                </c:pt>
                <c:pt idx="17">
                  <c:v>0.118479734425204</c:v>
                </c:pt>
                <c:pt idx="18">
                  <c:v>0.104776503640542</c:v>
                </c:pt>
                <c:pt idx="19">
                  <c:v>0.107991691988072</c:v>
                </c:pt>
                <c:pt idx="20">
                  <c:v>0.14048818826847301</c:v>
                </c:pt>
                <c:pt idx="21">
                  <c:v>8.1419859627169897E-2</c:v>
                </c:pt>
                <c:pt idx="22">
                  <c:v>7.4426692375818504E-2</c:v>
                </c:pt>
                <c:pt idx="23">
                  <c:v>9.1622411517422606E-2</c:v>
                </c:pt>
                <c:pt idx="24">
                  <c:v>6.6924227433669298E-2</c:v>
                </c:pt>
                <c:pt idx="25">
                  <c:v>8.0284162697829203E-2</c:v>
                </c:pt>
                <c:pt idx="26">
                  <c:v>7.0138833205757006E-2</c:v>
                </c:pt>
                <c:pt idx="27">
                  <c:v>4.2161364414118198E-2</c:v>
                </c:pt>
              </c:numCache>
            </c:numRef>
          </c:val>
          <c:smooth val="0"/>
          <c:extLst>
            <c:ext xmlns:c15="http://schemas.microsoft.com/office/drawing/2012/chart" uri="{02D57815-91ED-43cb-92C2-25804820EDAC}">
              <c15:datalabelsRange>
                <c15:f>'EU-27-prop-undach'!$J$2:$J$29</c15:f>
                <c15:dlblRangeCache>
                  <c:ptCount val="28"/>
                  <c:pt idx="0">
                    <c:v>A</c:v>
                  </c:pt>
                  <c:pt idx="1">
                    <c:v>A</c:v>
                  </c:pt>
                  <c:pt idx="2">
                    <c:v>A</c:v>
                  </c:pt>
                  <c:pt idx="3">
                    <c:v>A</c:v>
                  </c:pt>
                  <c:pt idx="4">
                    <c:v>A</c:v>
                  </c:pt>
                  <c:pt idx="5">
                    <c:v>A</c:v>
                  </c:pt>
                  <c:pt idx="6">
                    <c:v>A</c:v>
                  </c:pt>
                  <c:pt idx="7">
                    <c:v>A</c:v>
                  </c:pt>
                  <c:pt idx="8">
                    <c:v>A</c:v>
                  </c:pt>
                  <c:pt idx="9">
                    <c:v>A</c:v>
                  </c:pt>
                  <c:pt idx="10">
                    <c:v>A</c:v>
                  </c:pt>
                  <c:pt idx="11">
                    <c:v>A</c:v>
                  </c:pt>
                  <c:pt idx="12">
                    <c:v>A</c:v>
                  </c:pt>
                  <c:pt idx="13">
                    <c:v>A</c:v>
                  </c:pt>
                  <c:pt idx="14">
                    <c:v>A</c:v>
                  </c:pt>
                  <c:pt idx="15">
                    <c:v>A</c:v>
                  </c:pt>
                  <c:pt idx="16">
                    <c:v>A</c:v>
                  </c:pt>
                  <c:pt idx="17">
                    <c:v>A</c:v>
                  </c:pt>
                  <c:pt idx="18">
                    <c:v>A</c:v>
                  </c:pt>
                  <c:pt idx="19">
                    <c:v>A</c:v>
                  </c:pt>
                  <c:pt idx="20">
                    <c:v>A</c:v>
                  </c:pt>
                  <c:pt idx="21">
                    <c:v>A</c:v>
                  </c:pt>
                  <c:pt idx="22">
                    <c:v>A</c:v>
                  </c:pt>
                  <c:pt idx="23">
                    <c:v>A</c:v>
                  </c:pt>
                  <c:pt idx="24">
                    <c:v>A</c:v>
                  </c:pt>
                  <c:pt idx="25">
                    <c:v>A</c:v>
                  </c:pt>
                  <c:pt idx="26">
                    <c:v>A</c:v>
                  </c:pt>
                  <c:pt idx="27">
                    <c:v>A</c:v>
                  </c:pt>
                </c15:dlblRangeCache>
              </c15:datalabelsRange>
            </c:ext>
            <c:ext xmlns:c16="http://schemas.microsoft.com/office/drawing/2014/chart" uri="{C3380CC4-5D6E-409C-BE32-E72D297353CC}">
              <c16:uniqueId val="{00000039-189E-48C4-A03B-5F04F0DCA2AE}"/>
            </c:ext>
          </c:extLst>
        </c:ser>
        <c:ser>
          <c:idx val="1"/>
          <c:order val="2"/>
          <c:tx>
            <c:strRef>
              <c:f>'EU-27-prop-undach'!$B$1</c:f>
              <c:strCache>
                <c:ptCount val="1"/>
                <c:pt idx="0">
                  <c:v>Haut de l'échelle socioéconomique</c:v>
                </c:pt>
              </c:strCache>
            </c:strRef>
          </c:tx>
          <c:spPr>
            <a:ln w="19050" cap="rnd">
              <a:noFill/>
              <a:round/>
            </a:ln>
            <a:effectLst/>
          </c:spPr>
          <c:marker>
            <c:symbol val="dash"/>
            <c:size val="9"/>
            <c:spPr>
              <a:solidFill>
                <a:srgbClr val="7975C8"/>
              </a:solidFill>
              <a:ln w="9525">
                <a:solidFill>
                  <a:srgbClr val="7975C8"/>
                </a:solidFill>
              </a:ln>
              <a:effectLst/>
            </c:spPr>
          </c:marker>
          <c:dPt>
            <c:idx val="15"/>
            <c:bubble3D val="0"/>
            <c:extLst>
              <c:ext xmlns:c16="http://schemas.microsoft.com/office/drawing/2014/chart" uri="{C3380CC4-5D6E-409C-BE32-E72D297353CC}">
                <c16:uniqueId val="{0000003A-189E-48C4-A03B-5F04F0DCA2AE}"/>
              </c:ext>
            </c:extLst>
          </c:dPt>
          <c:dLbls>
            <c:dLbl>
              <c:idx val="0"/>
              <c:tx>
                <c:rich>
                  <a:bodyPr/>
                  <a:lstStyle/>
                  <a:p>
                    <a:fld id="{3D507772-2D97-4583-BB5D-CFAA275775AE}" type="CELLRANGE">
                      <a:rPr lang="en-US"/>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B-189E-48C4-A03B-5F04F0DCA2AE}"/>
                </c:ext>
              </c:extLst>
            </c:dLbl>
            <c:dLbl>
              <c:idx val="1"/>
              <c:tx>
                <c:rich>
                  <a:bodyPr/>
                  <a:lstStyle/>
                  <a:p>
                    <a:fld id="{97D6F322-4D37-4E88-B1F1-201986CAD089}"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C-189E-48C4-A03B-5F04F0DCA2AE}"/>
                </c:ext>
              </c:extLst>
            </c:dLbl>
            <c:dLbl>
              <c:idx val="2"/>
              <c:layout>
                <c:manualLayout>
                  <c:x val="-1.8918635170603673E-2"/>
                  <c:y val="3.0785122920728079E-2"/>
                </c:manualLayout>
              </c:layout>
              <c:tx>
                <c:rich>
                  <a:bodyPr/>
                  <a:lstStyle/>
                  <a:p>
                    <a:fld id="{11075254-3B04-4537-9A91-5E7EC7D71B8F}"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D-189E-48C4-A03B-5F04F0DCA2AE}"/>
                </c:ext>
              </c:extLst>
            </c:dLbl>
            <c:dLbl>
              <c:idx val="3"/>
              <c:layout>
                <c:manualLayout>
                  <c:x val="-1.8918635170603711E-2"/>
                  <c:y val="2.649787747592644E-2"/>
                </c:manualLayout>
              </c:layout>
              <c:tx>
                <c:rich>
                  <a:bodyPr rot="0" spcFirstLastPara="1" vertOverflow="overflow" horzOverflow="overflow" vert="horz" wrap="square" lIns="0" tIns="0" rIns="0" bIns="0" anchor="t" anchorCtr="0">
                    <a:spAutoFit/>
                  </a:bodyPr>
                  <a:lstStyle/>
                  <a:p>
                    <a:pPr>
                      <a:defRPr sz="6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mn-cs"/>
                      </a:defRPr>
                    </a:pPr>
                    <a:fld id="{4A8F94CC-5866-4468-811A-5EAC984AB5D7}" type="CELLRANGE">
                      <a:rPr lang="en-US"/>
                      <a:pPr>
                        <a:defRPr sz="6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mn-cs"/>
                        </a:defRPr>
                      </a:pPr>
                      <a:t>[CELLRANGE]</a:t>
                    </a:fld>
                    <a:endParaRPr lang="en-GB"/>
                  </a:p>
                </c:rich>
              </c:tx>
              <c:spPr>
                <a:noFill/>
                <a:ln>
                  <a:noFill/>
                </a:ln>
                <a:effectLst/>
              </c:spPr>
              <c:dLblPos val="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1"/>
                </c:ext>
                <c:ext xmlns:c16="http://schemas.microsoft.com/office/drawing/2014/chart" uri="{C3380CC4-5D6E-409C-BE32-E72D297353CC}">
                  <c16:uniqueId val="{0000003E-189E-48C4-A03B-5F04F0DCA2AE}"/>
                </c:ext>
              </c:extLst>
            </c:dLbl>
            <c:dLbl>
              <c:idx val="4"/>
              <c:layout>
                <c:manualLayout>
                  <c:x val="-1.8918635170603673E-2"/>
                  <c:y val="3.5072368365529794E-2"/>
                </c:manualLayout>
              </c:layout>
              <c:tx>
                <c:rich>
                  <a:bodyPr/>
                  <a:lstStyle/>
                  <a:p>
                    <a:fld id="{27E9AF59-15E9-4858-B883-49C6AAE8093D}"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F-189E-48C4-A03B-5F04F0DCA2AE}"/>
                </c:ext>
              </c:extLst>
            </c:dLbl>
            <c:dLbl>
              <c:idx val="5"/>
              <c:tx>
                <c:rich>
                  <a:bodyPr/>
                  <a:lstStyle/>
                  <a:p>
                    <a:fld id="{5E0D3129-8ECD-4315-BBDD-F3CFFC356471}"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0-189E-48C4-A03B-5F04F0DCA2AE}"/>
                </c:ext>
              </c:extLst>
            </c:dLbl>
            <c:dLbl>
              <c:idx val="6"/>
              <c:tx>
                <c:rich>
                  <a:bodyPr/>
                  <a:lstStyle/>
                  <a:p>
                    <a:fld id="{96544520-7955-4EA7-9342-FBDF9CECBB5D}"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1-189E-48C4-A03B-5F04F0DCA2AE}"/>
                </c:ext>
              </c:extLst>
            </c:dLbl>
            <c:dLbl>
              <c:idx val="7"/>
              <c:layout>
                <c:manualLayout>
                  <c:x val="-1.6903664819675319E-2"/>
                  <c:y val="4.5637896549105071E-2"/>
                </c:manualLayout>
              </c:layout>
              <c:tx>
                <c:rich>
                  <a:bodyPr/>
                  <a:lstStyle/>
                  <a:p>
                    <a:fld id="{781D0A4A-1953-4772-BADB-8B69E169EC25}"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2-189E-48C4-A03B-5F04F0DCA2AE}"/>
                </c:ext>
              </c:extLst>
            </c:dLbl>
            <c:dLbl>
              <c:idx val="8"/>
              <c:layout>
                <c:manualLayout>
                  <c:x val="-1.8918635170603673E-2"/>
                  <c:y val="3.0785122920728079E-2"/>
                </c:manualLayout>
              </c:layout>
              <c:tx>
                <c:rich>
                  <a:bodyPr/>
                  <a:lstStyle/>
                  <a:p>
                    <a:fld id="{A38B5618-872C-4222-A23C-146923373CFD}"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3-189E-48C4-A03B-5F04F0DCA2AE}"/>
                </c:ext>
              </c:extLst>
            </c:dLbl>
            <c:dLbl>
              <c:idx val="9"/>
              <c:layout>
                <c:manualLayout>
                  <c:x val="-1.8918635170603673E-2"/>
                  <c:y val="3.5072368365529717E-2"/>
                </c:manualLayout>
              </c:layout>
              <c:tx>
                <c:rich>
                  <a:bodyPr/>
                  <a:lstStyle/>
                  <a:p>
                    <a:fld id="{3F459054-41FE-4EA2-8FE6-732BF4915CE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4-189E-48C4-A03B-5F04F0DCA2AE}"/>
                </c:ext>
              </c:extLst>
            </c:dLbl>
            <c:dLbl>
              <c:idx val="10"/>
              <c:layout>
                <c:manualLayout>
                  <c:x val="-1.8918635170603746E-2"/>
                  <c:y val="2.649787747592644E-2"/>
                </c:manualLayout>
              </c:layout>
              <c:tx>
                <c:rich>
                  <a:bodyPr/>
                  <a:lstStyle/>
                  <a:p>
                    <a:fld id="{1D17ABF2-2B3E-476F-9F29-FB2123C16703}"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5-189E-48C4-A03B-5F04F0DCA2AE}"/>
                </c:ext>
              </c:extLst>
            </c:dLbl>
            <c:dLbl>
              <c:idx val="11"/>
              <c:layout>
                <c:manualLayout>
                  <c:x val="-1.8918635170603746E-2"/>
                  <c:y val="3.0785122920728235E-2"/>
                </c:manualLayout>
              </c:layout>
              <c:tx>
                <c:rich>
                  <a:bodyPr/>
                  <a:lstStyle/>
                  <a:p>
                    <a:fld id="{8C4ACD07-7B97-4CD1-97FC-03C8D68A3CF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6-189E-48C4-A03B-5F04F0DCA2AE}"/>
                </c:ext>
              </c:extLst>
            </c:dLbl>
            <c:dLbl>
              <c:idx val="12"/>
              <c:layout>
                <c:manualLayout>
                  <c:x val="-1.8918635170603673E-2"/>
                  <c:y val="3.0785122920728079E-2"/>
                </c:manualLayout>
              </c:layout>
              <c:tx>
                <c:rich>
                  <a:bodyPr/>
                  <a:lstStyle/>
                  <a:p>
                    <a:fld id="{98C28A0A-58EA-448F-B327-615BFB7D7190}"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7-189E-48C4-A03B-5F04F0DCA2AE}"/>
                </c:ext>
              </c:extLst>
            </c:dLbl>
            <c:dLbl>
              <c:idx val="13"/>
              <c:layout>
                <c:manualLayout>
                  <c:x val="-1.8918635170603746E-2"/>
                  <c:y val="3.0785122920728155E-2"/>
                </c:manualLayout>
              </c:layout>
              <c:tx>
                <c:rich>
                  <a:bodyPr/>
                  <a:lstStyle/>
                  <a:p>
                    <a:fld id="{8651E266-D11B-4D1E-9857-24F8AD5C71AB}"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8-189E-48C4-A03B-5F04F0DCA2AE}"/>
                </c:ext>
              </c:extLst>
            </c:dLbl>
            <c:dLbl>
              <c:idx val="14"/>
              <c:layout>
                <c:manualLayout>
                  <c:x val="-1.8918635170603673E-2"/>
                  <c:y val="3.5072368365529794E-2"/>
                </c:manualLayout>
              </c:layout>
              <c:tx>
                <c:rich>
                  <a:bodyPr/>
                  <a:lstStyle/>
                  <a:p>
                    <a:fld id="{E5C6B8CB-E1B9-4E98-83A3-2E0FC918C3BB}"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9-189E-48C4-A03B-5F04F0DCA2AE}"/>
                </c:ext>
              </c:extLst>
            </c:dLbl>
            <c:dLbl>
              <c:idx val="15"/>
              <c:layout>
                <c:manualLayout>
                  <c:x val="-1.8918635170603673E-2"/>
                  <c:y val="3.0785122920728155E-2"/>
                </c:manualLayout>
              </c:layout>
              <c:tx>
                <c:rich>
                  <a:bodyPr/>
                  <a:lstStyle/>
                  <a:p>
                    <a:fld id="{08BCD9E1-E254-4E22-AFCA-3FE661885FD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A-189E-48C4-A03B-5F04F0DCA2AE}"/>
                </c:ext>
              </c:extLst>
            </c:dLbl>
            <c:dLbl>
              <c:idx val="16"/>
              <c:layout>
                <c:manualLayout>
                  <c:x val="-1.8918635170603673E-2"/>
                  <c:y val="3.0785122920728155E-2"/>
                </c:manualLayout>
              </c:layout>
              <c:tx>
                <c:rich>
                  <a:bodyPr/>
                  <a:lstStyle/>
                  <a:p>
                    <a:fld id="{E7E0F774-1179-4C3C-8CAA-6C48BD4D33F3}"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A-189E-48C4-A03B-5F04F0DCA2AE}"/>
                </c:ext>
              </c:extLst>
            </c:dLbl>
            <c:dLbl>
              <c:idx val="17"/>
              <c:layout>
                <c:manualLayout>
                  <c:x val="-1.8918635170603673E-2"/>
                  <c:y val="3.5072368365529717E-2"/>
                </c:manualLayout>
              </c:layout>
              <c:tx>
                <c:rich>
                  <a:bodyPr/>
                  <a:lstStyle/>
                  <a:p>
                    <a:fld id="{C280187E-E7DA-4E13-9237-C9FF11D46BEF}"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B-189E-48C4-A03B-5F04F0DCA2AE}"/>
                </c:ext>
              </c:extLst>
            </c:dLbl>
            <c:dLbl>
              <c:idx val="18"/>
              <c:layout>
                <c:manualLayout>
                  <c:x val="-1.8918635170603673E-2"/>
                  <c:y val="3.0785122920728079E-2"/>
                </c:manualLayout>
              </c:layout>
              <c:tx>
                <c:rich>
                  <a:bodyPr/>
                  <a:lstStyle/>
                  <a:p>
                    <a:fld id="{43D4813F-AD5A-4D33-A761-AAFBB9706F22}"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C-189E-48C4-A03B-5F04F0DCA2AE}"/>
                </c:ext>
              </c:extLst>
            </c:dLbl>
            <c:dLbl>
              <c:idx val="19"/>
              <c:layout>
                <c:manualLayout>
                  <c:x val="-1.8918635170603673E-2"/>
                  <c:y val="3.0785122920728155E-2"/>
                </c:manualLayout>
              </c:layout>
              <c:tx>
                <c:rich>
                  <a:bodyPr/>
                  <a:lstStyle/>
                  <a:p>
                    <a:fld id="{F521C8CC-8818-449B-B820-FCC932172181}"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D-189E-48C4-A03B-5F04F0DCA2AE}"/>
                </c:ext>
              </c:extLst>
            </c:dLbl>
            <c:dLbl>
              <c:idx val="20"/>
              <c:tx>
                <c:rich>
                  <a:bodyPr/>
                  <a:lstStyle/>
                  <a:p>
                    <a:fld id="{A4BFB551-59C7-4584-BFE9-5B0C0C8B2162}"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4E-189E-48C4-A03B-5F04F0DCA2AE}"/>
                </c:ext>
              </c:extLst>
            </c:dLbl>
            <c:dLbl>
              <c:idx val="21"/>
              <c:layout>
                <c:manualLayout>
                  <c:x val="-1.8918635170603819E-2"/>
                  <c:y val="3.0785122920728155E-2"/>
                </c:manualLayout>
              </c:layout>
              <c:tx>
                <c:rich>
                  <a:bodyPr/>
                  <a:lstStyle/>
                  <a:p>
                    <a:fld id="{18CB340F-9FFB-4AF1-AC11-C58E5570C36D}"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F-189E-48C4-A03B-5F04F0DCA2AE}"/>
                </c:ext>
              </c:extLst>
            </c:dLbl>
            <c:dLbl>
              <c:idx val="22"/>
              <c:layout>
                <c:manualLayout>
                  <c:x val="-1.8918635170603673E-2"/>
                  <c:y val="3.0785122920728155E-2"/>
                </c:manualLayout>
              </c:layout>
              <c:tx>
                <c:rich>
                  <a:bodyPr/>
                  <a:lstStyle/>
                  <a:p>
                    <a:fld id="{316B6787-891D-4E99-A2DA-E668A8D865C4}"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0-189E-48C4-A03B-5F04F0DCA2AE}"/>
                </c:ext>
              </c:extLst>
            </c:dLbl>
            <c:dLbl>
              <c:idx val="23"/>
              <c:layout>
                <c:manualLayout>
                  <c:x val="-1.8918635170603673E-2"/>
                  <c:y val="3.0785122920728079E-2"/>
                </c:manualLayout>
              </c:layout>
              <c:tx>
                <c:rich>
                  <a:bodyPr/>
                  <a:lstStyle/>
                  <a:p>
                    <a:fld id="{1EAAFD7B-18F1-4470-9FDC-0E2A16E2CA68}"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1-189E-48C4-A03B-5F04F0DCA2AE}"/>
                </c:ext>
              </c:extLst>
            </c:dLbl>
            <c:dLbl>
              <c:idx val="24"/>
              <c:layout>
                <c:manualLayout>
                  <c:x val="-1.8918635170603819E-2"/>
                  <c:y val="2.6497877475926284E-2"/>
                </c:manualLayout>
              </c:layout>
              <c:tx>
                <c:rich>
                  <a:bodyPr/>
                  <a:lstStyle/>
                  <a:p>
                    <a:fld id="{55303C79-01AA-4C66-A6F6-CFCDA23E581C}"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2-189E-48C4-A03B-5F04F0DCA2AE}"/>
                </c:ext>
              </c:extLst>
            </c:dLbl>
            <c:dLbl>
              <c:idx val="25"/>
              <c:layout>
                <c:manualLayout>
                  <c:x val="-1.8918635170603673E-2"/>
                  <c:y val="3.0785122920728155E-2"/>
                </c:manualLayout>
              </c:layout>
              <c:tx>
                <c:rich>
                  <a:bodyPr/>
                  <a:lstStyle/>
                  <a:p>
                    <a:fld id="{E09F2EA3-A3F9-496E-9AE5-9DE74E41468E}"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3-189E-48C4-A03B-5F04F0DCA2AE}"/>
                </c:ext>
              </c:extLst>
            </c:dLbl>
            <c:dLbl>
              <c:idx val="26"/>
              <c:layout>
                <c:manualLayout>
                  <c:x val="-1.8918635170603673E-2"/>
                  <c:y val="3.0785122920728155E-2"/>
                </c:manualLayout>
              </c:layout>
              <c:tx>
                <c:rich>
                  <a:bodyPr/>
                  <a:lstStyle/>
                  <a:p>
                    <a:fld id="{06980D35-201B-4D26-BEFD-DD396071231C}"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54-189E-48C4-A03B-5F04F0DCA2AE}"/>
                </c:ext>
              </c:extLst>
            </c:dLbl>
            <c:dLbl>
              <c:idx val="27"/>
              <c:tx>
                <c:rich>
                  <a:bodyPr/>
                  <a:lstStyle/>
                  <a:p>
                    <a:fld id="{B575A68E-4816-4397-8ACE-E48CB27BAFE0}" type="CELLRANGE">
                      <a:rPr lang="en-GB"/>
                      <a:pPr/>
                      <a:t>[CELLRANGE]</a:t>
                    </a:fld>
                    <a:endParaRPr lang="en-GB"/>
                  </a:p>
                </c:rich>
              </c:tx>
              <c:dLblPos val="b"/>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55-189E-48C4-A03B-5F04F0DCA2AE}"/>
                </c:ext>
              </c:extLst>
            </c:dLbl>
            <c:spPr>
              <a:noFill/>
              <a:ln>
                <a:noFill/>
              </a:ln>
              <a:effectLst/>
            </c:spPr>
            <c:txPr>
              <a:bodyPr rot="0" spcFirstLastPara="1" vertOverflow="overflow" horzOverflow="overflow" vert="horz" wrap="square" lIns="0" tIns="0" rIns="0" bIns="0" anchor="t" anchorCtr="1">
                <a:spAutoFit/>
              </a:bodyPr>
              <a:lstStyle/>
              <a:p>
                <a:pPr>
                  <a:defRPr sz="600" b="0" i="0" u="none" strike="noStrike" kern="1200" baseline="0">
                    <a:solidFill>
                      <a:schemeClr val="tx1">
                        <a:lumMod val="75000"/>
                        <a:lumOff val="25000"/>
                      </a:schemeClr>
                    </a:solidFill>
                    <a:latin typeface="Verdana" panose="020B0604030504040204" pitchFamily="34" charset="0"/>
                    <a:ea typeface="Verdana" panose="020B0604030504040204" pitchFamily="34" charset="0"/>
                    <a:cs typeface="+mn-cs"/>
                  </a:defRPr>
                </a:pPr>
                <a:endParaRPr lang="en-US"/>
              </a:p>
            </c:txPr>
            <c:dLblPos val="b"/>
            <c:showLegendKey val="0"/>
            <c:showVal val="0"/>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DataLabelsRange val="1"/>
                <c15:showLeaderLines val="1"/>
                <c15:leaderLines>
                  <c:spPr>
                    <a:ln w="9525" cap="flat" cmpd="sng" algn="ctr">
                      <a:solidFill>
                        <a:schemeClr val="tx1">
                          <a:lumMod val="35000"/>
                          <a:lumOff val="65000"/>
                        </a:schemeClr>
                      </a:solidFill>
                      <a:round/>
                    </a:ln>
                    <a:effectLst/>
                  </c:spPr>
                </c15:leaderLines>
              </c:ext>
            </c:extLst>
          </c:dLbls>
          <c:cat>
            <c:strRef>
              <c:f>'EU-27-prop-undach'!$D$2:$D$29</c:f>
              <c:strCache>
                <c:ptCount val="28"/>
                <c:pt idx="0">
                  <c:v>Roumanie</c:v>
                </c:pt>
                <c:pt idx="1">
                  <c:v>Bulgarie</c:v>
                </c:pt>
                <c:pt idx="2">
                  <c:v>Slovaquie</c:v>
                </c:pt>
                <c:pt idx="3">
                  <c:v>Hongrie</c:v>
                </c:pt>
                <c:pt idx="4">
                  <c:v>Luxembourg</c:v>
                </c:pt>
                <c:pt idx="5">
                  <c:v>Malte</c:v>
                </c:pt>
                <c:pt idx="6">
                  <c:v>Chypre</c:v>
                </c:pt>
                <c:pt idx="7">
                  <c:v>Grèce</c:v>
                </c:pt>
                <c:pt idx="8">
                  <c:v>Belgique</c:v>
                </c:pt>
                <c:pt idx="9">
                  <c:v>France</c:v>
                </c:pt>
                <c:pt idx="10">
                  <c:v>Portugal</c:v>
                </c:pt>
                <c:pt idx="11">
                  <c:v>Lituanie</c:v>
                </c:pt>
                <c:pt idx="12">
                  <c:v>Allemagne</c:v>
                </c:pt>
                <c:pt idx="13">
                  <c:v>UE</c:v>
                </c:pt>
                <c:pt idx="14">
                  <c:v>Autriche</c:v>
                </c:pt>
                <c:pt idx="15">
                  <c:v>Tchéquie</c:v>
                </c:pt>
                <c:pt idx="16">
                  <c:v>Italie</c:v>
                </c:pt>
                <c:pt idx="17">
                  <c:v>Espagne</c:v>
                </c:pt>
                <c:pt idx="18">
                  <c:v>Suède</c:v>
                </c:pt>
                <c:pt idx="19">
                  <c:v>Pays-Bas</c:v>
                </c:pt>
                <c:pt idx="20">
                  <c:v>Croatie</c:v>
                </c:pt>
                <c:pt idx="21">
                  <c:v>Danemark</c:v>
                </c:pt>
                <c:pt idx="22">
                  <c:v>Irlande</c:v>
                </c:pt>
                <c:pt idx="23">
                  <c:v>Lettonie</c:v>
                </c:pt>
                <c:pt idx="24">
                  <c:v>Pologne</c:v>
                </c:pt>
                <c:pt idx="25">
                  <c:v>Slovénie</c:v>
                </c:pt>
                <c:pt idx="26">
                  <c:v>Finlande</c:v>
                </c:pt>
                <c:pt idx="27">
                  <c:v>Estonie</c:v>
                </c:pt>
              </c:strCache>
            </c:strRef>
          </c:cat>
          <c:val>
            <c:numRef>
              <c:f>'EU-27-prop-undach'!$B$2:$B$29</c:f>
              <c:numCache>
                <c:formatCode>0.0%</c:formatCode>
                <c:ptCount val="28"/>
                <c:pt idx="0">
                  <c:v>0.107844625356136</c:v>
                </c:pt>
                <c:pt idx="1">
                  <c:v>0.140611448208288</c:v>
                </c:pt>
                <c:pt idx="2">
                  <c:v>4.4839524562381702E-2</c:v>
                </c:pt>
                <c:pt idx="3">
                  <c:v>3.3257175979032598E-2</c:v>
                </c:pt>
                <c:pt idx="4">
                  <c:v>4.1257979174442003E-2</c:v>
                </c:pt>
                <c:pt idx="5">
                  <c:v>0.11314258196051701</c:v>
                </c:pt>
                <c:pt idx="6">
                  <c:v>0.136427494303833</c:v>
                </c:pt>
                <c:pt idx="7">
                  <c:v>8.1419682636916998E-2</c:v>
                </c:pt>
                <c:pt idx="8">
                  <c:v>3.0556547095018701E-2</c:v>
                </c:pt>
                <c:pt idx="9">
                  <c:v>3.1774632613757903E-2</c:v>
                </c:pt>
                <c:pt idx="10">
                  <c:v>2.6657266306159999E-2</c:v>
                </c:pt>
                <c:pt idx="11">
                  <c:v>5.1043577928500797E-2</c:v>
                </c:pt>
                <c:pt idx="12">
                  <c:v>3.05436802386496E-2</c:v>
                </c:pt>
                <c:pt idx="13">
                  <c:v>4.1913168198249001E-2</c:v>
                </c:pt>
                <c:pt idx="14">
                  <c:v>4.9291689378872003E-2</c:v>
                </c:pt>
                <c:pt idx="15">
                  <c:v>2.9811444193829199E-2</c:v>
                </c:pt>
                <c:pt idx="16">
                  <c:v>5.9652764473165899E-2</c:v>
                </c:pt>
                <c:pt idx="17">
                  <c:v>4.1172019612308597E-2</c:v>
                </c:pt>
                <c:pt idx="18">
                  <c:v>4.4873012510791399E-2</c:v>
                </c:pt>
                <c:pt idx="19">
                  <c:v>3.6256656102925701E-2</c:v>
                </c:pt>
                <c:pt idx="20">
                  <c:v>6.6693401930793705E-2</c:v>
                </c:pt>
                <c:pt idx="21">
                  <c:v>3.1819553118725398E-2</c:v>
                </c:pt>
                <c:pt idx="22">
                  <c:v>2.6685619396125401E-2</c:v>
                </c:pt>
                <c:pt idx="23">
                  <c:v>3.94520343724067E-2</c:v>
                </c:pt>
                <c:pt idx="24">
                  <c:v>2.10223436194313E-2</c:v>
                </c:pt>
                <c:pt idx="25">
                  <c:v>2.5807858273755001E-2</c:v>
                </c:pt>
                <c:pt idx="26">
                  <c:v>2.4438199805276398E-2</c:v>
                </c:pt>
                <c:pt idx="27">
                  <c:v>2.0576739132947001E-2</c:v>
                </c:pt>
              </c:numCache>
            </c:numRef>
          </c:val>
          <c:smooth val="0"/>
          <c:extLst>
            <c:ext xmlns:c15="http://schemas.microsoft.com/office/drawing/2012/chart" uri="{02D57815-91ED-43cb-92C2-25804820EDAC}">
              <c15:datalabelsRange>
                <c15:f>'EU-27-prop-undach'!$K$2:$K$29</c15:f>
                <c15:dlblRangeCache>
                  <c:ptCount val="28"/>
                  <c:pt idx="0">
                    <c:v>B</c:v>
                  </c:pt>
                  <c:pt idx="1">
                    <c:v>B</c:v>
                  </c:pt>
                  <c:pt idx="2">
                    <c:v>B</c:v>
                  </c:pt>
                  <c:pt idx="3">
                    <c:v>B</c:v>
                  </c:pt>
                  <c:pt idx="4">
                    <c:v>B</c:v>
                  </c:pt>
                  <c:pt idx="5">
                    <c:v>B</c:v>
                  </c:pt>
                  <c:pt idx="6">
                    <c:v>B</c:v>
                  </c:pt>
                  <c:pt idx="7">
                    <c:v>B</c:v>
                  </c:pt>
                  <c:pt idx="8">
                    <c:v>B</c:v>
                  </c:pt>
                  <c:pt idx="9">
                    <c:v>B</c:v>
                  </c:pt>
                  <c:pt idx="10">
                    <c:v>B</c:v>
                  </c:pt>
                  <c:pt idx="11">
                    <c:v>B</c:v>
                  </c:pt>
                  <c:pt idx="12">
                    <c:v>B</c:v>
                  </c:pt>
                  <c:pt idx="13">
                    <c:v>B</c:v>
                  </c:pt>
                  <c:pt idx="14">
                    <c:v>B</c:v>
                  </c:pt>
                  <c:pt idx="15">
                    <c:v>B</c:v>
                  </c:pt>
                  <c:pt idx="16">
                    <c:v>B</c:v>
                  </c:pt>
                  <c:pt idx="17">
                    <c:v>B</c:v>
                  </c:pt>
                  <c:pt idx="18">
                    <c:v>B</c:v>
                  </c:pt>
                  <c:pt idx="19">
                    <c:v>B</c:v>
                  </c:pt>
                  <c:pt idx="20">
                    <c:v>B</c:v>
                  </c:pt>
                  <c:pt idx="21">
                    <c:v>B</c:v>
                  </c:pt>
                  <c:pt idx="22">
                    <c:v>B</c:v>
                  </c:pt>
                  <c:pt idx="23">
                    <c:v>B</c:v>
                  </c:pt>
                  <c:pt idx="24">
                    <c:v>B</c:v>
                  </c:pt>
                  <c:pt idx="25">
                    <c:v>B</c:v>
                  </c:pt>
                  <c:pt idx="26">
                    <c:v>B</c:v>
                  </c:pt>
                  <c:pt idx="27">
                    <c:v>B</c:v>
                  </c:pt>
                </c15:dlblRangeCache>
              </c15:datalabelsRange>
            </c:ext>
            <c:ext xmlns:c16="http://schemas.microsoft.com/office/drawing/2014/chart" uri="{C3380CC4-5D6E-409C-BE32-E72D297353CC}">
              <c16:uniqueId val="{00000056-189E-48C4-A03B-5F04F0DCA2AE}"/>
            </c:ext>
          </c:extLst>
        </c:ser>
        <c:dLbls>
          <c:showLegendKey val="0"/>
          <c:showVal val="1"/>
          <c:showCatName val="0"/>
          <c:showSerName val="0"/>
          <c:showPercent val="0"/>
          <c:showBubbleSize val="0"/>
        </c:dLbls>
        <c:hiLowLines>
          <c:spPr>
            <a:ln w="88900" cap="flat" cmpd="sng" algn="ctr">
              <a:solidFill>
                <a:srgbClr val="D1E7FE"/>
              </a:solidFill>
              <a:round/>
            </a:ln>
            <a:effectLst/>
          </c:spPr>
        </c:hiLowLines>
        <c:axId val="531973640"/>
        <c:axId val="531976264"/>
      </c:stockChart>
      <c:catAx>
        <c:axId val="531973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crossAx val="531976264"/>
        <c:crosses val="autoZero"/>
        <c:auto val="1"/>
        <c:lblAlgn val="ctr"/>
        <c:lblOffset val="100"/>
        <c:noMultiLvlLbl val="0"/>
      </c:catAx>
      <c:valAx>
        <c:axId val="531976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en-GB" sz="700" baseline="0"/>
                  <a:t>Echec scolaire dans ces trois matières confondues : lecture, mathématiques et sciences</a:t>
                </a:r>
              </a:p>
            </c:rich>
          </c:tx>
          <c:layout>
            <c:manualLayout>
              <c:xMode val="edge"/>
              <c:yMode val="edge"/>
              <c:x val="1.0963740643530669E-3"/>
              <c:y val="8.9435990919141534E-2"/>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crossAx val="531973640"/>
        <c:crosses val="autoZero"/>
        <c:crossBetween val="between"/>
      </c:valAx>
      <c:spPr>
        <a:noFill/>
        <a:ln>
          <a:noFill/>
        </a:ln>
        <a:effectLst/>
      </c:spPr>
    </c:plotArea>
    <c:legend>
      <c:legendPos val="b"/>
      <c:layout>
        <c:manualLayout>
          <c:xMode val="edge"/>
          <c:yMode val="edge"/>
          <c:x val="0.57499959171770199"/>
          <c:y val="6.350618672665917E-2"/>
          <c:w val="0.39913661903373188"/>
          <c:h val="0.325967754030746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legend>
    <c:plotVisOnly val="1"/>
    <c:dispBlanksAs val="gap"/>
    <c:showDLblsOverMax val="0"/>
  </c:chart>
  <c:spPr>
    <a:solidFill>
      <a:srgbClr val="D6D9F6"/>
    </a:solidFill>
    <a:ln w="9525" cap="flat" cmpd="sng" algn="ctr">
      <a:noFill/>
      <a:round/>
    </a:ln>
    <a:effectLst/>
  </c:spPr>
  <c:txPr>
    <a:bodyPr/>
    <a:lstStyle/>
    <a:p>
      <a:pPr>
        <a:defRPr sz="900">
          <a:latin typeface="Verdana" panose="020B0604030504040204" pitchFamily="34" charset="0"/>
          <a:ea typeface="Verdana" panose="020B060403050404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134554b2-fa8c-407b-b04e-356c8bd4a3b0">EN</EC_Collab_DocumentLanguage>
    <EC_Collab_Reference xmlns="134554b2-fa8c-407b-b04e-356c8bd4a3b0" xsi:nil="true"/>
    <EC_Collab_Status xmlns="134554b2-fa8c-407b-b04e-356c8bd4a3b0">Reviewed</EC_Collab_Status>
    <Topic xmlns="134554b2-fa8c-407b-b04e-356c8bd4a3b0">Reporting</Topic>
    <Sub_x0020_Topic xmlns="134554b2-fa8c-407b-b04e-356c8bd4a3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714519E98FD3B248BE3BF273FF576A3A" ma:contentTypeVersion="12" ma:contentTypeDescription="Create a new document in this library." ma:contentTypeScope="" ma:versionID="8c53bd9d4bc0a48f9d7f5a2011924e75">
  <xsd:schema xmlns:xsd="http://www.w3.org/2001/XMLSchema" xmlns:xs="http://www.w3.org/2001/XMLSchema" xmlns:p="http://schemas.microsoft.com/office/2006/metadata/properties" xmlns:ns3="134554b2-fa8c-407b-b04e-356c8bd4a3b0" targetNamespace="http://schemas.microsoft.com/office/2006/metadata/properties" ma:root="true" ma:fieldsID="a8a7c01a028e1e6d18a8f7ec2c83f1d7" ns3:_="">
    <xsd:import namespace="134554b2-fa8c-407b-b04e-356c8bd4a3b0"/>
    <xsd:element name="properties">
      <xsd:complexType>
        <xsd:sequence>
          <xsd:element name="documentManagement">
            <xsd:complexType>
              <xsd:all>
                <xsd:element ref="ns3:EC_Collab_Reference" minOccurs="0"/>
                <xsd:element ref="ns3:EC_Collab_DocumentLanguage"/>
                <xsd:element ref="ns3:EC_Collab_Status"/>
                <xsd:element ref="ns3:Topic" minOccurs="0"/>
                <xsd:element ref="ns3:Sub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54b2-fa8c-407b-b04e-356c8bd4a3b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opic" ma:index="15" nillable="true" ma:displayName="Topic" ma:format="RadioButtons" ma:internalName="Topic">
      <xsd:simpleType>
        <xsd:restriction base="dms:Choice">
          <xsd:enumeration value="Samples"/>
          <xsd:enumeration value="Templates"/>
          <xsd:enumeration value="Background Information"/>
          <xsd:enumeration value="Reporting"/>
        </xsd:restriction>
      </xsd:simpleType>
    </xsd:element>
    <xsd:element name="Sub_x0020_Topic" ma:index="16" nillable="true" ma:displayName="Sub Topic" ma:format="Dropdown" ma:internalName="Sub_x0020_Topic">
      <xsd:simpleType>
        <xsd:restriction base="dms:Choice">
          <xsd:enumeration value="2022 EEA Progress Report"/>
          <xsd:enumeration value="internal reporting – EEA actions"/>
          <xsd:enumeration value="reporting to EDUC/HLG CB"/>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09400-C1BF-4B3F-8719-2F3B8C84B2E2}">
  <ds:schemaRefs>
    <ds:schemaRef ds:uri="http://schemas.microsoft.com/sharepoint/v3/contenttype/forms"/>
  </ds:schemaRefs>
</ds:datastoreItem>
</file>

<file path=customXml/itemProps2.xml><?xml version="1.0" encoding="utf-8"?>
<ds:datastoreItem xmlns:ds="http://schemas.openxmlformats.org/officeDocument/2006/customXml" ds:itemID="{258B38C0-B486-4BCB-9FB2-6BF377C4B571}">
  <ds:schemaRefs>
    <ds:schemaRef ds:uri="http://schemas.microsoft.com/office/2006/metadata/properties"/>
    <ds:schemaRef ds:uri="134554b2-fa8c-407b-b04e-356c8bd4a3b0"/>
    <ds:schemaRef ds:uri="http://purl.org/dc/term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FAAB2DA-6240-44D1-99FC-221DAE8DC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54b2-fa8c-407b-b04e-356c8bd4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AB4D0E-7FE0-4A71-9E7A-F22BE5B41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22</Pages>
  <Words>13100</Words>
  <Characters>73885</Characters>
  <Application>Microsoft Office Word</Application>
  <DocSecurity>0</DocSecurity>
  <Lines>1191</Lines>
  <Paragraphs>327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2022-08-08T09:18:00Z</cp:lastPrinted>
  <dcterms:created xsi:type="dcterms:W3CDTF">2022-11-09T14:59:00Z</dcterms:created>
  <dcterms:modified xsi:type="dcterms:W3CDTF">2022-11-16T16:50:00Z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7.0.1, Build 20200226</vt:lpwstr>
  </property>
  <property fmtid="{D5CDD505-2E9C-101B-9397-08002B2CF9AE}" pid="9" name="ContentTypeId">
    <vt:lpwstr>0x010100258AA79CEB83498886A3A0868112325000714519E98FD3B248BE3BF273FF576A3A</vt:lpwstr>
  </property>
  <property fmtid="{D5CDD505-2E9C-101B-9397-08002B2CF9AE}" pid="10" name="MSIP_Label_6bd9ddd1-4d20-43f6-abfa-fc3c07406f94_Enabled">
    <vt:lpwstr>true</vt:lpwstr>
  </property>
  <property fmtid="{D5CDD505-2E9C-101B-9397-08002B2CF9AE}" pid="11" name="MSIP_Label_6bd9ddd1-4d20-43f6-abfa-fc3c07406f94_SetDate">
    <vt:lpwstr>2022-06-16T12:55:38Z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53885a9e-2b9b-45c2-98eb-f1e24dc53c58</vt:lpwstr>
  </property>
  <property fmtid="{D5CDD505-2E9C-101B-9397-08002B2CF9AE}" pid="16" name="MSIP_Label_6bd9ddd1-4d20-43f6-abfa-fc3c07406f94_ContentBits">
    <vt:lpwstr>0</vt:lpwstr>
  </property>
</Properties>
</file>