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1BBD" w:rsidRDefault="00843974" w:rsidP="00843974">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0615E191-DD18-4A56-BB33-AA7066346ED8" style="width:455.25pt;height:336.75pt">
            <v:imagedata r:id="rId11" o:title=""/>
          </v:shape>
        </w:pict>
      </w:r>
    </w:p>
    <w:bookmarkEnd w:id="0"/>
    <w:p w:rsidR="00E32766" w:rsidRPr="00E32766" w:rsidRDefault="00E32766" w:rsidP="00E32766">
      <w:pPr>
        <w:pStyle w:val="Pagedecouverture"/>
        <w:rPr>
          <w:noProof/>
        </w:rPr>
        <w:sectPr w:rsidR="00E32766" w:rsidRPr="00E32766" w:rsidSect="00843974">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rsidR="00D265D4" w:rsidRPr="00002E82" w:rsidRDefault="00DF5995" w:rsidP="00002E82">
      <w:pPr>
        <w:pStyle w:val="ListParagraph"/>
        <w:numPr>
          <w:ilvl w:val="0"/>
          <w:numId w:val="1"/>
        </w:numPr>
        <w:spacing w:after="240" w:line="240" w:lineRule="auto"/>
        <w:contextualSpacing w:val="0"/>
        <w:rPr>
          <w:rFonts w:ascii="Times New Roman" w:hAnsi="Times New Roman" w:cs="Times New Roman"/>
          <w:smallCaps/>
          <w:noProof/>
          <w:sz w:val="24"/>
          <w:szCs w:val="24"/>
        </w:rPr>
      </w:pPr>
      <w:bookmarkStart w:id="1" w:name="_GoBack"/>
      <w:bookmarkEnd w:id="1"/>
      <w:r>
        <w:rPr>
          <w:rFonts w:ascii="Times New Roman" w:hAnsi="Times New Roman"/>
          <w:smallCaps/>
          <w:noProof/>
          <w:sz w:val="24"/>
          <w:szCs w:val="24"/>
        </w:rPr>
        <w:lastRenderedPageBreak/>
        <w:t>Introducere</w:t>
      </w:r>
    </w:p>
    <w:p w:rsidR="00D576A5" w:rsidRDefault="009D2C2D" w:rsidP="00002E82">
      <w:pPr>
        <w:spacing w:after="240" w:line="240" w:lineRule="auto"/>
        <w:jc w:val="both"/>
        <w:rPr>
          <w:rFonts w:ascii="Times New Roman" w:hAnsi="Times New Roman" w:cs="Times New Roman"/>
          <w:noProof/>
          <w:sz w:val="24"/>
          <w:szCs w:val="24"/>
        </w:rPr>
      </w:pPr>
      <w:r>
        <w:rPr>
          <w:rFonts w:ascii="Times New Roman" w:hAnsi="Times New Roman"/>
          <w:b/>
          <w:noProof/>
          <w:sz w:val="24"/>
          <w:szCs w:val="24"/>
        </w:rPr>
        <w:t xml:space="preserve">Economia europeană trece prin transformări fără precedent în direcția unui viitor verde și digital echitabil, în contextul unor incertitudini majore legate de evoluția situației globale și a peisajului de securitate. </w:t>
      </w:r>
      <w:r>
        <w:rPr>
          <w:rFonts w:ascii="Times New Roman" w:hAnsi="Times New Roman"/>
          <w:noProof/>
          <w:sz w:val="24"/>
          <w:szCs w:val="24"/>
        </w:rPr>
        <w:t>Începând din primăvara anului 2021, economia a cunoscut o redresare economică puternică după pandemia de COVID-19. Nivelurile de performanță s-au redresat pe deplin, inclusiv datorită măsurilor excepționale de sprijin luate la nivelul UE și la nivel național. Pandemia și răspunsul în materie de politici al UE au accelerat dubla tranziție a economiei UE și au evidențiat necesitatea de a consolida reziliența economiei UE. În plus, invadarea Ucrainei de către Rusia subminează securitatea și stabilitatea atât la nivel european, cât și la nivel mondial și generează unele provocări imediate pentru UE.</w:t>
      </w:r>
    </w:p>
    <w:p w:rsidR="00F40596" w:rsidRPr="00002E82" w:rsidRDefault="00F40596" w:rsidP="00F40596">
      <w:pPr>
        <w:spacing w:after="240" w:line="240" w:lineRule="auto"/>
        <w:jc w:val="both"/>
        <w:rPr>
          <w:rFonts w:ascii="Times New Roman" w:hAnsi="Times New Roman" w:cs="Times New Roman"/>
          <w:noProof/>
          <w:sz w:val="24"/>
          <w:szCs w:val="24"/>
        </w:rPr>
      </w:pPr>
      <w:r>
        <w:rPr>
          <w:rFonts w:ascii="Times New Roman" w:hAnsi="Times New Roman"/>
          <w:b/>
          <w:noProof/>
          <w:sz w:val="24"/>
          <w:szCs w:val="24"/>
        </w:rPr>
        <w:t xml:space="preserve">Înrăutățirea rapidă a contextului geopolitic subliniază necesitatea de a colabora îndeaproape cu partenerii noștri internaționali și de a ne consolida agenda de creștere durabilă pe termen lung. </w:t>
      </w:r>
      <w:r>
        <w:rPr>
          <w:rFonts w:ascii="Times New Roman" w:hAnsi="Times New Roman"/>
          <w:noProof/>
          <w:sz w:val="24"/>
          <w:szCs w:val="24"/>
        </w:rPr>
        <w:t>Acum mai mult ca oricând,</w:t>
      </w:r>
      <w:r>
        <w:rPr>
          <w:rFonts w:ascii="Times New Roman" w:hAnsi="Times New Roman"/>
          <w:noProof/>
          <w:sz w:val="24"/>
        </w:rPr>
        <w:t xml:space="preserve"> </w:t>
      </w:r>
      <w:r>
        <w:rPr>
          <w:rFonts w:ascii="Times New Roman" w:hAnsi="Times New Roman"/>
          <w:noProof/>
          <w:sz w:val="24"/>
          <w:szCs w:val="24"/>
        </w:rPr>
        <w:t>Uniunea ar trebui să își mobilizeze parteneriatele internaționale pentru a-și uni forțele în ceea ce privește provocările comune și pentru a promova pacea și stabilitatea, precum și o ordine internațională bazată pe norme și un multilateralism eficace. Răspunsul coordonat al Uniunii și al partenerilor săi internaționali la invadarea Ucrainei arată modul în care Uniunea poate acționa pentru atingerea acestor obiective. În același timp, au apărut noi surse de riscuri și de incertitudine care trebuie abordate. Deși majoritatea întreprinderilor și a lanțurilor de aprovizionare au demonstrat un grad ridicat de reziliență și de adaptabilitate în timpul pandemiei, redresarea și evoluțiile recente legate de invazia Ucrainei au scos la iveală o serie de vulnerabilități, inclusiv în sectorul energetic, care trebuie abordate pentru a proteja modul nostru de viață european, pentru a menține creșterea economică și pentru a îmbunătăți reziliența pe termen lung. Evenimentele din ultimele săptămâni și înrăutățirea rapidă a contextului geopolitic nu ar trebui să ne distragă atenția. În schimb, acestea confirmă necesitatea de a accelera transformarea economică în curs.</w:t>
      </w:r>
    </w:p>
    <w:p w:rsidR="00C14FAC" w:rsidRPr="00002E82" w:rsidRDefault="00AA0C28" w:rsidP="00002E82">
      <w:pPr>
        <w:spacing w:after="240" w:line="240" w:lineRule="auto"/>
        <w:jc w:val="both"/>
        <w:rPr>
          <w:rFonts w:ascii="Times New Roman" w:hAnsi="Times New Roman" w:cs="Times New Roman"/>
          <w:noProof/>
          <w:sz w:val="24"/>
          <w:szCs w:val="24"/>
        </w:rPr>
      </w:pPr>
      <w:r>
        <w:rPr>
          <w:rFonts w:ascii="Times New Roman" w:hAnsi="Times New Roman"/>
          <w:b/>
          <w:noProof/>
          <w:sz w:val="24"/>
          <w:szCs w:val="24"/>
        </w:rPr>
        <w:t>Există un consens larg cu privire la aspectele care sunt prioritare pentru modelul european de creștere economică, printre care se numără dubla tranziție verde și digitală, precum și necesitatea de a consolida reziliența economică și socială a Uniunii.</w:t>
      </w:r>
      <w:r>
        <w:rPr>
          <w:rFonts w:ascii="Times New Roman" w:hAnsi="Times New Roman"/>
          <w:noProof/>
          <w:sz w:val="24"/>
          <w:szCs w:val="24"/>
        </w:rPr>
        <w:t xml:space="preserve"> Aceste priorități contribuie împreună la obiectivul de sustenabilitate competitivă. Realizarea obiectivelor noastre implică schimbări structurale în economia Uniunii, inclusiv la nivel național și la nivel regional. </w:t>
      </w:r>
      <w:r>
        <w:rPr>
          <w:rStyle w:val="Standaardalinea-lettertype"/>
          <w:rFonts w:ascii="Times New Roman" w:hAnsi="Times New Roman"/>
          <w:noProof/>
          <w:sz w:val="24"/>
          <w:szCs w:val="24"/>
        </w:rPr>
        <w:t xml:space="preserve">Tranziția către un model economic durabil, rezilient și favorabil incluziunii, facilitat de difuzarea și adoptarea pe scară mai largă a tehnologiilor și competențelor digitale și verzi, va contribui la abordarea principalelor provocări cu care se confruntă Europa, la îmbunătățirea poziției sale de lider mondial și la consolidarea autonomiei sale strategice deschise. Acest lucru este cu atât mai important în contextul actual. În același timp, </w:t>
      </w:r>
      <w:r>
        <w:rPr>
          <w:rFonts w:ascii="Times New Roman" w:hAnsi="Times New Roman"/>
          <w:noProof/>
          <w:sz w:val="24"/>
          <w:szCs w:val="24"/>
        </w:rPr>
        <w:t xml:space="preserve">trebuie să asigurăm echitatea modelului nostru economic și să îi protejăm pe oamenii cei mai afectați de tranziție, inclusiv pe cei care nu dispun de mijloacele sau de competențele necesare pentru a beneficia pe deplin de pe urma acestei tranziții. Transformarea economiei europene se va realiza cu succes numai dacă va fi echitabilă și favorabilă incluziunii și dacă fiecare cetățean va putea beneficia de avantajele oferite de dubla tranziție verde și digitală. </w:t>
      </w:r>
    </w:p>
    <w:p w:rsidR="0069317B" w:rsidRDefault="008970D0" w:rsidP="004C7F98">
      <w:pPr>
        <w:spacing w:after="0" w:line="240" w:lineRule="auto"/>
        <w:contextualSpacing/>
        <w:jc w:val="both"/>
        <w:rPr>
          <w:rFonts w:ascii="Times New Roman" w:hAnsi="Times New Roman" w:cs="Times New Roman"/>
          <w:noProof/>
          <w:sz w:val="24"/>
          <w:szCs w:val="24"/>
        </w:rPr>
      </w:pPr>
      <w:r>
        <w:rPr>
          <w:rFonts w:ascii="Times New Roman" w:hAnsi="Times New Roman"/>
          <w:b/>
          <w:noProof/>
          <w:sz w:val="24"/>
          <w:szCs w:val="24"/>
        </w:rPr>
        <w:t xml:space="preserve">Transformarea economiei noastre se bazează pe doi piloni la fel de importanți: cel al investițiilor și cel al reformelor. </w:t>
      </w:r>
      <w:r>
        <w:rPr>
          <w:rStyle w:val="Standaardalinea-lettertype"/>
          <w:rFonts w:ascii="Times New Roman" w:hAnsi="Times New Roman"/>
          <w:noProof/>
          <w:sz w:val="24"/>
          <w:szCs w:val="24"/>
        </w:rPr>
        <w:t xml:space="preserve">Punerea în aplicare a unor investiții și reforme ambițioase și care să se consolideze reciproc va fi esențială pentru realizarea tranziției. </w:t>
      </w:r>
      <w:r>
        <w:rPr>
          <w:rFonts w:ascii="Times New Roman" w:hAnsi="Times New Roman"/>
          <w:noProof/>
          <w:sz w:val="24"/>
          <w:szCs w:val="24"/>
        </w:rPr>
        <w:t xml:space="preserve">Pe de o parte, investițiile sunt esențiale pentru o creștere susținută și durabilă și reprezintă o condiție prealabilă pentru accelerarea dublei tranziții verzi și digitale. Pe de altă parte, structurile noastre economice și cadrul de reglementare ar trebui să sprijine transformarea economică și să favorizeze investițiile. Sunt necesare reforme la toate nivelurile pentru a elimina barierele specifice în calea investițiilor, pentru a îmbunătăți funcționarea pieței produselor și a pieței muncii, pentru a modifica modelele de producție și de consum și pentru a consolida reziliența socioeconomică. </w:t>
      </w:r>
    </w:p>
    <w:p w:rsidR="00080860" w:rsidRDefault="003C7B5D" w:rsidP="00C55555">
      <w:pPr>
        <w:spacing w:after="0" w:line="240" w:lineRule="auto"/>
        <w:contextualSpacing/>
        <w:jc w:val="center"/>
        <w:rPr>
          <w:rFonts w:ascii="Times New Roman" w:hAnsi="Times New Roman" w:cs="Times New Roman"/>
          <w:noProof/>
          <w:sz w:val="24"/>
          <w:szCs w:val="24"/>
        </w:rPr>
      </w:pPr>
      <w:r>
        <w:rPr>
          <w:noProof/>
          <w:lang w:val="en-GB" w:eastAsia="en-GB"/>
        </w:rPr>
        <w:drawing>
          <wp:inline distT="0" distB="0" distL="0" distR="0" wp14:anchorId="3CC459D8" wp14:editId="316DD019">
            <wp:extent cx="4543200" cy="178200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543200" cy="1782000"/>
                    </a:xfrm>
                    <a:prstGeom prst="rect">
                      <a:avLst/>
                    </a:prstGeom>
                  </pic:spPr>
                </pic:pic>
              </a:graphicData>
            </a:graphic>
          </wp:inline>
        </w:drawing>
      </w:r>
    </w:p>
    <w:p w:rsidR="002F649C" w:rsidRDefault="003537D3" w:rsidP="00B750E5">
      <w:pPr>
        <w:spacing w:after="240" w:line="240" w:lineRule="auto"/>
        <w:jc w:val="both"/>
        <w:rPr>
          <w:rFonts w:ascii="Times New Roman" w:hAnsi="Times New Roman" w:cs="Times New Roman"/>
          <w:b/>
          <w:noProof/>
          <w:sz w:val="24"/>
          <w:szCs w:val="24"/>
        </w:rPr>
      </w:pPr>
      <w:r>
        <w:rPr>
          <w:rFonts w:ascii="Times New Roman" w:hAnsi="Times New Roman"/>
          <w:b/>
          <w:noProof/>
          <w:sz w:val="24"/>
          <w:szCs w:val="24"/>
        </w:rPr>
        <w:t xml:space="preserve">Pentru a îndeplini aceste obiective, toate instrumentele existente vor trebui mobilizate în mod coerent. </w:t>
      </w:r>
      <w:r>
        <w:rPr>
          <w:rFonts w:ascii="Times New Roman" w:hAnsi="Times New Roman"/>
          <w:noProof/>
          <w:sz w:val="24"/>
          <w:szCs w:val="24"/>
        </w:rPr>
        <w:t xml:space="preserve">Ambițiile noastre de a realiza neutralitatea climatică până în 2050 și de a valorifica oportunitățile oferite de deceniul digital, consolidând în același timp reziliența economică, teritorială și socială, necesită acțiuni imediate. Sectoare și regiuni întregi vor trece printr-o transformare majoră, ceea ce va duce la realocarea forței de muncă și la modificarea cerințelor în materie de competențe. Modelele de consum se vor schimba de asemenea. Amploarea nevoilor de investiții va necesita implicarea atât a sectorului public, cât și a celui privat, majoritatea investițiilor provenind din sectorul privat. </w:t>
      </w:r>
    </w:p>
    <w:p w:rsidR="00496984" w:rsidRDefault="00C03343" w:rsidP="00002E82">
      <w:pPr>
        <w:spacing w:after="240" w:line="240" w:lineRule="auto"/>
        <w:jc w:val="both"/>
        <w:rPr>
          <w:rFonts w:ascii="Times New Roman" w:hAnsi="Times New Roman" w:cs="Times New Roman"/>
          <w:noProof/>
          <w:sz w:val="24"/>
          <w:szCs w:val="24"/>
        </w:rPr>
      </w:pPr>
      <w:r>
        <w:rPr>
          <w:rFonts w:ascii="Times New Roman" w:hAnsi="Times New Roman"/>
          <w:b/>
          <w:noProof/>
          <w:sz w:val="24"/>
          <w:szCs w:val="24"/>
        </w:rPr>
        <w:t xml:space="preserve">Instrumentul de redresare NextGenerationEU, precum și Mecanismul de redresare și reziliență (MRR) și bugetul UE oferă impulsul atât de necesar pentru redresare. </w:t>
      </w:r>
      <w:r>
        <w:rPr>
          <w:rFonts w:ascii="Times New Roman" w:hAnsi="Times New Roman"/>
          <w:noProof/>
          <w:sz w:val="24"/>
          <w:szCs w:val="24"/>
        </w:rPr>
        <w:t>Punerea în aplicare rapidă a noilor instrumente ale UE, inclusiv a Instrumentului european de sprijin temporar pentru atenuarea riscurilor de șomaj într-o situație de urgență (SURE) și a Inițiativei pentru investiții ca reacție la coronavirus (CRII), a atenuat impactul crizei. MRR contribuie la redresare prin sprijinirea reformelor și a investițiilor în statele membre prin intermediul granturilor și al împrumuturilor.</w:t>
      </w:r>
      <w:r>
        <w:rPr>
          <w:rFonts w:ascii="Times New Roman" w:hAnsi="Times New Roman"/>
          <w:b/>
          <w:noProof/>
          <w:sz w:val="24"/>
          <w:szCs w:val="24"/>
        </w:rPr>
        <w:t xml:space="preserve"> </w:t>
      </w:r>
      <w:r>
        <w:rPr>
          <w:rFonts w:ascii="Times New Roman" w:hAnsi="Times New Roman"/>
          <w:noProof/>
          <w:sz w:val="24"/>
          <w:szCs w:val="24"/>
        </w:rPr>
        <w:t>Deși Mecanismul de redresare și reziliență este un instrument temporar, impactul său va fi unul de lungă durată datorită faptului că se axează pe reforme și investiții durabile și de stimulare a creșterii.</w:t>
      </w:r>
      <w:r>
        <w:rPr>
          <w:rFonts w:ascii="Times New Roman" w:hAnsi="Times New Roman"/>
          <w:b/>
          <w:noProof/>
          <w:sz w:val="24"/>
          <w:szCs w:val="24"/>
        </w:rPr>
        <w:t xml:space="preserve"> </w:t>
      </w:r>
      <w:r>
        <w:rPr>
          <w:rFonts w:ascii="Times New Roman" w:hAnsi="Times New Roman"/>
          <w:noProof/>
          <w:sz w:val="24"/>
        </w:rPr>
        <w:t>Atât investițiile private, cât și cele publice, de la nivel național și de la nivelul UE, vor trebui să fie susținute în timp.</w:t>
      </w:r>
      <w:r>
        <w:rPr>
          <w:rFonts w:ascii="Times New Roman" w:hAnsi="Times New Roman"/>
          <w:b/>
          <w:noProof/>
          <w:sz w:val="24"/>
          <w:szCs w:val="24"/>
        </w:rPr>
        <w:t xml:space="preserve"> </w:t>
      </w:r>
      <w:r>
        <w:rPr>
          <w:rFonts w:ascii="Times New Roman" w:hAnsi="Times New Roman"/>
          <w:noProof/>
          <w:sz w:val="24"/>
          <w:szCs w:val="24"/>
        </w:rPr>
        <w:t xml:space="preserve">Întrucât cea mai mare pondere a investițiilor pentru finanțarea dublei tranziții și pentru sporirea gradului de reziliență va proveni din sectorul privat, investițiile publice ar trebui să fie canalizate către obiective bine definite și să vizeze atragerea de investiții private. Se derulează în prezent un proces de reflecție cu privire la cele mai bune modalități de realizare a acestor obiective, asigurând în același timp o reducere favorabilă creșterii a datoriei publice ridicate. </w:t>
      </w:r>
    </w:p>
    <w:p w:rsidR="00D1437B" w:rsidRDefault="00B562D1" w:rsidP="002F649C">
      <w:pPr>
        <w:spacing w:after="240" w:line="240" w:lineRule="auto"/>
        <w:jc w:val="both"/>
        <w:rPr>
          <w:rFonts w:ascii="Times New Roman" w:hAnsi="Times New Roman" w:cs="Times New Roman"/>
          <w:noProof/>
          <w:sz w:val="24"/>
          <w:szCs w:val="24"/>
        </w:rPr>
      </w:pPr>
      <w:r>
        <w:rPr>
          <w:rFonts w:ascii="Times New Roman" w:hAnsi="Times New Roman"/>
          <w:b/>
          <w:noProof/>
          <w:sz w:val="24"/>
          <w:szCs w:val="24"/>
        </w:rPr>
        <w:t xml:space="preserve">Cadrul și normele noastre ar trebui să sprijine obiectivele UE și să creeze stimulentele adecvate pentru gospodării și întreprinderi. </w:t>
      </w:r>
      <w:r>
        <w:rPr>
          <w:rFonts w:ascii="Times New Roman" w:hAnsi="Times New Roman"/>
          <w:noProof/>
          <w:sz w:val="24"/>
          <w:szCs w:val="24"/>
        </w:rPr>
        <w:t xml:space="preserve">În acest context, va fi important să se înregistreze progrese în ceea ce privește agenda de reformă la nivelul UE și să se adopte și să se pună în aplicare rapid propunerile Comisiei din cadrul pachetului legislativ „Pregătiți pentru 55”, precum și propunerile care stau la baza agendei digitale a UE. Acestea sunt esențiale pentru atingerea obiectivelor Acordului de la Paris și a obiectivelor de dezvoltare durabilă. </w:t>
      </w:r>
    </w:p>
    <w:p w:rsidR="008A5ED9" w:rsidRDefault="00D1437B" w:rsidP="002F649C">
      <w:pPr>
        <w:spacing w:after="240" w:line="240" w:lineRule="auto"/>
        <w:jc w:val="both"/>
        <w:rPr>
          <w:rFonts w:ascii="Times New Roman" w:hAnsi="Times New Roman" w:cs="Times New Roman"/>
          <w:noProof/>
          <w:sz w:val="24"/>
          <w:szCs w:val="24"/>
        </w:rPr>
      </w:pPr>
      <w:r>
        <w:rPr>
          <w:rFonts w:ascii="Times New Roman" w:hAnsi="Times New Roman"/>
          <w:b/>
          <w:bCs/>
          <w:noProof/>
          <w:sz w:val="24"/>
          <w:szCs w:val="24"/>
        </w:rPr>
        <w:t>Piața unică este cel mai valoros atu economic al Europei și principala sa sursă de reziliență</w:t>
      </w:r>
      <w:r>
        <w:rPr>
          <w:rFonts w:ascii="Times New Roman" w:hAnsi="Times New Roman"/>
          <w:noProof/>
          <w:sz w:val="24"/>
          <w:szCs w:val="24"/>
        </w:rPr>
        <w:t>. Aceasta oferă întreprinderilor europene certitudine, amploare și o rampă de lansare la nivel mondial și asigură consumatorilor o largă disponibilitate a produselor de calitate. Pandemia a demonstrat că prețul unei piețe unice nefuncționale este suportat de către toată lumea: de către consumatori, industrie și servicii, întreprinderile mari, dar și de către numeroase IMM-uri din cadrul lanțului de aprovizionare. Acesta este motivul pentru care Comisia continuă să depună eforturi pentru a debloca întregul potențial al pieței unice, pentru a elimina barierele existente și pentru a spori reziliența acesteia, reflectând asupra modalităților în care putem fi mai bine pregătiți pentru situațiile de criză viitoare, inclusiv pentru asigurarea liberei circulații a mărfurilor. Trebuie să asigurăm reziliența lanțurilor de aprovizionare, precum și protecția logisticii și a securității aprovizionării din anumite sectoare-cheie ale economiei, prin diversificarea ofertei și prin investiții în inovare și în capacități noi. Este importantă, de asemenea, abordarea aspectelor legate de deficitul de forță de muncă și de competențe, precum și de amenințările cibernetice. Pentru a mobiliza într-un mod mai eficient investițiile private, vor fi necesare măsuri decisive pentru finalizarea uniunii bancare și realizarea de progrese rapide în ceea ce privește uniunea piețelor de capital, inclusiv măsuri privind finanțarea durabilă. În plus, este esențială operaționalizarea agendei pentru competențe în Europa. Alte politici vor contribui, de asemenea, la obiectivele mai ample, printre care se numără fiscalitatea, politica comercială și cadrul de guvernanță economică.</w:t>
      </w:r>
    </w:p>
    <w:p w:rsidR="00680C5F" w:rsidRDefault="00E6533D" w:rsidP="00002E82">
      <w:pPr>
        <w:spacing w:after="240" w:line="240" w:lineRule="auto"/>
        <w:jc w:val="both"/>
        <w:rPr>
          <w:rFonts w:ascii="Times New Roman" w:hAnsi="Times New Roman" w:cs="Times New Roman"/>
          <w:noProof/>
          <w:sz w:val="24"/>
          <w:szCs w:val="24"/>
        </w:rPr>
      </w:pPr>
      <w:r>
        <w:rPr>
          <w:rFonts w:ascii="Times New Roman" w:hAnsi="Times New Roman"/>
          <w:b/>
          <w:noProof/>
          <w:sz w:val="24"/>
          <w:szCs w:val="24"/>
        </w:rPr>
        <w:t xml:space="preserve">Scopul prezentei comunicări este de a contribui la discuțiile privind modelul european de creștere economică, desfășurate în cadrul reuniunii informale a șefilor de stat sau de guvern. </w:t>
      </w:r>
      <w:r>
        <w:rPr>
          <w:rFonts w:ascii="Times New Roman" w:hAnsi="Times New Roman"/>
          <w:noProof/>
          <w:sz w:val="24"/>
          <w:szCs w:val="24"/>
        </w:rPr>
        <w:t xml:space="preserve">Comunicarea subliniază importanța punerii în aplicare depline a măsurilor convenite la nivelul UE, a acțiunii coordonate a tuturor actorilor relevanți, printre care se numără UE, statele membre și sectorul privat, precum și a promovării principalelor investiții și reforme necesare pentru creșterea durabilă și bunăstarea pe termen lung a tuturor cetățenilor Uniunii. Având în vedere natura globală a provocărilor viitoare, acțiunile de la nivelul UE și de la nivel internațional vor fi esențiale. De asemenea, va fi important ca nu numai statele membre, ci și actorii din sectorul privat să acționeze în aceeași direcție. </w:t>
      </w:r>
    </w:p>
    <w:p w:rsidR="00DF5995" w:rsidRPr="00002E82" w:rsidRDefault="00DF5995" w:rsidP="00002E82">
      <w:pPr>
        <w:pStyle w:val="ListParagraph"/>
        <w:numPr>
          <w:ilvl w:val="0"/>
          <w:numId w:val="1"/>
        </w:numPr>
        <w:spacing w:after="240" w:line="240" w:lineRule="auto"/>
        <w:contextualSpacing w:val="0"/>
        <w:rPr>
          <w:rFonts w:ascii="Times New Roman" w:hAnsi="Times New Roman" w:cs="Times New Roman"/>
          <w:smallCaps/>
          <w:noProof/>
          <w:sz w:val="24"/>
          <w:szCs w:val="24"/>
        </w:rPr>
      </w:pPr>
      <w:r>
        <w:rPr>
          <w:rFonts w:ascii="Times New Roman" w:hAnsi="Times New Roman"/>
          <w:smallCaps/>
          <w:noProof/>
          <w:sz w:val="24"/>
          <w:szCs w:val="24"/>
        </w:rPr>
        <w:t>Investiții în viitorul Europei</w:t>
      </w:r>
    </w:p>
    <w:p w:rsidR="00414469" w:rsidRDefault="00FA71E4" w:rsidP="00414469">
      <w:pPr>
        <w:spacing w:after="240" w:line="240" w:lineRule="auto"/>
        <w:jc w:val="both"/>
        <w:rPr>
          <w:rFonts w:ascii="Times New Roman" w:hAnsi="Times New Roman" w:cs="Times New Roman"/>
          <w:noProof/>
          <w:sz w:val="24"/>
          <w:szCs w:val="24"/>
        </w:rPr>
      </w:pPr>
      <w:r>
        <w:rPr>
          <w:rFonts w:ascii="Times New Roman" w:hAnsi="Times New Roman"/>
          <w:b/>
          <w:noProof/>
          <w:sz w:val="24"/>
          <w:szCs w:val="24"/>
        </w:rPr>
        <w:t>Cheltuielile pentru investiții în UE au avut de suferit ca urmare a crizei financiare.</w:t>
      </w:r>
      <w:r>
        <w:rPr>
          <w:rFonts w:ascii="Times New Roman" w:hAnsi="Times New Roman"/>
          <w:noProof/>
          <w:sz w:val="24"/>
          <w:szCs w:val="24"/>
        </w:rPr>
        <w:t xml:space="preserve"> În urma crizei financiare, volumul investițiilor productive în UE a scăzut cu 15 % față de nivelul înregistrat în 2007 și s-a menținut cu mult sub această tendință istorică timp de mai mulți ani. Ca procentaj din PIB, investițiile provenite din sectorul privat au început să se redreseze treptat începând cu 2014. Investițiile publice au început să se redreseze într-un ritm mai lent începând cu 2016 și abia au reușit să țină pasul cu nivelurile de depreciere. Dacă aceste niveluri scăzute ale investițiilor publice s-ar menține în continuare, s-ar produce o deteriorare treptată a capitalului public. </w:t>
      </w:r>
    </w:p>
    <w:p w:rsidR="00194CDE" w:rsidRPr="00576EC1" w:rsidRDefault="00194CDE" w:rsidP="00F053A1">
      <w:pPr>
        <w:keepNext/>
        <w:pageBreakBefore/>
        <w:spacing w:after="240" w:line="240" w:lineRule="auto"/>
        <w:jc w:val="both"/>
        <w:rPr>
          <w:rFonts w:ascii="EC Square Sans Pro" w:hAnsi="EC Square Sans Pro"/>
          <w:i/>
          <w:noProof/>
          <w:color w:val="44546A" w:themeColor="text2"/>
        </w:rPr>
      </w:pPr>
      <w:r>
        <w:rPr>
          <w:rFonts w:ascii="EC Square Sans Pro" w:hAnsi="EC Square Sans Pro"/>
          <w:i/>
          <w:noProof/>
          <w:color w:val="44546A" w:themeColor="text2"/>
        </w:rPr>
        <w:t>Graficul 1: Investițiile brute publice și private în UE (% din PIB) – imaginea din partea stângă; și investițiile nete publice ale Uniunii și ale altor parteneri internaționali (% din PIB) – imaginea din partea dreaptă</w:t>
      </w:r>
    </w:p>
    <w:p w:rsidR="00194CDE" w:rsidRDefault="00F053A1" w:rsidP="00DE738B">
      <w:pPr>
        <w:spacing w:after="240" w:line="240" w:lineRule="auto"/>
        <w:ind w:left="600"/>
        <w:rPr>
          <w:rFonts w:ascii="Times New Roman" w:hAnsi="Times New Roman" w:cs="Times New Roman"/>
          <w:noProof/>
          <w:sz w:val="23"/>
          <w:szCs w:val="23"/>
        </w:rPr>
      </w:pPr>
      <w:r>
        <w:rPr>
          <w:noProof/>
          <w:lang w:val="en-GB" w:eastAsia="en-GB"/>
        </w:rPr>
        <w:drawing>
          <wp:inline distT="0" distB="0" distL="0" distR="0" wp14:anchorId="0B4D07F6" wp14:editId="4F5931F3">
            <wp:extent cx="2545200" cy="1785600"/>
            <wp:effectExtent l="0" t="0" r="762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545200" cy="1785600"/>
                    </a:xfrm>
                    <a:prstGeom prst="rect">
                      <a:avLst/>
                    </a:prstGeom>
                  </pic:spPr>
                </pic:pic>
              </a:graphicData>
            </a:graphic>
          </wp:inline>
        </w:drawing>
      </w:r>
      <w:r>
        <w:rPr>
          <w:noProof/>
          <w:lang w:val="en-GB" w:eastAsia="en-GB"/>
        </w:rPr>
        <w:drawing>
          <wp:inline distT="0" distB="0" distL="0" distR="0" wp14:anchorId="62C42A1A" wp14:editId="26AD55DC">
            <wp:extent cx="2617200" cy="171000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617200" cy="1710000"/>
                    </a:xfrm>
                    <a:prstGeom prst="rect">
                      <a:avLst/>
                    </a:prstGeom>
                  </pic:spPr>
                </pic:pic>
              </a:graphicData>
            </a:graphic>
          </wp:inline>
        </w:drawing>
      </w:r>
    </w:p>
    <w:p w:rsidR="00376B5E" w:rsidRPr="00576EC1" w:rsidRDefault="00A5791F" w:rsidP="00592689">
      <w:pPr>
        <w:spacing w:after="240" w:line="240" w:lineRule="auto"/>
        <w:rPr>
          <w:rFonts w:ascii="EC Square Sans Pro" w:hAnsi="EC Square Sans Pro"/>
          <w:i/>
          <w:noProof/>
          <w:color w:val="44546A" w:themeColor="text2"/>
          <w:sz w:val="18"/>
        </w:rPr>
      </w:pPr>
      <w:r>
        <w:rPr>
          <w:rFonts w:ascii="EC Square Sans Pro" w:hAnsi="EC Square Sans Pro"/>
          <w:i/>
          <w:noProof/>
          <w:color w:val="44546A" w:themeColor="text2"/>
          <w:sz w:val="18"/>
        </w:rPr>
        <w:t xml:space="preserve">Sursă: serviciile Comisiei. Investițiile sunt definite ca formare de capital fix. </w:t>
      </w:r>
    </w:p>
    <w:p w:rsidR="00D4295A" w:rsidRDefault="00157DB5" w:rsidP="00417CCF">
      <w:pPr>
        <w:spacing w:after="240" w:line="240" w:lineRule="auto"/>
        <w:jc w:val="both"/>
        <w:rPr>
          <w:rFonts w:ascii="Times New Roman" w:hAnsi="Times New Roman" w:cs="Times New Roman"/>
          <w:noProof/>
          <w:sz w:val="23"/>
          <w:szCs w:val="23"/>
        </w:rPr>
      </w:pPr>
      <w:r>
        <w:rPr>
          <w:rFonts w:ascii="Times New Roman" w:hAnsi="Times New Roman"/>
          <w:b/>
          <w:noProof/>
          <w:sz w:val="24"/>
          <w:szCs w:val="24"/>
        </w:rPr>
        <w:t>În timp ce volumul investițiilor a scăzut în prima jumătate a anului 2020 odată cu prăbușirea activității economice, se preconizează că acesta va depăși nivelurile anterioare pandemiei datorită sprijinului acordat pentru politici.</w:t>
      </w:r>
      <w:r>
        <w:rPr>
          <w:rFonts w:ascii="Times New Roman" w:hAnsi="Times New Roman"/>
          <w:noProof/>
          <w:sz w:val="24"/>
          <w:szCs w:val="24"/>
        </w:rPr>
        <w:t xml:space="preserve"> Ca urmare a sprijinului acordat pentru politica monetară și fiscală, a angajamentului comun de a evita o revenire prematură la consolidarea fiscal-bugetară și a stimulării investițiilor în cadrul instrumentului de redresare NextGenerationEU și a celor de la bugetul UE, atât investițiile private, cât și cele publice vor depăși în 2022 nivelurile înregistrate anterior pandemiei, confirmându-ne astfel că ne aflăm pe calea cea bună. Cu toate acestea, pentru realizarea obiectivelor pentru 2030 privind dubla tranziție, sunt în continuare necesare investiții suplimentare de înaltă calitate. În plus, crizele din ultimul deceniu au demonstrat că este important ca investițiile să fie însoțite de reforme. </w:t>
      </w:r>
    </w:p>
    <w:p w:rsidR="00DF5995" w:rsidRPr="00002E82" w:rsidRDefault="00DF5995" w:rsidP="00002E82">
      <w:pPr>
        <w:pStyle w:val="ListParagraph"/>
        <w:numPr>
          <w:ilvl w:val="1"/>
          <w:numId w:val="1"/>
        </w:numPr>
        <w:spacing w:after="240" w:line="240" w:lineRule="auto"/>
        <w:contextualSpacing w:val="0"/>
        <w:rPr>
          <w:rFonts w:ascii="Times New Roman" w:hAnsi="Times New Roman" w:cs="Times New Roman"/>
          <w:i/>
          <w:smallCaps/>
          <w:noProof/>
          <w:sz w:val="24"/>
          <w:szCs w:val="24"/>
        </w:rPr>
      </w:pPr>
      <w:r>
        <w:rPr>
          <w:rFonts w:ascii="Times New Roman" w:hAnsi="Times New Roman"/>
          <w:i/>
          <w:smallCaps/>
          <w:noProof/>
          <w:sz w:val="24"/>
          <w:szCs w:val="24"/>
        </w:rPr>
        <w:t>Realizarea obiectivelor Pactului verde european</w:t>
      </w:r>
    </w:p>
    <w:p w:rsidR="00A763FF" w:rsidRDefault="00407BBE" w:rsidP="00002E82">
      <w:pPr>
        <w:spacing w:after="240" w:line="240" w:lineRule="auto"/>
        <w:jc w:val="both"/>
        <w:rPr>
          <w:rFonts w:ascii="Times New Roman" w:hAnsi="Times New Roman" w:cs="Times New Roman"/>
          <w:noProof/>
          <w:sz w:val="24"/>
          <w:szCs w:val="24"/>
        </w:rPr>
      </w:pPr>
      <w:r>
        <w:rPr>
          <w:rFonts w:ascii="Times New Roman" w:hAnsi="Times New Roman"/>
          <w:b/>
          <w:noProof/>
          <w:sz w:val="24"/>
          <w:szCs w:val="24"/>
        </w:rPr>
        <w:t xml:space="preserve">Tranziția verde reprezintă o oportunitate de a înscrie Europa pe o nouă traiectorie de creștere durabilă și favorabilă incluziunii. </w:t>
      </w:r>
      <w:r>
        <w:rPr>
          <w:rFonts w:ascii="Times New Roman" w:hAnsi="Times New Roman"/>
          <w:noProof/>
          <w:sz w:val="24"/>
          <w:szCs w:val="24"/>
        </w:rPr>
        <w:t>Trebuie</w:t>
      </w:r>
      <w:r>
        <w:rPr>
          <w:rFonts w:ascii="Times New Roman" w:hAnsi="Times New Roman"/>
          <w:noProof/>
          <w:sz w:val="24"/>
        </w:rPr>
        <w:t xml:space="preserve"> </w:t>
      </w:r>
      <w:r>
        <w:rPr>
          <w:rFonts w:ascii="Times New Roman" w:hAnsi="Times New Roman"/>
          <w:noProof/>
          <w:sz w:val="24"/>
          <w:szCs w:val="24"/>
        </w:rPr>
        <w:t xml:space="preserve">să se acționeze de urgență, iar acest deceniu reprezintă un moment decisiv în acest sens. Tranziția verde va contribui, de asemenea, la reducerea facturilor la energie și a dependenței de importurile de combustibili fosili, îmbunătățind astfel securitatea energetică și a resurselor în Uniune. Situația geopolitică și evoluțiile recente ale prețurilor la energie au evidențiat necesitatea accelerării acestei schimbări. Tranziția va implica, de asemenea, transformări ale industriei noastre și ale sistemului nostru alimentar, va necesita renovări ale clădirilor, va accelera tranziția către o mobilitate durabilă și inteligentă și va crea noi locuri de muncă și oportunități de afaceri într-o economie circulară. </w:t>
      </w:r>
    </w:p>
    <w:p w:rsidR="00310E47" w:rsidRPr="00002E82" w:rsidRDefault="00191A8E" w:rsidP="00002E82">
      <w:pPr>
        <w:spacing w:after="240" w:line="240" w:lineRule="auto"/>
        <w:jc w:val="both"/>
        <w:rPr>
          <w:rFonts w:ascii="Times New Roman" w:hAnsi="Times New Roman" w:cs="Times New Roman"/>
          <w:noProof/>
          <w:sz w:val="24"/>
          <w:szCs w:val="24"/>
        </w:rPr>
      </w:pPr>
      <w:r>
        <w:rPr>
          <w:rFonts w:ascii="Times New Roman" w:hAnsi="Times New Roman"/>
          <w:b/>
          <w:noProof/>
          <w:sz w:val="24"/>
        </w:rPr>
        <w:t>Tranziția va genera și provocări</w:t>
      </w:r>
      <w:r>
        <w:rPr>
          <w:rFonts w:ascii="Times New Roman" w:hAnsi="Times New Roman"/>
          <w:noProof/>
          <w:sz w:val="24"/>
          <w:szCs w:val="24"/>
        </w:rPr>
        <w:t>. Pentru ca tranziția verde să reușească, ea trebuie să pună oamenii pe primul plan și să aibă grijă de cei care vor fi cei mai afectați. În acest scop, Comisia a plasat echitatea în centrul politicilor sale pe care le-a adoptat pentru a pune în practică Pactul verde european, inclusiv pachetul „Pregătiți pentru 55”. În plus, propunerea de recomandare a Consiliului privind asigurarea unei tranziții echitabile oferă orientări specifice pentru a ajuta statele membre să elaboreze și să pună în aplicare pachete de măsuri care să abordeze într-un mod cuprinzător aspectele sociale și cele privind ocuparea forței de muncă legate de tranziție</w:t>
      </w:r>
      <w:r>
        <w:rPr>
          <w:rStyle w:val="FootnoteReference"/>
          <w:rFonts w:ascii="Times New Roman" w:hAnsi="Times New Roman" w:cs="Times New Roman"/>
          <w:noProof/>
          <w:sz w:val="24"/>
          <w:szCs w:val="24"/>
        </w:rPr>
        <w:footnoteReference w:id="2"/>
      </w:r>
      <w:r>
        <w:rPr>
          <w:noProof/>
        </w:rPr>
        <w:t>.</w:t>
      </w:r>
    </w:p>
    <w:p w:rsidR="00B03863" w:rsidRPr="00D27F3B" w:rsidRDefault="00525D68" w:rsidP="00B03863">
      <w:pPr>
        <w:spacing w:after="240" w:line="240" w:lineRule="auto"/>
        <w:jc w:val="both"/>
        <w:rPr>
          <w:rFonts w:ascii="Times New Roman" w:hAnsi="Times New Roman" w:cs="Times New Roman"/>
          <w:b/>
          <w:noProof/>
          <w:sz w:val="24"/>
          <w:szCs w:val="24"/>
        </w:rPr>
      </w:pPr>
      <w:r>
        <w:rPr>
          <w:rFonts w:ascii="Times New Roman" w:hAnsi="Times New Roman"/>
          <w:b/>
          <w:noProof/>
          <w:sz w:val="24"/>
          <w:szCs w:val="24"/>
        </w:rPr>
        <w:t>Pactul verde european</w:t>
      </w:r>
      <w:r>
        <w:rPr>
          <w:rStyle w:val="FootnoteReference"/>
          <w:rFonts w:ascii="Times New Roman" w:eastAsia="Times New Roman" w:hAnsi="Times New Roman" w:cs="Times New Roman"/>
          <w:b/>
          <w:noProof/>
          <w:sz w:val="24"/>
          <w:szCs w:val="24"/>
        </w:rPr>
        <w:footnoteReference w:id="3"/>
      </w:r>
      <w:r>
        <w:rPr>
          <w:rFonts w:ascii="Times New Roman" w:hAnsi="Times New Roman"/>
          <w:b/>
          <w:noProof/>
          <w:sz w:val="24"/>
          <w:szCs w:val="24"/>
        </w:rPr>
        <w:t xml:space="preserve"> stabilește foaia de parcurs pentru ca economia Uniunii să devină durabilă într-un mod echitabil și favorabil incluziunii, abordând provocările legate de climă și de mediu</w:t>
      </w:r>
      <w:r>
        <w:rPr>
          <w:rFonts w:ascii="Times New Roman" w:hAnsi="Times New Roman"/>
          <w:noProof/>
          <w:sz w:val="24"/>
          <w:szCs w:val="24"/>
        </w:rPr>
        <w:t>. În conformitate cu Acordul de la Paris, Uniunea s-a angajat să reducă până în 2030 emisiile de gaze cu efect de seră (GES) cu cel puțin 55 %, comparativ cu nivelurile din 1990</w:t>
      </w:r>
      <w:r>
        <w:rPr>
          <w:rStyle w:val="FootnoteReference"/>
          <w:rFonts w:ascii="Times New Roman" w:hAnsi="Times New Roman" w:cs="Times New Roman"/>
          <w:noProof/>
          <w:sz w:val="24"/>
          <w:szCs w:val="24"/>
        </w:rPr>
        <w:footnoteReference w:id="4"/>
      </w:r>
      <w:r>
        <w:rPr>
          <w:noProof/>
        </w:rPr>
        <w:t>.</w:t>
      </w:r>
      <w:r>
        <w:rPr>
          <w:rFonts w:ascii="Times New Roman" w:hAnsi="Times New Roman"/>
          <w:noProof/>
          <w:sz w:val="24"/>
          <w:szCs w:val="24"/>
        </w:rPr>
        <w:t xml:space="preserve"> În efortul de a mobiliza toate politicile și de a alinia normele actuale la obiectivele Pactului verde european, Comisia a propus pachetul „Pregătiți pentru 55” la nivelul UE, care vizează revizuirea tuturor instrumentelor de politică relevante</w:t>
      </w:r>
      <w:r>
        <w:rPr>
          <w:rStyle w:val="FootnoteReference"/>
          <w:rFonts w:ascii="Times New Roman" w:eastAsia="Times New Roman" w:hAnsi="Times New Roman" w:cs="Times New Roman"/>
          <w:noProof/>
          <w:sz w:val="24"/>
          <w:szCs w:val="24"/>
        </w:rPr>
        <w:footnoteReference w:id="5"/>
      </w:r>
      <w:r>
        <w:rPr>
          <w:noProof/>
        </w:rPr>
        <w:t>.</w:t>
      </w:r>
      <w:r>
        <w:rPr>
          <w:rFonts w:ascii="Times New Roman" w:hAnsi="Times New Roman"/>
          <w:noProof/>
          <w:sz w:val="24"/>
          <w:szCs w:val="24"/>
        </w:rPr>
        <w:t xml:space="preserve"> Comisia a identificat</w:t>
      </w:r>
      <w:r>
        <w:rPr>
          <w:rStyle w:val="FootnoteReference"/>
          <w:rFonts w:ascii="Times New Roman" w:hAnsi="Times New Roman" w:cs="Times New Roman"/>
          <w:noProof/>
          <w:sz w:val="24"/>
          <w:szCs w:val="24"/>
        </w:rPr>
        <w:footnoteReference w:id="6"/>
      </w:r>
      <w:r>
        <w:rPr>
          <w:rFonts w:ascii="Times New Roman" w:hAnsi="Times New Roman"/>
          <w:noProof/>
          <w:sz w:val="24"/>
          <w:szCs w:val="24"/>
        </w:rPr>
        <w:t xml:space="preserve">, de asemenea, o serie de acțiuni suplimentare necesare pentru realizarea obiectivelor de mediu ale Pactului verde european, inclusiv protecția biodiversității și a ecosistemelor, combaterea poluării și disocierea creșterii economice de utilizarea resurselor. </w:t>
      </w:r>
    </w:p>
    <w:p w:rsidR="00C552C2" w:rsidRPr="00002E82" w:rsidRDefault="00C844B2" w:rsidP="00D27F3B">
      <w:pPr>
        <w:spacing w:after="240" w:line="240" w:lineRule="auto"/>
        <w:jc w:val="both"/>
        <w:rPr>
          <w:rFonts w:ascii="Times New Roman" w:hAnsi="Times New Roman" w:cs="Times New Roman"/>
          <w:noProof/>
          <w:sz w:val="24"/>
          <w:szCs w:val="24"/>
        </w:rPr>
      </w:pPr>
      <w:r>
        <w:rPr>
          <w:rFonts w:ascii="Times New Roman" w:hAnsi="Times New Roman"/>
          <w:b/>
          <w:noProof/>
          <w:sz w:val="24"/>
          <w:szCs w:val="24"/>
        </w:rPr>
        <w:t>Pentru a realiza obiectivele Pactului verde, va trebui să majorăm investițiile anuale cu aproximativ 520 de miliarde EUR în următorul deceniu (2021-2030), comparativ cu cel precedent</w:t>
      </w:r>
      <w:r>
        <w:rPr>
          <w:rStyle w:val="FootnoteReference"/>
          <w:rFonts w:ascii="Times New Roman" w:hAnsi="Times New Roman" w:cs="Times New Roman"/>
          <w:b/>
          <w:noProof/>
          <w:sz w:val="24"/>
          <w:szCs w:val="24"/>
          <w:lang w:val="en-IE"/>
        </w:rPr>
        <w:footnoteReference w:id="7"/>
      </w:r>
      <w:r>
        <w:rPr>
          <w:noProof/>
        </w:rPr>
        <w:t>.</w:t>
      </w:r>
      <w:r>
        <w:rPr>
          <w:rFonts w:ascii="Times New Roman" w:hAnsi="Times New Roman"/>
          <w:b/>
          <w:noProof/>
          <w:sz w:val="24"/>
          <w:szCs w:val="24"/>
        </w:rPr>
        <w:t xml:space="preserve"> </w:t>
      </w:r>
      <w:r>
        <w:rPr>
          <w:rFonts w:ascii="Times New Roman" w:hAnsi="Times New Roman"/>
          <w:noProof/>
          <w:sz w:val="24"/>
          <w:szCs w:val="24"/>
        </w:rPr>
        <w:t>Aceste investiții prezintă beneficii mari pentru societate, costurile lipsei de acțiune fiind mult mai mari. Din aceste investiții suplimentare, 390 de miliarde EUR este suma care ar corespunde decarbonizării economiei, în special în sectorul energetic, incluzând investițiile legate de energie în sectorul construcțiilor și în cel al transporturilor</w:t>
      </w:r>
      <w:r>
        <w:rPr>
          <w:rStyle w:val="FootnoteReference"/>
          <w:rFonts w:ascii="Times New Roman" w:hAnsi="Times New Roman" w:cs="Times New Roman"/>
          <w:noProof/>
          <w:sz w:val="24"/>
          <w:szCs w:val="24"/>
          <w:lang w:val="en-IE"/>
        </w:rPr>
        <w:footnoteReference w:id="8"/>
      </w:r>
      <w:r>
        <w:rPr>
          <w:noProof/>
        </w:rPr>
        <w:t>.</w:t>
      </w:r>
      <w:r>
        <w:rPr>
          <w:rFonts w:ascii="Times New Roman" w:hAnsi="Times New Roman"/>
          <w:noProof/>
          <w:sz w:val="24"/>
          <w:szCs w:val="24"/>
        </w:rPr>
        <w:t xml:space="preserve"> Investițiile suplimentare necesare pentru îndeplinirea celorlalte obiective de mediu ale tranziției verzi (în afară de cele privind clima și energia) sunt estimate la aproximativ 130 de miliarde EUR pe an. Va trebui să investim, de asemenea, în adaptarea la schimbările climatice și în tehnologii-cheie care vor facilita transformarea verde și creșterea viitoare a UE, cum ar fi bateriile, panourile solare și hidrogenul, precum și în perfecționarea și recalificarea forței de muncă și în formare. Acest efort în materie de investiții va contribui, de asemenea, la valorificarea deplină a potențialului regiunilor din Uniune și a diferitelor avantaje competitive ale acestora. </w:t>
      </w:r>
    </w:p>
    <w:p w:rsidR="008331DF" w:rsidRDefault="00421B9B" w:rsidP="00D103A1">
      <w:pPr>
        <w:spacing w:after="240" w:line="240" w:lineRule="auto"/>
        <w:jc w:val="both"/>
        <w:rPr>
          <w:rFonts w:ascii="Times New Roman" w:hAnsi="Times New Roman" w:cs="Times New Roman"/>
          <w:noProof/>
          <w:sz w:val="24"/>
          <w:szCs w:val="24"/>
        </w:rPr>
      </w:pPr>
      <w:r>
        <w:rPr>
          <w:rFonts w:ascii="Times New Roman" w:hAnsi="Times New Roman"/>
          <w:b/>
          <w:noProof/>
          <w:sz w:val="24"/>
          <w:szCs w:val="24"/>
        </w:rPr>
        <w:t>Această creștere de peste 50 % a nevoilor de investiții în sectorul energetic comparativ cu tendința istorică este determinată în principal de necesitatea decarbonizării economiei și va sprijini eforturile noastre de asigurare a securității aprovizionării</w:t>
      </w:r>
      <w:r>
        <w:rPr>
          <w:rFonts w:ascii="Times New Roman" w:hAnsi="Times New Roman"/>
          <w:noProof/>
          <w:sz w:val="24"/>
          <w:szCs w:val="24"/>
        </w:rPr>
        <w:t xml:space="preserve">. Tabelul de mai jos prezintă o defalcare a sectoarelor în care vor fi necesare investițiile legate de energie. În ceea ce privește aprovizionarea cu energie, vor fi necesare investiții în infrastructuri noi, inclusiv în energia din surse regenerabile, în stocarea energiei, în modernizarea rețelelor electrice existente, în interconexiunile de gaze și de energie electrică și în dezvoltarea de combustibili noi, cum ar fi combustibilii sintetici. În ceea ce privește cererea de energie, vor fi necesare investiții în sectoarele industrial, rezidențial, </w:t>
      </w:r>
      <w:r>
        <w:rPr>
          <w:b/>
          <w:noProof/>
          <w:lang w:val="en-GB" w:eastAsia="en-GB"/>
        </w:rPr>
        <w:drawing>
          <wp:anchor distT="0" distB="0" distL="114300" distR="114300" simplePos="0" relativeHeight="251657728" behindDoc="1" locked="0" layoutInCell="1" allowOverlap="1" wp14:anchorId="31FEA841" wp14:editId="42917459">
            <wp:simplePos x="0" y="0"/>
            <wp:positionH relativeFrom="column">
              <wp:posOffset>9525</wp:posOffset>
            </wp:positionH>
            <wp:positionV relativeFrom="paragraph">
              <wp:posOffset>1468944</wp:posOffset>
            </wp:positionV>
            <wp:extent cx="476885" cy="445770"/>
            <wp:effectExtent l="0" t="0" r="0" b="0"/>
            <wp:wrapTight wrapText="bothSides">
              <wp:wrapPolygon edited="0">
                <wp:start x="0" y="0"/>
                <wp:lineTo x="0" y="10154"/>
                <wp:lineTo x="1726" y="14769"/>
                <wp:lineTo x="7766" y="20308"/>
                <wp:lineTo x="17257" y="20308"/>
                <wp:lineTo x="20708" y="15692"/>
                <wp:lineTo x="20708" y="7385"/>
                <wp:lineTo x="15531" y="1846"/>
                <wp:lineTo x="7766"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76885" cy="44577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rPr>
        <w:t xml:space="preserve">terțiar și al transporturilor. </w:t>
      </w:r>
    </w:p>
    <w:p w:rsidR="00660A97" w:rsidRPr="00C55555" w:rsidRDefault="00660A97" w:rsidP="00E96AF7">
      <w:pPr>
        <w:spacing w:after="120" w:line="240" w:lineRule="auto"/>
        <w:rPr>
          <w:rFonts w:ascii="Times New Roman" w:hAnsi="Times New Roman" w:cs="Times New Roman"/>
          <w:noProof/>
          <w:sz w:val="24"/>
          <w:szCs w:val="24"/>
        </w:rPr>
      </w:pPr>
      <w:r>
        <w:rPr>
          <w:rFonts w:ascii="EC Square Sans Pro" w:hAnsi="EC Square Sans Pro"/>
          <w:i/>
          <w:iCs/>
          <w:noProof/>
          <w:color w:val="44546A" w:themeColor="text2"/>
        </w:rPr>
        <w:t xml:space="preserve">Tabelul </w:t>
      </w:r>
      <w:r>
        <w:rPr>
          <w:rFonts w:ascii="EC Square Sans Pro" w:hAnsi="EC Square Sans Pro"/>
          <w:i/>
          <w:iCs/>
          <w:noProof/>
          <w:color w:val="44546A" w:themeColor="text2"/>
        </w:rPr>
        <w:fldChar w:fldCharType="begin" w:fldLock="1"/>
      </w:r>
      <w:r>
        <w:rPr>
          <w:rFonts w:ascii="EC Square Sans Pro" w:hAnsi="EC Square Sans Pro"/>
          <w:i/>
          <w:iCs/>
          <w:noProof/>
          <w:color w:val="44546A" w:themeColor="text2"/>
        </w:rPr>
        <w:instrText xml:space="preserve"> SEQ Table \* ARABIC </w:instrText>
      </w:r>
      <w:r>
        <w:rPr>
          <w:rFonts w:ascii="EC Square Sans Pro" w:hAnsi="EC Square Sans Pro"/>
          <w:i/>
          <w:iCs/>
          <w:noProof/>
          <w:color w:val="44546A" w:themeColor="text2"/>
        </w:rPr>
        <w:fldChar w:fldCharType="separate"/>
      </w:r>
      <w:r>
        <w:rPr>
          <w:rFonts w:ascii="EC Square Sans Pro" w:hAnsi="EC Square Sans Pro"/>
          <w:i/>
          <w:iCs/>
          <w:noProof/>
          <w:color w:val="44546A" w:themeColor="text2"/>
        </w:rPr>
        <w:t>1</w:t>
      </w:r>
      <w:r>
        <w:rPr>
          <w:rFonts w:ascii="EC Square Sans Pro" w:hAnsi="EC Square Sans Pro"/>
          <w:i/>
          <w:iCs/>
          <w:noProof/>
          <w:color w:val="44546A" w:themeColor="text2"/>
        </w:rPr>
        <w:fldChar w:fldCharType="end"/>
      </w:r>
      <w:r>
        <w:rPr>
          <w:rFonts w:ascii="EC Square Sans Pro" w:hAnsi="EC Square Sans Pro"/>
          <w:i/>
          <w:iCs/>
          <w:noProof/>
          <w:color w:val="44546A" w:themeColor="text2"/>
        </w:rPr>
        <w:t>: Investiții anuale suplimentare necesare pentru politica în domeniul climei și al energiei (miliarde EUR)</w:t>
      </w:r>
    </w:p>
    <w:tbl>
      <w:tblPr>
        <w:tblStyle w:val="TableGridLight"/>
        <w:tblW w:w="4905" w:type="pct"/>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2266"/>
        <w:gridCol w:w="5158"/>
        <w:gridCol w:w="1568"/>
      </w:tblGrid>
      <w:tr w:rsidR="004C2B59" w:rsidRPr="003B2906" w:rsidTr="004C2B59">
        <w:trPr>
          <w:trHeight w:val="224"/>
          <w:jc w:val="center"/>
        </w:trPr>
        <w:tc>
          <w:tcPr>
            <w:tcW w:w="1260" w:type="pct"/>
            <w:vMerge w:val="restart"/>
            <w:tcBorders>
              <w:top w:val="nil"/>
              <w:left w:val="single" w:sz="4" w:space="0" w:color="FFFFFF" w:themeColor="background1"/>
              <w:bottom w:val="nil"/>
              <w:right w:val="single" w:sz="36" w:space="0" w:color="FFFFFF" w:themeColor="background1"/>
            </w:tcBorders>
            <w:shd w:val="clear" w:color="auto" w:fill="F2F2F2" w:themeFill="background1" w:themeFillShade="F2"/>
            <w:noWrap/>
            <w:vAlign w:val="center"/>
          </w:tcPr>
          <w:p w:rsidR="005B1B9F" w:rsidRPr="00E02753" w:rsidRDefault="005B1B9F" w:rsidP="004C7F98">
            <w:pPr>
              <w:contextualSpacing/>
              <w:jc w:val="center"/>
              <w:rPr>
                <w:rFonts w:ascii="EC Square Sans Pro Medium" w:eastAsia="Times New Roman" w:hAnsi="EC Square Sans Pro Medium" w:cs="Calibri"/>
                <w:noProof/>
                <w:color w:val="171717" w:themeColor="background2" w:themeShade="1A"/>
                <w:sz w:val="20"/>
                <w:szCs w:val="20"/>
              </w:rPr>
            </w:pPr>
            <w:r>
              <w:rPr>
                <w:rFonts w:ascii="EC Square Sans Pro Medium" w:hAnsi="EC Square Sans Pro Medium"/>
                <w:noProof/>
                <w:color w:val="171717" w:themeColor="background2" w:themeShade="1A"/>
                <w:sz w:val="20"/>
                <w:szCs w:val="20"/>
              </w:rPr>
              <w:t>Ofertă</w:t>
            </w:r>
          </w:p>
        </w:tc>
        <w:tc>
          <w:tcPr>
            <w:tcW w:w="2868" w:type="pct"/>
            <w:tcBorders>
              <w:top w:val="nil"/>
              <w:left w:val="single" w:sz="36" w:space="0" w:color="FFFFFF" w:themeColor="background1"/>
              <w:bottom w:val="single" w:sz="4" w:space="0" w:color="7F7F7F" w:themeColor="text1" w:themeTint="80"/>
              <w:right w:val="single" w:sz="36" w:space="0" w:color="FFFFFF" w:themeColor="background1"/>
            </w:tcBorders>
            <w:shd w:val="clear" w:color="auto" w:fill="F2F2F2" w:themeFill="background1" w:themeFillShade="F2"/>
            <w:noWrap/>
            <w:vAlign w:val="center"/>
          </w:tcPr>
          <w:p w:rsidR="005B1B9F" w:rsidRPr="00E02753" w:rsidRDefault="005B1B9F" w:rsidP="00892770">
            <w:pPr>
              <w:rPr>
                <w:rFonts w:ascii="EC Square Sans Pro" w:eastAsia="Times New Roman" w:hAnsi="EC Square Sans Pro" w:cs="Calibri"/>
                <w:noProof/>
                <w:color w:val="171717" w:themeColor="background2" w:themeShade="1A"/>
                <w:sz w:val="20"/>
                <w:szCs w:val="20"/>
              </w:rPr>
            </w:pPr>
            <w:r>
              <w:rPr>
                <w:rFonts w:ascii="EC Square Sans Pro Light" w:hAnsi="EC Square Sans Pro Light"/>
                <w:noProof/>
                <w:color w:val="171717" w:themeColor="background2" w:themeShade="1A"/>
                <w:sz w:val="20"/>
                <w:szCs w:val="20"/>
              </w:rPr>
              <w:t xml:space="preserve">  Rețeaua electrică</w:t>
            </w:r>
          </w:p>
        </w:tc>
        <w:tc>
          <w:tcPr>
            <w:tcW w:w="872" w:type="pct"/>
            <w:tcBorders>
              <w:top w:val="nil"/>
              <w:left w:val="single" w:sz="36" w:space="0" w:color="FFFFFF" w:themeColor="background1"/>
              <w:bottom w:val="single" w:sz="4" w:space="0" w:color="7F7F7F" w:themeColor="text1" w:themeTint="80"/>
              <w:right w:val="single" w:sz="36" w:space="0" w:color="FFFFFF" w:themeColor="background1"/>
            </w:tcBorders>
            <w:shd w:val="clear" w:color="auto" w:fill="F2F2F2" w:themeFill="background1" w:themeFillShade="F2"/>
            <w:vAlign w:val="center"/>
          </w:tcPr>
          <w:p w:rsidR="005B1B9F" w:rsidRPr="00E02753" w:rsidRDefault="005B1B9F" w:rsidP="00892770">
            <w:pPr>
              <w:jc w:val="center"/>
              <w:rPr>
                <w:rFonts w:ascii="EC Square Sans Pro Light" w:eastAsia="Times New Roman" w:hAnsi="EC Square Sans Pro Light" w:cs="Calibri"/>
                <w:noProof/>
                <w:color w:val="171717" w:themeColor="background2" w:themeShade="1A"/>
                <w:sz w:val="20"/>
                <w:szCs w:val="20"/>
              </w:rPr>
            </w:pPr>
            <w:r>
              <w:rPr>
                <w:rFonts w:ascii="EC Square Sans Pro Light" w:hAnsi="EC Square Sans Pro Light"/>
                <w:noProof/>
                <w:color w:val="171717" w:themeColor="background2" w:themeShade="1A"/>
                <w:sz w:val="20"/>
                <w:szCs w:val="20"/>
              </w:rPr>
              <w:t>31</w:t>
            </w:r>
          </w:p>
        </w:tc>
      </w:tr>
      <w:tr w:rsidR="004C2B59" w:rsidRPr="003B2906" w:rsidTr="004C2B59">
        <w:trPr>
          <w:trHeight w:val="224"/>
          <w:jc w:val="center"/>
        </w:trPr>
        <w:tc>
          <w:tcPr>
            <w:tcW w:w="1260" w:type="pct"/>
            <w:vMerge/>
            <w:tcBorders>
              <w:top w:val="nil"/>
              <w:left w:val="single" w:sz="4" w:space="0" w:color="FFFFFF" w:themeColor="background1"/>
              <w:bottom w:val="single" w:sz="36" w:space="0" w:color="FFFFFF" w:themeColor="background1"/>
              <w:right w:val="single" w:sz="36" w:space="0" w:color="FFFFFF" w:themeColor="background1"/>
            </w:tcBorders>
            <w:shd w:val="clear" w:color="auto" w:fill="F2F2F2" w:themeFill="background1" w:themeFillShade="F2"/>
            <w:noWrap/>
            <w:vAlign w:val="center"/>
          </w:tcPr>
          <w:p w:rsidR="005B1B9F" w:rsidRPr="00E02753" w:rsidRDefault="005B1B9F" w:rsidP="00892770">
            <w:pPr>
              <w:jc w:val="center"/>
              <w:rPr>
                <w:rFonts w:ascii="EC Square Sans Pro Medium" w:eastAsia="Times New Roman" w:hAnsi="EC Square Sans Pro Medium" w:cs="Calibri"/>
                <w:noProof/>
                <w:color w:val="171717" w:themeColor="background2" w:themeShade="1A"/>
                <w:sz w:val="20"/>
                <w:szCs w:val="20"/>
                <w:lang w:eastAsia="fr-BE"/>
              </w:rPr>
            </w:pPr>
          </w:p>
        </w:tc>
        <w:tc>
          <w:tcPr>
            <w:tcW w:w="2868" w:type="pct"/>
            <w:tcBorders>
              <w:top w:val="single" w:sz="4" w:space="0" w:color="7F7F7F" w:themeColor="text1" w:themeTint="80"/>
              <w:left w:val="single" w:sz="36" w:space="0" w:color="FFFFFF" w:themeColor="background1"/>
              <w:bottom w:val="single" w:sz="36" w:space="0" w:color="FFFFFF" w:themeColor="background1"/>
              <w:right w:val="single" w:sz="36" w:space="0" w:color="FFFFFF"/>
            </w:tcBorders>
            <w:shd w:val="clear" w:color="auto" w:fill="F2F2F2" w:themeFill="background1" w:themeFillShade="F2"/>
            <w:noWrap/>
            <w:vAlign w:val="center"/>
          </w:tcPr>
          <w:p w:rsidR="005B1B9F" w:rsidRPr="00E02753" w:rsidRDefault="005B1B9F" w:rsidP="00892770">
            <w:pPr>
              <w:rPr>
                <w:rFonts w:ascii="EC Square Sans Pro" w:eastAsia="Times New Roman" w:hAnsi="EC Square Sans Pro" w:cs="Calibri"/>
                <w:noProof/>
                <w:color w:val="171717" w:themeColor="background2" w:themeShade="1A"/>
                <w:sz w:val="20"/>
                <w:szCs w:val="20"/>
              </w:rPr>
            </w:pPr>
            <w:r>
              <w:rPr>
                <w:rFonts w:ascii="EC Square Sans Pro Light" w:hAnsi="EC Square Sans Pro Light"/>
                <w:noProof/>
                <w:color w:val="171717" w:themeColor="background2" w:themeShade="1A"/>
                <w:sz w:val="20"/>
                <w:szCs w:val="20"/>
              </w:rPr>
              <w:t xml:space="preserve">  Centrale electrice, inclusiv cazane și combustibili noi</w:t>
            </w:r>
          </w:p>
        </w:tc>
        <w:tc>
          <w:tcPr>
            <w:tcW w:w="872" w:type="pct"/>
            <w:tcBorders>
              <w:top w:val="single" w:sz="4" w:space="0" w:color="7F7F7F" w:themeColor="text1" w:themeTint="80"/>
              <w:left w:val="single" w:sz="36" w:space="0" w:color="FFFFFF"/>
              <w:bottom w:val="single" w:sz="36" w:space="0" w:color="FFFFFF" w:themeColor="background1"/>
              <w:right w:val="single" w:sz="36" w:space="0" w:color="FFFFFF"/>
            </w:tcBorders>
            <w:shd w:val="clear" w:color="auto" w:fill="F2F2F2" w:themeFill="background1" w:themeFillShade="F2"/>
            <w:vAlign w:val="center"/>
          </w:tcPr>
          <w:p w:rsidR="005B1B9F" w:rsidRPr="00E02753" w:rsidRDefault="005B1B9F" w:rsidP="00892770">
            <w:pPr>
              <w:jc w:val="center"/>
              <w:rPr>
                <w:rFonts w:ascii="EC Square Sans Pro Light" w:eastAsia="Times New Roman" w:hAnsi="EC Square Sans Pro Light" w:cs="Calibri"/>
                <w:noProof/>
                <w:color w:val="171717" w:themeColor="background2" w:themeShade="1A"/>
                <w:sz w:val="20"/>
                <w:szCs w:val="20"/>
              </w:rPr>
            </w:pPr>
            <w:r>
              <w:rPr>
                <w:rFonts w:ascii="EC Square Sans Pro Light" w:hAnsi="EC Square Sans Pro Light"/>
                <w:noProof/>
                <w:color w:val="171717" w:themeColor="background2" w:themeShade="1A"/>
                <w:sz w:val="20"/>
                <w:szCs w:val="20"/>
              </w:rPr>
              <w:t>25</w:t>
            </w:r>
          </w:p>
        </w:tc>
      </w:tr>
      <w:tr w:rsidR="004C2B59" w:rsidRPr="003B2906" w:rsidTr="004C2B59">
        <w:trPr>
          <w:trHeight w:val="231"/>
          <w:jc w:val="center"/>
        </w:trPr>
        <w:tc>
          <w:tcPr>
            <w:tcW w:w="1260" w:type="pct"/>
            <w:tcBorders>
              <w:top w:val="single" w:sz="36" w:space="0" w:color="FFFFFF" w:themeColor="background1"/>
              <w:left w:val="single" w:sz="4" w:space="0" w:color="F2F2F2" w:themeColor="background1" w:themeShade="F2"/>
              <w:bottom w:val="single" w:sz="4" w:space="0" w:color="F2F2F2" w:themeColor="background1" w:themeShade="F2"/>
              <w:right w:val="single" w:sz="36" w:space="0" w:color="FFFFFF" w:themeColor="background1"/>
            </w:tcBorders>
            <w:shd w:val="clear" w:color="auto" w:fill="F2F2F2" w:themeFill="background1" w:themeFillShade="F2"/>
            <w:noWrap/>
            <w:vAlign w:val="bottom"/>
          </w:tcPr>
          <w:p w:rsidR="005B1B9F" w:rsidRPr="00E02753" w:rsidRDefault="005B1B9F" w:rsidP="00892770">
            <w:pPr>
              <w:jc w:val="center"/>
              <w:rPr>
                <w:rFonts w:ascii="EC Square Sans Pro Medium" w:eastAsia="Times New Roman" w:hAnsi="EC Square Sans Pro Medium" w:cs="Calibri"/>
                <w:noProof/>
                <w:color w:val="171717" w:themeColor="background2" w:themeShade="1A"/>
                <w:sz w:val="20"/>
                <w:szCs w:val="20"/>
                <w:lang w:eastAsia="fr-BE"/>
              </w:rPr>
            </w:pPr>
          </w:p>
        </w:tc>
        <w:tc>
          <w:tcPr>
            <w:tcW w:w="2868" w:type="pct"/>
            <w:tcBorders>
              <w:top w:val="single" w:sz="36" w:space="0" w:color="FFFFFF" w:themeColor="background1"/>
              <w:left w:val="single" w:sz="36" w:space="0" w:color="FFFFFF" w:themeColor="background1"/>
              <w:bottom w:val="single" w:sz="4" w:space="0" w:color="808080" w:themeColor="background1" w:themeShade="80"/>
              <w:right w:val="single" w:sz="36" w:space="0" w:color="FFFFFF"/>
            </w:tcBorders>
            <w:shd w:val="clear" w:color="auto" w:fill="F2F2F2" w:themeFill="background1" w:themeFillShade="F2"/>
            <w:noWrap/>
            <w:vAlign w:val="center"/>
          </w:tcPr>
          <w:p w:rsidR="005B1B9F" w:rsidRPr="00E02753" w:rsidRDefault="005B1B9F" w:rsidP="00892770">
            <w:pPr>
              <w:rPr>
                <w:rFonts w:ascii="EC Square Sans Pro" w:eastAsia="Times New Roman" w:hAnsi="EC Square Sans Pro" w:cs="Calibri"/>
                <w:noProof/>
                <w:color w:val="171717" w:themeColor="background2" w:themeShade="1A"/>
                <w:sz w:val="20"/>
                <w:szCs w:val="20"/>
              </w:rPr>
            </w:pPr>
            <w:r>
              <w:rPr>
                <w:rFonts w:ascii="EC Square Sans Pro Light" w:hAnsi="EC Square Sans Pro Light"/>
                <w:noProof/>
                <w:color w:val="171717" w:themeColor="background2" w:themeShade="1A"/>
                <w:sz w:val="20"/>
                <w:szCs w:val="20"/>
              </w:rPr>
              <w:t xml:space="preserve">  Sectorul industrial</w:t>
            </w:r>
          </w:p>
        </w:tc>
        <w:tc>
          <w:tcPr>
            <w:tcW w:w="872" w:type="pct"/>
            <w:tcBorders>
              <w:top w:val="single" w:sz="36" w:space="0" w:color="FFFFFF" w:themeColor="background1"/>
              <w:left w:val="single" w:sz="36" w:space="0" w:color="FFFFFF"/>
              <w:bottom w:val="single" w:sz="4" w:space="0" w:color="808080" w:themeColor="background1" w:themeShade="80"/>
              <w:right w:val="single" w:sz="36" w:space="0" w:color="FFFFFF"/>
            </w:tcBorders>
            <w:shd w:val="clear" w:color="auto" w:fill="F2F2F2" w:themeFill="background1" w:themeFillShade="F2"/>
            <w:vAlign w:val="center"/>
          </w:tcPr>
          <w:p w:rsidR="005B1B9F" w:rsidRPr="00E02753" w:rsidRDefault="005B1B9F" w:rsidP="00892770">
            <w:pPr>
              <w:jc w:val="center"/>
              <w:rPr>
                <w:rFonts w:ascii="EC Square Sans Pro Light" w:eastAsia="Times New Roman" w:hAnsi="EC Square Sans Pro Light" w:cs="Calibri"/>
                <w:noProof/>
                <w:color w:val="171717" w:themeColor="background2" w:themeShade="1A"/>
                <w:sz w:val="20"/>
                <w:szCs w:val="20"/>
              </w:rPr>
            </w:pPr>
            <w:r>
              <w:rPr>
                <w:rFonts w:ascii="EC Square Sans Pro Light" w:hAnsi="EC Square Sans Pro Light"/>
                <w:noProof/>
                <w:color w:val="171717" w:themeColor="background2" w:themeShade="1A"/>
                <w:sz w:val="20"/>
                <w:szCs w:val="20"/>
              </w:rPr>
              <w:t>14</w:t>
            </w:r>
          </w:p>
        </w:tc>
      </w:tr>
      <w:tr w:rsidR="004C2B59" w:rsidRPr="003B2906" w:rsidTr="004C2B59">
        <w:trPr>
          <w:trHeight w:val="219"/>
          <w:jc w:val="center"/>
        </w:trPr>
        <w:tc>
          <w:tcPr>
            <w:tcW w:w="1260" w:type="pct"/>
            <w:vMerge w:val="restart"/>
            <w:tcBorders>
              <w:top w:val="single" w:sz="4" w:space="0" w:color="F2F2F2" w:themeColor="background1" w:themeShade="F2"/>
              <w:left w:val="single" w:sz="4" w:space="0" w:color="F2F2F2" w:themeColor="background1" w:themeShade="F2"/>
              <w:right w:val="single" w:sz="36" w:space="0" w:color="FFFFFF" w:themeColor="background1"/>
            </w:tcBorders>
            <w:shd w:val="clear" w:color="auto" w:fill="F2F2F2" w:themeFill="background1" w:themeFillShade="F2"/>
            <w:noWrap/>
            <w:vAlign w:val="center"/>
          </w:tcPr>
          <w:p w:rsidR="005B1B9F" w:rsidRPr="00E02753" w:rsidRDefault="005B1B9F" w:rsidP="00892770">
            <w:pPr>
              <w:jc w:val="center"/>
              <w:rPr>
                <w:rFonts w:ascii="EC Square Sans Pro Medium" w:eastAsia="Times New Roman" w:hAnsi="EC Square Sans Pro Medium" w:cs="Calibri"/>
                <w:noProof/>
                <w:color w:val="171717" w:themeColor="background2" w:themeShade="1A"/>
                <w:sz w:val="20"/>
                <w:szCs w:val="20"/>
              </w:rPr>
            </w:pPr>
            <w:r>
              <w:rPr>
                <w:rFonts w:ascii="EC Square Sans Pro Medium" w:hAnsi="EC Square Sans Pro Medium"/>
                <w:noProof/>
                <w:color w:val="171717" w:themeColor="background2" w:themeShade="1A"/>
                <w:sz w:val="20"/>
                <w:szCs w:val="20"/>
              </w:rPr>
              <w:t xml:space="preserve">Cerere </w:t>
            </w:r>
          </w:p>
        </w:tc>
        <w:tc>
          <w:tcPr>
            <w:tcW w:w="2868" w:type="pct"/>
            <w:tcBorders>
              <w:top w:val="single" w:sz="4" w:space="0" w:color="808080" w:themeColor="background1" w:themeShade="80"/>
              <w:left w:val="single" w:sz="36" w:space="0" w:color="FFFFFF" w:themeColor="background1"/>
              <w:bottom w:val="single" w:sz="4" w:space="0" w:color="808080" w:themeColor="background1" w:themeShade="80"/>
              <w:right w:val="single" w:sz="36" w:space="0" w:color="FFFFFF"/>
            </w:tcBorders>
            <w:shd w:val="clear" w:color="auto" w:fill="F2F2F2" w:themeFill="background1" w:themeFillShade="F2"/>
            <w:noWrap/>
            <w:vAlign w:val="center"/>
          </w:tcPr>
          <w:p w:rsidR="005B1B9F" w:rsidRPr="00E02753" w:rsidRDefault="005B1B9F" w:rsidP="00892770">
            <w:pPr>
              <w:rPr>
                <w:rFonts w:ascii="EC Square Sans Pro" w:hAnsi="EC Square Sans Pro"/>
                <w:noProof/>
                <w:color w:val="171717" w:themeColor="background2" w:themeShade="1A"/>
              </w:rPr>
            </w:pPr>
            <w:r>
              <w:rPr>
                <w:rFonts w:ascii="EC Square Sans Pro Light" w:hAnsi="EC Square Sans Pro Light"/>
                <w:noProof/>
                <w:color w:val="171717" w:themeColor="background2" w:themeShade="1A"/>
                <w:sz w:val="20"/>
                <w:szCs w:val="20"/>
              </w:rPr>
              <w:t xml:space="preserve">  Sectorul rezidențial</w:t>
            </w:r>
          </w:p>
        </w:tc>
        <w:tc>
          <w:tcPr>
            <w:tcW w:w="872" w:type="pct"/>
            <w:tcBorders>
              <w:top w:val="single" w:sz="4" w:space="0" w:color="808080" w:themeColor="background1" w:themeShade="80"/>
              <w:left w:val="single" w:sz="36" w:space="0" w:color="FFFFFF"/>
              <w:bottom w:val="single" w:sz="4" w:space="0" w:color="808080" w:themeColor="background1" w:themeShade="80"/>
              <w:right w:val="single" w:sz="36" w:space="0" w:color="FFFFFF"/>
            </w:tcBorders>
            <w:shd w:val="clear" w:color="auto" w:fill="F2F2F2" w:themeFill="background1" w:themeFillShade="F2"/>
            <w:vAlign w:val="center"/>
          </w:tcPr>
          <w:p w:rsidR="005B1B9F" w:rsidRPr="00E02753" w:rsidRDefault="005B1B9F" w:rsidP="00892770">
            <w:pPr>
              <w:jc w:val="center"/>
              <w:rPr>
                <w:rFonts w:ascii="EC Square Sans Pro Light" w:eastAsia="Times New Roman" w:hAnsi="EC Square Sans Pro Light" w:cs="Calibri"/>
                <w:noProof/>
                <w:color w:val="171717" w:themeColor="background2" w:themeShade="1A"/>
                <w:sz w:val="20"/>
                <w:szCs w:val="20"/>
              </w:rPr>
            </w:pPr>
            <w:r>
              <w:rPr>
                <w:rFonts w:ascii="EC Square Sans Pro Light" w:hAnsi="EC Square Sans Pro Light"/>
                <w:noProof/>
                <w:color w:val="171717" w:themeColor="background2" w:themeShade="1A"/>
                <w:sz w:val="20"/>
                <w:szCs w:val="20"/>
              </w:rPr>
              <w:t>92</w:t>
            </w:r>
          </w:p>
        </w:tc>
      </w:tr>
      <w:tr w:rsidR="004C2B59" w:rsidRPr="003B2906" w:rsidTr="004C2B59">
        <w:trPr>
          <w:trHeight w:val="193"/>
          <w:jc w:val="center"/>
        </w:trPr>
        <w:tc>
          <w:tcPr>
            <w:tcW w:w="1260" w:type="pct"/>
            <w:vMerge/>
            <w:tcBorders>
              <w:left w:val="single" w:sz="4" w:space="0" w:color="F2F2F2" w:themeColor="background1" w:themeShade="F2"/>
              <w:bottom w:val="nil"/>
              <w:right w:val="single" w:sz="36" w:space="0" w:color="FFFFFF" w:themeColor="background1"/>
            </w:tcBorders>
            <w:shd w:val="clear" w:color="auto" w:fill="F2F2F2" w:themeFill="background1" w:themeFillShade="F2"/>
            <w:noWrap/>
            <w:vAlign w:val="center"/>
          </w:tcPr>
          <w:p w:rsidR="005B1B9F" w:rsidRPr="00E02753" w:rsidRDefault="005B1B9F" w:rsidP="00892770">
            <w:pPr>
              <w:jc w:val="center"/>
              <w:rPr>
                <w:rFonts w:ascii="EC Square Sans Pro Medium" w:eastAsia="Times New Roman" w:hAnsi="EC Square Sans Pro Medium" w:cs="Calibri"/>
                <w:noProof/>
                <w:color w:val="171717" w:themeColor="background2" w:themeShade="1A"/>
                <w:sz w:val="20"/>
                <w:szCs w:val="20"/>
                <w:lang w:eastAsia="fr-BE"/>
              </w:rPr>
            </w:pPr>
          </w:p>
        </w:tc>
        <w:tc>
          <w:tcPr>
            <w:tcW w:w="2868" w:type="pct"/>
            <w:tcBorders>
              <w:top w:val="single" w:sz="4" w:space="0" w:color="808080" w:themeColor="background1" w:themeShade="80"/>
              <w:left w:val="single" w:sz="36" w:space="0" w:color="FFFFFF" w:themeColor="background1"/>
              <w:bottom w:val="single" w:sz="4" w:space="0" w:color="7F7F7F" w:themeColor="text1" w:themeTint="80"/>
              <w:right w:val="single" w:sz="36" w:space="0" w:color="FFFFFF"/>
            </w:tcBorders>
            <w:shd w:val="clear" w:color="auto" w:fill="F2F2F2" w:themeFill="background1" w:themeFillShade="F2"/>
            <w:noWrap/>
            <w:vAlign w:val="center"/>
          </w:tcPr>
          <w:p w:rsidR="005B1B9F" w:rsidRPr="00E02753" w:rsidRDefault="005B1B9F" w:rsidP="00892770">
            <w:pPr>
              <w:rPr>
                <w:rFonts w:ascii="EC Square Sans Pro" w:eastAsia="Times New Roman" w:hAnsi="EC Square Sans Pro" w:cs="Calibri"/>
                <w:noProof/>
                <w:color w:val="171717" w:themeColor="background2" w:themeShade="1A"/>
                <w:sz w:val="20"/>
                <w:szCs w:val="20"/>
              </w:rPr>
            </w:pPr>
            <w:r>
              <w:rPr>
                <w:rFonts w:ascii="EC Square Sans Pro Light" w:hAnsi="EC Square Sans Pro Light"/>
                <w:noProof/>
                <w:color w:val="171717" w:themeColor="background2" w:themeShade="1A"/>
                <w:sz w:val="20"/>
                <w:szCs w:val="20"/>
              </w:rPr>
              <w:t xml:space="preserve">  Sectorul terțiar</w:t>
            </w:r>
          </w:p>
        </w:tc>
        <w:tc>
          <w:tcPr>
            <w:tcW w:w="872" w:type="pct"/>
            <w:tcBorders>
              <w:top w:val="single" w:sz="4" w:space="0" w:color="808080" w:themeColor="background1" w:themeShade="80"/>
              <w:left w:val="single" w:sz="36" w:space="0" w:color="FFFFFF"/>
              <w:bottom w:val="single" w:sz="4" w:space="0" w:color="808080" w:themeColor="background1" w:themeShade="80"/>
              <w:right w:val="single" w:sz="36" w:space="0" w:color="FFFFFF"/>
            </w:tcBorders>
            <w:shd w:val="clear" w:color="auto" w:fill="F2F2F2" w:themeFill="background1" w:themeFillShade="F2"/>
            <w:vAlign w:val="center"/>
          </w:tcPr>
          <w:p w:rsidR="005B1B9F" w:rsidRPr="00E02753" w:rsidRDefault="005B1B9F" w:rsidP="00892770">
            <w:pPr>
              <w:jc w:val="center"/>
              <w:rPr>
                <w:rFonts w:ascii="EC Square Sans Pro Light" w:eastAsia="Times New Roman" w:hAnsi="EC Square Sans Pro Light" w:cs="Calibri"/>
                <w:noProof/>
                <w:color w:val="171717" w:themeColor="background2" w:themeShade="1A"/>
                <w:sz w:val="20"/>
                <w:szCs w:val="20"/>
              </w:rPr>
            </w:pPr>
            <w:r>
              <w:rPr>
                <w:rFonts w:ascii="EC Square Sans Pro Light" w:hAnsi="EC Square Sans Pro Light"/>
                <w:noProof/>
                <w:color w:val="171717" w:themeColor="background2" w:themeShade="1A"/>
                <w:sz w:val="20"/>
                <w:szCs w:val="20"/>
              </w:rPr>
              <w:t>54</w:t>
            </w:r>
          </w:p>
        </w:tc>
      </w:tr>
      <w:tr w:rsidR="004C2B59" w:rsidRPr="003B2906" w:rsidTr="004C2B59">
        <w:trPr>
          <w:trHeight w:val="193"/>
          <w:jc w:val="center"/>
        </w:trPr>
        <w:tc>
          <w:tcPr>
            <w:tcW w:w="1260" w:type="pct"/>
            <w:tcBorders>
              <w:top w:val="nil"/>
              <w:left w:val="nil"/>
              <w:bottom w:val="single" w:sz="36" w:space="0" w:color="FFFFFF" w:themeColor="background1"/>
              <w:right w:val="single" w:sz="36" w:space="0" w:color="FFFFFF" w:themeColor="background1"/>
            </w:tcBorders>
            <w:shd w:val="clear" w:color="auto" w:fill="F2F2F2" w:themeFill="background1" w:themeFillShade="F2"/>
            <w:noWrap/>
            <w:vAlign w:val="center"/>
          </w:tcPr>
          <w:p w:rsidR="005B1B9F" w:rsidRPr="00F16FFC" w:rsidRDefault="005B1B9F" w:rsidP="00892770">
            <w:pPr>
              <w:jc w:val="center"/>
              <w:rPr>
                <w:rFonts w:ascii="EC Square Sans Pro Medium" w:eastAsia="Times New Roman" w:hAnsi="EC Square Sans Pro Medium" w:cs="Calibri"/>
                <w:noProof/>
                <w:color w:val="171717" w:themeColor="background2" w:themeShade="1A"/>
                <w:sz w:val="20"/>
                <w:szCs w:val="20"/>
                <w:lang w:eastAsia="fr-BE"/>
              </w:rPr>
            </w:pPr>
          </w:p>
        </w:tc>
        <w:tc>
          <w:tcPr>
            <w:tcW w:w="2868" w:type="pct"/>
            <w:tcBorders>
              <w:top w:val="single" w:sz="4" w:space="0" w:color="7F7F7F" w:themeColor="text1" w:themeTint="80"/>
              <w:left w:val="single" w:sz="36" w:space="0" w:color="FFFFFF" w:themeColor="background1"/>
              <w:bottom w:val="single" w:sz="36" w:space="0" w:color="FFFFFF" w:themeColor="background1"/>
              <w:right w:val="single" w:sz="36" w:space="0" w:color="FFFFFF"/>
            </w:tcBorders>
            <w:shd w:val="clear" w:color="auto" w:fill="F2F2F2" w:themeFill="background1" w:themeFillShade="F2"/>
            <w:noWrap/>
            <w:vAlign w:val="center"/>
          </w:tcPr>
          <w:p w:rsidR="005B1B9F" w:rsidRDefault="005B1B9F" w:rsidP="00892770">
            <w:pPr>
              <w:rPr>
                <w:rFonts w:ascii="EC Square Sans Pro Light" w:eastAsia="Times New Roman" w:hAnsi="EC Square Sans Pro Light" w:cs="Calibri"/>
                <w:noProof/>
                <w:color w:val="171717" w:themeColor="background2" w:themeShade="1A"/>
                <w:sz w:val="20"/>
                <w:szCs w:val="20"/>
              </w:rPr>
            </w:pPr>
            <w:r>
              <w:rPr>
                <w:rFonts w:ascii="EC Square Sans Pro Light" w:hAnsi="EC Square Sans Pro Light"/>
                <w:noProof/>
                <w:color w:val="171717" w:themeColor="background2" w:themeShade="1A"/>
                <w:sz w:val="20"/>
                <w:szCs w:val="20"/>
              </w:rPr>
              <w:t xml:space="preserve">  Sectorul transporturilor</w:t>
            </w:r>
          </w:p>
        </w:tc>
        <w:tc>
          <w:tcPr>
            <w:tcW w:w="872" w:type="pct"/>
            <w:tcBorders>
              <w:top w:val="single" w:sz="4" w:space="0" w:color="808080" w:themeColor="background1" w:themeShade="80"/>
              <w:left w:val="single" w:sz="36" w:space="0" w:color="FFFFFF"/>
              <w:bottom w:val="single" w:sz="4" w:space="0" w:color="808080" w:themeColor="background1" w:themeShade="80"/>
              <w:right w:val="single" w:sz="36" w:space="0" w:color="FFFFFF"/>
            </w:tcBorders>
            <w:shd w:val="clear" w:color="auto" w:fill="F2F2F2" w:themeFill="background1" w:themeFillShade="F2"/>
            <w:vAlign w:val="center"/>
          </w:tcPr>
          <w:p w:rsidR="005B1B9F" w:rsidRPr="00C02A3D" w:rsidDel="00F87A04" w:rsidRDefault="005B1B9F" w:rsidP="00892770">
            <w:pPr>
              <w:jc w:val="center"/>
              <w:rPr>
                <w:rFonts w:ascii="EC Square Sans Pro Light" w:eastAsia="Times New Roman" w:hAnsi="EC Square Sans Pro Light" w:cs="Calibri"/>
                <w:noProof/>
                <w:color w:val="171717" w:themeColor="background2" w:themeShade="1A"/>
                <w:sz w:val="20"/>
                <w:szCs w:val="20"/>
              </w:rPr>
            </w:pPr>
            <w:r>
              <w:rPr>
                <w:rFonts w:ascii="EC Square Sans Pro Light" w:hAnsi="EC Square Sans Pro Light"/>
                <w:noProof/>
                <w:color w:val="171717" w:themeColor="background2" w:themeShade="1A"/>
                <w:sz w:val="20"/>
                <w:szCs w:val="20"/>
              </w:rPr>
              <w:t>175</w:t>
            </w:r>
          </w:p>
        </w:tc>
      </w:tr>
      <w:tr w:rsidR="004C2B59" w:rsidRPr="007A7CA2" w:rsidTr="004C2B59">
        <w:trPr>
          <w:trHeight w:val="224"/>
          <w:jc w:val="center"/>
        </w:trPr>
        <w:tc>
          <w:tcPr>
            <w:tcW w:w="1260" w:type="pct"/>
            <w:tcBorders>
              <w:top w:val="single" w:sz="36" w:space="0" w:color="FFFFFF" w:themeColor="background1"/>
              <w:left w:val="single" w:sz="4" w:space="0" w:color="BDD6EE" w:themeColor="accent1" w:themeTint="66"/>
              <w:bottom w:val="single" w:sz="36" w:space="0" w:color="FFFFFF" w:themeColor="background1"/>
              <w:right w:val="single" w:sz="4" w:space="0" w:color="9CC2E5" w:themeColor="accent1" w:themeTint="99"/>
            </w:tcBorders>
            <w:shd w:val="clear" w:color="auto" w:fill="9CC2E5" w:themeFill="accent1" w:themeFillTint="99"/>
            <w:vAlign w:val="center"/>
            <w:hideMark/>
          </w:tcPr>
          <w:p w:rsidR="005B1B9F" w:rsidRPr="00E02753" w:rsidRDefault="005B1B9F" w:rsidP="00892770">
            <w:pPr>
              <w:jc w:val="center"/>
              <w:rPr>
                <w:rFonts w:ascii="EC Square Sans Pro" w:eastAsia="Times New Roman" w:hAnsi="EC Square Sans Pro" w:cs="Calibri"/>
                <w:b/>
                <w:noProof/>
                <w:color w:val="171717" w:themeColor="background2" w:themeShade="1A"/>
                <w:sz w:val="20"/>
                <w:szCs w:val="20"/>
              </w:rPr>
            </w:pPr>
            <w:r>
              <w:rPr>
                <w:rFonts w:ascii="EC Square Sans Pro" w:hAnsi="EC Square Sans Pro"/>
                <w:b/>
                <w:noProof/>
                <w:color w:val="171717" w:themeColor="background2" w:themeShade="1A"/>
                <w:sz w:val="20"/>
                <w:szCs w:val="20"/>
              </w:rPr>
              <w:t>Total</w:t>
            </w:r>
          </w:p>
        </w:tc>
        <w:tc>
          <w:tcPr>
            <w:tcW w:w="3740" w:type="pct"/>
            <w:gridSpan w:val="2"/>
            <w:tcBorders>
              <w:top w:val="single" w:sz="36" w:space="0" w:color="FFFFFF" w:themeColor="background1"/>
              <w:left w:val="single" w:sz="4" w:space="0" w:color="9CC2E5" w:themeColor="accent1" w:themeTint="99"/>
              <w:bottom w:val="single" w:sz="4" w:space="0" w:color="FFFFFF" w:themeColor="background1"/>
            </w:tcBorders>
            <w:shd w:val="clear" w:color="auto" w:fill="9CC2E5" w:themeFill="accent1" w:themeFillTint="99"/>
            <w:vAlign w:val="center"/>
          </w:tcPr>
          <w:p w:rsidR="005B1B9F" w:rsidRPr="00E02753" w:rsidRDefault="00736D45" w:rsidP="00892770">
            <w:pPr>
              <w:keepNext/>
              <w:jc w:val="center"/>
              <w:rPr>
                <w:rFonts w:ascii="EC Square Sans Pro" w:eastAsia="Times New Roman" w:hAnsi="EC Square Sans Pro" w:cs="Calibri"/>
                <w:b/>
                <w:noProof/>
                <w:color w:val="171717" w:themeColor="background2" w:themeShade="1A"/>
                <w:sz w:val="20"/>
                <w:szCs w:val="20"/>
              </w:rPr>
            </w:pPr>
            <w:r>
              <w:rPr>
                <w:rFonts w:ascii="EC Square Sans Pro" w:hAnsi="EC Square Sans Pro"/>
                <w:b/>
                <w:noProof/>
                <w:color w:val="171717" w:themeColor="background2" w:themeShade="1A"/>
                <w:sz w:val="20"/>
                <w:szCs w:val="20"/>
              </w:rPr>
              <w:t xml:space="preserve">                                                                                         </w:t>
            </w:r>
            <w:r w:rsidR="005B1B9F">
              <w:rPr>
                <w:rFonts w:ascii="EC Square Sans Pro" w:hAnsi="EC Square Sans Pro"/>
                <w:b/>
                <w:noProof/>
                <w:color w:val="171717" w:themeColor="background2" w:themeShade="1A"/>
                <w:sz w:val="20"/>
                <w:szCs w:val="20"/>
              </w:rPr>
              <w:t xml:space="preserve"> 392</w:t>
            </w:r>
          </w:p>
        </w:tc>
      </w:tr>
    </w:tbl>
    <w:p w:rsidR="00885F7A" w:rsidRPr="00576EC1" w:rsidRDefault="00885F7A" w:rsidP="00885F7A">
      <w:pPr>
        <w:spacing w:after="240" w:line="240" w:lineRule="auto"/>
        <w:jc w:val="both"/>
        <w:rPr>
          <w:rFonts w:ascii="EC Square Sans Pro" w:hAnsi="EC Square Sans Pro"/>
          <w:noProof/>
          <w:color w:val="44546A" w:themeColor="text2"/>
          <w:sz w:val="18"/>
        </w:rPr>
      </w:pPr>
      <w:r>
        <w:rPr>
          <w:rFonts w:ascii="EC Square Sans Pro" w:hAnsi="EC Square Sans Pro"/>
          <w:i/>
          <w:noProof/>
          <w:color w:val="44546A" w:themeColor="text2"/>
          <w:sz w:val="18"/>
        </w:rPr>
        <w:t xml:space="preserve">Sursă: serviciile Comisiei, pe baza datelor din tabelul 7 din Documentul de lucru al serviciilor Comisiei </w:t>
      </w:r>
      <w:r>
        <w:rPr>
          <w:rFonts w:ascii="EC Square Sans Pro" w:hAnsi="EC Square Sans Pro"/>
          <w:i/>
          <w:noProof/>
          <w:color w:val="44546A" w:themeColor="text2"/>
          <w:sz w:val="18"/>
          <w:szCs w:val="18"/>
        </w:rPr>
        <w:t>SWD(2021) 621 final. Investițiile anuale suplimentare calculate ca diferența dintre media investițiilor totale anuale în perioada 2011-2020 și media investițiilor totale anuale în perioada 2021-2030 (scenariul MIX). Cifrele au fost rotunjite.</w:t>
      </w:r>
    </w:p>
    <w:p w:rsidR="00C70638" w:rsidRPr="00002E82" w:rsidRDefault="00D103A1" w:rsidP="00D27F3B">
      <w:pPr>
        <w:spacing w:after="240" w:line="240" w:lineRule="auto"/>
        <w:jc w:val="both"/>
        <w:rPr>
          <w:rFonts w:ascii="Times New Roman" w:hAnsi="Times New Roman" w:cs="Times New Roman"/>
          <w:noProof/>
          <w:sz w:val="24"/>
          <w:szCs w:val="24"/>
        </w:rPr>
      </w:pPr>
      <w:r>
        <w:rPr>
          <w:rFonts w:ascii="Times New Roman" w:hAnsi="Times New Roman"/>
          <w:noProof/>
          <w:sz w:val="24"/>
          <w:szCs w:val="24"/>
          <w:lang w:val="en-GB" w:eastAsia="en-GB"/>
        </w:rPr>
        <w:drawing>
          <wp:anchor distT="0" distB="0" distL="114300" distR="114300" simplePos="0" relativeHeight="251660800" behindDoc="1" locked="0" layoutInCell="1" allowOverlap="1" wp14:anchorId="24570285" wp14:editId="61294003">
            <wp:simplePos x="0" y="0"/>
            <wp:positionH relativeFrom="column">
              <wp:posOffset>10795</wp:posOffset>
            </wp:positionH>
            <wp:positionV relativeFrom="paragraph">
              <wp:posOffset>1315720</wp:posOffset>
            </wp:positionV>
            <wp:extent cx="555625" cy="427355"/>
            <wp:effectExtent l="0" t="0" r="0" b="0"/>
            <wp:wrapTight wrapText="bothSides">
              <wp:wrapPolygon edited="0">
                <wp:start x="5925" y="0"/>
                <wp:lineTo x="0" y="6740"/>
                <wp:lineTo x="0" y="12517"/>
                <wp:lineTo x="5184" y="15406"/>
                <wp:lineTo x="8887" y="20220"/>
                <wp:lineTo x="17774" y="20220"/>
                <wp:lineTo x="20736" y="16368"/>
                <wp:lineTo x="20736" y="6740"/>
                <wp:lineTo x="14071" y="0"/>
                <wp:lineTo x="5925"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55625" cy="42735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b/>
          <w:noProof/>
          <w:sz w:val="24"/>
          <w:szCs w:val="24"/>
        </w:rPr>
        <w:t>Astfel cum s-a menționat mai sus, pentru a realiza obiectivele de mediu ale Pactului verde european, vor fi necesare, de asemenea, investiții suplimentare în valoare de 130</w:t>
      </w:r>
      <w:r w:rsidR="00BA7DBD">
        <w:rPr>
          <w:rFonts w:ascii="Times New Roman" w:hAnsi="Times New Roman"/>
          <w:b/>
          <w:noProof/>
          <w:sz w:val="24"/>
          <w:szCs w:val="24"/>
        </w:rPr>
        <w:t> </w:t>
      </w:r>
      <w:r>
        <w:rPr>
          <w:rFonts w:ascii="Times New Roman" w:hAnsi="Times New Roman"/>
          <w:b/>
          <w:noProof/>
          <w:sz w:val="24"/>
          <w:szCs w:val="24"/>
        </w:rPr>
        <w:t xml:space="preserve">de miliarde EUR pe an. </w:t>
      </w:r>
      <w:r>
        <w:rPr>
          <w:rFonts w:ascii="Times New Roman" w:hAnsi="Times New Roman"/>
          <w:noProof/>
          <w:sz w:val="24"/>
          <w:szCs w:val="24"/>
        </w:rPr>
        <w:t xml:space="preserve">Aceste obiective se referă în special la protecția și refacerea biodiversității și a ecosistemelor, la tranziția către o economie circulară, la utilizarea durabilă și protecția resurselor de apă și a celor marine, precum și la prevenirea și controlul poluării. Tabelul de mai jos prezintă o defalcare a investițiilor suplimentare necesare pentru fiecare dintre aceste obiective, inclusiv pentru activitățile de cercetare și dezvoltare. </w:t>
      </w:r>
    </w:p>
    <w:p w:rsidR="005B1B9F" w:rsidRDefault="00660A97" w:rsidP="00C55555">
      <w:pPr>
        <w:spacing w:after="0" w:line="240" w:lineRule="auto"/>
        <w:contextualSpacing/>
        <w:rPr>
          <w:rFonts w:ascii="Times New Roman" w:hAnsi="Times New Roman" w:cs="Times New Roman"/>
          <w:noProof/>
          <w:sz w:val="24"/>
          <w:szCs w:val="24"/>
        </w:rPr>
      </w:pPr>
      <w:r>
        <w:rPr>
          <w:rFonts w:ascii="EC Square Sans Pro" w:hAnsi="EC Square Sans Pro"/>
          <w:i/>
          <w:noProof/>
          <w:color w:val="44546A" w:themeColor="text2"/>
        </w:rPr>
        <w:t xml:space="preserve">Tabelul </w:t>
      </w:r>
      <w:r>
        <w:rPr>
          <w:rFonts w:ascii="EC Square Sans Pro" w:hAnsi="EC Square Sans Pro"/>
          <w:i/>
          <w:noProof/>
          <w:color w:val="44546A" w:themeColor="text2"/>
        </w:rPr>
        <w:fldChar w:fldCharType="begin" w:fldLock="1"/>
      </w:r>
      <w:r>
        <w:rPr>
          <w:rFonts w:ascii="EC Square Sans Pro" w:hAnsi="EC Square Sans Pro"/>
          <w:i/>
          <w:noProof/>
          <w:color w:val="44546A" w:themeColor="text2"/>
        </w:rPr>
        <w:instrText xml:space="preserve"> SEQ Table \* ARABIC </w:instrText>
      </w:r>
      <w:r>
        <w:rPr>
          <w:rFonts w:ascii="EC Square Sans Pro" w:hAnsi="EC Square Sans Pro"/>
          <w:i/>
          <w:noProof/>
          <w:color w:val="44546A" w:themeColor="text2"/>
        </w:rPr>
        <w:fldChar w:fldCharType="separate"/>
      </w:r>
      <w:r>
        <w:rPr>
          <w:rFonts w:ascii="EC Square Sans Pro" w:hAnsi="EC Square Sans Pro"/>
          <w:i/>
          <w:noProof/>
          <w:color w:val="44546A" w:themeColor="text2"/>
        </w:rPr>
        <w:t>2</w:t>
      </w:r>
      <w:r>
        <w:rPr>
          <w:rFonts w:ascii="EC Square Sans Pro" w:hAnsi="EC Square Sans Pro"/>
          <w:i/>
          <w:noProof/>
          <w:color w:val="44546A" w:themeColor="text2"/>
        </w:rPr>
        <w:fldChar w:fldCharType="end"/>
      </w:r>
      <w:r>
        <w:rPr>
          <w:rFonts w:ascii="EC Square Sans Pro" w:hAnsi="EC Square Sans Pro"/>
          <w:i/>
          <w:noProof/>
          <w:color w:val="44546A" w:themeColor="text2"/>
        </w:rPr>
        <w:t>: Nevoile de investiții anuale suplimentare pentru obiectivele de mediu (miliarde EUR)</w:t>
      </w:r>
    </w:p>
    <w:tbl>
      <w:tblPr>
        <w:tblW w:w="5000" w:type="pct"/>
        <w:jc w:val="center"/>
        <w:tblBorders>
          <w:top w:val="single" w:sz="4" w:space="0" w:color="auto"/>
          <w:bottom w:val="single" w:sz="4" w:space="0" w:color="auto"/>
        </w:tblBorders>
        <w:tblLayout w:type="fixed"/>
        <w:tblCellMar>
          <w:left w:w="70" w:type="dxa"/>
          <w:right w:w="70" w:type="dxa"/>
        </w:tblCellMar>
        <w:tblLook w:val="04A0" w:firstRow="1" w:lastRow="0" w:firstColumn="1" w:lastColumn="0" w:noHBand="0" w:noVBand="1"/>
      </w:tblPr>
      <w:tblGrid>
        <w:gridCol w:w="2204"/>
        <w:gridCol w:w="5263"/>
        <w:gridCol w:w="1699"/>
      </w:tblGrid>
      <w:tr w:rsidR="000A6865" w:rsidTr="000A6865">
        <w:trPr>
          <w:trHeight w:val="290"/>
          <w:jc w:val="center"/>
        </w:trPr>
        <w:tc>
          <w:tcPr>
            <w:tcW w:w="1202" w:type="pct"/>
            <w:vMerge w:val="restart"/>
            <w:tcBorders>
              <w:top w:val="single" w:sz="36" w:space="0" w:color="FFFFFF" w:themeColor="background1"/>
              <w:left w:val="single" w:sz="36" w:space="0" w:color="FFFFFF"/>
              <w:bottom w:val="single" w:sz="36" w:space="0" w:color="FFFFFF"/>
              <w:right w:val="single" w:sz="36" w:space="0" w:color="FFFFFF"/>
            </w:tcBorders>
            <w:shd w:val="clear" w:color="auto" w:fill="F2F2F2" w:themeFill="background1" w:themeFillShade="F2"/>
            <w:noWrap/>
            <w:vAlign w:val="center"/>
            <w:hideMark/>
          </w:tcPr>
          <w:p w:rsidR="005B1B9F" w:rsidRPr="00E02753" w:rsidRDefault="005B1B9F" w:rsidP="00892770">
            <w:pPr>
              <w:spacing w:after="0" w:line="240" w:lineRule="auto"/>
              <w:jc w:val="center"/>
              <w:rPr>
                <w:rFonts w:ascii="EC Square Sans Pro Medium" w:eastAsia="Times New Roman" w:hAnsi="EC Square Sans Pro Medium" w:cs="Calibri"/>
                <w:noProof/>
                <w:color w:val="171717" w:themeColor="background2" w:themeShade="1A"/>
                <w:sz w:val="20"/>
                <w:szCs w:val="20"/>
              </w:rPr>
            </w:pPr>
            <w:r>
              <w:rPr>
                <w:rFonts w:ascii="EC Square Sans Pro Medium" w:hAnsi="EC Square Sans Pro Medium"/>
                <w:noProof/>
                <w:color w:val="171717" w:themeColor="background2" w:themeShade="1A"/>
                <w:sz w:val="20"/>
                <w:szCs w:val="20"/>
              </w:rPr>
              <w:t>Protecția biodiversității și a ecosistemelor</w:t>
            </w:r>
          </w:p>
        </w:tc>
        <w:tc>
          <w:tcPr>
            <w:tcW w:w="2871" w:type="pct"/>
            <w:tcBorders>
              <w:top w:val="single" w:sz="36" w:space="0" w:color="FFFFFF" w:themeColor="background1"/>
              <w:left w:val="single" w:sz="36" w:space="0" w:color="FFFFFF"/>
              <w:bottom w:val="single" w:sz="4" w:space="0" w:color="808080" w:themeColor="background1" w:themeShade="80"/>
              <w:right w:val="single" w:sz="36" w:space="0" w:color="FFFFFF"/>
            </w:tcBorders>
            <w:shd w:val="clear" w:color="auto" w:fill="F2F2F2" w:themeFill="background1" w:themeFillShade="F2"/>
            <w:noWrap/>
            <w:vAlign w:val="center"/>
            <w:hideMark/>
          </w:tcPr>
          <w:p w:rsidR="005B1B9F" w:rsidRPr="00E02753" w:rsidRDefault="005B1B9F" w:rsidP="00892770">
            <w:pPr>
              <w:spacing w:after="0" w:line="240" w:lineRule="auto"/>
              <w:rPr>
                <w:rFonts w:ascii="EC Square Sans Pro" w:hAnsi="EC Square Sans Pro"/>
                <w:noProof/>
                <w:color w:val="171717" w:themeColor="background2" w:themeShade="1A"/>
              </w:rPr>
            </w:pPr>
            <w:r>
              <w:rPr>
                <w:rFonts w:ascii="EC Square Sans Pro" w:hAnsi="EC Square Sans Pro"/>
                <w:noProof/>
                <w:color w:val="171717" w:themeColor="background2" w:themeShade="1A"/>
                <w:sz w:val="20"/>
                <w:szCs w:val="20"/>
              </w:rPr>
              <w:t xml:space="preserve">  Refacerea biodiversității peisajelor/naturii</w:t>
            </w:r>
          </w:p>
        </w:tc>
        <w:tc>
          <w:tcPr>
            <w:tcW w:w="927" w:type="pct"/>
            <w:tcBorders>
              <w:top w:val="single" w:sz="36" w:space="0" w:color="FFFFFF" w:themeColor="background1"/>
              <w:left w:val="single" w:sz="36" w:space="0" w:color="FFFFFF"/>
              <w:bottom w:val="single" w:sz="4" w:space="0" w:color="808080" w:themeColor="background1" w:themeShade="80"/>
              <w:right w:val="single" w:sz="36" w:space="0" w:color="FFFFFF"/>
            </w:tcBorders>
            <w:shd w:val="clear" w:color="auto" w:fill="F2F2F2" w:themeFill="background1" w:themeFillShade="F2"/>
            <w:vAlign w:val="center"/>
          </w:tcPr>
          <w:p w:rsidR="005B1B9F" w:rsidRPr="00E02753" w:rsidRDefault="005B1B9F" w:rsidP="00892770">
            <w:pPr>
              <w:spacing w:after="0" w:line="240" w:lineRule="auto"/>
              <w:jc w:val="center"/>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4</w:t>
            </w:r>
          </w:p>
        </w:tc>
      </w:tr>
      <w:tr w:rsidR="000A6865" w:rsidTr="000A6865">
        <w:trPr>
          <w:trHeight w:val="307"/>
          <w:jc w:val="center"/>
        </w:trPr>
        <w:tc>
          <w:tcPr>
            <w:tcW w:w="1202" w:type="pct"/>
            <w:vMerge/>
            <w:tcBorders>
              <w:top w:val="nil"/>
              <w:left w:val="single" w:sz="36" w:space="0" w:color="FFFFFF"/>
              <w:bottom w:val="single" w:sz="36" w:space="0" w:color="FFFFFF"/>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jc w:val="center"/>
              <w:rPr>
                <w:rFonts w:ascii="EC Square Sans Pro Medium" w:eastAsia="Times New Roman" w:hAnsi="EC Square Sans Pro Medium" w:cs="Calibri"/>
                <w:noProof/>
                <w:color w:val="171717" w:themeColor="background2" w:themeShade="1A"/>
                <w:sz w:val="20"/>
                <w:szCs w:val="20"/>
                <w:lang w:eastAsia="fr-BE"/>
              </w:rPr>
            </w:pPr>
          </w:p>
        </w:tc>
        <w:tc>
          <w:tcPr>
            <w:tcW w:w="2871" w:type="pct"/>
            <w:tcBorders>
              <w:top w:val="single" w:sz="4" w:space="0" w:color="808080" w:themeColor="background1" w:themeShade="80"/>
              <w:left w:val="single" w:sz="36" w:space="0" w:color="FFFFFF"/>
              <w:bottom w:val="single" w:sz="4" w:space="0" w:color="808080" w:themeColor="background1" w:themeShade="80"/>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 xml:space="preserve">  Gestionarea resurselor forestiere</w:t>
            </w:r>
          </w:p>
        </w:tc>
        <w:tc>
          <w:tcPr>
            <w:tcW w:w="927" w:type="pct"/>
            <w:tcBorders>
              <w:top w:val="single" w:sz="4" w:space="0" w:color="808080" w:themeColor="background1" w:themeShade="80"/>
              <w:left w:val="single" w:sz="36" w:space="0" w:color="FFFFFF"/>
              <w:bottom w:val="single" w:sz="4" w:space="0" w:color="808080" w:themeColor="background1" w:themeShade="80"/>
              <w:right w:val="single" w:sz="36" w:space="0" w:color="FFFFFF"/>
            </w:tcBorders>
            <w:shd w:val="clear" w:color="auto" w:fill="F2F2F2" w:themeFill="background1" w:themeFillShade="F2"/>
            <w:vAlign w:val="center"/>
          </w:tcPr>
          <w:p w:rsidR="005B1B9F" w:rsidRPr="00E02753" w:rsidRDefault="005B1B9F" w:rsidP="00892770">
            <w:pPr>
              <w:spacing w:after="0" w:line="240" w:lineRule="auto"/>
              <w:jc w:val="center"/>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2</w:t>
            </w:r>
          </w:p>
        </w:tc>
      </w:tr>
      <w:tr w:rsidR="000A6865" w:rsidTr="000A6865">
        <w:trPr>
          <w:trHeight w:val="303"/>
          <w:jc w:val="center"/>
        </w:trPr>
        <w:tc>
          <w:tcPr>
            <w:tcW w:w="1202" w:type="pct"/>
            <w:vMerge/>
            <w:tcBorders>
              <w:top w:val="nil"/>
              <w:left w:val="single" w:sz="36" w:space="0" w:color="FFFFFF"/>
              <w:bottom w:val="single" w:sz="36" w:space="0" w:color="FFFFFF"/>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jc w:val="center"/>
              <w:rPr>
                <w:rFonts w:ascii="EC Square Sans Pro Medium" w:eastAsia="Times New Roman" w:hAnsi="EC Square Sans Pro Medium" w:cs="Calibri"/>
                <w:noProof/>
                <w:color w:val="171717" w:themeColor="background2" w:themeShade="1A"/>
                <w:sz w:val="20"/>
                <w:szCs w:val="20"/>
                <w:lang w:eastAsia="fr-BE"/>
              </w:rPr>
            </w:pPr>
          </w:p>
        </w:tc>
        <w:tc>
          <w:tcPr>
            <w:tcW w:w="2871" w:type="pct"/>
            <w:tcBorders>
              <w:top w:val="single" w:sz="4" w:space="0" w:color="808080" w:themeColor="background1" w:themeShade="80"/>
              <w:left w:val="single" w:sz="36" w:space="0" w:color="FFFFFF"/>
              <w:bottom w:val="single" w:sz="36" w:space="0" w:color="FFFFFF" w:themeColor="background1"/>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 xml:space="preserve">  Gestionarea florei și faunei sălbatice</w:t>
            </w:r>
          </w:p>
        </w:tc>
        <w:tc>
          <w:tcPr>
            <w:tcW w:w="927" w:type="pct"/>
            <w:tcBorders>
              <w:top w:val="single" w:sz="4" w:space="0" w:color="808080" w:themeColor="background1" w:themeShade="80"/>
              <w:left w:val="single" w:sz="36" w:space="0" w:color="FFFFFF"/>
              <w:bottom w:val="single" w:sz="36" w:space="0" w:color="FFFFFF" w:themeColor="background1"/>
              <w:right w:val="single" w:sz="36" w:space="0" w:color="FFFFFF"/>
            </w:tcBorders>
            <w:shd w:val="clear" w:color="auto" w:fill="F2F2F2" w:themeFill="background1" w:themeFillShade="F2"/>
            <w:vAlign w:val="center"/>
          </w:tcPr>
          <w:p w:rsidR="005B1B9F" w:rsidRPr="00E02753" w:rsidRDefault="005B1B9F" w:rsidP="00892770">
            <w:pPr>
              <w:spacing w:after="0" w:line="240" w:lineRule="auto"/>
              <w:jc w:val="center"/>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1</w:t>
            </w:r>
          </w:p>
        </w:tc>
      </w:tr>
      <w:tr w:rsidR="000A6865" w:rsidRPr="003B2906" w:rsidTr="000A6865">
        <w:trPr>
          <w:trHeight w:val="291"/>
          <w:jc w:val="center"/>
        </w:trPr>
        <w:tc>
          <w:tcPr>
            <w:tcW w:w="1202" w:type="pct"/>
            <w:vMerge w:val="restart"/>
            <w:tcBorders>
              <w:top w:val="single" w:sz="4" w:space="0" w:color="FFFFFF" w:themeColor="background1"/>
              <w:left w:val="single" w:sz="36" w:space="0" w:color="FFFFFF"/>
              <w:right w:val="single" w:sz="36" w:space="0" w:color="FFFFFF"/>
            </w:tcBorders>
            <w:shd w:val="clear" w:color="auto" w:fill="F2F2F2" w:themeFill="background1" w:themeFillShade="F2"/>
            <w:noWrap/>
            <w:vAlign w:val="center"/>
            <w:hideMark/>
          </w:tcPr>
          <w:p w:rsidR="005B1B9F" w:rsidRPr="00E02753" w:rsidRDefault="005B1B9F" w:rsidP="00892770">
            <w:pPr>
              <w:spacing w:after="0" w:line="240" w:lineRule="auto"/>
              <w:jc w:val="center"/>
              <w:rPr>
                <w:rFonts w:ascii="EC Square Sans Pro Medium" w:eastAsia="Times New Roman" w:hAnsi="EC Square Sans Pro Medium" w:cs="Calibri"/>
                <w:noProof/>
                <w:color w:val="171717" w:themeColor="background2" w:themeShade="1A"/>
                <w:sz w:val="20"/>
                <w:szCs w:val="20"/>
              </w:rPr>
            </w:pPr>
            <w:r>
              <w:rPr>
                <w:rFonts w:ascii="EC Square Sans Pro Medium" w:hAnsi="EC Square Sans Pro Medium"/>
                <w:noProof/>
                <w:color w:val="171717" w:themeColor="background2" w:themeShade="1A"/>
                <w:sz w:val="20"/>
                <w:szCs w:val="20"/>
              </w:rPr>
              <w:t>Economia circulară și eficiența resurselor</w:t>
            </w:r>
          </w:p>
        </w:tc>
        <w:tc>
          <w:tcPr>
            <w:tcW w:w="2871" w:type="pct"/>
            <w:tcBorders>
              <w:top w:val="single" w:sz="36" w:space="0" w:color="FFFFFF" w:themeColor="background1"/>
              <w:left w:val="single" w:sz="36" w:space="0" w:color="FFFFFF"/>
              <w:bottom w:val="single" w:sz="4" w:space="0" w:color="808080" w:themeColor="background1" w:themeShade="80"/>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rPr>
                <w:rFonts w:ascii="EC Square Sans Pro" w:hAnsi="EC Square Sans Pro"/>
                <w:noProof/>
                <w:color w:val="171717" w:themeColor="background2" w:themeShade="1A"/>
              </w:rPr>
            </w:pPr>
            <w:r>
              <w:rPr>
                <w:rFonts w:ascii="EC Square Sans Pro" w:hAnsi="EC Square Sans Pro"/>
                <w:noProof/>
                <w:color w:val="171717" w:themeColor="background2" w:themeShade="1A"/>
                <w:sz w:val="20"/>
                <w:szCs w:val="20"/>
              </w:rPr>
              <w:t xml:space="preserve">  Gestionarea materialelor și creșterea eficienței</w:t>
            </w:r>
          </w:p>
        </w:tc>
        <w:tc>
          <w:tcPr>
            <w:tcW w:w="927" w:type="pct"/>
            <w:tcBorders>
              <w:top w:val="single" w:sz="36" w:space="0" w:color="FFFFFF" w:themeColor="background1"/>
              <w:left w:val="single" w:sz="36" w:space="0" w:color="FFFFFF"/>
              <w:bottom w:val="single" w:sz="4" w:space="0" w:color="808080" w:themeColor="background1" w:themeShade="80"/>
              <w:right w:val="single" w:sz="36" w:space="0" w:color="FFFFFF"/>
            </w:tcBorders>
            <w:shd w:val="clear" w:color="auto" w:fill="F2F2F2" w:themeFill="background1" w:themeFillShade="F2"/>
            <w:vAlign w:val="center"/>
          </w:tcPr>
          <w:p w:rsidR="005B1B9F" w:rsidRPr="00E02753" w:rsidRDefault="005B1B9F" w:rsidP="00892770">
            <w:pPr>
              <w:spacing w:after="0" w:line="240" w:lineRule="auto"/>
              <w:jc w:val="center"/>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10</w:t>
            </w:r>
          </w:p>
        </w:tc>
      </w:tr>
      <w:tr w:rsidR="000A6865" w:rsidRPr="003B2906" w:rsidTr="000A6865">
        <w:trPr>
          <w:trHeight w:val="307"/>
          <w:jc w:val="center"/>
        </w:trPr>
        <w:tc>
          <w:tcPr>
            <w:tcW w:w="1202" w:type="pct"/>
            <w:vMerge/>
            <w:tcBorders>
              <w:left w:val="single" w:sz="36" w:space="0" w:color="FFFFFF"/>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jc w:val="center"/>
              <w:rPr>
                <w:rFonts w:ascii="EC Square Sans Pro Medium" w:eastAsia="Times New Roman" w:hAnsi="EC Square Sans Pro Medium" w:cs="Calibri"/>
                <w:noProof/>
                <w:color w:val="171717" w:themeColor="background2" w:themeShade="1A"/>
                <w:sz w:val="20"/>
                <w:szCs w:val="20"/>
                <w:lang w:eastAsia="fr-BE"/>
              </w:rPr>
            </w:pPr>
          </w:p>
        </w:tc>
        <w:tc>
          <w:tcPr>
            <w:tcW w:w="2871" w:type="pct"/>
            <w:tcBorders>
              <w:top w:val="single" w:sz="4" w:space="0" w:color="808080" w:themeColor="background1" w:themeShade="80"/>
              <w:left w:val="single" w:sz="36" w:space="0" w:color="FFFFFF"/>
              <w:bottom w:val="single" w:sz="4" w:space="0" w:color="808080" w:themeColor="background1" w:themeShade="80"/>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 xml:space="preserve">  Gestionarea deșeurilor</w:t>
            </w:r>
          </w:p>
        </w:tc>
        <w:tc>
          <w:tcPr>
            <w:tcW w:w="927" w:type="pct"/>
            <w:tcBorders>
              <w:top w:val="single" w:sz="4" w:space="0" w:color="808080" w:themeColor="background1" w:themeShade="80"/>
              <w:left w:val="single" w:sz="36" w:space="0" w:color="FFFFFF"/>
              <w:bottom w:val="single" w:sz="4" w:space="0" w:color="808080" w:themeColor="background1" w:themeShade="80"/>
              <w:right w:val="single" w:sz="36" w:space="0" w:color="FFFFFF"/>
            </w:tcBorders>
            <w:shd w:val="clear" w:color="auto" w:fill="F2F2F2" w:themeFill="background1" w:themeFillShade="F2"/>
            <w:vAlign w:val="center"/>
          </w:tcPr>
          <w:p w:rsidR="005B1B9F" w:rsidRPr="00E02753" w:rsidRDefault="005B1B9F" w:rsidP="00892770">
            <w:pPr>
              <w:spacing w:after="0" w:line="240" w:lineRule="auto"/>
              <w:jc w:val="center"/>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10</w:t>
            </w:r>
          </w:p>
        </w:tc>
      </w:tr>
      <w:tr w:rsidR="000A6865" w:rsidRPr="003B2906" w:rsidTr="000A6865">
        <w:trPr>
          <w:trHeight w:val="409"/>
          <w:jc w:val="center"/>
        </w:trPr>
        <w:tc>
          <w:tcPr>
            <w:tcW w:w="1202" w:type="pct"/>
            <w:vMerge/>
            <w:tcBorders>
              <w:left w:val="single" w:sz="36" w:space="0" w:color="FFFFFF"/>
              <w:bottom w:val="single" w:sz="36" w:space="0" w:color="FFFFFF"/>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jc w:val="center"/>
              <w:rPr>
                <w:rFonts w:ascii="EC Square Sans Pro Medium" w:eastAsia="Times New Roman" w:hAnsi="EC Square Sans Pro Medium" w:cs="Calibri"/>
                <w:noProof/>
                <w:color w:val="171717" w:themeColor="background2" w:themeShade="1A"/>
                <w:sz w:val="20"/>
                <w:szCs w:val="20"/>
                <w:lang w:eastAsia="fr-BE"/>
              </w:rPr>
            </w:pPr>
          </w:p>
        </w:tc>
        <w:tc>
          <w:tcPr>
            <w:tcW w:w="2871" w:type="pct"/>
            <w:tcBorders>
              <w:top w:val="single" w:sz="4" w:space="0" w:color="808080" w:themeColor="background1" w:themeShade="80"/>
              <w:left w:val="single" w:sz="36" w:space="0" w:color="FFFFFF"/>
              <w:bottom w:val="single" w:sz="36" w:space="0" w:color="FFFFFF" w:themeColor="background1"/>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 xml:space="preserve">  Potențial suplimentar în 3 sectoare  </w:t>
            </w:r>
          </w:p>
          <w:p w:rsidR="005B1B9F" w:rsidRPr="00E02753" w:rsidRDefault="005B1B9F" w:rsidP="00892770">
            <w:pPr>
              <w:spacing w:after="0" w:line="240" w:lineRule="auto"/>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 xml:space="preserve">  (alimentație, mobilitate și mediu construit)</w:t>
            </w:r>
          </w:p>
        </w:tc>
        <w:tc>
          <w:tcPr>
            <w:tcW w:w="927" w:type="pct"/>
            <w:tcBorders>
              <w:top w:val="single" w:sz="4" w:space="0" w:color="808080" w:themeColor="background1" w:themeShade="80"/>
              <w:left w:val="single" w:sz="36" w:space="0" w:color="FFFFFF"/>
              <w:bottom w:val="single" w:sz="36" w:space="0" w:color="FFFFFF" w:themeColor="background1"/>
              <w:right w:val="single" w:sz="36" w:space="0" w:color="FFFFFF"/>
            </w:tcBorders>
            <w:shd w:val="clear" w:color="auto" w:fill="F2F2F2" w:themeFill="background1" w:themeFillShade="F2"/>
            <w:vAlign w:val="center"/>
          </w:tcPr>
          <w:p w:rsidR="005B1B9F" w:rsidRPr="00E02753" w:rsidRDefault="005B1B9F" w:rsidP="00892770">
            <w:pPr>
              <w:spacing w:after="0" w:line="240" w:lineRule="auto"/>
              <w:jc w:val="center"/>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15</w:t>
            </w:r>
          </w:p>
        </w:tc>
      </w:tr>
      <w:tr w:rsidR="000A6865" w:rsidRPr="003B2906" w:rsidTr="000A6865">
        <w:trPr>
          <w:trHeight w:val="217"/>
          <w:jc w:val="center"/>
        </w:trPr>
        <w:tc>
          <w:tcPr>
            <w:tcW w:w="1202" w:type="pct"/>
            <w:vMerge w:val="restart"/>
            <w:tcBorders>
              <w:top w:val="single" w:sz="4" w:space="0" w:color="FFFFFF" w:themeColor="background1"/>
              <w:left w:val="single" w:sz="36" w:space="0" w:color="FFFFFF"/>
              <w:right w:val="single" w:sz="36" w:space="0" w:color="FFFFFF"/>
            </w:tcBorders>
            <w:shd w:val="clear" w:color="auto" w:fill="F2F2F2" w:themeFill="background1" w:themeFillShade="F2"/>
            <w:noWrap/>
            <w:vAlign w:val="center"/>
            <w:hideMark/>
          </w:tcPr>
          <w:p w:rsidR="005B1B9F" w:rsidRPr="00E02753" w:rsidRDefault="005B1B9F" w:rsidP="00892770">
            <w:pPr>
              <w:spacing w:after="0" w:line="240" w:lineRule="auto"/>
              <w:jc w:val="center"/>
              <w:rPr>
                <w:rFonts w:ascii="EC Square Sans Pro Medium" w:eastAsia="Times New Roman" w:hAnsi="EC Square Sans Pro Medium" w:cs="Calibri"/>
                <w:noProof/>
                <w:color w:val="171717" w:themeColor="background2" w:themeShade="1A"/>
                <w:sz w:val="20"/>
                <w:szCs w:val="20"/>
              </w:rPr>
            </w:pPr>
            <w:r>
              <w:rPr>
                <w:rFonts w:ascii="EC Square Sans Pro Medium" w:hAnsi="EC Square Sans Pro Medium"/>
                <w:noProof/>
                <w:color w:val="171717" w:themeColor="background2" w:themeShade="1A"/>
                <w:sz w:val="20"/>
                <w:szCs w:val="20"/>
              </w:rPr>
              <w:t>Prevenirea și controlul poluării</w:t>
            </w:r>
          </w:p>
        </w:tc>
        <w:tc>
          <w:tcPr>
            <w:tcW w:w="2871" w:type="pct"/>
            <w:tcBorders>
              <w:top w:val="single" w:sz="36" w:space="0" w:color="FFFFFF" w:themeColor="background1"/>
              <w:left w:val="single" w:sz="36" w:space="0" w:color="FFFFFF"/>
              <w:bottom w:val="single" w:sz="4" w:space="0" w:color="808080" w:themeColor="background1" w:themeShade="80"/>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rPr>
                <w:rFonts w:ascii="EC Square Sans Pro" w:hAnsi="EC Square Sans Pro"/>
                <w:noProof/>
                <w:color w:val="171717" w:themeColor="background2" w:themeShade="1A"/>
              </w:rPr>
            </w:pPr>
            <w:r>
              <w:rPr>
                <w:rFonts w:ascii="EC Square Sans Pro" w:hAnsi="EC Square Sans Pro"/>
                <w:noProof/>
                <w:color w:val="171717" w:themeColor="background2" w:themeShade="1A"/>
                <w:sz w:val="20"/>
                <w:szCs w:val="20"/>
              </w:rPr>
              <w:t xml:space="preserve">  Protecția aerului înconjurător și a climei</w:t>
            </w:r>
          </w:p>
        </w:tc>
        <w:tc>
          <w:tcPr>
            <w:tcW w:w="927" w:type="pct"/>
            <w:tcBorders>
              <w:top w:val="single" w:sz="36" w:space="0" w:color="FFFFFF" w:themeColor="background1"/>
              <w:left w:val="single" w:sz="36" w:space="0" w:color="FFFFFF"/>
              <w:bottom w:val="single" w:sz="4" w:space="0" w:color="808080" w:themeColor="background1" w:themeShade="80"/>
              <w:right w:val="single" w:sz="36" w:space="0" w:color="FFFFFF"/>
            </w:tcBorders>
            <w:shd w:val="clear" w:color="auto" w:fill="F2F2F2" w:themeFill="background1" w:themeFillShade="F2"/>
            <w:vAlign w:val="center"/>
          </w:tcPr>
          <w:p w:rsidR="005B1B9F" w:rsidRPr="00E02753" w:rsidRDefault="005B1B9F" w:rsidP="00892770">
            <w:pPr>
              <w:spacing w:after="0" w:line="240" w:lineRule="auto"/>
              <w:jc w:val="center"/>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40</w:t>
            </w:r>
          </w:p>
        </w:tc>
      </w:tr>
      <w:tr w:rsidR="000A6865" w:rsidRPr="003B2906" w:rsidTr="000A6865">
        <w:trPr>
          <w:trHeight w:val="212"/>
          <w:jc w:val="center"/>
        </w:trPr>
        <w:tc>
          <w:tcPr>
            <w:tcW w:w="1202" w:type="pct"/>
            <w:vMerge/>
            <w:tcBorders>
              <w:left w:val="single" w:sz="36" w:space="0" w:color="FFFFFF"/>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jc w:val="center"/>
              <w:rPr>
                <w:rFonts w:ascii="EC Square Sans Pro Medium" w:eastAsia="Times New Roman" w:hAnsi="EC Square Sans Pro Medium" w:cs="Calibri"/>
                <w:noProof/>
                <w:color w:val="171717" w:themeColor="background2" w:themeShade="1A"/>
                <w:sz w:val="20"/>
                <w:szCs w:val="20"/>
                <w:lang w:eastAsia="fr-BE"/>
              </w:rPr>
            </w:pPr>
          </w:p>
        </w:tc>
        <w:tc>
          <w:tcPr>
            <w:tcW w:w="2871" w:type="pct"/>
            <w:tcBorders>
              <w:top w:val="single" w:sz="4" w:space="0" w:color="808080" w:themeColor="background1" w:themeShade="80"/>
              <w:left w:val="single" w:sz="36" w:space="0" w:color="FFFFFF"/>
              <w:bottom w:val="single" w:sz="4" w:space="0" w:color="808080" w:themeColor="background1" w:themeShade="80"/>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 xml:space="preserve">  Atenuarea zgomotelor și a vibrațiilor</w:t>
            </w:r>
          </w:p>
        </w:tc>
        <w:tc>
          <w:tcPr>
            <w:tcW w:w="927" w:type="pct"/>
            <w:tcBorders>
              <w:top w:val="single" w:sz="4" w:space="0" w:color="808080" w:themeColor="background1" w:themeShade="80"/>
              <w:left w:val="single" w:sz="36" w:space="0" w:color="FFFFFF"/>
              <w:bottom w:val="single" w:sz="4" w:space="0" w:color="808080" w:themeColor="background1" w:themeShade="80"/>
              <w:right w:val="single" w:sz="36" w:space="0" w:color="FFFFFF"/>
            </w:tcBorders>
            <w:shd w:val="clear" w:color="auto" w:fill="F2F2F2" w:themeFill="background1" w:themeFillShade="F2"/>
            <w:vAlign w:val="center"/>
          </w:tcPr>
          <w:p w:rsidR="005B1B9F" w:rsidRPr="00E02753" w:rsidRDefault="005B1B9F" w:rsidP="00892770">
            <w:pPr>
              <w:spacing w:after="0" w:line="240" w:lineRule="auto"/>
              <w:jc w:val="center"/>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1</w:t>
            </w:r>
          </w:p>
        </w:tc>
      </w:tr>
      <w:tr w:rsidR="000A6865" w:rsidRPr="003B2906" w:rsidTr="000A6865">
        <w:trPr>
          <w:trHeight w:val="236"/>
          <w:jc w:val="center"/>
        </w:trPr>
        <w:tc>
          <w:tcPr>
            <w:tcW w:w="1202" w:type="pct"/>
            <w:vMerge/>
            <w:tcBorders>
              <w:left w:val="single" w:sz="36" w:space="0" w:color="FFFFFF"/>
              <w:bottom w:val="single" w:sz="36" w:space="0" w:color="FFFFFF"/>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jc w:val="center"/>
              <w:rPr>
                <w:rFonts w:ascii="EC Square Sans Pro Medium" w:eastAsia="Times New Roman" w:hAnsi="EC Square Sans Pro Medium" w:cs="Calibri"/>
                <w:noProof/>
                <w:color w:val="171717" w:themeColor="background2" w:themeShade="1A"/>
                <w:sz w:val="20"/>
                <w:szCs w:val="20"/>
                <w:lang w:eastAsia="fr-BE"/>
              </w:rPr>
            </w:pPr>
          </w:p>
        </w:tc>
        <w:tc>
          <w:tcPr>
            <w:tcW w:w="2871" w:type="pct"/>
            <w:tcBorders>
              <w:top w:val="single" w:sz="4" w:space="0" w:color="808080" w:themeColor="background1" w:themeShade="80"/>
              <w:left w:val="single" w:sz="36" w:space="0" w:color="FFFFFF"/>
              <w:bottom w:val="single" w:sz="36" w:space="0" w:color="FFFFFF" w:themeColor="background1"/>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 xml:space="preserve">  Protecția împotriva radiațiilor</w:t>
            </w:r>
          </w:p>
        </w:tc>
        <w:tc>
          <w:tcPr>
            <w:tcW w:w="927" w:type="pct"/>
            <w:tcBorders>
              <w:top w:val="single" w:sz="4" w:space="0" w:color="808080" w:themeColor="background1" w:themeShade="80"/>
              <w:left w:val="single" w:sz="36" w:space="0" w:color="FFFFFF"/>
              <w:bottom w:val="single" w:sz="36" w:space="0" w:color="FFFFFF" w:themeColor="background1"/>
              <w:right w:val="single" w:sz="36" w:space="0" w:color="FFFFFF"/>
            </w:tcBorders>
            <w:shd w:val="clear" w:color="auto" w:fill="F2F2F2" w:themeFill="background1" w:themeFillShade="F2"/>
            <w:vAlign w:val="center"/>
          </w:tcPr>
          <w:p w:rsidR="005B1B9F" w:rsidRPr="00E02753" w:rsidRDefault="005B1B9F" w:rsidP="00892770">
            <w:pPr>
              <w:spacing w:after="0" w:line="240" w:lineRule="auto"/>
              <w:jc w:val="center"/>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5</w:t>
            </w:r>
          </w:p>
        </w:tc>
      </w:tr>
      <w:tr w:rsidR="000A6865" w:rsidRPr="003B2906" w:rsidTr="000A6865">
        <w:trPr>
          <w:trHeight w:val="284"/>
          <w:jc w:val="center"/>
        </w:trPr>
        <w:tc>
          <w:tcPr>
            <w:tcW w:w="1202" w:type="pct"/>
            <w:vMerge w:val="restart"/>
            <w:tcBorders>
              <w:top w:val="single" w:sz="4" w:space="0" w:color="FFFFFF" w:themeColor="background1"/>
              <w:left w:val="single" w:sz="36" w:space="0" w:color="FFFFFF"/>
              <w:right w:val="single" w:sz="36" w:space="0" w:color="FFFFFF"/>
            </w:tcBorders>
            <w:shd w:val="clear" w:color="auto" w:fill="F2F2F2" w:themeFill="background1" w:themeFillShade="F2"/>
            <w:noWrap/>
            <w:vAlign w:val="center"/>
            <w:hideMark/>
          </w:tcPr>
          <w:p w:rsidR="005B1B9F" w:rsidRPr="00E02753" w:rsidRDefault="005B1B9F" w:rsidP="00892770">
            <w:pPr>
              <w:spacing w:after="0" w:line="240" w:lineRule="auto"/>
              <w:jc w:val="center"/>
              <w:rPr>
                <w:rFonts w:ascii="EC Square Sans Pro Medium" w:eastAsia="Times New Roman" w:hAnsi="EC Square Sans Pro Medium" w:cs="Calibri"/>
                <w:noProof/>
                <w:color w:val="171717" w:themeColor="background2" w:themeShade="1A"/>
                <w:sz w:val="20"/>
                <w:szCs w:val="20"/>
              </w:rPr>
            </w:pPr>
            <w:r>
              <w:rPr>
                <w:rFonts w:ascii="EC Square Sans Pro Medium" w:hAnsi="EC Square Sans Pro Medium"/>
                <w:noProof/>
                <w:color w:val="171717" w:themeColor="background2" w:themeShade="1A"/>
                <w:sz w:val="20"/>
                <w:szCs w:val="20"/>
              </w:rPr>
              <w:t>Protecția și gestionarea apei</w:t>
            </w:r>
          </w:p>
        </w:tc>
        <w:tc>
          <w:tcPr>
            <w:tcW w:w="2871" w:type="pct"/>
            <w:tcBorders>
              <w:top w:val="single" w:sz="36" w:space="0" w:color="FFFFFF" w:themeColor="background1"/>
              <w:left w:val="single" w:sz="36" w:space="0" w:color="FFFFFF"/>
              <w:bottom w:val="single" w:sz="4" w:space="0" w:color="808080" w:themeColor="background1" w:themeShade="80"/>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rPr>
                <w:rFonts w:ascii="EC Square Sans Pro" w:hAnsi="EC Square Sans Pro"/>
                <w:noProof/>
                <w:color w:val="171717" w:themeColor="background2" w:themeShade="1A"/>
              </w:rPr>
            </w:pPr>
            <w:r>
              <w:rPr>
                <w:rFonts w:ascii="EC Square Sans Pro" w:hAnsi="EC Square Sans Pro"/>
                <w:noProof/>
                <w:color w:val="171717" w:themeColor="background2" w:themeShade="1A"/>
                <w:sz w:val="20"/>
                <w:szCs w:val="20"/>
              </w:rPr>
              <w:t xml:space="preserve">  Gestionarea apelor</w:t>
            </w:r>
          </w:p>
        </w:tc>
        <w:tc>
          <w:tcPr>
            <w:tcW w:w="927" w:type="pct"/>
            <w:tcBorders>
              <w:top w:val="single" w:sz="36" w:space="0" w:color="FFFFFF" w:themeColor="background1"/>
              <w:left w:val="single" w:sz="36" w:space="0" w:color="FFFFFF"/>
              <w:bottom w:val="single" w:sz="4" w:space="0" w:color="808080" w:themeColor="background1" w:themeShade="80"/>
              <w:right w:val="single" w:sz="36" w:space="0" w:color="FFFFFF"/>
            </w:tcBorders>
            <w:shd w:val="clear" w:color="auto" w:fill="F2F2F2" w:themeFill="background1" w:themeFillShade="F2"/>
            <w:vAlign w:val="center"/>
          </w:tcPr>
          <w:p w:rsidR="005B1B9F" w:rsidRPr="00E02753" w:rsidRDefault="005B1B9F" w:rsidP="00892770">
            <w:pPr>
              <w:spacing w:after="0" w:line="240" w:lineRule="auto"/>
              <w:jc w:val="center"/>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21</w:t>
            </w:r>
          </w:p>
        </w:tc>
      </w:tr>
      <w:tr w:rsidR="000A6865" w:rsidRPr="003B2906" w:rsidTr="000A6865">
        <w:trPr>
          <w:trHeight w:val="410"/>
          <w:jc w:val="center"/>
        </w:trPr>
        <w:tc>
          <w:tcPr>
            <w:tcW w:w="1202" w:type="pct"/>
            <w:vMerge/>
            <w:tcBorders>
              <w:left w:val="single" w:sz="36" w:space="0" w:color="FFFFFF"/>
              <w:bottom w:val="single" w:sz="36" w:space="0" w:color="FFFFFF" w:themeColor="background1"/>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jc w:val="center"/>
              <w:rPr>
                <w:rFonts w:ascii="EC Square Sans Pro Medium" w:eastAsia="Times New Roman" w:hAnsi="EC Square Sans Pro Medium" w:cs="Calibri"/>
                <w:noProof/>
                <w:color w:val="171717" w:themeColor="background2" w:themeShade="1A"/>
                <w:sz w:val="20"/>
                <w:szCs w:val="20"/>
                <w:lang w:eastAsia="fr-BE"/>
              </w:rPr>
            </w:pPr>
          </w:p>
        </w:tc>
        <w:tc>
          <w:tcPr>
            <w:tcW w:w="2871" w:type="pct"/>
            <w:tcBorders>
              <w:top w:val="single" w:sz="4" w:space="0" w:color="808080" w:themeColor="background1" w:themeShade="80"/>
              <w:left w:val="single" w:sz="36" w:space="0" w:color="FFFFFF"/>
              <w:bottom w:val="single" w:sz="36" w:space="0" w:color="FFFFFF" w:themeColor="background1"/>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 xml:space="preserve">  Gestionarea apelor uzate</w:t>
            </w:r>
          </w:p>
        </w:tc>
        <w:tc>
          <w:tcPr>
            <w:tcW w:w="927" w:type="pct"/>
            <w:tcBorders>
              <w:top w:val="single" w:sz="4" w:space="0" w:color="808080" w:themeColor="background1" w:themeShade="80"/>
              <w:left w:val="single" w:sz="36" w:space="0" w:color="FFFFFF"/>
              <w:bottom w:val="single" w:sz="36" w:space="0" w:color="FFFFFF" w:themeColor="background1"/>
              <w:right w:val="single" w:sz="36" w:space="0" w:color="FFFFFF"/>
            </w:tcBorders>
            <w:shd w:val="clear" w:color="auto" w:fill="F2F2F2" w:themeFill="background1" w:themeFillShade="F2"/>
            <w:vAlign w:val="center"/>
          </w:tcPr>
          <w:p w:rsidR="005B1B9F" w:rsidRPr="00E02753" w:rsidRDefault="005B1B9F" w:rsidP="00892770">
            <w:pPr>
              <w:spacing w:after="0" w:line="240" w:lineRule="auto"/>
              <w:jc w:val="center"/>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15</w:t>
            </w:r>
          </w:p>
        </w:tc>
      </w:tr>
      <w:tr w:rsidR="000A6865" w:rsidRPr="003B2906" w:rsidTr="000A6865">
        <w:trPr>
          <w:trHeight w:val="254"/>
          <w:jc w:val="center"/>
        </w:trPr>
        <w:tc>
          <w:tcPr>
            <w:tcW w:w="1202" w:type="pct"/>
            <w:vMerge w:val="restart"/>
            <w:tcBorders>
              <w:top w:val="single" w:sz="36" w:space="0" w:color="FFFFFF" w:themeColor="background1"/>
              <w:left w:val="single" w:sz="36" w:space="0" w:color="FFFFFF"/>
              <w:right w:val="single" w:sz="36" w:space="0" w:color="FFFFFF"/>
            </w:tcBorders>
            <w:shd w:val="clear" w:color="auto" w:fill="F2F2F2" w:themeFill="background1" w:themeFillShade="F2"/>
            <w:noWrap/>
            <w:vAlign w:val="center"/>
            <w:hideMark/>
          </w:tcPr>
          <w:p w:rsidR="005B1B9F" w:rsidRPr="00E02753" w:rsidRDefault="005B1B9F" w:rsidP="00892770">
            <w:pPr>
              <w:spacing w:after="0" w:line="240" w:lineRule="auto"/>
              <w:jc w:val="center"/>
              <w:rPr>
                <w:rFonts w:ascii="EC Square Sans Pro Medium" w:eastAsia="Times New Roman" w:hAnsi="EC Square Sans Pro Medium" w:cs="Calibri"/>
                <w:noProof/>
                <w:color w:val="171717" w:themeColor="background2" w:themeShade="1A"/>
                <w:sz w:val="20"/>
                <w:szCs w:val="20"/>
              </w:rPr>
            </w:pPr>
            <w:r>
              <w:rPr>
                <w:rFonts w:ascii="EC Square Sans Pro Medium" w:hAnsi="EC Square Sans Pro Medium"/>
                <w:noProof/>
                <w:color w:val="171717" w:themeColor="background2" w:themeShade="1A"/>
                <w:sz w:val="20"/>
                <w:szCs w:val="20"/>
              </w:rPr>
              <w:t>Cercetare și dezvoltare</w:t>
            </w:r>
          </w:p>
        </w:tc>
        <w:tc>
          <w:tcPr>
            <w:tcW w:w="2871" w:type="pct"/>
            <w:tcBorders>
              <w:top w:val="single" w:sz="36" w:space="0" w:color="FFFFFF" w:themeColor="background1"/>
              <w:left w:val="single" w:sz="36" w:space="0" w:color="FFFFFF"/>
              <w:bottom w:val="single" w:sz="4" w:space="0" w:color="808080" w:themeColor="background1" w:themeShade="80"/>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rPr>
                <w:rFonts w:ascii="EC Square Sans Pro" w:hAnsi="EC Square Sans Pro"/>
                <w:noProof/>
                <w:color w:val="171717" w:themeColor="background2" w:themeShade="1A"/>
              </w:rPr>
            </w:pPr>
            <w:r>
              <w:rPr>
                <w:rFonts w:ascii="EC Square Sans Pro" w:hAnsi="EC Square Sans Pro"/>
                <w:noProof/>
                <w:color w:val="171717" w:themeColor="background2" w:themeShade="1A"/>
                <w:sz w:val="20"/>
                <w:szCs w:val="20"/>
              </w:rPr>
              <w:t xml:space="preserve">  Gestionarea resurselor pentru cercetare și dezvoltare</w:t>
            </w:r>
          </w:p>
        </w:tc>
        <w:tc>
          <w:tcPr>
            <w:tcW w:w="927" w:type="pct"/>
            <w:tcBorders>
              <w:top w:val="single" w:sz="36" w:space="0" w:color="FFFFFF" w:themeColor="background1"/>
              <w:left w:val="single" w:sz="36" w:space="0" w:color="FFFFFF"/>
              <w:bottom w:val="single" w:sz="4" w:space="0" w:color="808080" w:themeColor="background1" w:themeShade="80"/>
              <w:right w:val="single" w:sz="36" w:space="0" w:color="FFFFFF"/>
            </w:tcBorders>
            <w:shd w:val="clear" w:color="auto" w:fill="F2F2F2" w:themeFill="background1" w:themeFillShade="F2"/>
            <w:vAlign w:val="center"/>
          </w:tcPr>
          <w:p w:rsidR="005B1B9F" w:rsidRPr="00E02753" w:rsidRDefault="005B1B9F" w:rsidP="00892770">
            <w:pPr>
              <w:spacing w:after="0" w:line="240" w:lineRule="auto"/>
              <w:jc w:val="center"/>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5</w:t>
            </w:r>
          </w:p>
        </w:tc>
      </w:tr>
      <w:tr w:rsidR="000A6865" w:rsidRPr="003B2906" w:rsidTr="000A6865">
        <w:trPr>
          <w:trHeight w:val="319"/>
          <w:jc w:val="center"/>
        </w:trPr>
        <w:tc>
          <w:tcPr>
            <w:tcW w:w="1202" w:type="pct"/>
            <w:vMerge/>
            <w:tcBorders>
              <w:left w:val="single" w:sz="36" w:space="0" w:color="FFFFFF"/>
              <w:bottom w:val="single" w:sz="36" w:space="0" w:color="FFFFFF" w:themeColor="background1"/>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jc w:val="center"/>
              <w:rPr>
                <w:rFonts w:ascii="EC Square Sans Pro Medium" w:eastAsia="Times New Roman" w:hAnsi="EC Square Sans Pro Medium" w:cs="Calibri"/>
                <w:noProof/>
                <w:color w:val="171717" w:themeColor="background2" w:themeShade="1A"/>
                <w:sz w:val="20"/>
                <w:szCs w:val="20"/>
                <w:lang w:eastAsia="fr-BE"/>
              </w:rPr>
            </w:pPr>
          </w:p>
        </w:tc>
        <w:tc>
          <w:tcPr>
            <w:tcW w:w="2871" w:type="pct"/>
            <w:tcBorders>
              <w:top w:val="single" w:sz="4" w:space="0" w:color="808080" w:themeColor="background1" w:themeShade="80"/>
              <w:left w:val="single" w:sz="36" w:space="0" w:color="FFFFFF"/>
              <w:bottom w:val="single" w:sz="36" w:space="0" w:color="FFFFFF" w:themeColor="background1"/>
              <w:right w:val="single" w:sz="36" w:space="0" w:color="FFFFFF"/>
            </w:tcBorders>
            <w:shd w:val="clear" w:color="auto" w:fill="F2F2F2" w:themeFill="background1" w:themeFillShade="F2"/>
            <w:noWrap/>
            <w:vAlign w:val="center"/>
          </w:tcPr>
          <w:p w:rsidR="005B1B9F" w:rsidRPr="00E02753" w:rsidRDefault="005B1B9F" w:rsidP="00892770">
            <w:pPr>
              <w:spacing w:after="0" w:line="240" w:lineRule="auto"/>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 xml:space="preserve">  Cercetare și dezvoltare în domeniul mediului</w:t>
            </w:r>
          </w:p>
        </w:tc>
        <w:tc>
          <w:tcPr>
            <w:tcW w:w="927" w:type="pct"/>
            <w:tcBorders>
              <w:top w:val="single" w:sz="4" w:space="0" w:color="808080" w:themeColor="background1" w:themeShade="80"/>
              <w:left w:val="single" w:sz="36" w:space="0" w:color="FFFFFF"/>
              <w:bottom w:val="nil"/>
              <w:right w:val="single" w:sz="36" w:space="0" w:color="FFFFFF"/>
            </w:tcBorders>
            <w:shd w:val="clear" w:color="auto" w:fill="F2F2F2" w:themeFill="background1" w:themeFillShade="F2"/>
            <w:vAlign w:val="center"/>
          </w:tcPr>
          <w:p w:rsidR="005B1B9F" w:rsidRPr="00E02753" w:rsidRDefault="005B1B9F" w:rsidP="00892770">
            <w:pPr>
              <w:spacing w:after="0" w:line="240" w:lineRule="auto"/>
              <w:jc w:val="center"/>
              <w:rPr>
                <w:rFonts w:ascii="EC Square Sans Pro" w:eastAsia="Times New Roman" w:hAnsi="EC Square Sans Pro" w:cs="Calibri"/>
                <w:noProof/>
                <w:color w:val="171717" w:themeColor="background2" w:themeShade="1A"/>
                <w:sz w:val="20"/>
                <w:szCs w:val="20"/>
              </w:rPr>
            </w:pPr>
            <w:r>
              <w:rPr>
                <w:rFonts w:ascii="EC Square Sans Pro" w:hAnsi="EC Square Sans Pro"/>
                <w:noProof/>
                <w:color w:val="171717" w:themeColor="background2" w:themeShade="1A"/>
                <w:sz w:val="20"/>
                <w:szCs w:val="20"/>
              </w:rPr>
              <w:t>2</w:t>
            </w:r>
          </w:p>
        </w:tc>
      </w:tr>
      <w:tr w:rsidR="000A6865" w:rsidRPr="007A7CA2" w:rsidTr="000A6865">
        <w:trPr>
          <w:trHeight w:val="291"/>
          <w:jc w:val="center"/>
        </w:trPr>
        <w:tc>
          <w:tcPr>
            <w:tcW w:w="1202" w:type="pct"/>
            <w:tcBorders>
              <w:top w:val="single" w:sz="36" w:space="0" w:color="FFFFFF" w:themeColor="background1"/>
              <w:left w:val="single" w:sz="36" w:space="0" w:color="FFFFFF" w:themeColor="background1"/>
              <w:bottom w:val="single" w:sz="36" w:space="0" w:color="FFFFFF" w:themeColor="background1"/>
              <w:right w:val="nil"/>
            </w:tcBorders>
            <w:shd w:val="clear" w:color="auto" w:fill="9CC2E5" w:themeFill="accent1" w:themeFillTint="99"/>
            <w:vAlign w:val="center"/>
            <w:hideMark/>
          </w:tcPr>
          <w:p w:rsidR="005B1B9F" w:rsidRPr="00E02753" w:rsidRDefault="005B1B9F" w:rsidP="00892770">
            <w:pPr>
              <w:spacing w:after="0" w:line="240" w:lineRule="auto"/>
              <w:jc w:val="center"/>
              <w:rPr>
                <w:rFonts w:ascii="EC Square Sans Pro" w:eastAsia="Times New Roman" w:hAnsi="EC Square Sans Pro" w:cs="Calibri"/>
                <w:b/>
                <w:noProof/>
                <w:color w:val="171717" w:themeColor="background2" w:themeShade="1A"/>
                <w:sz w:val="20"/>
                <w:szCs w:val="20"/>
              </w:rPr>
            </w:pPr>
            <w:r>
              <w:rPr>
                <w:rFonts w:ascii="EC Square Sans Pro" w:hAnsi="EC Square Sans Pro"/>
                <w:b/>
                <w:noProof/>
                <w:color w:val="171717" w:themeColor="background2" w:themeShade="1A"/>
                <w:sz w:val="20"/>
                <w:szCs w:val="20"/>
              </w:rPr>
              <w:t>Total</w:t>
            </w:r>
          </w:p>
        </w:tc>
        <w:tc>
          <w:tcPr>
            <w:tcW w:w="3798" w:type="pct"/>
            <w:gridSpan w:val="2"/>
            <w:tcBorders>
              <w:top w:val="single" w:sz="36" w:space="0" w:color="FFFFFF" w:themeColor="background1"/>
              <w:left w:val="nil"/>
              <w:bottom w:val="nil"/>
            </w:tcBorders>
            <w:shd w:val="clear" w:color="auto" w:fill="9CC2E5" w:themeFill="accent1" w:themeFillTint="99"/>
            <w:vAlign w:val="center"/>
          </w:tcPr>
          <w:p w:rsidR="005B1B9F" w:rsidRPr="00E02753" w:rsidRDefault="005B1B9F" w:rsidP="00892770">
            <w:pPr>
              <w:keepNext/>
              <w:spacing w:after="0" w:line="240" w:lineRule="auto"/>
              <w:jc w:val="center"/>
              <w:rPr>
                <w:rFonts w:ascii="EC Square Sans Pro" w:eastAsia="Times New Roman" w:hAnsi="EC Square Sans Pro" w:cs="Calibri"/>
                <w:b/>
                <w:noProof/>
                <w:color w:val="171717" w:themeColor="background2" w:themeShade="1A"/>
                <w:sz w:val="20"/>
                <w:szCs w:val="20"/>
              </w:rPr>
            </w:pPr>
            <w:r>
              <w:rPr>
                <w:rFonts w:ascii="EC Square Sans Pro" w:hAnsi="EC Square Sans Pro"/>
                <w:b/>
                <w:noProof/>
                <w:color w:val="171717" w:themeColor="background2" w:themeShade="1A"/>
                <w:sz w:val="20"/>
                <w:szCs w:val="20"/>
              </w:rPr>
              <w:t xml:space="preserve">                                                                                          130</w:t>
            </w:r>
          </w:p>
        </w:tc>
      </w:tr>
    </w:tbl>
    <w:p w:rsidR="00885F7A" w:rsidRPr="00576EC1" w:rsidRDefault="00885F7A" w:rsidP="00D27F3B">
      <w:pPr>
        <w:spacing w:after="240" w:line="240" w:lineRule="auto"/>
        <w:jc w:val="both"/>
        <w:rPr>
          <w:rFonts w:ascii="EC Square Sans Pro" w:hAnsi="EC Square Sans Pro"/>
          <w:i/>
          <w:noProof/>
          <w:color w:val="44546A" w:themeColor="text2"/>
          <w:sz w:val="18"/>
        </w:rPr>
      </w:pPr>
      <w:r>
        <w:rPr>
          <w:rFonts w:ascii="EC Square Sans Pro" w:hAnsi="EC Square Sans Pro"/>
          <w:i/>
          <w:noProof/>
          <w:color w:val="44546A" w:themeColor="text2"/>
          <w:sz w:val="18"/>
        </w:rPr>
        <w:t xml:space="preserve">Sursă: serviciile Comisiei, pe baza datelor din tabelul 1 din Documentul de lucru al serviciilor Comisiei </w:t>
      </w:r>
      <w:r>
        <w:rPr>
          <w:rFonts w:ascii="EC Square Sans Pro" w:hAnsi="EC Square Sans Pro"/>
          <w:i/>
          <w:noProof/>
          <w:color w:val="44546A" w:themeColor="text2"/>
          <w:sz w:val="18"/>
          <w:szCs w:val="18"/>
        </w:rPr>
        <w:t>SWD(2020) 98 final.</w:t>
      </w:r>
      <w:r>
        <w:rPr>
          <w:rFonts w:ascii="EC Square Sans Pro" w:hAnsi="EC Square Sans Pro"/>
          <w:i/>
          <w:noProof/>
          <w:color w:val="44546A" w:themeColor="text2"/>
          <w:sz w:val="18"/>
        </w:rPr>
        <w:t xml:space="preserve"> Cifrele au fost rotunjite. </w:t>
      </w:r>
    </w:p>
    <w:p w:rsidR="00C70638" w:rsidRPr="00002E82" w:rsidRDefault="008B65FB" w:rsidP="00D27F3B">
      <w:pPr>
        <w:spacing w:after="240" w:line="240" w:lineRule="auto"/>
        <w:jc w:val="both"/>
        <w:rPr>
          <w:rFonts w:ascii="Times New Roman" w:hAnsi="Times New Roman" w:cs="Times New Roman"/>
          <w:noProof/>
          <w:sz w:val="24"/>
          <w:szCs w:val="24"/>
        </w:rPr>
      </w:pPr>
      <w:r>
        <w:rPr>
          <w:rFonts w:ascii="Times New Roman" w:hAnsi="Times New Roman"/>
          <w:b/>
          <w:noProof/>
          <w:sz w:val="24"/>
          <w:szCs w:val="24"/>
        </w:rPr>
        <w:t xml:space="preserve">Nivelurile investițiilor totale necesare vor rămâne ridicate și în perioada ulterioară anului 2030. </w:t>
      </w:r>
      <w:r>
        <w:rPr>
          <w:rFonts w:ascii="Times New Roman" w:hAnsi="Times New Roman"/>
          <w:noProof/>
          <w:sz w:val="24"/>
          <w:szCs w:val="24"/>
        </w:rPr>
        <w:t>Prin urmare, este important</w:t>
      </w:r>
      <w:r>
        <w:rPr>
          <w:rFonts w:ascii="Times New Roman" w:hAnsi="Times New Roman"/>
          <w:noProof/>
          <w:sz w:val="24"/>
        </w:rPr>
        <w:t xml:space="preserve"> să se instituie </w:t>
      </w:r>
      <w:r>
        <w:rPr>
          <w:rFonts w:ascii="Times New Roman" w:hAnsi="Times New Roman"/>
          <w:noProof/>
          <w:sz w:val="24"/>
          <w:szCs w:val="24"/>
        </w:rPr>
        <w:t>un cadru de politică adecvat care să stimuleze și să faciliteze investițiile</w:t>
      </w:r>
      <w:r>
        <w:rPr>
          <w:rFonts w:ascii="Times New Roman" w:hAnsi="Times New Roman"/>
          <w:noProof/>
          <w:sz w:val="24"/>
        </w:rPr>
        <w:t xml:space="preserve"> în vederea </w:t>
      </w:r>
      <w:r>
        <w:rPr>
          <w:rFonts w:ascii="Times New Roman" w:hAnsi="Times New Roman"/>
          <w:noProof/>
          <w:sz w:val="24"/>
          <w:szCs w:val="24"/>
        </w:rPr>
        <w:t xml:space="preserve">menținerii nivelului de investiții necesar pentru realizarea tranziției </w:t>
      </w:r>
      <w:r>
        <w:rPr>
          <w:rFonts w:ascii="Times New Roman" w:hAnsi="Times New Roman"/>
          <w:noProof/>
          <w:sz w:val="24"/>
        </w:rPr>
        <w:t xml:space="preserve">verzi </w:t>
      </w:r>
      <w:r>
        <w:rPr>
          <w:rFonts w:ascii="Times New Roman" w:hAnsi="Times New Roman"/>
          <w:noProof/>
          <w:sz w:val="24"/>
          <w:szCs w:val="24"/>
        </w:rPr>
        <w:t>până în 2050.</w:t>
      </w:r>
    </w:p>
    <w:p w:rsidR="007E5F4F" w:rsidRPr="00610C4F" w:rsidRDefault="007E5F4F" w:rsidP="007E5F4F">
      <w:pPr>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Trebuie să ne sporim gradul de pregătire în perspectiva unei intensificări a impactului schimbărilor climatice asupra economiei noastre, inclusiv a impactului fizic direct și a consecințelor sale în Europa și în afara acesteia</w:t>
      </w:r>
      <w:r>
        <w:rPr>
          <w:rFonts w:ascii="Times New Roman" w:hAnsi="Times New Roman"/>
          <w:noProof/>
          <w:sz w:val="24"/>
          <w:szCs w:val="24"/>
        </w:rPr>
        <w:t>. Acest lucru poate implica, de exemplu, perturbarea schimburilor comerciale și a transporturilor regulate, dar și evoluții sociale și geopolitice care ar putea fi stimulate de criza climatică sau de tranziția verde și care ar putea afecta economia noastră. Strategia privind adaptarea la schimbările climatice</w:t>
      </w:r>
      <w:r>
        <w:rPr>
          <w:rStyle w:val="FootnoteReference"/>
          <w:rFonts w:ascii="Times New Roman" w:eastAsia="Times New Roman" w:hAnsi="Times New Roman" w:cs="Times New Roman"/>
          <w:noProof/>
          <w:sz w:val="24"/>
          <w:szCs w:val="24"/>
          <w:lang w:eastAsia="en-GB"/>
        </w:rPr>
        <w:footnoteReference w:id="9"/>
      </w:r>
      <w:r>
        <w:rPr>
          <w:rFonts w:ascii="Times New Roman" w:hAnsi="Times New Roman"/>
          <w:noProof/>
          <w:sz w:val="24"/>
          <w:szCs w:val="24"/>
        </w:rPr>
        <w:t xml:space="preserve"> prezintă măsuri de consolidare a rezilienței Europei în această privință, de la o infrastructură rezilientă la schimbările climatice până la limitarea efectelor schimbărilor climatice asupra sănătății umane.</w:t>
      </w:r>
    </w:p>
    <w:p w:rsidR="00C43368" w:rsidRDefault="008611BF" w:rsidP="007E5F4F">
      <w:pPr>
        <w:spacing w:after="240" w:line="240" w:lineRule="auto"/>
        <w:jc w:val="both"/>
        <w:rPr>
          <w:rFonts w:ascii="Times New Roman" w:hAnsi="Times New Roman" w:cs="Times New Roman"/>
          <w:noProof/>
          <w:sz w:val="24"/>
          <w:szCs w:val="24"/>
        </w:rPr>
      </w:pPr>
      <w:r>
        <w:rPr>
          <w:rFonts w:ascii="Times New Roman" w:hAnsi="Times New Roman"/>
          <w:b/>
          <w:noProof/>
          <w:sz w:val="24"/>
          <w:szCs w:val="24"/>
        </w:rPr>
        <w:t>Tranziția digitală va contribui, de asemenea, la realizarea obiectivelor verzi, prin crearea de sinergii în multe domenii ale unei economii circulare inteligente</w:t>
      </w:r>
      <w:r>
        <w:rPr>
          <w:rFonts w:ascii="Times New Roman" w:hAnsi="Times New Roman"/>
          <w:noProof/>
          <w:sz w:val="24"/>
          <w:szCs w:val="24"/>
        </w:rPr>
        <w:t>. Adoptarea de soluții digitale inovatoare poate contribui la atingerea obiectivelor în materie de durabilitate în diferite sectoare ale economiei (de exemplu, clădiri inteligente, sisteme de mobilitate inteligente și durabile, „pașapoartele digitale ale produselor”, agricultura de precizie). În plus, tehnologiile digitale pot sprijini, de asemenea, soluții inovatoare în materie de date care pot contribui la realizarea obiectivelor Pactului verde (de exemplu, un spațiu al datelor privind Pactul verde european, inițiativa „Destinația Pământ”). În același timp, sectorul digital ar trebui să stimuleze adoptarea tehnologiilor cu o amprentă de mediu mai redusă și cu o eficiență energetică și a materialelor mai mare, de exemplu prin promovarea excelenței tehnologice prin intermediul unor semiconductori eficienți din punct de vedere energetic.</w:t>
      </w:r>
    </w:p>
    <w:p w:rsidR="00DF5995" w:rsidRPr="00002E82" w:rsidRDefault="00DF5995" w:rsidP="00002E82">
      <w:pPr>
        <w:pStyle w:val="ListParagraph"/>
        <w:numPr>
          <w:ilvl w:val="1"/>
          <w:numId w:val="1"/>
        </w:numPr>
        <w:spacing w:after="240" w:line="240" w:lineRule="auto"/>
        <w:contextualSpacing w:val="0"/>
        <w:rPr>
          <w:rFonts w:ascii="Times New Roman" w:hAnsi="Times New Roman" w:cs="Times New Roman"/>
          <w:i/>
          <w:smallCaps/>
          <w:noProof/>
          <w:sz w:val="24"/>
          <w:szCs w:val="24"/>
        </w:rPr>
      </w:pPr>
      <w:r>
        <w:rPr>
          <w:rFonts w:ascii="Times New Roman" w:hAnsi="Times New Roman"/>
          <w:i/>
          <w:smallCaps/>
          <w:noProof/>
          <w:sz w:val="24"/>
          <w:szCs w:val="24"/>
        </w:rPr>
        <w:t>Valorificarea oportunităților oferite de deceniul digital al Europei</w:t>
      </w:r>
    </w:p>
    <w:p w:rsidR="004A2377" w:rsidRPr="00002E82" w:rsidRDefault="00DC5313" w:rsidP="00002E82">
      <w:pPr>
        <w:spacing w:after="240" w:line="240" w:lineRule="auto"/>
        <w:jc w:val="both"/>
        <w:rPr>
          <w:rFonts w:ascii="Times New Roman" w:hAnsi="Times New Roman" w:cs="Times New Roman"/>
          <w:noProof/>
          <w:sz w:val="24"/>
          <w:szCs w:val="24"/>
        </w:rPr>
      </w:pPr>
      <w:r>
        <w:rPr>
          <w:rFonts w:ascii="Times New Roman" w:hAnsi="Times New Roman"/>
          <w:b/>
          <w:noProof/>
          <w:sz w:val="24"/>
        </w:rPr>
        <w:t>Pandemia de COVID-19 a accelerat transformarea digitală a societăților noastre și a evidențiat importanța tehnologiilor digitale pentru creșterea economică viitoare a Europei.</w:t>
      </w:r>
      <w:r>
        <w:rPr>
          <w:rFonts w:ascii="Times New Roman" w:hAnsi="Times New Roman"/>
          <w:noProof/>
          <w:sz w:val="24"/>
          <w:szCs w:val="24"/>
        </w:rPr>
        <w:t xml:space="preserve"> Digitalizarea transformă modul în care oamenii studiază, lucrează și se conectează unii cu ceilalți. În același timp, aceasta le permite antreprenorilor să își înființeze și să își dezvolte propria afacere indiferent de locul în care trăiesc, să deschidă piețe și să facă investiții oriunde în Europa și oriunde în lume și să creeze noi locuri de muncă. Trebuie să ne asigurăm că toată lumea poate participa activ la această transformare și poate beneficia de avantajele oferite de aceasta. O transformare digitală echitabilă are potențialul de a spori inovarea și productivitatea economiei UE, oferind noi oportunități pentru cetățeni și pentru întreprinderi.</w:t>
      </w:r>
    </w:p>
    <w:p w:rsidR="009469D4" w:rsidRDefault="00D45A2F" w:rsidP="00002E82">
      <w:pPr>
        <w:spacing w:after="240" w:line="240" w:lineRule="auto"/>
        <w:jc w:val="both"/>
        <w:rPr>
          <w:rFonts w:ascii="Times New Roman" w:hAnsi="Times New Roman" w:cs="Times New Roman"/>
          <w:noProof/>
          <w:sz w:val="24"/>
          <w:szCs w:val="24"/>
        </w:rPr>
      </w:pPr>
      <w:r>
        <w:rPr>
          <w:rFonts w:ascii="Times New Roman" w:hAnsi="Times New Roman"/>
          <w:b/>
          <w:noProof/>
          <w:sz w:val="24"/>
          <w:szCs w:val="24"/>
        </w:rPr>
        <w:t>Busola pentru dimensiunea digitală</w:t>
      </w:r>
      <w:r>
        <w:rPr>
          <w:rStyle w:val="FootnoteReference"/>
          <w:rFonts w:ascii="Times New Roman" w:hAnsi="Times New Roman" w:cs="Times New Roman"/>
          <w:b/>
          <w:noProof/>
          <w:sz w:val="24"/>
          <w:szCs w:val="24"/>
        </w:rPr>
        <w:footnoteReference w:id="10"/>
      </w:r>
      <w:r>
        <w:rPr>
          <w:rFonts w:ascii="Times New Roman" w:hAnsi="Times New Roman"/>
          <w:b/>
          <w:noProof/>
          <w:sz w:val="24"/>
          <w:szCs w:val="24"/>
        </w:rPr>
        <w:t xml:space="preserve"> propusă de Comisie stabilește obiectivele digitale ale Uniunii pentru 2030. </w:t>
      </w:r>
      <w:r>
        <w:rPr>
          <w:rFonts w:ascii="Times New Roman" w:hAnsi="Times New Roman"/>
          <w:noProof/>
          <w:sz w:val="24"/>
          <w:szCs w:val="24"/>
        </w:rPr>
        <w:t>Acestea acoperă patru mari domenii: dezvoltarea educației, aptitudinilor și competențelor digitale, infrastructuri digitale și de conectivitate sigure și durabile, transformarea digitală a întreprinderilor și digitalizarea serviciilor publice și a sistemelor de educație. Pentru a realiza aceste obiective, va trebui să intensificăm investițiile în tehnologiile digitale esențiale, inclusiv în securitatea cibernetică, cloud computing, inteligența artificială, spațiile  datelor, tehnologia blockchain și informatica cuantică și semiconductorii, precum și în competențele relevante. O propunere recentă privind o cale către deceniul digital</w:t>
      </w:r>
      <w:r>
        <w:rPr>
          <w:rStyle w:val="FootnoteReference"/>
          <w:rFonts w:ascii="Times New Roman" w:hAnsi="Times New Roman" w:cs="Times New Roman"/>
          <w:noProof/>
          <w:sz w:val="24"/>
          <w:szCs w:val="24"/>
        </w:rPr>
        <w:footnoteReference w:id="11"/>
      </w:r>
      <w:r>
        <w:rPr>
          <w:rFonts w:ascii="Times New Roman" w:hAnsi="Times New Roman"/>
          <w:noProof/>
          <w:sz w:val="24"/>
          <w:szCs w:val="24"/>
        </w:rPr>
        <w:t xml:space="preserve"> confirmă obiectivele digitale pentru 2030 și stabilește modul în care acestea pot fi atinse. </w:t>
      </w:r>
    </w:p>
    <w:p w:rsidR="005B1B9F" w:rsidRPr="005B1B9F" w:rsidRDefault="00F55B12" w:rsidP="004C7F98">
      <w:pPr>
        <w:spacing w:after="0" w:line="240" w:lineRule="auto"/>
        <w:contextualSpacing/>
        <w:jc w:val="both"/>
        <w:rPr>
          <w:rFonts w:ascii="Times New Roman" w:hAnsi="Times New Roman" w:cs="Times New Roman"/>
          <w:noProof/>
          <w:sz w:val="24"/>
          <w:szCs w:val="24"/>
        </w:rPr>
      </w:pPr>
      <w:r>
        <w:rPr>
          <w:rFonts w:ascii="Times New Roman" w:hAnsi="Times New Roman"/>
          <w:b/>
          <w:noProof/>
          <w:sz w:val="24"/>
          <w:szCs w:val="24"/>
        </w:rPr>
        <w:t>Pentru a realiza</w:t>
      </w:r>
      <w:r>
        <w:rPr>
          <w:rFonts w:ascii="Times New Roman" w:hAnsi="Times New Roman"/>
          <w:b/>
          <w:noProof/>
          <w:sz w:val="24"/>
        </w:rPr>
        <w:t xml:space="preserve"> transformarea digitală </w:t>
      </w:r>
      <w:r>
        <w:rPr>
          <w:rFonts w:ascii="Times New Roman" w:hAnsi="Times New Roman"/>
          <w:b/>
          <w:noProof/>
          <w:sz w:val="24"/>
          <w:szCs w:val="24"/>
        </w:rPr>
        <w:t>a</w:t>
      </w:r>
      <w:r>
        <w:rPr>
          <w:rFonts w:ascii="Times New Roman" w:hAnsi="Times New Roman"/>
          <w:b/>
          <w:noProof/>
          <w:sz w:val="24"/>
        </w:rPr>
        <w:t xml:space="preserve"> Uniunii</w:t>
      </w:r>
      <w:r>
        <w:rPr>
          <w:rFonts w:ascii="Times New Roman" w:hAnsi="Times New Roman"/>
          <w:b/>
          <w:noProof/>
          <w:sz w:val="24"/>
          <w:szCs w:val="24"/>
        </w:rPr>
        <w:t xml:space="preserve">, o estimare din 2020 a indicat că vor fi necesare investiții suplimentare </w:t>
      </w:r>
      <w:r>
        <w:rPr>
          <w:rFonts w:ascii="Times New Roman" w:hAnsi="Times New Roman"/>
          <w:b/>
          <w:noProof/>
          <w:sz w:val="24"/>
        </w:rPr>
        <w:t>de aproximativ 125 de miliarde EUR pe an</w:t>
      </w:r>
      <w:r>
        <w:rPr>
          <w:rStyle w:val="FootnoteReference"/>
          <w:rFonts w:ascii="Times New Roman" w:hAnsi="Times New Roman"/>
          <w:b/>
          <w:noProof/>
          <w:sz w:val="24"/>
          <w:lang w:val="en-IE"/>
        </w:rPr>
        <w:footnoteReference w:id="12"/>
      </w:r>
      <w:r>
        <w:rPr>
          <w:noProof/>
        </w:rPr>
        <w:t>.</w:t>
      </w:r>
      <w:r>
        <w:rPr>
          <w:rFonts w:ascii="Times New Roman" w:hAnsi="Times New Roman"/>
          <w:noProof/>
          <w:sz w:val="24"/>
          <w:szCs w:val="24"/>
        </w:rPr>
        <w:t xml:space="preserve"> Acestea includ investiții în infrastructura digitală, în competențele digitale și în tehnologiile avansate, dar exclud alte dimensiuni, cum ar fi serviciile publice digitale. Tabelul 3 de mai jos prezintă o defalcare a acestui deficit de investiții până în 2030, astfel cum a fost analizat la momentul respectiv pentru fiecare domeniu. </w:t>
      </w:r>
    </w:p>
    <w:p w:rsidR="00274C91" w:rsidRDefault="00274C91" w:rsidP="00C55555">
      <w:pPr>
        <w:spacing w:after="0"/>
        <w:rPr>
          <w:rFonts w:ascii="Times New Roman" w:hAnsi="Times New Roman" w:cs="Times New Roman"/>
          <w:noProof/>
          <w:sz w:val="24"/>
          <w:szCs w:val="24"/>
        </w:rPr>
      </w:pPr>
      <w:r>
        <w:rPr>
          <w:rFonts w:ascii="Times New Roman" w:hAnsi="Times New Roman"/>
          <w:noProof/>
          <w:sz w:val="24"/>
          <w:szCs w:val="24"/>
          <w:lang w:val="en-GB" w:eastAsia="en-GB"/>
        </w:rPr>
        <w:drawing>
          <wp:anchor distT="0" distB="0" distL="114300" distR="114300" simplePos="0" relativeHeight="251664896" behindDoc="1" locked="0" layoutInCell="1" allowOverlap="1" wp14:anchorId="68526607" wp14:editId="6B42DAD4">
            <wp:simplePos x="0" y="0"/>
            <wp:positionH relativeFrom="column">
              <wp:posOffset>0</wp:posOffset>
            </wp:positionH>
            <wp:positionV relativeFrom="paragraph">
              <wp:posOffset>69850</wp:posOffset>
            </wp:positionV>
            <wp:extent cx="516890" cy="492760"/>
            <wp:effectExtent l="0" t="0" r="0" b="2540"/>
            <wp:wrapTight wrapText="bothSides">
              <wp:wrapPolygon edited="0">
                <wp:start x="3980" y="0"/>
                <wp:lineTo x="0" y="5010"/>
                <wp:lineTo x="0" y="20041"/>
                <wp:lineTo x="7961" y="20876"/>
                <wp:lineTo x="17514" y="20876"/>
                <wp:lineTo x="18310" y="20041"/>
                <wp:lineTo x="20698" y="15031"/>
                <wp:lineTo x="20698" y="8351"/>
                <wp:lineTo x="13533" y="0"/>
                <wp:lineTo x="398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16890" cy="492760"/>
                    </a:xfrm>
                    <a:prstGeom prst="rect">
                      <a:avLst/>
                    </a:prstGeom>
                    <a:ln>
                      <a:noFill/>
                    </a:ln>
                  </pic:spPr>
                </pic:pic>
              </a:graphicData>
            </a:graphic>
            <wp14:sizeRelH relativeFrom="margin">
              <wp14:pctWidth>0</wp14:pctWidth>
            </wp14:sizeRelH>
            <wp14:sizeRelV relativeFrom="margin">
              <wp14:pctHeight>0</wp14:pctHeight>
            </wp14:sizeRelV>
          </wp:anchor>
        </w:drawing>
      </w:r>
    </w:p>
    <w:p w:rsidR="005B1B9F" w:rsidRDefault="00660A97" w:rsidP="00C55555">
      <w:pPr>
        <w:spacing w:after="120"/>
        <w:rPr>
          <w:rFonts w:ascii="Times New Roman" w:hAnsi="Times New Roman" w:cs="Times New Roman"/>
          <w:i/>
          <w:noProof/>
          <w:sz w:val="20"/>
          <w:szCs w:val="20"/>
        </w:rPr>
      </w:pPr>
      <w:r>
        <w:rPr>
          <w:rFonts w:ascii="EC Square Sans Pro" w:hAnsi="EC Square Sans Pro"/>
          <w:i/>
          <w:noProof/>
          <w:color w:val="44546A" w:themeColor="text2"/>
        </w:rPr>
        <w:t xml:space="preserve">Tabelul </w:t>
      </w:r>
      <w:r>
        <w:rPr>
          <w:rFonts w:ascii="EC Square Sans Pro" w:hAnsi="EC Square Sans Pro"/>
          <w:i/>
          <w:noProof/>
          <w:color w:val="44546A" w:themeColor="text2"/>
        </w:rPr>
        <w:fldChar w:fldCharType="begin" w:fldLock="1"/>
      </w:r>
      <w:r>
        <w:rPr>
          <w:rFonts w:ascii="EC Square Sans Pro" w:hAnsi="EC Square Sans Pro"/>
          <w:i/>
          <w:noProof/>
          <w:color w:val="44546A" w:themeColor="text2"/>
        </w:rPr>
        <w:instrText xml:space="preserve"> SEQ Table \* ARABIC </w:instrText>
      </w:r>
      <w:r>
        <w:rPr>
          <w:rFonts w:ascii="EC Square Sans Pro" w:hAnsi="EC Square Sans Pro"/>
          <w:i/>
          <w:noProof/>
          <w:color w:val="44546A" w:themeColor="text2"/>
        </w:rPr>
        <w:fldChar w:fldCharType="separate"/>
      </w:r>
      <w:r>
        <w:rPr>
          <w:rFonts w:ascii="EC Square Sans Pro" w:hAnsi="EC Square Sans Pro"/>
          <w:i/>
          <w:noProof/>
          <w:color w:val="44546A" w:themeColor="text2"/>
        </w:rPr>
        <w:t>3</w:t>
      </w:r>
      <w:r>
        <w:rPr>
          <w:rFonts w:ascii="EC Square Sans Pro" w:hAnsi="EC Square Sans Pro"/>
          <w:i/>
          <w:noProof/>
          <w:color w:val="44546A" w:themeColor="text2"/>
        </w:rPr>
        <w:fldChar w:fldCharType="end"/>
      </w:r>
      <w:r>
        <w:rPr>
          <w:rFonts w:ascii="EC Square Sans Pro" w:hAnsi="EC Square Sans Pro"/>
          <w:i/>
          <w:noProof/>
          <w:color w:val="44546A" w:themeColor="text2"/>
        </w:rPr>
        <w:t>: Investiții anuale suplimentare necesare pentru transformarea digitală (miliarde EUR)</w:t>
      </w:r>
    </w:p>
    <w:tbl>
      <w:tblPr>
        <w:tblW w:w="4929" w:type="pct"/>
        <w:jc w:val="center"/>
        <w:tblBorders>
          <w:top w:val="single" w:sz="4" w:space="0" w:color="auto"/>
          <w:bottom w:val="single" w:sz="4" w:space="0" w:color="auto"/>
        </w:tblBorders>
        <w:tblLayout w:type="fixed"/>
        <w:tblCellMar>
          <w:left w:w="70" w:type="dxa"/>
          <w:right w:w="70" w:type="dxa"/>
        </w:tblCellMar>
        <w:tblLook w:val="04A0" w:firstRow="1" w:lastRow="0" w:firstColumn="1" w:lastColumn="0" w:noHBand="0" w:noVBand="1"/>
      </w:tblPr>
      <w:tblGrid>
        <w:gridCol w:w="7325"/>
        <w:gridCol w:w="1711"/>
      </w:tblGrid>
      <w:tr w:rsidR="004C2B59" w:rsidTr="004C2B59">
        <w:trPr>
          <w:trHeight w:val="133"/>
          <w:jc w:val="center"/>
        </w:trPr>
        <w:tc>
          <w:tcPr>
            <w:tcW w:w="4053" w:type="pct"/>
            <w:tcBorders>
              <w:top w:val="single" w:sz="4" w:space="0" w:color="FFFFFF" w:themeColor="background1"/>
              <w:bottom w:val="single" w:sz="4" w:space="0" w:color="808080" w:themeColor="background1" w:themeShade="80"/>
              <w:right w:val="single" w:sz="36" w:space="0" w:color="FFFFFF" w:themeColor="background1"/>
            </w:tcBorders>
            <w:shd w:val="clear" w:color="auto" w:fill="F2F2F2" w:themeFill="background1" w:themeFillShade="F2"/>
            <w:vAlign w:val="center"/>
            <w:hideMark/>
          </w:tcPr>
          <w:p w:rsidR="005B1B9F" w:rsidRPr="00FF3D81" w:rsidRDefault="005B1B9F" w:rsidP="00892770">
            <w:pPr>
              <w:spacing w:after="0" w:line="240" w:lineRule="auto"/>
              <w:rPr>
                <w:rFonts w:ascii="EC Square Sans Pro" w:eastAsia="Times New Roman" w:hAnsi="EC Square Sans Pro" w:cs="Calibri"/>
                <w:noProof/>
                <w:color w:val="000000"/>
                <w:sz w:val="20"/>
                <w:szCs w:val="20"/>
              </w:rPr>
            </w:pPr>
            <w:r>
              <w:rPr>
                <w:rFonts w:ascii="EC Square Sans Pro" w:hAnsi="EC Square Sans Pro"/>
                <w:noProof/>
                <w:color w:val="000000"/>
                <w:sz w:val="20"/>
                <w:szCs w:val="20"/>
              </w:rPr>
              <w:t>Rețele de comunicații</w:t>
            </w:r>
          </w:p>
        </w:tc>
        <w:tc>
          <w:tcPr>
            <w:tcW w:w="947" w:type="pct"/>
            <w:tcBorders>
              <w:top w:val="single" w:sz="4" w:space="0" w:color="FFFFFF" w:themeColor="background1"/>
              <w:left w:val="single" w:sz="36" w:space="0" w:color="FFFFFF" w:themeColor="background1"/>
              <w:bottom w:val="single" w:sz="4" w:space="0" w:color="808080" w:themeColor="background1" w:themeShade="80"/>
            </w:tcBorders>
            <w:shd w:val="clear" w:color="auto" w:fill="F2F2F2" w:themeFill="background1" w:themeFillShade="F2"/>
            <w:noWrap/>
            <w:vAlign w:val="center"/>
            <w:hideMark/>
          </w:tcPr>
          <w:p w:rsidR="005B1B9F" w:rsidRPr="00FF3D81" w:rsidRDefault="005B1B9F" w:rsidP="00892770">
            <w:pPr>
              <w:spacing w:after="0" w:line="240" w:lineRule="auto"/>
              <w:jc w:val="center"/>
              <w:rPr>
                <w:rFonts w:ascii="EC Square Sans Pro" w:eastAsia="Times New Roman" w:hAnsi="EC Square Sans Pro" w:cs="Calibri"/>
                <w:noProof/>
                <w:color w:val="000000"/>
                <w:sz w:val="20"/>
                <w:szCs w:val="20"/>
              </w:rPr>
            </w:pPr>
            <w:r>
              <w:rPr>
                <w:rFonts w:ascii="EC Square Sans Pro" w:hAnsi="EC Square Sans Pro"/>
                <w:noProof/>
                <w:color w:val="000000"/>
                <w:sz w:val="20"/>
                <w:szCs w:val="20"/>
              </w:rPr>
              <w:t>42</w:t>
            </w:r>
          </w:p>
        </w:tc>
      </w:tr>
      <w:tr w:rsidR="004C2B59" w:rsidTr="004C2B59">
        <w:trPr>
          <w:trHeight w:val="120"/>
          <w:jc w:val="center"/>
        </w:trPr>
        <w:tc>
          <w:tcPr>
            <w:tcW w:w="4053" w:type="pct"/>
            <w:tcBorders>
              <w:top w:val="single" w:sz="4" w:space="0" w:color="808080" w:themeColor="background1" w:themeShade="80"/>
              <w:bottom w:val="single" w:sz="4" w:space="0" w:color="808080" w:themeColor="background1" w:themeShade="80"/>
              <w:right w:val="single" w:sz="36" w:space="0" w:color="FFFFFF" w:themeColor="background1"/>
            </w:tcBorders>
            <w:shd w:val="clear" w:color="auto" w:fill="F2F2F2" w:themeFill="background1" w:themeFillShade="F2"/>
            <w:vAlign w:val="center"/>
            <w:hideMark/>
          </w:tcPr>
          <w:p w:rsidR="005B1B9F" w:rsidRPr="00FF3D81" w:rsidRDefault="005B1B9F" w:rsidP="00892770">
            <w:pPr>
              <w:spacing w:after="0" w:line="240" w:lineRule="auto"/>
              <w:rPr>
                <w:rFonts w:ascii="EC Square Sans Pro" w:eastAsia="Times New Roman" w:hAnsi="EC Square Sans Pro" w:cs="Calibri"/>
                <w:noProof/>
                <w:color w:val="000000"/>
                <w:sz w:val="20"/>
                <w:szCs w:val="20"/>
              </w:rPr>
            </w:pPr>
            <w:r>
              <w:rPr>
                <w:rFonts w:ascii="EC Square Sans Pro" w:hAnsi="EC Square Sans Pro"/>
                <w:noProof/>
                <w:color w:val="000000"/>
                <w:sz w:val="20"/>
                <w:szCs w:val="20"/>
              </w:rPr>
              <w:t xml:space="preserve">Competențe digitale </w:t>
            </w:r>
          </w:p>
        </w:tc>
        <w:tc>
          <w:tcPr>
            <w:tcW w:w="947" w:type="pct"/>
            <w:tcBorders>
              <w:top w:val="single" w:sz="4" w:space="0" w:color="808080" w:themeColor="background1" w:themeShade="80"/>
              <w:left w:val="single" w:sz="36" w:space="0" w:color="FFFFFF" w:themeColor="background1"/>
              <w:bottom w:val="single" w:sz="4" w:space="0" w:color="808080" w:themeColor="background1" w:themeShade="80"/>
            </w:tcBorders>
            <w:shd w:val="clear" w:color="auto" w:fill="F2F2F2" w:themeFill="background1" w:themeFillShade="F2"/>
            <w:noWrap/>
            <w:vAlign w:val="center"/>
            <w:hideMark/>
          </w:tcPr>
          <w:p w:rsidR="005B1B9F" w:rsidRPr="00FF3D81" w:rsidRDefault="005B1B9F" w:rsidP="00892770">
            <w:pPr>
              <w:spacing w:after="0" w:line="240" w:lineRule="auto"/>
              <w:jc w:val="center"/>
              <w:rPr>
                <w:rFonts w:ascii="EC Square Sans Pro" w:eastAsia="Times New Roman" w:hAnsi="EC Square Sans Pro" w:cs="Calibri"/>
                <w:noProof/>
                <w:color w:val="000000"/>
                <w:sz w:val="20"/>
                <w:szCs w:val="20"/>
              </w:rPr>
            </w:pPr>
            <w:r>
              <w:rPr>
                <w:rFonts w:ascii="EC Square Sans Pro" w:hAnsi="EC Square Sans Pro"/>
                <w:noProof/>
                <w:color w:val="000000"/>
                <w:sz w:val="20"/>
                <w:szCs w:val="20"/>
              </w:rPr>
              <w:t>9</w:t>
            </w:r>
          </w:p>
        </w:tc>
      </w:tr>
      <w:tr w:rsidR="004C2B59" w:rsidTr="004C2B59">
        <w:trPr>
          <w:trHeight w:val="120"/>
          <w:jc w:val="center"/>
        </w:trPr>
        <w:tc>
          <w:tcPr>
            <w:tcW w:w="4053" w:type="pct"/>
            <w:tcBorders>
              <w:top w:val="single" w:sz="4" w:space="0" w:color="808080" w:themeColor="background1" w:themeShade="80"/>
              <w:bottom w:val="single" w:sz="4" w:space="0" w:color="808080" w:themeColor="background1" w:themeShade="80"/>
              <w:right w:val="single" w:sz="36" w:space="0" w:color="FFFFFF" w:themeColor="background1"/>
            </w:tcBorders>
            <w:shd w:val="clear" w:color="auto" w:fill="F2F2F2" w:themeFill="background1" w:themeFillShade="F2"/>
            <w:vAlign w:val="center"/>
            <w:hideMark/>
          </w:tcPr>
          <w:p w:rsidR="005B1B9F" w:rsidRPr="00FF3D81" w:rsidRDefault="005B1B9F" w:rsidP="00892770">
            <w:pPr>
              <w:spacing w:after="0" w:line="240" w:lineRule="auto"/>
              <w:rPr>
                <w:rFonts w:ascii="EC Square Sans Pro" w:eastAsia="Times New Roman" w:hAnsi="EC Square Sans Pro" w:cs="Calibri"/>
                <w:noProof/>
                <w:color w:val="000000"/>
                <w:sz w:val="20"/>
                <w:szCs w:val="20"/>
              </w:rPr>
            </w:pPr>
            <w:r>
              <w:rPr>
                <w:rFonts w:ascii="EC Square Sans Pro" w:hAnsi="EC Square Sans Pro"/>
                <w:noProof/>
                <w:color w:val="000000"/>
                <w:sz w:val="20"/>
                <w:szCs w:val="20"/>
              </w:rPr>
              <w:t>Inteligență artificială</w:t>
            </w:r>
          </w:p>
        </w:tc>
        <w:tc>
          <w:tcPr>
            <w:tcW w:w="947" w:type="pct"/>
            <w:tcBorders>
              <w:top w:val="single" w:sz="4" w:space="0" w:color="808080" w:themeColor="background1" w:themeShade="80"/>
              <w:left w:val="single" w:sz="36" w:space="0" w:color="FFFFFF" w:themeColor="background1"/>
              <w:bottom w:val="single" w:sz="4" w:space="0" w:color="808080" w:themeColor="background1" w:themeShade="80"/>
            </w:tcBorders>
            <w:shd w:val="clear" w:color="auto" w:fill="F2F2F2" w:themeFill="background1" w:themeFillShade="F2"/>
            <w:noWrap/>
            <w:vAlign w:val="center"/>
            <w:hideMark/>
          </w:tcPr>
          <w:p w:rsidR="005B1B9F" w:rsidRPr="00FF3D81" w:rsidRDefault="005B1B9F" w:rsidP="00892770">
            <w:pPr>
              <w:spacing w:after="0" w:line="240" w:lineRule="auto"/>
              <w:jc w:val="center"/>
              <w:rPr>
                <w:rFonts w:ascii="EC Square Sans Pro" w:eastAsia="Times New Roman" w:hAnsi="EC Square Sans Pro" w:cs="Calibri"/>
                <w:noProof/>
                <w:color w:val="000000"/>
                <w:sz w:val="20"/>
                <w:szCs w:val="20"/>
              </w:rPr>
            </w:pPr>
            <w:r>
              <w:rPr>
                <w:rFonts w:ascii="EC Square Sans Pro" w:hAnsi="EC Square Sans Pro"/>
                <w:noProof/>
                <w:color w:val="000000"/>
                <w:sz w:val="20"/>
                <w:szCs w:val="20"/>
              </w:rPr>
              <w:t>20</w:t>
            </w:r>
          </w:p>
        </w:tc>
      </w:tr>
      <w:tr w:rsidR="004C2B59" w:rsidTr="004C2B59">
        <w:trPr>
          <w:trHeight w:val="120"/>
          <w:jc w:val="center"/>
        </w:trPr>
        <w:tc>
          <w:tcPr>
            <w:tcW w:w="4053" w:type="pct"/>
            <w:tcBorders>
              <w:top w:val="single" w:sz="4" w:space="0" w:color="808080" w:themeColor="background1" w:themeShade="80"/>
              <w:bottom w:val="single" w:sz="4" w:space="0" w:color="808080" w:themeColor="background1" w:themeShade="80"/>
              <w:right w:val="single" w:sz="36" w:space="0" w:color="FFFFFF" w:themeColor="background1"/>
            </w:tcBorders>
            <w:shd w:val="clear" w:color="auto" w:fill="F2F2F2" w:themeFill="background1" w:themeFillShade="F2"/>
            <w:vAlign w:val="center"/>
            <w:hideMark/>
          </w:tcPr>
          <w:p w:rsidR="005B1B9F" w:rsidRPr="00FF3D81" w:rsidRDefault="005B1B9F" w:rsidP="00892770">
            <w:pPr>
              <w:spacing w:after="0" w:line="240" w:lineRule="auto"/>
              <w:rPr>
                <w:rFonts w:ascii="EC Square Sans Pro" w:eastAsia="Times New Roman" w:hAnsi="EC Square Sans Pro" w:cs="Calibri"/>
                <w:noProof/>
                <w:color w:val="000000"/>
                <w:sz w:val="20"/>
                <w:szCs w:val="20"/>
              </w:rPr>
            </w:pPr>
            <w:r>
              <w:rPr>
                <w:rFonts w:ascii="EC Square Sans Pro" w:hAnsi="EC Square Sans Pro"/>
                <w:noProof/>
                <w:color w:val="000000"/>
                <w:sz w:val="20"/>
                <w:szCs w:val="20"/>
              </w:rPr>
              <w:t>Cloud computing</w:t>
            </w:r>
          </w:p>
        </w:tc>
        <w:tc>
          <w:tcPr>
            <w:tcW w:w="947" w:type="pct"/>
            <w:tcBorders>
              <w:top w:val="single" w:sz="4" w:space="0" w:color="808080" w:themeColor="background1" w:themeShade="80"/>
              <w:left w:val="single" w:sz="36" w:space="0" w:color="FFFFFF" w:themeColor="background1"/>
              <w:bottom w:val="single" w:sz="4" w:space="0" w:color="808080" w:themeColor="background1" w:themeShade="80"/>
            </w:tcBorders>
            <w:shd w:val="clear" w:color="auto" w:fill="F2F2F2" w:themeFill="background1" w:themeFillShade="F2"/>
            <w:noWrap/>
            <w:vAlign w:val="center"/>
            <w:hideMark/>
          </w:tcPr>
          <w:p w:rsidR="005B1B9F" w:rsidRPr="00FF3D81" w:rsidRDefault="005B1B9F" w:rsidP="00892770">
            <w:pPr>
              <w:spacing w:after="0" w:line="240" w:lineRule="auto"/>
              <w:jc w:val="center"/>
              <w:rPr>
                <w:rFonts w:ascii="EC Square Sans Pro" w:eastAsia="Times New Roman" w:hAnsi="EC Square Sans Pro" w:cs="Calibri"/>
                <w:noProof/>
                <w:color w:val="000000"/>
                <w:sz w:val="20"/>
                <w:szCs w:val="20"/>
              </w:rPr>
            </w:pPr>
            <w:r>
              <w:rPr>
                <w:rFonts w:ascii="EC Square Sans Pro" w:hAnsi="EC Square Sans Pro"/>
                <w:noProof/>
                <w:color w:val="000000"/>
                <w:sz w:val="20"/>
                <w:szCs w:val="20"/>
              </w:rPr>
              <w:t>11</w:t>
            </w:r>
          </w:p>
        </w:tc>
      </w:tr>
      <w:tr w:rsidR="004C2B59" w:rsidTr="004C2B59">
        <w:trPr>
          <w:trHeight w:val="120"/>
          <w:jc w:val="center"/>
        </w:trPr>
        <w:tc>
          <w:tcPr>
            <w:tcW w:w="4053" w:type="pct"/>
            <w:tcBorders>
              <w:top w:val="single" w:sz="4" w:space="0" w:color="808080" w:themeColor="background1" w:themeShade="80"/>
              <w:bottom w:val="single" w:sz="4" w:space="0" w:color="808080" w:themeColor="background1" w:themeShade="80"/>
              <w:right w:val="single" w:sz="36" w:space="0" w:color="FFFFFF" w:themeColor="background1"/>
            </w:tcBorders>
            <w:shd w:val="clear" w:color="auto" w:fill="F2F2F2" w:themeFill="background1" w:themeFillShade="F2"/>
            <w:vAlign w:val="center"/>
            <w:hideMark/>
          </w:tcPr>
          <w:p w:rsidR="005B1B9F" w:rsidRPr="00FF3D81" w:rsidRDefault="005B1B9F" w:rsidP="00892770">
            <w:pPr>
              <w:spacing w:after="0" w:line="240" w:lineRule="auto"/>
              <w:rPr>
                <w:rFonts w:ascii="EC Square Sans Pro" w:eastAsia="Times New Roman" w:hAnsi="EC Square Sans Pro" w:cs="Calibri"/>
                <w:noProof/>
                <w:color w:val="000000"/>
                <w:sz w:val="20"/>
                <w:szCs w:val="20"/>
              </w:rPr>
            </w:pPr>
            <w:r>
              <w:rPr>
                <w:rFonts w:ascii="EC Square Sans Pro" w:hAnsi="EC Square Sans Pro"/>
                <w:noProof/>
                <w:color w:val="000000"/>
                <w:sz w:val="20"/>
                <w:szCs w:val="20"/>
              </w:rPr>
              <w:t>Semiconductori/fotonică</w:t>
            </w:r>
          </w:p>
        </w:tc>
        <w:tc>
          <w:tcPr>
            <w:tcW w:w="947" w:type="pct"/>
            <w:tcBorders>
              <w:top w:val="single" w:sz="4" w:space="0" w:color="808080" w:themeColor="background1" w:themeShade="80"/>
              <w:left w:val="single" w:sz="36" w:space="0" w:color="FFFFFF" w:themeColor="background1"/>
              <w:bottom w:val="single" w:sz="4" w:space="0" w:color="808080" w:themeColor="background1" w:themeShade="80"/>
            </w:tcBorders>
            <w:shd w:val="clear" w:color="auto" w:fill="F2F2F2" w:themeFill="background1" w:themeFillShade="F2"/>
            <w:vAlign w:val="center"/>
            <w:hideMark/>
          </w:tcPr>
          <w:p w:rsidR="005B1B9F" w:rsidRPr="00FF3D81" w:rsidRDefault="005B1B9F" w:rsidP="00892770">
            <w:pPr>
              <w:spacing w:after="0" w:line="240" w:lineRule="auto"/>
              <w:jc w:val="center"/>
              <w:rPr>
                <w:rFonts w:ascii="EC Square Sans Pro" w:eastAsia="Times New Roman" w:hAnsi="EC Square Sans Pro" w:cs="Calibri"/>
                <w:noProof/>
                <w:color w:val="000000"/>
                <w:sz w:val="20"/>
                <w:szCs w:val="20"/>
              </w:rPr>
            </w:pPr>
            <w:r>
              <w:rPr>
                <w:rFonts w:ascii="EC Square Sans Pro" w:hAnsi="EC Square Sans Pro"/>
                <w:noProof/>
                <w:color w:val="000000"/>
                <w:sz w:val="20"/>
                <w:szCs w:val="20"/>
              </w:rPr>
              <w:t>17</w:t>
            </w:r>
          </w:p>
        </w:tc>
      </w:tr>
      <w:tr w:rsidR="004C2B59" w:rsidTr="004C2B59">
        <w:trPr>
          <w:trHeight w:val="120"/>
          <w:jc w:val="center"/>
        </w:trPr>
        <w:tc>
          <w:tcPr>
            <w:tcW w:w="4053" w:type="pct"/>
            <w:tcBorders>
              <w:top w:val="single" w:sz="4" w:space="0" w:color="808080" w:themeColor="background1" w:themeShade="80"/>
              <w:bottom w:val="single" w:sz="4" w:space="0" w:color="808080" w:themeColor="background1" w:themeShade="80"/>
              <w:right w:val="single" w:sz="36" w:space="0" w:color="FFFFFF" w:themeColor="background1"/>
            </w:tcBorders>
            <w:shd w:val="clear" w:color="auto" w:fill="F2F2F2" w:themeFill="background1" w:themeFillShade="F2"/>
            <w:vAlign w:val="center"/>
            <w:hideMark/>
          </w:tcPr>
          <w:p w:rsidR="005B1B9F" w:rsidRPr="00FF3D81" w:rsidRDefault="005B1B9F" w:rsidP="00892770">
            <w:pPr>
              <w:spacing w:after="0" w:line="240" w:lineRule="auto"/>
              <w:rPr>
                <w:rFonts w:ascii="EC Square Sans Pro" w:eastAsia="Times New Roman" w:hAnsi="EC Square Sans Pro" w:cs="Calibri"/>
                <w:noProof/>
                <w:color w:val="000000"/>
                <w:sz w:val="20"/>
                <w:szCs w:val="20"/>
              </w:rPr>
            </w:pPr>
            <w:r>
              <w:rPr>
                <w:rFonts w:ascii="EC Square Sans Pro" w:hAnsi="EC Square Sans Pro"/>
                <w:noProof/>
                <w:color w:val="000000"/>
                <w:sz w:val="20"/>
                <w:szCs w:val="20"/>
              </w:rPr>
              <w:t>Securitate cibernetică</w:t>
            </w:r>
          </w:p>
        </w:tc>
        <w:tc>
          <w:tcPr>
            <w:tcW w:w="947" w:type="pct"/>
            <w:tcBorders>
              <w:top w:val="single" w:sz="4" w:space="0" w:color="808080" w:themeColor="background1" w:themeShade="80"/>
              <w:left w:val="single" w:sz="36" w:space="0" w:color="FFFFFF" w:themeColor="background1"/>
              <w:bottom w:val="single" w:sz="4" w:space="0" w:color="808080" w:themeColor="background1" w:themeShade="80"/>
            </w:tcBorders>
            <w:shd w:val="clear" w:color="auto" w:fill="F2F2F2" w:themeFill="background1" w:themeFillShade="F2"/>
            <w:noWrap/>
            <w:vAlign w:val="center"/>
            <w:hideMark/>
          </w:tcPr>
          <w:p w:rsidR="005B1B9F" w:rsidRPr="00FF3D81" w:rsidRDefault="005B1B9F" w:rsidP="00892770">
            <w:pPr>
              <w:spacing w:after="0" w:line="240" w:lineRule="auto"/>
              <w:jc w:val="center"/>
              <w:rPr>
                <w:rFonts w:ascii="EC Square Sans Pro" w:eastAsia="Times New Roman" w:hAnsi="EC Square Sans Pro" w:cs="Calibri"/>
                <w:noProof/>
                <w:color w:val="000000"/>
                <w:sz w:val="20"/>
                <w:szCs w:val="20"/>
              </w:rPr>
            </w:pPr>
            <w:r>
              <w:rPr>
                <w:rFonts w:ascii="EC Square Sans Pro" w:hAnsi="EC Square Sans Pro"/>
                <w:noProof/>
                <w:color w:val="000000"/>
                <w:sz w:val="20"/>
                <w:szCs w:val="20"/>
              </w:rPr>
              <w:t>3</w:t>
            </w:r>
          </w:p>
        </w:tc>
      </w:tr>
      <w:tr w:rsidR="004C2B59" w:rsidTr="004C2B59">
        <w:trPr>
          <w:trHeight w:val="120"/>
          <w:jc w:val="center"/>
        </w:trPr>
        <w:tc>
          <w:tcPr>
            <w:tcW w:w="4053" w:type="pct"/>
            <w:tcBorders>
              <w:top w:val="single" w:sz="4" w:space="0" w:color="808080" w:themeColor="background1" w:themeShade="80"/>
              <w:bottom w:val="single" w:sz="4" w:space="0" w:color="808080" w:themeColor="background1" w:themeShade="80"/>
              <w:right w:val="single" w:sz="36" w:space="0" w:color="FFFFFF" w:themeColor="background1"/>
            </w:tcBorders>
            <w:shd w:val="clear" w:color="auto" w:fill="F2F2F2" w:themeFill="background1" w:themeFillShade="F2"/>
            <w:vAlign w:val="center"/>
            <w:hideMark/>
          </w:tcPr>
          <w:p w:rsidR="005B1B9F" w:rsidRPr="00FF3D81" w:rsidRDefault="005B1B9F" w:rsidP="00892770">
            <w:pPr>
              <w:spacing w:after="0" w:line="240" w:lineRule="auto"/>
              <w:rPr>
                <w:rFonts w:ascii="EC Square Sans Pro" w:eastAsia="Times New Roman" w:hAnsi="EC Square Sans Pro" w:cs="Calibri"/>
                <w:noProof/>
                <w:color w:val="000000"/>
                <w:sz w:val="20"/>
                <w:szCs w:val="20"/>
              </w:rPr>
            </w:pPr>
            <w:r>
              <w:rPr>
                <w:rFonts w:ascii="EC Square Sans Pro" w:hAnsi="EC Square Sans Pro"/>
                <w:noProof/>
                <w:color w:val="000000"/>
                <w:sz w:val="20"/>
                <w:szCs w:val="20"/>
              </w:rPr>
              <w:t>Tehnologii digitale verzi</w:t>
            </w:r>
          </w:p>
        </w:tc>
        <w:tc>
          <w:tcPr>
            <w:tcW w:w="947" w:type="pct"/>
            <w:tcBorders>
              <w:top w:val="single" w:sz="4" w:space="0" w:color="808080" w:themeColor="background1" w:themeShade="80"/>
              <w:left w:val="single" w:sz="36" w:space="0" w:color="FFFFFF" w:themeColor="background1"/>
              <w:bottom w:val="single" w:sz="4" w:space="0" w:color="808080" w:themeColor="background1" w:themeShade="80"/>
            </w:tcBorders>
            <w:shd w:val="clear" w:color="auto" w:fill="F2F2F2" w:themeFill="background1" w:themeFillShade="F2"/>
            <w:noWrap/>
            <w:vAlign w:val="center"/>
            <w:hideMark/>
          </w:tcPr>
          <w:p w:rsidR="005B1B9F" w:rsidRPr="00FF3D81" w:rsidRDefault="005B1B9F" w:rsidP="00892770">
            <w:pPr>
              <w:spacing w:after="0" w:line="240" w:lineRule="auto"/>
              <w:jc w:val="center"/>
              <w:rPr>
                <w:rFonts w:ascii="EC Square Sans Pro" w:eastAsia="Times New Roman" w:hAnsi="EC Square Sans Pro" w:cs="Calibri"/>
                <w:noProof/>
                <w:color w:val="000000"/>
                <w:sz w:val="20"/>
                <w:szCs w:val="20"/>
              </w:rPr>
            </w:pPr>
            <w:r>
              <w:rPr>
                <w:rFonts w:ascii="EC Square Sans Pro" w:hAnsi="EC Square Sans Pro"/>
                <w:noProof/>
                <w:color w:val="000000"/>
                <w:sz w:val="20"/>
                <w:szCs w:val="20"/>
              </w:rPr>
              <w:t>6</w:t>
            </w:r>
          </w:p>
        </w:tc>
      </w:tr>
      <w:tr w:rsidR="004C2B59" w:rsidTr="004C2B59">
        <w:trPr>
          <w:trHeight w:val="120"/>
          <w:jc w:val="center"/>
        </w:trPr>
        <w:tc>
          <w:tcPr>
            <w:tcW w:w="4053" w:type="pct"/>
            <w:tcBorders>
              <w:top w:val="single" w:sz="4" w:space="0" w:color="808080" w:themeColor="background1" w:themeShade="80"/>
              <w:bottom w:val="single" w:sz="4" w:space="0" w:color="808080" w:themeColor="background1" w:themeShade="80"/>
              <w:right w:val="single" w:sz="36" w:space="0" w:color="FFFFFF" w:themeColor="background1"/>
            </w:tcBorders>
            <w:shd w:val="clear" w:color="auto" w:fill="F2F2F2" w:themeFill="background1" w:themeFillShade="F2"/>
            <w:vAlign w:val="center"/>
            <w:hideMark/>
          </w:tcPr>
          <w:p w:rsidR="005B1B9F" w:rsidRPr="00FF3D81" w:rsidRDefault="005B1B9F" w:rsidP="00892770">
            <w:pPr>
              <w:spacing w:after="0" w:line="240" w:lineRule="auto"/>
              <w:rPr>
                <w:rFonts w:ascii="EC Square Sans Pro" w:eastAsia="Times New Roman" w:hAnsi="EC Square Sans Pro" w:cs="Calibri"/>
                <w:noProof/>
                <w:color w:val="000000"/>
                <w:sz w:val="20"/>
                <w:szCs w:val="20"/>
              </w:rPr>
            </w:pPr>
            <w:r>
              <w:rPr>
                <w:rFonts w:ascii="EC Square Sans Pro" w:hAnsi="EC Square Sans Pro"/>
                <w:noProof/>
                <w:color w:val="000000"/>
                <w:sz w:val="20"/>
                <w:szCs w:val="20"/>
              </w:rPr>
              <w:t>Calcul de mare performanță, grafen și informatică cuantică</w:t>
            </w:r>
          </w:p>
        </w:tc>
        <w:tc>
          <w:tcPr>
            <w:tcW w:w="947" w:type="pct"/>
            <w:tcBorders>
              <w:top w:val="single" w:sz="4" w:space="0" w:color="808080" w:themeColor="background1" w:themeShade="80"/>
              <w:left w:val="single" w:sz="36" w:space="0" w:color="FFFFFF" w:themeColor="background1"/>
              <w:bottom w:val="single" w:sz="4" w:space="0" w:color="808080" w:themeColor="background1" w:themeShade="80"/>
            </w:tcBorders>
            <w:shd w:val="clear" w:color="auto" w:fill="F2F2F2" w:themeFill="background1" w:themeFillShade="F2"/>
            <w:noWrap/>
            <w:vAlign w:val="center"/>
            <w:hideMark/>
          </w:tcPr>
          <w:p w:rsidR="005B1B9F" w:rsidRPr="00FF3D81" w:rsidRDefault="005B1B9F" w:rsidP="00892770">
            <w:pPr>
              <w:spacing w:after="0" w:line="240" w:lineRule="auto"/>
              <w:jc w:val="center"/>
              <w:rPr>
                <w:rFonts w:ascii="EC Square Sans Pro" w:eastAsia="Times New Roman" w:hAnsi="EC Square Sans Pro" w:cs="Calibri"/>
                <w:noProof/>
                <w:color w:val="000000"/>
                <w:sz w:val="20"/>
                <w:szCs w:val="20"/>
              </w:rPr>
            </w:pPr>
            <w:r>
              <w:rPr>
                <w:rFonts w:ascii="EC Square Sans Pro" w:hAnsi="EC Square Sans Pro"/>
                <w:noProof/>
                <w:color w:val="000000"/>
                <w:sz w:val="20"/>
                <w:szCs w:val="20"/>
              </w:rPr>
              <w:t>6</w:t>
            </w:r>
          </w:p>
        </w:tc>
      </w:tr>
      <w:tr w:rsidR="004C2B59" w:rsidTr="004C2B59">
        <w:trPr>
          <w:trHeight w:val="120"/>
          <w:jc w:val="center"/>
        </w:trPr>
        <w:tc>
          <w:tcPr>
            <w:tcW w:w="4053" w:type="pct"/>
            <w:tcBorders>
              <w:top w:val="single" w:sz="4" w:space="0" w:color="808080" w:themeColor="background1" w:themeShade="80"/>
              <w:bottom w:val="single" w:sz="4" w:space="0" w:color="808080" w:themeColor="background1" w:themeShade="80"/>
              <w:right w:val="single" w:sz="36" w:space="0" w:color="FFFFFF" w:themeColor="background1"/>
            </w:tcBorders>
            <w:shd w:val="clear" w:color="auto" w:fill="F2F2F2" w:themeFill="background1" w:themeFillShade="F2"/>
            <w:vAlign w:val="center"/>
            <w:hideMark/>
          </w:tcPr>
          <w:p w:rsidR="005B1B9F" w:rsidRPr="00FF3D81" w:rsidRDefault="005B1B9F" w:rsidP="00892770">
            <w:pPr>
              <w:spacing w:after="0" w:line="240" w:lineRule="auto"/>
              <w:rPr>
                <w:rFonts w:ascii="EC Square Sans Pro" w:eastAsia="Times New Roman" w:hAnsi="EC Square Sans Pro" w:cs="Calibri"/>
                <w:noProof/>
                <w:color w:val="000000"/>
                <w:sz w:val="20"/>
                <w:szCs w:val="20"/>
              </w:rPr>
            </w:pPr>
            <w:r>
              <w:rPr>
                <w:rFonts w:ascii="EC Square Sans Pro" w:hAnsi="EC Square Sans Pro"/>
                <w:noProof/>
                <w:color w:val="000000"/>
                <w:sz w:val="20"/>
                <w:szCs w:val="20"/>
              </w:rPr>
              <w:t>Tehnologia blockchain</w:t>
            </w:r>
          </w:p>
        </w:tc>
        <w:tc>
          <w:tcPr>
            <w:tcW w:w="947" w:type="pct"/>
            <w:tcBorders>
              <w:top w:val="single" w:sz="4" w:space="0" w:color="808080" w:themeColor="background1" w:themeShade="80"/>
              <w:left w:val="single" w:sz="36" w:space="0" w:color="FFFFFF" w:themeColor="background1"/>
              <w:bottom w:val="single" w:sz="4" w:space="0" w:color="808080" w:themeColor="background1" w:themeShade="80"/>
            </w:tcBorders>
            <w:shd w:val="clear" w:color="auto" w:fill="F2F2F2" w:themeFill="background1" w:themeFillShade="F2"/>
            <w:vAlign w:val="center"/>
            <w:hideMark/>
          </w:tcPr>
          <w:p w:rsidR="005B1B9F" w:rsidRPr="00FF3D81" w:rsidRDefault="005B1B9F" w:rsidP="00892770">
            <w:pPr>
              <w:spacing w:after="0" w:line="240" w:lineRule="auto"/>
              <w:jc w:val="center"/>
              <w:rPr>
                <w:rFonts w:ascii="EC Square Sans Pro" w:eastAsia="Times New Roman" w:hAnsi="EC Square Sans Pro" w:cs="Calibri"/>
                <w:noProof/>
                <w:color w:val="000000"/>
                <w:sz w:val="20"/>
                <w:szCs w:val="20"/>
              </w:rPr>
            </w:pPr>
            <w:r>
              <w:rPr>
                <w:rFonts w:ascii="EC Square Sans Pro" w:hAnsi="EC Square Sans Pro"/>
                <w:noProof/>
                <w:color w:val="000000"/>
                <w:sz w:val="20"/>
                <w:szCs w:val="20"/>
              </w:rPr>
              <w:t>3</w:t>
            </w:r>
          </w:p>
        </w:tc>
      </w:tr>
      <w:tr w:rsidR="004C2B59" w:rsidTr="004C2B59">
        <w:trPr>
          <w:trHeight w:val="120"/>
          <w:jc w:val="center"/>
        </w:trPr>
        <w:tc>
          <w:tcPr>
            <w:tcW w:w="4053" w:type="pct"/>
            <w:tcBorders>
              <w:top w:val="single" w:sz="4" w:space="0" w:color="808080" w:themeColor="background1" w:themeShade="80"/>
              <w:bottom w:val="single" w:sz="4" w:space="0" w:color="808080" w:themeColor="background1" w:themeShade="80"/>
              <w:right w:val="single" w:sz="36" w:space="0" w:color="FFFFFF" w:themeColor="background1"/>
            </w:tcBorders>
            <w:shd w:val="clear" w:color="auto" w:fill="F2F2F2" w:themeFill="background1" w:themeFillShade="F2"/>
            <w:vAlign w:val="center"/>
            <w:hideMark/>
          </w:tcPr>
          <w:p w:rsidR="005B1B9F" w:rsidRPr="00FF3D81" w:rsidRDefault="005B1B9F" w:rsidP="00892770">
            <w:pPr>
              <w:spacing w:after="0" w:line="240" w:lineRule="auto"/>
              <w:rPr>
                <w:rFonts w:ascii="EC Square Sans Pro" w:eastAsia="Times New Roman" w:hAnsi="EC Square Sans Pro" w:cs="Calibri"/>
                <w:bCs/>
                <w:noProof/>
                <w:color w:val="000000"/>
                <w:sz w:val="20"/>
                <w:szCs w:val="20"/>
              </w:rPr>
            </w:pPr>
            <w:r>
              <w:rPr>
                <w:rFonts w:ascii="EC Square Sans Pro" w:hAnsi="EC Square Sans Pro"/>
                <w:bCs/>
                <w:noProof/>
                <w:color w:val="000000"/>
                <w:sz w:val="20"/>
                <w:szCs w:val="20"/>
              </w:rPr>
              <w:t>Spații europene comune ale datelor</w:t>
            </w:r>
          </w:p>
        </w:tc>
        <w:tc>
          <w:tcPr>
            <w:tcW w:w="947" w:type="pct"/>
            <w:tcBorders>
              <w:top w:val="single" w:sz="4" w:space="0" w:color="808080" w:themeColor="background1" w:themeShade="80"/>
              <w:left w:val="single" w:sz="36" w:space="0" w:color="FFFFFF" w:themeColor="background1"/>
              <w:bottom w:val="single" w:sz="4" w:space="0" w:color="808080" w:themeColor="background1" w:themeShade="80"/>
            </w:tcBorders>
            <w:shd w:val="clear" w:color="auto" w:fill="F2F2F2" w:themeFill="background1" w:themeFillShade="F2"/>
            <w:vAlign w:val="center"/>
            <w:hideMark/>
          </w:tcPr>
          <w:p w:rsidR="005B1B9F" w:rsidRPr="00FF3D81" w:rsidRDefault="005B1B9F" w:rsidP="00892770">
            <w:pPr>
              <w:spacing w:after="0" w:line="240" w:lineRule="auto"/>
              <w:jc w:val="center"/>
              <w:rPr>
                <w:rFonts w:ascii="EC Square Sans Pro" w:eastAsia="Times New Roman" w:hAnsi="EC Square Sans Pro" w:cs="Calibri"/>
                <w:bCs/>
                <w:noProof/>
                <w:color w:val="000000"/>
                <w:sz w:val="20"/>
                <w:szCs w:val="20"/>
              </w:rPr>
            </w:pPr>
            <w:r>
              <w:rPr>
                <w:rFonts w:ascii="EC Square Sans Pro" w:hAnsi="EC Square Sans Pro"/>
                <w:bCs/>
                <w:noProof/>
                <w:color w:val="000000"/>
                <w:sz w:val="20"/>
                <w:szCs w:val="20"/>
              </w:rPr>
              <w:t>3</w:t>
            </w:r>
          </w:p>
        </w:tc>
      </w:tr>
      <w:tr w:rsidR="004C2B59" w:rsidTr="004C2B59">
        <w:trPr>
          <w:trHeight w:val="120"/>
          <w:jc w:val="center"/>
        </w:trPr>
        <w:tc>
          <w:tcPr>
            <w:tcW w:w="4053" w:type="pct"/>
            <w:tcBorders>
              <w:top w:val="single" w:sz="4" w:space="0" w:color="808080" w:themeColor="background1" w:themeShade="80"/>
              <w:bottom w:val="single" w:sz="36" w:space="0" w:color="FFFFFF" w:themeColor="background1"/>
              <w:right w:val="single" w:sz="36" w:space="0" w:color="FFFFFF" w:themeColor="background1"/>
            </w:tcBorders>
            <w:shd w:val="clear" w:color="auto" w:fill="F2F2F2" w:themeFill="background1" w:themeFillShade="F2"/>
            <w:vAlign w:val="center"/>
            <w:hideMark/>
          </w:tcPr>
          <w:p w:rsidR="005B1B9F" w:rsidRPr="00FF3D81" w:rsidRDefault="005B1B9F" w:rsidP="00892770">
            <w:pPr>
              <w:spacing w:after="0" w:line="240" w:lineRule="auto"/>
              <w:rPr>
                <w:rFonts w:ascii="EC Square Sans Pro" w:eastAsia="Times New Roman" w:hAnsi="EC Square Sans Pro" w:cs="Calibri"/>
                <w:bCs/>
                <w:noProof/>
                <w:color w:val="000000"/>
                <w:sz w:val="20"/>
                <w:szCs w:val="20"/>
              </w:rPr>
            </w:pPr>
            <w:r>
              <w:rPr>
                <w:rFonts w:ascii="EC Square Sans Pro" w:hAnsi="EC Square Sans Pro"/>
                <w:bCs/>
                <w:noProof/>
                <w:color w:val="000000"/>
                <w:sz w:val="20"/>
                <w:szCs w:val="20"/>
              </w:rPr>
              <w:t>Inovații digitale/Date și internetul de nouă generație</w:t>
            </w:r>
          </w:p>
        </w:tc>
        <w:tc>
          <w:tcPr>
            <w:tcW w:w="947" w:type="pct"/>
            <w:tcBorders>
              <w:top w:val="single" w:sz="4" w:space="0" w:color="808080" w:themeColor="background1" w:themeShade="80"/>
              <w:left w:val="single" w:sz="36" w:space="0" w:color="FFFFFF" w:themeColor="background1"/>
              <w:bottom w:val="single" w:sz="36" w:space="0" w:color="FFFFFF" w:themeColor="background1"/>
            </w:tcBorders>
            <w:shd w:val="clear" w:color="auto" w:fill="F2F2F2" w:themeFill="background1" w:themeFillShade="F2"/>
            <w:vAlign w:val="center"/>
            <w:hideMark/>
          </w:tcPr>
          <w:p w:rsidR="005B1B9F" w:rsidRPr="00FF3D81" w:rsidRDefault="005B1B9F" w:rsidP="00892770">
            <w:pPr>
              <w:spacing w:after="0" w:line="240" w:lineRule="auto"/>
              <w:jc w:val="center"/>
              <w:rPr>
                <w:rFonts w:ascii="EC Square Sans Pro" w:eastAsia="Times New Roman" w:hAnsi="EC Square Sans Pro" w:cs="Calibri"/>
                <w:bCs/>
                <w:noProof/>
                <w:color w:val="000000"/>
                <w:sz w:val="20"/>
                <w:szCs w:val="20"/>
              </w:rPr>
            </w:pPr>
            <w:r>
              <w:rPr>
                <w:rFonts w:ascii="EC Square Sans Pro" w:hAnsi="EC Square Sans Pro"/>
                <w:bCs/>
                <w:noProof/>
                <w:color w:val="000000"/>
                <w:sz w:val="20"/>
                <w:szCs w:val="20"/>
              </w:rPr>
              <w:t>5</w:t>
            </w:r>
          </w:p>
        </w:tc>
      </w:tr>
      <w:tr w:rsidR="004C2B59" w:rsidRPr="005118CB" w:rsidTr="004C2B59">
        <w:trPr>
          <w:trHeight w:val="120"/>
          <w:jc w:val="center"/>
        </w:trPr>
        <w:tc>
          <w:tcPr>
            <w:tcW w:w="4053" w:type="pct"/>
            <w:tcBorders>
              <w:top w:val="single" w:sz="36" w:space="0" w:color="FFFFFF" w:themeColor="background1"/>
              <w:bottom w:val="nil"/>
            </w:tcBorders>
            <w:shd w:val="clear" w:color="auto" w:fill="9CC2E5" w:themeFill="accent1" w:themeFillTint="99"/>
            <w:vAlign w:val="center"/>
            <w:hideMark/>
          </w:tcPr>
          <w:p w:rsidR="005B1B9F" w:rsidRPr="00FF3D81" w:rsidRDefault="005B1B9F" w:rsidP="00892770">
            <w:pPr>
              <w:spacing w:after="0" w:line="240" w:lineRule="auto"/>
              <w:rPr>
                <w:rFonts w:ascii="EC Square Sans Pro" w:eastAsia="Times New Roman" w:hAnsi="EC Square Sans Pro" w:cs="Calibri"/>
                <w:b/>
                <w:bCs/>
                <w:noProof/>
                <w:color w:val="000000"/>
                <w:sz w:val="20"/>
                <w:szCs w:val="20"/>
              </w:rPr>
            </w:pPr>
            <w:r>
              <w:rPr>
                <w:rFonts w:ascii="EC Square Sans Pro" w:hAnsi="EC Square Sans Pro"/>
                <w:b/>
                <w:bCs/>
                <w:noProof/>
                <w:color w:val="000000"/>
                <w:sz w:val="20"/>
                <w:szCs w:val="20"/>
              </w:rPr>
              <w:t>Total</w:t>
            </w:r>
          </w:p>
        </w:tc>
        <w:tc>
          <w:tcPr>
            <w:tcW w:w="947" w:type="pct"/>
            <w:tcBorders>
              <w:top w:val="single" w:sz="36" w:space="0" w:color="FFFFFF" w:themeColor="background1"/>
              <w:left w:val="nil"/>
              <w:bottom w:val="nil"/>
            </w:tcBorders>
            <w:shd w:val="clear" w:color="auto" w:fill="9CC2E5" w:themeFill="accent1" w:themeFillTint="99"/>
            <w:vAlign w:val="center"/>
            <w:hideMark/>
          </w:tcPr>
          <w:p w:rsidR="005B1B9F" w:rsidRPr="00FF3D81" w:rsidRDefault="005B1B9F" w:rsidP="00892770">
            <w:pPr>
              <w:keepNext/>
              <w:spacing w:after="0" w:line="240" w:lineRule="auto"/>
              <w:jc w:val="center"/>
              <w:rPr>
                <w:rFonts w:ascii="EC Square Sans Pro" w:eastAsia="Times New Roman" w:hAnsi="EC Square Sans Pro" w:cs="Calibri"/>
                <w:b/>
                <w:bCs/>
                <w:noProof/>
                <w:color w:val="000000"/>
                <w:sz w:val="20"/>
                <w:szCs w:val="20"/>
              </w:rPr>
            </w:pPr>
            <w:r>
              <w:rPr>
                <w:rFonts w:ascii="EC Square Sans Pro" w:hAnsi="EC Square Sans Pro"/>
                <w:b/>
                <w:bCs/>
                <w:noProof/>
                <w:color w:val="000000"/>
                <w:sz w:val="20"/>
                <w:szCs w:val="20"/>
              </w:rPr>
              <w:t>125</w:t>
            </w:r>
          </w:p>
        </w:tc>
      </w:tr>
    </w:tbl>
    <w:p w:rsidR="00885F7A" w:rsidRPr="00576EC1" w:rsidRDefault="00885F7A" w:rsidP="00DE738B">
      <w:pPr>
        <w:spacing w:before="120" w:after="0" w:line="240" w:lineRule="auto"/>
        <w:jc w:val="both"/>
        <w:rPr>
          <w:rStyle w:val="Hyperlink"/>
          <w:rFonts w:ascii="EC Square Sans Pro" w:hAnsi="EC Square Sans Pro"/>
          <w:noProof/>
          <w:color w:val="44546A" w:themeColor="text2"/>
          <w:sz w:val="18"/>
        </w:rPr>
      </w:pPr>
      <w:r>
        <w:rPr>
          <w:rFonts w:ascii="EC Square Sans Pro" w:hAnsi="EC Square Sans Pro"/>
          <w:i/>
          <w:noProof/>
          <w:color w:val="44546A" w:themeColor="text2"/>
          <w:sz w:val="18"/>
        </w:rPr>
        <w:t xml:space="preserve">Sursă: serviciile Comisiei, pe baza datelor din tabelul 2 din Documentul de lucru al serviciilor Comisiei </w:t>
      </w:r>
      <w:r>
        <w:rPr>
          <w:rFonts w:ascii="EC Square Sans Pro" w:hAnsi="EC Square Sans Pro"/>
          <w:i/>
          <w:noProof/>
          <w:color w:val="44546A" w:themeColor="text2"/>
          <w:sz w:val="18"/>
          <w:szCs w:val="18"/>
        </w:rPr>
        <w:t>SWD(2020) 98 final</w:t>
      </w:r>
      <w:r>
        <w:rPr>
          <w:rStyle w:val="Hyperlink"/>
          <w:rFonts w:ascii="EC Square Sans Pro" w:hAnsi="EC Square Sans Pro"/>
          <w:i/>
          <w:noProof/>
          <w:color w:val="44546A" w:themeColor="text2"/>
          <w:sz w:val="18"/>
          <w:szCs w:val="18"/>
          <w:u w:val="none"/>
        </w:rPr>
        <w:t>.</w:t>
      </w:r>
      <w:r>
        <w:rPr>
          <w:rStyle w:val="FootnoteReference"/>
          <w:noProof/>
        </w:rPr>
        <w:t xml:space="preserve"> </w:t>
      </w:r>
      <w:r>
        <w:rPr>
          <w:rStyle w:val="FootnoteReference"/>
          <w:rFonts w:ascii="EC Square Sans Pro" w:hAnsi="EC Square Sans Pro"/>
          <w:i/>
          <w:noProof/>
          <w:color w:val="44546A" w:themeColor="text2"/>
          <w:sz w:val="18"/>
          <w:lang w:val="en-IE"/>
        </w:rPr>
        <w:footnoteReference w:id="13"/>
      </w:r>
      <w:r>
        <w:rPr>
          <w:rStyle w:val="Hyperlink"/>
          <w:rFonts w:ascii="EC Square Sans Pro" w:hAnsi="EC Square Sans Pro"/>
          <w:i/>
          <w:noProof/>
          <w:color w:val="44546A" w:themeColor="text2"/>
          <w:sz w:val="18"/>
          <w:szCs w:val="18"/>
          <w:u w:val="none"/>
        </w:rPr>
        <w:t xml:space="preserve"> Cifrele au fost rotunjite.</w:t>
      </w:r>
      <w:r>
        <w:rPr>
          <w:rFonts w:ascii="EC Square Sans Pro" w:hAnsi="EC Square Sans Pro"/>
          <w:i/>
          <w:noProof/>
          <w:color w:val="44546A" w:themeColor="text2"/>
          <w:sz w:val="18"/>
        </w:rPr>
        <w:t xml:space="preserve"> </w:t>
      </w:r>
      <w:r>
        <w:rPr>
          <w:rStyle w:val="Hyperlink"/>
          <w:rFonts w:ascii="EC Square Sans Pro" w:hAnsi="EC Square Sans Pro"/>
          <w:i/>
          <w:noProof/>
          <w:color w:val="44546A" w:themeColor="text2"/>
          <w:sz w:val="18"/>
          <w:szCs w:val="18"/>
          <w:u w:val="none"/>
        </w:rPr>
        <w:t xml:space="preserve"> </w:t>
      </w:r>
    </w:p>
    <w:p w:rsidR="000713F3" w:rsidRPr="000713F3" w:rsidRDefault="000713F3" w:rsidP="000713F3">
      <w:pPr>
        <w:spacing w:after="0" w:line="240" w:lineRule="auto"/>
        <w:jc w:val="both"/>
        <w:rPr>
          <w:rFonts w:ascii="EC Square Sans Pro" w:hAnsi="EC Square Sans Pro" w:cs="Times New Roman"/>
          <w:i/>
          <w:noProof/>
          <w:color w:val="44546A" w:themeColor="text2"/>
          <w:sz w:val="18"/>
          <w:szCs w:val="18"/>
        </w:rPr>
      </w:pPr>
    </w:p>
    <w:p w:rsidR="00C40AC4" w:rsidRDefault="005D697F" w:rsidP="00040336">
      <w:pPr>
        <w:spacing w:after="240" w:line="240" w:lineRule="auto"/>
        <w:jc w:val="both"/>
        <w:rPr>
          <w:rFonts w:ascii="Times New Roman" w:hAnsi="Times New Roman" w:cs="Times New Roman"/>
          <w:noProof/>
          <w:sz w:val="24"/>
          <w:szCs w:val="24"/>
        </w:rPr>
      </w:pPr>
      <w:r>
        <w:rPr>
          <w:rFonts w:ascii="Times New Roman" w:hAnsi="Times New Roman"/>
          <w:b/>
          <w:noProof/>
          <w:sz w:val="24"/>
          <w:szCs w:val="24"/>
        </w:rPr>
        <w:t>Deși cea mai mare parte a investițiilor pentru transformarea digitală va proveni din sectorul privat, intervenția publică va fi, de asemenea, necesară pentru a atrage investiții private și a contribui la remedierea disfuncționalităților pieței.</w:t>
      </w:r>
      <w:r>
        <w:rPr>
          <w:rFonts w:ascii="Times New Roman" w:hAnsi="Times New Roman"/>
          <w:noProof/>
          <w:sz w:val="24"/>
          <w:szCs w:val="24"/>
        </w:rPr>
        <w:t>. Programul de reformă a politicilor de la nivelul UE vizează crearea unei piețe unice digitale care să protejeze drepturile fundamentale ale utilizatorilor, să ofere condiții de concurență echitabile pentru întreprinderi și să faciliteze adoptarea și implementarea tehnologiilor digitale de către mediul de afaceri și, în special, de către IMM-uri. Acesta reprezintă obiectivul, de exemplu, al Strategiei de securitate cibernetică a UE</w:t>
      </w:r>
      <w:r>
        <w:rPr>
          <w:rStyle w:val="FootnoteReference"/>
          <w:rFonts w:ascii="Times New Roman" w:hAnsi="Times New Roman" w:cs="Times New Roman"/>
          <w:noProof/>
          <w:sz w:val="24"/>
          <w:szCs w:val="24"/>
        </w:rPr>
        <w:footnoteReference w:id="14"/>
      </w:r>
      <w:r>
        <w:rPr>
          <w:rFonts w:ascii="Times New Roman" w:hAnsi="Times New Roman"/>
          <w:noProof/>
          <w:sz w:val="24"/>
          <w:szCs w:val="24"/>
        </w:rPr>
        <w:t>, al identității digitale europene</w:t>
      </w:r>
      <w:r>
        <w:rPr>
          <w:rStyle w:val="FootnoteReference"/>
          <w:rFonts w:ascii="Times New Roman" w:hAnsi="Times New Roman" w:cs="Times New Roman"/>
          <w:noProof/>
          <w:sz w:val="24"/>
          <w:szCs w:val="24"/>
        </w:rPr>
        <w:footnoteReference w:id="15"/>
      </w:r>
      <w:r>
        <w:rPr>
          <w:rFonts w:ascii="Times New Roman" w:hAnsi="Times New Roman"/>
          <w:noProof/>
          <w:sz w:val="24"/>
          <w:szCs w:val="24"/>
        </w:rPr>
        <w:t>, al Planului de acțiune pentru democrația europeană</w:t>
      </w:r>
      <w:r>
        <w:rPr>
          <w:rStyle w:val="FootnoteReference"/>
          <w:rFonts w:ascii="Times New Roman" w:hAnsi="Times New Roman" w:cs="Times New Roman"/>
          <w:noProof/>
          <w:sz w:val="24"/>
          <w:szCs w:val="24"/>
        </w:rPr>
        <w:footnoteReference w:id="16"/>
      </w:r>
      <w:r>
        <w:rPr>
          <w:rFonts w:ascii="Times New Roman" w:hAnsi="Times New Roman"/>
          <w:noProof/>
          <w:sz w:val="24"/>
          <w:szCs w:val="24"/>
        </w:rPr>
        <w:t>, al Regulamentului privind platformele pentru întreprinderi</w:t>
      </w:r>
      <w:r>
        <w:rPr>
          <w:rStyle w:val="FootnoteReference"/>
          <w:rFonts w:ascii="Times New Roman" w:hAnsi="Times New Roman" w:cs="Times New Roman"/>
          <w:noProof/>
          <w:sz w:val="24"/>
          <w:szCs w:val="24"/>
        </w:rPr>
        <w:footnoteReference w:id="17"/>
      </w:r>
      <w:r>
        <w:rPr>
          <w:rFonts w:ascii="Times New Roman" w:hAnsi="Times New Roman"/>
          <w:noProof/>
          <w:sz w:val="24"/>
          <w:szCs w:val="24"/>
        </w:rPr>
        <w:t xml:space="preserve"> și al Regulamentului privind geoblocarea</w:t>
      </w:r>
      <w:r>
        <w:rPr>
          <w:rStyle w:val="FootnoteReference"/>
          <w:rFonts w:ascii="Times New Roman" w:hAnsi="Times New Roman" w:cs="Times New Roman"/>
          <w:noProof/>
          <w:sz w:val="24"/>
          <w:szCs w:val="24"/>
        </w:rPr>
        <w:footnoteReference w:id="18"/>
      </w:r>
      <w:r>
        <w:rPr>
          <w:noProof/>
        </w:rPr>
        <w:t>.</w:t>
      </w:r>
      <w:r>
        <w:rPr>
          <w:rFonts w:ascii="Times New Roman" w:hAnsi="Times New Roman"/>
          <w:noProof/>
          <w:sz w:val="24"/>
          <w:szCs w:val="24"/>
        </w:rPr>
        <w:t xml:space="preserve"> În plus, Comisia a adoptat strategii orizontale și sectoriale pentru a promova crearea unei piețe unice a datelor. Scopul dialogului structural privind educația și competențele digitale, lansat recent, este de a spori angajamentele statelor membre și de a îmbunătăți investițiile, reformele și rezultatele preconizate în acest domeniu, precum și de a contribui la viitoarele acțiuni ale UE.</w:t>
      </w:r>
    </w:p>
    <w:p w:rsidR="00AE2771" w:rsidRPr="00002E82" w:rsidRDefault="00B85B17" w:rsidP="00002E82">
      <w:pPr>
        <w:spacing w:after="240" w:line="240" w:lineRule="auto"/>
        <w:jc w:val="both"/>
        <w:rPr>
          <w:rFonts w:ascii="Times New Roman" w:hAnsi="Times New Roman" w:cs="Times New Roman"/>
          <w:noProof/>
          <w:sz w:val="24"/>
          <w:szCs w:val="24"/>
        </w:rPr>
      </w:pPr>
      <w:r>
        <w:rPr>
          <w:rFonts w:ascii="Times New Roman" w:hAnsi="Times New Roman"/>
          <w:b/>
          <w:noProof/>
          <w:sz w:val="24"/>
          <w:szCs w:val="24"/>
        </w:rPr>
        <w:t>Europa aspiră să fie un lider în ceea ce privește elaborarea de standarde la nivel mondial care să îi plaseze pe oameni în centrul tranziției digitale</w:t>
      </w:r>
      <w:r>
        <w:rPr>
          <w:rFonts w:ascii="Times New Roman" w:hAnsi="Times New Roman"/>
          <w:noProof/>
          <w:sz w:val="24"/>
          <w:szCs w:val="24"/>
        </w:rPr>
        <w:t>. Tehnologiile și serviciile digitale pe care le utilizează cetățenii trebuie să fie conforme cadrului juridic aplicabil și trebuie să respecte drepturile și valorile inerente Uniunii. Uniunea și-a asumat rolul de pionier în ceea ce privește reglementarea spațiului digital, de exemplu prin intermediul Actului legislativ privind serviciile digitale și al Actului legislativ privind piețele digitale</w:t>
      </w:r>
      <w:r>
        <w:rPr>
          <w:rStyle w:val="FootnoteReference"/>
          <w:rFonts w:ascii="Times New Roman" w:hAnsi="Times New Roman" w:cs="Times New Roman"/>
          <w:noProof/>
          <w:sz w:val="24"/>
          <w:szCs w:val="24"/>
          <w:lang w:val="en-IE"/>
        </w:rPr>
        <w:footnoteReference w:id="19"/>
      </w:r>
      <w:r>
        <w:rPr>
          <w:rFonts w:ascii="Times New Roman" w:hAnsi="Times New Roman"/>
          <w:noProof/>
          <w:sz w:val="24"/>
          <w:szCs w:val="24"/>
        </w:rPr>
        <w:t xml:space="preserve"> și, mai recent, prin intermediul inteligenței artificiale</w:t>
      </w:r>
      <w:r>
        <w:rPr>
          <w:rStyle w:val="FootnoteReference"/>
          <w:rFonts w:ascii="Times New Roman" w:hAnsi="Times New Roman" w:cs="Times New Roman"/>
          <w:noProof/>
          <w:sz w:val="24"/>
          <w:szCs w:val="24"/>
        </w:rPr>
        <w:footnoteReference w:id="20"/>
      </w:r>
      <w:r>
        <w:rPr>
          <w:rFonts w:ascii="Times New Roman" w:hAnsi="Times New Roman"/>
          <w:noProof/>
          <w:sz w:val="24"/>
          <w:szCs w:val="24"/>
        </w:rPr>
        <w:t>, propunând o directivă privind îmbunătățirea condițiilor de muncă pentru lucrul pe platforme</w:t>
      </w:r>
      <w:r>
        <w:rPr>
          <w:rStyle w:val="FootnoteReference"/>
          <w:rFonts w:ascii="Times New Roman" w:hAnsi="Times New Roman" w:cs="Times New Roman"/>
          <w:noProof/>
          <w:sz w:val="24"/>
          <w:szCs w:val="24"/>
          <w:lang w:val="en-IE"/>
        </w:rPr>
        <w:footnoteReference w:id="21"/>
      </w:r>
      <w:r>
        <w:rPr>
          <w:rFonts w:ascii="Times New Roman" w:hAnsi="Times New Roman"/>
          <w:noProof/>
          <w:sz w:val="24"/>
          <w:szCs w:val="24"/>
        </w:rPr>
        <w:t xml:space="preserve"> și o declarație privind drepturile și principiile digitale</w:t>
      </w:r>
      <w:r>
        <w:rPr>
          <w:rStyle w:val="FootnoteReference"/>
          <w:rFonts w:ascii="Times New Roman" w:hAnsi="Times New Roman" w:cs="Times New Roman"/>
          <w:noProof/>
          <w:sz w:val="24"/>
          <w:szCs w:val="24"/>
          <w:lang w:val="en-IE"/>
        </w:rPr>
        <w:footnoteReference w:id="22"/>
      </w:r>
      <w:r>
        <w:rPr>
          <w:noProof/>
        </w:rPr>
        <w:t>.</w:t>
      </w:r>
      <w:r>
        <w:rPr>
          <w:rFonts w:ascii="Times New Roman" w:hAnsi="Times New Roman"/>
          <w:noProof/>
          <w:sz w:val="24"/>
          <w:szCs w:val="24"/>
        </w:rPr>
        <w:t xml:space="preserve"> Prin asumarea acestui rol de lider, Europa își promovează, de asemenea, valorile la nivel mondial. </w:t>
      </w:r>
      <w:r>
        <w:rPr>
          <w:rStyle w:val="Standaardalinea-lettertype"/>
          <w:rFonts w:ascii="Times New Roman" w:hAnsi="Times New Roman"/>
          <w:noProof/>
          <w:sz w:val="24"/>
          <w:szCs w:val="24"/>
        </w:rPr>
        <w:t>În aceeași ordine de idei, UE joacă un rol central în negocierile desfășurate în cadrul Organizației Mondiale a Comerțului în vederea stabilirii cadrului internațional multilateral pentru comerțul digital.</w:t>
      </w:r>
      <w:r>
        <w:rPr>
          <w:noProof/>
        </w:rPr>
        <w:t xml:space="preserve"> </w:t>
      </w:r>
    </w:p>
    <w:p w:rsidR="00DF5995" w:rsidRPr="00002E82" w:rsidRDefault="00DF5995" w:rsidP="00002E82">
      <w:pPr>
        <w:pStyle w:val="ListParagraph"/>
        <w:numPr>
          <w:ilvl w:val="1"/>
          <w:numId w:val="1"/>
        </w:numPr>
        <w:spacing w:after="240" w:line="240" w:lineRule="auto"/>
        <w:contextualSpacing w:val="0"/>
        <w:rPr>
          <w:rFonts w:ascii="Times New Roman" w:hAnsi="Times New Roman" w:cs="Times New Roman"/>
          <w:i/>
          <w:smallCaps/>
          <w:noProof/>
          <w:sz w:val="24"/>
          <w:szCs w:val="24"/>
        </w:rPr>
      </w:pPr>
      <w:r>
        <w:rPr>
          <w:rFonts w:ascii="Times New Roman" w:hAnsi="Times New Roman"/>
          <w:i/>
          <w:smallCaps/>
          <w:noProof/>
          <w:sz w:val="24"/>
          <w:szCs w:val="24"/>
        </w:rPr>
        <w:t>Sporirea gradului de reziliență și de pregătire pentru situații de criză</w:t>
      </w:r>
    </w:p>
    <w:p w:rsidR="00DC3834" w:rsidRPr="006362DF" w:rsidRDefault="0023606C" w:rsidP="00D27F3B">
      <w:pPr>
        <w:spacing w:after="240" w:line="240" w:lineRule="auto"/>
        <w:jc w:val="both"/>
        <w:rPr>
          <w:rFonts w:ascii="Times New Roman" w:hAnsi="Times New Roman"/>
          <w:noProof/>
          <w:sz w:val="24"/>
        </w:rPr>
      </w:pPr>
      <w:r>
        <w:rPr>
          <w:rFonts w:ascii="Times New Roman" w:hAnsi="Times New Roman"/>
          <w:b/>
          <w:noProof/>
          <w:sz w:val="24"/>
          <w:szCs w:val="24"/>
        </w:rPr>
        <w:t xml:space="preserve">Piața unică este principala noastră sursă de reziliență, chiar dacă evenimentele recente au demonstrat că nu este imună la șocuri. </w:t>
      </w:r>
      <w:r>
        <w:rPr>
          <w:rFonts w:ascii="Times New Roman" w:hAnsi="Times New Roman"/>
          <w:noProof/>
          <w:sz w:val="24"/>
          <w:szCs w:val="24"/>
        </w:rPr>
        <w:t xml:space="preserve">Deși economia a demonstrat un grad de reziliență considerabil în timpul pandemiei, redresarea a generat dificultăți pentru unele întreprinderi care depun eforturi pentru a ține pasul cu o cerere în continuă creștere și pentru a-și reconstrui lanțurile de aprovizionare și care caută materii prime, precum și personal disponibil și calificat. Presiunile asupra prețurilor corelate cu prețurile ridicate ale energiei au condus la o rată a inflației mai mare decât cea preconizată, care afectează puterea de cumpărare a gospodăriilor. </w:t>
      </w:r>
    </w:p>
    <w:p w:rsidR="00B542C2" w:rsidRPr="00816DF5" w:rsidRDefault="00F00DC9" w:rsidP="00B542C2">
      <w:pPr>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 xml:space="preserve">Majoritatea lanțurilor de aprovizionare s-au dovedit a fi puternice și adaptate la șocul fără precedent asupra economiei. </w:t>
      </w:r>
      <w:r>
        <w:rPr>
          <w:rFonts w:ascii="Times New Roman" w:hAnsi="Times New Roman"/>
          <w:noProof/>
          <w:sz w:val="24"/>
          <w:szCs w:val="24"/>
        </w:rPr>
        <w:t>Cu toate acestea, câteva ecosisteme industriale au fost puternic afectate de deficite și întreruperi ale aprovizionării, având un impact negativ considerabil asupra economiei în ansamblu. Strategia industrială actualizată</w:t>
      </w:r>
      <w:r>
        <w:rPr>
          <w:rStyle w:val="FootnoteReference"/>
          <w:rFonts w:ascii="Times New Roman" w:eastAsia="Times New Roman" w:hAnsi="Times New Roman" w:cs="Times New Roman"/>
          <w:noProof/>
          <w:sz w:val="24"/>
          <w:szCs w:val="24"/>
          <w:lang w:eastAsia="en-GB"/>
        </w:rPr>
        <w:footnoteReference w:id="23"/>
      </w:r>
      <w:r>
        <w:rPr>
          <w:rFonts w:ascii="Times New Roman" w:hAnsi="Times New Roman"/>
          <w:noProof/>
          <w:sz w:val="24"/>
          <w:szCs w:val="24"/>
        </w:rPr>
        <w:t xml:space="preserve"> a contribuit la identificarea domeniilor în care există dependențe strategice</w:t>
      </w:r>
      <w:r>
        <w:rPr>
          <w:rStyle w:val="FootnoteReference"/>
          <w:rFonts w:ascii="Times New Roman" w:eastAsia="Times New Roman" w:hAnsi="Times New Roman" w:cs="Times New Roman"/>
          <w:noProof/>
          <w:sz w:val="24"/>
          <w:szCs w:val="24"/>
          <w:lang w:eastAsia="en-GB"/>
        </w:rPr>
        <w:footnoteReference w:id="24"/>
      </w:r>
      <w:r>
        <w:rPr>
          <w:rFonts w:ascii="Times New Roman" w:hAnsi="Times New Roman"/>
          <w:noProof/>
          <w:sz w:val="24"/>
          <w:szCs w:val="24"/>
        </w:rPr>
        <w:t xml:space="preserve"> care trebuie abordate. Al doilea raport privind dependențele și capacitățile strategice ale UE</w:t>
      </w:r>
      <w:r>
        <w:rPr>
          <w:rStyle w:val="FootnoteReference"/>
          <w:rFonts w:ascii="Times New Roman" w:eastAsia="Times New Roman" w:hAnsi="Times New Roman" w:cs="Times New Roman"/>
          <w:noProof/>
          <w:sz w:val="24"/>
          <w:szCs w:val="24"/>
          <w:lang w:eastAsia="en-GB"/>
        </w:rPr>
        <w:footnoteReference w:id="25"/>
      </w:r>
      <w:r>
        <w:rPr>
          <w:rFonts w:ascii="Times New Roman" w:hAnsi="Times New Roman"/>
          <w:noProof/>
          <w:sz w:val="24"/>
          <w:szCs w:val="24"/>
        </w:rPr>
        <w:t xml:space="preserve"> aprofundează evaluarea referitoare la materiile prime</w:t>
      </w:r>
      <w:r>
        <w:rPr>
          <w:rStyle w:val="FootnoteReference"/>
          <w:rFonts w:ascii="Times New Roman" w:hAnsi="Times New Roman" w:cs="Times New Roman"/>
          <w:noProof/>
          <w:sz w:val="24"/>
          <w:szCs w:val="24"/>
        </w:rPr>
        <w:footnoteReference w:id="26"/>
      </w:r>
      <w:r>
        <w:rPr>
          <w:rFonts w:ascii="Times New Roman" w:hAnsi="Times New Roman"/>
          <w:noProof/>
          <w:sz w:val="24"/>
          <w:szCs w:val="24"/>
        </w:rPr>
        <w:t xml:space="preserve"> de importanță strategică și la substanțele chimice. Acesta evaluează, de asemenea, domenii suplimentare, cum ar fi securitatea cibernetică, programele informatice și panourile fotovoltaice. Raportul confirmă progresele înregistrate în abordarea dependențelor strategice identificate în cadrul primului bilanț, datorită parteneriatelor internaționale, alianțelor industriale, investițiilor importante publice și private, precum și propunerilor de regulamente adecvate scopului urmărit.</w:t>
      </w:r>
    </w:p>
    <w:p w:rsidR="00647057" w:rsidRDefault="006161AD" w:rsidP="009B5251">
      <w:pPr>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Diversificarea și deschiderea sunt componente esențiale ale unei economii europene reziliente.</w:t>
      </w:r>
      <w:r>
        <w:rPr>
          <w:rFonts w:ascii="Times New Roman" w:hAnsi="Times New Roman"/>
          <w:b/>
          <w:noProof/>
          <w:sz w:val="24"/>
        </w:rPr>
        <w:t xml:space="preserve"> </w:t>
      </w:r>
      <w:r>
        <w:rPr>
          <w:rFonts w:ascii="Times New Roman" w:hAnsi="Times New Roman"/>
          <w:noProof/>
          <w:sz w:val="24"/>
          <w:szCs w:val="24"/>
        </w:rPr>
        <w:t>Instabilitatea geopolitică actuală și accelerarea schimbărilor climatice demonstrează că statele membre și regiunile care se bazează în mare măsură pe un set limitat de activități economice sau de furnizori sunt mai expuse la șocuri și dispun de capacități limitate de a reacționa</w:t>
      </w:r>
      <w:r>
        <w:rPr>
          <w:rStyle w:val="FootnoteReference"/>
          <w:rFonts w:ascii="Times New Roman" w:eastAsia="Times New Roman" w:hAnsi="Times New Roman" w:cs="Times New Roman"/>
          <w:noProof/>
          <w:sz w:val="24"/>
          <w:szCs w:val="24"/>
          <w:lang w:eastAsia="en-GB"/>
        </w:rPr>
        <w:footnoteReference w:id="27"/>
      </w:r>
      <w:r>
        <w:rPr>
          <w:noProof/>
        </w:rPr>
        <w:t>.</w:t>
      </w:r>
      <w:r>
        <w:rPr>
          <w:rFonts w:ascii="Times New Roman" w:hAnsi="Times New Roman"/>
          <w:noProof/>
          <w:sz w:val="24"/>
          <w:szCs w:val="24"/>
        </w:rPr>
        <w:t xml:space="preserve"> Pentru a sprijini diversificarea și competitivitatea, UE trebuie să rămână deschisă</w:t>
      </w:r>
      <w:r>
        <w:rPr>
          <w:rFonts w:ascii="Times New Roman" w:hAnsi="Times New Roman"/>
          <w:b/>
          <w:noProof/>
          <w:sz w:val="24"/>
          <w:szCs w:val="24"/>
        </w:rPr>
        <w:t xml:space="preserve"> </w:t>
      </w:r>
      <w:r>
        <w:rPr>
          <w:rFonts w:ascii="Times New Roman" w:hAnsi="Times New Roman"/>
          <w:noProof/>
          <w:sz w:val="24"/>
          <w:szCs w:val="24"/>
        </w:rPr>
        <w:t>comerțului, să consolideze sistemul comercial multilateral și să utilizeze în mod activ instrumentele de politică comercială de care dispune, printre care se numără acordurile de liber schimb și măsurile de asigurare a unor schimburi comerciale nedenaturate. Credibilitatea și interesele Uniunii depind de capacitatea acesteia de a negocia și de a încheia acorduri, precum și de a le pune efectiv în aplicare și de a asigura respectarea acestora. Între timp, întreprinderile trebuie să își diversifice lanțurile de aprovizionare pentru a gestiona riscurile legate de prețurile și de calitatea materiilor prime, precum și cele legate de aprovizionarea cu aceste materii prime. Politica în domeniul concurenței și asigurarea respectării acesteia joacă un rol esențial în acest sens.</w:t>
      </w:r>
    </w:p>
    <w:p w:rsidR="001F3837" w:rsidRPr="006362DF" w:rsidRDefault="00350570" w:rsidP="006362DF">
      <w:pPr>
        <w:spacing w:after="240" w:line="240" w:lineRule="auto"/>
        <w:jc w:val="both"/>
        <w:rPr>
          <w:rFonts w:ascii="Times New Roman" w:hAnsi="Times New Roman"/>
          <w:b/>
          <w:noProof/>
          <w:sz w:val="24"/>
        </w:rPr>
      </w:pPr>
      <w:r>
        <w:rPr>
          <w:rFonts w:ascii="Times New Roman" w:hAnsi="Times New Roman"/>
          <w:b/>
          <w:noProof/>
          <w:sz w:val="24"/>
          <w:szCs w:val="24"/>
        </w:rPr>
        <w:t xml:space="preserve">Tranziția către o economie și modele de afaceri mai verzi, mai digitale și mai reziliente prinde rădăcini în </w:t>
      </w:r>
      <w:r>
        <w:rPr>
          <w:rFonts w:ascii="Times New Roman" w:hAnsi="Times New Roman"/>
          <w:b/>
          <w:noProof/>
          <w:sz w:val="24"/>
        </w:rPr>
        <w:t>Europa</w:t>
      </w:r>
      <w:r>
        <w:rPr>
          <w:rFonts w:ascii="Times New Roman" w:hAnsi="Times New Roman"/>
          <w:b/>
          <w:noProof/>
          <w:sz w:val="24"/>
          <w:szCs w:val="24"/>
        </w:rPr>
        <w:t xml:space="preserve">. </w:t>
      </w:r>
      <w:r>
        <w:rPr>
          <w:rFonts w:ascii="Times New Roman" w:hAnsi="Times New Roman"/>
          <w:noProof/>
          <w:sz w:val="24"/>
          <w:szCs w:val="24"/>
        </w:rPr>
        <w:t>Apar rezerve importante de investiții care pot promova poziția de lider industrial a Europei în domeniul tehnologiilor viitorului.</w:t>
      </w:r>
      <w:r>
        <w:rPr>
          <w:rFonts w:ascii="Times New Roman" w:hAnsi="Times New Roman"/>
          <w:b/>
          <w:noProof/>
          <w:sz w:val="24"/>
          <w:szCs w:val="24"/>
        </w:rPr>
        <w:t xml:space="preserve"> </w:t>
      </w:r>
      <w:r>
        <w:rPr>
          <w:rFonts w:ascii="Times New Roman" w:hAnsi="Times New Roman"/>
          <w:noProof/>
          <w:sz w:val="24"/>
          <w:szCs w:val="24"/>
        </w:rPr>
        <w:t>Raportul anual privind piața unică din 2022</w:t>
      </w:r>
      <w:r>
        <w:rPr>
          <w:rStyle w:val="FootnoteReference"/>
          <w:rFonts w:ascii="Times New Roman" w:eastAsia="Times New Roman" w:hAnsi="Times New Roman" w:cs="Times New Roman"/>
          <w:noProof/>
          <w:sz w:val="24"/>
          <w:szCs w:val="24"/>
          <w:lang w:eastAsia="en-GB"/>
        </w:rPr>
        <w:footnoteReference w:id="28"/>
      </w:r>
      <w:r>
        <w:rPr>
          <w:rFonts w:ascii="Times New Roman" w:hAnsi="Times New Roman"/>
          <w:noProof/>
          <w:sz w:val="24"/>
          <w:szCs w:val="24"/>
        </w:rPr>
        <w:t xml:space="preserve"> face bilanțul volumelor de investiții pentru anumite produse și tehnologii care joacă un rol esențial de catalizator pentru majoritatea ecosistemelor industriale și pentru competitivitatea industriei în viitor. Acesta acoperă volumele de investiții în materii prime, energie solară fotovoltaică, baterii, hidrogen curat, oțel verde, ciment, substanțe chimice, servicii de cloud</w:t>
      </w:r>
      <w:r>
        <w:rPr>
          <w:rFonts w:ascii="Times New Roman" w:hAnsi="Times New Roman"/>
          <w:noProof/>
          <w:sz w:val="24"/>
        </w:rPr>
        <w:t xml:space="preserve"> computing și </w:t>
      </w:r>
      <w:r>
        <w:rPr>
          <w:rFonts w:ascii="Times New Roman" w:hAnsi="Times New Roman"/>
          <w:noProof/>
          <w:sz w:val="24"/>
          <w:szCs w:val="24"/>
        </w:rPr>
        <w:t>proiecte în domeniul securității cibernetice.</w:t>
      </w:r>
      <w:r>
        <w:rPr>
          <w:rFonts w:ascii="Times New Roman" w:hAnsi="Times New Roman"/>
          <w:b/>
          <w:noProof/>
          <w:sz w:val="24"/>
        </w:rPr>
        <w:t xml:space="preserve"> </w:t>
      </w:r>
    </w:p>
    <w:p w:rsidR="0073023D" w:rsidRDefault="0073023D" w:rsidP="0073023D">
      <w:pPr>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Alianțele</w:t>
      </w:r>
      <w:r>
        <w:rPr>
          <w:rFonts w:ascii="Times New Roman" w:hAnsi="Times New Roman"/>
          <w:noProof/>
          <w:sz w:val="24"/>
          <w:szCs w:val="24"/>
        </w:rPr>
        <w:t xml:space="preserve"> </w:t>
      </w:r>
      <w:r>
        <w:rPr>
          <w:rFonts w:ascii="Times New Roman" w:hAnsi="Times New Roman"/>
          <w:b/>
          <w:noProof/>
          <w:sz w:val="24"/>
        </w:rPr>
        <w:t xml:space="preserve">industriale pot juca un rol important în </w:t>
      </w:r>
      <w:r>
        <w:rPr>
          <w:rFonts w:ascii="Times New Roman" w:hAnsi="Times New Roman"/>
          <w:b/>
          <w:noProof/>
          <w:sz w:val="24"/>
          <w:szCs w:val="24"/>
        </w:rPr>
        <w:t xml:space="preserve">mobilizarea actorilor și a investițiilor în domenii strategice, în </w:t>
      </w:r>
      <w:r>
        <w:rPr>
          <w:rFonts w:ascii="Times New Roman" w:hAnsi="Times New Roman"/>
          <w:b/>
          <w:noProof/>
          <w:sz w:val="24"/>
        </w:rPr>
        <w:t xml:space="preserve">identificarea </w:t>
      </w:r>
      <w:r>
        <w:rPr>
          <w:rFonts w:ascii="Times New Roman" w:hAnsi="Times New Roman"/>
          <w:b/>
          <w:noProof/>
          <w:sz w:val="24"/>
          <w:szCs w:val="24"/>
        </w:rPr>
        <w:t>barierelor de reglementare și a factorilor de facilitare</w:t>
      </w:r>
      <w:r>
        <w:rPr>
          <w:rFonts w:ascii="Times New Roman" w:hAnsi="Times New Roman"/>
          <w:b/>
          <w:noProof/>
          <w:sz w:val="24"/>
        </w:rPr>
        <w:t xml:space="preserve"> și în crearea unei rezerve adecvate de proiecte.</w:t>
      </w:r>
      <w:r>
        <w:rPr>
          <w:rFonts w:ascii="Times New Roman" w:hAnsi="Times New Roman"/>
          <w:noProof/>
          <w:sz w:val="24"/>
          <w:szCs w:val="24"/>
        </w:rPr>
        <w:t xml:space="preserve"> Alianțele industriale existente, prezentate în graficul de mai jos, s-au dovedit a fi esențiale pentru consolidarea capacităților europene (de exemplu, Alianța pentru baterii). Acestea aduc rezultate concrete prin alinierea priorităților europene, naționale și ale sectorului privat în materie de reforme și investiții.</w:t>
      </w:r>
    </w:p>
    <w:p w:rsidR="007D42DD" w:rsidRDefault="007B5357" w:rsidP="007D42DD">
      <w:pPr>
        <w:keepNext/>
        <w:spacing w:after="240" w:line="240" w:lineRule="auto"/>
        <w:rPr>
          <w:rFonts w:ascii="EC Square Sans Pro" w:hAnsi="EC Square Sans Pro"/>
          <w:i/>
          <w:noProof/>
          <w:color w:val="44546A" w:themeColor="text2"/>
        </w:rPr>
      </w:pPr>
      <w:r>
        <w:rPr>
          <w:rFonts w:ascii="EC Square Sans Pro" w:hAnsi="EC Square Sans Pro"/>
          <w:i/>
          <w:noProof/>
          <w:color w:val="44546A" w:themeColor="text2"/>
        </w:rPr>
        <w:t xml:space="preserve">Graficul 2: Prezentare generală a alianțelor industriale </w:t>
      </w:r>
      <w:r w:rsidR="007D42DD">
        <w:rPr>
          <w:noProof/>
          <w:lang w:val="en-GB" w:eastAsia="en-GB"/>
        </w:rPr>
        <w:drawing>
          <wp:anchor distT="0" distB="0" distL="114300" distR="114300" simplePos="0" relativeHeight="251665920" behindDoc="0" locked="0" layoutInCell="1" allowOverlap="1">
            <wp:simplePos x="0" y="0"/>
            <wp:positionH relativeFrom="column">
              <wp:posOffset>0</wp:posOffset>
            </wp:positionH>
            <wp:positionV relativeFrom="paragraph">
              <wp:posOffset>322580</wp:posOffset>
            </wp:positionV>
            <wp:extent cx="5828400" cy="2163600"/>
            <wp:effectExtent l="0" t="0" r="1270" b="825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828400" cy="2163600"/>
                    </a:xfrm>
                    <a:prstGeom prst="rect">
                      <a:avLst/>
                    </a:prstGeom>
                  </pic:spPr>
                </pic:pic>
              </a:graphicData>
            </a:graphic>
            <wp14:sizeRelH relativeFrom="margin">
              <wp14:pctWidth>0</wp14:pctWidth>
            </wp14:sizeRelH>
            <wp14:sizeRelV relativeFrom="margin">
              <wp14:pctHeight>0</wp14:pctHeight>
            </wp14:sizeRelV>
          </wp:anchor>
        </w:drawing>
      </w:r>
    </w:p>
    <w:p w:rsidR="00570232" w:rsidRDefault="007B5357" w:rsidP="004C7F98">
      <w:pPr>
        <w:spacing w:after="240" w:line="240" w:lineRule="auto"/>
        <w:rPr>
          <w:rFonts w:ascii="EC Square Sans Pro" w:hAnsi="EC Square Sans Pro"/>
          <w:i/>
          <w:noProof/>
          <w:color w:val="44546A" w:themeColor="text2"/>
          <w:sz w:val="18"/>
        </w:rPr>
      </w:pPr>
      <w:r>
        <w:rPr>
          <w:rFonts w:ascii="EC Square Sans Pro" w:hAnsi="EC Square Sans Pro"/>
          <w:i/>
          <w:noProof/>
          <w:color w:val="44546A" w:themeColor="text2"/>
          <w:sz w:val="18"/>
        </w:rPr>
        <w:t xml:space="preserve">Sursa: serviciile Comisiei, figura 11 din Documentul de lucru al serviciilor Comisiei SWD(2022) 40 final. </w:t>
      </w:r>
    </w:p>
    <w:p w:rsidR="0073023D" w:rsidRPr="00D27F3B" w:rsidRDefault="0073023D" w:rsidP="00B62263">
      <w:pPr>
        <w:spacing w:after="240" w:line="240" w:lineRule="auto"/>
        <w:jc w:val="both"/>
        <w:rPr>
          <w:rFonts w:ascii="Times New Roman" w:hAnsi="Times New Roman" w:cs="Times New Roman"/>
          <w:noProof/>
          <w:sz w:val="24"/>
          <w:szCs w:val="24"/>
        </w:rPr>
      </w:pPr>
      <w:r>
        <w:rPr>
          <w:rFonts w:ascii="Times New Roman" w:hAnsi="Times New Roman"/>
          <w:b/>
          <w:noProof/>
          <w:sz w:val="24"/>
          <w:szCs w:val="24"/>
        </w:rPr>
        <w:t>Proiectele importante de interes european comun (PIIEC) pot contribui la stimularea investițiilor publice și a celor private prin sprijinirea cercetării, a inovării și a primei utilizări industriale în întreaga Uniune.</w:t>
      </w:r>
      <w:r>
        <w:rPr>
          <w:rFonts w:ascii="Times New Roman" w:hAnsi="Times New Roman"/>
          <w:noProof/>
          <w:sz w:val="24"/>
          <w:szCs w:val="24"/>
        </w:rPr>
        <w:t xml:space="preserve"> Statele membre pregătesc posibile noi proiecte PIIEC privind cloud computing și hidrogenul și altele suplimentare privind microelectronica și conectivitatea, precum și sănătatea, în plus față de proiectele PIIEC existente privind bateriile și primul proiect PIIEC privind microelectronica. </w:t>
      </w:r>
    </w:p>
    <w:p w:rsidR="007F40BC" w:rsidRDefault="00B371F0" w:rsidP="004C7F98">
      <w:pPr>
        <w:spacing w:line="256" w:lineRule="auto"/>
        <w:jc w:val="both"/>
        <w:rPr>
          <w:rFonts w:ascii="Times New Roman" w:eastAsia="Times New Roman" w:hAnsi="Times New Roman" w:cs="Times New Roman"/>
          <w:noProof/>
          <w:sz w:val="24"/>
          <w:szCs w:val="24"/>
        </w:rPr>
      </w:pPr>
      <w:r>
        <w:rPr>
          <w:rFonts w:ascii="Times New Roman" w:hAnsi="Times New Roman"/>
          <w:b/>
          <w:noProof/>
          <w:sz w:val="24"/>
          <w:szCs w:val="24"/>
        </w:rPr>
        <w:t>În domeniul semiconductorilor, Actul european privind cipurile</w:t>
      </w:r>
      <w:r>
        <w:rPr>
          <w:rStyle w:val="FootnoteReference"/>
          <w:rFonts w:ascii="Times New Roman" w:eastAsia="Times New Roman" w:hAnsi="Times New Roman" w:cs="Times New Roman"/>
          <w:b/>
          <w:noProof/>
          <w:sz w:val="24"/>
          <w:szCs w:val="24"/>
          <w:lang w:eastAsia="en-GB"/>
        </w:rPr>
        <w:footnoteReference w:id="29"/>
      </w:r>
      <w:r>
        <w:rPr>
          <w:rFonts w:ascii="Times New Roman" w:hAnsi="Times New Roman"/>
          <w:b/>
          <w:noProof/>
          <w:sz w:val="24"/>
          <w:szCs w:val="24"/>
        </w:rPr>
        <w:t xml:space="preserve"> recent propus cuprinde un set cuprinzător de măsuri menite să consolideze securitatea aprovizionării și reziliența Uniunii, precum și poziția sa de lider în domeniul tehnologiei. </w:t>
      </w:r>
      <w:r>
        <w:rPr>
          <w:rFonts w:ascii="Times New Roman" w:hAnsi="Times New Roman"/>
          <w:noProof/>
          <w:sz w:val="24"/>
          <w:szCs w:val="24"/>
        </w:rPr>
        <w:t xml:space="preserve">Pentru a atinge aceste obiective, scopul actului este de a mobiliza investiții publice și private în valoare de peste 43 de miliarde EUR și de a stabili, împreună cu statele membre și cu partenerii internaționali ai Uniunii, măsuri de prevenire, de pregătire și de reacție rapidă la orice perturbare viitoare a lanțurilor de aprovizionare. </w:t>
      </w:r>
    </w:p>
    <w:p w:rsidR="007F40BC" w:rsidRDefault="007C3D0E" w:rsidP="004C7F98">
      <w:pPr>
        <w:spacing w:line="256" w:lineRule="auto"/>
        <w:jc w:val="both"/>
        <w:rPr>
          <w:rFonts w:ascii="Times New Roman" w:hAnsi="Times New Roman" w:cs="Times New Roman"/>
          <w:noProof/>
          <w:sz w:val="24"/>
          <w:szCs w:val="24"/>
        </w:rPr>
      </w:pPr>
      <w:r>
        <w:rPr>
          <w:rFonts w:ascii="Times New Roman" w:hAnsi="Times New Roman"/>
          <w:b/>
          <w:noProof/>
          <w:sz w:val="24"/>
          <w:szCs w:val="24"/>
        </w:rPr>
        <w:t xml:space="preserve">Pentru a consolida și mai mult avantajul tehnologic al Europei și pentru a sprijini baza sa industrială, UE și statele sale membre vor trebui, de asemenea, să majoreze considerabil investițiile în industria spațială și de apărare europeană, inclusiv în apărarea cibernetică. </w:t>
      </w:r>
      <w:r>
        <w:rPr>
          <w:rFonts w:ascii="Times New Roman" w:hAnsi="Times New Roman"/>
          <w:noProof/>
          <w:sz w:val="24"/>
          <w:szCs w:val="24"/>
        </w:rPr>
        <w:t>Invazia Ucrainei evidențiază necesitatea consolidării rezilienței și a dezvoltării capacităților strategice ale Uniunii, cum ar fi în domeniul energiei, al apărării și al securității cibernetice, pentru ca aceasta să își mențină capacitatea de a acționa și de a-și asuma responsabilitatea pentru propria securitate. În ceea ce privește reziliența cibernetică, UE trebuie să își îmbunătățească pregătirea colectivă, să coordoneze conștientizarea comună a situației și să își consolideze capacitatea de asistență operațională, inclusiv prin intermediul unității cibernetice comune propuse, și să lanseze o infrastructură europeană a centrelor de operațiuni pentru securitate (SOC). Pachetele privind industria spațială și industria de apărare adoptate recent</w:t>
      </w:r>
      <w:r>
        <w:rPr>
          <w:rStyle w:val="FootnoteReference"/>
          <w:rFonts w:ascii="Times New Roman" w:hAnsi="Times New Roman" w:cs="Times New Roman"/>
          <w:noProof/>
          <w:sz w:val="24"/>
          <w:szCs w:val="24"/>
          <w:lang w:val="en-IE"/>
        </w:rPr>
        <w:footnoteReference w:id="30"/>
      </w:r>
      <w:r>
        <w:rPr>
          <w:rFonts w:ascii="Times New Roman" w:hAnsi="Times New Roman"/>
          <w:noProof/>
          <w:sz w:val="24"/>
          <w:szCs w:val="24"/>
        </w:rPr>
        <w:t xml:space="preserve"> vizează stabilirea de măsuri concrete de sprijinire a ambițiilor Uniunii în ceea ce privește politicile spațiale și de apărare. Aceste inițiative vor promova, de asemenea, sinergii dintre industria civilă și industria de apărare,</w:t>
      </w:r>
      <w:r>
        <w:rPr>
          <w:rFonts w:ascii="Times New Roman" w:hAnsi="Times New Roman"/>
          <w:b/>
          <w:noProof/>
          <w:sz w:val="24"/>
          <w:szCs w:val="24"/>
        </w:rPr>
        <w:t xml:space="preserve"> </w:t>
      </w:r>
      <w:r>
        <w:rPr>
          <w:rFonts w:ascii="Times New Roman" w:hAnsi="Times New Roman"/>
          <w:noProof/>
          <w:sz w:val="24"/>
          <w:szCs w:val="24"/>
        </w:rPr>
        <w:t xml:space="preserve">în vederea intensificării transferurilor de tehnologie de tip spin-off și a interacțiunilor constructive. </w:t>
      </w:r>
    </w:p>
    <w:p w:rsidR="009A0BA4" w:rsidRDefault="005B38A9" w:rsidP="004C7F98">
      <w:pPr>
        <w:spacing w:line="256" w:lineRule="auto"/>
        <w:jc w:val="both"/>
        <w:rPr>
          <w:rFonts w:ascii="Times New Roman" w:hAnsi="Times New Roman" w:cs="Times New Roman"/>
          <w:noProof/>
          <w:sz w:val="24"/>
          <w:szCs w:val="24"/>
        </w:rPr>
      </w:pPr>
      <w:r>
        <w:rPr>
          <w:rFonts w:ascii="Times New Roman" w:hAnsi="Times New Roman"/>
          <w:b/>
          <w:noProof/>
          <w:sz w:val="24"/>
          <w:szCs w:val="24"/>
        </w:rPr>
        <w:t xml:space="preserve">Au fost mobilizate investiții specifice suplimentare pentru a ne consolida capacitățile de gestionare a riscurilor și de răspuns în situații de urgență. </w:t>
      </w:r>
      <w:r>
        <w:rPr>
          <w:rFonts w:ascii="Times New Roman" w:hAnsi="Times New Roman"/>
          <w:noProof/>
          <w:sz w:val="24"/>
          <w:szCs w:val="24"/>
        </w:rPr>
        <w:t xml:space="preserve">Autoritatea pentru Pregătire și Răspuns în caz de Urgență Sanitară (HERA) a fost creată în acest scop. HERA va contribui la anticiparea amenințărilor sanitare și a potențialelor crize sanitare, prin colectarea de informații și prin consolidarea capacităților de răspuns necesare. În cazul unei situații de urgență, HERA va contribui la asigurarea producției și a distribuției de medicamente, de vaccinuri și de echipamente medicale. În plus, prin intermediul programului „UE pentru sănătate”, Uniunea investește, de asemenea, în acțiuni care completează acțiunile statelor membre în domeniul prevenirii bolilor, al promovării sănătății, al cooperării transfrontaliere în domeniul sănătății, al rezilienței sistemelor de sănătate și al utilizării eficiente a resurselor. Uniunea investește, de asemenea, în dezvoltarea rezervei strategice rescEU de capacități de răspuns în cadrul mecanismului de protecție civilă al Uniunii pentru a îmbunătăți gradul de pregătire pentru viitoarele situații de criză de mare amploare, incluzând scenarii de urgențe sanitare și de dezastre cu efect transfrontalier, declanșate de dezastre provocate de schimbările climatice și de amenințări noi și emergente. </w:t>
      </w:r>
    </w:p>
    <w:p w:rsidR="00E95753" w:rsidRDefault="002B1AF3" w:rsidP="00592689">
      <w:pPr>
        <w:spacing w:line="256" w:lineRule="auto"/>
        <w:jc w:val="both"/>
        <w:rPr>
          <w:rFonts w:ascii="Times New Roman" w:eastAsiaTheme="majorEastAsia" w:hAnsi="Times New Roman" w:cs="Times New Roman"/>
          <w:noProof/>
          <w:sz w:val="24"/>
          <w:szCs w:val="24"/>
        </w:rPr>
      </w:pPr>
      <w:r>
        <w:rPr>
          <w:rFonts w:ascii="Times New Roman" w:hAnsi="Times New Roman"/>
          <w:b/>
          <w:noProof/>
          <w:sz w:val="24"/>
          <w:szCs w:val="24"/>
        </w:rPr>
        <w:t>Cele mai recente evoluții au confirmat importanța unei piețe unice integrate și funcționale pentru produse, lucrători, servicii și capital, care este esențială pentru reziliența noastră</w:t>
      </w:r>
      <w:r>
        <w:rPr>
          <w:rFonts w:ascii="Times New Roman" w:hAnsi="Times New Roman"/>
          <w:noProof/>
          <w:sz w:val="24"/>
          <w:szCs w:val="24"/>
        </w:rPr>
        <w:t>. Se estimează că aducerea de noi îmbunătățiri pieței unice a produselor fabricate ar putea genera creșteri ale PIB-ului între 183 și 269 de miliarde EUR pe an, în timp ce ameliorarea integrării piețelor serviciilor ar putea duce la creșteri ale PIB-ului de 297 de miliarde EUR pe an. Aceste câștiguri ar putea spori beneficiile economice ale pieței unice, de la o creștere cu 8-9 % până la o creștere cu circa 12 % a PIB-ului</w:t>
      </w:r>
      <w:r>
        <w:rPr>
          <w:rStyle w:val="FootnoteReference"/>
          <w:rFonts w:ascii="Times New Roman" w:hAnsi="Times New Roman" w:cs="Times New Roman"/>
          <w:noProof/>
          <w:sz w:val="24"/>
          <w:szCs w:val="24"/>
        </w:rPr>
        <w:footnoteReference w:id="31"/>
      </w:r>
      <w:r>
        <w:rPr>
          <w:noProof/>
        </w:rPr>
        <w:t>.</w:t>
      </w:r>
      <w:r>
        <w:rPr>
          <w:rFonts w:ascii="Times New Roman" w:hAnsi="Times New Roman"/>
          <w:noProof/>
          <w:sz w:val="24"/>
          <w:szCs w:val="24"/>
        </w:rPr>
        <w:t xml:space="preserve"> În acest scop, </w:t>
      </w:r>
      <w:r>
        <w:rPr>
          <w:rFonts w:ascii="Times New Roman" w:hAnsi="Times New Roman"/>
          <w:bCs/>
          <w:noProof/>
          <w:sz w:val="24"/>
          <w:szCs w:val="24"/>
        </w:rPr>
        <w:t xml:space="preserve">Comisia promovează în mod activ eliminarea </w:t>
      </w:r>
      <w:r>
        <w:rPr>
          <w:rFonts w:ascii="Times New Roman" w:hAnsi="Times New Roman"/>
          <w:noProof/>
          <w:sz w:val="24"/>
          <w:szCs w:val="24"/>
        </w:rPr>
        <w:t>barierelor existente și a obstacolelor nejustificate</w:t>
      </w:r>
      <w:r>
        <w:rPr>
          <w:rFonts w:ascii="Times New Roman" w:hAnsi="Times New Roman"/>
          <w:bCs/>
          <w:noProof/>
          <w:sz w:val="24"/>
          <w:szCs w:val="24"/>
        </w:rPr>
        <w:t>, în special prin activități coordonate și prin dialog cu statele membre în cadrul</w:t>
      </w:r>
      <w:r>
        <w:rPr>
          <w:rFonts w:ascii="Times New Roman" w:hAnsi="Times New Roman"/>
          <w:noProof/>
          <w:sz w:val="24"/>
          <w:szCs w:val="24"/>
        </w:rPr>
        <w:t xml:space="preserve"> Grupului operativ pentru asigurarea respectării normelor privind piața unică</w:t>
      </w:r>
      <w:r>
        <w:rPr>
          <w:rStyle w:val="FootnoteReference"/>
          <w:rFonts w:ascii="Times New Roman" w:hAnsi="Times New Roman" w:cs="Times New Roman"/>
          <w:noProof/>
          <w:sz w:val="24"/>
          <w:szCs w:val="24"/>
        </w:rPr>
        <w:footnoteReference w:id="32"/>
      </w:r>
      <w:r>
        <w:rPr>
          <w:noProof/>
        </w:rPr>
        <w:t>.</w:t>
      </w:r>
      <w:r>
        <w:rPr>
          <w:rFonts w:ascii="Times New Roman" w:hAnsi="Times New Roman"/>
          <w:noProof/>
          <w:sz w:val="24"/>
          <w:szCs w:val="24"/>
        </w:rPr>
        <w:t xml:space="preserve"> De asemenea, Comisia depune eforturi pentru a preveni crearea de noi bariere, de exemplu prin intermediul mecanismelor de notificare existente, și ia măsuri de asigurare a respectării legislației, dacă este necesar. </w:t>
      </w:r>
    </w:p>
    <w:p w:rsidR="00E95753" w:rsidRPr="00816DF5" w:rsidRDefault="00E95753" w:rsidP="00E95753">
      <w:pPr>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 xml:space="preserve">Pentru a consolida reziliența pieței sale unice, Europa trebuie să își sporească capacitatea de a asigura securitatea aprovizionării în caz de urgență. </w:t>
      </w:r>
      <w:r>
        <w:rPr>
          <w:rFonts w:ascii="Times New Roman" w:hAnsi="Times New Roman"/>
          <w:noProof/>
          <w:sz w:val="24"/>
          <w:szCs w:val="24"/>
        </w:rPr>
        <w:t xml:space="preserve">Pentru a garanta schimburi de informații, o coordonare și o solidaritate sporite atunci când statele membre adoptă măsuri legate de crize, Comisia lucrează la elaborarea unei propuneri privind un instrument pentru situații de urgență al pieței unice. Instrumentul va institui un mecanism de pregătire și de acțiune în situații de criză prin care Uniunea să poată aborda penuriile de produse critice, prin accelerarea punerii la dispoziție a produselor (de exemplu, stabilirea și partajarea standardelor, evaluarea rapidă a conformității) și prin consolidarea cooperării în domeniul achizițiilor publice. </w:t>
      </w:r>
    </w:p>
    <w:p w:rsidR="00DF5995" w:rsidRPr="00002E82" w:rsidRDefault="00566843" w:rsidP="00002E82">
      <w:pPr>
        <w:pStyle w:val="ListParagraph"/>
        <w:numPr>
          <w:ilvl w:val="0"/>
          <w:numId w:val="1"/>
        </w:numPr>
        <w:spacing w:after="240" w:line="240" w:lineRule="auto"/>
        <w:contextualSpacing w:val="0"/>
        <w:rPr>
          <w:rFonts w:ascii="Times New Roman" w:hAnsi="Times New Roman" w:cs="Times New Roman"/>
          <w:smallCaps/>
          <w:noProof/>
          <w:sz w:val="24"/>
          <w:szCs w:val="24"/>
        </w:rPr>
      </w:pPr>
      <w:r>
        <w:rPr>
          <w:rFonts w:ascii="Times New Roman" w:hAnsi="Times New Roman"/>
          <w:smallCaps/>
          <w:noProof/>
          <w:sz w:val="24"/>
          <w:szCs w:val="24"/>
        </w:rPr>
        <w:t xml:space="preserve">Asigurarea unei transformări economice echitabile și favorabile incluziunii </w:t>
      </w:r>
    </w:p>
    <w:p w:rsidR="003B7239" w:rsidRPr="00816DF5" w:rsidRDefault="00DC3834" w:rsidP="00D27F3B">
      <w:pPr>
        <w:spacing w:after="240" w:line="240" w:lineRule="auto"/>
        <w:jc w:val="both"/>
        <w:rPr>
          <w:rFonts w:ascii="Times New Roman" w:hAnsi="Times New Roman" w:cs="Times New Roman"/>
          <w:noProof/>
          <w:sz w:val="24"/>
          <w:szCs w:val="24"/>
        </w:rPr>
      </w:pPr>
      <w:r>
        <w:rPr>
          <w:rFonts w:ascii="Times New Roman" w:hAnsi="Times New Roman"/>
          <w:b/>
          <w:noProof/>
          <w:sz w:val="24"/>
          <w:szCs w:val="24"/>
        </w:rPr>
        <w:t xml:space="preserve">Transformarea economică verde și digitală poate avea succes numai dacă este echitabilă și favorabilă incluziunii. </w:t>
      </w:r>
      <w:r>
        <w:rPr>
          <w:rFonts w:ascii="Times New Roman" w:hAnsi="Times New Roman"/>
          <w:noProof/>
          <w:sz w:val="24"/>
          <w:szCs w:val="24"/>
        </w:rPr>
        <w:t xml:space="preserve">Este posibil ca efectele digitalizării și ale decarbonizării asupra bunăstării să fie distribuite inegal. Întrucât gospodăriile cu venituri mici și medii cheltuiesc adesea o parte mai mare din venitul lor disponibil pentru alimente și servicii esențiale, cum ar fi locuințele, energia și transporturile, acestea vor fi probabil mai afectate, deoarece costul emisiilor este internalizat, ducând la creșterea prețului anumitor activități economice în raport cu altele. </w:t>
      </w:r>
    </w:p>
    <w:p w:rsidR="00DC3834" w:rsidRPr="00194CDE" w:rsidRDefault="005B38A9" w:rsidP="00135BF7">
      <w:pPr>
        <w:spacing w:after="240" w:line="240" w:lineRule="auto"/>
        <w:jc w:val="both"/>
        <w:rPr>
          <w:rFonts w:ascii="Times New Roman" w:hAnsi="Times New Roman" w:cs="Times New Roman"/>
          <w:noProof/>
          <w:sz w:val="24"/>
          <w:szCs w:val="24"/>
        </w:rPr>
      </w:pPr>
      <w:r>
        <w:rPr>
          <w:rFonts w:ascii="Times New Roman" w:hAnsi="Times New Roman"/>
          <w:b/>
          <w:noProof/>
          <w:sz w:val="24"/>
          <w:szCs w:val="24"/>
        </w:rPr>
        <w:t>Realocarea forței de muncă în cadrul sectoarelor și între acestea va necesita reforme și investiții pe scară largă în recalificare și perfecționare</w:t>
      </w:r>
      <w:r>
        <w:rPr>
          <w:rFonts w:ascii="Times New Roman" w:hAnsi="Times New Roman"/>
          <w:noProof/>
          <w:sz w:val="24"/>
        </w:rPr>
        <w:t xml:space="preserve">. </w:t>
      </w:r>
      <w:r>
        <w:rPr>
          <w:rFonts w:ascii="Times New Roman" w:hAnsi="Times New Roman"/>
          <w:noProof/>
          <w:sz w:val="24"/>
          <w:szCs w:val="24"/>
        </w:rPr>
        <w:t xml:space="preserve">De asemenea, transformarea digitală va crea probabil noi oportunități de angajare în domeniul tehnologiilor avansate, în timp ce alte locuri de muncă vor fi, cel mai probabil, integral sau parțial automatizate. Noile forme de organizare a muncii creează atât oportunități, cât și provocări pentru responsabilii de elaborare a politicilor, în special în ceea ce privește asigurarea unui acces sporit la protecție socială și la condiții de muncă de înaltă calitate. Pentru a facilita restructurarea și adaptarea, statele membre ar trebui să urmeze abordări detaliate, concentrându-se asupra regiunilor și sectoarelor individuale în cauză. Abordarea privind pachetele de măsuri cuprinzătoare și coerente stabilită în Recomandarea Comisiei referitoare la un sprijin activ eficace pentru ocuparea forței de muncă (EASE) poate ghida acest proces. </w:t>
      </w:r>
    </w:p>
    <w:p w:rsidR="000003FE" w:rsidRPr="00194CDE" w:rsidRDefault="000003FE" w:rsidP="00135BF7">
      <w:pPr>
        <w:spacing w:after="240" w:line="240" w:lineRule="auto"/>
        <w:jc w:val="both"/>
        <w:rPr>
          <w:rFonts w:ascii="Times New Roman" w:hAnsi="Times New Roman" w:cs="Times New Roman"/>
          <w:noProof/>
          <w:sz w:val="24"/>
          <w:szCs w:val="24"/>
        </w:rPr>
      </w:pPr>
      <w:r>
        <w:rPr>
          <w:rFonts w:ascii="Times New Roman" w:hAnsi="Times New Roman"/>
          <w:b/>
          <w:noProof/>
          <w:sz w:val="24"/>
          <w:szCs w:val="24"/>
        </w:rPr>
        <w:t>Va fi necesar un răspuns politic ferm la toate nivelurile pentru a aborda în mod eficace provocările sociale și de coeziune viitoare.</w:t>
      </w:r>
      <w:r>
        <w:rPr>
          <w:rFonts w:ascii="Times New Roman" w:hAnsi="Times New Roman"/>
          <w:noProof/>
          <w:sz w:val="24"/>
          <w:szCs w:val="24"/>
        </w:rPr>
        <w:t xml:space="preserve"> La nivelul UE, Pilonul european al drepturilor sociale și planul de acțiune aferent</w:t>
      </w:r>
      <w:r>
        <w:rPr>
          <w:rStyle w:val="FootnoteReference"/>
          <w:rFonts w:ascii="Times New Roman" w:hAnsi="Times New Roman" w:cs="Times New Roman"/>
          <w:noProof/>
          <w:sz w:val="24"/>
          <w:szCs w:val="24"/>
          <w:lang w:val="en-IE"/>
        </w:rPr>
        <w:footnoteReference w:id="33"/>
      </w:r>
      <w:r>
        <w:rPr>
          <w:rFonts w:ascii="Times New Roman" w:hAnsi="Times New Roman"/>
          <w:noProof/>
          <w:sz w:val="24"/>
          <w:szCs w:val="24"/>
        </w:rPr>
        <w:t xml:space="preserve"> oferă un cadru de acțiune coerent, inclusiv trei obiective principale ambițioase ale UE pentru 2030 în domeniul ocupării forței de muncă, al competențelor și al reducerii sărăciei</w:t>
      </w:r>
      <w:r>
        <w:rPr>
          <w:rStyle w:val="FootnoteReference"/>
          <w:rFonts w:ascii="Times New Roman" w:hAnsi="Times New Roman" w:cs="Times New Roman"/>
          <w:noProof/>
          <w:sz w:val="24"/>
          <w:szCs w:val="24"/>
          <w:lang w:val="en-IE"/>
        </w:rPr>
        <w:footnoteReference w:id="34"/>
      </w:r>
      <w:r>
        <w:rPr>
          <w:noProof/>
        </w:rPr>
        <w:t>.</w:t>
      </w:r>
      <w:r>
        <w:rPr>
          <w:rFonts w:ascii="Times New Roman" w:hAnsi="Times New Roman"/>
          <w:noProof/>
          <w:sz w:val="24"/>
          <w:szCs w:val="24"/>
        </w:rPr>
        <w:t xml:space="preserve"> Statele membre și administrațiile regionale și locale vor trebui, de asemenea, să își joace rolul prin implicarea actorilor relevanți de la fața locului, inclusiv a partenerilor sociali și a societății civile, în elaborarea și punerea în aplicare a unor politici favorabile și a unor măsuri de însoțire eficace. </w:t>
      </w:r>
      <w:r>
        <w:rPr>
          <w:rStyle w:val="Standaardalinea-lettertype"/>
          <w:rFonts w:ascii="Times New Roman" w:hAnsi="Times New Roman"/>
          <w:noProof/>
          <w:sz w:val="24"/>
          <w:szCs w:val="24"/>
        </w:rPr>
        <w:t>Bugetul UE va continua să ofere sprijin pentru reducerea disparităților regionale și sociale, în special prin intermediul politicii de coeziune.</w:t>
      </w:r>
      <w:r>
        <w:rPr>
          <w:rFonts w:ascii="Times New Roman" w:hAnsi="Times New Roman"/>
          <w:noProof/>
          <w:sz w:val="24"/>
          <w:szCs w:val="24"/>
        </w:rPr>
        <w:t xml:space="preserve"> </w:t>
      </w:r>
    </w:p>
    <w:p w:rsidR="00DC3834" w:rsidRPr="00002E82" w:rsidRDefault="00D91BFD" w:rsidP="00D27F3B">
      <w:pPr>
        <w:spacing w:after="240" w:line="240" w:lineRule="auto"/>
        <w:jc w:val="both"/>
        <w:rPr>
          <w:rFonts w:ascii="Times New Roman" w:hAnsi="Times New Roman" w:cs="Times New Roman"/>
          <w:noProof/>
          <w:sz w:val="24"/>
          <w:szCs w:val="24"/>
        </w:rPr>
      </w:pPr>
      <w:r>
        <w:rPr>
          <w:rFonts w:ascii="Times New Roman" w:hAnsi="Times New Roman"/>
          <w:b/>
          <w:noProof/>
          <w:sz w:val="24"/>
          <w:szCs w:val="24"/>
        </w:rPr>
        <w:t>După cum s-a subliniat în Declarația de la Porto</w:t>
      </w:r>
      <w:r>
        <w:rPr>
          <w:rStyle w:val="FootnoteReference"/>
          <w:rFonts w:ascii="Times New Roman" w:hAnsi="Times New Roman" w:cs="Times New Roman"/>
          <w:b/>
          <w:noProof/>
          <w:sz w:val="24"/>
          <w:szCs w:val="24"/>
          <w:lang w:val="en-IE"/>
        </w:rPr>
        <w:footnoteReference w:id="35"/>
      </w:r>
      <w:r>
        <w:rPr>
          <w:rFonts w:ascii="Times New Roman" w:hAnsi="Times New Roman"/>
          <w:b/>
          <w:noProof/>
          <w:sz w:val="24"/>
          <w:szCs w:val="24"/>
        </w:rPr>
        <w:t xml:space="preserve">, educația și competențele trebuie să se afle în centrul acțiunii noastre politice. </w:t>
      </w:r>
      <w:r>
        <w:rPr>
          <w:rFonts w:ascii="Times New Roman" w:hAnsi="Times New Roman"/>
          <w:noProof/>
          <w:sz w:val="24"/>
          <w:szCs w:val="24"/>
        </w:rPr>
        <w:t>Sistemele existente</w:t>
      </w:r>
      <w:r>
        <w:rPr>
          <w:rFonts w:ascii="Times New Roman" w:hAnsi="Times New Roman"/>
          <w:b/>
          <w:noProof/>
          <w:sz w:val="24"/>
          <w:szCs w:val="24"/>
        </w:rPr>
        <w:t xml:space="preserve"> </w:t>
      </w:r>
      <w:r>
        <w:rPr>
          <w:rFonts w:ascii="Times New Roman" w:hAnsi="Times New Roman"/>
          <w:noProof/>
          <w:sz w:val="24"/>
        </w:rPr>
        <w:t>vor trebui să se adapteze pentru a sprijini tranziția către locuri de muncă nou create.</w:t>
      </w:r>
      <w:r>
        <w:rPr>
          <w:rFonts w:ascii="Times New Roman" w:hAnsi="Times New Roman"/>
          <w:noProof/>
          <w:sz w:val="24"/>
          <w:szCs w:val="24"/>
        </w:rPr>
        <w:t xml:space="preserve"> Comunicarea privind Spațiul european al educației</w:t>
      </w:r>
      <w:r>
        <w:rPr>
          <w:rStyle w:val="FootnoteReference"/>
          <w:rFonts w:ascii="Times New Roman" w:hAnsi="Times New Roman" w:cs="Times New Roman"/>
          <w:noProof/>
          <w:sz w:val="24"/>
          <w:szCs w:val="24"/>
          <w:lang w:val="en-IE"/>
        </w:rPr>
        <w:footnoteReference w:id="36"/>
      </w:r>
      <w:r>
        <w:rPr>
          <w:rFonts w:ascii="Times New Roman" w:hAnsi="Times New Roman"/>
          <w:noProof/>
          <w:sz w:val="24"/>
          <w:szCs w:val="24"/>
        </w:rPr>
        <w:t xml:space="preserve"> formulează o viziune comună pentru a îmbunătăți accesul la educație și formare de calitate și pentru a le oferi cetățenilor Uniunii cunoștințele și competențele necesare pentru a beneficia de avantajele oferite de dubla tranziție verde și digitală. În plus, Planul de acțiune pentru educația digitală propune un set de inițiative în scopul promovării dezvoltării unui ecosistem de educație digitală și a consolidării competențelor relevante pentru transformarea digitală.</w:t>
      </w:r>
    </w:p>
    <w:p w:rsidR="00B347D3" w:rsidRDefault="00DC3834" w:rsidP="00D27F3B">
      <w:pPr>
        <w:spacing w:after="240" w:line="240" w:lineRule="auto"/>
        <w:jc w:val="both"/>
        <w:rPr>
          <w:rFonts w:ascii="Times New Roman" w:hAnsi="Times New Roman" w:cs="Times New Roman"/>
          <w:noProof/>
          <w:sz w:val="24"/>
          <w:szCs w:val="24"/>
        </w:rPr>
      </w:pPr>
      <w:r>
        <w:rPr>
          <w:rFonts w:ascii="Times New Roman" w:hAnsi="Times New Roman"/>
          <w:b/>
          <w:noProof/>
          <w:sz w:val="24"/>
          <w:szCs w:val="24"/>
        </w:rPr>
        <w:t>Agenda europeană pentru competențe, inclusiv Pactul pentru competențe, oferă un cadru cuprinzător de acțiuni viitoare și un set de obiective ambițioase în vederea canalizării investițiilor către învățarea în rândul adulților în întreaga Uniune.</w:t>
      </w:r>
      <w:r>
        <w:rPr>
          <w:rFonts w:ascii="Times New Roman" w:hAnsi="Times New Roman"/>
          <w:noProof/>
          <w:sz w:val="24"/>
          <w:szCs w:val="24"/>
        </w:rPr>
        <w:t xml:space="preserve"> Agenda include în special propuneri privind educația și formarea profesională, micro-certificatele și conturile personale de învățare. Pentru a pune în aplicare inițiativele și pentru a îndeplini obiectivele Agendei pentru competențe, UE va avea nevoie de investiții publice și private suplimentare în competențe în valoare de aproximativ 48 de miliarde EUR pe an</w:t>
      </w:r>
      <w:r>
        <w:rPr>
          <w:rStyle w:val="FootnoteReference"/>
          <w:rFonts w:ascii="Times New Roman" w:hAnsi="Times New Roman" w:cs="Times New Roman"/>
          <w:noProof/>
          <w:sz w:val="24"/>
          <w:szCs w:val="24"/>
          <w:lang w:val="en-IE"/>
        </w:rPr>
        <w:footnoteReference w:id="37"/>
      </w:r>
      <w:r>
        <w:rPr>
          <w:noProof/>
        </w:rPr>
        <w:t>.</w:t>
      </w:r>
      <w:r>
        <w:rPr>
          <w:rFonts w:ascii="Times New Roman" w:hAnsi="Times New Roman"/>
          <w:noProof/>
          <w:sz w:val="24"/>
          <w:szCs w:val="24"/>
        </w:rPr>
        <w:t xml:space="preserve"> NextGenerationEU și bugetul UE oferă resurse semnificative care contribuie la satisfacerea acestor necesități</w:t>
      </w:r>
      <w:r>
        <w:rPr>
          <w:rStyle w:val="FootnoteReference"/>
          <w:rFonts w:ascii="Times New Roman" w:hAnsi="Times New Roman" w:cs="Times New Roman"/>
          <w:noProof/>
          <w:sz w:val="24"/>
          <w:szCs w:val="24"/>
          <w:lang w:val="en-IE"/>
        </w:rPr>
        <w:footnoteReference w:id="38"/>
      </w:r>
      <w:r>
        <w:rPr>
          <w:noProof/>
        </w:rPr>
        <w:t>.</w:t>
      </w:r>
      <w:r>
        <w:rPr>
          <w:rFonts w:ascii="Times New Roman" w:hAnsi="Times New Roman"/>
          <w:noProof/>
          <w:sz w:val="24"/>
          <w:szCs w:val="24"/>
        </w:rPr>
        <w:t xml:space="preserve"> </w:t>
      </w:r>
    </w:p>
    <w:p w:rsidR="00DC3834" w:rsidRPr="005404A4" w:rsidRDefault="00DC3834" w:rsidP="00D27F3B">
      <w:pPr>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 xml:space="preserve">Vor fi necesare măsuri de însoțire pentru a atenua efectele distributive ale dublei tranziții. </w:t>
      </w:r>
      <w:r>
        <w:rPr>
          <w:rFonts w:ascii="Times New Roman" w:hAnsi="Times New Roman"/>
          <w:noProof/>
          <w:sz w:val="24"/>
          <w:szCs w:val="24"/>
        </w:rPr>
        <w:t>Măsurile vor trebui să fie concepute cu atenție pentru a oferi stimulentele și sprijinul necesare pentru tranziția către neutralitatea climatică. La nivelul UE, finanțarea politicilor de sprijin este asigurată prin intermediul politicii de coeziune, al Mecanismului pentru o tranziție justă, al Mecanismului de redresare și reziliență și, în viitor, va fi asigurată prin intermediul Fondului pentru atenuarea impactului social al acțiunilor climatice propus, legat de introducerea comercializării certificatelor de emisii în sectorul construcțiilor și al transportului rutier. Prin asigurarea unei dezvoltări teritoriale echilibrate și prin crearea de oportunități de angajare pentru toți, luând în același timp măsuri de atenuare a impactului negativ asupra persoanelor celor mai vulnerabile, inclusiv asupra persoanelor expuse riscului de sărăcie energetică, și prin sporirea accesului la protecție socială, transformarea economică poate contribui la abordarea inegalităților socioeconomice preexistente, la îmbunătățirea sănătății și la promovarea egalității. Echitatea dublei tranziții va necesita, de asemenea, măsuri de promovare a unor condiții de muncă adecvate, inclusiv în ceea ce privește salariul minim</w:t>
      </w:r>
      <w:r>
        <w:rPr>
          <w:rStyle w:val="FootnoteReference"/>
          <w:rFonts w:ascii="Times New Roman" w:hAnsi="Times New Roman" w:cs="Times New Roman"/>
          <w:noProof/>
          <w:sz w:val="24"/>
          <w:szCs w:val="24"/>
          <w:lang w:val="en-IE"/>
        </w:rPr>
        <w:footnoteReference w:id="39"/>
      </w:r>
      <w:r>
        <w:rPr>
          <w:noProof/>
        </w:rPr>
        <w:t>.</w:t>
      </w:r>
      <w:r>
        <w:rPr>
          <w:rFonts w:ascii="Times New Roman" w:hAnsi="Times New Roman"/>
          <w:noProof/>
          <w:sz w:val="24"/>
          <w:szCs w:val="24"/>
        </w:rPr>
        <w:t xml:space="preserve"> </w:t>
      </w:r>
    </w:p>
    <w:p w:rsidR="00DF5995" w:rsidRPr="00002E82" w:rsidRDefault="00DF5995" w:rsidP="00002E82">
      <w:pPr>
        <w:pStyle w:val="ListParagraph"/>
        <w:numPr>
          <w:ilvl w:val="0"/>
          <w:numId w:val="1"/>
        </w:numPr>
        <w:spacing w:after="240" w:line="240" w:lineRule="auto"/>
        <w:contextualSpacing w:val="0"/>
        <w:rPr>
          <w:rFonts w:ascii="Times New Roman" w:hAnsi="Times New Roman" w:cs="Times New Roman"/>
          <w:smallCaps/>
          <w:noProof/>
          <w:sz w:val="24"/>
          <w:szCs w:val="24"/>
        </w:rPr>
      </w:pPr>
      <w:r>
        <w:rPr>
          <w:rFonts w:ascii="Times New Roman" w:hAnsi="Times New Roman"/>
          <w:smallCaps/>
          <w:noProof/>
          <w:sz w:val="24"/>
          <w:szCs w:val="24"/>
        </w:rPr>
        <w:t>Mobilizarea unor acțiuni coordonate la toate nivelurile</w:t>
      </w:r>
    </w:p>
    <w:p w:rsidR="00811221" w:rsidRDefault="000E0CC7" w:rsidP="00D27F3B">
      <w:pPr>
        <w:spacing w:after="240" w:line="240" w:lineRule="auto"/>
        <w:jc w:val="both"/>
        <w:rPr>
          <w:rFonts w:ascii="Times New Roman" w:hAnsi="Times New Roman" w:cs="Times New Roman"/>
          <w:noProof/>
          <w:sz w:val="24"/>
          <w:szCs w:val="24"/>
        </w:rPr>
      </w:pPr>
      <w:r>
        <w:rPr>
          <w:rFonts w:ascii="Times New Roman" w:hAnsi="Times New Roman"/>
          <w:b/>
          <w:noProof/>
          <w:sz w:val="24"/>
          <w:szCs w:val="24"/>
        </w:rPr>
        <w:t xml:space="preserve">Pentru a coordona o astfel de transformare considerabilă a economiei europene, este nevoie de un cadru de politică favorabil care să sprijine inovarea și să însoțească schimbările. </w:t>
      </w:r>
      <w:r>
        <w:rPr>
          <w:rFonts w:ascii="Times New Roman" w:hAnsi="Times New Roman"/>
          <w:noProof/>
          <w:sz w:val="24"/>
          <w:szCs w:val="24"/>
        </w:rPr>
        <w:t xml:space="preserve">Pentru a aborda provocările din perioada ulterioară pandemiei vor fi necesare produse și servicii inovatoare, precum și modele de afaceri noi și o forță de muncă bine pregătită și adaptabilă. </w:t>
      </w:r>
    </w:p>
    <w:p w:rsidR="0021246E" w:rsidRPr="006362DF" w:rsidRDefault="00A11A10" w:rsidP="0021246E">
      <w:pPr>
        <w:spacing w:after="240" w:line="240" w:lineRule="auto"/>
        <w:jc w:val="both"/>
        <w:rPr>
          <w:rFonts w:ascii="Times New Roman" w:hAnsi="Times New Roman"/>
          <w:b/>
          <w:noProof/>
          <w:sz w:val="24"/>
        </w:rPr>
      </w:pPr>
      <w:r>
        <w:rPr>
          <w:rFonts w:ascii="Times New Roman" w:hAnsi="Times New Roman"/>
          <w:b/>
          <w:noProof/>
          <w:sz w:val="24"/>
          <w:szCs w:val="24"/>
        </w:rPr>
        <w:t>Investițiile necesare pentru a finaliza dubla tranziție și pentru a spori reziliența vor trebui să provină în principal din sectorul privat.</w:t>
      </w:r>
      <w:r>
        <w:rPr>
          <w:rFonts w:ascii="Times New Roman" w:hAnsi="Times New Roman"/>
          <w:noProof/>
          <w:sz w:val="24"/>
          <w:szCs w:val="24"/>
        </w:rPr>
        <w:t xml:space="preserve"> Prin urmare, se impune valorificarea deplină a oportunităților de afaceri oferite de piața unică, înființarea de întreprinderi noi și extinderea acestora, precum și valorificarea potențialului uniunii piețelor de capital de a îmbunătăți eficiența alocării fondurilor pe teritoriul Uniunii. </w:t>
      </w:r>
      <w:r>
        <w:rPr>
          <w:rFonts w:ascii="Times New Roman" w:hAnsi="Times New Roman"/>
          <w:noProof/>
          <w:sz w:val="24"/>
        </w:rPr>
        <w:t xml:space="preserve">Statele membre </w:t>
      </w:r>
      <w:r>
        <w:rPr>
          <w:rFonts w:ascii="Times New Roman" w:hAnsi="Times New Roman"/>
          <w:noProof/>
          <w:sz w:val="24"/>
          <w:szCs w:val="24"/>
        </w:rPr>
        <w:t>joacă un</w:t>
      </w:r>
      <w:r>
        <w:rPr>
          <w:rFonts w:ascii="Times New Roman" w:hAnsi="Times New Roman"/>
          <w:noProof/>
          <w:sz w:val="24"/>
        </w:rPr>
        <w:t xml:space="preserve"> rol </w:t>
      </w:r>
      <w:r>
        <w:rPr>
          <w:rFonts w:ascii="Times New Roman" w:hAnsi="Times New Roman"/>
          <w:noProof/>
          <w:sz w:val="24"/>
          <w:szCs w:val="24"/>
        </w:rPr>
        <w:t>esențial în ceea ce privește</w:t>
      </w:r>
      <w:r>
        <w:rPr>
          <w:rFonts w:ascii="Times New Roman" w:hAnsi="Times New Roman"/>
          <w:b/>
          <w:noProof/>
          <w:sz w:val="24"/>
        </w:rPr>
        <w:t xml:space="preserve"> </w:t>
      </w:r>
      <w:r>
        <w:rPr>
          <w:rFonts w:ascii="Times New Roman" w:hAnsi="Times New Roman"/>
          <w:noProof/>
          <w:sz w:val="24"/>
        </w:rPr>
        <w:t>eliminarea barierelor legate de transpunerea și punerea în aplicare a legislației UE, procedurile administrative îndelungate și complexe,</w:t>
      </w:r>
      <w:r>
        <w:rPr>
          <w:rFonts w:ascii="Times New Roman" w:hAnsi="Times New Roman"/>
          <w:noProof/>
          <w:sz w:val="24"/>
          <w:szCs w:val="24"/>
        </w:rPr>
        <w:t xml:space="preserve"> incertitudinea în materie de reglementare, fragmentarea, sistemele fiscale complexe și mediul de afaceri slăbit. În plus, politicile transversale, cum ar fi politica fiscală, politica comercială și politica în domeniul concurenței, sprijină, de asemenea, mediul de afaceri favorabil al Uniunii și contribuie la atragerea de investiții. </w:t>
      </w:r>
    </w:p>
    <w:p w:rsidR="00A70B65" w:rsidRDefault="00EE00BF" w:rsidP="00A70B65">
      <w:pPr>
        <w:spacing w:after="240" w:line="240" w:lineRule="auto"/>
        <w:jc w:val="both"/>
        <w:rPr>
          <w:rFonts w:ascii="Times New Roman" w:hAnsi="Times New Roman" w:cs="Times New Roman"/>
          <w:b/>
          <w:noProof/>
          <w:sz w:val="24"/>
          <w:szCs w:val="24"/>
        </w:rPr>
      </w:pPr>
      <w:r>
        <w:rPr>
          <w:rFonts w:ascii="Times New Roman" w:hAnsi="Times New Roman"/>
          <w:b/>
          <w:noProof/>
          <w:sz w:val="24"/>
          <w:szCs w:val="24"/>
        </w:rPr>
        <w:t>Este nevoie de o uniune a piețelor de capital și de o uniune bancară solide și eficiente care să mobilizeze fluxul de fonduri private necesare pentru sprijinirea dublei tranziții</w:t>
      </w:r>
      <w:r>
        <w:rPr>
          <w:rStyle w:val="FootnoteReference"/>
          <w:rFonts w:ascii="Times New Roman" w:hAnsi="Times New Roman" w:cs="Times New Roman"/>
          <w:b/>
          <w:noProof/>
          <w:sz w:val="24"/>
          <w:szCs w:val="24"/>
          <w:lang w:val="en-IE"/>
        </w:rPr>
        <w:footnoteReference w:id="40"/>
      </w:r>
      <w:r>
        <w:rPr>
          <w:noProof/>
        </w:rPr>
        <w:t>.</w:t>
      </w:r>
      <w:r>
        <w:rPr>
          <w:rFonts w:ascii="Times New Roman" w:hAnsi="Times New Roman"/>
          <w:b/>
          <w:noProof/>
          <w:sz w:val="24"/>
          <w:szCs w:val="24"/>
        </w:rPr>
        <w:t xml:space="preserve"> </w:t>
      </w:r>
      <w:r>
        <w:rPr>
          <w:rFonts w:ascii="Times New Roman" w:hAnsi="Times New Roman"/>
          <w:noProof/>
          <w:sz w:val="24"/>
          <w:szCs w:val="24"/>
        </w:rPr>
        <w:t>Investițiile la scara necesară pentru redresare și pentru dubla tranziție nu pot fi asigurate decât de un sector bancar puternic și competitiv și de piețe de capital funcționale, active și integrate.</w:t>
      </w:r>
      <w:r>
        <w:rPr>
          <w:rFonts w:ascii="Times New Roman" w:hAnsi="Times New Roman"/>
          <w:b/>
          <w:noProof/>
          <w:sz w:val="24"/>
          <w:szCs w:val="24"/>
        </w:rPr>
        <w:t xml:space="preserve"> </w:t>
      </w:r>
      <w:r>
        <w:rPr>
          <w:rFonts w:ascii="Times New Roman" w:hAnsi="Times New Roman"/>
          <w:noProof/>
          <w:sz w:val="24"/>
          <w:szCs w:val="24"/>
        </w:rPr>
        <w:t xml:space="preserve">Ele sprijină dubla tranziție prin sporirea vizibilității întreprinderilor, inclusiv a IMM-urilor, pentru investitori, prin sprijinirea accesului la piețele publice și prin încurajarea acordării într-o măsură mai mare de finanțare pe termen lung și de finanțare prin capitaluri proprii, inclusiv prin intermediul programului InvestEU. </w:t>
      </w:r>
      <w:r>
        <w:rPr>
          <w:rFonts w:ascii="Times New Roman" w:hAnsi="Times New Roman"/>
          <w:noProof/>
          <w:color w:val="000000"/>
          <w:sz w:val="24"/>
          <w:szCs w:val="24"/>
        </w:rPr>
        <w:t xml:space="preserve">Accesul la finanțare pentru întreprinderi, în general, și pentru IMM-uri, în special, poate fi îmbunătățit prin finalizarea uniunii bancare și prin dezvoltarea piețelor de capital, astfel încât să se diversifice sursele de finanțare, precum și prin </w:t>
      </w:r>
      <w:r>
        <w:rPr>
          <w:rFonts w:ascii="Times New Roman" w:hAnsi="Times New Roman"/>
          <w:iCs/>
          <w:noProof/>
          <w:color w:val="000000"/>
          <w:sz w:val="24"/>
          <w:szCs w:val="24"/>
        </w:rPr>
        <w:t>eliminarea barierelor din calea serviciilor financiare furnizate la nivel transfrontalier</w:t>
      </w:r>
      <w:r>
        <w:rPr>
          <w:rFonts w:ascii="Times New Roman" w:hAnsi="Times New Roman"/>
          <w:noProof/>
          <w:color w:val="000000"/>
          <w:sz w:val="24"/>
          <w:szCs w:val="24"/>
        </w:rPr>
        <w:t xml:space="preserve">. </w:t>
      </w:r>
      <w:r>
        <w:rPr>
          <w:rFonts w:ascii="Times New Roman" w:hAnsi="Times New Roman"/>
          <w:noProof/>
          <w:sz w:val="24"/>
          <w:szCs w:val="24"/>
        </w:rPr>
        <w:t xml:space="preserve">Pentru a beneficia de avantajele oferite de piețele de capital integrate, este important ca uniunea piețelor de capital să fie finalizată prin adoptarea și punerea în aplicare rapidă a măsurilor prezentate de Comisie anul trecut și a propunerilor care urmează să fie prezentate anul acesta. În special, Comisia intenționează să prezinte propuneri pentru reducerea birocrației în cazul întreprinderilor care doresc să strângă fonduri de pe piețele publice din UE și pentru armonizarea anumitor aspecte ale cadrelor și procedurilor de insolvență. </w:t>
      </w:r>
    </w:p>
    <w:p w:rsidR="008366C2" w:rsidRDefault="00E40F51" w:rsidP="00E40F51">
      <w:pPr>
        <w:spacing w:after="240" w:line="240" w:lineRule="auto"/>
        <w:jc w:val="both"/>
        <w:rPr>
          <w:rFonts w:ascii="Times New Roman" w:hAnsi="Times New Roman" w:cs="Times New Roman"/>
          <w:b/>
          <w:noProof/>
          <w:sz w:val="24"/>
          <w:szCs w:val="24"/>
        </w:rPr>
      </w:pPr>
      <w:r>
        <w:rPr>
          <w:rFonts w:ascii="Times New Roman" w:hAnsi="Times New Roman"/>
          <w:b/>
          <w:noProof/>
          <w:sz w:val="24"/>
          <w:szCs w:val="24"/>
        </w:rPr>
        <w:t>Cadrul de finanțare durabilă va spori investițiile private în activități economice, întreprinderi și proiecte durabile.</w:t>
      </w:r>
      <w:r>
        <w:rPr>
          <w:rFonts w:ascii="Times New Roman" w:hAnsi="Times New Roman"/>
          <w:noProof/>
          <w:sz w:val="24"/>
          <w:szCs w:val="24"/>
        </w:rPr>
        <w:t xml:space="preserve"> Noua strategie privind finanțarea durabilă</w:t>
      </w:r>
      <w:r>
        <w:rPr>
          <w:rStyle w:val="FootnoteReference"/>
          <w:rFonts w:ascii="Times New Roman" w:hAnsi="Times New Roman" w:cs="Times New Roman"/>
          <w:noProof/>
          <w:sz w:val="24"/>
          <w:szCs w:val="24"/>
          <w:lang w:val="en-IE"/>
        </w:rPr>
        <w:footnoteReference w:id="41"/>
      </w:r>
      <w:r>
        <w:rPr>
          <w:rFonts w:ascii="Times New Roman" w:hAnsi="Times New Roman"/>
          <w:noProof/>
          <w:sz w:val="24"/>
          <w:szCs w:val="24"/>
        </w:rPr>
        <w:t xml:space="preserve"> enumeră un set de măsuri menite să garanteze că sistemul financiar sprijină pe deplin tranziția către durabilitate. Strategia se bazează în mare măsură pe taxonomia UE</w:t>
      </w:r>
      <w:r>
        <w:rPr>
          <w:rStyle w:val="FootnoteReference"/>
          <w:rFonts w:ascii="Times New Roman" w:hAnsi="Times New Roman" w:cs="Times New Roman"/>
          <w:noProof/>
          <w:sz w:val="24"/>
          <w:szCs w:val="24"/>
          <w:lang w:val="en-IE"/>
        </w:rPr>
        <w:footnoteReference w:id="42"/>
      </w:r>
      <w:r>
        <w:rPr>
          <w:rFonts w:ascii="Times New Roman" w:hAnsi="Times New Roman"/>
          <w:noProof/>
          <w:sz w:val="24"/>
          <w:szCs w:val="24"/>
        </w:rPr>
        <w:t>, care oferă întreprinderilor, investitorilor și responsabililor de elaborarea politicilor criterii pe baza cărora activitățile economice contribuie în mod substanțial la realizarea obiectivelor în materie de climă și de mediu, inclusiv activitățile legate de tranziție. Aceasta cuprinde, de asemenea, măsuri pentru promovarea transparenței investițiilor durabile, pentru consolidarea capacității investitorilor individuali și a IMM-urilor și pentru o mai bună integrare a riscurilor legate de durabilitate în sistemul financiar. De asemenea, ca urmare a revizuirii propriei strategii, Banca Centrală Europeană a adoptat o foaie de parcurs ambițioasă cu privire la modalitățile de integrare în activitățile sale a considerentelor legate de schimbările climatice. În plus, pentru a finanța proiecte durabile în cadrul Mecanismului de redresare și reziliență, Comisia emite obligațiuni verzi în cadrul instrumentului de redresare NextGenerationEU, consolidând astfel și mai mult piața finanțării durabile.</w:t>
      </w:r>
      <w:r>
        <w:rPr>
          <w:rFonts w:ascii="Times New Roman" w:hAnsi="Times New Roman"/>
          <w:b/>
          <w:noProof/>
          <w:sz w:val="24"/>
        </w:rPr>
        <w:t xml:space="preserve"> </w:t>
      </w:r>
    </w:p>
    <w:p w:rsidR="00B22647" w:rsidRDefault="00B22647" w:rsidP="00B22647">
      <w:pPr>
        <w:spacing w:after="240" w:line="240" w:lineRule="auto"/>
        <w:jc w:val="both"/>
        <w:rPr>
          <w:rFonts w:ascii="Times New Roman" w:hAnsi="Times New Roman" w:cs="Times New Roman"/>
          <w:noProof/>
          <w:sz w:val="24"/>
          <w:szCs w:val="24"/>
        </w:rPr>
      </w:pPr>
      <w:r>
        <w:rPr>
          <w:rFonts w:ascii="Times New Roman" w:hAnsi="Times New Roman"/>
          <w:b/>
          <w:noProof/>
          <w:sz w:val="24"/>
          <w:szCs w:val="24"/>
        </w:rPr>
        <w:t>Deși cea mai mare parte a investițiilor va proveni din fonduri private, în anumite cazuri poate fi necesară intervenția publică pentru a crea stimulentele necesare și pentru a elimina obstacolele din calea inovării</w:t>
      </w:r>
      <w:r>
        <w:rPr>
          <w:rFonts w:ascii="Times New Roman" w:hAnsi="Times New Roman"/>
          <w:noProof/>
          <w:sz w:val="24"/>
          <w:szCs w:val="24"/>
        </w:rPr>
        <w:t xml:space="preserve">. Stabilirea prețului carbonului prin intermediul sistemului UE de comercializare a certificatelor de emisii (EU ETS) și taxele de mediu sunt esențiale pentru transmiterea semnalelor de preț corecte gospodăriilor și întreprinderilor. De asemenea, măsurile de reglementare pot crea condiții de concurență echitabile (de exemplu, propunerea de regulament privind bateriile). Standardele pot promova transparența și pot reduce riscurile de piață, în timp ce politica în materie de proprietate intelectuală protejează inovarea și sprijină </w:t>
      </w:r>
      <w:r>
        <w:rPr>
          <w:rFonts w:ascii="Times New Roman" w:hAnsi="Times New Roman"/>
          <w:noProof/>
          <w:sz w:val="24"/>
        </w:rPr>
        <w:t>investițiile</w:t>
      </w:r>
      <w:r>
        <w:rPr>
          <w:rStyle w:val="FootnoteReference"/>
          <w:rFonts w:ascii="Times New Roman" w:eastAsia="Times New Roman" w:hAnsi="Times New Roman" w:cs="Times New Roman"/>
          <w:noProof/>
          <w:sz w:val="24"/>
          <w:szCs w:val="24"/>
          <w:lang w:eastAsia="en-GB"/>
        </w:rPr>
        <w:footnoteReference w:id="43"/>
      </w:r>
      <w:r>
        <w:rPr>
          <w:rFonts w:ascii="Times New Roman" w:hAnsi="Times New Roman"/>
          <w:noProof/>
          <w:sz w:val="24"/>
        </w:rPr>
        <w:t>.</w:t>
      </w:r>
      <w:r>
        <w:rPr>
          <w:noProof/>
        </w:rPr>
        <w:t>.</w:t>
      </w:r>
      <w:r>
        <w:rPr>
          <w:rFonts w:ascii="Times New Roman" w:hAnsi="Times New Roman"/>
          <w:noProof/>
          <w:sz w:val="24"/>
          <w:szCs w:val="24"/>
        </w:rPr>
        <w:t xml:space="preserve"> </w:t>
      </w:r>
    </w:p>
    <w:p w:rsidR="00DD2A4F" w:rsidRPr="007223A6" w:rsidRDefault="003268B2" w:rsidP="00576EC1">
      <w:pPr>
        <w:spacing w:after="240" w:line="240" w:lineRule="auto"/>
        <w:jc w:val="both"/>
        <w:rPr>
          <w:rFonts w:ascii="Times New Roman" w:hAnsi="Times New Roman" w:cs="Times New Roman"/>
          <w:noProof/>
          <w:sz w:val="24"/>
          <w:szCs w:val="24"/>
        </w:rPr>
      </w:pPr>
      <w:r>
        <w:rPr>
          <w:rFonts w:ascii="Times New Roman" w:hAnsi="Times New Roman"/>
          <w:b/>
          <w:noProof/>
          <w:sz w:val="24"/>
          <w:szCs w:val="24"/>
        </w:rPr>
        <w:t xml:space="preserve">Investițiile publice pot fi un catalizator pentru investițiile private. </w:t>
      </w:r>
      <w:r>
        <w:rPr>
          <w:rFonts w:ascii="Times New Roman" w:hAnsi="Times New Roman"/>
          <w:noProof/>
          <w:sz w:val="24"/>
          <w:szCs w:val="24"/>
        </w:rPr>
        <w:t xml:space="preserve">Ele pot juca acest rol, în special prin îmbunătățirea accesului IMM-urilor la finanțare și la capitalul de risc, prin canalizarea și atragerea </w:t>
      </w:r>
      <w:r>
        <w:rPr>
          <w:rFonts w:ascii="Times New Roman" w:hAnsi="Times New Roman"/>
          <w:noProof/>
          <w:sz w:val="24"/>
        </w:rPr>
        <w:t xml:space="preserve">investițiilor private, </w:t>
      </w:r>
      <w:r>
        <w:rPr>
          <w:rFonts w:ascii="Times New Roman" w:hAnsi="Times New Roman"/>
          <w:noProof/>
          <w:sz w:val="24"/>
          <w:szCs w:val="24"/>
        </w:rPr>
        <w:t>prin reducerea riscurilor aferente proiectelor inovatoare, prin remedierea disfuncționalităților pieței și prin promovarea unor legături mai strânse între institutele de cercetare și întreprinderi. De exemplu, în ceea ce privește producția de microprocesoare, există bariere la intrare însemnate și costuri fixe substanțiale. Acest lucru poate justifica utilizarea sprijinului public în domenii critice care fac obiectul unor garanții solide.</w:t>
      </w:r>
      <w:r>
        <w:rPr>
          <w:rFonts w:ascii="Times New Roman" w:hAnsi="Times New Roman"/>
          <w:b/>
          <w:noProof/>
          <w:sz w:val="24"/>
        </w:rPr>
        <w:t xml:space="preserve"> </w:t>
      </w:r>
      <w:r>
        <w:rPr>
          <w:rFonts w:ascii="Times New Roman" w:hAnsi="Times New Roman"/>
          <w:noProof/>
          <w:sz w:val="24"/>
          <w:szCs w:val="24"/>
        </w:rPr>
        <w:t xml:space="preserve">Cu toate acestea, sprijinul public trebuie să fie canalizat în mod corespunzător către proiecte cu o valoare adăugată clară, pentru a evita retragerea investițiilor private și a menține soliditatea finanțelor publice. </w:t>
      </w:r>
    </w:p>
    <w:p w:rsidR="00F65040" w:rsidRPr="00576EC1" w:rsidRDefault="00F65040" w:rsidP="00576EC1">
      <w:pPr>
        <w:spacing w:after="0" w:line="240" w:lineRule="auto"/>
        <w:jc w:val="both"/>
        <w:rPr>
          <w:rFonts w:ascii="Times New Roman" w:hAnsi="Times New Roman"/>
          <w:noProof/>
          <w:sz w:val="24"/>
        </w:rPr>
      </w:pPr>
      <w:r>
        <w:rPr>
          <w:rFonts w:ascii="Times New Roman" w:hAnsi="Times New Roman"/>
          <w:b/>
          <w:noProof/>
          <w:sz w:val="24"/>
          <w:szCs w:val="24"/>
        </w:rPr>
        <w:t>Politica UE în domeniul concurenței joacă un rol esențial în acest sens, precum și în menținerea unor condiții de concurență echitabile și în sprijinirea dezvoltării întreprinderilor și a activităților de inovare ale acestora.</w:t>
      </w:r>
      <w:r>
        <w:rPr>
          <w:rFonts w:ascii="Times New Roman" w:hAnsi="Times New Roman"/>
          <w:noProof/>
          <w:sz w:val="24"/>
          <w:szCs w:val="24"/>
        </w:rPr>
        <w:t xml:space="preserve"> Menținerea concurenței contribuie la reziliența și competitivitatea întreprinderilor noastre pe piețele mondiale. În timpul pandemiei, cadrul temporar pentru ajutoarele de stat a oferit statelor membre flexibilitatea necesară pentru a sprijini economia în aceste vremuri dificile. Noile orientări privind ajutoarele de stat în domeniul climei, al energiei și al mediului au scopul de a sprijini statele membre pentru realizarea obiectivelor Pactului verde european. În plus, Comisia efectuează o revizuire fără precedent a normelor în materie de concurență pentru a se asigura că acestea sunt adecvate scopului urmărit. În acest context, Comisia a actualizat orientările privind finanțarea publică a proiectelor importante de interes european comun (PIIEC)</w:t>
      </w:r>
      <w:r>
        <w:rPr>
          <w:rStyle w:val="FootnoteReference"/>
          <w:rFonts w:ascii="Times New Roman" w:hAnsi="Times New Roman" w:cs="Times New Roman"/>
          <w:noProof/>
          <w:sz w:val="24"/>
          <w:szCs w:val="24"/>
          <w:lang w:val="en-IE"/>
        </w:rPr>
        <w:footnoteReference w:id="44"/>
      </w:r>
      <w:r>
        <w:rPr>
          <w:noProof/>
        </w:rPr>
        <w:t>.</w:t>
      </w:r>
      <w:r>
        <w:rPr>
          <w:rFonts w:ascii="Times New Roman" w:hAnsi="Times New Roman"/>
          <w:noProof/>
          <w:sz w:val="24"/>
          <w:szCs w:val="24"/>
        </w:rPr>
        <w:t xml:space="preserve"> Pentru a stimula inovarea și asumarea de riscuri</w:t>
      </w:r>
      <w:r>
        <w:rPr>
          <w:rStyle w:val="FootnoteReference"/>
          <w:rFonts w:ascii="Times New Roman" w:hAnsi="Times New Roman" w:cs="Times New Roman"/>
          <w:noProof/>
          <w:sz w:val="24"/>
          <w:szCs w:val="24"/>
          <w:lang w:val="en-IE"/>
        </w:rPr>
        <w:footnoteReference w:id="45"/>
      </w:r>
      <w:r>
        <w:rPr>
          <w:rFonts w:ascii="Times New Roman" w:hAnsi="Times New Roman"/>
          <w:noProof/>
          <w:sz w:val="24"/>
          <w:szCs w:val="24"/>
        </w:rPr>
        <w:t>, Orientările revizuite privind finanțarea de risc au clarificat normele în temeiul cărora statele membre pot sprijini accesul la finanțare al întreprinderilor nou-înființate, al IMM-urilor și al întreprinderilor cu capitalizare medie</w:t>
      </w:r>
      <w:r>
        <w:rPr>
          <w:rStyle w:val="FootnoteReference"/>
          <w:rFonts w:ascii="Times New Roman" w:hAnsi="Times New Roman" w:cs="Times New Roman"/>
          <w:noProof/>
          <w:sz w:val="24"/>
          <w:szCs w:val="24"/>
          <w:lang w:val="en-IE"/>
        </w:rPr>
        <w:footnoteReference w:id="46"/>
      </w:r>
      <w:r>
        <w:rPr>
          <w:noProof/>
        </w:rPr>
        <w:t>.</w:t>
      </w:r>
      <w:r>
        <w:rPr>
          <w:rFonts w:ascii="Times New Roman" w:hAnsi="Times New Roman"/>
          <w:noProof/>
          <w:sz w:val="24"/>
        </w:rPr>
        <w:t xml:space="preserve"> </w:t>
      </w:r>
    </w:p>
    <w:p w:rsidR="00F65040" w:rsidRPr="005404A4" w:rsidRDefault="00AD2F72" w:rsidP="005404A4">
      <w:pPr>
        <w:spacing w:after="0" w:line="240" w:lineRule="auto"/>
        <w:rPr>
          <w:rStyle w:val="Standaardalinea-lettertype"/>
          <w:rFonts w:ascii="Times New Roman" w:hAnsi="Times New Roman" w:cs="Times New Roman"/>
          <w:noProof/>
          <w:sz w:val="24"/>
          <w:szCs w:val="24"/>
        </w:rPr>
      </w:pPr>
      <w:r>
        <w:rPr>
          <w:noProof/>
        </w:rPr>
        <w:tab/>
      </w:r>
    </w:p>
    <w:p w:rsidR="00C81720" w:rsidRPr="00592689" w:rsidRDefault="003268B2" w:rsidP="00592689">
      <w:pPr>
        <w:pStyle w:val="Standaard"/>
        <w:spacing w:after="240"/>
        <w:jc w:val="both"/>
        <w:rPr>
          <w:noProof/>
        </w:rPr>
      </w:pPr>
      <w:r>
        <w:rPr>
          <w:rStyle w:val="Standaardalinea-lettertype"/>
          <w:rFonts w:ascii="Times New Roman" w:hAnsi="Times New Roman"/>
          <w:b/>
          <w:bCs/>
          <w:noProof/>
          <w:sz w:val="24"/>
          <w:szCs w:val="24"/>
        </w:rPr>
        <w:t xml:space="preserve">Investițiile publice trebuie să fie însoțite de necesitatea de a proteja sustenabilitatea finanțelor publice. </w:t>
      </w:r>
      <w:r>
        <w:rPr>
          <w:rFonts w:ascii="Times New Roman" w:hAnsi="Times New Roman"/>
          <w:noProof/>
          <w:sz w:val="24"/>
          <w:szCs w:val="24"/>
        </w:rPr>
        <w:t>Acest lucru</w:t>
      </w:r>
      <w:r>
        <w:rPr>
          <w:rFonts w:ascii="Times New Roman" w:hAnsi="Times New Roman"/>
          <w:noProof/>
          <w:sz w:val="24"/>
        </w:rPr>
        <w:t xml:space="preserve"> este </w:t>
      </w:r>
      <w:r>
        <w:rPr>
          <w:rFonts w:ascii="Times New Roman" w:hAnsi="Times New Roman"/>
          <w:noProof/>
          <w:sz w:val="24"/>
          <w:szCs w:val="24"/>
        </w:rPr>
        <w:t>deosebit de relevant având în vedere necesitatea de a asigura sustenabilitatea datoriei printr-o ajustare fiscal-bugetară și o creștere economică treptate și de înaltă calitate.</w:t>
      </w:r>
      <w:r>
        <w:rPr>
          <w:noProof/>
        </w:rPr>
        <w:t xml:space="preserve"> </w:t>
      </w:r>
      <w:r>
        <w:rPr>
          <w:rStyle w:val="Standaardalinea-lettertype"/>
          <w:rFonts w:ascii="Times New Roman" w:hAnsi="Times New Roman"/>
          <w:noProof/>
          <w:sz w:val="24"/>
          <w:szCs w:val="24"/>
        </w:rPr>
        <w:t>Promovarea investițiilor și a reformelor ar trebui să fie integrată într-o strategie bugetară credibilă pe termen mediu, care să asigure sustenabilitatea finanțelor publice. În acest context, va fi importantă promovarea coerenței între politicile fiscal-bugetare, de investiții și de reformă din statele membre și de la nivelul UE. Aceste aspecte sunt discutate în cadrul activității actuale de revizuire a guvernanței economice europene.</w:t>
      </w:r>
    </w:p>
    <w:p w:rsidR="00E40F51" w:rsidRPr="00002E82" w:rsidRDefault="006B0236" w:rsidP="004E746F">
      <w:pPr>
        <w:spacing w:after="240" w:line="240" w:lineRule="auto"/>
        <w:jc w:val="both"/>
        <w:rPr>
          <w:rFonts w:ascii="Times New Roman" w:hAnsi="Times New Roman" w:cs="Times New Roman"/>
          <w:noProof/>
          <w:sz w:val="24"/>
          <w:szCs w:val="24"/>
        </w:rPr>
      </w:pPr>
      <w:r>
        <w:rPr>
          <w:rFonts w:ascii="Times New Roman" w:hAnsi="Times New Roman"/>
          <w:b/>
          <w:noProof/>
          <w:sz w:val="24"/>
        </w:rPr>
        <w:t>Sprijinirea redresării și a transformării economice a economiei UE prin alinierea la dubla tranziție este, de asemenea, un obiectiv-cheie al politicii comerciale a Uniunii</w:t>
      </w:r>
      <w:r>
        <w:rPr>
          <w:rFonts w:ascii="Times New Roman" w:hAnsi="Times New Roman"/>
          <w:noProof/>
          <w:sz w:val="24"/>
          <w:szCs w:val="24"/>
        </w:rPr>
        <w:t xml:space="preserve">. În paralel cu deschiderea accesului la piețe, politica comercială trebuie să protejeze întreprinderile și cetățenii din UE împotriva practicilor comerciale neloiale, inclusiv cu ajutorul instrumentelor de apărare comercială și al altor instrumente inovatoare, cum ar fi mecanismul de contracarare a acțiunilor coercitive. </w:t>
      </w:r>
    </w:p>
    <w:p w:rsidR="001D30DC" w:rsidRPr="00002E82" w:rsidRDefault="00DD3580" w:rsidP="00002E82">
      <w:pPr>
        <w:spacing w:after="240" w:line="240" w:lineRule="auto"/>
        <w:jc w:val="both"/>
        <w:rPr>
          <w:rFonts w:ascii="Times New Roman" w:hAnsi="Times New Roman" w:cs="Times New Roman"/>
          <w:noProof/>
          <w:sz w:val="24"/>
          <w:szCs w:val="24"/>
        </w:rPr>
      </w:pPr>
      <w:r>
        <w:rPr>
          <w:rFonts w:ascii="Times New Roman" w:hAnsi="Times New Roman"/>
          <w:b/>
          <w:noProof/>
          <w:sz w:val="24"/>
          <w:szCs w:val="24"/>
        </w:rPr>
        <w:t xml:space="preserve">Investițiile UE au rolul de a transmite un semnal important. </w:t>
      </w:r>
      <w:r>
        <w:rPr>
          <w:rFonts w:ascii="Times New Roman" w:hAnsi="Times New Roman"/>
          <w:noProof/>
          <w:sz w:val="24"/>
          <w:szCs w:val="24"/>
        </w:rPr>
        <w:t>Bugetul UE și instrumentul de redresare temporar NextGenerationEU, al cărui element central este MRR, însumează împreună 2 018 miliarde EUR și reprezintă resurse substanțiale, în măsură să sprijine creșterea pe termen lung</w:t>
      </w:r>
      <w:r>
        <w:rPr>
          <w:rStyle w:val="FootnoteReference"/>
          <w:rFonts w:ascii="Times New Roman" w:hAnsi="Times New Roman" w:cs="Times New Roman"/>
          <w:noProof/>
          <w:sz w:val="24"/>
          <w:szCs w:val="24"/>
        </w:rPr>
        <w:footnoteReference w:id="47"/>
      </w:r>
      <w:r>
        <w:rPr>
          <w:noProof/>
        </w:rPr>
        <w:t>.</w:t>
      </w:r>
      <w:r>
        <w:rPr>
          <w:rFonts w:ascii="Times New Roman" w:hAnsi="Times New Roman"/>
          <w:noProof/>
          <w:sz w:val="24"/>
          <w:szCs w:val="24"/>
        </w:rPr>
        <w:t xml:space="preserve"> Mecanismul de redresare și reziliență a avut un rol esențial în alinierea priorităților UE și naționale în materie de reforme și investiții în jurul unui set de obiective comune cu ocazia discuțiilor pe marginea planurilor naționale. NextGenerationEU va contribui la atenuarea impactului pandemiei, sprijinind în același timp transformarea economiei și dubla tranziție</w:t>
      </w:r>
      <w:r>
        <w:rPr>
          <w:rFonts w:ascii="Times New Roman" w:hAnsi="Times New Roman"/>
          <w:b/>
          <w:noProof/>
          <w:sz w:val="24"/>
          <w:szCs w:val="24"/>
        </w:rPr>
        <w:t xml:space="preserve">. </w:t>
      </w:r>
      <w:r>
        <w:rPr>
          <w:rFonts w:ascii="Times New Roman" w:hAnsi="Times New Roman"/>
          <w:noProof/>
          <w:sz w:val="24"/>
          <w:szCs w:val="24"/>
        </w:rPr>
        <w:t xml:space="preserve">De asemenea, împrumuturile pentru NextGenerationEU consolidează rolul internațional al monedei euro și piețele de capital ale UE. </w:t>
      </w:r>
    </w:p>
    <w:p w:rsidR="00FB1E5E" w:rsidRPr="00002E82" w:rsidRDefault="000B5174" w:rsidP="00002E82">
      <w:pPr>
        <w:spacing w:after="240" w:line="240" w:lineRule="auto"/>
        <w:jc w:val="both"/>
        <w:rPr>
          <w:rFonts w:ascii="Times New Roman" w:hAnsi="Times New Roman" w:cs="Times New Roman"/>
          <w:noProof/>
          <w:sz w:val="24"/>
          <w:szCs w:val="24"/>
        </w:rPr>
      </w:pPr>
      <w:r>
        <w:rPr>
          <w:rFonts w:ascii="Times New Roman" w:hAnsi="Times New Roman"/>
          <w:b/>
          <w:noProof/>
          <w:sz w:val="24"/>
          <w:szCs w:val="24"/>
        </w:rPr>
        <w:t>MRR oferă stimulente pentru reforme și sprijin pentru finanțare în domeniile esențiale care sunt prioritare pentru dubla tranziție verde și digitală până în 2026</w:t>
      </w:r>
      <w:r>
        <w:rPr>
          <w:rFonts w:ascii="Times New Roman" w:hAnsi="Times New Roman"/>
          <w:noProof/>
          <w:sz w:val="24"/>
          <w:szCs w:val="24"/>
        </w:rPr>
        <w:t>. Regulamentul privind mecanismul de redresare și reziliență</w:t>
      </w:r>
      <w:r>
        <w:rPr>
          <w:rStyle w:val="FootnoteReference"/>
          <w:rFonts w:ascii="Times New Roman" w:hAnsi="Times New Roman" w:cs="Times New Roman"/>
          <w:noProof/>
          <w:sz w:val="24"/>
          <w:szCs w:val="24"/>
          <w:lang w:val="en-IE"/>
        </w:rPr>
        <w:footnoteReference w:id="48"/>
      </w:r>
      <w:r>
        <w:rPr>
          <w:rFonts w:ascii="Times New Roman" w:hAnsi="Times New Roman"/>
          <w:noProof/>
          <w:sz w:val="24"/>
          <w:szCs w:val="24"/>
        </w:rPr>
        <w:t xml:space="preserve"> impune fiecărui stat membru să dedice cel puțin 37 % din alocarea totală a planului său de redresare și reziliență obiectivelor climatice și 20 % obiectivelor în materie de digitalizare. În plus față de investițiile în tranziția verde și cele în transformarea digitală, Mecanismul de redresare și reziliență oferă, de asemenea, un sprijin esențial pentru politicile sociale, pentru promovarea unei creșteri favorabile incluziunii, pentru realizarea coeziunii sociale și teritoriale și pentru sprijinirea sănătății, precum și a politicilor pentru generația următoare. Imaginea de mai jos prezintă alocarea pentru fiecare dintre cei șase piloni ai Mecanismului de redresare și reziliență. Angajamentul statelor membre de a realiza reforme reprezintă un element unic în structura Mecanismului de redresare și reziliență, reformele reprezentând aproape o treime din toate măsurile incluse în planurile de redresare și reziliență ale statelor membre. Acestea sunt esențiale pentru crearea condițiilor-cadru adecvate pentru realizarea de investiții și pentru generarea de efecte mai rapide și mai mari, inclusiv efecte transfrontaliere asupra creșterii. În prezent, sunt puse la dispoziție sume semnificative pentru împrumuturi prin Mecanismul de redresare și reziliență, oferind posibilitatea unui sprijin suplimentar statelor membre care doresc să le utilizeze. </w:t>
      </w:r>
    </w:p>
    <w:p w:rsidR="00FB1E5E" w:rsidRPr="00576EC1" w:rsidRDefault="00FB1E5E" w:rsidP="007D42DD">
      <w:pPr>
        <w:keepNext/>
        <w:spacing w:after="240" w:line="240" w:lineRule="auto"/>
        <w:jc w:val="both"/>
        <w:rPr>
          <w:rFonts w:ascii="EC Square Sans Pro" w:hAnsi="EC Square Sans Pro"/>
          <w:i/>
          <w:noProof/>
          <w:color w:val="44546A" w:themeColor="text2"/>
        </w:rPr>
      </w:pPr>
      <w:r>
        <w:rPr>
          <w:rFonts w:ascii="EC Square Sans Pro" w:hAnsi="EC Square Sans Pro"/>
          <w:i/>
          <w:noProof/>
          <w:color w:val="44546A" w:themeColor="text2"/>
        </w:rPr>
        <w:t>Graficul 3: Ponderea fondurilor de redresare și reziliență care contribuie la fiecare pilon de politică</w:t>
      </w:r>
      <w:r>
        <w:rPr>
          <w:rStyle w:val="FootnoteReference"/>
          <w:rFonts w:ascii="EC Square Sans Pro" w:hAnsi="EC Square Sans Pro"/>
          <w:i/>
          <w:noProof/>
          <w:color w:val="44546A" w:themeColor="text2"/>
          <w:lang w:val="en-IE"/>
        </w:rPr>
        <w:footnoteReference w:id="49"/>
      </w:r>
    </w:p>
    <w:p w:rsidR="00CA0AEB" w:rsidRPr="00002E82" w:rsidRDefault="007D42DD" w:rsidP="00592689">
      <w:pPr>
        <w:spacing w:after="240" w:line="240" w:lineRule="auto"/>
        <w:jc w:val="center"/>
        <w:rPr>
          <w:rFonts w:ascii="Times New Roman" w:hAnsi="Times New Roman" w:cs="Times New Roman"/>
          <w:noProof/>
          <w:sz w:val="24"/>
          <w:szCs w:val="24"/>
        </w:rPr>
      </w:pPr>
      <w:r>
        <w:rPr>
          <w:noProof/>
          <w:lang w:val="en-GB" w:eastAsia="en-GB"/>
        </w:rPr>
        <w:drawing>
          <wp:inline distT="0" distB="0" distL="0" distR="0" wp14:anchorId="2CEDE747" wp14:editId="46EC81A8">
            <wp:extent cx="5025600" cy="3067200"/>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025600" cy="3067200"/>
                    </a:xfrm>
                    <a:prstGeom prst="rect">
                      <a:avLst/>
                    </a:prstGeom>
                  </pic:spPr>
                </pic:pic>
              </a:graphicData>
            </a:graphic>
          </wp:inline>
        </w:drawing>
      </w:r>
    </w:p>
    <w:p w:rsidR="00376B5E" w:rsidRPr="00576EC1" w:rsidRDefault="00376B5E" w:rsidP="006362DF">
      <w:pPr>
        <w:spacing w:after="0" w:line="240" w:lineRule="auto"/>
        <w:contextualSpacing/>
        <w:jc w:val="both"/>
        <w:rPr>
          <w:rFonts w:ascii="EC Square Sans Pro" w:hAnsi="EC Square Sans Pro"/>
          <w:i/>
          <w:noProof/>
          <w:color w:val="44546A" w:themeColor="text2"/>
          <w:sz w:val="18"/>
        </w:rPr>
      </w:pPr>
      <w:r>
        <w:rPr>
          <w:rFonts w:ascii="EC Square Sans Pro" w:hAnsi="EC Square Sans Pro"/>
          <w:i/>
          <w:noProof/>
          <w:color w:val="44546A" w:themeColor="text2"/>
          <w:sz w:val="18"/>
        </w:rPr>
        <w:t>Sursă: serviciile Comisiei</w:t>
      </w:r>
      <w:r>
        <w:rPr>
          <w:rFonts w:ascii="EC Square Sans Pro" w:hAnsi="EC Square Sans Pro"/>
          <w:i/>
          <w:iCs/>
          <w:noProof/>
          <w:color w:val="44546A" w:themeColor="text2"/>
          <w:sz w:val="18"/>
          <w:szCs w:val="18"/>
        </w:rPr>
        <w:t xml:space="preserve">. Sumele se referă la cele 22 de planuri de redresare și reziliență adoptate în 2021. </w:t>
      </w:r>
    </w:p>
    <w:p w:rsidR="00CA0AEB" w:rsidRPr="00576EC1" w:rsidRDefault="00CA0AEB" w:rsidP="00592689">
      <w:pPr>
        <w:spacing w:after="0" w:line="240" w:lineRule="auto"/>
        <w:contextualSpacing/>
        <w:jc w:val="both"/>
        <w:rPr>
          <w:rFonts w:ascii="EC Square Sans Pro" w:hAnsi="EC Square Sans Pro"/>
          <w:i/>
          <w:noProof/>
          <w:color w:val="44546A" w:themeColor="text2"/>
          <w:sz w:val="18"/>
        </w:rPr>
      </w:pPr>
      <w:r>
        <w:rPr>
          <w:rFonts w:ascii="EC Square Sans Pro" w:hAnsi="EC Square Sans Pro"/>
          <w:i/>
          <w:noProof/>
          <w:color w:val="44546A" w:themeColor="text2"/>
          <w:sz w:val="18"/>
        </w:rPr>
        <w:t xml:space="preserve">Legendă: părțile de culoare închisă ale coloanelor reprezintă măsurile care au fost marcate și atribuite pilonului ca domeniu de politică principal, în timp ce părțile de culoare mai deschisă reprezintă măsurile marcate ca domeniu de politică secundar. </w:t>
      </w:r>
    </w:p>
    <w:p w:rsidR="00376B5E" w:rsidRPr="00A97B27" w:rsidRDefault="00376B5E" w:rsidP="00592689">
      <w:pPr>
        <w:spacing w:after="0" w:line="240" w:lineRule="auto"/>
        <w:contextualSpacing/>
        <w:jc w:val="both"/>
        <w:rPr>
          <w:rFonts w:ascii="Times New Roman" w:hAnsi="Times New Roman" w:cs="Times New Roman"/>
          <w:i/>
          <w:iCs/>
          <w:noProof/>
          <w:sz w:val="16"/>
          <w:szCs w:val="16"/>
        </w:rPr>
      </w:pPr>
    </w:p>
    <w:p w:rsidR="00FB1E5E" w:rsidRDefault="00A64367" w:rsidP="00002E82">
      <w:pPr>
        <w:spacing w:after="240" w:line="240" w:lineRule="auto"/>
        <w:jc w:val="both"/>
        <w:rPr>
          <w:rFonts w:ascii="Times New Roman" w:hAnsi="Times New Roman" w:cs="Times New Roman"/>
          <w:noProof/>
          <w:sz w:val="24"/>
          <w:szCs w:val="24"/>
        </w:rPr>
      </w:pPr>
      <w:r>
        <w:rPr>
          <w:rFonts w:ascii="Times New Roman" w:hAnsi="Times New Roman"/>
          <w:b/>
          <w:noProof/>
          <w:sz w:val="24"/>
          <w:szCs w:val="24"/>
        </w:rPr>
        <w:t>Bugetul pe termen lung al UE pentru perioada 2021-2027 și alte instrumente oferă un sprijin substanțial pentru tranziție</w:t>
      </w:r>
      <w:r>
        <w:rPr>
          <w:rFonts w:ascii="Times New Roman" w:hAnsi="Times New Roman"/>
          <w:noProof/>
          <w:sz w:val="24"/>
          <w:szCs w:val="24"/>
        </w:rPr>
        <w:t>. Astfel cum se indică în Planul de investiții din cadrul Pactului verde european</w:t>
      </w:r>
      <w:r>
        <w:rPr>
          <w:rStyle w:val="FootnoteReference"/>
          <w:rFonts w:ascii="Times New Roman" w:hAnsi="Times New Roman" w:cs="Times New Roman"/>
          <w:noProof/>
          <w:sz w:val="24"/>
          <w:szCs w:val="24"/>
        </w:rPr>
        <w:footnoteReference w:id="50"/>
      </w:r>
      <w:r>
        <w:rPr>
          <w:rFonts w:ascii="Times New Roman" w:hAnsi="Times New Roman"/>
          <w:noProof/>
          <w:sz w:val="24"/>
          <w:szCs w:val="24"/>
        </w:rPr>
        <w:t xml:space="preserve">, Uniunea urmărește să mobilizeze, prin intermediul bugetului UE și al instrumentelor asociate, cel puțin 1 000 de miliarde EUR în următorul deceniu pentru a sprijini investițiile durabile. Această sumă ia în considerare fondurile publice și private obținute prin mobilizarea garanției de la bugetul UE în cadrul programului InvestEU. Un procent de 30 % din bugetul pentru perioada 2021-2027 va fi alocat pentru tranziția verde, de exemplu prin intermediul politicii de coeziune și al politicii agricole comune, dar și prin intermediul unor programe specifice, cum ar fi programul LIFE, Mecanismul pentru o tranziție justă, Fondul pentru inovare și Fondul pentru modernizare. Programul InvestEU sprijină investițiile în infrastructuri, tehnologii și competențe digitale, în special prin componenta sa privind cercetarea, inovarea și digitalizarea. În plus, tranziția digitală va fi sprijinită prin intermediul unor fonduri diverse ale UE, în special prin intermediul politicii de coeziune, al programului Orizont Europa, al programului Europa digitală și al Mecanismului pentru interconectarea Europei. </w:t>
      </w:r>
    </w:p>
    <w:p w:rsidR="00DF5995" w:rsidRPr="00002E82" w:rsidRDefault="00DF5995" w:rsidP="00002E82">
      <w:pPr>
        <w:pStyle w:val="ListParagraph"/>
        <w:numPr>
          <w:ilvl w:val="0"/>
          <w:numId w:val="1"/>
        </w:numPr>
        <w:spacing w:after="240" w:line="240" w:lineRule="auto"/>
        <w:contextualSpacing w:val="0"/>
        <w:rPr>
          <w:rFonts w:ascii="Times New Roman" w:hAnsi="Times New Roman" w:cs="Times New Roman"/>
          <w:smallCaps/>
          <w:noProof/>
          <w:sz w:val="24"/>
          <w:szCs w:val="24"/>
        </w:rPr>
      </w:pPr>
      <w:r>
        <w:rPr>
          <w:rFonts w:ascii="Times New Roman" w:hAnsi="Times New Roman"/>
          <w:smallCaps/>
          <w:noProof/>
          <w:sz w:val="24"/>
          <w:szCs w:val="24"/>
        </w:rPr>
        <w:t>Concluzii</w:t>
      </w:r>
    </w:p>
    <w:p w:rsidR="00336BDF" w:rsidRPr="00C55555" w:rsidRDefault="00336BDF" w:rsidP="00C55555">
      <w:pPr>
        <w:spacing w:after="240"/>
        <w:jc w:val="both"/>
        <w:rPr>
          <w:rFonts w:ascii="Times New Roman" w:eastAsia="Times New Roman" w:hAnsi="Times New Roman" w:cs="Times New Roman"/>
          <w:noProof/>
          <w:sz w:val="24"/>
          <w:szCs w:val="24"/>
        </w:rPr>
      </w:pPr>
      <w:r>
        <w:rPr>
          <w:rFonts w:ascii="Times New Roman" w:hAnsi="Times New Roman"/>
          <w:b/>
          <w:noProof/>
          <w:sz w:val="24"/>
          <w:szCs w:val="24"/>
        </w:rPr>
        <w:t>Provocările globale cu care se confruntă Europa ne oferă ocazia de a ne reînnoi hotărârea și angajamentul față de transformarea economică și de a consolida cooperarea cu partenerii noștri internaționali</w:t>
      </w:r>
      <w:r>
        <w:rPr>
          <w:rFonts w:ascii="Times New Roman" w:hAnsi="Times New Roman"/>
          <w:noProof/>
          <w:sz w:val="24"/>
          <w:szCs w:val="24"/>
        </w:rPr>
        <w:t>. Transformarea economiei Uniunii are loc în contextul instabilității geopolitice și al provocărilor globale din ce în ce mai mari, cum ar fi pandemia de COVID-19, invadarea Ucrainei, criza climatică și creșterea prețurilor la energie. Aceste evoluții evidențiază necesitatea de a ne intensifica eforturile depuse pentru realizarea dublei tranziții verzi și digitale într-un mod favorabil incluziunii, precum și de a ne spori gradul de reziliență și de pregătire pentru situații de criză. Piața unică, ca principală sursă de reziliență a Uniunii, va avea un rol esențial pentru îndeplinirea acestor obiective și pentru absorbția posibilelor șocuri.</w:t>
      </w:r>
      <w:r w:rsidR="007D42DD">
        <w:rPr>
          <w:rFonts w:ascii="Times New Roman" w:hAnsi="Times New Roman"/>
          <w:noProof/>
          <w:sz w:val="24"/>
          <w:szCs w:val="24"/>
        </w:rPr>
        <w:t xml:space="preserve">  </w:t>
      </w:r>
    </w:p>
    <w:p w:rsidR="008E61A7" w:rsidRDefault="00BC5716" w:rsidP="006362DF">
      <w:pPr>
        <w:jc w:val="both"/>
        <w:rPr>
          <w:rFonts w:ascii="Times New Roman" w:eastAsia="Times New Roman" w:hAnsi="Times New Roman" w:cs="Times New Roman"/>
          <w:noProof/>
          <w:sz w:val="24"/>
          <w:szCs w:val="24"/>
        </w:rPr>
      </w:pPr>
      <w:r>
        <w:rPr>
          <w:rFonts w:ascii="Times New Roman" w:hAnsi="Times New Roman"/>
          <w:b/>
          <w:noProof/>
          <w:sz w:val="24"/>
          <w:szCs w:val="24"/>
        </w:rPr>
        <w:t xml:space="preserve">Există un consens puternic cu privire la obiectivele pe care dorim să le realizăm. </w:t>
      </w:r>
      <w:r>
        <w:rPr>
          <w:rFonts w:ascii="Times New Roman" w:hAnsi="Times New Roman"/>
          <w:noProof/>
          <w:sz w:val="24"/>
          <w:szCs w:val="24"/>
        </w:rPr>
        <w:t xml:space="preserve">Realizarea acestor obiective va necesita </w:t>
      </w:r>
      <w:r>
        <w:rPr>
          <w:rFonts w:ascii="Times New Roman" w:hAnsi="Times New Roman"/>
          <w:noProof/>
          <w:sz w:val="24"/>
        </w:rPr>
        <w:t>investiții și reforme în toate statele membre.</w:t>
      </w:r>
      <w:r>
        <w:rPr>
          <w:rFonts w:ascii="Times New Roman" w:hAnsi="Times New Roman"/>
          <w:noProof/>
          <w:sz w:val="24"/>
          <w:szCs w:val="24"/>
        </w:rPr>
        <w:t xml:space="preserve"> Investițiile, care trebuie majorate substanțial, ar trebui să fie însoțite de reforme ambițioase pentru a genera beneficiile preconizate, atât din punct de vedere financiar, cât și din punctul de vedere al obiectivelor lor societale mai ample. Atât investițiile, cât și reformele sunt la fel de importante și trebuie să fie pe deplin aliniate și puternic coordonate la nivelul UE pentru a se consolida reciproc, pentru a evita divergențele între statele membre și pentru a consolida piața unică. </w:t>
      </w:r>
    </w:p>
    <w:p w:rsidR="00F57369" w:rsidRDefault="00C702F7" w:rsidP="004C7F98">
      <w:pPr>
        <w:jc w:val="both"/>
        <w:rPr>
          <w:rFonts w:ascii="Times New Roman" w:eastAsia="Times New Roman" w:hAnsi="Times New Roman" w:cs="Times New Roman"/>
          <w:noProof/>
          <w:sz w:val="24"/>
          <w:szCs w:val="24"/>
        </w:rPr>
      </w:pPr>
      <w:r>
        <w:rPr>
          <w:rFonts w:ascii="Times New Roman" w:hAnsi="Times New Roman"/>
          <w:b/>
          <w:noProof/>
          <w:sz w:val="24"/>
          <w:szCs w:val="24"/>
        </w:rPr>
        <w:t xml:space="preserve">Autoritățile publice de la nivel european, național și regional ar trebui să se concentreze pe crearea unui mediu de afaceri favorabil investițiilor, pe consolidarea </w:t>
      </w:r>
      <w:r>
        <w:rPr>
          <w:rFonts w:ascii="Times New Roman" w:hAnsi="Times New Roman"/>
          <w:b/>
          <w:noProof/>
          <w:sz w:val="24"/>
        </w:rPr>
        <w:t>investițiilor</w:t>
      </w:r>
      <w:r>
        <w:rPr>
          <w:rFonts w:ascii="Times New Roman" w:hAnsi="Times New Roman"/>
          <w:b/>
          <w:noProof/>
          <w:sz w:val="24"/>
          <w:szCs w:val="24"/>
        </w:rPr>
        <w:t xml:space="preserve"> private cu sprijin financiar specific și pe promovarea investițiilor publice, menținând în același timp soliditatea finanțelor publice. </w:t>
      </w:r>
      <w:r>
        <w:rPr>
          <w:rFonts w:ascii="Times New Roman" w:hAnsi="Times New Roman"/>
          <w:noProof/>
          <w:sz w:val="24"/>
          <w:szCs w:val="24"/>
        </w:rPr>
        <w:t xml:space="preserve">Întrucât cea mai mare parte a investițiilor va proveni din sectorul privat, este important să se creeze condițiile necesare pentru a canaliza în mod eficace fondurile private către activități economice care contribuie la decarbonizarea, digitalizarea și reziliența economiilor noastre. </w:t>
      </w:r>
      <w:r>
        <w:rPr>
          <w:rFonts w:ascii="Times New Roman" w:hAnsi="Times New Roman"/>
          <w:noProof/>
          <w:sz w:val="24"/>
        </w:rPr>
        <w:t xml:space="preserve">Investițiile publice </w:t>
      </w:r>
      <w:r>
        <w:rPr>
          <w:rFonts w:ascii="Times New Roman" w:hAnsi="Times New Roman"/>
          <w:noProof/>
          <w:sz w:val="24"/>
          <w:szCs w:val="24"/>
        </w:rPr>
        <w:t xml:space="preserve">și reformele contribuie în mod pozitiv la sustenabilitatea datoriei, în măsura în care acestea sunt de înaltă calitate și sprijină creșterea. Strategiile reușite de reducere a datoriei ar trebui să se axeze pe consolidarea fiscală, pe calitatea și structura finanțelor publice și pe promovarea creșterii economice. Revizuirea în curs a cadrului european de guvernanță economică reprezintă o oportunitate de a îmbunătăți eficacitatea normelor fiscal-bugetare ale UE și de a ne asigura că acestea joacă un rol adecvat în stimularea politicilor de investiții și de reformă ale statelor membre, în conformitate cu prioritățile noastre comune, protejând în același timp soliditatea finanțelor publice. În acest context, va fi important să se asigure coerența dintre supravegherea fiscală și coordonarea politicilor economice și să se alinieze politicile de investiții și de reformă din statele membre, precum și obiectivele naționale și cele ale UE. </w:t>
      </w:r>
    </w:p>
    <w:p w:rsidR="00823E83" w:rsidRDefault="00F57369" w:rsidP="00D27F3B">
      <w:pPr>
        <w:spacing w:after="240"/>
        <w:jc w:val="both"/>
        <w:rPr>
          <w:rFonts w:ascii="Times New Roman" w:eastAsia="Times New Roman" w:hAnsi="Times New Roman" w:cs="Times New Roman"/>
          <w:noProof/>
          <w:sz w:val="24"/>
          <w:szCs w:val="24"/>
        </w:rPr>
      </w:pPr>
      <w:r>
        <w:rPr>
          <w:rFonts w:ascii="Times New Roman" w:hAnsi="Times New Roman"/>
          <w:b/>
          <w:noProof/>
          <w:sz w:val="24"/>
          <w:szCs w:val="24"/>
        </w:rPr>
        <w:t>Pentru a proteja prosperitatea și bunăstarea cetățenilor săi, UE trebuie să realizeze o tranziție echitabilă și favorabilă incluziunii către un viitor mai verde și mai digital, consolidând în același timp reziliența socioeconomică într-o lume instabilă.</w:t>
      </w:r>
      <w:r>
        <w:rPr>
          <w:rFonts w:ascii="Times New Roman" w:hAnsi="Times New Roman"/>
          <w:noProof/>
          <w:sz w:val="24"/>
          <w:szCs w:val="24"/>
        </w:rPr>
        <w:t xml:space="preserve"> Acțiunile coordonate și complementare, inclusiv între politicile fiscale naționale și bugetul UE, vor avea un impact mai mare și vor stimula investițiile în domenii de importanță strategică și cu o componentă transfrontalieră puternică pentru a genera valoare adăugată europeană.</w:t>
      </w:r>
      <w:r>
        <w:rPr>
          <w:rFonts w:ascii="Times New Roman" w:hAnsi="Times New Roman"/>
          <w:b/>
          <w:noProof/>
          <w:sz w:val="24"/>
          <w:szCs w:val="24"/>
        </w:rPr>
        <w:t xml:space="preserve"> </w:t>
      </w:r>
      <w:r>
        <w:rPr>
          <w:rFonts w:ascii="Times New Roman" w:hAnsi="Times New Roman"/>
          <w:noProof/>
          <w:sz w:val="24"/>
          <w:szCs w:val="24"/>
        </w:rPr>
        <w:t>Obiectivele ambițioase pe care le-am stabilit pot fi realizate numai printr-un efort susținut care să implice toți actorii de la nivel european, național și regional. Îndeplinirea obiectivelor noastre comune necesită o viziune pe termen lung și o abordare coordonată, care necesită o reflecție aprofundată pentru a identifica prioritățile concrete care sunt comune Uniunii și statelor sale membre, precum și la nivel mondial. Autoritățile publice de la nivelul UE și din statele membre trebuie să colaboreze în mod constant cu actorii de la nivel privat din toate sectoarele pentru a consolida sustenabilitatea competitivă.</w:t>
      </w:r>
    </w:p>
    <w:p w:rsidR="00F47440" w:rsidRPr="00434EBC" w:rsidRDefault="00F47440" w:rsidP="00D27F3B">
      <w:pPr>
        <w:spacing w:after="240"/>
        <w:jc w:val="both"/>
        <w:rPr>
          <w:rFonts w:ascii="Times New Roman" w:hAnsi="Times New Roman" w:cs="Times New Roman"/>
          <w:noProof/>
          <w:sz w:val="24"/>
          <w:szCs w:val="24"/>
          <w:lang w:val="fr-BE"/>
        </w:rPr>
      </w:pPr>
    </w:p>
    <w:sectPr w:rsidR="00F47440" w:rsidRPr="00434EBC" w:rsidSect="000E26DD">
      <w:headerReference w:type="even" r:id="rId26"/>
      <w:headerReference w:type="default" r:id="rId27"/>
      <w:footerReference w:type="even" r:id="rId28"/>
      <w:footerReference w:type="default" r:id="rId29"/>
      <w:headerReference w:type="first" r:id="rId30"/>
      <w:footerReference w:type="first" r:id="rId31"/>
      <w:pgSz w:w="11906" w:h="16838"/>
      <w:pgMar w:top="960" w:right="1440" w:bottom="132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63F6" w:rsidRDefault="006B63F6" w:rsidP="00991BBD">
      <w:pPr>
        <w:spacing w:after="0" w:line="240" w:lineRule="auto"/>
      </w:pPr>
      <w:r>
        <w:separator/>
      </w:r>
    </w:p>
  </w:endnote>
  <w:endnote w:type="continuationSeparator" w:id="0">
    <w:p w:rsidR="006B63F6" w:rsidRDefault="006B63F6" w:rsidP="00991BBD">
      <w:pPr>
        <w:spacing w:after="0" w:line="240" w:lineRule="auto"/>
      </w:pPr>
      <w:r>
        <w:continuationSeparator/>
      </w:r>
    </w:p>
  </w:endnote>
  <w:endnote w:type="continuationNotice" w:id="1">
    <w:p w:rsidR="006B63F6" w:rsidRDefault="006B63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EC Square Sans Pro">
    <w:altName w:val="Bahnschrift Light"/>
    <w:charset w:val="00"/>
    <w:family w:val="swiss"/>
    <w:pitch w:val="variable"/>
    <w:sig w:usb0="00000001" w:usb1="5000E0FB" w:usb2="00000000" w:usb3="00000000" w:csb0="0000019F" w:csb1="00000000"/>
  </w:font>
  <w:font w:name="EC Square Sans Pro Medium">
    <w:altName w:val="Corbel"/>
    <w:charset w:val="00"/>
    <w:family w:val="swiss"/>
    <w:pitch w:val="variable"/>
    <w:sig w:usb0="00000001" w:usb1="5000E0FB" w:usb2="00000000" w:usb3="00000000" w:csb0="0000019F" w:csb1="00000000"/>
  </w:font>
  <w:font w:name="EC Square Sans Pro Light">
    <w:altName w:val="Corbel"/>
    <w:charset w:val="00"/>
    <w:family w:val="swiss"/>
    <w:pitch w:val="variable"/>
    <w:sig w:usb0="00000001" w:usb1="5000E0F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74" w:rsidRPr="00843974" w:rsidRDefault="00843974" w:rsidP="008439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74" w:rsidRPr="00843974" w:rsidRDefault="00843974" w:rsidP="00843974">
    <w:pPr>
      <w:pStyle w:val="FooterCoverPage"/>
      <w:rPr>
        <w:rFonts w:ascii="Arial" w:hAnsi="Arial" w:cs="Arial"/>
        <w:b/>
        <w:sz w:val="48"/>
      </w:rPr>
    </w:pPr>
    <w:r w:rsidRPr="00843974">
      <w:rPr>
        <w:rFonts w:ascii="Arial" w:hAnsi="Arial" w:cs="Arial"/>
        <w:b/>
        <w:sz w:val="48"/>
      </w:rPr>
      <w:t>RO</w:t>
    </w:r>
    <w:r w:rsidRPr="00843974">
      <w:rPr>
        <w:rFonts w:ascii="Arial" w:hAnsi="Arial" w:cs="Arial"/>
        <w:b/>
        <w:sz w:val="48"/>
      </w:rPr>
      <w:tab/>
    </w:r>
    <w:r w:rsidRPr="00843974">
      <w:rPr>
        <w:rFonts w:ascii="Arial" w:hAnsi="Arial" w:cs="Arial"/>
        <w:b/>
        <w:sz w:val="48"/>
      </w:rPr>
      <w:tab/>
    </w:r>
    <w:r w:rsidRPr="00843974">
      <w:tab/>
    </w:r>
    <w:r w:rsidRPr="0084397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74" w:rsidRPr="00843974" w:rsidRDefault="00843974" w:rsidP="0084397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4EB" w:rsidRDefault="00E274E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2845309"/>
      <w:docPartObj>
        <w:docPartGallery w:val="Page Numbers (Bottom of Page)"/>
        <w:docPartUnique/>
      </w:docPartObj>
    </w:sdtPr>
    <w:sdtEndPr>
      <w:rPr>
        <w:noProof/>
      </w:rPr>
    </w:sdtEndPr>
    <w:sdtContent>
      <w:p w:rsidR="00E274EB" w:rsidRDefault="00E274EB">
        <w:pPr>
          <w:pStyle w:val="Footer"/>
          <w:jc w:val="right"/>
        </w:pPr>
        <w:r>
          <w:fldChar w:fldCharType="begin"/>
        </w:r>
        <w:r>
          <w:instrText xml:space="preserve"> PAGE   \* MERGEFORMAT </w:instrText>
        </w:r>
        <w:r>
          <w:fldChar w:fldCharType="separate"/>
        </w:r>
        <w:r w:rsidR="00843974">
          <w:rPr>
            <w:noProof/>
          </w:rPr>
          <w:t>1</w:t>
        </w:r>
        <w:r>
          <w:fldChar w:fldCharType="end"/>
        </w:r>
      </w:p>
    </w:sdtContent>
  </w:sdt>
  <w:p w:rsidR="00E274EB" w:rsidRDefault="00E274E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4EB" w:rsidRDefault="00E274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63F6" w:rsidRDefault="006B63F6" w:rsidP="00991BBD">
      <w:pPr>
        <w:spacing w:after="0" w:line="240" w:lineRule="auto"/>
      </w:pPr>
      <w:r>
        <w:separator/>
      </w:r>
    </w:p>
  </w:footnote>
  <w:footnote w:type="continuationSeparator" w:id="0">
    <w:p w:rsidR="006B63F6" w:rsidRDefault="006B63F6" w:rsidP="00991BBD">
      <w:pPr>
        <w:spacing w:after="0" w:line="240" w:lineRule="auto"/>
      </w:pPr>
      <w:r>
        <w:continuationSeparator/>
      </w:r>
    </w:p>
  </w:footnote>
  <w:footnote w:type="continuationNotice" w:id="1">
    <w:p w:rsidR="006B63F6" w:rsidRDefault="006B63F6">
      <w:pPr>
        <w:spacing w:after="0" w:line="240" w:lineRule="auto"/>
      </w:pPr>
    </w:p>
  </w:footnote>
  <w:footnote w:id="2">
    <w:p w:rsidR="00E274EB" w:rsidRPr="0039475D" w:rsidRDefault="00E274EB" w:rsidP="00BF46F3">
      <w:pPr>
        <w:pStyle w:val="FootnoteText"/>
        <w:ind w:left="240" w:hanging="24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Propunere de recomandare a Consiliului privind asigurarea unei tranziții echitabile către neutralitatea climatică, COM(2021) 801 final.</w:t>
      </w:r>
    </w:p>
  </w:footnote>
  <w:footnote w:id="3">
    <w:p w:rsidR="00E274EB" w:rsidRPr="0039475D" w:rsidRDefault="00E274EB" w:rsidP="00BF46F3">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Comunicarea intitulată „Pactul verde european”, COM(2019) 640 final/3. A se vedea, de asemenea, Rezoluția Parlamentului European din 15 ianuarie 2020 și concluziile Consiliului European din 11 decembrie 2020.</w:t>
      </w:r>
    </w:p>
  </w:footnote>
  <w:footnote w:id="4">
    <w:p w:rsidR="00E274EB" w:rsidRPr="0039475D" w:rsidRDefault="00E274EB" w:rsidP="00BF46F3">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În plus, Uniunea s-a angajat să realizeze neutralitatea climatică până în 2050. A se vedea Regulamentul (UE)</w:t>
      </w:r>
      <w:r w:rsidR="00736D45">
        <w:rPr>
          <w:rFonts w:ascii="Times New Roman" w:hAnsi="Times New Roman"/>
        </w:rPr>
        <w:t> </w:t>
      </w:r>
      <w:r>
        <w:rPr>
          <w:rFonts w:ascii="Times New Roman" w:hAnsi="Times New Roman"/>
        </w:rPr>
        <w:t>2021/1119 de instituire a cadrului pentru realizarea neutralității climatice (JO L 243, 9.7.2021, p. 1</w:t>
      </w:r>
      <w:r>
        <w:rPr>
          <w:rFonts w:ascii="Times New Roman" w:hAnsi="Times New Roman"/>
          <w:iCs/>
        </w:rPr>
        <w:t xml:space="preserve">). </w:t>
      </w:r>
    </w:p>
  </w:footnote>
  <w:footnote w:id="5">
    <w:p w:rsidR="00E274EB" w:rsidRPr="0039475D" w:rsidRDefault="00E274EB" w:rsidP="005404A4">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Comunicarea intitulată „Pregătiți pentru 55”: îndeplinirea obiectivului climatic al UE pentru 2030 pe calea spre atingerea obiectivului de neutralitate climatică, COM(2021) 550 final.</w:t>
      </w:r>
    </w:p>
  </w:footnote>
  <w:footnote w:id="6">
    <w:p w:rsidR="00E274EB" w:rsidRPr="0039475D" w:rsidRDefault="00E274EB" w:rsidP="00BF46F3">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De exemplu: Comunicarea intitulată „Strategia UE privind solul pentru 2030”, COM(2021) 699 final; Comunicarea intitulată „Noua strategie a UE pentru păduri pentru 2030”, COM(2021) 572 final; Comunicarea intitulată „Strategia UE privind biodiversitatea pentru 2030”, COM(2020) 380 final; Comunicarea intitulată „Un nou Plan de acțiune privind economia circulară”, COM(2020) 98 final și Comunicarea intitulată „Plan de acțiune al UE: «Către reducerea la zero a poluării aerului, apei și solului»”, COM(2021) 400 final.</w:t>
      </w:r>
    </w:p>
  </w:footnote>
  <w:footnote w:id="7">
    <w:p w:rsidR="00E274EB" w:rsidRPr="0039475D" w:rsidRDefault="00E274EB" w:rsidP="00BF46F3">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Comunicarea intitulată „Economia UE după pandemia de COVID-19: implicații pentru guvernanța economică”, COM(2021) 662 final, p. 17. </w:t>
      </w:r>
    </w:p>
  </w:footnote>
  <w:footnote w:id="8">
    <w:p w:rsidR="00E274EB" w:rsidRPr="0039475D" w:rsidRDefault="00E274EB" w:rsidP="00BF46F3">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Aceste estimări includ investițiile în rețeaua electrică, în centrale electrice, în cazane industriale și în producția și distribuția de combustibili noi, precum și investițiile în izolarea clădirilor, renovarea energetică și infrastructura aferentă transporturilor, cum ar fi stațiile de reîncărcare și de realimentare. Cu toate acestea, estimările nu includ investițiile în infrastructura feroviară, rutieră, aeroportuară sau portuară, nici necesitățile viitoare de adaptare la schimbările climatice, cum ar fi investițiile dedicate creșterii rezilienței activelor existente la schimbările climatice sau creșterea costurilor ca urmare a unor fenomene meteorologice extreme mai frecvente. A se vedea Documentul de lucru al serviciilor Comisiei SWD(2020) 98 final, p. 17. Pentru estimările privind deficitul de investiții în infrastructura de transport, a se vedea COM(2020) 789 final și SWD(2020) 331 final. </w:t>
      </w:r>
    </w:p>
  </w:footnote>
  <w:footnote w:id="9">
    <w:p w:rsidR="00E274EB" w:rsidRPr="00C55555" w:rsidRDefault="00E274EB" w:rsidP="00610560">
      <w:pPr>
        <w:pStyle w:val="FootnoteText"/>
        <w:ind w:left="240" w:hanging="24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Comunicarea intitulată „Noua Strategie a UE privind adaptarea la schimbările climatice”, COM(2021) 82</w:t>
      </w:r>
      <w:r w:rsidR="00BA7DBD">
        <w:rPr>
          <w:rFonts w:ascii="Times New Roman" w:hAnsi="Times New Roman"/>
        </w:rPr>
        <w:t> </w:t>
      </w:r>
      <w:r>
        <w:rPr>
          <w:rFonts w:ascii="Times New Roman" w:hAnsi="Times New Roman"/>
        </w:rPr>
        <w:t xml:space="preserve">final. </w:t>
      </w:r>
    </w:p>
  </w:footnote>
  <w:footnote w:id="10">
    <w:p w:rsidR="00E274EB" w:rsidRPr="0039475D" w:rsidRDefault="00E274EB" w:rsidP="00BF46F3">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Comunicarea intitulată „Busola pentru dimensiunea digitală 2030: modelul european pentru deceniul digital”, COM(2021) 118 final. </w:t>
      </w:r>
    </w:p>
  </w:footnote>
  <w:footnote w:id="11">
    <w:p w:rsidR="00E274EB" w:rsidRPr="0039475D" w:rsidRDefault="00E274EB" w:rsidP="00BF46F3">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Propunere de decizie a Parlamentului European și a Consiliului de instituire a programului de politică pentru 2030 „Calea către deceniul digital”, COM(2021) 574 final. </w:t>
      </w:r>
    </w:p>
  </w:footnote>
  <w:footnote w:id="12">
    <w:p w:rsidR="00E274EB" w:rsidRPr="0039475D" w:rsidRDefault="00E274EB" w:rsidP="00BF46F3">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COM(2021) 662 final, p. 17. </w:t>
      </w:r>
    </w:p>
  </w:footnote>
  <w:footnote w:id="13">
    <w:p w:rsidR="00E274EB" w:rsidRPr="00B95026" w:rsidRDefault="00E274EB" w:rsidP="000927C6">
      <w:pPr>
        <w:pStyle w:val="FootnoteText"/>
        <w:ind w:left="240" w:hanging="240"/>
      </w:pPr>
      <w:r>
        <w:rPr>
          <w:rFonts w:ascii="Times New Roman" w:hAnsi="Times New Roman" w:cs="Times New Roman"/>
          <w:vertAlign w:val="superscript"/>
        </w:rPr>
        <w:footnoteRef/>
      </w:r>
      <w:r>
        <w:rPr>
          <w:rFonts w:ascii="Times New Roman" w:hAnsi="Times New Roman"/>
        </w:rPr>
        <w:t xml:space="preserve"> </w:t>
      </w:r>
      <w:r>
        <w:tab/>
      </w:r>
      <w:r>
        <w:rPr>
          <w:rFonts w:ascii="Times New Roman" w:hAnsi="Times New Roman"/>
        </w:rPr>
        <w:t>Serviciile Comisiei revizuiesc în prezent aceste cifre.</w:t>
      </w:r>
    </w:p>
  </w:footnote>
  <w:footnote w:id="14">
    <w:p w:rsidR="00E274EB" w:rsidRPr="0039475D" w:rsidRDefault="00E274EB" w:rsidP="00BF46F3">
      <w:pPr>
        <w:pStyle w:val="FootnoteText"/>
        <w:ind w:left="240" w:hanging="240"/>
        <w:contextualSpacing/>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Comunicarea comună intitulată „Strategia de securitate cibernetică a UE pentru deceniul digital”, JOIN(2020) 18 final. </w:t>
      </w:r>
    </w:p>
  </w:footnote>
  <w:footnote w:id="15">
    <w:p w:rsidR="00E274EB" w:rsidRPr="0039475D" w:rsidRDefault="00E274EB" w:rsidP="00BF46F3">
      <w:pPr>
        <w:pStyle w:val="FootnoteText"/>
        <w:ind w:left="240" w:hanging="240"/>
        <w:contextualSpacing/>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Propunere de regulament în ceea ce privește instituirea unui cadru pentru identitatea digitală europeană, COM(2021) 281 final. </w:t>
      </w:r>
    </w:p>
  </w:footnote>
  <w:footnote w:id="16">
    <w:p w:rsidR="00E274EB" w:rsidRPr="0039475D" w:rsidRDefault="00E274EB" w:rsidP="00BF46F3">
      <w:pPr>
        <w:pStyle w:val="FootnoteText"/>
        <w:ind w:left="240" w:hanging="240"/>
        <w:contextualSpacing/>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Comunicarea privind Planul de acțiune pentru democrația europeană, COM(2020) 790 final. </w:t>
      </w:r>
    </w:p>
  </w:footnote>
  <w:footnote w:id="17">
    <w:p w:rsidR="00E274EB" w:rsidRPr="0039475D" w:rsidRDefault="00E274EB" w:rsidP="00BF46F3">
      <w:pPr>
        <w:pStyle w:val="NormalWeb"/>
        <w:shd w:val="clear" w:color="auto" w:fill="FFFFFF"/>
        <w:spacing w:before="0" w:beforeAutospacing="0" w:after="0" w:afterAutospacing="0"/>
        <w:ind w:left="240" w:hanging="240"/>
        <w:contextualSpacing/>
        <w:jc w:val="both"/>
      </w:pPr>
      <w:r>
        <w:rPr>
          <w:rStyle w:val="FootnoteReference"/>
          <w:sz w:val="20"/>
          <w:szCs w:val="20"/>
        </w:rPr>
        <w:footnoteRef/>
      </w:r>
      <w:r>
        <w:rPr>
          <w:sz w:val="20"/>
          <w:szCs w:val="20"/>
        </w:rPr>
        <w:t xml:space="preserve"> </w:t>
      </w:r>
      <w:r>
        <w:tab/>
      </w:r>
      <w:r>
        <w:rPr>
          <w:sz w:val="20"/>
          <w:szCs w:val="20"/>
        </w:rPr>
        <w:t xml:space="preserve">Regulamentul (UE) 2019/1150 privind promovarea echității și a transparenței pentru întreprinderile utilizatoare de servicii de intermediere online (JO L 186, 11.7.2019, p. 57). </w:t>
      </w:r>
    </w:p>
  </w:footnote>
  <w:footnote w:id="18">
    <w:p w:rsidR="00E274EB" w:rsidRPr="0039475D" w:rsidRDefault="00E274EB" w:rsidP="00BF46F3">
      <w:pPr>
        <w:pStyle w:val="NormalWeb"/>
        <w:shd w:val="clear" w:color="auto" w:fill="FFFFFF"/>
        <w:spacing w:before="0" w:beforeAutospacing="0" w:after="0" w:afterAutospacing="0"/>
        <w:ind w:left="240" w:hanging="240"/>
        <w:contextualSpacing/>
        <w:jc w:val="both"/>
      </w:pPr>
      <w:r>
        <w:rPr>
          <w:rStyle w:val="FootnoteReference"/>
          <w:sz w:val="20"/>
          <w:szCs w:val="20"/>
        </w:rPr>
        <w:footnoteRef/>
      </w:r>
      <w:r>
        <w:rPr>
          <w:sz w:val="20"/>
          <w:szCs w:val="20"/>
        </w:rPr>
        <w:t xml:space="preserve"> </w:t>
      </w:r>
      <w:r>
        <w:tab/>
      </w:r>
      <w:r>
        <w:rPr>
          <w:sz w:val="20"/>
          <w:szCs w:val="20"/>
        </w:rPr>
        <w:t xml:space="preserve">Regulamentul (UE) 2018/302 privind prevenirea geoblocării nejustificate și a altor forme de discriminare bazate pe cetățenia sau naționalitatea, domiciliul sau sediul clienților pe piața internă (JO L 60I, 2.3.2018, p. 1). </w:t>
      </w:r>
    </w:p>
  </w:footnote>
  <w:footnote w:id="19">
    <w:p w:rsidR="00E274EB" w:rsidRPr="0039475D" w:rsidRDefault="00E274EB" w:rsidP="00BF46F3">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Propunerea de regulament privind o piață unică pentru serviciile digitale (Actul legislativ privind serviciile digitale), COM(2020) 825 final</w:t>
      </w:r>
      <w:r>
        <w:t>.</w:t>
      </w:r>
      <w:r>
        <w:rPr>
          <w:rFonts w:ascii="Times New Roman" w:hAnsi="Times New Roman"/>
        </w:rPr>
        <w:t xml:space="preserve"> și Propunerea de regulament privind piețe contestabile și echitabile în sectorul digital (Actul legislativ privind piețele digitale), COM(2020) 842 final. </w:t>
      </w:r>
    </w:p>
  </w:footnote>
  <w:footnote w:id="20">
    <w:p w:rsidR="00E274EB" w:rsidRPr="0039475D" w:rsidRDefault="00E274EB" w:rsidP="00BF46F3">
      <w:pPr>
        <w:pStyle w:val="FootnoteText"/>
        <w:ind w:left="240" w:hanging="240"/>
        <w:contextualSpacing/>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Comunicarea referitoare la Strategia UE privind finanțele digitale, COM(2020) 591 final; Comunicarea intitulată „O strategie europeană privind datele”, COM(2020) 66 final; Comunicarea intitulată „Promovarea unei abordări europene în domeniul inteligenței artificiale”, COM(2021) 205 final. </w:t>
      </w:r>
    </w:p>
  </w:footnote>
  <w:footnote w:id="21">
    <w:p w:rsidR="00E274EB" w:rsidRPr="00576EC1" w:rsidRDefault="00E274EB" w:rsidP="00576EC1">
      <w:pPr>
        <w:pStyle w:val="FootnoteText"/>
        <w:ind w:left="240" w:hanging="240"/>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Propunere de directivă privind îmbunătățirea condițiilor de muncă pentru lucrul pe platforme, COM(2021)762 final.</w:t>
      </w:r>
    </w:p>
  </w:footnote>
  <w:footnote w:id="22">
    <w:p w:rsidR="00E274EB" w:rsidRPr="0039475D" w:rsidRDefault="00E274EB" w:rsidP="00BF46F3">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Comunicarea intitulată „Stabilirea unei Declarații europene privind drepturile și principiile digitale pentru deceniul digital”, COM(2022) 27 final. </w:t>
      </w:r>
    </w:p>
  </w:footnote>
  <w:footnote w:id="23">
    <w:p w:rsidR="00E274EB" w:rsidRPr="00610560" w:rsidRDefault="00E274EB" w:rsidP="00610560">
      <w:pPr>
        <w:pStyle w:val="FootnoteText"/>
        <w:tabs>
          <w:tab w:val="left" w:pos="240"/>
        </w:tabs>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Comunicarea intitulată „Actualizarea noii Strategii industriale 2020”, COM(2021) 350 final. </w:t>
      </w:r>
    </w:p>
  </w:footnote>
  <w:footnote w:id="24">
    <w:p w:rsidR="00E274EB" w:rsidRPr="00C55555" w:rsidRDefault="00E274EB" w:rsidP="00C55555">
      <w:pPr>
        <w:pStyle w:val="FootnoteText"/>
        <w:tabs>
          <w:tab w:val="left" w:pos="284"/>
        </w:tabs>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Printre aceste domenii se numără, de exemplu, principiile active și alte produse sanitare.</w:t>
      </w:r>
    </w:p>
  </w:footnote>
  <w:footnote w:id="25">
    <w:p w:rsidR="00E274EB" w:rsidRPr="0039475D" w:rsidRDefault="00E274EB" w:rsidP="00583AFC">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Documentul de lucru al serviciilor Comisiei „</w:t>
      </w:r>
      <w:r>
        <w:rPr>
          <w:rStyle w:val="FootnoteReference"/>
          <w:rFonts w:ascii="Times New Roman" w:hAnsi="Times New Roman"/>
          <w:vertAlign w:val="baseline"/>
        </w:rPr>
        <w:t>Strategic dependencies and capacities: second stage of in-depth reviews” (Dependențele și capacitățile strategice: a doua etapă a bilanțurilor aprofundate), SWD(2022) 41 final.</w:t>
      </w:r>
    </w:p>
  </w:footnote>
  <w:footnote w:id="26">
    <w:p w:rsidR="00E274EB" w:rsidRPr="006B7F3E" w:rsidRDefault="00E274EB" w:rsidP="00353DDF">
      <w:pPr>
        <w:spacing w:after="0" w:line="240" w:lineRule="auto"/>
        <w:ind w:left="240" w:hanging="240"/>
        <w:jc w:val="both"/>
        <w:rPr>
          <w:rFonts w:ascii="Times New Roman" w:hAnsi="Times New Roman" w:cs="Times New Roman"/>
        </w:rPr>
      </w:pPr>
      <w:r>
        <w:rPr>
          <w:rStyle w:val="FootnoteReference"/>
          <w:rFonts w:ascii="Times New Roman" w:hAnsi="Times New Roman" w:cs="Times New Roman"/>
          <w:sz w:val="20"/>
          <w:szCs w:val="20"/>
        </w:rPr>
        <w:footnoteRef/>
      </w:r>
      <w:r>
        <w:rPr>
          <w:rFonts w:ascii="Times New Roman" w:hAnsi="Times New Roman"/>
          <w:sz w:val="20"/>
          <w:szCs w:val="20"/>
        </w:rPr>
        <w:t xml:space="preserve"> </w:t>
      </w:r>
      <w:r>
        <w:tab/>
      </w:r>
      <w:r>
        <w:rPr>
          <w:rFonts w:ascii="Times New Roman" w:hAnsi="Times New Roman"/>
          <w:sz w:val="20"/>
          <w:szCs w:val="20"/>
        </w:rPr>
        <w:t xml:space="preserve">În cadrul planului de acțiune privind materiile prime critice, </w:t>
      </w:r>
      <w:r>
        <w:rPr>
          <w:rFonts w:ascii="Times New Roman" w:hAnsi="Times New Roman"/>
          <w:bCs/>
          <w:sz w:val="20"/>
          <w:szCs w:val="20"/>
        </w:rPr>
        <w:t>Comisia intensifică colaborarea cu statele membre pentru a aborda dependențele strategice în ceea ce privește aprovizionarea cu materii prime a UE prin (a) diversificarea surselor de aprovizionare din afara Uniunii (de exemplu, parteneriate cu Canada), (b) prin reciclare și (c) prin extracția și prelucrarea durabile ale materiilor prime în UE. Comisia identifică modalități de adaptare a acestei abordări în funcție de materiile prime critice pentru realizarea dublei tranziții verzi și digitale (de exemplu, materiile prime critice necesare pentru baterii, panouri solare, semiconductori sau hidrogen).</w:t>
      </w:r>
    </w:p>
  </w:footnote>
  <w:footnote w:id="27">
    <w:p w:rsidR="00E274EB" w:rsidRPr="00C55555" w:rsidRDefault="00E274EB" w:rsidP="00C55555">
      <w:pPr>
        <w:pStyle w:val="FootnoteText"/>
        <w:tabs>
          <w:tab w:val="left" w:pos="284"/>
        </w:tabs>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Comunicarea intitulată „Raport pe 2021 de analiză prospectivă strategică – Capacitatea și libertatea de acțiune a UE”, COM(2021) 750 final.</w:t>
      </w:r>
    </w:p>
  </w:footnote>
  <w:footnote w:id="28">
    <w:p w:rsidR="00E274EB" w:rsidRPr="0039475D" w:rsidRDefault="00E274EB" w:rsidP="00583AFC">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„Annual Single Market Report 2022” (Raportul anual privind piața unică pentru 2022), SWD(2022) 40 final.</w:t>
      </w:r>
    </w:p>
  </w:footnote>
  <w:footnote w:id="29">
    <w:p w:rsidR="00E274EB" w:rsidRPr="0039475D" w:rsidRDefault="00E274EB">
      <w:pPr>
        <w:pStyle w:val="NormalWeb"/>
        <w:shd w:val="clear" w:color="auto" w:fill="FFFFFF"/>
        <w:spacing w:before="0" w:beforeAutospacing="0" w:after="0" w:afterAutospacing="0"/>
        <w:ind w:left="238" w:hanging="238"/>
        <w:jc w:val="both"/>
        <w:rPr>
          <w:rFonts w:eastAsiaTheme="minorHAnsi"/>
          <w:sz w:val="20"/>
          <w:szCs w:val="20"/>
        </w:rPr>
      </w:pPr>
      <w:r>
        <w:rPr>
          <w:rStyle w:val="FootnoteReference"/>
          <w:sz w:val="20"/>
        </w:rPr>
        <w:footnoteRef/>
      </w:r>
      <w:r>
        <w:rPr>
          <w:sz w:val="20"/>
          <w:szCs w:val="20"/>
        </w:rPr>
        <w:t xml:space="preserve"> </w:t>
      </w:r>
      <w:r>
        <w:tab/>
      </w:r>
      <w:r>
        <w:rPr>
          <w:sz w:val="20"/>
          <w:szCs w:val="20"/>
        </w:rPr>
        <w:t xml:space="preserve">Propunere de regulament de stabilire a unui cadru de măsuri pentru consolidarea ecosistemului european al semiconductorilor (Actul privind cipurile), COM(2022) 46 final. </w:t>
      </w:r>
    </w:p>
  </w:footnote>
  <w:footnote w:id="30">
    <w:p w:rsidR="00E274EB" w:rsidRPr="0039475D" w:rsidRDefault="00E274EB">
      <w:pPr>
        <w:pStyle w:val="FootnoteText"/>
        <w:tabs>
          <w:tab w:val="left" w:pos="284"/>
        </w:tabs>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În ceea ce privește pachetul privind industria spațială, a se vedea în special Comunicarea comună intitulată „O abordare a UE privind managementul traficului spațial – O contribuție a UE la soluționarea unei provocări globale”, JOIN(2022) 4 final și propunerea de regulament de instituire a Programului Uniunii privind conectivitatea securizată pentru perioada 2023-2027, COM(2022) 57 final. În ceea ce privește pachetul privind industria de apărare, a se vedea în special Comunicarea intitulată „Contribuția Comisiei la apărarea europeană”, COM(2022) 60 final și Comunicarea intitulată „Foaia de parcurs privind tehnologiile critice pentru securitate și apărare”, COM(2022) 61 final. </w:t>
      </w:r>
    </w:p>
  </w:footnote>
  <w:footnote w:id="31">
    <w:p w:rsidR="00E274EB" w:rsidRPr="0039475D" w:rsidRDefault="00E274EB">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Comunicarea intitulată „Plan de acțiune pe termen lung pentru o mai bună implementare și asigurare a respectării normelor privind piața unică”, COM(2020) 94 final. </w:t>
      </w:r>
    </w:p>
  </w:footnote>
  <w:footnote w:id="32">
    <w:p w:rsidR="00E274EB" w:rsidRPr="0039475D" w:rsidRDefault="00E274EB">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Comunicarea intitulată „Identificarea și înlăturarea barierelor din cadrul pieței unice”, COM(2020) 93 final.</w:t>
      </w:r>
    </w:p>
  </w:footnote>
  <w:footnote w:id="33">
    <w:p w:rsidR="00E274EB" w:rsidRPr="0039475D" w:rsidRDefault="00E274EB">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Comunicarea intitulată „Plan de acțiune privind Pilonul european al drepturilor sociale”, COM(2021) 102 final.</w:t>
      </w:r>
      <w:r w:rsidR="007D42DD">
        <w:rPr>
          <w:rFonts w:ascii="Times New Roman" w:hAnsi="Times New Roman"/>
        </w:rPr>
        <w:t xml:space="preserve"> </w:t>
      </w:r>
    </w:p>
  </w:footnote>
  <w:footnote w:id="34">
    <w:p w:rsidR="00E274EB" w:rsidRPr="005C7FF7" w:rsidRDefault="00E274EB" w:rsidP="005404A4">
      <w:pPr>
        <w:pStyle w:val="FootnoteText"/>
        <w:tabs>
          <w:tab w:val="left" w:pos="284"/>
        </w:tabs>
        <w:ind w:left="240" w:hanging="240"/>
        <w:jc w:val="both"/>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Cel puțin 78 % din populația cu vârsta cuprinsă între 20 și 64 de ani ar trebui să aibă un loc de muncă până în 2030; cel puțin 60 % dintre toate persoanele adulte ar trebui să participe în fiecare an la activități de formare profesională; numărul persoanelor expuse riscului de sărăcie sau de excluziune socială ar trebui redus cu cel puțin 15 milioane până în 2030.</w:t>
      </w:r>
    </w:p>
  </w:footnote>
  <w:footnote w:id="35">
    <w:p w:rsidR="00E274EB" w:rsidRPr="0039475D" w:rsidRDefault="00E274EB">
      <w:pPr>
        <w:pStyle w:val="FootnoteText"/>
        <w:tabs>
          <w:tab w:val="left" w:pos="284"/>
        </w:tabs>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A se vedea </w:t>
      </w:r>
      <w:hyperlink r:id="rId1" w:history="1">
        <w:r>
          <w:rPr>
            <w:rStyle w:val="Hyperlink"/>
            <w:rFonts w:ascii="Times New Roman" w:hAnsi="Times New Roman"/>
          </w:rPr>
          <w:t>https://www.consilium.europa.eu/ro/press/press-releases/2021/05/08/the-porto-declaration/</w:t>
        </w:r>
      </w:hyperlink>
      <w:r>
        <w:t>.</w:t>
      </w:r>
    </w:p>
  </w:footnote>
  <w:footnote w:id="36">
    <w:p w:rsidR="00E274EB" w:rsidRPr="0039475D" w:rsidRDefault="00E274EB">
      <w:pPr>
        <w:pStyle w:val="FootnoteText"/>
        <w:tabs>
          <w:tab w:val="left" w:pos="284"/>
        </w:tabs>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Comunicarea privind realizarea Spațiului european al educației până în 2025, COM(2020) 625 final. </w:t>
      </w:r>
    </w:p>
  </w:footnote>
  <w:footnote w:id="37">
    <w:p w:rsidR="00E274EB" w:rsidRPr="00B347D3" w:rsidRDefault="00E274EB">
      <w:pPr>
        <w:pStyle w:val="FootnoteText"/>
        <w:tabs>
          <w:tab w:val="left" w:pos="284"/>
        </w:tabs>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Comunicarea intitulată „Agenda europeană pentru competențe în scopul promovării competitivității durabile, a echității sociale și a rezilienței”, COM(2020) 274 final/2, p. 20. </w:t>
      </w:r>
    </w:p>
  </w:footnote>
  <w:footnote w:id="38">
    <w:p w:rsidR="00E274EB" w:rsidRPr="00B347D3" w:rsidRDefault="00E274EB">
      <w:pPr>
        <w:pStyle w:val="FootnoteText"/>
        <w:tabs>
          <w:tab w:val="left" w:pos="284"/>
        </w:tabs>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Acestea includ finanțarea politicii de coeziune în cadrul FSE+ și FEDR, Erasmus+, Orizont Europa, programul Europa digitală dedicat, InvestEU, Fondul pentru o tranziție justă, Fondul european de ajustare la globalizare și Fondul pentru modernizare.</w:t>
      </w:r>
    </w:p>
  </w:footnote>
  <w:footnote w:id="39">
    <w:p w:rsidR="00E274EB" w:rsidRPr="00B347D3" w:rsidRDefault="00E274EB" w:rsidP="005404A4">
      <w:pPr>
        <w:pStyle w:val="FootnoteText"/>
        <w:ind w:left="240" w:hanging="240"/>
        <w:jc w:val="both"/>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În acest context, propunerea Comisiei de directivă privind salariile minime oferă un cadru pentru asigurarea faptului că lucrătorii din Uniune sunt protejați prin salarii minime adecvate, care le permit să ducă un trai decent oriunde ar lucra.</w:t>
      </w:r>
    </w:p>
  </w:footnote>
  <w:footnote w:id="40">
    <w:p w:rsidR="00E274EB" w:rsidRPr="0039475D" w:rsidRDefault="00E274EB">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Comunicarea intitulată „O uniune a piețelor de capital pentru cetățeni și întreprinderi”, COM(2020) 590 final. </w:t>
      </w:r>
    </w:p>
  </w:footnote>
  <w:footnote w:id="41">
    <w:p w:rsidR="00E274EB" w:rsidRPr="0039475D" w:rsidRDefault="00E274EB">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Comunicarea intitulată „Strategia pentru finanțarea tranziției către o economie durabilă”, COM(2021) 390</w:t>
      </w:r>
      <w:r w:rsidR="00BA7DBD">
        <w:rPr>
          <w:rFonts w:ascii="Times New Roman" w:hAnsi="Times New Roman"/>
        </w:rPr>
        <w:t> </w:t>
      </w:r>
      <w:r>
        <w:rPr>
          <w:rFonts w:ascii="Times New Roman" w:hAnsi="Times New Roman"/>
        </w:rPr>
        <w:t xml:space="preserve">final. </w:t>
      </w:r>
    </w:p>
  </w:footnote>
  <w:footnote w:id="42">
    <w:p w:rsidR="00E274EB" w:rsidRPr="0039475D" w:rsidRDefault="00E274EB">
      <w:pPr>
        <w:pStyle w:val="FootnoteText"/>
        <w:ind w:left="240" w:hanging="240"/>
        <w:contextualSpacing/>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Pentru informații suplimentare, a se vedea </w:t>
      </w:r>
      <w:hyperlink r:id="rId2" w:history="1">
        <w:r>
          <w:rPr>
            <w:rStyle w:val="Hyperlink"/>
            <w:rFonts w:ascii="Times New Roman" w:hAnsi="Times New Roman"/>
          </w:rPr>
          <w:t>https://ec.europa.eu/info/business-economy-euro/banking-and-finance/sustainable-finance/eu-taxonomy-sustainable-activities_en</w:t>
        </w:r>
      </w:hyperlink>
      <w:r>
        <w:rPr>
          <w:rFonts w:ascii="Times New Roman" w:hAnsi="Times New Roman"/>
        </w:rPr>
        <w:t xml:space="preserve">. </w:t>
      </w:r>
    </w:p>
  </w:footnote>
  <w:footnote w:id="43">
    <w:p w:rsidR="00E274EB" w:rsidRDefault="00E274EB">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Comunicarea intitulată „O strategie a UE privind standardizarea – Stabilirea unor standarde globale în sprijinul unei piețe unice a UE reziliente, verzi și digitale”, COM(2022) 31.</w:t>
      </w:r>
    </w:p>
  </w:footnote>
  <w:footnote w:id="44">
    <w:p w:rsidR="00E274EB" w:rsidRDefault="00E274EB">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Comunicarea intitulată „Criterii pentru analiza compatibilității cu piața internă a ajutorului de stat destinat să promoveze realizarea unor proiecte importante de interes european comun (PIIEC)”, (JO C 528, 30.12.2021, p. 10). </w:t>
      </w:r>
    </w:p>
  </w:footnote>
  <w:footnote w:id="45">
    <w:p w:rsidR="00E274EB" w:rsidRPr="00576EC1" w:rsidRDefault="00E274EB">
      <w:pPr>
        <w:pStyle w:val="FootnoteText"/>
        <w:ind w:left="240" w:hanging="240"/>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Banca Europeană de Investiții a subliniat, de asemenea, necesitatea de a stimula investițiile private prin instrumente de partajare a riscurilor pentru a atenua incertitudinea macroeconomică actuală. A se vedea „Investment Report 2021/2022:</w:t>
      </w:r>
      <w:r>
        <w:rPr>
          <w:rFonts w:ascii="Times New Roman" w:hAnsi="Times New Roman"/>
          <w:i/>
        </w:rPr>
        <w:t xml:space="preserve"> </w:t>
      </w:r>
      <w:r>
        <w:rPr>
          <w:rFonts w:ascii="Times New Roman" w:hAnsi="Times New Roman"/>
        </w:rPr>
        <w:t xml:space="preserve">Recovery as a springboard for change” (Raportul de investiții pentru perioada 2021-2022 al Băncii Europene de Investiții: redresarea ca rampă de lansare a schimbării), 2022, p. 124. </w:t>
      </w:r>
    </w:p>
  </w:footnote>
  <w:footnote w:id="46">
    <w:p w:rsidR="00E274EB" w:rsidRPr="005A2B23" w:rsidRDefault="00E274EB">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Comunicarea intitulată „Orientări privind ajutoarele de stat pentru promovarea investițiilor de finanțare de risc” (JO C 508, 16.12.2021, p. 1</w:t>
      </w:r>
      <w:r>
        <w:rPr>
          <w:rFonts w:ascii="Times New Roman" w:hAnsi="Times New Roman"/>
          <w:iCs/>
        </w:rPr>
        <w:t xml:space="preserve">). </w:t>
      </w:r>
    </w:p>
  </w:footnote>
  <w:footnote w:id="47">
    <w:p w:rsidR="00E274EB" w:rsidRPr="0039475D" w:rsidRDefault="00E274EB">
      <w:pPr>
        <w:pStyle w:val="FootnoteText"/>
        <w:ind w:left="240" w:hanging="240"/>
        <w:contextualSpacing/>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tab/>
      </w:r>
      <w:r>
        <w:rPr>
          <w:rStyle w:val="FootnoteReference"/>
          <w:rFonts w:ascii="Times New Roman" w:hAnsi="Times New Roman"/>
          <w:vertAlign w:val="baseline"/>
        </w:rPr>
        <w:t>Această sumă include 1</w:t>
      </w:r>
      <w:r>
        <w:rPr>
          <w:rFonts w:ascii="Times New Roman" w:hAnsi="Times New Roman"/>
        </w:rPr>
        <w:t> </w:t>
      </w:r>
      <w:r>
        <w:rPr>
          <w:rStyle w:val="FootnoteReference"/>
          <w:rFonts w:ascii="Times New Roman" w:hAnsi="Times New Roman"/>
          <w:vertAlign w:val="baseline"/>
        </w:rPr>
        <w:t>211 miliarde EUR (bugetul pe termen lung) și 806,9 miliarde EUR (NextGenerationEU). Majoritatea fondurilor din instrumentul NextGenerationEU vor fi cheltuite prin intermediul MRR (723,8 miliarde EUR), care oferă sprijin sub formă de granturi (338 de miliarde EUR) și împrumuturi (385,8 miliarde EUR).</w:t>
      </w:r>
      <w:r>
        <w:rPr>
          <w:rFonts w:ascii="Times New Roman" w:hAnsi="Times New Roman"/>
        </w:rPr>
        <w:t xml:space="preserve"> Pentru informații suplimentare, a se vedea </w:t>
      </w:r>
      <w:hyperlink r:id="rId3" w:history="1">
        <w:r>
          <w:rPr>
            <w:rStyle w:val="Hyperlink"/>
            <w:rFonts w:ascii="Times New Roman" w:hAnsi="Times New Roman"/>
          </w:rPr>
          <w:t>https://ec.europa.eu/info/strategy/eu-budget/long-term-eu-budget/2021-2027/whats-new_ro</w:t>
        </w:r>
      </w:hyperlink>
      <w:r>
        <w:rPr>
          <w:rFonts w:ascii="Times New Roman" w:hAnsi="Times New Roman"/>
        </w:rPr>
        <w:t>.</w:t>
      </w:r>
    </w:p>
  </w:footnote>
  <w:footnote w:id="48">
    <w:p w:rsidR="00E274EB" w:rsidRPr="0039475D" w:rsidRDefault="00E274EB">
      <w:pPr>
        <w:pStyle w:val="NormalWeb"/>
        <w:shd w:val="clear" w:color="auto" w:fill="FFFFFF"/>
        <w:spacing w:before="0" w:beforeAutospacing="0" w:after="0" w:afterAutospacing="0"/>
        <w:ind w:left="240" w:hanging="240"/>
        <w:contextualSpacing/>
        <w:jc w:val="both"/>
        <w:rPr>
          <w:rFonts w:eastAsiaTheme="minorHAnsi"/>
          <w:sz w:val="20"/>
          <w:szCs w:val="20"/>
        </w:rPr>
      </w:pPr>
      <w:r>
        <w:rPr>
          <w:rFonts w:eastAsiaTheme="minorHAnsi"/>
          <w:sz w:val="20"/>
          <w:szCs w:val="20"/>
          <w:vertAlign w:val="superscript"/>
          <w:lang w:val="en-IE" w:eastAsia="en-US"/>
        </w:rPr>
        <w:footnoteRef/>
      </w:r>
      <w:r>
        <w:rPr>
          <w:sz w:val="20"/>
          <w:szCs w:val="20"/>
        </w:rPr>
        <w:t xml:space="preserve"> Regulamentul (UE) 2021/241 al Parlamentului European și al Consiliului din 12 februarie 2021 de instituire a Mecanismului de redresare și reziliență (JO L 57, 18.2.2021, p. 17). </w:t>
      </w:r>
    </w:p>
  </w:footnote>
  <w:footnote w:id="49">
    <w:p w:rsidR="00E274EB" w:rsidRPr="0039475D" w:rsidRDefault="00E274E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Cei șase piloni de politică sunt prevăzuți la articolul 3 din Regulamentul privind Mecanismul de redresare și reziliență. </w:t>
      </w:r>
    </w:p>
  </w:footnote>
  <w:footnote w:id="50">
    <w:p w:rsidR="00E274EB" w:rsidRPr="0039475D" w:rsidRDefault="00E274EB">
      <w:pPr>
        <w:pStyle w:val="FootnoteText"/>
        <w:ind w:left="240" w:hanging="240"/>
        <w:jc w:val="both"/>
        <w:rPr>
          <w:rFonts w:ascii="Times New Roman" w:hAnsi="Times New Roman" w:cs="Times New Roman"/>
        </w:rPr>
      </w:pPr>
      <w:r>
        <w:rPr>
          <w:rStyle w:val="FootnoteReference"/>
          <w:rFonts w:ascii="Times New Roman" w:hAnsi="Times New Roman" w:cs="Times New Roman"/>
        </w:rPr>
        <w:footnoteRef/>
      </w:r>
      <w:r w:rsidR="007D42DD">
        <w:rPr>
          <w:rFonts w:ascii="Times New Roman" w:hAnsi="Times New Roman"/>
        </w:rPr>
        <w:t xml:space="preserve"> </w:t>
      </w:r>
      <w:r>
        <w:tab/>
      </w:r>
      <w:r>
        <w:rPr>
          <w:rFonts w:ascii="Times New Roman" w:hAnsi="Times New Roman"/>
        </w:rPr>
        <w:t xml:space="preserve">Comunicarea privind Planul de investiții al Pactului ecologic european, COM(2020) 21 final.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74" w:rsidRPr="00843974" w:rsidRDefault="00843974" w:rsidP="008439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74" w:rsidRPr="00843974" w:rsidRDefault="00843974" w:rsidP="0084397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74" w:rsidRPr="00843974" w:rsidRDefault="00843974" w:rsidP="0084397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4EB" w:rsidRPr="005404A4" w:rsidRDefault="00E274EB" w:rsidP="005404A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4EB" w:rsidRPr="005404A4" w:rsidRDefault="00E274EB" w:rsidP="005404A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4EB" w:rsidRPr="005404A4" w:rsidRDefault="00E274EB" w:rsidP="00540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936E7"/>
    <w:multiLevelType w:val="hybridMultilevel"/>
    <w:tmpl w:val="90EAE5B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5B540028"/>
    <w:multiLevelType w:val="hybridMultilevel"/>
    <w:tmpl w:val="4694EA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786A5AA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1"/>
  </w:num>
  <w:num w:numId="3">
    <w:abstractNumId w:val="0"/>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FR" w:vendorID="64" w:dllVersion="131078" w:nlCheck="1" w:checkStyle="0"/>
  <w:revisionView w:markup="0"/>
  <w:defaultTabStop w:val="720"/>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615E191-DD18-4A56-BB33-AA7066346ED8"/>
    <w:docVar w:name="LW_COVERPAGE_TYPE" w:val="1"/>
    <w:docVar w:name="LW_CROSSREFERENCE" w:val="&lt;UNUSED&gt;"/>
    <w:docVar w:name="LW_DocType" w:val="NORMAL"/>
    <w:docVar w:name="LW_EMISSION" w:val="2.3.2022"/>
    <w:docVar w:name="LW_EMISSION_ISODATE" w:val="2022-03-02"/>
    <w:docVar w:name="LW_EMISSION_LOCATION" w:val="BRX"/>
    <w:docVar w:name="LW_EMISSION_PREFIX" w:val="Bruxelles,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2) 8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ătre o economie verde, digitală și rezilientă: _x000d_ _x000d__x000b_modelul nostru european de creștere_x000d_"/>
    <w:docVar w:name="LW_TYPE.DOC.CP" w:val="COMUNICARE A COMISIEI"/>
    <w:docVar w:name="LW_TYPE.DOC.CP.USERTEXT" w:val="C\u258?TRE PARLAMENTUL EUROPEAN, CONSILIUL EUROPEAN, CONSILIU, COMITETUL ECONOMIC \u536?I SOCIAL EUROPEAN \u536?I COMITETUL REGIUNILOR"/>
    <w:docVar w:name="LwApiVersions" w:val="LW4CoDe 1.23.2.0; LW 8.0, Build 20211117"/>
  </w:docVars>
  <w:rsids>
    <w:rsidRoot w:val="00991BBD"/>
    <w:rsid w:val="000003FE"/>
    <w:rsid w:val="00000967"/>
    <w:rsid w:val="000023BD"/>
    <w:rsid w:val="000023C1"/>
    <w:rsid w:val="00002A77"/>
    <w:rsid w:val="00002E82"/>
    <w:rsid w:val="00003051"/>
    <w:rsid w:val="000033C7"/>
    <w:rsid w:val="00003F50"/>
    <w:rsid w:val="00006035"/>
    <w:rsid w:val="00006061"/>
    <w:rsid w:val="00007085"/>
    <w:rsid w:val="00007439"/>
    <w:rsid w:val="0000768A"/>
    <w:rsid w:val="0001015E"/>
    <w:rsid w:val="00010671"/>
    <w:rsid w:val="00011205"/>
    <w:rsid w:val="00011ACF"/>
    <w:rsid w:val="00011E93"/>
    <w:rsid w:val="00012D4A"/>
    <w:rsid w:val="000171C1"/>
    <w:rsid w:val="00017563"/>
    <w:rsid w:val="000202EB"/>
    <w:rsid w:val="00020A0B"/>
    <w:rsid w:val="00023C23"/>
    <w:rsid w:val="000241CC"/>
    <w:rsid w:val="00024BBB"/>
    <w:rsid w:val="000252AC"/>
    <w:rsid w:val="000265CA"/>
    <w:rsid w:val="0003032E"/>
    <w:rsid w:val="0003039E"/>
    <w:rsid w:val="00030BE6"/>
    <w:rsid w:val="00031BE3"/>
    <w:rsid w:val="00032266"/>
    <w:rsid w:val="00032A42"/>
    <w:rsid w:val="000338B6"/>
    <w:rsid w:val="0003471A"/>
    <w:rsid w:val="000349C9"/>
    <w:rsid w:val="00035085"/>
    <w:rsid w:val="00040336"/>
    <w:rsid w:val="00041037"/>
    <w:rsid w:val="000418C0"/>
    <w:rsid w:val="00041C17"/>
    <w:rsid w:val="00042A4F"/>
    <w:rsid w:val="00043734"/>
    <w:rsid w:val="00043A6C"/>
    <w:rsid w:val="00043C95"/>
    <w:rsid w:val="000447C4"/>
    <w:rsid w:val="000456FC"/>
    <w:rsid w:val="000457D6"/>
    <w:rsid w:val="00045D30"/>
    <w:rsid w:val="00045DE0"/>
    <w:rsid w:val="00045F08"/>
    <w:rsid w:val="0004650B"/>
    <w:rsid w:val="00046630"/>
    <w:rsid w:val="00047703"/>
    <w:rsid w:val="00052A57"/>
    <w:rsid w:val="000531FE"/>
    <w:rsid w:val="00054322"/>
    <w:rsid w:val="00057760"/>
    <w:rsid w:val="000579E7"/>
    <w:rsid w:val="00061596"/>
    <w:rsid w:val="00061ED3"/>
    <w:rsid w:val="0006225B"/>
    <w:rsid w:val="00064EEB"/>
    <w:rsid w:val="0006533D"/>
    <w:rsid w:val="00065D0B"/>
    <w:rsid w:val="00065DCD"/>
    <w:rsid w:val="000677DD"/>
    <w:rsid w:val="00070FEB"/>
    <w:rsid w:val="000713F3"/>
    <w:rsid w:val="00071FCB"/>
    <w:rsid w:val="0007252F"/>
    <w:rsid w:val="00074127"/>
    <w:rsid w:val="00074422"/>
    <w:rsid w:val="00076000"/>
    <w:rsid w:val="000802C4"/>
    <w:rsid w:val="00080860"/>
    <w:rsid w:val="000811E5"/>
    <w:rsid w:val="00081D27"/>
    <w:rsid w:val="00082D1E"/>
    <w:rsid w:val="00082DCA"/>
    <w:rsid w:val="00082EAA"/>
    <w:rsid w:val="0008327C"/>
    <w:rsid w:val="000859DF"/>
    <w:rsid w:val="00086AAF"/>
    <w:rsid w:val="000871F8"/>
    <w:rsid w:val="0008791F"/>
    <w:rsid w:val="00090B81"/>
    <w:rsid w:val="000922B0"/>
    <w:rsid w:val="00092773"/>
    <w:rsid w:val="000927C6"/>
    <w:rsid w:val="00093559"/>
    <w:rsid w:val="00094112"/>
    <w:rsid w:val="00094733"/>
    <w:rsid w:val="00094D2A"/>
    <w:rsid w:val="00095AD2"/>
    <w:rsid w:val="00096FC2"/>
    <w:rsid w:val="000970D3"/>
    <w:rsid w:val="0009713D"/>
    <w:rsid w:val="000A03A9"/>
    <w:rsid w:val="000A161C"/>
    <w:rsid w:val="000A25ED"/>
    <w:rsid w:val="000A26CA"/>
    <w:rsid w:val="000A2C7C"/>
    <w:rsid w:val="000A3206"/>
    <w:rsid w:val="000A4A72"/>
    <w:rsid w:val="000A4BC9"/>
    <w:rsid w:val="000A571F"/>
    <w:rsid w:val="000A66C8"/>
    <w:rsid w:val="000A6865"/>
    <w:rsid w:val="000B07E7"/>
    <w:rsid w:val="000B2FA9"/>
    <w:rsid w:val="000B3046"/>
    <w:rsid w:val="000B30C0"/>
    <w:rsid w:val="000B5174"/>
    <w:rsid w:val="000B5BBD"/>
    <w:rsid w:val="000B66CD"/>
    <w:rsid w:val="000B7438"/>
    <w:rsid w:val="000B78D3"/>
    <w:rsid w:val="000C04A8"/>
    <w:rsid w:val="000C1BEF"/>
    <w:rsid w:val="000C268B"/>
    <w:rsid w:val="000C2C1C"/>
    <w:rsid w:val="000C3A10"/>
    <w:rsid w:val="000C3E59"/>
    <w:rsid w:val="000C4483"/>
    <w:rsid w:val="000C6B57"/>
    <w:rsid w:val="000D0312"/>
    <w:rsid w:val="000D1101"/>
    <w:rsid w:val="000D2255"/>
    <w:rsid w:val="000D2A5C"/>
    <w:rsid w:val="000D3077"/>
    <w:rsid w:val="000D3294"/>
    <w:rsid w:val="000D37F2"/>
    <w:rsid w:val="000D39AA"/>
    <w:rsid w:val="000D423F"/>
    <w:rsid w:val="000D462E"/>
    <w:rsid w:val="000D490B"/>
    <w:rsid w:val="000D6D75"/>
    <w:rsid w:val="000E0AF7"/>
    <w:rsid w:val="000E0B30"/>
    <w:rsid w:val="000E0CC7"/>
    <w:rsid w:val="000E122B"/>
    <w:rsid w:val="000E26DD"/>
    <w:rsid w:val="000E37AA"/>
    <w:rsid w:val="000E39C8"/>
    <w:rsid w:val="000E3A1F"/>
    <w:rsid w:val="000E3B1B"/>
    <w:rsid w:val="000E3C21"/>
    <w:rsid w:val="000E3CA6"/>
    <w:rsid w:val="000E4A85"/>
    <w:rsid w:val="000E59CC"/>
    <w:rsid w:val="000F05C3"/>
    <w:rsid w:val="000F05EB"/>
    <w:rsid w:val="000F170A"/>
    <w:rsid w:val="000F1C50"/>
    <w:rsid w:val="000F1E24"/>
    <w:rsid w:val="000F3276"/>
    <w:rsid w:val="000F33DB"/>
    <w:rsid w:val="000F3662"/>
    <w:rsid w:val="000F37A5"/>
    <w:rsid w:val="000F496F"/>
    <w:rsid w:val="000F58F6"/>
    <w:rsid w:val="000F5D8D"/>
    <w:rsid w:val="000F694C"/>
    <w:rsid w:val="000F7C80"/>
    <w:rsid w:val="00100BE8"/>
    <w:rsid w:val="001011E7"/>
    <w:rsid w:val="001017B7"/>
    <w:rsid w:val="00101ABF"/>
    <w:rsid w:val="0010295F"/>
    <w:rsid w:val="00103313"/>
    <w:rsid w:val="00103F71"/>
    <w:rsid w:val="0010410D"/>
    <w:rsid w:val="001042FD"/>
    <w:rsid w:val="00104BFB"/>
    <w:rsid w:val="001056F7"/>
    <w:rsid w:val="00107BCB"/>
    <w:rsid w:val="00111CD4"/>
    <w:rsid w:val="001124AB"/>
    <w:rsid w:val="00112674"/>
    <w:rsid w:val="00112D09"/>
    <w:rsid w:val="00113986"/>
    <w:rsid w:val="00113DA2"/>
    <w:rsid w:val="00114739"/>
    <w:rsid w:val="0011555F"/>
    <w:rsid w:val="00115BFF"/>
    <w:rsid w:val="00117453"/>
    <w:rsid w:val="0011793D"/>
    <w:rsid w:val="00117D76"/>
    <w:rsid w:val="00121F65"/>
    <w:rsid w:val="00122272"/>
    <w:rsid w:val="00122EA8"/>
    <w:rsid w:val="0012321D"/>
    <w:rsid w:val="00123323"/>
    <w:rsid w:val="001246A9"/>
    <w:rsid w:val="001247F4"/>
    <w:rsid w:val="001252D6"/>
    <w:rsid w:val="00125ABB"/>
    <w:rsid w:val="001263C0"/>
    <w:rsid w:val="00126D26"/>
    <w:rsid w:val="00130702"/>
    <w:rsid w:val="00131101"/>
    <w:rsid w:val="001318CC"/>
    <w:rsid w:val="00131939"/>
    <w:rsid w:val="00132A2D"/>
    <w:rsid w:val="00132DA1"/>
    <w:rsid w:val="00132DBF"/>
    <w:rsid w:val="00132F62"/>
    <w:rsid w:val="00133DB0"/>
    <w:rsid w:val="00134E2E"/>
    <w:rsid w:val="00134EB1"/>
    <w:rsid w:val="001354F7"/>
    <w:rsid w:val="00135BF7"/>
    <w:rsid w:val="00135ED0"/>
    <w:rsid w:val="00136811"/>
    <w:rsid w:val="00136B93"/>
    <w:rsid w:val="00140760"/>
    <w:rsid w:val="00140FCA"/>
    <w:rsid w:val="00141B45"/>
    <w:rsid w:val="00143D08"/>
    <w:rsid w:val="00143EBC"/>
    <w:rsid w:val="00144B8F"/>
    <w:rsid w:val="00144C88"/>
    <w:rsid w:val="00145536"/>
    <w:rsid w:val="001458E1"/>
    <w:rsid w:val="00145E09"/>
    <w:rsid w:val="00147A81"/>
    <w:rsid w:val="00150000"/>
    <w:rsid w:val="0015174F"/>
    <w:rsid w:val="00151A7E"/>
    <w:rsid w:val="001523E4"/>
    <w:rsid w:val="00152B26"/>
    <w:rsid w:val="001536E6"/>
    <w:rsid w:val="0015397B"/>
    <w:rsid w:val="00154345"/>
    <w:rsid w:val="00154C7D"/>
    <w:rsid w:val="00154EC3"/>
    <w:rsid w:val="00154FA9"/>
    <w:rsid w:val="00157DB5"/>
    <w:rsid w:val="00157E7C"/>
    <w:rsid w:val="0016056A"/>
    <w:rsid w:val="00160FAF"/>
    <w:rsid w:val="001612C6"/>
    <w:rsid w:val="001613F0"/>
    <w:rsid w:val="00161420"/>
    <w:rsid w:val="00163757"/>
    <w:rsid w:val="0016484F"/>
    <w:rsid w:val="0016553C"/>
    <w:rsid w:val="001662B0"/>
    <w:rsid w:val="00166BF3"/>
    <w:rsid w:val="0017027A"/>
    <w:rsid w:val="0017064F"/>
    <w:rsid w:val="001707AB"/>
    <w:rsid w:val="00171432"/>
    <w:rsid w:val="00171FCE"/>
    <w:rsid w:val="00172964"/>
    <w:rsid w:val="00173DBD"/>
    <w:rsid w:val="001744F8"/>
    <w:rsid w:val="00174F13"/>
    <w:rsid w:val="0017558C"/>
    <w:rsid w:val="00176258"/>
    <w:rsid w:val="0017635E"/>
    <w:rsid w:val="001772F3"/>
    <w:rsid w:val="00177C4F"/>
    <w:rsid w:val="00183166"/>
    <w:rsid w:val="0018389B"/>
    <w:rsid w:val="00184375"/>
    <w:rsid w:val="001851DA"/>
    <w:rsid w:val="00185965"/>
    <w:rsid w:val="00186A08"/>
    <w:rsid w:val="00190FEE"/>
    <w:rsid w:val="001917A3"/>
    <w:rsid w:val="00191A8E"/>
    <w:rsid w:val="001920BE"/>
    <w:rsid w:val="00192593"/>
    <w:rsid w:val="00192C92"/>
    <w:rsid w:val="0019326A"/>
    <w:rsid w:val="001933BF"/>
    <w:rsid w:val="00193B18"/>
    <w:rsid w:val="00194CDE"/>
    <w:rsid w:val="00195207"/>
    <w:rsid w:val="00195B71"/>
    <w:rsid w:val="001A012F"/>
    <w:rsid w:val="001A17F0"/>
    <w:rsid w:val="001A2619"/>
    <w:rsid w:val="001A2EBD"/>
    <w:rsid w:val="001A2F24"/>
    <w:rsid w:val="001A30C5"/>
    <w:rsid w:val="001A39E8"/>
    <w:rsid w:val="001A4A70"/>
    <w:rsid w:val="001A552A"/>
    <w:rsid w:val="001A75E9"/>
    <w:rsid w:val="001B0401"/>
    <w:rsid w:val="001B064A"/>
    <w:rsid w:val="001B0676"/>
    <w:rsid w:val="001B285B"/>
    <w:rsid w:val="001B2A2A"/>
    <w:rsid w:val="001B55DF"/>
    <w:rsid w:val="001B5A3E"/>
    <w:rsid w:val="001B5C01"/>
    <w:rsid w:val="001B61B7"/>
    <w:rsid w:val="001B6B70"/>
    <w:rsid w:val="001B71F9"/>
    <w:rsid w:val="001C0249"/>
    <w:rsid w:val="001C1CAE"/>
    <w:rsid w:val="001C235E"/>
    <w:rsid w:val="001C3007"/>
    <w:rsid w:val="001C5C34"/>
    <w:rsid w:val="001C6230"/>
    <w:rsid w:val="001C69FA"/>
    <w:rsid w:val="001C7050"/>
    <w:rsid w:val="001D04EA"/>
    <w:rsid w:val="001D09C6"/>
    <w:rsid w:val="001D1976"/>
    <w:rsid w:val="001D25E9"/>
    <w:rsid w:val="001D2B6B"/>
    <w:rsid w:val="001D2DBC"/>
    <w:rsid w:val="001D30A8"/>
    <w:rsid w:val="001D30DC"/>
    <w:rsid w:val="001D3CDC"/>
    <w:rsid w:val="001D4060"/>
    <w:rsid w:val="001D49E5"/>
    <w:rsid w:val="001D4C8B"/>
    <w:rsid w:val="001D4EBA"/>
    <w:rsid w:val="001D510E"/>
    <w:rsid w:val="001D51A7"/>
    <w:rsid w:val="001D5379"/>
    <w:rsid w:val="001D614C"/>
    <w:rsid w:val="001D72CD"/>
    <w:rsid w:val="001D732C"/>
    <w:rsid w:val="001E098D"/>
    <w:rsid w:val="001E114C"/>
    <w:rsid w:val="001E175B"/>
    <w:rsid w:val="001E2335"/>
    <w:rsid w:val="001E35AD"/>
    <w:rsid w:val="001E5715"/>
    <w:rsid w:val="001E5E76"/>
    <w:rsid w:val="001E629D"/>
    <w:rsid w:val="001E664C"/>
    <w:rsid w:val="001E73CC"/>
    <w:rsid w:val="001F0010"/>
    <w:rsid w:val="001F1D80"/>
    <w:rsid w:val="001F3837"/>
    <w:rsid w:val="001F3996"/>
    <w:rsid w:val="001F3E7F"/>
    <w:rsid w:val="001F597F"/>
    <w:rsid w:val="001F7206"/>
    <w:rsid w:val="001F723B"/>
    <w:rsid w:val="001F760A"/>
    <w:rsid w:val="002050DD"/>
    <w:rsid w:val="0020692B"/>
    <w:rsid w:val="00206C70"/>
    <w:rsid w:val="00206FD4"/>
    <w:rsid w:val="0020746B"/>
    <w:rsid w:val="00210B58"/>
    <w:rsid w:val="00211D6B"/>
    <w:rsid w:val="00212366"/>
    <w:rsid w:val="0021246E"/>
    <w:rsid w:val="0021374E"/>
    <w:rsid w:val="00213FCB"/>
    <w:rsid w:val="00214D36"/>
    <w:rsid w:val="002150D7"/>
    <w:rsid w:val="002155EA"/>
    <w:rsid w:val="00215EC9"/>
    <w:rsid w:val="00216019"/>
    <w:rsid w:val="00216C08"/>
    <w:rsid w:val="0021719E"/>
    <w:rsid w:val="002214EE"/>
    <w:rsid w:val="00222C71"/>
    <w:rsid w:val="00224320"/>
    <w:rsid w:val="002248E3"/>
    <w:rsid w:val="00224DFB"/>
    <w:rsid w:val="00226261"/>
    <w:rsid w:val="00226D11"/>
    <w:rsid w:val="002278D9"/>
    <w:rsid w:val="00227A19"/>
    <w:rsid w:val="00227D9B"/>
    <w:rsid w:val="00230449"/>
    <w:rsid w:val="00232172"/>
    <w:rsid w:val="002326D5"/>
    <w:rsid w:val="00232BA8"/>
    <w:rsid w:val="002335FB"/>
    <w:rsid w:val="002336E7"/>
    <w:rsid w:val="00235BD9"/>
    <w:rsid w:val="00235FFB"/>
    <w:rsid w:val="0023606C"/>
    <w:rsid w:val="002369B1"/>
    <w:rsid w:val="00237E5A"/>
    <w:rsid w:val="00237FE1"/>
    <w:rsid w:val="0024091C"/>
    <w:rsid w:val="00240929"/>
    <w:rsid w:val="00240E76"/>
    <w:rsid w:val="00241CD6"/>
    <w:rsid w:val="00242153"/>
    <w:rsid w:val="002425C3"/>
    <w:rsid w:val="00243554"/>
    <w:rsid w:val="002442CB"/>
    <w:rsid w:val="002453CF"/>
    <w:rsid w:val="00245DA9"/>
    <w:rsid w:val="00247801"/>
    <w:rsid w:val="002512E6"/>
    <w:rsid w:val="00252E3B"/>
    <w:rsid w:val="002547C1"/>
    <w:rsid w:val="00255742"/>
    <w:rsid w:val="00256015"/>
    <w:rsid w:val="00256267"/>
    <w:rsid w:val="0025670C"/>
    <w:rsid w:val="00257295"/>
    <w:rsid w:val="0025730A"/>
    <w:rsid w:val="00261E7B"/>
    <w:rsid w:val="00261F36"/>
    <w:rsid w:val="00262EFF"/>
    <w:rsid w:val="00263597"/>
    <w:rsid w:val="0026382E"/>
    <w:rsid w:val="002656D6"/>
    <w:rsid w:val="002668B9"/>
    <w:rsid w:val="002675FE"/>
    <w:rsid w:val="00267680"/>
    <w:rsid w:val="00272672"/>
    <w:rsid w:val="0027424E"/>
    <w:rsid w:val="00274C91"/>
    <w:rsid w:val="00275165"/>
    <w:rsid w:val="002778E5"/>
    <w:rsid w:val="00280826"/>
    <w:rsid w:val="002815AE"/>
    <w:rsid w:val="00281A7D"/>
    <w:rsid w:val="00281BFF"/>
    <w:rsid w:val="00282292"/>
    <w:rsid w:val="0028331A"/>
    <w:rsid w:val="0028379F"/>
    <w:rsid w:val="00283D1D"/>
    <w:rsid w:val="00284392"/>
    <w:rsid w:val="00284E1B"/>
    <w:rsid w:val="00285524"/>
    <w:rsid w:val="0028684D"/>
    <w:rsid w:val="002878A2"/>
    <w:rsid w:val="00290662"/>
    <w:rsid w:val="00291B62"/>
    <w:rsid w:val="00292681"/>
    <w:rsid w:val="002938E2"/>
    <w:rsid w:val="00294AF2"/>
    <w:rsid w:val="00295426"/>
    <w:rsid w:val="00297D86"/>
    <w:rsid w:val="002A02F8"/>
    <w:rsid w:val="002A03F9"/>
    <w:rsid w:val="002A06D1"/>
    <w:rsid w:val="002A090D"/>
    <w:rsid w:val="002A1232"/>
    <w:rsid w:val="002A25C9"/>
    <w:rsid w:val="002A2659"/>
    <w:rsid w:val="002A3389"/>
    <w:rsid w:val="002A42D8"/>
    <w:rsid w:val="002A4E79"/>
    <w:rsid w:val="002A750A"/>
    <w:rsid w:val="002B1877"/>
    <w:rsid w:val="002B19C7"/>
    <w:rsid w:val="002B1AF3"/>
    <w:rsid w:val="002B26E9"/>
    <w:rsid w:val="002B44E3"/>
    <w:rsid w:val="002B4956"/>
    <w:rsid w:val="002B5901"/>
    <w:rsid w:val="002B5FFA"/>
    <w:rsid w:val="002B7F01"/>
    <w:rsid w:val="002C035B"/>
    <w:rsid w:val="002C0BC2"/>
    <w:rsid w:val="002C1262"/>
    <w:rsid w:val="002C2178"/>
    <w:rsid w:val="002C2568"/>
    <w:rsid w:val="002C4AAD"/>
    <w:rsid w:val="002C5A69"/>
    <w:rsid w:val="002C6088"/>
    <w:rsid w:val="002C6C2C"/>
    <w:rsid w:val="002C72B3"/>
    <w:rsid w:val="002D0880"/>
    <w:rsid w:val="002D0A6D"/>
    <w:rsid w:val="002D11A1"/>
    <w:rsid w:val="002D14CD"/>
    <w:rsid w:val="002D3F60"/>
    <w:rsid w:val="002D5EDB"/>
    <w:rsid w:val="002D660D"/>
    <w:rsid w:val="002D66EA"/>
    <w:rsid w:val="002D68DC"/>
    <w:rsid w:val="002E09FE"/>
    <w:rsid w:val="002E0DF1"/>
    <w:rsid w:val="002E4D65"/>
    <w:rsid w:val="002E540E"/>
    <w:rsid w:val="002E572F"/>
    <w:rsid w:val="002E7D7B"/>
    <w:rsid w:val="002F0409"/>
    <w:rsid w:val="002F071C"/>
    <w:rsid w:val="002F0CB4"/>
    <w:rsid w:val="002F1054"/>
    <w:rsid w:val="002F15CB"/>
    <w:rsid w:val="002F21A3"/>
    <w:rsid w:val="002F4542"/>
    <w:rsid w:val="002F4884"/>
    <w:rsid w:val="002F6022"/>
    <w:rsid w:val="002F649C"/>
    <w:rsid w:val="00300876"/>
    <w:rsid w:val="003010FD"/>
    <w:rsid w:val="00301395"/>
    <w:rsid w:val="003027CC"/>
    <w:rsid w:val="00303B79"/>
    <w:rsid w:val="003046E6"/>
    <w:rsid w:val="003047E1"/>
    <w:rsid w:val="003049F6"/>
    <w:rsid w:val="00306B8E"/>
    <w:rsid w:val="00307738"/>
    <w:rsid w:val="00310E47"/>
    <w:rsid w:val="00311B3F"/>
    <w:rsid w:val="00311BD2"/>
    <w:rsid w:val="00311FC6"/>
    <w:rsid w:val="00312E35"/>
    <w:rsid w:val="00313DFC"/>
    <w:rsid w:val="00314029"/>
    <w:rsid w:val="00314B45"/>
    <w:rsid w:val="003150BB"/>
    <w:rsid w:val="00315F76"/>
    <w:rsid w:val="00316A52"/>
    <w:rsid w:val="003172DD"/>
    <w:rsid w:val="00317A16"/>
    <w:rsid w:val="0032078E"/>
    <w:rsid w:val="00320A48"/>
    <w:rsid w:val="00320C5A"/>
    <w:rsid w:val="00322A54"/>
    <w:rsid w:val="0032383E"/>
    <w:rsid w:val="00324A78"/>
    <w:rsid w:val="00325E7C"/>
    <w:rsid w:val="003268B2"/>
    <w:rsid w:val="00327F6B"/>
    <w:rsid w:val="00327FAA"/>
    <w:rsid w:val="003301EF"/>
    <w:rsid w:val="00331C25"/>
    <w:rsid w:val="003328D5"/>
    <w:rsid w:val="00332D89"/>
    <w:rsid w:val="003349A5"/>
    <w:rsid w:val="00335163"/>
    <w:rsid w:val="00336218"/>
    <w:rsid w:val="00336280"/>
    <w:rsid w:val="00336BDF"/>
    <w:rsid w:val="00337671"/>
    <w:rsid w:val="00340289"/>
    <w:rsid w:val="0034067D"/>
    <w:rsid w:val="00341697"/>
    <w:rsid w:val="00341762"/>
    <w:rsid w:val="00342636"/>
    <w:rsid w:val="00343580"/>
    <w:rsid w:val="00343AF6"/>
    <w:rsid w:val="00344D79"/>
    <w:rsid w:val="00345A4F"/>
    <w:rsid w:val="00347626"/>
    <w:rsid w:val="0034775B"/>
    <w:rsid w:val="00347772"/>
    <w:rsid w:val="0034799E"/>
    <w:rsid w:val="00347A2F"/>
    <w:rsid w:val="00347A3C"/>
    <w:rsid w:val="00350570"/>
    <w:rsid w:val="0035082D"/>
    <w:rsid w:val="00350AD3"/>
    <w:rsid w:val="00350BF4"/>
    <w:rsid w:val="00351A58"/>
    <w:rsid w:val="00351C42"/>
    <w:rsid w:val="003523D0"/>
    <w:rsid w:val="003523E9"/>
    <w:rsid w:val="003529F0"/>
    <w:rsid w:val="00352CF0"/>
    <w:rsid w:val="00353040"/>
    <w:rsid w:val="003537D3"/>
    <w:rsid w:val="00353DDF"/>
    <w:rsid w:val="00356917"/>
    <w:rsid w:val="00356ABB"/>
    <w:rsid w:val="00357149"/>
    <w:rsid w:val="003574FF"/>
    <w:rsid w:val="0036002D"/>
    <w:rsid w:val="003600CA"/>
    <w:rsid w:val="00360194"/>
    <w:rsid w:val="00360FAB"/>
    <w:rsid w:val="00361E81"/>
    <w:rsid w:val="0036347D"/>
    <w:rsid w:val="00364B61"/>
    <w:rsid w:val="00364F1E"/>
    <w:rsid w:val="00364FA0"/>
    <w:rsid w:val="00365E54"/>
    <w:rsid w:val="00365F52"/>
    <w:rsid w:val="003664D1"/>
    <w:rsid w:val="0036657A"/>
    <w:rsid w:val="00366E3D"/>
    <w:rsid w:val="00370C77"/>
    <w:rsid w:val="0037259D"/>
    <w:rsid w:val="00374957"/>
    <w:rsid w:val="00374C3E"/>
    <w:rsid w:val="00376B5E"/>
    <w:rsid w:val="0037729A"/>
    <w:rsid w:val="00377A4B"/>
    <w:rsid w:val="0038034E"/>
    <w:rsid w:val="00380B15"/>
    <w:rsid w:val="0038146F"/>
    <w:rsid w:val="003827F7"/>
    <w:rsid w:val="003836F6"/>
    <w:rsid w:val="00384638"/>
    <w:rsid w:val="00384D71"/>
    <w:rsid w:val="0038587B"/>
    <w:rsid w:val="0038641A"/>
    <w:rsid w:val="00386E21"/>
    <w:rsid w:val="00386FF7"/>
    <w:rsid w:val="0039126E"/>
    <w:rsid w:val="003916F0"/>
    <w:rsid w:val="00391B71"/>
    <w:rsid w:val="00391D25"/>
    <w:rsid w:val="0039304C"/>
    <w:rsid w:val="00393604"/>
    <w:rsid w:val="00393789"/>
    <w:rsid w:val="003937A3"/>
    <w:rsid w:val="0039475D"/>
    <w:rsid w:val="003948E4"/>
    <w:rsid w:val="00394AAD"/>
    <w:rsid w:val="00394BBE"/>
    <w:rsid w:val="003957B5"/>
    <w:rsid w:val="00396DC2"/>
    <w:rsid w:val="0039734A"/>
    <w:rsid w:val="003A0BB9"/>
    <w:rsid w:val="003A207A"/>
    <w:rsid w:val="003A2847"/>
    <w:rsid w:val="003A28CD"/>
    <w:rsid w:val="003A2AC3"/>
    <w:rsid w:val="003A3578"/>
    <w:rsid w:val="003A51F6"/>
    <w:rsid w:val="003A5514"/>
    <w:rsid w:val="003A58F5"/>
    <w:rsid w:val="003A6BE7"/>
    <w:rsid w:val="003B0C31"/>
    <w:rsid w:val="003B1516"/>
    <w:rsid w:val="003B1C21"/>
    <w:rsid w:val="003B1CFD"/>
    <w:rsid w:val="003B2323"/>
    <w:rsid w:val="003B2874"/>
    <w:rsid w:val="003B409E"/>
    <w:rsid w:val="003B5809"/>
    <w:rsid w:val="003B6CA2"/>
    <w:rsid w:val="003B6DFB"/>
    <w:rsid w:val="003B7239"/>
    <w:rsid w:val="003B7A25"/>
    <w:rsid w:val="003B7CB1"/>
    <w:rsid w:val="003C033E"/>
    <w:rsid w:val="003C1883"/>
    <w:rsid w:val="003C424C"/>
    <w:rsid w:val="003C4C4A"/>
    <w:rsid w:val="003C641F"/>
    <w:rsid w:val="003C6446"/>
    <w:rsid w:val="003C6B7D"/>
    <w:rsid w:val="003C7B5D"/>
    <w:rsid w:val="003D0F43"/>
    <w:rsid w:val="003D3EC7"/>
    <w:rsid w:val="003D3ECA"/>
    <w:rsid w:val="003D5446"/>
    <w:rsid w:val="003D631E"/>
    <w:rsid w:val="003D73F9"/>
    <w:rsid w:val="003D79D2"/>
    <w:rsid w:val="003E0776"/>
    <w:rsid w:val="003E101D"/>
    <w:rsid w:val="003E1F41"/>
    <w:rsid w:val="003E324D"/>
    <w:rsid w:val="003E37B6"/>
    <w:rsid w:val="003E417C"/>
    <w:rsid w:val="003E45F0"/>
    <w:rsid w:val="003E5136"/>
    <w:rsid w:val="003E7717"/>
    <w:rsid w:val="003E7E62"/>
    <w:rsid w:val="003F13EB"/>
    <w:rsid w:val="003F182F"/>
    <w:rsid w:val="003F19BD"/>
    <w:rsid w:val="003F2721"/>
    <w:rsid w:val="003F2903"/>
    <w:rsid w:val="003F4125"/>
    <w:rsid w:val="003F41C3"/>
    <w:rsid w:val="003F4860"/>
    <w:rsid w:val="003F4921"/>
    <w:rsid w:val="003F5F1B"/>
    <w:rsid w:val="003F6314"/>
    <w:rsid w:val="0040067F"/>
    <w:rsid w:val="00401C4B"/>
    <w:rsid w:val="00402273"/>
    <w:rsid w:val="004024DA"/>
    <w:rsid w:val="0040369A"/>
    <w:rsid w:val="004042A2"/>
    <w:rsid w:val="004043AD"/>
    <w:rsid w:val="00405387"/>
    <w:rsid w:val="004053D0"/>
    <w:rsid w:val="00405525"/>
    <w:rsid w:val="00405ACA"/>
    <w:rsid w:val="004067C3"/>
    <w:rsid w:val="00407BBE"/>
    <w:rsid w:val="00407F67"/>
    <w:rsid w:val="00410C77"/>
    <w:rsid w:val="00410FC6"/>
    <w:rsid w:val="00411C05"/>
    <w:rsid w:val="00412101"/>
    <w:rsid w:val="004132FF"/>
    <w:rsid w:val="0041440A"/>
    <w:rsid w:val="00414469"/>
    <w:rsid w:val="00417CCF"/>
    <w:rsid w:val="0042006F"/>
    <w:rsid w:val="004208FE"/>
    <w:rsid w:val="00421116"/>
    <w:rsid w:val="004212A3"/>
    <w:rsid w:val="00421B9B"/>
    <w:rsid w:val="004236C5"/>
    <w:rsid w:val="00424AA0"/>
    <w:rsid w:val="00425B7F"/>
    <w:rsid w:val="00426ACE"/>
    <w:rsid w:val="00427495"/>
    <w:rsid w:val="00427A9D"/>
    <w:rsid w:val="0043043C"/>
    <w:rsid w:val="00430500"/>
    <w:rsid w:val="00432127"/>
    <w:rsid w:val="00432A00"/>
    <w:rsid w:val="00433604"/>
    <w:rsid w:val="00433706"/>
    <w:rsid w:val="004341D8"/>
    <w:rsid w:val="0043484E"/>
    <w:rsid w:val="00434EBC"/>
    <w:rsid w:val="0043545E"/>
    <w:rsid w:val="00435A93"/>
    <w:rsid w:val="00440AD6"/>
    <w:rsid w:val="00442F78"/>
    <w:rsid w:val="0044314C"/>
    <w:rsid w:val="00443D54"/>
    <w:rsid w:val="004440E6"/>
    <w:rsid w:val="0044454A"/>
    <w:rsid w:val="00445D8D"/>
    <w:rsid w:val="00445EE9"/>
    <w:rsid w:val="00446AAC"/>
    <w:rsid w:val="00446DEE"/>
    <w:rsid w:val="00447B03"/>
    <w:rsid w:val="00450EC1"/>
    <w:rsid w:val="004516E1"/>
    <w:rsid w:val="004520EF"/>
    <w:rsid w:val="00452B4E"/>
    <w:rsid w:val="00453B6B"/>
    <w:rsid w:val="004545B0"/>
    <w:rsid w:val="00454DD1"/>
    <w:rsid w:val="00455A5B"/>
    <w:rsid w:val="00455EC3"/>
    <w:rsid w:val="00462A7A"/>
    <w:rsid w:val="004652E2"/>
    <w:rsid w:val="00465ECD"/>
    <w:rsid w:val="004663B4"/>
    <w:rsid w:val="00466992"/>
    <w:rsid w:val="00467161"/>
    <w:rsid w:val="0047041F"/>
    <w:rsid w:val="00471787"/>
    <w:rsid w:val="00473258"/>
    <w:rsid w:val="00473DA8"/>
    <w:rsid w:val="00473F32"/>
    <w:rsid w:val="00476A7B"/>
    <w:rsid w:val="00480350"/>
    <w:rsid w:val="0048141A"/>
    <w:rsid w:val="0048238F"/>
    <w:rsid w:val="004827B4"/>
    <w:rsid w:val="00483521"/>
    <w:rsid w:val="004842FF"/>
    <w:rsid w:val="00485229"/>
    <w:rsid w:val="004853A7"/>
    <w:rsid w:val="00486D6E"/>
    <w:rsid w:val="00487E05"/>
    <w:rsid w:val="00490002"/>
    <w:rsid w:val="004913A4"/>
    <w:rsid w:val="00492BC9"/>
    <w:rsid w:val="00492D44"/>
    <w:rsid w:val="00493F4A"/>
    <w:rsid w:val="00494B9A"/>
    <w:rsid w:val="004952E3"/>
    <w:rsid w:val="00495A7D"/>
    <w:rsid w:val="00496984"/>
    <w:rsid w:val="004974E4"/>
    <w:rsid w:val="00497FBF"/>
    <w:rsid w:val="004A094E"/>
    <w:rsid w:val="004A0969"/>
    <w:rsid w:val="004A0FEE"/>
    <w:rsid w:val="004A1467"/>
    <w:rsid w:val="004A1DB7"/>
    <w:rsid w:val="004A2377"/>
    <w:rsid w:val="004A2A74"/>
    <w:rsid w:val="004A3FB3"/>
    <w:rsid w:val="004A7B62"/>
    <w:rsid w:val="004A7EF7"/>
    <w:rsid w:val="004B0E3D"/>
    <w:rsid w:val="004B2AB0"/>
    <w:rsid w:val="004B4714"/>
    <w:rsid w:val="004B5852"/>
    <w:rsid w:val="004C043D"/>
    <w:rsid w:val="004C057E"/>
    <w:rsid w:val="004C0BC3"/>
    <w:rsid w:val="004C1A2E"/>
    <w:rsid w:val="004C2942"/>
    <w:rsid w:val="004C2B59"/>
    <w:rsid w:val="004C2BD7"/>
    <w:rsid w:val="004C33E3"/>
    <w:rsid w:val="004C3CCF"/>
    <w:rsid w:val="004C3ED8"/>
    <w:rsid w:val="004C4761"/>
    <w:rsid w:val="004C4FBB"/>
    <w:rsid w:val="004C4FD0"/>
    <w:rsid w:val="004C6267"/>
    <w:rsid w:val="004C6A61"/>
    <w:rsid w:val="004C6C32"/>
    <w:rsid w:val="004C7122"/>
    <w:rsid w:val="004C73CF"/>
    <w:rsid w:val="004C7EE5"/>
    <w:rsid w:val="004C7F98"/>
    <w:rsid w:val="004D1130"/>
    <w:rsid w:val="004D14E5"/>
    <w:rsid w:val="004D17B1"/>
    <w:rsid w:val="004D1F55"/>
    <w:rsid w:val="004D2700"/>
    <w:rsid w:val="004D342F"/>
    <w:rsid w:val="004D3AEA"/>
    <w:rsid w:val="004D59F4"/>
    <w:rsid w:val="004D5C63"/>
    <w:rsid w:val="004D6685"/>
    <w:rsid w:val="004D7835"/>
    <w:rsid w:val="004E018C"/>
    <w:rsid w:val="004E0243"/>
    <w:rsid w:val="004E0972"/>
    <w:rsid w:val="004E1BA8"/>
    <w:rsid w:val="004E263B"/>
    <w:rsid w:val="004E4306"/>
    <w:rsid w:val="004E5356"/>
    <w:rsid w:val="004E57EB"/>
    <w:rsid w:val="004E65BC"/>
    <w:rsid w:val="004E68A0"/>
    <w:rsid w:val="004E6D1B"/>
    <w:rsid w:val="004E7404"/>
    <w:rsid w:val="004E746F"/>
    <w:rsid w:val="004E7D6D"/>
    <w:rsid w:val="004F160E"/>
    <w:rsid w:val="004F174A"/>
    <w:rsid w:val="004F1864"/>
    <w:rsid w:val="004F2932"/>
    <w:rsid w:val="004F352C"/>
    <w:rsid w:val="004F4297"/>
    <w:rsid w:val="004F650F"/>
    <w:rsid w:val="004F663D"/>
    <w:rsid w:val="004F6A40"/>
    <w:rsid w:val="004F6FB6"/>
    <w:rsid w:val="004F78B1"/>
    <w:rsid w:val="004F7AE0"/>
    <w:rsid w:val="004F7C99"/>
    <w:rsid w:val="005017E3"/>
    <w:rsid w:val="00501C27"/>
    <w:rsid w:val="00501E1A"/>
    <w:rsid w:val="0050328E"/>
    <w:rsid w:val="005033D0"/>
    <w:rsid w:val="00503A41"/>
    <w:rsid w:val="005047AA"/>
    <w:rsid w:val="00504BC0"/>
    <w:rsid w:val="00505C3D"/>
    <w:rsid w:val="00506AEC"/>
    <w:rsid w:val="00507498"/>
    <w:rsid w:val="00510148"/>
    <w:rsid w:val="00510A6B"/>
    <w:rsid w:val="0051257C"/>
    <w:rsid w:val="00512875"/>
    <w:rsid w:val="005128D1"/>
    <w:rsid w:val="00512F46"/>
    <w:rsid w:val="00514681"/>
    <w:rsid w:val="0051508A"/>
    <w:rsid w:val="00516275"/>
    <w:rsid w:val="00516B24"/>
    <w:rsid w:val="00517366"/>
    <w:rsid w:val="0051797E"/>
    <w:rsid w:val="00517F3D"/>
    <w:rsid w:val="00521C46"/>
    <w:rsid w:val="00523C87"/>
    <w:rsid w:val="00525D68"/>
    <w:rsid w:val="005267AA"/>
    <w:rsid w:val="00526935"/>
    <w:rsid w:val="005273B2"/>
    <w:rsid w:val="00527C44"/>
    <w:rsid w:val="00531B66"/>
    <w:rsid w:val="00532393"/>
    <w:rsid w:val="00533FA0"/>
    <w:rsid w:val="005343EC"/>
    <w:rsid w:val="0053460C"/>
    <w:rsid w:val="00534B87"/>
    <w:rsid w:val="00534F5B"/>
    <w:rsid w:val="005354A6"/>
    <w:rsid w:val="00536802"/>
    <w:rsid w:val="00536AD9"/>
    <w:rsid w:val="00537FD2"/>
    <w:rsid w:val="005401F4"/>
    <w:rsid w:val="00540424"/>
    <w:rsid w:val="005404A4"/>
    <w:rsid w:val="00540E53"/>
    <w:rsid w:val="0054177E"/>
    <w:rsid w:val="005425B7"/>
    <w:rsid w:val="005432A0"/>
    <w:rsid w:val="0054336E"/>
    <w:rsid w:val="00543429"/>
    <w:rsid w:val="00543999"/>
    <w:rsid w:val="005439AF"/>
    <w:rsid w:val="00543DC3"/>
    <w:rsid w:val="00544475"/>
    <w:rsid w:val="00544A31"/>
    <w:rsid w:val="00545758"/>
    <w:rsid w:val="0054594B"/>
    <w:rsid w:val="00547889"/>
    <w:rsid w:val="00547B9A"/>
    <w:rsid w:val="00547F8B"/>
    <w:rsid w:val="00550389"/>
    <w:rsid w:val="00550AB2"/>
    <w:rsid w:val="00551AE3"/>
    <w:rsid w:val="00551FF5"/>
    <w:rsid w:val="005532FC"/>
    <w:rsid w:val="00553B63"/>
    <w:rsid w:val="005544EC"/>
    <w:rsid w:val="0055609A"/>
    <w:rsid w:val="0055745A"/>
    <w:rsid w:val="00560F9E"/>
    <w:rsid w:val="005623A2"/>
    <w:rsid w:val="00562C39"/>
    <w:rsid w:val="005635A0"/>
    <w:rsid w:val="005639DE"/>
    <w:rsid w:val="00564744"/>
    <w:rsid w:val="00564DF3"/>
    <w:rsid w:val="00566444"/>
    <w:rsid w:val="00566831"/>
    <w:rsid w:val="00566843"/>
    <w:rsid w:val="00567BC0"/>
    <w:rsid w:val="00570232"/>
    <w:rsid w:val="00572EE6"/>
    <w:rsid w:val="00573338"/>
    <w:rsid w:val="00574FCA"/>
    <w:rsid w:val="0057574F"/>
    <w:rsid w:val="005757EC"/>
    <w:rsid w:val="005759A9"/>
    <w:rsid w:val="00576500"/>
    <w:rsid w:val="00576EC1"/>
    <w:rsid w:val="005778E6"/>
    <w:rsid w:val="00577C2C"/>
    <w:rsid w:val="0058009E"/>
    <w:rsid w:val="00580295"/>
    <w:rsid w:val="005806D4"/>
    <w:rsid w:val="005811D8"/>
    <w:rsid w:val="005835C5"/>
    <w:rsid w:val="00583AFC"/>
    <w:rsid w:val="00587F1C"/>
    <w:rsid w:val="00587F72"/>
    <w:rsid w:val="005906DB"/>
    <w:rsid w:val="00592689"/>
    <w:rsid w:val="005930FE"/>
    <w:rsid w:val="00593F85"/>
    <w:rsid w:val="0059464B"/>
    <w:rsid w:val="00595C04"/>
    <w:rsid w:val="00596508"/>
    <w:rsid w:val="005967D2"/>
    <w:rsid w:val="005977CA"/>
    <w:rsid w:val="005A16FE"/>
    <w:rsid w:val="005A1AA0"/>
    <w:rsid w:val="005A23B7"/>
    <w:rsid w:val="005A247B"/>
    <w:rsid w:val="005A2B23"/>
    <w:rsid w:val="005A4F11"/>
    <w:rsid w:val="005A5C8E"/>
    <w:rsid w:val="005A5EC4"/>
    <w:rsid w:val="005A6338"/>
    <w:rsid w:val="005A6686"/>
    <w:rsid w:val="005A72DA"/>
    <w:rsid w:val="005B02F3"/>
    <w:rsid w:val="005B04AE"/>
    <w:rsid w:val="005B07B4"/>
    <w:rsid w:val="005B194C"/>
    <w:rsid w:val="005B1B9F"/>
    <w:rsid w:val="005B1F6A"/>
    <w:rsid w:val="005B20BB"/>
    <w:rsid w:val="005B3002"/>
    <w:rsid w:val="005B38A9"/>
    <w:rsid w:val="005B3E49"/>
    <w:rsid w:val="005B563A"/>
    <w:rsid w:val="005B57C4"/>
    <w:rsid w:val="005B5C7B"/>
    <w:rsid w:val="005B6E4C"/>
    <w:rsid w:val="005B767F"/>
    <w:rsid w:val="005C0C51"/>
    <w:rsid w:val="005C0D74"/>
    <w:rsid w:val="005C0DAD"/>
    <w:rsid w:val="005C14B0"/>
    <w:rsid w:val="005C1981"/>
    <w:rsid w:val="005C1DB1"/>
    <w:rsid w:val="005C27EE"/>
    <w:rsid w:val="005C3AB4"/>
    <w:rsid w:val="005C4626"/>
    <w:rsid w:val="005C4982"/>
    <w:rsid w:val="005C5BB8"/>
    <w:rsid w:val="005C6691"/>
    <w:rsid w:val="005C76F7"/>
    <w:rsid w:val="005D0519"/>
    <w:rsid w:val="005D152B"/>
    <w:rsid w:val="005D284B"/>
    <w:rsid w:val="005D3199"/>
    <w:rsid w:val="005D3234"/>
    <w:rsid w:val="005D3617"/>
    <w:rsid w:val="005D3A23"/>
    <w:rsid w:val="005D44EB"/>
    <w:rsid w:val="005D697F"/>
    <w:rsid w:val="005D759C"/>
    <w:rsid w:val="005D7D6C"/>
    <w:rsid w:val="005E0990"/>
    <w:rsid w:val="005E1212"/>
    <w:rsid w:val="005E40DC"/>
    <w:rsid w:val="005E455A"/>
    <w:rsid w:val="005E497F"/>
    <w:rsid w:val="005E4C55"/>
    <w:rsid w:val="005E4F64"/>
    <w:rsid w:val="005E58D9"/>
    <w:rsid w:val="005E5B74"/>
    <w:rsid w:val="005E7529"/>
    <w:rsid w:val="005E7752"/>
    <w:rsid w:val="005E7C25"/>
    <w:rsid w:val="005E7D6E"/>
    <w:rsid w:val="005F0400"/>
    <w:rsid w:val="005F05FB"/>
    <w:rsid w:val="005F0B26"/>
    <w:rsid w:val="005F1AF1"/>
    <w:rsid w:val="005F2674"/>
    <w:rsid w:val="005F31C0"/>
    <w:rsid w:val="005F36ED"/>
    <w:rsid w:val="005F3E68"/>
    <w:rsid w:val="005F400F"/>
    <w:rsid w:val="005F4328"/>
    <w:rsid w:val="005F4B00"/>
    <w:rsid w:val="005F4D1A"/>
    <w:rsid w:val="005F4DFF"/>
    <w:rsid w:val="005F620C"/>
    <w:rsid w:val="005F6251"/>
    <w:rsid w:val="005F6998"/>
    <w:rsid w:val="005F69FF"/>
    <w:rsid w:val="00600766"/>
    <w:rsid w:val="00601145"/>
    <w:rsid w:val="006035B5"/>
    <w:rsid w:val="00603A0B"/>
    <w:rsid w:val="0060429F"/>
    <w:rsid w:val="0060547E"/>
    <w:rsid w:val="006054CA"/>
    <w:rsid w:val="00605B60"/>
    <w:rsid w:val="00606372"/>
    <w:rsid w:val="00606566"/>
    <w:rsid w:val="006065C1"/>
    <w:rsid w:val="00606CA4"/>
    <w:rsid w:val="0061010B"/>
    <w:rsid w:val="006104C7"/>
    <w:rsid w:val="00610560"/>
    <w:rsid w:val="00610B34"/>
    <w:rsid w:val="00611ACD"/>
    <w:rsid w:val="00611D7E"/>
    <w:rsid w:val="00612533"/>
    <w:rsid w:val="00612ADA"/>
    <w:rsid w:val="006138CA"/>
    <w:rsid w:val="00613DFA"/>
    <w:rsid w:val="00614BEE"/>
    <w:rsid w:val="006161AD"/>
    <w:rsid w:val="006162FF"/>
    <w:rsid w:val="0061640F"/>
    <w:rsid w:val="00616DBE"/>
    <w:rsid w:val="00617787"/>
    <w:rsid w:val="00617C4B"/>
    <w:rsid w:val="006211A5"/>
    <w:rsid w:val="00621395"/>
    <w:rsid w:val="00621694"/>
    <w:rsid w:val="00621900"/>
    <w:rsid w:val="00622505"/>
    <w:rsid w:val="00622518"/>
    <w:rsid w:val="006228D7"/>
    <w:rsid w:val="00622AEA"/>
    <w:rsid w:val="006230F6"/>
    <w:rsid w:val="006239AB"/>
    <w:rsid w:val="00624202"/>
    <w:rsid w:val="006245F2"/>
    <w:rsid w:val="00625034"/>
    <w:rsid w:val="00626419"/>
    <w:rsid w:val="0062763C"/>
    <w:rsid w:val="00630431"/>
    <w:rsid w:val="006304A2"/>
    <w:rsid w:val="00632138"/>
    <w:rsid w:val="006333C3"/>
    <w:rsid w:val="00633C42"/>
    <w:rsid w:val="00633C99"/>
    <w:rsid w:val="006362DF"/>
    <w:rsid w:val="00636C7E"/>
    <w:rsid w:val="00636F1E"/>
    <w:rsid w:val="00640BEF"/>
    <w:rsid w:val="00640F1C"/>
    <w:rsid w:val="00643CE8"/>
    <w:rsid w:val="00644B7F"/>
    <w:rsid w:val="006457F8"/>
    <w:rsid w:val="00646464"/>
    <w:rsid w:val="0064671E"/>
    <w:rsid w:val="00646D24"/>
    <w:rsid w:val="00647057"/>
    <w:rsid w:val="0064741D"/>
    <w:rsid w:val="006511C9"/>
    <w:rsid w:val="00652D26"/>
    <w:rsid w:val="00653A6D"/>
    <w:rsid w:val="00654668"/>
    <w:rsid w:val="00655069"/>
    <w:rsid w:val="0065558F"/>
    <w:rsid w:val="00655D17"/>
    <w:rsid w:val="00656632"/>
    <w:rsid w:val="0066093D"/>
    <w:rsid w:val="00660979"/>
    <w:rsid w:val="00660A97"/>
    <w:rsid w:val="00660F82"/>
    <w:rsid w:val="006616DC"/>
    <w:rsid w:val="006627AE"/>
    <w:rsid w:val="006634B5"/>
    <w:rsid w:val="0066532A"/>
    <w:rsid w:val="006659C6"/>
    <w:rsid w:val="00666A87"/>
    <w:rsid w:val="00666FB7"/>
    <w:rsid w:val="006678E9"/>
    <w:rsid w:val="00670CF8"/>
    <w:rsid w:val="00671AF5"/>
    <w:rsid w:val="00671E93"/>
    <w:rsid w:val="006721D3"/>
    <w:rsid w:val="006765E2"/>
    <w:rsid w:val="00676BF8"/>
    <w:rsid w:val="00680C5F"/>
    <w:rsid w:val="00681A3E"/>
    <w:rsid w:val="00681FD1"/>
    <w:rsid w:val="006823AE"/>
    <w:rsid w:val="0068615C"/>
    <w:rsid w:val="0068624E"/>
    <w:rsid w:val="006872C6"/>
    <w:rsid w:val="006921F2"/>
    <w:rsid w:val="006927B4"/>
    <w:rsid w:val="00692AD1"/>
    <w:rsid w:val="00692C44"/>
    <w:rsid w:val="00692D24"/>
    <w:rsid w:val="0069317B"/>
    <w:rsid w:val="00693242"/>
    <w:rsid w:val="00694999"/>
    <w:rsid w:val="00694FF7"/>
    <w:rsid w:val="006959B1"/>
    <w:rsid w:val="0069683D"/>
    <w:rsid w:val="006973DF"/>
    <w:rsid w:val="00697B0C"/>
    <w:rsid w:val="006A07D5"/>
    <w:rsid w:val="006A28DC"/>
    <w:rsid w:val="006A57A9"/>
    <w:rsid w:val="006A5FEB"/>
    <w:rsid w:val="006A6C4A"/>
    <w:rsid w:val="006A726D"/>
    <w:rsid w:val="006A782E"/>
    <w:rsid w:val="006A7AEE"/>
    <w:rsid w:val="006B0236"/>
    <w:rsid w:val="006B0343"/>
    <w:rsid w:val="006B0BB9"/>
    <w:rsid w:val="006B0DF0"/>
    <w:rsid w:val="006B218B"/>
    <w:rsid w:val="006B2D25"/>
    <w:rsid w:val="006B33D3"/>
    <w:rsid w:val="006B63F6"/>
    <w:rsid w:val="006B7F3E"/>
    <w:rsid w:val="006C037D"/>
    <w:rsid w:val="006C04E2"/>
    <w:rsid w:val="006C05A9"/>
    <w:rsid w:val="006C34B4"/>
    <w:rsid w:val="006C4F42"/>
    <w:rsid w:val="006C5C9E"/>
    <w:rsid w:val="006C61BB"/>
    <w:rsid w:val="006C6CC0"/>
    <w:rsid w:val="006C6E1D"/>
    <w:rsid w:val="006C6EAC"/>
    <w:rsid w:val="006C7721"/>
    <w:rsid w:val="006C7835"/>
    <w:rsid w:val="006C7856"/>
    <w:rsid w:val="006C7A1D"/>
    <w:rsid w:val="006D04CA"/>
    <w:rsid w:val="006D0C63"/>
    <w:rsid w:val="006D1D2C"/>
    <w:rsid w:val="006D23B8"/>
    <w:rsid w:val="006D25D4"/>
    <w:rsid w:val="006D3457"/>
    <w:rsid w:val="006D34E4"/>
    <w:rsid w:val="006D52ED"/>
    <w:rsid w:val="006D5D33"/>
    <w:rsid w:val="006D5D6B"/>
    <w:rsid w:val="006D6AE3"/>
    <w:rsid w:val="006D6DA3"/>
    <w:rsid w:val="006D7837"/>
    <w:rsid w:val="006E0D65"/>
    <w:rsid w:val="006E1009"/>
    <w:rsid w:val="006E197C"/>
    <w:rsid w:val="006E214A"/>
    <w:rsid w:val="006E2BB7"/>
    <w:rsid w:val="006E3312"/>
    <w:rsid w:val="006E3FF8"/>
    <w:rsid w:val="006E6287"/>
    <w:rsid w:val="006E666E"/>
    <w:rsid w:val="006E6FDC"/>
    <w:rsid w:val="006F155A"/>
    <w:rsid w:val="006F1D5B"/>
    <w:rsid w:val="006F294D"/>
    <w:rsid w:val="006F2B8E"/>
    <w:rsid w:val="006F3633"/>
    <w:rsid w:val="006F4C87"/>
    <w:rsid w:val="006F4CC1"/>
    <w:rsid w:val="006F582B"/>
    <w:rsid w:val="006F620C"/>
    <w:rsid w:val="006F755E"/>
    <w:rsid w:val="006F7ECE"/>
    <w:rsid w:val="0070027B"/>
    <w:rsid w:val="00700563"/>
    <w:rsid w:val="00702A7E"/>
    <w:rsid w:val="00703A2C"/>
    <w:rsid w:val="00703CD6"/>
    <w:rsid w:val="007054B5"/>
    <w:rsid w:val="0070652B"/>
    <w:rsid w:val="00706C0F"/>
    <w:rsid w:val="00706F67"/>
    <w:rsid w:val="007070B2"/>
    <w:rsid w:val="00707EE2"/>
    <w:rsid w:val="00712772"/>
    <w:rsid w:val="00712F99"/>
    <w:rsid w:val="0071358B"/>
    <w:rsid w:val="00713BE2"/>
    <w:rsid w:val="00714C57"/>
    <w:rsid w:val="00714E2A"/>
    <w:rsid w:val="007154AB"/>
    <w:rsid w:val="007154D3"/>
    <w:rsid w:val="00716CBE"/>
    <w:rsid w:val="007203AB"/>
    <w:rsid w:val="00721743"/>
    <w:rsid w:val="007223A6"/>
    <w:rsid w:val="0072318D"/>
    <w:rsid w:val="00724ACE"/>
    <w:rsid w:val="007255D4"/>
    <w:rsid w:val="007265F3"/>
    <w:rsid w:val="007266A3"/>
    <w:rsid w:val="007268F2"/>
    <w:rsid w:val="0072698A"/>
    <w:rsid w:val="00727376"/>
    <w:rsid w:val="0073023D"/>
    <w:rsid w:val="007321D8"/>
    <w:rsid w:val="007328BD"/>
    <w:rsid w:val="0073293A"/>
    <w:rsid w:val="00732E79"/>
    <w:rsid w:val="00733B5F"/>
    <w:rsid w:val="0073416F"/>
    <w:rsid w:val="0073500E"/>
    <w:rsid w:val="0073509C"/>
    <w:rsid w:val="00735270"/>
    <w:rsid w:val="00735311"/>
    <w:rsid w:val="00735A47"/>
    <w:rsid w:val="00736367"/>
    <w:rsid w:val="00736BDD"/>
    <w:rsid w:val="00736D45"/>
    <w:rsid w:val="00736F0F"/>
    <w:rsid w:val="007376A2"/>
    <w:rsid w:val="007406EA"/>
    <w:rsid w:val="007410F9"/>
    <w:rsid w:val="007414BB"/>
    <w:rsid w:val="007418F6"/>
    <w:rsid w:val="007424A6"/>
    <w:rsid w:val="00742E1F"/>
    <w:rsid w:val="00742F60"/>
    <w:rsid w:val="00743478"/>
    <w:rsid w:val="00745318"/>
    <w:rsid w:val="007461D0"/>
    <w:rsid w:val="0074788E"/>
    <w:rsid w:val="00750154"/>
    <w:rsid w:val="00750FC7"/>
    <w:rsid w:val="00752443"/>
    <w:rsid w:val="00752D46"/>
    <w:rsid w:val="007538E3"/>
    <w:rsid w:val="007539DB"/>
    <w:rsid w:val="00753B50"/>
    <w:rsid w:val="00753DE3"/>
    <w:rsid w:val="0075468C"/>
    <w:rsid w:val="00754F1E"/>
    <w:rsid w:val="00757B55"/>
    <w:rsid w:val="00760BEF"/>
    <w:rsid w:val="00760C34"/>
    <w:rsid w:val="00760D2F"/>
    <w:rsid w:val="00760F86"/>
    <w:rsid w:val="00761591"/>
    <w:rsid w:val="00761F36"/>
    <w:rsid w:val="00762B70"/>
    <w:rsid w:val="00763A1F"/>
    <w:rsid w:val="00763AFA"/>
    <w:rsid w:val="00763C36"/>
    <w:rsid w:val="00764E7D"/>
    <w:rsid w:val="00765127"/>
    <w:rsid w:val="00766668"/>
    <w:rsid w:val="00766917"/>
    <w:rsid w:val="00767273"/>
    <w:rsid w:val="0076732A"/>
    <w:rsid w:val="00767563"/>
    <w:rsid w:val="00767CA7"/>
    <w:rsid w:val="00770C94"/>
    <w:rsid w:val="00770FF3"/>
    <w:rsid w:val="00771F97"/>
    <w:rsid w:val="00772115"/>
    <w:rsid w:val="00777C42"/>
    <w:rsid w:val="0078057C"/>
    <w:rsid w:val="00780EFA"/>
    <w:rsid w:val="00782080"/>
    <w:rsid w:val="007859CD"/>
    <w:rsid w:val="00786EA7"/>
    <w:rsid w:val="00791732"/>
    <w:rsid w:val="00791A24"/>
    <w:rsid w:val="00791AC0"/>
    <w:rsid w:val="007935BC"/>
    <w:rsid w:val="0079377F"/>
    <w:rsid w:val="00794820"/>
    <w:rsid w:val="007950FD"/>
    <w:rsid w:val="00795B87"/>
    <w:rsid w:val="00795DA5"/>
    <w:rsid w:val="00795F00"/>
    <w:rsid w:val="0079606D"/>
    <w:rsid w:val="00796689"/>
    <w:rsid w:val="007966F9"/>
    <w:rsid w:val="00796CB5"/>
    <w:rsid w:val="00797710"/>
    <w:rsid w:val="007979B5"/>
    <w:rsid w:val="007A08B6"/>
    <w:rsid w:val="007A180A"/>
    <w:rsid w:val="007A1D8F"/>
    <w:rsid w:val="007A21FA"/>
    <w:rsid w:val="007A238A"/>
    <w:rsid w:val="007A30A6"/>
    <w:rsid w:val="007A3C33"/>
    <w:rsid w:val="007A4661"/>
    <w:rsid w:val="007A4776"/>
    <w:rsid w:val="007A6615"/>
    <w:rsid w:val="007A6868"/>
    <w:rsid w:val="007A6C44"/>
    <w:rsid w:val="007A71EB"/>
    <w:rsid w:val="007A7A48"/>
    <w:rsid w:val="007B002A"/>
    <w:rsid w:val="007B04D9"/>
    <w:rsid w:val="007B06BD"/>
    <w:rsid w:val="007B0A94"/>
    <w:rsid w:val="007B0E54"/>
    <w:rsid w:val="007B131B"/>
    <w:rsid w:val="007B149C"/>
    <w:rsid w:val="007B166F"/>
    <w:rsid w:val="007B1BD1"/>
    <w:rsid w:val="007B27B9"/>
    <w:rsid w:val="007B3AC0"/>
    <w:rsid w:val="007B3D5F"/>
    <w:rsid w:val="007B4570"/>
    <w:rsid w:val="007B49F8"/>
    <w:rsid w:val="007B5357"/>
    <w:rsid w:val="007B5F97"/>
    <w:rsid w:val="007B6232"/>
    <w:rsid w:val="007B7F1A"/>
    <w:rsid w:val="007C1E47"/>
    <w:rsid w:val="007C201D"/>
    <w:rsid w:val="007C299D"/>
    <w:rsid w:val="007C2A25"/>
    <w:rsid w:val="007C359F"/>
    <w:rsid w:val="007C39CB"/>
    <w:rsid w:val="007C3C33"/>
    <w:rsid w:val="007C3D0E"/>
    <w:rsid w:val="007C4188"/>
    <w:rsid w:val="007C6FDD"/>
    <w:rsid w:val="007C77DB"/>
    <w:rsid w:val="007C790E"/>
    <w:rsid w:val="007D00B3"/>
    <w:rsid w:val="007D2029"/>
    <w:rsid w:val="007D42DD"/>
    <w:rsid w:val="007D4553"/>
    <w:rsid w:val="007D4A0D"/>
    <w:rsid w:val="007D4A25"/>
    <w:rsid w:val="007D4C4B"/>
    <w:rsid w:val="007D53A7"/>
    <w:rsid w:val="007D56D8"/>
    <w:rsid w:val="007D7A84"/>
    <w:rsid w:val="007E1410"/>
    <w:rsid w:val="007E295E"/>
    <w:rsid w:val="007E2F31"/>
    <w:rsid w:val="007E3255"/>
    <w:rsid w:val="007E35D0"/>
    <w:rsid w:val="007E4052"/>
    <w:rsid w:val="007E435F"/>
    <w:rsid w:val="007E54DE"/>
    <w:rsid w:val="007E5C1A"/>
    <w:rsid w:val="007E5F4F"/>
    <w:rsid w:val="007E6026"/>
    <w:rsid w:val="007E60B5"/>
    <w:rsid w:val="007E615E"/>
    <w:rsid w:val="007E6597"/>
    <w:rsid w:val="007E7772"/>
    <w:rsid w:val="007E7862"/>
    <w:rsid w:val="007F0204"/>
    <w:rsid w:val="007F08AD"/>
    <w:rsid w:val="007F0D9F"/>
    <w:rsid w:val="007F10E5"/>
    <w:rsid w:val="007F2C95"/>
    <w:rsid w:val="007F336E"/>
    <w:rsid w:val="007F40BC"/>
    <w:rsid w:val="007F4714"/>
    <w:rsid w:val="007F5836"/>
    <w:rsid w:val="007F6BF9"/>
    <w:rsid w:val="007F7541"/>
    <w:rsid w:val="007F79F0"/>
    <w:rsid w:val="0080063C"/>
    <w:rsid w:val="00800AC2"/>
    <w:rsid w:val="00800DFE"/>
    <w:rsid w:val="008027E8"/>
    <w:rsid w:val="00802923"/>
    <w:rsid w:val="00802C32"/>
    <w:rsid w:val="00803728"/>
    <w:rsid w:val="00805E41"/>
    <w:rsid w:val="00807E96"/>
    <w:rsid w:val="00807ED3"/>
    <w:rsid w:val="0081004C"/>
    <w:rsid w:val="00810BE5"/>
    <w:rsid w:val="00811221"/>
    <w:rsid w:val="008121BD"/>
    <w:rsid w:val="00812386"/>
    <w:rsid w:val="00813AAE"/>
    <w:rsid w:val="008149AD"/>
    <w:rsid w:val="00815987"/>
    <w:rsid w:val="00815F04"/>
    <w:rsid w:val="00816102"/>
    <w:rsid w:val="00816DF5"/>
    <w:rsid w:val="00817FB5"/>
    <w:rsid w:val="00820B81"/>
    <w:rsid w:val="00822A3D"/>
    <w:rsid w:val="00822D63"/>
    <w:rsid w:val="00822E2D"/>
    <w:rsid w:val="00823591"/>
    <w:rsid w:val="00823E83"/>
    <w:rsid w:val="008251E2"/>
    <w:rsid w:val="008263BD"/>
    <w:rsid w:val="008265E1"/>
    <w:rsid w:val="00826D85"/>
    <w:rsid w:val="0082718D"/>
    <w:rsid w:val="008271C9"/>
    <w:rsid w:val="0083263E"/>
    <w:rsid w:val="00832848"/>
    <w:rsid w:val="008331DF"/>
    <w:rsid w:val="00833679"/>
    <w:rsid w:val="0083370A"/>
    <w:rsid w:val="00833D83"/>
    <w:rsid w:val="0083430F"/>
    <w:rsid w:val="00834776"/>
    <w:rsid w:val="00835592"/>
    <w:rsid w:val="00835660"/>
    <w:rsid w:val="00835FFF"/>
    <w:rsid w:val="0083614F"/>
    <w:rsid w:val="008366C2"/>
    <w:rsid w:val="00836DA7"/>
    <w:rsid w:val="00836FB7"/>
    <w:rsid w:val="0084003D"/>
    <w:rsid w:val="00840620"/>
    <w:rsid w:val="00840C2A"/>
    <w:rsid w:val="0084179D"/>
    <w:rsid w:val="0084220F"/>
    <w:rsid w:val="0084268F"/>
    <w:rsid w:val="00843974"/>
    <w:rsid w:val="008442CA"/>
    <w:rsid w:val="008447A0"/>
    <w:rsid w:val="008456F6"/>
    <w:rsid w:val="00845FDE"/>
    <w:rsid w:val="008464F9"/>
    <w:rsid w:val="00847F3E"/>
    <w:rsid w:val="00855D5B"/>
    <w:rsid w:val="00857BAC"/>
    <w:rsid w:val="00860445"/>
    <w:rsid w:val="00860502"/>
    <w:rsid w:val="008611BF"/>
    <w:rsid w:val="008615E5"/>
    <w:rsid w:val="00861A71"/>
    <w:rsid w:val="008620C3"/>
    <w:rsid w:val="008622FF"/>
    <w:rsid w:val="00863940"/>
    <w:rsid w:val="00864A57"/>
    <w:rsid w:val="00864CDF"/>
    <w:rsid w:val="00866E05"/>
    <w:rsid w:val="0087057C"/>
    <w:rsid w:val="00871E50"/>
    <w:rsid w:val="008737C1"/>
    <w:rsid w:val="00873B2D"/>
    <w:rsid w:val="0087459D"/>
    <w:rsid w:val="008747D8"/>
    <w:rsid w:val="00875D0F"/>
    <w:rsid w:val="00876DE9"/>
    <w:rsid w:val="0087724F"/>
    <w:rsid w:val="00877471"/>
    <w:rsid w:val="00880C6D"/>
    <w:rsid w:val="00880FCB"/>
    <w:rsid w:val="00881C28"/>
    <w:rsid w:val="0088310F"/>
    <w:rsid w:val="00883960"/>
    <w:rsid w:val="008847F3"/>
    <w:rsid w:val="00885F7A"/>
    <w:rsid w:val="0088760C"/>
    <w:rsid w:val="008877EB"/>
    <w:rsid w:val="008902A3"/>
    <w:rsid w:val="00892770"/>
    <w:rsid w:val="008933C1"/>
    <w:rsid w:val="00893671"/>
    <w:rsid w:val="00893C0F"/>
    <w:rsid w:val="00893F4E"/>
    <w:rsid w:val="008960A7"/>
    <w:rsid w:val="00896C27"/>
    <w:rsid w:val="008970D0"/>
    <w:rsid w:val="008A01FB"/>
    <w:rsid w:val="008A1F8A"/>
    <w:rsid w:val="008A2870"/>
    <w:rsid w:val="008A333E"/>
    <w:rsid w:val="008A35BC"/>
    <w:rsid w:val="008A4EDC"/>
    <w:rsid w:val="008A530E"/>
    <w:rsid w:val="008A58CE"/>
    <w:rsid w:val="008A5ED9"/>
    <w:rsid w:val="008A6AC6"/>
    <w:rsid w:val="008A7A25"/>
    <w:rsid w:val="008A7B3D"/>
    <w:rsid w:val="008B05A6"/>
    <w:rsid w:val="008B12DE"/>
    <w:rsid w:val="008B1A0C"/>
    <w:rsid w:val="008B1B7E"/>
    <w:rsid w:val="008B1D44"/>
    <w:rsid w:val="008B1F33"/>
    <w:rsid w:val="008B2185"/>
    <w:rsid w:val="008B3292"/>
    <w:rsid w:val="008B3306"/>
    <w:rsid w:val="008B4658"/>
    <w:rsid w:val="008B474C"/>
    <w:rsid w:val="008B4C4E"/>
    <w:rsid w:val="008B5868"/>
    <w:rsid w:val="008B601B"/>
    <w:rsid w:val="008B60AF"/>
    <w:rsid w:val="008B65FB"/>
    <w:rsid w:val="008B6C27"/>
    <w:rsid w:val="008C00FC"/>
    <w:rsid w:val="008C0424"/>
    <w:rsid w:val="008C0FBF"/>
    <w:rsid w:val="008C23FE"/>
    <w:rsid w:val="008C2DC5"/>
    <w:rsid w:val="008C2E7A"/>
    <w:rsid w:val="008C30B8"/>
    <w:rsid w:val="008C313B"/>
    <w:rsid w:val="008C3B33"/>
    <w:rsid w:val="008C3F29"/>
    <w:rsid w:val="008C4762"/>
    <w:rsid w:val="008C4957"/>
    <w:rsid w:val="008C60B9"/>
    <w:rsid w:val="008C66AE"/>
    <w:rsid w:val="008C6A90"/>
    <w:rsid w:val="008C7EC4"/>
    <w:rsid w:val="008D139A"/>
    <w:rsid w:val="008D247E"/>
    <w:rsid w:val="008D2DEB"/>
    <w:rsid w:val="008D33E7"/>
    <w:rsid w:val="008D48E4"/>
    <w:rsid w:val="008D4CA1"/>
    <w:rsid w:val="008D5401"/>
    <w:rsid w:val="008D5C8A"/>
    <w:rsid w:val="008D5EB4"/>
    <w:rsid w:val="008D66DE"/>
    <w:rsid w:val="008D69A6"/>
    <w:rsid w:val="008D6E45"/>
    <w:rsid w:val="008D78C5"/>
    <w:rsid w:val="008E0749"/>
    <w:rsid w:val="008E0BBC"/>
    <w:rsid w:val="008E0E45"/>
    <w:rsid w:val="008E39FB"/>
    <w:rsid w:val="008E42C1"/>
    <w:rsid w:val="008E438F"/>
    <w:rsid w:val="008E493F"/>
    <w:rsid w:val="008E5D57"/>
    <w:rsid w:val="008E5F12"/>
    <w:rsid w:val="008E61A7"/>
    <w:rsid w:val="008E6547"/>
    <w:rsid w:val="008E6656"/>
    <w:rsid w:val="008E7562"/>
    <w:rsid w:val="008E7C2B"/>
    <w:rsid w:val="008F0C7F"/>
    <w:rsid w:val="008F0F58"/>
    <w:rsid w:val="008F1D23"/>
    <w:rsid w:val="008F230B"/>
    <w:rsid w:val="008F4BBC"/>
    <w:rsid w:val="008F4F49"/>
    <w:rsid w:val="008F5799"/>
    <w:rsid w:val="008F5BA2"/>
    <w:rsid w:val="008F5C5E"/>
    <w:rsid w:val="008F5F47"/>
    <w:rsid w:val="00901062"/>
    <w:rsid w:val="0090177B"/>
    <w:rsid w:val="00902A18"/>
    <w:rsid w:val="00902C63"/>
    <w:rsid w:val="00903730"/>
    <w:rsid w:val="00904DEA"/>
    <w:rsid w:val="00906153"/>
    <w:rsid w:val="009073A5"/>
    <w:rsid w:val="009139DA"/>
    <w:rsid w:val="00913A0D"/>
    <w:rsid w:val="00913E3F"/>
    <w:rsid w:val="0091467B"/>
    <w:rsid w:val="00915302"/>
    <w:rsid w:val="00915A28"/>
    <w:rsid w:val="00917A30"/>
    <w:rsid w:val="00917C94"/>
    <w:rsid w:val="009206AA"/>
    <w:rsid w:val="00920AF7"/>
    <w:rsid w:val="00923CD9"/>
    <w:rsid w:val="0092473B"/>
    <w:rsid w:val="00924958"/>
    <w:rsid w:val="00924F33"/>
    <w:rsid w:val="00925712"/>
    <w:rsid w:val="009258F9"/>
    <w:rsid w:val="00925ABC"/>
    <w:rsid w:val="00926E04"/>
    <w:rsid w:val="0092772D"/>
    <w:rsid w:val="00927A41"/>
    <w:rsid w:val="00932979"/>
    <w:rsid w:val="00932CAD"/>
    <w:rsid w:val="00933AF8"/>
    <w:rsid w:val="00933EB2"/>
    <w:rsid w:val="00933F16"/>
    <w:rsid w:val="009343BA"/>
    <w:rsid w:val="00934AF0"/>
    <w:rsid w:val="009355AE"/>
    <w:rsid w:val="00937508"/>
    <w:rsid w:val="00937A20"/>
    <w:rsid w:val="00940317"/>
    <w:rsid w:val="009406BB"/>
    <w:rsid w:val="009407BE"/>
    <w:rsid w:val="00941725"/>
    <w:rsid w:val="00942ED2"/>
    <w:rsid w:val="0094555B"/>
    <w:rsid w:val="0094557E"/>
    <w:rsid w:val="00946007"/>
    <w:rsid w:val="0094630D"/>
    <w:rsid w:val="009469D4"/>
    <w:rsid w:val="00947321"/>
    <w:rsid w:val="009477EE"/>
    <w:rsid w:val="009516DD"/>
    <w:rsid w:val="00951739"/>
    <w:rsid w:val="00951A74"/>
    <w:rsid w:val="009553BC"/>
    <w:rsid w:val="0095569C"/>
    <w:rsid w:val="00956658"/>
    <w:rsid w:val="00956667"/>
    <w:rsid w:val="0095707B"/>
    <w:rsid w:val="00960991"/>
    <w:rsid w:val="00961430"/>
    <w:rsid w:val="009618BC"/>
    <w:rsid w:val="009619AA"/>
    <w:rsid w:val="00962808"/>
    <w:rsid w:val="00965494"/>
    <w:rsid w:val="0096695B"/>
    <w:rsid w:val="00967297"/>
    <w:rsid w:val="00967474"/>
    <w:rsid w:val="009677F3"/>
    <w:rsid w:val="00970B45"/>
    <w:rsid w:val="0097152F"/>
    <w:rsid w:val="0097167A"/>
    <w:rsid w:val="009716E6"/>
    <w:rsid w:val="00971B43"/>
    <w:rsid w:val="00971B60"/>
    <w:rsid w:val="0097256A"/>
    <w:rsid w:val="00972CC8"/>
    <w:rsid w:val="00973824"/>
    <w:rsid w:val="009748F0"/>
    <w:rsid w:val="009749E0"/>
    <w:rsid w:val="00975250"/>
    <w:rsid w:val="00975DDF"/>
    <w:rsid w:val="009767B4"/>
    <w:rsid w:val="009778B6"/>
    <w:rsid w:val="009800CE"/>
    <w:rsid w:val="00980C56"/>
    <w:rsid w:val="00981100"/>
    <w:rsid w:val="0098143C"/>
    <w:rsid w:val="009847B5"/>
    <w:rsid w:val="0098480F"/>
    <w:rsid w:val="00985447"/>
    <w:rsid w:val="00985DEE"/>
    <w:rsid w:val="0098756D"/>
    <w:rsid w:val="00987B80"/>
    <w:rsid w:val="00987DDE"/>
    <w:rsid w:val="0099017C"/>
    <w:rsid w:val="0099044B"/>
    <w:rsid w:val="00990DCF"/>
    <w:rsid w:val="00991BBD"/>
    <w:rsid w:val="009924EB"/>
    <w:rsid w:val="0099361B"/>
    <w:rsid w:val="00994757"/>
    <w:rsid w:val="0099582A"/>
    <w:rsid w:val="00995E82"/>
    <w:rsid w:val="009965FD"/>
    <w:rsid w:val="00997B2A"/>
    <w:rsid w:val="00997C10"/>
    <w:rsid w:val="009A01A9"/>
    <w:rsid w:val="009A07F8"/>
    <w:rsid w:val="009A09FA"/>
    <w:rsid w:val="009A0BA4"/>
    <w:rsid w:val="009A28F9"/>
    <w:rsid w:val="009A2B17"/>
    <w:rsid w:val="009A2D03"/>
    <w:rsid w:val="009A39DC"/>
    <w:rsid w:val="009A4065"/>
    <w:rsid w:val="009A5D61"/>
    <w:rsid w:val="009A7636"/>
    <w:rsid w:val="009A7D14"/>
    <w:rsid w:val="009B085F"/>
    <w:rsid w:val="009B0884"/>
    <w:rsid w:val="009B1971"/>
    <w:rsid w:val="009B19B7"/>
    <w:rsid w:val="009B5251"/>
    <w:rsid w:val="009B6277"/>
    <w:rsid w:val="009B7387"/>
    <w:rsid w:val="009B75B6"/>
    <w:rsid w:val="009C088F"/>
    <w:rsid w:val="009C2069"/>
    <w:rsid w:val="009C29BC"/>
    <w:rsid w:val="009C2C4E"/>
    <w:rsid w:val="009C3FCA"/>
    <w:rsid w:val="009C5843"/>
    <w:rsid w:val="009C66BC"/>
    <w:rsid w:val="009C7A9A"/>
    <w:rsid w:val="009C7E55"/>
    <w:rsid w:val="009D041A"/>
    <w:rsid w:val="009D1759"/>
    <w:rsid w:val="009D21D0"/>
    <w:rsid w:val="009D2425"/>
    <w:rsid w:val="009D2C2D"/>
    <w:rsid w:val="009D31A5"/>
    <w:rsid w:val="009D38BE"/>
    <w:rsid w:val="009D4333"/>
    <w:rsid w:val="009D5C01"/>
    <w:rsid w:val="009D5F64"/>
    <w:rsid w:val="009E0340"/>
    <w:rsid w:val="009E099E"/>
    <w:rsid w:val="009E1205"/>
    <w:rsid w:val="009E1343"/>
    <w:rsid w:val="009E2B1A"/>
    <w:rsid w:val="009E3037"/>
    <w:rsid w:val="009E315F"/>
    <w:rsid w:val="009E3E6F"/>
    <w:rsid w:val="009E4B42"/>
    <w:rsid w:val="009E5018"/>
    <w:rsid w:val="009F0151"/>
    <w:rsid w:val="009F185E"/>
    <w:rsid w:val="009F23CB"/>
    <w:rsid w:val="009F259D"/>
    <w:rsid w:val="009F265F"/>
    <w:rsid w:val="009F2A36"/>
    <w:rsid w:val="009F3CFD"/>
    <w:rsid w:val="009F4508"/>
    <w:rsid w:val="009F5B2E"/>
    <w:rsid w:val="009F7709"/>
    <w:rsid w:val="00A00F4B"/>
    <w:rsid w:val="00A03089"/>
    <w:rsid w:val="00A059FB"/>
    <w:rsid w:val="00A06EE5"/>
    <w:rsid w:val="00A101CA"/>
    <w:rsid w:val="00A10551"/>
    <w:rsid w:val="00A10853"/>
    <w:rsid w:val="00A114D3"/>
    <w:rsid w:val="00A114F8"/>
    <w:rsid w:val="00A11A10"/>
    <w:rsid w:val="00A11C48"/>
    <w:rsid w:val="00A121D9"/>
    <w:rsid w:val="00A13DC2"/>
    <w:rsid w:val="00A13E8E"/>
    <w:rsid w:val="00A14238"/>
    <w:rsid w:val="00A14629"/>
    <w:rsid w:val="00A14D08"/>
    <w:rsid w:val="00A160E8"/>
    <w:rsid w:val="00A16426"/>
    <w:rsid w:val="00A1682D"/>
    <w:rsid w:val="00A16EBB"/>
    <w:rsid w:val="00A17460"/>
    <w:rsid w:val="00A1751C"/>
    <w:rsid w:val="00A178DB"/>
    <w:rsid w:val="00A17C68"/>
    <w:rsid w:val="00A2070D"/>
    <w:rsid w:val="00A208B4"/>
    <w:rsid w:val="00A2142D"/>
    <w:rsid w:val="00A246D5"/>
    <w:rsid w:val="00A256A4"/>
    <w:rsid w:val="00A26576"/>
    <w:rsid w:val="00A26895"/>
    <w:rsid w:val="00A3014B"/>
    <w:rsid w:val="00A30C25"/>
    <w:rsid w:val="00A30C7D"/>
    <w:rsid w:val="00A30F5E"/>
    <w:rsid w:val="00A313DE"/>
    <w:rsid w:val="00A32AD0"/>
    <w:rsid w:val="00A32D62"/>
    <w:rsid w:val="00A32DA4"/>
    <w:rsid w:val="00A33722"/>
    <w:rsid w:val="00A34888"/>
    <w:rsid w:val="00A34C12"/>
    <w:rsid w:val="00A352C2"/>
    <w:rsid w:val="00A35ABE"/>
    <w:rsid w:val="00A36400"/>
    <w:rsid w:val="00A36685"/>
    <w:rsid w:val="00A367B2"/>
    <w:rsid w:val="00A37865"/>
    <w:rsid w:val="00A4042E"/>
    <w:rsid w:val="00A41558"/>
    <w:rsid w:val="00A43CA8"/>
    <w:rsid w:val="00A440F3"/>
    <w:rsid w:val="00A44440"/>
    <w:rsid w:val="00A45AEC"/>
    <w:rsid w:val="00A45F0B"/>
    <w:rsid w:val="00A46335"/>
    <w:rsid w:val="00A46C7D"/>
    <w:rsid w:val="00A47061"/>
    <w:rsid w:val="00A504B6"/>
    <w:rsid w:val="00A515BC"/>
    <w:rsid w:val="00A52A11"/>
    <w:rsid w:val="00A555F8"/>
    <w:rsid w:val="00A56084"/>
    <w:rsid w:val="00A56155"/>
    <w:rsid w:val="00A5678B"/>
    <w:rsid w:val="00A56BFA"/>
    <w:rsid w:val="00A57799"/>
    <w:rsid w:val="00A5791F"/>
    <w:rsid w:val="00A57E9E"/>
    <w:rsid w:val="00A605B4"/>
    <w:rsid w:val="00A61345"/>
    <w:rsid w:val="00A62F26"/>
    <w:rsid w:val="00A63005"/>
    <w:rsid w:val="00A63DD4"/>
    <w:rsid w:val="00A64367"/>
    <w:rsid w:val="00A644A8"/>
    <w:rsid w:val="00A658A8"/>
    <w:rsid w:val="00A6690F"/>
    <w:rsid w:val="00A676DA"/>
    <w:rsid w:val="00A67CB1"/>
    <w:rsid w:val="00A70145"/>
    <w:rsid w:val="00A70B65"/>
    <w:rsid w:val="00A7205C"/>
    <w:rsid w:val="00A72525"/>
    <w:rsid w:val="00A72560"/>
    <w:rsid w:val="00A725C5"/>
    <w:rsid w:val="00A72606"/>
    <w:rsid w:val="00A72B5A"/>
    <w:rsid w:val="00A73FBF"/>
    <w:rsid w:val="00A74669"/>
    <w:rsid w:val="00A74B8E"/>
    <w:rsid w:val="00A763FF"/>
    <w:rsid w:val="00A7656C"/>
    <w:rsid w:val="00A77E37"/>
    <w:rsid w:val="00A8097B"/>
    <w:rsid w:val="00A81130"/>
    <w:rsid w:val="00A81D0E"/>
    <w:rsid w:val="00A82659"/>
    <w:rsid w:val="00A82FD3"/>
    <w:rsid w:val="00A82FFC"/>
    <w:rsid w:val="00A8301C"/>
    <w:rsid w:val="00A83E3A"/>
    <w:rsid w:val="00A83FFA"/>
    <w:rsid w:val="00A85E9D"/>
    <w:rsid w:val="00A860D6"/>
    <w:rsid w:val="00A864C5"/>
    <w:rsid w:val="00A90097"/>
    <w:rsid w:val="00A9036D"/>
    <w:rsid w:val="00A904C1"/>
    <w:rsid w:val="00A9092B"/>
    <w:rsid w:val="00A91622"/>
    <w:rsid w:val="00A931C9"/>
    <w:rsid w:val="00A93BA8"/>
    <w:rsid w:val="00A93EAB"/>
    <w:rsid w:val="00A95569"/>
    <w:rsid w:val="00A96C5E"/>
    <w:rsid w:val="00A97803"/>
    <w:rsid w:val="00AA0C28"/>
    <w:rsid w:val="00AA3016"/>
    <w:rsid w:val="00AA3D62"/>
    <w:rsid w:val="00AA3DB3"/>
    <w:rsid w:val="00AA41CF"/>
    <w:rsid w:val="00AA41FF"/>
    <w:rsid w:val="00AB0C0A"/>
    <w:rsid w:val="00AB20C3"/>
    <w:rsid w:val="00AB4E01"/>
    <w:rsid w:val="00AB5B8A"/>
    <w:rsid w:val="00AB6961"/>
    <w:rsid w:val="00AB6B97"/>
    <w:rsid w:val="00AC0C45"/>
    <w:rsid w:val="00AC21E7"/>
    <w:rsid w:val="00AC2A55"/>
    <w:rsid w:val="00AC2CF8"/>
    <w:rsid w:val="00AC2E41"/>
    <w:rsid w:val="00AC3394"/>
    <w:rsid w:val="00AC4C7C"/>
    <w:rsid w:val="00AC4D0B"/>
    <w:rsid w:val="00AC4F72"/>
    <w:rsid w:val="00AC5F8F"/>
    <w:rsid w:val="00AC6B82"/>
    <w:rsid w:val="00AC6CEC"/>
    <w:rsid w:val="00AC7258"/>
    <w:rsid w:val="00AD0012"/>
    <w:rsid w:val="00AD00E0"/>
    <w:rsid w:val="00AD060E"/>
    <w:rsid w:val="00AD076F"/>
    <w:rsid w:val="00AD17B0"/>
    <w:rsid w:val="00AD2052"/>
    <w:rsid w:val="00AD2F72"/>
    <w:rsid w:val="00AD3461"/>
    <w:rsid w:val="00AD4432"/>
    <w:rsid w:val="00AD4C79"/>
    <w:rsid w:val="00AD4F46"/>
    <w:rsid w:val="00AD5308"/>
    <w:rsid w:val="00AD795E"/>
    <w:rsid w:val="00AD7CDB"/>
    <w:rsid w:val="00AE0374"/>
    <w:rsid w:val="00AE0DA5"/>
    <w:rsid w:val="00AE13B6"/>
    <w:rsid w:val="00AE2771"/>
    <w:rsid w:val="00AE5DD6"/>
    <w:rsid w:val="00AE6BBB"/>
    <w:rsid w:val="00AE79B3"/>
    <w:rsid w:val="00AF06F1"/>
    <w:rsid w:val="00AF0A04"/>
    <w:rsid w:val="00AF2AEA"/>
    <w:rsid w:val="00AF4A62"/>
    <w:rsid w:val="00AF4F45"/>
    <w:rsid w:val="00AF5BEA"/>
    <w:rsid w:val="00AF6047"/>
    <w:rsid w:val="00B00B91"/>
    <w:rsid w:val="00B00EE9"/>
    <w:rsid w:val="00B01712"/>
    <w:rsid w:val="00B02B83"/>
    <w:rsid w:val="00B03863"/>
    <w:rsid w:val="00B03BF6"/>
    <w:rsid w:val="00B04CDD"/>
    <w:rsid w:val="00B05460"/>
    <w:rsid w:val="00B05A2B"/>
    <w:rsid w:val="00B06708"/>
    <w:rsid w:val="00B06D91"/>
    <w:rsid w:val="00B1022F"/>
    <w:rsid w:val="00B10DD2"/>
    <w:rsid w:val="00B12E60"/>
    <w:rsid w:val="00B1330B"/>
    <w:rsid w:val="00B14351"/>
    <w:rsid w:val="00B151B6"/>
    <w:rsid w:val="00B155D1"/>
    <w:rsid w:val="00B16DE6"/>
    <w:rsid w:val="00B17200"/>
    <w:rsid w:val="00B172A9"/>
    <w:rsid w:val="00B202F7"/>
    <w:rsid w:val="00B21A46"/>
    <w:rsid w:val="00B21C16"/>
    <w:rsid w:val="00B21C62"/>
    <w:rsid w:val="00B21EED"/>
    <w:rsid w:val="00B22344"/>
    <w:rsid w:val="00B22647"/>
    <w:rsid w:val="00B23C9B"/>
    <w:rsid w:val="00B2490A"/>
    <w:rsid w:val="00B249B3"/>
    <w:rsid w:val="00B253A2"/>
    <w:rsid w:val="00B26C60"/>
    <w:rsid w:val="00B307A9"/>
    <w:rsid w:val="00B30D6B"/>
    <w:rsid w:val="00B30E24"/>
    <w:rsid w:val="00B324F2"/>
    <w:rsid w:val="00B3251A"/>
    <w:rsid w:val="00B3450B"/>
    <w:rsid w:val="00B347D3"/>
    <w:rsid w:val="00B3528C"/>
    <w:rsid w:val="00B35D81"/>
    <w:rsid w:val="00B36994"/>
    <w:rsid w:val="00B371F0"/>
    <w:rsid w:val="00B37B73"/>
    <w:rsid w:val="00B4083D"/>
    <w:rsid w:val="00B40AB5"/>
    <w:rsid w:val="00B40ADA"/>
    <w:rsid w:val="00B40FD2"/>
    <w:rsid w:val="00B41038"/>
    <w:rsid w:val="00B41628"/>
    <w:rsid w:val="00B41915"/>
    <w:rsid w:val="00B427CD"/>
    <w:rsid w:val="00B43F8D"/>
    <w:rsid w:val="00B440D5"/>
    <w:rsid w:val="00B4523F"/>
    <w:rsid w:val="00B4569A"/>
    <w:rsid w:val="00B45946"/>
    <w:rsid w:val="00B45D35"/>
    <w:rsid w:val="00B4659D"/>
    <w:rsid w:val="00B467C8"/>
    <w:rsid w:val="00B46D6B"/>
    <w:rsid w:val="00B46DFD"/>
    <w:rsid w:val="00B46F45"/>
    <w:rsid w:val="00B47717"/>
    <w:rsid w:val="00B4779C"/>
    <w:rsid w:val="00B47B12"/>
    <w:rsid w:val="00B500AA"/>
    <w:rsid w:val="00B511FB"/>
    <w:rsid w:val="00B52789"/>
    <w:rsid w:val="00B53734"/>
    <w:rsid w:val="00B542C2"/>
    <w:rsid w:val="00B54471"/>
    <w:rsid w:val="00B5511C"/>
    <w:rsid w:val="00B557C2"/>
    <w:rsid w:val="00B55A8E"/>
    <w:rsid w:val="00B562D1"/>
    <w:rsid w:val="00B56685"/>
    <w:rsid w:val="00B57E98"/>
    <w:rsid w:val="00B6025F"/>
    <w:rsid w:val="00B60757"/>
    <w:rsid w:val="00B607FD"/>
    <w:rsid w:val="00B609DB"/>
    <w:rsid w:val="00B610CD"/>
    <w:rsid w:val="00B61452"/>
    <w:rsid w:val="00B62214"/>
    <w:rsid w:val="00B62263"/>
    <w:rsid w:val="00B62F8B"/>
    <w:rsid w:val="00B6328D"/>
    <w:rsid w:val="00B639A2"/>
    <w:rsid w:val="00B70E23"/>
    <w:rsid w:val="00B715D4"/>
    <w:rsid w:val="00B71804"/>
    <w:rsid w:val="00B71BA4"/>
    <w:rsid w:val="00B7212C"/>
    <w:rsid w:val="00B72737"/>
    <w:rsid w:val="00B72D9C"/>
    <w:rsid w:val="00B73F61"/>
    <w:rsid w:val="00B74BE1"/>
    <w:rsid w:val="00B74C81"/>
    <w:rsid w:val="00B750E5"/>
    <w:rsid w:val="00B763B9"/>
    <w:rsid w:val="00B77DCF"/>
    <w:rsid w:val="00B77FAB"/>
    <w:rsid w:val="00B819D1"/>
    <w:rsid w:val="00B81A1F"/>
    <w:rsid w:val="00B821E4"/>
    <w:rsid w:val="00B82C81"/>
    <w:rsid w:val="00B82F05"/>
    <w:rsid w:val="00B834E1"/>
    <w:rsid w:val="00B83FDF"/>
    <w:rsid w:val="00B84EE8"/>
    <w:rsid w:val="00B85B17"/>
    <w:rsid w:val="00B85C7D"/>
    <w:rsid w:val="00B862BF"/>
    <w:rsid w:val="00B86495"/>
    <w:rsid w:val="00B87D9A"/>
    <w:rsid w:val="00B90974"/>
    <w:rsid w:val="00B93255"/>
    <w:rsid w:val="00B93680"/>
    <w:rsid w:val="00B94D16"/>
    <w:rsid w:val="00B94E2B"/>
    <w:rsid w:val="00B95026"/>
    <w:rsid w:val="00B95C93"/>
    <w:rsid w:val="00BA00EB"/>
    <w:rsid w:val="00BA04AD"/>
    <w:rsid w:val="00BA07C0"/>
    <w:rsid w:val="00BA0A49"/>
    <w:rsid w:val="00BA35D3"/>
    <w:rsid w:val="00BA62C7"/>
    <w:rsid w:val="00BA6340"/>
    <w:rsid w:val="00BA7CDB"/>
    <w:rsid w:val="00BA7DBD"/>
    <w:rsid w:val="00BA7EA5"/>
    <w:rsid w:val="00BB0098"/>
    <w:rsid w:val="00BB0CFF"/>
    <w:rsid w:val="00BB0DFE"/>
    <w:rsid w:val="00BB1088"/>
    <w:rsid w:val="00BB22C4"/>
    <w:rsid w:val="00BB25DE"/>
    <w:rsid w:val="00BB441A"/>
    <w:rsid w:val="00BB540B"/>
    <w:rsid w:val="00BB5F11"/>
    <w:rsid w:val="00BB69E9"/>
    <w:rsid w:val="00BB7699"/>
    <w:rsid w:val="00BB79D9"/>
    <w:rsid w:val="00BB7CA4"/>
    <w:rsid w:val="00BC0A33"/>
    <w:rsid w:val="00BC1608"/>
    <w:rsid w:val="00BC1807"/>
    <w:rsid w:val="00BC2B68"/>
    <w:rsid w:val="00BC3261"/>
    <w:rsid w:val="00BC3E6A"/>
    <w:rsid w:val="00BC5716"/>
    <w:rsid w:val="00BC57CB"/>
    <w:rsid w:val="00BC5EDB"/>
    <w:rsid w:val="00BC78EF"/>
    <w:rsid w:val="00BC7F0A"/>
    <w:rsid w:val="00BD15E0"/>
    <w:rsid w:val="00BD19A7"/>
    <w:rsid w:val="00BD2B99"/>
    <w:rsid w:val="00BD4115"/>
    <w:rsid w:val="00BD4771"/>
    <w:rsid w:val="00BD4F23"/>
    <w:rsid w:val="00BD571A"/>
    <w:rsid w:val="00BD575C"/>
    <w:rsid w:val="00BD5CA4"/>
    <w:rsid w:val="00BD688E"/>
    <w:rsid w:val="00BD6DA7"/>
    <w:rsid w:val="00BE09AB"/>
    <w:rsid w:val="00BE499B"/>
    <w:rsid w:val="00BE5B85"/>
    <w:rsid w:val="00BE6885"/>
    <w:rsid w:val="00BE6A63"/>
    <w:rsid w:val="00BE7409"/>
    <w:rsid w:val="00BF0253"/>
    <w:rsid w:val="00BF0264"/>
    <w:rsid w:val="00BF06E7"/>
    <w:rsid w:val="00BF08CD"/>
    <w:rsid w:val="00BF119E"/>
    <w:rsid w:val="00BF12EC"/>
    <w:rsid w:val="00BF1F0F"/>
    <w:rsid w:val="00BF3D1F"/>
    <w:rsid w:val="00BF46F3"/>
    <w:rsid w:val="00BF7F68"/>
    <w:rsid w:val="00C00AD9"/>
    <w:rsid w:val="00C02104"/>
    <w:rsid w:val="00C02AD4"/>
    <w:rsid w:val="00C0309E"/>
    <w:rsid w:val="00C03343"/>
    <w:rsid w:val="00C0384F"/>
    <w:rsid w:val="00C039D3"/>
    <w:rsid w:val="00C0549B"/>
    <w:rsid w:val="00C0746E"/>
    <w:rsid w:val="00C07EE6"/>
    <w:rsid w:val="00C10A40"/>
    <w:rsid w:val="00C12D71"/>
    <w:rsid w:val="00C1394D"/>
    <w:rsid w:val="00C14DD7"/>
    <w:rsid w:val="00C14FAC"/>
    <w:rsid w:val="00C1628C"/>
    <w:rsid w:val="00C1652B"/>
    <w:rsid w:val="00C16880"/>
    <w:rsid w:val="00C16AD3"/>
    <w:rsid w:val="00C178F1"/>
    <w:rsid w:val="00C17AC5"/>
    <w:rsid w:val="00C2078B"/>
    <w:rsid w:val="00C20965"/>
    <w:rsid w:val="00C20FF8"/>
    <w:rsid w:val="00C2270D"/>
    <w:rsid w:val="00C22FEF"/>
    <w:rsid w:val="00C245F0"/>
    <w:rsid w:val="00C24D88"/>
    <w:rsid w:val="00C250CA"/>
    <w:rsid w:val="00C2661A"/>
    <w:rsid w:val="00C26A47"/>
    <w:rsid w:val="00C3051E"/>
    <w:rsid w:val="00C305A5"/>
    <w:rsid w:val="00C32705"/>
    <w:rsid w:val="00C32D4B"/>
    <w:rsid w:val="00C3463C"/>
    <w:rsid w:val="00C35666"/>
    <w:rsid w:val="00C358AF"/>
    <w:rsid w:val="00C363D0"/>
    <w:rsid w:val="00C40461"/>
    <w:rsid w:val="00C40586"/>
    <w:rsid w:val="00C40AC4"/>
    <w:rsid w:val="00C43368"/>
    <w:rsid w:val="00C437C4"/>
    <w:rsid w:val="00C4418F"/>
    <w:rsid w:val="00C44207"/>
    <w:rsid w:val="00C44EA1"/>
    <w:rsid w:val="00C45265"/>
    <w:rsid w:val="00C45625"/>
    <w:rsid w:val="00C45BAF"/>
    <w:rsid w:val="00C465A2"/>
    <w:rsid w:val="00C46787"/>
    <w:rsid w:val="00C469EB"/>
    <w:rsid w:val="00C47F9A"/>
    <w:rsid w:val="00C502B8"/>
    <w:rsid w:val="00C51B56"/>
    <w:rsid w:val="00C53144"/>
    <w:rsid w:val="00C5363A"/>
    <w:rsid w:val="00C537B7"/>
    <w:rsid w:val="00C53850"/>
    <w:rsid w:val="00C552C2"/>
    <w:rsid w:val="00C55555"/>
    <w:rsid w:val="00C56D8C"/>
    <w:rsid w:val="00C5779F"/>
    <w:rsid w:val="00C60333"/>
    <w:rsid w:val="00C60600"/>
    <w:rsid w:val="00C618DF"/>
    <w:rsid w:val="00C61C8F"/>
    <w:rsid w:val="00C6319F"/>
    <w:rsid w:val="00C640BB"/>
    <w:rsid w:val="00C653AB"/>
    <w:rsid w:val="00C65793"/>
    <w:rsid w:val="00C66D29"/>
    <w:rsid w:val="00C67777"/>
    <w:rsid w:val="00C702F7"/>
    <w:rsid w:val="00C70417"/>
    <w:rsid w:val="00C70638"/>
    <w:rsid w:val="00C70AAF"/>
    <w:rsid w:val="00C7141E"/>
    <w:rsid w:val="00C72869"/>
    <w:rsid w:val="00C72E3A"/>
    <w:rsid w:val="00C73912"/>
    <w:rsid w:val="00C743A3"/>
    <w:rsid w:val="00C745CF"/>
    <w:rsid w:val="00C75488"/>
    <w:rsid w:val="00C7564E"/>
    <w:rsid w:val="00C756D3"/>
    <w:rsid w:val="00C805C4"/>
    <w:rsid w:val="00C81720"/>
    <w:rsid w:val="00C8193A"/>
    <w:rsid w:val="00C81BE5"/>
    <w:rsid w:val="00C82C10"/>
    <w:rsid w:val="00C82D1E"/>
    <w:rsid w:val="00C83099"/>
    <w:rsid w:val="00C83E4B"/>
    <w:rsid w:val="00C83E7C"/>
    <w:rsid w:val="00C844B2"/>
    <w:rsid w:val="00C84590"/>
    <w:rsid w:val="00C84ED2"/>
    <w:rsid w:val="00C84EFB"/>
    <w:rsid w:val="00C8732D"/>
    <w:rsid w:val="00C8745E"/>
    <w:rsid w:val="00C87A0D"/>
    <w:rsid w:val="00C911B9"/>
    <w:rsid w:val="00C92A8A"/>
    <w:rsid w:val="00C93ED3"/>
    <w:rsid w:val="00C95998"/>
    <w:rsid w:val="00C96859"/>
    <w:rsid w:val="00C97365"/>
    <w:rsid w:val="00CA08E5"/>
    <w:rsid w:val="00CA0AEB"/>
    <w:rsid w:val="00CA10FB"/>
    <w:rsid w:val="00CA113C"/>
    <w:rsid w:val="00CA3112"/>
    <w:rsid w:val="00CA3B08"/>
    <w:rsid w:val="00CA583B"/>
    <w:rsid w:val="00CA6AEF"/>
    <w:rsid w:val="00CA6E63"/>
    <w:rsid w:val="00CA7764"/>
    <w:rsid w:val="00CA7F8E"/>
    <w:rsid w:val="00CB05B5"/>
    <w:rsid w:val="00CB0747"/>
    <w:rsid w:val="00CB0C28"/>
    <w:rsid w:val="00CB1259"/>
    <w:rsid w:val="00CB18EC"/>
    <w:rsid w:val="00CB2EDD"/>
    <w:rsid w:val="00CB3468"/>
    <w:rsid w:val="00CB41D7"/>
    <w:rsid w:val="00CB57BF"/>
    <w:rsid w:val="00CB59F9"/>
    <w:rsid w:val="00CB60C8"/>
    <w:rsid w:val="00CB6259"/>
    <w:rsid w:val="00CB6DD7"/>
    <w:rsid w:val="00CB701E"/>
    <w:rsid w:val="00CC073E"/>
    <w:rsid w:val="00CC1DA1"/>
    <w:rsid w:val="00CC4FFB"/>
    <w:rsid w:val="00CC5897"/>
    <w:rsid w:val="00CC5A63"/>
    <w:rsid w:val="00CC67E9"/>
    <w:rsid w:val="00CC690F"/>
    <w:rsid w:val="00CC6AD9"/>
    <w:rsid w:val="00CD04DE"/>
    <w:rsid w:val="00CD0664"/>
    <w:rsid w:val="00CD0F1A"/>
    <w:rsid w:val="00CD2043"/>
    <w:rsid w:val="00CD2788"/>
    <w:rsid w:val="00CD3B75"/>
    <w:rsid w:val="00CD4811"/>
    <w:rsid w:val="00CD4C54"/>
    <w:rsid w:val="00CD5300"/>
    <w:rsid w:val="00CD66F0"/>
    <w:rsid w:val="00CD6D47"/>
    <w:rsid w:val="00CD74C1"/>
    <w:rsid w:val="00CD7994"/>
    <w:rsid w:val="00CE1A1E"/>
    <w:rsid w:val="00CE25FD"/>
    <w:rsid w:val="00CE27E5"/>
    <w:rsid w:val="00CE30D9"/>
    <w:rsid w:val="00CE4B12"/>
    <w:rsid w:val="00CE5017"/>
    <w:rsid w:val="00CE62E8"/>
    <w:rsid w:val="00CF20F5"/>
    <w:rsid w:val="00CF23F1"/>
    <w:rsid w:val="00CF2AC2"/>
    <w:rsid w:val="00CF3785"/>
    <w:rsid w:val="00CF37EB"/>
    <w:rsid w:val="00CF42A8"/>
    <w:rsid w:val="00CF53CD"/>
    <w:rsid w:val="00CF53EE"/>
    <w:rsid w:val="00CF6DCF"/>
    <w:rsid w:val="00D0027A"/>
    <w:rsid w:val="00D01387"/>
    <w:rsid w:val="00D038F6"/>
    <w:rsid w:val="00D03AB9"/>
    <w:rsid w:val="00D0415F"/>
    <w:rsid w:val="00D044C3"/>
    <w:rsid w:val="00D06D8E"/>
    <w:rsid w:val="00D0705E"/>
    <w:rsid w:val="00D076CC"/>
    <w:rsid w:val="00D103A1"/>
    <w:rsid w:val="00D1080C"/>
    <w:rsid w:val="00D11188"/>
    <w:rsid w:val="00D115EE"/>
    <w:rsid w:val="00D118F6"/>
    <w:rsid w:val="00D1231A"/>
    <w:rsid w:val="00D1257F"/>
    <w:rsid w:val="00D12819"/>
    <w:rsid w:val="00D14102"/>
    <w:rsid w:val="00D1437B"/>
    <w:rsid w:val="00D14D24"/>
    <w:rsid w:val="00D14FE7"/>
    <w:rsid w:val="00D15CBC"/>
    <w:rsid w:val="00D163D7"/>
    <w:rsid w:val="00D175FA"/>
    <w:rsid w:val="00D17C4B"/>
    <w:rsid w:val="00D203A8"/>
    <w:rsid w:val="00D2054C"/>
    <w:rsid w:val="00D21107"/>
    <w:rsid w:val="00D21875"/>
    <w:rsid w:val="00D22038"/>
    <w:rsid w:val="00D227C5"/>
    <w:rsid w:val="00D22833"/>
    <w:rsid w:val="00D22BA6"/>
    <w:rsid w:val="00D23636"/>
    <w:rsid w:val="00D238F5"/>
    <w:rsid w:val="00D23A33"/>
    <w:rsid w:val="00D24987"/>
    <w:rsid w:val="00D253BD"/>
    <w:rsid w:val="00D265D4"/>
    <w:rsid w:val="00D269CE"/>
    <w:rsid w:val="00D27F3B"/>
    <w:rsid w:val="00D30785"/>
    <w:rsid w:val="00D31C27"/>
    <w:rsid w:val="00D320C1"/>
    <w:rsid w:val="00D32242"/>
    <w:rsid w:val="00D32304"/>
    <w:rsid w:val="00D33A42"/>
    <w:rsid w:val="00D35132"/>
    <w:rsid w:val="00D357AF"/>
    <w:rsid w:val="00D3647A"/>
    <w:rsid w:val="00D3668D"/>
    <w:rsid w:val="00D3675E"/>
    <w:rsid w:val="00D375E4"/>
    <w:rsid w:val="00D40030"/>
    <w:rsid w:val="00D41788"/>
    <w:rsid w:val="00D418A9"/>
    <w:rsid w:val="00D42360"/>
    <w:rsid w:val="00D42447"/>
    <w:rsid w:val="00D4295A"/>
    <w:rsid w:val="00D4435C"/>
    <w:rsid w:val="00D45581"/>
    <w:rsid w:val="00D45A2F"/>
    <w:rsid w:val="00D46086"/>
    <w:rsid w:val="00D46F7E"/>
    <w:rsid w:val="00D47EF2"/>
    <w:rsid w:val="00D50EEC"/>
    <w:rsid w:val="00D525E8"/>
    <w:rsid w:val="00D52CF5"/>
    <w:rsid w:val="00D5322C"/>
    <w:rsid w:val="00D54669"/>
    <w:rsid w:val="00D567F2"/>
    <w:rsid w:val="00D56A8E"/>
    <w:rsid w:val="00D56D38"/>
    <w:rsid w:val="00D57522"/>
    <w:rsid w:val="00D576A5"/>
    <w:rsid w:val="00D579BC"/>
    <w:rsid w:val="00D611A1"/>
    <w:rsid w:val="00D62971"/>
    <w:rsid w:val="00D64ADE"/>
    <w:rsid w:val="00D65144"/>
    <w:rsid w:val="00D65505"/>
    <w:rsid w:val="00D66291"/>
    <w:rsid w:val="00D66929"/>
    <w:rsid w:val="00D67439"/>
    <w:rsid w:val="00D678E2"/>
    <w:rsid w:val="00D7020C"/>
    <w:rsid w:val="00D703CB"/>
    <w:rsid w:val="00D70D02"/>
    <w:rsid w:val="00D716B1"/>
    <w:rsid w:val="00D7178A"/>
    <w:rsid w:val="00D720A8"/>
    <w:rsid w:val="00D72296"/>
    <w:rsid w:val="00D735D4"/>
    <w:rsid w:val="00D73807"/>
    <w:rsid w:val="00D73DE5"/>
    <w:rsid w:val="00D74C8E"/>
    <w:rsid w:val="00D7609D"/>
    <w:rsid w:val="00D7676E"/>
    <w:rsid w:val="00D77021"/>
    <w:rsid w:val="00D773D9"/>
    <w:rsid w:val="00D80F7D"/>
    <w:rsid w:val="00D81227"/>
    <w:rsid w:val="00D82EA4"/>
    <w:rsid w:val="00D83601"/>
    <w:rsid w:val="00D8377E"/>
    <w:rsid w:val="00D8408C"/>
    <w:rsid w:val="00D8414D"/>
    <w:rsid w:val="00D903CF"/>
    <w:rsid w:val="00D9065A"/>
    <w:rsid w:val="00D90DFC"/>
    <w:rsid w:val="00D919F9"/>
    <w:rsid w:val="00D91BFD"/>
    <w:rsid w:val="00D92560"/>
    <w:rsid w:val="00D92594"/>
    <w:rsid w:val="00D926BB"/>
    <w:rsid w:val="00D929D6"/>
    <w:rsid w:val="00D929FF"/>
    <w:rsid w:val="00D92EEE"/>
    <w:rsid w:val="00D93A6F"/>
    <w:rsid w:val="00D94291"/>
    <w:rsid w:val="00D9532F"/>
    <w:rsid w:val="00D97AF4"/>
    <w:rsid w:val="00D97B37"/>
    <w:rsid w:val="00D97F2B"/>
    <w:rsid w:val="00DA0319"/>
    <w:rsid w:val="00DA12F2"/>
    <w:rsid w:val="00DA1D8D"/>
    <w:rsid w:val="00DA2120"/>
    <w:rsid w:val="00DA40B9"/>
    <w:rsid w:val="00DA484B"/>
    <w:rsid w:val="00DA555A"/>
    <w:rsid w:val="00DA6FEF"/>
    <w:rsid w:val="00DA76C0"/>
    <w:rsid w:val="00DB0D38"/>
    <w:rsid w:val="00DB28D2"/>
    <w:rsid w:val="00DB45C6"/>
    <w:rsid w:val="00DB5CDC"/>
    <w:rsid w:val="00DB60FD"/>
    <w:rsid w:val="00DB7B3A"/>
    <w:rsid w:val="00DB7EC5"/>
    <w:rsid w:val="00DB7EF8"/>
    <w:rsid w:val="00DC17CA"/>
    <w:rsid w:val="00DC18BC"/>
    <w:rsid w:val="00DC21EE"/>
    <w:rsid w:val="00DC3044"/>
    <w:rsid w:val="00DC3834"/>
    <w:rsid w:val="00DC41C9"/>
    <w:rsid w:val="00DC50E0"/>
    <w:rsid w:val="00DC5313"/>
    <w:rsid w:val="00DC5901"/>
    <w:rsid w:val="00DC6910"/>
    <w:rsid w:val="00DC6AD2"/>
    <w:rsid w:val="00DC6EA4"/>
    <w:rsid w:val="00DD0473"/>
    <w:rsid w:val="00DD0D05"/>
    <w:rsid w:val="00DD1872"/>
    <w:rsid w:val="00DD2A4F"/>
    <w:rsid w:val="00DD3580"/>
    <w:rsid w:val="00DD5887"/>
    <w:rsid w:val="00DD6F1E"/>
    <w:rsid w:val="00DD7828"/>
    <w:rsid w:val="00DE05C6"/>
    <w:rsid w:val="00DE1D93"/>
    <w:rsid w:val="00DE225A"/>
    <w:rsid w:val="00DE23B5"/>
    <w:rsid w:val="00DE3738"/>
    <w:rsid w:val="00DE4FF2"/>
    <w:rsid w:val="00DE6334"/>
    <w:rsid w:val="00DE6962"/>
    <w:rsid w:val="00DE6FAB"/>
    <w:rsid w:val="00DE738B"/>
    <w:rsid w:val="00DF0495"/>
    <w:rsid w:val="00DF1554"/>
    <w:rsid w:val="00DF1883"/>
    <w:rsid w:val="00DF1D68"/>
    <w:rsid w:val="00DF4609"/>
    <w:rsid w:val="00DF47BF"/>
    <w:rsid w:val="00DF4F4E"/>
    <w:rsid w:val="00DF5995"/>
    <w:rsid w:val="00E02E2C"/>
    <w:rsid w:val="00E03333"/>
    <w:rsid w:val="00E0681A"/>
    <w:rsid w:val="00E06E37"/>
    <w:rsid w:val="00E07FFC"/>
    <w:rsid w:val="00E10734"/>
    <w:rsid w:val="00E11653"/>
    <w:rsid w:val="00E118AB"/>
    <w:rsid w:val="00E12299"/>
    <w:rsid w:val="00E13232"/>
    <w:rsid w:val="00E14177"/>
    <w:rsid w:val="00E15308"/>
    <w:rsid w:val="00E1565C"/>
    <w:rsid w:val="00E15F6D"/>
    <w:rsid w:val="00E162AF"/>
    <w:rsid w:val="00E167CD"/>
    <w:rsid w:val="00E169F7"/>
    <w:rsid w:val="00E17AB9"/>
    <w:rsid w:val="00E20620"/>
    <w:rsid w:val="00E20EDD"/>
    <w:rsid w:val="00E218CD"/>
    <w:rsid w:val="00E21D73"/>
    <w:rsid w:val="00E22C13"/>
    <w:rsid w:val="00E23281"/>
    <w:rsid w:val="00E23B85"/>
    <w:rsid w:val="00E23BAC"/>
    <w:rsid w:val="00E23E22"/>
    <w:rsid w:val="00E2520A"/>
    <w:rsid w:val="00E262EC"/>
    <w:rsid w:val="00E2667C"/>
    <w:rsid w:val="00E26EEE"/>
    <w:rsid w:val="00E2711E"/>
    <w:rsid w:val="00E2712A"/>
    <w:rsid w:val="00E274EB"/>
    <w:rsid w:val="00E279F4"/>
    <w:rsid w:val="00E27A63"/>
    <w:rsid w:val="00E30B54"/>
    <w:rsid w:val="00E312EA"/>
    <w:rsid w:val="00E31ACB"/>
    <w:rsid w:val="00E31EE7"/>
    <w:rsid w:val="00E31F91"/>
    <w:rsid w:val="00E32766"/>
    <w:rsid w:val="00E32D69"/>
    <w:rsid w:val="00E3486D"/>
    <w:rsid w:val="00E34928"/>
    <w:rsid w:val="00E34B43"/>
    <w:rsid w:val="00E34C2F"/>
    <w:rsid w:val="00E35073"/>
    <w:rsid w:val="00E36EC8"/>
    <w:rsid w:val="00E37376"/>
    <w:rsid w:val="00E40488"/>
    <w:rsid w:val="00E40EDA"/>
    <w:rsid w:val="00E40F51"/>
    <w:rsid w:val="00E4140C"/>
    <w:rsid w:val="00E417EF"/>
    <w:rsid w:val="00E425FB"/>
    <w:rsid w:val="00E42B49"/>
    <w:rsid w:val="00E42FC3"/>
    <w:rsid w:val="00E43B58"/>
    <w:rsid w:val="00E44010"/>
    <w:rsid w:val="00E4430E"/>
    <w:rsid w:val="00E4491E"/>
    <w:rsid w:val="00E451DD"/>
    <w:rsid w:val="00E46899"/>
    <w:rsid w:val="00E47117"/>
    <w:rsid w:val="00E50528"/>
    <w:rsid w:val="00E506EA"/>
    <w:rsid w:val="00E516C9"/>
    <w:rsid w:val="00E52384"/>
    <w:rsid w:val="00E53BE4"/>
    <w:rsid w:val="00E53C82"/>
    <w:rsid w:val="00E53FC7"/>
    <w:rsid w:val="00E555A7"/>
    <w:rsid w:val="00E558D4"/>
    <w:rsid w:val="00E56106"/>
    <w:rsid w:val="00E5610C"/>
    <w:rsid w:val="00E571F5"/>
    <w:rsid w:val="00E613E2"/>
    <w:rsid w:val="00E61711"/>
    <w:rsid w:val="00E61D2A"/>
    <w:rsid w:val="00E625CC"/>
    <w:rsid w:val="00E6295E"/>
    <w:rsid w:val="00E62B77"/>
    <w:rsid w:val="00E631F9"/>
    <w:rsid w:val="00E63E7C"/>
    <w:rsid w:val="00E64C1C"/>
    <w:rsid w:val="00E6533D"/>
    <w:rsid w:val="00E65C57"/>
    <w:rsid w:val="00E664E2"/>
    <w:rsid w:val="00E66528"/>
    <w:rsid w:val="00E6705A"/>
    <w:rsid w:val="00E67500"/>
    <w:rsid w:val="00E67D61"/>
    <w:rsid w:val="00E70E52"/>
    <w:rsid w:val="00E72325"/>
    <w:rsid w:val="00E72338"/>
    <w:rsid w:val="00E72B2B"/>
    <w:rsid w:val="00E72F50"/>
    <w:rsid w:val="00E74CF8"/>
    <w:rsid w:val="00E7586C"/>
    <w:rsid w:val="00E77606"/>
    <w:rsid w:val="00E80647"/>
    <w:rsid w:val="00E808E1"/>
    <w:rsid w:val="00E81041"/>
    <w:rsid w:val="00E8253D"/>
    <w:rsid w:val="00E82729"/>
    <w:rsid w:val="00E83AD9"/>
    <w:rsid w:val="00E83BA9"/>
    <w:rsid w:val="00E8435C"/>
    <w:rsid w:val="00E8496B"/>
    <w:rsid w:val="00E84AA8"/>
    <w:rsid w:val="00E85360"/>
    <w:rsid w:val="00E858A4"/>
    <w:rsid w:val="00E8619A"/>
    <w:rsid w:val="00E86678"/>
    <w:rsid w:val="00E868E9"/>
    <w:rsid w:val="00E917B1"/>
    <w:rsid w:val="00E91E08"/>
    <w:rsid w:val="00E91F4B"/>
    <w:rsid w:val="00E93711"/>
    <w:rsid w:val="00E93833"/>
    <w:rsid w:val="00E95039"/>
    <w:rsid w:val="00E95753"/>
    <w:rsid w:val="00E95B52"/>
    <w:rsid w:val="00E96192"/>
    <w:rsid w:val="00E96AF7"/>
    <w:rsid w:val="00E9725A"/>
    <w:rsid w:val="00E9770E"/>
    <w:rsid w:val="00E97A01"/>
    <w:rsid w:val="00EA0066"/>
    <w:rsid w:val="00EA00CA"/>
    <w:rsid w:val="00EA287F"/>
    <w:rsid w:val="00EA305E"/>
    <w:rsid w:val="00EA3411"/>
    <w:rsid w:val="00EA3D49"/>
    <w:rsid w:val="00EA4205"/>
    <w:rsid w:val="00EA4711"/>
    <w:rsid w:val="00EA5F74"/>
    <w:rsid w:val="00EA684A"/>
    <w:rsid w:val="00EA7F83"/>
    <w:rsid w:val="00EB004F"/>
    <w:rsid w:val="00EB05FD"/>
    <w:rsid w:val="00EB0748"/>
    <w:rsid w:val="00EB0B93"/>
    <w:rsid w:val="00EB15C7"/>
    <w:rsid w:val="00EB1F4A"/>
    <w:rsid w:val="00EB255F"/>
    <w:rsid w:val="00EB342B"/>
    <w:rsid w:val="00EB54D7"/>
    <w:rsid w:val="00EB72D5"/>
    <w:rsid w:val="00EB7311"/>
    <w:rsid w:val="00EB78A0"/>
    <w:rsid w:val="00EB7B85"/>
    <w:rsid w:val="00EC097F"/>
    <w:rsid w:val="00EC0E3F"/>
    <w:rsid w:val="00EC3604"/>
    <w:rsid w:val="00EC4405"/>
    <w:rsid w:val="00EC4414"/>
    <w:rsid w:val="00EC5E7F"/>
    <w:rsid w:val="00EC5F6C"/>
    <w:rsid w:val="00EC5FB3"/>
    <w:rsid w:val="00EC6568"/>
    <w:rsid w:val="00EC68F6"/>
    <w:rsid w:val="00EC79D8"/>
    <w:rsid w:val="00ED0116"/>
    <w:rsid w:val="00ED2047"/>
    <w:rsid w:val="00ED20CB"/>
    <w:rsid w:val="00ED4C64"/>
    <w:rsid w:val="00ED501F"/>
    <w:rsid w:val="00ED5B45"/>
    <w:rsid w:val="00ED5D8C"/>
    <w:rsid w:val="00ED7C4F"/>
    <w:rsid w:val="00EE00BF"/>
    <w:rsid w:val="00EE23F2"/>
    <w:rsid w:val="00EE240F"/>
    <w:rsid w:val="00EE2C8C"/>
    <w:rsid w:val="00EE3378"/>
    <w:rsid w:val="00EE3993"/>
    <w:rsid w:val="00EE3A25"/>
    <w:rsid w:val="00EE4143"/>
    <w:rsid w:val="00EE4E16"/>
    <w:rsid w:val="00EE6AD3"/>
    <w:rsid w:val="00EE7D81"/>
    <w:rsid w:val="00EF0439"/>
    <w:rsid w:val="00EF0C89"/>
    <w:rsid w:val="00EF2CBE"/>
    <w:rsid w:val="00EF3883"/>
    <w:rsid w:val="00EF3C72"/>
    <w:rsid w:val="00EF566B"/>
    <w:rsid w:val="00EF5B61"/>
    <w:rsid w:val="00EF760E"/>
    <w:rsid w:val="00EF7E9C"/>
    <w:rsid w:val="00F0023D"/>
    <w:rsid w:val="00F00769"/>
    <w:rsid w:val="00F00DC9"/>
    <w:rsid w:val="00F01598"/>
    <w:rsid w:val="00F02EF4"/>
    <w:rsid w:val="00F03F09"/>
    <w:rsid w:val="00F053A1"/>
    <w:rsid w:val="00F053A8"/>
    <w:rsid w:val="00F06FB8"/>
    <w:rsid w:val="00F07BC2"/>
    <w:rsid w:val="00F103D6"/>
    <w:rsid w:val="00F12431"/>
    <w:rsid w:val="00F1271A"/>
    <w:rsid w:val="00F13C1E"/>
    <w:rsid w:val="00F147EE"/>
    <w:rsid w:val="00F14862"/>
    <w:rsid w:val="00F15386"/>
    <w:rsid w:val="00F157C7"/>
    <w:rsid w:val="00F15963"/>
    <w:rsid w:val="00F159C5"/>
    <w:rsid w:val="00F16F3E"/>
    <w:rsid w:val="00F1714D"/>
    <w:rsid w:val="00F175A2"/>
    <w:rsid w:val="00F1791E"/>
    <w:rsid w:val="00F20908"/>
    <w:rsid w:val="00F20CDC"/>
    <w:rsid w:val="00F21244"/>
    <w:rsid w:val="00F215DF"/>
    <w:rsid w:val="00F22A45"/>
    <w:rsid w:val="00F22D3C"/>
    <w:rsid w:val="00F22E72"/>
    <w:rsid w:val="00F22EA5"/>
    <w:rsid w:val="00F2326A"/>
    <w:rsid w:val="00F23694"/>
    <w:rsid w:val="00F2419D"/>
    <w:rsid w:val="00F2465F"/>
    <w:rsid w:val="00F25131"/>
    <w:rsid w:val="00F254F3"/>
    <w:rsid w:val="00F25D57"/>
    <w:rsid w:val="00F26FB7"/>
    <w:rsid w:val="00F27BEA"/>
    <w:rsid w:val="00F301C1"/>
    <w:rsid w:val="00F31B92"/>
    <w:rsid w:val="00F31BE9"/>
    <w:rsid w:val="00F3316F"/>
    <w:rsid w:val="00F33A23"/>
    <w:rsid w:val="00F34087"/>
    <w:rsid w:val="00F37306"/>
    <w:rsid w:val="00F37382"/>
    <w:rsid w:val="00F37BAF"/>
    <w:rsid w:val="00F40596"/>
    <w:rsid w:val="00F41930"/>
    <w:rsid w:val="00F41AB8"/>
    <w:rsid w:val="00F41BAF"/>
    <w:rsid w:val="00F41C70"/>
    <w:rsid w:val="00F42577"/>
    <w:rsid w:val="00F42A88"/>
    <w:rsid w:val="00F454FF"/>
    <w:rsid w:val="00F460B6"/>
    <w:rsid w:val="00F47440"/>
    <w:rsid w:val="00F47D0F"/>
    <w:rsid w:val="00F47D84"/>
    <w:rsid w:val="00F50D72"/>
    <w:rsid w:val="00F510C5"/>
    <w:rsid w:val="00F5298B"/>
    <w:rsid w:val="00F5348A"/>
    <w:rsid w:val="00F53A95"/>
    <w:rsid w:val="00F55AA7"/>
    <w:rsid w:val="00F55B12"/>
    <w:rsid w:val="00F57369"/>
    <w:rsid w:val="00F6002F"/>
    <w:rsid w:val="00F60B0D"/>
    <w:rsid w:val="00F61281"/>
    <w:rsid w:val="00F61287"/>
    <w:rsid w:val="00F615D3"/>
    <w:rsid w:val="00F620EB"/>
    <w:rsid w:val="00F622E3"/>
    <w:rsid w:val="00F62362"/>
    <w:rsid w:val="00F63236"/>
    <w:rsid w:val="00F63E7B"/>
    <w:rsid w:val="00F64A56"/>
    <w:rsid w:val="00F64BA7"/>
    <w:rsid w:val="00F64D16"/>
    <w:rsid w:val="00F65040"/>
    <w:rsid w:val="00F65F29"/>
    <w:rsid w:val="00F70210"/>
    <w:rsid w:val="00F70BDD"/>
    <w:rsid w:val="00F71D14"/>
    <w:rsid w:val="00F72064"/>
    <w:rsid w:val="00F72305"/>
    <w:rsid w:val="00F72CA7"/>
    <w:rsid w:val="00F72E84"/>
    <w:rsid w:val="00F738A7"/>
    <w:rsid w:val="00F738EF"/>
    <w:rsid w:val="00F76CAE"/>
    <w:rsid w:val="00F76F5C"/>
    <w:rsid w:val="00F800B2"/>
    <w:rsid w:val="00F80858"/>
    <w:rsid w:val="00F80A52"/>
    <w:rsid w:val="00F81264"/>
    <w:rsid w:val="00F81770"/>
    <w:rsid w:val="00F81D81"/>
    <w:rsid w:val="00F83125"/>
    <w:rsid w:val="00F839E8"/>
    <w:rsid w:val="00F83BE2"/>
    <w:rsid w:val="00F83C79"/>
    <w:rsid w:val="00F83D0A"/>
    <w:rsid w:val="00F84D41"/>
    <w:rsid w:val="00F84EA2"/>
    <w:rsid w:val="00F87C6E"/>
    <w:rsid w:val="00F938EC"/>
    <w:rsid w:val="00F93F8C"/>
    <w:rsid w:val="00F944E2"/>
    <w:rsid w:val="00F94BC4"/>
    <w:rsid w:val="00F9599D"/>
    <w:rsid w:val="00F95D30"/>
    <w:rsid w:val="00F96E8D"/>
    <w:rsid w:val="00F97188"/>
    <w:rsid w:val="00F97A8E"/>
    <w:rsid w:val="00F97B3A"/>
    <w:rsid w:val="00FA044D"/>
    <w:rsid w:val="00FA051B"/>
    <w:rsid w:val="00FA1770"/>
    <w:rsid w:val="00FA1D04"/>
    <w:rsid w:val="00FA279B"/>
    <w:rsid w:val="00FA58C3"/>
    <w:rsid w:val="00FA5CBD"/>
    <w:rsid w:val="00FA6728"/>
    <w:rsid w:val="00FA6A4F"/>
    <w:rsid w:val="00FA6C26"/>
    <w:rsid w:val="00FA6C32"/>
    <w:rsid w:val="00FA71E4"/>
    <w:rsid w:val="00FB076B"/>
    <w:rsid w:val="00FB0A70"/>
    <w:rsid w:val="00FB1A24"/>
    <w:rsid w:val="00FB1E5E"/>
    <w:rsid w:val="00FB3F39"/>
    <w:rsid w:val="00FB47A2"/>
    <w:rsid w:val="00FB5FD9"/>
    <w:rsid w:val="00FB64B6"/>
    <w:rsid w:val="00FB798D"/>
    <w:rsid w:val="00FC253B"/>
    <w:rsid w:val="00FC2BCA"/>
    <w:rsid w:val="00FC40A8"/>
    <w:rsid w:val="00FD06ED"/>
    <w:rsid w:val="00FD24CA"/>
    <w:rsid w:val="00FD411D"/>
    <w:rsid w:val="00FD4B22"/>
    <w:rsid w:val="00FD4FED"/>
    <w:rsid w:val="00FD5224"/>
    <w:rsid w:val="00FD78CF"/>
    <w:rsid w:val="00FE0476"/>
    <w:rsid w:val="00FE09B8"/>
    <w:rsid w:val="00FE0D6F"/>
    <w:rsid w:val="00FE1D02"/>
    <w:rsid w:val="00FE25E5"/>
    <w:rsid w:val="00FE32DF"/>
    <w:rsid w:val="00FE393D"/>
    <w:rsid w:val="00FE42BF"/>
    <w:rsid w:val="00FE485B"/>
    <w:rsid w:val="00FE4966"/>
    <w:rsid w:val="00FE4B58"/>
    <w:rsid w:val="00FE5229"/>
    <w:rsid w:val="00FE6B25"/>
    <w:rsid w:val="00FF0F07"/>
    <w:rsid w:val="00FF17F4"/>
    <w:rsid w:val="00FF2415"/>
    <w:rsid w:val="00FF2769"/>
    <w:rsid w:val="00FF2C92"/>
    <w:rsid w:val="00FF41E2"/>
    <w:rsid w:val="00FF6FFB"/>
    <w:rsid w:val="00FF7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991BBD"/>
    <w:rPr>
      <w:color w:val="0000FF"/>
      <w:shd w:val="clear" w:color="auto" w:fill="auto"/>
    </w:rPr>
  </w:style>
  <w:style w:type="paragraph" w:customStyle="1" w:styleId="Pagedecouverture">
    <w:name w:val="Page de couverture"/>
    <w:basedOn w:val="Normal"/>
    <w:next w:val="Normal"/>
    <w:rsid w:val="00991BBD"/>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991B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1BBD"/>
  </w:style>
  <w:style w:type="paragraph" w:styleId="Footer">
    <w:name w:val="footer"/>
    <w:basedOn w:val="Normal"/>
    <w:link w:val="FooterChar"/>
    <w:uiPriority w:val="99"/>
    <w:unhideWhenUsed/>
    <w:rsid w:val="00991B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1BBD"/>
  </w:style>
  <w:style w:type="paragraph" w:customStyle="1" w:styleId="FooterCoverPage">
    <w:name w:val="Footer Cover Page"/>
    <w:basedOn w:val="Normal"/>
    <w:link w:val="FooterCoverPageChar"/>
    <w:rsid w:val="00991BB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91BBD"/>
    <w:rPr>
      <w:rFonts w:ascii="Times New Roman" w:hAnsi="Times New Roman" w:cs="Times New Roman"/>
      <w:sz w:val="24"/>
    </w:rPr>
  </w:style>
  <w:style w:type="paragraph" w:customStyle="1" w:styleId="FooterSensitivity">
    <w:name w:val="Footer Sensitivity"/>
    <w:basedOn w:val="Normal"/>
    <w:link w:val="FooterSensitivityChar"/>
    <w:rsid w:val="00991BB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91BBD"/>
    <w:rPr>
      <w:rFonts w:ascii="Times New Roman" w:hAnsi="Times New Roman" w:cs="Times New Roman"/>
      <w:b/>
      <w:sz w:val="32"/>
    </w:rPr>
  </w:style>
  <w:style w:type="paragraph" w:customStyle="1" w:styleId="HeaderCoverPage">
    <w:name w:val="Header Cover Page"/>
    <w:basedOn w:val="Normal"/>
    <w:link w:val="HeaderCoverPageChar"/>
    <w:rsid w:val="00991BB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91BBD"/>
    <w:rPr>
      <w:rFonts w:ascii="Times New Roman" w:hAnsi="Times New Roman" w:cs="Times New Roman"/>
      <w:sz w:val="24"/>
    </w:rPr>
  </w:style>
  <w:style w:type="paragraph" w:customStyle="1" w:styleId="HeaderSensitivity">
    <w:name w:val="Header Sensitivity"/>
    <w:basedOn w:val="Normal"/>
    <w:link w:val="HeaderSensitivityChar"/>
    <w:rsid w:val="00991BB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91BBD"/>
    <w:rPr>
      <w:rFonts w:ascii="Times New Roman" w:hAnsi="Times New Roman" w:cs="Times New Roman"/>
      <w:b/>
      <w:sz w:val="32"/>
    </w:rPr>
  </w:style>
  <w:style w:type="paragraph" w:customStyle="1" w:styleId="HeaderSensitivityRight">
    <w:name w:val="Header Sensitivity Right"/>
    <w:basedOn w:val="Normal"/>
    <w:link w:val="HeaderSensitivityRightChar"/>
    <w:rsid w:val="00991BB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91BBD"/>
    <w:rPr>
      <w:rFonts w:ascii="Times New Roman" w:hAnsi="Times New Roman" w:cs="Times New Roman"/>
      <w:sz w:val="28"/>
    </w:rPr>
  </w:style>
  <w:style w:type="paragraph" w:styleId="FootnoteText">
    <w:name w:val="footnote text"/>
    <w:aliases w:val="-E Fußnotentext,Fußnotentext Ursprung,-E Fußnotentext1,-E Fußnotentext2,-E Fußnotentext3,Schriftart: 9 pt,Schriftart: 10 pt,Schriftart: 8 pt,WB-Fußnotentext,fn,Footnotes,Footnote ak,Char,Fußnote,Carattere,fn Char Char,f,Reference,Foot note"/>
    <w:basedOn w:val="Normal"/>
    <w:link w:val="FootnoteTextChar"/>
    <w:uiPriority w:val="99"/>
    <w:unhideWhenUsed/>
    <w:qFormat/>
    <w:rsid w:val="00991BBD"/>
    <w:pPr>
      <w:spacing w:after="0" w:line="240" w:lineRule="auto"/>
    </w:pPr>
    <w:rPr>
      <w:sz w:val="20"/>
      <w:szCs w:val="20"/>
    </w:rPr>
  </w:style>
  <w:style w:type="character" w:customStyle="1" w:styleId="FootnoteTextChar">
    <w:name w:val="Footnote Text Char"/>
    <w:aliases w:val="-E Fußnotentext Char,Fußnotentext Ursprung Char,-E Fußnotentext1 Char,-E Fußnotentext2 Char,-E Fußnotentext3 Char,Schriftart: 9 pt Char,Schriftart: 10 pt Char,Schriftart: 8 pt Char,WB-Fußnotentext Char,fn Char,Footnotes Char,Char Char"/>
    <w:basedOn w:val="DefaultParagraphFont"/>
    <w:link w:val="FootnoteText"/>
    <w:uiPriority w:val="99"/>
    <w:qFormat/>
    <w:rsid w:val="00991BBD"/>
    <w:rPr>
      <w:sz w:val="20"/>
      <w:szCs w:val="20"/>
    </w:rPr>
  </w:style>
  <w:style w:type="character" w:styleId="FootnoteReference">
    <w:name w:val="footnote reference"/>
    <w:aliases w:val="number,Footnote reference number,Footnote symbol,note TESI,-E Fußnotenzeichen,SUPERS,Footnote Reference Superscript,stylish,Odwołanie przypisu,Times 10 Point,Exposant 3 Point,Voetnootverwijzing,EN Footnote Reference,Ref,BVI fnr,Nota,E"/>
    <w:basedOn w:val="DefaultParagraphFont"/>
    <w:link w:val="FootnotesymbolCarZchn"/>
    <w:unhideWhenUsed/>
    <w:qFormat/>
    <w:rsid w:val="00991BBD"/>
    <w:rPr>
      <w:vertAlign w:val="superscript"/>
    </w:rPr>
  </w:style>
  <w:style w:type="paragraph" w:styleId="ListParagraph">
    <w:name w:val="List Paragraph"/>
    <w:basedOn w:val="Normal"/>
    <w:uiPriority w:val="34"/>
    <w:qFormat/>
    <w:rsid w:val="00DF5995"/>
    <w:pPr>
      <w:ind w:left="720"/>
      <w:contextualSpacing/>
    </w:pPr>
  </w:style>
  <w:style w:type="character" w:styleId="CommentReference">
    <w:name w:val="annotation reference"/>
    <w:basedOn w:val="DefaultParagraphFont"/>
    <w:uiPriority w:val="99"/>
    <w:semiHidden/>
    <w:unhideWhenUsed/>
    <w:rsid w:val="008E39FB"/>
    <w:rPr>
      <w:sz w:val="16"/>
      <w:szCs w:val="16"/>
    </w:rPr>
  </w:style>
  <w:style w:type="paragraph" w:styleId="CommentText">
    <w:name w:val="annotation text"/>
    <w:basedOn w:val="Normal"/>
    <w:link w:val="CommentTextChar"/>
    <w:uiPriority w:val="99"/>
    <w:semiHidden/>
    <w:unhideWhenUsed/>
    <w:rsid w:val="008E39FB"/>
    <w:pPr>
      <w:spacing w:line="240" w:lineRule="auto"/>
    </w:pPr>
    <w:rPr>
      <w:sz w:val="20"/>
      <w:szCs w:val="20"/>
    </w:rPr>
  </w:style>
  <w:style w:type="character" w:customStyle="1" w:styleId="CommentTextChar">
    <w:name w:val="Comment Text Char"/>
    <w:basedOn w:val="DefaultParagraphFont"/>
    <w:link w:val="CommentText"/>
    <w:uiPriority w:val="99"/>
    <w:semiHidden/>
    <w:rsid w:val="008E39FB"/>
    <w:rPr>
      <w:sz w:val="20"/>
      <w:szCs w:val="20"/>
    </w:rPr>
  </w:style>
  <w:style w:type="character" w:styleId="Hyperlink">
    <w:name w:val="Hyperlink"/>
    <w:basedOn w:val="DefaultParagraphFont"/>
    <w:uiPriority w:val="99"/>
    <w:unhideWhenUsed/>
    <w:rsid w:val="008E39FB"/>
    <w:rPr>
      <w:color w:val="0563C1" w:themeColor="hyperlink"/>
      <w:u w:val="single"/>
    </w:rPr>
  </w:style>
  <w:style w:type="paragraph" w:styleId="BalloonText">
    <w:name w:val="Balloon Text"/>
    <w:basedOn w:val="Normal"/>
    <w:link w:val="BalloonTextChar"/>
    <w:uiPriority w:val="99"/>
    <w:semiHidden/>
    <w:unhideWhenUsed/>
    <w:rsid w:val="008E39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39FB"/>
    <w:rPr>
      <w:rFonts w:ascii="Segoe UI" w:hAnsi="Segoe UI" w:cs="Segoe UI"/>
      <w:sz w:val="18"/>
      <w:szCs w:val="18"/>
    </w:rPr>
  </w:style>
  <w:style w:type="paragraph" w:customStyle="1" w:styleId="Default">
    <w:name w:val="Default"/>
    <w:rsid w:val="009F265F"/>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1744F8"/>
    <w:rPr>
      <w:color w:val="954F72" w:themeColor="followed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qFormat/>
    <w:rsid w:val="00B77DCF"/>
    <w:pPr>
      <w:spacing w:line="240" w:lineRule="exact"/>
      <w:jc w:val="both"/>
    </w:pPr>
    <w:rPr>
      <w:vertAlign w:val="superscript"/>
    </w:rPr>
  </w:style>
  <w:style w:type="paragraph" w:styleId="CommentSubject">
    <w:name w:val="annotation subject"/>
    <w:basedOn w:val="CommentText"/>
    <w:next w:val="CommentText"/>
    <w:link w:val="CommentSubjectChar"/>
    <w:uiPriority w:val="99"/>
    <w:semiHidden/>
    <w:unhideWhenUsed/>
    <w:rsid w:val="009D31A5"/>
    <w:rPr>
      <w:b/>
      <w:bCs/>
    </w:rPr>
  </w:style>
  <w:style w:type="character" w:customStyle="1" w:styleId="CommentSubjectChar">
    <w:name w:val="Comment Subject Char"/>
    <w:basedOn w:val="CommentTextChar"/>
    <w:link w:val="CommentSubject"/>
    <w:uiPriority w:val="99"/>
    <w:semiHidden/>
    <w:rsid w:val="009D31A5"/>
    <w:rPr>
      <w:b/>
      <w:bCs/>
      <w:sz w:val="20"/>
      <w:szCs w:val="20"/>
    </w:rPr>
  </w:style>
  <w:style w:type="paragraph" w:styleId="NormalWeb">
    <w:name w:val="Normal (Web)"/>
    <w:basedOn w:val="Normal"/>
    <w:uiPriority w:val="99"/>
    <w:unhideWhenUsed/>
    <w:rsid w:val="00B2234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FB1E5E"/>
    <w:rPr>
      <w:i/>
      <w:iCs/>
    </w:rPr>
  </w:style>
  <w:style w:type="paragraph" w:customStyle="1" w:styleId="Normal1">
    <w:name w:val="Normal1"/>
    <w:basedOn w:val="Normal"/>
    <w:rsid w:val="007C6FD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2F0CB4"/>
    <w:pPr>
      <w:spacing w:after="0" w:line="240" w:lineRule="auto"/>
    </w:pPr>
  </w:style>
  <w:style w:type="character" w:styleId="Strong">
    <w:name w:val="Strong"/>
    <w:basedOn w:val="DefaultParagraphFont"/>
    <w:uiPriority w:val="22"/>
    <w:qFormat/>
    <w:rsid w:val="00160FAF"/>
    <w:rPr>
      <w:b/>
      <w:bCs/>
    </w:rPr>
  </w:style>
  <w:style w:type="character" w:customStyle="1" w:styleId="Standaardalinea-lettertype">
    <w:name w:val="Standaardalinea-lettertype"/>
    <w:rsid w:val="000C04A8"/>
  </w:style>
  <w:style w:type="character" w:customStyle="1" w:styleId="Verwijzingopmerking">
    <w:name w:val="Verwijzing opmerking"/>
    <w:basedOn w:val="Standaardalinea-lettertype"/>
    <w:rsid w:val="000C04A8"/>
    <w:rPr>
      <w:sz w:val="16"/>
      <w:szCs w:val="16"/>
    </w:rPr>
  </w:style>
  <w:style w:type="paragraph" w:customStyle="1" w:styleId="Tekstopmerking">
    <w:name w:val="Tekst opmerking"/>
    <w:basedOn w:val="Normal"/>
    <w:rsid w:val="000C04A8"/>
    <w:pPr>
      <w:suppressAutoHyphens/>
      <w:autoSpaceDN w:val="0"/>
      <w:spacing w:line="240" w:lineRule="auto"/>
      <w:textAlignment w:val="baseline"/>
    </w:pPr>
    <w:rPr>
      <w:rFonts w:ascii="Calibri" w:eastAsia="Calibri" w:hAnsi="Calibri" w:cs="Times New Roman"/>
      <w:sz w:val="20"/>
      <w:szCs w:val="20"/>
    </w:rPr>
  </w:style>
  <w:style w:type="paragraph" w:customStyle="1" w:styleId="Standaard">
    <w:name w:val="Standaard"/>
    <w:rsid w:val="009748F0"/>
    <w:pPr>
      <w:suppressAutoHyphens/>
      <w:autoSpaceDN w:val="0"/>
      <w:spacing w:line="254" w:lineRule="auto"/>
      <w:textAlignment w:val="baseline"/>
    </w:pPr>
    <w:rPr>
      <w:rFonts w:ascii="Calibri" w:eastAsia="Calibri" w:hAnsi="Calibri" w:cs="Times New Roman"/>
    </w:rPr>
  </w:style>
  <w:style w:type="paragraph" w:styleId="Caption">
    <w:name w:val="caption"/>
    <w:basedOn w:val="Normal"/>
    <w:next w:val="Normal"/>
    <w:uiPriority w:val="35"/>
    <w:unhideWhenUsed/>
    <w:qFormat/>
    <w:rsid w:val="0068624E"/>
    <w:pPr>
      <w:spacing w:after="200" w:line="240" w:lineRule="auto"/>
    </w:pPr>
    <w:rPr>
      <w:i/>
      <w:iCs/>
      <w:color w:val="44546A" w:themeColor="text2"/>
      <w:sz w:val="18"/>
      <w:szCs w:val="18"/>
    </w:rPr>
  </w:style>
  <w:style w:type="table" w:styleId="TableGridLight">
    <w:name w:val="Grid Table Light"/>
    <w:basedOn w:val="TableNormal"/>
    <w:uiPriority w:val="40"/>
    <w:rsid w:val="0068624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139440">
      <w:bodyDiv w:val="1"/>
      <w:marLeft w:val="0"/>
      <w:marRight w:val="0"/>
      <w:marTop w:val="0"/>
      <w:marBottom w:val="0"/>
      <w:divBdr>
        <w:top w:val="none" w:sz="0" w:space="0" w:color="auto"/>
        <w:left w:val="none" w:sz="0" w:space="0" w:color="auto"/>
        <w:bottom w:val="none" w:sz="0" w:space="0" w:color="auto"/>
        <w:right w:val="none" w:sz="0" w:space="0" w:color="auto"/>
      </w:divBdr>
    </w:div>
    <w:div w:id="361439383">
      <w:bodyDiv w:val="1"/>
      <w:marLeft w:val="0"/>
      <w:marRight w:val="0"/>
      <w:marTop w:val="0"/>
      <w:marBottom w:val="0"/>
      <w:divBdr>
        <w:top w:val="none" w:sz="0" w:space="0" w:color="auto"/>
        <w:left w:val="none" w:sz="0" w:space="0" w:color="auto"/>
        <w:bottom w:val="none" w:sz="0" w:space="0" w:color="auto"/>
        <w:right w:val="none" w:sz="0" w:space="0" w:color="auto"/>
      </w:divBdr>
    </w:div>
    <w:div w:id="429206724">
      <w:bodyDiv w:val="1"/>
      <w:marLeft w:val="0"/>
      <w:marRight w:val="0"/>
      <w:marTop w:val="0"/>
      <w:marBottom w:val="0"/>
      <w:divBdr>
        <w:top w:val="none" w:sz="0" w:space="0" w:color="auto"/>
        <w:left w:val="none" w:sz="0" w:space="0" w:color="auto"/>
        <w:bottom w:val="none" w:sz="0" w:space="0" w:color="auto"/>
        <w:right w:val="none" w:sz="0" w:space="0" w:color="auto"/>
      </w:divBdr>
    </w:div>
    <w:div w:id="880559388">
      <w:bodyDiv w:val="1"/>
      <w:marLeft w:val="0"/>
      <w:marRight w:val="0"/>
      <w:marTop w:val="0"/>
      <w:marBottom w:val="0"/>
      <w:divBdr>
        <w:top w:val="none" w:sz="0" w:space="0" w:color="auto"/>
        <w:left w:val="none" w:sz="0" w:space="0" w:color="auto"/>
        <w:bottom w:val="none" w:sz="0" w:space="0" w:color="auto"/>
        <w:right w:val="none" w:sz="0" w:space="0" w:color="auto"/>
      </w:divBdr>
    </w:div>
    <w:div w:id="912200093">
      <w:bodyDiv w:val="1"/>
      <w:marLeft w:val="0"/>
      <w:marRight w:val="0"/>
      <w:marTop w:val="0"/>
      <w:marBottom w:val="0"/>
      <w:divBdr>
        <w:top w:val="none" w:sz="0" w:space="0" w:color="auto"/>
        <w:left w:val="none" w:sz="0" w:space="0" w:color="auto"/>
        <w:bottom w:val="none" w:sz="0" w:space="0" w:color="auto"/>
        <w:right w:val="none" w:sz="0" w:space="0" w:color="auto"/>
      </w:divBdr>
    </w:div>
    <w:div w:id="941036580">
      <w:bodyDiv w:val="1"/>
      <w:marLeft w:val="0"/>
      <w:marRight w:val="0"/>
      <w:marTop w:val="0"/>
      <w:marBottom w:val="0"/>
      <w:divBdr>
        <w:top w:val="none" w:sz="0" w:space="0" w:color="auto"/>
        <w:left w:val="none" w:sz="0" w:space="0" w:color="auto"/>
        <w:bottom w:val="none" w:sz="0" w:space="0" w:color="auto"/>
        <w:right w:val="none" w:sz="0" w:space="0" w:color="auto"/>
      </w:divBdr>
    </w:div>
    <w:div w:id="1072393920">
      <w:bodyDiv w:val="1"/>
      <w:marLeft w:val="0"/>
      <w:marRight w:val="0"/>
      <w:marTop w:val="0"/>
      <w:marBottom w:val="0"/>
      <w:divBdr>
        <w:top w:val="none" w:sz="0" w:space="0" w:color="auto"/>
        <w:left w:val="none" w:sz="0" w:space="0" w:color="auto"/>
        <w:bottom w:val="none" w:sz="0" w:space="0" w:color="auto"/>
        <w:right w:val="none" w:sz="0" w:space="0" w:color="auto"/>
      </w:divBdr>
    </w:div>
    <w:div w:id="1235240971">
      <w:bodyDiv w:val="1"/>
      <w:marLeft w:val="0"/>
      <w:marRight w:val="0"/>
      <w:marTop w:val="0"/>
      <w:marBottom w:val="0"/>
      <w:divBdr>
        <w:top w:val="none" w:sz="0" w:space="0" w:color="auto"/>
        <w:left w:val="none" w:sz="0" w:space="0" w:color="auto"/>
        <w:bottom w:val="none" w:sz="0" w:space="0" w:color="auto"/>
        <w:right w:val="none" w:sz="0" w:space="0" w:color="auto"/>
      </w:divBdr>
    </w:div>
    <w:div w:id="1527715264">
      <w:bodyDiv w:val="1"/>
      <w:marLeft w:val="0"/>
      <w:marRight w:val="0"/>
      <w:marTop w:val="0"/>
      <w:marBottom w:val="0"/>
      <w:divBdr>
        <w:top w:val="none" w:sz="0" w:space="0" w:color="auto"/>
        <w:left w:val="none" w:sz="0" w:space="0" w:color="auto"/>
        <w:bottom w:val="none" w:sz="0" w:space="0" w:color="auto"/>
        <w:right w:val="none" w:sz="0" w:space="0" w:color="auto"/>
      </w:divBdr>
    </w:div>
    <w:div w:id="1723091616">
      <w:bodyDiv w:val="1"/>
      <w:marLeft w:val="0"/>
      <w:marRight w:val="0"/>
      <w:marTop w:val="0"/>
      <w:marBottom w:val="0"/>
      <w:divBdr>
        <w:top w:val="none" w:sz="0" w:space="0" w:color="auto"/>
        <w:left w:val="none" w:sz="0" w:space="0" w:color="auto"/>
        <w:bottom w:val="none" w:sz="0" w:space="0" w:color="auto"/>
        <w:right w:val="none" w:sz="0" w:space="0" w:color="auto"/>
      </w:divBdr>
    </w:div>
    <w:div w:id="1840077301">
      <w:bodyDiv w:val="1"/>
      <w:marLeft w:val="0"/>
      <w:marRight w:val="0"/>
      <w:marTop w:val="0"/>
      <w:marBottom w:val="0"/>
      <w:divBdr>
        <w:top w:val="none" w:sz="0" w:space="0" w:color="auto"/>
        <w:left w:val="none" w:sz="0" w:space="0" w:color="auto"/>
        <w:bottom w:val="none" w:sz="0" w:space="0" w:color="auto"/>
        <w:right w:val="none" w:sz="0" w:space="0" w:color="auto"/>
      </w:divBdr>
      <w:divsChild>
        <w:div w:id="1014958293">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865628120">
      <w:bodyDiv w:val="1"/>
      <w:marLeft w:val="0"/>
      <w:marRight w:val="0"/>
      <w:marTop w:val="0"/>
      <w:marBottom w:val="0"/>
      <w:divBdr>
        <w:top w:val="none" w:sz="0" w:space="0" w:color="auto"/>
        <w:left w:val="none" w:sz="0" w:space="0" w:color="auto"/>
        <w:bottom w:val="none" w:sz="0" w:space="0" w:color="auto"/>
        <w:right w:val="none" w:sz="0" w:space="0" w:color="auto"/>
      </w:divBdr>
    </w:div>
    <w:div w:id="1940409437">
      <w:bodyDiv w:val="1"/>
      <w:marLeft w:val="0"/>
      <w:marRight w:val="0"/>
      <w:marTop w:val="0"/>
      <w:marBottom w:val="0"/>
      <w:divBdr>
        <w:top w:val="none" w:sz="0" w:space="0" w:color="auto"/>
        <w:left w:val="none" w:sz="0" w:space="0" w:color="auto"/>
        <w:bottom w:val="none" w:sz="0" w:space="0" w:color="auto"/>
        <w:right w:val="none" w:sz="0" w:space="0" w:color="auto"/>
      </w:divBdr>
    </w:div>
    <w:div w:id="2087267222">
      <w:bodyDiv w:val="1"/>
      <w:marLeft w:val="0"/>
      <w:marRight w:val="0"/>
      <w:marTop w:val="0"/>
      <w:marBottom w:val="0"/>
      <w:divBdr>
        <w:top w:val="none" w:sz="0" w:space="0" w:color="auto"/>
        <w:left w:val="none" w:sz="0" w:space="0" w:color="auto"/>
        <w:bottom w:val="none" w:sz="0" w:space="0" w:color="auto"/>
        <w:right w:val="none" w:sz="0" w:space="0" w:color="auto"/>
      </w:divBdr>
    </w:div>
    <w:div w:id="2107997961">
      <w:bodyDiv w:val="1"/>
      <w:marLeft w:val="0"/>
      <w:marRight w:val="0"/>
      <w:marTop w:val="0"/>
      <w:marBottom w:val="0"/>
      <w:divBdr>
        <w:top w:val="none" w:sz="0" w:space="0" w:color="auto"/>
        <w:left w:val="none" w:sz="0" w:space="0" w:color="auto"/>
        <w:bottom w:val="none" w:sz="0" w:space="0" w:color="auto"/>
        <w:right w:val="none" w:sz="0" w:space="0" w:color="auto"/>
      </w:divBdr>
      <w:divsChild>
        <w:div w:id="122383281">
          <w:marLeft w:val="0"/>
          <w:marRight w:val="0"/>
          <w:marTop w:val="0"/>
          <w:marBottom w:val="0"/>
          <w:divBdr>
            <w:top w:val="none" w:sz="0" w:space="0" w:color="auto"/>
            <w:left w:val="none" w:sz="0" w:space="0" w:color="auto"/>
            <w:bottom w:val="none" w:sz="0" w:space="0" w:color="auto"/>
            <w:right w:val="none" w:sz="0" w:space="0" w:color="auto"/>
          </w:divBdr>
          <w:divsChild>
            <w:div w:id="8122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885217">
      <w:bodyDiv w:val="1"/>
      <w:marLeft w:val="0"/>
      <w:marRight w:val="0"/>
      <w:marTop w:val="0"/>
      <w:marBottom w:val="0"/>
      <w:divBdr>
        <w:top w:val="none" w:sz="0" w:space="0" w:color="auto"/>
        <w:left w:val="none" w:sz="0" w:space="0" w:color="auto"/>
        <w:bottom w:val="none" w:sz="0" w:space="0" w:color="auto"/>
        <w:right w:val="none" w:sz="0" w:space="0" w:color="auto"/>
      </w:divBdr>
    </w:div>
    <w:div w:id="213964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image" Target="media/image5.emf"/><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9.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8.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7.emf"/><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emf"/><Relationship Id="rId27" Type="http://schemas.openxmlformats.org/officeDocument/2006/relationships/header" Target="header5.xml"/><Relationship Id="rId30"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strategy/eu-budget/long-term-eu-budget/2021-2027/whats-new_ro" TargetMode="External"/><Relationship Id="rId2" Type="http://schemas.openxmlformats.org/officeDocument/2006/relationships/hyperlink" Target="https://ec.europa.eu/info/business-economy-euro/banking-and-finance/sustainable-finance/eu-taxonomy-sustainable-activities_en" TargetMode="External"/><Relationship Id="rId1" Type="http://schemas.openxmlformats.org/officeDocument/2006/relationships/hyperlink" Target="https://www.consilium.europa.eu/ro/press/press-releases/2021/05/08/the-porto-declar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ARES_NUMBER xmlns="68a55e94-ca56-4436-9e20-0bfdb42de76a">
      <Url xsi:nil="true"/>
      <Description xsi:nil="true"/>
    </EC_ARES_NUMBER>
    <EC_ARES_DATE_TRANSFERRED xmlns="68a55e94-ca56-4436-9e20-0bfdb42de76a" xsi:nil="true"/>
    <EC_Collab_DocumentLanguage xmlns="68a55e94-ca56-4436-9e20-0bfdb42de76a">EN</EC_Collab_DocumentLanguage>
    <EC_ARES_TRANSFERRED_BY xmlns="68a55e94-ca56-4436-9e20-0bfdb42de76a" xsi:nil="true"/>
    <EC_Collab_Reference xmlns="68a55e94-ca56-4436-9e20-0bfdb42de76a" xsi:nil="true"/>
    <EC_Collab_Status xmlns="68a55e94-ca56-4436-9e20-0bfdb42de76a">Not Started</EC_Collab_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DAC7CF7E0CE9E046B3DD660AF693F55D" ma:contentTypeVersion="4" ma:contentTypeDescription="Create a new document in this library." ma:contentTypeScope="" ma:versionID="ed8dda261290335886189f08cbecdbdc">
  <xsd:schema xmlns:xsd="http://www.w3.org/2001/XMLSchema" xmlns:xs="http://www.w3.org/2001/XMLSchema" xmlns:p="http://schemas.microsoft.com/office/2006/metadata/properties" xmlns:ns3="68a55e94-ca56-4436-9e20-0bfdb42de76a" targetNamespace="http://schemas.microsoft.com/office/2006/metadata/properties" ma:root="true" ma:fieldsID="da76b61cc0f3493a1706e56f2b55dfbb" ns3:_="">
    <xsd:import namespace="68a55e94-ca56-4436-9e20-0bfdb42de76a"/>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a55e94-ca56-4436-9e20-0bfdb42de76a"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hidden="true" ma:internalName="EC_ARES_DATE_TRANSFERRED">
      <xsd:simpleType>
        <xsd:restriction base="dms:DateTime"/>
      </xsd:simpleType>
    </xsd:element>
    <xsd:element name="EC_ARES_TRANSFERRED_BY" ma:index="17"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276F3-B245-4272-9118-FB0D30DFC7CD}">
  <ds:schemaRefs>
    <ds:schemaRef ds:uri="http://purl.org/dc/term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68a55e94-ca56-4436-9e20-0bfdb42de76a"/>
    <ds:schemaRef ds:uri="http://www.w3.org/XML/1998/namespace"/>
    <ds:schemaRef ds:uri="http://purl.org/dc/dcmitype/"/>
  </ds:schemaRefs>
</ds:datastoreItem>
</file>

<file path=customXml/itemProps2.xml><?xml version="1.0" encoding="utf-8"?>
<ds:datastoreItem xmlns:ds="http://schemas.openxmlformats.org/officeDocument/2006/customXml" ds:itemID="{0597F5FA-32E4-4BAF-86DB-1623A105D130}">
  <ds:schemaRefs>
    <ds:schemaRef ds:uri="http://schemas.microsoft.com/sharepoint/v3/contenttype/forms"/>
  </ds:schemaRefs>
</ds:datastoreItem>
</file>

<file path=customXml/itemProps3.xml><?xml version="1.0" encoding="utf-8"?>
<ds:datastoreItem xmlns:ds="http://schemas.openxmlformats.org/officeDocument/2006/customXml" ds:itemID="{C7CD6636-798E-40A0-86A7-B5FDBDCA1E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a55e94-ca56-4436-9e20-0bfdb42de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B4C023-BD3D-49EC-AEEC-F74E4E35D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8303</Words>
  <Characters>50239</Characters>
  <Application>Microsoft Office Word</Application>
  <DocSecurity>0</DocSecurity>
  <Lines>761</Lines>
  <Paragraphs>179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2022-03-01T18:46:00Z</dcterms:created>
  <dcterms:modified xsi:type="dcterms:W3CDTF">2022-03-08T16:02:00Z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20200226</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CP-009</vt:lpwstr>
  </property>
  <property fmtid="{D5CDD505-2E9C-101B-9397-08002B2CF9AE}" pid="8" name="_LW_INVALIDATED__LW_INVALIDATED__LW_INVALIDATED__LW_INVALIDATED__LW_INVALIDATED__LW_INVALIDATED__LW_INVALIDATED__LW_INVALIDATED__LW_INVALIDATED__LW_INVALIDATED__LW_INVALIDATED_ContentTypeId">
    <vt:lpwstr>0x010100258AA79CEB83498886A3A0868112325000DAC7CF7E0CE9E046B3DD660AF693F55D</vt:lpwstr>
  </property>
  <property fmtid="{D5CDD505-2E9C-101B-9397-08002B2CF9AE}" pid="9" name="_LW_INVALIDATED__LW_INVALIDATED__LW_INVALIDATED__LW_INVALIDATED__LW_INVALIDATED__LW_INVALIDATED__LW_INVALIDATED__LW_INVALIDATED__LW_INVALIDATED__LW_INVALIDATED_ContentTypeId">
    <vt:lpwstr>0x010100258AA79CEB83498886A3A0868112325000DAC7CF7E0CE9E046B3DD660AF693F55D</vt:lpwstr>
  </property>
  <property fmtid="{D5CDD505-2E9C-101B-9397-08002B2CF9AE}" pid="10" name="_LW_INVALIDATED__LW_INVALIDATED__LW_INVALIDATED__LW_INVALIDATED__LW_INVALIDATED__LW_INVALIDATED__LW_INVALIDATED__LW_INVALIDATED_ContentTypeId">
    <vt:lpwstr>0x010100258AA79CEB83498886A3A0868112325000DAC7CF7E0CE9E046B3DD660AF693F55D</vt:lpwstr>
  </property>
  <property fmtid="{D5CDD505-2E9C-101B-9397-08002B2CF9AE}" pid="11" name="_LW_INVALIDATED__LW_INVALIDATED__LW_INVALIDATED__LW_INVALIDATED__LW_INVALIDATED__LW_INVALIDATED__LW_INVALIDATED_ContentTypeId">
    <vt:lpwstr>0x010100258AA79CEB83498886A3A0868112325000DAC7CF7E0CE9E046B3DD660AF693F55D</vt:lpwstr>
  </property>
  <property fmtid="{D5CDD505-2E9C-101B-9397-08002B2CF9AE}" pid="12" name="_LW_INVALIDATED__LW_INVALIDATED__LW_INVALIDATED__LW_INVALIDATED__LW_INVALIDATED_ContentTypeId">
    <vt:lpwstr>0x010100258AA79CEB83498886A3A0868112325000DAC7CF7E0CE9E046B3DD660AF693F55D</vt:lpwstr>
  </property>
</Properties>
</file>