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BB11F" w14:textId="43B6596B" w:rsidR="00C77D5D" w:rsidRPr="000578E9" w:rsidRDefault="008B655D" w:rsidP="008B655D">
      <w:pPr>
        <w:pStyle w:val="Pagedecouverture"/>
        <w:rPr>
          <w:noProof/>
        </w:rPr>
      </w:pPr>
      <w:bookmarkStart w:id="0" w:name="LW_BM_COVERPAGE"/>
      <w:r>
        <w:rPr>
          <w:noProof/>
        </w:rPr>
        <w:pict w14:anchorId="44F85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DB53027-F33C-4D32-AF6A-E8AF8B169E11" style="width:455.25pt;height:351.75pt">
            <v:imagedata r:id="rId14" o:title=""/>
          </v:shape>
        </w:pict>
      </w:r>
    </w:p>
    <w:bookmarkEnd w:id="0"/>
    <w:p w14:paraId="5396D0AC" w14:textId="77777777" w:rsidR="00C77D5D" w:rsidRPr="000578E9" w:rsidRDefault="00C77D5D" w:rsidP="00C77D5D">
      <w:pPr>
        <w:rPr>
          <w:noProof/>
        </w:rPr>
        <w:sectPr w:rsidR="00C77D5D" w:rsidRPr="000578E9" w:rsidSect="008B655D">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5BD02B3A" w14:textId="77777777" w:rsidR="0049690A" w:rsidRPr="000578E9" w:rsidRDefault="00077C55" w:rsidP="002D6F2F">
      <w:pPr>
        <w:pStyle w:val="Heading1"/>
        <w:rPr>
          <w:noProof/>
        </w:rPr>
      </w:pPr>
      <w:bookmarkStart w:id="1" w:name="_Toc110232902"/>
      <w:bookmarkStart w:id="2" w:name="_GoBack"/>
      <w:bookmarkEnd w:id="2"/>
      <w:r w:rsidRPr="000578E9">
        <w:rPr>
          <w:noProof/>
        </w:rPr>
        <w:lastRenderedPageBreak/>
        <w:t>Introduction</w:t>
      </w:r>
      <w:bookmarkEnd w:id="1"/>
    </w:p>
    <w:p w14:paraId="5C173A9E" w14:textId="77777777" w:rsidR="000F165F" w:rsidRPr="000578E9" w:rsidRDefault="000F165F" w:rsidP="005E5A31">
      <w:pPr>
        <w:pStyle w:val="Text1"/>
        <w:ind w:left="0"/>
        <w:rPr>
          <w:noProof/>
        </w:rPr>
      </w:pPr>
      <w:r w:rsidRPr="000578E9">
        <w:rPr>
          <w:noProof/>
        </w:rPr>
        <w:t>Nos mers et océans couvrent 70 % de la surface de la planète et plus de 65 % du territoire de l’Union européenne. Des écosystèmes marins sains sont essentiels à la vie sur Terre et jouent un rôle clé dans le bien-être de la planète. Ils sont l’une des principales sources de biodiversité et de nourriture, ils régulent le climat, ils constituent un important puits de carbone</w:t>
      </w:r>
      <w:r w:rsidRPr="000578E9">
        <w:rPr>
          <w:rStyle w:val="FootnoteReference"/>
          <w:noProof/>
        </w:rPr>
        <w:footnoteReference w:id="2"/>
      </w:r>
      <w:r w:rsidRPr="000578E9">
        <w:rPr>
          <w:noProof/>
        </w:rPr>
        <w:t xml:space="preserve"> et, non moins important, ils apportent aussi aux communautés côtières des avantages considérables sur les plans sanitaire, social et économique.</w:t>
      </w:r>
    </w:p>
    <w:p w14:paraId="0230A47B" w14:textId="77777777" w:rsidR="0085126B" w:rsidRPr="000578E9" w:rsidRDefault="00BF04B3" w:rsidP="00FB619E">
      <w:pPr>
        <w:pStyle w:val="Text1"/>
        <w:ind w:left="0"/>
        <w:rPr>
          <w:noProof/>
        </w:rPr>
      </w:pPr>
      <w:r w:rsidRPr="000578E9">
        <w:rPr>
          <w:noProof/>
        </w:rPr>
        <w:t>Selon un récent rapport de la plateforme intergouvernementale scientifique et politique sur la biodiversité et les services écosystémiques</w:t>
      </w:r>
      <w:r w:rsidRPr="000578E9">
        <w:rPr>
          <w:rStyle w:val="FootnoteReference"/>
          <w:noProof/>
        </w:rPr>
        <w:footnoteReference w:id="3"/>
      </w:r>
      <w:r w:rsidRPr="000578E9">
        <w:rPr>
          <w:noProof/>
        </w:rPr>
        <w:t>, une personne sur cinq dans le monde dépend d’espèces sauvages pour son alimentation et ses revenus, la pêche étant une source majeure de nourriture provenant d’espèces sauvages.</w:t>
      </w:r>
      <w:r w:rsidRPr="000578E9">
        <w:rPr>
          <w:noProof/>
          <w:color w:val="FF0000"/>
        </w:rPr>
        <w:t xml:space="preserve"> </w:t>
      </w:r>
      <w:r w:rsidRPr="000578E9">
        <w:rPr>
          <w:noProof/>
        </w:rPr>
        <w:t>Il est donc plus important que jamais de préserver ces ressources en les gérant de manière durable pour atteindre les objectifs de développement durable des Nations unies.</w:t>
      </w:r>
    </w:p>
    <w:p w14:paraId="1F22B76F" w14:textId="77777777" w:rsidR="0046224B" w:rsidRPr="000578E9" w:rsidRDefault="00F77DC8" w:rsidP="00FB619E">
      <w:pPr>
        <w:pStyle w:val="Text1"/>
        <w:ind w:left="0"/>
        <w:rPr>
          <w:noProof/>
        </w:rPr>
      </w:pPr>
      <w:r w:rsidRPr="000578E9">
        <w:rPr>
          <w:noProof/>
        </w:rPr>
        <w:t>Les poissons qui font l’objet d’une gestion et d’une pêche durables sont une source de protéines de qualité et abordables, dont l’empreinte carbone est relativement faible</w:t>
      </w:r>
      <w:r w:rsidRPr="000578E9">
        <w:rPr>
          <w:rStyle w:val="FootnoteReference"/>
          <w:noProof/>
        </w:rPr>
        <w:footnoteReference w:id="4"/>
      </w:r>
      <w:r w:rsidRPr="000578E9">
        <w:rPr>
          <w:noProof/>
        </w:rPr>
        <w:t>. Ils sont essentiels à la sécurité alimentaire de nombreuses personnes et au maintien de la base économique des communautés de pêcheurs. Garantir une pêche durable et une gestion durable des stocks halieutiques est également indispensable pour protéger la biodiversité des océans et lutter contre le changement climatique.</w:t>
      </w:r>
    </w:p>
    <w:p w14:paraId="11E3F260" w14:textId="77777777" w:rsidR="003240C1" w:rsidRPr="000578E9" w:rsidRDefault="00F832B6" w:rsidP="00BF6B0C">
      <w:pPr>
        <w:pStyle w:val="ListBullet"/>
        <w:numPr>
          <w:ilvl w:val="0"/>
          <w:numId w:val="0"/>
        </w:numPr>
        <w:rPr>
          <w:noProof/>
        </w:rPr>
      </w:pPr>
      <w:r w:rsidRPr="000578E9">
        <w:rPr>
          <w:rStyle w:val="normaltextrun"/>
          <w:noProof/>
          <w:color w:val="000000"/>
          <w:bdr w:val="none" w:sz="0" w:space="0" w:color="auto" w:frame="1"/>
        </w:rPr>
        <w:t>À l’heure actuelle, le milieu marin, ainsi que les p</w:t>
      </w:r>
      <w:r w:rsidRPr="000578E9">
        <w:rPr>
          <w:noProof/>
        </w:rPr>
        <w:t xml:space="preserve">êcheurs et le secteur de la pêche, sont confrontés à un certain nombre de difficultés. Outre les menaces existentielles que le changement climatique et la perte de biodiversité font peser sur le milieu marin </w:t>
      </w:r>
      <w:r w:rsidRPr="000578E9">
        <w:rPr>
          <w:rStyle w:val="normaltextrun"/>
          <w:noProof/>
          <w:color w:val="000000"/>
          <w:bdr w:val="none" w:sz="0" w:space="0" w:color="auto" w:frame="1"/>
        </w:rPr>
        <w:t>en raison de nombreuses pressions anthropiques</w:t>
      </w:r>
      <w:r w:rsidRPr="000578E9">
        <w:rPr>
          <w:noProof/>
        </w:rPr>
        <w:t>, le secteur a également été confronté à une série de défis majeurs, tels que le Brexit, la pandémie de COVID</w:t>
      </w:r>
      <w:r w:rsidRPr="000578E9">
        <w:rPr>
          <w:noProof/>
        </w:rPr>
        <w:noBreakHyphen/>
        <w:t>19 et, plus récemment, les répercussions de l’impitoyable agression militaire de la Russie contre l’Ukraine</w:t>
      </w:r>
      <w:r w:rsidRPr="000578E9">
        <w:rPr>
          <w:rStyle w:val="FootnoteReference"/>
          <w:noProof/>
        </w:rPr>
        <w:footnoteReference w:id="5"/>
      </w:r>
      <w:r w:rsidRPr="000578E9">
        <w:rPr>
          <w:noProof/>
        </w:rPr>
        <w:t xml:space="preserve">. Ces chocs ont provoqué des perturbations massives du marché, des pénuries de matières premières essentielles et une forte hausse des prix des carburants et des aliments pour poissons, en plus du danger évident que représentent les opérations militaires et les mines en mer Noire. </w:t>
      </w:r>
    </w:p>
    <w:p w14:paraId="70D5F735" w14:textId="77777777" w:rsidR="003240C1" w:rsidRPr="000578E9" w:rsidRDefault="00044B73" w:rsidP="00782A21">
      <w:pPr>
        <w:pStyle w:val="ListBullet"/>
        <w:numPr>
          <w:ilvl w:val="0"/>
          <w:numId w:val="0"/>
        </w:numPr>
        <w:spacing w:after="120"/>
        <w:rPr>
          <w:noProof/>
        </w:rPr>
      </w:pPr>
      <w:r w:rsidRPr="000578E9">
        <w:rPr>
          <w:noProof/>
        </w:rPr>
        <w:t>Parallèlement à la résolution de ces défis immédiats, l’Union européenne ne peut se permettre de perdre de vue la nécessité vitale de préserver la durabilité de ses systèmes alimentaires. Conformément à ses stratégies en faveur de la biodiversité</w:t>
      </w:r>
      <w:r w:rsidRPr="000578E9">
        <w:rPr>
          <w:rStyle w:val="FootnoteReference"/>
          <w:noProof/>
          <w:szCs w:val="24"/>
        </w:rPr>
        <w:footnoteReference w:id="6"/>
      </w:r>
      <w:r w:rsidRPr="000578E9">
        <w:rPr>
          <w:noProof/>
        </w:rPr>
        <w:t>, pour l’adaptation au changement climatique</w:t>
      </w:r>
      <w:r w:rsidRPr="000578E9">
        <w:rPr>
          <w:rStyle w:val="FootnoteReference"/>
          <w:noProof/>
          <w:szCs w:val="24"/>
        </w:rPr>
        <w:footnoteReference w:id="7"/>
      </w:r>
      <w:r w:rsidRPr="000578E9">
        <w:rPr>
          <w:noProof/>
        </w:rPr>
        <w:t xml:space="preserve"> et «De la ferme à la table»</w:t>
      </w:r>
      <w:r w:rsidRPr="000578E9">
        <w:rPr>
          <w:rStyle w:val="FootnoteReference"/>
          <w:noProof/>
          <w:szCs w:val="24"/>
        </w:rPr>
        <w:footnoteReference w:id="8"/>
      </w:r>
      <w:r w:rsidRPr="000578E9">
        <w:rPr>
          <w:noProof/>
        </w:rPr>
        <w:t>, l’Union doit veiller à ce que les risques découlant du changement climatique et de la perte de biodiversité ne compromettent pas la disponibilité des biens et des services que les écosystèmes marins sains fournissent aux pêcheurs, aux communautés côtières et à l’humanité dans son ensemble.</w:t>
      </w:r>
    </w:p>
    <w:p w14:paraId="5B799E25" w14:textId="77777777" w:rsidR="00B746BF" w:rsidRPr="000578E9" w:rsidRDefault="008C4867" w:rsidP="00FF3334">
      <w:pPr>
        <w:spacing w:after="160"/>
        <w:rPr>
          <w:noProof/>
        </w:rPr>
      </w:pPr>
      <w:r w:rsidRPr="000578E9">
        <w:rPr>
          <w:noProof/>
        </w:rPr>
        <w:t>Rendre les pêcheries de l’Union européenne plus résilientes, c’est aussi veiller à ce qu’elles contribuent à la protection et à la restauration des écosystèmes marins dont elles dépendent. Un milieu marin sain, doté de stocks halieutiques sains et d’une riche biodiversité, est la seule manière de garantir à nos communautés de pêcheurs un avenir prospère à moyen et long termes. Les écosystèmes marins sont de plus en plus menacés par le changement climatique</w:t>
      </w:r>
      <w:r w:rsidRPr="000578E9">
        <w:rPr>
          <w:rStyle w:val="FootnoteReference"/>
          <w:noProof/>
        </w:rPr>
        <w:footnoteReference w:id="9"/>
      </w:r>
      <w:r w:rsidRPr="000578E9">
        <w:rPr>
          <w:noProof/>
        </w:rPr>
        <w:t xml:space="preserve"> et par la pêche non durable ou illicite, non déclarée et non réglementée</w:t>
      </w:r>
      <w:r w:rsidRPr="000578E9">
        <w:rPr>
          <w:rStyle w:val="FootnoteReference"/>
          <w:noProof/>
        </w:rPr>
        <w:footnoteReference w:id="10"/>
      </w:r>
      <w:r w:rsidRPr="000578E9">
        <w:rPr>
          <w:noProof/>
        </w:rPr>
        <w:t>. D’autres pressions</w:t>
      </w:r>
      <w:r w:rsidRPr="000578E9">
        <w:rPr>
          <w:rStyle w:val="FootnoteReference"/>
          <w:noProof/>
        </w:rPr>
        <w:footnoteReference w:id="11"/>
      </w:r>
      <w:r w:rsidRPr="000578E9">
        <w:rPr>
          <w:noProof/>
        </w:rPr>
        <w:t xml:space="preserve"> sont également liées aux activités humaines, telles que le transport maritime, la production d’énergie, le tourisme, l’agriculture et l’industrie. Par conséquent, il importe de s’attaquer également, en parallèle, à ces autres pressions exercées sur la durabilité des écosystèmes marins et des stocks halieutiques, y compris aux différentes formes de pollution, qu’il s’agisse des contaminants, des pratiques agricoles, des matières plastiques ou du bruit. L’Union lutte contre la pollution marine au moyen d’un certain nombre d’initiatives législatives et stratégiques dans le cadre plus large du plan d’action «zéro pollution»</w:t>
      </w:r>
      <w:r w:rsidRPr="000578E9">
        <w:rPr>
          <w:rStyle w:val="FootnoteReference"/>
          <w:noProof/>
        </w:rPr>
        <w:footnoteReference w:id="12"/>
      </w:r>
      <w:r w:rsidRPr="000578E9">
        <w:rPr>
          <w:noProof/>
        </w:rPr>
        <w:t>. Il s’agit notamment de la fixation de limites pour les déchets marins, les sources sonores sous-marines, les nutriments et les contaminants au titre de la directive-cadre «stratégie pour le milieu marin» et de la mise en œuvre de mesures pour que ces limites soient respectées. Il s’agit également de la définition d’un certain nombre d’objectifs de réduction en vue d’une pollution zéro</w:t>
      </w:r>
      <w:r w:rsidRPr="000578E9">
        <w:rPr>
          <w:rStyle w:val="FootnoteReference"/>
          <w:noProof/>
        </w:rPr>
        <w:footnoteReference w:id="13"/>
      </w:r>
      <w:r w:rsidRPr="000578E9">
        <w:rPr>
          <w:noProof/>
        </w:rPr>
        <w:t xml:space="preserve"> et de l’adoption de mesures en faveur du milieu marin. Les règles de l’Union relatives aux installations de réception portuaires encouragent également le dépôt dans les ports des déchets pêchés passivement</w:t>
      </w:r>
      <w:r w:rsidRPr="000578E9">
        <w:rPr>
          <w:rStyle w:val="FootnoteReference"/>
          <w:noProof/>
        </w:rPr>
        <w:footnoteReference w:id="14"/>
      </w:r>
      <w:r w:rsidRPr="000578E9">
        <w:rPr>
          <w:noProof/>
        </w:rPr>
        <w:t>.</w:t>
      </w:r>
      <w:r w:rsidRPr="000578E9">
        <w:rPr>
          <w:rStyle w:val="eop"/>
          <w:noProof/>
          <w:color w:val="333333"/>
          <w:shd w:val="clear" w:color="auto" w:fill="FFFFFF"/>
        </w:rPr>
        <w:t xml:space="preserve"> </w:t>
      </w:r>
    </w:p>
    <w:p w14:paraId="63B4CEE0" w14:textId="77777777" w:rsidR="00E6730A" w:rsidRPr="000578E9" w:rsidRDefault="00033F57" w:rsidP="00E6730A">
      <w:pPr>
        <w:pStyle w:val="Text1"/>
        <w:ind w:left="0"/>
        <w:rPr>
          <w:noProof/>
        </w:rPr>
      </w:pPr>
      <w:r w:rsidRPr="000578E9">
        <w:rPr>
          <w:noProof/>
        </w:rPr>
        <w:t>Il est urgent d’intensifier l’action au niveau de l’Union européenne visant à inverser le déclin des écosystèmes marins en s’attaquant à toutes les pressions. Comme indiqué dans le présent plan d’action, pour ce faire, il faut des mesures visant à rendre la gestion de la pêche plus durable et plus moderne, afin de protéger et de restaurer les écosystèmes marins et de réaliser leur bon état écologique</w:t>
      </w:r>
      <w:r w:rsidRPr="000578E9">
        <w:rPr>
          <w:rStyle w:val="FootnoteReference"/>
          <w:noProof/>
        </w:rPr>
        <w:footnoteReference w:id="15"/>
      </w:r>
      <w:r w:rsidRPr="000578E9">
        <w:rPr>
          <w:noProof/>
        </w:rPr>
        <w:t>, ainsi que d’encourager et d’inciter le monde à faire de même</w:t>
      </w:r>
      <w:r w:rsidRPr="000578E9">
        <w:rPr>
          <w:rStyle w:val="FootnoteReference"/>
          <w:noProof/>
        </w:rPr>
        <w:footnoteReference w:id="16"/>
      </w:r>
      <w:r w:rsidRPr="000578E9">
        <w:rPr>
          <w:noProof/>
        </w:rPr>
        <w:t xml:space="preserve">. </w:t>
      </w:r>
    </w:p>
    <w:p w14:paraId="2A71549F" w14:textId="77777777" w:rsidR="0065502D" w:rsidRPr="000578E9" w:rsidRDefault="0065502D" w:rsidP="003971FB">
      <w:pPr>
        <w:pStyle w:val="Text1"/>
        <w:ind w:left="0"/>
        <w:rPr>
          <w:noProof/>
        </w:rPr>
      </w:pPr>
      <w:r w:rsidRPr="000578E9">
        <w:rPr>
          <w:noProof/>
        </w:rPr>
        <w:t>Le présent plan d’action s’inscrit dans le cadre des efforts consentis par la Commission pour parvenir à une mise en œuvre plus cohérente de la politique environnementale de l’Union et de sa politique commune de la pêche, avec ses trois piliers de la durabilité (environnementale, économique et sociale). Il prévoit une stratégie prospective sur la manière de mieux appliquer l’approche écosystémique en matière de gestion des pêches et complète la communication relative au fonctionnement de la politique commune de la pêche</w:t>
      </w:r>
      <w:r w:rsidRPr="000578E9">
        <w:rPr>
          <w:rStyle w:val="FootnoteReference"/>
          <w:noProof/>
        </w:rPr>
        <w:footnoteReference w:id="17"/>
      </w:r>
      <w:r w:rsidRPr="000578E9">
        <w:rPr>
          <w:noProof/>
        </w:rPr>
        <w:t xml:space="preserve"> et la communication sur la transition énergétique du secteur de la pêche et de l’aquaculture de l’Union européenne (ci-après l’«initiative pour la transition énergétique»)</w:t>
      </w:r>
      <w:r w:rsidRPr="000578E9">
        <w:rPr>
          <w:rStyle w:val="FootnoteReference"/>
          <w:noProof/>
        </w:rPr>
        <w:footnoteReference w:id="18"/>
      </w:r>
      <w:r w:rsidRPr="000578E9">
        <w:rPr>
          <w:noProof/>
        </w:rPr>
        <w:t xml:space="preserve">. </w:t>
      </w:r>
    </w:p>
    <w:p w14:paraId="58C82B28" w14:textId="77777777" w:rsidR="00992BA7" w:rsidRPr="000578E9" w:rsidRDefault="0065502D" w:rsidP="003971FB">
      <w:pPr>
        <w:pStyle w:val="Text1"/>
        <w:ind w:left="0"/>
        <w:rPr>
          <w:noProof/>
        </w:rPr>
      </w:pPr>
      <w:r w:rsidRPr="000578E9">
        <w:rPr>
          <w:noProof/>
        </w:rPr>
        <w:t>S’appuyant sur l’engagement pris dans le cadre de la stratégie de l’Union européenne en faveur de la biodiversité à l’horizon 2030 d’apporter une protection juridique à 30 % de nos mers, dont un tiers devrait être strictement protégé, il vise à remédier aux lacunes recensées dans le rapport spécial de la Cour des comptes européenne sur le milieu marin</w:t>
      </w:r>
      <w:r w:rsidRPr="000578E9">
        <w:rPr>
          <w:rStyle w:val="FootnoteReference"/>
          <w:noProof/>
        </w:rPr>
        <w:footnoteReference w:id="19"/>
      </w:r>
      <w:r w:rsidRPr="000578E9">
        <w:rPr>
          <w:noProof/>
        </w:rPr>
        <w:t>, en se concentrant en particulier sur les zones marines protégées (ZMP)</w:t>
      </w:r>
      <w:r w:rsidRPr="000578E9">
        <w:rPr>
          <w:rStyle w:val="FootnoteReference"/>
          <w:noProof/>
        </w:rPr>
        <w:footnoteReference w:id="20"/>
      </w:r>
      <w:r w:rsidRPr="000578E9">
        <w:rPr>
          <w:noProof/>
        </w:rPr>
        <w:t xml:space="preserve"> et sur les manières dont la gestion de la pêche peut contribuer à une protection et à un rétablissement plus efficaces de leur biodiversité marine, contribuant ainsi à la réalisation des objectifs de la proposition de législation sur la restauration de la nature</w:t>
      </w:r>
      <w:r w:rsidRPr="000578E9">
        <w:rPr>
          <w:rStyle w:val="FootnoteReference"/>
          <w:noProof/>
        </w:rPr>
        <w:footnoteReference w:id="21"/>
      </w:r>
      <w:r w:rsidRPr="000578E9">
        <w:rPr>
          <w:noProof/>
        </w:rPr>
        <w:t>.</w:t>
      </w:r>
    </w:p>
    <w:p w14:paraId="122C7DBE" w14:textId="77777777" w:rsidR="00016457" w:rsidRPr="000578E9" w:rsidRDefault="00044B73" w:rsidP="003971FB">
      <w:pPr>
        <w:spacing w:after="200"/>
        <w:rPr>
          <w:noProof/>
        </w:rPr>
      </w:pPr>
      <w:r w:rsidRPr="000578E9">
        <w:rPr>
          <w:noProof/>
        </w:rPr>
        <w:t>Ce plan d’action s’appuie sur les contributions apportées par les parties intéressées et les citoyens au cours de la vaste consultation</w:t>
      </w:r>
      <w:r w:rsidRPr="000578E9">
        <w:rPr>
          <w:rStyle w:val="FootnoteReference"/>
          <w:noProof/>
        </w:rPr>
        <w:footnoteReference w:id="22"/>
      </w:r>
      <w:r w:rsidRPr="000578E9">
        <w:rPr>
          <w:noProof/>
        </w:rPr>
        <w:t xml:space="preserve">. </w:t>
      </w:r>
    </w:p>
    <w:p w14:paraId="4FE09E31" w14:textId="77777777" w:rsidR="00044B73" w:rsidRPr="000578E9" w:rsidRDefault="00044B73" w:rsidP="003971FB">
      <w:pPr>
        <w:spacing w:after="200"/>
        <w:rPr>
          <w:noProof/>
        </w:rPr>
      </w:pPr>
      <w:r w:rsidRPr="000578E9">
        <w:rPr>
          <w:noProof/>
        </w:rPr>
        <w:t>Dans le sillage de l’accord historique sur un nouveau cadre mondial de la biodiversité conclu à Montréal lors de la 15</w:t>
      </w:r>
      <w:r w:rsidRPr="000578E9">
        <w:rPr>
          <w:noProof/>
          <w:vertAlign w:val="superscript"/>
        </w:rPr>
        <w:t>e</w:t>
      </w:r>
      <w:r w:rsidRPr="000578E9">
        <w:rPr>
          <w:noProof/>
        </w:rPr>
        <w:t> conférence des parties à la convention des Nations unies sur la diversité biologique (COP15 de la CDB), et dans le cadre du processus de négociation de nouveaux accords juridiquement contraignants sur la protection de la haute mer et la lutte contre la pollution par les plastiques, le présent plan d’action consolidera le rôle de chef de file de l’Union européenne dans le monde en montrant que l’Union tient ses engagements. L’Union était à la tête des efforts en vue de la mise en place du nouveau cadre mondial ambitieux de la biodiversité convenu lors de la COP15. Le présent plan d’action contribuera à concrétiser certains des engagements pris au niveau mondial, notamment l’engagement de protéger 30 % des zones terrestres et marines du monde et de restaurer 30 % des écosystèmes dégradés.</w:t>
      </w:r>
    </w:p>
    <w:p w14:paraId="7721922B" w14:textId="77777777" w:rsidR="00F15957" w:rsidRPr="000578E9" w:rsidRDefault="00B60DE0" w:rsidP="00F15957">
      <w:pPr>
        <w:spacing w:after="200"/>
        <w:rPr>
          <w:noProof/>
        </w:rPr>
      </w:pPr>
      <w:r w:rsidRPr="000578E9">
        <w:rPr>
          <w:noProof/>
        </w:rPr>
        <w:t>Enfin, les objectifs du présent plan d’action concordent également avec les engagements de l’Union exposés dans la communication conjointe sur la gouvernance internationale des océans</w:t>
      </w:r>
      <w:r w:rsidRPr="000578E9">
        <w:rPr>
          <w:rStyle w:val="FootnoteReference"/>
          <w:noProof/>
        </w:rPr>
        <w:footnoteReference w:id="23"/>
      </w:r>
      <w:r w:rsidRPr="000578E9">
        <w:rPr>
          <w:noProof/>
        </w:rPr>
        <w:t xml:space="preserve"> et avec la dimension extérieure de la politique commune de la pêche (PCP).</w:t>
      </w:r>
    </w:p>
    <w:p w14:paraId="5DF169B0" w14:textId="77777777" w:rsidR="00077C55" w:rsidRPr="000578E9" w:rsidRDefault="00911C4D" w:rsidP="00077C55">
      <w:pPr>
        <w:pStyle w:val="Heading1"/>
        <w:rPr>
          <w:noProof/>
        </w:rPr>
      </w:pPr>
      <w:bookmarkStart w:id="3" w:name="_Toc89265888"/>
      <w:bookmarkStart w:id="4" w:name="_Toc89265889"/>
      <w:bookmarkStart w:id="5" w:name="_Toc89265890"/>
      <w:bookmarkStart w:id="6" w:name="_Toc110232903"/>
      <w:bookmarkStart w:id="7" w:name="_Hlk110437199"/>
      <w:bookmarkEnd w:id="3"/>
      <w:bookmarkEnd w:id="4"/>
      <w:bookmarkEnd w:id="5"/>
      <w:r w:rsidRPr="000578E9">
        <w:rPr>
          <w:noProof/>
        </w:rPr>
        <w:t>Rendre les pratiques de pêche</w:t>
      </w:r>
      <w:bookmarkEnd w:id="6"/>
      <w:r w:rsidRPr="000578E9">
        <w:rPr>
          <w:noProof/>
        </w:rPr>
        <w:t xml:space="preserve"> plus durables</w:t>
      </w:r>
    </w:p>
    <w:p w14:paraId="11707EB3" w14:textId="77777777" w:rsidR="006E7286" w:rsidRPr="000578E9" w:rsidRDefault="00731366" w:rsidP="000C501E">
      <w:pPr>
        <w:pStyle w:val="Text2"/>
        <w:ind w:left="0"/>
        <w:rPr>
          <w:rStyle w:val="eop"/>
          <w:noProof/>
        </w:rPr>
      </w:pPr>
      <w:bookmarkStart w:id="8" w:name="_Toc89265892"/>
      <w:bookmarkStart w:id="9" w:name="_Toc89271648"/>
      <w:bookmarkEnd w:id="8"/>
      <w:bookmarkEnd w:id="9"/>
      <w:r w:rsidRPr="000578E9">
        <w:rPr>
          <w:noProof/>
        </w:rPr>
        <w:t>À l’heure actuelle, le milieu marin est confronté à de nombreuses pressions auxquelles il convient de s’attaquer de manière cohérente</w:t>
      </w:r>
      <w:r w:rsidRPr="000578E9">
        <w:rPr>
          <w:rStyle w:val="FootnoteReference"/>
          <w:noProof/>
        </w:rPr>
        <w:footnoteReference w:id="24"/>
      </w:r>
      <w:r w:rsidRPr="000578E9">
        <w:rPr>
          <w:noProof/>
        </w:rPr>
        <w:t xml:space="preserve">. Conformément aux objectifs du nouveau cadre mondial de la biodiversité et de la stratégie de l’Union en faveur de la biodiversité à l’horizon 2030 visant à protéger 30 % des mers d’Europe, l’Union européenne peut réduire une part importante de cette pression en créant de nouvelles ZMP et en gérant efficacement les ZMP existantes, ainsi qu’en rendant les pratiques de pêche plus durables, notamment grâce à l’utilisation d’engins de pêche ayant une faible incidence. Des zones protégées gérées efficacement </w:t>
      </w:r>
      <w:bookmarkStart w:id="10" w:name="_Hlk110350062"/>
      <w:r w:rsidRPr="000578E9">
        <w:rPr>
          <w:noProof/>
        </w:rPr>
        <w:t>réduisent au minimum les captures accidentelles d’espèces sensibles</w:t>
      </w:r>
      <w:r w:rsidRPr="000578E9">
        <w:rPr>
          <w:rStyle w:val="FootnoteReference"/>
          <w:bCs/>
          <w:noProof/>
        </w:rPr>
        <w:footnoteReference w:id="25"/>
      </w:r>
      <w:r w:rsidRPr="000578E9">
        <w:rPr>
          <w:noProof/>
        </w:rPr>
        <w:t>, protègent les zones de frai et de croissance pour les poissons et les juvéniles, et réduisent les incidences sur les habitats sensibles, en particulier les fonds marins.</w:t>
      </w:r>
      <w:bookmarkEnd w:id="10"/>
    </w:p>
    <w:p w14:paraId="23B952E0" w14:textId="77777777" w:rsidR="00DB30FF" w:rsidRPr="000578E9" w:rsidRDefault="00DB30FF" w:rsidP="00DB30FF">
      <w:pPr>
        <w:pStyle w:val="Text2"/>
        <w:ind w:left="0"/>
        <w:rPr>
          <w:rStyle w:val="eop"/>
          <w:noProof/>
          <w:color w:val="000000" w:themeColor="text1"/>
        </w:rPr>
      </w:pPr>
      <w:r w:rsidRPr="000578E9">
        <w:rPr>
          <w:rStyle w:val="eop"/>
          <w:noProof/>
          <w:color w:val="000000" w:themeColor="text1"/>
        </w:rPr>
        <w:t>Les décisions concernant le moment, le lieu et la manière de pêcher ont une incidence non seulement sur les espèces ciblées, mais aussi sur la quantité et la taille des poissons et des prises accessoires et, par conséquent, sur la durabilité des opérations de pêche. Les</w:t>
      </w:r>
      <w:r w:rsidRPr="000578E9">
        <w:rPr>
          <w:noProof/>
        </w:rPr>
        <w:t xml:space="preserve"> règles régissant cet aspect de la pêche, communément appelées «mesures techniques», ont été mises à jour en 2019</w:t>
      </w:r>
      <w:r w:rsidRPr="000578E9">
        <w:rPr>
          <w:rStyle w:val="FootnoteReference"/>
          <w:noProof/>
        </w:rPr>
        <w:footnoteReference w:id="26"/>
      </w:r>
      <w:r w:rsidRPr="000578E9">
        <w:rPr>
          <w:noProof/>
        </w:rPr>
        <w:t xml:space="preserve">. Les nouvelles règles prévoient un ensemble cohérent de mesures pour contribuer à la réalisation des objectifs environnementaux et adoptent une approche régionale pour créer la flexibilité requise. Le règlement relatif aux mesures techniques contient un ensemble de </w:t>
      </w:r>
      <w:r w:rsidRPr="000578E9">
        <w:rPr>
          <w:rStyle w:val="eop"/>
          <w:noProof/>
          <w:color w:val="000000" w:themeColor="text1"/>
        </w:rPr>
        <w:t>règles de référence pour une pêche sélective dans chaque bassin maritime. Par exemple, il prévoit différentes tailles et formes de maillage des filets de pêche afin de ne capturer que des poissons de certaines tailles, des grilles de tri et des panneaux permettant à certaines espèces de s’échapper, ou encore des fermetures de zones de pêche à certains endroits ou certaines périodes, par exemple pendant la période de reproduction des poissons</w:t>
      </w:r>
      <w:r w:rsidRPr="000578E9">
        <w:rPr>
          <w:rStyle w:val="FootnoteReference"/>
          <w:noProof/>
          <w:color w:val="000000" w:themeColor="text1"/>
        </w:rPr>
        <w:footnoteReference w:id="27"/>
      </w:r>
      <w:r w:rsidRPr="000578E9">
        <w:rPr>
          <w:rStyle w:val="eop"/>
          <w:noProof/>
          <w:color w:val="000000" w:themeColor="text1"/>
        </w:rPr>
        <w:t>.</w:t>
      </w:r>
    </w:p>
    <w:p w14:paraId="17AD178C" w14:textId="77777777" w:rsidR="0055581D" w:rsidRPr="000578E9" w:rsidRDefault="00F52321" w:rsidP="00DB30FF">
      <w:pPr>
        <w:pStyle w:val="Text2"/>
        <w:ind w:left="0"/>
        <w:rPr>
          <w:rStyle w:val="eop"/>
          <w:bCs/>
          <w:i/>
          <w:iCs/>
          <w:noProof/>
        </w:rPr>
      </w:pPr>
      <w:r w:rsidRPr="000578E9">
        <w:rPr>
          <w:i/>
          <w:noProof/>
        </w:rPr>
        <w:t xml:space="preserve">Améliorer la sélectivité des engins et réduire l’incidence de la pêche sur les espèces sensibles </w:t>
      </w:r>
    </w:p>
    <w:p w14:paraId="666D03DD" w14:textId="77777777" w:rsidR="00553E44" w:rsidRPr="000578E9" w:rsidRDefault="00DB30FF" w:rsidP="00DB30FF">
      <w:pPr>
        <w:pStyle w:val="Text2"/>
        <w:ind w:left="0"/>
        <w:rPr>
          <w:noProof/>
        </w:rPr>
      </w:pPr>
      <w:r w:rsidRPr="000578E9">
        <w:rPr>
          <w:rStyle w:val="eop"/>
          <w:noProof/>
        </w:rPr>
        <w:t>L’un des objectifs des règles de référence du</w:t>
      </w:r>
      <w:r w:rsidRPr="000578E9">
        <w:rPr>
          <w:noProof/>
        </w:rPr>
        <w:t xml:space="preserve"> règlement relatif aux mesures techniques </w:t>
      </w:r>
      <w:r w:rsidRPr="000578E9">
        <w:rPr>
          <w:rStyle w:val="eop"/>
          <w:noProof/>
        </w:rPr>
        <w:t xml:space="preserve">est de réduire au minimum et, si possible, d’éliminer les captures accidentelles d’espèces marines sensibles. </w:t>
      </w:r>
      <w:r w:rsidRPr="000578E9">
        <w:rPr>
          <w:noProof/>
        </w:rPr>
        <w:t xml:space="preserve">Les poissons et autres espèces marines sont confrontés à de nombreuses menaces, dont la surpêche, la pollution, ainsi que la perturbation ou la destruction et la dégradation de leurs habitats. Pour certains, la capture accidentelle dans des engins de pêche est l’une des principales menaces. Ces problèmes ont contribué au déclin des populations de plusieurs espèces et, bien que la plupart d’entre elles soient strictement protégées par la législation de l’Union sur la nature, certaines sont toujours en danger d’extinction. </w:t>
      </w:r>
    </w:p>
    <w:p w14:paraId="7F3A235A" w14:textId="77777777" w:rsidR="00DB30FF" w:rsidRPr="000578E9" w:rsidRDefault="003A048D" w:rsidP="00DB30FF">
      <w:pPr>
        <w:pStyle w:val="Text2"/>
        <w:ind w:left="0"/>
        <w:rPr>
          <w:noProof/>
        </w:rPr>
      </w:pPr>
      <w:r w:rsidRPr="000578E9">
        <w:rPr>
          <w:noProof/>
        </w:rPr>
        <w:t>Les espèces vulnérables sont particulièrement menacées. Il s’agit notamment de plusieurs requins</w:t>
      </w:r>
      <w:r w:rsidRPr="000578E9">
        <w:rPr>
          <w:rStyle w:val="FootnoteReference"/>
          <w:noProof/>
        </w:rPr>
        <w:footnoteReference w:id="28"/>
      </w:r>
      <w:r w:rsidRPr="000578E9">
        <w:rPr>
          <w:noProof/>
        </w:rPr>
        <w:t>, tortues de mer, mammifères marins, tels que le marsouin commun de la Baltique centrale et le phoque moine de Méditerranée, et d’oiseaux de mer, tels que le puffin des Baléares. Ils risquent tous d’être capturés dans des filets fixes. Les mammifères marins sont également souvent pris dans les grands chaluts pélagiques, les oiseaux de mer dans les palangres et les tortues de mer dans les chaluts et les palangres.</w:t>
      </w:r>
    </w:p>
    <w:p w14:paraId="746B2D60" w14:textId="77777777" w:rsidR="003A42CE" w:rsidRPr="000578E9" w:rsidRDefault="003A048D" w:rsidP="00EB0752">
      <w:pPr>
        <w:pStyle w:val="Text2"/>
        <w:ind w:left="0"/>
        <w:rPr>
          <w:bCs/>
          <w:noProof/>
        </w:rPr>
      </w:pPr>
      <w:bookmarkStart w:id="11" w:name="_Hlk110352297"/>
      <w:r w:rsidRPr="000578E9">
        <w:rPr>
          <w:noProof/>
        </w:rPr>
        <w:t>Toutefois, il existe des solutions largement disponibles pour</w:t>
      </w:r>
      <w:bookmarkEnd w:id="11"/>
      <w:r w:rsidRPr="000578E9">
        <w:rPr>
          <w:noProof/>
        </w:rPr>
        <w:t xml:space="preserve"> éviter les captures accidentelles qui sont déjà requises en vertu de la législation environnementale de l’Union et des règles de la politique commune de la pêche (PCP). Il s’agit notamment d’apporter des modifications techniques aux engins de pêche ou de limiter la pêche dans le temps et l’espace lorsqu’une espèce sensible est particulièrement présente.</w:t>
      </w:r>
    </w:p>
    <w:p w14:paraId="4EB8BB7A" w14:textId="77777777" w:rsidR="001A527C" w:rsidRPr="000578E9" w:rsidRDefault="00553E44" w:rsidP="008F78FD">
      <w:pPr>
        <w:pStyle w:val="Text2"/>
        <w:ind w:left="0"/>
        <w:rPr>
          <w:rStyle w:val="normaltextrun"/>
          <w:noProof/>
          <w:shd w:val="clear" w:color="auto" w:fill="FFFFFF"/>
        </w:rPr>
      </w:pPr>
      <w:bookmarkStart w:id="12" w:name="_Hlk106712063"/>
      <w:r w:rsidRPr="000578E9">
        <w:rPr>
          <w:noProof/>
        </w:rPr>
        <w:t>Des travaux, y compris dans le cadre de projets pilotes, visant à mieux protéger les espèces sensibles dans toutes les régions marines de l’Union sont prévus ou en cours, mais avec des niveaux d’ambition et de rapidité différents</w:t>
      </w:r>
      <w:r w:rsidRPr="000578E9">
        <w:rPr>
          <w:rStyle w:val="FootnoteReference"/>
          <w:noProof/>
        </w:rPr>
        <w:footnoteReference w:id="29"/>
      </w:r>
      <w:r w:rsidRPr="000578E9">
        <w:rPr>
          <w:noProof/>
        </w:rPr>
        <w:t xml:space="preserve">. </w:t>
      </w:r>
      <w:bookmarkEnd w:id="12"/>
      <w:r w:rsidRPr="000578E9">
        <w:rPr>
          <w:rStyle w:val="normaltextrun"/>
          <w:noProof/>
          <w:shd w:val="clear" w:color="auto" w:fill="FFFFFF"/>
        </w:rPr>
        <w:t>Cependant, des efforts supplémentaires doivent être consentis</w:t>
      </w:r>
      <w:r w:rsidRPr="000578E9">
        <w:rPr>
          <w:rStyle w:val="normaltextrun"/>
          <w:noProof/>
        </w:rPr>
        <w:t xml:space="preserve"> pour tenir effectivement les engagements pris dans le cadre de </w:t>
      </w:r>
      <w:r w:rsidRPr="000578E9">
        <w:rPr>
          <w:rStyle w:val="normaltextrun"/>
          <w:noProof/>
          <w:shd w:val="clear" w:color="auto" w:fill="FFFFFF"/>
        </w:rPr>
        <w:t xml:space="preserve">la stratégie de l’Union en faveur de la biodiversité à l’horizon 2030. </w:t>
      </w:r>
    </w:p>
    <w:p w14:paraId="1FFD1E0D" w14:textId="77777777" w:rsidR="00073458" w:rsidRPr="000578E9" w:rsidRDefault="0038332F" w:rsidP="008F78FD">
      <w:pPr>
        <w:pStyle w:val="Text2"/>
        <w:ind w:left="0"/>
        <w:rPr>
          <w:noProof/>
        </w:rPr>
      </w:pPr>
      <w:r w:rsidRPr="000578E9">
        <w:rPr>
          <w:rStyle w:val="normaltextrun"/>
          <w:noProof/>
          <w:shd w:val="clear" w:color="auto" w:fill="FFFFFF"/>
        </w:rPr>
        <w:t>La Commission invite les États membres à être plus ambitieux et à tirer pleinement parti des outils de la PCP pour mettre en œuvre d’urgence des mesures déjà disponibles et évaluées scientifiquement</w:t>
      </w:r>
      <w:r w:rsidRPr="000578E9">
        <w:rPr>
          <w:noProof/>
        </w:rPr>
        <w:t xml:space="preserve">. Il pourrait s’agir de </w:t>
      </w:r>
      <w:r w:rsidRPr="000578E9">
        <w:rPr>
          <w:rStyle w:val="normaltextrun"/>
          <w:noProof/>
          <w:shd w:val="clear" w:color="auto" w:fill="FFFFFF"/>
        </w:rPr>
        <w:t>la fermeture à court terme de certaines zones de pêche ou de l’installation de dispositifs de dissuasion acoustique, qui, selon les avis scientifiques</w:t>
      </w:r>
      <w:r w:rsidRPr="000578E9">
        <w:rPr>
          <w:rStyle w:val="FootnoteReference"/>
          <w:noProof/>
          <w:shd w:val="clear" w:color="auto" w:fill="FFFFFF"/>
        </w:rPr>
        <w:footnoteReference w:id="30"/>
      </w:r>
      <w:r w:rsidRPr="000578E9">
        <w:rPr>
          <w:rStyle w:val="normaltextrun"/>
          <w:noProof/>
          <w:shd w:val="clear" w:color="auto" w:fill="FFFFFF"/>
        </w:rPr>
        <w:t>, contribueraient à la reconstitution des marsouins communs de la Baltique centrale ou des dauphins communs dans le golfe de Gascogne. U</w:t>
      </w:r>
      <w:r w:rsidRPr="000578E9">
        <w:rPr>
          <w:noProof/>
        </w:rPr>
        <w:t>ne action rapide contribuera également à réduire les captures accidentelles d’oiseaux de mer dans les engins de pêche et à protéger les requins</w:t>
      </w:r>
      <w:r w:rsidRPr="000578E9">
        <w:rPr>
          <w:rStyle w:val="FootnoteReference"/>
          <w:noProof/>
        </w:rPr>
        <w:footnoteReference w:id="31"/>
      </w:r>
      <w:r w:rsidRPr="000578E9">
        <w:rPr>
          <w:noProof/>
        </w:rPr>
        <w:t xml:space="preserve">. En outre, les États membres devraient améliorer les systèmes de surveillance afin de déterminer l’ampleur et la répartition des captures accidentelles. </w:t>
      </w:r>
    </w:p>
    <w:p w14:paraId="4C768D52" w14:textId="77777777" w:rsidR="004E7577" w:rsidRPr="000578E9" w:rsidRDefault="004A3B51" w:rsidP="006E7286">
      <w:pPr>
        <w:pStyle w:val="Text2"/>
        <w:ind w:left="0"/>
        <w:rPr>
          <w:rStyle w:val="eop"/>
          <w:noProof/>
        </w:rPr>
      </w:pPr>
      <w:r w:rsidRPr="000578E9">
        <w:rPr>
          <w:rStyle w:val="eop"/>
          <w:noProof/>
        </w:rPr>
        <w:t>L’obtention de niveaux de rendement maximal durable</w:t>
      </w:r>
      <w:r w:rsidRPr="000578E9">
        <w:rPr>
          <w:noProof/>
        </w:rPr>
        <w:t xml:space="preserve"> pour </w:t>
      </w:r>
      <w:r w:rsidRPr="000578E9">
        <w:rPr>
          <w:rStyle w:val="eop"/>
          <w:noProof/>
        </w:rPr>
        <w:t>les espèces de poissons exploitées à des fins commerciales est un principe clé de la politique commune de la pêche et contribue au bon état écologique des populations de poissons exploités à des fins commerciales. Cela peut se faire en</w:t>
      </w:r>
      <w:r w:rsidRPr="000578E9">
        <w:rPr>
          <w:noProof/>
        </w:rPr>
        <w:t xml:space="preserve"> limitant les captures ou l’effort de pêche et </w:t>
      </w:r>
      <w:r w:rsidRPr="000578E9">
        <w:rPr>
          <w:rStyle w:val="eop"/>
          <w:noProof/>
        </w:rPr>
        <w:t>en veillant à ce que les activités de pêche soient très sélectives, de sorte que les pêcheurs ne capturent que les espèces ciblées, et ce uniquement en certaines quantités, à certains âges et de certaines tailles. La pêche peut également bénéficier de la protection d’importantes zones de frai et de croissance des poissons, y compris au moyen de zones strictement protégées, étant donné que les stocks halieutiques accrus se répandent dans les zones adjacentes.</w:t>
      </w:r>
    </w:p>
    <w:p w14:paraId="7B187042" w14:textId="77777777" w:rsidR="00794F2F" w:rsidRPr="000578E9" w:rsidRDefault="5B927A38" w:rsidP="001D24D4">
      <w:pPr>
        <w:pStyle w:val="Text2"/>
        <w:ind w:left="0"/>
        <w:rPr>
          <w:rStyle w:val="eop"/>
          <w:noProof/>
        </w:rPr>
      </w:pPr>
      <w:r w:rsidRPr="000578E9">
        <w:rPr>
          <w:noProof/>
        </w:rPr>
        <w:t>De nombreuses nouvelles solutions innovantes sont désormais disponibles pour améliorer encore la durabilité des techniques de pêche, telles que l’utilisation d’engins de pêche plus sélectifs, les outils de surveillance permettant de recenser les zones de concentration de juvéniles et les mesures visant à éviter ces zones</w:t>
      </w:r>
      <w:r w:rsidRPr="000578E9">
        <w:rPr>
          <w:rStyle w:val="FootnoteReference"/>
          <w:noProof/>
        </w:rPr>
        <w:footnoteReference w:id="32"/>
      </w:r>
      <w:r w:rsidRPr="000578E9">
        <w:rPr>
          <w:noProof/>
        </w:rPr>
        <w:t>.</w:t>
      </w:r>
      <w:bookmarkStart w:id="13" w:name="_Hlk110333536"/>
      <w:r w:rsidRPr="000578E9">
        <w:rPr>
          <w:noProof/>
        </w:rPr>
        <w:t xml:space="preserve"> Une action conjointe des </w:t>
      </w:r>
      <w:r w:rsidRPr="000578E9">
        <w:rPr>
          <w:rStyle w:val="eop"/>
          <w:noProof/>
        </w:rPr>
        <w:t>États membres est nécessaire pour poursuivre et accélérer les travaux sur les mesures nationales et les recommandations communes</w:t>
      </w:r>
      <w:r w:rsidRPr="000578E9">
        <w:rPr>
          <w:rStyle w:val="FootnoteReference"/>
          <w:noProof/>
        </w:rPr>
        <w:footnoteReference w:id="33"/>
      </w:r>
      <w:r w:rsidRPr="000578E9">
        <w:rPr>
          <w:rStyle w:val="eop"/>
          <w:noProof/>
        </w:rPr>
        <w:t xml:space="preserve"> et pour suivre les recommandations formulées par la Commission générale des pêches pour la Méditerranée (CGPM) concernant l’adoption et la diffusion de ces pratiques et outils innovants.</w:t>
      </w:r>
      <w:bookmarkEnd w:id="13"/>
      <w:r w:rsidRPr="000578E9">
        <w:rPr>
          <w:rStyle w:val="eop"/>
          <w:noProof/>
        </w:rPr>
        <w:t xml:space="preserve"> Pour ce faire, il est essentiel de fournir des incitations et un soutien efficaces aux communautés de pêcheurs concernées et de faire bon usage des fonds de l’Union disponibles.</w:t>
      </w:r>
    </w:p>
    <w:p w14:paraId="73977C46" w14:textId="77777777" w:rsidR="00DD1174" w:rsidRPr="000578E9" w:rsidRDefault="00C95DDF" w:rsidP="001D24D4">
      <w:pPr>
        <w:pStyle w:val="Text2"/>
        <w:ind w:left="0"/>
        <w:rPr>
          <w:noProof/>
        </w:rPr>
      </w:pPr>
      <w:r w:rsidRPr="000578E9">
        <w:rPr>
          <w:rStyle w:val="eop"/>
          <w:noProof/>
          <w:color w:val="000000" w:themeColor="text1"/>
        </w:rPr>
        <w:t>La Commission soutiendra les États membres en sollicitant l’avis d’institutions scientifiques sur la manière d’améliorer les actuels modes de pêche de la flotte de l’Union européenne. Le cas échéant, sur la base de nouveaux avis scientifiques, elle fera également</w:t>
      </w:r>
      <w:r w:rsidRPr="000578E9">
        <w:rPr>
          <w:noProof/>
        </w:rPr>
        <w:t xml:space="preserve"> usage des compétences d’exécution qui lui sont conférées par le règlement relatif aux mesures techniques concernant la conception des engins de pêche</w:t>
      </w:r>
      <w:r w:rsidRPr="000578E9">
        <w:rPr>
          <w:rStyle w:val="FootnoteReference"/>
          <w:noProof/>
        </w:rPr>
        <w:footnoteReference w:id="34"/>
      </w:r>
      <w:r w:rsidRPr="000578E9">
        <w:rPr>
          <w:noProof/>
        </w:rPr>
        <w:t xml:space="preserve"> afin de garantir des conditions de concurrence équitables dans la mise en œuvre des dispositions relatives à la sélectivité des engins.</w:t>
      </w:r>
    </w:p>
    <w:p w14:paraId="158783A4" w14:textId="77777777" w:rsidR="00871F8C" w:rsidRPr="000578E9" w:rsidRDefault="00FA017B" w:rsidP="09AC2191">
      <w:pPr>
        <w:rPr>
          <w:noProof/>
          <w:color w:val="000000" w:themeColor="text1"/>
        </w:rPr>
      </w:pPr>
      <w:r w:rsidRPr="000578E9">
        <w:rPr>
          <w:noProof/>
          <w:color w:val="000000" w:themeColor="text1"/>
        </w:rPr>
        <w:t>Il est particulièrement important et urgent d’améliorer la conservation des espèces en danger critique qui sont pêchées à des fins commerciales, telles que l’anguille d’Europe. La gestion et la conservation de cette espèce migratrice supposent de s’attaquer à toute une série d’activités humaines, de sorte qu’il est nécessaire d’adopter une approche globale couvrant différentes politiques.</w:t>
      </w:r>
    </w:p>
    <w:tbl>
      <w:tblPr>
        <w:tblStyle w:val="TableGrid"/>
        <w:tblW w:w="0" w:type="auto"/>
        <w:tblInd w:w="0"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8608"/>
      </w:tblGrid>
      <w:tr w:rsidR="007A1D26" w:rsidRPr="000578E9" w14:paraId="425CBC70" w14:textId="77777777" w:rsidTr="77480721">
        <w:tc>
          <w:tcPr>
            <w:tcW w:w="8608" w:type="dxa"/>
            <w:shd w:val="clear" w:color="auto" w:fill="FFFFFF" w:themeFill="background1"/>
          </w:tcPr>
          <w:p w14:paraId="0AD1E7F3" w14:textId="77777777" w:rsidR="00164D2B" w:rsidRPr="000578E9" w:rsidRDefault="00302B7E" w:rsidP="007A1D26">
            <w:pPr>
              <w:rPr>
                <w:rFonts w:ascii="Times New Roman" w:hAnsi="Times New Roman" w:cs="Times New Roman"/>
                <w:b/>
                <w:iCs/>
                <w:noProof/>
                <w:sz w:val="24"/>
                <w:szCs w:val="24"/>
              </w:rPr>
            </w:pPr>
            <w:r w:rsidRPr="000578E9">
              <w:rPr>
                <w:rFonts w:ascii="Times New Roman" w:hAnsi="Times New Roman"/>
                <w:b/>
                <w:noProof/>
                <w:sz w:val="24"/>
              </w:rPr>
              <w:t>Action visant à améliorer la sélectivité de la pêche et à réduire l’incidence de la pêche sur les espèces sensibles</w:t>
            </w:r>
          </w:p>
          <w:p w14:paraId="31BBFFB0" w14:textId="77777777" w:rsidR="007A1D26" w:rsidRPr="000578E9" w:rsidRDefault="00493B4D" w:rsidP="007A1D26">
            <w:pPr>
              <w:rPr>
                <w:rFonts w:ascii="Times New Roman" w:hAnsi="Times New Roman" w:cs="Times New Roman"/>
                <w:bCs/>
                <w:iCs/>
                <w:noProof/>
                <w:sz w:val="24"/>
                <w:szCs w:val="24"/>
                <w:u w:val="single"/>
              </w:rPr>
            </w:pPr>
            <w:r w:rsidRPr="000578E9">
              <w:rPr>
                <w:rFonts w:ascii="Times New Roman" w:hAnsi="Times New Roman"/>
                <w:noProof/>
                <w:sz w:val="24"/>
                <w:u w:val="single"/>
              </w:rPr>
              <w:t>La Commission invite les États membres à prendre les mesures suivantes:</w:t>
            </w:r>
          </w:p>
          <w:p w14:paraId="144CD570" w14:textId="77777777" w:rsidR="00DE68DC" w:rsidRPr="000578E9" w:rsidRDefault="00E5479F" w:rsidP="0047740D">
            <w:pPr>
              <w:pStyle w:val="ListParagraph"/>
              <w:numPr>
                <w:ilvl w:val="0"/>
                <w:numId w:val="20"/>
              </w:numPr>
              <w:rPr>
                <w:rFonts w:ascii="Times New Roman" w:eastAsiaTheme="minorEastAsia" w:hAnsi="Times New Roman" w:cs="Times New Roman"/>
                <w:iCs/>
                <w:noProof/>
                <w:sz w:val="24"/>
                <w:szCs w:val="24"/>
              </w:rPr>
            </w:pPr>
            <w:r w:rsidRPr="000578E9">
              <w:rPr>
                <w:rFonts w:ascii="Times New Roman" w:hAnsi="Times New Roman"/>
                <w:noProof/>
                <w:sz w:val="24"/>
              </w:rPr>
              <w:t>d’ici fin 2023, définir des valeurs seuils pour le taux maximal admissible de mortalité due aux captures accidentelles des espèces sélectionnées par les États membres</w:t>
            </w:r>
            <w:r w:rsidRPr="000578E9">
              <w:rPr>
                <w:rStyle w:val="FootnoteReference"/>
                <w:rFonts w:ascii="Times New Roman" w:eastAsiaTheme="minorEastAsia" w:hAnsi="Times New Roman" w:cs="Times New Roman"/>
                <w:iCs/>
                <w:noProof/>
                <w:sz w:val="24"/>
                <w:szCs w:val="24"/>
              </w:rPr>
              <w:footnoteReference w:id="35"/>
            </w:r>
            <w:r w:rsidRPr="000578E9">
              <w:rPr>
                <w:rFonts w:ascii="Times New Roman" w:hAnsi="Times New Roman"/>
                <w:noProof/>
                <w:sz w:val="24"/>
              </w:rPr>
              <w:t>, dans le cadre de la mise en œuvre de la directive-cadre «stratégie pour le milieu marin» (DCSMM)</w:t>
            </w:r>
            <w:r w:rsidRPr="000578E9">
              <w:rPr>
                <w:rStyle w:val="FootnoteReference"/>
                <w:rFonts w:ascii="Times New Roman" w:eastAsiaTheme="minorEastAsia" w:hAnsi="Times New Roman" w:cs="Times New Roman"/>
                <w:iCs/>
                <w:noProof/>
                <w:sz w:val="24"/>
                <w:szCs w:val="24"/>
              </w:rPr>
              <w:footnoteReference w:id="36"/>
            </w:r>
            <w:r w:rsidRPr="000578E9">
              <w:rPr>
                <w:rFonts w:ascii="Times New Roman" w:hAnsi="Times New Roman"/>
                <w:noProof/>
                <w:sz w:val="24"/>
              </w:rPr>
              <w:t>; et adopter des mesures de gestion de la pêche pour mettre en œuvre ces valeurs seuils sans délai au moyen de mesures nationales ou, le cas échéant, en soumettant des recommandations communes</w:t>
            </w:r>
            <w:r w:rsidRPr="000578E9">
              <w:rPr>
                <w:noProof/>
              </w:rPr>
              <w:t>;</w:t>
            </w:r>
          </w:p>
          <w:p w14:paraId="62A4DCA3" w14:textId="77777777" w:rsidR="00E5479F" w:rsidRPr="000578E9" w:rsidRDefault="00E5479F" w:rsidP="00E5479F">
            <w:pPr>
              <w:pStyle w:val="ListParagraph"/>
              <w:rPr>
                <w:rFonts w:eastAsiaTheme="minorEastAsia"/>
                <w:iCs/>
                <w:noProof/>
                <w:szCs w:val="24"/>
              </w:rPr>
            </w:pPr>
          </w:p>
          <w:p w14:paraId="69B146D5" w14:textId="77777777" w:rsidR="007A1D26" w:rsidRPr="000578E9" w:rsidRDefault="007A1D26" w:rsidP="00AB4263">
            <w:pPr>
              <w:pStyle w:val="ListParagraph"/>
              <w:numPr>
                <w:ilvl w:val="0"/>
                <w:numId w:val="20"/>
              </w:numPr>
              <w:rPr>
                <w:rFonts w:ascii="Times New Roman" w:hAnsi="Times New Roman" w:cs="Times New Roman"/>
                <w:bCs/>
                <w:iCs/>
                <w:noProof/>
                <w:sz w:val="24"/>
                <w:szCs w:val="24"/>
              </w:rPr>
            </w:pPr>
            <w:r w:rsidRPr="000578E9">
              <w:rPr>
                <w:rFonts w:ascii="Times New Roman" w:hAnsi="Times New Roman"/>
                <w:noProof/>
                <w:sz w:val="24"/>
              </w:rPr>
              <w:t>adopter des mesures nationales ou soumettre des recommandations communes à la Commission en vue de réduire au minimum les prises accessoires (ou de les ramener à un niveau permettant la reconstitution complète des populations):</w:t>
            </w:r>
          </w:p>
          <w:p w14:paraId="50F74F9D" w14:textId="77777777" w:rsidR="007A1D26" w:rsidRPr="000578E9" w:rsidRDefault="007A1D26" w:rsidP="007A1D26">
            <w:pPr>
              <w:pStyle w:val="ListParagraph"/>
              <w:rPr>
                <w:rFonts w:ascii="Times New Roman" w:hAnsi="Times New Roman" w:cs="Times New Roman"/>
                <w:bCs/>
                <w:iCs/>
                <w:noProof/>
                <w:sz w:val="24"/>
                <w:szCs w:val="24"/>
              </w:rPr>
            </w:pPr>
          </w:p>
          <w:p w14:paraId="3AB62C00" w14:textId="77777777" w:rsidR="007A1D26" w:rsidRPr="000578E9" w:rsidRDefault="004C617F" w:rsidP="00AB4263">
            <w:pPr>
              <w:pStyle w:val="ListParagraph"/>
              <w:numPr>
                <w:ilvl w:val="1"/>
                <w:numId w:val="20"/>
              </w:numPr>
              <w:rPr>
                <w:rFonts w:ascii="Times New Roman" w:eastAsiaTheme="minorEastAsia" w:hAnsi="Times New Roman" w:cs="Times New Roman"/>
                <w:b/>
                <w:bCs/>
                <w:noProof/>
                <w:sz w:val="24"/>
                <w:szCs w:val="24"/>
              </w:rPr>
            </w:pPr>
            <w:r w:rsidRPr="000578E9">
              <w:rPr>
                <w:rFonts w:ascii="Times New Roman" w:hAnsi="Times New Roman"/>
                <w:noProof/>
                <w:sz w:val="24"/>
              </w:rPr>
              <w:t>d’ici fin 2023: de marsouins communs dans la mer Baltique centrale, la mer Noire et la zone ibéro-atlantique, et de dauphins communs dans le golfe de Gascogne</w:t>
            </w:r>
            <w:r w:rsidRPr="000578E9">
              <w:rPr>
                <w:rStyle w:val="FootnoteReference"/>
                <w:rFonts w:eastAsiaTheme="minorEastAsia"/>
                <w:noProof/>
                <w:szCs w:val="24"/>
              </w:rPr>
              <w:footnoteReference w:id="37"/>
            </w:r>
            <w:r w:rsidRPr="000578E9">
              <w:rPr>
                <w:rFonts w:ascii="Times New Roman" w:hAnsi="Times New Roman"/>
                <w:noProof/>
                <w:sz w:val="24"/>
              </w:rPr>
              <w:t>;</w:t>
            </w:r>
          </w:p>
          <w:p w14:paraId="79C2E067" w14:textId="66AE9657" w:rsidR="00436EC0" w:rsidRPr="000578E9" w:rsidRDefault="00436EC0" w:rsidP="00436EC0">
            <w:pPr>
              <w:pStyle w:val="ListParagraph"/>
              <w:numPr>
                <w:ilvl w:val="1"/>
                <w:numId w:val="20"/>
              </w:numPr>
              <w:rPr>
                <w:rFonts w:ascii="Times New Roman" w:eastAsiaTheme="minorEastAsia" w:hAnsi="Times New Roman" w:cs="Times New Roman"/>
                <w:iCs/>
                <w:noProof/>
                <w:sz w:val="24"/>
                <w:szCs w:val="24"/>
              </w:rPr>
            </w:pPr>
            <w:r w:rsidRPr="000578E9">
              <w:rPr>
                <w:rFonts w:ascii="Times New Roman" w:hAnsi="Times New Roman"/>
                <w:noProof/>
                <w:sz w:val="24"/>
              </w:rPr>
              <w:t>d’ici fin 2024: d’anges de mer communs, de pocheteaux gris, de raies-guitares, de raies de Malte, de grands requins blancs, de requins taureaux, de requins féroces, de raies-papillons épineuses, d’esturgeons, de tortues de mer, de puffins des Baléares et de phoques moines de Méditerranée;</w:t>
            </w:r>
          </w:p>
          <w:p w14:paraId="4427B88B" w14:textId="77777777" w:rsidR="007A1D26" w:rsidRPr="000578E9" w:rsidRDefault="004C617F" w:rsidP="00AB4263">
            <w:pPr>
              <w:pStyle w:val="ListParagraph"/>
              <w:numPr>
                <w:ilvl w:val="1"/>
                <w:numId w:val="20"/>
              </w:numPr>
              <w:rPr>
                <w:rFonts w:ascii="Times New Roman" w:eastAsiaTheme="minorEastAsia" w:hAnsi="Times New Roman" w:cs="Times New Roman"/>
                <w:b/>
                <w:bCs/>
                <w:noProof/>
                <w:sz w:val="24"/>
                <w:szCs w:val="24"/>
              </w:rPr>
            </w:pPr>
            <w:bookmarkStart w:id="15" w:name="_Hlk126243489"/>
            <w:r w:rsidRPr="000578E9">
              <w:rPr>
                <w:rFonts w:ascii="Times New Roman" w:hAnsi="Times New Roman"/>
                <w:noProof/>
                <w:sz w:val="24"/>
              </w:rPr>
              <w:t>d’ici 2030: des autres espèces marines sensibles risquant de faire l’objet de captures accidentelles</w:t>
            </w:r>
            <w:r w:rsidRPr="000578E9">
              <w:rPr>
                <w:rStyle w:val="FootnoteReference"/>
                <w:rFonts w:ascii="Times New Roman" w:eastAsiaTheme="minorEastAsia" w:hAnsi="Times New Roman" w:cs="Times New Roman"/>
                <w:noProof/>
                <w:sz w:val="24"/>
                <w:szCs w:val="24"/>
              </w:rPr>
              <w:footnoteReference w:id="38"/>
            </w:r>
            <w:r w:rsidRPr="000578E9">
              <w:rPr>
                <w:rFonts w:ascii="Times New Roman" w:hAnsi="Times New Roman"/>
                <w:noProof/>
                <w:sz w:val="24"/>
              </w:rPr>
              <w:t>, en donnant la priorité à celles qui se trouvent dans un «état de conservation défavorable» ou qui sont menacées d’extinction;</w:t>
            </w:r>
          </w:p>
          <w:bookmarkEnd w:id="15"/>
          <w:p w14:paraId="42DF8057" w14:textId="77777777" w:rsidR="007A1D26" w:rsidRPr="000578E9" w:rsidRDefault="007A1D26" w:rsidP="007A1D26">
            <w:pPr>
              <w:pStyle w:val="ListParagraph"/>
              <w:ind w:left="1440"/>
              <w:rPr>
                <w:rFonts w:eastAsiaTheme="minorEastAsia"/>
                <w:b/>
                <w:iCs/>
                <w:noProof/>
                <w:szCs w:val="24"/>
              </w:rPr>
            </w:pPr>
          </w:p>
          <w:p w14:paraId="134B6D43" w14:textId="77777777" w:rsidR="00E5479F" w:rsidRPr="000578E9" w:rsidRDefault="00E5479F" w:rsidP="00AB4263">
            <w:pPr>
              <w:pStyle w:val="ListParagraph"/>
              <w:numPr>
                <w:ilvl w:val="0"/>
                <w:numId w:val="20"/>
              </w:numPr>
              <w:spacing w:after="120"/>
              <w:contextualSpacing w:val="0"/>
              <w:rPr>
                <w:rFonts w:ascii="Times New Roman" w:hAnsi="Times New Roman" w:cs="Times New Roman"/>
                <w:noProof/>
                <w:sz w:val="24"/>
                <w:szCs w:val="24"/>
              </w:rPr>
            </w:pPr>
            <w:bookmarkStart w:id="16" w:name="_Hlk114925718"/>
            <w:r w:rsidRPr="000578E9">
              <w:rPr>
                <w:rFonts w:ascii="Times New Roman" w:hAnsi="Times New Roman"/>
                <w:noProof/>
                <w:sz w:val="24"/>
              </w:rPr>
              <w:t>d’ici la fin du mois de juin 2024, améliorer la protection de l’anguille d’Europe en adoptant ou en actualisant les plans de gestion de l’anguille existants au titre du règlement sur l’anguille</w:t>
            </w:r>
            <w:r w:rsidRPr="000578E9">
              <w:rPr>
                <w:rStyle w:val="FootnoteReference"/>
                <w:noProof/>
                <w:szCs w:val="24"/>
              </w:rPr>
              <w:footnoteReference w:id="39"/>
            </w:r>
            <w:r w:rsidRPr="000578E9">
              <w:rPr>
                <w:rFonts w:ascii="Times New Roman" w:hAnsi="Times New Roman"/>
                <w:noProof/>
                <w:sz w:val="24"/>
              </w:rPr>
              <w:t>, à la lumière des nouvelles connaissances et sur la base du rapport visé à l’article 9 dudit règlement, afin de renforcer les mesures de conservation et de gestion.</w:t>
            </w:r>
          </w:p>
          <w:p w14:paraId="4FAB6D25" w14:textId="77777777" w:rsidR="00E5479F" w:rsidRPr="000578E9" w:rsidRDefault="00E5479F" w:rsidP="00E5479F">
            <w:pPr>
              <w:pStyle w:val="ListParagraph"/>
              <w:spacing w:after="120"/>
              <w:ind w:left="714"/>
              <w:contextualSpacing w:val="0"/>
              <w:rPr>
                <w:rFonts w:ascii="Times New Roman" w:hAnsi="Times New Roman" w:cs="Times New Roman"/>
                <w:noProof/>
                <w:sz w:val="24"/>
                <w:szCs w:val="24"/>
              </w:rPr>
            </w:pPr>
            <w:r w:rsidRPr="000578E9">
              <w:rPr>
                <w:rFonts w:ascii="Times New Roman" w:hAnsi="Times New Roman"/>
                <w:noProof/>
                <w:sz w:val="24"/>
              </w:rPr>
              <w:t>Ces plans de gestion de l’anguille devraient viser à lutter contre: i) l’incidence de la pêche (tant commerciale que récréative et à tous les stades du cycle de vie de l’espèce), et ii) les incidences non liées à la pêche, en mettant en œuvre la législation connexe, telle que la directive-cadre sur l’eau</w:t>
            </w:r>
            <w:r w:rsidRPr="000578E9">
              <w:rPr>
                <w:rStyle w:val="FootnoteReference"/>
                <w:rFonts w:ascii="Times New Roman" w:hAnsi="Times New Roman" w:cs="Times New Roman"/>
                <w:noProof/>
                <w:sz w:val="24"/>
                <w:szCs w:val="24"/>
              </w:rPr>
              <w:footnoteReference w:id="40"/>
            </w:r>
            <w:r w:rsidRPr="000578E9">
              <w:rPr>
                <w:rFonts w:ascii="Times New Roman" w:hAnsi="Times New Roman"/>
                <w:noProof/>
                <w:sz w:val="24"/>
              </w:rPr>
              <w:t>, la directive «Habitats»</w:t>
            </w:r>
            <w:r w:rsidRPr="000578E9">
              <w:rPr>
                <w:rStyle w:val="FootnoteReference"/>
                <w:rFonts w:ascii="Times New Roman" w:hAnsi="Times New Roman" w:cs="Times New Roman"/>
                <w:noProof/>
                <w:sz w:val="24"/>
                <w:szCs w:val="24"/>
              </w:rPr>
              <w:footnoteReference w:id="41"/>
            </w:r>
            <w:r w:rsidRPr="000578E9">
              <w:rPr>
                <w:rFonts w:ascii="Times New Roman" w:hAnsi="Times New Roman"/>
                <w:noProof/>
                <w:sz w:val="24"/>
              </w:rPr>
              <w:t xml:space="preserve"> et la DCSMM. Ils devraient inclure des efforts visant à restaurer les habitats de l’anguille, à améliorer la connectivité des cours d’eau et à lever les obstacles à la migration, et renforcer la coopération transfrontalière;</w:t>
            </w:r>
            <w:bookmarkEnd w:id="16"/>
          </w:p>
          <w:p w14:paraId="7E86FB0E" w14:textId="77777777" w:rsidR="00C00AD9" w:rsidRPr="000578E9" w:rsidRDefault="000615CF" w:rsidP="00980107">
            <w:pPr>
              <w:pStyle w:val="ListParagraph"/>
              <w:numPr>
                <w:ilvl w:val="0"/>
                <w:numId w:val="20"/>
              </w:numPr>
              <w:spacing w:after="120"/>
              <w:ind w:left="714" w:hanging="357"/>
              <w:contextualSpacing w:val="0"/>
              <w:rPr>
                <w:rFonts w:ascii="Times New Roman" w:hAnsi="Times New Roman" w:cs="Times New Roman"/>
                <w:noProof/>
                <w:sz w:val="24"/>
                <w:szCs w:val="24"/>
              </w:rPr>
            </w:pPr>
            <w:r w:rsidRPr="000578E9">
              <w:rPr>
                <w:rFonts w:ascii="Times New Roman" w:hAnsi="Times New Roman"/>
                <w:noProof/>
                <w:sz w:val="24"/>
              </w:rPr>
              <w:t>d’ici mars 2027, mettre à jour les programmes de mesures prévus par la DCSMM afin d’y inclure des mesures appropriées de lutte contre la perte et le rejet d’engins de pêche et les déchets marins liés à la pêche, sur la base d’approches recensées dans la stratégie de mise en œuvre commune de la DCSMM; </w:t>
            </w:r>
          </w:p>
          <w:p w14:paraId="1B5A4764" w14:textId="77777777" w:rsidR="007A1D26" w:rsidRPr="000578E9" w:rsidRDefault="00E5479F" w:rsidP="00AB4263">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d’ici 2030, sur la base des travaux du comité scientifique, technique et économique de la pêche (CSTEP), de la CGPM et d’autres institutions scientifiques, telles que le Conseil international pour l’exploration de la mer (CIEM), présenter et mettre en œuvre des mesures supplémentaires pour améliorer la sélectivité, en commençant par les stocks halieutiques présentant les plus importants gains biologiques escomptés. Ces mesures devraient inclure:</w:t>
            </w:r>
          </w:p>
          <w:p w14:paraId="7171922E" w14:textId="77777777" w:rsidR="007A1D26" w:rsidRPr="000578E9" w:rsidRDefault="007A1D26" w:rsidP="00AB4263">
            <w:pPr>
              <w:pStyle w:val="ListParagraph"/>
              <w:numPr>
                <w:ilvl w:val="1"/>
                <w:numId w:val="20"/>
              </w:numPr>
              <w:rPr>
                <w:rFonts w:ascii="Times New Roman" w:hAnsi="Times New Roman" w:cs="Times New Roman"/>
                <w:noProof/>
                <w:sz w:val="24"/>
                <w:szCs w:val="24"/>
              </w:rPr>
            </w:pPr>
            <w:r w:rsidRPr="000578E9">
              <w:rPr>
                <w:rFonts w:ascii="Times New Roman" w:hAnsi="Times New Roman"/>
                <w:noProof/>
                <w:sz w:val="24"/>
              </w:rPr>
              <w:t>des techniques nouvelles et innovantes pour les engins afin de réduire les captures de petits poissons;</w:t>
            </w:r>
          </w:p>
          <w:p w14:paraId="2D01DA29" w14:textId="77777777" w:rsidR="007A1D26" w:rsidRPr="000578E9" w:rsidRDefault="008E63B0" w:rsidP="00AB4263">
            <w:pPr>
              <w:pStyle w:val="ListParagraph"/>
              <w:numPr>
                <w:ilvl w:val="1"/>
                <w:numId w:val="20"/>
              </w:numPr>
              <w:rPr>
                <w:rFonts w:ascii="Times New Roman" w:hAnsi="Times New Roman" w:cs="Times New Roman"/>
                <w:noProof/>
                <w:sz w:val="24"/>
                <w:szCs w:val="24"/>
              </w:rPr>
            </w:pPr>
            <w:r w:rsidRPr="000578E9">
              <w:rPr>
                <w:rFonts w:ascii="Times New Roman" w:hAnsi="Times New Roman"/>
                <w:noProof/>
                <w:sz w:val="24"/>
              </w:rPr>
              <w:t>des mesures spécifiques à certains endroits ou à certaines périodes, lorsqu’il existe des preuves manifestes de concentrations élevées de poissons dont la taille est inférieure à la taille minimale de référence de conservation;</w:t>
            </w:r>
          </w:p>
          <w:p w14:paraId="3B1B1CA7" w14:textId="77777777" w:rsidR="00736720" w:rsidRPr="000578E9" w:rsidRDefault="00736720" w:rsidP="00736720">
            <w:pPr>
              <w:pStyle w:val="ListParagraph"/>
              <w:ind w:left="1440"/>
              <w:rPr>
                <w:rFonts w:ascii="Times New Roman" w:hAnsi="Times New Roman" w:cs="Times New Roman"/>
                <w:noProof/>
                <w:sz w:val="24"/>
                <w:szCs w:val="24"/>
              </w:rPr>
            </w:pPr>
          </w:p>
          <w:p w14:paraId="1A2710A1" w14:textId="77777777" w:rsidR="004B4064" w:rsidRPr="000578E9" w:rsidRDefault="001936A7" w:rsidP="00AB4263">
            <w:pPr>
              <w:pStyle w:val="ListParagraph"/>
              <w:numPr>
                <w:ilvl w:val="0"/>
                <w:numId w:val="20"/>
              </w:numPr>
              <w:spacing w:after="120"/>
              <w:rPr>
                <w:rFonts w:ascii="Times New Roman" w:eastAsiaTheme="minorEastAsia" w:hAnsi="Times New Roman" w:cs="Times New Roman"/>
                <w:iCs/>
                <w:noProof/>
                <w:sz w:val="24"/>
                <w:szCs w:val="24"/>
              </w:rPr>
            </w:pPr>
            <w:r w:rsidRPr="000578E9">
              <w:rPr>
                <w:rFonts w:ascii="Times New Roman" w:hAnsi="Times New Roman"/>
                <w:noProof/>
                <w:sz w:val="24"/>
              </w:rPr>
              <w:t xml:space="preserve">d’ici 2030, créer de nouvelles ZMP et gérer efficacement toutes les ZMP, en assurant une protection stricte des importantes zones de frai et de croissance pour les poissons. </w:t>
            </w:r>
          </w:p>
          <w:p w14:paraId="67B5C1C9" w14:textId="77777777" w:rsidR="007A1D26" w:rsidRPr="000578E9" w:rsidRDefault="00310A2A" w:rsidP="007A1D26">
            <w:pPr>
              <w:rPr>
                <w:rFonts w:ascii="Times New Roman" w:hAnsi="Times New Roman" w:cs="Times New Roman"/>
                <w:bCs/>
                <w:iCs/>
                <w:noProof/>
                <w:sz w:val="24"/>
                <w:szCs w:val="24"/>
                <w:u w:val="single"/>
              </w:rPr>
            </w:pPr>
            <w:r w:rsidRPr="000578E9">
              <w:rPr>
                <w:rFonts w:ascii="Times New Roman" w:hAnsi="Times New Roman"/>
                <w:noProof/>
                <w:sz w:val="24"/>
                <w:u w:val="single"/>
              </w:rPr>
              <w:t>La Commission:</w:t>
            </w:r>
          </w:p>
          <w:p w14:paraId="42D818EE" w14:textId="77777777" w:rsidR="00AB4263" w:rsidRPr="000578E9" w:rsidRDefault="00AB4263" w:rsidP="00AB4263">
            <w:pPr>
              <w:pStyle w:val="ListParagraph"/>
              <w:numPr>
                <w:ilvl w:val="0"/>
                <w:numId w:val="20"/>
              </w:numPr>
              <w:spacing w:line="259" w:lineRule="auto"/>
              <w:rPr>
                <w:rFonts w:ascii="Times New Roman" w:hAnsi="Times New Roman" w:cs="Times New Roman"/>
                <w:noProof/>
                <w:sz w:val="24"/>
                <w:szCs w:val="24"/>
              </w:rPr>
            </w:pPr>
            <w:r w:rsidRPr="000578E9">
              <w:rPr>
                <w:rFonts w:ascii="Times New Roman" w:hAnsi="Times New Roman"/>
                <w:noProof/>
                <w:sz w:val="24"/>
              </w:rPr>
              <w:t>en 2023, demandera au CSTEP de fournir, dans le cadre de ses travaux en cours</w:t>
            </w:r>
            <w:r w:rsidRPr="000578E9">
              <w:rPr>
                <w:rStyle w:val="FootnoteReference"/>
                <w:bCs/>
                <w:noProof/>
                <w:szCs w:val="24"/>
              </w:rPr>
              <w:footnoteReference w:id="42"/>
            </w:r>
            <w:r w:rsidRPr="000578E9">
              <w:rPr>
                <w:rFonts w:ascii="Times New Roman" w:hAnsi="Times New Roman"/>
                <w:noProof/>
                <w:sz w:val="24"/>
              </w:rPr>
              <w:t>, des conseils sur:</w:t>
            </w:r>
          </w:p>
          <w:p w14:paraId="7741454A" w14:textId="77777777" w:rsidR="00AB4263" w:rsidRPr="000578E9" w:rsidRDefault="00AB4263" w:rsidP="00AB4263">
            <w:pPr>
              <w:pStyle w:val="ListParagraph"/>
              <w:numPr>
                <w:ilvl w:val="1"/>
                <w:numId w:val="20"/>
              </w:numPr>
              <w:spacing w:line="259" w:lineRule="auto"/>
              <w:rPr>
                <w:rFonts w:ascii="Times New Roman" w:hAnsi="Times New Roman" w:cs="Times New Roman"/>
                <w:noProof/>
                <w:sz w:val="24"/>
                <w:szCs w:val="24"/>
              </w:rPr>
            </w:pPr>
            <w:r w:rsidRPr="000578E9">
              <w:rPr>
                <w:rFonts w:ascii="Times New Roman" w:hAnsi="Times New Roman"/>
                <w:noProof/>
                <w:sz w:val="24"/>
              </w:rPr>
              <w:t>l’évaluation des tailles optimales des poissons</w:t>
            </w:r>
            <w:r w:rsidRPr="000578E9">
              <w:rPr>
                <w:rStyle w:val="FootnoteReference"/>
                <w:rFonts w:ascii="Times New Roman" w:hAnsi="Times New Roman" w:cs="Times New Roman"/>
                <w:noProof/>
                <w:sz w:val="24"/>
                <w:szCs w:val="24"/>
              </w:rPr>
              <w:footnoteReference w:id="43"/>
            </w:r>
            <w:r w:rsidRPr="000578E9">
              <w:rPr>
                <w:rFonts w:ascii="Times New Roman" w:hAnsi="Times New Roman"/>
                <w:noProof/>
                <w:sz w:val="24"/>
              </w:rPr>
              <w:t xml:space="preserve"> à capturer dans les engins de pêche, afin d’obtenir le rendement à long terme le plus élevé;</w:t>
            </w:r>
          </w:p>
          <w:p w14:paraId="1E0C1821" w14:textId="77777777" w:rsidR="00AB4263" w:rsidRPr="000578E9" w:rsidRDefault="00AB4263" w:rsidP="00AB4263">
            <w:pPr>
              <w:pStyle w:val="ListParagraph"/>
              <w:numPr>
                <w:ilvl w:val="1"/>
                <w:numId w:val="20"/>
              </w:numPr>
              <w:spacing w:line="259" w:lineRule="auto"/>
              <w:rPr>
                <w:rFonts w:ascii="Times New Roman" w:hAnsi="Times New Roman" w:cs="Times New Roman"/>
                <w:noProof/>
                <w:sz w:val="24"/>
                <w:szCs w:val="24"/>
              </w:rPr>
            </w:pPr>
            <w:r w:rsidRPr="000578E9">
              <w:rPr>
                <w:rFonts w:ascii="Times New Roman" w:hAnsi="Times New Roman"/>
                <w:noProof/>
                <w:sz w:val="24"/>
              </w:rPr>
              <w:t>l’amélioration des engins de pêche, en tenant compte de la sélectivité, de la combinaison des espèces ciblées, ainsi que des gains à long terme et des conséquences transitoires sur le plan social et économique;</w:t>
            </w:r>
          </w:p>
          <w:p w14:paraId="5106615C" w14:textId="77777777" w:rsidR="00AB4263" w:rsidRPr="000578E9" w:rsidRDefault="00AB4263" w:rsidP="00AB4263">
            <w:pPr>
              <w:pStyle w:val="ListParagraph"/>
              <w:spacing w:line="259" w:lineRule="auto"/>
              <w:ind w:left="1440"/>
              <w:rPr>
                <w:rFonts w:ascii="Times New Roman" w:hAnsi="Times New Roman" w:cs="Times New Roman"/>
                <w:noProof/>
                <w:sz w:val="24"/>
                <w:szCs w:val="24"/>
              </w:rPr>
            </w:pPr>
          </w:p>
          <w:p w14:paraId="7CD1E92D" w14:textId="77777777" w:rsidR="00D432B8" w:rsidRPr="000578E9" w:rsidRDefault="00D432B8" w:rsidP="00AB4263">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d’ici fin 2024, évaluera, dans le cadre du rapport sur la mise en œuvre du règlement relatif aux mesures techniques, la capture, la conservation, le transbordement, le débarquement et la vente d’espèces menacées d’extinction ou se trouvant dans un «état de conservation défavorable» au titre de la directive «Habitats»;</w:t>
            </w:r>
          </w:p>
          <w:p w14:paraId="1BEB4CA0" w14:textId="77777777" w:rsidR="007A1D26" w:rsidRPr="000578E9" w:rsidRDefault="007A1D26" w:rsidP="007A1D26">
            <w:pPr>
              <w:pStyle w:val="ListParagraph"/>
              <w:rPr>
                <w:rFonts w:ascii="Times New Roman" w:hAnsi="Times New Roman" w:cs="Times New Roman"/>
                <w:iCs/>
                <w:noProof/>
                <w:sz w:val="24"/>
                <w:szCs w:val="24"/>
              </w:rPr>
            </w:pPr>
          </w:p>
          <w:p w14:paraId="2CE7518B" w14:textId="77777777" w:rsidR="00310A2A" w:rsidRPr="000578E9" w:rsidRDefault="00310A2A" w:rsidP="00310A2A">
            <w:pPr>
              <w:pStyle w:val="ListParagraph"/>
              <w:numPr>
                <w:ilvl w:val="0"/>
                <w:numId w:val="20"/>
              </w:numPr>
              <w:rPr>
                <w:rFonts w:ascii="Times New Roman" w:eastAsiaTheme="minorEastAsia" w:hAnsi="Times New Roman" w:cs="Times New Roman"/>
                <w:iCs/>
                <w:noProof/>
                <w:sz w:val="24"/>
                <w:szCs w:val="24"/>
              </w:rPr>
            </w:pPr>
            <w:r w:rsidRPr="000578E9">
              <w:rPr>
                <w:rFonts w:ascii="Times New Roman" w:hAnsi="Times New Roman"/>
                <w:noProof/>
                <w:sz w:val="24"/>
              </w:rPr>
              <w:t xml:space="preserve">d’ici fin 2024, préparera l’adoption de règles de mise en œuvre au titre du règlement relatif aux mesures techniques pour: </w:t>
            </w:r>
          </w:p>
          <w:p w14:paraId="41301CE9" w14:textId="77777777" w:rsidR="00310A2A" w:rsidRPr="000578E9" w:rsidRDefault="00310A2A" w:rsidP="00310A2A">
            <w:pPr>
              <w:pStyle w:val="ListParagraph"/>
              <w:numPr>
                <w:ilvl w:val="1"/>
                <w:numId w:val="20"/>
              </w:numPr>
              <w:rPr>
                <w:rFonts w:ascii="Times New Roman" w:eastAsiaTheme="minorEastAsia" w:hAnsi="Times New Roman" w:cs="Times New Roman"/>
                <w:iCs/>
                <w:noProof/>
                <w:sz w:val="24"/>
                <w:szCs w:val="24"/>
              </w:rPr>
            </w:pPr>
            <w:r w:rsidRPr="000578E9">
              <w:rPr>
                <w:rFonts w:ascii="Times New Roman" w:hAnsi="Times New Roman"/>
                <w:noProof/>
                <w:sz w:val="24"/>
              </w:rPr>
              <w:t xml:space="preserve">améliorer la sélectivité des engins de pêche, </w:t>
            </w:r>
          </w:p>
          <w:p w14:paraId="6DD1E132" w14:textId="77777777" w:rsidR="00310A2A" w:rsidRPr="000578E9" w:rsidRDefault="00310A2A" w:rsidP="00310A2A">
            <w:pPr>
              <w:pStyle w:val="ListParagraph"/>
              <w:numPr>
                <w:ilvl w:val="1"/>
                <w:numId w:val="20"/>
              </w:numPr>
              <w:rPr>
                <w:rFonts w:ascii="Times New Roman" w:eastAsiaTheme="minorEastAsia" w:hAnsi="Times New Roman" w:cs="Times New Roman"/>
                <w:iCs/>
                <w:noProof/>
                <w:sz w:val="24"/>
                <w:szCs w:val="24"/>
              </w:rPr>
            </w:pPr>
            <w:r w:rsidRPr="000578E9">
              <w:rPr>
                <w:rFonts w:ascii="Times New Roman" w:hAnsi="Times New Roman"/>
                <w:noProof/>
                <w:sz w:val="24"/>
              </w:rPr>
              <w:t xml:space="preserve">élaborer des spécifications détaillées pour les dispositifs d’exclusion des tortues dans les chaluts de fond à crevettes dans les eaux de l’Union dans l’océan Indien et l’Atlantique Ouest, </w:t>
            </w:r>
          </w:p>
          <w:p w14:paraId="27B9311A" w14:textId="77777777" w:rsidR="00310A2A" w:rsidRPr="000578E9" w:rsidRDefault="00310A2A" w:rsidP="00310A2A">
            <w:pPr>
              <w:pStyle w:val="ListParagraph"/>
              <w:numPr>
                <w:ilvl w:val="1"/>
                <w:numId w:val="20"/>
              </w:numPr>
              <w:rPr>
                <w:rFonts w:ascii="Times New Roman" w:eastAsiaTheme="minorEastAsia" w:hAnsi="Times New Roman" w:cs="Times New Roman"/>
                <w:iCs/>
                <w:noProof/>
                <w:sz w:val="24"/>
                <w:szCs w:val="24"/>
              </w:rPr>
            </w:pPr>
            <w:r w:rsidRPr="000578E9">
              <w:rPr>
                <w:rFonts w:ascii="Times New Roman" w:hAnsi="Times New Roman"/>
                <w:noProof/>
                <w:sz w:val="24"/>
              </w:rPr>
              <w:t>établir des règles relatives aux lignes d’effarouchement des oiseaux et aux lignes lestées dans tous les bassins maritimes;</w:t>
            </w:r>
          </w:p>
          <w:p w14:paraId="069D88B1" w14:textId="77777777" w:rsidR="00AB4263" w:rsidRPr="000578E9" w:rsidRDefault="00AB4263" w:rsidP="00AB4263">
            <w:pPr>
              <w:pStyle w:val="ListParagraph"/>
              <w:rPr>
                <w:rFonts w:eastAsiaTheme="minorEastAsia"/>
                <w:iCs/>
                <w:noProof/>
                <w:szCs w:val="24"/>
              </w:rPr>
            </w:pPr>
          </w:p>
          <w:p w14:paraId="6491A466" w14:textId="77777777" w:rsidR="00A96375" w:rsidRPr="000578E9" w:rsidRDefault="00B44293" w:rsidP="00231AA0">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dès que des valeurs seuils seront prévues au titre de la DCSMM, utilisera les outils de la PCP</w:t>
            </w:r>
            <w:r w:rsidRPr="000578E9">
              <w:rPr>
                <w:rStyle w:val="FootnoteReference"/>
                <w:rFonts w:ascii="Times New Roman" w:eastAsiaTheme="minorEastAsia" w:hAnsi="Times New Roman" w:cs="Times New Roman"/>
                <w:iCs/>
                <w:noProof/>
                <w:sz w:val="24"/>
                <w:szCs w:val="24"/>
              </w:rPr>
              <w:footnoteReference w:id="44"/>
            </w:r>
            <w:r w:rsidRPr="000578E9">
              <w:rPr>
                <w:rFonts w:ascii="Times New Roman" w:hAnsi="Times New Roman"/>
                <w:noProof/>
                <w:sz w:val="24"/>
              </w:rPr>
              <w:t xml:space="preserve"> pour proposer des limites pour les captures accidentelles des espèces couvertes par les valeurs seuils.</w:t>
            </w:r>
          </w:p>
        </w:tc>
      </w:tr>
    </w:tbl>
    <w:p w14:paraId="7AB5F74A" w14:textId="77777777" w:rsidR="00FD1F07" w:rsidRPr="000578E9" w:rsidRDefault="00FD1F07" w:rsidP="00300C94">
      <w:pPr>
        <w:pStyle w:val="Text2"/>
        <w:ind w:left="0"/>
        <w:rPr>
          <w:i/>
          <w:iCs/>
          <w:noProof/>
        </w:rPr>
      </w:pPr>
    </w:p>
    <w:p w14:paraId="31DCD396" w14:textId="77777777" w:rsidR="00300C94" w:rsidRPr="000578E9" w:rsidRDefault="00D878A5" w:rsidP="00300C94">
      <w:pPr>
        <w:pStyle w:val="Text2"/>
        <w:ind w:left="0"/>
        <w:rPr>
          <w:i/>
          <w:iCs/>
          <w:noProof/>
        </w:rPr>
      </w:pPr>
      <w:r w:rsidRPr="000578E9">
        <w:rPr>
          <w:i/>
          <w:noProof/>
        </w:rPr>
        <w:t>Réduire l’incidence de la pêche sur les fonds marins</w:t>
      </w:r>
    </w:p>
    <w:p w14:paraId="7FADE526" w14:textId="77777777" w:rsidR="008A41C6" w:rsidRPr="000578E9" w:rsidRDefault="008A41C6" w:rsidP="008A41C6">
      <w:pPr>
        <w:pStyle w:val="Text2"/>
        <w:ind w:left="0"/>
        <w:rPr>
          <w:noProof/>
        </w:rPr>
      </w:pPr>
      <w:r w:rsidRPr="000578E9">
        <w:rPr>
          <w:noProof/>
        </w:rPr>
        <w:t>Les habitats de fonds marins sains constituent un élément essentiel des écosystèmes marins sains. Leur riche biodiversité fournit des zones de croissance et de frai pour de nombreuses espèces et contribue au maintien de la structure et du fonctionnement des réseaux trophiques marins, ainsi qu’à la régulation du climat.</w:t>
      </w:r>
    </w:p>
    <w:p w14:paraId="4D3CE3D5" w14:textId="77777777" w:rsidR="00A925A3" w:rsidRPr="000578E9" w:rsidRDefault="008A41C6" w:rsidP="001E2E11">
      <w:pPr>
        <w:spacing w:after="120"/>
        <w:rPr>
          <w:noProof/>
        </w:rPr>
      </w:pPr>
      <w:r w:rsidRPr="000578E9">
        <w:rPr>
          <w:noProof/>
        </w:rPr>
        <w:t>La pêche à l’aide de certains engins de fond mobiles (pêche de fond mobile)</w:t>
      </w:r>
      <w:r w:rsidRPr="000578E9">
        <w:rPr>
          <w:rStyle w:val="FootnoteReference"/>
          <w:noProof/>
        </w:rPr>
        <w:footnoteReference w:id="45"/>
      </w:r>
      <w:r w:rsidRPr="000578E9">
        <w:rPr>
          <w:noProof/>
        </w:rPr>
        <w:t>, en particulier le chalutage de fond, fait partie des activités les plus répandues et les plus préjudiciables aux fonds marins et aux habitats connexes</w:t>
      </w:r>
      <w:r w:rsidRPr="000578E9">
        <w:rPr>
          <w:rStyle w:val="FootnoteReference"/>
          <w:noProof/>
        </w:rPr>
        <w:footnoteReference w:id="46"/>
      </w:r>
      <w:r w:rsidRPr="000578E9">
        <w:rPr>
          <w:noProof/>
        </w:rPr>
        <w:t>. À l’heure actuelle, 79 % des fonds marins côtiers sont considérés comme étant physiquement perturbés, principalement par le chalutage de fond, et un quart des zones côtières de l’Union européenne ont probablement perdu leurs habitats de fonds marins</w:t>
      </w:r>
      <w:r w:rsidRPr="000578E9">
        <w:rPr>
          <w:rStyle w:val="FootnoteReference"/>
          <w:noProof/>
        </w:rPr>
        <w:footnoteReference w:id="47"/>
      </w:r>
      <w:r w:rsidRPr="000578E9">
        <w:rPr>
          <w:noProof/>
        </w:rPr>
        <w:t>.</w:t>
      </w:r>
      <w:r w:rsidRPr="000578E9">
        <w:rPr>
          <w:rStyle w:val="normaltextrun"/>
          <w:noProof/>
          <w:color w:val="000000"/>
          <w:shd w:val="clear" w:color="auto" w:fill="FFFFFF"/>
        </w:rPr>
        <w:t xml:space="preserve"> </w:t>
      </w:r>
      <w:r w:rsidRPr="000578E9">
        <w:rPr>
          <w:noProof/>
        </w:rPr>
        <w:t>Dans les zones où la pêche est le plus intense, la pêche au chalut est pratiquée plus de dix fois par an</w:t>
      </w:r>
      <w:r w:rsidRPr="000578E9">
        <w:rPr>
          <w:rStyle w:val="FootnoteReference"/>
          <w:noProof/>
        </w:rPr>
        <w:footnoteReference w:id="48"/>
      </w:r>
      <w:r w:rsidRPr="000578E9">
        <w:rPr>
          <w:noProof/>
        </w:rPr>
        <w:t>.</w:t>
      </w:r>
    </w:p>
    <w:p w14:paraId="33FD3420" w14:textId="77777777" w:rsidR="004B2F26" w:rsidRPr="000578E9" w:rsidRDefault="0085126B" w:rsidP="00BC723F">
      <w:pPr>
        <w:spacing w:after="120"/>
        <w:rPr>
          <w:noProof/>
        </w:rPr>
      </w:pPr>
      <w:r w:rsidRPr="000578E9">
        <w:rPr>
          <w:noProof/>
        </w:rPr>
        <w:t>Nos mers et océans constituent un important puits de carbone naturel, en particulier les sédiments océaniques. L’importance du stockage et du maintien du carbone bleu dans les habitats marins pour lutter contre le changement climatique est de plus en plus reconnue</w:t>
      </w:r>
      <w:r w:rsidRPr="000578E9">
        <w:rPr>
          <w:rStyle w:val="FootnoteReference"/>
          <w:noProof/>
        </w:rPr>
        <w:footnoteReference w:id="49"/>
      </w:r>
      <w:r w:rsidRPr="000578E9">
        <w:rPr>
          <w:noProof/>
        </w:rPr>
        <w:t>. Bien que les réserves de carbone marines soient toujours moins bien comprises que les réserves terrestres, des données récentes</w:t>
      </w:r>
      <w:r w:rsidRPr="000578E9">
        <w:rPr>
          <w:rStyle w:val="FootnoteReference"/>
          <w:noProof/>
        </w:rPr>
        <w:footnoteReference w:id="50"/>
      </w:r>
      <w:r w:rsidRPr="000578E9">
        <w:rPr>
          <w:noProof/>
        </w:rPr>
        <w:t xml:space="preserve"> laissent penser que la perturbation des sédiments des fonds marins a une incidence directe sur leur capacité à stocker le carbone.</w:t>
      </w:r>
    </w:p>
    <w:p w14:paraId="13C58FFC" w14:textId="77777777" w:rsidR="008A41C6" w:rsidRPr="000578E9" w:rsidRDefault="00CC53BE" w:rsidP="008A41C6">
      <w:pPr>
        <w:pStyle w:val="Text2"/>
        <w:ind w:left="0"/>
        <w:rPr>
          <w:noProof/>
        </w:rPr>
      </w:pPr>
      <w:r w:rsidRPr="000578E9">
        <w:rPr>
          <w:noProof/>
        </w:rPr>
        <w:t>Toutefois, la biodiversité des fonds marins peut se rétablir si on diminue la pression, par exemple en réduisant la pêche de fond mobile</w:t>
      </w:r>
      <w:r w:rsidRPr="000578E9">
        <w:rPr>
          <w:rStyle w:val="FootnoteReference"/>
          <w:noProof/>
        </w:rPr>
        <w:footnoteReference w:id="51"/>
      </w:r>
      <w:r w:rsidRPr="000578E9">
        <w:rPr>
          <w:noProof/>
        </w:rPr>
        <w:t>. Cela apporte des avantages considérables pour les écosystèmes et la société, y compris pour la pêche, grâce à la reconstitution de stocks halieutiques et à l’augmentation de la biomasse halieutique, et contribue à éviter la dégradation du milieu marin.</w:t>
      </w:r>
    </w:p>
    <w:p w14:paraId="1D3180A7" w14:textId="77777777" w:rsidR="008A603F" w:rsidRPr="000578E9" w:rsidRDefault="53B02970" w:rsidP="00EB54A9">
      <w:pPr>
        <w:rPr>
          <w:noProof/>
        </w:rPr>
      </w:pPr>
      <w:r w:rsidRPr="000578E9">
        <w:rPr>
          <w:noProof/>
        </w:rPr>
        <w:t>Le droit de l’Union exige déjà la protection et la restauration des fonds marins. La législation environnementale impose aux États membres de prendre des mesures pour protéger les fonds marins afin de parvenir à un «bon état écologique» des eaux de l’Union européenne</w:t>
      </w:r>
      <w:r w:rsidRPr="000578E9">
        <w:rPr>
          <w:rStyle w:val="FootnoteReference"/>
          <w:noProof/>
        </w:rPr>
        <w:footnoteReference w:id="52"/>
      </w:r>
      <w:r w:rsidRPr="000578E9">
        <w:rPr>
          <w:noProof/>
        </w:rPr>
        <w:t xml:space="preserve">. Ils doivent également prendre les mesures nécessaires dans les sites marins Natura 2000 afin de contribuer à la réalisation ou au maintien d’un «état de conservation favorable» de certains habitats des fonds marins. </w:t>
      </w:r>
    </w:p>
    <w:p w14:paraId="0F2152CC" w14:textId="77777777" w:rsidR="0094705C" w:rsidRPr="000578E9" w:rsidRDefault="005826BF" w:rsidP="00EB54A9">
      <w:pPr>
        <w:rPr>
          <w:rStyle w:val="normaltextrun"/>
          <w:noProof/>
          <w:color w:val="000000" w:themeColor="text1"/>
        </w:rPr>
      </w:pPr>
      <w:r w:rsidRPr="000578E9">
        <w:rPr>
          <w:noProof/>
        </w:rPr>
        <w:t xml:space="preserve">Les outils de gestion de la pêche interdisent </w:t>
      </w:r>
      <w:r w:rsidRPr="000578E9">
        <w:rPr>
          <w:rStyle w:val="normaltextrun"/>
          <w:noProof/>
          <w:color w:val="000000"/>
          <w:shd w:val="clear" w:color="auto" w:fill="FFFFFF"/>
        </w:rPr>
        <w:t xml:space="preserve">la pêche de fond mobile </w:t>
      </w:r>
      <w:r w:rsidRPr="000578E9">
        <w:rPr>
          <w:rStyle w:val="normaltextrun"/>
          <w:noProof/>
          <w:color w:val="000000" w:themeColor="text1"/>
        </w:rPr>
        <w:t>en mer Méditerranée dans les zones côtières étroites et de plus de 1 000 mètres de profondeur et, dans l’Atlantique, ils interdisent le chalutage de fond à plus de 800 mètres de profondeur,</w:t>
      </w:r>
      <w:r w:rsidRPr="000578E9">
        <w:rPr>
          <w:noProof/>
        </w:rPr>
        <w:t xml:space="preserve"> </w:t>
      </w:r>
      <w:r w:rsidRPr="000578E9">
        <w:rPr>
          <w:rStyle w:val="normaltextrun"/>
          <w:noProof/>
          <w:color w:val="000000" w:themeColor="text1"/>
        </w:rPr>
        <w:t>avec une fermeture à la pêche de fond de 16 419 km</w:t>
      </w:r>
      <w:r w:rsidRPr="000578E9">
        <w:rPr>
          <w:rStyle w:val="normaltextrun"/>
          <w:noProof/>
          <w:color w:val="000000" w:themeColor="text1"/>
          <w:vertAlign w:val="superscript"/>
        </w:rPr>
        <w:t>2</w:t>
      </w:r>
      <w:r w:rsidRPr="000578E9">
        <w:rPr>
          <w:rStyle w:val="normaltextrun"/>
          <w:noProof/>
          <w:color w:val="000000" w:themeColor="text1"/>
        </w:rPr>
        <w:t xml:space="preserve"> d’écosystèmes marins vulnérables</w:t>
      </w:r>
      <w:r w:rsidRPr="000578E9">
        <w:rPr>
          <w:rStyle w:val="FootnoteReference"/>
          <w:noProof/>
          <w:color w:val="000000" w:themeColor="text1"/>
        </w:rPr>
        <w:footnoteReference w:id="53"/>
      </w:r>
      <w:r w:rsidRPr="000578E9">
        <w:rPr>
          <w:rStyle w:val="normaltextrun"/>
          <w:noProof/>
          <w:color w:val="000000" w:themeColor="text1"/>
        </w:rPr>
        <w:t>. La pêche de fond est encore davantage restreinte dans les zones particulièrement sensibles, au moyen d’une série</w:t>
      </w:r>
      <w:r w:rsidRPr="000578E9">
        <w:rPr>
          <w:rStyle w:val="normaltextrun"/>
          <w:noProof/>
          <w:color w:val="000000"/>
          <w:shd w:val="clear" w:color="auto" w:fill="FFFFFF"/>
        </w:rPr>
        <w:t xml:space="preserve"> de mesures et de réglementations</w:t>
      </w:r>
      <w:r w:rsidRPr="000578E9">
        <w:rPr>
          <w:rStyle w:val="FootnoteReference"/>
          <w:noProof/>
          <w:color w:val="000000"/>
          <w:shd w:val="clear" w:color="auto" w:fill="FFFFFF"/>
        </w:rPr>
        <w:footnoteReference w:id="54"/>
      </w:r>
      <w:r w:rsidRPr="000578E9">
        <w:rPr>
          <w:rStyle w:val="normaltextrun"/>
          <w:noProof/>
          <w:color w:val="000000" w:themeColor="text1"/>
        </w:rPr>
        <w:t xml:space="preserve">. </w:t>
      </w:r>
    </w:p>
    <w:p w14:paraId="0C722492" w14:textId="77777777" w:rsidR="004B2F26" w:rsidRPr="000578E9" w:rsidRDefault="053937D5" w:rsidP="00EB54A9">
      <w:pPr>
        <w:rPr>
          <w:noProof/>
        </w:rPr>
      </w:pPr>
      <w:r w:rsidRPr="000578E9">
        <w:rPr>
          <w:noProof/>
        </w:rPr>
        <w:t>En outre, certains États membres ont pris des mesures pour interdire ou restreindre la pêche de fond dans certaines zones au moyen de mesures nationales et de la soumission de recommandations communes au titre de la PCP</w:t>
      </w:r>
      <w:r w:rsidRPr="000578E9">
        <w:rPr>
          <w:rStyle w:val="FootnoteReference"/>
          <w:noProof/>
        </w:rPr>
        <w:footnoteReference w:id="55"/>
      </w:r>
      <w:r w:rsidRPr="000578E9">
        <w:rPr>
          <w:noProof/>
        </w:rPr>
        <w:t>, sur la base desquelles des règlements délégués peuvent être adoptés. En novembre 2022, sur la base d’une proposition de l’Union européenne, la CGPM a décidé d’analyser l’incidence potentielle d’une modification des limites de profondeur des restrictions de pêche actuelles à des profondeurs comprises entre 600 et 800 mètres, en vue d'imposer éventuellement des restrictions dans des eaux moins profondes.</w:t>
      </w:r>
    </w:p>
    <w:p w14:paraId="11F19AF5" w14:textId="77777777" w:rsidR="000E64B7" w:rsidRPr="000578E9" w:rsidRDefault="0094705C" w:rsidP="008A41C6">
      <w:pPr>
        <w:pStyle w:val="Text2"/>
        <w:ind w:left="0"/>
        <w:rPr>
          <w:noProof/>
        </w:rPr>
      </w:pPr>
      <w:r w:rsidRPr="000578E9">
        <w:rPr>
          <w:noProof/>
        </w:rPr>
        <w:t>Néanmoins, dans l’ensemble, la pêche de fond mobile reste répandue dans les eaux de l’Union. Par exemple, dans l’Atlantique du Nord-Est, elle a lieu dans 80 à 90 % des zones où il est possible de pêcher</w:t>
      </w:r>
      <w:r w:rsidRPr="000578E9">
        <w:rPr>
          <w:rStyle w:val="FootnoteReference"/>
          <w:noProof/>
        </w:rPr>
        <w:footnoteReference w:id="56"/>
      </w:r>
      <w:r w:rsidRPr="000578E9">
        <w:rPr>
          <w:noProof/>
        </w:rPr>
        <w:t>, y compris dans de nombreux sites Natura 2000 et autres ZMP. Cela compromet la réalisation des objectifs mondiaux de conservation fixés par la convention sur la diversité biologique</w:t>
      </w:r>
      <w:r w:rsidRPr="000578E9">
        <w:rPr>
          <w:rStyle w:val="FootnoteReference"/>
          <w:noProof/>
        </w:rPr>
        <w:footnoteReference w:id="57"/>
      </w:r>
      <w:r w:rsidRPr="000578E9">
        <w:rPr>
          <w:noProof/>
        </w:rPr>
        <w:t xml:space="preserve"> et risque de menacer les progrès en matière d’atténuation du changement climatique. </w:t>
      </w:r>
    </w:p>
    <w:p w14:paraId="7CD25908" w14:textId="77777777" w:rsidR="00BB334F" w:rsidRPr="000578E9" w:rsidRDefault="739E13AF" w:rsidP="008A41C6">
      <w:pPr>
        <w:pStyle w:val="Text2"/>
        <w:ind w:left="0"/>
        <w:rPr>
          <w:noProof/>
        </w:rPr>
      </w:pPr>
      <w:r w:rsidRPr="000578E9">
        <w:rPr>
          <w:noProof/>
        </w:rPr>
        <w:t>L’incidence de la pêche de fond mobile sur le milieu marin met également en péril la durabilité de la pêche et la disponibilité de poissons à moyen et long termes. Non seulement ce type de pêche nuit aux écosystèmes dont ces pêcheries dépendent, mais il consomme aussi énormément de carburant, générant ainsi des coûts considérables pour le secteur et une empreinte carbone particulièrement élevée</w:t>
      </w:r>
      <w:r w:rsidRPr="000578E9">
        <w:rPr>
          <w:rStyle w:val="FootnoteReference"/>
          <w:noProof/>
        </w:rPr>
        <w:footnoteReference w:id="58"/>
      </w:r>
      <w:r w:rsidRPr="000578E9">
        <w:rPr>
          <w:noProof/>
        </w:rPr>
        <w:t>. Par nature, la pêche de fond mobile fait partie des méthodes de pêche les moins sélectives et produit des quantités disproportionnées de captures indésirées</w:t>
      </w:r>
      <w:r w:rsidRPr="000578E9">
        <w:rPr>
          <w:rStyle w:val="FootnoteReference"/>
          <w:noProof/>
        </w:rPr>
        <w:footnoteReference w:id="59"/>
      </w:r>
      <w:r w:rsidRPr="000578E9">
        <w:rPr>
          <w:noProof/>
        </w:rPr>
        <w:t xml:space="preserve"> et de rejets. Les rejets sont particulièrement préoccupants, d’autant plus que l’Union cherche à réduire le gaspillage alimentaire</w:t>
      </w:r>
      <w:r w:rsidRPr="000578E9">
        <w:rPr>
          <w:rStyle w:val="FootnoteReference"/>
          <w:noProof/>
        </w:rPr>
        <w:footnoteReference w:id="60"/>
      </w:r>
      <w:r w:rsidRPr="000578E9">
        <w:rPr>
          <w:noProof/>
        </w:rPr>
        <w:t>, qui est une question très pertinente dans le débat plus vaste sur la sécurité alimentaire mondiale.</w:t>
      </w:r>
    </w:p>
    <w:p w14:paraId="2CAE724E" w14:textId="77777777" w:rsidR="00E56839" w:rsidRPr="000578E9" w:rsidRDefault="00C82B1A" w:rsidP="008A41C6">
      <w:pPr>
        <w:pStyle w:val="Text2"/>
        <w:ind w:left="0"/>
        <w:rPr>
          <w:noProof/>
        </w:rPr>
      </w:pPr>
      <w:r w:rsidRPr="000578E9">
        <w:rPr>
          <w:noProof/>
        </w:rPr>
        <w:t>Il est nécessaire d’agir avec détermination pour protéger et restaurer les fonds marins, y compris en abandonnant la pêche de fond mobile, tout en veillant à ce que cette technique ne soit pas remplacée par des solutions équivalentes ou pires. Il est urgent de protéger et de restaurer les habitats des fonds marins dans les ZMP, compte tenu notamment de leur importance en tant que points chauds de la biodiversité marine de l’Union européenne, de leur capacité à contribuer à l’augmentation des stocks halieutiques et des obligations juridiques qui existent depuis longtemps en vue de leur gestion efficace.</w:t>
      </w:r>
    </w:p>
    <w:p w14:paraId="3B63F17A" w14:textId="77777777" w:rsidR="00560D26" w:rsidRPr="000578E9" w:rsidRDefault="00E0255B" w:rsidP="00F177EB">
      <w:pPr>
        <w:pStyle w:val="Text2"/>
        <w:ind w:left="0"/>
        <w:rPr>
          <w:noProof/>
        </w:rPr>
      </w:pPr>
      <w:r w:rsidRPr="000578E9">
        <w:rPr>
          <w:noProof/>
        </w:rPr>
        <w:t xml:space="preserve">Pour atteindre les objectifs de la stratégie de l’Union en faveur de la biodiversité consistant à protéger 30 % des mers de l’Union, la Commission invite les États membres à utiliser pleinement les outils de la PCP disponibles et à supprimer progressivement la pêche de fond mobile dans toutes les ZMP d’ici 2030 au plus tard. Pour commencer, les États membres devraient, d’ici la fin du mois de mars 2024, adopter des mesures nationales ou, le cas échéant, proposer des recommandations communes aux groupes régionaux afin d’interdire la pêche de fond mobile dans les ZMP qui sont des sites Natura 2000 désignés au titre de la directive «Habitats» et qui protègent les fonds marins et les espèces marines. En outre, la pêche de fond mobile ne devrait être autorisée dans aucune nouvelle ZMP. </w:t>
      </w:r>
    </w:p>
    <w:p w14:paraId="0433B8AE" w14:textId="77777777" w:rsidR="00C57919" w:rsidRPr="000578E9" w:rsidRDefault="00560D26" w:rsidP="00F177EB">
      <w:pPr>
        <w:pStyle w:val="Text2"/>
        <w:ind w:left="0"/>
        <w:rPr>
          <w:noProof/>
          <w:szCs w:val="24"/>
        </w:rPr>
      </w:pPr>
      <w:r w:rsidRPr="000578E9">
        <w:rPr>
          <w:noProof/>
        </w:rPr>
        <w:t xml:space="preserve">Sur la base des résultats des engagements présentés par les États membres pour atteindre l’objectif de la stratégie en faveur de la biodiversité consistant à protéger au moins 30 % des mers de l’Union, les États membres devraient suivre les avis scientifiques et tenir compte de l’effet global des mesures sur l’écosystème marin dans les décisions en matière de gestion de la pêche. En particulier, ils doivent éviter de provoquer des changements dans les pratiques de pêche susceptibles de causer des dommages, tels qu’une incidence accrue sur les écosystèmes marins ou les espèces sensibles causée par d’autres types d’engins de pêche. </w:t>
      </w:r>
    </w:p>
    <w:p w14:paraId="4F409924" w14:textId="77777777" w:rsidR="007C7227" w:rsidRPr="000578E9" w:rsidRDefault="007C7227" w:rsidP="006A6ADC">
      <w:pPr>
        <w:pStyle w:val="Text2"/>
        <w:ind w:left="0"/>
        <w:rPr>
          <w:noProof/>
        </w:rPr>
      </w:pPr>
      <w:r w:rsidRPr="000578E9">
        <w:rPr>
          <w:noProof/>
        </w:rPr>
        <w:t>Avec la mise au point d’outils plus innovants conçus pour limiter les incidences de ces types d’engins de pêche, il est essentiel de poursuivre les discussions avec le secteur afin d’encourager davantage l’innovation et l’adoption de nouvelles solutions sur le terrain. C’est également important pour veiller à ce que les mesures prises restent adaptées à leur finalité et en phase avec les progrès technologiques.</w:t>
      </w:r>
    </w:p>
    <w:p w14:paraId="7C3FE12D" w14:textId="77777777" w:rsidR="00493B4D" w:rsidRPr="000578E9" w:rsidRDefault="00AE24F9" w:rsidP="006A6ADC">
      <w:pPr>
        <w:pStyle w:val="Text2"/>
        <w:ind w:left="0"/>
        <w:rPr>
          <w:noProof/>
        </w:rPr>
      </w:pPr>
      <w:r w:rsidRPr="000578E9">
        <w:rPr>
          <w:noProof/>
        </w:rPr>
        <w:t>Conformément aux objectifs de la DCSMM et à la proposition de législation sur la restauration de la nature, les fonds marins doivent également être protégés et restaurés en dehors des ZMP. À cette fin, les États membres devraient rapidement approuver et mettre en œuvre les valeurs seuils pour l’intégrité des fonds marins, qui sont actuellement en cours d’élaboration au titre de la DCSMM.</w:t>
      </w:r>
    </w:p>
    <w:tbl>
      <w:tblPr>
        <w:tblStyle w:val="TableGrid"/>
        <w:tblW w:w="0" w:type="auto"/>
        <w:tblInd w:w="0" w:type="dxa"/>
        <w:tblLook w:val="04A0" w:firstRow="1" w:lastRow="0" w:firstColumn="1" w:lastColumn="0" w:noHBand="0" w:noVBand="1"/>
      </w:tblPr>
      <w:tblGrid>
        <w:gridCol w:w="8608"/>
      </w:tblGrid>
      <w:tr w:rsidR="006A6ADC" w:rsidRPr="000578E9" w14:paraId="4B112B4D" w14:textId="77777777" w:rsidTr="77480721">
        <w:tc>
          <w:tcPr>
            <w:tcW w:w="8608" w:type="dxa"/>
          </w:tcPr>
          <w:p w14:paraId="39AE7927" w14:textId="77777777" w:rsidR="006A6ADC" w:rsidRPr="000578E9" w:rsidRDefault="006A6ADC" w:rsidP="006A6ADC">
            <w:pPr>
              <w:pStyle w:val="Text2"/>
              <w:ind w:left="0"/>
              <w:rPr>
                <w:rFonts w:ascii="Times New Roman" w:hAnsi="Times New Roman" w:cs="Times New Roman"/>
                <w:b/>
                <w:noProof/>
                <w:sz w:val="24"/>
                <w:szCs w:val="24"/>
              </w:rPr>
            </w:pPr>
            <w:r w:rsidRPr="000578E9">
              <w:rPr>
                <w:rFonts w:ascii="Times New Roman" w:hAnsi="Times New Roman"/>
                <w:b/>
                <w:noProof/>
                <w:sz w:val="24"/>
              </w:rPr>
              <w:t>Action visant à réduire l’incidence de la pêche sur les fonds marins</w:t>
            </w:r>
          </w:p>
          <w:p w14:paraId="756AA61B" w14:textId="77777777" w:rsidR="00B05A39" w:rsidRPr="000578E9" w:rsidRDefault="00493B4D" w:rsidP="00B05A39">
            <w:pPr>
              <w:rPr>
                <w:rFonts w:ascii="Times New Roman" w:hAnsi="Times New Roman" w:cs="Times New Roman"/>
                <w:bCs/>
                <w:iCs/>
                <w:noProof/>
                <w:sz w:val="24"/>
                <w:szCs w:val="24"/>
                <w:u w:val="single"/>
              </w:rPr>
            </w:pPr>
            <w:r w:rsidRPr="000578E9">
              <w:rPr>
                <w:rFonts w:ascii="Times New Roman" w:hAnsi="Times New Roman"/>
                <w:noProof/>
                <w:sz w:val="24"/>
                <w:u w:val="single"/>
              </w:rPr>
              <w:t>La Commission invite les États membres à prendre les mesures suivantes:</w:t>
            </w:r>
          </w:p>
          <w:p w14:paraId="17734AF4" w14:textId="77777777" w:rsidR="00E5479F" w:rsidRPr="000578E9" w:rsidRDefault="00E5479F" w:rsidP="00E5479F">
            <w:pPr>
              <w:pStyle w:val="ListParagraph"/>
              <w:numPr>
                <w:ilvl w:val="0"/>
                <w:numId w:val="21"/>
              </w:numPr>
              <w:spacing w:after="120"/>
              <w:rPr>
                <w:rFonts w:ascii="Times New Roman" w:hAnsi="Times New Roman" w:cs="Times New Roman"/>
                <w:noProof/>
                <w:sz w:val="24"/>
                <w:szCs w:val="24"/>
              </w:rPr>
            </w:pPr>
            <w:r w:rsidRPr="000578E9">
              <w:rPr>
                <w:rFonts w:ascii="Times New Roman" w:hAnsi="Times New Roman"/>
                <w:noProof/>
                <w:sz w:val="24"/>
              </w:rPr>
              <w:t>d’ici la mi-2023, achever l’adoption de valeurs seuils pour l’étendue maximale des fonds marins pouvant être perdus ou mis à mal par les pressions humaines, dans le cadre de la stratégie de mise en œuvre commune de la DCSMM</w:t>
            </w:r>
            <w:r w:rsidRPr="000578E9">
              <w:rPr>
                <w:rStyle w:val="FootnoteReference"/>
                <w:rFonts w:ascii="Times New Roman" w:hAnsi="Times New Roman" w:cs="Times New Roman"/>
                <w:noProof/>
                <w:sz w:val="24"/>
                <w:szCs w:val="24"/>
              </w:rPr>
              <w:footnoteReference w:id="61"/>
            </w:r>
            <w:r w:rsidRPr="000578E9">
              <w:rPr>
                <w:rFonts w:ascii="Times New Roman" w:hAnsi="Times New Roman"/>
                <w:noProof/>
                <w:sz w:val="24"/>
              </w:rPr>
              <w:t>. Ils devraient, sans délai, adopter des mesures nationales ou, le cas échéant, soumettre des recommandations communes en vue de la mise en œuvre de ces valeurs seuils;</w:t>
            </w:r>
          </w:p>
          <w:p w14:paraId="3D0F30E8" w14:textId="77777777" w:rsidR="004901A0" w:rsidRPr="000578E9" w:rsidRDefault="004901A0" w:rsidP="004901A0">
            <w:pPr>
              <w:pStyle w:val="ListParagraph"/>
              <w:rPr>
                <w:rFonts w:ascii="Times New Roman" w:hAnsi="Times New Roman" w:cs="Times New Roman"/>
                <w:noProof/>
                <w:sz w:val="24"/>
                <w:szCs w:val="24"/>
              </w:rPr>
            </w:pPr>
          </w:p>
          <w:p w14:paraId="0AD40BF3" w14:textId="77777777" w:rsidR="00C94E6E" w:rsidRPr="000578E9" w:rsidRDefault="00962C95" w:rsidP="004901A0">
            <w:pPr>
              <w:pStyle w:val="ListParagraph"/>
              <w:numPr>
                <w:ilvl w:val="0"/>
                <w:numId w:val="21"/>
              </w:numPr>
              <w:spacing w:after="0"/>
              <w:rPr>
                <w:rFonts w:ascii="Times New Roman" w:hAnsi="Times New Roman" w:cs="Times New Roman"/>
                <w:noProof/>
                <w:sz w:val="24"/>
                <w:szCs w:val="24"/>
              </w:rPr>
            </w:pPr>
            <w:r w:rsidRPr="000578E9">
              <w:rPr>
                <w:rFonts w:ascii="Times New Roman" w:hAnsi="Times New Roman"/>
                <w:noProof/>
                <w:sz w:val="24"/>
              </w:rPr>
              <w:t xml:space="preserve">d’ici la fin du mois de mars 2024, </w:t>
            </w:r>
          </w:p>
          <w:p w14:paraId="03DB30B0" w14:textId="77777777" w:rsidR="00C94E6E" w:rsidRPr="000578E9" w:rsidRDefault="00C94E6E" w:rsidP="00483CB2">
            <w:pPr>
              <w:pStyle w:val="ListParagraph"/>
              <w:rPr>
                <w:noProof/>
                <w:szCs w:val="24"/>
              </w:rPr>
            </w:pPr>
          </w:p>
          <w:p w14:paraId="0AE78763" w14:textId="77777777" w:rsidR="004901A0" w:rsidRPr="000578E9" w:rsidRDefault="004901A0" w:rsidP="00483CB2">
            <w:pPr>
              <w:pStyle w:val="ListParagraph"/>
              <w:numPr>
                <w:ilvl w:val="1"/>
                <w:numId w:val="21"/>
              </w:numPr>
              <w:spacing w:after="0"/>
              <w:rPr>
                <w:rFonts w:ascii="Times New Roman" w:hAnsi="Times New Roman" w:cs="Times New Roman"/>
                <w:noProof/>
                <w:sz w:val="24"/>
                <w:szCs w:val="24"/>
              </w:rPr>
            </w:pPr>
            <w:r w:rsidRPr="000578E9">
              <w:rPr>
                <w:rFonts w:ascii="Times New Roman" w:hAnsi="Times New Roman"/>
                <w:noProof/>
                <w:sz w:val="24"/>
              </w:rPr>
              <w:t xml:space="preserve">adopter des mesures nationales ou, le cas échéant, proposer des recommandations communes aux groupes régionaux afin d’interdire la pêche de fond mobile dans les ZMP qui sont des sites Natura 2000 désignés au titre de la directive «Habitats» et </w:t>
            </w:r>
            <w:bookmarkStart w:id="17" w:name="_Hlk123742340"/>
            <w:r w:rsidRPr="000578E9">
              <w:rPr>
                <w:rFonts w:ascii="Times New Roman" w:hAnsi="Times New Roman"/>
                <w:noProof/>
                <w:sz w:val="24"/>
              </w:rPr>
              <w:t>qui protègent les fonds marins et les espèces marines</w:t>
            </w:r>
            <w:bookmarkEnd w:id="17"/>
            <w:r w:rsidRPr="000578E9">
              <w:rPr>
                <w:rFonts w:ascii="Times New Roman" w:hAnsi="Times New Roman"/>
                <w:noProof/>
                <w:sz w:val="24"/>
              </w:rPr>
              <w:t>;</w:t>
            </w:r>
          </w:p>
          <w:p w14:paraId="6F41A453" w14:textId="77777777" w:rsidR="00C94E6E" w:rsidRPr="000578E9" w:rsidRDefault="00C94E6E" w:rsidP="00483CB2">
            <w:pPr>
              <w:pStyle w:val="ListParagraph"/>
              <w:spacing w:after="0"/>
              <w:ind w:left="1440"/>
              <w:rPr>
                <w:rFonts w:ascii="Times New Roman" w:hAnsi="Times New Roman" w:cs="Times New Roman"/>
                <w:noProof/>
                <w:sz w:val="24"/>
                <w:szCs w:val="24"/>
              </w:rPr>
            </w:pPr>
          </w:p>
          <w:p w14:paraId="4449E94E" w14:textId="77777777" w:rsidR="000630DB" w:rsidRPr="000578E9" w:rsidRDefault="00560D26" w:rsidP="00A104DD">
            <w:pPr>
              <w:pStyle w:val="ListParagraph"/>
              <w:numPr>
                <w:ilvl w:val="1"/>
                <w:numId w:val="21"/>
              </w:numPr>
              <w:spacing w:after="0"/>
              <w:rPr>
                <w:rFonts w:ascii="Times New Roman" w:hAnsi="Times New Roman" w:cs="Times New Roman"/>
                <w:noProof/>
                <w:sz w:val="24"/>
                <w:szCs w:val="24"/>
              </w:rPr>
            </w:pPr>
            <w:r w:rsidRPr="000578E9">
              <w:rPr>
                <w:rFonts w:ascii="Times New Roman" w:hAnsi="Times New Roman"/>
                <w:noProof/>
                <w:sz w:val="24"/>
              </w:rPr>
              <w:t>fournir un aperçu général</w:t>
            </w:r>
            <w:r w:rsidRPr="000578E9">
              <w:rPr>
                <w:noProof/>
                <w:vertAlign w:val="superscript"/>
              </w:rPr>
              <w:footnoteReference w:id="62"/>
            </w:r>
            <w:r w:rsidRPr="000578E9">
              <w:rPr>
                <w:rFonts w:ascii="Times New Roman" w:hAnsi="Times New Roman"/>
                <w:noProof/>
                <w:sz w:val="24"/>
              </w:rPr>
              <w:t xml:space="preserve"> de la manière dont chacun d’eux entend faire en sorte que, d’ici 2030, la pêche de fond mobile soit progressivement supprimée dans toutes les ZMP. Ils devraient fournir, pour au moins 20 % des eaux marines de chaque État membre, un plan plus détaillé des mesures nationales et des recommandations communes à élaborer, comprenant au moins des informations détaillées permettant de recenser les zones dans lesquelles la pêche de fond mobile devrait être interdite, ainsi que des précisions sur les États membres et les flottes concernés par les mesures dans ces zones;</w:t>
            </w:r>
          </w:p>
          <w:p w14:paraId="62883791" w14:textId="77777777" w:rsidR="006A6ADC" w:rsidRPr="000578E9" w:rsidRDefault="006A6ADC" w:rsidP="006A6ADC">
            <w:pPr>
              <w:pStyle w:val="ListParagraph"/>
              <w:spacing w:after="120"/>
              <w:ind w:left="0"/>
              <w:rPr>
                <w:rFonts w:ascii="Times New Roman" w:hAnsi="Times New Roman" w:cs="Times New Roman"/>
                <w:noProof/>
                <w:sz w:val="24"/>
                <w:szCs w:val="24"/>
              </w:rPr>
            </w:pPr>
          </w:p>
          <w:p w14:paraId="1EC8948A" w14:textId="77777777" w:rsidR="006A6ADC" w:rsidRPr="000578E9" w:rsidRDefault="002D3C5B" w:rsidP="00164D2B">
            <w:pPr>
              <w:pStyle w:val="ListParagraph"/>
              <w:numPr>
                <w:ilvl w:val="0"/>
                <w:numId w:val="21"/>
              </w:numPr>
              <w:spacing w:after="0"/>
              <w:rPr>
                <w:rFonts w:ascii="Times New Roman" w:hAnsi="Times New Roman" w:cs="Times New Roman"/>
                <w:noProof/>
                <w:sz w:val="24"/>
                <w:szCs w:val="24"/>
              </w:rPr>
            </w:pPr>
            <w:r w:rsidRPr="000578E9">
              <w:rPr>
                <w:rFonts w:ascii="Times New Roman" w:hAnsi="Times New Roman"/>
                <w:noProof/>
                <w:sz w:val="24"/>
              </w:rPr>
              <w:t>adopter des mesures nationales et, le cas échéant, soumettre des recommandations communes à la Commission pour faire en sorte que la pêche de fond mobile soit progressivement supprimée dans toutes les ZMP d’ici 2030.</w:t>
            </w:r>
          </w:p>
          <w:p w14:paraId="0FF723F7" w14:textId="77777777" w:rsidR="00164D2B" w:rsidRPr="000578E9" w:rsidRDefault="00164D2B" w:rsidP="00164D2B">
            <w:pPr>
              <w:pStyle w:val="ListParagraph"/>
              <w:spacing w:after="0"/>
              <w:rPr>
                <w:rFonts w:ascii="Times New Roman" w:hAnsi="Times New Roman" w:cs="Times New Roman"/>
                <w:noProof/>
                <w:sz w:val="24"/>
                <w:szCs w:val="24"/>
              </w:rPr>
            </w:pPr>
          </w:p>
          <w:p w14:paraId="172B6631" w14:textId="77777777" w:rsidR="006A6ADC" w:rsidRPr="000578E9" w:rsidRDefault="00310A2A" w:rsidP="006A6ADC">
            <w:pPr>
              <w:spacing w:after="120"/>
              <w:rPr>
                <w:rFonts w:ascii="Times New Roman" w:hAnsi="Times New Roman" w:cs="Times New Roman"/>
                <w:noProof/>
                <w:sz w:val="24"/>
                <w:szCs w:val="24"/>
                <w:u w:val="single"/>
              </w:rPr>
            </w:pPr>
            <w:r w:rsidRPr="000578E9">
              <w:rPr>
                <w:rFonts w:ascii="Times New Roman" w:hAnsi="Times New Roman"/>
                <w:noProof/>
                <w:sz w:val="24"/>
                <w:u w:val="single"/>
              </w:rPr>
              <w:t>La Commission:</w:t>
            </w:r>
          </w:p>
          <w:p w14:paraId="76FC26C3" w14:textId="77777777" w:rsidR="0067311F" w:rsidRPr="000578E9" w:rsidRDefault="0067311F" w:rsidP="005330B8">
            <w:pPr>
              <w:pStyle w:val="ListParagraph"/>
              <w:spacing w:after="120"/>
              <w:rPr>
                <w:rFonts w:ascii="Times New Roman" w:hAnsi="Times New Roman" w:cs="Times New Roman"/>
                <w:noProof/>
                <w:sz w:val="24"/>
                <w:szCs w:val="24"/>
              </w:rPr>
            </w:pPr>
          </w:p>
          <w:p w14:paraId="4267F330" w14:textId="77777777" w:rsidR="008567FF" w:rsidRPr="000578E9" w:rsidRDefault="00FB3A34" w:rsidP="008567FF">
            <w:pPr>
              <w:pStyle w:val="ListParagraph"/>
              <w:numPr>
                <w:ilvl w:val="0"/>
                <w:numId w:val="21"/>
              </w:numPr>
              <w:spacing w:after="0"/>
              <w:rPr>
                <w:rFonts w:ascii="Times New Roman" w:hAnsi="Times New Roman" w:cs="Times New Roman"/>
                <w:noProof/>
                <w:sz w:val="24"/>
                <w:szCs w:val="24"/>
              </w:rPr>
            </w:pPr>
            <w:r w:rsidRPr="000578E9">
              <w:rPr>
                <w:rFonts w:ascii="Times New Roman" w:hAnsi="Times New Roman"/>
                <w:noProof/>
                <w:sz w:val="24"/>
              </w:rPr>
              <w:t>assurera le suivi et suivra les progrès accomplis en ce qui concerne les recommandations communes au sein des groupes régionaux d’États membres;</w:t>
            </w:r>
          </w:p>
          <w:p w14:paraId="28E94517" w14:textId="77777777" w:rsidR="008567FF" w:rsidRPr="000578E9" w:rsidRDefault="008567FF" w:rsidP="008567FF">
            <w:pPr>
              <w:pStyle w:val="ListParagraph"/>
              <w:spacing w:after="0"/>
              <w:rPr>
                <w:rFonts w:ascii="Times New Roman" w:hAnsi="Times New Roman" w:cs="Times New Roman"/>
                <w:noProof/>
                <w:sz w:val="24"/>
                <w:szCs w:val="24"/>
              </w:rPr>
            </w:pPr>
          </w:p>
          <w:p w14:paraId="180C563B" w14:textId="77777777" w:rsidR="00A104DD" w:rsidRPr="000578E9" w:rsidRDefault="00DE785B" w:rsidP="00776656">
            <w:pPr>
              <w:pStyle w:val="ListParagraph"/>
              <w:numPr>
                <w:ilvl w:val="0"/>
                <w:numId w:val="21"/>
              </w:numPr>
              <w:spacing w:after="0"/>
              <w:rPr>
                <w:noProof/>
                <w:szCs w:val="24"/>
              </w:rPr>
            </w:pPr>
            <w:r w:rsidRPr="000578E9">
              <w:rPr>
                <w:rFonts w:ascii="Times New Roman" w:hAnsi="Times New Roman"/>
                <w:noProof/>
                <w:sz w:val="24"/>
              </w:rPr>
              <w:t>soutiendra l’élaboration et l’adoption de solutions innovantes visant à limiter les incidences des activités de pêche de fond, en s’appuyant sur une demande d’avis du CIEM sur les engins de pêche innovants, attendu d’ici fin 2023.</w:t>
            </w:r>
          </w:p>
          <w:p w14:paraId="2C54C4DD" w14:textId="77777777" w:rsidR="00A104DD" w:rsidRPr="000578E9" w:rsidRDefault="00A104DD" w:rsidP="00A104DD">
            <w:pPr>
              <w:pStyle w:val="ListParagraph"/>
              <w:spacing w:after="0"/>
              <w:rPr>
                <w:rFonts w:ascii="Times New Roman" w:hAnsi="Times New Roman" w:cs="Times New Roman"/>
                <w:noProof/>
                <w:sz w:val="24"/>
                <w:szCs w:val="24"/>
              </w:rPr>
            </w:pPr>
          </w:p>
        </w:tc>
      </w:tr>
    </w:tbl>
    <w:p w14:paraId="6CB6FAB8" w14:textId="77777777" w:rsidR="00EA0DCE" w:rsidRPr="000578E9" w:rsidRDefault="6DB8084F" w:rsidP="00C814CA">
      <w:pPr>
        <w:pStyle w:val="Heading1"/>
        <w:rPr>
          <w:noProof/>
        </w:rPr>
      </w:pPr>
      <w:bookmarkStart w:id="18" w:name="_Toc89265899"/>
      <w:bookmarkStart w:id="19" w:name="_Toc89265901"/>
      <w:bookmarkStart w:id="20" w:name="_Toc88659317"/>
      <w:bookmarkStart w:id="21" w:name="_Toc110232904"/>
      <w:bookmarkEnd w:id="7"/>
      <w:bookmarkEnd w:id="18"/>
      <w:bookmarkEnd w:id="19"/>
      <w:r w:rsidRPr="000578E9">
        <w:rPr>
          <w:noProof/>
        </w:rPr>
        <w:t>Assurer une transition juste et équitable pour tous</w:t>
      </w:r>
      <w:bookmarkEnd w:id="20"/>
      <w:bookmarkEnd w:id="21"/>
    </w:p>
    <w:p w14:paraId="42BD4534" w14:textId="77777777" w:rsidR="00340A5C" w:rsidRPr="000578E9" w:rsidRDefault="00340A5C" w:rsidP="00340A5C">
      <w:pPr>
        <w:pStyle w:val="Text1"/>
        <w:spacing w:after="160"/>
        <w:ind w:left="0"/>
        <w:rPr>
          <w:noProof/>
        </w:rPr>
      </w:pPr>
      <w:r w:rsidRPr="000578E9">
        <w:rPr>
          <w:noProof/>
        </w:rPr>
        <w:t>Le pacte vert pour l’Europe en tant que nouvelle stratégie de croissance économique de l’Europe définit des mesures pour parvenir à une transition juste et équitable de la société et de l’économie vers un modèle de développement inclusif et véritablement durable. L’équité et l’inclusion sont les conditions indispensables à la réussite de la transition écologique.</w:t>
      </w:r>
    </w:p>
    <w:p w14:paraId="7214A624" w14:textId="77777777" w:rsidR="007B7BB4" w:rsidRPr="000578E9" w:rsidRDefault="00340A5C" w:rsidP="187FCB9E">
      <w:pPr>
        <w:spacing w:after="160"/>
        <w:rPr>
          <w:noProof/>
        </w:rPr>
      </w:pPr>
      <w:r w:rsidRPr="000578E9">
        <w:rPr>
          <w:noProof/>
          <w:color w:val="000000" w:themeColor="text1"/>
        </w:rPr>
        <w:t>Une meilleure conservation et protection des espèces et habitats marins présente des avantages évidents pour la société et l’économie, en particulier pour les</w:t>
      </w:r>
      <w:r w:rsidRPr="000578E9">
        <w:rPr>
          <w:noProof/>
        </w:rPr>
        <w:t xml:space="preserve"> communautés de pêcheurs et les communautés côtières, dont les moyens de subsistance dépendent directement de la bonne santé des écosystèmes marins. Par exemple, les scientifiques ont estimé que si 30 % des océans étaient protégés, les captures annuelles mondiales pourraient augmenter de huit millions de tonnes, soit environ 10 % des captures actuelles</w:t>
      </w:r>
      <w:r w:rsidRPr="000578E9">
        <w:rPr>
          <w:rStyle w:val="FootnoteReference"/>
          <w:noProof/>
        </w:rPr>
        <w:footnoteReference w:id="63"/>
      </w:r>
      <w:r w:rsidRPr="000578E9">
        <w:rPr>
          <w:noProof/>
        </w:rPr>
        <w:t>.</w:t>
      </w:r>
      <w:r w:rsidRPr="000578E9">
        <w:rPr>
          <w:rStyle w:val="FootnoteReference"/>
          <w:noProof/>
        </w:rPr>
        <w:t xml:space="preserve"> </w:t>
      </w:r>
      <w:r w:rsidRPr="000578E9">
        <w:rPr>
          <w:noProof/>
        </w:rPr>
        <w:t xml:space="preserve"> </w:t>
      </w:r>
    </w:p>
    <w:p w14:paraId="1D36B382" w14:textId="77777777" w:rsidR="00387084" w:rsidRPr="000578E9" w:rsidRDefault="00FF3334" w:rsidP="00340A5C">
      <w:pPr>
        <w:spacing w:after="160"/>
        <w:rPr>
          <w:noProof/>
        </w:rPr>
      </w:pPr>
      <w:r w:rsidRPr="000578E9">
        <w:rPr>
          <w:noProof/>
        </w:rPr>
        <w:t>Bien que la transition soit nécessaire et bénéfique sur le plan socio-économique et que les actuels défis dus à la COVID</w:t>
      </w:r>
      <w:r w:rsidRPr="000578E9">
        <w:rPr>
          <w:noProof/>
        </w:rPr>
        <w:noBreakHyphen/>
        <w:t>19 et à la guerre qui touchent le secteur de la pêche, y compris la hausse des prix de l’énergie, ne soient pas liés aux mesures détaillées dans le présent plan d’action, notamment la suppression progressive de la pêche de fond dans toutes les ZMP, cette dernière mesure, en particulier, aura des incidences sociales et économiques sur certains opérateurs et certaines communautés</w:t>
      </w:r>
      <w:r w:rsidRPr="000578E9">
        <w:rPr>
          <w:rStyle w:val="FootnoteReference"/>
          <w:noProof/>
        </w:rPr>
        <w:footnoteReference w:id="64"/>
      </w:r>
      <w:r w:rsidRPr="000578E9">
        <w:rPr>
          <w:noProof/>
        </w:rPr>
        <w:t xml:space="preserve">, et une transition juste doit être garantie. Les incidences peuvent aller de petits changements dans les opérations de pêche pouvant être facilement absorbés à de plus grands changements dans les opérations qui nécessiteraient des mesures d’atténuation pour aider les pêcheurs, leurs communautés et les opérateurs tout au long de la chaîne d’approvisionnement à s’adapter à des changements structurels plus importants. </w:t>
      </w:r>
      <w:r w:rsidRPr="000578E9">
        <w:rPr>
          <w:noProof/>
          <w:color w:val="000000" w:themeColor="text1"/>
        </w:rPr>
        <w:t>Ces incidences pourraient être en partie compensées par le déplacement de l’activité de pêche vers d’autres zones de pêche lorsque cela est possible.</w:t>
      </w:r>
    </w:p>
    <w:p w14:paraId="56914297" w14:textId="77777777" w:rsidR="00387084" w:rsidRPr="000578E9" w:rsidRDefault="007F1D1F" w:rsidP="00340A5C">
      <w:pPr>
        <w:spacing w:after="160"/>
        <w:rPr>
          <w:noProof/>
        </w:rPr>
      </w:pPr>
      <w:r w:rsidRPr="000578E9">
        <w:rPr>
          <w:noProof/>
        </w:rPr>
        <w:t>Dans le même temps, les incidences devraient être plus importantes dans les communautés dépendantes de la pêche dans lesquelles la diversification économique est actuellement limitée. C’est pourquoi il importe de veiller à ce que la transition soit progressive et à ce que</w:t>
      </w:r>
      <w:r w:rsidRPr="000578E9">
        <w:rPr>
          <w:noProof/>
          <w:color w:val="000000" w:themeColor="text1"/>
        </w:rPr>
        <w:t xml:space="preserve"> les États membres tiennent compte des besoins spécifiques des communautés locales</w:t>
      </w:r>
      <w:r w:rsidRPr="000578E9">
        <w:rPr>
          <w:noProof/>
        </w:rPr>
        <w:t xml:space="preserve"> et les soutiennent dans cette transition, y compris au moyen d’un soutien financier. Il importe de reconnaître qu’à l’instar de l’expérience vécue lors de l’introduction de l’objectif de rendement maximal durable, les changements dans les pratiques du secteur de la pêche seront compensés à </w:t>
      </w:r>
      <w:r w:rsidRPr="000578E9">
        <w:rPr>
          <w:noProof/>
          <w:color w:val="000000" w:themeColor="text1"/>
        </w:rPr>
        <w:t>moyen ou long terme, à mesure que les stocks halieutiques se reconstitueront et que les espèces pêchées à des fins commerciales se déplaceront des ZMP vers d’autres zones de pêche grâce à des effets d’entraînement</w:t>
      </w:r>
      <w:r w:rsidRPr="000578E9">
        <w:rPr>
          <w:noProof/>
        </w:rPr>
        <w:t>.</w:t>
      </w:r>
    </w:p>
    <w:p w14:paraId="1DB475D2" w14:textId="77777777" w:rsidR="00735B3B" w:rsidRPr="000578E9" w:rsidRDefault="00735D78" w:rsidP="00735B3B">
      <w:pPr>
        <w:pStyle w:val="Text1"/>
        <w:spacing w:after="160"/>
        <w:ind w:left="0"/>
        <w:rPr>
          <w:noProof/>
        </w:rPr>
      </w:pPr>
      <w:r w:rsidRPr="000578E9">
        <w:rPr>
          <w:noProof/>
        </w:rPr>
        <w:t xml:space="preserve">À court terme, les répercussions économiques sur le secteur découlent également de </w:t>
      </w:r>
      <w:r w:rsidRPr="000578E9">
        <w:rPr>
          <w:noProof/>
          <w:color w:val="000000" w:themeColor="text1"/>
        </w:rPr>
        <w:t>la hausse des prix de l’énergie</w:t>
      </w:r>
      <w:r w:rsidRPr="000578E9">
        <w:rPr>
          <w:noProof/>
        </w:rPr>
        <w:t>.</w:t>
      </w:r>
      <w:r w:rsidRPr="000578E9">
        <w:rPr>
          <w:noProof/>
          <w:color w:val="000000" w:themeColor="text1"/>
        </w:rPr>
        <w:t xml:space="preserve"> </w:t>
      </w:r>
      <w:r w:rsidRPr="000578E9">
        <w:rPr>
          <w:noProof/>
        </w:rPr>
        <w:t>Le passage progressif du chalutage de fond grand consommateur de carburant à des méthodes de pêche moins énergivores peut également générer d’importantes économies. C’est pleinement conforme à l’objectif de la Commission de se détourner des combustibles fossiles dès que possible et à son ambition de soutenir la flotte de pêche de l’Union européenne et le secteur de l’aquaculture dans leur transition énergétique structurelle. Pour accompagner cette transition, la Commission a également proposé l’introduction d’une taxe sur les carburants dans le cadre de la révision de la directive de l’Union sur la taxation de l’énergie</w:t>
      </w:r>
      <w:r w:rsidRPr="000578E9">
        <w:rPr>
          <w:rStyle w:val="FootnoteReference"/>
          <w:noProof/>
        </w:rPr>
        <w:footnoteReference w:id="65"/>
      </w:r>
      <w:r w:rsidRPr="000578E9">
        <w:rPr>
          <w:noProof/>
        </w:rPr>
        <w:t xml:space="preserve"> et présente, en même temps que le présent plan d’action, l’initiative pour la transition énergétique.</w:t>
      </w:r>
    </w:p>
    <w:p w14:paraId="2F18C066" w14:textId="77777777" w:rsidR="00D96357" w:rsidRPr="000578E9" w:rsidRDefault="00735D78" w:rsidP="00890731">
      <w:pPr>
        <w:spacing w:after="0"/>
        <w:rPr>
          <w:noProof/>
        </w:rPr>
      </w:pPr>
      <w:bookmarkStart w:id="23" w:name="_Hlk110364004"/>
      <w:r w:rsidRPr="000578E9">
        <w:rPr>
          <w:noProof/>
          <w:color w:val="000000" w:themeColor="text1"/>
        </w:rPr>
        <w:t>La Commission invite les États membres à encourager et à soutenir les communautés de pêcheurs dans la transition exposée dans le présent plan d’action et à les aider à renforcer leur résilience, à innover et à s’adapter. Il s’agit notamment de mieux utiliser le soutien mis à disposition par les instruments de financement de l’Union</w:t>
      </w:r>
      <w:r w:rsidRPr="000578E9">
        <w:rPr>
          <w:noProof/>
        </w:rPr>
        <w:t xml:space="preserve">, en particulier le soutien à </w:t>
      </w:r>
      <w:r w:rsidRPr="000578E9">
        <w:rPr>
          <w:noProof/>
          <w:color w:val="000000" w:themeColor="text1"/>
        </w:rPr>
        <w:t>l’innovation et à la diversification des activités économiques, le soutien à la transition énergétique et le soutien à l’amélioration de la sélectivité des engins de pêche</w:t>
      </w:r>
      <w:bookmarkEnd w:id="23"/>
      <w:r w:rsidRPr="000578E9">
        <w:rPr>
          <w:noProof/>
        </w:rPr>
        <w:t>. De nombreux exemples montrent que l’utilisation efficace des fonds de l’Union peut faire la différence mais, par le passé, la part des fonds de l’Union utilisée pour soutenir la conservation du milieu marin était trop faible</w:t>
      </w:r>
      <w:r w:rsidRPr="000578E9">
        <w:rPr>
          <w:rStyle w:val="FootnoteReference"/>
          <w:noProof/>
        </w:rPr>
        <w:footnoteReference w:id="66"/>
      </w:r>
      <w:r w:rsidRPr="000578E9">
        <w:rPr>
          <w:noProof/>
        </w:rPr>
        <w:t xml:space="preserve">. Ainsi que la Cour des comptes l’a confirmé, il est clairement possible de mieux utiliser le budget de l’Union disponible. </w:t>
      </w:r>
    </w:p>
    <w:p w14:paraId="6399CAFD" w14:textId="77777777" w:rsidR="00890731" w:rsidRPr="000578E9" w:rsidRDefault="00890731" w:rsidP="00890731">
      <w:pPr>
        <w:spacing w:after="0"/>
        <w:rPr>
          <w:noProof/>
          <w:color w:val="000000" w:themeColor="text1"/>
        </w:rPr>
      </w:pPr>
    </w:p>
    <w:p w14:paraId="1E0D461F" w14:textId="77777777" w:rsidR="00A22AC4" w:rsidRPr="000578E9" w:rsidRDefault="3CF3BCC8" w:rsidP="00A22AC4">
      <w:pPr>
        <w:spacing w:after="160"/>
        <w:rPr>
          <w:noProof/>
        </w:rPr>
      </w:pPr>
      <w:r w:rsidRPr="000578E9">
        <w:rPr>
          <w:noProof/>
          <w:color w:val="000000" w:themeColor="text1"/>
        </w:rPr>
        <w:t>Les fonds à utiliser à cette fin sont principalement le Fonds européen pour les affaires maritimes, la pêche et l’aquaculture (Feampa)</w:t>
      </w:r>
      <w:r w:rsidRPr="000578E9">
        <w:rPr>
          <w:rStyle w:val="FootnoteReference"/>
          <w:noProof/>
          <w:color w:val="000000" w:themeColor="text1"/>
        </w:rPr>
        <w:footnoteReference w:id="67"/>
      </w:r>
      <w:r w:rsidRPr="000578E9">
        <w:rPr>
          <w:noProof/>
          <w:color w:val="000000" w:themeColor="text1"/>
        </w:rPr>
        <w:t xml:space="preserve"> et le</w:t>
      </w:r>
      <w:r w:rsidRPr="000578E9">
        <w:rPr>
          <w:noProof/>
        </w:rPr>
        <w:t xml:space="preserve"> programme LIFE</w:t>
      </w:r>
      <w:r w:rsidRPr="000578E9">
        <w:rPr>
          <w:rStyle w:val="FootnoteReference"/>
          <w:noProof/>
        </w:rPr>
        <w:footnoteReference w:id="68"/>
      </w:r>
      <w:r w:rsidRPr="000578E9">
        <w:rPr>
          <w:noProof/>
        </w:rPr>
        <w:t>. Ils jouent un rôle central dans le soutien des objectifs stratégiques en matière de climat et de biodiversité. En outre, la Commission travaille en étroite collaboration avec les États membres pour s’assurer que chaque programme contribue à la réalisation des objectifs horizontaux fixés dans le cadre financier pluriannuel pour ces objectifs</w:t>
      </w:r>
      <w:r w:rsidRPr="000578E9">
        <w:rPr>
          <w:rStyle w:val="FootnoteReference"/>
          <w:noProof/>
          <w:szCs w:val="24"/>
        </w:rPr>
        <w:footnoteReference w:id="69"/>
      </w:r>
      <w:r w:rsidRPr="000578E9">
        <w:rPr>
          <w:noProof/>
        </w:rPr>
        <w:t>.</w:t>
      </w:r>
    </w:p>
    <w:p w14:paraId="7E47D08D" w14:textId="77777777" w:rsidR="007647C2" w:rsidRPr="000578E9" w:rsidRDefault="1189D94E" w:rsidP="005C3926">
      <w:pPr>
        <w:spacing w:after="160"/>
        <w:rPr>
          <w:noProof/>
        </w:rPr>
      </w:pPr>
      <w:r w:rsidRPr="000578E9">
        <w:rPr>
          <w:noProof/>
        </w:rPr>
        <w:t>Parmi les autres sources de financement, telles que soulignées dans le document «Trouvez votre programme de financement européen pour l’environnement»</w:t>
      </w:r>
      <w:r w:rsidRPr="000578E9">
        <w:rPr>
          <w:rStyle w:val="FootnoteReference"/>
          <w:noProof/>
        </w:rPr>
        <w:footnoteReference w:id="70"/>
      </w:r>
      <w:r w:rsidRPr="000578E9">
        <w:rPr>
          <w:noProof/>
        </w:rPr>
        <w:t xml:space="preserve"> de la Commission, figurent Horizon Europe</w:t>
      </w:r>
      <w:r w:rsidRPr="000578E9">
        <w:rPr>
          <w:rStyle w:val="FootnoteReference"/>
          <w:noProof/>
        </w:rPr>
        <w:footnoteReference w:id="71"/>
      </w:r>
      <w:r w:rsidRPr="000578E9">
        <w:rPr>
          <w:noProof/>
        </w:rPr>
        <w:t>, le Fonds européen de développement régional (y compris Interreg)</w:t>
      </w:r>
      <w:r w:rsidRPr="000578E9">
        <w:rPr>
          <w:rStyle w:val="FootnoteReference"/>
          <w:noProof/>
        </w:rPr>
        <w:footnoteReference w:id="72"/>
      </w:r>
      <w:r w:rsidRPr="000578E9">
        <w:rPr>
          <w:noProof/>
        </w:rPr>
        <w:t>, le Fonds social européen plus</w:t>
      </w:r>
      <w:r w:rsidRPr="000578E9">
        <w:rPr>
          <w:rStyle w:val="FootnoteReference"/>
          <w:noProof/>
        </w:rPr>
        <w:footnoteReference w:id="73"/>
      </w:r>
      <w:r w:rsidRPr="000578E9">
        <w:rPr>
          <w:noProof/>
        </w:rPr>
        <w:t>, le Fonds européen agricole pour le développement rural</w:t>
      </w:r>
      <w:r w:rsidRPr="000578E9">
        <w:rPr>
          <w:rStyle w:val="FootnoteReference"/>
          <w:noProof/>
        </w:rPr>
        <w:footnoteReference w:id="74"/>
      </w:r>
      <w:r w:rsidRPr="000578E9">
        <w:rPr>
          <w:noProof/>
        </w:rPr>
        <w:t>, le mécanisme pour l’interconnexion en Europe et la facilité pour la reprise et la résilience</w:t>
      </w:r>
      <w:r w:rsidRPr="000578E9">
        <w:rPr>
          <w:rStyle w:val="FootnoteReference"/>
          <w:noProof/>
        </w:rPr>
        <w:footnoteReference w:id="75"/>
      </w:r>
      <w:r w:rsidRPr="000578E9">
        <w:rPr>
          <w:noProof/>
        </w:rPr>
        <w:t>. Les États membres devraient les utiliser de manière stratégique, augmenter les financements nationaux et encourager les investissements du secteur privé pour canaliser le soutien à la transition, par exemple les stratégies de spécialisation intelligente pour une économie bleue durable. La Commission continuera de soutenir pleinement les États membres à cet égard.</w:t>
      </w:r>
    </w:p>
    <w:p w14:paraId="2418A164" w14:textId="77777777" w:rsidR="0093029F" w:rsidRPr="000578E9" w:rsidRDefault="00110CDA" w:rsidP="00F177EB">
      <w:pPr>
        <w:spacing w:after="0"/>
        <w:rPr>
          <w:noProof/>
        </w:rPr>
      </w:pPr>
      <w:r w:rsidRPr="000578E9">
        <w:rPr>
          <w:noProof/>
        </w:rPr>
        <w:t>Il importe de tirer pleinement parti des possibilités de diversification et d’innovation, en commençant par celles recensées dans la nouvelle stratégie pour une économie bleue durable dans l’Union européenne</w:t>
      </w:r>
      <w:r w:rsidRPr="000578E9">
        <w:rPr>
          <w:rStyle w:val="FootnoteReference"/>
          <w:noProof/>
        </w:rPr>
        <w:footnoteReference w:id="76"/>
      </w:r>
      <w:r w:rsidRPr="000578E9">
        <w:rPr>
          <w:noProof/>
        </w:rPr>
        <w:t>. Cette stratégie vise à développer de nouveaux modèles économiques pour réduire l’empreinte environnementale du secteur grâce à la numérisation et à l’utilisation de techniques et d’engins innovants. Pour faire en sorte que les communautés de pêcheurs en transition puissent pleinement accéder à l’éventail des possibilités de diversification économique qui se présentent dans d’autres secteurs de l’économie bleue, la Commission lancera un débat lors du prochain forum bleu, en mai 2023, auquel participeront différentes parties prenantes et différents groupes opérant en mer et dans nos océans.</w:t>
      </w:r>
    </w:p>
    <w:p w14:paraId="5FF45005" w14:textId="77777777" w:rsidR="00FD1F07" w:rsidRPr="000578E9" w:rsidRDefault="00FD1F07" w:rsidP="00F177EB">
      <w:pPr>
        <w:spacing w:after="0"/>
        <w:rPr>
          <w:noProof/>
        </w:rPr>
      </w:pPr>
    </w:p>
    <w:p w14:paraId="3AAEAFBA" w14:textId="77777777" w:rsidR="003F25B3" w:rsidRPr="000578E9" w:rsidRDefault="00110CDA" w:rsidP="00F177EB">
      <w:pPr>
        <w:spacing w:after="0"/>
        <w:rPr>
          <w:noProof/>
        </w:rPr>
      </w:pPr>
      <w:r w:rsidRPr="000578E9">
        <w:rPr>
          <w:noProof/>
        </w:rPr>
        <w:t>Des programmes ciblés de formation et de renforcement des compétences menés avec le soutien de l’Union au titre des fonds Erasmus+, Feampa ou FSE+ pourraient également contribuer à jeter des ponts avec d’autres secteurs de l’économie bleue, tels que la production d’algues et l’aquaculture marine régénérative</w:t>
      </w:r>
      <w:r w:rsidRPr="000578E9">
        <w:rPr>
          <w:rStyle w:val="FootnoteReference"/>
          <w:noProof/>
        </w:rPr>
        <w:footnoteReference w:id="77"/>
      </w:r>
      <w:r w:rsidRPr="000578E9">
        <w:rPr>
          <w:noProof/>
        </w:rPr>
        <w:t xml:space="preserve">, les énergies renouvelables et l’aquaculture durable. L’amélioration de la durabilité environnementale, par exemple grâce à une </w:t>
      </w:r>
      <w:bookmarkStart w:id="24" w:name="_Toc88659319"/>
      <w:r w:rsidRPr="000578E9">
        <w:rPr>
          <w:noProof/>
        </w:rPr>
        <w:t>gestion efficace des ZMP, peut fournir des moyens de subsistance supplémentaires ou alternatifs aux communautés de pêcheurs locales, tels que l'écotourisme et la pêche récréative bien gérée. Les pêcheurs peuvent également avoir accès à un soutien de l’Union pour les aider à jouer leur rôle de gardiens des mers. Plusieurs exemples positifs</w:t>
      </w:r>
      <w:r w:rsidRPr="000578E9">
        <w:rPr>
          <w:rStyle w:val="FootnoteReference"/>
          <w:noProof/>
        </w:rPr>
        <w:footnoteReference w:id="78"/>
      </w:r>
      <w:r w:rsidRPr="000578E9">
        <w:rPr>
          <w:noProof/>
        </w:rPr>
        <w:t xml:space="preserve"> montrent déjà comment ce partenariat peut les aider à récupérer et collecter les déchets et les engins de pêche perdus. </w:t>
      </w:r>
      <w:bookmarkEnd w:id="24"/>
    </w:p>
    <w:p w14:paraId="5A98393A" w14:textId="77777777" w:rsidR="003C4655" w:rsidRPr="000578E9" w:rsidRDefault="003C4655" w:rsidP="00F177EB">
      <w:pPr>
        <w:spacing w:after="0"/>
        <w:rPr>
          <w:noProof/>
        </w:rPr>
      </w:pPr>
    </w:p>
    <w:tbl>
      <w:tblPr>
        <w:tblStyle w:val="TableGrid"/>
        <w:tblW w:w="8608" w:type="dxa"/>
        <w:tblInd w:w="0" w:type="dxa"/>
        <w:tblLook w:val="04A0" w:firstRow="1" w:lastRow="0" w:firstColumn="1" w:lastColumn="0" w:noHBand="0" w:noVBand="1"/>
      </w:tblPr>
      <w:tblGrid>
        <w:gridCol w:w="8608"/>
      </w:tblGrid>
      <w:tr w:rsidR="007A76F5" w:rsidRPr="000578E9" w14:paraId="4CBB1C89" w14:textId="77777777" w:rsidTr="007A76F5">
        <w:tc>
          <w:tcPr>
            <w:tcW w:w="8608" w:type="dxa"/>
          </w:tcPr>
          <w:p w14:paraId="1CD84AED" w14:textId="77777777" w:rsidR="007A76F5" w:rsidRPr="000578E9" w:rsidRDefault="007A76F5" w:rsidP="003C4655">
            <w:pPr>
              <w:pStyle w:val="paragraph"/>
              <w:spacing w:before="0" w:beforeAutospacing="0" w:after="160" w:afterAutospacing="0"/>
              <w:jc w:val="both"/>
              <w:textAlignment w:val="baseline"/>
              <w:rPr>
                <w:rFonts w:ascii="Times New Roman" w:hAnsi="Times New Roman" w:cs="Times New Roman"/>
                <w:b/>
                <w:bCs/>
                <w:noProof/>
                <w:sz w:val="24"/>
              </w:rPr>
            </w:pPr>
            <w:r w:rsidRPr="000578E9">
              <w:rPr>
                <w:rFonts w:ascii="Times New Roman" w:hAnsi="Times New Roman"/>
                <w:b/>
                <w:noProof/>
                <w:sz w:val="24"/>
              </w:rPr>
              <w:t>Action visant à parvenir à une transition juste et équitable et à maximiser l’utilisation des fonds disponibles</w:t>
            </w:r>
          </w:p>
          <w:p w14:paraId="30BF2C4F" w14:textId="77777777" w:rsidR="007A76F5" w:rsidRPr="000578E9" w:rsidRDefault="00A31D8B" w:rsidP="003C4655">
            <w:pPr>
              <w:pStyle w:val="paragraph"/>
              <w:spacing w:before="0" w:beforeAutospacing="0" w:after="160" w:afterAutospacing="0"/>
              <w:jc w:val="both"/>
              <w:textAlignment w:val="baseline"/>
              <w:rPr>
                <w:rFonts w:ascii="Times New Roman" w:hAnsi="Times New Roman" w:cs="Times New Roman"/>
                <w:noProof/>
                <w:sz w:val="24"/>
                <w:u w:val="single"/>
              </w:rPr>
            </w:pPr>
            <w:r w:rsidRPr="000578E9">
              <w:rPr>
                <w:rFonts w:ascii="Times New Roman" w:hAnsi="Times New Roman"/>
                <w:noProof/>
                <w:sz w:val="24"/>
                <w:u w:val="single"/>
              </w:rPr>
              <w:t>La Commission invite les États membres à prendre les mesures suivantes:</w:t>
            </w:r>
          </w:p>
          <w:p w14:paraId="31138DBE" w14:textId="77777777" w:rsidR="007A76F5" w:rsidRPr="000578E9"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adopter des mesures en vue de l’utilisation d’un financement suffisant grâce à la mobilisation stratégique des ressources disponibles provenant de sources de financement européennes, nationales ou privées, en particulier pour promouvoir des projets visant:</w:t>
            </w:r>
          </w:p>
          <w:p w14:paraId="563190F5" w14:textId="77777777" w:rsidR="007A76F5" w:rsidRPr="000578E9" w:rsidRDefault="00C63942"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à soutenir l’utilisation de techniques de pêche moins préjudiciables et les projets qui mettent en œuvre le réseau Natura 2000 à l’échelle de l’Union, afin de remplir les objectifs du plan d’action et de répondre aux besoins recensés dans les cadres d’action prioritaires des États membres</w:t>
            </w:r>
            <w:r w:rsidRPr="000578E9">
              <w:rPr>
                <w:rStyle w:val="FootnoteReference"/>
                <w:noProof/>
              </w:rPr>
              <w:footnoteReference w:id="79"/>
            </w:r>
            <w:r w:rsidRPr="000578E9">
              <w:rPr>
                <w:rFonts w:ascii="Times New Roman" w:hAnsi="Times New Roman"/>
                <w:noProof/>
                <w:sz w:val="24"/>
              </w:rPr>
              <w:t>;</w:t>
            </w:r>
          </w:p>
          <w:p w14:paraId="4692E62A" w14:textId="77777777" w:rsidR="007A76F5" w:rsidRPr="000578E9" w:rsidRDefault="007A76F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à aider les communautés de pêcheurs à passer à des pratiques de pêche plus sélectives, moins nocives et moins consommatrices de carburant.</w:t>
            </w:r>
          </w:p>
          <w:p w14:paraId="0C94A6F6" w14:textId="77777777" w:rsidR="007A76F5" w:rsidRPr="000578E9" w:rsidRDefault="00C63942" w:rsidP="003C4655">
            <w:pPr>
              <w:pStyle w:val="paragraph"/>
              <w:spacing w:before="0" w:beforeAutospacing="0" w:after="160" w:afterAutospacing="0"/>
              <w:jc w:val="both"/>
              <w:textAlignment w:val="baseline"/>
              <w:rPr>
                <w:rFonts w:ascii="Times New Roman" w:hAnsi="Times New Roman" w:cs="Times New Roman"/>
                <w:noProof/>
                <w:sz w:val="24"/>
                <w:u w:val="single"/>
              </w:rPr>
            </w:pPr>
            <w:r w:rsidRPr="000578E9">
              <w:rPr>
                <w:rFonts w:ascii="Times New Roman" w:hAnsi="Times New Roman"/>
                <w:noProof/>
                <w:sz w:val="24"/>
                <w:u w:val="single"/>
              </w:rPr>
              <w:t>La Commission:</w:t>
            </w:r>
          </w:p>
          <w:p w14:paraId="3DD5ECB5" w14:textId="77777777" w:rsidR="007A76F5" w:rsidRPr="000578E9"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facilitera l’accès aux possibilités de financement:</w:t>
            </w:r>
          </w:p>
          <w:p w14:paraId="52E69E37" w14:textId="77777777" w:rsidR="007A76F5" w:rsidRPr="000578E9" w:rsidRDefault="006C3F71"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en 2023, en organisant et accueillant un atelier destiné aux États membres afin de les orienter et de promouvoir l’utilisation de fonds pour mettre en œuvre le présent plan d’action;</w:t>
            </w:r>
          </w:p>
          <w:p w14:paraId="7450823D" w14:textId="77777777" w:rsidR="007A76F5" w:rsidRPr="000578E9" w:rsidRDefault="00B8649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0578E9">
              <w:rPr>
                <w:rFonts w:ascii="Times New Roman" w:hAnsi="Times New Roman"/>
                <w:noProof/>
                <w:sz w:val="24"/>
              </w:rPr>
              <w:t>en travaillant en étroite collaboration avec les États membres lors du suivi de la mise en œuvre du Feampa, afin d’encourager la réalisation d’actions spécifiques soutenant les objectifs du présent plan d’action, ainsi qu’en utilisant les possibilités de financement complémentaires disponibles au titre d’autres programmes, y compris LIFE;</w:t>
            </w:r>
          </w:p>
          <w:p w14:paraId="4FA14B54" w14:textId="77777777" w:rsidR="007A76F5" w:rsidRPr="000578E9" w:rsidRDefault="001A4218" w:rsidP="003C4655">
            <w:pPr>
              <w:pStyle w:val="paragraph"/>
              <w:numPr>
                <w:ilvl w:val="1"/>
                <w:numId w:val="20"/>
              </w:numPr>
              <w:spacing w:before="0" w:beforeAutospacing="0" w:after="160" w:afterAutospacing="0"/>
              <w:jc w:val="both"/>
              <w:rPr>
                <w:rFonts w:ascii="Times New Roman" w:hAnsi="Times New Roman" w:cs="Times New Roman"/>
                <w:noProof/>
                <w:sz w:val="24"/>
              </w:rPr>
            </w:pPr>
            <w:r w:rsidRPr="000578E9">
              <w:rPr>
                <w:rFonts w:ascii="Times New Roman" w:hAnsi="Times New Roman"/>
                <w:noProof/>
                <w:sz w:val="24"/>
              </w:rPr>
              <w:t>en mettant en œuvre des stratégies de spécialisation intelligente afin de donner la priorité à la recherche et aux investissements régionaux en matière d’innovation dans les secteurs de l’économie bleue, dont la pêche;</w:t>
            </w:r>
          </w:p>
          <w:p w14:paraId="79D3C861" w14:textId="77777777" w:rsidR="007A76F5" w:rsidRPr="000578E9" w:rsidRDefault="007A76F5" w:rsidP="0057001D">
            <w:pPr>
              <w:pStyle w:val="paragraph"/>
              <w:spacing w:after="160"/>
              <w:ind w:left="741" w:hanging="425"/>
              <w:jc w:val="both"/>
              <w:textAlignment w:val="baseline"/>
              <w:rPr>
                <w:rFonts w:ascii="Times New Roman" w:hAnsi="Times New Roman" w:cs="Times New Roman"/>
                <w:noProof/>
                <w:sz w:val="24"/>
              </w:rPr>
            </w:pPr>
            <w:r w:rsidRPr="000578E9">
              <w:rPr>
                <w:rFonts w:ascii="Times New Roman" w:hAnsi="Times New Roman"/>
                <w:noProof/>
                <w:sz w:val="24"/>
              </w:rPr>
              <w:t>-</w:t>
            </w:r>
            <w:r w:rsidRPr="000578E9">
              <w:rPr>
                <w:noProof/>
              </w:rPr>
              <w:tab/>
            </w:r>
            <w:r w:rsidRPr="000578E9">
              <w:rPr>
                <w:rFonts w:ascii="Times New Roman" w:hAnsi="Times New Roman"/>
                <w:noProof/>
                <w:sz w:val="24"/>
              </w:rPr>
              <w:t xml:space="preserve">d’ici fin 2023, mettra en place, dans le cadre de la gestion directe du Feampa, des subventions d’une valeur de plus de 7 millions d’euros pour soutenir des projets qui contribuent au développement de compétences dans le domaine de l’économie bleue de nouvelle génération et qui offrent des possibilités de carrières maritimes attrayantes et durables. </w:t>
            </w:r>
          </w:p>
        </w:tc>
      </w:tr>
    </w:tbl>
    <w:p w14:paraId="414291CE" w14:textId="77777777" w:rsidR="001F565B" w:rsidRPr="000578E9" w:rsidRDefault="00D51173" w:rsidP="00C814CA">
      <w:pPr>
        <w:pStyle w:val="Heading1"/>
        <w:rPr>
          <w:noProof/>
        </w:rPr>
      </w:pPr>
      <w:bookmarkStart w:id="25" w:name="_Toc110232905"/>
      <w:r w:rsidRPr="000578E9">
        <w:rPr>
          <w:noProof/>
        </w:rPr>
        <w:t>Renforcer la base de connaissances et la recherche</w:t>
      </w:r>
      <w:bookmarkEnd w:id="25"/>
      <w:r w:rsidRPr="000578E9">
        <w:rPr>
          <w:noProof/>
        </w:rPr>
        <w:t xml:space="preserve"> et l’innovation</w:t>
      </w:r>
    </w:p>
    <w:p w14:paraId="31E0641A" w14:textId="77777777" w:rsidR="007A31F4" w:rsidRPr="000578E9" w:rsidRDefault="002C008E" w:rsidP="007A31F4">
      <w:pPr>
        <w:spacing w:after="200"/>
        <w:rPr>
          <w:noProof/>
        </w:rPr>
      </w:pPr>
      <w:r w:rsidRPr="000578E9">
        <w:rPr>
          <w:noProof/>
        </w:rPr>
        <w:t>La conception et l’élaboration d’initiatives visant à gérer la pêche et à protéger le milieu marin nécessitent une solide base de connaissances, ce qui requiert, à son tour, une collecte de données et un suivi scientifique systématiques, fondés sur des méthodes solides. Bien que l’absence d’informations scientifiques complètes ne puisse justifier le report ou la non-adoption des mesures nécessaires, elle souligne la nécessité d’investir davantage dans le recensement et le comblement des lacunes en matière de connaissances.</w:t>
      </w:r>
    </w:p>
    <w:p w14:paraId="086D123D" w14:textId="77777777" w:rsidR="007A31F4" w:rsidRPr="000578E9" w:rsidRDefault="007A31F4" w:rsidP="007A31F4">
      <w:pPr>
        <w:spacing w:after="200"/>
        <w:rPr>
          <w:noProof/>
        </w:rPr>
      </w:pPr>
      <w:r w:rsidRPr="000578E9">
        <w:rPr>
          <w:noProof/>
        </w:rPr>
        <w:t>Les États membres utilisent une série d’approches et une combinaison d’instruments pour surveiller les écosystèmes marins et les pressions sur l’environnement, notamment au moyen du cadre pour la collecte de données</w:t>
      </w:r>
      <w:r w:rsidRPr="000578E9">
        <w:rPr>
          <w:rStyle w:val="FootnoteReference"/>
          <w:noProof/>
        </w:rPr>
        <w:footnoteReference w:id="80"/>
      </w:r>
      <w:r w:rsidRPr="000578E9">
        <w:rPr>
          <w:noProof/>
        </w:rPr>
        <w:t xml:space="preserve"> et des programmes de surveillance au titre de la DCSMM, de la directive «Oiseaux»</w:t>
      </w:r>
      <w:r w:rsidRPr="000578E9">
        <w:rPr>
          <w:rStyle w:val="FootnoteReference"/>
          <w:noProof/>
        </w:rPr>
        <w:footnoteReference w:id="81"/>
      </w:r>
      <w:r w:rsidRPr="000578E9">
        <w:rPr>
          <w:noProof/>
        </w:rPr>
        <w:t xml:space="preserve"> et de la directive «Habitats». Toutefois, des efforts supplémentaires sont nécessaires pour veiller à ce que la surveillance et la collecte de données soient suffisantes pour évaluer les incidences de la pêche sur les espèces et les habitats marins.</w:t>
      </w:r>
    </w:p>
    <w:p w14:paraId="5B616B00" w14:textId="77777777" w:rsidR="0083343C" w:rsidRPr="000578E9" w:rsidRDefault="00331B34" w:rsidP="00EB49B4">
      <w:pPr>
        <w:spacing w:after="120"/>
        <w:rPr>
          <w:noProof/>
        </w:rPr>
      </w:pPr>
      <w:r w:rsidRPr="000578E9">
        <w:rPr>
          <w:noProof/>
        </w:rPr>
        <w:t xml:space="preserve">Ce travail devrait comprendre la conception de programmes de surveillance ciblés afin d’améliorer les observations et la déclaration des espèces capturées accidentellement. Les programmes devraient couvrir les pêcheries à haut risque et les incidences potentielles de tous les segments de flotte concernés, y compris les navires de plus petite taille. Ils devraient </w:t>
      </w:r>
      <w:bookmarkStart w:id="26" w:name="_Hlk116138395"/>
      <w:r w:rsidRPr="000578E9">
        <w:rPr>
          <w:noProof/>
        </w:rPr>
        <w:t>également examiner les données relatives à la pêche récréative, y compris aux bateaux de pêche récréative, et leur incidence sur les stocks et le milieu marin.</w:t>
      </w:r>
      <w:bookmarkEnd w:id="26"/>
      <w:r w:rsidRPr="000578E9">
        <w:rPr>
          <w:noProof/>
        </w:rPr>
        <w:t xml:space="preserve"> Une fois adopté par les colégislateurs, le règlement de contrôle</w:t>
      </w:r>
      <w:r w:rsidRPr="000578E9">
        <w:rPr>
          <w:rStyle w:val="FootnoteReference"/>
          <w:noProof/>
        </w:rPr>
        <w:footnoteReference w:id="82"/>
      </w:r>
      <w:r w:rsidRPr="000578E9">
        <w:rPr>
          <w:noProof/>
        </w:rPr>
        <w:t xml:space="preserve"> actualisé et modernisé jouera un rôle important dans ces améliorations.</w:t>
      </w:r>
    </w:p>
    <w:p w14:paraId="4352CBB9" w14:textId="77777777" w:rsidR="00F53133" w:rsidRPr="000578E9" w:rsidRDefault="007A161A" w:rsidP="00E35C09">
      <w:pPr>
        <w:spacing w:after="120"/>
        <w:rPr>
          <w:noProof/>
        </w:rPr>
      </w:pPr>
      <w:r w:rsidRPr="000578E9">
        <w:rPr>
          <w:noProof/>
        </w:rPr>
        <w:t>Il est également nécessaire de renforcer la recherche et la collecte de données pour développer les connaissances sur l’état des fonds marins et les incidences de la pêche sur les habitats des fonds marins, y compris sur la répartition et la fréquence des activités de pêche de fond</w:t>
      </w:r>
      <w:r w:rsidRPr="000578E9">
        <w:rPr>
          <w:rStyle w:val="FootnoteReference"/>
          <w:noProof/>
        </w:rPr>
        <w:footnoteReference w:id="83"/>
      </w:r>
      <w:bookmarkStart w:id="27" w:name="_Hlk117037573"/>
      <w:r w:rsidRPr="000578E9">
        <w:rPr>
          <w:noProof/>
        </w:rPr>
        <w:t xml:space="preserve"> </w:t>
      </w:r>
      <w:bookmarkEnd w:id="27"/>
      <w:r w:rsidRPr="000578E9">
        <w:rPr>
          <w:noProof/>
        </w:rPr>
        <w:t xml:space="preserve"> et leur incidence sur la séquestration du carbone. La Commission lancera une étude afin de quantifier la capacité de stockage de carbone des différents types d’habitats des fonds marins dans les eaux de l’Union et les incidences potentielles de la pêche de fond sur cette capacité.</w:t>
      </w:r>
    </w:p>
    <w:p w14:paraId="5A5E4130" w14:textId="77777777" w:rsidR="004A6EFD" w:rsidRPr="000578E9" w:rsidRDefault="00F353A1" w:rsidP="00E35C09">
      <w:pPr>
        <w:spacing w:after="120"/>
        <w:rPr>
          <w:noProof/>
        </w:rPr>
      </w:pPr>
      <w:r w:rsidRPr="000578E9">
        <w:rPr>
          <w:noProof/>
        </w:rPr>
        <w:t>La transition vers des pratiques de pêche plus sélectives et moins préjudiciables à l’environnement nécessite une évaluation systématique des coûts et des avantages, pour aider les pêcheurs, les autres entreprises du secteur et la société dans son ensemble. Pour ce faire, il faut de meilleures méthodes de modélisation pour prédire et évaluer les effets sociaux, économiques et environnementaux des mesures de conservation actuelles et futures. D’ici la fin de l’année 2023, la Commission commencera à mettre au point un outil de modélisation pour intégrer le concept de «capital naturel» dans les décisions économiques. À cette fin, il faudra évaluer et quantifier à la fois la valeur économique des services écosystémiques marins et les coûts et avantages socio-économiques liés au maintien du milieu marin en bonne santé</w:t>
      </w:r>
      <w:bookmarkStart w:id="28" w:name="_Hlk116415460"/>
      <w:r w:rsidRPr="000578E9">
        <w:rPr>
          <w:noProof/>
        </w:rPr>
        <w:t>.</w:t>
      </w:r>
    </w:p>
    <w:p w14:paraId="6CF7A521" w14:textId="77777777" w:rsidR="007A31F4" w:rsidRPr="000578E9" w:rsidRDefault="008A0E2E" w:rsidP="00966A5C">
      <w:pPr>
        <w:spacing w:after="200"/>
        <w:rPr>
          <w:noProof/>
        </w:rPr>
      </w:pPr>
      <w:bookmarkStart w:id="29" w:name="_Hlk126075225"/>
      <w:bookmarkEnd w:id="28"/>
      <w:r w:rsidRPr="000578E9">
        <w:rPr>
          <w:noProof/>
        </w:rPr>
        <w:t>Il est essentiel d’envoyer des demandes d’avis scientifique à des organismes tels que le CIEM et le CSTEP, afin de veiller à ce que la politique soit guidée par les meilleurs avis scientifiques disponibles. Pour cette raison, et compte tenu de l’obligation légale dans le cadre de la PCP de consulter le CSTEP sur le droit dérivé, les membres du nouveau CSTEP (2022-2025) fournissent une expertise dans les domaines particulièrement pertinents pour la mise en œuvre et le soutien du présent plan d’action.</w:t>
      </w:r>
    </w:p>
    <w:bookmarkEnd w:id="29"/>
    <w:p w14:paraId="7386C2E5" w14:textId="77777777" w:rsidR="008040A7" w:rsidRPr="000578E9" w:rsidRDefault="008068D8" w:rsidP="00C32ACC">
      <w:pPr>
        <w:autoSpaceDE w:val="0"/>
        <w:autoSpaceDN w:val="0"/>
        <w:spacing w:after="0"/>
        <w:rPr>
          <w:noProof/>
        </w:rPr>
      </w:pPr>
      <w:r w:rsidRPr="000578E9">
        <w:rPr>
          <w:noProof/>
        </w:rPr>
        <w:t>L’Agence européenne pour l’environnement (AEE) apporte également un soutien essentiel à la Commission pour cartographier le réseau de zones marines protégées dans les eaux de l’Union et évaluer sa cohérence, ainsi que pour évaluer l’état des espèces, des habitats et des écosystèmes marins et les pressions exercées sur ceux-ci. Le soutien de l’AEE à la mise en œuvre de la stratégie en faveur de la biodiversité concerne principalement les zones protégées, y compris le suivi des mesures de gestion de la pêche dans les ZMP, et sera particulièrement pertinent pour les travaux décrits dans le présent plan d’action. La Commission entend renforcer la coopération avec l’AEE pour faciliter la mise en œuvre du présent plan d’action, notamment en adaptant les systèmes actuels de rapports sur l’état de l’environnement.</w:t>
      </w:r>
    </w:p>
    <w:p w14:paraId="13EFB837" w14:textId="77777777" w:rsidR="00C32ACC" w:rsidRPr="000578E9" w:rsidRDefault="00C32ACC" w:rsidP="00C32ACC">
      <w:pPr>
        <w:autoSpaceDE w:val="0"/>
        <w:autoSpaceDN w:val="0"/>
        <w:spacing w:after="0"/>
        <w:rPr>
          <w:noProof/>
        </w:rPr>
      </w:pPr>
    </w:p>
    <w:p w14:paraId="6E7AD48B" w14:textId="77777777" w:rsidR="005C7F2A" w:rsidRPr="000578E9" w:rsidRDefault="002B5A7C" w:rsidP="00C32ACC">
      <w:pPr>
        <w:rPr>
          <w:noProof/>
        </w:rPr>
      </w:pPr>
      <w:r w:rsidRPr="000578E9">
        <w:rPr>
          <w:noProof/>
        </w:rPr>
        <w:t>Le réseau européen d’observation et de données du milieu marin (EMODnet) soutiendra également la mise en œuvre efficace du présent plan d’action, étant donné qu’il s’agit d’un autre outil essentiel pour enrichir la base de connaissances sur les mers européennes. Il offre un accès gratuit et illimité aux données marines collectées sur le terrain, couvrant sept disciplines thématiques</w:t>
      </w:r>
      <w:r w:rsidRPr="000578E9">
        <w:rPr>
          <w:rStyle w:val="FootnoteReference"/>
          <w:noProof/>
        </w:rPr>
        <w:footnoteReference w:id="84"/>
      </w:r>
      <w:r w:rsidRPr="000578E9">
        <w:rPr>
          <w:noProof/>
        </w:rPr>
        <w:t>. Ce réseau et le service Copernicus de surveillance du milieu marin fourniront les données qui seront au cœur du jumeau numérique européen de l’océan, une plateforme de modélisation numérique qui renforcera notre capacité à examiner et à évaluer les solutions de remplacement stratégiques pour le milieu marin en testant différents scénarios de gestion. Pour ce faire, la plateforme intégrera des informations environnementales, sociales et financières.</w:t>
      </w:r>
    </w:p>
    <w:p w14:paraId="7938CC08" w14:textId="77777777" w:rsidR="008A6AA6" w:rsidRPr="000578E9" w:rsidRDefault="00B10267" w:rsidP="007C0E71">
      <w:pPr>
        <w:spacing w:after="0"/>
        <w:rPr>
          <w:noProof/>
        </w:rPr>
      </w:pPr>
      <w:r w:rsidRPr="000578E9">
        <w:rPr>
          <w:noProof/>
        </w:rPr>
        <w:t>Le programme de recherche et d’innovation de l’Union européenne soutient la durabilité de la pêche, la conservation et le rétablissement de la biodiversité marine. En particulier, un soutien est disponible par l’intermédiaire d’Horizon Europe, tant dans le cadre de son programme de travail général</w:t>
      </w:r>
      <w:r w:rsidRPr="000578E9">
        <w:rPr>
          <w:rStyle w:val="FootnoteReference"/>
          <w:noProof/>
        </w:rPr>
        <w:footnoteReference w:id="85"/>
      </w:r>
      <w:r w:rsidRPr="000578E9">
        <w:rPr>
          <w:noProof/>
        </w:rPr>
        <w:t xml:space="preserve"> qu’au moyen de la mission «Restaurer notre océan et notre milieu aquatique d’ici à 2030» (mission «Océan et milieu aquatique») et de ses phares de bassins régionaux</w:t>
      </w:r>
      <w:r w:rsidRPr="000578E9">
        <w:rPr>
          <w:rStyle w:val="FootnoteReference"/>
          <w:noProof/>
        </w:rPr>
        <w:footnoteReference w:id="86"/>
      </w:r>
      <w:r w:rsidRPr="000578E9">
        <w:rPr>
          <w:noProof/>
        </w:rPr>
        <w:t xml:space="preserve">. Il peut soutenir la recherche et l’innovation en matière de durabilité de la pêche et de conservation et de rétablissement de la biodiversité marine. </w:t>
      </w:r>
    </w:p>
    <w:p w14:paraId="12F852B5" w14:textId="77777777" w:rsidR="008A6AA6" w:rsidRPr="000578E9" w:rsidRDefault="008A6AA6" w:rsidP="007C0E71">
      <w:pPr>
        <w:spacing w:after="0"/>
        <w:rPr>
          <w:noProof/>
        </w:rPr>
      </w:pPr>
    </w:p>
    <w:p w14:paraId="5B89B0B6" w14:textId="77777777" w:rsidR="008A6AA6" w:rsidRPr="000578E9" w:rsidRDefault="00874766" w:rsidP="008A6AA6">
      <w:pPr>
        <w:spacing w:after="0"/>
        <w:rPr>
          <w:noProof/>
        </w:rPr>
      </w:pPr>
      <w:r w:rsidRPr="000578E9">
        <w:rPr>
          <w:noProof/>
        </w:rPr>
        <w:t>La mission «Océan et milieu aquatique» fixe des objectifs ambitieux en matière de protection et de restauration des écosystèmes marins et d’eau douce et de la biodiversité. Parmi ses priorités figurent les engins de pêche intelligents et respectueux de l’environnement, l’utilisation polyvalente de l’espace marin, les petits navires de pêche écologiques et économes en énergie, de plus en plus alimentés par des carburants renouvelables et à faible teneur en carbone, et les opérations connexes. Il s’agira à la fois de renforcer les connaissances sur les différentes composantes des écosystèmes, de mettre au point des solutions innovantes pour protéger les ressources et les habitats marins et d’améliorer les méthodes de surveillance, y compris en recourant à l’intelligence artificielle.</w:t>
      </w:r>
    </w:p>
    <w:p w14:paraId="4C4D107B" w14:textId="77777777" w:rsidR="0046520D" w:rsidRPr="000578E9" w:rsidRDefault="0046520D" w:rsidP="007A31F4">
      <w:pPr>
        <w:spacing w:after="0"/>
        <w:rPr>
          <w:noProof/>
        </w:rPr>
      </w:pPr>
    </w:p>
    <w:p w14:paraId="437E1AC5" w14:textId="77777777" w:rsidR="009A245E" w:rsidRPr="000578E9" w:rsidRDefault="009A245E" w:rsidP="007A31F4">
      <w:pPr>
        <w:spacing w:after="0"/>
        <w:rPr>
          <w:noProof/>
        </w:rPr>
      </w:pPr>
      <w:r w:rsidRPr="000578E9">
        <w:rPr>
          <w:noProof/>
        </w:rPr>
        <w:t>Un soutien supplémentaire à la collecte de données, à la recherche et à l’innovation est disponible dans le cadre des programmes Feampa et LIFE.</w:t>
      </w:r>
    </w:p>
    <w:p w14:paraId="57D5DA78" w14:textId="77777777" w:rsidR="009A245E" w:rsidRPr="000578E9" w:rsidRDefault="009A245E" w:rsidP="007A31F4">
      <w:pPr>
        <w:spacing w:after="0"/>
        <w:rPr>
          <w:noProof/>
        </w:rPr>
      </w:pPr>
    </w:p>
    <w:tbl>
      <w:tblPr>
        <w:tblStyle w:val="TableGrid"/>
        <w:tblW w:w="0" w:type="auto"/>
        <w:tblInd w:w="0" w:type="dxa"/>
        <w:tblLook w:val="04A0" w:firstRow="1" w:lastRow="0" w:firstColumn="1" w:lastColumn="0" w:noHBand="0" w:noVBand="1"/>
      </w:tblPr>
      <w:tblGrid>
        <w:gridCol w:w="8608"/>
      </w:tblGrid>
      <w:tr w:rsidR="0046520D" w:rsidRPr="000578E9" w14:paraId="20D2D2F5" w14:textId="77777777" w:rsidTr="0046520D">
        <w:tc>
          <w:tcPr>
            <w:tcW w:w="8608" w:type="dxa"/>
          </w:tcPr>
          <w:p w14:paraId="422B24CE" w14:textId="77777777" w:rsidR="0046520D" w:rsidRPr="000578E9"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r w:rsidRPr="000578E9">
              <w:rPr>
                <w:rStyle w:val="normaltextrun"/>
                <w:rFonts w:ascii="Times New Roman" w:hAnsi="Times New Roman"/>
                <w:b/>
                <w:noProof/>
                <w:sz w:val="24"/>
              </w:rPr>
              <w:t>Action visant à renforcer la base de connaissances, la recherche et l’innovation</w:t>
            </w:r>
          </w:p>
          <w:p w14:paraId="0C2FCC4E" w14:textId="77777777" w:rsidR="0046520D" w:rsidRPr="000578E9"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p>
          <w:p w14:paraId="20BD7B2B" w14:textId="77777777" w:rsidR="0046520D" w:rsidRPr="000578E9" w:rsidRDefault="003C5945" w:rsidP="0046520D">
            <w:pPr>
              <w:pStyle w:val="paragraph"/>
              <w:spacing w:before="0" w:beforeAutospacing="0" w:after="0" w:afterAutospacing="0"/>
              <w:jc w:val="both"/>
              <w:textAlignment w:val="baseline"/>
              <w:rPr>
                <w:rFonts w:ascii="Times New Roman" w:eastAsia="Yu Gothic Light" w:hAnsi="Times New Roman" w:cs="Times New Roman"/>
                <w:bCs/>
                <w:noProof/>
                <w:sz w:val="24"/>
                <w:u w:val="single"/>
              </w:rPr>
            </w:pPr>
            <w:r w:rsidRPr="000578E9">
              <w:rPr>
                <w:rFonts w:ascii="Times New Roman" w:hAnsi="Times New Roman"/>
                <w:noProof/>
                <w:sz w:val="24"/>
                <w:u w:val="single"/>
              </w:rPr>
              <w:t>La Commission invite les États membres à prendre les mesures suivantes:</w:t>
            </w:r>
          </w:p>
          <w:p w14:paraId="202AE841" w14:textId="77777777" w:rsidR="0046520D" w:rsidRPr="000578E9" w:rsidRDefault="0046520D" w:rsidP="0046520D">
            <w:pPr>
              <w:pStyle w:val="paragraph"/>
              <w:spacing w:before="0" w:beforeAutospacing="0" w:after="0" w:afterAutospacing="0"/>
              <w:jc w:val="both"/>
              <w:textAlignment w:val="baseline"/>
              <w:rPr>
                <w:rFonts w:ascii="Times New Roman" w:eastAsia="Yu Gothic Light" w:hAnsi="Times New Roman" w:cs="Times New Roman"/>
                <w:b/>
                <w:noProof/>
                <w:sz w:val="24"/>
              </w:rPr>
            </w:pPr>
          </w:p>
          <w:p w14:paraId="291CD1F8" w14:textId="77777777" w:rsidR="00E66F9C" w:rsidRPr="000578E9" w:rsidRDefault="00E66F9C" w:rsidP="00E66F9C">
            <w:pPr>
              <w:pStyle w:val="paragraph"/>
              <w:numPr>
                <w:ilvl w:val="0"/>
                <w:numId w:val="20"/>
              </w:numPr>
              <w:spacing w:before="0" w:beforeAutospacing="0" w:after="0" w:afterAutospacing="0"/>
              <w:jc w:val="both"/>
              <w:textAlignment w:val="baseline"/>
              <w:rPr>
                <w:rFonts w:ascii="Times New Roman" w:eastAsia="Times New Roman" w:hAnsi="Times New Roman" w:cs="Times New Roman"/>
                <w:noProof/>
                <w:sz w:val="24"/>
              </w:rPr>
            </w:pPr>
            <w:r w:rsidRPr="000578E9">
              <w:rPr>
                <w:rFonts w:ascii="Times New Roman" w:hAnsi="Times New Roman"/>
                <w:noProof/>
                <w:sz w:val="24"/>
              </w:rPr>
              <w:t>recenser et mettre au point des solutions et des mesures d’incitation pour réduire les incidences de la pêche sur l’environnement, telles que des engins de pêche innovants, de nouveaux modes de pêche et de meilleures pratiques de pêche. À cette fin, les États membres peuvent compter sur des fonds nationaux et de l’Union consacrés à la recherche et sur la participation des parties prenantes, en particulier pour financer des actions de sensibilisation et des formations spécialisées (et régionales), par exemple sur les bonnes pratiques en matière d’intendance des mers;</w:t>
            </w:r>
          </w:p>
          <w:p w14:paraId="51AFCE17" w14:textId="77777777" w:rsidR="0046520D" w:rsidRPr="000578E9" w:rsidRDefault="0046520D" w:rsidP="0046520D">
            <w:pPr>
              <w:pStyle w:val="paragraph"/>
              <w:spacing w:before="0" w:beforeAutospacing="0" w:after="0" w:afterAutospacing="0"/>
              <w:ind w:left="720"/>
              <w:jc w:val="both"/>
              <w:textAlignment w:val="baseline"/>
              <w:rPr>
                <w:rFonts w:ascii="Times New Roman" w:eastAsia="Times New Roman" w:hAnsi="Times New Roman" w:cs="Times New Roman"/>
                <w:noProof/>
                <w:sz w:val="24"/>
              </w:rPr>
            </w:pPr>
          </w:p>
          <w:p w14:paraId="60822EA2" w14:textId="77777777" w:rsidR="0046520D" w:rsidRPr="000578E9"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rPr>
            </w:pPr>
            <w:r w:rsidRPr="000578E9">
              <w:rPr>
                <w:rFonts w:ascii="Times New Roman" w:hAnsi="Times New Roman"/>
                <w:noProof/>
                <w:sz w:val="24"/>
              </w:rPr>
              <w:t>d’ici fin 2023, définir, dans le cadre de la législation de l’Union en matière d’environnement et de pêche, des objectifs et les données spécifiques nécessaires pour chaque bassin maritime afin de surveiller l’incidence de la pêche sur les écosystèmes et la séquestration du carbone, en associant les autorités au niveau régional, le cas échéant, puis en allouant des fonds suffisants pour ces activités;</w:t>
            </w:r>
          </w:p>
          <w:p w14:paraId="7D43D45D" w14:textId="77777777" w:rsidR="0046520D" w:rsidRPr="000578E9" w:rsidRDefault="0046520D" w:rsidP="0046520D">
            <w:pPr>
              <w:pStyle w:val="ListParagraph"/>
              <w:spacing w:after="0"/>
              <w:contextualSpacing w:val="0"/>
              <w:rPr>
                <w:rFonts w:ascii="Times New Roman" w:hAnsi="Times New Roman" w:cs="Times New Roman"/>
                <w:noProof/>
                <w:sz w:val="24"/>
                <w:szCs w:val="24"/>
              </w:rPr>
            </w:pPr>
          </w:p>
          <w:p w14:paraId="2E36F9FC" w14:textId="77777777" w:rsidR="0046520D" w:rsidRPr="000578E9"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rPr>
            </w:pPr>
            <w:r w:rsidRPr="000578E9">
              <w:rPr>
                <w:rFonts w:ascii="Times New Roman" w:hAnsi="Times New Roman"/>
                <w:noProof/>
                <w:sz w:val="24"/>
              </w:rPr>
              <w:t>d’ici fin 2024</w:t>
            </w:r>
            <w:r w:rsidRPr="000578E9">
              <w:rPr>
                <w:rStyle w:val="FootnoteReference"/>
                <w:noProof/>
              </w:rPr>
              <w:footnoteReference w:id="87"/>
            </w:r>
            <w:r w:rsidRPr="000578E9">
              <w:rPr>
                <w:rFonts w:ascii="Times New Roman" w:hAnsi="Times New Roman"/>
                <w:noProof/>
                <w:sz w:val="24"/>
              </w:rPr>
              <w:t>, présenter des plans de travail nationaux actualisés relatifs au cadre pour la collecte de données</w:t>
            </w:r>
            <w:r w:rsidRPr="000578E9">
              <w:rPr>
                <w:rStyle w:val="FootnoteReference"/>
                <w:rFonts w:ascii="Times New Roman" w:hAnsi="Times New Roman" w:cs="Times New Roman"/>
                <w:noProof/>
                <w:sz w:val="24"/>
              </w:rPr>
              <w:footnoteReference w:id="88"/>
            </w:r>
            <w:r w:rsidRPr="000578E9">
              <w:rPr>
                <w:rFonts w:ascii="Times New Roman" w:hAnsi="Times New Roman"/>
                <w:noProof/>
                <w:sz w:val="24"/>
              </w:rPr>
              <w:t xml:space="preserve"> afin d’améliorer la planification et les efforts en matière de collecte de données, y compris en ce qui concerne les prises accessoires d’espèces sensibles et l’incidence de la pêche sur les fonds marins;</w:t>
            </w:r>
          </w:p>
          <w:p w14:paraId="0E20F850" w14:textId="77777777" w:rsidR="0046520D" w:rsidRPr="000578E9" w:rsidRDefault="0046520D" w:rsidP="0046520D">
            <w:pPr>
              <w:pStyle w:val="paragraph"/>
              <w:spacing w:before="0" w:beforeAutospacing="0" w:after="0" w:afterAutospacing="0"/>
              <w:jc w:val="both"/>
              <w:textAlignment w:val="baseline"/>
              <w:rPr>
                <w:rFonts w:ascii="Times New Roman" w:hAnsi="Times New Roman" w:cs="Times New Roman"/>
                <w:noProof/>
                <w:sz w:val="24"/>
              </w:rPr>
            </w:pPr>
          </w:p>
          <w:p w14:paraId="21E2DEA5" w14:textId="77777777" w:rsidR="00302B7E" w:rsidRPr="000578E9" w:rsidRDefault="00302B7E" w:rsidP="0046520D">
            <w:pPr>
              <w:pStyle w:val="paragraph"/>
              <w:spacing w:before="0" w:beforeAutospacing="0" w:after="0" w:afterAutospacing="0"/>
              <w:jc w:val="both"/>
              <w:textAlignment w:val="baseline"/>
              <w:rPr>
                <w:rFonts w:ascii="Times New Roman" w:hAnsi="Times New Roman" w:cs="Times New Roman"/>
                <w:noProof/>
                <w:sz w:val="24"/>
              </w:rPr>
            </w:pPr>
          </w:p>
          <w:p w14:paraId="178421A8" w14:textId="77777777" w:rsidR="00302B7E" w:rsidRPr="000578E9" w:rsidRDefault="00302B7E" w:rsidP="0046520D">
            <w:pPr>
              <w:pStyle w:val="paragraph"/>
              <w:spacing w:before="0" w:beforeAutospacing="0" w:after="0" w:afterAutospacing="0"/>
              <w:jc w:val="both"/>
              <w:textAlignment w:val="baseline"/>
              <w:rPr>
                <w:rFonts w:ascii="Times New Roman" w:hAnsi="Times New Roman" w:cs="Times New Roman"/>
                <w:noProof/>
                <w:sz w:val="24"/>
              </w:rPr>
            </w:pPr>
          </w:p>
          <w:p w14:paraId="430BE8F9" w14:textId="77777777" w:rsidR="0046520D" w:rsidRPr="000578E9" w:rsidRDefault="00F15957" w:rsidP="0046520D">
            <w:pPr>
              <w:pStyle w:val="paragraph"/>
              <w:spacing w:before="0" w:beforeAutospacing="0" w:after="0" w:afterAutospacing="0"/>
              <w:jc w:val="both"/>
              <w:textAlignment w:val="baseline"/>
              <w:rPr>
                <w:rStyle w:val="normaltextrun"/>
                <w:rFonts w:ascii="Times New Roman" w:eastAsia="Yu Gothic Light" w:hAnsi="Times New Roman" w:cs="Times New Roman"/>
                <w:bCs/>
                <w:noProof/>
                <w:sz w:val="24"/>
                <w:u w:val="single"/>
              </w:rPr>
            </w:pPr>
            <w:r w:rsidRPr="000578E9">
              <w:rPr>
                <w:rStyle w:val="normaltextrun"/>
                <w:rFonts w:ascii="Times New Roman" w:hAnsi="Times New Roman"/>
                <w:noProof/>
                <w:sz w:val="24"/>
                <w:u w:val="single"/>
              </w:rPr>
              <w:t>La Commission:</w:t>
            </w:r>
          </w:p>
          <w:p w14:paraId="3AF5621D" w14:textId="77777777" w:rsidR="0046520D" w:rsidRPr="000578E9"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p>
          <w:p w14:paraId="72C1BB36" w14:textId="77777777" w:rsidR="0046520D" w:rsidRPr="000578E9" w:rsidRDefault="0046520D" w:rsidP="00F359EE">
            <w:pPr>
              <w:pStyle w:val="ListParagraph"/>
              <w:numPr>
                <w:ilvl w:val="0"/>
                <w:numId w:val="20"/>
              </w:numPr>
              <w:spacing w:after="0"/>
              <w:rPr>
                <w:rStyle w:val="normaltextrun"/>
                <w:rFonts w:ascii="Times New Roman" w:eastAsia="Yu Gothic Light" w:hAnsi="Times New Roman" w:cs="Times New Roman"/>
                <w:noProof/>
                <w:sz w:val="24"/>
                <w:szCs w:val="24"/>
              </w:rPr>
            </w:pPr>
            <w:r w:rsidRPr="000578E9">
              <w:rPr>
                <w:rStyle w:val="normaltextrun"/>
                <w:rFonts w:ascii="Times New Roman" w:hAnsi="Times New Roman"/>
                <w:noProof/>
                <w:sz w:val="24"/>
              </w:rPr>
              <w:t>tout au long de la période budgétaire 2021-2027 (et des prochains programmes de travail pour Horizon Europe, y compris la mission «Océan et milieu aquatique», le Feampa et LIFE, en particulier), encouragera l’utilisation de fonds pour des conseils, la recherche et l’innovation. Ces fonds devraient cibler spécifiquement des mesures visant à concevoir et à tester des engins et des techniques innovants pour lutter contre les prises accessoires accidentelles, et à quantifier la capacité de séquestration du carbone des fonds marins de l’Union et les incidences potentielles de la pêche de fond;</w:t>
            </w:r>
          </w:p>
          <w:p w14:paraId="0D380E2A" w14:textId="77777777" w:rsidR="0046520D" w:rsidRPr="000578E9" w:rsidRDefault="0046520D" w:rsidP="0046520D">
            <w:pPr>
              <w:pStyle w:val="ListParagraph"/>
              <w:spacing w:after="0"/>
              <w:ind w:left="714"/>
              <w:contextualSpacing w:val="0"/>
              <w:rPr>
                <w:rStyle w:val="normaltextrun"/>
                <w:rFonts w:ascii="Times New Roman" w:eastAsia="Yu Gothic Light" w:hAnsi="Times New Roman" w:cs="Times New Roman"/>
                <w:noProof/>
                <w:sz w:val="24"/>
                <w:szCs w:val="24"/>
              </w:rPr>
            </w:pPr>
          </w:p>
          <w:p w14:paraId="3A842B5D" w14:textId="77777777" w:rsidR="0046520D" w:rsidRPr="000578E9" w:rsidRDefault="0046520D" w:rsidP="0046520D">
            <w:pPr>
              <w:pStyle w:val="paragraph"/>
              <w:numPr>
                <w:ilvl w:val="0"/>
                <w:numId w:val="20"/>
              </w:numPr>
              <w:spacing w:before="0" w:beforeAutospacing="0" w:after="0" w:afterAutospacing="0"/>
              <w:ind w:left="714" w:hanging="357"/>
              <w:jc w:val="both"/>
              <w:textAlignment w:val="baseline"/>
              <w:rPr>
                <w:rStyle w:val="normaltextrun"/>
                <w:rFonts w:ascii="Times New Roman" w:eastAsia="Times New Roman" w:hAnsi="Times New Roman" w:cs="Times New Roman"/>
                <w:noProof/>
                <w:sz w:val="24"/>
              </w:rPr>
            </w:pPr>
            <w:r w:rsidRPr="000578E9">
              <w:rPr>
                <w:rStyle w:val="normaltextrun"/>
                <w:rFonts w:ascii="Times New Roman" w:hAnsi="Times New Roman"/>
                <w:noProof/>
                <w:sz w:val="24"/>
              </w:rPr>
              <w:t>d’ici fin 2023, commencera à mettre au point un outil de modélisation pour intégrer le concept de «capital naturel» dans les décisions économiques. À cette fin, il faudra évaluer et quantifier à la fois la valeur économique des services écosystémiques marins et les coûts et avantages socio-économiques liés au maintien du milieu marin en bonne santé;</w:t>
            </w:r>
          </w:p>
          <w:p w14:paraId="7B805AE9" w14:textId="77777777" w:rsidR="0046520D" w:rsidRPr="000578E9" w:rsidRDefault="0046520D" w:rsidP="0046520D">
            <w:pPr>
              <w:pStyle w:val="ListParagraph"/>
              <w:rPr>
                <w:rStyle w:val="normaltextrun"/>
                <w:rFonts w:ascii="Times New Roman" w:eastAsia="Times New Roman" w:hAnsi="Times New Roman" w:cs="Times New Roman"/>
                <w:noProof/>
                <w:sz w:val="24"/>
                <w:szCs w:val="24"/>
              </w:rPr>
            </w:pPr>
          </w:p>
          <w:p w14:paraId="062C8B78" w14:textId="77777777" w:rsidR="0046520D" w:rsidRPr="000578E9" w:rsidRDefault="0046520D" w:rsidP="007B2515">
            <w:pPr>
              <w:pStyle w:val="ListParagraph"/>
              <w:numPr>
                <w:ilvl w:val="0"/>
                <w:numId w:val="20"/>
              </w:numPr>
              <w:rPr>
                <w:rStyle w:val="normaltextrun"/>
                <w:rFonts w:ascii="Times New Roman" w:hAnsi="Times New Roman" w:cs="Times New Roman"/>
                <w:noProof/>
                <w:sz w:val="24"/>
                <w:szCs w:val="24"/>
              </w:rPr>
            </w:pPr>
            <w:r w:rsidRPr="000578E9">
              <w:rPr>
                <w:rFonts w:ascii="Times New Roman" w:hAnsi="Times New Roman"/>
                <w:noProof/>
                <w:sz w:val="24"/>
              </w:rPr>
              <w:t xml:space="preserve">d’ici fin 2023, </w:t>
            </w:r>
            <w:r w:rsidRPr="000578E9">
              <w:rPr>
                <w:rStyle w:val="normaltextrun"/>
                <w:rFonts w:ascii="Times New Roman" w:hAnsi="Times New Roman"/>
                <w:noProof/>
                <w:sz w:val="24"/>
              </w:rPr>
              <w:t>rassemblera</w:t>
            </w:r>
            <w:r w:rsidRPr="000578E9">
              <w:rPr>
                <w:rFonts w:ascii="Times New Roman" w:hAnsi="Times New Roman"/>
                <w:noProof/>
                <w:sz w:val="24"/>
              </w:rPr>
              <w:t xml:space="preserve"> les sept domaines thématiques de l’EMODnet que sont la bathymétrie, la géologie, les habitats des fonds marins, la chimie, la biologie, la physique et les activités humaines sur un portail à entrée unique, afin d’améliorer la visibilité et la convivialité;</w:t>
            </w:r>
          </w:p>
          <w:p w14:paraId="75EF2094" w14:textId="77777777" w:rsidR="0046520D" w:rsidRPr="000578E9" w:rsidRDefault="00643848" w:rsidP="0046520D">
            <w:pPr>
              <w:pStyle w:val="paragraph"/>
              <w:numPr>
                <w:ilvl w:val="0"/>
                <w:numId w:val="20"/>
              </w:numPr>
              <w:spacing w:before="0" w:beforeAutospacing="0" w:after="0" w:afterAutospacing="0"/>
              <w:jc w:val="both"/>
              <w:textAlignment w:val="baseline"/>
              <w:rPr>
                <w:rStyle w:val="normaltextrun"/>
                <w:rFonts w:ascii="Times New Roman" w:hAnsi="Times New Roman" w:cs="Times New Roman"/>
                <w:noProof/>
                <w:sz w:val="24"/>
              </w:rPr>
            </w:pPr>
            <w:r w:rsidRPr="000578E9">
              <w:rPr>
                <w:rStyle w:val="normaltextrun"/>
                <w:rFonts w:ascii="Times New Roman" w:hAnsi="Times New Roman"/>
                <w:noProof/>
                <w:sz w:val="24"/>
              </w:rPr>
              <w:t>en 2024, lancera une étude quantifiant la capacité de stockage du carbone des fonds marins de l’Union et les incidences possibles des activités de pêche de fond sur cette capacité;</w:t>
            </w:r>
          </w:p>
          <w:p w14:paraId="71C1D17D" w14:textId="77777777" w:rsidR="0046520D" w:rsidRPr="000578E9" w:rsidRDefault="0046520D" w:rsidP="0046520D">
            <w:pPr>
              <w:pStyle w:val="paragraph"/>
              <w:spacing w:before="0" w:beforeAutospacing="0" w:after="0" w:afterAutospacing="0"/>
              <w:ind w:left="720"/>
              <w:jc w:val="both"/>
              <w:textAlignment w:val="baseline"/>
              <w:rPr>
                <w:rStyle w:val="normaltextrun"/>
                <w:rFonts w:ascii="Times New Roman" w:eastAsia="Yu Gothic Light" w:hAnsi="Times New Roman" w:cs="Times New Roman"/>
                <w:noProof/>
                <w:sz w:val="24"/>
              </w:rPr>
            </w:pPr>
          </w:p>
          <w:p w14:paraId="338E8ED7" w14:textId="77777777" w:rsidR="0046520D" w:rsidRPr="000578E9" w:rsidRDefault="00F353A1" w:rsidP="0046520D">
            <w:pPr>
              <w:pStyle w:val="paragraph"/>
              <w:numPr>
                <w:ilvl w:val="0"/>
                <w:numId w:val="20"/>
              </w:numPr>
              <w:spacing w:before="0" w:beforeAutospacing="0" w:after="0" w:afterAutospacing="0"/>
              <w:jc w:val="both"/>
              <w:textAlignment w:val="baseline"/>
              <w:rPr>
                <w:rFonts w:ascii="Times New Roman" w:eastAsia="Yu Gothic Light" w:hAnsi="Times New Roman" w:cs="Times New Roman"/>
                <w:noProof/>
                <w:sz w:val="24"/>
              </w:rPr>
            </w:pPr>
            <w:r w:rsidRPr="000578E9">
              <w:rPr>
                <w:rStyle w:val="normaltextrun"/>
                <w:rFonts w:ascii="Times New Roman" w:hAnsi="Times New Roman"/>
                <w:noProof/>
                <w:sz w:val="24"/>
              </w:rPr>
              <w:t>en 2024, lancera les travaux préparatoires en vue de mettre au point</w:t>
            </w:r>
            <w:r w:rsidRPr="000578E9">
              <w:rPr>
                <w:rFonts w:ascii="Times New Roman" w:hAnsi="Times New Roman"/>
                <w:noProof/>
                <w:sz w:val="24"/>
              </w:rPr>
              <w:t xml:space="preserve"> une plateforme interactive sur les engins de pêche sélectifs et innovants</w:t>
            </w:r>
            <w:r w:rsidRPr="000578E9">
              <w:rPr>
                <w:rStyle w:val="normaltextrun"/>
                <w:noProof/>
              </w:rPr>
              <w:t xml:space="preserve">, </w:t>
            </w:r>
            <w:r w:rsidRPr="000578E9">
              <w:rPr>
                <w:rStyle w:val="normaltextrun"/>
                <w:rFonts w:ascii="Times New Roman" w:hAnsi="Times New Roman"/>
                <w:noProof/>
                <w:sz w:val="24"/>
              </w:rPr>
              <w:t>permettant de partager les connaissances</w:t>
            </w:r>
            <w:r w:rsidRPr="000578E9">
              <w:rPr>
                <w:rFonts w:ascii="Times New Roman" w:hAnsi="Times New Roman"/>
                <w:noProof/>
                <w:sz w:val="24"/>
              </w:rPr>
              <w:t xml:space="preserve"> et les bonnes pratiques;</w:t>
            </w:r>
          </w:p>
          <w:p w14:paraId="7F0A8D44" w14:textId="77777777" w:rsidR="0046520D" w:rsidRPr="000578E9" w:rsidRDefault="0046520D" w:rsidP="0046520D">
            <w:pPr>
              <w:pStyle w:val="ListParagraph"/>
              <w:rPr>
                <w:rFonts w:ascii="Times New Roman" w:eastAsia="Yu Gothic Light" w:hAnsi="Times New Roman" w:cs="Times New Roman"/>
                <w:noProof/>
                <w:sz w:val="24"/>
                <w:szCs w:val="24"/>
              </w:rPr>
            </w:pPr>
          </w:p>
          <w:p w14:paraId="52DA6EA0" w14:textId="77777777" w:rsidR="0046520D" w:rsidRPr="000578E9" w:rsidRDefault="0046520D" w:rsidP="00D123CF">
            <w:pPr>
              <w:pStyle w:val="ListParagraph"/>
              <w:numPr>
                <w:ilvl w:val="0"/>
                <w:numId w:val="20"/>
              </w:numPr>
              <w:rPr>
                <w:rFonts w:ascii="Times New Roman" w:hAnsi="Times New Roman" w:cs="Times New Roman"/>
                <w:noProof/>
                <w:sz w:val="24"/>
                <w:szCs w:val="24"/>
              </w:rPr>
            </w:pPr>
            <w:r w:rsidRPr="000578E9">
              <w:rPr>
                <w:rStyle w:val="normaltextrun"/>
                <w:rFonts w:ascii="Times New Roman" w:hAnsi="Times New Roman"/>
                <w:noProof/>
                <w:sz w:val="24"/>
              </w:rPr>
              <w:t>d’ici fin 2025, dans le cadre des prochains programmes de travail d’Horizon Europe 2025-2027, y compris du plan de travail de la mission «Océan et milieu aquatique», mettra au point des solutions modulables visant à préserver les ressources halieutiques et à protéger les écosystèmes marins e</w:t>
            </w:r>
            <w:r w:rsidRPr="000578E9">
              <w:rPr>
                <w:rStyle w:val="normaltextrun"/>
                <w:noProof/>
              </w:rPr>
              <w:t xml:space="preserve">n créant </w:t>
            </w:r>
            <w:r w:rsidRPr="000578E9">
              <w:rPr>
                <w:rStyle w:val="normaltextrun"/>
                <w:rFonts w:ascii="Times New Roman" w:hAnsi="Times New Roman"/>
                <w:noProof/>
                <w:sz w:val="24"/>
              </w:rPr>
              <w:t xml:space="preserve">des zones marines protégées, en réduisant et en endiguant la pollution marine, et en réduisant l’incidence de la pêche sur l’environnement. </w:t>
            </w:r>
          </w:p>
        </w:tc>
      </w:tr>
    </w:tbl>
    <w:p w14:paraId="52F3CAE2" w14:textId="77777777" w:rsidR="001F0B14" w:rsidRPr="000578E9" w:rsidRDefault="001F0B14" w:rsidP="001F0B14">
      <w:pPr>
        <w:pStyle w:val="Heading1"/>
        <w:rPr>
          <w:noProof/>
        </w:rPr>
      </w:pPr>
      <w:bookmarkStart w:id="30" w:name="_Toc91147201"/>
      <w:bookmarkStart w:id="31" w:name="_Toc110232907"/>
      <w:r w:rsidRPr="000578E9">
        <w:rPr>
          <w:noProof/>
        </w:rPr>
        <w:t>Suivi et exécution</w:t>
      </w:r>
      <w:bookmarkEnd w:id="30"/>
      <w:bookmarkEnd w:id="31"/>
    </w:p>
    <w:p w14:paraId="6DBB1DAF" w14:textId="77777777" w:rsidR="001F0B14" w:rsidRPr="000578E9" w:rsidRDefault="001F0B14" w:rsidP="001F0B14">
      <w:pPr>
        <w:spacing w:after="200"/>
        <w:rPr>
          <w:noProof/>
        </w:rPr>
      </w:pPr>
      <w:r w:rsidRPr="000578E9">
        <w:rPr>
          <w:noProof/>
        </w:rPr>
        <w:t>La législation de l’Union européenne dans le domaine de la pêche et de l’environnement n’est efficace que si elle est mise en œuvre. Les États membres doivent prendre des mesures pour mettre en œuvre et faire respecter les règles et assurer le suivi de celles-ci, et la Commission doit contrôler le respect de ces règles par les États membres.</w:t>
      </w:r>
    </w:p>
    <w:p w14:paraId="3E6EBDC2" w14:textId="77777777" w:rsidR="001F0B14" w:rsidRPr="000578E9" w:rsidRDefault="001F0B14" w:rsidP="001F0B14">
      <w:pPr>
        <w:spacing w:after="200"/>
        <w:rPr>
          <w:noProof/>
        </w:rPr>
      </w:pPr>
      <w:r w:rsidRPr="000578E9">
        <w:rPr>
          <w:noProof/>
        </w:rPr>
        <w:t>Le suivi et l’exécution des règles de la PCP</w:t>
      </w:r>
      <w:r w:rsidRPr="000578E9">
        <w:rPr>
          <w:rStyle w:val="FootnoteReference"/>
          <w:noProof/>
        </w:rPr>
        <w:footnoteReference w:id="89"/>
      </w:r>
      <w:r w:rsidRPr="000578E9">
        <w:rPr>
          <w:noProof/>
        </w:rPr>
        <w:t xml:space="preserve"> par les États membres sont principalement régis par le règlement relatif au contrôle de la pêche, que la Commission avait proposé de renforcer en 2018</w:t>
      </w:r>
      <w:r w:rsidRPr="000578E9">
        <w:rPr>
          <w:rStyle w:val="FootnoteReference"/>
          <w:noProof/>
        </w:rPr>
        <w:footnoteReference w:id="90"/>
      </w:r>
      <w:r w:rsidRPr="000578E9">
        <w:rPr>
          <w:noProof/>
        </w:rPr>
        <w:t>. Après près de cinq ans de discussions et de négociations interinstitutionnelles, il est urgent de parachever la révision et de mettre en place un système de surveillance actualisé, plus moderne et plus efficace pour soutenir la transition vers une pêche plus durable.</w:t>
      </w:r>
    </w:p>
    <w:p w14:paraId="397286A1" w14:textId="77777777" w:rsidR="001F0B14" w:rsidRPr="000578E9" w:rsidRDefault="001F0B14" w:rsidP="001F0B14">
      <w:pPr>
        <w:rPr>
          <w:noProof/>
        </w:rPr>
      </w:pPr>
      <w:r w:rsidRPr="000578E9">
        <w:rPr>
          <w:noProof/>
        </w:rPr>
        <w:t>Outre la mise en œuvre de la directive relative à la protection de l’environnement par le droit pénal</w:t>
      </w:r>
      <w:r w:rsidRPr="000578E9">
        <w:rPr>
          <w:rStyle w:val="FootnoteReference"/>
          <w:noProof/>
        </w:rPr>
        <w:footnoteReference w:id="91"/>
      </w:r>
      <w:r w:rsidRPr="000578E9">
        <w:rPr>
          <w:noProof/>
        </w:rPr>
        <w:t>, les mesures d’exécution prises par la Commission au cours des vingt dernières années ont joué un rôle central dans la mise en œuvre correcte de la législation de l’Union en matière de biodiversité et des règles de la PCP</w:t>
      </w:r>
      <w:r w:rsidRPr="000578E9">
        <w:rPr>
          <w:rStyle w:val="FootnoteReference"/>
          <w:noProof/>
        </w:rPr>
        <w:footnoteReference w:id="92"/>
      </w:r>
      <w:r w:rsidRPr="000578E9">
        <w:rPr>
          <w:noProof/>
        </w:rPr>
        <w:t>. La stratégie en faveur de la biodiversité a renforcé l’engagement de la Commission à faire respecter cette législation, par exemple en ce qui concerne l’achèvement et la gestion efficace des sites Natura 2000 et les prises accessoires d’espèces protégées.</w:t>
      </w:r>
    </w:p>
    <w:p w14:paraId="79A3AF71" w14:textId="77777777" w:rsidR="00A03B3D" w:rsidRPr="000578E9" w:rsidRDefault="001F0B14" w:rsidP="001F0B14">
      <w:pPr>
        <w:rPr>
          <w:noProof/>
        </w:rPr>
      </w:pPr>
      <w:r w:rsidRPr="000578E9">
        <w:rPr>
          <w:noProof/>
        </w:rPr>
        <w:t xml:space="preserve">La Commission renforcera l’exécution de la DCSMM, qui ne s’est jusqu’à présent concentrée que sur les obligations en matière d'établissement de rapports, et elle poursuivra les cas plus importants de mauvaise mise en œuvre de la directive. Dans le cadre du réexamen en cours de la directive, la Commission évaluera également s’il est nécessaire de clarifier certaines obligations juridiques. </w:t>
      </w:r>
    </w:p>
    <w:p w14:paraId="178E83E8" w14:textId="77777777" w:rsidR="001F0B14" w:rsidRPr="000578E9" w:rsidRDefault="001F0B14" w:rsidP="001F0B14">
      <w:pPr>
        <w:rPr>
          <w:noProof/>
        </w:rPr>
      </w:pPr>
      <w:r w:rsidRPr="000578E9">
        <w:rPr>
          <w:noProof/>
        </w:rPr>
        <w:t>Les États membres ont jusqu’à présent sous-utilisé la disposition permettant de demander l’intervention des institutions de l’Union chaque fois qu’ils détectent un problème ayant une incidence sur l’état écologique de leurs eaux marines qu’ils ne peuvent pas résoudre par des mesures nationales ou qui est lié à une autre politique, telle que la pêche</w:t>
      </w:r>
      <w:r w:rsidRPr="000578E9">
        <w:rPr>
          <w:rStyle w:val="FootnoteReference"/>
          <w:noProof/>
        </w:rPr>
        <w:footnoteReference w:id="93"/>
      </w:r>
      <w:r w:rsidRPr="000578E9">
        <w:rPr>
          <w:noProof/>
        </w:rPr>
        <w:t>. La Cour des comptes européenne a conclu que cette situation nuit à la coordination entre les domaines d’action</w:t>
      </w:r>
      <w:r w:rsidRPr="000578E9">
        <w:rPr>
          <w:rStyle w:val="FootnoteReference"/>
          <w:noProof/>
        </w:rPr>
        <w:footnoteReference w:id="94"/>
      </w:r>
      <w:r w:rsidRPr="000578E9">
        <w:rPr>
          <w:noProof/>
        </w:rPr>
        <w:t>.</w:t>
      </w:r>
      <w:r w:rsidRPr="000578E9">
        <w:rPr>
          <w:rStyle w:val="FootnoteReference"/>
          <w:noProof/>
        </w:rPr>
        <w:t xml:space="preserve"> </w:t>
      </w:r>
      <w:r w:rsidRPr="000578E9">
        <w:rPr>
          <w:noProof/>
        </w:rPr>
        <w:t>La Commission est en train d’évaluer la disposition susmentionnée dans le cadre du réexamen de la DCSMM et, sur la base de ses conclusions, elle pourrait proposer une révision afin d’en améliorer l’efficacité.</w:t>
      </w:r>
    </w:p>
    <w:p w14:paraId="51670684" w14:textId="77777777" w:rsidR="001F0B14" w:rsidRPr="000578E9" w:rsidRDefault="001F0B14" w:rsidP="001F0B14">
      <w:pPr>
        <w:rPr>
          <w:noProof/>
        </w:rPr>
      </w:pPr>
      <w:r w:rsidRPr="000578E9">
        <w:rPr>
          <w:noProof/>
        </w:rPr>
        <w:t>L’Agence européenne de contrôle des pêches (AECP)</w:t>
      </w:r>
      <w:r w:rsidRPr="000578E9">
        <w:rPr>
          <w:rStyle w:val="FootnoteReference"/>
          <w:noProof/>
        </w:rPr>
        <w:footnoteReference w:id="95"/>
      </w:r>
      <w:r w:rsidRPr="000578E9">
        <w:rPr>
          <w:noProof/>
        </w:rPr>
        <w:t>, soutenue dans certains domaines par l’Agence européenne pour la sécurité maritime (AESM) et l’Agence européenne de garde-frontières et de garde-côtes (Frontex), aide également les États membres et la Commission à s’acquitter des tâches et obligations qui leur sont confiées dans le cadre de la PCP. À l’avenir, le programme de travail de l’AECP devrait comprendre des mesures de surveillance de la pêche contribuant spécifiquement à la réalisation des objectifs du présent plan d’action. Il devrait notamment s’agir d’inclure des mesures spécifiques dans les plans de déploiement commun de l’AECP, conformément à la décision d’exécution de la Commission</w:t>
      </w:r>
      <w:r w:rsidRPr="000578E9">
        <w:rPr>
          <w:rStyle w:val="FootnoteReference"/>
          <w:noProof/>
        </w:rPr>
        <w:footnoteReference w:id="96"/>
      </w:r>
      <w:r w:rsidRPr="000578E9">
        <w:rPr>
          <w:noProof/>
        </w:rPr>
        <w:t xml:space="preserve"> établissant des programmes spécifiques de contrôle et d’inspection.</w:t>
      </w:r>
    </w:p>
    <w:p w14:paraId="7871C85F" w14:textId="77777777" w:rsidR="00164D2B" w:rsidRPr="000578E9" w:rsidRDefault="00164D2B" w:rsidP="001F0B14">
      <w:pPr>
        <w:rPr>
          <w:noProof/>
        </w:rPr>
      </w:pPr>
    </w:p>
    <w:tbl>
      <w:tblPr>
        <w:tblStyle w:val="TableGrid"/>
        <w:tblW w:w="0" w:type="auto"/>
        <w:tblInd w:w="0" w:type="dxa"/>
        <w:tblLook w:val="04A0" w:firstRow="1" w:lastRow="0" w:firstColumn="1" w:lastColumn="0" w:noHBand="0" w:noVBand="1"/>
      </w:tblPr>
      <w:tblGrid>
        <w:gridCol w:w="8608"/>
      </w:tblGrid>
      <w:tr w:rsidR="001F0B14" w:rsidRPr="000578E9" w14:paraId="3D80C684" w14:textId="77777777" w:rsidTr="001F0B14">
        <w:tc>
          <w:tcPr>
            <w:tcW w:w="8608" w:type="dxa"/>
          </w:tcPr>
          <w:p w14:paraId="4020DD39" w14:textId="77777777" w:rsidR="001F0B14" w:rsidRPr="000578E9" w:rsidRDefault="001F0B14" w:rsidP="001F0B14">
            <w:pPr>
              <w:rPr>
                <w:rFonts w:ascii="Times New Roman" w:hAnsi="Times New Roman" w:cs="Times New Roman"/>
                <w:b/>
                <w:bCs/>
                <w:noProof/>
                <w:sz w:val="24"/>
                <w:szCs w:val="24"/>
              </w:rPr>
            </w:pPr>
            <w:r w:rsidRPr="000578E9">
              <w:rPr>
                <w:rFonts w:ascii="Times New Roman" w:hAnsi="Times New Roman"/>
                <w:b/>
                <w:noProof/>
                <w:sz w:val="24"/>
              </w:rPr>
              <w:t>Actions visant à améliorer la mise en œuvre, le suivi et l’exécution</w:t>
            </w:r>
          </w:p>
          <w:p w14:paraId="47D39F29" w14:textId="77777777" w:rsidR="001F0B14" w:rsidRPr="000578E9" w:rsidRDefault="00B45871" w:rsidP="001F0B14">
            <w:pPr>
              <w:rPr>
                <w:rFonts w:ascii="Times New Roman" w:hAnsi="Times New Roman" w:cs="Times New Roman"/>
                <w:bCs/>
                <w:noProof/>
                <w:sz w:val="24"/>
                <w:szCs w:val="24"/>
                <w:u w:val="single"/>
              </w:rPr>
            </w:pPr>
            <w:r w:rsidRPr="000578E9">
              <w:rPr>
                <w:rFonts w:ascii="Times New Roman" w:hAnsi="Times New Roman"/>
                <w:noProof/>
                <w:sz w:val="24"/>
                <w:u w:val="single"/>
              </w:rPr>
              <w:t>La Commission invite les États membres à prendre les mesures suivantes:</w:t>
            </w:r>
          </w:p>
          <w:p w14:paraId="1C8DBE5D" w14:textId="77777777" w:rsidR="001F0B14" w:rsidRPr="000578E9" w:rsidRDefault="00110525" w:rsidP="001F0B14">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en ce qui concerne les négociations sur le nouveau règlement relatif au contrôle de la pêche, améliorer la surveillance de la pêche, par exemple en utilisant des outils innovants tels que la surveillance électronique à distance, et en améliorant l’enregistrement des captures et la déclaration des espèces sensibles et la répartition de l’effort de pêche. Ils devraient également veiller à ce que les dotations du Feampa soient affectées à des mesures efficaces et fortes en matière de suivi, d’inspection et d’exécution;</w:t>
            </w:r>
          </w:p>
          <w:p w14:paraId="04CCC0CB" w14:textId="77777777" w:rsidR="001F0B14" w:rsidRPr="000578E9" w:rsidRDefault="001F0B14" w:rsidP="001F0B14">
            <w:pPr>
              <w:pStyle w:val="ListParagraph"/>
              <w:rPr>
                <w:rFonts w:ascii="Times New Roman" w:hAnsi="Times New Roman" w:cs="Times New Roman"/>
                <w:noProof/>
                <w:sz w:val="24"/>
                <w:szCs w:val="24"/>
              </w:rPr>
            </w:pPr>
          </w:p>
          <w:p w14:paraId="3E0CD867" w14:textId="77777777" w:rsidR="001F0B14" w:rsidRPr="000578E9" w:rsidRDefault="004C076A" w:rsidP="001F0B14">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allouer des ressources suffisantes pour évaluer le respect des règles en matière d’environnement et de pêche et réexaminer ou adapter les mesures nécessaires à la mise en œuvre du présent plan d’action.</w:t>
            </w:r>
          </w:p>
          <w:p w14:paraId="0DD6CB27" w14:textId="77777777" w:rsidR="001F0B14" w:rsidRPr="000578E9" w:rsidRDefault="001F0B14" w:rsidP="001F0B14">
            <w:pPr>
              <w:rPr>
                <w:rFonts w:ascii="Times New Roman" w:hAnsi="Times New Roman" w:cs="Times New Roman"/>
                <w:bCs/>
                <w:noProof/>
                <w:sz w:val="24"/>
                <w:szCs w:val="24"/>
                <w:u w:val="single"/>
              </w:rPr>
            </w:pPr>
            <w:r w:rsidRPr="000578E9">
              <w:rPr>
                <w:rFonts w:ascii="Times New Roman" w:hAnsi="Times New Roman"/>
                <w:noProof/>
                <w:sz w:val="24"/>
                <w:u w:val="single"/>
              </w:rPr>
              <w:t>La Commission:</w:t>
            </w:r>
          </w:p>
          <w:p w14:paraId="043C4195" w14:textId="77777777" w:rsidR="001F0B14" w:rsidRPr="000578E9" w:rsidRDefault="001F0B14" w:rsidP="001F0B14">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renforcera la mise en œuvre et l’exécution des règles en matière d’environnement et de pêche:</w:t>
            </w:r>
          </w:p>
          <w:p w14:paraId="16AC9D44" w14:textId="77777777" w:rsidR="001F0B14" w:rsidRPr="000578E9" w:rsidRDefault="001F0B14" w:rsidP="001F0B14">
            <w:pPr>
              <w:pStyle w:val="ListParagraph"/>
              <w:numPr>
                <w:ilvl w:val="1"/>
                <w:numId w:val="20"/>
              </w:numPr>
              <w:rPr>
                <w:rFonts w:ascii="Times New Roman" w:hAnsi="Times New Roman" w:cs="Times New Roman"/>
                <w:noProof/>
                <w:sz w:val="24"/>
                <w:szCs w:val="24"/>
              </w:rPr>
            </w:pPr>
            <w:r w:rsidRPr="000578E9">
              <w:rPr>
                <w:rFonts w:ascii="Times New Roman" w:hAnsi="Times New Roman"/>
                <w:noProof/>
                <w:sz w:val="24"/>
              </w:rPr>
              <w:t>en poursuivant ou en ouvrant des procédures d’infraction;</w:t>
            </w:r>
          </w:p>
          <w:p w14:paraId="7719ECA7" w14:textId="77777777" w:rsidR="001F0B14" w:rsidRPr="000578E9" w:rsidRDefault="001F0B14" w:rsidP="001F0B14">
            <w:pPr>
              <w:pStyle w:val="ListParagraph"/>
              <w:numPr>
                <w:ilvl w:val="1"/>
                <w:numId w:val="20"/>
              </w:numPr>
              <w:rPr>
                <w:rFonts w:ascii="Times New Roman" w:hAnsi="Times New Roman" w:cs="Times New Roman"/>
                <w:noProof/>
                <w:sz w:val="24"/>
                <w:szCs w:val="24"/>
              </w:rPr>
            </w:pPr>
            <w:r w:rsidRPr="000578E9">
              <w:rPr>
                <w:rFonts w:ascii="Times New Roman" w:hAnsi="Times New Roman"/>
                <w:noProof/>
                <w:sz w:val="24"/>
              </w:rPr>
              <w:t>en utilisant les outils disponibles dans le cadre de la PCP, tels que les audits, et en assurant le suivi des plans d’action avec les États membres;</w:t>
            </w:r>
          </w:p>
          <w:p w14:paraId="3898B04A" w14:textId="77777777" w:rsidR="001F0B14" w:rsidRPr="000578E9" w:rsidRDefault="001F0B14" w:rsidP="001F0B14">
            <w:pPr>
              <w:pStyle w:val="ListParagraph"/>
              <w:ind w:left="1440"/>
              <w:rPr>
                <w:rFonts w:ascii="Times New Roman" w:hAnsi="Times New Roman" w:cs="Times New Roman"/>
                <w:noProof/>
                <w:sz w:val="24"/>
                <w:szCs w:val="24"/>
              </w:rPr>
            </w:pPr>
          </w:p>
          <w:p w14:paraId="54AFD6D5" w14:textId="77777777" w:rsidR="001F0B14" w:rsidRPr="000578E9" w:rsidRDefault="001F0B14" w:rsidP="001F0B14">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continuera de travailler avec les colégislateurs pour parvenir à l’adoption rapide d’un règlement de contrôle ambitieux et révisé;</w:t>
            </w:r>
          </w:p>
          <w:p w14:paraId="78D17BF2" w14:textId="77777777" w:rsidR="001F0B14" w:rsidRPr="000578E9" w:rsidRDefault="001F0B14" w:rsidP="001F0B14">
            <w:pPr>
              <w:pStyle w:val="ListParagraph"/>
              <w:rPr>
                <w:rFonts w:ascii="Times New Roman" w:hAnsi="Times New Roman" w:cs="Times New Roman"/>
                <w:noProof/>
                <w:sz w:val="24"/>
                <w:szCs w:val="24"/>
              </w:rPr>
            </w:pPr>
          </w:p>
          <w:p w14:paraId="178CF990" w14:textId="77777777" w:rsidR="001F0B14" w:rsidRPr="000578E9" w:rsidRDefault="001F0B14" w:rsidP="001F0B14">
            <w:pPr>
              <w:pStyle w:val="ListParagraph"/>
              <w:numPr>
                <w:ilvl w:val="0"/>
                <w:numId w:val="20"/>
              </w:numPr>
              <w:rPr>
                <w:rFonts w:ascii="Times New Roman" w:hAnsi="Times New Roman" w:cs="Times New Roman"/>
                <w:noProof/>
                <w:sz w:val="24"/>
                <w:szCs w:val="24"/>
              </w:rPr>
            </w:pPr>
            <w:r w:rsidRPr="000578E9">
              <w:rPr>
                <w:rFonts w:ascii="Times New Roman" w:hAnsi="Times New Roman"/>
                <w:noProof/>
                <w:sz w:val="24"/>
              </w:rPr>
              <w:t>en 2023, commencera à réviser la décision d’exécution de la Commission établissant des programmes spécifiques de contrôle et d’inspection pour certaines pêcheries</w:t>
            </w:r>
            <w:r w:rsidRPr="000578E9">
              <w:rPr>
                <w:rStyle w:val="FootnoteReference"/>
                <w:rFonts w:ascii="Times New Roman" w:hAnsi="Times New Roman" w:cs="Times New Roman"/>
                <w:noProof/>
                <w:sz w:val="24"/>
                <w:szCs w:val="24"/>
              </w:rPr>
              <w:footnoteReference w:id="97"/>
            </w:r>
            <w:r w:rsidRPr="000578E9">
              <w:rPr>
                <w:rFonts w:ascii="Times New Roman" w:hAnsi="Times New Roman"/>
                <w:noProof/>
                <w:sz w:val="24"/>
              </w:rPr>
              <w:t>, dans le but de l’aligner sur le présent plan d’action d’ici 2024;</w:t>
            </w:r>
          </w:p>
          <w:p w14:paraId="164ECC87" w14:textId="77777777" w:rsidR="001F0B14" w:rsidRPr="000578E9" w:rsidRDefault="001F0B14" w:rsidP="001F0B14">
            <w:pPr>
              <w:pStyle w:val="ListParagraph"/>
              <w:rPr>
                <w:rFonts w:ascii="Times New Roman" w:hAnsi="Times New Roman" w:cs="Times New Roman"/>
                <w:noProof/>
                <w:sz w:val="24"/>
                <w:szCs w:val="24"/>
              </w:rPr>
            </w:pPr>
          </w:p>
          <w:p w14:paraId="680907E5" w14:textId="77777777" w:rsidR="001F0B14" w:rsidRPr="000578E9" w:rsidRDefault="001F0B14" w:rsidP="001F0B14">
            <w:pPr>
              <w:pStyle w:val="ListParagraph"/>
              <w:numPr>
                <w:ilvl w:val="0"/>
                <w:numId w:val="20"/>
              </w:numPr>
              <w:rPr>
                <w:rFonts w:ascii="Times New Roman" w:eastAsia="Times New Roman" w:hAnsi="Times New Roman" w:cs="Times New Roman"/>
                <w:noProof/>
                <w:sz w:val="24"/>
                <w:szCs w:val="24"/>
              </w:rPr>
            </w:pPr>
            <w:r w:rsidRPr="000578E9">
              <w:rPr>
                <w:rFonts w:ascii="Times New Roman" w:hAnsi="Times New Roman"/>
                <w:noProof/>
                <w:sz w:val="24"/>
              </w:rPr>
              <w:t xml:space="preserve">collaborera avec l’AECP pour aligner les plans de déploiement commun sur les programmes spécifiques de contrôle et d’inspection révisés et pour aligner le futur programme de travail sur les objectifs du présent plan d’action. </w:t>
            </w:r>
          </w:p>
        </w:tc>
      </w:tr>
    </w:tbl>
    <w:p w14:paraId="104C8621" w14:textId="77777777" w:rsidR="00675393" w:rsidRPr="000578E9" w:rsidRDefault="00675393" w:rsidP="00C814CA">
      <w:pPr>
        <w:pStyle w:val="Heading1"/>
        <w:rPr>
          <w:noProof/>
        </w:rPr>
      </w:pPr>
      <w:bookmarkStart w:id="32" w:name="_Toc91147200"/>
      <w:bookmarkStart w:id="33" w:name="_Toc110232906"/>
      <w:r w:rsidRPr="000578E9">
        <w:rPr>
          <w:noProof/>
        </w:rPr>
        <w:t>Gouvernance, participation des parties prenantes et sensibilisation</w:t>
      </w:r>
      <w:bookmarkEnd w:id="32"/>
      <w:bookmarkEnd w:id="33"/>
    </w:p>
    <w:p w14:paraId="62C26119" w14:textId="77777777" w:rsidR="00A07CBD" w:rsidRPr="000578E9" w:rsidRDefault="00752FDB" w:rsidP="00646810">
      <w:pPr>
        <w:spacing w:after="200"/>
        <w:rPr>
          <w:noProof/>
        </w:rPr>
      </w:pPr>
      <w:r w:rsidRPr="000578E9">
        <w:rPr>
          <w:rStyle w:val="normaltextrun"/>
          <w:noProof/>
        </w:rPr>
        <w:t>La bonne mise en œuvre des mesures de gestion de l’environnement et de la pêche nécessite le soutien de toutes les parties prenantes, en particulier des pêcheurs</w:t>
      </w:r>
      <w:r w:rsidRPr="000578E9">
        <w:rPr>
          <w:noProof/>
        </w:rPr>
        <w:t>. Par conséquent, lors de l’élaboration et de la mise en œuvre de mesures, la transparence, la coopération, la sensibilisation, l’information et l’inclusivité sont essentielles.</w:t>
      </w:r>
    </w:p>
    <w:p w14:paraId="5613F65D" w14:textId="77777777" w:rsidR="00125CCE" w:rsidRPr="000578E9" w:rsidRDefault="00125CCE" w:rsidP="00125CCE">
      <w:pPr>
        <w:spacing w:after="200"/>
        <w:rPr>
          <w:noProof/>
        </w:rPr>
      </w:pPr>
      <w:r w:rsidRPr="000578E9">
        <w:rPr>
          <w:noProof/>
        </w:rPr>
        <w:t>Les États membres ont des responsabilités et des obligations claires en matière de protection du milieu marin. La PCP fournit des outils pour mettre en œuvre les mesures relatives à la pêche nécessaires pour satisfaire à ces obligations. En particulier, la PCP fournit à toutes les parties prenantes la base nécessaire pour collaborer par l’intermédiaire de groupes régionaux et de conseils consultatifs afin de définir et d’approuver les mesures relatives à la pêche les plus appropriées pour chaque facteur local ou régional. Cette approche peut permettre de réaliser la transition et de transformer l’ambition politique en actions concrètes sur le terrain.</w:t>
      </w:r>
    </w:p>
    <w:p w14:paraId="56DF3868" w14:textId="77777777" w:rsidR="00FB0097" w:rsidRPr="000578E9" w:rsidRDefault="00C21093" w:rsidP="004C4619">
      <w:pPr>
        <w:spacing w:after="200"/>
        <w:rPr>
          <w:noProof/>
        </w:rPr>
      </w:pPr>
      <w:r w:rsidRPr="000578E9">
        <w:rPr>
          <w:noProof/>
        </w:rPr>
        <w:t>Bien qu’au départ, lorsqu’ils mettaient en œuvre l’approche régionale, les États membres se soient principalement concentrés sur l’obligation de débarquement, cette approche a permis d’obtenir des résultats plus importants ces dernières années, en particulier depuis l’adoption du règlement relatif aux mesures techniques en 2019. Toutefois, les travaux sur les mesures de gestion de la pêche nécessaires dans les sites marins Natura 2000 au titre de l’article 11 du règlement relatif à la PCP</w:t>
      </w:r>
      <w:r w:rsidRPr="000578E9">
        <w:rPr>
          <w:rStyle w:val="FootnoteReference"/>
          <w:noProof/>
        </w:rPr>
        <w:footnoteReference w:id="98"/>
      </w:r>
      <w:r w:rsidRPr="000578E9">
        <w:rPr>
          <w:noProof/>
        </w:rPr>
        <w:t xml:space="preserve"> ont progressé à un rythme très irrégulier dans les différents bassins maritimes. </w:t>
      </w:r>
    </w:p>
    <w:p w14:paraId="4C83D9D4" w14:textId="77777777" w:rsidR="00C21093" w:rsidRPr="000578E9" w:rsidRDefault="7B6963BB" w:rsidP="004C4619">
      <w:pPr>
        <w:spacing w:after="200"/>
        <w:rPr>
          <w:noProof/>
        </w:rPr>
      </w:pPr>
      <w:r w:rsidRPr="000578E9">
        <w:rPr>
          <w:noProof/>
        </w:rPr>
        <w:t xml:space="preserve">Les recommandations communes concernant des mesures de pêche au sein des ZMP n’ont commencé à s’accélérer qu’à partir de 2021, mais leur nombre total reste très faible et leur portée en matière de conservation est limitée. L’adoption de ces mesures de gestion de la pêche est insuffisante, compte tenu de leur importance pour la mise en œuvre et le respect effectifs de la législation de l’Union relative à la protection et à la restauration du milieu marin. </w:t>
      </w:r>
    </w:p>
    <w:p w14:paraId="79487101" w14:textId="77777777" w:rsidR="004C4619" w:rsidRPr="000578E9" w:rsidRDefault="00C21093" w:rsidP="004C4619">
      <w:pPr>
        <w:spacing w:after="200"/>
        <w:rPr>
          <w:noProof/>
        </w:rPr>
      </w:pPr>
      <w:r w:rsidRPr="000578E9">
        <w:rPr>
          <w:noProof/>
        </w:rPr>
        <w:t>Il est évident que, pour faire face aux crises planétaires et à l’accélération de la perte de la biodiversité marine et de l’intégrité des écosystèmes, qui a des conséquences socio-économiques néfastes en raison de la diminution des stocks halieutiques et des risques pour la sécurité alimentaire, les États membres doivent accélérer et relever le niveau d’ambition de l’approche régionale. Il faut renouveler l’engagement collectif de l’Union européenne en faveur de la conservation du milieu marin et garantir un engagement politique clair de toutes les parties prenantes et institutions à mettre en œuvre efficacement la législation environnementale, à utiliser les instruments stratégiques actuels de la PCP et à les faire fonctionner.</w:t>
      </w:r>
    </w:p>
    <w:p w14:paraId="6B242F24" w14:textId="77777777" w:rsidR="004A7FF9" w:rsidRPr="000578E9" w:rsidRDefault="00317143" w:rsidP="00646810">
      <w:pPr>
        <w:spacing w:after="200"/>
        <w:rPr>
          <w:noProof/>
        </w:rPr>
      </w:pPr>
      <w:r w:rsidRPr="000578E9">
        <w:rPr>
          <w:noProof/>
        </w:rPr>
        <w:t xml:space="preserve">Il est essentiel que ce processus soit transparent et associe toutes les parties prenantes et les autorités. En vertu des traités de l’Union, la conservation des ressources biologiques de la mer relève de la compétence exclusive de l’Union, mais la politique environnementale est une compétence partagée avec les États membres. En conséquence, des processus décisionnels distincts et non coordonnés se sont développés à tous les niveaux, empêchant l’adoption et la mise en œuvre de mesures de gestion cohérentes. Il est crucial d’améliorer les liens entre ces deux domaines d’action et de renforcer considérablement la transparence et la coordination entre les nombreuses autorités et parties prenantes. Cela permettrait à l’Union de concevoir et de mettre au point des solutions avantageuses pour tous profitant à la fois aux pêcheurs et à l’environnement. </w:t>
      </w:r>
    </w:p>
    <w:p w14:paraId="66317AFA" w14:textId="77777777" w:rsidR="00907393" w:rsidRPr="000578E9" w:rsidRDefault="00926335" w:rsidP="00646810">
      <w:pPr>
        <w:spacing w:after="200"/>
        <w:rPr>
          <w:noProof/>
        </w:rPr>
      </w:pPr>
      <w:r w:rsidRPr="000578E9">
        <w:rPr>
          <w:noProof/>
        </w:rPr>
        <w:t xml:space="preserve">Pour refléter leur volonté d’accélérer les mesures et d’améliorer la transparence, les États membres </w:t>
      </w:r>
      <w:bookmarkStart w:id="34" w:name="_Hlk114514090"/>
      <w:r w:rsidRPr="000578E9">
        <w:rPr>
          <w:noProof/>
        </w:rPr>
        <w:t>devraient élaborer et publier des feuilles de route, assorties d’un calendrier, décrivant les mesures nationales et les autres mesures qu’ils prévoient de présenter au moyen de recommandations communes, qui sont nécessaires pour atteindre les objectifs du présent plan d’action.</w:t>
      </w:r>
      <w:bookmarkEnd w:id="34"/>
      <w:r w:rsidRPr="000578E9">
        <w:rPr>
          <w:noProof/>
        </w:rPr>
        <w:t xml:space="preserve"> Cela devrait inclure les mesures pertinentes définies aux chapitres 2, 3 et 6 de la présente communication. Les feuilles de route devraient s’appuyer sur les engagements pris par les États membres pour atteindre les objectifs de la stratégie en faveur de la biodiversité à l’horizon 2030. Afin de faciliter le processus, la Commission fournira un modèle pour les feuilles de route.</w:t>
      </w:r>
    </w:p>
    <w:p w14:paraId="1347AF40" w14:textId="77777777" w:rsidR="00850C0F" w:rsidRPr="000578E9" w:rsidRDefault="00793CE8" w:rsidP="00646810">
      <w:pPr>
        <w:spacing w:after="200"/>
        <w:rPr>
          <w:iCs/>
          <w:noProof/>
        </w:rPr>
      </w:pPr>
      <w:r w:rsidRPr="000578E9">
        <w:rPr>
          <w:noProof/>
        </w:rPr>
        <w:t xml:space="preserve">Pour aider les États membres à mettre le plan d’action en œuvre et garantir la cohérence et l’efficacité, la Commission créera un nouveau groupe spécial conjoint pour les États membres, avec des parties prenantes en qualité d’observateurs. L’objectif sera de faciliter le partage de connaissances et les discussions entre les communautés environnementales et de la pêche, ainsi que de donner aux États membres une plateforme favorisant la transparence et le dialogue sur la mise en œuvre de leurs feuilles de route. </w:t>
      </w:r>
      <w:bookmarkStart w:id="35" w:name="_Hlk109750585"/>
      <w:r w:rsidRPr="000578E9">
        <w:rPr>
          <w:noProof/>
        </w:rPr>
        <w:t xml:space="preserve">La Commission continuera également d’encourager les autres institutions de l’Union et les autorités nationales à accroître la transparence et à renforcer la coopération entre les parties et les experts dans les domaines de la pêche et de l’environnement. </w:t>
      </w:r>
    </w:p>
    <w:p w14:paraId="401AE957" w14:textId="77777777" w:rsidR="00F8550B" w:rsidRPr="000578E9" w:rsidRDefault="009B248B" w:rsidP="000B012F">
      <w:pPr>
        <w:spacing w:after="200"/>
        <w:rPr>
          <w:noProof/>
        </w:rPr>
      </w:pPr>
      <w:r w:rsidRPr="000578E9">
        <w:rPr>
          <w:noProof/>
        </w:rPr>
        <w:t>En vue d’améliorer la clarté et de faciliter la mise en œuvre de l’actuel cadre juridique, la Commission a fourni des orientations sur les rôles et responsabilités de tous les acteurs dans les procédures prévues à l’article 11 du règlement relatif à la PCP</w:t>
      </w:r>
      <w:r w:rsidRPr="000578E9">
        <w:rPr>
          <w:rStyle w:val="FootnoteReference"/>
          <w:noProof/>
        </w:rPr>
        <w:footnoteReference w:id="99"/>
      </w:r>
      <w:r w:rsidRPr="000578E9">
        <w:rPr>
          <w:noProof/>
        </w:rPr>
        <w:t>. Elle fournira également des orientations supplémentaires sur l’article 6 de la directive «Habitats» et sur la législation en matière de pêche.</w:t>
      </w:r>
      <w:bookmarkEnd w:id="35"/>
      <w:r w:rsidRPr="000578E9">
        <w:rPr>
          <w:rFonts w:ascii="Calibri" w:hAnsi="Calibri"/>
          <w:noProof/>
          <w:color w:val="000000" w:themeColor="text1"/>
          <w:sz w:val="16"/>
        </w:rPr>
        <w:t xml:space="preserve"> </w:t>
      </w:r>
    </w:p>
    <w:p w14:paraId="63768632" w14:textId="77777777" w:rsidR="007513E2" w:rsidRPr="000578E9" w:rsidRDefault="0218B8ED" w:rsidP="00275117">
      <w:pPr>
        <w:spacing w:after="0"/>
        <w:rPr>
          <w:noProof/>
        </w:rPr>
      </w:pPr>
      <w:r w:rsidRPr="000578E9">
        <w:rPr>
          <w:noProof/>
        </w:rPr>
        <w:t>Afin de réduire l’incidence de la pêche sur le milieu marin, les consommateurs et les marchés doivent également jouer un rôle actif: c’est un point essentiel pour stimuler la demande de poissons pêchés d’une façon ayant une incidence minimale sur l’environnement et le climat. Les initiatives d’étiquetage écologique du secteur privé sont populaires, ce qui montre que les consommateurs sont désireux d’acheter des produits qui adoptent une approche plus durable de la gestion des stocks halieutiques. Il est important que ces initiatives soient solides sur le plan méthodologique pour éviter d’induire les consommateurs en erreur. Cela sera également assuré par la proposition adoptée sur l’autonomisation des consommateurs pour la transition écologique et par la proposition à venir visant à lutter contre les fausses allégations écologiques.</w:t>
      </w:r>
    </w:p>
    <w:p w14:paraId="550712F7" w14:textId="77777777" w:rsidR="00445D58" w:rsidRPr="000578E9" w:rsidRDefault="00445D58" w:rsidP="00275117">
      <w:pPr>
        <w:spacing w:after="0"/>
        <w:rPr>
          <w:noProof/>
        </w:rPr>
      </w:pPr>
    </w:p>
    <w:p w14:paraId="0B6F6FAA" w14:textId="77777777" w:rsidR="00543595" w:rsidRPr="000578E9" w:rsidRDefault="000F5898" w:rsidP="00275117">
      <w:pPr>
        <w:spacing w:after="0"/>
        <w:rPr>
          <w:rStyle w:val="CommentReference"/>
          <w:noProof/>
        </w:rPr>
      </w:pPr>
      <w:r w:rsidRPr="000578E9">
        <w:rPr>
          <w:noProof/>
        </w:rPr>
        <w:t>Comme annoncé dans la stratégie «De la ferme à la table», il est important de continuer à travailler sur l’initiative du système alimentaire durable que la Commission prévoit de proposer en 2023 pour une approche de l’UE harmonisée en matière de production alimentaire durable.</w:t>
      </w:r>
    </w:p>
    <w:p w14:paraId="4D1B8FBE" w14:textId="77777777" w:rsidR="00456979" w:rsidRPr="000578E9" w:rsidRDefault="00456979" w:rsidP="00275117">
      <w:pPr>
        <w:spacing w:after="0"/>
        <w:rPr>
          <w:noProof/>
        </w:rPr>
      </w:pPr>
    </w:p>
    <w:bookmarkStart w:id="36" w:name="_Hlk114513381"/>
    <w:p w14:paraId="356654B3" w14:textId="77777777" w:rsidR="00D77894" w:rsidRPr="000578E9" w:rsidRDefault="00D77894" w:rsidP="00D77894">
      <w:pPr>
        <w:rPr>
          <w:noProof/>
          <w:vertAlign w:val="superscript"/>
        </w:rPr>
      </w:pPr>
      <w:r w:rsidRPr="000578E9">
        <w:rPr>
          <w:noProof/>
        </w:rPr>
        <w:fldChar w:fldCharType="begin" w:fldLock="1"/>
      </w:r>
      <w:r w:rsidRPr="000578E9">
        <w:rPr>
          <w:noProof/>
        </w:rPr>
        <w:instrText xml:space="preserve">HYPERLINK "https://euc-word-edit.officeapps.live.com/we/wordeditorframe.aspx?ui=en-us&amp;rs=en-IE&amp;wopisrc=https%3A%2F%2Feceuropaeu.sharepoint.com%2Fteams%2FGRP-ENVGRPMARINEFISHERIESACTIONPLAN%2F_vti_bin%2Fwopi.ashx%2Ffiles%2Fb617b91acc91451cb5d28d6a0fbc44f8&amp;wdenableroaming=1&amp;mscc=1&amp;hid=5072152e-759b-42ea-94c1-fad4c845ef07.0&amp;uih=teams&amp;uiembed=1&amp;wdlcid=en-us&amp;jsapi=1&amp;jsapiver=v2&amp;corrid=34f5060b-4bf8-4e31-9589-c17a6f9df26e&amp;usid=34f5060b-4bf8-4e31-9589-c17a6f9df26e&amp;newsession=1&amp;sftc=1&amp;uihit=UnifiedUiHostTeams&amp;muv=v1&amp;accloop=1&amp;sdr=6&amp;scnd=1&amp;sat=1&amp;rat=1&amp;sams=1&amp;mtf=1&amp;sfp=1&amp;halh=1&amp;hch=1&amp;hmh=1&amp;hsh=1&amp;hwfh=1&amp;hsth=1&amp;sih=1&amp;unh=1&amp;onw=1&amp;dchat=1&amp;sc=%7B%22pmo%22%3A%22https%3A%2F%2Fwww.office.com%22%2C%22pmshare%22%3Atrue%7D&amp;ctp=LeastProtected&amp;rct=Normal&amp;wdorigin=TEAMS-ELECTRON.teamsSdk.openFilePreview&amp;wdhostclicktime=1673429734309&amp;instantedit=1&amp;wopicomplete=1&amp;wdredirectionreason=Unified_SingleFlush%23_ftn1" </w:instrText>
      </w:r>
      <w:r w:rsidRPr="000578E9">
        <w:rPr>
          <w:noProof/>
        </w:rPr>
        <w:fldChar w:fldCharType="end"/>
      </w:r>
      <w:r w:rsidRPr="000578E9">
        <w:rPr>
          <w:noProof/>
        </w:rPr>
        <w:t>Tout en renforçant les normes de conservation des ressources biologiques de la mer et de protection de la biodiversité et des écosystèmes marins, comme décrit ci-dessus, l’Union devrait imposer que ses navires appliquent, lorsqu’ils pêchent en haute mer ou dans la zone économique exclusive de pays tiers, au moins les mêmes normes que lorsqu’ils pêchent dans les eaux de l’Union. Outre les travaux réalisés au sein des ORGP, les accords de partenariat dans le domaine de la pêche durable (APPD) contribuent également à favoriser la gouvernance internationale de la pêche grâce à la promotion d’une pêche durable dans les pays partenaires. La DCSMM exige également une prise de décision régionalisée, y compris grâce à la coopération avec les pays tiers, au niveau bilatéral ou au moyen d’instruments internationaux pertinents tels que les conventions sur la mer régionale</w:t>
      </w:r>
      <w:r w:rsidRPr="000578E9">
        <w:rPr>
          <w:rStyle w:val="FootnoteReference"/>
          <w:noProof/>
        </w:rPr>
        <w:footnoteReference w:id="100"/>
      </w:r>
      <w:r w:rsidRPr="000578E9">
        <w:rPr>
          <w:noProof/>
        </w:rPr>
        <w:t>.</w:t>
      </w:r>
    </w:p>
    <w:p w14:paraId="31CC275A" w14:textId="77777777" w:rsidR="007E51D7" w:rsidRPr="000578E9" w:rsidRDefault="007E51D7" w:rsidP="00275117">
      <w:pPr>
        <w:spacing w:after="0"/>
        <w:rPr>
          <w:noProof/>
        </w:rPr>
      </w:pPr>
    </w:p>
    <w:tbl>
      <w:tblPr>
        <w:tblStyle w:val="TableGrid"/>
        <w:tblW w:w="0" w:type="auto"/>
        <w:tblInd w:w="0" w:type="dxa"/>
        <w:tblLook w:val="04A0" w:firstRow="1" w:lastRow="0" w:firstColumn="1" w:lastColumn="0" w:noHBand="0" w:noVBand="1"/>
      </w:tblPr>
      <w:tblGrid>
        <w:gridCol w:w="8608"/>
      </w:tblGrid>
      <w:tr w:rsidR="00AA4CB2" w:rsidRPr="000578E9" w14:paraId="1A1F9B5A" w14:textId="77777777" w:rsidTr="77480721">
        <w:tc>
          <w:tcPr>
            <w:tcW w:w="8608" w:type="dxa"/>
          </w:tcPr>
          <w:p w14:paraId="000E76C0" w14:textId="77777777" w:rsidR="00AA4CB2" w:rsidRPr="000578E9" w:rsidRDefault="00AA4CB2" w:rsidP="00AA4CB2">
            <w:pPr>
              <w:spacing w:after="200"/>
              <w:rPr>
                <w:rStyle w:val="normaltextrun"/>
                <w:rFonts w:ascii="Times New Roman" w:hAnsi="Times New Roman" w:cs="Times New Roman"/>
                <w:b/>
                <w:bCs/>
                <w:noProof/>
                <w:sz w:val="24"/>
                <w:szCs w:val="24"/>
              </w:rPr>
            </w:pPr>
            <w:r w:rsidRPr="000578E9">
              <w:rPr>
                <w:rStyle w:val="normaltextrun"/>
                <w:rFonts w:ascii="Times New Roman" w:hAnsi="Times New Roman"/>
                <w:b/>
                <w:noProof/>
                <w:sz w:val="24"/>
              </w:rPr>
              <w:t>Action visant à améliorer la gouvernance, la participation des parties prenantes et la sensibilisation</w:t>
            </w:r>
          </w:p>
          <w:p w14:paraId="45EE4910" w14:textId="77777777" w:rsidR="00AA4CB2" w:rsidRPr="000578E9" w:rsidRDefault="00B30348" w:rsidP="00AA4CB2">
            <w:pPr>
              <w:spacing w:after="200"/>
              <w:rPr>
                <w:rStyle w:val="normaltextrun"/>
                <w:rFonts w:ascii="Times New Roman" w:hAnsi="Times New Roman" w:cs="Times New Roman"/>
                <w:noProof/>
                <w:sz w:val="24"/>
                <w:szCs w:val="24"/>
                <w:u w:val="single"/>
              </w:rPr>
            </w:pPr>
            <w:r w:rsidRPr="000578E9">
              <w:rPr>
                <w:rStyle w:val="normaltextrun"/>
                <w:rFonts w:ascii="Times New Roman" w:hAnsi="Times New Roman"/>
                <w:noProof/>
                <w:sz w:val="24"/>
                <w:u w:val="single"/>
              </w:rPr>
              <w:t>La Commission invite les États membres à prendre les mesures suivantes:</w:t>
            </w:r>
          </w:p>
          <w:p w14:paraId="6175D62F" w14:textId="77777777" w:rsidR="00AA4CB2" w:rsidRPr="000578E9" w:rsidRDefault="00F15957" w:rsidP="005F20BA">
            <w:pPr>
              <w:pStyle w:val="ListParagraph"/>
              <w:numPr>
                <w:ilvl w:val="0"/>
                <w:numId w:val="20"/>
              </w:numPr>
              <w:spacing w:after="200"/>
              <w:rPr>
                <w:rStyle w:val="normaltextrun"/>
                <w:rFonts w:ascii="Times New Roman" w:hAnsi="Times New Roman" w:cs="Times New Roman"/>
                <w:noProof/>
                <w:sz w:val="24"/>
                <w:szCs w:val="24"/>
              </w:rPr>
            </w:pPr>
            <w:r w:rsidRPr="000578E9">
              <w:rPr>
                <w:rStyle w:val="normaltextrun"/>
                <w:rFonts w:ascii="Times New Roman" w:hAnsi="Times New Roman"/>
                <w:noProof/>
                <w:sz w:val="24"/>
              </w:rPr>
              <w:t>d’ici la fin du mois de mars 2024, élaborer et publier des feuilles de route</w:t>
            </w:r>
            <w:r w:rsidRPr="000578E9">
              <w:rPr>
                <w:rStyle w:val="FootnoteReference"/>
                <w:noProof/>
              </w:rPr>
              <w:footnoteReference w:id="101"/>
            </w:r>
            <w:r w:rsidRPr="000578E9">
              <w:rPr>
                <w:rStyle w:val="normaltextrun"/>
                <w:rFonts w:ascii="Times New Roman" w:hAnsi="Times New Roman"/>
                <w:noProof/>
                <w:sz w:val="24"/>
              </w:rPr>
              <w:t xml:space="preserve"> décrivant toutes les mesures nécessaires à la mise en œuvre du présent plan d’action, y compris un calendrier de leur adoption/soumission, et des propositions visant à améliorer la coordination entre les autorités nationales</w:t>
            </w:r>
            <w:r w:rsidRPr="000578E9">
              <w:rPr>
                <w:rStyle w:val="normaltextrun"/>
                <w:noProof/>
              </w:rPr>
              <w:t xml:space="preserve"> et </w:t>
            </w:r>
            <w:r w:rsidRPr="000578E9">
              <w:rPr>
                <w:rStyle w:val="normaltextrun"/>
                <w:rFonts w:ascii="Times New Roman" w:hAnsi="Times New Roman"/>
                <w:noProof/>
                <w:sz w:val="24"/>
              </w:rPr>
              <w:t>les parties prenantes</w:t>
            </w:r>
            <w:r w:rsidRPr="000578E9">
              <w:rPr>
                <w:rStyle w:val="normaltextrun"/>
                <w:noProof/>
              </w:rPr>
              <w:t>.</w:t>
            </w:r>
          </w:p>
          <w:p w14:paraId="00A6BBB8" w14:textId="77777777" w:rsidR="00AA4CB2" w:rsidRPr="000578E9" w:rsidRDefault="00F15957" w:rsidP="00AA4CB2">
            <w:pPr>
              <w:spacing w:after="200"/>
              <w:rPr>
                <w:rStyle w:val="normaltextrun"/>
                <w:rFonts w:ascii="Times New Roman" w:hAnsi="Times New Roman" w:cs="Times New Roman"/>
                <w:noProof/>
                <w:sz w:val="24"/>
                <w:szCs w:val="24"/>
                <w:u w:val="single"/>
              </w:rPr>
            </w:pPr>
            <w:r w:rsidRPr="000578E9">
              <w:rPr>
                <w:rStyle w:val="normaltextrun"/>
                <w:rFonts w:ascii="Times New Roman" w:hAnsi="Times New Roman"/>
                <w:noProof/>
                <w:sz w:val="24"/>
                <w:u w:val="single"/>
              </w:rPr>
              <w:t>La Commission:</w:t>
            </w:r>
          </w:p>
          <w:p w14:paraId="177C31E0" w14:textId="77777777" w:rsidR="00AA4CB2" w:rsidRPr="000578E9" w:rsidRDefault="00AA4CB2" w:rsidP="005F20BA">
            <w:pPr>
              <w:pStyle w:val="ListParagraph"/>
              <w:numPr>
                <w:ilvl w:val="0"/>
                <w:numId w:val="20"/>
              </w:numPr>
              <w:spacing w:after="200"/>
              <w:rPr>
                <w:rFonts w:ascii="Times New Roman" w:hAnsi="Times New Roman" w:cs="Times New Roman"/>
                <w:noProof/>
                <w:sz w:val="24"/>
                <w:szCs w:val="24"/>
              </w:rPr>
            </w:pPr>
            <w:r w:rsidRPr="000578E9">
              <w:rPr>
                <w:rFonts w:ascii="Times New Roman" w:hAnsi="Times New Roman"/>
                <w:noProof/>
                <w:sz w:val="24"/>
              </w:rPr>
              <w:t>en 2023, créera un groupe spécial conjoint pour les États membres, avec des parties prenantes en qualité d’observateurs, spécifiquement chargé d’apporter un soutien à la Commission dans la mise en œuvre du plan d’action et le suivi de ses progrès;</w:t>
            </w:r>
          </w:p>
          <w:p w14:paraId="1292226A" w14:textId="77777777" w:rsidR="008F16B5" w:rsidRPr="000578E9" w:rsidRDefault="008F16B5" w:rsidP="008F16B5">
            <w:pPr>
              <w:pStyle w:val="ListParagraph"/>
              <w:rPr>
                <w:noProof/>
                <w:szCs w:val="24"/>
              </w:rPr>
            </w:pPr>
          </w:p>
          <w:p w14:paraId="0B3EF8CB" w14:textId="77777777" w:rsidR="00851DC6" w:rsidRPr="000578E9" w:rsidRDefault="001B14CD" w:rsidP="00851DC6">
            <w:pPr>
              <w:pStyle w:val="ListParagraph"/>
              <w:numPr>
                <w:ilvl w:val="0"/>
                <w:numId w:val="20"/>
              </w:numPr>
              <w:spacing w:after="200"/>
              <w:rPr>
                <w:rFonts w:ascii="Times New Roman" w:hAnsi="Times New Roman" w:cs="Times New Roman"/>
                <w:noProof/>
                <w:sz w:val="24"/>
                <w:szCs w:val="24"/>
              </w:rPr>
            </w:pPr>
            <w:r w:rsidRPr="000578E9">
              <w:rPr>
                <w:rFonts w:ascii="Times New Roman" w:hAnsi="Times New Roman"/>
                <w:noProof/>
                <w:sz w:val="24"/>
              </w:rPr>
              <w:t>d’ici fin 2024, adoptera un document d’orientation sur Natura 2000 et la pêche;</w:t>
            </w:r>
          </w:p>
          <w:p w14:paraId="09DB2907" w14:textId="77777777" w:rsidR="00851DC6" w:rsidRPr="000578E9" w:rsidRDefault="00851DC6" w:rsidP="00851DC6">
            <w:pPr>
              <w:pStyle w:val="ListParagraph"/>
              <w:spacing w:after="200"/>
              <w:rPr>
                <w:rFonts w:ascii="Times New Roman" w:hAnsi="Times New Roman" w:cs="Times New Roman"/>
                <w:noProof/>
                <w:sz w:val="24"/>
                <w:szCs w:val="24"/>
              </w:rPr>
            </w:pPr>
          </w:p>
          <w:p w14:paraId="37C19FE3" w14:textId="77777777" w:rsidR="00B30348" w:rsidRPr="000578E9" w:rsidRDefault="00B45871" w:rsidP="00851DC6">
            <w:pPr>
              <w:pStyle w:val="ListParagraph"/>
              <w:numPr>
                <w:ilvl w:val="0"/>
                <w:numId w:val="20"/>
              </w:numPr>
              <w:spacing w:after="200"/>
              <w:rPr>
                <w:rFonts w:ascii="Times New Roman" w:hAnsi="Times New Roman" w:cs="Times New Roman"/>
                <w:noProof/>
                <w:sz w:val="24"/>
                <w:szCs w:val="24"/>
              </w:rPr>
            </w:pPr>
            <w:r w:rsidRPr="000578E9">
              <w:rPr>
                <w:rFonts w:ascii="Times New Roman" w:hAnsi="Times New Roman"/>
                <w:noProof/>
                <w:sz w:val="24"/>
              </w:rPr>
              <w:t>informera régulièrement le Parlement européen, le Conseil, le Comité économique et social et le Comité des régions de la mise en œuvre du présent plan d’action.</w:t>
            </w:r>
          </w:p>
        </w:tc>
      </w:tr>
    </w:tbl>
    <w:p w14:paraId="49977940" w14:textId="77777777" w:rsidR="00D052C3" w:rsidRPr="000578E9" w:rsidRDefault="00CC0774" w:rsidP="00E7487D">
      <w:pPr>
        <w:pStyle w:val="Heading1"/>
        <w:rPr>
          <w:noProof/>
        </w:rPr>
      </w:pPr>
      <w:bookmarkStart w:id="37" w:name="_Toc110232909"/>
      <w:bookmarkEnd w:id="36"/>
      <w:r w:rsidRPr="000578E9">
        <w:rPr>
          <w:noProof/>
        </w:rPr>
        <w:t>Cadre de mise en œuvre</w:t>
      </w:r>
      <w:bookmarkEnd w:id="37"/>
      <w:r w:rsidRPr="000578E9">
        <w:rPr>
          <w:noProof/>
        </w:rPr>
        <w:t xml:space="preserve"> du présent plan d’action</w:t>
      </w:r>
    </w:p>
    <w:p w14:paraId="531376DF" w14:textId="77777777" w:rsidR="00E7487D" w:rsidRPr="000578E9" w:rsidRDefault="163EAF4F" w:rsidP="46E6521B">
      <w:pPr>
        <w:spacing w:after="0"/>
        <w:rPr>
          <w:noProof/>
        </w:rPr>
      </w:pPr>
      <w:r w:rsidRPr="000578E9">
        <w:rPr>
          <w:noProof/>
        </w:rPr>
        <w:t xml:space="preserve">Le présent plan d’action définit une série d’actions et de mesures de soutien visant à mieux protéger les ressources halieutiques et les écosystèmes marins et à améliorer la cohérence et la coordination entre la politique environnementale et la politique de la pêche à tous les niveaux. Il vise à faciliter la transition du secteur de la pêche vers des pratiques de pêche plus durables et à l’aider à accroître sa résilience. Il s’agit d’un guide à l’intention des États membres pour les aider à hiérarchiser les mesures, en mettant l’accent sur la protection des espèces sensibles et des fonds marins et sur l’amélioration de la sélectivité de la pêche. </w:t>
      </w:r>
    </w:p>
    <w:p w14:paraId="2CC4350F" w14:textId="77777777" w:rsidR="00FE1DF3" w:rsidRPr="000578E9" w:rsidRDefault="00FE1DF3" w:rsidP="46E6521B">
      <w:pPr>
        <w:spacing w:after="0"/>
        <w:rPr>
          <w:noProof/>
        </w:rPr>
      </w:pPr>
    </w:p>
    <w:p w14:paraId="7E345770" w14:textId="77777777" w:rsidR="00843EFF" w:rsidRPr="000578E9" w:rsidRDefault="00E7487D" w:rsidP="00775C7B">
      <w:pPr>
        <w:pStyle w:val="Text1"/>
        <w:ind w:left="0"/>
        <w:rPr>
          <w:noProof/>
        </w:rPr>
      </w:pPr>
      <w:r w:rsidRPr="000578E9">
        <w:rPr>
          <w:noProof/>
        </w:rPr>
        <w:t>Pour mettre ces mesures en œuvre et assurer leur efficacité, le secteur de la pêche, les organismes chargés de l’environnement, la Commission, le Parlement européen, le Conseil et les États membres doivent travailler en étroite collaboration. Bien qu’un nouvel engagement politique et un nouvel élan soient nécessaires, l’approche régionale de la PCP reste le cadre approprié pour mettre en œuvre le présent plan d’action, étant donné qu’elle tient pleinement compte des différences et des particularités régionales. À cet effet, les travaux en cours dans le cadre des ORGP requièrent une attention particulière, compte tenu de l’état des stocks partagés et chevauchants, et de la nécessité de travailler avec les pays tiers opérant dans les eaux de l’Union européenne.</w:t>
      </w:r>
    </w:p>
    <w:p w14:paraId="390B5F78" w14:textId="77777777" w:rsidR="00843EFF" w:rsidRPr="000578E9" w:rsidRDefault="00EF3A6B" w:rsidP="00B12B45">
      <w:pPr>
        <w:spacing w:after="120"/>
        <w:rPr>
          <w:noProof/>
        </w:rPr>
      </w:pPr>
      <w:r w:rsidRPr="000578E9">
        <w:rPr>
          <w:noProof/>
        </w:rPr>
        <w:t>La Commission propose le cadre suivant pour la mise en œuvre du présent plan d’action:</w:t>
      </w:r>
    </w:p>
    <w:p w14:paraId="045A5B22" w14:textId="77777777" w:rsidR="008F1387" w:rsidRPr="000578E9" w:rsidRDefault="008F1387" w:rsidP="00774C9F">
      <w:pPr>
        <w:pStyle w:val="ListParagraph"/>
        <w:numPr>
          <w:ilvl w:val="0"/>
          <w:numId w:val="23"/>
        </w:numPr>
        <w:spacing w:after="120"/>
        <w:ind w:left="714" w:hanging="357"/>
        <w:contextualSpacing w:val="0"/>
        <w:rPr>
          <w:iCs/>
          <w:noProof/>
        </w:rPr>
      </w:pPr>
      <w:r w:rsidRPr="000578E9">
        <w:rPr>
          <w:noProof/>
        </w:rPr>
        <w:t>au printemps 2023, la Commission fournira aux États membres un modèle et des orientations pour faciliter l’élaboration des feuilles de route;</w:t>
      </w:r>
    </w:p>
    <w:p w14:paraId="1966E758" w14:textId="77777777" w:rsidR="000B012F" w:rsidRPr="000578E9" w:rsidRDefault="00544728" w:rsidP="00774C9F">
      <w:pPr>
        <w:pStyle w:val="ListParagraph"/>
        <w:numPr>
          <w:ilvl w:val="0"/>
          <w:numId w:val="23"/>
        </w:numPr>
        <w:spacing w:after="120"/>
        <w:ind w:left="714" w:hanging="357"/>
        <w:contextualSpacing w:val="0"/>
        <w:rPr>
          <w:i/>
          <w:iCs/>
          <w:noProof/>
        </w:rPr>
      </w:pPr>
      <w:r w:rsidRPr="000578E9">
        <w:rPr>
          <w:noProof/>
        </w:rPr>
        <w:t xml:space="preserve">à l’automne 2023, la Commission convoquera la première réunion du nouveau groupe spécial conjoint pour aider les États membres à élaborer leurs feuilles de route nationales et entamer le processus de suivi; </w:t>
      </w:r>
    </w:p>
    <w:p w14:paraId="1BC5D318" w14:textId="77777777" w:rsidR="00A47FF8" w:rsidRPr="000578E9" w:rsidRDefault="00E54016" w:rsidP="00774C9F">
      <w:pPr>
        <w:pStyle w:val="ListParagraph"/>
        <w:numPr>
          <w:ilvl w:val="0"/>
          <w:numId w:val="22"/>
        </w:numPr>
        <w:spacing w:after="120"/>
        <w:contextualSpacing w:val="0"/>
        <w:rPr>
          <w:noProof/>
        </w:rPr>
      </w:pPr>
      <w:r w:rsidRPr="000578E9">
        <w:rPr>
          <w:noProof/>
        </w:rPr>
        <w:t xml:space="preserve">d’ici la fin du mois de mars 2024, les États membres présenteront des feuilles de route à la Commission et les rendront publiques. Ces feuilles de route devraient décrire les mesures nationales et les autres mesures qu’ils entendent proposer au moyen de recommandations communes afin d’atteindre les objectifs du plan d’action, y compris un calendrier jusqu’en 2030; </w:t>
      </w:r>
    </w:p>
    <w:p w14:paraId="0F3FF512" w14:textId="77777777" w:rsidR="00843EFF" w:rsidRPr="000578E9" w:rsidRDefault="18349363" w:rsidP="00774C9F">
      <w:pPr>
        <w:pStyle w:val="ListParagraph"/>
        <w:numPr>
          <w:ilvl w:val="0"/>
          <w:numId w:val="22"/>
        </w:numPr>
        <w:spacing w:after="120"/>
        <w:contextualSpacing w:val="0"/>
        <w:rPr>
          <w:noProof/>
        </w:rPr>
      </w:pPr>
      <w:r w:rsidRPr="000578E9">
        <w:rPr>
          <w:noProof/>
        </w:rPr>
        <w:t>au cours du premier semestre de 2024, la Commission adoptera son deuxième rapport sur le règlement relatif aux mesures techniques. Celui-ci alimentera l’examen à mi-parcours de la stratégie en faveur de la biodiversité, également prévu pour le premier semestre de 2024, examen dans le cadre duquel les progrès accomplis dans la mise en œuvre du présent plan d’action seront évalués. Les progrès accomplis dans la mise en œuvre du présent plan d’action seront évalués à la lumière 1) des mesures annoncées et décrites dans les feuilles de route pour 2030, et 2) des mesures nationales ou des recommandations communes, prises ou soumises d’ici mars 2024;</w:t>
      </w:r>
    </w:p>
    <w:p w14:paraId="23A9739B" w14:textId="77777777" w:rsidR="00843EFF" w:rsidRPr="000578E9" w:rsidRDefault="00AA7114" w:rsidP="00774C9F">
      <w:pPr>
        <w:pStyle w:val="ListParagraph"/>
        <w:numPr>
          <w:ilvl w:val="0"/>
          <w:numId w:val="22"/>
        </w:numPr>
        <w:spacing w:after="120"/>
        <w:ind w:left="714" w:hanging="357"/>
        <w:contextualSpacing w:val="0"/>
        <w:rPr>
          <w:noProof/>
        </w:rPr>
      </w:pPr>
      <w:r w:rsidRPr="000578E9">
        <w:rPr>
          <w:noProof/>
        </w:rPr>
        <w:t>en fonction de son évaluation des progrès accomplis, et conformément à son droit d’initiative, la Commission examinera si de nouvelles mesures sont nécessaires pour améliorer la mise en œuvre de l’une ou l’autre des mesures présentées dans le présent plan d’action, notamment en publiant une proposition législative fondée sur une analyse d’impact approfondie.</w:t>
      </w:r>
    </w:p>
    <w:p w14:paraId="36C4C066" w14:textId="77777777" w:rsidR="000B012F" w:rsidRPr="000578E9" w:rsidRDefault="000B012F" w:rsidP="00BE00CA">
      <w:pPr>
        <w:pStyle w:val="Heading1"/>
        <w:rPr>
          <w:noProof/>
        </w:rPr>
      </w:pPr>
      <w:bookmarkStart w:id="38" w:name="_Hlk110835510"/>
      <w:bookmarkEnd w:id="38"/>
      <w:r w:rsidRPr="000578E9">
        <w:rPr>
          <w:noProof/>
        </w:rPr>
        <w:t>Conclusion</w:t>
      </w:r>
    </w:p>
    <w:p w14:paraId="3515E0A6" w14:textId="77777777" w:rsidR="00892B23" w:rsidRPr="000578E9" w:rsidRDefault="00892B23" w:rsidP="00892B23">
      <w:pPr>
        <w:spacing w:after="200"/>
        <w:rPr>
          <w:noProof/>
        </w:rPr>
      </w:pPr>
      <w:r w:rsidRPr="000578E9">
        <w:rPr>
          <w:noProof/>
        </w:rPr>
        <w:t xml:space="preserve">L’Union européenne a joué un rôle moteur dans les efforts déployés pour parvenir à un accord sur des objectifs ambitieux pour le nouveau cadre mondial de la biodiversité et doit à présent traduire celui-ci en résultats concrets. </w:t>
      </w:r>
    </w:p>
    <w:p w14:paraId="235800BF" w14:textId="77777777" w:rsidR="00563113" w:rsidRPr="000578E9" w:rsidRDefault="0043710E" w:rsidP="00563113">
      <w:pPr>
        <w:pStyle w:val="Text1"/>
        <w:ind w:left="0"/>
        <w:rPr>
          <w:noProof/>
        </w:rPr>
      </w:pPr>
      <w:r w:rsidRPr="000578E9">
        <w:rPr>
          <w:noProof/>
        </w:rPr>
        <w:t>Lutter contre la triple crise à laquelle notre planète est confrontée (changement climatique, perte de biodiversité et pollution) est devenu plus urgent que jamais afin de protéger et de restaurer les mers et les océans d’Europe et de garantir la sécurité alimentaire et le bien-être socio-économique de l’Europe pour les pêcheurs, les communautés côtières et les sociétés en général. Il est urgent de soutenir les pêcheries de l’Union et de les aider à accroître leur résilience et à contribuer à la protection et à la restauration des écosystèmes marins dont elles dépendent.</w:t>
      </w:r>
    </w:p>
    <w:p w14:paraId="02215AF5" w14:textId="1492D43D" w:rsidR="00FA05B5" w:rsidRPr="000578E9" w:rsidRDefault="00563113" w:rsidP="00563113">
      <w:pPr>
        <w:spacing w:after="200"/>
        <w:rPr>
          <w:noProof/>
        </w:rPr>
      </w:pPr>
      <w:r w:rsidRPr="000578E9">
        <w:rPr>
          <w:noProof/>
        </w:rPr>
        <w:t>Dans le cadre du pacte pour la pêche et les océans prévu dans la communication sur la PCP</w:t>
      </w:r>
      <w:r w:rsidRPr="000578E9">
        <w:rPr>
          <w:rStyle w:val="FootnoteReference"/>
          <w:noProof/>
        </w:rPr>
        <w:footnoteReference w:id="102"/>
      </w:r>
      <w:r w:rsidRPr="000578E9">
        <w:rPr>
          <w:noProof/>
        </w:rPr>
        <w:t xml:space="preserve"> et des actions découlant de l’initiative pour la transition énergétique, la Commission invite toutes les parties concernées (les États membres, le Parlement européen et le Conseil) à faire preuve d’ambition dans la mise en œuvre du présent plan d’action et à collaborer en étroite coopération avec les parties prenantes, afin de mettre en œuvre les politiques de l’Union en matière d’environnement et de pêche en toute cohérence pour garantir la prospérité du secteur de la pêche durable, en coexistence et en synergie avec un écosystème marin sain et riche en biodiversité. </w:t>
      </w:r>
    </w:p>
    <w:p w14:paraId="54AB2BFD" w14:textId="77777777" w:rsidR="000B012F" w:rsidRPr="000578E9" w:rsidRDefault="000B012F" w:rsidP="00381F1E">
      <w:pPr>
        <w:spacing w:after="0"/>
        <w:jc w:val="left"/>
        <w:rPr>
          <w:noProof/>
        </w:rPr>
      </w:pPr>
    </w:p>
    <w:sectPr w:rsidR="000B012F" w:rsidRPr="000578E9" w:rsidSect="00F13E82">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743F5" w14:textId="77777777" w:rsidR="00443F8F" w:rsidRPr="00EF2A21" w:rsidRDefault="00443F8F">
      <w:pPr>
        <w:spacing w:after="0"/>
      </w:pPr>
      <w:r>
        <w:separator/>
      </w:r>
    </w:p>
  </w:endnote>
  <w:endnote w:type="continuationSeparator" w:id="0">
    <w:p w14:paraId="3C451701" w14:textId="77777777" w:rsidR="00443F8F" w:rsidRPr="00EF2A21" w:rsidRDefault="00443F8F">
      <w:pPr>
        <w:spacing w:after="0"/>
      </w:pPr>
      <w:r>
        <w:continuationSeparator/>
      </w:r>
    </w:p>
  </w:endnote>
  <w:endnote w:type="continuationNotice" w:id="1">
    <w:p w14:paraId="5772894E" w14:textId="77777777" w:rsidR="00443F8F" w:rsidRPr="00EF2A21" w:rsidRDefault="00443F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36AC3" w14:textId="77777777" w:rsidR="008B655D" w:rsidRPr="008B655D" w:rsidRDefault="008B655D" w:rsidP="008B6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EDEAB" w14:textId="216B11FE" w:rsidR="001C2C65" w:rsidRPr="008B655D" w:rsidRDefault="008B655D" w:rsidP="008B655D">
    <w:pPr>
      <w:pStyle w:val="FooterCoverPage"/>
      <w:rPr>
        <w:rFonts w:ascii="Arial" w:hAnsi="Arial" w:cs="Arial"/>
        <w:b/>
        <w:sz w:val="48"/>
      </w:rPr>
    </w:pPr>
    <w:r w:rsidRPr="008B655D">
      <w:rPr>
        <w:rFonts w:ascii="Arial" w:hAnsi="Arial" w:cs="Arial"/>
        <w:b/>
        <w:sz w:val="48"/>
      </w:rPr>
      <w:t>FR</w:t>
    </w:r>
    <w:r w:rsidRPr="008B655D">
      <w:rPr>
        <w:rFonts w:ascii="Arial" w:hAnsi="Arial" w:cs="Arial"/>
        <w:b/>
        <w:sz w:val="48"/>
      </w:rPr>
      <w:tab/>
    </w:r>
    <w:r w:rsidRPr="008B655D">
      <w:rPr>
        <w:rFonts w:ascii="Arial" w:hAnsi="Arial" w:cs="Arial"/>
        <w:b/>
        <w:sz w:val="48"/>
      </w:rPr>
      <w:tab/>
    </w:r>
    <w:r w:rsidRPr="008B655D">
      <w:tab/>
    </w:r>
    <w:r w:rsidRPr="008B655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49D86" w14:textId="77777777" w:rsidR="008B655D" w:rsidRPr="008B655D" w:rsidRDefault="008B655D" w:rsidP="008B655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E089A" w14:textId="77777777" w:rsidR="00231AA0" w:rsidRPr="00EF2A21" w:rsidRDefault="00231AA0">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AA06F" w14:textId="7A3A0F32" w:rsidR="00231AA0" w:rsidRPr="00EF2A21" w:rsidRDefault="00231AA0">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8B655D">
      <w:rPr>
        <w:noProof/>
      </w:rPr>
      <w:t>22</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1B0C1" w14:textId="67D6A8E9" w:rsidR="00231AA0" w:rsidRPr="00EF2A21" w:rsidRDefault="00231AA0">
    <w:pPr>
      <w:pStyle w:val="Footer"/>
      <w:jc w:val="center"/>
    </w:pPr>
    <w:r>
      <w:fldChar w:fldCharType="begin"/>
    </w:r>
    <w:r>
      <w:instrText xml:space="preserve"> PAGE   \* MERGEFORMAT </w:instrText>
    </w:r>
    <w:r>
      <w:fldChar w:fldCharType="separate"/>
    </w:r>
    <w:r w:rsidR="008B655D">
      <w:rPr>
        <w:noProof/>
      </w:rPr>
      <w:t>1</w:t>
    </w:r>
    <w:r>
      <w:fldChar w:fldCharType="end"/>
    </w:r>
  </w:p>
  <w:p w14:paraId="3C36A744" w14:textId="77777777" w:rsidR="00231AA0" w:rsidRPr="00EF2A21" w:rsidRDefault="00231AA0">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6ED1" w14:textId="77777777" w:rsidR="00443F8F" w:rsidRPr="00EF2A21" w:rsidRDefault="00443F8F">
      <w:pPr>
        <w:spacing w:after="0"/>
      </w:pPr>
      <w:r>
        <w:separator/>
      </w:r>
    </w:p>
  </w:footnote>
  <w:footnote w:type="continuationSeparator" w:id="0">
    <w:p w14:paraId="07DB2E16" w14:textId="77777777" w:rsidR="00443F8F" w:rsidRPr="00EF2A21" w:rsidRDefault="00443F8F">
      <w:pPr>
        <w:spacing w:after="0"/>
      </w:pPr>
      <w:r>
        <w:continuationSeparator/>
      </w:r>
    </w:p>
  </w:footnote>
  <w:footnote w:type="continuationNotice" w:id="1">
    <w:p w14:paraId="1CCA3A4C" w14:textId="77777777" w:rsidR="00443F8F" w:rsidRPr="00EF2A21" w:rsidRDefault="00443F8F">
      <w:pPr>
        <w:spacing w:after="0"/>
      </w:pPr>
    </w:p>
  </w:footnote>
  <w:footnote w:id="2">
    <w:p w14:paraId="231401A0" w14:textId="77777777" w:rsidR="00231AA0" w:rsidRPr="000578E9" w:rsidRDefault="00231AA0" w:rsidP="00A94F84">
      <w:pPr>
        <w:pStyle w:val="FootnoteText"/>
        <w:spacing w:after="60"/>
      </w:pPr>
      <w:r w:rsidRPr="000578E9">
        <w:rPr>
          <w:rStyle w:val="FootnoteReference"/>
        </w:rPr>
        <w:footnoteRef/>
      </w:r>
      <w:r w:rsidRPr="000578E9">
        <w:tab/>
        <w:t>Rapport de la Commission au Parlement européen et au Conseil sur la mise en œuvre de la directive-cadre «stratégie pour le milieu marin» (directive 2008/56/CE) [COM(2020) 259].</w:t>
      </w:r>
    </w:p>
  </w:footnote>
  <w:footnote w:id="3">
    <w:p w14:paraId="518F2294" w14:textId="64A29BD7" w:rsidR="00231AA0" w:rsidRPr="000578E9" w:rsidRDefault="00231AA0">
      <w:pPr>
        <w:pStyle w:val="FootnoteText"/>
      </w:pPr>
      <w:r w:rsidRPr="000578E9">
        <w:rPr>
          <w:rStyle w:val="FootnoteReference"/>
        </w:rPr>
        <w:footnoteRef/>
      </w:r>
      <w:r w:rsidR="000578E9">
        <w:tab/>
      </w:r>
      <w:r w:rsidRPr="000578E9">
        <w:rPr>
          <w:rStyle w:val="ui-provider"/>
        </w:rPr>
        <w:t xml:space="preserve">IPBES, «Summary for policymakers of the thematic assessment of the sustainable use of wild species of the Intergovernmental Science-Policy Platform on Biodiversity and Ecosystem Services», J.-M. Fromentin, M.R. Emery, J. Donaldson, M.-C. Danner, A. Hallosserie, D. Kieling, G. Balachander, E.S. Barron, R.P. Chaudhary, M. Gasalla, M. Halmy, C. Hicks, M.S. Park, B. Parlee, J. Rice, T. Ticktin, et D. Tittensor (dir.), secrétariat de l’IPBES, Bonn, Allemagne, 2022, 33 pages, </w:t>
      </w:r>
      <w:hyperlink r:id="rId1" w:tgtFrame="_blank" w:tooltip="https://doi.org/10.5281/zenodo.6425599" w:history="1">
        <w:r w:rsidRPr="000578E9">
          <w:rPr>
            <w:rStyle w:val="Hyperlink"/>
          </w:rPr>
          <w:t>https://doi.org/10.5281/zenodo.6425599</w:t>
        </w:r>
      </w:hyperlink>
    </w:p>
  </w:footnote>
  <w:footnote w:id="4">
    <w:p w14:paraId="7B2E5E3B" w14:textId="77777777" w:rsidR="00231AA0" w:rsidRPr="000578E9" w:rsidRDefault="00231AA0" w:rsidP="00A94F84">
      <w:pPr>
        <w:pStyle w:val="FootnoteText"/>
        <w:spacing w:after="60"/>
      </w:pPr>
      <w:r w:rsidRPr="000578E9">
        <w:rPr>
          <w:rStyle w:val="FootnoteReference"/>
        </w:rPr>
        <w:footnoteRef/>
      </w:r>
      <w:r w:rsidRPr="000578E9">
        <w:tab/>
        <w:t xml:space="preserve">Bianchi, M., Hallström, E., Parker, R.W.R. et al., «Assessing seafood nutritional diversity together with climate impacts informs more comprehensive dietary advice», </w:t>
      </w:r>
      <w:r w:rsidRPr="000578E9">
        <w:rPr>
          <w:i/>
        </w:rPr>
        <w:t>Communications Earth &amp; Environment</w:t>
      </w:r>
      <w:r w:rsidRPr="000578E9">
        <w:t xml:space="preserve"> 3, 188 (2022). </w:t>
      </w:r>
      <w:hyperlink r:id="rId2" w:history="1">
        <w:r w:rsidRPr="000578E9">
          <w:rPr>
            <w:rStyle w:val="Hyperlink"/>
          </w:rPr>
          <w:t>https://doi.org/10.1038/s43247-022-00516-4</w:t>
        </w:r>
      </w:hyperlink>
      <w:r w:rsidRPr="000578E9">
        <w:t xml:space="preserve"> </w:t>
      </w:r>
    </w:p>
  </w:footnote>
  <w:footnote w:id="5">
    <w:p w14:paraId="3CE1EECD" w14:textId="77777777" w:rsidR="00231AA0" w:rsidRPr="000578E9" w:rsidRDefault="00231AA0" w:rsidP="00A94F84">
      <w:pPr>
        <w:pStyle w:val="FootnoteText"/>
        <w:spacing w:after="60"/>
      </w:pPr>
      <w:r w:rsidRPr="000578E9">
        <w:rPr>
          <w:rStyle w:val="FootnoteReference"/>
        </w:rPr>
        <w:footnoteRef/>
      </w:r>
      <w:r w:rsidRPr="000578E9">
        <w:tab/>
        <w:t>Y compris l’aquaculture et l’industrie de transformation du poisson.</w:t>
      </w:r>
    </w:p>
  </w:footnote>
  <w:footnote w:id="6">
    <w:p w14:paraId="42930191" w14:textId="77777777" w:rsidR="00231AA0" w:rsidRPr="000578E9" w:rsidRDefault="00231AA0">
      <w:pPr>
        <w:pStyle w:val="FootnoteText"/>
      </w:pPr>
      <w:r w:rsidRPr="000578E9">
        <w:rPr>
          <w:rStyle w:val="FootnoteReference"/>
        </w:rPr>
        <w:footnoteRef/>
      </w:r>
      <w:r w:rsidRPr="000578E9">
        <w:tab/>
        <w:t>Communication de la Commission au Parlement européen, au Conseil, au Comité économique et social européen et au Comité des régions, Stratégie de l’UE en faveur de la biodiversité à l’horizon 2030 – Ramener la nature dans nos vies [COM(2020) 380].</w:t>
      </w:r>
    </w:p>
  </w:footnote>
  <w:footnote w:id="7">
    <w:p w14:paraId="1CB00260" w14:textId="77777777" w:rsidR="00231AA0" w:rsidRPr="000578E9" w:rsidRDefault="00231AA0">
      <w:pPr>
        <w:pStyle w:val="FootnoteText"/>
      </w:pPr>
      <w:r w:rsidRPr="000578E9">
        <w:rPr>
          <w:rStyle w:val="FootnoteReference"/>
        </w:rPr>
        <w:footnoteRef/>
      </w:r>
      <w:r w:rsidRPr="000578E9">
        <w:tab/>
        <w:t>Communication de la Commission au Parlement européen, au Conseil, au Comité économique et social européen et au Comité des régions, Bâtir une Europe résiliente – la nouvelle stratégie de l’Union européenne pour l’adaptation au changement climatique [COM(2021) 82 final].</w:t>
      </w:r>
    </w:p>
  </w:footnote>
  <w:footnote w:id="8">
    <w:p w14:paraId="2757E987" w14:textId="77777777" w:rsidR="00231AA0" w:rsidRPr="000578E9" w:rsidRDefault="00231AA0">
      <w:pPr>
        <w:pStyle w:val="FootnoteText"/>
      </w:pPr>
      <w:r w:rsidRPr="000578E9">
        <w:rPr>
          <w:rStyle w:val="FootnoteReference"/>
        </w:rPr>
        <w:footnoteRef/>
      </w:r>
      <w:r w:rsidRPr="000578E9">
        <w:tab/>
        <w:t>Communication de la Commission au Parlement européen, au Conseil, au Comité économique et social européen et au Comité des régions, Une stratégie «De la ferme à la table» pour un système alimentaire équitable, sain et respectueux de l’environnement [COM(2020) 381].</w:t>
      </w:r>
    </w:p>
  </w:footnote>
  <w:footnote w:id="9">
    <w:p w14:paraId="72A6B2E9" w14:textId="77777777" w:rsidR="00231AA0" w:rsidRPr="000578E9" w:rsidRDefault="00231AA0" w:rsidP="00A94F84">
      <w:pPr>
        <w:spacing w:after="60"/>
        <w:ind w:left="357" w:hanging="357"/>
        <w:rPr>
          <w:sz w:val="20"/>
        </w:rPr>
      </w:pPr>
      <w:r w:rsidRPr="000578E9">
        <w:rPr>
          <w:sz w:val="20"/>
          <w:vertAlign w:val="superscript"/>
        </w:rPr>
        <w:footnoteRef/>
      </w:r>
      <w:r w:rsidRPr="000578E9">
        <w:tab/>
      </w:r>
      <w:r w:rsidRPr="000578E9">
        <w:rPr>
          <w:sz w:val="20"/>
        </w:rPr>
        <w:t>Rapport de la Commission au Parlement européen et au Conseil sur la mise en œuvre de la directive-cadre «stratégie pour le milieu marin» (directive 2008/56/CE) [COM(2020) 259 final].</w:t>
      </w:r>
    </w:p>
  </w:footnote>
  <w:footnote w:id="10">
    <w:p w14:paraId="002A90CE" w14:textId="77777777" w:rsidR="00231AA0" w:rsidRPr="000578E9" w:rsidRDefault="00231AA0" w:rsidP="00A94F84">
      <w:pPr>
        <w:pStyle w:val="FootnoteText"/>
        <w:spacing w:after="60"/>
      </w:pPr>
      <w:r w:rsidRPr="000578E9">
        <w:rPr>
          <w:rStyle w:val="FootnoteReference"/>
        </w:rPr>
        <w:footnoteRef/>
      </w:r>
      <w:r w:rsidRPr="000578E9">
        <w:tab/>
        <w:t>Agence européenne pour l’environnement, «Marine Messages II: Navigating the course towards clean, healthy and productive seas through implementation of an ecosystem-based approach», 2019.</w:t>
      </w:r>
    </w:p>
  </w:footnote>
  <w:footnote w:id="11">
    <w:p w14:paraId="7C01E18F" w14:textId="77777777" w:rsidR="00231AA0" w:rsidRPr="000578E9" w:rsidRDefault="00231AA0" w:rsidP="0074319C">
      <w:pPr>
        <w:pStyle w:val="FootnoteText"/>
        <w:spacing w:after="60"/>
      </w:pPr>
      <w:r w:rsidRPr="000578E9">
        <w:rPr>
          <w:rStyle w:val="FootnoteReference"/>
        </w:rPr>
        <w:footnoteRef/>
      </w:r>
      <w:r w:rsidRPr="000578E9">
        <w:tab/>
        <w:t xml:space="preserve">Les rapports les plus récents de l’IPBES [Global Assessment Report on Biodiversity and Ecosystem Services (2019); Methodological Assessment Report on the Diverse Values and Valuation of Nature (2022)] indiquent que la santé des écosystèmes dont les hommes et toutes les autres espèces dépendent se détériore plus rapidement que jamais et que nous érodons les fondements mêmes de nos économies, de nos moyens de subsistance, de notre sécurité alimentaire, de notre santé et de notre qualité de vie dans le monde entier. </w:t>
      </w:r>
    </w:p>
  </w:footnote>
  <w:footnote w:id="12">
    <w:p w14:paraId="6F372A07" w14:textId="77777777" w:rsidR="00231AA0" w:rsidRPr="000578E9" w:rsidRDefault="00231AA0" w:rsidP="00FF3334">
      <w:pPr>
        <w:pStyle w:val="FootnoteText"/>
        <w:spacing w:after="60"/>
      </w:pPr>
      <w:r w:rsidRPr="000578E9">
        <w:rPr>
          <w:rStyle w:val="FootnoteReference"/>
        </w:rPr>
        <w:footnoteRef/>
      </w:r>
      <w:r w:rsidRPr="000578E9">
        <w:tab/>
        <w:t>Communication de la Commission, Cap sur une planète en bonne santé pour tous – Plan d’action de l’UE: «Vers une pollution zéro dans l’air, l’eau et les sols» [COM(2021) 400 final].</w:t>
      </w:r>
    </w:p>
  </w:footnote>
  <w:footnote w:id="13">
    <w:p w14:paraId="3254392B" w14:textId="77777777" w:rsidR="00231AA0" w:rsidRPr="000578E9" w:rsidRDefault="00231AA0" w:rsidP="00FF3334">
      <w:pPr>
        <w:pStyle w:val="FootnoteText"/>
      </w:pPr>
      <w:r w:rsidRPr="000578E9">
        <w:rPr>
          <w:rStyle w:val="FootnoteReference"/>
        </w:rPr>
        <w:footnoteRef/>
      </w:r>
      <w:r w:rsidRPr="000578E9">
        <w:tab/>
        <w:t>Ceux-ci incluent, entre autres, la réduction de 50 % des déchets et des déchets plastiques en mer, la réduction de 30 % des microplastiques libérés dans l’environnement, la réduction de 50 % des pertes de nutriments et de l’utilisation des pesticides chimiques, et la réduction de 25 % des écosystèmes de l’Union européenne où la pollution atmosphérique menace la biodiversité.</w:t>
      </w:r>
    </w:p>
  </w:footnote>
  <w:footnote w:id="14">
    <w:p w14:paraId="6421EC61" w14:textId="77777777" w:rsidR="00231AA0" w:rsidRPr="000578E9" w:rsidRDefault="00231AA0" w:rsidP="00FF3334">
      <w:pPr>
        <w:pStyle w:val="FootnoteText"/>
      </w:pPr>
      <w:r w:rsidRPr="000578E9">
        <w:rPr>
          <w:rStyle w:val="FootnoteReference"/>
        </w:rPr>
        <w:footnoteRef/>
      </w:r>
      <w:r w:rsidRPr="000578E9">
        <w:t xml:space="preserve"> </w:t>
      </w:r>
      <w:r w:rsidRPr="000578E9">
        <w:tab/>
        <w:t>Directive (UE) 2019/883 du Parlement européen et du Conseil du 17 avril 2019 relative aux installations de réception portuaires pour le dépôt des déchets des navires, modifiant la directive 2010/65/UE et abrogeant la directive 2000/59/CE (JO L 151 du 7.6.2019, p. 116).</w:t>
      </w:r>
    </w:p>
  </w:footnote>
  <w:footnote w:id="15">
    <w:p w14:paraId="04762334" w14:textId="77777777" w:rsidR="00231AA0" w:rsidRPr="000578E9" w:rsidRDefault="00231AA0">
      <w:pPr>
        <w:pStyle w:val="FootnoteText"/>
      </w:pPr>
      <w:r w:rsidRPr="000578E9">
        <w:rPr>
          <w:rStyle w:val="FootnoteReference"/>
        </w:rPr>
        <w:footnoteRef/>
      </w:r>
      <w:r w:rsidRPr="000578E9">
        <w:tab/>
        <w:t>Comme l’exige la directive-cadre «stratégie pour le milieu marin» (directive 2008/56/CE).</w:t>
      </w:r>
    </w:p>
  </w:footnote>
  <w:footnote w:id="16">
    <w:p w14:paraId="43312CD3" w14:textId="77777777" w:rsidR="00783A20" w:rsidRPr="000578E9" w:rsidRDefault="00142BC7" w:rsidP="00783A20">
      <w:pPr>
        <w:pStyle w:val="FootnoteText"/>
      </w:pPr>
      <w:r w:rsidRPr="000578E9">
        <w:rPr>
          <w:rStyle w:val="FootnoteReference"/>
        </w:rPr>
        <w:footnoteRef/>
      </w:r>
      <w:r w:rsidRPr="000578E9">
        <w:t xml:space="preserve"> </w:t>
      </w:r>
      <w:r w:rsidRPr="000578E9">
        <w:tab/>
        <w:t>Ce plan d’action est également pertinent pour les régions ultrapériphériques de l’Union (telles qu’énumérées à l’article 249 du TFUE), qui devraient aussi faire l’objet d’une attention particulière, conformément à l’appel, lancé dans la stratégie de l’Union en faveur de la biodiversité à l’horizon 2030, à se concentrer sur la protection et la restauration d’urgence des écosystèmes de ces régions, compte tenu de leur valeur exceptionnelle en matière de biodiversité.</w:t>
      </w:r>
    </w:p>
  </w:footnote>
  <w:footnote w:id="17">
    <w:p w14:paraId="50917790" w14:textId="3F6B6A5F" w:rsidR="00231AA0" w:rsidRPr="000578E9" w:rsidRDefault="00231AA0" w:rsidP="0065502D">
      <w:pPr>
        <w:pStyle w:val="FootnoteText"/>
      </w:pPr>
      <w:r w:rsidRPr="000578E9">
        <w:rPr>
          <w:rStyle w:val="FootnoteReference"/>
        </w:rPr>
        <w:footnoteRef/>
      </w:r>
      <w:r w:rsidRPr="000578E9">
        <w:tab/>
        <w:t>Communication de la Commission au Parlement européen et au Conseil La politique commune de la pêche d’aujourd’hui et de demain: un pacte pour la pêche et les océans vers une gestion de la pêche durable, fondée sur des données scientifiques, innovante et inclusive [COM(2023) 103].</w:t>
      </w:r>
    </w:p>
  </w:footnote>
  <w:footnote w:id="18">
    <w:p w14:paraId="77A4B224" w14:textId="77777777" w:rsidR="00231AA0" w:rsidRPr="000578E9" w:rsidRDefault="00231AA0" w:rsidP="0065502D">
      <w:pPr>
        <w:pStyle w:val="FootnoteText"/>
      </w:pPr>
      <w:r w:rsidRPr="000578E9">
        <w:rPr>
          <w:rStyle w:val="FootnoteReference"/>
        </w:rPr>
        <w:footnoteRef/>
      </w:r>
      <w:r w:rsidRPr="000578E9">
        <w:t xml:space="preserve"> Communication de la Commission au Parlement européen et au Conseil relative à la transition énergétique du secteur de la pêche et de l’aquaculture de l’Union européenne [COM(2023) 100].</w:t>
      </w:r>
    </w:p>
  </w:footnote>
  <w:footnote w:id="19">
    <w:p w14:paraId="0452FF53" w14:textId="77777777" w:rsidR="00231AA0" w:rsidRPr="000578E9" w:rsidRDefault="00231AA0" w:rsidP="00A94F84">
      <w:pPr>
        <w:pStyle w:val="FootnoteText"/>
        <w:spacing w:after="60"/>
      </w:pPr>
      <w:r w:rsidRPr="000578E9">
        <w:rPr>
          <w:rStyle w:val="FootnoteReference"/>
        </w:rPr>
        <w:footnoteRef/>
      </w:r>
      <w:r w:rsidRPr="000578E9">
        <w:tab/>
        <w:t>Rapport spécial nº 26/2020 de la Cour des comptes, «Milieu marin:</w:t>
      </w:r>
      <w:r w:rsidRPr="000578E9">
        <w:rPr>
          <w:i/>
        </w:rPr>
        <w:t xml:space="preserve"> </w:t>
      </w:r>
      <w:r w:rsidRPr="000578E9">
        <w:t xml:space="preserve">l’UE offre une protection étendue, mais superficielle», </w:t>
      </w:r>
      <w:hyperlink r:id="rId3" w:history="1">
        <w:r w:rsidRPr="000578E9">
          <w:rPr>
            <w:rStyle w:val="Hyperlink"/>
          </w:rPr>
          <w:t>https://op.europa.eu/webpub/eca/special-reports/marine-environment-26-2020/fr/</w:t>
        </w:r>
      </w:hyperlink>
    </w:p>
  </w:footnote>
  <w:footnote w:id="20">
    <w:p w14:paraId="7F19CA85" w14:textId="77777777" w:rsidR="00231AA0" w:rsidRPr="000578E9" w:rsidRDefault="00231AA0" w:rsidP="003971FB">
      <w:pPr>
        <w:pStyle w:val="FootnoteText"/>
      </w:pPr>
      <w:r w:rsidRPr="000578E9">
        <w:rPr>
          <w:rStyle w:val="FootnoteReference"/>
        </w:rPr>
        <w:footnoteRef/>
      </w:r>
      <w:r w:rsidRPr="000578E9">
        <w:t xml:space="preserve"> Les zones marines protégées (ZMP) sont des zones géographiquement distinctes pour lesquelles des objectifs de protection sont fixés (AEE, </w:t>
      </w:r>
      <w:hyperlink r:id="rId4" w:history="1">
        <w:r w:rsidRPr="000578E9">
          <w:rPr>
            <w:rStyle w:val="Hyperlink"/>
          </w:rPr>
          <w:t>2018</w:t>
        </w:r>
      </w:hyperlink>
      <w:r w:rsidRPr="000578E9">
        <w:t xml:space="preserve">). Voir dernière analyse spatiale des ZMP dans les mers d’Europe réalisée par l’AEE:  </w:t>
      </w:r>
      <w:hyperlink r:id="rId5" w:history="1">
        <w:r w:rsidRPr="000578E9">
          <w:rPr>
            <w:rStyle w:val="Hyperlink"/>
          </w:rPr>
          <w:t>https://www.eionet.europa.eu/etcs/etc-icm/products/etc-icm-reports/etc-icm-report-3-2020-spatial-analysis-of-marine-protected-area-networks-in-europe2019s-seas-iii</w:t>
        </w:r>
      </w:hyperlink>
      <w:r w:rsidRPr="000578E9">
        <w:t xml:space="preserve">  </w:t>
      </w:r>
    </w:p>
  </w:footnote>
  <w:footnote w:id="21">
    <w:p w14:paraId="1B7B5970" w14:textId="77777777" w:rsidR="00231AA0" w:rsidRPr="000578E9" w:rsidRDefault="00231AA0">
      <w:pPr>
        <w:pStyle w:val="FootnoteText"/>
      </w:pPr>
      <w:r w:rsidRPr="000578E9">
        <w:rPr>
          <w:rStyle w:val="FootnoteReference"/>
        </w:rPr>
        <w:footnoteRef/>
      </w:r>
      <w:r w:rsidRPr="000578E9">
        <w:tab/>
        <w:t>Proposition de règlement du Parlement européen et du Conseil relatif à la restauration de la nature, Bruxelles, 22.6.2022 [COM(2022) 304 final], 2022/0195(COD).</w:t>
      </w:r>
    </w:p>
  </w:footnote>
  <w:footnote w:id="22">
    <w:p w14:paraId="6622E0BF" w14:textId="77777777" w:rsidR="00231AA0" w:rsidRPr="000578E9" w:rsidRDefault="00231AA0" w:rsidP="003971FB">
      <w:pPr>
        <w:pStyle w:val="FootnoteText"/>
        <w:spacing w:after="60"/>
      </w:pPr>
      <w:r w:rsidRPr="000578E9">
        <w:rPr>
          <w:rStyle w:val="FootnoteReference"/>
        </w:rPr>
        <w:footnoteRef/>
      </w:r>
      <w:r w:rsidRPr="000578E9">
        <w:tab/>
        <w:t>Synthèse de la consultation jointe en annexe de la présente communication.</w:t>
      </w:r>
    </w:p>
  </w:footnote>
  <w:footnote w:id="23">
    <w:p w14:paraId="6314EF07" w14:textId="77777777" w:rsidR="00231AA0" w:rsidRPr="000578E9" w:rsidRDefault="00231AA0">
      <w:pPr>
        <w:pStyle w:val="FootnoteText"/>
      </w:pPr>
      <w:r w:rsidRPr="000578E9">
        <w:rPr>
          <w:rStyle w:val="FootnoteReference"/>
        </w:rPr>
        <w:footnoteRef/>
      </w:r>
      <w:r w:rsidRPr="000578E9">
        <w:tab/>
        <w:t>Communication conjointe au Parlement européen, au Conseil, au Comité économique et social européen et au Comité des régions, Fixer le cap vers une planète bleue durable – Communication conjointe relative au programme de l’UE de gouvernance internationale des océans [JOIN(2022) 28 final].</w:t>
      </w:r>
    </w:p>
  </w:footnote>
  <w:footnote w:id="24">
    <w:p w14:paraId="3522D21C" w14:textId="77777777" w:rsidR="00231AA0" w:rsidRPr="000578E9" w:rsidRDefault="00231AA0" w:rsidP="00A94F84">
      <w:pPr>
        <w:pStyle w:val="FootnoteText"/>
        <w:spacing w:after="60"/>
      </w:pPr>
      <w:r w:rsidRPr="000578E9">
        <w:rPr>
          <w:rStyle w:val="FootnoteReference"/>
        </w:rPr>
        <w:footnoteRef/>
      </w:r>
      <w:r w:rsidRPr="000578E9">
        <w:tab/>
        <w:t>Rapport de la Commission au Parlement européen et au Conseil sur la mise en œuvre de la directive-cadre «stratégie pour le milieu marin» (directive 2008/56/CE) [COM(2022) 259 final].</w:t>
      </w:r>
    </w:p>
  </w:footnote>
  <w:footnote w:id="25">
    <w:p w14:paraId="13E34B99" w14:textId="77777777" w:rsidR="00231AA0" w:rsidRPr="000578E9" w:rsidRDefault="00231AA0" w:rsidP="00BA0465">
      <w:pPr>
        <w:pStyle w:val="FootnoteText"/>
        <w:spacing w:after="60"/>
      </w:pPr>
      <w:r w:rsidRPr="000578E9">
        <w:rPr>
          <w:rStyle w:val="FootnoteReference"/>
        </w:rPr>
        <w:footnoteRef/>
      </w:r>
      <w:r w:rsidRPr="000578E9">
        <w:t xml:space="preserve"> Telles que définies à l’article 6, point 8), du règlement (UE) 2019/1241.</w:t>
      </w:r>
    </w:p>
  </w:footnote>
  <w:footnote w:id="26">
    <w:p w14:paraId="11D7F4BE" w14:textId="77777777" w:rsidR="00231AA0" w:rsidRPr="000578E9" w:rsidRDefault="00231AA0" w:rsidP="00A94F84">
      <w:pPr>
        <w:pStyle w:val="FootnoteText"/>
        <w:spacing w:after="60"/>
        <w:ind w:left="284" w:hanging="284"/>
      </w:pPr>
      <w:r w:rsidRPr="000578E9">
        <w:rPr>
          <w:rStyle w:val="FootnoteReference"/>
        </w:rPr>
        <w:footnoteRef/>
      </w:r>
      <w:r w:rsidRPr="000578E9">
        <w:tab/>
        <w:t>Règlement (UE) 2019/1241 du Parlement européen et du Conseil du 20 juin 2019 relatif à la conservation des ressources halieutiques et à la protection des écosystèmes marins par des mesures techniques, modifiant les règlements (CE) nº 2019/2006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 (JO L 198 du 25.7.2019, p. 105).</w:t>
      </w:r>
    </w:p>
  </w:footnote>
  <w:footnote w:id="27">
    <w:p w14:paraId="24D4CD6E" w14:textId="77777777" w:rsidR="00231AA0" w:rsidRPr="000578E9" w:rsidRDefault="00231AA0" w:rsidP="00A94F84">
      <w:pPr>
        <w:pStyle w:val="FootnoteText"/>
        <w:spacing w:after="60"/>
        <w:ind w:left="284" w:hanging="284"/>
        <w:rPr>
          <w:color w:val="000000" w:themeColor="text1"/>
        </w:rPr>
      </w:pPr>
      <w:r w:rsidRPr="000578E9">
        <w:rPr>
          <w:rStyle w:val="FootnoteReference"/>
        </w:rPr>
        <w:footnoteRef/>
      </w:r>
      <w:r w:rsidRPr="000578E9">
        <w:tab/>
        <w:t>Annexes V à XI du règlement (UE) 2019/1241.</w:t>
      </w:r>
    </w:p>
  </w:footnote>
  <w:footnote w:id="28">
    <w:p w14:paraId="12D9B57A" w14:textId="77777777" w:rsidR="00231AA0" w:rsidRPr="000578E9" w:rsidRDefault="00231AA0" w:rsidP="00A94F84">
      <w:pPr>
        <w:pStyle w:val="FootnoteText"/>
        <w:spacing w:after="60"/>
      </w:pPr>
      <w:r w:rsidRPr="000578E9">
        <w:rPr>
          <w:rStyle w:val="FootnoteReference"/>
        </w:rPr>
        <w:footnoteRef/>
      </w:r>
      <w:r w:rsidRPr="000578E9">
        <w:tab/>
        <w:t>Sauf indication contraire, les références aux «requins» dans le présent document s’entendent comme couvrant toutes les espèces de la classe des poissons cartilagineux (requins, rajidés et chimères).</w:t>
      </w:r>
    </w:p>
  </w:footnote>
  <w:footnote w:id="29">
    <w:p w14:paraId="4513CBDB" w14:textId="77777777" w:rsidR="00231AA0" w:rsidRPr="000578E9" w:rsidRDefault="00231AA0">
      <w:pPr>
        <w:pStyle w:val="FootnoteText"/>
      </w:pPr>
      <w:r w:rsidRPr="000578E9">
        <w:rPr>
          <w:rStyle w:val="FootnoteReference"/>
        </w:rPr>
        <w:footnoteRef/>
      </w:r>
      <w:r w:rsidRPr="000578E9">
        <w:t xml:space="preserve"> </w:t>
      </w:r>
      <w:r w:rsidRPr="000578E9">
        <w:tab/>
        <w:t>Dans la mer Baltique, les États membres se préparent à adopter des mesures visant à réduire les captures accidentelles de marsouins communs de la Baltique centrale, en danger critique, en fermant des zones conformément aux avis scientifiques. Dans la mer Méditerranée et la mer Noire, les États membres élaborent actuellement de nouvelles mesures d’atténuation dans le cadre de la Commission générale des pêches pour la Méditerranée (CGPM) afin de protéger les espèces sensibles: ces mesures incluent la réduction des captures de requins menacés et la protection des zones de croissance. Pour la mer Noire, des mesures de protection des esturgeons et du marsouin commun sont également en cours d’élaboration. Dans l’Atlantique du Nord-Est, les parties contractantes ont mis en place des mesures dans le cadre de la convention pour la protection du milieu marin de l’Atlantique du Nord-Est (convention OSPAR) pour permettre la reconstitution d’espèces et d’oiseaux marins menacés ou en déclin. Pour la mer Baltique, la convention d’Helsinki (HELCOM) vise à cartographier les zones à haut risque pour les oiseaux de mer, à évaluer l’efficacité des efforts de conservation visant à protéger les oiseaux d’eau et les espèces de poissons côtiers, et à limiter les pressions.</w:t>
      </w:r>
    </w:p>
  </w:footnote>
  <w:footnote w:id="30">
    <w:p w14:paraId="238075CA" w14:textId="77777777" w:rsidR="00231AA0" w:rsidRPr="000578E9" w:rsidRDefault="00231AA0">
      <w:pPr>
        <w:pStyle w:val="FootnoteText"/>
      </w:pPr>
      <w:r w:rsidRPr="000578E9">
        <w:rPr>
          <w:rStyle w:val="FootnoteReference"/>
        </w:rPr>
        <w:footnoteRef/>
      </w:r>
      <w:r w:rsidRPr="000578E9">
        <w:t xml:space="preserve"> </w:t>
      </w:r>
      <w:r w:rsidRPr="000578E9">
        <w:tab/>
        <w:t>Demande de l’Union européenne relative à des mesures d’urgence visant à prévenir les prises accessoires de dauphins communs (</w:t>
      </w:r>
      <w:r w:rsidRPr="000578E9">
        <w:rPr>
          <w:i/>
          <w:iCs/>
        </w:rPr>
        <w:t>Delphinus delphis</w:t>
      </w:r>
      <w:r w:rsidRPr="000578E9">
        <w:t>) et de marsouins communs de la Baltique centrale (</w:t>
      </w:r>
      <w:r w:rsidRPr="000578E9">
        <w:rPr>
          <w:i/>
          <w:iCs/>
        </w:rPr>
        <w:t>Phocoena phocoena</w:t>
      </w:r>
      <w:r w:rsidRPr="000578E9">
        <w:t>) dans l’Atlantique du Nord-Est (avis du CIEM sur la demande spéciale, écorégions de l’Atlantique du Nord-Est, publié le 26 mai 2020).</w:t>
      </w:r>
    </w:p>
  </w:footnote>
  <w:footnote w:id="31">
    <w:p w14:paraId="12338912" w14:textId="77777777" w:rsidR="00231AA0" w:rsidRPr="000578E9" w:rsidRDefault="00231AA0" w:rsidP="00A94F84">
      <w:pPr>
        <w:pStyle w:val="FootnoteText"/>
        <w:spacing w:after="60"/>
      </w:pPr>
      <w:r w:rsidRPr="000578E9">
        <w:rPr>
          <w:rStyle w:val="FootnoteReference"/>
        </w:rPr>
        <w:footnoteRef/>
      </w:r>
      <w:r w:rsidRPr="000578E9">
        <w:tab/>
        <w:t>Article 21 et annexe XIII du règlement (UE) 2019/1241.</w:t>
      </w:r>
    </w:p>
  </w:footnote>
  <w:footnote w:id="32">
    <w:p w14:paraId="5E1E4457" w14:textId="77777777" w:rsidR="00231AA0" w:rsidRPr="000578E9" w:rsidRDefault="00231AA0" w:rsidP="00A94F84">
      <w:pPr>
        <w:pStyle w:val="FootnoteText"/>
        <w:spacing w:after="60"/>
        <w:ind w:left="284" w:hanging="284"/>
      </w:pPr>
      <w:r w:rsidRPr="000578E9">
        <w:rPr>
          <w:rStyle w:val="FootnoteReference"/>
        </w:rPr>
        <w:footnoteRef/>
      </w:r>
      <w:r w:rsidRPr="000578E9">
        <w:tab/>
        <w:t>Telles que celles examinées dans l’avis de DISCARDLESS, de MINOW et du CIEM sur les engins innovants.</w:t>
      </w:r>
    </w:p>
  </w:footnote>
  <w:footnote w:id="33">
    <w:p w14:paraId="4A309E6A" w14:textId="77777777" w:rsidR="00231AA0" w:rsidRPr="000578E9" w:rsidRDefault="00231AA0" w:rsidP="00A94F84">
      <w:pPr>
        <w:pStyle w:val="FootnoteText"/>
        <w:spacing w:after="60"/>
      </w:pPr>
      <w:r w:rsidRPr="000578E9">
        <w:rPr>
          <w:rStyle w:val="FootnoteReference"/>
        </w:rPr>
        <w:footnoteRef/>
      </w:r>
      <w:r w:rsidRPr="000578E9">
        <w:tab/>
        <w:t xml:space="preserve">Au sens de l’article 15 du règlement (UE) 2019/1241 ou de l’article 11 du règlement (UE) nº 1380/2013 (PCP). Voir aussi </w:t>
      </w:r>
      <w:hyperlink r:id="rId6" w:history="1">
        <w:r w:rsidRPr="000578E9">
          <w:rPr>
            <w:rStyle w:val="Hyperlink"/>
          </w:rPr>
          <w:t>https://ec.europa.eu/environment/nature/natura2000/marine/docs/Marine%20SWD%20288%20final.pdf</w:t>
        </w:r>
      </w:hyperlink>
    </w:p>
  </w:footnote>
  <w:footnote w:id="34">
    <w:p w14:paraId="463A160F" w14:textId="77777777" w:rsidR="00231AA0" w:rsidRPr="000578E9" w:rsidRDefault="00231AA0" w:rsidP="00A94F84">
      <w:pPr>
        <w:pStyle w:val="FootnoteText"/>
        <w:spacing w:after="60"/>
      </w:pPr>
      <w:r w:rsidRPr="000578E9">
        <w:rPr>
          <w:rStyle w:val="FootnoteReference"/>
        </w:rPr>
        <w:footnoteRef/>
      </w:r>
      <w:r w:rsidRPr="000578E9">
        <w:tab/>
        <w:t>Article 8, paragraphe 5, et article 24, paragraphe 1, points a), c), d) et g), du règlement (UE) 2019/1241.</w:t>
      </w:r>
    </w:p>
  </w:footnote>
  <w:footnote w:id="35">
    <w:p w14:paraId="3D6D1737" w14:textId="77777777" w:rsidR="00231AA0" w:rsidRPr="000578E9" w:rsidRDefault="00231AA0">
      <w:pPr>
        <w:pStyle w:val="FootnoteText"/>
      </w:pPr>
      <w:r w:rsidRPr="000578E9">
        <w:rPr>
          <w:rStyle w:val="FootnoteReference"/>
        </w:rPr>
        <w:footnoteRef/>
      </w:r>
      <w:r w:rsidRPr="000578E9">
        <w:tab/>
        <w:t>À savoir, les «[e]spèces d’oiseaux, de mammifères, de reptiles et espèces de poissons et de céphalopodes non exploitées à des fins commerciales risquant d’être capturées accidentellement dans la région ou la sous-région», décision (UE) 2017/848 de la Commission, annexe, partie II, Critères et normes méthodologiques, spécifications et méthodes normalisées de surveillance et d’évaluation des spécificités et caractéristiques essentielles de l’état écologique des eaux marines au moment de l’évaluation, conformément à l’article 8, paragraphe 1, point a), de la directive 2008/56/CE.</w:t>
      </w:r>
    </w:p>
  </w:footnote>
  <w:footnote w:id="36">
    <w:p w14:paraId="1D2063B0" w14:textId="77777777" w:rsidR="00231AA0" w:rsidRPr="000578E9" w:rsidRDefault="00231AA0">
      <w:pPr>
        <w:pStyle w:val="FootnoteText"/>
      </w:pPr>
      <w:r w:rsidRPr="000578E9">
        <w:rPr>
          <w:rStyle w:val="FootnoteReference"/>
        </w:rPr>
        <w:footnoteRef/>
      </w:r>
      <w:r w:rsidRPr="000578E9">
        <w:tab/>
        <w:t>Directive 2008/56/CE du Parlement européen et du Conseil du 17 juin 2008 établissant un cadre d’action communautaire dans le domaine de la politique pour le milieu marin (directive-cadre «stratégie pour le milieu marin»).</w:t>
      </w:r>
    </w:p>
  </w:footnote>
  <w:footnote w:id="37">
    <w:p w14:paraId="7E9D0E15" w14:textId="77777777" w:rsidR="00231AA0" w:rsidRPr="000578E9" w:rsidRDefault="00231AA0" w:rsidP="00A94F84">
      <w:pPr>
        <w:pStyle w:val="FootnoteText"/>
        <w:spacing w:after="60"/>
      </w:pPr>
      <w:bookmarkStart w:id="14" w:name="_Hlk126243679"/>
      <w:r w:rsidRPr="000578E9">
        <w:rPr>
          <w:rStyle w:val="FootnoteReference"/>
        </w:rPr>
        <w:footnoteRef/>
      </w:r>
      <w:r w:rsidRPr="000578E9">
        <w:tab/>
        <w:t xml:space="preserve">Par exemple, en mettant pleinement en œuvre les mesures recommandées dans le document suivant: </w:t>
      </w:r>
      <w:r w:rsidRPr="000578E9">
        <w:rPr>
          <w:shd w:val="clear" w:color="auto" w:fill="FFFFFF"/>
        </w:rPr>
        <w:t>CIEM, «EU additional request on mitigation measures to reduce by-catches of common dolphin (</w:t>
      </w:r>
      <w:r w:rsidRPr="000578E9">
        <w:rPr>
          <w:i/>
          <w:shd w:val="clear" w:color="auto" w:fill="FFFFFF"/>
        </w:rPr>
        <w:t>Delphinus delphis</w:t>
      </w:r>
      <w:r w:rsidRPr="000578E9">
        <w:rPr>
          <w:shd w:val="clear" w:color="auto" w:fill="FFFFFF"/>
        </w:rPr>
        <w:t>) in the Bay of Biscay»</w:t>
      </w:r>
      <w:r w:rsidRPr="000578E9">
        <w:t>,</w:t>
      </w:r>
      <w:r w:rsidRPr="000578E9">
        <w:rPr>
          <w:shd w:val="clear" w:color="auto" w:fill="FFFFFF"/>
        </w:rPr>
        <w:t xml:space="preserve"> in </w:t>
      </w:r>
      <w:r w:rsidRPr="000578E9">
        <w:rPr>
          <w:i/>
          <w:shd w:val="clear" w:color="auto" w:fill="FFFFFF"/>
        </w:rPr>
        <w:t>Report of the ICES Advisory Committee</w:t>
      </w:r>
      <w:r w:rsidRPr="000578E9">
        <w:rPr>
          <w:shd w:val="clear" w:color="auto" w:fill="FFFFFF"/>
        </w:rPr>
        <w:t xml:space="preserve">, 2023, ICES Advice 2023, sr.2023.01, </w:t>
      </w:r>
      <w:hyperlink r:id="rId7" w:history="1">
        <w:r w:rsidRPr="000578E9">
          <w:rPr>
            <w:rStyle w:val="Hyperlink"/>
            <w:shd w:val="clear" w:color="auto" w:fill="FFFFFF"/>
          </w:rPr>
          <w:t>https://doi.org/10.17895/ices.advice.21946634</w:t>
        </w:r>
      </w:hyperlink>
      <w:r w:rsidRPr="000578E9">
        <w:rPr>
          <w:shd w:val="clear" w:color="auto" w:fill="FFFFFF"/>
        </w:rPr>
        <w:t xml:space="preserve">, </w:t>
      </w:r>
      <w:r w:rsidRPr="000578E9">
        <w:t>ou des mesures ayant un effet équivalent.</w:t>
      </w:r>
      <w:bookmarkEnd w:id="14"/>
    </w:p>
  </w:footnote>
  <w:footnote w:id="38">
    <w:p w14:paraId="6A322FD7" w14:textId="77777777" w:rsidR="00231AA0" w:rsidRPr="000578E9" w:rsidRDefault="00231AA0" w:rsidP="00483CB2">
      <w:pPr>
        <w:pStyle w:val="FootnoteText"/>
        <w:spacing w:after="60"/>
      </w:pPr>
      <w:r w:rsidRPr="000578E9">
        <w:rPr>
          <w:rStyle w:val="FootnoteReference"/>
        </w:rPr>
        <w:footnoteRef/>
      </w:r>
      <w:r w:rsidRPr="000578E9">
        <w:tab/>
        <w:t>Telles que définies dans la note de bas de page 35.</w:t>
      </w:r>
    </w:p>
  </w:footnote>
  <w:footnote w:id="39">
    <w:p w14:paraId="226240D2" w14:textId="77777777" w:rsidR="00231AA0" w:rsidRPr="000578E9" w:rsidRDefault="00231AA0" w:rsidP="00E5479F">
      <w:pPr>
        <w:pStyle w:val="FootnoteText"/>
        <w:spacing w:after="60"/>
      </w:pPr>
      <w:r w:rsidRPr="000578E9">
        <w:rPr>
          <w:rStyle w:val="FootnoteReference"/>
        </w:rPr>
        <w:footnoteRef/>
      </w:r>
      <w:r w:rsidRPr="000578E9">
        <w:tab/>
        <w:t>Règlement (CE) nº 1100/2007 du Conseil du 18 septembre 2007 instituant des mesures de reconstitution du stock d’anguilles européennes (JO L 248 du 22.9.2007, p. 17).</w:t>
      </w:r>
    </w:p>
  </w:footnote>
  <w:footnote w:id="40">
    <w:p w14:paraId="2E5D797A" w14:textId="77777777" w:rsidR="00231AA0" w:rsidRPr="000578E9" w:rsidRDefault="00231AA0" w:rsidP="00177244">
      <w:pPr>
        <w:pStyle w:val="FootnoteText"/>
      </w:pPr>
      <w:r w:rsidRPr="000578E9">
        <w:rPr>
          <w:rStyle w:val="FootnoteReference"/>
        </w:rPr>
        <w:footnoteRef/>
      </w:r>
      <w:r w:rsidRPr="000578E9">
        <w:t xml:space="preserve"> </w:t>
      </w:r>
      <w:r w:rsidRPr="000578E9">
        <w:tab/>
        <w:t>Directive 2000/60/CE du Parlement européen et du Conseil du 23 octobre 2000 établissant un cadre pour une politique communautaire dans le domaine de l’eau (JO L 327 du 22.12.2000, p. 1).</w:t>
      </w:r>
    </w:p>
  </w:footnote>
  <w:footnote w:id="41">
    <w:p w14:paraId="530A1835" w14:textId="77777777" w:rsidR="00231AA0" w:rsidRPr="000578E9" w:rsidRDefault="00231AA0" w:rsidP="00177244">
      <w:pPr>
        <w:pStyle w:val="FootnoteText"/>
      </w:pPr>
      <w:r w:rsidRPr="000578E9">
        <w:rPr>
          <w:rStyle w:val="FootnoteReference"/>
        </w:rPr>
        <w:footnoteRef/>
      </w:r>
      <w:r w:rsidRPr="000578E9">
        <w:t xml:space="preserve"> </w:t>
      </w:r>
      <w:r w:rsidRPr="000578E9">
        <w:tab/>
        <w:t>Directive 92/43/CEE du Conseil du 21 mai 1992 concernant la conservation des habitats naturels ainsi que de la faune et de la flore sauvages (JO L 206 du 22.7.1992, p. 7).</w:t>
      </w:r>
    </w:p>
  </w:footnote>
  <w:footnote w:id="42">
    <w:p w14:paraId="454F8FC1" w14:textId="77777777" w:rsidR="00231AA0" w:rsidRPr="000578E9" w:rsidRDefault="00231AA0" w:rsidP="00C8156F">
      <w:pPr>
        <w:pStyle w:val="FootnoteText"/>
        <w:spacing w:after="0"/>
      </w:pPr>
      <w:r w:rsidRPr="000578E9">
        <w:rPr>
          <w:rStyle w:val="FootnoteReference"/>
        </w:rPr>
        <w:footnoteRef/>
      </w:r>
      <w:r w:rsidRPr="000578E9">
        <w:tab/>
        <w:t xml:space="preserve">le fondement des travaux du CSTEP sur les mesures techniques: STECF EWG 20-02, </w:t>
      </w:r>
      <w:hyperlink r:id="rId8" w:history="1">
        <w:r w:rsidRPr="000578E9">
          <w:rPr>
            <w:rStyle w:val="Hyperlink"/>
          </w:rPr>
          <w:t>https://stecf.jrc.ec.europa.eu/web/stecf/ewg2002</w:t>
        </w:r>
      </w:hyperlink>
      <w:r w:rsidRPr="000578E9">
        <w:t xml:space="preserve">, </w:t>
      </w:r>
    </w:p>
    <w:p w14:paraId="184ACB8A" w14:textId="77777777" w:rsidR="00231AA0" w:rsidRPr="000578E9" w:rsidRDefault="00231AA0" w:rsidP="00C8156F">
      <w:pPr>
        <w:pStyle w:val="FootnoteText"/>
        <w:spacing w:after="60"/>
        <w:ind w:left="709"/>
      </w:pPr>
      <w:r w:rsidRPr="000578E9">
        <w:t xml:space="preserve">et STECF 21-07, </w:t>
      </w:r>
      <w:hyperlink r:id="rId9" w:history="1">
        <w:r w:rsidRPr="000578E9">
          <w:rPr>
            <w:rStyle w:val="Hyperlink"/>
          </w:rPr>
          <w:t>https://stecf.jrc.ec.europa.eu/ewg2107</w:t>
        </w:r>
      </w:hyperlink>
    </w:p>
  </w:footnote>
  <w:footnote w:id="43">
    <w:p w14:paraId="086F1A3E" w14:textId="77777777" w:rsidR="00231AA0" w:rsidRPr="000578E9" w:rsidRDefault="00231AA0">
      <w:pPr>
        <w:pStyle w:val="FootnoteText"/>
      </w:pPr>
      <w:r w:rsidRPr="000578E9">
        <w:rPr>
          <w:rStyle w:val="FootnoteReference"/>
        </w:rPr>
        <w:footnoteRef/>
      </w:r>
      <w:r w:rsidRPr="000578E9">
        <w:t xml:space="preserve"> </w:t>
      </w:r>
      <w:r w:rsidRPr="000578E9">
        <w:tab/>
        <w:t>Espèces commerciales énumérées à l’annexe XIV du règlement (UE) 2019/1241.</w:t>
      </w:r>
    </w:p>
  </w:footnote>
  <w:footnote w:id="44">
    <w:p w14:paraId="294E7D57" w14:textId="77777777" w:rsidR="00231AA0" w:rsidRPr="000578E9" w:rsidRDefault="00231AA0" w:rsidP="00C8156F">
      <w:pPr>
        <w:pStyle w:val="FootnoteText"/>
        <w:spacing w:after="60"/>
      </w:pPr>
      <w:r w:rsidRPr="000578E9">
        <w:rPr>
          <w:rStyle w:val="FootnoteReference"/>
        </w:rPr>
        <w:footnoteRef/>
      </w:r>
      <w:r w:rsidRPr="000578E9">
        <w:tab/>
        <w:t>Tels que la réglementation relative aux possibilités de pêche, conformément aux avis scientifiques.</w:t>
      </w:r>
    </w:p>
  </w:footnote>
  <w:footnote w:id="45">
    <w:p w14:paraId="432B2AA7" w14:textId="77777777" w:rsidR="00231AA0" w:rsidRPr="000578E9" w:rsidRDefault="00231AA0" w:rsidP="00A94F84">
      <w:pPr>
        <w:pStyle w:val="FootnoteText"/>
        <w:spacing w:after="60"/>
      </w:pPr>
      <w:r w:rsidRPr="000578E9">
        <w:rPr>
          <w:rStyle w:val="FootnoteReference"/>
        </w:rPr>
        <w:footnoteRef/>
      </w:r>
      <w:r w:rsidRPr="000578E9">
        <w:tab/>
        <w:t>Tels qu’indiqués dans le tableau 1 du rapport du CSTEP, «Support of the Action plan to conserve fisheries resources and protect marine ecosystems» (STECF-OWP-22-01), Bastardie, F., et Doerner, H., éditeur(s), EUR 28359 EN, Office des publications de l’Union européenne, Luxembourg, 2022, ISBN 978-92-76-52911-8, doi:10.2760/25269, JRC129455. La liste comprend les dragues remorquées par bateau, les dragues mécanisées, y compris les dragues à aspiration, les chaluts de fond à panneaux, les chaluts jumeaux à panneaux, les chaluts-bœufs de fond, les sennes de plage, les sennes danoises (sennes ancrées), les sennes-bœufs, les sennes écossaises (dragage à la volée), les sennes de bateau et les chaluts à perche.</w:t>
      </w:r>
    </w:p>
  </w:footnote>
  <w:footnote w:id="46">
    <w:p w14:paraId="6A101D69" w14:textId="77777777" w:rsidR="00231AA0" w:rsidRPr="000578E9" w:rsidRDefault="00231AA0" w:rsidP="00A94F84">
      <w:pPr>
        <w:pStyle w:val="FootnoteText"/>
        <w:spacing w:after="60"/>
      </w:pPr>
      <w:r w:rsidRPr="000578E9">
        <w:rPr>
          <w:rStyle w:val="FootnoteReference"/>
        </w:rPr>
        <w:footnoteRef/>
      </w:r>
      <w:r w:rsidRPr="000578E9">
        <w:tab/>
        <w:t>La pêche a été considérée comme étant l’activité marine humaine la plus étendue qui perturbe les fonds marins dans les mers régionales d’Europe. Une évaluation préliminaire a montré qu’en mer du Nord, la pêche de fond représentait quelque 95 % des perturbations provoquant une abrasion physique (CIEM, 2019). En outre, l’AEE a estimé que 79 % des fonds marins côtiers de l’Union sont perturbés par le chalutage de fond (Commission européenne, rapport sur la mise en œuvre de la DCSMM, 2020).</w:t>
      </w:r>
    </w:p>
  </w:footnote>
  <w:footnote w:id="47">
    <w:p w14:paraId="07452FB2" w14:textId="77777777" w:rsidR="00231AA0" w:rsidRPr="000578E9" w:rsidRDefault="00231AA0">
      <w:pPr>
        <w:pStyle w:val="FootnoteText"/>
      </w:pPr>
      <w:r w:rsidRPr="000578E9">
        <w:rPr>
          <w:rStyle w:val="FootnoteReference"/>
        </w:rPr>
        <w:footnoteRef/>
      </w:r>
      <w:r w:rsidRPr="000578E9">
        <w:t xml:space="preserve"> </w:t>
      </w:r>
      <w:r w:rsidRPr="000578E9">
        <w:tab/>
        <w:t>Rapport de la Commission au Parlement européen et au Conseil sur la mise en œuvre de la directive-cadre «stratégie pour le milieu marin» (directive 2008/56/CE) [COM(2020) 259 final].</w:t>
      </w:r>
    </w:p>
  </w:footnote>
  <w:footnote w:id="48">
    <w:p w14:paraId="04437E62" w14:textId="77777777" w:rsidR="00231AA0" w:rsidRPr="000578E9" w:rsidRDefault="00231AA0" w:rsidP="00006A54">
      <w:pPr>
        <w:pStyle w:val="FootnoteText"/>
        <w:spacing w:after="60"/>
      </w:pPr>
      <w:r w:rsidRPr="000578E9">
        <w:rPr>
          <w:rStyle w:val="FootnoteReference"/>
        </w:rPr>
        <w:footnoteRef/>
      </w:r>
      <w:r w:rsidRPr="000578E9">
        <w:tab/>
      </w:r>
      <w:hyperlink r:id="rId10" w:history="1">
        <w:r w:rsidRPr="000578E9">
          <w:rPr>
            <w:rStyle w:val="Hyperlink"/>
          </w:rPr>
          <w:t>https://www.eea.europa.eu/data-and-maps/figures/bottom-trawl-fishing-intensity-in</w:t>
        </w:r>
      </w:hyperlink>
    </w:p>
  </w:footnote>
  <w:footnote w:id="49">
    <w:p w14:paraId="2C542A5A" w14:textId="77777777" w:rsidR="00231AA0" w:rsidRPr="000578E9" w:rsidRDefault="00231AA0" w:rsidP="00A94F84">
      <w:pPr>
        <w:pStyle w:val="FootnoteText"/>
        <w:spacing w:after="60"/>
      </w:pPr>
      <w:r w:rsidRPr="000578E9">
        <w:rPr>
          <w:rStyle w:val="FootnoteReference"/>
        </w:rPr>
        <w:footnoteRef/>
      </w:r>
      <w:r w:rsidRPr="000578E9">
        <w:tab/>
        <w:t>Conférence des Nations unies de 2022 visant à appuyer la réalisation de l’objectif de développement durable nº 14, «</w:t>
      </w:r>
      <w:hyperlink r:id="rId11" w:history="1">
        <w:r w:rsidRPr="000578E9">
          <w:rPr>
            <w:rStyle w:val="Hyperlink"/>
          </w:rPr>
          <w:t>Notre océan, notre avenir, notre responsabilité:</w:t>
        </w:r>
      </w:hyperlink>
      <w:hyperlink r:id="rId12" w:history="1">
        <w:r w:rsidRPr="000578E9">
          <w:rPr>
            <w:rStyle w:val="Hyperlink"/>
          </w:rPr>
          <w:t xml:space="preserve"> projet de déclaration</w:t>
        </w:r>
      </w:hyperlink>
      <w:r w:rsidRPr="000578E9">
        <w:t>», Lisbonne, 27 juin-1</w:t>
      </w:r>
      <w:r w:rsidRPr="000578E9">
        <w:rPr>
          <w:vertAlign w:val="superscript"/>
        </w:rPr>
        <w:t>er</w:t>
      </w:r>
      <w:r w:rsidRPr="000578E9">
        <w:t> juillet 2022.</w:t>
      </w:r>
    </w:p>
  </w:footnote>
  <w:footnote w:id="50">
    <w:p w14:paraId="33E993BD" w14:textId="77777777" w:rsidR="00231AA0" w:rsidRPr="000578E9" w:rsidRDefault="00231AA0" w:rsidP="00A94F84">
      <w:pPr>
        <w:spacing w:after="60"/>
        <w:ind w:left="425" w:hanging="425"/>
        <w:rPr>
          <w:sz w:val="20"/>
        </w:rPr>
      </w:pPr>
      <w:r w:rsidRPr="000578E9">
        <w:rPr>
          <w:rStyle w:val="FootnoteReference"/>
          <w:sz w:val="20"/>
        </w:rPr>
        <w:footnoteRef/>
      </w:r>
      <w:r w:rsidRPr="000578E9">
        <w:tab/>
      </w:r>
      <w:r w:rsidRPr="000578E9">
        <w:rPr>
          <w:sz w:val="20"/>
        </w:rPr>
        <w:t>AEE, «Carbon stocks and sequestration in terrestrial and marine ecosystems:</w:t>
      </w:r>
      <w:r w:rsidRPr="000578E9">
        <w:rPr>
          <w:i/>
          <w:sz w:val="20"/>
        </w:rPr>
        <w:t xml:space="preserve"> </w:t>
      </w:r>
      <w:r w:rsidRPr="000578E9">
        <w:rPr>
          <w:sz w:val="20"/>
        </w:rPr>
        <w:t>a lever for nature restoration?</w:t>
      </w:r>
      <w:r w:rsidRPr="000578E9">
        <w:rPr>
          <w:i/>
          <w:sz w:val="20"/>
        </w:rPr>
        <w:t xml:space="preserve"> </w:t>
      </w:r>
      <w:r w:rsidRPr="000578E9">
        <w:rPr>
          <w:sz w:val="20"/>
        </w:rPr>
        <w:t xml:space="preserve">A quick scan for terrestrial and marine EUNIS habitat type», Wageningue, novembre 2020; voir aussi: Cavan &amp; Hill, </w:t>
      </w:r>
      <w:hyperlink r:id="rId13">
        <w:r w:rsidRPr="000578E9">
          <w:rPr>
            <w:rStyle w:val="Hyperlink"/>
          </w:rPr>
          <w:t>2021</w:t>
        </w:r>
      </w:hyperlink>
      <w:r w:rsidRPr="000578E9">
        <w:rPr>
          <w:sz w:val="20"/>
        </w:rPr>
        <w:t xml:space="preserve">; Duarte et al., </w:t>
      </w:r>
      <w:hyperlink r:id="rId14">
        <w:r w:rsidRPr="000578E9">
          <w:rPr>
            <w:rStyle w:val="Hyperlink"/>
          </w:rPr>
          <w:t>2020</w:t>
        </w:r>
      </w:hyperlink>
      <w:r w:rsidRPr="000578E9">
        <w:rPr>
          <w:sz w:val="20"/>
        </w:rPr>
        <w:t xml:space="preserve">; Luisetti et al., </w:t>
      </w:r>
      <w:hyperlink r:id="rId15">
        <w:r w:rsidRPr="000578E9">
          <w:rPr>
            <w:rStyle w:val="Hyperlink"/>
          </w:rPr>
          <w:t>2019</w:t>
        </w:r>
      </w:hyperlink>
      <w:r w:rsidRPr="000578E9">
        <w:rPr>
          <w:sz w:val="20"/>
        </w:rPr>
        <w:t xml:space="preserve">; et Pusceddu et al., </w:t>
      </w:r>
      <w:hyperlink r:id="rId16">
        <w:r w:rsidRPr="000578E9">
          <w:rPr>
            <w:rStyle w:val="Hyperlink"/>
          </w:rPr>
          <w:t>2014</w:t>
        </w:r>
      </w:hyperlink>
      <w:r w:rsidRPr="000578E9">
        <w:rPr>
          <w:sz w:val="20"/>
        </w:rPr>
        <w:t>.</w:t>
      </w:r>
    </w:p>
  </w:footnote>
  <w:footnote w:id="51">
    <w:p w14:paraId="22D599B8" w14:textId="77777777" w:rsidR="00231AA0" w:rsidRPr="000578E9" w:rsidRDefault="00231AA0" w:rsidP="00A94F84">
      <w:pPr>
        <w:pStyle w:val="FootnoteText"/>
        <w:spacing w:after="60"/>
      </w:pPr>
      <w:r w:rsidRPr="000578E9">
        <w:rPr>
          <w:rStyle w:val="FootnoteReference"/>
        </w:rPr>
        <w:footnoteRef/>
      </w:r>
      <w:r w:rsidRPr="000578E9">
        <w:tab/>
        <w:t>Voir, par exemple, Hiddink, J.G., et al., «</w:t>
      </w:r>
      <w:hyperlink r:id="rId17" w:history="1">
        <w:r w:rsidRPr="000578E9">
          <w:rPr>
            <w:rStyle w:val="Hyperlink"/>
          </w:rPr>
          <w:t>Global analysis of depletion and recovery of seabed biota after bottom trawling disturbance</w:t>
        </w:r>
      </w:hyperlink>
      <w:r w:rsidRPr="000578E9">
        <w:t xml:space="preserve">», </w:t>
      </w:r>
      <w:r w:rsidRPr="000578E9">
        <w:rPr>
          <w:i/>
        </w:rPr>
        <w:t>Proceedings of the National Academy of Sciences</w:t>
      </w:r>
      <w:r w:rsidRPr="000578E9">
        <w:t>, 2017.</w:t>
      </w:r>
    </w:p>
  </w:footnote>
  <w:footnote w:id="52">
    <w:p w14:paraId="7776FC6F" w14:textId="77777777" w:rsidR="00231AA0" w:rsidRPr="000578E9" w:rsidRDefault="00231AA0">
      <w:pPr>
        <w:pStyle w:val="FootnoteText"/>
      </w:pPr>
      <w:r w:rsidRPr="000578E9">
        <w:rPr>
          <w:rStyle w:val="FootnoteReference"/>
        </w:rPr>
        <w:footnoteRef/>
      </w:r>
      <w:r w:rsidRPr="000578E9">
        <w:tab/>
        <w:t>Conformément à la directive 2008/56/CE.</w:t>
      </w:r>
    </w:p>
  </w:footnote>
  <w:footnote w:id="53">
    <w:p w14:paraId="2ABF314D" w14:textId="77777777" w:rsidR="00231AA0" w:rsidRPr="000578E9" w:rsidRDefault="00231AA0" w:rsidP="00A94F84">
      <w:pPr>
        <w:pStyle w:val="FootnoteText"/>
        <w:spacing w:after="60"/>
      </w:pPr>
      <w:r w:rsidRPr="000578E9">
        <w:rPr>
          <w:rStyle w:val="FootnoteReference"/>
        </w:rPr>
        <w:footnoteRef/>
      </w:r>
      <w:r w:rsidRPr="000578E9">
        <w:tab/>
        <w:t>Règlement d’exécution (UE) 2022/1614 de la Commission du 15 septembre 2022 déterminant les zones existantes de pêche en eau profonde et établissant une liste des zones qui abritent ou sont susceptibles d’abriter des écosystèmes marins vulnérables (JO L 242 du 19.9.2022, p. 1).</w:t>
      </w:r>
    </w:p>
  </w:footnote>
  <w:footnote w:id="54">
    <w:p w14:paraId="03D31DEF" w14:textId="77777777" w:rsidR="00231AA0" w:rsidRPr="000578E9" w:rsidRDefault="00231AA0" w:rsidP="00A94F84">
      <w:pPr>
        <w:pStyle w:val="FootnoteText"/>
        <w:spacing w:after="60"/>
      </w:pPr>
      <w:r w:rsidRPr="000578E9">
        <w:rPr>
          <w:rStyle w:val="FootnoteReference"/>
        </w:rPr>
        <w:footnoteRef/>
      </w:r>
      <w:r w:rsidRPr="000578E9">
        <w:tab/>
        <w:t>Par exemple, annexe II du règlement (UE) 2019/1241.</w:t>
      </w:r>
    </w:p>
  </w:footnote>
  <w:footnote w:id="55">
    <w:p w14:paraId="55300DD3" w14:textId="77777777" w:rsidR="00231AA0" w:rsidRPr="000578E9" w:rsidRDefault="00231AA0" w:rsidP="009D2E83">
      <w:pPr>
        <w:pStyle w:val="FootnoteText"/>
        <w:spacing w:after="60"/>
      </w:pPr>
      <w:r w:rsidRPr="000578E9">
        <w:rPr>
          <w:rStyle w:val="FootnoteReference"/>
        </w:rPr>
        <w:footnoteRef/>
      </w:r>
      <w:r w:rsidRPr="000578E9">
        <w:tab/>
        <w:t>Depuis 2013, les États membres sont convenus, dans le cadre de cinq recommandations communes, de limiter le chalutage de fond dans plusieurs zones de la mer du Nord au sens large et de la mer Baltique, notamment pour protéger des récifs sensibles sur le plan écologique. Des mesures nationales adoptées dans certains États membres, des mesures incluses dans les plans de gestion au titre du règlement «Méditerranée» et des mesures de la CGPM sont également en place.</w:t>
      </w:r>
    </w:p>
  </w:footnote>
  <w:footnote w:id="56">
    <w:p w14:paraId="2F8F33BE" w14:textId="77777777" w:rsidR="00231AA0" w:rsidRPr="000578E9" w:rsidRDefault="00231AA0" w:rsidP="00A94F84">
      <w:pPr>
        <w:pStyle w:val="FootnoteText"/>
        <w:spacing w:after="60"/>
      </w:pPr>
      <w:r w:rsidRPr="000578E9">
        <w:rPr>
          <w:rStyle w:val="FootnoteReference"/>
        </w:rPr>
        <w:footnoteRef/>
      </w:r>
      <w:r w:rsidRPr="000578E9">
        <w:tab/>
      </w:r>
      <w:r w:rsidRPr="000578E9">
        <w:rPr>
          <w:color w:val="000000" w:themeColor="text1"/>
        </w:rPr>
        <w:t>Avis du Conseil international pour l’exploration de la mer (CIEM) concernant les eaux européennes de l’Atlantique et la mer Baltique</w:t>
      </w:r>
      <w:r w:rsidRPr="000578E9">
        <w:t>, «EU request on how management scenarios to reduce mobile bottom fishing disturbance on seafloor habitats affect fisheries landing and value», avis du CIEM sur la demande spéciale, 24 juin 2021.</w:t>
      </w:r>
    </w:p>
    <w:p w14:paraId="23C0BC91" w14:textId="77777777" w:rsidR="00231AA0" w:rsidRPr="000578E9" w:rsidRDefault="00231AA0" w:rsidP="00A94F84">
      <w:pPr>
        <w:pStyle w:val="FootnoteText"/>
        <w:spacing w:after="60"/>
        <w:ind w:firstLine="0"/>
      </w:pPr>
      <w:r w:rsidRPr="000578E9">
        <w:t xml:space="preserve">Selon cet avis du CIEM, des schémas similaires </w:t>
      </w:r>
      <w:r w:rsidRPr="000578E9">
        <w:rPr>
          <w:color w:val="000000" w:themeColor="text1"/>
        </w:rPr>
        <w:t>ont été observés dans la mer Méditerranée et la mer Noire, bien que, compte tenu des différences de méthodologie, il ne soit pas possible de comparer directement les résultats.</w:t>
      </w:r>
    </w:p>
  </w:footnote>
  <w:footnote w:id="57">
    <w:p w14:paraId="340ED786" w14:textId="77777777" w:rsidR="00231AA0" w:rsidRPr="000578E9" w:rsidRDefault="00231AA0" w:rsidP="00A94F84">
      <w:pPr>
        <w:pStyle w:val="FootnoteText"/>
        <w:spacing w:after="60"/>
      </w:pPr>
      <w:r w:rsidRPr="000578E9">
        <w:rPr>
          <w:rStyle w:val="FootnoteReference"/>
        </w:rPr>
        <w:footnoteRef/>
      </w:r>
      <w:r w:rsidRPr="000578E9">
        <w:tab/>
      </w:r>
      <w:r w:rsidRPr="000578E9">
        <w:rPr>
          <w:rStyle w:val="Hyperlink"/>
        </w:rPr>
        <w:t xml:space="preserve"> Dureuil et al., «Elevated trawling inside protected areas undermines conservation outcomes in a global fishing hot spot», </w:t>
      </w:r>
      <w:r w:rsidRPr="000578E9">
        <w:rPr>
          <w:rStyle w:val="Hyperlink"/>
          <w:i/>
          <w:iCs/>
        </w:rPr>
        <w:t>Science</w:t>
      </w:r>
      <w:r w:rsidRPr="000578E9">
        <w:rPr>
          <w:rStyle w:val="Hyperlink"/>
        </w:rPr>
        <w:t xml:space="preserve"> 362, p. 1403-1407, 2018, DOI: 10.1126/science.aau05. </w:t>
      </w:r>
    </w:p>
  </w:footnote>
  <w:footnote w:id="58">
    <w:p w14:paraId="386F0925" w14:textId="77777777" w:rsidR="00231AA0" w:rsidRPr="000578E9" w:rsidRDefault="00231AA0" w:rsidP="00A94F84">
      <w:pPr>
        <w:pStyle w:val="FootnoteText"/>
        <w:spacing w:after="60"/>
        <w:rPr>
          <w:rFonts w:eastAsia="Calibri"/>
        </w:rPr>
      </w:pPr>
      <w:r w:rsidRPr="000578E9">
        <w:rPr>
          <w:rStyle w:val="FootnoteReference"/>
        </w:rPr>
        <w:footnoteRef/>
      </w:r>
      <w:r w:rsidRPr="000578E9">
        <w:tab/>
        <w:t xml:space="preserve">Sala, A., Damalas, D., Labanchi, L., et al., «Energy audit and carbon footprint in trawl fisheries», </w:t>
      </w:r>
      <w:r w:rsidRPr="000578E9">
        <w:rPr>
          <w:i/>
        </w:rPr>
        <w:t>Scientific Data</w:t>
      </w:r>
      <w:r w:rsidRPr="000578E9">
        <w:t xml:space="preserve"> 9, 428 (2022), </w:t>
      </w:r>
      <w:hyperlink r:id="rId18" w:history="1">
        <w:r w:rsidRPr="000578E9">
          <w:rPr>
            <w:rStyle w:val="Hyperlink"/>
          </w:rPr>
          <w:t>https://doi.org/10.1038/s41597-022-01478-0</w:t>
        </w:r>
      </w:hyperlink>
      <w:r w:rsidRPr="000578E9">
        <w:t xml:space="preserve"> </w:t>
      </w:r>
    </w:p>
  </w:footnote>
  <w:footnote w:id="59">
    <w:p w14:paraId="16BEA5A3" w14:textId="77777777" w:rsidR="00231AA0" w:rsidRPr="000578E9" w:rsidRDefault="00231AA0" w:rsidP="00A94F84">
      <w:pPr>
        <w:pStyle w:val="FootnoteText"/>
        <w:spacing w:after="60"/>
      </w:pPr>
      <w:r w:rsidRPr="000578E9">
        <w:rPr>
          <w:rStyle w:val="FootnoteReference"/>
        </w:rPr>
        <w:footnoteRef/>
      </w:r>
      <w:r w:rsidRPr="000578E9">
        <w:tab/>
      </w:r>
      <w:r w:rsidRPr="000578E9">
        <w:rPr>
          <w:rStyle w:val="ui-provider"/>
        </w:rPr>
        <w:t xml:space="preserve">IPBES, «Summary for policymakers of the thematic assessment of the sustainable use of wild species of the Intergovernmental Science-Policy Platform on Biodiversity and Ecosystem Services», J.-M. Fromentin, M.R. Emery, J. Donaldson, M.-C. Danner, A. Hallosserie, D. Kieling, G. Balachander, E.S. Barron, R.P. Chaudhary, M. Gasalla, M. Halmy, C. Hicks, M.S. Park, B. Parlee, J. Rice, T. Ticktin, et D. Tittensor (dir.), secrétariat de l’IPBES, Bonn, Allemagne, 2022, 33 pages, </w:t>
      </w:r>
      <w:hyperlink r:id="rId19" w:tgtFrame="_blank" w:tooltip="https://doi.org/10.5281/zenodo.6425599" w:history="1">
        <w:r w:rsidRPr="000578E9">
          <w:rPr>
            <w:rStyle w:val="Hyperlink"/>
          </w:rPr>
          <w:t>https://doi.org/10.5281/zenodo.6425599</w:t>
        </w:r>
      </w:hyperlink>
    </w:p>
  </w:footnote>
  <w:footnote w:id="60">
    <w:p w14:paraId="2AE525D9" w14:textId="77777777" w:rsidR="00231AA0" w:rsidRPr="000578E9" w:rsidRDefault="00231AA0" w:rsidP="00A94F84">
      <w:pPr>
        <w:pStyle w:val="FootnoteText"/>
        <w:spacing w:after="60"/>
      </w:pPr>
      <w:r w:rsidRPr="000578E9">
        <w:rPr>
          <w:rStyle w:val="FootnoteReference"/>
        </w:rPr>
        <w:footnoteRef/>
      </w:r>
      <w:r w:rsidRPr="000578E9">
        <w:tab/>
        <w:t>La révision de la directive-cadre sur les déchets, prévue pour 2023, contribuera à réduire le gaspillage alimentaire conformément aux objectifs de développement durable des Nations unies et aux priorités de la Commission pour 2023.</w:t>
      </w:r>
    </w:p>
  </w:footnote>
  <w:footnote w:id="61">
    <w:p w14:paraId="33E9C22F" w14:textId="77777777" w:rsidR="00231AA0" w:rsidRPr="000578E9" w:rsidRDefault="00231AA0">
      <w:pPr>
        <w:pStyle w:val="FootnoteText"/>
      </w:pPr>
      <w:r w:rsidRPr="000578E9">
        <w:footnoteRef/>
      </w:r>
      <w:r w:rsidRPr="000578E9">
        <w:t xml:space="preserve"> </w:t>
      </w:r>
      <w:r w:rsidRPr="000578E9">
        <w:tab/>
        <w:t xml:space="preserve">Conformément à l’article 4 de la décision (UE) 2017/848. </w:t>
      </w:r>
    </w:p>
  </w:footnote>
  <w:footnote w:id="62">
    <w:p w14:paraId="29CB6270" w14:textId="77777777" w:rsidR="00231AA0" w:rsidRPr="000578E9" w:rsidRDefault="00231AA0" w:rsidP="00560D26">
      <w:pPr>
        <w:pStyle w:val="FootnoteText"/>
      </w:pPr>
      <w:r w:rsidRPr="000578E9">
        <w:rPr>
          <w:rStyle w:val="FootnoteReference"/>
        </w:rPr>
        <w:footnoteRef/>
      </w:r>
      <w:r w:rsidRPr="000578E9">
        <w:tab/>
        <w:t>Ce calendrier devrait faire partie des feuilles de route visées au chapitre 7.</w:t>
      </w:r>
    </w:p>
  </w:footnote>
  <w:footnote w:id="63">
    <w:p w14:paraId="7A8C2299" w14:textId="77777777" w:rsidR="00231AA0" w:rsidRPr="000578E9" w:rsidRDefault="00231AA0" w:rsidP="00A94F84">
      <w:pPr>
        <w:pStyle w:val="FootnoteText"/>
        <w:spacing w:after="60"/>
      </w:pPr>
      <w:r w:rsidRPr="000578E9">
        <w:rPr>
          <w:rStyle w:val="FootnoteReference"/>
        </w:rPr>
        <w:footnoteRef/>
      </w:r>
      <w:r w:rsidRPr="000578E9">
        <w:tab/>
        <w:t xml:space="preserve">Sala, E., Mayorga, J., Bradley, D. et al., «Protecting the global ocean for biodiversity, food and climate», </w:t>
      </w:r>
      <w:r w:rsidRPr="000578E9">
        <w:rPr>
          <w:i/>
        </w:rPr>
        <w:t>Nature</w:t>
      </w:r>
      <w:r w:rsidRPr="000578E9">
        <w:t xml:space="preserve"> 592, p. 397-402 (2021), https://doi.org/10.1038/s41586-021-03371-z</w:t>
      </w:r>
    </w:p>
  </w:footnote>
  <w:footnote w:id="64">
    <w:p w14:paraId="6D184576" w14:textId="77777777" w:rsidR="00231AA0" w:rsidRPr="000578E9" w:rsidRDefault="00231AA0" w:rsidP="00055DE4">
      <w:pPr>
        <w:pStyle w:val="FootnoteText"/>
        <w:spacing w:after="60"/>
      </w:pPr>
      <w:r w:rsidRPr="000578E9">
        <w:rPr>
          <w:rStyle w:val="FootnoteReference"/>
        </w:rPr>
        <w:footnoteRef/>
      </w:r>
      <w:r w:rsidRPr="000578E9">
        <w:tab/>
        <w:t xml:space="preserve"> Comité scientifique, technique et économique de la pêche (CSTEP), «Support of the Action plan to conserve fisheries resources and protect marine ecosystems» (STECF-OWP-22-01), Office des publications de l’Union européenne, Luxembourg, 2022</w:t>
      </w:r>
      <w:bookmarkStart w:id="22" w:name="_Hlk120283404"/>
      <w:r w:rsidRPr="000578E9">
        <w:t xml:space="preserve">. Disponible à l’adresse suivante: </w:t>
      </w:r>
      <w:hyperlink r:id="rId20" w:history="1">
        <w:r w:rsidRPr="000578E9">
          <w:rPr>
            <w:rStyle w:val="Hyperlink"/>
          </w:rPr>
          <w:t>https://www.researchgate.net/publication/360642059_Scientific_Technical_and_Economic_Committee_for_Fisheries_STECF_-_Support_of_the_Action_plan_to_conserve_fisheries_resources_and_protect_marine_ecosystems</w:t>
        </w:r>
      </w:hyperlink>
      <w:r w:rsidRPr="000578E9">
        <w:t xml:space="preserve"> </w:t>
      </w:r>
      <w:bookmarkEnd w:id="22"/>
    </w:p>
  </w:footnote>
  <w:footnote w:id="65">
    <w:p w14:paraId="572D9FB3" w14:textId="77777777" w:rsidR="00231AA0" w:rsidRPr="000578E9" w:rsidRDefault="00231AA0">
      <w:pPr>
        <w:pStyle w:val="FootnoteText"/>
      </w:pPr>
      <w:r w:rsidRPr="000578E9">
        <w:rPr>
          <w:rStyle w:val="FootnoteReference"/>
        </w:rPr>
        <w:footnoteRef/>
      </w:r>
      <w:r w:rsidRPr="000578E9">
        <w:tab/>
        <w:t>Directive 2003/96/CE du Conseil du 27 octobre 2003 restructurant le cadre communautaire de taxation des produits énergétiques et de l’électricité (JO L 283 du 31.10.2003, p. 51).</w:t>
      </w:r>
    </w:p>
  </w:footnote>
  <w:footnote w:id="66">
    <w:p w14:paraId="0C547C28" w14:textId="77777777" w:rsidR="00231AA0" w:rsidRPr="000578E9" w:rsidRDefault="00231AA0" w:rsidP="00A94F84">
      <w:pPr>
        <w:pStyle w:val="FootnoteText"/>
        <w:spacing w:after="60"/>
      </w:pPr>
      <w:r w:rsidRPr="000578E9">
        <w:rPr>
          <w:rStyle w:val="FootnoteReference"/>
        </w:rPr>
        <w:footnoteRef/>
      </w:r>
      <w:r w:rsidRPr="000578E9">
        <w:tab/>
        <w:t>Rapport spécial nº 26/2020 de la Cour des comptes, «Milieu marin: l’UE offre une protection étendue, mais superficielle», p. 46.</w:t>
      </w:r>
    </w:p>
  </w:footnote>
  <w:footnote w:id="67">
    <w:p w14:paraId="202BD41D" w14:textId="77777777" w:rsidR="00231AA0" w:rsidRPr="000578E9" w:rsidRDefault="00231AA0">
      <w:pPr>
        <w:pStyle w:val="FootnoteText"/>
      </w:pPr>
      <w:r w:rsidRPr="000578E9">
        <w:rPr>
          <w:rStyle w:val="FootnoteReference"/>
        </w:rPr>
        <w:footnoteRef/>
      </w:r>
      <w:r w:rsidRPr="000578E9">
        <w:tab/>
      </w:r>
      <w:r w:rsidRPr="000578E9">
        <w:rPr>
          <w:color w:val="000000" w:themeColor="text1"/>
        </w:rPr>
        <w:t>Règlement (UE) 2021/1139 du Parlement européen et du Conseil du 7 juillet 2021 instituant le Fonds européen pour les affaires maritimes, la pêche et l’aquaculture et modifiant le règlement (UE) 2017/1004. 13 % du Fonds sont gérés directement par la Commission</w:t>
      </w:r>
      <w:r w:rsidRPr="000578E9">
        <w:t>.</w:t>
      </w:r>
    </w:p>
  </w:footnote>
  <w:footnote w:id="68">
    <w:p w14:paraId="4C751E3F" w14:textId="77777777" w:rsidR="00231AA0" w:rsidRPr="000578E9" w:rsidRDefault="00231AA0">
      <w:pPr>
        <w:pStyle w:val="FootnoteText"/>
      </w:pPr>
      <w:r w:rsidRPr="000578E9">
        <w:rPr>
          <w:rStyle w:val="FootnoteReference"/>
        </w:rPr>
        <w:footnoteRef/>
      </w:r>
      <w:r w:rsidRPr="000578E9">
        <w:tab/>
        <w:t>Règlement (UE) 2021/783 du Parlement européen et du Conseil du 29 avril 2021 établissant un programme pour l’environnement et l’action pour le climat (LIFE), et abrogeant le règlement (UE) nº 1293/2013 (JO L 172 du 17.5.2021, p. 53).</w:t>
      </w:r>
    </w:p>
  </w:footnote>
  <w:footnote w:id="69">
    <w:p w14:paraId="44163C31" w14:textId="77777777" w:rsidR="00231AA0" w:rsidRPr="000578E9" w:rsidRDefault="00231AA0" w:rsidP="00A94F84">
      <w:pPr>
        <w:pStyle w:val="FootnoteText"/>
        <w:spacing w:after="60"/>
      </w:pPr>
      <w:r w:rsidRPr="000578E9">
        <w:rPr>
          <w:rStyle w:val="FootnoteReference"/>
        </w:rPr>
        <w:footnoteRef/>
      </w:r>
      <w:r w:rsidRPr="000578E9">
        <w:tab/>
        <w:t xml:space="preserve">En ce qui concerne le budget de 5,3 milliards d’euros au titre du Feampa mis à la disposition des États membres pour la période 2021-2027, les États membres prévoient dans leurs projets de programmes d’allouer 29 % du budget à la biodiversité et 56 % au changement climatique (état de la situation au 28 septembre 2022). </w:t>
      </w:r>
      <w:r w:rsidRPr="000578E9">
        <w:rPr>
          <w:color w:val="000000" w:themeColor="text1"/>
        </w:rPr>
        <w:t>Le programme LIFE est doté d’un budget de 5,43 milliards d’euros pour la période 2021-2027 et</w:t>
      </w:r>
      <w:r w:rsidRPr="000578E9">
        <w:t xml:space="preserve"> finance des projets de protection et de conservation du milieu marin et de réduction de la pression sur les écosystèmes marins.</w:t>
      </w:r>
    </w:p>
  </w:footnote>
  <w:footnote w:id="70">
    <w:p w14:paraId="240FED75" w14:textId="77777777" w:rsidR="00231AA0" w:rsidRPr="000578E9" w:rsidRDefault="00231AA0" w:rsidP="00A94F84">
      <w:pPr>
        <w:pStyle w:val="FootnoteText"/>
        <w:spacing w:after="60"/>
      </w:pPr>
      <w:r w:rsidRPr="000578E9">
        <w:rPr>
          <w:rStyle w:val="FootnoteReference"/>
        </w:rPr>
        <w:footnoteRef/>
      </w:r>
      <w:r w:rsidRPr="000578E9">
        <w:tab/>
        <w:t>DOI 10.2779/768079.</w:t>
      </w:r>
    </w:p>
  </w:footnote>
  <w:footnote w:id="71">
    <w:p w14:paraId="12156A30" w14:textId="77777777" w:rsidR="00231AA0" w:rsidRPr="000578E9" w:rsidRDefault="00231AA0">
      <w:pPr>
        <w:pStyle w:val="FootnoteText"/>
      </w:pPr>
      <w:r w:rsidRPr="000578E9">
        <w:rPr>
          <w:rStyle w:val="FootnoteReference"/>
        </w:rPr>
        <w:footnoteRef/>
      </w:r>
      <w:r w:rsidRPr="000578E9">
        <w:tab/>
        <w:t>Règlement (UE) 2021/695 du Parlement européen et du Conseil du 28 avril 2001 portant établissement du programme-cadre pour la recherche et l’innovation «Horizon Europe» et définissant ses règles de participation et de diffusion.</w:t>
      </w:r>
    </w:p>
  </w:footnote>
  <w:footnote w:id="72">
    <w:p w14:paraId="5A976E41" w14:textId="77777777" w:rsidR="00231AA0" w:rsidRPr="000578E9" w:rsidRDefault="00231AA0">
      <w:pPr>
        <w:pStyle w:val="FootnoteText"/>
      </w:pPr>
      <w:r w:rsidRPr="000578E9">
        <w:rPr>
          <w:rStyle w:val="FootnoteReference"/>
        </w:rPr>
        <w:footnoteRef/>
      </w:r>
      <w:r w:rsidRPr="000578E9">
        <w:tab/>
        <w:t>Règlement (UE) nº 1301/2013 du Parlement européen et du Conseil du 17 décembre 2013 relatif au Fonds européen de développement régional et aux dispositions particulières relatives à l’objectif «Investissement pour la croissance et l’emploi».</w:t>
      </w:r>
    </w:p>
  </w:footnote>
  <w:footnote w:id="73">
    <w:p w14:paraId="7E6DA401" w14:textId="77777777" w:rsidR="00231AA0" w:rsidRPr="000578E9" w:rsidRDefault="00231AA0">
      <w:pPr>
        <w:pStyle w:val="FootnoteText"/>
      </w:pPr>
      <w:r w:rsidRPr="000578E9">
        <w:rPr>
          <w:rStyle w:val="FootnoteReference"/>
        </w:rPr>
        <w:footnoteRef/>
      </w:r>
      <w:r w:rsidRPr="000578E9">
        <w:tab/>
        <w:t>Règlement (UE) 2021/1057 du Parlement européen et du Conseil du 24 juin 2021 instituant le Fonds social européen plus (FSE+).</w:t>
      </w:r>
    </w:p>
  </w:footnote>
  <w:footnote w:id="74">
    <w:p w14:paraId="4F39A5E3" w14:textId="77777777" w:rsidR="00231AA0" w:rsidRPr="000578E9" w:rsidRDefault="00231AA0">
      <w:pPr>
        <w:pStyle w:val="FootnoteText"/>
      </w:pPr>
      <w:r w:rsidRPr="000578E9">
        <w:rPr>
          <w:rStyle w:val="FootnoteReference"/>
        </w:rPr>
        <w:footnoteRef/>
      </w:r>
      <w:r w:rsidRPr="000578E9">
        <w:tab/>
        <w:t>Règlement (UE) nº 1305/2013 du Parlement européen et du Conseil du 17 décembre 2013 relatif au soutien au développement rural par le Fonds européen agricole pour le développement rural (Feader).</w:t>
      </w:r>
    </w:p>
  </w:footnote>
  <w:footnote w:id="75">
    <w:p w14:paraId="719DC21D" w14:textId="77777777" w:rsidR="00231AA0" w:rsidRPr="000578E9" w:rsidRDefault="00231AA0" w:rsidP="00505ADE">
      <w:pPr>
        <w:pStyle w:val="FootnoteText"/>
        <w:spacing w:after="60"/>
      </w:pPr>
      <w:r w:rsidRPr="000578E9">
        <w:rPr>
          <w:rStyle w:val="FootnoteReference"/>
        </w:rPr>
        <w:footnoteRef/>
      </w:r>
      <w:r w:rsidRPr="000578E9">
        <w:tab/>
        <w:t>Règlement (UE) 2021/241 du Parlement européen et du Conseil du 12 février 2021 établissant la facilité pour la reprise et la résilience (JO L 57 du 18.2.2021, p. 17).</w:t>
      </w:r>
    </w:p>
  </w:footnote>
  <w:footnote w:id="76">
    <w:p w14:paraId="4C2CCBC5" w14:textId="77777777" w:rsidR="00231AA0" w:rsidRPr="000578E9" w:rsidRDefault="00231AA0" w:rsidP="00A94F84">
      <w:pPr>
        <w:pStyle w:val="FootnoteText"/>
        <w:spacing w:after="60"/>
      </w:pPr>
      <w:r w:rsidRPr="000578E9">
        <w:rPr>
          <w:rStyle w:val="FootnoteReference"/>
        </w:rPr>
        <w:footnoteRef/>
      </w:r>
      <w:r w:rsidRPr="000578E9">
        <w:tab/>
        <w:t>Communication de la Commission au Parlement européen, au Conseil, au Comité économique et social européen et au Comité des régions relative à une nouvelle approche pour une économie bleue durable dans l’Union européenne – Transformer l’économie bleue de l’Union européenne pour assurer un avenir durable [COM(2021) 240 final].</w:t>
      </w:r>
    </w:p>
  </w:footnote>
  <w:footnote w:id="77">
    <w:p w14:paraId="6D921A82" w14:textId="77777777" w:rsidR="00231AA0" w:rsidRPr="000578E9" w:rsidRDefault="00231AA0" w:rsidP="00A94F84">
      <w:pPr>
        <w:pStyle w:val="FootnoteText"/>
        <w:spacing w:after="60"/>
      </w:pPr>
      <w:r w:rsidRPr="000578E9">
        <w:rPr>
          <w:rStyle w:val="FootnoteReference"/>
        </w:rPr>
        <w:footnoteRef/>
      </w:r>
      <w:r w:rsidRPr="000578E9">
        <w:tab/>
        <w:t>L’aquaculture marine régénérative est la culture d’algues marines et de coquillages dans des jardins côtiers sous-marins.</w:t>
      </w:r>
    </w:p>
  </w:footnote>
  <w:footnote w:id="78">
    <w:p w14:paraId="190FD42E" w14:textId="77777777" w:rsidR="00231AA0" w:rsidRPr="000578E9" w:rsidRDefault="00231AA0" w:rsidP="00A31D8B">
      <w:pPr>
        <w:pStyle w:val="FootnoteText"/>
        <w:spacing w:after="60"/>
      </w:pPr>
      <w:r w:rsidRPr="000578E9">
        <w:rPr>
          <w:rStyle w:val="FootnoteReference"/>
        </w:rPr>
        <w:footnoteRef/>
      </w:r>
      <w:r w:rsidRPr="000578E9">
        <w:tab/>
      </w:r>
      <w:hyperlink r:id="rId21" w:history="1">
        <w:r w:rsidRPr="000578E9">
          <w:rPr>
            <w:rStyle w:val="Hyperlink"/>
          </w:rPr>
          <w:t>https://oceans-and-fisheries.ec.europa.eu/news/joining-hands-eu-fight-marine-litter-2021-09-29_en</w:t>
        </w:r>
      </w:hyperlink>
      <w:r w:rsidRPr="000578E9">
        <w:t xml:space="preserve"> et </w:t>
      </w:r>
      <w:hyperlink r:id="rId22" w:history="1">
        <w:r w:rsidRPr="000578E9">
          <w:rPr>
            <w:rStyle w:val="Hyperlink"/>
          </w:rPr>
          <w:t>https://audiovisual.ec.europa.eu/fr/video/I-175441?&amp;lg=FR/EN</w:t>
        </w:r>
      </w:hyperlink>
    </w:p>
  </w:footnote>
  <w:footnote w:id="79">
    <w:p w14:paraId="0F4BB25E" w14:textId="77777777" w:rsidR="00231AA0" w:rsidRPr="000578E9" w:rsidRDefault="00231AA0" w:rsidP="00A94F84">
      <w:pPr>
        <w:pStyle w:val="FootnoteText"/>
        <w:spacing w:after="60"/>
      </w:pPr>
      <w:r w:rsidRPr="000578E9">
        <w:rPr>
          <w:rStyle w:val="FootnoteReference"/>
        </w:rPr>
        <w:footnoteRef/>
      </w:r>
      <w:r w:rsidRPr="000578E9">
        <w:tab/>
        <w:t>Adoptés par les États membres en vertu de l’article 8 de la directive «Habitats».</w:t>
      </w:r>
    </w:p>
  </w:footnote>
  <w:footnote w:id="80">
    <w:p w14:paraId="660688D4" w14:textId="77777777" w:rsidR="00231AA0" w:rsidRPr="000578E9" w:rsidRDefault="00231AA0" w:rsidP="00A94F84">
      <w:pPr>
        <w:pStyle w:val="FootnoteText"/>
        <w:spacing w:after="60"/>
      </w:pPr>
      <w:r w:rsidRPr="000578E9">
        <w:rPr>
          <w:rStyle w:val="FootnoteReference"/>
        </w:rPr>
        <w:footnoteRef/>
      </w:r>
      <w:r w:rsidRPr="000578E9">
        <w:tab/>
      </w:r>
      <w:r w:rsidRPr="000578E9">
        <w:rPr>
          <w:color w:val="000000" w:themeColor="text1"/>
        </w:rPr>
        <w:t>Règlement (UE) 2017/1004 du Parlement européen et du Conseil du 17 mai 2017 relatif à l’établissement d’un cadre de l’Union pour la collecte, la gestion et l’utilisation de données dans le secteur de la pêche et le soutien aux avis scientifiques sur la politique commune de la pêche, et abrogeant le règlement (CE) nº 199/2008 du Conseil (JO L 157 du 20.6.2017, p. 1).</w:t>
      </w:r>
      <w:r w:rsidRPr="000578E9">
        <w:rPr>
          <w:i/>
          <w:color w:val="000000" w:themeColor="text1"/>
        </w:rPr>
        <w:t xml:space="preserve"> </w:t>
      </w:r>
      <w:r w:rsidRPr="000578E9">
        <w:rPr>
          <w:color w:val="000000" w:themeColor="text1"/>
        </w:rPr>
        <w:t>Programme pluriannuel de l’Union pour la collecte de données, tel qu’il est défini dans</w:t>
      </w:r>
      <w:r w:rsidRPr="000578E9">
        <w:t xml:space="preserve"> la décision déléguée (UE) 2021/1167 de la Commission. </w:t>
      </w:r>
    </w:p>
  </w:footnote>
  <w:footnote w:id="81">
    <w:p w14:paraId="23BC0E33" w14:textId="77777777" w:rsidR="00231AA0" w:rsidRPr="000578E9" w:rsidRDefault="00231AA0" w:rsidP="00B67DD5">
      <w:pPr>
        <w:pStyle w:val="FootnoteText"/>
        <w:spacing w:after="60"/>
      </w:pPr>
      <w:r w:rsidRPr="000578E9">
        <w:rPr>
          <w:rStyle w:val="FootnoteReference"/>
        </w:rPr>
        <w:footnoteRef/>
      </w:r>
      <w:r w:rsidRPr="000578E9">
        <w:t xml:space="preserve"> </w:t>
      </w:r>
      <w:r w:rsidRPr="000578E9">
        <w:tab/>
        <w:t>Directive 2009/147/CE du Parlement européen et du Conseil du 30 novembre 2009 concernant la conservation des oiseaux sauvages (directive «Oiseaux») et directive 92/43/CEE du Conseil du 21 mai 1992 concernant la conservation des habitats naturels ainsi que de la faune et de la flore sauvages (directive «Habitats»).</w:t>
      </w:r>
    </w:p>
  </w:footnote>
  <w:footnote w:id="82">
    <w:p w14:paraId="00798490" w14:textId="77777777" w:rsidR="00231AA0" w:rsidRPr="000578E9" w:rsidRDefault="00231AA0">
      <w:pPr>
        <w:pStyle w:val="FootnoteText"/>
      </w:pPr>
      <w:r w:rsidRPr="000578E9">
        <w:rPr>
          <w:rStyle w:val="FootnoteReference"/>
        </w:rPr>
        <w:footnoteRef/>
      </w:r>
      <w:r w:rsidRPr="000578E9">
        <w:tab/>
        <w:t>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 1).</w:t>
      </w:r>
    </w:p>
  </w:footnote>
  <w:footnote w:id="83">
    <w:p w14:paraId="50DF271B" w14:textId="77777777" w:rsidR="00231AA0" w:rsidRPr="000578E9" w:rsidRDefault="00231AA0" w:rsidP="00A94F84">
      <w:pPr>
        <w:pStyle w:val="FootnoteText"/>
        <w:spacing w:after="60"/>
      </w:pPr>
      <w:r w:rsidRPr="000578E9">
        <w:rPr>
          <w:rStyle w:val="FootnoteReference"/>
        </w:rPr>
        <w:footnoteRef/>
      </w:r>
      <w:r w:rsidRPr="000578E9">
        <w:tab/>
        <w:t>L’enregistrement des données au titre du règlement de contrôle actualisé et modernisé joue un rôle crucial dans ce contexte.</w:t>
      </w:r>
    </w:p>
  </w:footnote>
  <w:footnote w:id="84">
    <w:p w14:paraId="1BEC29C1" w14:textId="77777777" w:rsidR="00231AA0" w:rsidRPr="000578E9" w:rsidRDefault="00231AA0" w:rsidP="00A94F84">
      <w:pPr>
        <w:pStyle w:val="FootnoteText"/>
        <w:spacing w:after="60"/>
      </w:pPr>
      <w:r w:rsidRPr="000578E9">
        <w:rPr>
          <w:rStyle w:val="FootnoteReference"/>
        </w:rPr>
        <w:footnoteRef/>
      </w:r>
      <w:r w:rsidRPr="000578E9">
        <w:tab/>
        <w:t>Par exemple, sur les habitats des fonds marins, la bathymétrie, la géologie, les activités humaines (par exemple, parcs éoliens, aquaculture, trafic de navires), ainsi que sur les paramètres physiques, chimiques et biologiques du milieu marin.</w:t>
      </w:r>
    </w:p>
  </w:footnote>
  <w:footnote w:id="85">
    <w:p w14:paraId="4E0A821E" w14:textId="77777777" w:rsidR="00231AA0" w:rsidRPr="000578E9" w:rsidRDefault="00231AA0" w:rsidP="00617639">
      <w:pPr>
        <w:pStyle w:val="FootnoteText"/>
      </w:pPr>
      <w:r w:rsidRPr="000578E9">
        <w:rPr>
          <w:rStyle w:val="FootnoteReference"/>
        </w:rPr>
        <w:footnoteRef/>
      </w:r>
      <w:r w:rsidRPr="000578E9">
        <w:tab/>
        <w:t xml:space="preserve">Et plus particulièrement grâce au «pôle 6: Alimentation, bioéconomie, ressources naturelles, agriculture et environnement» du programme de travail d’Horizon Europe. </w:t>
      </w:r>
    </w:p>
  </w:footnote>
  <w:footnote w:id="86">
    <w:p w14:paraId="042E8ACD" w14:textId="77777777" w:rsidR="00231AA0" w:rsidRPr="000578E9" w:rsidRDefault="00231AA0" w:rsidP="00B53615">
      <w:pPr>
        <w:pStyle w:val="FootnoteText"/>
        <w:jc w:val="left"/>
      </w:pPr>
      <w:r w:rsidRPr="000578E9">
        <w:rPr>
          <w:rStyle w:val="FootnoteReference"/>
        </w:rPr>
        <w:footnoteRef/>
      </w:r>
      <w:r w:rsidRPr="000578E9">
        <w:tab/>
        <w:t>EU Mission: Restore our Ocean and Waters:  https://research-and-innovation.ec.europa.eu/funding/funding-opportunities/funding-programmes-and-open-calls/horizon-europe/eu-missions-horizon-europe/restore-our-ocean-and-waters_en</w:t>
      </w:r>
    </w:p>
  </w:footnote>
  <w:footnote w:id="87">
    <w:p w14:paraId="088F7C0B" w14:textId="77777777" w:rsidR="00231AA0" w:rsidRPr="000578E9" w:rsidRDefault="00231AA0" w:rsidP="00A94F84">
      <w:pPr>
        <w:pStyle w:val="FootnoteText"/>
        <w:spacing w:after="60"/>
      </w:pPr>
      <w:r w:rsidRPr="000578E9">
        <w:rPr>
          <w:rStyle w:val="FootnoteReference"/>
        </w:rPr>
        <w:footnoteRef/>
      </w:r>
      <w:r w:rsidRPr="000578E9">
        <w:tab/>
        <w:t>ou d'ici 2027 pour certains États membres,  en fonction du calendrier des plans de travail actuels.</w:t>
      </w:r>
    </w:p>
  </w:footnote>
  <w:footnote w:id="88">
    <w:p w14:paraId="039673DD" w14:textId="77777777" w:rsidR="00231AA0" w:rsidRPr="000578E9" w:rsidRDefault="00231AA0" w:rsidP="00A104DD">
      <w:pPr>
        <w:pStyle w:val="FootnoteText"/>
        <w:spacing w:after="60"/>
      </w:pPr>
      <w:r w:rsidRPr="000578E9">
        <w:footnoteRef/>
      </w:r>
      <w:r w:rsidRPr="000578E9">
        <w:t xml:space="preserve"> Conformément à l’article 6 du règlement (UE) 2017/1004.</w:t>
      </w:r>
    </w:p>
  </w:footnote>
  <w:footnote w:id="89">
    <w:p w14:paraId="3DE78BCC" w14:textId="77777777" w:rsidR="00231AA0" w:rsidRPr="000578E9" w:rsidRDefault="00231AA0">
      <w:pPr>
        <w:pStyle w:val="FootnoteText"/>
      </w:pPr>
      <w:r w:rsidRPr="000578E9">
        <w:rPr>
          <w:rStyle w:val="FootnoteReference"/>
        </w:rPr>
        <w:footnoteRef/>
      </w:r>
      <w:r w:rsidRPr="000578E9">
        <w:tab/>
        <w:t>Par «règles de la politique commune de la pêche», on entend la législation de l’Union relative à la conservation, à la gestion et à l’exploitation des ressources aquatiques vivantes, à l’aquaculture, ainsi qu’à la transformation, au transport et à la commercialisation des produits de la pêche et de l’aquaculture [article 4, point 2), du règlement (CE) nº 1224/2009 du Conseil].</w:t>
      </w:r>
    </w:p>
  </w:footnote>
  <w:footnote w:id="90">
    <w:p w14:paraId="76EAF8E2" w14:textId="77777777" w:rsidR="00231AA0" w:rsidRPr="000578E9" w:rsidRDefault="00231AA0">
      <w:pPr>
        <w:pStyle w:val="FootnoteText"/>
      </w:pPr>
      <w:r w:rsidRPr="000578E9">
        <w:rPr>
          <w:rStyle w:val="FootnoteReference"/>
        </w:rPr>
        <w:footnoteRef/>
      </w:r>
      <w:r w:rsidRPr="000578E9">
        <w:tab/>
        <w:t>Proposition de règlement du Parlement européen et du Conseil modifiant le règlement (CE) nº 1224/2009 du Conseil et modifiant les règlements (CE) nº 768/2005, (CE) nº 1967/2006, (CE) nº 1005/2008 du Conseil et le règlement (UE) 2016/1139 du Parlement européen et du Conseil en ce qui concerne le contrôle des pêches {SEC(2018) 267 final} - {SWD(2018) 279 final} - {SWD(2018) 280 final}.</w:t>
      </w:r>
    </w:p>
  </w:footnote>
  <w:footnote w:id="91">
    <w:p w14:paraId="2F5AE5E5" w14:textId="77777777" w:rsidR="00231AA0" w:rsidRPr="000578E9" w:rsidRDefault="00231AA0">
      <w:pPr>
        <w:pStyle w:val="FootnoteText"/>
      </w:pPr>
      <w:r w:rsidRPr="000578E9">
        <w:rPr>
          <w:rStyle w:val="FootnoteReference"/>
        </w:rPr>
        <w:footnoteRef/>
      </w:r>
      <w:r w:rsidRPr="000578E9">
        <w:tab/>
        <w:t>Directive 2008/99/CE du Parlement européen et du Conseil du 19 novembre 2008 relative à la protection de l’environnement par le droit pénal (JO L 328 du 6.12.2008, p. 28).</w:t>
      </w:r>
    </w:p>
  </w:footnote>
  <w:footnote w:id="92">
    <w:p w14:paraId="4D325C54" w14:textId="77777777" w:rsidR="00231AA0" w:rsidRPr="000578E9" w:rsidRDefault="00231AA0">
      <w:pPr>
        <w:pStyle w:val="FootnoteText"/>
      </w:pPr>
      <w:r w:rsidRPr="000578E9">
        <w:rPr>
          <w:rStyle w:val="FootnoteReference"/>
        </w:rPr>
        <w:footnoteRef/>
      </w:r>
      <w:r w:rsidRPr="000578E9">
        <w:tab/>
        <w:t xml:space="preserve">Le deuxième rapport quinquennal sur l’application du règlement de contrôle fait le point sur les mesures d’exécution prises par la Commission entre 2015 et 2019: </w:t>
      </w:r>
      <w:hyperlink r:id="rId23" w:history="1">
        <w:r w:rsidRPr="000578E9">
          <w:rPr>
            <w:rStyle w:val="Hyperlink"/>
          </w:rPr>
          <w:t>EUR-Lex - 52021DC0316 - FR - EUR-Lex (europa.eu)</w:t>
        </w:r>
      </w:hyperlink>
    </w:p>
  </w:footnote>
  <w:footnote w:id="93">
    <w:p w14:paraId="200CF010" w14:textId="77777777" w:rsidR="00231AA0" w:rsidRPr="000578E9" w:rsidRDefault="00231AA0" w:rsidP="001F0B14">
      <w:pPr>
        <w:pStyle w:val="FootnoteText"/>
        <w:spacing w:after="60"/>
      </w:pPr>
      <w:r w:rsidRPr="000578E9">
        <w:rPr>
          <w:rStyle w:val="FootnoteReference"/>
        </w:rPr>
        <w:footnoteRef/>
      </w:r>
      <w:r w:rsidRPr="000578E9">
        <w:tab/>
        <w:t>Article 15 de la DCSMM.</w:t>
      </w:r>
    </w:p>
  </w:footnote>
  <w:footnote w:id="94">
    <w:p w14:paraId="2B625EB8" w14:textId="77777777" w:rsidR="00231AA0" w:rsidRPr="000578E9" w:rsidRDefault="00231AA0" w:rsidP="001F0B14">
      <w:pPr>
        <w:pStyle w:val="FootnoteText"/>
        <w:spacing w:after="60"/>
      </w:pPr>
      <w:r w:rsidRPr="000578E9">
        <w:rPr>
          <w:rStyle w:val="FootnoteReference"/>
        </w:rPr>
        <w:footnoteRef/>
      </w:r>
      <w:r w:rsidRPr="000578E9">
        <w:tab/>
        <w:t>Rapport spécial nº </w:t>
      </w:r>
      <w:hyperlink r:id="rId24" w:history="1">
        <w:r w:rsidRPr="000578E9">
          <w:rPr>
            <w:rStyle w:val="Hyperlink"/>
          </w:rPr>
          <w:t>26/2020</w:t>
        </w:r>
      </w:hyperlink>
      <w:r w:rsidRPr="000578E9">
        <w:t>, Milieu marin: l’UE offre une protection étendue, mais superficielle, p. 47, recommandation 87, référence à l’article 15 de la DCSMM.</w:t>
      </w:r>
    </w:p>
  </w:footnote>
  <w:footnote w:id="95">
    <w:p w14:paraId="77D88890" w14:textId="77777777" w:rsidR="00231AA0" w:rsidRPr="000578E9" w:rsidRDefault="00231AA0" w:rsidP="001F0B14">
      <w:pPr>
        <w:pStyle w:val="FootnoteText"/>
        <w:spacing w:after="60"/>
        <w:ind w:left="0" w:firstLine="0"/>
      </w:pPr>
      <w:r w:rsidRPr="000578E9">
        <w:rPr>
          <w:rStyle w:val="FootnoteReference"/>
        </w:rPr>
        <w:footnoteRef/>
      </w:r>
      <w:r w:rsidRPr="000578E9">
        <w:t xml:space="preserve"> Règlement (UE) 2019/473.</w:t>
      </w:r>
    </w:p>
  </w:footnote>
  <w:footnote w:id="96">
    <w:p w14:paraId="48FC06B4" w14:textId="77777777" w:rsidR="00231AA0" w:rsidRPr="000578E9" w:rsidRDefault="00231AA0" w:rsidP="001F0B14">
      <w:pPr>
        <w:pStyle w:val="FootnoteText"/>
        <w:spacing w:after="60"/>
      </w:pPr>
      <w:r w:rsidRPr="000578E9">
        <w:rPr>
          <w:rStyle w:val="FootnoteReference"/>
        </w:rPr>
        <w:footnoteRef/>
      </w:r>
      <w:r w:rsidRPr="000578E9">
        <w:tab/>
        <w:t>Décision d’exécution (UE) 2018/1986 de la Commission du 13 décembre 2018 établissant des programmes spécifiques de contrôle et d’inspection pour certaines pêcheries et abrogeant les décisions d’exécution 2012/807/UE, 2013/328/UE, 2013/305/UE et 2014/156/UE, JO L 317/29 du 14 décembre 2018.</w:t>
      </w:r>
    </w:p>
  </w:footnote>
  <w:footnote w:id="97">
    <w:p w14:paraId="079A141E" w14:textId="77777777" w:rsidR="00231AA0" w:rsidRPr="000578E9" w:rsidRDefault="00231AA0" w:rsidP="001F0B14">
      <w:pPr>
        <w:pStyle w:val="FootnoteText"/>
      </w:pPr>
      <w:r w:rsidRPr="000578E9">
        <w:rPr>
          <w:rStyle w:val="FootnoteReference"/>
        </w:rPr>
        <w:footnoteRef/>
      </w:r>
      <w:r w:rsidRPr="000578E9">
        <w:t xml:space="preserve"> Tels que visés à l’article 95 du règlement (CE) nº 1224/2009 du Conseil.</w:t>
      </w:r>
    </w:p>
  </w:footnote>
  <w:footnote w:id="98">
    <w:p w14:paraId="3D026584" w14:textId="77777777" w:rsidR="00231AA0" w:rsidRPr="000578E9" w:rsidRDefault="00231AA0" w:rsidP="00A94F84">
      <w:pPr>
        <w:pStyle w:val="FootnoteText"/>
        <w:spacing w:after="60"/>
      </w:pPr>
      <w:r w:rsidRPr="000578E9">
        <w:rPr>
          <w:rStyle w:val="FootnoteReference"/>
        </w:rPr>
        <w:footnoteRef/>
      </w:r>
      <w:r w:rsidRPr="000578E9">
        <w:tab/>
        <w:t>Voir note de bas de page 29 à l’article 11 du règlement (UE) nº 1380/2013 (PCP).</w:t>
      </w:r>
    </w:p>
  </w:footnote>
  <w:footnote w:id="99">
    <w:p w14:paraId="1FFD4FA6" w14:textId="77777777" w:rsidR="00231AA0" w:rsidRPr="000578E9" w:rsidRDefault="00231AA0" w:rsidP="00A94F84">
      <w:pPr>
        <w:pStyle w:val="FootnoteText"/>
        <w:spacing w:after="60"/>
      </w:pPr>
      <w:r w:rsidRPr="000578E9">
        <w:rPr>
          <w:rStyle w:val="FootnoteReference"/>
        </w:rPr>
        <w:footnoteRef/>
      </w:r>
      <w:r w:rsidRPr="000578E9">
        <w:tab/>
        <w:t xml:space="preserve">Commission Staff Working Document on the establishment of conservation measures under the Common Fisheries Policy for Natura 2000 sites and for Marine Strategy Framework Directive purposes, </w:t>
      </w:r>
      <w:hyperlink r:id="rId25" w:history="1">
        <w:r w:rsidRPr="000578E9">
          <w:rPr>
            <w:rStyle w:val="Hyperlink"/>
          </w:rPr>
          <w:t>SWD 288 final</w:t>
        </w:r>
      </w:hyperlink>
      <w:r w:rsidRPr="000578E9">
        <w:t>.</w:t>
      </w:r>
    </w:p>
  </w:footnote>
  <w:footnote w:id="100">
    <w:p w14:paraId="53E54CD9" w14:textId="77777777" w:rsidR="00231AA0" w:rsidRPr="000578E9" w:rsidRDefault="00231AA0">
      <w:pPr>
        <w:pStyle w:val="FootnoteText"/>
      </w:pPr>
      <w:r w:rsidRPr="000578E9">
        <w:rPr>
          <w:rStyle w:val="FootnoteReference"/>
        </w:rPr>
        <w:footnoteRef/>
      </w:r>
      <w:r w:rsidRPr="000578E9">
        <w:tab/>
        <w:t>Quatre conventions sur la mer régionale couvrent les eaux marines de l’Union: la convention sur la protection de l’environnement marin de la zone de la mer Baltique (convention d’Helsinki – HELCOM), la convention pour la protection du milieu marin de l’Atlantique du Nord-Est (convention Oslo-Paris – OSPAR), la convention sur la protection du milieu marin et du littoral de la Méditerranée (convention de Barcelone – PNUE/PAM) et la convention sur la protection de la mer Noire contre la pollution (convention de Bucarest). L’Union européenne est partie contractante aux trois premières.</w:t>
      </w:r>
    </w:p>
  </w:footnote>
  <w:footnote w:id="101">
    <w:p w14:paraId="1EC20DDB" w14:textId="77777777" w:rsidR="00231AA0" w:rsidRPr="000578E9" w:rsidRDefault="00231AA0" w:rsidP="00A94F84">
      <w:pPr>
        <w:pStyle w:val="FootnoteText"/>
        <w:spacing w:after="60"/>
      </w:pPr>
      <w:r w:rsidRPr="000578E9">
        <w:rPr>
          <w:rStyle w:val="FootnoteReference"/>
        </w:rPr>
        <w:footnoteRef/>
      </w:r>
      <w:r w:rsidRPr="000578E9">
        <w:tab/>
        <w:t>La Commission fournira des modèles pour les feuilles de route afin de guider les États membres dans ce processus.</w:t>
      </w:r>
    </w:p>
  </w:footnote>
  <w:footnote w:id="102">
    <w:p w14:paraId="159A490D" w14:textId="77777777" w:rsidR="00231AA0" w:rsidRPr="000578E9" w:rsidRDefault="00231AA0">
      <w:pPr>
        <w:pStyle w:val="FootnoteText"/>
      </w:pPr>
      <w:r w:rsidRPr="000578E9">
        <w:rPr>
          <w:rStyle w:val="FootnoteReference"/>
        </w:rPr>
        <w:footnoteRef/>
      </w:r>
      <w:r w:rsidRPr="000578E9">
        <w:tab/>
        <w:t>COM(2023) 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933F" w14:textId="77777777" w:rsidR="008B655D" w:rsidRPr="008B655D" w:rsidRDefault="008B655D" w:rsidP="008B6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8DF69" w14:textId="77777777" w:rsidR="008B655D" w:rsidRPr="008B655D" w:rsidRDefault="008B655D" w:rsidP="008B655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E0C60" w14:textId="77777777" w:rsidR="008B655D" w:rsidRPr="008B655D" w:rsidRDefault="008B655D" w:rsidP="008B655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7A1FA" w14:textId="77777777" w:rsidR="00231AA0" w:rsidRPr="00EF2A21" w:rsidRDefault="00231A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09AD9" w14:textId="77777777" w:rsidR="00231AA0" w:rsidRPr="00EF2A21" w:rsidRDefault="00231A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1B96A" w14:textId="77777777" w:rsidR="00231AA0" w:rsidRPr="00EF2A21" w:rsidRDefault="00231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BC033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3537B"/>
    <w:multiLevelType w:val="hybridMultilevel"/>
    <w:tmpl w:val="5CFE13C0"/>
    <w:lvl w:ilvl="0" w:tplc="4CE6A0B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97332"/>
    <w:multiLevelType w:val="hybridMultilevel"/>
    <w:tmpl w:val="337215B0"/>
    <w:lvl w:ilvl="0" w:tplc="DE562C18">
      <w:start w:val="1"/>
      <w:numFmt w:val="bullet"/>
      <w:lvlText w:val="-"/>
      <w:lvlJc w:val="left"/>
      <w:pPr>
        <w:ind w:left="720" w:hanging="360"/>
      </w:pPr>
      <w:rPr>
        <w:rFonts w:ascii="Calibri" w:hAnsi="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87D682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hybridMultilevel"/>
    <w:tmpl w:val="BCD259B6"/>
    <w:name w:val="ListNumber3Numbering"/>
    <w:lvl w:ilvl="0" w:tplc="C16C084A">
      <w:start w:val="1"/>
      <w:numFmt w:val="decimal"/>
      <w:pStyle w:val="ListNumber3"/>
      <w:lvlText w:val="(%1)"/>
      <w:lvlJc w:val="left"/>
      <w:pPr>
        <w:tabs>
          <w:tab w:val="num" w:pos="1911"/>
        </w:tabs>
        <w:ind w:left="1911" w:hanging="709"/>
      </w:pPr>
    </w:lvl>
    <w:lvl w:ilvl="1" w:tplc="41A6DC9E">
      <w:start w:val="1"/>
      <w:numFmt w:val="lowerLetter"/>
      <w:pStyle w:val="ListNumber3Level2"/>
      <w:lvlText w:val="(%2)"/>
      <w:lvlJc w:val="left"/>
      <w:pPr>
        <w:tabs>
          <w:tab w:val="num" w:pos="2619"/>
        </w:tabs>
        <w:ind w:left="2619" w:hanging="708"/>
      </w:pPr>
    </w:lvl>
    <w:lvl w:ilvl="2" w:tplc="23AE4AA4">
      <w:start w:val="1"/>
      <w:numFmt w:val="bullet"/>
      <w:pStyle w:val="ListNumber3Level3"/>
      <w:lvlText w:val="–"/>
      <w:lvlJc w:val="left"/>
      <w:pPr>
        <w:tabs>
          <w:tab w:val="num" w:pos="3328"/>
        </w:tabs>
        <w:ind w:left="3328" w:hanging="709"/>
      </w:pPr>
      <w:rPr>
        <w:rFonts w:ascii="Times New Roman" w:hAnsi="Times New Roman"/>
      </w:rPr>
    </w:lvl>
    <w:lvl w:ilvl="3" w:tplc="C5E0C430">
      <w:start w:val="1"/>
      <w:numFmt w:val="bullet"/>
      <w:pStyle w:val="ListNumber3Level4"/>
      <w:lvlText w:val=""/>
      <w:lvlJc w:val="left"/>
      <w:pPr>
        <w:tabs>
          <w:tab w:val="num" w:pos="4751"/>
        </w:tabs>
        <w:ind w:left="4751" w:hanging="709"/>
      </w:pPr>
      <w:rPr>
        <w:rFonts w:ascii="Symbol" w:hAnsi="Symbol"/>
      </w:rPr>
    </w:lvl>
    <w:lvl w:ilvl="4" w:tplc="EC46F5B8">
      <w:numFmt w:val="none"/>
      <w:lvlText w:val=""/>
      <w:lvlJc w:val="left"/>
    </w:lvl>
    <w:lvl w:ilvl="5" w:tplc="193E9FE2">
      <w:numFmt w:val="none"/>
      <w:lvlText w:val=""/>
      <w:lvlJc w:val="left"/>
    </w:lvl>
    <w:lvl w:ilvl="6" w:tplc="26364A06">
      <w:numFmt w:val="none"/>
      <w:lvlText w:val=""/>
      <w:lvlJc w:val="left"/>
    </w:lvl>
    <w:lvl w:ilvl="7" w:tplc="5AC25EF0">
      <w:numFmt w:val="none"/>
      <w:lvlText w:val=""/>
      <w:lvlJc w:val="left"/>
    </w:lvl>
    <w:lvl w:ilvl="8" w:tplc="A97C7FC6">
      <w:numFmt w:val="none"/>
      <w:lvlText w:val=""/>
      <w:lvlJc w:val="left"/>
    </w:lvl>
  </w:abstractNum>
  <w:abstractNum w:abstractNumId="5" w15:restartNumberingAfterBreak="0">
    <w:nsid w:val="120B7201"/>
    <w:multiLevelType w:val="multilevel"/>
    <w:tmpl w:val="0A84C44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06CE88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hybridMultilevel"/>
    <w:tmpl w:val="74820ED0"/>
    <w:name w:val="ListBullet3Numbering"/>
    <w:lvl w:ilvl="0" w:tplc="54D60356">
      <w:start w:val="1"/>
      <w:numFmt w:val="bullet"/>
      <w:pStyle w:val="ListBullet3"/>
      <w:lvlText w:val=""/>
      <w:lvlJc w:val="left"/>
      <w:pPr>
        <w:tabs>
          <w:tab w:val="num" w:pos="1485"/>
        </w:tabs>
        <w:ind w:left="1485" w:hanging="283"/>
      </w:pPr>
      <w:rPr>
        <w:rFonts w:ascii="Symbol" w:hAnsi="Symbol"/>
      </w:rPr>
    </w:lvl>
    <w:lvl w:ilvl="1" w:tplc="3F7CD69C">
      <w:start w:val="1"/>
      <w:numFmt w:val="bullet"/>
      <w:lvlText w:val=""/>
      <w:lvlJc w:val="left"/>
      <w:pPr>
        <w:tabs>
          <w:tab w:val="num" w:pos="1769"/>
        </w:tabs>
        <w:ind w:left="1769" w:hanging="284"/>
      </w:pPr>
      <w:rPr>
        <w:rFonts w:ascii="Symbol" w:hAnsi="Symbol"/>
      </w:rPr>
    </w:lvl>
    <w:lvl w:ilvl="2" w:tplc="BC3CDB9C">
      <w:start w:val="1"/>
      <w:numFmt w:val="bullet"/>
      <w:pStyle w:val="ListBullet3Level3"/>
      <w:lvlText w:val=""/>
      <w:lvlJc w:val="left"/>
      <w:pPr>
        <w:tabs>
          <w:tab w:val="num" w:pos="2052"/>
        </w:tabs>
        <w:ind w:left="2052" w:hanging="283"/>
      </w:pPr>
      <w:rPr>
        <w:rFonts w:ascii="Symbol" w:hAnsi="Symbol"/>
      </w:rPr>
    </w:lvl>
    <w:lvl w:ilvl="3" w:tplc="8160A37A">
      <w:start w:val="1"/>
      <w:numFmt w:val="bullet"/>
      <w:pStyle w:val="ListBullet3Level4"/>
      <w:lvlText w:val=""/>
      <w:lvlJc w:val="left"/>
      <w:pPr>
        <w:tabs>
          <w:tab w:val="num" w:pos="2336"/>
        </w:tabs>
        <w:ind w:left="2336" w:hanging="284"/>
      </w:pPr>
      <w:rPr>
        <w:rFonts w:ascii="Symbol" w:hAnsi="Symbol"/>
      </w:rPr>
    </w:lvl>
    <w:lvl w:ilvl="4" w:tplc="2256BD72">
      <w:numFmt w:val="none"/>
      <w:lvlText w:val=""/>
      <w:lvlJc w:val="left"/>
    </w:lvl>
    <w:lvl w:ilvl="5" w:tplc="654C8506">
      <w:numFmt w:val="none"/>
      <w:lvlText w:val=""/>
      <w:lvlJc w:val="left"/>
    </w:lvl>
    <w:lvl w:ilvl="6" w:tplc="C9ECF4DE">
      <w:numFmt w:val="none"/>
      <w:lvlText w:val=""/>
      <w:lvlJc w:val="left"/>
    </w:lvl>
    <w:lvl w:ilvl="7" w:tplc="A9FCD22A">
      <w:numFmt w:val="none"/>
      <w:lvlText w:val=""/>
      <w:lvlJc w:val="left"/>
    </w:lvl>
    <w:lvl w:ilvl="8" w:tplc="2778A76A">
      <w:numFmt w:val="none"/>
      <w:lvlText w:val=""/>
      <w:lvlJc w:val="left"/>
    </w:lvl>
  </w:abstractNum>
  <w:abstractNum w:abstractNumId="8" w15:restartNumberingAfterBreak="0">
    <w:nsid w:val="172F0AC5"/>
    <w:multiLevelType w:val="multilevel"/>
    <w:tmpl w:val="2F5AE2A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D202F5"/>
    <w:multiLevelType w:val="hybridMultilevel"/>
    <w:tmpl w:val="01DA6246"/>
    <w:lvl w:ilvl="0" w:tplc="9648DE48">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C7B624F"/>
    <w:multiLevelType w:val="multilevel"/>
    <w:tmpl w:val="965CDF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hybridMultilevel"/>
    <w:tmpl w:val="AB9AE18E"/>
    <w:name w:val="ListBullet2Numbering"/>
    <w:lvl w:ilvl="0" w:tplc="AB8A39AE">
      <w:start w:val="1"/>
      <w:numFmt w:val="bullet"/>
      <w:lvlText w:val=""/>
      <w:lvlJc w:val="left"/>
      <w:pPr>
        <w:tabs>
          <w:tab w:val="num" w:pos="1485"/>
        </w:tabs>
        <w:ind w:left="1485" w:hanging="283"/>
      </w:pPr>
      <w:rPr>
        <w:rFonts w:ascii="Symbol" w:hAnsi="Symbol"/>
      </w:rPr>
    </w:lvl>
    <w:lvl w:ilvl="1" w:tplc="25F0EBC6">
      <w:start w:val="1"/>
      <w:numFmt w:val="bullet"/>
      <w:pStyle w:val="ListBullet2Level2"/>
      <w:lvlText w:val=""/>
      <w:lvlJc w:val="left"/>
      <w:pPr>
        <w:tabs>
          <w:tab w:val="num" w:pos="1769"/>
        </w:tabs>
        <w:ind w:left="1769" w:hanging="284"/>
      </w:pPr>
      <w:rPr>
        <w:rFonts w:ascii="Symbol" w:hAnsi="Symbol"/>
      </w:rPr>
    </w:lvl>
    <w:lvl w:ilvl="2" w:tplc="8D7A01F6">
      <w:start w:val="1"/>
      <w:numFmt w:val="bullet"/>
      <w:pStyle w:val="ListBullet2Level3"/>
      <w:lvlText w:val=""/>
      <w:lvlJc w:val="left"/>
      <w:pPr>
        <w:tabs>
          <w:tab w:val="num" w:pos="2052"/>
        </w:tabs>
        <w:ind w:left="2052" w:hanging="283"/>
      </w:pPr>
      <w:rPr>
        <w:rFonts w:ascii="Symbol" w:hAnsi="Symbol"/>
      </w:rPr>
    </w:lvl>
    <w:lvl w:ilvl="3" w:tplc="7F9E30C0">
      <w:start w:val="1"/>
      <w:numFmt w:val="bullet"/>
      <w:pStyle w:val="ListBullet2Level4"/>
      <w:lvlText w:val=""/>
      <w:lvlJc w:val="left"/>
      <w:pPr>
        <w:tabs>
          <w:tab w:val="num" w:pos="2336"/>
        </w:tabs>
        <w:ind w:left="2336" w:hanging="284"/>
      </w:pPr>
      <w:rPr>
        <w:rFonts w:ascii="Symbol" w:hAnsi="Symbol"/>
      </w:rPr>
    </w:lvl>
    <w:lvl w:ilvl="4" w:tplc="98882D16">
      <w:numFmt w:val="none"/>
      <w:lvlText w:val=""/>
      <w:lvlJc w:val="left"/>
    </w:lvl>
    <w:lvl w:ilvl="5" w:tplc="17BE15C2">
      <w:numFmt w:val="none"/>
      <w:lvlText w:val=""/>
      <w:lvlJc w:val="left"/>
    </w:lvl>
    <w:lvl w:ilvl="6" w:tplc="0C101AD2">
      <w:numFmt w:val="none"/>
      <w:lvlText w:val=""/>
      <w:lvlJc w:val="left"/>
    </w:lvl>
    <w:lvl w:ilvl="7" w:tplc="6FBCD85E">
      <w:numFmt w:val="none"/>
      <w:lvlText w:val=""/>
      <w:lvlJc w:val="left"/>
    </w:lvl>
    <w:lvl w:ilvl="8" w:tplc="1A00BB92">
      <w:numFmt w:val="none"/>
      <w:lvlText w:val=""/>
      <w:lvlJc w:val="left"/>
    </w:lvl>
  </w:abstractNum>
  <w:abstractNum w:abstractNumId="12" w15:restartNumberingAfterBreak="0">
    <w:nsid w:val="2D293CE3"/>
    <w:multiLevelType w:val="multilevel"/>
    <w:tmpl w:val="C15200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08CCCA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F000017"/>
    <w:multiLevelType w:val="hybridMultilevel"/>
    <w:tmpl w:val="5BC512D3"/>
    <w:lvl w:ilvl="0" w:tplc="80ACC0DA">
      <w:start w:val="2"/>
      <w:numFmt w:val="bullet"/>
      <w:lvlText w:val="-"/>
      <w:lvlJc w:val="left"/>
      <w:pPr>
        <w:ind w:left="720" w:hanging="360"/>
      </w:pPr>
      <w:rPr>
        <w:rFonts w:ascii="Times New Roman" w:eastAsia="Times New Roman" w:hAnsi="Times New Roman" w:cs="Times New Roman" w:hint="default"/>
      </w:rPr>
    </w:lvl>
    <w:lvl w:ilvl="1" w:tplc="1A9406C6">
      <w:start w:val="1"/>
      <w:numFmt w:val="bullet"/>
      <w:lvlText w:val="o"/>
      <w:lvlJc w:val="left"/>
      <w:pPr>
        <w:ind w:left="1440" w:hanging="360"/>
      </w:pPr>
      <w:rPr>
        <w:rFonts w:ascii="Courier New" w:hAnsi="Courier New" w:cs="Courier New" w:hint="default"/>
      </w:rPr>
    </w:lvl>
    <w:lvl w:ilvl="2" w:tplc="2600350A">
      <w:start w:val="1"/>
      <w:numFmt w:val="bullet"/>
      <w:lvlText w:val="§"/>
      <w:lvlJc w:val="left"/>
      <w:pPr>
        <w:ind w:left="2160" w:hanging="360"/>
      </w:pPr>
      <w:rPr>
        <w:rFonts w:ascii="Wingdings" w:hAnsi="Wingdings" w:hint="default"/>
      </w:rPr>
    </w:lvl>
    <w:lvl w:ilvl="3" w:tplc="3ADEAEEC">
      <w:start w:val="1"/>
      <w:numFmt w:val="bullet"/>
      <w:lvlText w:val="·"/>
      <w:lvlJc w:val="left"/>
      <w:pPr>
        <w:ind w:left="2880" w:hanging="360"/>
      </w:pPr>
      <w:rPr>
        <w:rFonts w:ascii="Symbol" w:hAnsi="Symbol" w:hint="default"/>
      </w:rPr>
    </w:lvl>
    <w:lvl w:ilvl="4" w:tplc="1B74B5BE">
      <w:start w:val="1"/>
      <w:numFmt w:val="bullet"/>
      <w:lvlText w:val="o"/>
      <w:lvlJc w:val="left"/>
      <w:pPr>
        <w:ind w:left="3600" w:hanging="360"/>
      </w:pPr>
      <w:rPr>
        <w:rFonts w:ascii="Courier New" w:hAnsi="Courier New" w:cs="Courier New" w:hint="default"/>
      </w:rPr>
    </w:lvl>
    <w:lvl w:ilvl="5" w:tplc="A992CA5A">
      <w:start w:val="1"/>
      <w:numFmt w:val="bullet"/>
      <w:lvlText w:val="§"/>
      <w:lvlJc w:val="left"/>
      <w:pPr>
        <w:ind w:left="4320" w:hanging="360"/>
      </w:pPr>
      <w:rPr>
        <w:rFonts w:ascii="Wingdings" w:hAnsi="Wingdings" w:hint="default"/>
      </w:rPr>
    </w:lvl>
    <w:lvl w:ilvl="6" w:tplc="99E2F088">
      <w:start w:val="1"/>
      <w:numFmt w:val="bullet"/>
      <w:lvlText w:val="·"/>
      <w:lvlJc w:val="left"/>
      <w:pPr>
        <w:ind w:left="5040" w:hanging="360"/>
      </w:pPr>
      <w:rPr>
        <w:rFonts w:ascii="Symbol" w:hAnsi="Symbol" w:hint="default"/>
      </w:rPr>
    </w:lvl>
    <w:lvl w:ilvl="7" w:tplc="3EA6CA14">
      <w:start w:val="1"/>
      <w:numFmt w:val="bullet"/>
      <w:lvlText w:val="o"/>
      <w:lvlJc w:val="left"/>
      <w:pPr>
        <w:ind w:left="5760" w:hanging="360"/>
      </w:pPr>
      <w:rPr>
        <w:rFonts w:ascii="Courier New" w:hAnsi="Courier New" w:cs="Courier New" w:hint="default"/>
      </w:rPr>
    </w:lvl>
    <w:lvl w:ilvl="8" w:tplc="201AFE26">
      <w:start w:val="1"/>
      <w:numFmt w:val="bullet"/>
      <w:lvlText w:val="§"/>
      <w:lvlJc w:val="left"/>
      <w:pPr>
        <w:ind w:left="6480" w:hanging="360"/>
      </w:pPr>
      <w:rPr>
        <w:rFonts w:ascii="Wingdings" w:hAnsi="Wingdings" w:hint="default"/>
      </w:rPr>
    </w:lvl>
  </w:abstractNum>
  <w:abstractNum w:abstractNumId="15" w15:restartNumberingAfterBreak="0">
    <w:nsid w:val="334A605E"/>
    <w:multiLevelType w:val="hybridMultilevel"/>
    <w:tmpl w:val="59C435AA"/>
    <w:lvl w:ilvl="0" w:tplc="1102CC2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hybridMultilevel"/>
    <w:tmpl w:val="7F5EC516"/>
    <w:name w:val="ListDash3Numbering"/>
    <w:lvl w:ilvl="0" w:tplc="4B3A5660">
      <w:start w:val="1"/>
      <w:numFmt w:val="bullet"/>
      <w:pStyle w:val="ListDash3"/>
      <w:lvlText w:val="–"/>
      <w:lvlJc w:val="left"/>
      <w:pPr>
        <w:tabs>
          <w:tab w:val="num" w:pos="1485"/>
        </w:tabs>
        <w:ind w:left="1485" w:hanging="283"/>
      </w:pPr>
      <w:rPr>
        <w:rFonts w:ascii="Times New Roman" w:hAnsi="Times New Roman"/>
      </w:rPr>
    </w:lvl>
    <w:lvl w:ilvl="1" w:tplc="1E167176">
      <w:start w:val="1"/>
      <w:numFmt w:val="bullet"/>
      <w:lvlText w:val="–"/>
      <w:lvlJc w:val="left"/>
      <w:pPr>
        <w:tabs>
          <w:tab w:val="num" w:pos="1769"/>
        </w:tabs>
        <w:ind w:left="1769" w:hanging="284"/>
      </w:pPr>
      <w:rPr>
        <w:rFonts w:ascii="Times New Roman" w:hAnsi="Times New Roman"/>
      </w:rPr>
    </w:lvl>
    <w:lvl w:ilvl="2" w:tplc="19B0D176">
      <w:start w:val="1"/>
      <w:numFmt w:val="bullet"/>
      <w:pStyle w:val="ListDash3Level3"/>
      <w:lvlText w:val="–"/>
      <w:lvlJc w:val="left"/>
      <w:pPr>
        <w:tabs>
          <w:tab w:val="num" w:pos="2052"/>
        </w:tabs>
        <w:ind w:left="2052" w:hanging="283"/>
      </w:pPr>
      <w:rPr>
        <w:rFonts w:ascii="Times New Roman" w:hAnsi="Times New Roman"/>
      </w:rPr>
    </w:lvl>
    <w:lvl w:ilvl="3" w:tplc="51909AF4">
      <w:start w:val="1"/>
      <w:numFmt w:val="bullet"/>
      <w:pStyle w:val="ListDash3Level4"/>
      <w:lvlText w:val="–"/>
      <w:lvlJc w:val="left"/>
      <w:pPr>
        <w:tabs>
          <w:tab w:val="num" w:pos="2336"/>
        </w:tabs>
        <w:ind w:left="2336" w:hanging="284"/>
      </w:pPr>
      <w:rPr>
        <w:rFonts w:ascii="Times New Roman" w:hAnsi="Times New Roman"/>
      </w:rPr>
    </w:lvl>
    <w:lvl w:ilvl="4" w:tplc="08C4AFA6">
      <w:numFmt w:val="none"/>
      <w:lvlText w:val=""/>
      <w:lvlJc w:val="left"/>
    </w:lvl>
    <w:lvl w:ilvl="5" w:tplc="1B5A93E2">
      <w:numFmt w:val="none"/>
      <w:lvlText w:val=""/>
      <w:lvlJc w:val="left"/>
    </w:lvl>
    <w:lvl w:ilvl="6" w:tplc="B01471A2">
      <w:numFmt w:val="none"/>
      <w:lvlText w:val=""/>
      <w:lvlJc w:val="left"/>
    </w:lvl>
    <w:lvl w:ilvl="7" w:tplc="E8C2F55E">
      <w:numFmt w:val="none"/>
      <w:lvlText w:val=""/>
      <w:lvlJc w:val="left"/>
    </w:lvl>
    <w:lvl w:ilvl="8" w:tplc="9B4A1248">
      <w:numFmt w:val="none"/>
      <w:lvlText w:val=""/>
      <w:lvlJc w:val="left"/>
    </w:lvl>
  </w:abstractNum>
  <w:abstractNum w:abstractNumId="17" w15:restartNumberingAfterBreak="0">
    <w:nsid w:val="37CB1E1C"/>
    <w:multiLevelType w:val="multilevel"/>
    <w:tmpl w:val="7598A77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hybridMultilevel"/>
    <w:tmpl w:val="8FD8D1F0"/>
    <w:name w:val="ListBullet1Numbering"/>
    <w:lvl w:ilvl="0" w:tplc="49604874">
      <w:start w:val="1"/>
      <w:numFmt w:val="bullet"/>
      <w:pStyle w:val="ListBullet1"/>
      <w:lvlText w:val=""/>
      <w:lvlJc w:val="left"/>
      <w:pPr>
        <w:tabs>
          <w:tab w:val="num" w:pos="765"/>
        </w:tabs>
        <w:ind w:left="765" w:hanging="283"/>
      </w:pPr>
      <w:rPr>
        <w:rFonts w:ascii="Symbol" w:hAnsi="Symbol"/>
      </w:rPr>
    </w:lvl>
    <w:lvl w:ilvl="1" w:tplc="1A823442">
      <w:start w:val="1"/>
      <w:numFmt w:val="bullet"/>
      <w:pStyle w:val="ListBullet1Level2"/>
      <w:lvlText w:val=""/>
      <w:lvlJc w:val="left"/>
      <w:pPr>
        <w:tabs>
          <w:tab w:val="num" w:pos="1049"/>
        </w:tabs>
        <w:ind w:left="1049" w:hanging="284"/>
      </w:pPr>
      <w:rPr>
        <w:rFonts w:ascii="Symbol" w:hAnsi="Symbol"/>
      </w:rPr>
    </w:lvl>
    <w:lvl w:ilvl="2" w:tplc="51164672">
      <w:start w:val="1"/>
      <w:numFmt w:val="bullet"/>
      <w:lvlText w:val=""/>
      <w:lvlJc w:val="left"/>
      <w:pPr>
        <w:tabs>
          <w:tab w:val="num" w:pos="1332"/>
        </w:tabs>
        <w:ind w:left="1332" w:hanging="283"/>
      </w:pPr>
      <w:rPr>
        <w:rFonts w:ascii="Symbol" w:hAnsi="Symbol"/>
      </w:rPr>
    </w:lvl>
    <w:lvl w:ilvl="3" w:tplc="EF065D04">
      <w:start w:val="1"/>
      <w:numFmt w:val="bullet"/>
      <w:pStyle w:val="ListBullet1Level4"/>
      <w:lvlText w:val=""/>
      <w:lvlJc w:val="left"/>
      <w:pPr>
        <w:tabs>
          <w:tab w:val="num" w:pos="1616"/>
        </w:tabs>
        <w:ind w:left="1616" w:hanging="284"/>
      </w:pPr>
      <w:rPr>
        <w:rFonts w:ascii="Symbol" w:hAnsi="Symbol"/>
      </w:rPr>
    </w:lvl>
    <w:lvl w:ilvl="4" w:tplc="FC76CA02">
      <w:numFmt w:val="none"/>
      <w:lvlText w:val=""/>
      <w:lvlJc w:val="left"/>
    </w:lvl>
    <w:lvl w:ilvl="5" w:tplc="5E2A0E2E">
      <w:numFmt w:val="none"/>
      <w:lvlText w:val=""/>
      <w:lvlJc w:val="left"/>
    </w:lvl>
    <w:lvl w:ilvl="6" w:tplc="4CEEDED2">
      <w:numFmt w:val="none"/>
      <w:lvlText w:val=""/>
      <w:lvlJc w:val="left"/>
    </w:lvl>
    <w:lvl w:ilvl="7" w:tplc="DE1C84EC">
      <w:numFmt w:val="none"/>
      <w:lvlText w:val=""/>
      <w:lvlJc w:val="left"/>
    </w:lvl>
    <w:lvl w:ilvl="8" w:tplc="DC1CC95E">
      <w:numFmt w:val="none"/>
      <w:lvlText w:val=""/>
      <w:lvlJc w:val="left"/>
    </w:lvl>
  </w:abstractNum>
  <w:abstractNum w:abstractNumId="19" w15:restartNumberingAfterBreak="0">
    <w:nsid w:val="3A906F99"/>
    <w:multiLevelType w:val="hybridMultilevel"/>
    <w:tmpl w:val="1378324E"/>
    <w:lvl w:ilvl="0" w:tplc="AACC05D4">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429E662A"/>
    <w:multiLevelType w:val="hybridMultilevel"/>
    <w:tmpl w:val="558C3204"/>
    <w:name w:val="ListNumber1Numbering"/>
    <w:lvl w:ilvl="0" w:tplc="D1262CA0">
      <w:start w:val="1"/>
      <w:numFmt w:val="decimal"/>
      <w:pStyle w:val="ListNumber1"/>
      <w:lvlText w:val="(%1)"/>
      <w:lvlJc w:val="left"/>
      <w:pPr>
        <w:tabs>
          <w:tab w:val="num" w:pos="1191"/>
        </w:tabs>
        <w:ind w:left="1191" w:hanging="709"/>
      </w:pPr>
    </w:lvl>
    <w:lvl w:ilvl="1" w:tplc="6EFC2A00">
      <w:start w:val="1"/>
      <w:numFmt w:val="lowerLetter"/>
      <w:pStyle w:val="ListNumber1Level2"/>
      <w:lvlText w:val="(%2)"/>
      <w:lvlJc w:val="left"/>
      <w:pPr>
        <w:tabs>
          <w:tab w:val="num" w:pos="1899"/>
        </w:tabs>
        <w:ind w:left="1899" w:hanging="708"/>
      </w:pPr>
    </w:lvl>
    <w:lvl w:ilvl="2" w:tplc="BEB00A94">
      <w:start w:val="1"/>
      <w:numFmt w:val="bullet"/>
      <w:pStyle w:val="ListNumber1Level3"/>
      <w:lvlText w:val="–"/>
      <w:lvlJc w:val="left"/>
      <w:pPr>
        <w:tabs>
          <w:tab w:val="num" w:pos="2608"/>
        </w:tabs>
        <w:ind w:left="2608" w:hanging="709"/>
      </w:pPr>
      <w:rPr>
        <w:rFonts w:ascii="Times New Roman" w:hAnsi="Times New Roman"/>
      </w:rPr>
    </w:lvl>
    <w:lvl w:ilvl="3" w:tplc="400ECE2C">
      <w:start w:val="1"/>
      <w:numFmt w:val="bullet"/>
      <w:pStyle w:val="ListNumber1Level4"/>
      <w:lvlText w:val=""/>
      <w:lvlJc w:val="left"/>
      <w:pPr>
        <w:tabs>
          <w:tab w:val="num" w:pos="3317"/>
        </w:tabs>
        <w:ind w:left="3317" w:hanging="709"/>
      </w:pPr>
      <w:rPr>
        <w:rFonts w:ascii="Symbol" w:hAnsi="Symbol"/>
      </w:rPr>
    </w:lvl>
    <w:lvl w:ilvl="4" w:tplc="2904030E">
      <w:numFmt w:val="none"/>
      <w:lvlText w:val=""/>
      <w:lvlJc w:val="left"/>
    </w:lvl>
    <w:lvl w:ilvl="5" w:tplc="8F5AF356">
      <w:numFmt w:val="none"/>
      <w:lvlText w:val=""/>
      <w:lvlJc w:val="left"/>
    </w:lvl>
    <w:lvl w:ilvl="6" w:tplc="EE32B744">
      <w:numFmt w:val="none"/>
      <w:lvlText w:val=""/>
      <w:lvlJc w:val="left"/>
    </w:lvl>
    <w:lvl w:ilvl="7" w:tplc="4EAA249C">
      <w:numFmt w:val="none"/>
      <w:lvlText w:val=""/>
      <w:lvlJc w:val="left"/>
    </w:lvl>
    <w:lvl w:ilvl="8" w:tplc="C9A2F704">
      <w:numFmt w:val="none"/>
      <w:lvlText w:val=""/>
      <w:lvlJc w:val="left"/>
    </w:lvl>
  </w:abstractNum>
  <w:abstractNum w:abstractNumId="21" w15:restartNumberingAfterBreak="0">
    <w:nsid w:val="43931056"/>
    <w:multiLevelType w:val="hybridMultilevel"/>
    <w:tmpl w:val="0B340A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9D4809"/>
    <w:multiLevelType w:val="hybridMultilevel"/>
    <w:tmpl w:val="24AAD568"/>
    <w:lvl w:ilvl="0" w:tplc="2EC824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1A982C"/>
    <w:multiLevelType w:val="multilevel"/>
    <w:tmpl w:val="6464BBD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5EC822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3A776C7"/>
    <w:multiLevelType w:val="hybridMultilevel"/>
    <w:tmpl w:val="1870DCB6"/>
    <w:lvl w:ilvl="0" w:tplc="FFFFFFFF">
      <w:numFmt w:val="bullet"/>
      <w:lvlText w:val="-"/>
      <w:lvlJc w:val="left"/>
      <w:pPr>
        <w:ind w:left="1791" w:hanging="360"/>
      </w:pPr>
      <w:rPr>
        <w:rFonts w:ascii="Times New Roman" w:hAnsi="Times New Roman" w:hint="default"/>
      </w:rPr>
    </w:lvl>
    <w:lvl w:ilvl="1" w:tplc="08090003">
      <w:start w:val="1"/>
      <w:numFmt w:val="bullet"/>
      <w:lvlText w:val="o"/>
      <w:lvlJc w:val="left"/>
      <w:pPr>
        <w:ind w:left="2511" w:hanging="360"/>
      </w:pPr>
      <w:rPr>
        <w:rFonts w:ascii="Courier New" w:hAnsi="Courier New" w:cs="Courier New" w:hint="default"/>
      </w:rPr>
    </w:lvl>
    <w:lvl w:ilvl="2" w:tplc="08090005">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26" w15:restartNumberingAfterBreak="0">
    <w:nsid w:val="6977472E"/>
    <w:multiLevelType w:val="hybridMultilevel"/>
    <w:tmpl w:val="5B202CE6"/>
    <w:name w:val="ListNumber4Numbering"/>
    <w:lvl w:ilvl="0" w:tplc="D972A46E">
      <w:start w:val="1"/>
      <w:numFmt w:val="decimal"/>
      <w:pStyle w:val="ListNumber4"/>
      <w:lvlText w:val="(%1)"/>
      <w:lvlJc w:val="left"/>
      <w:pPr>
        <w:tabs>
          <w:tab w:val="num" w:pos="1911"/>
        </w:tabs>
        <w:ind w:left="1911" w:hanging="709"/>
      </w:pPr>
    </w:lvl>
    <w:lvl w:ilvl="1" w:tplc="B9242DAC">
      <w:start w:val="1"/>
      <w:numFmt w:val="lowerLetter"/>
      <w:pStyle w:val="ListNumber4Level2"/>
      <w:lvlText w:val="(%2)"/>
      <w:lvlJc w:val="left"/>
      <w:pPr>
        <w:tabs>
          <w:tab w:val="num" w:pos="2619"/>
        </w:tabs>
        <w:ind w:left="2619" w:hanging="708"/>
      </w:pPr>
    </w:lvl>
    <w:lvl w:ilvl="2" w:tplc="A9DE216A">
      <w:start w:val="1"/>
      <w:numFmt w:val="bullet"/>
      <w:pStyle w:val="ListNumber4Level3"/>
      <w:lvlText w:val="–"/>
      <w:lvlJc w:val="left"/>
      <w:pPr>
        <w:tabs>
          <w:tab w:val="num" w:pos="3328"/>
        </w:tabs>
        <w:ind w:left="3328" w:hanging="709"/>
      </w:pPr>
      <w:rPr>
        <w:rFonts w:ascii="Times New Roman" w:hAnsi="Times New Roman"/>
      </w:rPr>
    </w:lvl>
    <w:lvl w:ilvl="3" w:tplc="305234A6">
      <w:start w:val="1"/>
      <w:numFmt w:val="bullet"/>
      <w:pStyle w:val="ListNumber4Level4"/>
      <w:lvlText w:val=""/>
      <w:lvlJc w:val="left"/>
      <w:pPr>
        <w:tabs>
          <w:tab w:val="num" w:pos="4037"/>
        </w:tabs>
        <w:ind w:left="4037" w:hanging="709"/>
      </w:pPr>
      <w:rPr>
        <w:rFonts w:ascii="Symbol" w:hAnsi="Symbol"/>
      </w:rPr>
    </w:lvl>
    <w:lvl w:ilvl="4" w:tplc="3E887B24">
      <w:numFmt w:val="none"/>
      <w:lvlText w:val=""/>
      <w:lvlJc w:val="left"/>
    </w:lvl>
    <w:lvl w:ilvl="5" w:tplc="767857A0">
      <w:numFmt w:val="none"/>
      <w:lvlText w:val=""/>
      <w:lvlJc w:val="left"/>
    </w:lvl>
    <w:lvl w:ilvl="6" w:tplc="0AB28A3A">
      <w:numFmt w:val="none"/>
      <w:lvlText w:val=""/>
      <w:lvlJc w:val="left"/>
    </w:lvl>
    <w:lvl w:ilvl="7" w:tplc="43045D78">
      <w:numFmt w:val="none"/>
      <w:lvlText w:val=""/>
      <w:lvlJc w:val="left"/>
    </w:lvl>
    <w:lvl w:ilvl="8" w:tplc="4FB44690">
      <w:numFmt w:val="none"/>
      <w:lvlText w:val=""/>
      <w:lvlJc w:val="left"/>
    </w:lvl>
  </w:abstractNum>
  <w:abstractNum w:abstractNumId="27" w15:restartNumberingAfterBreak="0">
    <w:nsid w:val="72B024F7"/>
    <w:multiLevelType w:val="hybridMultilevel"/>
    <w:tmpl w:val="89CE2182"/>
    <w:lvl w:ilvl="0" w:tplc="B1664496">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C65145E"/>
    <w:multiLevelType w:val="multilevel"/>
    <w:tmpl w:val="67ACBBBA"/>
    <w:lvl w:ilvl="0">
      <w:start w:val="1"/>
      <w:numFmt w:val="decimal"/>
      <w:pStyle w:val="Heading1"/>
      <w:lvlText w:val="%1."/>
      <w:lvlJc w:val="left"/>
      <w:pPr>
        <w:tabs>
          <w:tab w:val="num" w:pos="4026"/>
        </w:tabs>
        <w:ind w:left="4026"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hybridMultilevel"/>
    <w:tmpl w:val="DCAA060D"/>
    <w:name w:val="AnnexNumbering"/>
    <w:lvl w:ilvl="0" w:tplc="6830576E">
      <w:start w:val="1"/>
      <w:numFmt w:val="upperLetter"/>
      <w:pStyle w:val="AnnexTitle"/>
      <w:lvlText w:val="Annex %1"/>
      <w:lvlJc w:val="left"/>
      <w:pPr>
        <w:tabs>
          <w:tab w:val="num" w:pos="2268"/>
        </w:tabs>
        <w:ind w:left="2268" w:hanging="2268"/>
      </w:pPr>
      <w:rPr>
        <w:rFonts w:hint="default"/>
      </w:rPr>
    </w:lvl>
    <w:lvl w:ilvl="1" w:tplc="96CA34BA">
      <w:numFmt w:val="decimal"/>
      <w:lvlText w:val=""/>
      <w:lvlJc w:val="left"/>
    </w:lvl>
    <w:lvl w:ilvl="2" w:tplc="1B3AC090">
      <w:numFmt w:val="decimal"/>
      <w:lvlText w:val=""/>
      <w:lvlJc w:val="left"/>
    </w:lvl>
    <w:lvl w:ilvl="3" w:tplc="F24CCCC0">
      <w:numFmt w:val="decimal"/>
      <w:lvlText w:val=""/>
      <w:lvlJc w:val="left"/>
    </w:lvl>
    <w:lvl w:ilvl="4" w:tplc="7A6E55CA">
      <w:numFmt w:val="decimal"/>
      <w:lvlText w:val=""/>
      <w:lvlJc w:val="left"/>
    </w:lvl>
    <w:lvl w:ilvl="5" w:tplc="8F88D392">
      <w:numFmt w:val="decimal"/>
      <w:lvlText w:val=""/>
      <w:lvlJc w:val="left"/>
    </w:lvl>
    <w:lvl w:ilvl="6" w:tplc="36441A16">
      <w:numFmt w:val="decimal"/>
      <w:lvlText w:val=""/>
      <w:lvlJc w:val="left"/>
    </w:lvl>
    <w:lvl w:ilvl="7" w:tplc="05C0DE72">
      <w:numFmt w:val="decimal"/>
      <w:lvlText w:val=""/>
      <w:lvlJc w:val="left"/>
    </w:lvl>
    <w:lvl w:ilvl="8" w:tplc="4EEC3258">
      <w:numFmt w:val="decimal"/>
      <w:lvlText w:val=""/>
      <w:lvlJc w:val="left"/>
    </w:lvl>
  </w:abstractNum>
  <w:num w:numId="1">
    <w:abstractNumId w:val="3"/>
  </w:num>
  <w:num w:numId="2">
    <w:abstractNumId w:val="16"/>
  </w:num>
  <w:num w:numId="3">
    <w:abstractNumId w:val="10"/>
  </w:num>
  <w:num w:numId="4">
    <w:abstractNumId w:val="17"/>
  </w:num>
  <w:num w:numId="5">
    <w:abstractNumId w:val="24"/>
  </w:num>
  <w:num w:numId="6">
    <w:abstractNumId w:val="26"/>
  </w:num>
  <w:num w:numId="7">
    <w:abstractNumId w:val="4"/>
  </w:num>
  <w:num w:numId="8">
    <w:abstractNumId w:val="8"/>
  </w:num>
  <w:num w:numId="9">
    <w:abstractNumId w:val="20"/>
  </w:num>
  <w:num w:numId="10">
    <w:abstractNumId w:val="5"/>
  </w:num>
  <w:num w:numId="11">
    <w:abstractNumId w:val="6"/>
  </w:num>
  <w:num w:numId="12">
    <w:abstractNumId w:val="7"/>
  </w:num>
  <w:num w:numId="13">
    <w:abstractNumId w:val="11"/>
  </w:num>
  <w:num w:numId="14">
    <w:abstractNumId w:val="18"/>
  </w:num>
  <w:num w:numId="15">
    <w:abstractNumId w:val="23"/>
  </w:num>
  <w:num w:numId="16">
    <w:abstractNumId w:val="28"/>
  </w:num>
  <w:num w:numId="17">
    <w:abstractNumId w:val="12"/>
  </w:num>
  <w:num w:numId="18">
    <w:abstractNumId w:val="29"/>
  </w:num>
  <w:num w:numId="19">
    <w:abstractNumId w:val="13"/>
  </w:num>
  <w:num w:numId="20">
    <w:abstractNumId w:val="1"/>
  </w:num>
  <w:num w:numId="21">
    <w:abstractNumId w:val="2"/>
  </w:num>
  <w:num w:numId="22">
    <w:abstractNumId w:val="14"/>
  </w:num>
  <w:num w:numId="23">
    <w:abstractNumId w:val="25"/>
  </w:num>
  <w:num w:numId="24">
    <w:abstractNumId w:val="1"/>
  </w:num>
  <w:num w:numId="25">
    <w:abstractNumId w:val="21"/>
  </w:num>
  <w:num w:numId="26">
    <w:abstractNumId w:val="1"/>
  </w:num>
  <w:num w:numId="27">
    <w:abstractNumId w:val="15"/>
  </w:num>
  <w:num w:numId="28">
    <w:abstractNumId w:val="25"/>
  </w:num>
  <w:num w:numId="29">
    <w:abstractNumId w:val="2"/>
  </w:num>
  <w:num w:numId="30">
    <w:abstractNumId w:val="27"/>
  </w:num>
  <w:num w:numId="31">
    <w:abstractNumId w:val="9"/>
  </w:num>
  <w:num w:numId="32">
    <w:abstractNumId w:val="19"/>
  </w:num>
  <w:num w:numId="33">
    <w:abstractNumId w:val="0"/>
  </w:num>
  <w:num w:numId="3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bordersDoNotSurroundHeader/>
  <w:bordersDoNotSurroundFooter/>
  <w:hideSpellingErrors/>
  <w:hideGrammaticalErrors/>
  <w:activeWritingStyle w:appName="MSWord" w:lang="fr-BE" w:vendorID="64" w:dllVersion="0"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e-DE" w:vendorID="64" w:dllVersion="6"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it-IT" w:vendorID="64" w:dllVersion="6" w:nlCheck="1" w:checkStyle="0"/>
  <w:activeWritingStyle w:appName="MSWord" w:lang="es-ES" w:vendorID="64" w:dllVersion="0" w:nlCheck="1" w:checkStyle="0"/>
  <w:activeWritingStyle w:appName="MSWord" w:lang="es-ES" w:vendorID="64" w:dllVersion="6" w:nlCheck="1" w:checkStyle="0"/>
  <w:activeWritingStyle w:appName="MSWord" w:lang="fr-FR"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DB53027-F33C-4D32-AF6A-E8AF8B169E11"/>
    <w:docVar w:name="LW_COVERPAGE_TYPE" w:val="1"/>
    <w:docVar w:name="LW_CROSSREFERENCE" w:val="&lt;UNUSED&gt;"/>
    <w:docVar w:name="LW_DocType" w:val="EUROLOOK"/>
    <w:docVar w:name="LW_EMISSION" w:val="21.2.2023"/>
    <w:docVar w:name="LW_EMISSION_ISODATE" w:val="2023-02-2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action de l'UE: Protéger et restaurer les écosystèmes marins pour une pêche durable et résiliente &lt;/FMT&gt;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6313CD"/>
    <w:rsid w:val="00001D31"/>
    <w:rsid w:val="00002D27"/>
    <w:rsid w:val="00003279"/>
    <w:rsid w:val="00003911"/>
    <w:rsid w:val="0000393A"/>
    <w:rsid w:val="000048A4"/>
    <w:rsid w:val="00004E1B"/>
    <w:rsid w:val="000055CB"/>
    <w:rsid w:val="00005876"/>
    <w:rsid w:val="00005A7A"/>
    <w:rsid w:val="00005DE7"/>
    <w:rsid w:val="00006A54"/>
    <w:rsid w:val="00006EF2"/>
    <w:rsid w:val="00007F2D"/>
    <w:rsid w:val="00007FF6"/>
    <w:rsid w:val="000102F2"/>
    <w:rsid w:val="00010737"/>
    <w:rsid w:val="00010E29"/>
    <w:rsid w:val="00011CC3"/>
    <w:rsid w:val="00011D65"/>
    <w:rsid w:val="00012F01"/>
    <w:rsid w:val="00013021"/>
    <w:rsid w:val="00013B55"/>
    <w:rsid w:val="00014246"/>
    <w:rsid w:val="000146E3"/>
    <w:rsid w:val="00014AAA"/>
    <w:rsid w:val="000151CA"/>
    <w:rsid w:val="00015863"/>
    <w:rsid w:val="00015ACB"/>
    <w:rsid w:val="00016457"/>
    <w:rsid w:val="000166F9"/>
    <w:rsid w:val="000169FB"/>
    <w:rsid w:val="000172CD"/>
    <w:rsid w:val="00017D75"/>
    <w:rsid w:val="00017DBD"/>
    <w:rsid w:val="0002152B"/>
    <w:rsid w:val="0002291B"/>
    <w:rsid w:val="00022F44"/>
    <w:rsid w:val="00024007"/>
    <w:rsid w:val="000249CF"/>
    <w:rsid w:val="00024B90"/>
    <w:rsid w:val="00024C15"/>
    <w:rsid w:val="00024E19"/>
    <w:rsid w:val="000253BB"/>
    <w:rsid w:val="000254A2"/>
    <w:rsid w:val="000266E1"/>
    <w:rsid w:val="0002680C"/>
    <w:rsid w:val="0002763E"/>
    <w:rsid w:val="00027E7E"/>
    <w:rsid w:val="00027EF3"/>
    <w:rsid w:val="00030043"/>
    <w:rsid w:val="0003046A"/>
    <w:rsid w:val="00030564"/>
    <w:rsid w:val="000305D8"/>
    <w:rsid w:val="00030862"/>
    <w:rsid w:val="00030ADB"/>
    <w:rsid w:val="00030DD7"/>
    <w:rsid w:val="00031473"/>
    <w:rsid w:val="0003147D"/>
    <w:rsid w:val="0003204F"/>
    <w:rsid w:val="00032418"/>
    <w:rsid w:val="00032551"/>
    <w:rsid w:val="000327D5"/>
    <w:rsid w:val="00033AEB"/>
    <w:rsid w:val="00033F22"/>
    <w:rsid w:val="00033F57"/>
    <w:rsid w:val="0003463B"/>
    <w:rsid w:val="000348D9"/>
    <w:rsid w:val="00034D2D"/>
    <w:rsid w:val="0003508D"/>
    <w:rsid w:val="00035254"/>
    <w:rsid w:val="000354A9"/>
    <w:rsid w:val="00035A41"/>
    <w:rsid w:val="00035B4A"/>
    <w:rsid w:val="00036318"/>
    <w:rsid w:val="000364BC"/>
    <w:rsid w:val="00036B52"/>
    <w:rsid w:val="00036E20"/>
    <w:rsid w:val="00037017"/>
    <w:rsid w:val="000376AB"/>
    <w:rsid w:val="0003771F"/>
    <w:rsid w:val="00037D68"/>
    <w:rsid w:val="00037E15"/>
    <w:rsid w:val="00040AFB"/>
    <w:rsid w:val="00041634"/>
    <w:rsid w:val="000419E5"/>
    <w:rsid w:val="00041C5B"/>
    <w:rsid w:val="00041D83"/>
    <w:rsid w:val="000423AE"/>
    <w:rsid w:val="00042882"/>
    <w:rsid w:val="00042AFC"/>
    <w:rsid w:val="00042C41"/>
    <w:rsid w:val="00043336"/>
    <w:rsid w:val="00043345"/>
    <w:rsid w:val="000433AE"/>
    <w:rsid w:val="00043E6E"/>
    <w:rsid w:val="00043F7D"/>
    <w:rsid w:val="00043FA2"/>
    <w:rsid w:val="00044B73"/>
    <w:rsid w:val="00044F7A"/>
    <w:rsid w:val="000450C4"/>
    <w:rsid w:val="00045DAE"/>
    <w:rsid w:val="00045F83"/>
    <w:rsid w:val="000462C8"/>
    <w:rsid w:val="00046801"/>
    <w:rsid w:val="00046A7D"/>
    <w:rsid w:val="00046C7F"/>
    <w:rsid w:val="00047173"/>
    <w:rsid w:val="00047BB7"/>
    <w:rsid w:val="0005000B"/>
    <w:rsid w:val="00050215"/>
    <w:rsid w:val="000504C7"/>
    <w:rsid w:val="00050783"/>
    <w:rsid w:val="00050A88"/>
    <w:rsid w:val="00050DCE"/>
    <w:rsid w:val="000513A0"/>
    <w:rsid w:val="00051B7E"/>
    <w:rsid w:val="0005260F"/>
    <w:rsid w:val="00052628"/>
    <w:rsid w:val="000527F7"/>
    <w:rsid w:val="00052812"/>
    <w:rsid w:val="000529EA"/>
    <w:rsid w:val="00052EB8"/>
    <w:rsid w:val="00052F94"/>
    <w:rsid w:val="00053AF1"/>
    <w:rsid w:val="000545A6"/>
    <w:rsid w:val="00054A42"/>
    <w:rsid w:val="00054A7D"/>
    <w:rsid w:val="00054CFB"/>
    <w:rsid w:val="00054F41"/>
    <w:rsid w:val="0005504B"/>
    <w:rsid w:val="000552AF"/>
    <w:rsid w:val="0005544C"/>
    <w:rsid w:val="00055861"/>
    <w:rsid w:val="00055DE4"/>
    <w:rsid w:val="00055F55"/>
    <w:rsid w:val="0005629E"/>
    <w:rsid w:val="000570DC"/>
    <w:rsid w:val="00057109"/>
    <w:rsid w:val="000574F6"/>
    <w:rsid w:val="00057626"/>
    <w:rsid w:val="000578E9"/>
    <w:rsid w:val="00057A0E"/>
    <w:rsid w:val="0005D194"/>
    <w:rsid w:val="00060099"/>
    <w:rsid w:val="000605B4"/>
    <w:rsid w:val="00060740"/>
    <w:rsid w:val="000608D3"/>
    <w:rsid w:val="00060FF6"/>
    <w:rsid w:val="000615CF"/>
    <w:rsid w:val="00061C0F"/>
    <w:rsid w:val="00062330"/>
    <w:rsid w:val="00062711"/>
    <w:rsid w:val="000628E4"/>
    <w:rsid w:val="000629B8"/>
    <w:rsid w:val="000630DB"/>
    <w:rsid w:val="00063918"/>
    <w:rsid w:val="00063AE9"/>
    <w:rsid w:val="00063E8F"/>
    <w:rsid w:val="00064A22"/>
    <w:rsid w:val="00064C21"/>
    <w:rsid w:val="00064EF3"/>
    <w:rsid w:val="00065123"/>
    <w:rsid w:val="0006597A"/>
    <w:rsid w:val="00065EC6"/>
    <w:rsid w:val="00065EF9"/>
    <w:rsid w:val="00065F3E"/>
    <w:rsid w:val="00066184"/>
    <w:rsid w:val="0006684D"/>
    <w:rsid w:val="0006697F"/>
    <w:rsid w:val="00066C2F"/>
    <w:rsid w:val="000672B3"/>
    <w:rsid w:val="0006766A"/>
    <w:rsid w:val="00067B1C"/>
    <w:rsid w:val="00067E6E"/>
    <w:rsid w:val="0006A9BF"/>
    <w:rsid w:val="000703A2"/>
    <w:rsid w:val="00070789"/>
    <w:rsid w:val="00070FFC"/>
    <w:rsid w:val="00071FD6"/>
    <w:rsid w:val="00072089"/>
    <w:rsid w:val="0007285D"/>
    <w:rsid w:val="000729BC"/>
    <w:rsid w:val="00072DB7"/>
    <w:rsid w:val="00073458"/>
    <w:rsid w:val="000739EF"/>
    <w:rsid w:val="000741B0"/>
    <w:rsid w:val="000745D0"/>
    <w:rsid w:val="00074672"/>
    <w:rsid w:val="00074BA9"/>
    <w:rsid w:val="0007502D"/>
    <w:rsid w:val="000750EA"/>
    <w:rsid w:val="000756AB"/>
    <w:rsid w:val="0007678C"/>
    <w:rsid w:val="000769BE"/>
    <w:rsid w:val="00076C89"/>
    <w:rsid w:val="00077204"/>
    <w:rsid w:val="00077597"/>
    <w:rsid w:val="00077A78"/>
    <w:rsid w:val="00077B0A"/>
    <w:rsid w:val="00077C55"/>
    <w:rsid w:val="00077F42"/>
    <w:rsid w:val="00077F69"/>
    <w:rsid w:val="000808FB"/>
    <w:rsid w:val="000809BC"/>
    <w:rsid w:val="00080ED3"/>
    <w:rsid w:val="000811A5"/>
    <w:rsid w:val="000812F9"/>
    <w:rsid w:val="00081410"/>
    <w:rsid w:val="00081860"/>
    <w:rsid w:val="0008262C"/>
    <w:rsid w:val="00082A02"/>
    <w:rsid w:val="00082C79"/>
    <w:rsid w:val="00083068"/>
    <w:rsid w:val="00084EA6"/>
    <w:rsid w:val="00085078"/>
    <w:rsid w:val="00085646"/>
    <w:rsid w:val="00086125"/>
    <w:rsid w:val="000861EE"/>
    <w:rsid w:val="000862E5"/>
    <w:rsid w:val="00086352"/>
    <w:rsid w:val="00086581"/>
    <w:rsid w:val="00086ADF"/>
    <w:rsid w:val="00086FB4"/>
    <w:rsid w:val="00087210"/>
    <w:rsid w:val="00087456"/>
    <w:rsid w:val="00087F34"/>
    <w:rsid w:val="0009086D"/>
    <w:rsid w:val="00091047"/>
    <w:rsid w:val="0009106F"/>
    <w:rsid w:val="000916A4"/>
    <w:rsid w:val="00091D1B"/>
    <w:rsid w:val="00091E1B"/>
    <w:rsid w:val="00092284"/>
    <w:rsid w:val="0009234A"/>
    <w:rsid w:val="0009261F"/>
    <w:rsid w:val="00092625"/>
    <w:rsid w:val="0009265E"/>
    <w:rsid w:val="00092D15"/>
    <w:rsid w:val="000930EE"/>
    <w:rsid w:val="00093984"/>
    <w:rsid w:val="00094320"/>
    <w:rsid w:val="00094B54"/>
    <w:rsid w:val="00094F4C"/>
    <w:rsid w:val="00094F82"/>
    <w:rsid w:val="00094F90"/>
    <w:rsid w:val="00095326"/>
    <w:rsid w:val="000956D9"/>
    <w:rsid w:val="00096184"/>
    <w:rsid w:val="000966B7"/>
    <w:rsid w:val="00097B89"/>
    <w:rsid w:val="00097F1B"/>
    <w:rsid w:val="00097F62"/>
    <w:rsid w:val="00097F88"/>
    <w:rsid w:val="000A00FF"/>
    <w:rsid w:val="000A0933"/>
    <w:rsid w:val="000A0A24"/>
    <w:rsid w:val="000A0BBD"/>
    <w:rsid w:val="000A0CBE"/>
    <w:rsid w:val="000A0DED"/>
    <w:rsid w:val="000A0EFD"/>
    <w:rsid w:val="000A1474"/>
    <w:rsid w:val="000A1637"/>
    <w:rsid w:val="000A1729"/>
    <w:rsid w:val="000A1E86"/>
    <w:rsid w:val="000A2020"/>
    <w:rsid w:val="000A24F8"/>
    <w:rsid w:val="000A3645"/>
    <w:rsid w:val="000A36EB"/>
    <w:rsid w:val="000A3B51"/>
    <w:rsid w:val="000A3BB7"/>
    <w:rsid w:val="000A4504"/>
    <w:rsid w:val="000A457F"/>
    <w:rsid w:val="000A45AB"/>
    <w:rsid w:val="000A5062"/>
    <w:rsid w:val="000A5214"/>
    <w:rsid w:val="000A557D"/>
    <w:rsid w:val="000A570A"/>
    <w:rsid w:val="000A5804"/>
    <w:rsid w:val="000A6098"/>
    <w:rsid w:val="000A61C7"/>
    <w:rsid w:val="000A69D1"/>
    <w:rsid w:val="000A6E97"/>
    <w:rsid w:val="000A6F3C"/>
    <w:rsid w:val="000A6F97"/>
    <w:rsid w:val="000A777F"/>
    <w:rsid w:val="000A7EC6"/>
    <w:rsid w:val="000B012F"/>
    <w:rsid w:val="000B0474"/>
    <w:rsid w:val="000B04E0"/>
    <w:rsid w:val="000B0CBB"/>
    <w:rsid w:val="000B1E45"/>
    <w:rsid w:val="000B203E"/>
    <w:rsid w:val="000B287B"/>
    <w:rsid w:val="000B2949"/>
    <w:rsid w:val="000B2D0D"/>
    <w:rsid w:val="000B2DDA"/>
    <w:rsid w:val="000B3AD6"/>
    <w:rsid w:val="000B4DF4"/>
    <w:rsid w:val="000B4FE8"/>
    <w:rsid w:val="000B529C"/>
    <w:rsid w:val="000B52B5"/>
    <w:rsid w:val="000B532C"/>
    <w:rsid w:val="000B5918"/>
    <w:rsid w:val="000B5AF0"/>
    <w:rsid w:val="000B5D1F"/>
    <w:rsid w:val="000B6046"/>
    <w:rsid w:val="000B6272"/>
    <w:rsid w:val="000B67F5"/>
    <w:rsid w:val="000B6B89"/>
    <w:rsid w:val="000B7274"/>
    <w:rsid w:val="000B75FB"/>
    <w:rsid w:val="000C0008"/>
    <w:rsid w:val="000C020C"/>
    <w:rsid w:val="000C079B"/>
    <w:rsid w:val="000C1500"/>
    <w:rsid w:val="000C15C2"/>
    <w:rsid w:val="000C171E"/>
    <w:rsid w:val="000C194B"/>
    <w:rsid w:val="000C2175"/>
    <w:rsid w:val="000C2712"/>
    <w:rsid w:val="000C299C"/>
    <w:rsid w:val="000C34B7"/>
    <w:rsid w:val="000C39A3"/>
    <w:rsid w:val="000C3DC1"/>
    <w:rsid w:val="000C3E14"/>
    <w:rsid w:val="000C4099"/>
    <w:rsid w:val="000C41FE"/>
    <w:rsid w:val="000C4525"/>
    <w:rsid w:val="000C45AF"/>
    <w:rsid w:val="000C4982"/>
    <w:rsid w:val="000C501E"/>
    <w:rsid w:val="000C52C2"/>
    <w:rsid w:val="000C5543"/>
    <w:rsid w:val="000C575B"/>
    <w:rsid w:val="000C583B"/>
    <w:rsid w:val="000C5ECC"/>
    <w:rsid w:val="000C6289"/>
    <w:rsid w:val="000C62F8"/>
    <w:rsid w:val="000C655C"/>
    <w:rsid w:val="000C6FAB"/>
    <w:rsid w:val="000C7340"/>
    <w:rsid w:val="000C74CE"/>
    <w:rsid w:val="000D023B"/>
    <w:rsid w:val="000D0577"/>
    <w:rsid w:val="000D060A"/>
    <w:rsid w:val="000D0ACA"/>
    <w:rsid w:val="000D176D"/>
    <w:rsid w:val="000D18E9"/>
    <w:rsid w:val="000D1EB4"/>
    <w:rsid w:val="000D2D9F"/>
    <w:rsid w:val="000D31F6"/>
    <w:rsid w:val="000D3344"/>
    <w:rsid w:val="000D340E"/>
    <w:rsid w:val="000D4000"/>
    <w:rsid w:val="000D4199"/>
    <w:rsid w:val="000D4357"/>
    <w:rsid w:val="000D4CA5"/>
    <w:rsid w:val="000D5AE9"/>
    <w:rsid w:val="000D600B"/>
    <w:rsid w:val="000D605B"/>
    <w:rsid w:val="000D60E3"/>
    <w:rsid w:val="000D6258"/>
    <w:rsid w:val="000D6766"/>
    <w:rsid w:val="000D68CE"/>
    <w:rsid w:val="000D6CF0"/>
    <w:rsid w:val="000D6F48"/>
    <w:rsid w:val="000D7937"/>
    <w:rsid w:val="000D7A88"/>
    <w:rsid w:val="000D7A9F"/>
    <w:rsid w:val="000D7E80"/>
    <w:rsid w:val="000D7F2B"/>
    <w:rsid w:val="000E04BB"/>
    <w:rsid w:val="000E083A"/>
    <w:rsid w:val="000E0989"/>
    <w:rsid w:val="000E0C4A"/>
    <w:rsid w:val="000E0C98"/>
    <w:rsid w:val="000E117F"/>
    <w:rsid w:val="000E1269"/>
    <w:rsid w:val="000E13BC"/>
    <w:rsid w:val="000E1517"/>
    <w:rsid w:val="000E1DD8"/>
    <w:rsid w:val="000E2CF6"/>
    <w:rsid w:val="000E3739"/>
    <w:rsid w:val="000E397F"/>
    <w:rsid w:val="000E3DEC"/>
    <w:rsid w:val="000E4338"/>
    <w:rsid w:val="000E487B"/>
    <w:rsid w:val="000E51EC"/>
    <w:rsid w:val="000E5C58"/>
    <w:rsid w:val="000E64B7"/>
    <w:rsid w:val="000E68E0"/>
    <w:rsid w:val="000E70A3"/>
    <w:rsid w:val="000E7391"/>
    <w:rsid w:val="000E7687"/>
    <w:rsid w:val="000F03A7"/>
    <w:rsid w:val="000F04A1"/>
    <w:rsid w:val="000F09C8"/>
    <w:rsid w:val="000F0EF3"/>
    <w:rsid w:val="000F0F51"/>
    <w:rsid w:val="000F1203"/>
    <w:rsid w:val="000F1463"/>
    <w:rsid w:val="000F165F"/>
    <w:rsid w:val="000F1A6C"/>
    <w:rsid w:val="000F1D12"/>
    <w:rsid w:val="000F1D43"/>
    <w:rsid w:val="000F2E99"/>
    <w:rsid w:val="000F2F10"/>
    <w:rsid w:val="000F3C5D"/>
    <w:rsid w:val="000F4132"/>
    <w:rsid w:val="000F4309"/>
    <w:rsid w:val="000F4638"/>
    <w:rsid w:val="000F49F3"/>
    <w:rsid w:val="000F4BF2"/>
    <w:rsid w:val="000F4E6B"/>
    <w:rsid w:val="000F5898"/>
    <w:rsid w:val="000F5A03"/>
    <w:rsid w:val="000F5DA4"/>
    <w:rsid w:val="000F63C6"/>
    <w:rsid w:val="000F74B2"/>
    <w:rsid w:val="000F7E35"/>
    <w:rsid w:val="000F7E90"/>
    <w:rsid w:val="001000C8"/>
    <w:rsid w:val="00100206"/>
    <w:rsid w:val="00100276"/>
    <w:rsid w:val="00100CA1"/>
    <w:rsid w:val="00101643"/>
    <w:rsid w:val="0010172F"/>
    <w:rsid w:val="00102554"/>
    <w:rsid w:val="00102F20"/>
    <w:rsid w:val="00103630"/>
    <w:rsid w:val="00103C83"/>
    <w:rsid w:val="001040C4"/>
    <w:rsid w:val="00104B94"/>
    <w:rsid w:val="00104C48"/>
    <w:rsid w:val="00104E48"/>
    <w:rsid w:val="00104FAC"/>
    <w:rsid w:val="001050D7"/>
    <w:rsid w:val="00105750"/>
    <w:rsid w:val="00105DE3"/>
    <w:rsid w:val="00106BA1"/>
    <w:rsid w:val="0010713D"/>
    <w:rsid w:val="001072D5"/>
    <w:rsid w:val="001073EF"/>
    <w:rsid w:val="00107C4A"/>
    <w:rsid w:val="00110525"/>
    <w:rsid w:val="0011074E"/>
    <w:rsid w:val="001107BB"/>
    <w:rsid w:val="00110CDA"/>
    <w:rsid w:val="001111D6"/>
    <w:rsid w:val="00111421"/>
    <w:rsid w:val="001119D5"/>
    <w:rsid w:val="00111A2D"/>
    <w:rsid w:val="00111F1F"/>
    <w:rsid w:val="001122B0"/>
    <w:rsid w:val="0011259D"/>
    <w:rsid w:val="00112687"/>
    <w:rsid w:val="001126C8"/>
    <w:rsid w:val="00112F8F"/>
    <w:rsid w:val="00113CE7"/>
    <w:rsid w:val="00114585"/>
    <w:rsid w:val="00114AF5"/>
    <w:rsid w:val="00114B04"/>
    <w:rsid w:val="00114C0F"/>
    <w:rsid w:val="00114D6D"/>
    <w:rsid w:val="00114F48"/>
    <w:rsid w:val="00115346"/>
    <w:rsid w:val="00115478"/>
    <w:rsid w:val="001155FB"/>
    <w:rsid w:val="00116241"/>
    <w:rsid w:val="00116802"/>
    <w:rsid w:val="00116FC3"/>
    <w:rsid w:val="00117633"/>
    <w:rsid w:val="00117C1F"/>
    <w:rsid w:val="00120234"/>
    <w:rsid w:val="001206DA"/>
    <w:rsid w:val="001207D3"/>
    <w:rsid w:val="00120C2A"/>
    <w:rsid w:val="0012167A"/>
    <w:rsid w:val="00121D14"/>
    <w:rsid w:val="00121FCD"/>
    <w:rsid w:val="00121FDE"/>
    <w:rsid w:val="00122026"/>
    <w:rsid w:val="00123874"/>
    <w:rsid w:val="00123D6D"/>
    <w:rsid w:val="00124063"/>
    <w:rsid w:val="001242CB"/>
    <w:rsid w:val="001245F9"/>
    <w:rsid w:val="0012481F"/>
    <w:rsid w:val="00124ECD"/>
    <w:rsid w:val="00125101"/>
    <w:rsid w:val="00125344"/>
    <w:rsid w:val="00125AEE"/>
    <w:rsid w:val="00125CCE"/>
    <w:rsid w:val="0012612E"/>
    <w:rsid w:val="00126332"/>
    <w:rsid w:val="00126682"/>
    <w:rsid w:val="001269FB"/>
    <w:rsid w:val="0012731C"/>
    <w:rsid w:val="0012776B"/>
    <w:rsid w:val="0012780D"/>
    <w:rsid w:val="00127BDF"/>
    <w:rsid w:val="00127D13"/>
    <w:rsid w:val="00127EBB"/>
    <w:rsid w:val="001303AC"/>
    <w:rsid w:val="001304E8"/>
    <w:rsid w:val="0013051E"/>
    <w:rsid w:val="00130864"/>
    <w:rsid w:val="001309EE"/>
    <w:rsid w:val="00130EF9"/>
    <w:rsid w:val="00131197"/>
    <w:rsid w:val="001316FD"/>
    <w:rsid w:val="001320E5"/>
    <w:rsid w:val="001320F6"/>
    <w:rsid w:val="0013256E"/>
    <w:rsid w:val="0013272C"/>
    <w:rsid w:val="001327AB"/>
    <w:rsid w:val="00132889"/>
    <w:rsid w:val="0013299E"/>
    <w:rsid w:val="001338B6"/>
    <w:rsid w:val="00134282"/>
    <w:rsid w:val="00135C3D"/>
    <w:rsid w:val="00136092"/>
    <w:rsid w:val="00136253"/>
    <w:rsid w:val="001367E7"/>
    <w:rsid w:val="00137040"/>
    <w:rsid w:val="001372FD"/>
    <w:rsid w:val="001374AC"/>
    <w:rsid w:val="001374E8"/>
    <w:rsid w:val="0013764B"/>
    <w:rsid w:val="00137AA5"/>
    <w:rsid w:val="00140868"/>
    <w:rsid w:val="001409EB"/>
    <w:rsid w:val="00140C89"/>
    <w:rsid w:val="0014122F"/>
    <w:rsid w:val="00142AF0"/>
    <w:rsid w:val="00142BC7"/>
    <w:rsid w:val="00142D68"/>
    <w:rsid w:val="00143017"/>
    <w:rsid w:val="00143E89"/>
    <w:rsid w:val="00143FD8"/>
    <w:rsid w:val="001450C9"/>
    <w:rsid w:val="00145168"/>
    <w:rsid w:val="0014524D"/>
    <w:rsid w:val="00145A42"/>
    <w:rsid w:val="00146EF0"/>
    <w:rsid w:val="00146F83"/>
    <w:rsid w:val="00147683"/>
    <w:rsid w:val="00147694"/>
    <w:rsid w:val="001503CD"/>
    <w:rsid w:val="0015058E"/>
    <w:rsid w:val="0015066C"/>
    <w:rsid w:val="001508EC"/>
    <w:rsid w:val="00151054"/>
    <w:rsid w:val="00151923"/>
    <w:rsid w:val="001521E0"/>
    <w:rsid w:val="00152A2D"/>
    <w:rsid w:val="00152D96"/>
    <w:rsid w:val="00152E67"/>
    <w:rsid w:val="00152F64"/>
    <w:rsid w:val="0015336C"/>
    <w:rsid w:val="00154532"/>
    <w:rsid w:val="001559F9"/>
    <w:rsid w:val="0015610D"/>
    <w:rsid w:val="001564F1"/>
    <w:rsid w:val="00156727"/>
    <w:rsid w:val="0015683F"/>
    <w:rsid w:val="00157A2C"/>
    <w:rsid w:val="00160392"/>
    <w:rsid w:val="0016059F"/>
    <w:rsid w:val="001609D2"/>
    <w:rsid w:val="001609DA"/>
    <w:rsid w:val="00161036"/>
    <w:rsid w:val="001610D1"/>
    <w:rsid w:val="00161BFD"/>
    <w:rsid w:val="00161ED9"/>
    <w:rsid w:val="001623BB"/>
    <w:rsid w:val="00162780"/>
    <w:rsid w:val="00162998"/>
    <w:rsid w:val="00162A77"/>
    <w:rsid w:val="00163417"/>
    <w:rsid w:val="00163691"/>
    <w:rsid w:val="001636BD"/>
    <w:rsid w:val="0016393C"/>
    <w:rsid w:val="00163B01"/>
    <w:rsid w:val="001647B8"/>
    <w:rsid w:val="00164AA0"/>
    <w:rsid w:val="00164D2B"/>
    <w:rsid w:val="00164DCB"/>
    <w:rsid w:val="001650A6"/>
    <w:rsid w:val="00165318"/>
    <w:rsid w:val="00165760"/>
    <w:rsid w:val="00165F8D"/>
    <w:rsid w:val="00165FD7"/>
    <w:rsid w:val="00166397"/>
    <w:rsid w:val="00166512"/>
    <w:rsid w:val="00167161"/>
    <w:rsid w:val="001703FE"/>
    <w:rsid w:val="00171136"/>
    <w:rsid w:val="001713B8"/>
    <w:rsid w:val="00171CA8"/>
    <w:rsid w:val="00171DAC"/>
    <w:rsid w:val="001723A3"/>
    <w:rsid w:val="001724D6"/>
    <w:rsid w:val="0017335A"/>
    <w:rsid w:val="001740C8"/>
    <w:rsid w:val="001740F1"/>
    <w:rsid w:val="00174A58"/>
    <w:rsid w:val="00174FBC"/>
    <w:rsid w:val="001755A8"/>
    <w:rsid w:val="001756EE"/>
    <w:rsid w:val="00175A78"/>
    <w:rsid w:val="00175B5C"/>
    <w:rsid w:val="00175DA1"/>
    <w:rsid w:val="00176363"/>
    <w:rsid w:val="001765C9"/>
    <w:rsid w:val="001766BB"/>
    <w:rsid w:val="001766E1"/>
    <w:rsid w:val="001767F2"/>
    <w:rsid w:val="0017690C"/>
    <w:rsid w:val="00176B1F"/>
    <w:rsid w:val="00176DB2"/>
    <w:rsid w:val="00177244"/>
    <w:rsid w:val="00180063"/>
    <w:rsid w:val="0018009C"/>
    <w:rsid w:val="00180210"/>
    <w:rsid w:val="001808C6"/>
    <w:rsid w:val="00180F67"/>
    <w:rsid w:val="00181223"/>
    <w:rsid w:val="00181264"/>
    <w:rsid w:val="00181797"/>
    <w:rsid w:val="00181E6B"/>
    <w:rsid w:val="001826EF"/>
    <w:rsid w:val="00182865"/>
    <w:rsid w:val="00182962"/>
    <w:rsid w:val="00182C43"/>
    <w:rsid w:val="00183323"/>
    <w:rsid w:val="00183878"/>
    <w:rsid w:val="001839A8"/>
    <w:rsid w:val="00183E63"/>
    <w:rsid w:val="00184715"/>
    <w:rsid w:val="00185694"/>
    <w:rsid w:val="001858B9"/>
    <w:rsid w:val="00185F19"/>
    <w:rsid w:val="00186B84"/>
    <w:rsid w:val="00187D27"/>
    <w:rsid w:val="0018BFA5"/>
    <w:rsid w:val="00190805"/>
    <w:rsid w:val="001909DC"/>
    <w:rsid w:val="00191647"/>
    <w:rsid w:val="00191972"/>
    <w:rsid w:val="001921D5"/>
    <w:rsid w:val="001921F3"/>
    <w:rsid w:val="00193189"/>
    <w:rsid w:val="001936A0"/>
    <w:rsid w:val="001936A7"/>
    <w:rsid w:val="001936D2"/>
    <w:rsid w:val="0019383E"/>
    <w:rsid w:val="00194F69"/>
    <w:rsid w:val="001952D2"/>
    <w:rsid w:val="001953F6"/>
    <w:rsid w:val="00195554"/>
    <w:rsid w:val="00195629"/>
    <w:rsid w:val="001969D1"/>
    <w:rsid w:val="00196E96"/>
    <w:rsid w:val="001979D7"/>
    <w:rsid w:val="001A06EE"/>
    <w:rsid w:val="001A09B6"/>
    <w:rsid w:val="001A09C2"/>
    <w:rsid w:val="001A0BD5"/>
    <w:rsid w:val="001A133B"/>
    <w:rsid w:val="001A143A"/>
    <w:rsid w:val="001A16DA"/>
    <w:rsid w:val="001A28E1"/>
    <w:rsid w:val="001A28FC"/>
    <w:rsid w:val="001A2D61"/>
    <w:rsid w:val="001A3ACA"/>
    <w:rsid w:val="001A3E2A"/>
    <w:rsid w:val="001A4026"/>
    <w:rsid w:val="001A4218"/>
    <w:rsid w:val="001A4957"/>
    <w:rsid w:val="001A4B67"/>
    <w:rsid w:val="001A4F26"/>
    <w:rsid w:val="001A527C"/>
    <w:rsid w:val="001A5356"/>
    <w:rsid w:val="001A55D7"/>
    <w:rsid w:val="001A58A2"/>
    <w:rsid w:val="001A58FA"/>
    <w:rsid w:val="001A5AEA"/>
    <w:rsid w:val="001A6841"/>
    <w:rsid w:val="001A6CFA"/>
    <w:rsid w:val="001A707A"/>
    <w:rsid w:val="001A728A"/>
    <w:rsid w:val="001A777A"/>
    <w:rsid w:val="001A7853"/>
    <w:rsid w:val="001B00A9"/>
    <w:rsid w:val="001B0311"/>
    <w:rsid w:val="001B09D0"/>
    <w:rsid w:val="001B0C05"/>
    <w:rsid w:val="001B0C23"/>
    <w:rsid w:val="001B0F56"/>
    <w:rsid w:val="001B10AA"/>
    <w:rsid w:val="001B10DD"/>
    <w:rsid w:val="001B1410"/>
    <w:rsid w:val="001B14CD"/>
    <w:rsid w:val="001B1DCE"/>
    <w:rsid w:val="001B252D"/>
    <w:rsid w:val="001B2AA3"/>
    <w:rsid w:val="001B3464"/>
    <w:rsid w:val="001B37AB"/>
    <w:rsid w:val="001B3E2A"/>
    <w:rsid w:val="001B4D23"/>
    <w:rsid w:val="001B4D6A"/>
    <w:rsid w:val="001B5A34"/>
    <w:rsid w:val="001B5E2F"/>
    <w:rsid w:val="001B6784"/>
    <w:rsid w:val="001B6A32"/>
    <w:rsid w:val="001B701F"/>
    <w:rsid w:val="001B74F7"/>
    <w:rsid w:val="001B753D"/>
    <w:rsid w:val="001B76AB"/>
    <w:rsid w:val="001C0016"/>
    <w:rsid w:val="001C00A3"/>
    <w:rsid w:val="001C0548"/>
    <w:rsid w:val="001C073A"/>
    <w:rsid w:val="001C0D49"/>
    <w:rsid w:val="001C1015"/>
    <w:rsid w:val="001C11FB"/>
    <w:rsid w:val="001C15F3"/>
    <w:rsid w:val="001C18C8"/>
    <w:rsid w:val="001C1F6D"/>
    <w:rsid w:val="001C246D"/>
    <w:rsid w:val="001C2C65"/>
    <w:rsid w:val="001C2C83"/>
    <w:rsid w:val="001C3265"/>
    <w:rsid w:val="001C34BD"/>
    <w:rsid w:val="001C35FA"/>
    <w:rsid w:val="001C3902"/>
    <w:rsid w:val="001C3BF2"/>
    <w:rsid w:val="001C3C1C"/>
    <w:rsid w:val="001C4466"/>
    <w:rsid w:val="001C44F7"/>
    <w:rsid w:val="001C4B17"/>
    <w:rsid w:val="001C4EF9"/>
    <w:rsid w:val="001C59D3"/>
    <w:rsid w:val="001C5A40"/>
    <w:rsid w:val="001C5EFE"/>
    <w:rsid w:val="001C5F90"/>
    <w:rsid w:val="001C60D9"/>
    <w:rsid w:val="001C6579"/>
    <w:rsid w:val="001C6E28"/>
    <w:rsid w:val="001C7435"/>
    <w:rsid w:val="001C7A2A"/>
    <w:rsid w:val="001C7E51"/>
    <w:rsid w:val="001CA080"/>
    <w:rsid w:val="001D01B4"/>
    <w:rsid w:val="001D0FDA"/>
    <w:rsid w:val="001D1142"/>
    <w:rsid w:val="001D1343"/>
    <w:rsid w:val="001D1368"/>
    <w:rsid w:val="001D1BC4"/>
    <w:rsid w:val="001D1CD5"/>
    <w:rsid w:val="001D1DB1"/>
    <w:rsid w:val="001D1FB1"/>
    <w:rsid w:val="001D20D6"/>
    <w:rsid w:val="001D24D4"/>
    <w:rsid w:val="001D2B4D"/>
    <w:rsid w:val="001D3673"/>
    <w:rsid w:val="001D3838"/>
    <w:rsid w:val="001D3C74"/>
    <w:rsid w:val="001D42E9"/>
    <w:rsid w:val="001D4792"/>
    <w:rsid w:val="001D47B9"/>
    <w:rsid w:val="001D5132"/>
    <w:rsid w:val="001D531E"/>
    <w:rsid w:val="001D558D"/>
    <w:rsid w:val="001D5BAF"/>
    <w:rsid w:val="001D5F47"/>
    <w:rsid w:val="001D656B"/>
    <w:rsid w:val="001D67F5"/>
    <w:rsid w:val="001D6DAB"/>
    <w:rsid w:val="001D6FAE"/>
    <w:rsid w:val="001D7437"/>
    <w:rsid w:val="001D7BEE"/>
    <w:rsid w:val="001D7FE1"/>
    <w:rsid w:val="001E05D0"/>
    <w:rsid w:val="001E092D"/>
    <w:rsid w:val="001E09AB"/>
    <w:rsid w:val="001E0A56"/>
    <w:rsid w:val="001E0EEC"/>
    <w:rsid w:val="001E150E"/>
    <w:rsid w:val="001E15C2"/>
    <w:rsid w:val="001E1603"/>
    <w:rsid w:val="001E24AA"/>
    <w:rsid w:val="001E2E10"/>
    <w:rsid w:val="001E2E11"/>
    <w:rsid w:val="001E3492"/>
    <w:rsid w:val="001E40F2"/>
    <w:rsid w:val="001E4112"/>
    <w:rsid w:val="001E4152"/>
    <w:rsid w:val="001E432A"/>
    <w:rsid w:val="001E47A8"/>
    <w:rsid w:val="001E4D3A"/>
    <w:rsid w:val="001E5480"/>
    <w:rsid w:val="001E5973"/>
    <w:rsid w:val="001E5AB4"/>
    <w:rsid w:val="001E5AF9"/>
    <w:rsid w:val="001E5D49"/>
    <w:rsid w:val="001E5D50"/>
    <w:rsid w:val="001E64FF"/>
    <w:rsid w:val="001E692E"/>
    <w:rsid w:val="001E7564"/>
    <w:rsid w:val="001E7DF5"/>
    <w:rsid w:val="001F003A"/>
    <w:rsid w:val="001F0865"/>
    <w:rsid w:val="001F087D"/>
    <w:rsid w:val="001F0B14"/>
    <w:rsid w:val="001F178F"/>
    <w:rsid w:val="001F1FF7"/>
    <w:rsid w:val="001F2043"/>
    <w:rsid w:val="001F27B5"/>
    <w:rsid w:val="001F2831"/>
    <w:rsid w:val="001F2E9E"/>
    <w:rsid w:val="001F2F5D"/>
    <w:rsid w:val="001F30DA"/>
    <w:rsid w:val="001F30DC"/>
    <w:rsid w:val="001F31BC"/>
    <w:rsid w:val="001F3384"/>
    <w:rsid w:val="001F34FB"/>
    <w:rsid w:val="001F39FC"/>
    <w:rsid w:val="001F3AAC"/>
    <w:rsid w:val="001F3AC8"/>
    <w:rsid w:val="001F3DFD"/>
    <w:rsid w:val="001F43C2"/>
    <w:rsid w:val="001F45E9"/>
    <w:rsid w:val="001F4A10"/>
    <w:rsid w:val="001F4FDA"/>
    <w:rsid w:val="001F53EA"/>
    <w:rsid w:val="001F565B"/>
    <w:rsid w:val="001F5DFC"/>
    <w:rsid w:val="001F5EB9"/>
    <w:rsid w:val="001F60EF"/>
    <w:rsid w:val="001F618F"/>
    <w:rsid w:val="001F6499"/>
    <w:rsid w:val="001F6B54"/>
    <w:rsid w:val="001F6BDE"/>
    <w:rsid w:val="001F6F35"/>
    <w:rsid w:val="001F7223"/>
    <w:rsid w:val="001F7535"/>
    <w:rsid w:val="001F78D2"/>
    <w:rsid w:val="0020023A"/>
    <w:rsid w:val="002007D7"/>
    <w:rsid w:val="00200BE4"/>
    <w:rsid w:val="00200F59"/>
    <w:rsid w:val="002013A1"/>
    <w:rsid w:val="00201429"/>
    <w:rsid w:val="00201C46"/>
    <w:rsid w:val="00201CE7"/>
    <w:rsid w:val="002021B3"/>
    <w:rsid w:val="002024BC"/>
    <w:rsid w:val="00202C15"/>
    <w:rsid w:val="002032C8"/>
    <w:rsid w:val="0020331E"/>
    <w:rsid w:val="0020363B"/>
    <w:rsid w:val="002036AC"/>
    <w:rsid w:val="00204534"/>
    <w:rsid w:val="002047A2"/>
    <w:rsid w:val="00204CCF"/>
    <w:rsid w:val="00205298"/>
    <w:rsid w:val="00205515"/>
    <w:rsid w:val="00205545"/>
    <w:rsid w:val="00205AC8"/>
    <w:rsid w:val="00206560"/>
    <w:rsid w:val="002066EB"/>
    <w:rsid w:val="00206A3F"/>
    <w:rsid w:val="00206DE2"/>
    <w:rsid w:val="00207F29"/>
    <w:rsid w:val="0020A198"/>
    <w:rsid w:val="00210178"/>
    <w:rsid w:val="00210208"/>
    <w:rsid w:val="00210579"/>
    <w:rsid w:val="00210EC2"/>
    <w:rsid w:val="002114FE"/>
    <w:rsid w:val="0021183D"/>
    <w:rsid w:val="00211968"/>
    <w:rsid w:val="00211DCB"/>
    <w:rsid w:val="00211E28"/>
    <w:rsid w:val="00211F8D"/>
    <w:rsid w:val="00212044"/>
    <w:rsid w:val="002120F2"/>
    <w:rsid w:val="0021267C"/>
    <w:rsid w:val="0021287F"/>
    <w:rsid w:val="002128E6"/>
    <w:rsid w:val="00213C58"/>
    <w:rsid w:val="00215B19"/>
    <w:rsid w:val="00215E9A"/>
    <w:rsid w:val="00216165"/>
    <w:rsid w:val="00216192"/>
    <w:rsid w:val="0021632E"/>
    <w:rsid w:val="002167E4"/>
    <w:rsid w:val="0021692F"/>
    <w:rsid w:val="00216D15"/>
    <w:rsid w:val="002175C5"/>
    <w:rsid w:val="00217941"/>
    <w:rsid w:val="00217997"/>
    <w:rsid w:val="00217A24"/>
    <w:rsid w:val="00217D3E"/>
    <w:rsid w:val="00219AD3"/>
    <w:rsid w:val="00220996"/>
    <w:rsid w:val="00220C56"/>
    <w:rsid w:val="00220DB7"/>
    <w:rsid w:val="00220F5C"/>
    <w:rsid w:val="00221804"/>
    <w:rsid w:val="00221C10"/>
    <w:rsid w:val="00221CC7"/>
    <w:rsid w:val="00222454"/>
    <w:rsid w:val="0022300E"/>
    <w:rsid w:val="00223631"/>
    <w:rsid w:val="00223A06"/>
    <w:rsid w:val="00224E2B"/>
    <w:rsid w:val="00225278"/>
    <w:rsid w:val="00225B26"/>
    <w:rsid w:val="002264FC"/>
    <w:rsid w:val="0022667A"/>
    <w:rsid w:val="00227017"/>
    <w:rsid w:val="002271DA"/>
    <w:rsid w:val="0022BCF7"/>
    <w:rsid w:val="00230DFE"/>
    <w:rsid w:val="002315E4"/>
    <w:rsid w:val="00231AA0"/>
    <w:rsid w:val="00232433"/>
    <w:rsid w:val="0023273F"/>
    <w:rsid w:val="00232B33"/>
    <w:rsid w:val="00232D5F"/>
    <w:rsid w:val="002334CA"/>
    <w:rsid w:val="00233A5B"/>
    <w:rsid w:val="002342D1"/>
    <w:rsid w:val="00234541"/>
    <w:rsid w:val="00234A8F"/>
    <w:rsid w:val="00234E12"/>
    <w:rsid w:val="0023532F"/>
    <w:rsid w:val="002358AA"/>
    <w:rsid w:val="00235928"/>
    <w:rsid w:val="00235A15"/>
    <w:rsid w:val="00235CBD"/>
    <w:rsid w:val="00235E64"/>
    <w:rsid w:val="002361E4"/>
    <w:rsid w:val="00236424"/>
    <w:rsid w:val="00236443"/>
    <w:rsid w:val="00236671"/>
    <w:rsid w:val="00236B76"/>
    <w:rsid w:val="00236DC9"/>
    <w:rsid w:val="00237230"/>
    <w:rsid w:val="0023748B"/>
    <w:rsid w:val="00237960"/>
    <w:rsid w:val="00237A6D"/>
    <w:rsid w:val="00237EF3"/>
    <w:rsid w:val="002405ED"/>
    <w:rsid w:val="002408F2"/>
    <w:rsid w:val="00240A90"/>
    <w:rsid w:val="00240E70"/>
    <w:rsid w:val="0024109B"/>
    <w:rsid w:val="00241A5E"/>
    <w:rsid w:val="00241E89"/>
    <w:rsid w:val="00241FB1"/>
    <w:rsid w:val="002421A1"/>
    <w:rsid w:val="00242694"/>
    <w:rsid w:val="00242CD2"/>
    <w:rsid w:val="00242DAA"/>
    <w:rsid w:val="00243142"/>
    <w:rsid w:val="002431F8"/>
    <w:rsid w:val="00243AA9"/>
    <w:rsid w:val="002446CE"/>
    <w:rsid w:val="00244E72"/>
    <w:rsid w:val="00245455"/>
    <w:rsid w:val="00245F90"/>
    <w:rsid w:val="002461C1"/>
    <w:rsid w:val="00246332"/>
    <w:rsid w:val="00246B71"/>
    <w:rsid w:val="00247492"/>
    <w:rsid w:val="0024760B"/>
    <w:rsid w:val="002478BC"/>
    <w:rsid w:val="00247DBD"/>
    <w:rsid w:val="00250305"/>
    <w:rsid w:val="00250577"/>
    <w:rsid w:val="00251195"/>
    <w:rsid w:val="002511AF"/>
    <w:rsid w:val="00251D15"/>
    <w:rsid w:val="00252100"/>
    <w:rsid w:val="00252133"/>
    <w:rsid w:val="0025226D"/>
    <w:rsid w:val="002528CE"/>
    <w:rsid w:val="00252D20"/>
    <w:rsid w:val="00253045"/>
    <w:rsid w:val="00253506"/>
    <w:rsid w:val="002535CF"/>
    <w:rsid w:val="002536D3"/>
    <w:rsid w:val="00254710"/>
    <w:rsid w:val="002549AB"/>
    <w:rsid w:val="00254AF6"/>
    <w:rsid w:val="0025506A"/>
    <w:rsid w:val="002552D8"/>
    <w:rsid w:val="00255819"/>
    <w:rsid w:val="00255C60"/>
    <w:rsid w:val="00256558"/>
    <w:rsid w:val="00256B70"/>
    <w:rsid w:val="00256D28"/>
    <w:rsid w:val="0025754A"/>
    <w:rsid w:val="00257762"/>
    <w:rsid w:val="00257885"/>
    <w:rsid w:val="00257D16"/>
    <w:rsid w:val="00257D4C"/>
    <w:rsid w:val="00257F24"/>
    <w:rsid w:val="0026005E"/>
    <w:rsid w:val="002605B7"/>
    <w:rsid w:val="002616D5"/>
    <w:rsid w:val="00261DFC"/>
    <w:rsid w:val="00262479"/>
    <w:rsid w:val="00262657"/>
    <w:rsid w:val="0026271E"/>
    <w:rsid w:val="00262A67"/>
    <w:rsid w:val="0026318C"/>
    <w:rsid w:val="0026340E"/>
    <w:rsid w:val="00263D2A"/>
    <w:rsid w:val="002642ED"/>
    <w:rsid w:val="002644A8"/>
    <w:rsid w:val="00264D23"/>
    <w:rsid w:val="00264FD3"/>
    <w:rsid w:val="002657B1"/>
    <w:rsid w:val="00265893"/>
    <w:rsid w:val="00265A7E"/>
    <w:rsid w:val="00265C17"/>
    <w:rsid w:val="00265F1A"/>
    <w:rsid w:val="002660C8"/>
    <w:rsid w:val="002661DA"/>
    <w:rsid w:val="0026668E"/>
    <w:rsid w:val="00267123"/>
    <w:rsid w:val="002672E8"/>
    <w:rsid w:val="00267C0D"/>
    <w:rsid w:val="002707F8"/>
    <w:rsid w:val="00270AF7"/>
    <w:rsid w:val="00270D5C"/>
    <w:rsid w:val="00271180"/>
    <w:rsid w:val="00272158"/>
    <w:rsid w:val="00272241"/>
    <w:rsid w:val="002724D4"/>
    <w:rsid w:val="0027257C"/>
    <w:rsid w:val="00272663"/>
    <w:rsid w:val="002729BA"/>
    <w:rsid w:val="00272F92"/>
    <w:rsid w:val="002730FF"/>
    <w:rsid w:val="00273922"/>
    <w:rsid w:val="002742A2"/>
    <w:rsid w:val="0027441A"/>
    <w:rsid w:val="00274804"/>
    <w:rsid w:val="00275117"/>
    <w:rsid w:val="0027515A"/>
    <w:rsid w:val="0027539B"/>
    <w:rsid w:val="00275C42"/>
    <w:rsid w:val="00275D9B"/>
    <w:rsid w:val="00276045"/>
    <w:rsid w:val="00276148"/>
    <w:rsid w:val="00276627"/>
    <w:rsid w:val="00277241"/>
    <w:rsid w:val="002779D7"/>
    <w:rsid w:val="00280A6C"/>
    <w:rsid w:val="00281111"/>
    <w:rsid w:val="0028174A"/>
    <w:rsid w:val="00281B40"/>
    <w:rsid w:val="00281C8D"/>
    <w:rsid w:val="00281EF3"/>
    <w:rsid w:val="00282043"/>
    <w:rsid w:val="002821BC"/>
    <w:rsid w:val="00282233"/>
    <w:rsid w:val="00282611"/>
    <w:rsid w:val="00282EC7"/>
    <w:rsid w:val="0028314E"/>
    <w:rsid w:val="002831F0"/>
    <w:rsid w:val="00283747"/>
    <w:rsid w:val="002839A3"/>
    <w:rsid w:val="00283EA0"/>
    <w:rsid w:val="00284611"/>
    <w:rsid w:val="00284810"/>
    <w:rsid w:val="00286247"/>
    <w:rsid w:val="00286CA2"/>
    <w:rsid w:val="00286CF8"/>
    <w:rsid w:val="002878D4"/>
    <w:rsid w:val="00287AD0"/>
    <w:rsid w:val="00287C8C"/>
    <w:rsid w:val="00287DFC"/>
    <w:rsid w:val="00287E47"/>
    <w:rsid w:val="0029068B"/>
    <w:rsid w:val="002907B8"/>
    <w:rsid w:val="002907E9"/>
    <w:rsid w:val="002909E3"/>
    <w:rsid w:val="00290DBA"/>
    <w:rsid w:val="002910E6"/>
    <w:rsid w:val="002915EC"/>
    <w:rsid w:val="00291988"/>
    <w:rsid w:val="00291BFD"/>
    <w:rsid w:val="00291FC0"/>
    <w:rsid w:val="0029213E"/>
    <w:rsid w:val="0029264D"/>
    <w:rsid w:val="0029277B"/>
    <w:rsid w:val="00293A61"/>
    <w:rsid w:val="00293B12"/>
    <w:rsid w:val="00293B37"/>
    <w:rsid w:val="002940A1"/>
    <w:rsid w:val="002947CA"/>
    <w:rsid w:val="00294C01"/>
    <w:rsid w:val="002957B1"/>
    <w:rsid w:val="002958BB"/>
    <w:rsid w:val="00295B54"/>
    <w:rsid w:val="00295E84"/>
    <w:rsid w:val="00296201"/>
    <w:rsid w:val="002963AE"/>
    <w:rsid w:val="002964C9"/>
    <w:rsid w:val="00297389"/>
    <w:rsid w:val="00297610"/>
    <w:rsid w:val="00297934"/>
    <w:rsid w:val="002A0087"/>
    <w:rsid w:val="002A0A90"/>
    <w:rsid w:val="002A17F0"/>
    <w:rsid w:val="002A1ED5"/>
    <w:rsid w:val="002A2154"/>
    <w:rsid w:val="002A230D"/>
    <w:rsid w:val="002A2715"/>
    <w:rsid w:val="002A2B94"/>
    <w:rsid w:val="002A2F83"/>
    <w:rsid w:val="002A3573"/>
    <w:rsid w:val="002A3603"/>
    <w:rsid w:val="002A3605"/>
    <w:rsid w:val="002A4010"/>
    <w:rsid w:val="002A4E40"/>
    <w:rsid w:val="002A5BF3"/>
    <w:rsid w:val="002A5F91"/>
    <w:rsid w:val="002A62EC"/>
    <w:rsid w:val="002A6881"/>
    <w:rsid w:val="002A68ED"/>
    <w:rsid w:val="002A6926"/>
    <w:rsid w:val="002A7475"/>
    <w:rsid w:val="002A7877"/>
    <w:rsid w:val="002A7AAC"/>
    <w:rsid w:val="002A7B60"/>
    <w:rsid w:val="002A7F64"/>
    <w:rsid w:val="002B05D2"/>
    <w:rsid w:val="002B0C29"/>
    <w:rsid w:val="002B0C78"/>
    <w:rsid w:val="002B0FDC"/>
    <w:rsid w:val="002B10D5"/>
    <w:rsid w:val="002B1625"/>
    <w:rsid w:val="002B214C"/>
    <w:rsid w:val="002B25E7"/>
    <w:rsid w:val="002B2D2B"/>
    <w:rsid w:val="002B2D88"/>
    <w:rsid w:val="002B37CD"/>
    <w:rsid w:val="002B3F1F"/>
    <w:rsid w:val="002B4502"/>
    <w:rsid w:val="002B5A79"/>
    <w:rsid w:val="002B5A7C"/>
    <w:rsid w:val="002B67B9"/>
    <w:rsid w:val="002B7008"/>
    <w:rsid w:val="002B73F1"/>
    <w:rsid w:val="002B7B28"/>
    <w:rsid w:val="002B7DA7"/>
    <w:rsid w:val="002C008E"/>
    <w:rsid w:val="002C0DC1"/>
    <w:rsid w:val="002C1848"/>
    <w:rsid w:val="002C1CCB"/>
    <w:rsid w:val="002C1CDD"/>
    <w:rsid w:val="002C2837"/>
    <w:rsid w:val="002C2DB5"/>
    <w:rsid w:val="002C31DB"/>
    <w:rsid w:val="002C340D"/>
    <w:rsid w:val="002C3681"/>
    <w:rsid w:val="002C3A4D"/>
    <w:rsid w:val="002C450C"/>
    <w:rsid w:val="002C4756"/>
    <w:rsid w:val="002C51A4"/>
    <w:rsid w:val="002C533D"/>
    <w:rsid w:val="002C55C2"/>
    <w:rsid w:val="002C5C76"/>
    <w:rsid w:val="002C5D6B"/>
    <w:rsid w:val="002C5E18"/>
    <w:rsid w:val="002C62BB"/>
    <w:rsid w:val="002C6D9C"/>
    <w:rsid w:val="002C729F"/>
    <w:rsid w:val="002D08F0"/>
    <w:rsid w:val="002D0E2E"/>
    <w:rsid w:val="002D1C56"/>
    <w:rsid w:val="002D1DAA"/>
    <w:rsid w:val="002D1DC9"/>
    <w:rsid w:val="002D21ED"/>
    <w:rsid w:val="002D27D4"/>
    <w:rsid w:val="002D3C5B"/>
    <w:rsid w:val="002D3E48"/>
    <w:rsid w:val="002D45F6"/>
    <w:rsid w:val="002D49CC"/>
    <w:rsid w:val="002D4C7F"/>
    <w:rsid w:val="002D4DE7"/>
    <w:rsid w:val="002D53BB"/>
    <w:rsid w:val="002D610E"/>
    <w:rsid w:val="002D61FA"/>
    <w:rsid w:val="002D6663"/>
    <w:rsid w:val="002D683C"/>
    <w:rsid w:val="002D6CA6"/>
    <w:rsid w:val="002D6F2F"/>
    <w:rsid w:val="002E02ED"/>
    <w:rsid w:val="002E1670"/>
    <w:rsid w:val="002E1917"/>
    <w:rsid w:val="002E1C38"/>
    <w:rsid w:val="002E1F2B"/>
    <w:rsid w:val="002E1F5F"/>
    <w:rsid w:val="002E2337"/>
    <w:rsid w:val="002E28AF"/>
    <w:rsid w:val="002E3D4D"/>
    <w:rsid w:val="002E4605"/>
    <w:rsid w:val="002E4672"/>
    <w:rsid w:val="002E49E6"/>
    <w:rsid w:val="002E4ADB"/>
    <w:rsid w:val="002E5456"/>
    <w:rsid w:val="002E59E5"/>
    <w:rsid w:val="002E5A67"/>
    <w:rsid w:val="002E5BC0"/>
    <w:rsid w:val="002E63C9"/>
    <w:rsid w:val="002E6877"/>
    <w:rsid w:val="002E6DDD"/>
    <w:rsid w:val="002E7428"/>
    <w:rsid w:val="002E766E"/>
    <w:rsid w:val="002E76FC"/>
    <w:rsid w:val="002E772C"/>
    <w:rsid w:val="002E78DA"/>
    <w:rsid w:val="002F024B"/>
    <w:rsid w:val="002F04D6"/>
    <w:rsid w:val="002F1064"/>
    <w:rsid w:val="002F22FC"/>
    <w:rsid w:val="002F2987"/>
    <w:rsid w:val="002F2E33"/>
    <w:rsid w:val="002F30CA"/>
    <w:rsid w:val="002F311E"/>
    <w:rsid w:val="002F35D5"/>
    <w:rsid w:val="002F4248"/>
    <w:rsid w:val="002F5DC2"/>
    <w:rsid w:val="002F6607"/>
    <w:rsid w:val="002F6FE8"/>
    <w:rsid w:val="002F7534"/>
    <w:rsid w:val="002F767E"/>
    <w:rsid w:val="002F76F3"/>
    <w:rsid w:val="002F7FAF"/>
    <w:rsid w:val="00300904"/>
    <w:rsid w:val="00300C94"/>
    <w:rsid w:val="00301423"/>
    <w:rsid w:val="003019CA"/>
    <w:rsid w:val="00301FE5"/>
    <w:rsid w:val="0030271E"/>
    <w:rsid w:val="00302991"/>
    <w:rsid w:val="00302B7E"/>
    <w:rsid w:val="00302BCB"/>
    <w:rsid w:val="0030326C"/>
    <w:rsid w:val="0030342C"/>
    <w:rsid w:val="003042DC"/>
    <w:rsid w:val="00304309"/>
    <w:rsid w:val="0030436E"/>
    <w:rsid w:val="00304C22"/>
    <w:rsid w:val="00304D03"/>
    <w:rsid w:val="0030575B"/>
    <w:rsid w:val="0030588B"/>
    <w:rsid w:val="00305CF3"/>
    <w:rsid w:val="00306733"/>
    <w:rsid w:val="003068E8"/>
    <w:rsid w:val="003068FB"/>
    <w:rsid w:val="0030714B"/>
    <w:rsid w:val="003071F2"/>
    <w:rsid w:val="0030726A"/>
    <w:rsid w:val="00307339"/>
    <w:rsid w:val="0030741E"/>
    <w:rsid w:val="003077FA"/>
    <w:rsid w:val="00307896"/>
    <w:rsid w:val="0031088E"/>
    <w:rsid w:val="003108CB"/>
    <w:rsid w:val="00310A2A"/>
    <w:rsid w:val="00311024"/>
    <w:rsid w:val="0031114F"/>
    <w:rsid w:val="00311664"/>
    <w:rsid w:val="00311FCC"/>
    <w:rsid w:val="003125BB"/>
    <w:rsid w:val="00313CEE"/>
    <w:rsid w:val="0031460D"/>
    <w:rsid w:val="00314EE5"/>
    <w:rsid w:val="003166D1"/>
    <w:rsid w:val="0031689C"/>
    <w:rsid w:val="00316934"/>
    <w:rsid w:val="00317143"/>
    <w:rsid w:val="00317C0E"/>
    <w:rsid w:val="00317DBA"/>
    <w:rsid w:val="00320A15"/>
    <w:rsid w:val="0032111A"/>
    <w:rsid w:val="00321213"/>
    <w:rsid w:val="0032151F"/>
    <w:rsid w:val="00321734"/>
    <w:rsid w:val="003217E9"/>
    <w:rsid w:val="00321BE6"/>
    <w:rsid w:val="00321C3E"/>
    <w:rsid w:val="0032224B"/>
    <w:rsid w:val="00322584"/>
    <w:rsid w:val="00323486"/>
    <w:rsid w:val="00323772"/>
    <w:rsid w:val="00323DE8"/>
    <w:rsid w:val="00323EDA"/>
    <w:rsid w:val="003240C1"/>
    <w:rsid w:val="00324331"/>
    <w:rsid w:val="00324409"/>
    <w:rsid w:val="0032447A"/>
    <w:rsid w:val="00324881"/>
    <w:rsid w:val="003248AF"/>
    <w:rsid w:val="00324AB5"/>
    <w:rsid w:val="0032530F"/>
    <w:rsid w:val="003256DC"/>
    <w:rsid w:val="003257BD"/>
    <w:rsid w:val="00325AC7"/>
    <w:rsid w:val="003266AD"/>
    <w:rsid w:val="003267E6"/>
    <w:rsid w:val="003268CA"/>
    <w:rsid w:val="00326DE7"/>
    <w:rsid w:val="00326E99"/>
    <w:rsid w:val="00326EF9"/>
    <w:rsid w:val="003270E4"/>
    <w:rsid w:val="00327C26"/>
    <w:rsid w:val="00327D39"/>
    <w:rsid w:val="00330252"/>
    <w:rsid w:val="0033056F"/>
    <w:rsid w:val="00330666"/>
    <w:rsid w:val="00331330"/>
    <w:rsid w:val="00331B34"/>
    <w:rsid w:val="00331E70"/>
    <w:rsid w:val="003331A9"/>
    <w:rsid w:val="0033439F"/>
    <w:rsid w:val="00334C07"/>
    <w:rsid w:val="00334C32"/>
    <w:rsid w:val="00334CBF"/>
    <w:rsid w:val="0033502C"/>
    <w:rsid w:val="00335382"/>
    <w:rsid w:val="00335490"/>
    <w:rsid w:val="00335D09"/>
    <w:rsid w:val="00335E5E"/>
    <w:rsid w:val="00336368"/>
    <w:rsid w:val="00336935"/>
    <w:rsid w:val="00336990"/>
    <w:rsid w:val="0034035A"/>
    <w:rsid w:val="003407D2"/>
    <w:rsid w:val="00340A5C"/>
    <w:rsid w:val="003415B0"/>
    <w:rsid w:val="00341B89"/>
    <w:rsid w:val="00341EF6"/>
    <w:rsid w:val="00342491"/>
    <w:rsid w:val="003424C3"/>
    <w:rsid w:val="00343098"/>
    <w:rsid w:val="003436E9"/>
    <w:rsid w:val="00344AD0"/>
    <w:rsid w:val="00345075"/>
    <w:rsid w:val="00345AE0"/>
    <w:rsid w:val="00345D91"/>
    <w:rsid w:val="003462CA"/>
    <w:rsid w:val="00346311"/>
    <w:rsid w:val="00346E2D"/>
    <w:rsid w:val="00347242"/>
    <w:rsid w:val="00347C33"/>
    <w:rsid w:val="00347DD6"/>
    <w:rsid w:val="003480EA"/>
    <w:rsid w:val="0034A94E"/>
    <w:rsid w:val="00350317"/>
    <w:rsid w:val="00350963"/>
    <w:rsid w:val="00350D06"/>
    <w:rsid w:val="0035216B"/>
    <w:rsid w:val="00352736"/>
    <w:rsid w:val="0035349B"/>
    <w:rsid w:val="0035391C"/>
    <w:rsid w:val="003541C2"/>
    <w:rsid w:val="00354880"/>
    <w:rsid w:val="00354CF2"/>
    <w:rsid w:val="00354E6A"/>
    <w:rsid w:val="00354F38"/>
    <w:rsid w:val="00355398"/>
    <w:rsid w:val="00355A86"/>
    <w:rsid w:val="00356286"/>
    <w:rsid w:val="00356B98"/>
    <w:rsid w:val="003570D8"/>
    <w:rsid w:val="00357B01"/>
    <w:rsid w:val="00357C52"/>
    <w:rsid w:val="00357D3E"/>
    <w:rsid w:val="00357F43"/>
    <w:rsid w:val="00360D25"/>
    <w:rsid w:val="0036100C"/>
    <w:rsid w:val="00361319"/>
    <w:rsid w:val="003617D1"/>
    <w:rsid w:val="00361C95"/>
    <w:rsid w:val="00361F9C"/>
    <w:rsid w:val="00362239"/>
    <w:rsid w:val="0036236C"/>
    <w:rsid w:val="0036276A"/>
    <w:rsid w:val="00362D40"/>
    <w:rsid w:val="00362E52"/>
    <w:rsid w:val="003632DD"/>
    <w:rsid w:val="00363302"/>
    <w:rsid w:val="00363C8D"/>
    <w:rsid w:val="00364365"/>
    <w:rsid w:val="003649F6"/>
    <w:rsid w:val="0036581C"/>
    <w:rsid w:val="00365CD0"/>
    <w:rsid w:val="0036665E"/>
    <w:rsid w:val="0036772F"/>
    <w:rsid w:val="00368216"/>
    <w:rsid w:val="003696EF"/>
    <w:rsid w:val="003706E9"/>
    <w:rsid w:val="0037073F"/>
    <w:rsid w:val="00370E94"/>
    <w:rsid w:val="003711C2"/>
    <w:rsid w:val="00371295"/>
    <w:rsid w:val="0037132E"/>
    <w:rsid w:val="00371CB3"/>
    <w:rsid w:val="0037236B"/>
    <w:rsid w:val="00372419"/>
    <w:rsid w:val="00372AD3"/>
    <w:rsid w:val="0037317A"/>
    <w:rsid w:val="003731D1"/>
    <w:rsid w:val="00373414"/>
    <w:rsid w:val="003734F2"/>
    <w:rsid w:val="00373784"/>
    <w:rsid w:val="00373D5D"/>
    <w:rsid w:val="00373DA0"/>
    <w:rsid w:val="0037441D"/>
    <w:rsid w:val="00374791"/>
    <w:rsid w:val="003747FC"/>
    <w:rsid w:val="00374833"/>
    <w:rsid w:val="0037499A"/>
    <w:rsid w:val="00375392"/>
    <w:rsid w:val="003754E8"/>
    <w:rsid w:val="00375852"/>
    <w:rsid w:val="0037605C"/>
    <w:rsid w:val="0037648F"/>
    <w:rsid w:val="00376CF2"/>
    <w:rsid w:val="00376E1F"/>
    <w:rsid w:val="0037748E"/>
    <w:rsid w:val="00377553"/>
    <w:rsid w:val="003775EE"/>
    <w:rsid w:val="00377C44"/>
    <w:rsid w:val="0038157B"/>
    <w:rsid w:val="0038168A"/>
    <w:rsid w:val="003816EE"/>
    <w:rsid w:val="00381CD1"/>
    <w:rsid w:val="00381F1E"/>
    <w:rsid w:val="003828A6"/>
    <w:rsid w:val="00382BC1"/>
    <w:rsid w:val="00382F5A"/>
    <w:rsid w:val="00383023"/>
    <w:rsid w:val="0038332F"/>
    <w:rsid w:val="003834C4"/>
    <w:rsid w:val="0038358F"/>
    <w:rsid w:val="0038369D"/>
    <w:rsid w:val="00383CE0"/>
    <w:rsid w:val="00383D41"/>
    <w:rsid w:val="00384302"/>
    <w:rsid w:val="003847DD"/>
    <w:rsid w:val="003848EB"/>
    <w:rsid w:val="00384AA5"/>
    <w:rsid w:val="0038592F"/>
    <w:rsid w:val="003859DA"/>
    <w:rsid w:val="00385A05"/>
    <w:rsid w:val="00385EC1"/>
    <w:rsid w:val="00385EE5"/>
    <w:rsid w:val="0038697A"/>
    <w:rsid w:val="00386E9A"/>
    <w:rsid w:val="00387084"/>
    <w:rsid w:val="00387997"/>
    <w:rsid w:val="00387D7A"/>
    <w:rsid w:val="003902A3"/>
    <w:rsid w:val="003903F1"/>
    <w:rsid w:val="00390DF6"/>
    <w:rsid w:val="00390EF7"/>
    <w:rsid w:val="003918DF"/>
    <w:rsid w:val="00391CBE"/>
    <w:rsid w:val="0039278C"/>
    <w:rsid w:val="003928E8"/>
    <w:rsid w:val="00392B53"/>
    <w:rsid w:val="00392F69"/>
    <w:rsid w:val="0039369D"/>
    <w:rsid w:val="00393A8F"/>
    <w:rsid w:val="003944A3"/>
    <w:rsid w:val="00394912"/>
    <w:rsid w:val="00394E91"/>
    <w:rsid w:val="00395163"/>
    <w:rsid w:val="003958E5"/>
    <w:rsid w:val="003959AC"/>
    <w:rsid w:val="00395B58"/>
    <w:rsid w:val="00395B7D"/>
    <w:rsid w:val="00395E16"/>
    <w:rsid w:val="003960EA"/>
    <w:rsid w:val="003964CB"/>
    <w:rsid w:val="003969E7"/>
    <w:rsid w:val="00396A13"/>
    <w:rsid w:val="00396F07"/>
    <w:rsid w:val="003971FB"/>
    <w:rsid w:val="0039791B"/>
    <w:rsid w:val="00397FC3"/>
    <w:rsid w:val="003A0045"/>
    <w:rsid w:val="003A0295"/>
    <w:rsid w:val="003A048D"/>
    <w:rsid w:val="003A07DF"/>
    <w:rsid w:val="003A11F3"/>
    <w:rsid w:val="003A1618"/>
    <w:rsid w:val="003A1B30"/>
    <w:rsid w:val="003A20D6"/>
    <w:rsid w:val="003A2952"/>
    <w:rsid w:val="003A2EAD"/>
    <w:rsid w:val="003A332B"/>
    <w:rsid w:val="003A361C"/>
    <w:rsid w:val="003A37BC"/>
    <w:rsid w:val="003A3A4A"/>
    <w:rsid w:val="003A40CC"/>
    <w:rsid w:val="003A42CE"/>
    <w:rsid w:val="003A42D6"/>
    <w:rsid w:val="003A448E"/>
    <w:rsid w:val="003A454B"/>
    <w:rsid w:val="003A4573"/>
    <w:rsid w:val="003A522E"/>
    <w:rsid w:val="003A5373"/>
    <w:rsid w:val="003A5753"/>
    <w:rsid w:val="003A591D"/>
    <w:rsid w:val="003A5CB8"/>
    <w:rsid w:val="003A5F6E"/>
    <w:rsid w:val="003A60AE"/>
    <w:rsid w:val="003A62CB"/>
    <w:rsid w:val="003A6C15"/>
    <w:rsid w:val="003A71D9"/>
    <w:rsid w:val="003A71DB"/>
    <w:rsid w:val="003A7384"/>
    <w:rsid w:val="003B00C6"/>
    <w:rsid w:val="003B0AB4"/>
    <w:rsid w:val="003B0D60"/>
    <w:rsid w:val="003B1CA0"/>
    <w:rsid w:val="003B1CB7"/>
    <w:rsid w:val="003B2403"/>
    <w:rsid w:val="003B31AA"/>
    <w:rsid w:val="003B3689"/>
    <w:rsid w:val="003B3D31"/>
    <w:rsid w:val="003B3ED0"/>
    <w:rsid w:val="003B424E"/>
    <w:rsid w:val="003B4525"/>
    <w:rsid w:val="003B58F7"/>
    <w:rsid w:val="003B5E7B"/>
    <w:rsid w:val="003B72BF"/>
    <w:rsid w:val="003B7328"/>
    <w:rsid w:val="003B7931"/>
    <w:rsid w:val="003B7F05"/>
    <w:rsid w:val="003C06F6"/>
    <w:rsid w:val="003C07CD"/>
    <w:rsid w:val="003C09D9"/>
    <w:rsid w:val="003C0EE2"/>
    <w:rsid w:val="003C1B44"/>
    <w:rsid w:val="003C1BDB"/>
    <w:rsid w:val="003C1CEA"/>
    <w:rsid w:val="003C23D1"/>
    <w:rsid w:val="003C3172"/>
    <w:rsid w:val="003C337E"/>
    <w:rsid w:val="003C3498"/>
    <w:rsid w:val="003C3B44"/>
    <w:rsid w:val="003C3E20"/>
    <w:rsid w:val="003C4246"/>
    <w:rsid w:val="003C4251"/>
    <w:rsid w:val="003C4655"/>
    <w:rsid w:val="003C4664"/>
    <w:rsid w:val="003C4C85"/>
    <w:rsid w:val="003C4FF0"/>
    <w:rsid w:val="003C5153"/>
    <w:rsid w:val="003C5185"/>
    <w:rsid w:val="003C5540"/>
    <w:rsid w:val="003C5945"/>
    <w:rsid w:val="003C5BD5"/>
    <w:rsid w:val="003C5D85"/>
    <w:rsid w:val="003C6277"/>
    <w:rsid w:val="003C6A96"/>
    <w:rsid w:val="003C6DDD"/>
    <w:rsid w:val="003C6E8F"/>
    <w:rsid w:val="003C782E"/>
    <w:rsid w:val="003C799E"/>
    <w:rsid w:val="003D0BB0"/>
    <w:rsid w:val="003D0FD4"/>
    <w:rsid w:val="003D10B4"/>
    <w:rsid w:val="003D11D6"/>
    <w:rsid w:val="003D15CA"/>
    <w:rsid w:val="003D1B8C"/>
    <w:rsid w:val="003D1CE2"/>
    <w:rsid w:val="003D2C19"/>
    <w:rsid w:val="003D3300"/>
    <w:rsid w:val="003D40B9"/>
    <w:rsid w:val="003D40D2"/>
    <w:rsid w:val="003D4452"/>
    <w:rsid w:val="003D48C0"/>
    <w:rsid w:val="003D4BC3"/>
    <w:rsid w:val="003D509E"/>
    <w:rsid w:val="003D6D5A"/>
    <w:rsid w:val="003D6FFB"/>
    <w:rsid w:val="003E01E7"/>
    <w:rsid w:val="003E02AA"/>
    <w:rsid w:val="003E089F"/>
    <w:rsid w:val="003E0968"/>
    <w:rsid w:val="003E144E"/>
    <w:rsid w:val="003E14CC"/>
    <w:rsid w:val="003E1EDF"/>
    <w:rsid w:val="003E256C"/>
    <w:rsid w:val="003E27A0"/>
    <w:rsid w:val="003E2948"/>
    <w:rsid w:val="003E2C62"/>
    <w:rsid w:val="003E32FB"/>
    <w:rsid w:val="003E3811"/>
    <w:rsid w:val="003E3F60"/>
    <w:rsid w:val="003E4125"/>
    <w:rsid w:val="003E438F"/>
    <w:rsid w:val="003E461B"/>
    <w:rsid w:val="003E4702"/>
    <w:rsid w:val="003E54DF"/>
    <w:rsid w:val="003E5663"/>
    <w:rsid w:val="003E56F8"/>
    <w:rsid w:val="003E5A5C"/>
    <w:rsid w:val="003E5B7E"/>
    <w:rsid w:val="003E5E38"/>
    <w:rsid w:val="003E5FCD"/>
    <w:rsid w:val="003E655F"/>
    <w:rsid w:val="003E7735"/>
    <w:rsid w:val="003E7C44"/>
    <w:rsid w:val="003E7F60"/>
    <w:rsid w:val="003F0DB5"/>
    <w:rsid w:val="003F120F"/>
    <w:rsid w:val="003F1288"/>
    <w:rsid w:val="003F18C3"/>
    <w:rsid w:val="003F1BF8"/>
    <w:rsid w:val="003F1D1C"/>
    <w:rsid w:val="003F1D2D"/>
    <w:rsid w:val="003F1DD3"/>
    <w:rsid w:val="003F2039"/>
    <w:rsid w:val="003F2449"/>
    <w:rsid w:val="003F25B3"/>
    <w:rsid w:val="003F2BF6"/>
    <w:rsid w:val="003F2CE7"/>
    <w:rsid w:val="003F3062"/>
    <w:rsid w:val="003F3319"/>
    <w:rsid w:val="003F355C"/>
    <w:rsid w:val="003F35C6"/>
    <w:rsid w:val="003F3800"/>
    <w:rsid w:val="003F4161"/>
    <w:rsid w:val="003F4349"/>
    <w:rsid w:val="003F4D68"/>
    <w:rsid w:val="003F54A9"/>
    <w:rsid w:val="003F5E37"/>
    <w:rsid w:val="003F603E"/>
    <w:rsid w:val="003F65EA"/>
    <w:rsid w:val="003F6E8B"/>
    <w:rsid w:val="003F6FE1"/>
    <w:rsid w:val="003F7269"/>
    <w:rsid w:val="003F7814"/>
    <w:rsid w:val="003F7817"/>
    <w:rsid w:val="00400667"/>
    <w:rsid w:val="00401BDC"/>
    <w:rsid w:val="00401E4C"/>
    <w:rsid w:val="00401FBD"/>
    <w:rsid w:val="00402996"/>
    <w:rsid w:val="00402E00"/>
    <w:rsid w:val="00403129"/>
    <w:rsid w:val="00403A18"/>
    <w:rsid w:val="00403B29"/>
    <w:rsid w:val="00403C12"/>
    <w:rsid w:val="00403F7D"/>
    <w:rsid w:val="004042E5"/>
    <w:rsid w:val="00404DC6"/>
    <w:rsid w:val="004054D6"/>
    <w:rsid w:val="00405A15"/>
    <w:rsid w:val="00406AF3"/>
    <w:rsid w:val="00407104"/>
    <w:rsid w:val="00407388"/>
    <w:rsid w:val="0040779D"/>
    <w:rsid w:val="00407A1B"/>
    <w:rsid w:val="00407A21"/>
    <w:rsid w:val="00407E95"/>
    <w:rsid w:val="0041027D"/>
    <w:rsid w:val="00410363"/>
    <w:rsid w:val="004116C4"/>
    <w:rsid w:val="00411AC0"/>
    <w:rsid w:val="00411BA9"/>
    <w:rsid w:val="00411BB6"/>
    <w:rsid w:val="00411E3F"/>
    <w:rsid w:val="0041251F"/>
    <w:rsid w:val="004128F0"/>
    <w:rsid w:val="00412F64"/>
    <w:rsid w:val="00412F95"/>
    <w:rsid w:val="00413303"/>
    <w:rsid w:val="00413568"/>
    <w:rsid w:val="00413BFB"/>
    <w:rsid w:val="004146A5"/>
    <w:rsid w:val="00414985"/>
    <w:rsid w:val="004157D2"/>
    <w:rsid w:val="0041638A"/>
    <w:rsid w:val="004167EC"/>
    <w:rsid w:val="004174A5"/>
    <w:rsid w:val="0041766B"/>
    <w:rsid w:val="004178FC"/>
    <w:rsid w:val="00417A8E"/>
    <w:rsid w:val="00417BF2"/>
    <w:rsid w:val="00417BFC"/>
    <w:rsid w:val="00417D24"/>
    <w:rsid w:val="00417F65"/>
    <w:rsid w:val="00420141"/>
    <w:rsid w:val="00420ADF"/>
    <w:rsid w:val="00420BAD"/>
    <w:rsid w:val="00421374"/>
    <w:rsid w:val="0042143A"/>
    <w:rsid w:val="00421544"/>
    <w:rsid w:val="00421559"/>
    <w:rsid w:val="00421610"/>
    <w:rsid w:val="00421A3B"/>
    <w:rsid w:val="00421F47"/>
    <w:rsid w:val="0042211C"/>
    <w:rsid w:val="00422B7B"/>
    <w:rsid w:val="00422BD2"/>
    <w:rsid w:val="00423F8D"/>
    <w:rsid w:val="00424065"/>
    <w:rsid w:val="00424C67"/>
    <w:rsid w:val="00424DE9"/>
    <w:rsid w:val="00424DEB"/>
    <w:rsid w:val="00425232"/>
    <w:rsid w:val="0042542B"/>
    <w:rsid w:val="004255BB"/>
    <w:rsid w:val="00426AD2"/>
    <w:rsid w:val="00426DCE"/>
    <w:rsid w:val="00426F02"/>
    <w:rsid w:val="00427D68"/>
    <w:rsid w:val="00430388"/>
    <w:rsid w:val="00430A9D"/>
    <w:rsid w:val="00430C99"/>
    <w:rsid w:val="00430D36"/>
    <w:rsid w:val="00430E34"/>
    <w:rsid w:val="00431321"/>
    <w:rsid w:val="0043199D"/>
    <w:rsid w:val="00431A18"/>
    <w:rsid w:val="00431C4F"/>
    <w:rsid w:val="00431D36"/>
    <w:rsid w:val="00432639"/>
    <w:rsid w:val="00432DB7"/>
    <w:rsid w:val="004338B0"/>
    <w:rsid w:val="00433B79"/>
    <w:rsid w:val="0043460B"/>
    <w:rsid w:val="00434B60"/>
    <w:rsid w:val="00434C74"/>
    <w:rsid w:val="0043522C"/>
    <w:rsid w:val="0043553C"/>
    <w:rsid w:val="00436512"/>
    <w:rsid w:val="004366A1"/>
    <w:rsid w:val="00436BA1"/>
    <w:rsid w:val="00436EC0"/>
    <w:rsid w:val="00436FAD"/>
    <w:rsid w:val="0043710E"/>
    <w:rsid w:val="004376C1"/>
    <w:rsid w:val="00438645"/>
    <w:rsid w:val="004403CE"/>
    <w:rsid w:val="00440888"/>
    <w:rsid w:val="00440D0C"/>
    <w:rsid w:val="00440E8D"/>
    <w:rsid w:val="00441175"/>
    <w:rsid w:val="00441600"/>
    <w:rsid w:val="00441671"/>
    <w:rsid w:val="00441CC4"/>
    <w:rsid w:val="0044203A"/>
    <w:rsid w:val="0044228F"/>
    <w:rsid w:val="004423A2"/>
    <w:rsid w:val="00442AE9"/>
    <w:rsid w:val="00442ED3"/>
    <w:rsid w:val="00443F8F"/>
    <w:rsid w:val="0044412D"/>
    <w:rsid w:val="00444670"/>
    <w:rsid w:val="00444CED"/>
    <w:rsid w:val="00444D2A"/>
    <w:rsid w:val="004453A5"/>
    <w:rsid w:val="004455D4"/>
    <w:rsid w:val="0044590E"/>
    <w:rsid w:val="00445D58"/>
    <w:rsid w:val="00445DEE"/>
    <w:rsid w:val="00446702"/>
    <w:rsid w:val="00446B67"/>
    <w:rsid w:val="00446C51"/>
    <w:rsid w:val="00446C5A"/>
    <w:rsid w:val="0044722D"/>
    <w:rsid w:val="004477D9"/>
    <w:rsid w:val="00447E85"/>
    <w:rsid w:val="0044D1DB"/>
    <w:rsid w:val="0045020F"/>
    <w:rsid w:val="0045109E"/>
    <w:rsid w:val="004517DF"/>
    <w:rsid w:val="00451C7E"/>
    <w:rsid w:val="0045246F"/>
    <w:rsid w:val="0045267D"/>
    <w:rsid w:val="00452836"/>
    <w:rsid w:val="00454AF4"/>
    <w:rsid w:val="00454C90"/>
    <w:rsid w:val="004550E8"/>
    <w:rsid w:val="004551BD"/>
    <w:rsid w:val="004558E6"/>
    <w:rsid w:val="00455A63"/>
    <w:rsid w:val="00456294"/>
    <w:rsid w:val="00456979"/>
    <w:rsid w:val="00457585"/>
    <w:rsid w:val="00457AD4"/>
    <w:rsid w:val="00457D61"/>
    <w:rsid w:val="00457F7A"/>
    <w:rsid w:val="00460294"/>
    <w:rsid w:val="0046043A"/>
    <w:rsid w:val="0046095E"/>
    <w:rsid w:val="00460DE4"/>
    <w:rsid w:val="0046224B"/>
    <w:rsid w:val="004630A9"/>
    <w:rsid w:val="004633C9"/>
    <w:rsid w:val="00463546"/>
    <w:rsid w:val="004635C0"/>
    <w:rsid w:val="004637D7"/>
    <w:rsid w:val="00463BA0"/>
    <w:rsid w:val="004640EB"/>
    <w:rsid w:val="00464651"/>
    <w:rsid w:val="0046495C"/>
    <w:rsid w:val="00464A67"/>
    <w:rsid w:val="00464B6A"/>
    <w:rsid w:val="00464D24"/>
    <w:rsid w:val="004650E4"/>
    <w:rsid w:val="0046520D"/>
    <w:rsid w:val="0046577E"/>
    <w:rsid w:val="00465A1B"/>
    <w:rsid w:val="0046688F"/>
    <w:rsid w:val="00466B46"/>
    <w:rsid w:val="00466DAB"/>
    <w:rsid w:val="004671EB"/>
    <w:rsid w:val="00467486"/>
    <w:rsid w:val="00470049"/>
    <w:rsid w:val="0047023E"/>
    <w:rsid w:val="004710BA"/>
    <w:rsid w:val="00471147"/>
    <w:rsid w:val="0047114B"/>
    <w:rsid w:val="00471221"/>
    <w:rsid w:val="0047195B"/>
    <w:rsid w:val="00472032"/>
    <w:rsid w:val="004732D4"/>
    <w:rsid w:val="00474010"/>
    <w:rsid w:val="00474416"/>
    <w:rsid w:val="0047459F"/>
    <w:rsid w:val="00474F2B"/>
    <w:rsid w:val="00476D06"/>
    <w:rsid w:val="00476D4F"/>
    <w:rsid w:val="0047740D"/>
    <w:rsid w:val="00477AB6"/>
    <w:rsid w:val="00477BC5"/>
    <w:rsid w:val="00477D8A"/>
    <w:rsid w:val="00477E33"/>
    <w:rsid w:val="00477ED5"/>
    <w:rsid w:val="004803A2"/>
    <w:rsid w:val="00480739"/>
    <w:rsid w:val="00481788"/>
    <w:rsid w:val="00481789"/>
    <w:rsid w:val="004819F5"/>
    <w:rsid w:val="0048210D"/>
    <w:rsid w:val="00482AE1"/>
    <w:rsid w:val="00482B7C"/>
    <w:rsid w:val="00482C8C"/>
    <w:rsid w:val="00483382"/>
    <w:rsid w:val="00483631"/>
    <w:rsid w:val="00483CB2"/>
    <w:rsid w:val="00483DBF"/>
    <w:rsid w:val="00483E3A"/>
    <w:rsid w:val="00483EF9"/>
    <w:rsid w:val="00483F17"/>
    <w:rsid w:val="004848DF"/>
    <w:rsid w:val="0048490E"/>
    <w:rsid w:val="00485039"/>
    <w:rsid w:val="004850A2"/>
    <w:rsid w:val="0048598C"/>
    <w:rsid w:val="004859E6"/>
    <w:rsid w:val="00485DD1"/>
    <w:rsid w:val="004861A5"/>
    <w:rsid w:val="004864EE"/>
    <w:rsid w:val="00486883"/>
    <w:rsid w:val="00486CE8"/>
    <w:rsid w:val="004872EB"/>
    <w:rsid w:val="00487346"/>
    <w:rsid w:val="00487F2C"/>
    <w:rsid w:val="00490157"/>
    <w:rsid w:val="004901A0"/>
    <w:rsid w:val="004902A8"/>
    <w:rsid w:val="004903E4"/>
    <w:rsid w:val="00490488"/>
    <w:rsid w:val="004908BE"/>
    <w:rsid w:val="00490925"/>
    <w:rsid w:val="00491027"/>
    <w:rsid w:val="004911A3"/>
    <w:rsid w:val="004914EF"/>
    <w:rsid w:val="00491C44"/>
    <w:rsid w:val="00491F30"/>
    <w:rsid w:val="00492775"/>
    <w:rsid w:val="00492D32"/>
    <w:rsid w:val="0049347C"/>
    <w:rsid w:val="004936B8"/>
    <w:rsid w:val="00493B05"/>
    <w:rsid w:val="00493B4D"/>
    <w:rsid w:val="00493D8E"/>
    <w:rsid w:val="00493E08"/>
    <w:rsid w:val="00493F39"/>
    <w:rsid w:val="00494185"/>
    <w:rsid w:val="00494206"/>
    <w:rsid w:val="00494A6B"/>
    <w:rsid w:val="00495B69"/>
    <w:rsid w:val="004966E8"/>
    <w:rsid w:val="0049690A"/>
    <w:rsid w:val="0049698D"/>
    <w:rsid w:val="00496EE8"/>
    <w:rsid w:val="00496F4C"/>
    <w:rsid w:val="00497245"/>
    <w:rsid w:val="0049756F"/>
    <w:rsid w:val="00497E2D"/>
    <w:rsid w:val="004A01FE"/>
    <w:rsid w:val="004A09AF"/>
    <w:rsid w:val="004A134C"/>
    <w:rsid w:val="004A156C"/>
    <w:rsid w:val="004A168F"/>
    <w:rsid w:val="004A171A"/>
    <w:rsid w:val="004A1737"/>
    <w:rsid w:val="004A196E"/>
    <w:rsid w:val="004A1A0F"/>
    <w:rsid w:val="004A1C73"/>
    <w:rsid w:val="004A1D24"/>
    <w:rsid w:val="004A1DA9"/>
    <w:rsid w:val="004A22B1"/>
    <w:rsid w:val="004A2A93"/>
    <w:rsid w:val="004A2D8B"/>
    <w:rsid w:val="004A3A3C"/>
    <w:rsid w:val="004A3B51"/>
    <w:rsid w:val="004A3C85"/>
    <w:rsid w:val="004A524F"/>
    <w:rsid w:val="004A53E9"/>
    <w:rsid w:val="004A663B"/>
    <w:rsid w:val="004A663F"/>
    <w:rsid w:val="004A66B1"/>
    <w:rsid w:val="004A6B08"/>
    <w:rsid w:val="004A6EFD"/>
    <w:rsid w:val="004A7261"/>
    <w:rsid w:val="004A7F7F"/>
    <w:rsid w:val="004A7FF9"/>
    <w:rsid w:val="004B02D1"/>
    <w:rsid w:val="004B0D1B"/>
    <w:rsid w:val="004B0D51"/>
    <w:rsid w:val="004B0D6E"/>
    <w:rsid w:val="004B1C44"/>
    <w:rsid w:val="004B24FA"/>
    <w:rsid w:val="004B29A2"/>
    <w:rsid w:val="004B2D2D"/>
    <w:rsid w:val="004B2D49"/>
    <w:rsid w:val="004B2E10"/>
    <w:rsid w:val="004B2E9C"/>
    <w:rsid w:val="004B2EC8"/>
    <w:rsid w:val="004B2F26"/>
    <w:rsid w:val="004B4064"/>
    <w:rsid w:val="004B47F0"/>
    <w:rsid w:val="004B4966"/>
    <w:rsid w:val="004B49C3"/>
    <w:rsid w:val="004B4C43"/>
    <w:rsid w:val="004B5125"/>
    <w:rsid w:val="004B519B"/>
    <w:rsid w:val="004B5AD5"/>
    <w:rsid w:val="004B5B27"/>
    <w:rsid w:val="004B5BED"/>
    <w:rsid w:val="004B5F13"/>
    <w:rsid w:val="004B6018"/>
    <w:rsid w:val="004B696D"/>
    <w:rsid w:val="004C076A"/>
    <w:rsid w:val="004C07F5"/>
    <w:rsid w:val="004C159B"/>
    <w:rsid w:val="004C1610"/>
    <w:rsid w:val="004C1BBB"/>
    <w:rsid w:val="004C1F29"/>
    <w:rsid w:val="004C209F"/>
    <w:rsid w:val="004C210A"/>
    <w:rsid w:val="004C210C"/>
    <w:rsid w:val="004C2243"/>
    <w:rsid w:val="004C2B86"/>
    <w:rsid w:val="004C319E"/>
    <w:rsid w:val="004C34EB"/>
    <w:rsid w:val="004C411D"/>
    <w:rsid w:val="004C4619"/>
    <w:rsid w:val="004C4A58"/>
    <w:rsid w:val="004C4AB7"/>
    <w:rsid w:val="004C532E"/>
    <w:rsid w:val="004C5386"/>
    <w:rsid w:val="004C53E8"/>
    <w:rsid w:val="004C5464"/>
    <w:rsid w:val="004C5554"/>
    <w:rsid w:val="004C567A"/>
    <w:rsid w:val="004C569D"/>
    <w:rsid w:val="004C59D8"/>
    <w:rsid w:val="004C5AB2"/>
    <w:rsid w:val="004C617F"/>
    <w:rsid w:val="004C722F"/>
    <w:rsid w:val="004C7AE2"/>
    <w:rsid w:val="004D011F"/>
    <w:rsid w:val="004D01E6"/>
    <w:rsid w:val="004D1286"/>
    <w:rsid w:val="004D1305"/>
    <w:rsid w:val="004D1916"/>
    <w:rsid w:val="004D2171"/>
    <w:rsid w:val="004D2524"/>
    <w:rsid w:val="004D27C2"/>
    <w:rsid w:val="004D27EC"/>
    <w:rsid w:val="004D2AF0"/>
    <w:rsid w:val="004D2D8C"/>
    <w:rsid w:val="004D34B0"/>
    <w:rsid w:val="004D3623"/>
    <w:rsid w:val="004D36F3"/>
    <w:rsid w:val="004D3B51"/>
    <w:rsid w:val="004D3DD7"/>
    <w:rsid w:val="004D3EDD"/>
    <w:rsid w:val="004D456A"/>
    <w:rsid w:val="004D45FF"/>
    <w:rsid w:val="004D467C"/>
    <w:rsid w:val="004D4B23"/>
    <w:rsid w:val="004D5315"/>
    <w:rsid w:val="004D532A"/>
    <w:rsid w:val="004D585F"/>
    <w:rsid w:val="004D5A4E"/>
    <w:rsid w:val="004D62DE"/>
    <w:rsid w:val="004D7132"/>
    <w:rsid w:val="004D7366"/>
    <w:rsid w:val="004D783B"/>
    <w:rsid w:val="004D7BB2"/>
    <w:rsid w:val="004D7D48"/>
    <w:rsid w:val="004E050A"/>
    <w:rsid w:val="004E0B5B"/>
    <w:rsid w:val="004E0E91"/>
    <w:rsid w:val="004E1334"/>
    <w:rsid w:val="004E18FC"/>
    <w:rsid w:val="004E2395"/>
    <w:rsid w:val="004E32C0"/>
    <w:rsid w:val="004E3575"/>
    <w:rsid w:val="004E3693"/>
    <w:rsid w:val="004E3E61"/>
    <w:rsid w:val="004E47DD"/>
    <w:rsid w:val="004E482D"/>
    <w:rsid w:val="004E4C4E"/>
    <w:rsid w:val="004E5A5D"/>
    <w:rsid w:val="004E5BE8"/>
    <w:rsid w:val="004E60B9"/>
    <w:rsid w:val="004E63E3"/>
    <w:rsid w:val="004E6A4E"/>
    <w:rsid w:val="004E6C1F"/>
    <w:rsid w:val="004E6C42"/>
    <w:rsid w:val="004E6D79"/>
    <w:rsid w:val="004E7577"/>
    <w:rsid w:val="004E763D"/>
    <w:rsid w:val="004F030F"/>
    <w:rsid w:val="004F0B81"/>
    <w:rsid w:val="004F0BC8"/>
    <w:rsid w:val="004F1427"/>
    <w:rsid w:val="004F17BF"/>
    <w:rsid w:val="004F19B2"/>
    <w:rsid w:val="004F1A64"/>
    <w:rsid w:val="004F1A96"/>
    <w:rsid w:val="004F1D71"/>
    <w:rsid w:val="004F20D5"/>
    <w:rsid w:val="004F2393"/>
    <w:rsid w:val="004F2503"/>
    <w:rsid w:val="004F2563"/>
    <w:rsid w:val="004F28F2"/>
    <w:rsid w:val="004F2DD0"/>
    <w:rsid w:val="004F2E33"/>
    <w:rsid w:val="004F3584"/>
    <w:rsid w:val="004F3D2B"/>
    <w:rsid w:val="004F3E45"/>
    <w:rsid w:val="004F3EAA"/>
    <w:rsid w:val="004F4527"/>
    <w:rsid w:val="004F4709"/>
    <w:rsid w:val="004F479C"/>
    <w:rsid w:val="004F4AE2"/>
    <w:rsid w:val="004F4D4F"/>
    <w:rsid w:val="004F50A5"/>
    <w:rsid w:val="004F511A"/>
    <w:rsid w:val="004F58C5"/>
    <w:rsid w:val="004F5B08"/>
    <w:rsid w:val="004F6064"/>
    <w:rsid w:val="004F65E1"/>
    <w:rsid w:val="004F7F77"/>
    <w:rsid w:val="0050066F"/>
    <w:rsid w:val="005006C8"/>
    <w:rsid w:val="005007B5"/>
    <w:rsid w:val="00500BD3"/>
    <w:rsid w:val="00500C0D"/>
    <w:rsid w:val="0050110D"/>
    <w:rsid w:val="005013B3"/>
    <w:rsid w:val="0050259B"/>
    <w:rsid w:val="00502ED9"/>
    <w:rsid w:val="00503116"/>
    <w:rsid w:val="005038A9"/>
    <w:rsid w:val="00503E07"/>
    <w:rsid w:val="00504141"/>
    <w:rsid w:val="0050552D"/>
    <w:rsid w:val="00505ADE"/>
    <w:rsid w:val="00505B06"/>
    <w:rsid w:val="005060B6"/>
    <w:rsid w:val="00506461"/>
    <w:rsid w:val="00506509"/>
    <w:rsid w:val="005065FF"/>
    <w:rsid w:val="005066BB"/>
    <w:rsid w:val="00506701"/>
    <w:rsid w:val="00506A87"/>
    <w:rsid w:val="00506BBB"/>
    <w:rsid w:val="0050758E"/>
    <w:rsid w:val="00507678"/>
    <w:rsid w:val="00507F66"/>
    <w:rsid w:val="00510979"/>
    <w:rsid w:val="005109C8"/>
    <w:rsid w:val="00510DAE"/>
    <w:rsid w:val="005112FD"/>
    <w:rsid w:val="00511944"/>
    <w:rsid w:val="005119CE"/>
    <w:rsid w:val="00511FB3"/>
    <w:rsid w:val="00512610"/>
    <w:rsid w:val="00512EF7"/>
    <w:rsid w:val="00513136"/>
    <w:rsid w:val="00513883"/>
    <w:rsid w:val="00513DF7"/>
    <w:rsid w:val="00514798"/>
    <w:rsid w:val="005147DB"/>
    <w:rsid w:val="00514E77"/>
    <w:rsid w:val="00514FAB"/>
    <w:rsid w:val="00515920"/>
    <w:rsid w:val="00515A82"/>
    <w:rsid w:val="00515B49"/>
    <w:rsid w:val="00515D25"/>
    <w:rsid w:val="00515DBD"/>
    <w:rsid w:val="00515EF6"/>
    <w:rsid w:val="00516E7F"/>
    <w:rsid w:val="00517F4E"/>
    <w:rsid w:val="005203C9"/>
    <w:rsid w:val="0052061F"/>
    <w:rsid w:val="00521279"/>
    <w:rsid w:val="0052332E"/>
    <w:rsid w:val="00523D8F"/>
    <w:rsid w:val="0052425A"/>
    <w:rsid w:val="005248C2"/>
    <w:rsid w:val="00525019"/>
    <w:rsid w:val="005251AD"/>
    <w:rsid w:val="00525886"/>
    <w:rsid w:val="0052591E"/>
    <w:rsid w:val="00525BC6"/>
    <w:rsid w:val="00525DE0"/>
    <w:rsid w:val="005261BC"/>
    <w:rsid w:val="00526812"/>
    <w:rsid w:val="00527B2C"/>
    <w:rsid w:val="00527CB9"/>
    <w:rsid w:val="00527D97"/>
    <w:rsid w:val="005320A3"/>
    <w:rsid w:val="0053232D"/>
    <w:rsid w:val="0053275A"/>
    <w:rsid w:val="0053279C"/>
    <w:rsid w:val="00532F27"/>
    <w:rsid w:val="005330B8"/>
    <w:rsid w:val="005332FC"/>
    <w:rsid w:val="0053347A"/>
    <w:rsid w:val="005336AB"/>
    <w:rsid w:val="00533C69"/>
    <w:rsid w:val="0053425D"/>
    <w:rsid w:val="005349D3"/>
    <w:rsid w:val="00534E5C"/>
    <w:rsid w:val="005351C4"/>
    <w:rsid w:val="00535450"/>
    <w:rsid w:val="00535AC8"/>
    <w:rsid w:val="005362A3"/>
    <w:rsid w:val="00536629"/>
    <w:rsid w:val="00536D66"/>
    <w:rsid w:val="00537301"/>
    <w:rsid w:val="00537451"/>
    <w:rsid w:val="00537B8E"/>
    <w:rsid w:val="00537EB3"/>
    <w:rsid w:val="0054014E"/>
    <w:rsid w:val="0054015C"/>
    <w:rsid w:val="005405CC"/>
    <w:rsid w:val="00540652"/>
    <w:rsid w:val="005411FC"/>
    <w:rsid w:val="00541F77"/>
    <w:rsid w:val="005424EA"/>
    <w:rsid w:val="005432D8"/>
    <w:rsid w:val="00543595"/>
    <w:rsid w:val="005437CE"/>
    <w:rsid w:val="00543E76"/>
    <w:rsid w:val="005441B7"/>
    <w:rsid w:val="005441CE"/>
    <w:rsid w:val="00544728"/>
    <w:rsid w:val="005457D2"/>
    <w:rsid w:val="00545941"/>
    <w:rsid w:val="00545AA6"/>
    <w:rsid w:val="00545B01"/>
    <w:rsid w:val="00545DC1"/>
    <w:rsid w:val="0054608B"/>
    <w:rsid w:val="00547879"/>
    <w:rsid w:val="00547D69"/>
    <w:rsid w:val="00547E36"/>
    <w:rsid w:val="0055028E"/>
    <w:rsid w:val="0055113A"/>
    <w:rsid w:val="005515B9"/>
    <w:rsid w:val="00551CD2"/>
    <w:rsid w:val="0055257B"/>
    <w:rsid w:val="00552C00"/>
    <w:rsid w:val="00553843"/>
    <w:rsid w:val="00553A40"/>
    <w:rsid w:val="00553E44"/>
    <w:rsid w:val="005542C6"/>
    <w:rsid w:val="00554C0C"/>
    <w:rsid w:val="005554ED"/>
    <w:rsid w:val="0055581D"/>
    <w:rsid w:val="00555EE0"/>
    <w:rsid w:val="00555F16"/>
    <w:rsid w:val="00557151"/>
    <w:rsid w:val="00557CEB"/>
    <w:rsid w:val="0055E316"/>
    <w:rsid w:val="0056001A"/>
    <w:rsid w:val="0056045A"/>
    <w:rsid w:val="00560471"/>
    <w:rsid w:val="005605D1"/>
    <w:rsid w:val="005607F2"/>
    <w:rsid w:val="00560D26"/>
    <w:rsid w:val="005615AF"/>
    <w:rsid w:val="0056193F"/>
    <w:rsid w:val="00562380"/>
    <w:rsid w:val="005624EC"/>
    <w:rsid w:val="005628B6"/>
    <w:rsid w:val="00562B2F"/>
    <w:rsid w:val="00562FC9"/>
    <w:rsid w:val="00563113"/>
    <w:rsid w:val="00563476"/>
    <w:rsid w:val="00563498"/>
    <w:rsid w:val="005635F1"/>
    <w:rsid w:val="00563A72"/>
    <w:rsid w:val="00563C30"/>
    <w:rsid w:val="005653A6"/>
    <w:rsid w:val="0056591B"/>
    <w:rsid w:val="005663D7"/>
    <w:rsid w:val="00566C11"/>
    <w:rsid w:val="00566E8B"/>
    <w:rsid w:val="00567500"/>
    <w:rsid w:val="0057001D"/>
    <w:rsid w:val="0057039F"/>
    <w:rsid w:val="00570475"/>
    <w:rsid w:val="00570938"/>
    <w:rsid w:val="00570EF6"/>
    <w:rsid w:val="00570EFC"/>
    <w:rsid w:val="00570FB4"/>
    <w:rsid w:val="0057141D"/>
    <w:rsid w:val="0057151F"/>
    <w:rsid w:val="0057178B"/>
    <w:rsid w:val="0057194D"/>
    <w:rsid w:val="00571EF7"/>
    <w:rsid w:val="00571F3F"/>
    <w:rsid w:val="005725C1"/>
    <w:rsid w:val="00572728"/>
    <w:rsid w:val="00573015"/>
    <w:rsid w:val="00573D22"/>
    <w:rsid w:val="00573E8C"/>
    <w:rsid w:val="00573FEE"/>
    <w:rsid w:val="005747F9"/>
    <w:rsid w:val="00574A08"/>
    <w:rsid w:val="005750A7"/>
    <w:rsid w:val="0057557B"/>
    <w:rsid w:val="00575798"/>
    <w:rsid w:val="00575802"/>
    <w:rsid w:val="00575BE1"/>
    <w:rsid w:val="00575C9D"/>
    <w:rsid w:val="00575F3A"/>
    <w:rsid w:val="0057605A"/>
    <w:rsid w:val="00576780"/>
    <w:rsid w:val="0057696B"/>
    <w:rsid w:val="00576E3A"/>
    <w:rsid w:val="00577088"/>
    <w:rsid w:val="0057725D"/>
    <w:rsid w:val="005801C3"/>
    <w:rsid w:val="00580354"/>
    <w:rsid w:val="0058052B"/>
    <w:rsid w:val="00580DD9"/>
    <w:rsid w:val="00580F9F"/>
    <w:rsid w:val="00581547"/>
    <w:rsid w:val="00581D29"/>
    <w:rsid w:val="005822B6"/>
    <w:rsid w:val="0058242F"/>
    <w:rsid w:val="005826BF"/>
    <w:rsid w:val="005833C4"/>
    <w:rsid w:val="00583547"/>
    <w:rsid w:val="00583A70"/>
    <w:rsid w:val="00583AFB"/>
    <w:rsid w:val="00583F54"/>
    <w:rsid w:val="00585349"/>
    <w:rsid w:val="0058561E"/>
    <w:rsid w:val="005856B4"/>
    <w:rsid w:val="00585895"/>
    <w:rsid w:val="005858F6"/>
    <w:rsid w:val="0058637A"/>
    <w:rsid w:val="005869CA"/>
    <w:rsid w:val="00586D73"/>
    <w:rsid w:val="00586DF2"/>
    <w:rsid w:val="00586F46"/>
    <w:rsid w:val="0058702E"/>
    <w:rsid w:val="005871C6"/>
    <w:rsid w:val="0058728D"/>
    <w:rsid w:val="005879C2"/>
    <w:rsid w:val="005879C4"/>
    <w:rsid w:val="00587BF5"/>
    <w:rsid w:val="00587E96"/>
    <w:rsid w:val="00590DAF"/>
    <w:rsid w:val="00590FE4"/>
    <w:rsid w:val="00591F18"/>
    <w:rsid w:val="00591F93"/>
    <w:rsid w:val="005920B5"/>
    <w:rsid w:val="0059248C"/>
    <w:rsid w:val="00592C57"/>
    <w:rsid w:val="005930BB"/>
    <w:rsid w:val="005933BA"/>
    <w:rsid w:val="00594D7A"/>
    <w:rsid w:val="00595AC5"/>
    <w:rsid w:val="00595CDD"/>
    <w:rsid w:val="005973B5"/>
    <w:rsid w:val="0059741E"/>
    <w:rsid w:val="005974D2"/>
    <w:rsid w:val="005A0CDE"/>
    <w:rsid w:val="005A10ED"/>
    <w:rsid w:val="005A18A4"/>
    <w:rsid w:val="005A1E03"/>
    <w:rsid w:val="005A1F77"/>
    <w:rsid w:val="005A22CA"/>
    <w:rsid w:val="005A2DD8"/>
    <w:rsid w:val="005A2F16"/>
    <w:rsid w:val="005A2F6B"/>
    <w:rsid w:val="005A34E7"/>
    <w:rsid w:val="005A36FC"/>
    <w:rsid w:val="005A3BBA"/>
    <w:rsid w:val="005A4410"/>
    <w:rsid w:val="005A475D"/>
    <w:rsid w:val="005A505A"/>
    <w:rsid w:val="005A582F"/>
    <w:rsid w:val="005A5B57"/>
    <w:rsid w:val="005A5EC7"/>
    <w:rsid w:val="005A6C41"/>
    <w:rsid w:val="005A6EF2"/>
    <w:rsid w:val="005A71A2"/>
    <w:rsid w:val="005A7A03"/>
    <w:rsid w:val="005B05F9"/>
    <w:rsid w:val="005B1267"/>
    <w:rsid w:val="005B15A1"/>
    <w:rsid w:val="005B1AC2"/>
    <w:rsid w:val="005B1AFE"/>
    <w:rsid w:val="005B1B3A"/>
    <w:rsid w:val="005B1D8B"/>
    <w:rsid w:val="005B30D7"/>
    <w:rsid w:val="005B3A5A"/>
    <w:rsid w:val="005B3E97"/>
    <w:rsid w:val="005B43E8"/>
    <w:rsid w:val="005B4782"/>
    <w:rsid w:val="005B48CC"/>
    <w:rsid w:val="005B4A88"/>
    <w:rsid w:val="005B4B03"/>
    <w:rsid w:val="005B4B51"/>
    <w:rsid w:val="005B4D16"/>
    <w:rsid w:val="005B4EBF"/>
    <w:rsid w:val="005B4F13"/>
    <w:rsid w:val="005B51E1"/>
    <w:rsid w:val="005B58CB"/>
    <w:rsid w:val="005B5ABF"/>
    <w:rsid w:val="005B65EB"/>
    <w:rsid w:val="005B67A4"/>
    <w:rsid w:val="005C02EE"/>
    <w:rsid w:val="005C0B57"/>
    <w:rsid w:val="005C10EB"/>
    <w:rsid w:val="005C12A6"/>
    <w:rsid w:val="005C1A4D"/>
    <w:rsid w:val="005C1A57"/>
    <w:rsid w:val="005C1EF2"/>
    <w:rsid w:val="005C225C"/>
    <w:rsid w:val="005C2460"/>
    <w:rsid w:val="005C2D2B"/>
    <w:rsid w:val="005C3067"/>
    <w:rsid w:val="005C36FD"/>
    <w:rsid w:val="005C3926"/>
    <w:rsid w:val="005C39FB"/>
    <w:rsid w:val="005C3B1C"/>
    <w:rsid w:val="005C3C06"/>
    <w:rsid w:val="005C3D44"/>
    <w:rsid w:val="005C40E5"/>
    <w:rsid w:val="005C422E"/>
    <w:rsid w:val="005C4438"/>
    <w:rsid w:val="005C4E3C"/>
    <w:rsid w:val="005C538A"/>
    <w:rsid w:val="005C53E0"/>
    <w:rsid w:val="005C5628"/>
    <w:rsid w:val="005C57C8"/>
    <w:rsid w:val="005C649E"/>
    <w:rsid w:val="005C6A33"/>
    <w:rsid w:val="005C6BBD"/>
    <w:rsid w:val="005C7022"/>
    <w:rsid w:val="005C712B"/>
    <w:rsid w:val="005C78CB"/>
    <w:rsid w:val="005C79F6"/>
    <w:rsid w:val="005C7CFA"/>
    <w:rsid w:val="005C7F2A"/>
    <w:rsid w:val="005D03F9"/>
    <w:rsid w:val="005D053D"/>
    <w:rsid w:val="005D0A71"/>
    <w:rsid w:val="005D0CC2"/>
    <w:rsid w:val="005D128B"/>
    <w:rsid w:val="005D1836"/>
    <w:rsid w:val="005D243F"/>
    <w:rsid w:val="005D2607"/>
    <w:rsid w:val="005D27E4"/>
    <w:rsid w:val="005D2EC6"/>
    <w:rsid w:val="005D3088"/>
    <w:rsid w:val="005D4617"/>
    <w:rsid w:val="005D51A5"/>
    <w:rsid w:val="005D57DE"/>
    <w:rsid w:val="005D5855"/>
    <w:rsid w:val="005D5E0F"/>
    <w:rsid w:val="005D648D"/>
    <w:rsid w:val="005D7343"/>
    <w:rsid w:val="005D73C1"/>
    <w:rsid w:val="005D7619"/>
    <w:rsid w:val="005D7667"/>
    <w:rsid w:val="005D77D8"/>
    <w:rsid w:val="005E00A3"/>
    <w:rsid w:val="005E01DA"/>
    <w:rsid w:val="005E0F05"/>
    <w:rsid w:val="005E11A0"/>
    <w:rsid w:val="005E1864"/>
    <w:rsid w:val="005E18FE"/>
    <w:rsid w:val="005E1A9A"/>
    <w:rsid w:val="005E2A80"/>
    <w:rsid w:val="005E3160"/>
    <w:rsid w:val="005E3318"/>
    <w:rsid w:val="005E38B3"/>
    <w:rsid w:val="005E3E1B"/>
    <w:rsid w:val="005E42EC"/>
    <w:rsid w:val="005E4573"/>
    <w:rsid w:val="005E457B"/>
    <w:rsid w:val="005E4AB7"/>
    <w:rsid w:val="005E4C45"/>
    <w:rsid w:val="005E51B2"/>
    <w:rsid w:val="005E5415"/>
    <w:rsid w:val="005E59B4"/>
    <w:rsid w:val="005E5A31"/>
    <w:rsid w:val="005E5D8E"/>
    <w:rsid w:val="005E5F00"/>
    <w:rsid w:val="005E6DD3"/>
    <w:rsid w:val="005E7141"/>
    <w:rsid w:val="005E7604"/>
    <w:rsid w:val="005E7997"/>
    <w:rsid w:val="005E7BBC"/>
    <w:rsid w:val="005E7EE1"/>
    <w:rsid w:val="005F0022"/>
    <w:rsid w:val="005F07C7"/>
    <w:rsid w:val="005F08EF"/>
    <w:rsid w:val="005F0AFB"/>
    <w:rsid w:val="005F0FE4"/>
    <w:rsid w:val="005F1362"/>
    <w:rsid w:val="005F1938"/>
    <w:rsid w:val="005F20BA"/>
    <w:rsid w:val="005F2119"/>
    <w:rsid w:val="005F2DB2"/>
    <w:rsid w:val="005F2EC6"/>
    <w:rsid w:val="005F303E"/>
    <w:rsid w:val="005F35D1"/>
    <w:rsid w:val="005F3BFF"/>
    <w:rsid w:val="005F3DFA"/>
    <w:rsid w:val="005F406A"/>
    <w:rsid w:val="005F4083"/>
    <w:rsid w:val="005F432B"/>
    <w:rsid w:val="005F47D2"/>
    <w:rsid w:val="005F48E3"/>
    <w:rsid w:val="005F4DF8"/>
    <w:rsid w:val="005F5A74"/>
    <w:rsid w:val="005F5CC5"/>
    <w:rsid w:val="005F66C1"/>
    <w:rsid w:val="00600008"/>
    <w:rsid w:val="006001C9"/>
    <w:rsid w:val="00600660"/>
    <w:rsid w:val="00600859"/>
    <w:rsid w:val="00600A52"/>
    <w:rsid w:val="00601105"/>
    <w:rsid w:val="00601CE6"/>
    <w:rsid w:val="00601DB5"/>
    <w:rsid w:val="00602875"/>
    <w:rsid w:val="00602AD8"/>
    <w:rsid w:val="00602B1C"/>
    <w:rsid w:val="00603726"/>
    <w:rsid w:val="006037A8"/>
    <w:rsid w:val="00603BAE"/>
    <w:rsid w:val="00603EE2"/>
    <w:rsid w:val="0060412F"/>
    <w:rsid w:val="00604675"/>
    <w:rsid w:val="00604769"/>
    <w:rsid w:val="006047C2"/>
    <w:rsid w:val="00604C10"/>
    <w:rsid w:val="00604CF4"/>
    <w:rsid w:val="00605DEB"/>
    <w:rsid w:val="006062DB"/>
    <w:rsid w:val="00607060"/>
    <w:rsid w:val="00607248"/>
    <w:rsid w:val="006078D2"/>
    <w:rsid w:val="00607A4B"/>
    <w:rsid w:val="0061051C"/>
    <w:rsid w:val="00610BB8"/>
    <w:rsid w:val="00611934"/>
    <w:rsid w:val="006126F4"/>
    <w:rsid w:val="00612D23"/>
    <w:rsid w:val="00612E7E"/>
    <w:rsid w:val="006130B2"/>
    <w:rsid w:val="0061313F"/>
    <w:rsid w:val="00613316"/>
    <w:rsid w:val="00613346"/>
    <w:rsid w:val="0061336D"/>
    <w:rsid w:val="00613776"/>
    <w:rsid w:val="0061377C"/>
    <w:rsid w:val="006137D4"/>
    <w:rsid w:val="00613D9A"/>
    <w:rsid w:val="00614B3C"/>
    <w:rsid w:val="00615924"/>
    <w:rsid w:val="00615EA1"/>
    <w:rsid w:val="00616F43"/>
    <w:rsid w:val="00617639"/>
    <w:rsid w:val="00617EBF"/>
    <w:rsid w:val="00620B27"/>
    <w:rsid w:val="00620E71"/>
    <w:rsid w:val="00621035"/>
    <w:rsid w:val="006217C0"/>
    <w:rsid w:val="00621864"/>
    <w:rsid w:val="00621B7F"/>
    <w:rsid w:val="00621E3B"/>
    <w:rsid w:val="00621FC4"/>
    <w:rsid w:val="006224A2"/>
    <w:rsid w:val="00622956"/>
    <w:rsid w:val="00623195"/>
    <w:rsid w:val="0062332E"/>
    <w:rsid w:val="006235E6"/>
    <w:rsid w:val="00623C98"/>
    <w:rsid w:val="00624A54"/>
    <w:rsid w:val="0062534C"/>
    <w:rsid w:val="00625F47"/>
    <w:rsid w:val="00626833"/>
    <w:rsid w:val="00626DFB"/>
    <w:rsid w:val="00626EFB"/>
    <w:rsid w:val="0062788E"/>
    <w:rsid w:val="00627A19"/>
    <w:rsid w:val="0062CA00"/>
    <w:rsid w:val="00630053"/>
    <w:rsid w:val="00630064"/>
    <w:rsid w:val="0063009F"/>
    <w:rsid w:val="006307FB"/>
    <w:rsid w:val="00630A1C"/>
    <w:rsid w:val="00630AFA"/>
    <w:rsid w:val="00630BF8"/>
    <w:rsid w:val="00630E32"/>
    <w:rsid w:val="00630F04"/>
    <w:rsid w:val="006313CD"/>
    <w:rsid w:val="00631B26"/>
    <w:rsid w:val="00632876"/>
    <w:rsid w:val="00632B18"/>
    <w:rsid w:val="00632EB5"/>
    <w:rsid w:val="00632F43"/>
    <w:rsid w:val="00633B8F"/>
    <w:rsid w:val="00633D57"/>
    <w:rsid w:val="00634814"/>
    <w:rsid w:val="00634CD5"/>
    <w:rsid w:val="00635566"/>
    <w:rsid w:val="006356C4"/>
    <w:rsid w:val="00635C1D"/>
    <w:rsid w:val="0063671C"/>
    <w:rsid w:val="00636FD8"/>
    <w:rsid w:val="00637364"/>
    <w:rsid w:val="006373F0"/>
    <w:rsid w:val="00637A92"/>
    <w:rsid w:val="00637C74"/>
    <w:rsid w:val="00637D2D"/>
    <w:rsid w:val="00637E8D"/>
    <w:rsid w:val="00637F72"/>
    <w:rsid w:val="0064048F"/>
    <w:rsid w:val="00640868"/>
    <w:rsid w:val="006419F1"/>
    <w:rsid w:val="006422FA"/>
    <w:rsid w:val="00642BCD"/>
    <w:rsid w:val="006431DA"/>
    <w:rsid w:val="0064336F"/>
    <w:rsid w:val="00643557"/>
    <w:rsid w:val="00643848"/>
    <w:rsid w:val="006448EE"/>
    <w:rsid w:val="00644F4D"/>
    <w:rsid w:val="00645536"/>
    <w:rsid w:val="006458D0"/>
    <w:rsid w:val="00645E50"/>
    <w:rsid w:val="00645F25"/>
    <w:rsid w:val="00646810"/>
    <w:rsid w:val="00646A2D"/>
    <w:rsid w:val="00646DB7"/>
    <w:rsid w:val="00647080"/>
    <w:rsid w:val="00647342"/>
    <w:rsid w:val="00647725"/>
    <w:rsid w:val="00651173"/>
    <w:rsid w:val="00651236"/>
    <w:rsid w:val="00651636"/>
    <w:rsid w:val="006518D0"/>
    <w:rsid w:val="00652706"/>
    <w:rsid w:val="00652CD4"/>
    <w:rsid w:val="00652D62"/>
    <w:rsid w:val="00652F31"/>
    <w:rsid w:val="006532F4"/>
    <w:rsid w:val="0065339A"/>
    <w:rsid w:val="00653C2D"/>
    <w:rsid w:val="00654369"/>
    <w:rsid w:val="00654516"/>
    <w:rsid w:val="006545BF"/>
    <w:rsid w:val="0065502D"/>
    <w:rsid w:val="006553E0"/>
    <w:rsid w:val="006555C7"/>
    <w:rsid w:val="006556FC"/>
    <w:rsid w:val="00655D37"/>
    <w:rsid w:val="00656461"/>
    <w:rsid w:val="006569F7"/>
    <w:rsid w:val="00656F2A"/>
    <w:rsid w:val="0065753E"/>
    <w:rsid w:val="00657682"/>
    <w:rsid w:val="00660640"/>
    <w:rsid w:val="00660690"/>
    <w:rsid w:val="00660CA9"/>
    <w:rsid w:val="00660CCD"/>
    <w:rsid w:val="00660E58"/>
    <w:rsid w:val="0066102F"/>
    <w:rsid w:val="00661203"/>
    <w:rsid w:val="00661D13"/>
    <w:rsid w:val="00662288"/>
    <w:rsid w:val="00662C85"/>
    <w:rsid w:val="00662F6C"/>
    <w:rsid w:val="00663CA4"/>
    <w:rsid w:val="0066404C"/>
    <w:rsid w:val="00664485"/>
    <w:rsid w:val="006649D7"/>
    <w:rsid w:val="00664C35"/>
    <w:rsid w:val="00665894"/>
    <w:rsid w:val="00666243"/>
    <w:rsid w:val="006664B7"/>
    <w:rsid w:val="00666816"/>
    <w:rsid w:val="00666AF0"/>
    <w:rsid w:val="00666D3D"/>
    <w:rsid w:val="00666F85"/>
    <w:rsid w:val="0066729D"/>
    <w:rsid w:val="00667904"/>
    <w:rsid w:val="00667BF2"/>
    <w:rsid w:val="00667C9F"/>
    <w:rsid w:val="006708FE"/>
    <w:rsid w:val="00670BE5"/>
    <w:rsid w:val="00670CBB"/>
    <w:rsid w:val="00670ED6"/>
    <w:rsid w:val="00671523"/>
    <w:rsid w:val="00671A22"/>
    <w:rsid w:val="0067243F"/>
    <w:rsid w:val="00672497"/>
    <w:rsid w:val="00672E00"/>
    <w:rsid w:val="0067311F"/>
    <w:rsid w:val="00673512"/>
    <w:rsid w:val="00673594"/>
    <w:rsid w:val="00673ACC"/>
    <w:rsid w:val="0067414D"/>
    <w:rsid w:val="006748C1"/>
    <w:rsid w:val="006748C9"/>
    <w:rsid w:val="00674C57"/>
    <w:rsid w:val="006751AD"/>
    <w:rsid w:val="00675393"/>
    <w:rsid w:val="006753A7"/>
    <w:rsid w:val="006757E8"/>
    <w:rsid w:val="00676803"/>
    <w:rsid w:val="006775DE"/>
    <w:rsid w:val="0067775A"/>
    <w:rsid w:val="00677879"/>
    <w:rsid w:val="006778A3"/>
    <w:rsid w:val="00677960"/>
    <w:rsid w:val="006779EB"/>
    <w:rsid w:val="006779ED"/>
    <w:rsid w:val="00677A39"/>
    <w:rsid w:val="00677DA9"/>
    <w:rsid w:val="006818FE"/>
    <w:rsid w:val="006819B3"/>
    <w:rsid w:val="006829E8"/>
    <w:rsid w:val="00682AE1"/>
    <w:rsid w:val="00683D9E"/>
    <w:rsid w:val="00683F98"/>
    <w:rsid w:val="00684159"/>
    <w:rsid w:val="0068456E"/>
    <w:rsid w:val="00684726"/>
    <w:rsid w:val="00684F5B"/>
    <w:rsid w:val="006850E0"/>
    <w:rsid w:val="006857F4"/>
    <w:rsid w:val="00685A90"/>
    <w:rsid w:val="00685E81"/>
    <w:rsid w:val="00685ECD"/>
    <w:rsid w:val="00685F16"/>
    <w:rsid w:val="0068634D"/>
    <w:rsid w:val="006873A7"/>
    <w:rsid w:val="00687416"/>
    <w:rsid w:val="0068755D"/>
    <w:rsid w:val="00687B48"/>
    <w:rsid w:val="00691259"/>
    <w:rsid w:val="00691465"/>
    <w:rsid w:val="006916B2"/>
    <w:rsid w:val="00691C67"/>
    <w:rsid w:val="00691C96"/>
    <w:rsid w:val="00691E13"/>
    <w:rsid w:val="00692558"/>
    <w:rsid w:val="006930EB"/>
    <w:rsid w:val="00693B30"/>
    <w:rsid w:val="00694A89"/>
    <w:rsid w:val="00694F2F"/>
    <w:rsid w:val="00694F49"/>
    <w:rsid w:val="00695250"/>
    <w:rsid w:val="006957A6"/>
    <w:rsid w:val="00696B60"/>
    <w:rsid w:val="00696B9A"/>
    <w:rsid w:val="00696E51"/>
    <w:rsid w:val="00697924"/>
    <w:rsid w:val="00697AD1"/>
    <w:rsid w:val="00697C5D"/>
    <w:rsid w:val="006A0521"/>
    <w:rsid w:val="006A1431"/>
    <w:rsid w:val="006A1A26"/>
    <w:rsid w:val="006A2544"/>
    <w:rsid w:val="006A26E0"/>
    <w:rsid w:val="006A28BB"/>
    <w:rsid w:val="006A43F0"/>
    <w:rsid w:val="006A59B6"/>
    <w:rsid w:val="006A5A97"/>
    <w:rsid w:val="006A61DE"/>
    <w:rsid w:val="006A6ADC"/>
    <w:rsid w:val="006A6C72"/>
    <w:rsid w:val="006A6F06"/>
    <w:rsid w:val="006A713E"/>
    <w:rsid w:val="006A771C"/>
    <w:rsid w:val="006A79F1"/>
    <w:rsid w:val="006B046B"/>
    <w:rsid w:val="006B1AC2"/>
    <w:rsid w:val="006B1BD7"/>
    <w:rsid w:val="006B1CB3"/>
    <w:rsid w:val="006B203E"/>
    <w:rsid w:val="006B2813"/>
    <w:rsid w:val="006B29D9"/>
    <w:rsid w:val="006B2A5C"/>
    <w:rsid w:val="006B36A3"/>
    <w:rsid w:val="006B398E"/>
    <w:rsid w:val="006B3BE4"/>
    <w:rsid w:val="006B49B0"/>
    <w:rsid w:val="006B4EBD"/>
    <w:rsid w:val="006B50D5"/>
    <w:rsid w:val="006B54A6"/>
    <w:rsid w:val="006B6381"/>
    <w:rsid w:val="006B6787"/>
    <w:rsid w:val="006B6ACF"/>
    <w:rsid w:val="006B6C89"/>
    <w:rsid w:val="006B6DC5"/>
    <w:rsid w:val="006B7674"/>
    <w:rsid w:val="006B77C5"/>
    <w:rsid w:val="006C09AF"/>
    <w:rsid w:val="006C0B7C"/>
    <w:rsid w:val="006C0B97"/>
    <w:rsid w:val="006C10C0"/>
    <w:rsid w:val="006C1EF5"/>
    <w:rsid w:val="006C1F70"/>
    <w:rsid w:val="006C28B9"/>
    <w:rsid w:val="006C28C4"/>
    <w:rsid w:val="006C2B18"/>
    <w:rsid w:val="006C2D43"/>
    <w:rsid w:val="006C2EA8"/>
    <w:rsid w:val="006C2FDA"/>
    <w:rsid w:val="006C3194"/>
    <w:rsid w:val="006C3232"/>
    <w:rsid w:val="006C3BDF"/>
    <w:rsid w:val="006C3F71"/>
    <w:rsid w:val="006C405F"/>
    <w:rsid w:val="006C436E"/>
    <w:rsid w:val="006C4E1B"/>
    <w:rsid w:val="006C4E2B"/>
    <w:rsid w:val="006C53F8"/>
    <w:rsid w:val="006C5A0B"/>
    <w:rsid w:val="006C5CE6"/>
    <w:rsid w:val="006C5FCE"/>
    <w:rsid w:val="006C60C3"/>
    <w:rsid w:val="006C6114"/>
    <w:rsid w:val="006C621B"/>
    <w:rsid w:val="006C6686"/>
    <w:rsid w:val="006C7371"/>
    <w:rsid w:val="006C7618"/>
    <w:rsid w:val="006D10EC"/>
    <w:rsid w:val="006D1AE5"/>
    <w:rsid w:val="006D1FD6"/>
    <w:rsid w:val="006D203D"/>
    <w:rsid w:val="006D26C3"/>
    <w:rsid w:val="006D2EB3"/>
    <w:rsid w:val="006D2F08"/>
    <w:rsid w:val="006D31F6"/>
    <w:rsid w:val="006D3547"/>
    <w:rsid w:val="006D399F"/>
    <w:rsid w:val="006D3C4E"/>
    <w:rsid w:val="006D3F69"/>
    <w:rsid w:val="006D46C8"/>
    <w:rsid w:val="006D4EFD"/>
    <w:rsid w:val="006D58D2"/>
    <w:rsid w:val="006D5AE6"/>
    <w:rsid w:val="006D6681"/>
    <w:rsid w:val="006D68DB"/>
    <w:rsid w:val="006D6F4A"/>
    <w:rsid w:val="006D74EE"/>
    <w:rsid w:val="006D7B0C"/>
    <w:rsid w:val="006D7DBC"/>
    <w:rsid w:val="006E01C0"/>
    <w:rsid w:val="006E0432"/>
    <w:rsid w:val="006E0BBC"/>
    <w:rsid w:val="006E0CE9"/>
    <w:rsid w:val="006E18BF"/>
    <w:rsid w:val="006E2218"/>
    <w:rsid w:val="006E2896"/>
    <w:rsid w:val="006E28E3"/>
    <w:rsid w:val="006E3AF4"/>
    <w:rsid w:val="006E3F2A"/>
    <w:rsid w:val="006E49CD"/>
    <w:rsid w:val="006E58F2"/>
    <w:rsid w:val="006E59EB"/>
    <w:rsid w:val="006E6294"/>
    <w:rsid w:val="006E6686"/>
    <w:rsid w:val="006E6AAE"/>
    <w:rsid w:val="006E7286"/>
    <w:rsid w:val="006E76AF"/>
    <w:rsid w:val="006E77E4"/>
    <w:rsid w:val="006E790C"/>
    <w:rsid w:val="006E7967"/>
    <w:rsid w:val="006E7C36"/>
    <w:rsid w:val="006F0080"/>
    <w:rsid w:val="006F01F0"/>
    <w:rsid w:val="006F03CB"/>
    <w:rsid w:val="006F0600"/>
    <w:rsid w:val="006F101F"/>
    <w:rsid w:val="006F128E"/>
    <w:rsid w:val="006F17A0"/>
    <w:rsid w:val="006F1F19"/>
    <w:rsid w:val="006F22A9"/>
    <w:rsid w:val="006F3314"/>
    <w:rsid w:val="006F34AC"/>
    <w:rsid w:val="006F3528"/>
    <w:rsid w:val="006F3F14"/>
    <w:rsid w:val="006F4D81"/>
    <w:rsid w:val="006F5747"/>
    <w:rsid w:val="006F5971"/>
    <w:rsid w:val="006F5987"/>
    <w:rsid w:val="006F5AD1"/>
    <w:rsid w:val="006F5B64"/>
    <w:rsid w:val="006F619F"/>
    <w:rsid w:val="006F64E0"/>
    <w:rsid w:val="006F6F39"/>
    <w:rsid w:val="006F6FD3"/>
    <w:rsid w:val="006F728A"/>
    <w:rsid w:val="006F76A3"/>
    <w:rsid w:val="0070017F"/>
    <w:rsid w:val="007009F7"/>
    <w:rsid w:val="00700FF6"/>
    <w:rsid w:val="00701347"/>
    <w:rsid w:val="007015A9"/>
    <w:rsid w:val="00701C7F"/>
    <w:rsid w:val="00701F83"/>
    <w:rsid w:val="007020B5"/>
    <w:rsid w:val="007020C8"/>
    <w:rsid w:val="007021D5"/>
    <w:rsid w:val="007022B0"/>
    <w:rsid w:val="007022E8"/>
    <w:rsid w:val="007025E7"/>
    <w:rsid w:val="00702758"/>
    <w:rsid w:val="00702BFF"/>
    <w:rsid w:val="00702C96"/>
    <w:rsid w:val="007034E3"/>
    <w:rsid w:val="007045BB"/>
    <w:rsid w:val="00704C8C"/>
    <w:rsid w:val="00706B96"/>
    <w:rsid w:val="00707021"/>
    <w:rsid w:val="00707A5B"/>
    <w:rsid w:val="007102DA"/>
    <w:rsid w:val="007104EA"/>
    <w:rsid w:val="00710E29"/>
    <w:rsid w:val="00710FBD"/>
    <w:rsid w:val="00711D9C"/>
    <w:rsid w:val="00711DAC"/>
    <w:rsid w:val="00711EDE"/>
    <w:rsid w:val="0071228F"/>
    <w:rsid w:val="00712686"/>
    <w:rsid w:val="0071369E"/>
    <w:rsid w:val="00713DF6"/>
    <w:rsid w:val="007155C7"/>
    <w:rsid w:val="007158F6"/>
    <w:rsid w:val="0071601E"/>
    <w:rsid w:val="00716098"/>
    <w:rsid w:val="00716697"/>
    <w:rsid w:val="00716DB2"/>
    <w:rsid w:val="00717383"/>
    <w:rsid w:val="00717C99"/>
    <w:rsid w:val="00718F93"/>
    <w:rsid w:val="00720346"/>
    <w:rsid w:val="00720ACC"/>
    <w:rsid w:val="0072116B"/>
    <w:rsid w:val="00721656"/>
    <w:rsid w:val="00721665"/>
    <w:rsid w:val="00721DF1"/>
    <w:rsid w:val="00721DF5"/>
    <w:rsid w:val="00721E15"/>
    <w:rsid w:val="007229A9"/>
    <w:rsid w:val="00722AFE"/>
    <w:rsid w:val="00723020"/>
    <w:rsid w:val="00723AB0"/>
    <w:rsid w:val="00723BB4"/>
    <w:rsid w:val="0072446D"/>
    <w:rsid w:val="007248D0"/>
    <w:rsid w:val="00724F47"/>
    <w:rsid w:val="00725394"/>
    <w:rsid w:val="0072575F"/>
    <w:rsid w:val="007257F9"/>
    <w:rsid w:val="00725C2A"/>
    <w:rsid w:val="0072667C"/>
    <w:rsid w:val="007267B0"/>
    <w:rsid w:val="00726AD1"/>
    <w:rsid w:val="00726DF0"/>
    <w:rsid w:val="007271B8"/>
    <w:rsid w:val="00730283"/>
    <w:rsid w:val="00730580"/>
    <w:rsid w:val="00730638"/>
    <w:rsid w:val="00731366"/>
    <w:rsid w:val="007313A1"/>
    <w:rsid w:val="00731792"/>
    <w:rsid w:val="00731D6A"/>
    <w:rsid w:val="00731EB3"/>
    <w:rsid w:val="00731F6E"/>
    <w:rsid w:val="00732046"/>
    <w:rsid w:val="007322D5"/>
    <w:rsid w:val="00732603"/>
    <w:rsid w:val="00732713"/>
    <w:rsid w:val="00732CE8"/>
    <w:rsid w:val="007331EC"/>
    <w:rsid w:val="00733B7C"/>
    <w:rsid w:val="00733C5F"/>
    <w:rsid w:val="00734191"/>
    <w:rsid w:val="00734E94"/>
    <w:rsid w:val="007351FB"/>
    <w:rsid w:val="00735AE9"/>
    <w:rsid w:val="00735B3B"/>
    <w:rsid w:val="00735D78"/>
    <w:rsid w:val="00735F20"/>
    <w:rsid w:val="00736720"/>
    <w:rsid w:val="00736E4D"/>
    <w:rsid w:val="007370B8"/>
    <w:rsid w:val="00737199"/>
    <w:rsid w:val="00737611"/>
    <w:rsid w:val="00737FD8"/>
    <w:rsid w:val="0074061A"/>
    <w:rsid w:val="0074098D"/>
    <w:rsid w:val="00740A6D"/>
    <w:rsid w:val="00740D6D"/>
    <w:rsid w:val="0074115C"/>
    <w:rsid w:val="00741160"/>
    <w:rsid w:val="00741619"/>
    <w:rsid w:val="007416D4"/>
    <w:rsid w:val="00741841"/>
    <w:rsid w:val="007418AA"/>
    <w:rsid w:val="00742268"/>
    <w:rsid w:val="00742397"/>
    <w:rsid w:val="0074319C"/>
    <w:rsid w:val="0074324B"/>
    <w:rsid w:val="0074376D"/>
    <w:rsid w:val="00743CBA"/>
    <w:rsid w:val="00744334"/>
    <w:rsid w:val="00744718"/>
    <w:rsid w:val="00744992"/>
    <w:rsid w:val="00745B02"/>
    <w:rsid w:val="007463DC"/>
    <w:rsid w:val="00746997"/>
    <w:rsid w:val="00746A40"/>
    <w:rsid w:val="00746BDC"/>
    <w:rsid w:val="00747F1D"/>
    <w:rsid w:val="00750527"/>
    <w:rsid w:val="00750A33"/>
    <w:rsid w:val="007511CE"/>
    <w:rsid w:val="007512F2"/>
    <w:rsid w:val="007513E2"/>
    <w:rsid w:val="00751DAD"/>
    <w:rsid w:val="00751F17"/>
    <w:rsid w:val="00752090"/>
    <w:rsid w:val="007522E1"/>
    <w:rsid w:val="007524F6"/>
    <w:rsid w:val="0075270E"/>
    <w:rsid w:val="00752964"/>
    <w:rsid w:val="0075298D"/>
    <w:rsid w:val="00752DCA"/>
    <w:rsid w:val="00752FDB"/>
    <w:rsid w:val="0075304D"/>
    <w:rsid w:val="007531E5"/>
    <w:rsid w:val="00753280"/>
    <w:rsid w:val="00753536"/>
    <w:rsid w:val="00753605"/>
    <w:rsid w:val="00753A3F"/>
    <w:rsid w:val="00753F26"/>
    <w:rsid w:val="00754BAA"/>
    <w:rsid w:val="00754C66"/>
    <w:rsid w:val="007554BA"/>
    <w:rsid w:val="00755CD4"/>
    <w:rsid w:val="00756095"/>
    <w:rsid w:val="00756874"/>
    <w:rsid w:val="00756A31"/>
    <w:rsid w:val="00756BEE"/>
    <w:rsid w:val="0075726A"/>
    <w:rsid w:val="00757592"/>
    <w:rsid w:val="007575B4"/>
    <w:rsid w:val="00757785"/>
    <w:rsid w:val="0076058B"/>
    <w:rsid w:val="007609F4"/>
    <w:rsid w:val="00760A67"/>
    <w:rsid w:val="00760C38"/>
    <w:rsid w:val="00760CAF"/>
    <w:rsid w:val="00760CF6"/>
    <w:rsid w:val="00761708"/>
    <w:rsid w:val="007623C9"/>
    <w:rsid w:val="007629AF"/>
    <w:rsid w:val="00762B20"/>
    <w:rsid w:val="00762CFD"/>
    <w:rsid w:val="00763435"/>
    <w:rsid w:val="00764063"/>
    <w:rsid w:val="007647C2"/>
    <w:rsid w:val="00764AFB"/>
    <w:rsid w:val="007652C4"/>
    <w:rsid w:val="00765587"/>
    <w:rsid w:val="007655BD"/>
    <w:rsid w:val="00765882"/>
    <w:rsid w:val="007658D5"/>
    <w:rsid w:val="00765C0A"/>
    <w:rsid w:val="00765D10"/>
    <w:rsid w:val="00766592"/>
    <w:rsid w:val="00766E94"/>
    <w:rsid w:val="00767310"/>
    <w:rsid w:val="00767B33"/>
    <w:rsid w:val="00767F71"/>
    <w:rsid w:val="0076A8CA"/>
    <w:rsid w:val="00770311"/>
    <w:rsid w:val="0077050A"/>
    <w:rsid w:val="00770763"/>
    <w:rsid w:val="00770D27"/>
    <w:rsid w:val="00770F35"/>
    <w:rsid w:val="0077114C"/>
    <w:rsid w:val="0077187F"/>
    <w:rsid w:val="00771D83"/>
    <w:rsid w:val="00772263"/>
    <w:rsid w:val="007731AE"/>
    <w:rsid w:val="00773C07"/>
    <w:rsid w:val="00773EDC"/>
    <w:rsid w:val="00773F27"/>
    <w:rsid w:val="007742FC"/>
    <w:rsid w:val="0077441B"/>
    <w:rsid w:val="00774879"/>
    <w:rsid w:val="00774C9F"/>
    <w:rsid w:val="00774D3A"/>
    <w:rsid w:val="00775169"/>
    <w:rsid w:val="0077549E"/>
    <w:rsid w:val="007759E8"/>
    <w:rsid w:val="00775C7B"/>
    <w:rsid w:val="00776631"/>
    <w:rsid w:val="00776634"/>
    <w:rsid w:val="00776656"/>
    <w:rsid w:val="007776D8"/>
    <w:rsid w:val="00780223"/>
    <w:rsid w:val="007802B2"/>
    <w:rsid w:val="007803FA"/>
    <w:rsid w:val="00780841"/>
    <w:rsid w:val="00781C28"/>
    <w:rsid w:val="00781F19"/>
    <w:rsid w:val="007820E0"/>
    <w:rsid w:val="007821F1"/>
    <w:rsid w:val="00782805"/>
    <w:rsid w:val="007829E9"/>
    <w:rsid w:val="00782A21"/>
    <w:rsid w:val="00782CA4"/>
    <w:rsid w:val="007834E9"/>
    <w:rsid w:val="0078372E"/>
    <w:rsid w:val="007838BB"/>
    <w:rsid w:val="00783A20"/>
    <w:rsid w:val="0078427F"/>
    <w:rsid w:val="00784359"/>
    <w:rsid w:val="00784EF0"/>
    <w:rsid w:val="00785329"/>
    <w:rsid w:val="00785B8E"/>
    <w:rsid w:val="007868AE"/>
    <w:rsid w:val="00786F6A"/>
    <w:rsid w:val="007874C6"/>
    <w:rsid w:val="00787E20"/>
    <w:rsid w:val="00787E4B"/>
    <w:rsid w:val="00788F88"/>
    <w:rsid w:val="00790141"/>
    <w:rsid w:val="00790FE4"/>
    <w:rsid w:val="0079101F"/>
    <w:rsid w:val="007916CE"/>
    <w:rsid w:val="00791780"/>
    <w:rsid w:val="00791F34"/>
    <w:rsid w:val="0079235F"/>
    <w:rsid w:val="00792822"/>
    <w:rsid w:val="00792863"/>
    <w:rsid w:val="00793CE8"/>
    <w:rsid w:val="00793F39"/>
    <w:rsid w:val="00794203"/>
    <w:rsid w:val="0079453B"/>
    <w:rsid w:val="0079493E"/>
    <w:rsid w:val="00794977"/>
    <w:rsid w:val="00794CC4"/>
    <w:rsid w:val="00794EED"/>
    <w:rsid w:val="00794F2F"/>
    <w:rsid w:val="00795003"/>
    <w:rsid w:val="00795FD7"/>
    <w:rsid w:val="007967EB"/>
    <w:rsid w:val="00796843"/>
    <w:rsid w:val="00796BD4"/>
    <w:rsid w:val="0079767F"/>
    <w:rsid w:val="00797CAD"/>
    <w:rsid w:val="00797D88"/>
    <w:rsid w:val="007A005A"/>
    <w:rsid w:val="007A06D9"/>
    <w:rsid w:val="007A06E2"/>
    <w:rsid w:val="007A161A"/>
    <w:rsid w:val="007A169C"/>
    <w:rsid w:val="007A1D26"/>
    <w:rsid w:val="007A26CE"/>
    <w:rsid w:val="007A3177"/>
    <w:rsid w:val="007A31F4"/>
    <w:rsid w:val="007A3657"/>
    <w:rsid w:val="007A37DD"/>
    <w:rsid w:val="007A39A8"/>
    <w:rsid w:val="007A4297"/>
    <w:rsid w:val="007A557C"/>
    <w:rsid w:val="007A5932"/>
    <w:rsid w:val="007A6259"/>
    <w:rsid w:val="007A6364"/>
    <w:rsid w:val="007A6397"/>
    <w:rsid w:val="007A742F"/>
    <w:rsid w:val="007A76F5"/>
    <w:rsid w:val="007B02D5"/>
    <w:rsid w:val="007B0882"/>
    <w:rsid w:val="007B0F92"/>
    <w:rsid w:val="007B10FE"/>
    <w:rsid w:val="007B139F"/>
    <w:rsid w:val="007B15A8"/>
    <w:rsid w:val="007B21D9"/>
    <w:rsid w:val="007B2515"/>
    <w:rsid w:val="007B273E"/>
    <w:rsid w:val="007B27A9"/>
    <w:rsid w:val="007B2A41"/>
    <w:rsid w:val="007B2B5C"/>
    <w:rsid w:val="007B2B7E"/>
    <w:rsid w:val="007B3330"/>
    <w:rsid w:val="007B38DB"/>
    <w:rsid w:val="007B3FB3"/>
    <w:rsid w:val="007B4A22"/>
    <w:rsid w:val="007B5613"/>
    <w:rsid w:val="007B56FD"/>
    <w:rsid w:val="007B5D96"/>
    <w:rsid w:val="007B669D"/>
    <w:rsid w:val="007B677D"/>
    <w:rsid w:val="007B6826"/>
    <w:rsid w:val="007B6B0B"/>
    <w:rsid w:val="007B6B1D"/>
    <w:rsid w:val="007B726A"/>
    <w:rsid w:val="007B7303"/>
    <w:rsid w:val="007B74CB"/>
    <w:rsid w:val="007B7BB4"/>
    <w:rsid w:val="007C0074"/>
    <w:rsid w:val="007C0567"/>
    <w:rsid w:val="007C0E71"/>
    <w:rsid w:val="007C0E76"/>
    <w:rsid w:val="007C1608"/>
    <w:rsid w:val="007C1F2A"/>
    <w:rsid w:val="007C218D"/>
    <w:rsid w:val="007C2CB1"/>
    <w:rsid w:val="007C2DCC"/>
    <w:rsid w:val="007C2F10"/>
    <w:rsid w:val="007C2F1E"/>
    <w:rsid w:val="007C37FB"/>
    <w:rsid w:val="007C384C"/>
    <w:rsid w:val="007C4946"/>
    <w:rsid w:val="007C61EF"/>
    <w:rsid w:val="007C6279"/>
    <w:rsid w:val="007C71AB"/>
    <w:rsid w:val="007C7227"/>
    <w:rsid w:val="007C781D"/>
    <w:rsid w:val="007C7826"/>
    <w:rsid w:val="007C7ABF"/>
    <w:rsid w:val="007C7F19"/>
    <w:rsid w:val="007C7F1E"/>
    <w:rsid w:val="007CC50D"/>
    <w:rsid w:val="007D087F"/>
    <w:rsid w:val="007D0ACC"/>
    <w:rsid w:val="007D177B"/>
    <w:rsid w:val="007D18B6"/>
    <w:rsid w:val="007D19FE"/>
    <w:rsid w:val="007D1A08"/>
    <w:rsid w:val="007D1E0F"/>
    <w:rsid w:val="007D230B"/>
    <w:rsid w:val="007D25DA"/>
    <w:rsid w:val="007D38F4"/>
    <w:rsid w:val="007D3D1E"/>
    <w:rsid w:val="007D3EED"/>
    <w:rsid w:val="007D4E0A"/>
    <w:rsid w:val="007D4F90"/>
    <w:rsid w:val="007D5D58"/>
    <w:rsid w:val="007D5DB0"/>
    <w:rsid w:val="007D5E6F"/>
    <w:rsid w:val="007D6496"/>
    <w:rsid w:val="007D6550"/>
    <w:rsid w:val="007D66EE"/>
    <w:rsid w:val="007D6FAA"/>
    <w:rsid w:val="007D707A"/>
    <w:rsid w:val="007D743E"/>
    <w:rsid w:val="007D7871"/>
    <w:rsid w:val="007D799E"/>
    <w:rsid w:val="007D79EF"/>
    <w:rsid w:val="007E0415"/>
    <w:rsid w:val="007E094C"/>
    <w:rsid w:val="007E0BE8"/>
    <w:rsid w:val="007E13F2"/>
    <w:rsid w:val="007E17C0"/>
    <w:rsid w:val="007E1B92"/>
    <w:rsid w:val="007E21EE"/>
    <w:rsid w:val="007E2485"/>
    <w:rsid w:val="007E25AD"/>
    <w:rsid w:val="007E27C7"/>
    <w:rsid w:val="007E2B20"/>
    <w:rsid w:val="007E2B64"/>
    <w:rsid w:val="007E4186"/>
    <w:rsid w:val="007E463D"/>
    <w:rsid w:val="007E4B2D"/>
    <w:rsid w:val="007E4C5E"/>
    <w:rsid w:val="007E51D7"/>
    <w:rsid w:val="007E5986"/>
    <w:rsid w:val="007E5E92"/>
    <w:rsid w:val="007E662C"/>
    <w:rsid w:val="007E6861"/>
    <w:rsid w:val="007F06D0"/>
    <w:rsid w:val="007F083B"/>
    <w:rsid w:val="007F0AB9"/>
    <w:rsid w:val="007F0CFB"/>
    <w:rsid w:val="007F1140"/>
    <w:rsid w:val="007F1A1B"/>
    <w:rsid w:val="007F1CD2"/>
    <w:rsid w:val="007F1D1F"/>
    <w:rsid w:val="007F1D9C"/>
    <w:rsid w:val="007F2402"/>
    <w:rsid w:val="007F2E11"/>
    <w:rsid w:val="007F3168"/>
    <w:rsid w:val="007F3406"/>
    <w:rsid w:val="007F363D"/>
    <w:rsid w:val="007F3904"/>
    <w:rsid w:val="007F491C"/>
    <w:rsid w:val="007F4F97"/>
    <w:rsid w:val="007F514E"/>
    <w:rsid w:val="007F5DF8"/>
    <w:rsid w:val="007F69A6"/>
    <w:rsid w:val="007F6B4C"/>
    <w:rsid w:val="007F6D98"/>
    <w:rsid w:val="007F736E"/>
    <w:rsid w:val="007F7374"/>
    <w:rsid w:val="007F754F"/>
    <w:rsid w:val="007F7974"/>
    <w:rsid w:val="007F79FF"/>
    <w:rsid w:val="007F7F81"/>
    <w:rsid w:val="00800591"/>
    <w:rsid w:val="008009C6"/>
    <w:rsid w:val="00800E40"/>
    <w:rsid w:val="0080108E"/>
    <w:rsid w:val="00801EA5"/>
    <w:rsid w:val="00801ED1"/>
    <w:rsid w:val="00802260"/>
    <w:rsid w:val="0080252D"/>
    <w:rsid w:val="00802692"/>
    <w:rsid w:val="008028D4"/>
    <w:rsid w:val="008029AD"/>
    <w:rsid w:val="00802C4C"/>
    <w:rsid w:val="0080331B"/>
    <w:rsid w:val="00803B17"/>
    <w:rsid w:val="00803B45"/>
    <w:rsid w:val="00803B49"/>
    <w:rsid w:val="008040A7"/>
    <w:rsid w:val="008043A1"/>
    <w:rsid w:val="008043E4"/>
    <w:rsid w:val="0080476C"/>
    <w:rsid w:val="008048B7"/>
    <w:rsid w:val="008048D0"/>
    <w:rsid w:val="00804957"/>
    <w:rsid w:val="00804CB8"/>
    <w:rsid w:val="00804D44"/>
    <w:rsid w:val="00805A7D"/>
    <w:rsid w:val="00805C53"/>
    <w:rsid w:val="00805E95"/>
    <w:rsid w:val="008062A8"/>
    <w:rsid w:val="00806597"/>
    <w:rsid w:val="008067DD"/>
    <w:rsid w:val="008068D8"/>
    <w:rsid w:val="00806DC1"/>
    <w:rsid w:val="00807A65"/>
    <w:rsid w:val="00810250"/>
    <w:rsid w:val="008102A2"/>
    <w:rsid w:val="0081049F"/>
    <w:rsid w:val="00810D3A"/>
    <w:rsid w:val="00810D94"/>
    <w:rsid w:val="00811D09"/>
    <w:rsid w:val="00811F13"/>
    <w:rsid w:val="00811FBB"/>
    <w:rsid w:val="008125A9"/>
    <w:rsid w:val="0081315C"/>
    <w:rsid w:val="0081351C"/>
    <w:rsid w:val="008137D6"/>
    <w:rsid w:val="00813E27"/>
    <w:rsid w:val="00813FF1"/>
    <w:rsid w:val="0081476C"/>
    <w:rsid w:val="00814A47"/>
    <w:rsid w:val="0081564D"/>
    <w:rsid w:val="00815929"/>
    <w:rsid w:val="00815C0F"/>
    <w:rsid w:val="00815D0C"/>
    <w:rsid w:val="00816867"/>
    <w:rsid w:val="00816B2E"/>
    <w:rsid w:val="00816E18"/>
    <w:rsid w:val="00816FB9"/>
    <w:rsid w:val="008176A5"/>
    <w:rsid w:val="00817CE3"/>
    <w:rsid w:val="00817E5A"/>
    <w:rsid w:val="00820731"/>
    <w:rsid w:val="00820C27"/>
    <w:rsid w:val="008211EE"/>
    <w:rsid w:val="008214DA"/>
    <w:rsid w:val="00821E1C"/>
    <w:rsid w:val="00821E6C"/>
    <w:rsid w:val="00822319"/>
    <w:rsid w:val="00822577"/>
    <w:rsid w:val="00822AB4"/>
    <w:rsid w:val="00822AFB"/>
    <w:rsid w:val="00823035"/>
    <w:rsid w:val="008235B3"/>
    <w:rsid w:val="0082379D"/>
    <w:rsid w:val="00823A88"/>
    <w:rsid w:val="00823D02"/>
    <w:rsid w:val="00823F38"/>
    <w:rsid w:val="00824757"/>
    <w:rsid w:val="00824ACC"/>
    <w:rsid w:val="00824E93"/>
    <w:rsid w:val="0082536D"/>
    <w:rsid w:val="00825B8E"/>
    <w:rsid w:val="008261FC"/>
    <w:rsid w:val="008262A1"/>
    <w:rsid w:val="00826978"/>
    <w:rsid w:val="0082747B"/>
    <w:rsid w:val="008275D9"/>
    <w:rsid w:val="00827E3B"/>
    <w:rsid w:val="00827EB7"/>
    <w:rsid w:val="008311F0"/>
    <w:rsid w:val="00831250"/>
    <w:rsid w:val="0083130B"/>
    <w:rsid w:val="00831619"/>
    <w:rsid w:val="00831965"/>
    <w:rsid w:val="00832341"/>
    <w:rsid w:val="00832354"/>
    <w:rsid w:val="00832AB7"/>
    <w:rsid w:val="0083343C"/>
    <w:rsid w:val="00833613"/>
    <w:rsid w:val="008339BA"/>
    <w:rsid w:val="00833C43"/>
    <w:rsid w:val="00833C4C"/>
    <w:rsid w:val="00833E57"/>
    <w:rsid w:val="008341E3"/>
    <w:rsid w:val="008349FB"/>
    <w:rsid w:val="00834A6C"/>
    <w:rsid w:val="008354D1"/>
    <w:rsid w:val="00835FF8"/>
    <w:rsid w:val="008364F4"/>
    <w:rsid w:val="00836BDF"/>
    <w:rsid w:val="00836DCB"/>
    <w:rsid w:val="00836E2D"/>
    <w:rsid w:val="00836E79"/>
    <w:rsid w:val="008373FA"/>
    <w:rsid w:val="00840AA8"/>
    <w:rsid w:val="00841274"/>
    <w:rsid w:val="0084195D"/>
    <w:rsid w:val="00841B10"/>
    <w:rsid w:val="00842355"/>
    <w:rsid w:val="0084293B"/>
    <w:rsid w:val="00842BDA"/>
    <w:rsid w:val="00843D96"/>
    <w:rsid w:val="00843EFF"/>
    <w:rsid w:val="008447C6"/>
    <w:rsid w:val="0084497A"/>
    <w:rsid w:val="008455CC"/>
    <w:rsid w:val="008461D4"/>
    <w:rsid w:val="008462AA"/>
    <w:rsid w:val="00846AD5"/>
    <w:rsid w:val="008470F4"/>
    <w:rsid w:val="00847C73"/>
    <w:rsid w:val="00850B61"/>
    <w:rsid w:val="00850C0F"/>
    <w:rsid w:val="008511BD"/>
    <w:rsid w:val="0085126B"/>
    <w:rsid w:val="008514B0"/>
    <w:rsid w:val="00851684"/>
    <w:rsid w:val="0085170F"/>
    <w:rsid w:val="00851AB8"/>
    <w:rsid w:val="00851CFD"/>
    <w:rsid w:val="00851DC6"/>
    <w:rsid w:val="00851E2D"/>
    <w:rsid w:val="0085212C"/>
    <w:rsid w:val="008522E9"/>
    <w:rsid w:val="00852573"/>
    <w:rsid w:val="008525A2"/>
    <w:rsid w:val="00852974"/>
    <w:rsid w:val="00852BAA"/>
    <w:rsid w:val="00852C9F"/>
    <w:rsid w:val="0085430A"/>
    <w:rsid w:val="008548FB"/>
    <w:rsid w:val="0085490F"/>
    <w:rsid w:val="008549FB"/>
    <w:rsid w:val="00854EB2"/>
    <w:rsid w:val="00855437"/>
    <w:rsid w:val="00855675"/>
    <w:rsid w:val="00855A36"/>
    <w:rsid w:val="00855A56"/>
    <w:rsid w:val="00855CFA"/>
    <w:rsid w:val="00855FB7"/>
    <w:rsid w:val="00856354"/>
    <w:rsid w:val="008567FF"/>
    <w:rsid w:val="008578C9"/>
    <w:rsid w:val="00860046"/>
    <w:rsid w:val="00860093"/>
    <w:rsid w:val="00860A6B"/>
    <w:rsid w:val="00860B0E"/>
    <w:rsid w:val="00861311"/>
    <w:rsid w:val="00861578"/>
    <w:rsid w:val="008621AE"/>
    <w:rsid w:val="00862775"/>
    <w:rsid w:val="008636DC"/>
    <w:rsid w:val="00863E2E"/>
    <w:rsid w:val="00864F81"/>
    <w:rsid w:val="00865114"/>
    <w:rsid w:val="00865718"/>
    <w:rsid w:val="00865975"/>
    <w:rsid w:val="00865ECE"/>
    <w:rsid w:val="00865ED3"/>
    <w:rsid w:val="0086673B"/>
    <w:rsid w:val="008667DB"/>
    <w:rsid w:val="00866910"/>
    <w:rsid w:val="00866AE7"/>
    <w:rsid w:val="00866BC3"/>
    <w:rsid w:val="008670B2"/>
    <w:rsid w:val="00867676"/>
    <w:rsid w:val="00867AD3"/>
    <w:rsid w:val="00867B8D"/>
    <w:rsid w:val="008705D8"/>
    <w:rsid w:val="008707FB"/>
    <w:rsid w:val="008713C7"/>
    <w:rsid w:val="00871E0B"/>
    <w:rsid w:val="00871F17"/>
    <w:rsid w:val="00871F8C"/>
    <w:rsid w:val="008729F4"/>
    <w:rsid w:val="008733D7"/>
    <w:rsid w:val="00873436"/>
    <w:rsid w:val="008737D2"/>
    <w:rsid w:val="008741D8"/>
    <w:rsid w:val="008744E6"/>
    <w:rsid w:val="00874766"/>
    <w:rsid w:val="00875A51"/>
    <w:rsid w:val="00875E68"/>
    <w:rsid w:val="00875F8D"/>
    <w:rsid w:val="008768C4"/>
    <w:rsid w:val="00876A93"/>
    <w:rsid w:val="00876AC8"/>
    <w:rsid w:val="00876C47"/>
    <w:rsid w:val="00876DA8"/>
    <w:rsid w:val="00877724"/>
    <w:rsid w:val="008800AE"/>
    <w:rsid w:val="00880244"/>
    <w:rsid w:val="008802F6"/>
    <w:rsid w:val="00880923"/>
    <w:rsid w:val="00880FB5"/>
    <w:rsid w:val="00881687"/>
    <w:rsid w:val="00882351"/>
    <w:rsid w:val="00882638"/>
    <w:rsid w:val="00882D1E"/>
    <w:rsid w:val="008832BC"/>
    <w:rsid w:val="00883DD4"/>
    <w:rsid w:val="00884364"/>
    <w:rsid w:val="008843E9"/>
    <w:rsid w:val="008848E5"/>
    <w:rsid w:val="00884BCA"/>
    <w:rsid w:val="00884C87"/>
    <w:rsid w:val="00884D51"/>
    <w:rsid w:val="0088516C"/>
    <w:rsid w:val="008856F1"/>
    <w:rsid w:val="008858F3"/>
    <w:rsid w:val="00885944"/>
    <w:rsid w:val="00885AC4"/>
    <w:rsid w:val="00886683"/>
    <w:rsid w:val="008867E3"/>
    <w:rsid w:val="00887207"/>
    <w:rsid w:val="008873D7"/>
    <w:rsid w:val="0088BEBC"/>
    <w:rsid w:val="008901CE"/>
    <w:rsid w:val="008901E7"/>
    <w:rsid w:val="0089049C"/>
    <w:rsid w:val="00890683"/>
    <w:rsid w:val="00890731"/>
    <w:rsid w:val="00890F51"/>
    <w:rsid w:val="00891811"/>
    <w:rsid w:val="00891F76"/>
    <w:rsid w:val="00892B23"/>
    <w:rsid w:val="00892D25"/>
    <w:rsid w:val="00893446"/>
    <w:rsid w:val="00894BFB"/>
    <w:rsid w:val="0089525B"/>
    <w:rsid w:val="00895E03"/>
    <w:rsid w:val="00896456"/>
    <w:rsid w:val="008978BA"/>
    <w:rsid w:val="00897903"/>
    <w:rsid w:val="00897E3D"/>
    <w:rsid w:val="0089A18C"/>
    <w:rsid w:val="008A03C5"/>
    <w:rsid w:val="008A0CC7"/>
    <w:rsid w:val="008A0E2E"/>
    <w:rsid w:val="008A142D"/>
    <w:rsid w:val="008A14A6"/>
    <w:rsid w:val="008A27DC"/>
    <w:rsid w:val="008A2A72"/>
    <w:rsid w:val="008A340B"/>
    <w:rsid w:val="008A34DF"/>
    <w:rsid w:val="008A3D7E"/>
    <w:rsid w:val="008A41C6"/>
    <w:rsid w:val="008A4453"/>
    <w:rsid w:val="008A492B"/>
    <w:rsid w:val="008A4A34"/>
    <w:rsid w:val="008A4CC5"/>
    <w:rsid w:val="008A5086"/>
    <w:rsid w:val="008A5342"/>
    <w:rsid w:val="008A56D2"/>
    <w:rsid w:val="008A59F1"/>
    <w:rsid w:val="008A5DFB"/>
    <w:rsid w:val="008A603F"/>
    <w:rsid w:val="008A6AA6"/>
    <w:rsid w:val="008A6E21"/>
    <w:rsid w:val="008A7570"/>
    <w:rsid w:val="008A7707"/>
    <w:rsid w:val="008A7717"/>
    <w:rsid w:val="008A774E"/>
    <w:rsid w:val="008A7D5D"/>
    <w:rsid w:val="008B034A"/>
    <w:rsid w:val="008B0824"/>
    <w:rsid w:val="008B0BDF"/>
    <w:rsid w:val="008B0E6E"/>
    <w:rsid w:val="008B13A8"/>
    <w:rsid w:val="008B3C96"/>
    <w:rsid w:val="008B513E"/>
    <w:rsid w:val="008B52FE"/>
    <w:rsid w:val="008B55D0"/>
    <w:rsid w:val="008B5AE8"/>
    <w:rsid w:val="008B5BBC"/>
    <w:rsid w:val="008B5FC3"/>
    <w:rsid w:val="008B6321"/>
    <w:rsid w:val="008B655D"/>
    <w:rsid w:val="008B706A"/>
    <w:rsid w:val="008B71ED"/>
    <w:rsid w:val="008B780D"/>
    <w:rsid w:val="008B7A90"/>
    <w:rsid w:val="008B7D35"/>
    <w:rsid w:val="008B7D59"/>
    <w:rsid w:val="008C023A"/>
    <w:rsid w:val="008C092C"/>
    <w:rsid w:val="008C0BEE"/>
    <w:rsid w:val="008C0C0C"/>
    <w:rsid w:val="008C0D4B"/>
    <w:rsid w:val="008C1098"/>
    <w:rsid w:val="008C2781"/>
    <w:rsid w:val="008C365A"/>
    <w:rsid w:val="008C391F"/>
    <w:rsid w:val="008C3F0B"/>
    <w:rsid w:val="008C41B8"/>
    <w:rsid w:val="008C4867"/>
    <w:rsid w:val="008C4B5E"/>
    <w:rsid w:val="008C5335"/>
    <w:rsid w:val="008C537F"/>
    <w:rsid w:val="008C587C"/>
    <w:rsid w:val="008C58AF"/>
    <w:rsid w:val="008C5980"/>
    <w:rsid w:val="008C6241"/>
    <w:rsid w:val="008C6357"/>
    <w:rsid w:val="008C6442"/>
    <w:rsid w:val="008C6572"/>
    <w:rsid w:val="008C6DCE"/>
    <w:rsid w:val="008C6DE3"/>
    <w:rsid w:val="008C70CA"/>
    <w:rsid w:val="008C7112"/>
    <w:rsid w:val="008C7296"/>
    <w:rsid w:val="008C7920"/>
    <w:rsid w:val="008C79D9"/>
    <w:rsid w:val="008D023C"/>
    <w:rsid w:val="008D0523"/>
    <w:rsid w:val="008D14EE"/>
    <w:rsid w:val="008D1B97"/>
    <w:rsid w:val="008D2240"/>
    <w:rsid w:val="008D2A5F"/>
    <w:rsid w:val="008D2EE6"/>
    <w:rsid w:val="008D30B4"/>
    <w:rsid w:val="008D3634"/>
    <w:rsid w:val="008D3685"/>
    <w:rsid w:val="008D380E"/>
    <w:rsid w:val="008D38EA"/>
    <w:rsid w:val="008D3962"/>
    <w:rsid w:val="008D3CDC"/>
    <w:rsid w:val="008D475D"/>
    <w:rsid w:val="008D539E"/>
    <w:rsid w:val="008D546B"/>
    <w:rsid w:val="008D5CE1"/>
    <w:rsid w:val="008D755F"/>
    <w:rsid w:val="008D7AE0"/>
    <w:rsid w:val="008D7DFB"/>
    <w:rsid w:val="008E0073"/>
    <w:rsid w:val="008E01E7"/>
    <w:rsid w:val="008E0896"/>
    <w:rsid w:val="008E0A7F"/>
    <w:rsid w:val="008E0F41"/>
    <w:rsid w:val="008E140C"/>
    <w:rsid w:val="008E1E42"/>
    <w:rsid w:val="008E2534"/>
    <w:rsid w:val="008E2788"/>
    <w:rsid w:val="008E2A4D"/>
    <w:rsid w:val="008E2D9E"/>
    <w:rsid w:val="008E2F4A"/>
    <w:rsid w:val="008E365A"/>
    <w:rsid w:val="008E39A7"/>
    <w:rsid w:val="008E3CC3"/>
    <w:rsid w:val="008E4815"/>
    <w:rsid w:val="008E49A7"/>
    <w:rsid w:val="008E543B"/>
    <w:rsid w:val="008E5567"/>
    <w:rsid w:val="008E57A4"/>
    <w:rsid w:val="008E594F"/>
    <w:rsid w:val="008E59DB"/>
    <w:rsid w:val="008E62D8"/>
    <w:rsid w:val="008E63B0"/>
    <w:rsid w:val="008E6E1B"/>
    <w:rsid w:val="008E7652"/>
    <w:rsid w:val="008E793B"/>
    <w:rsid w:val="008E7B16"/>
    <w:rsid w:val="008EB3A7"/>
    <w:rsid w:val="008F060F"/>
    <w:rsid w:val="008F06BF"/>
    <w:rsid w:val="008F0A38"/>
    <w:rsid w:val="008F0EE5"/>
    <w:rsid w:val="008F1387"/>
    <w:rsid w:val="008F16B5"/>
    <w:rsid w:val="008F16F3"/>
    <w:rsid w:val="008F1841"/>
    <w:rsid w:val="008F1851"/>
    <w:rsid w:val="008F2289"/>
    <w:rsid w:val="008F25FF"/>
    <w:rsid w:val="008F2AF8"/>
    <w:rsid w:val="008F2BBA"/>
    <w:rsid w:val="008F2C4E"/>
    <w:rsid w:val="008F367B"/>
    <w:rsid w:val="008F40C0"/>
    <w:rsid w:val="008F42E8"/>
    <w:rsid w:val="008F445C"/>
    <w:rsid w:val="008F4D08"/>
    <w:rsid w:val="008F5D62"/>
    <w:rsid w:val="008F5E18"/>
    <w:rsid w:val="008F6368"/>
    <w:rsid w:val="008F65EF"/>
    <w:rsid w:val="008F666D"/>
    <w:rsid w:val="008F6F73"/>
    <w:rsid w:val="008F7743"/>
    <w:rsid w:val="008F7895"/>
    <w:rsid w:val="008F78FD"/>
    <w:rsid w:val="009001C9"/>
    <w:rsid w:val="0090032D"/>
    <w:rsid w:val="009003D4"/>
    <w:rsid w:val="00900966"/>
    <w:rsid w:val="00900DD5"/>
    <w:rsid w:val="00900FE3"/>
    <w:rsid w:val="009017D1"/>
    <w:rsid w:val="00901DD4"/>
    <w:rsid w:val="00901FD9"/>
    <w:rsid w:val="009024DC"/>
    <w:rsid w:val="0090260A"/>
    <w:rsid w:val="009026AB"/>
    <w:rsid w:val="009026B9"/>
    <w:rsid w:val="00902965"/>
    <w:rsid w:val="00902D4B"/>
    <w:rsid w:val="00902E81"/>
    <w:rsid w:val="0090319D"/>
    <w:rsid w:val="0090362E"/>
    <w:rsid w:val="00903949"/>
    <w:rsid w:val="00903DE2"/>
    <w:rsid w:val="009042CC"/>
    <w:rsid w:val="0090538E"/>
    <w:rsid w:val="009056AC"/>
    <w:rsid w:val="00906743"/>
    <w:rsid w:val="0090694A"/>
    <w:rsid w:val="00907393"/>
    <w:rsid w:val="009073EC"/>
    <w:rsid w:val="00907419"/>
    <w:rsid w:val="009076FB"/>
    <w:rsid w:val="009078E2"/>
    <w:rsid w:val="00907B04"/>
    <w:rsid w:val="0091062B"/>
    <w:rsid w:val="009107FD"/>
    <w:rsid w:val="009109A8"/>
    <w:rsid w:val="009109D8"/>
    <w:rsid w:val="00911645"/>
    <w:rsid w:val="00911C4D"/>
    <w:rsid w:val="00911E97"/>
    <w:rsid w:val="00912058"/>
    <w:rsid w:val="00912B42"/>
    <w:rsid w:val="00912DBB"/>
    <w:rsid w:val="009133B7"/>
    <w:rsid w:val="00913C60"/>
    <w:rsid w:val="0091461D"/>
    <w:rsid w:val="00914C73"/>
    <w:rsid w:val="00915161"/>
    <w:rsid w:val="0091592F"/>
    <w:rsid w:val="009167B3"/>
    <w:rsid w:val="009174AB"/>
    <w:rsid w:val="009174F2"/>
    <w:rsid w:val="00917758"/>
    <w:rsid w:val="00917905"/>
    <w:rsid w:val="0091803F"/>
    <w:rsid w:val="0092048D"/>
    <w:rsid w:val="00920A0C"/>
    <w:rsid w:val="00921789"/>
    <w:rsid w:val="00921942"/>
    <w:rsid w:val="00922497"/>
    <w:rsid w:val="00922A67"/>
    <w:rsid w:val="00922A9D"/>
    <w:rsid w:val="00922C89"/>
    <w:rsid w:val="0092312B"/>
    <w:rsid w:val="00923193"/>
    <w:rsid w:val="009231A1"/>
    <w:rsid w:val="009234D7"/>
    <w:rsid w:val="0092381E"/>
    <w:rsid w:val="00924D0D"/>
    <w:rsid w:val="00925063"/>
    <w:rsid w:val="00925137"/>
    <w:rsid w:val="0092533F"/>
    <w:rsid w:val="009253BE"/>
    <w:rsid w:val="00925F04"/>
    <w:rsid w:val="00925FFF"/>
    <w:rsid w:val="00926335"/>
    <w:rsid w:val="009265C2"/>
    <w:rsid w:val="00926B44"/>
    <w:rsid w:val="00926BCA"/>
    <w:rsid w:val="00926D20"/>
    <w:rsid w:val="0092717C"/>
    <w:rsid w:val="0092776A"/>
    <w:rsid w:val="00927A3B"/>
    <w:rsid w:val="0093029F"/>
    <w:rsid w:val="0093086C"/>
    <w:rsid w:val="00930E30"/>
    <w:rsid w:val="00930E79"/>
    <w:rsid w:val="00931369"/>
    <w:rsid w:val="009314EB"/>
    <w:rsid w:val="00931604"/>
    <w:rsid w:val="00931A80"/>
    <w:rsid w:val="0093200F"/>
    <w:rsid w:val="00932C4E"/>
    <w:rsid w:val="00932FA3"/>
    <w:rsid w:val="00933D92"/>
    <w:rsid w:val="00934181"/>
    <w:rsid w:val="0093489A"/>
    <w:rsid w:val="00934921"/>
    <w:rsid w:val="00935733"/>
    <w:rsid w:val="009358AA"/>
    <w:rsid w:val="0093590D"/>
    <w:rsid w:val="00935B7F"/>
    <w:rsid w:val="00935CA2"/>
    <w:rsid w:val="009364BD"/>
    <w:rsid w:val="009367E4"/>
    <w:rsid w:val="00936ED4"/>
    <w:rsid w:val="009377F2"/>
    <w:rsid w:val="009379F7"/>
    <w:rsid w:val="00937E65"/>
    <w:rsid w:val="00940359"/>
    <w:rsid w:val="00940415"/>
    <w:rsid w:val="0094073D"/>
    <w:rsid w:val="00940803"/>
    <w:rsid w:val="009408AB"/>
    <w:rsid w:val="00940AC0"/>
    <w:rsid w:val="0094166E"/>
    <w:rsid w:val="00941CC9"/>
    <w:rsid w:val="00941E9D"/>
    <w:rsid w:val="00942340"/>
    <w:rsid w:val="009429B5"/>
    <w:rsid w:val="00942A87"/>
    <w:rsid w:val="00943373"/>
    <w:rsid w:val="00943D21"/>
    <w:rsid w:val="00944279"/>
    <w:rsid w:val="009442C3"/>
    <w:rsid w:val="00944E12"/>
    <w:rsid w:val="0094502D"/>
    <w:rsid w:val="009454CB"/>
    <w:rsid w:val="00945590"/>
    <w:rsid w:val="00945733"/>
    <w:rsid w:val="00945F9E"/>
    <w:rsid w:val="00945FEC"/>
    <w:rsid w:val="00946555"/>
    <w:rsid w:val="0094705C"/>
    <w:rsid w:val="0094787A"/>
    <w:rsid w:val="0094E5F5"/>
    <w:rsid w:val="0095010E"/>
    <w:rsid w:val="009508C0"/>
    <w:rsid w:val="009522D3"/>
    <w:rsid w:val="00952693"/>
    <w:rsid w:val="009527BA"/>
    <w:rsid w:val="00952B3C"/>
    <w:rsid w:val="00952C39"/>
    <w:rsid w:val="00953599"/>
    <w:rsid w:val="009536A8"/>
    <w:rsid w:val="00954225"/>
    <w:rsid w:val="00954C8D"/>
    <w:rsid w:val="00954F75"/>
    <w:rsid w:val="0095550E"/>
    <w:rsid w:val="009557AA"/>
    <w:rsid w:val="00956A1E"/>
    <w:rsid w:val="00956F0E"/>
    <w:rsid w:val="00957924"/>
    <w:rsid w:val="00957A10"/>
    <w:rsid w:val="00957CB9"/>
    <w:rsid w:val="009614F7"/>
    <w:rsid w:val="00961979"/>
    <w:rsid w:val="00962291"/>
    <w:rsid w:val="00962414"/>
    <w:rsid w:val="00962621"/>
    <w:rsid w:val="00962C95"/>
    <w:rsid w:val="00962D72"/>
    <w:rsid w:val="00962DEE"/>
    <w:rsid w:val="009632E6"/>
    <w:rsid w:val="009638D2"/>
    <w:rsid w:val="0096391B"/>
    <w:rsid w:val="00963A6D"/>
    <w:rsid w:val="00963FF5"/>
    <w:rsid w:val="0096442A"/>
    <w:rsid w:val="0096474B"/>
    <w:rsid w:val="00964C1A"/>
    <w:rsid w:val="00965281"/>
    <w:rsid w:val="00965998"/>
    <w:rsid w:val="00965A82"/>
    <w:rsid w:val="00965C44"/>
    <w:rsid w:val="0096635D"/>
    <w:rsid w:val="0096652A"/>
    <w:rsid w:val="009665D3"/>
    <w:rsid w:val="00966605"/>
    <w:rsid w:val="00966A5C"/>
    <w:rsid w:val="00966DCC"/>
    <w:rsid w:val="00966E4B"/>
    <w:rsid w:val="0096799C"/>
    <w:rsid w:val="009679A8"/>
    <w:rsid w:val="00967D34"/>
    <w:rsid w:val="00967D6B"/>
    <w:rsid w:val="00970432"/>
    <w:rsid w:val="00970C7F"/>
    <w:rsid w:val="00970FDC"/>
    <w:rsid w:val="00971110"/>
    <w:rsid w:val="00971169"/>
    <w:rsid w:val="00971CE9"/>
    <w:rsid w:val="00971E1C"/>
    <w:rsid w:val="00971E46"/>
    <w:rsid w:val="00972E2C"/>
    <w:rsid w:val="009731FE"/>
    <w:rsid w:val="00973913"/>
    <w:rsid w:val="009746E7"/>
    <w:rsid w:val="00974A4D"/>
    <w:rsid w:val="00974A74"/>
    <w:rsid w:val="009756EF"/>
    <w:rsid w:val="00975A52"/>
    <w:rsid w:val="00975F7F"/>
    <w:rsid w:val="00976363"/>
    <w:rsid w:val="00976934"/>
    <w:rsid w:val="00976B1D"/>
    <w:rsid w:val="00977B15"/>
    <w:rsid w:val="00980079"/>
    <w:rsid w:val="00980107"/>
    <w:rsid w:val="00980C19"/>
    <w:rsid w:val="00981562"/>
    <w:rsid w:val="00981B9E"/>
    <w:rsid w:val="00981F39"/>
    <w:rsid w:val="00981FF0"/>
    <w:rsid w:val="0098237D"/>
    <w:rsid w:val="00982A4D"/>
    <w:rsid w:val="00982D05"/>
    <w:rsid w:val="0098309C"/>
    <w:rsid w:val="00983205"/>
    <w:rsid w:val="0098330B"/>
    <w:rsid w:val="009833B0"/>
    <w:rsid w:val="0098352F"/>
    <w:rsid w:val="0098419F"/>
    <w:rsid w:val="0098450A"/>
    <w:rsid w:val="00984D14"/>
    <w:rsid w:val="009857E3"/>
    <w:rsid w:val="00986326"/>
    <w:rsid w:val="00986F46"/>
    <w:rsid w:val="00987105"/>
    <w:rsid w:val="009873DC"/>
    <w:rsid w:val="009875C2"/>
    <w:rsid w:val="0098FAE7"/>
    <w:rsid w:val="009902F4"/>
    <w:rsid w:val="0099038E"/>
    <w:rsid w:val="009913A8"/>
    <w:rsid w:val="009913CA"/>
    <w:rsid w:val="009915A9"/>
    <w:rsid w:val="009916A7"/>
    <w:rsid w:val="00991CA4"/>
    <w:rsid w:val="009926A8"/>
    <w:rsid w:val="00992BA7"/>
    <w:rsid w:val="00992C16"/>
    <w:rsid w:val="00992E98"/>
    <w:rsid w:val="00992EDF"/>
    <w:rsid w:val="0099307D"/>
    <w:rsid w:val="009930AA"/>
    <w:rsid w:val="0099326C"/>
    <w:rsid w:val="00993577"/>
    <w:rsid w:val="0099358A"/>
    <w:rsid w:val="00994A92"/>
    <w:rsid w:val="00995189"/>
    <w:rsid w:val="009954E2"/>
    <w:rsid w:val="0099598B"/>
    <w:rsid w:val="00995D62"/>
    <w:rsid w:val="00995D6F"/>
    <w:rsid w:val="009961A2"/>
    <w:rsid w:val="009964B2"/>
    <w:rsid w:val="00996F37"/>
    <w:rsid w:val="0099705C"/>
    <w:rsid w:val="00997823"/>
    <w:rsid w:val="009A0055"/>
    <w:rsid w:val="009A0AD5"/>
    <w:rsid w:val="009A12A3"/>
    <w:rsid w:val="009A17C3"/>
    <w:rsid w:val="009A245E"/>
    <w:rsid w:val="009A26F8"/>
    <w:rsid w:val="009A299C"/>
    <w:rsid w:val="009A2A98"/>
    <w:rsid w:val="009A2ED8"/>
    <w:rsid w:val="009A30FE"/>
    <w:rsid w:val="009A31DD"/>
    <w:rsid w:val="009A3F0B"/>
    <w:rsid w:val="009A4964"/>
    <w:rsid w:val="009A499F"/>
    <w:rsid w:val="009A4C60"/>
    <w:rsid w:val="009A4CCB"/>
    <w:rsid w:val="009A4D62"/>
    <w:rsid w:val="009A4DF6"/>
    <w:rsid w:val="009A510C"/>
    <w:rsid w:val="009A5214"/>
    <w:rsid w:val="009A555E"/>
    <w:rsid w:val="009A574A"/>
    <w:rsid w:val="009A5787"/>
    <w:rsid w:val="009A5BC6"/>
    <w:rsid w:val="009A652C"/>
    <w:rsid w:val="009A785F"/>
    <w:rsid w:val="009A799C"/>
    <w:rsid w:val="009A7BAB"/>
    <w:rsid w:val="009B0439"/>
    <w:rsid w:val="009B0C26"/>
    <w:rsid w:val="009B0F0B"/>
    <w:rsid w:val="009B1A78"/>
    <w:rsid w:val="009B1B0C"/>
    <w:rsid w:val="009B1E1F"/>
    <w:rsid w:val="009B2343"/>
    <w:rsid w:val="009B248B"/>
    <w:rsid w:val="009B27E4"/>
    <w:rsid w:val="009B2D94"/>
    <w:rsid w:val="009B34BC"/>
    <w:rsid w:val="009B3679"/>
    <w:rsid w:val="009B3E0F"/>
    <w:rsid w:val="009B3FDB"/>
    <w:rsid w:val="009B46BD"/>
    <w:rsid w:val="009B48ED"/>
    <w:rsid w:val="009B4A14"/>
    <w:rsid w:val="009B4C44"/>
    <w:rsid w:val="009B6B72"/>
    <w:rsid w:val="009B7106"/>
    <w:rsid w:val="009B7160"/>
    <w:rsid w:val="009B74BF"/>
    <w:rsid w:val="009B7633"/>
    <w:rsid w:val="009C001B"/>
    <w:rsid w:val="009C039A"/>
    <w:rsid w:val="009C0AAD"/>
    <w:rsid w:val="009C13C8"/>
    <w:rsid w:val="009C18EA"/>
    <w:rsid w:val="009C2823"/>
    <w:rsid w:val="009C297F"/>
    <w:rsid w:val="009C2A34"/>
    <w:rsid w:val="009C2D2E"/>
    <w:rsid w:val="009C386F"/>
    <w:rsid w:val="009C46CB"/>
    <w:rsid w:val="009C5138"/>
    <w:rsid w:val="009C64AB"/>
    <w:rsid w:val="009C65EC"/>
    <w:rsid w:val="009C6BCC"/>
    <w:rsid w:val="009C70FE"/>
    <w:rsid w:val="009C710A"/>
    <w:rsid w:val="009C766F"/>
    <w:rsid w:val="009C77F8"/>
    <w:rsid w:val="009C7CBC"/>
    <w:rsid w:val="009C7E8F"/>
    <w:rsid w:val="009D0392"/>
    <w:rsid w:val="009D10AC"/>
    <w:rsid w:val="009D1CD9"/>
    <w:rsid w:val="009D1D3B"/>
    <w:rsid w:val="009D1F69"/>
    <w:rsid w:val="009D20AA"/>
    <w:rsid w:val="009D2367"/>
    <w:rsid w:val="009D236B"/>
    <w:rsid w:val="009D28D5"/>
    <w:rsid w:val="009D2E83"/>
    <w:rsid w:val="009D34B9"/>
    <w:rsid w:val="009D43BC"/>
    <w:rsid w:val="009D471F"/>
    <w:rsid w:val="009D4746"/>
    <w:rsid w:val="009D474F"/>
    <w:rsid w:val="009D4D30"/>
    <w:rsid w:val="009D58D5"/>
    <w:rsid w:val="009D5EB4"/>
    <w:rsid w:val="009D773D"/>
    <w:rsid w:val="009E007F"/>
    <w:rsid w:val="009E0258"/>
    <w:rsid w:val="009E0372"/>
    <w:rsid w:val="009E0C11"/>
    <w:rsid w:val="009E0D21"/>
    <w:rsid w:val="009E0D80"/>
    <w:rsid w:val="009E19A2"/>
    <w:rsid w:val="009E1CC1"/>
    <w:rsid w:val="009E244D"/>
    <w:rsid w:val="009E28C6"/>
    <w:rsid w:val="009E2915"/>
    <w:rsid w:val="009E2D17"/>
    <w:rsid w:val="009E33E4"/>
    <w:rsid w:val="009E39CF"/>
    <w:rsid w:val="009E3AF1"/>
    <w:rsid w:val="009E3DBF"/>
    <w:rsid w:val="009E413E"/>
    <w:rsid w:val="009E43C5"/>
    <w:rsid w:val="009E459A"/>
    <w:rsid w:val="009E46C3"/>
    <w:rsid w:val="009E4854"/>
    <w:rsid w:val="009E4B24"/>
    <w:rsid w:val="009E4CB2"/>
    <w:rsid w:val="009E6134"/>
    <w:rsid w:val="009E62FF"/>
    <w:rsid w:val="009E6326"/>
    <w:rsid w:val="009E7158"/>
    <w:rsid w:val="009E7458"/>
    <w:rsid w:val="009E774B"/>
    <w:rsid w:val="009E7DAD"/>
    <w:rsid w:val="009E7FA6"/>
    <w:rsid w:val="009F0EFB"/>
    <w:rsid w:val="009F1C07"/>
    <w:rsid w:val="009F1D0C"/>
    <w:rsid w:val="009F1F0B"/>
    <w:rsid w:val="009F24EC"/>
    <w:rsid w:val="009F27D1"/>
    <w:rsid w:val="009F2F0C"/>
    <w:rsid w:val="009F3B76"/>
    <w:rsid w:val="009F3FD6"/>
    <w:rsid w:val="009F4939"/>
    <w:rsid w:val="009F4A80"/>
    <w:rsid w:val="009F598C"/>
    <w:rsid w:val="009F688A"/>
    <w:rsid w:val="009F6B15"/>
    <w:rsid w:val="009F6D21"/>
    <w:rsid w:val="009F733F"/>
    <w:rsid w:val="009F7608"/>
    <w:rsid w:val="009F7C8A"/>
    <w:rsid w:val="009F7D18"/>
    <w:rsid w:val="009F7E76"/>
    <w:rsid w:val="009F7E8E"/>
    <w:rsid w:val="009F7EE9"/>
    <w:rsid w:val="009F7FC4"/>
    <w:rsid w:val="009FFC35"/>
    <w:rsid w:val="00A0008C"/>
    <w:rsid w:val="00A00E70"/>
    <w:rsid w:val="00A01038"/>
    <w:rsid w:val="00A016E7"/>
    <w:rsid w:val="00A02054"/>
    <w:rsid w:val="00A0249A"/>
    <w:rsid w:val="00A02ACD"/>
    <w:rsid w:val="00A03B3D"/>
    <w:rsid w:val="00A03CF1"/>
    <w:rsid w:val="00A03E47"/>
    <w:rsid w:val="00A0459F"/>
    <w:rsid w:val="00A048D8"/>
    <w:rsid w:val="00A048E7"/>
    <w:rsid w:val="00A04AAC"/>
    <w:rsid w:val="00A04F1B"/>
    <w:rsid w:val="00A057C2"/>
    <w:rsid w:val="00A060F9"/>
    <w:rsid w:val="00A071D8"/>
    <w:rsid w:val="00A07CBD"/>
    <w:rsid w:val="00A104DD"/>
    <w:rsid w:val="00A115CA"/>
    <w:rsid w:val="00A11925"/>
    <w:rsid w:val="00A11A59"/>
    <w:rsid w:val="00A11AF4"/>
    <w:rsid w:val="00A11C97"/>
    <w:rsid w:val="00A125E7"/>
    <w:rsid w:val="00A126BF"/>
    <w:rsid w:val="00A13CA8"/>
    <w:rsid w:val="00A13CE0"/>
    <w:rsid w:val="00A140F8"/>
    <w:rsid w:val="00A14B5D"/>
    <w:rsid w:val="00A15229"/>
    <w:rsid w:val="00A15276"/>
    <w:rsid w:val="00A152E9"/>
    <w:rsid w:val="00A164E5"/>
    <w:rsid w:val="00A16EB1"/>
    <w:rsid w:val="00A17A31"/>
    <w:rsid w:val="00A17AC1"/>
    <w:rsid w:val="00A17E52"/>
    <w:rsid w:val="00A17EE3"/>
    <w:rsid w:val="00A202C4"/>
    <w:rsid w:val="00A20B9F"/>
    <w:rsid w:val="00A20F1B"/>
    <w:rsid w:val="00A20F51"/>
    <w:rsid w:val="00A211A2"/>
    <w:rsid w:val="00A21375"/>
    <w:rsid w:val="00A21953"/>
    <w:rsid w:val="00A2214A"/>
    <w:rsid w:val="00A2279D"/>
    <w:rsid w:val="00A22AC4"/>
    <w:rsid w:val="00A2336C"/>
    <w:rsid w:val="00A238C7"/>
    <w:rsid w:val="00A23AC2"/>
    <w:rsid w:val="00A23C42"/>
    <w:rsid w:val="00A23D4A"/>
    <w:rsid w:val="00A23DA7"/>
    <w:rsid w:val="00A23E63"/>
    <w:rsid w:val="00A24134"/>
    <w:rsid w:val="00A2418D"/>
    <w:rsid w:val="00A242C2"/>
    <w:rsid w:val="00A24750"/>
    <w:rsid w:val="00A24ABE"/>
    <w:rsid w:val="00A25601"/>
    <w:rsid w:val="00A2697B"/>
    <w:rsid w:val="00A26B82"/>
    <w:rsid w:val="00A26C40"/>
    <w:rsid w:val="00A26F59"/>
    <w:rsid w:val="00A276B8"/>
    <w:rsid w:val="00A301DE"/>
    <w:rsid w:val="00A30506"/>
    <w:rsid w:val="00A30B32"/>
    <w:rsid w:val="00A30BB5"/>
    <w:rsid w:val="00A30EFB"/>
    <w:rsid w:val="00A30FF8"/>
    <w:rsid w:val="00A3180F"/>
    <w:rsid w:val="00A31C70"/>
    <w:rsid w:val="00A31D8B"/>
    <w:rsid w:val="00A32AC5"/>
    <w:rsid w:val="00A32AF8"/>
    <w:rsid w:val="00A33025"/>
    <w:rsid w:val="00A334DF"/>
    <w:rsid w:val="00A338C0"/>
    <w:rsid w:val="00A33D8E"/>
    <w:rsid w:val="00A346B3"/>
    <w:rsid w:val="00A351A4"/>
    <w:rsid w:val="00A353F0"/>
    <w:rsid w:val="00A356C1"/>
    <w:rsid w:val="00A356F2"/>
    <w:rsid w:val="00A35A4E"/>
    <w:rsid w:val="00A35F13"/>
    <w:rsid w:val="00A3622C"/>
    <w:rsid w:val="00A36C56"/>
    <w:rsid w:val="00A37975"/>
    <w:rsid w:val="00A37BCD"/>
    <w:rsid w:val="00A400FD"/>
    <w:rsid w:val="00A406CB"/>
    <w:rsid w:val="00A4146D"/>
    <w:rsid w:val="00A41560"/>
    <w:rsid w:val="00A41B58"/>
    <w:rsid w:val="00A426D1"/>
    <w:rsid w:val="00A428DC"/>
    <w:rsid w:val="00A434FC"/>
    <w:rsid w:val="00A43683"/>
    <w:rsid w:val="00A43721"/>
    <w:rsid w:val="00A43869"/>
    <w:rsid w:val="00A44263"/>
    <w:rsid w:val="00A44898"/>
    <w:rsid w:val="00A44D5D"/>
    <w:rsid w:val="00A44DB3"/>
    <w:rsid w:val="00A44EA2"/>
    <w:rsid w:val="00A44FBA"/>
    <w:rsid w:val="00A450B3"/>
    <w:rsid w:val="00A45177"/>
    <w:rsid w:val="00A45971"/>
    <w:rsid w:val="00A45A61"/>
    <w:rsid w:val="00A45ADF"/>
    <w:rsid w:val="00A45C81"/>
    <w:rsid w:val="00A45EC3"/>
    <w:rsid w:val="00A464CB"/>
    <w:rsid w:val="00A46CF4"/>
    <w:rsid w:val="00A47489"/>
    <w:rsid w:val="00A47BD6"/>
    <w:rsid w:val="00A47D71"/>
    <w:rsid w:val="00A47E44"/>
    <w:rsid w:val="00A47FF8"/>
    <w:rsid w:val="00A50A22"/>
    <w:rsid w:val="00A51CC3"/>
    <w:rsid w:val="00A52014"/>
    <w:rsid w:val="00A52520"/>
    <w:rsid w:val="00A52618"/>
    <w:rsid w:val="00A5287A"/>
    <w:rsid w:val="00A53B93"/>
    <w:rsid w:val="00A53CC9"/>
    <w:rsid w:val="00A53F10"/>
    <w:rsid w:val="00A54338"/>
    <w:rsid w:val="00A54B01"/>
    <w:rsid w:val="00A5537D"/>
    <w:rsid w:val="00A557E7"/>
    <w:rsid w:val="00A55DAD"/>
    <w:rsid w:val="00A55DFC"/>
    <w:rsid w:val="00A56269"/>
    <w:rsid w:val="00A5626A"/>
    <w:rsid w:val="00A562AD"/>
    <w:rsid w:val="00A564DA"/>
    <w:rsid w:val="00A569CE"/>
    <w:rsid w:val="00A571E0"/>
    <w:rsid w:val="00A572BD"/>
    <w:rsid w:val="00A573C8"/>
    <w:rsid w:val="00A600D3"/>
    <w:rsid w:val="00A61255"/>
    <w:rsid w:val="00A61860"/>
    <w:rsid w:val="00A618A8"/>
    <w:rsid w:val="00A61B5B"/>
    <w:rsid w:val="00A61BA2"/>
    <w:rsid w:val="00A61D82"/>
    <w:rsid w:val="00A63B72"/>
    <w:rsid w:val="00A646F0"/>
    <w:rsid w:val="00A64915"/>
    <w:rsid w:val="00A6533F"/>
    <w:rsid w:val="00A65754"/>
    <w:rsid w:val="00A662BE"/>
    <w:rsid w:val="00A6662F"/>
    <w:rsid w:val="00A675D7"/>
    <w:rsid w:val="00A67766"/>
    <w:rsid w:val="00A67971"/>
    <w:rsid w:val="00A70023"/>
    <w:rsid w:val="00A70C38"/>
    <w:rsid w:val="00A715EF"/>
    <w:rsid w:val="00A716E4"/>
    <w:rsid w:val="00A719CE"/>
    <w:rsid w:val="00A71D46"/>
    <w:rsid w:val="00A724FC"/>
    <w:rsid w:val="00A72B96"/>
    <w:rsid w:val="00A72E79"/>
    <w:rsid w:val="00A73233"/>
    <w:rsid w:val="00A7341F"/>
    <w:rsid w:val="00A73D00"/>
    <w:rsid w:val="00A742A6"/>
    <w:rsid w:val="00A74F3D"/>
    <w:rsid w:val="00A75202"/>
    <w:rsid w:val="00A75696"/>
    <w:rsid w:val="00A75A38"/>
    <w:rsid w:val="00A75ABC"/>
    <w:rsid w:val="00A75C77"/>
    <w:rsid w:val="00A75DB5"/>
    <w:rsid w:val="00A76168"/>
    <w:rsid w:val="00A76494"/>
    <w:rsid w:val="00A7699D"/>
    <w:rsid w:val="00A76D61"/>
    <w:rsid w:val="00A76EC5"/>
    <w:rsid w:val="00A77314"/>
    <w:rsid w:val="00A77AFA"/>
    <w:rsid w:val="00A77BCE"/>
    <w:rsid w:val="00A77DB2"/>
    <w:rsid w:val="00A77F3E"/>
    <w:rsid w:val="00A7C30A"/>
    <w:rsid w:val="00A803F1"/>
    <w:rsid w:val="00A80433"/>
    <w:rsid w:val="00A80481"/>
    <w:rsid w:val="00A8088C"/>
    <w:rsid w:val="00A80CCC"/>
    <w:rsid w:val="00A8130A"/>
    <w:rsid w:val="00A816C5"/>
    <w:rsid w:val="00A8178E"/>
    <w:rsid w:val="00A81B40"/>
    <w:rsid w:val="00A81BB8"/>
    <w:rsid w:val="00A82B01"/>
    <w:rsid w:val="00A830B0"/>
    <w:rsid w:val="00A8320D"/>
    <w:rsid w:val="00A839B1"/>
    <w:rsid w:val="00A83E80"/>
    <w:rsid w:val="00A83EF5"/>
    <w:rsid w:val="00A844BE"/>
    <w:rsid w:val="00A844F4"/>
    <w:rsid w:val="00A84CB4"/>
    <w:rsid w:val="00A85697"/>
    <w:rsid w:val="00A857AD"/>
    <w:rsid w:val="00A857E3"/>
    <w:rsid w:val="00A859C1"/>
    <w:rsid w:val="00A85BB5"/>
    <w:rsid w:val="00A85E84"/>
    <w:rsid w:val="00A85E93"/>
    <w:rsid w:val="00A85F61"/>
    <w:rsid w:val="00A867B8"/>
    <w:rsid w:val="00A86A51"/>
    <w:rsid w:val="00A8D4F8"/>
    <w:rsid w:val="00A907FE"/>
    <w:rsid w:val="00A90B2B"/>
    <w:rsid w:val="00A90C02"/>
    <w:rsid w:val="00A90D47"/>
    <w:rsid w:val="00A91458"/>
    <w:rsid w:val="00A91486"/>
    <w:rsid w:val="00A91A74"/>
    <w:rsid w:val="00A925A3"/>
    <w:rsid w:val="00A92C85"/>
    <w:rsid w:val="00A92D70"/>
    <w:rsid w:val="00A93809"/>
    <w:rsid w:val="00A945D9"/>
    <w:rsid w:val="00A9484D"/>
    <w:rsid w:val="00A94943"/>
    <w:rsid w:val="00A94AD8"/>
    <w:rsid w:val="00A94F84"/>
    <w:rsid w:val="00A950FD"/>
    <w:rsid w:val="00A952CE"/>
    <w:rsid w:val="00A957DF"/>
    <w:rsid w:val="00A95808"/>
    <w:rsid w:val="00A95B05"/>
    <w:rsid w:val="00A95B4A"/>
    <w:rsid w:val="00A96169"/>
    <w:rsid w:val="00A96330"/>
    <w:rsid w:val="00A96375"/>
    <w:rsid w:val="00A96758"/>
    <w:rsid w:val="00A96C85"/>
    <w:rsid w:val="00A96E01"/>
    <w:rsid w:val="00A96E8D"/>
    <w:rsid w:val="00A9706A"/>
    <w:rsid w:val="00A971CC"/>
    <w:rsid w:val="00A971ED"/>
    <w:rsid w:val="00A97351"/>
    <w:rsid w:val="00A97672"/>
    <w:rsid w:val="00A97723"/>
    <w:rsid w:val="00AA0106"/>
    <w:rsid w:val="00AA041C"/>
    <w:rsid w:val="00AA043E"/>
    <w:rsid w:val="00AA0A1A"/>
    <w:rsid w:val="00AA102F"/>
    <w:rsid w:val="00AA1312"/>
    <w:rsid w:val="00AA151B"/>
    <w:rsid w:val="00AA179A"/>
    <w:rsid w:val="00AA195E"/>
    <w:rsid w:val="00AA23B2"/>
    <w:rsid w:val="00AA2414"/>
    <w:rsid w:val="00AA2AEE"/>
    <w:rsid w:val="00AA307C"/>
    <w:rsid w:val="00AA31A7"/>
    <w:rsid w:val="00AA46F9"/>
    <w:rsid w:val="00AA4763"/>
    <w:rsid w:val="00AA4894"/>
    <w:rsid w:val="00AA4AC2"/>
    <w:rsid w:val="00AA4CB2"/>
    <w:rsid w:val="00AA5532"/>
    <w:rsid w:val="00AA55C2"/>
    <w:rsid w:val="00AA5988"/>
    <w:rsid w:val="00AA6462"/>
    <w:rsid w:val="00AA6A96"/>
    <w:rsid w:val="00AA7114"/>
    <w:rsid w:val="00AA71C2"/>
    <w:rsid w:val="00AA720C"/>
    <w:rsid w:val="00AA73FE"/>
    <w:rsid w:val="00AA7C93"/>
    <w:rsid w:val="00AA7EB1"/>
    <w:rsid w:val="00AAE648"/>
    <w:rsid w:val="00AB0330"/>
    <w:rsid w:val="00AB0C87"/>
    <w:rsid w:val="00AB145A"/>
    <w:rsid w:val="00AB1ACD"/>
    <w:rsid w:val="00AB1ADC"/>
    <w:rsid w:val="00AB22AF"/>
    <w:rsid w:val="00AB2B17"/>
    <w:rsid w:val="00AB2BCE"/>
    <w:rsid w:val="00AB2EAE"/>
    <w:rsid w:val="00AB30E3"/>
    <w:rsid w:val="00AB326D"/>
    <w:rsid w:val="00AB3327"/>
    <w:rsid w:val="00AB3786"/>
    <w:rsid w:val="00AB3AA6"/>
    <w:rsid w:val="00AB4263"/>
    <w:rsid w:val="00AB436E"/>
    <w:rsid w:val="00AB4542"/>
    <w:rsid w:val="00AB45A2"/>
    <w:rsid w:val="00AB4803"/>
    <w:rsid w:val="00AB508C"/>
    <w:rsid w:val="00AB58AA"/>
    <w:rsid w:val="00AB62C6"/>
    <w:rsid w:val="00AB6FDA"/>
    <w:rsid w:val="00AB78E3"/>
    <w:rsid w:val="00AB7916"/>
    <w:rsid w:val="00AB7967"/>
    <w:rsid w:val="00AB796C"/>
    <w:rsid w:val="00AC072D"/>
    <w:rsid w:val="00AC0E2C"/>
    <w:rsid w:val="00AC1932"/>
    <w:rsid w:val="00AC1DA0"/>
    <w:rsid w:val="00AC20F9"/>
    <w:rsid w:val="00AC23D4"/>
    <w:rsid w:val="00AC257B"/>
    <w:rsid w:val="00AC2B29"/>
    <w:rsid w:val="00AC3403"/>
    <w:rsid w:val="00AC3A90"/>
    <w:rsid w:val="00AC3B94"/>
    <w:rsid w:val="00AC42CC"/>
    <w:rsid w:val="00AC45B3"/>
    <w:rsid w:val="00AC463E"/>
    <w:rsid w:val="00AC4724"/>
    <w:rsid w:val="00AC5015"/>
    <w:rsid w:val="00AC553E"/>
    <w:rsid w:val="00AC5F07"/>
    <w:rsid w:val="00AC6532"/>
    <w:rsid w:val="00AC665B"/>
    <w:rsid w:val="00AC68CF"/>
    <w:rsid w:val="00AC6CE3"/>
    <w:rsid w:val="00AC6D71"/>
    <w:rsid w:val="00AC7185"/>
    <w:rsid w:val="00AC7221"/>
    <w:rsid w:val="00AC72D0"/>
    <w:rsid w:val="00AC7A4A"/>
    <w:rsid w:val="00AC7D8D"/>
    <w:rsid w:val="00AD0540"/>
    <w:rsid w:val="00AD119D"/>
    <w:rsid w:val="00AD1627"/>
    <w:rsid w:val="00AD1688"/>
    <w:rsid w:val="00AD2197"/>
    <w:rsid w:val="00AD26BE"/>
    <w:rsid w:val="00AD2A9F"/>
    <w:rsid w:val="00AD2D75"/>
    <w:rsid w:val="00AD3327"/>
    <w:rsid w:val="00AD346A"/>
    <w:rsid w:val="00AD4025"/>
    <w:rsid w:val="00AD41EE"/>
    <w:rsid w:val="00AD4398"/>
    <w:rsid w:val="00AD49F9"/>
    <w:rsid w:val="00AD4C62"/>
    <w:rsid w:val="00AD5291"/>
    <w:rsid w:val="00AD5427"/>
    <w:rsid w:val="00AD56CD"/>
    <w:rsid w:val="00AD5805"/>
    <w:rsid w:val="00AD5A4F"/>
    <w:rsid w:val="00AD5A66"/>
    <w:rsid w:val="00AD5D15"/>
    <w:rsid w:val="00AD5D9B"/>
    <w:rsid w:val="00AD642D"/>
    <w:rsid w:val="00AD686F"/>
    <w:rsid w:val="00AD6FE5"/>
    <w:rsid w:val="00AD6FEE"/>
    <w:rsid w:val="00AD704C"/>
    <w:rsid w:val="00AD792C"/>
    <w:rsid w:val="00AD7D52"/>
    <w:rsid w:val="00AD7E18"/>
    <w:rsid w:val="00AD7F52"/>
    <w:rsid w:val="00AE0080"/>
    <w:rsid w:val="00AE0138"/>
    <w:rsid w:val="00AE0836"/>
    <w:rsid w:val="00AE0D1D"/>
    <w:rsid w:val="00AE1767"/>
    <w:rsid w:val="00AE19FD"/>
    <w:rsid w:val="00AE20BA"/>
    <w:rsid w:val="00AE23D6"/>
    <w:rsid w:val="00AE24F9"/>
    <w:rsid w:val="00AE26FF"/>
    <w:rsid w:val="00AE292B"/>
    <w:rsid w:val="00AE2F59"/>
    <w:rsid w:val="00AE303F"/>
    <w:rsid w:val="00AE378D"/>
    <w:rsid w:val="00AE4104"/>
    <w:rsid w:val="00AE4114"/>
    <w:rsid w:val="00AE42F6"/>
    <w:rsid w:val="00AE5389"/>
    <w:rsid w:val="00AE5421"/>
    <w:rsid w:val="00AE5756"/>
    <w:rsid w:val="00AE5E46"/>
    <w:rsid w:val="00AE5F62"/>
    <w:rsid w:val="00AE67E9"/>
    <w:rsid w:val="00AE6D07"/>
    <w:rsid w:val="00AE74C2"/>
    <w:rsid w:val="00AE7669"/>
    <w:rsid w:val="00AE7AB6"/>
    <w:rsid w:val="00AE961D"/>
    <w:rsid w:val="00AF0089"/>
    <w:rsid w:val="00AF0483"/>
    <w:rsid w:val="00AF0B5D"/>
    <w:rsid w:val="00AF0F36"/>
    <w:rsid w:val="00AF1211"/>
    <w:rsid w:val="00AF14B9"/>
    <w:rsid w:val="00AF22AB"/>
    <w:rsid w:val="00AF2A2D"/>
    <w:rsid w:val="00AF2B18"/>
    <w:rsid w:val="00AF2B50"/>
    <w:rsid w:val="00AF2D11"/>
    <w:rsid w:val="00AF3782"/>
    <w:rsid w:val="00AF3AFB"/>
    <w:rsid w:val="00AF5028"/>
    <w:rsid w:val="00AF547D"/>
    <w:rsid w:val="00AF5B36"/>
    <w:rsid w:val="00AF5C70"/>
    <w:rsid w:val="00AF67D2"/>
    <w:rsid w:val="00AF68AA"/>
    <w:rsid w:val="00AF7129"/>
    <w:rsid w:val="00AF77C9"/>
    <w:rsid w:val="00AF7BD3"/>
    <w:rsid w:val="00B0035D"/>
    <w:rsid w:val="00B00471"/>
    <w:rsid w:val="00B008D2"/>
    <w:rsid w:val="00B00E3A"/>
    <w:rsid w:val="00B00F91"/>
    <w:rsid w:val="00B00FC0"/>
    <w:rsid w:val="00B014FC"/>
    <w:rsid w:val="00B01719"/>
    <w:rsid w:val="00B02160"/>
    <w:rsid w:val="00B021D5"/>
    <w:rsid w:val="00B02435"/>
    <w:rsid w:val="00B02D04"/>
    <w:rsid w:val="00B02D68"/>
    <w:rsid w:val="00B03100"/>
    <w:rsid w:val="00B03A1A"/>
    <w:rsid w:val="00B03A58"/>
    <w:rsid w:val="00B03A71"/>
    <w:rsid w:val="00B03B07"/>
    <w:rsid w:val="00B03C2D"/>
    <w:rsid w:val="00B03DE6"/>
    <w:rsid w:val="00B046ED"/>
    <w:rsid w:val="00B047B4"/>
    <w:rsid w:val="00B04954"/>
    <w:rsid w:val="00B05048"/>
    <w:rsid w:val="00B052C5"/>
    <w:rsid w:val="00B0551E"/>
    <w:rsid w:val="00B058A7"/>
    <w:rsid w:val="00B05A39"/>
    <w:rsid w:val="00B05CD2"/>
    <w:rsid w:val="00B05D07"/>
    <w:rsid w:val="00B05F39"/>
    <w:rsid w:val="00B05F94"/>
    <w:rsid w:val="00B06140"/>
    <w:rsid w:val="00B075A8"/>
    <w:rsid w:val="00B07E9B"/>
    <w:rsid w:val="00B10267"/>
    <w:rsid w:val="00B10AEA"/>
    <w:rsid w:val="00B11C80"/>
    <w:rsid w:val="00B12106"/>
    <w:rsid w:val="00B123A1"/>
    <w:rsid w:val="00B12B45"/>
    <w:rsid w:val="00B12D92"/>
    <w:rsid w:val="00B12E8A"/>
    <w:rsid w:val="00B133B8"/>
    <w:rsid w:val="00B13433"/>
    <w:rsid w:val="00B139E2"/>
    <w:rsid w:val="00B13D98"/>
    <w:rsid w:val="00B14136"/>
    <w:rsid w:val="00B1414F"/>
    <w:rsid w:val="00B14327"/>
    <w:rsid w:val="00B1489B"/>
    <w:rsid w:val="00B14FDD"/>
    <w:rsid w:val="00B154F6"/>
    <w:rsid w:val="00B159BB"/>
    <w:rsid w:val="00B165B2"/>
    <w:rsid w:val="00B16BC7"/>
    <w:rsid w:val="00B16DCF"/>
    <w:rsid w:val="00B17983"/>
    <w:rsid w:val="00B17A7F"/>
    <w:rsid w:val="00B17C49"/>
    <w:rsid w:val="00B17CCE"/>
    <w:rsid w:val="00B2060E"/>
    <w:rsid w:val="00B2076E"/>
    <w:rsid w:val="00B209FE"/>
    <w:rsid w:val="00B21191"/>
    <w:rsid w:val="00B223B5"/>
    <w:rsid w:val="00B2244E"/>
    <w:rsid w:val="00B22499"/>
    <w:rsid w:val="00B2280D"/>
    <w:rsid w:val="00B23284"/>
    <w:rsid w:val="00B238C3"/>
    <w:rsid w:val="00B23C95"/>
    <w:rsid w:val="00B23EC4"/>
    <w:rsid w:val="00B2408A"/>
    <w:rsid w:val="00B2421E"/>
    <w:rsid w:val="00B243ED"/>
    <w:rsid w:val="00B246DD"/>
    <w:rsid w:val="00B2499C"/>
    <w:rsid w:val="00B24B1D"/>
    <w:rsid w:val="00B24D68"/>
    <w:rsid w:val="00B24D6F"/>
    <w:rsid w:val="00B25942"/>
    <w:rsid w:val="00B25A8B"/>
    <w:rsid w:val="00B25DAB"/>
    <w:rsid w:val="00B25FD3"/>
    <w:rsid w:val="00B2609B"/>
    <w:rsid w:val="00B2655B"/>
    <w:rsid w:val="00B26843"/>
    <w:rsid w:val="00B27287"/>
    <w:rsid w:val="00B279BF"/>
    <w:rsid w:val="00B27C74"/>
    <w:rsid w:val="00B27DCE"/>
    <w:rsid w:val="00B27E80"/>
    <w:rsid w:val="00B30348"/>
    <w:rsid w:val="00B30396"/>
    <w:rsid w:val="00B30434"/>
    <w:rsid w:val="00B30FF3"/>
    <w:rsid w:val="00B31425"/>
    <w:rsid w:val="00B31D44"/>
    <w:rsid w:val="00B320DA"/>
    <w:rsid w:val="00B3287E"/>
    <w:rsid w:val="00B32943"/>
    <w:rsid w:val="00B329E2"/>
    <w:rsid w:val="00B329EF"/>
    <w:rsid w:val="00B33EE2"/>
    <w:rsid w:val="00B34261"/>
    <w:rsid w:val="00B3493F"/>
    <w:rsid w:val="00B352B4"/>
    <w:rsid w:val="00B352D7"/>
    <w:rsid w:val="00B355BA"/>
    <w:rsid w:val="00B35FF1"/>
    <w:rsid w:val="00B366A1"/>
    <w:rsid w:val="00B367DC"/>
    <w:rsid w:val="00B36A04"/>
    <w:rsid w:val="00B3714E"/>
    <w:rsid w:val="00B37578"/>
    <w:rsid w:val="00B37B05"/>
    <w:rsid w:val="00B37E05"/>
    <w:rsid w:val="00B4011F"/>
    <w:rsid w:val="00B404D8"/>
    <w:rsid w:val="00B40F8F"/>
    <w:rsid w:val="00B40FF4"/>
    <w:rsid w:val="00B411A3"/>
    <w:rsid w:val="00B4159E"/>
    <w:rsid w:val="00B41853"/>
    <w:rsid w:val="00B41AA8"/>
    <w:rsid w:val="00B41F44"/>
    <w:rsid w:val="00B421FA"/>
    <w:rsid w:val="00B42700"/>
    <w:rsid w:val="00B42A02"/>
    <w:rsid w:val="00B42A10"/>
    <w:rsid w:val="00B431A6"/>
    <w:rsid w:val="00B43A71"/>
    <w:rsid w:val="00B43E21"/>
    <w:rsid w:val="00B4416E"/>
    <w:rsid w:val="00B44293"/>
    <w:rsid w:val="00B4461A"/>
    <w:rsid w:val="00B446C5"/>
    <w:rsid w:val="00B44B26"/>
    <w:rsid w:val="00B44DA8"/>
    <w:rsid w:val="00B450E7"/>
    <w:rsid w:val="00B452DC"/>
    <w:rsid w:val="00B45871"/>
    <w:rsid w:val="00B45887"/>
    <w:rsid w:val="00B45E0D"/>
    <w:rsid w:val="00B463FB"/>
    <w:rsid w:val="00B463FE"/>
    <w:rsid w:val="00B468E5"/>
    <w:rsid w:val="00B469B4"/>
    <w:rsid w:val="00B469C0"/>
    <w:rsid w:val="00B46B38"/>
    <w:rsid w:val="00B46BED"/>
    <w:rsid w:val="00B46CE0"/>
    <w:rsid w:val="00B470EE"/>
    <w:rsid w:val="00B47181"/>
    <w:rsid w:val="00B47260"/>
    <w:rsid w:val="00B47754"/>
    <w:rsid w:val="00B4782D"/>
    <w:rsid w:val="00B501E5"/>
    <w:rsid w:val="00B50797"/>
    <w:rsid w:val="00B5084C"/>
    <w:rsid w:val="00B50A29"/>
    <w:rsid w:val="00B51122"/>
    <w:rsid w:val="00B5162C"/>
    <w:rsid w:val="00B51C3E"/>
    <w:rsid w:val="00B52584"/>
    <w:rsid w:val="00B53615"/>
    <w:rsid w:val="00B536FA"/>
    <w:rsid w:val="00B54453"/>
    <w:rsid w:val="00B5470B"/>
    <w:rsid w:val="00B548C5"/>
    <w:rsid w:val="00B54A5E"/>
    <w:rsid w:val="00B550E2"/>
    <w:rsid w:val="00B55496"/>
    <w:rsid w:val="00B5599B"/>
    <w:rsid w:val="00B55D75"/>
    <w:rsid w:val="00B562EF"/>
    <w:rsid w:val="00B56B16"/>
    <w:rsid w:val="00B56D26"/>
    <w:rsid w:val="00B56FE3"/>
    <w:rsid w:val="00B57295"/>
    <w:rsid w:val="00B576AC"/>
    <w:rsid w:val="00B5783B"/>
    <w:rsid w:val="00B57BC3"/>
    <w:rsid w:val="00B5ADC7"/>
    <w:rsid w:val="00B6044D"/>
    <w:rsid w:val="00B60C30"/>
    <w:rsid w:val="00B60DE0"/>
    <w:rsid w:val="00B60EB1"/>
    <w:rsid w:val="00B61BA8"/>
    <w:rsid w:val="00B62938"/>
    <w:rsid w:val="00B630F3"/>
    <w:rsid w:val="00B636B3"/>
    <w:rsid w:val="00B636F7"/>
    <w:rsid w:val="00B63A3D"/>
    <w:rsid w:val="00B64143"/>
    <w:rsid w:val="00B649AA"/>
    <w:rsid w:val="00B64C8C"/>
    <w:rsid w:val="00B65400"/>
    <w:rsid w:val="00B655A5"/>
    <w:rsid w:val="00B6569E"/>
    <w:rsid w:val="00B65E61"/>
    <w:rsid w:val="00B6694B"/>
    <w:rsid w:val="00B66AC1"/>
    <w:rsid w:val="00B679C2"/>
    <w:rsid w:val="00B67DD5"/>
    <w:rsid w:val="00B703F1"/>
    <w:rsid w:val="00B714DB"/>
    <w:rsid w:val="00B71690"/>
    <w:rsid w:val="00B717F5"/>
    <w:rsid w:val="00B7187C"/>
    <w:rsid w:val="00B71ACB"/>
    <w:rsid w:val="00B71AEE"/>
    <w:rsid w:val="00B71D2B"/>
    <w:rsid w:val="00B72084"/>
    <w:rsid w:val="00B72520"/>
    <w:rsid w:val="00B729EC"/>
    <w:rsid w:val="00B731F1"/>
    <w:rsid w:val="00B732D4"/>
    <w:rsid w:val="00B73757"/>
    <w:rsid w:val="00B73C93"/>
    <w:rsid w:val="00B740E0"/>
    <w:rsid w:val="00B744AE"/>
    <w:rsid w:val="00B7465F"/>
    <w:rsid w:val="00B746BF"/>
    <w:rsid w:val="00B74885"/>
    <w:rsid w:val="00B74D1B"/>
    <w:rsid w:val="00B7501E"/>
    <w:rsid w:val="00B7521C"/>
    <w:rsid w:val="00B75281"/>
    <w:rsid w:val="00B754F4"/>
    <w:rsid w:val="00B7552B"/>
    <w:rsid w:val="00B75851"/>
    <w:rsid w:val="00B7598F"/>
    <w:rsid w:val="00B75BAA"/>
    <w:rsid w:val="00B75F6B"/>
    <w:rsid w:val="00B76065"/>
    <w:rsid w:val="00B76482"/>
    <w:rsid w:val="00B76851"/>
    <w:rsid w:val="00B76C0A"/>
    <w:rsid w:val="00B76FE2"/>
    <w:rsid w:val="00B7754B"/>
    <w:rsid w:val="00B79194"/>
    <w:rsid w:val="00B801A4"/>
    <w:rsid w:val="00B8032F"/>
    <w:rsid w:val="00B8054E"/>
    <w:rsid w:val="00B8135C"/>
    <w:rsid w:val="00B8180E"/>
    <w:rsid w:val="00B81AE9"/>
    <w:rsid w:val="00B81D4C"/>
    <w:rsid w:val="00B82001"/>
    <w:rsid w:val="00B82DFF"/>
    <w:rsid w:val="00B82FA3"/>
    <w:rsid w:val="00B83AB1"/>
    <w:rsid w:val="00B83E0F"/>
    <w:rsid w:val="00B8413B"/>
    <w:rsid w:val="00B846C0"/>
    <w:rsid w:val="00B84B6B"/>
    <w:rsid w:val="00B84C67"/>
    <w:rsid w:val="00B84E3F"/>
    <w:rsid w:val="00B85466"/>
    <w:rsid w:val="00B8562C"/>
    <w:rsid w:val="00B8569F"/>
    <w:rsid w:val="00B856C4"/>
    <w:rsid w:val="00B85A87"/>
    <w:rsid w:val="00B85C4D"/>
    <w:rsid w:val="00B86495"/>
    <w:rsid w:val="00B86549"/>
    <w:rsid w:val="00B873B9"/>
    <w:rsid w:val="00B87508"/>
    <w:rsid w:val="00B875B5"/>
    <w:rsid w:val="00B87603"/>
    <w:rsid w:val="00B87864"/>
    <w:rsid w:val="00B87F1A"/>
    <w:rsid w:val="00B900D3"/>
    <w:rsid w:val="00B90346"/>
    <w:rsid w:val="00B90D4F"/>
    <w:rsid w:val="00B91BA0"/>
    <w:rsid w:val="00B91FF8"/>
    <w:rsid w:val="00B92498"/>
    <w:rsid w:val="00B92AFE"/>
    <w:rsid w:val="00B92B8C"/>
    <w:rsid w:val="00B92C5D"/>
    <w:rsid w:val="00B93550"/>
    <w:rsid w:val="00B936E0"/>
    <w:rsid w:val="00B93ECA"/>
    <w:rsid w:val="00B94D06"/>
    <w:rsid w:val="00B95C2F"/>
    <w:rsid w:val="00B96074"/>
    <w:rsid w:val="00B969A8"/>
    <w:rsid w:val="00B96D36"/>
    <w:rsid w:val="00B979B2"/>
    <w:rsid w:val="00BA0465"/>
    <w:rsid w:val="00BA0E16"/>
    <w:rsid w:val="00BA1225"/>
    <w:rsid w:val="00BA1318"/>
    <w:rsid w:val="00BA14CA"/>
    <w:rsid w:val="00BA1C45"/>
    <w:rsid w:val="00BA21EE"/>
    <w:rsid w:val="00BA232D"/>
    <w:rsid w:val="00BA260D"/>
    <w:rsid w:val="00BA32C1"/>
    <w:rsid w:val="00BA3430"/>
    <w:rsid w:val="00BA3520"/>
    <w:rsid w:val="00BA36C5"/>
    <w:rsid w:val="00BA38E0"/>
    <w:rsid w:val="00BA3BCF"/>
    <w:rsid w:val="00BA449D"/>
    <w:rsid w:val="00BA4CD8"/>
    <w:rsid w:val="00BA57F5"/>
    <w:rsid w:val="00BA5E44"/>
    <w:rsid w:val="00BA6033"/>
    <w:rsid w:val="00BA6439"/>
    <w:rsid w:val="00BA6D6E"/>
    <w:rsid w:val="00BA6EFE"/>
    <w:rsid w:val="00BA7BD6"/>
    <w:rsid w:val="00BB0329"/>
    <w:rsid w:val="00BB0EB8"/>
    <w:rsid w:val="00BB0FF8"/>
    <w:rsid w:val="00BB1B22"/>
    <w:rsid w:val="00BB1E53"/>
    <w:rsid w:val="00BB20D8"/>
    <w:rsid w:val="00BB214C"/>
    <w:rsid w:val="00BB262D"/>
    <w:rsid w:val="00BB334F"/>
    <w:rsid w:val="00BB3B23"/>
    <w:rsid w:val="00BB458F"/>
    <w:rsid w:val="00BB4A75"/>
    <w:rsid w:val="00BB4BCF"/>
    <w:rsid w:val="00BB4C6D"/>
    <w:rsid w:val="00BB4F3D"/>
    <w:rsid w:val="00BB5478"/>
    <w:rsid w:val="00BB6140"/>
    <w:rsid w:val="00BB6D8B"/>
    <w:rsid w:val="00BB7D78"/>
    <w:rsid w:val="00BB7DA7"/>
    <w:rsid w:val="00BC0A11"/>
    <w:rsid w:val="00BC1904"/>
    <w:rsid w:val="00BC29D0"/>
    <w:rsid w:val="00BC2F80"/>
    <w:rsid w:val="00BC36C3"/>
    <w:rsid w:val="00BC37C5"/>
    <w:rsid w:val="00BC3817"/>
    <w:rsid w:val="00BC3B7F"/>
    <w:rsid w:val="00BC3EE2"/>
    <w:rsid w:val="00BC4170"/>
    <w:rsid w:val="00BC452E"/>
    <w:rsid w:val="00BC4FD1"/>
    <w:rsid w:val="00BC4FE3"/>
    <w:rsid w:val="00BC5155"/>
    <w:rsid w:val="00BC54BD"/>
    <w:rsid w:val="00BC5765"/>
    <w:rsid w:val="00BC5E1E"/>
    <w:rsid w:val="00BC5ECB"/>
    <w:rsid w:val="00BC6CFE"/>
    <w:rsid w:val="00BC6FC2"/>
    <w:rsid w:val="00BC717F"/>
    <w:rsid w:val="00BC723F"/>
    <w:rsid w:val="00BC747B"/>
    <w:rsid w:val="00BC7570"/>
    <w:rsid w:val="00BC78BD"/>
    <w:rsid w:val="00BC7B21"/>
    <w:rsid w:val="00BD022A"/>
    <w:rsid w:val="00BD0273"/>
    <w:rsid w:val="00BD0375"/>
    <w:rsid w:val="00BD037B"/>
    <w:rsid w:val="00BD0858"/>
    <w:rsid w:val="00BD09F3"/>
    <w:rsid w:val="00BD0B3E"/>
    <w:rsid w:val="00BD0C66"/>
    <w:rsid w:val="00BD1055"/>
    <w:rsid w:val="00BD10AB"/>
    <w:rsid w:val="00BD1330"/>
    <w:rsid w:val="00BD16BB"/>
    <w:rsid w:val="00BD1ADD"/>
    <w:rsid w:val="00BD1FC7"/>
    <w:rsid w:val="00BD2130"/>
    <w:rsid w:val="00BD28C9"/>
    <w:rsid w:val="00BD2CD6"/>
    <w:rsid w:val="00BD2D80"/>
    <w:rsid w:val="00BD2F5E"/>
    <w:rsid w:val="00BD3A1C"/>
    <w:rsid w:val="00BD3A56"/>
    <w:rsid w:val="00BD45B9"/>
    <w:rsid w:val="00BD488E"/>
    <w:rsid w:val="00BD4ACD"/>
    <w:rsid w:val="00BD4C14"/>
    <w:rsid w:val="00BD56A1"/>
    <w:rsid w:val="00BD591D"/>
    <w:rsid w:val="00BD5DD4"/>
    <w:rsid w:val="00BD619C"/>
    <w:rsid w:val="00BD76C5"/>
    <w:rsid w:val="00BD7B1A"/>
    <w:rsid w:val="00BD7B8C"/>
    <w:rsid w:val="00BE008E"/>
    <w:rsid w:val="00BE00CA"/>
    <w:rsid w:val="00BE023A"/>
    <w:rsid w:val="00BE0399"/>
    <w:rsid w:val="00BE03FC"/>
    <w:rsid w:val="00BE050E"/>
    <w:rsid w:val="00BE0562"/>
    <w:rsid w:val="00BE0B59"/>
    <w:rsid w:val="00BE0F4C"/>
    <w:rsid w:val="00BE18E5"/>
    <w:rsid w:val="00BE191E"/>
    <w:rsid w:val="00BE2C56"/>
    <w:rsid w:val="00BE2C5A"/>
    <w:rsid w:val="00BE2E57"/>
    <w:rsid w:val="00BE3944"/>
    <w:rsid w:val="00BE44B4"/>
    <w:rsid w:val="00BE46AE"/>
    <w:rsid w:val="00BE4771"/>
    <w:rsid w:val="00BE5283"/>
    <w:rsid w:val="00BE61D1"/>
    <w:rsid w:val="00BE6920"/>
    <w:rsid w:val="00BE6E52"/>
    <w:rsid w:val="00BE7899"/>
    <w:rsid w:val="00BE7C53"/>
    <w:rsid w:val="00BF04B3"/>
    <w:rsid w:val="00BF06E1"/>
    <w:rsid w:val="00BF130E"/>
    <w:rsid w:val="00BF1D3B"/>
    <w:rsid w:val="00BF1EA1"/>
    <w:rsid w:val="00BF2488"/>
    <w:rsid w:val="00BF2640"/>
    <w:rsid w:val="00BF27CA"/>
    <w:rsid w:val="00BF2BAA"/>
    <w:rsid w:val="00BF2BEC"/>
    <w:rsid w:val="00BF2DD2"/>
    <w:rsid w:val="00BF40A5"/>
    <w:rsid w:val="00BF434C"/>
    <w:rsid w:val="00BF442D"/>
    <w:rsid w:val="00BF4517"/>
    <w:rsid w:val="00BF4AED"/>
    <w:rsid w:val="00BF4C40"/>
    <w:rsid w:val="00BF5191"/>
    <w:rsid w:val="00BF5724"/>
    <w:rsid w:val="00BF63BD"/>
    <w:rsid w:val="00BF6B0C"/>
    <w:rsid w:val="00BF6C3E"/>
    <w:rsid w:val="00BF7A0C"/>
    <w:rsid w:val="00C00AD9"/>
    <w:rsid w:val="00C00CE8"/>
    <w:rsid w:val="00C0132F"/>
    <w:rsid w:val="00C020B6"/>
    <w:rsid w:val="00C027E8"/>
    <w:rsid w:val="00C028F3"/>
    <w:rsid w:val="00C02AE2"/>
    <w:rsid w:val="00C02E3B"/>
    <w:rsid w:val="00C02F73"/>
    <w:rsid w:val="00C04EFF"/>
    <w:rsid w:val="00C05111"/>
    <w:rsid w:val="00C05C32"/>
    <w:rsid w:val="00C0664D"/>
    <w:rsid w:val="00C067E6"/>
    <w:rsid w:val="00C06A15"/>
    <w:rsid w:val="00C06BE6"/>
    <w:rsid w:val="00C06FC7"/>
    <w:rsid w:val="00C06FFF"/>
    <w:rsid w:val="00C07AF0"/>
    <w:rsid w:val="00C07CCC"/>
    <w:rsid w:val="00C101AD"/>
    <w:rsid w:val="00C10694"/>
    <w:rsid w:val="00C107B2"/>
    <w:rsid w:val="00C11182"/>
    <w:rsid w:val="00C11470"/>
    <w:rsid w:val="00C11B37"/>
    <w:rsid w:val="00C11D0C"/>
    <w:rsid w:val="00C1212E"/>
    <w:rsid w:val="00C124B7"/>
    <w:rsid w:val="00C12877"/>
    <w:rsid w:val="00C13125"/>
    <w:rsid w:val="00C13A47"/>
    <w:rsid w:val="00C143BA"/>
    <w:rsid w:val="00C1476B"/>
    <w:rsid w:val="00C15462"/>
    <w:rsid w:val="00C156D8"/>
    <w:rsid w:val="00C158C8"/>
    <w:rsid w:val="00C15E4A"/>
    <w:rsid w:val="00C16441"/>
    <w:rsid w:val="00C1644C"/>
    <w:rsid w:val="00C1700F"/>
    <w:rsid w:val="00C1741A"/>
    <w:rsid w:val="00C17E4F"/>
    <w:rsid w:val="00C1E945"/>
    <w:rsid w:val="00C20754"/>
    <w:rsid w:val="00C20BB8"/>
    <w:rsid w:val="00C20C14"/>
    <w:rsid w:val="00C20C41"/>
    <w:rsid w:val="00C21093"/>
    <w:rsid w:val="00C21A2B"/>
    <w:rsid w:val="00C21BB1"/>
    <w:rsid w:val="00C22E2F"/>
    <w:rsid w:val="00C2385D"/>
    <w:rsid w:val="00C246F8"/>
    <w:rsid w:val="00C2514A"/>
    <w:rsid w:val="00C25B76"/>
    <w:rsid w:val="00C26998"/>
    <w:rsid w:val="00C26DA9"/>
    <w:rsid w:val="00C2708F"/>
    <w:rsid w:val="00C273DA"/>
    <w:rsid w:val="00C2763F"/>
    <w:rsid w:val="00C30206"/>
    <w:rsid w:val="00C3075A"/>
    <w:rsid w:val="00C30C58"/>
    <w:rsid w:val="00C30C5B"/>
    <w:rsid w:val="00C311B7"/>
    <w:rsid w:val="00C316E7"/>
    <w:rsid w:val="00C31745"/>
    <w:rsid w:val="00C320E9"/>
    <w:rsid w:val="00C32825"/>
    <w:rsid w:val="00C32ABC"/>
    <w:rsid w:val="00C32ACC"/>
    <w:rsid w:val="00C33544"/>
    <w:rsid w:val="00C3371F"/>
    <w:rsid w:val="00C34142"/>
    <w:rsid w:val="00C342C9"/>
    <w:rsid w:val="00C342ED"/>
    <w:rsid w:val="00C34A66"/>
    <w:rsid w:val="00C34B57"/>
    <w:rsid w:val="00C34D85"/>
    <w:rsid w:val="00C34E72"/>
    <w:rsid w:val="00C3540A"/>
    <w:rsid w:val="00C35452"/>
    <w:rsid w:val="00C35564"/>
    <w:rsid w:val="00C358DF"/>
    <w:rsid w:val="00C35DFB"/>
    <w:rsid w:val="00C36010"/>
    <w:rsid w:val="00C36D46"/>
    <w:rsid w:val="00C36E98"/>
    <w:rsid w:val="00C36FD5"/>
    <w:rsid w:val="00C37D8A"/>
    <w:rsid w:val="00C3C2C2"/>
    <w:rsid w:val="00C409E6"/>
    <w:rsid w:val="00C40BB8"/>
    <w:rsid w:val="00C41452"/>
    <w:rsid w:val="00C41609"/>
    <w:rsid w:val="00C417EA"/>
    <w:rsid w:val="00C419A7"/>
    <w:rsid w:val="00C42102"/>
    <w:rsid w:val="00C42463"/>
    <w:rsid w:val="00C4287E"/>
    <w:rsid w:val="00C42C93"/>
    <w:rsid w:val="00C43678"/>
    <w:rsid w:val="00C43883"/>
    <w:rsid w:val="00C43963"/>
    <w:rsid w:val="00C43F1C"/>
    <w:rsid w:val="00C44143"/>
    <w:rsid w:val="00C44F2F"/>
    <w:rsid w:val="00C44F5A"/>
    <w:rsid w:val="00C45052"/>
    <w:rsid w:val="00C454E1"/>
    <w:rsid w:val="00C4562E"/>
    <w:rsid w:val="00C45761"/>
    <w:rsid w:val="00C45ACA"/>
    <w:rsid w:val="00C45BBB"/>
    <w:rsid w:val="00C45DBA"/>
    <w:rsid w:val="00C47114"/>
    <w:rsid w:val="00C4726F"/>
    <w:rsid w:val="00C47F64"/>
    <w:rsid w:val="00C5032F"/>
    <w:rsid w:val="00C50BD1"/>
    <w:rsid w:val="00C50DA7"/>
    <w:rsid w:val="00C50DAD"/>
    <w:rsid w:val="00C50F36"/>
    <w:rsid w:val="00C511C1"/>
    <w:rsid w:val="00C5136C"/>
    <w:rsid w:val="00C5143B"/>
    <w:rsid w:val="00C519A6"/>
    <w:rsid w:val="00C51D16"/>
    <w:rsid w:val="00C51E2A"/>
    <w:rsid w:val="00C5254A"/>
    <w:rsid w:val="00C52C23"/>
    <w:rsid w:val="00C5304C"/>
    <w:rsid w:val="00C53102"/>
    <w:rsid w:val="00C54152"/>
    <w:rsid w:val="00C54311"/>
    <w:rsid w:val="00C54F53"/>
    <w:rsid w:val="00C54F5F"/>
    <w:rsid w:val="00C55230"/>
    <w:rsid w:val="00C55314"/>
    <w:rsid w:val="00C5543E"/>
    <w:rsid w:val="00C55500"/>
    <w:rsid w:val="00C5653C"/>
    <w:rsid w:val="00C57919"/>
    <w:rsid w:val="00C579CA"/>
    <w:rsid w:val="00C57C23"/>
    <w:rsid w:val="00C60BE9"/>
    <w:rsid w:val="00C60DDA"/>
    <w:rsid w:val="00C60E05"/>
    <w:rsid w:val="00C61332"/>
    <w:rsid w:val="00C6135B"/>
    <w:rsid w:val="00C6140B"/>
    <w:rsid w:val="00C615DC"/>
    <w:rsid w:val="00C61675"/>
    <w:rsid w:val="00C61D2A"/>
    <w:rsid w:val="00C61DEE"/>
    <w:rsid w:val="00C62191"/>
    <w:rsid w:val="00C637BE"/>
    <w:rsid w:val="00C637C3"/>
    <w:rsid w:val="00C63942"/>
    <w:rsid w:val="00C63B16"/>
    <w:rsid w:val="00C63B24"/>
    <w:rsid w:val="00C64BF9"/>
    <w:rsid w:val="00C6570E"/>
    <w:rsid w:val="00C65F22"/>
    <w:rsid w:val="00C65F61"/>
    <w:rsid w:val="00C662FE"/>
    <w:rsid w:val="00C6674A"/>
    <w:rsid w:val="00C66850"/>
    <w:rsid w:val="00C66974"/>
    <w:rsid w:val="00C66B08"/>
    <w:rsid w:val="00C66B96"/>
    <w:rsid w:val="00C66C80"/>
    <w:rsid w:val="00C67298"/>
    <w:rsid w:val="00C704CF"/>
    <w:rsid w:val="00C70A18"/>
    <w:rsid w:val="00C70A65"/>
    <w:rsid w:val="00C70E2A"/>
    <w:rsid w:val="00C711C0"/>
    <w:rsid w:val="00C71440"/>
    <w:rsid w:val="00C716BF"/>
    <w:rsid w:val="00C71D4B"/>
    <w:rsid w:val="00C71E25"/>
    <w:rsid w:val="00C7268C"/>
    <w:rsid w:val="00C72903"/>
    <w:rsid w:val="00C72A1D"/>
    <w:rsid w:val="00C72F3E"/>
    <w:rsid w:val="00C73391"/>
    <w:rsid w:val="00C73402"/>
    <w:rsid w:val="00C73703"/>
    <w:rsid w:val="00C73A44"/>
    <w:rsid w:val="00C73B96"/>
    <w:rsid w:val="00C74060"/>
    <w:rsid w:val="00C74330"/>
    <w:rsid w:val="00C74682"/>
    <w:rsid w:val="00C7471E"/>
    <w:rsid w:val="00C748D9"/>
    <w:rsid w:val="00C74B3B"/>
    <w:rsid w:val="00C75ED5"/>
    <w:rsid w:val="00C769A7"/>
    <w:rsid w:val="00C76C60"/>
    <w:rsid w:val="00C7707E"/>
    <w:rsid w:val="00C775B7"/>
    <w:rsid w:val="00C77D5D"/>
    <w:rsid w:val="00C77D66"/>
    <w:rsid w:val="00C77DA9"/>
    <w:rsid w:val="00C80603"/>
    <w:rsid w:val="00C806D3"/>
    <w:rsid w:val="00C812EA"/>
    <w:rsid w:val="00C814CA"/>
    <w:rsid w:val="00C8156F"/>
    <w:rsid w:val="00C81B64"/>
    <w:rsid w:val="00C81CFA"/>
    <w:rsid w:val="00C81D4E"/>
    <w:rsid w:val="00C82195"/>
    <w:rsid w:val="00C8236E"/>
    <w:rsid w:val="00C82B1A"/>
    <w:rsid w:val="00C82B6E"/>
    <w:rsid w:val="00C82E7F"/>
    <w:rsid w:val="00C82F30"/>
    <w:rsid w:val="00C82F93"/>
    <w:rsid w:val="00C830C3"/>
    <w:rsid w:val="00C83413"/>
    <w:rsid w:val="00C83787"/>
    <w:rsid w:val="00C83A42"/>
    <w:rsid w:val="00C83B3C"/>
    <w:rsid w:val="00C83BC9"/>
    <w:rsid w:val="00C843C3"/>
    <w:rsid w:val="00C84583"/>
    <w:rsid w:val="00C8466D"/>
    <w:rsid w:val="00C847CD"/>
    <w:rsid w:val="00C848FA"/>
    <w:rsid w:val="00C8492D"/>
    <w:rsid w:val="00C84E82"/>
    <w:rsid w:val="00C85214"/>
    <w:rsid w:val="00C8533D"/>
    <w:rsid w:val="00C85DC2"/>
    <w:rsid w:val="00C8603B"/>
    <w:rsid w:val="00C86476"/>
    <w:rsid w:val="00C8672E"/>
    <w:rsid w:val="00C86BF0"/>
    <w:rsid w:val="00C86CD3"/>
    <w:rsid w:val="00C90160"/>
    <w:rsid w:val="00C90415"/>
    <w:rsid w:val="00C90707"/>
    <w:rsid w:val="00C90811"/>
    <w:rsid w:val="00C90F05"/>
    <w:rsid w:val="00C9159C"/>
    <w:rsid w:val="00C91776"/>
    <w:rsid w:val="00C91E57"/>
    <w:rsid w:val="00C91F06"/>
    <w:rsid w:val="00C92570"/>
    <w:rsid w:val="00C92A94"/>
    <w:rsid w:val="00C92DEF"/>
    <w:rsid w:val="00C932BF"/>
    <w:rsid w:val="00C933E0"/>
    <w:rsid w:val="00C9356A"/>
    <w:rsid w:val="00C935B1"/>
    <w:rsid w:val="00C937BC"/>
    <w:rsid w:val="00C93C5A"/>
    <w:rsid w:val="00C93C78"/>
    <w:rsid w:val="00C93E06"/>
    <w:rsid w:val="00C94257"/>
    <w:rsid w:val="00C943F0"/>
    <w:rsid w:val="00C94667"/>
    <w:rsid w:val="00C9494A"/>
    <w:rsid w:val="00C94E6E"/>
    <w:rsid w:val="00C95071"/>
    <w:rsid w:val="00C95080"/>
    <w:rsid w:val="00C95261"/>
    <w:rsid w:val="00C95DDF"/>
    <w:rsid w:val="00C95EAE"/>
    <w:rsid w:val="00C95FFC"/>
    <w:rsid w:val="00C96200"/>
    <w:rsid w:val="00C96444"/>
    <w:rsid w:val="00C96ADD"/>
    <w:rsid w:val="00C97DF1"/>
    <w:rsid w:val="00CA022E"/>
    <w:rsid w:val="00CA026C"/>
    <w:rsid w:val="00CA0506"/>
    <w:rsid w:val="00CA0DF8"/>
    <w:rsid w:val="00CA11DA"/>
    <w:rsid w:val="00CA1573"/>
    <w:rsid w:val="00CA1CA3"/>
    <w:rsid w:val="00CA206F"/>
    <w:rsid w:val="00CA21ED"/>
    <w:rsid w:val="00CA2544"/>
    <w:rsid w:val="00CA33AB"/>
    <w:rsid w:val="00CA34CD"/>
    <w:rsid w:val="00CA497C"/>
    <w:rsid w:val="00CA499B"/>
    <w:rsid w:val="00CA4EBE"/>
    <w:rsid w:val="00CA617F"/>
    <w:rsid w:val="00CA6760"/>
    <w:rsid w:val="00CA6C58"/>
    <w:rsid w:val="00CA7409"/>
    <w:rsid w:val="00CA78FF"/>
    <w:rsid w:val="00CA7BEE"/>
    <w:rsid w:val="00CB034E"/>
    <w:rsid w:val="00CB086E"/>
    <w:rsid w:val="00CB0FAA"/>
    <w:rsid w:val="00CB1210"/>
    <w:rsid w:val="00CB1E2A"/>
    <w:rsid w:val="00CB1E53"/>
    <w:rsid w:val="00CB2035"/>
    <w:rsid w:val="00CB20F5"/>
    <w:rsid w:val="00CB2405"/>
    <w:rsid w:val="00CB248C"/>
    <w:rsid w:val="00CB2712"/>
    <w:rsid w:val="00CB27CB"/>
    <w:rsid w:val="00CB2958"/>
    <w:rsid w:val="00CB2B1F"/>
    <w:rsid w:val="00CB3576"/>
    <w:rsid w:val="00CB35E5"/>
    <w:rsid w:val="00CB3776"/>
    <w:rsid w:val="00CB3FE4"/>
    <w:rsid w:val="00CB4C64"/>
    <w:rsid w:val="00CB4C91"/>
    <w:rsid w:val="00CB51F1"/>
    <w:rsid w:val="00CB5386"/>
    <w:rsid w:val="00CB5689"/>
    <w:rsid w:val="00CB59C7"/>
    <w:rsid w:val="00CB65D9"/>
    <w:rsid w:val="00CB6987"/>
    <w:rsid w:val="00CB6B12"/>
    <w:rsid w:val="00CB775F"/>
    <w:rsid w:val="00CB7803"/>
    <w:rsid w:val="00CC0774"/>
    <w:rsid w:val="00CC0814"/>
    <w:rsid w:val="00CC0924"/>
    <w:rsid w:val="00CC1110"/>
    <w:rsid w:val="00CC162A"/>
    <w:rsid w:val="00CC167F"/>
    <w:rsid w:val="00CC16EF"/>
    <w:rsid w:val="00CC1C96"/>
    <w:rsid w:val="00CC1CF9"/>
    <w:rsid w:val="00CC2557"/>
    <w:rsid w:val="00CC26D2"/>
    <w:rsid w:val="00CC26F5"/>
    <w:rsid w:val="00CC37C4"/>
    <w:rsid w:val="00CC38B2"/>
    <w:rsid w:val="00CC3EA2"/>
    <w:rsid w:val="00CC40DA"/>
    <w:rsid w:val="00CC4374"/>
    <w:rsid w:val="00CC4481"/>
    <w:rsid w:val="00CC4AD0"/>
    <w:rsid w:val="00CC4E35"/>
    <w:rsid w:val="00CC5046"/>
    <w:rsid w:val="00CC53BE"/>
    <w:rsid w:val="00CC564B"/>
    <w:rsid w:val="00CC5732"/>
    <w:rsid w:val="00CC5B1F"/>
    <w:rsid w:val="00CC5F93"/>
    <w:rsid w:val="00CC6E40"/>
    <w:rsid w:val="00CC7063"/>
    <w:rsid w:val="00CC7385"/>
    <w:rsid w:val="00CC78EC"/>
    <w:rsid w:val="00CC7F59"/>
    <w:rsid w:val="00CD0A33"/>
    <w:rsid w:val="00CD0ADA"/>
    <w:rsid w:val="00CD0E40"/>
    <w:rsid w:val="00CD0FB8"/>
    <w:rsid w:val="00CD1178"/>
    <w:rsid w:val="00CD146B"/>
    <w:rsid w:val="00CD1ADD"/>
    <w:rsid w:val="00CD1B01"/>
    <w:rsid w:val="00CD1C35"/>
    <w:rsid w:val="00CD1C89"/>
    <w:rsid w:val="00CD1D80"/>
    <w:rsid w:val="00CD1FE2"/>
    <w:rsid w:val="00CD2E89"/>
    <w:rsid w:val="00CD3240"/>
    <w:rsid w:val="00CD362A"/>
    <w:rsid w:val="00CD3C1B"/>
    <w:rsid w:val="00CD3E55"/>
    <w:rsid w:val="00CD4331"/>
    <w:rsid w:val="00CD4638"/>
    <w:rsid w:val="00CD4BA3"/>
    <w:rsid w:val="00CD5B8A"/>
    <w:rsid w:val="00CD5ED1"/>
    <w:rsid w:val="00CD67C5"/>
    <w:rsid w:val="00CD70F8"/>
    <w:rsid w:val="00CD70FE"/>
    <w:rsid w:val="00CD73A7"/>
    <w:rsid w:val="00CD7493"/>
    <w:rsid w:val="00CE02D6"/>
    <w:rsid w:val="00CE08BF"/>
    <w:rsid w:val="00CE0961"/>
    <w:rsid w:val="00CE0DDB"/>
    <w:rsid w:val="00CE127B"/>
    <w:rsid w:val="00CE16AA"/>
    <w:rsid w:val="00CE1AC3"/>
    <w:rsid w:val="00CE1D3B"/>
    <w:rsid w:val="00CE2487"/>
    <w:rsid w:val="00CE28A6"/>
    <w:rsid w:val="00CE2C7C"/>
    <w:rsid w:val="00CE35F7"/>
    <w:rsid w:val="00CE36A9"/>
    <w:rsid w:val="00CE4008"/>
    <w:rsid w:val="00CE444A"/>
    <w:rsid w:val="00CE4B71"/>
    <w:rsid w:val="00CE51D4"/>
    <w:rsid w:val="00CE5335"/>
    <w:rsid w:val="00CE590A"/>
    <w:rsid w:val="00CE5D04"/>
    <w:rsid w:val="00CE64BB"/>
    <w:rsid w:val="00CE65A1"/>
    <w:rsid w:val="00CE6F11"/>
    <w:rsid w:val="00CE7D61"/>
    <w:rsid w:val="00CE7F39"/>
    <w:rsid w:val="00CF013D"/>
    <w:rsid w:val="00CF0AA5"/>
    <w:rsid w:val="00CF10E3"/>
    <w:rsid w:val="00CF19AD"/>
    <w:rsid w:val="00CF2F3B"/>
    <w:rsid w:val="00CF36F7"/>
    <w:rsid w:val="00CF3863"/>
    <w:rsid w:val="00CF3CE9"/>
    <w:rsid w:val="00CF434F"/>
    <w:rsid w:val="00CF5AB7"/>
    <w:rsid w:val="00CF603D"/>
    <w:rsid w:val="00CF6A65"/>
    <w:rsid w:val="00CF6CF2"/>
    <w:rsid w:val="00CF71D0"/>
    <w:rsid w:val="00D00274"/>
    <w:rsid w:val="00D0093B"/>
    <w:rsid w:val="00D00A65"/>
    <w:rsid w:val="00D00BAB"/>
    <w:rsid w:val="00D015E4"/>
    <w:rsid w:val="00D0178E"/>
    <w:rsid w:val="00D01D81"/>
    <w:rsid w:val="00D020F6"/>
    <w:rsid w:val="00D022B6"/>
    <w:rsid w:val="00D02309"/>
    <w:rsid w:val="00D025E1"/>
    <w:rsid w:val="00D025FC"/>
    <w:rsid w:val="00D02E45"/>
    <w:rsid w:val="00D02E93"/>
    <w:rsid w:val="00D02F1F"/>
    <w:rsid w:val="00D0395D"/>
    <w:rsid w:val="00D03A05"/>
    <w:rsid w:val="00D03A67"/>
    <w:rsid w:val="00D04295"/>
    <w:rsid w:val="00D04B5D"/>
    <w:rsid w:val="00D04EB2"/>
    <w:rsid w:val="00D04FEB"/>
    <w:rsid w:val="00D052B3"/>
    <w:rsid w:val="00D052C3"/>
    <w:rsid w:val="00D06095"/>
    <w:rsid w:val="00D065AE"/>
    <w:rsid w:val="00D07690"/>
    <w:rsid w:val="00D077B9"/>
    <w:rsid w:val="00D07B4D"/>
    <w:rsid w:val="00D07C48"/>
    <w:rsid w:val="00D07E31"/>
    <w:rsid w:val="00D105F5"/>
    <w:rsid w:val="00D10D35"/>
    <w:rsid w:val="00D10D99"/>
    <w:rsid w:val="00D11174"/>
    <w:rsid w:val="00D1151C"/>
    <w:rsid w:val="00D11AC7"/>
    <w:rsid w:val="00D123CF"/>
    <w:rsid w:val="00D126E0"/>
    <w:rsid w:val="00D12A81"/>
    <w:rsid w:val="00D13039"/>
    <w:rsid w:val="00D1343F"/>
    <w:rsid w:val="00D137CF"/>
    <w:rsid w:val="00D13D39"/>
    <w:rsid w:val="00D143AE"/>
    <w:rsid w:val="00D14735"/>
    <w:rsid w:val="00D14952"/>
    <w:rsid w:val="00D1507F"/>
    <w:rsid w:val="00D15162"/>
    <w:rsid w:val="00D1559D"/>
    <w:rsid w:val="00D15D0F"/>
    <w:rsid w:val="00D16400"/>
    <w:rsid w:val="00D1657A"/>
    <w:rsid w:val="00D16EC3"/>
    <w:rsid w:val="00D17201"/>
    <w:rsid w:val="00D176B7"/>
    <w:rsid w:val="00D20156"/>
    <w:rsid w:val="00D2062B"/>
    <w:rsid w:val="00D20B38"/>
    <w:rsid w:val="00D20D12"/>
    <w:rsid w:val="00D210E5"/>
    <w:rsid w:val="00D21363"/>
    <w:rsid w:val="00D22657"/>
    <w:rsid w:val="00D2317B"/>
    <w:rsid w:val="00D232DE"/>
    <w:rsid w:val="00D2386E"/>
    <w:rsid w:val="00D242FC"/>
    <w:rsid w:val="00D24314"/>
    <w:rsid w:val="00D244CC"/>
    <w:rsid w:val="00D24822"/>
    <w:rsid w:val="00D24CB0"/>
    <w:rsid w:val="00D2504E"/>
    <w:rsid w:val="00D250DD"/>
    <w:rsid w:val="00D2550C"/>
    <w:rsid w:val="00D256EE"/>
    <w:rsid w:val="00D25A48"/>
    <w:rsid w:val="00D25DDA"/>
    <w:rsid w:val="00D2679B"/>
    <w:rsid w:val="00D26A33"/>
    <w:rsid w:val="00D26AC8"/>
    <w:rsid w:val="00D26E80"/>
    <w:rsid w:val="00D2782E"/>
    <w:rsid w:val="00D27E5B"/>
    <w:rsid w:val="00D30211"/>
    <w:rsid w:val="00D3025B"/>
    <w:rsid w:val="00D30301"/>
    <w:rsid w:val="00D303FB"/>
    <w:rsid w:val="00D30A43"/>
    <w:rsid w:val="00D30E5F"/>
    <w:rsid w:val="00D30F7C"/>
    <w:rsid w:val="00D316B7"/>
    <w:rsid w:val="00D31D04"/>
    <w:rsid w:val="00D325A3"/>
    <w:rsid w:val="00D329AD"/>
    <w:rsid w:val="00D32B3B"/>
    <w:rsid w:val="00D32D67"/>
    <w:rsid w:val="00D32FFF"/>
    <w:rsid w:val="00D33158"/>
    <w:rsid w:val="00D3324D"/>
    <w:rsid w:val="00D3356C"/>
    <w:rsid w:val="00D335A0"/>
    <w:rsid w:val="00D339B6"/>
    <w:rsid w:val="00D33CE1"/>
    <w:rsid w:val="00D33FDD"/>
    <w:rsid w:val="00D34337"/>
    <w:rsid w:val="00D343C2"/>
    <w:rsid w:val="00D34E3C"/>
    <w:rsid w:val="00D34FF8"/>
    <w:rsid w:val="00D35B4E"/>
    <w:rsid w:val="00D35E3C"/>
    <w:rsid w:val="00D35E73"/>
    <w:rsid w:val="00D362C9"/>
    <w:rsid w:val="00D36935"/>
    <w:rsid w:val="00D36CF6"/>
    <w:rsid w:val="00D37190"/>
    <w:rsid w:val="00D371D7"/>
    <w:rsid w:val="00D3781B"/>
    <w:rsid w:val="00D403DA"/>
    <w:rsid w:val="00D40FF0"/>
    <w:rsid w:val="00D415C8"/>
    <w:rsid w:val="00D416C7"/>
    <w:rsid w:val="00D41BA8"/>
    <w:rsid w:val="00D42179"/>
    <w:rsid w:val="00D4266C"/>
    <w:rsid w:val="00D429BC"/>
    <w:rsid w:val="00D431C5"/>
    <w:rsid w:val="00D431EE"/>
    <w:rsid w:val="00D432B8"/>
    <w:rsid w:val="00D4386A"/>
    <w:rsid w:val="00D43C9A"/>
    <w:rsid w:val="00D442EF"/>
    <w:rsid w:val="00D4445A"/>
    <w:rsid w:val="00D44866"/>
    <w:rsid w:val="00D44EF2"/>
    <w:rsid w:val="00D45236"/>
    <w:rsid w:val="00D452CB"/>
    <w:rsid w:val="00D4530D"/>
    <w:rsid w:val="00D455E7"/>
    <w:rsid w:val="00D46475"/>
    <w:rsid w:val="00D474FB"/>
    <w:rsid w:val="00D47698"/>
    <w:rsid w:val="00D47AEA"/>
    <w:rsid w:val="00D47B70"/>
    <w:rsid w:val="00D47BC5"/>
    <w:rsid w:val="00D47D09"/>
    <w:rsid w:val="00D487DF"/>
    <w:rsid w:val="00D50800"/>
    <w:rsid w:val="00D51173"/>
    <w:rsid w:val="00D513E5"/>
    <w:rsid w:val="00D5157B"/>
    <w:rsid w:val="00D51AFE"/>
    <w:rsid w:val="00D51C26"/>
    <w:rsid w:val="00D51D33"/>
    <w:rsid w:val="00D5250A"/>
    <w:rsid w:val="00D52AFD"/>
    <w:rsid w:val="00D52B63"/>
    <w:rsid w:val="00D530A0"/>
    <w:rsid w:val="00D5315C"/>
    <w:rsid w:val="00D53302"/>
    <w:rsid w:val="00D53F32"/>
    <w:rsid w:val="00D544B4"/>
    <w:rsid w:val="00D54C91"/>
    <w:rsid w:val="00D555A0"/>
    <w:rsid w:val="00D55F2A"/>
    <w:rsid w:val="00D55FF9"/>
    <w:rsid w:val="00D562FA"/>
    <w:rsid w:val="00D56643"/>
    <w:rsid w:val="00D568B3"/>
    <w:rsid w:val="00D60416"/>
    <w:rsid w:val="00D60F2B"/>
    <w:rsid w:val="00D619B6"/>
    <w:rsid w:val="00D61A52"/>
    <w:rsid w:val="00D63B2C"/>
    <w:rsid w:val="00D63BA5"/>
    <w:rsid w:val="00D63BF7"/>
    <w:rsid w:val="00D63FB0"/>
    <w:rsid w:val="00D6460E"/>
    <w:rsid w:val="00D64636"/>
    <w:rsid w:val="00D64E8B"/>
    <w:rsid w:val="00D65565"/>
    <w:rsid w:val="00D6563D"/>
    <w:rsid w:val="00D66086"/>
    <w:rsid w:val="00D661D4"/>
    <w:rsid w:val="00D663A3"/>
    <w:rsid w:val="00D67255"/>
    <w:rsid w:val="00D67735"/>
    <w:rsid w:val="00D70368"/>
    <w:rsid w:val="00D72376"/>
    <w:rsid w:val="00D72772"/>
    <w:rsid w:val="00D72C78"/>
    <w:rsid w:val="00D7329C"/>
    <w:rsid w:val="00D73755"/>
    <w:rsid w:val="00D73956"/>
    <w:rsid w:val="00D73A41"/>
    <w:rsid w:val="00D75020"/>
    <w:rsid w:val="00D758A2"/>
    <w:rsid w:val="00D7720E"/>
    <w:rsid w:val="00D77210"/>
    <w:rsid w:val="00D7739C"/>
    <w:rsid w:val="00D77894"/>
    <w:rsid w:val="00D80909"/>
    <w:rsid w:val="00D809C7"/>
    <w:rsid w:val="00D80BEB"/>
    <w:rsid w:val="00D81E8A"/>
    <w:rsid w:val="00D81F53"/>
    <w:rsid w:val="00D81FA8"/>
    <w:rsid w:val="00D826A6"/>
    <w:rsid w:val="00D826D2"/>
    <w:rsid w:val="00D82A25"/>
    <w:rsid w:val="00D82B7D"/>
    <w:rsid w:val="00D82BF3"/>
    <w:rsid w:val="00D82D8A"/>
    <w:rsid w:val="00D82FC8"/>
    <w:rsid w:val="00D83DA2"/>
    <w:rsid w:val="00D840C6"/>
    <w:rsid w:val="00D84342"/>
    <w:rsid w:val="00D8508E"/>
    <w:rsid w:val="00D854A0"/>
    <w:rsid w:val="00D85813"/>
    <w:rsid w:val="00D85AAD"/>
    <w:rsid w:val="00D85D43"/>
    <w:rsid w:val="00D85E2C"/>
    <w:rsid w:val="00D86283"/>
    <w:rsid w:val="00D86E45"/>
    <w:rsid w:val="00D86FED"/>
    <w:rsid w:val="00D87183"/>
    <w:rsid w:val="00D87277"/>
    <w:rsid w:val="00D878A5"/>
    <w:rsid w:val="00D87977"/>
    <w:rsid w:val="00D87A09"/>
    <w:rsid w:val="00D902C6"/>
    <w:rsid w:val="00D90BF2"/>
    <w:rsid w:val="00D90E91"/>
    <w:rsid w:val="00D90ED7"/>
    <w:rsid w:val="00D912AA"/>
    <w:rsid w:val="00D91416"/>
    <w:rsid w:val="00D91523"/>
    <w:rsid w:val="00D91778"/>
    <w:rsid w:val="00D91CB1"/>
    <w:rsid w:val="00D91CF6"/>
    <w:rsid w:val="00D91E88"/>
    <w:rsid w:val="00D9260D"/>
    <w:rsid w:val="00D92F8B"/>
    <w:rsid w:val="00D9312F"/>
    <w:rsid w:val="00D9369A"/>
    <w:rsid w:val="00D93826"/>
    <w:rsid w:val="00D93A2E"/>
    <w:rsid w:val="00D94150"/>
    <w:rsid w:val="00D9436E"/>
    <w:rsid w:val="00D9443C"/>
    <w:rsid w:val="00D9516A"/>
    <w:rsid w:val="00D95A81"/>
    <w:rsid w:val="00D95B99"/>
    <w:rsid w:val="00D95F1D"/>
    <w:rsid w:val="00D96287"/>
    <w:rsid w:val="00D96357"/>
    <w:rsid w:val="00D96CB3"/>
    <w:rsid w:val="00D97284"/>
    <w:rsid w:val="00D97ABD"/>
    <w:rsid w:val="00D97D91"/>
    <w:rsid w:val="00D97D93"/>
    <w:rsid w:val="00DA01A6"/>
    <w:rsid w:val="00DA0430"/>
    <w:rsid w:val="00DA1A10"/>
    <w:rsid w:val="00DA1DC5"/>
    <w:rsid w:val="00DA278A"/>
    <w:rsid w:val="00DA29AA"/>
    <w:rsid w:val="00DA3240"/>
    <w:rsid w:val="00DA37AA"/>
    <w:rsid w:val="00DA4104"/>
    <w:rsid w:val="00DA4456"/>
    <w:rsid w:val="00DA44E2"/>
    <w:rsid w:val="00DA511E"/>
    <w:rsid w:val="00DA5972"/>
    <w:rsid w:val="00DA59F4"/>
    <w:rsid w:val="00DA5FCA"/>
    <w:rsid w:val="00DA70D6"/>
    <w:rsid w:val="00DA7206"/>
    <w:rsid w:val="00DA7257"/>
    <w:rsid w:val="00DB01C4"/>
    <w:rsid w:val="00DB0273"/>
    <w:rsid w:val="00DB0789"/>
    <w:rsid w:val="00DB095C"/>
    <w:rsid w:val="00DB119C"/>
    <w:rsid w:val="00DB11B1"/>
    <w:rsid w:val="00DB11F8"/>
    <w:rsid w:val="00DB138E"/>
    <w:rsid w:val="00DB14AC"/>
    <w:rsid w:val="00DB16B0"/>
    <w:rsid w:val="00DB1CAA"/>
    <w:rsid w:val="00DB1E75"/>
    <w:rsid w:val="00DB1F55"/>
    <w:rsid w:val="00DB20A1"/>
    <w:rsid w:val="00DB2465"/>
    <w:rsid w:val="00DB2657"/>
    <w:rsid w:val="00DB29B4"/>
    <w:rsid w:val="00DB2E1B"/>
    <w:rsid w:val="00DB3030"/>
    <w:rsid w:val="00DB30FF"/>
    <w:rsid w:val="00DB35B7"/>
    <w:rsid w:val="00DB38D6"/>
    <w:rsid w:val="00DB3FE9"/>
    <w:rsid w:val="00DB40A8"/>
    <w:rsid w:val="00DB40F1"/>
    <w:rsid w:val="00DB459A"/>
    <w:rsid w:val="00DB4A14"/>
    <w:rsid w:val="00DB5A02"/>
    <w:rsid w:val="00DB5F64"/>
    <w:rsid w:val="00DB6BD7"/>
    <w:rsid w:val="00DB6D35"/>
    <w:rsid w:val="00DB6E46"/>
    <w:rsid w:val="00DB7F91"/>
    <w:rsid w:val="00DC01D3"/>
    <w:rsid w:val="00DC0214"/>
    <w:rsid w:val="00DC0335"/>
    <w:rsid w:val="00DC06C7"/>
    <w:rsid w:val="00DC0D8F"/>
    <w:rsid w:val="00DC1324"/>
    <w:rsid w:val="00DC2401"/>
    <w:rsid w:val="00DC2471"/>
    <w:rsid w:val="00DC265C"/>
    <w:rsid w:val="00DC296A"/>
    <w:rsid w:val="00DC2994"/>
    <w:rsid w:val="00DC2E3B"/>
    <w:rsid w:val="00DC2F62"/>
    <w:rsid w:val="00DC3A8D"/>
    <w:rsid w:val="00DC3A95"/>
    <w:rsid w:val="00DC410D"/>
    <w:rsid w:val="00DC4ECA"/>
    <w:rsid w:val="00DC5846"/>
    <w:rsid w:val="00DC5B2A"/>
    <w:rsid w:val="00DC5F3E"/>
    <w:rsid w:val="00DC62E6"/>
    <w:rsid w:val="00DC65E0"/>
    <w:rsid w:val="00DC6C01"/>
    <w:rsid w:val="00DC6F81"/>
    <w:rsid w:val="00DC713C"/>
    <w:rsid w:val="00DC7338"/>
    <w:rsid w:val="00DC7F8D"/>
    <w:rsid w:val="00DD006D"/>
    <w:rsid w:val="00DD0820"/>
    <w:rsid w:val="00DD08E3"/>
    <w:rsid w:val="00DD09B2"/>
    <w:rsid w:val="00DD0CDB"/>
    <w:rsid w:val="00DD0F40"/>
    <w:rsid w:val="00DD1174"/>
    <w:rsid w:val="00DD148F"/>
    <w:rsid w:val="00DD1791"/>
    <w:rsid w:val="00DD1D97"/>
    <w:rsid w:val="00DD266D"/>
    <w:rsid w:val="00DD3031"/>
    <w:rsid w:val="00DD32C2"/>
    <w:rsid w:val="00DD3363"/>
    <w:rsid w:val="00DD3677"/>
    <w:rsid w:val="00DD37D5"/>
    <w:rsid w:val="00DD3AE4"/>
    <w:rsid w:val="00DD42E5"/>
    <w:rsid w:val="00DD4AA0"/>
    <w:rsid w:val="00DD50A1"/>
    <w:rsid w:val="00DD59D2"/>
    <w:rsid w:val="00DD62E2"/>
    <w:rsid w:val="00DD6A06"/>
    <w:rsid w:val="00DD6A98"/>
    <w:rsid w:val="00DD702B"/>
    <w:rsid w:val="00DD73A6"/>
    <w:rsid w:val="00DD73F2"/>
    <w:rsid w:val="00DD746F"/>
    <w:rsid w:val="00DD7DF3"/>
    <w:rsid w:val="00DE0F35"/>
    <w:rsid w:val="00DE1000"/>
    <w:rsid w:val="00DE1381"/>
    <w:rsid w:val="00DE166B"/>
    <w:rsid w:val="00DE1773"/>
    <w:rsid w:val="00DE1894"/>
    <w:rsid w:val="00DE18C7"/>
    <w:rsid w:val="00DE1DBB"/>
    <w:rsid w:val="00DE1ECB"/>
    <w:rsid w:val="00DE23EC"/>
    <w:rsid w:val="00DE3445"/>
    <w:rsid w:val="00DE357F"/>
    <w:rsid w:val="00DE383E"/>
    <w:rsid w:val="00DE3AD9"/>
    <w:rsid w:val="00DE3E21"/>
    <w:rsid w:val="00DE43DD"/>
    <w:rsid w:val="00DE4579"/>
    <w:rsid w:val="00DE4E9B"/>
    <w:rsid w:val="00DE5659"/>
    <w:rsid w:val="00DE58CE"/>
    <w:rsid w:val="00DE68DC"/>
    <w:rsid w:val="00DE69F3"/>
    <w:rsid w:val="00DE713A"/>
    <w:rsid w:val="00DE7286"/>
    <w:rsid w:val="00DE7535"/>
    <w:rsid w:val="00DE769C"/>
    <w:rsid w:val="00DE785B"/>
    <w:rsid w:val="00DF02D7"/>
    <w:rsid w:val="00DF058C"/>
    <w:rsid w:val="00DF089F"/>
    <w:rsid w:val="00DF0FAA"/>
    <w:rsid w:val="00DF1637"/>
    <w:rsid w:val="00DF1F48"/>
    <w:rsid w:val="00DF1FB8"/>
    <w:rsid w:val="00DF23CA"/>
    <w:rsid w:val="00DF29B4"/>
    <w:rsid w:val="00DF30D6"/>
    <w:rsid w:val="00DF31C6"/>
    <w:rsid w:val="00DF3BD7"/>
    <w:rsid w:val="00DF3F26"/>
    <w:rsid w:val="00DF4269"/>
    <w:rsid w:val="00DF48A4"/>
    <w:rsid w:val="00DF547E"/>
    <w:rsid w:val="00DF5615"/>
    <w:rsid w:val="00DF5B05"/>
    <w:rsid w:val="00DF5FB2"/>
    <w:rsid w:val="00DF6158"/>
    <w:rsid w:val="00DF6586"/>
    <w:rsid w:val="00DF6820"/>
    <w:rsid w:val="00DF6B9E"/>
    <w:rsid w:val="00DF7027"/>
    <w:rsid w:val="00DF78AD"/>
    <w:rsid w:val="00DF7957"/>
    <w:rsid w:val="00DF79C2"/>
    <w:rsid w:val="00E00768"/>
    <w:rsid w:val="00E007CC"/>
    <w:rsid w:val="00E0100B"/>
    <w:rsid w:val="00E012F9"/>
    <w:rsid w:val="00E0192A"/>
    <w:rsid w:val="00E01988"/>
    <w:rsid w:val="00E0251B"/>
    <w:rsid w:val="00E0255B"/>
    <w:rsid w:val="00E02602"/>
    <w:rsid w:val="00E02635"/>
    <w:rsid w:val="00E02638"/>
    <w:rsid w:val="00E02752"/>
    <w:rsid w:val="00E02E06"/>
    <w:rsid w:val="00E03012"/>
    <w:rsid w:val="00E03059"/>
    <w:rsid w:val="00E03267"/>
    <w:rsid w:val="00E03DC7"/>
    <w:rsid w:val="00E03EBA"/>
    <w:rsid w:val="00E04638"/>
    <w:rsid w:val="00E04CD4"/>
    <w:rsid w:val="00E04D8F"/>
    <w:rsid w:val="00E05D8B"/>
    <w:rsid w:val="00E060AF"/>
    <w:rsid w:val="00E07096"/>
    <w:rsid w:val="00E10223"/>
    <w:rsid w:val="00E1034D"/>
    <w:rsid w:val="00E10AEC"/>
    <w:rsid w:val="00E10FD9"/>
    <w:rsid w:val="00E1123C"/>
    <w:rsid w:val="00E11758"/>
    <w:rsid w:val="00E125A7"/>
    <w:rsid w:val="00E12629"/>
    <w:rsid w:val="00E12655"/>
    <w:rsid w:val="00E12947"/>
    <w:rsid w:val="00E12C43"/>
    <w:rsid w:val="00E13C7A"/>
    <w:rsid w:val="00E13D72"/>
    <w:rsid w:val="00E13FB4"/>
    <w:rsid w:val="00E14150"/>
    <w:rsid w:val="00E1417E"/>
    <w:rsid w:val="00E14519"/>
    <w:rsid w:val="00E1499C"/>
    <w:rsid w:val="00E14DDF"/>
    <w:rsid w:val="00E14E87"/>
    <w:rsid w:val="00E14FE1"/>
    <w:rsid w:val="00E157C9"/>
    <w:rsid w:val="00E162CC"/>
    <w:rsid w:val="00E16570"/>
    <w:rsid w:val="00E165E5"/>
    <w:rsid w:val="00E167D9"/>
    <w:rsid w:val="00E16CD1"/>
    <w:rsid w:val="00E17645"/>
    <w:rsid w:val="00E17A8F"/>
    <w:rsid w:val="00E17EA8"/>
    <w:rsid w:val="00E213BA"/>
    <w:rsid w:val="00E215A2"/>
    <w:rsid w:val="00E219F6"/>
    <w:rsid w:val="00E21F5A"/>
    <w:rsid w:val="00E22402"/>
    <w:rsid w:val="00E22F78"/>
    <w:rsid w:val="00E236C2"/>
    <w:rsid w:val="00E239AC"/>
    <w:rsid w:val="00E23E3C"/>
    <w:rsid w:val="00E244FC"/>
    <w:rsid w:val="00E25194"/>
    <w:rsid w:val="00E2550D"/>
    <w:rsid w:val="00E2556B"/>
    <w:rsid w:val="00E25C0E"/>
    <w:rsid w:val="00E26153"/>
    <w:rsid w:val="00E26924"/>
    <w:rsid w:val="00E26C9C"/>
    <w:rsid w:val="00E26D93"/>
    <w:rsid w:val="00E27123"/>
    <w:rsid w:val="00E27717"/>
    <w:rsid w:val="00E27825"/>
    <w:rsid w:val="00E27FF7"/>
    <w:rsid w:val="00E307B4"/>
    <w:rsid w:val="00E30A83"/>
    <w:rsid w:val="00E318B8"/>
    <w:rsid w:val="00E325DC"/>
    <w:rsid w:val="00E32B0C"/>
    <w:rsid w:val="00E32E02"/>
    <w:rsid w:val="00E3320C"/>
    <w:rsid w:val="00E33254"/>
    <w:rsid w:val="00E33546"/>
    <w:rsid w:val="00E33D8D"/>
    <w:rsid w:val="00E33DD8"/>
    <w:rsid w:val="00E34596"/>
    <w:rsid w:val="00E34634"/>
    <w:rsid w:val="00E35160"/>
    <w:rsid w:val="00E353EA"/>
    <w:rsid w:val="00E3541F"/>
    <w:rsid w:val="00E3591D"/>
    <w:rsid w:val="00E35B9F"/>
    <w:rsid w:val="00E35C09"/>
    <w:rsid w:val="00E363E0"/>
    <w:rsid w:val="00E366B0"/>
    <w:rsid w:val="00E36B83"/>
    <w:rsid w:val="00E36FF1"/>
    <w:rsid w:val="00E37A71"/>
    <w:rsid w:val="00E37C06"/>
    <w:rsid w:val="00E37D1B"/>
    <w:rsid w:val="00E4097D"/>
    <w:rsid w:val="00E40CC0"/>
    <w:rsid w:val="00E40EA0"/>
    <w:rsid w:val="00E41062"/>
    <w:rsid w:val="00E41108"/>
    <w:rsid w:val="00E411B1"/>
    <w:rsid w:val="00E41C0A"/>
    <w:rsid w:val="00E41C39"/>
    <w:rsid w:val="00E423FD"/>
    <w:rsid w:val="00E42B9A"/>
    <w:rsid w:val="00E42CEC"/>
    <w:rsid w:val="00E4314C"/>
    <w:rsid w:val="00E434E3"/>
    <w:rsid w:val="00E43728"/>
    <w:rsid w:val="00E437CA"/>
    <w:rsid w:val="00E43BA6"/>
    <w:rsid w:val="00E440C8"/>
    <w:rsid w:val="00E44BFE"/>
    <w:rsid w:val="00E44FE3"/>
    <w:rsid w:val="00E458AB"/>
    <w:rsid w:val="00E45EF3"/>
    <w:rsid w:val="00E46259"/>
    <w:rsid w:val="00E46762"/>
    <w:rsid w:val="00E467B9"/>
    <w:rsid w:val="00E46F83"/>
    <w:rsid w:val="00E48E17"/>
    <w:rsid w:val="00E508A8"/>
    <w:rsid w:val="00E5093C"/>
    <w:rsid w:val="00E50B18"/>
    <w:rsid w:val="00E50DAB"/>
    <w:rsid w:val="00E50ED0"/>
    <w:rsid w:val="00E50ED3"/>
    <w:rsid w:val="00E50F51"/>
    <w:rsid w:val="00E51346"/>
    <w:rsid w:val="00E51912"/>
    <w:rsid w:val="00E51930"/>
    <w:rsid w:val="00E52246"/>
    <w:rsid w:val="00E5253F"/>
    <w:rsid w:val="00E527D9"/>
    <w:rsid w:val="00E52FA0"/>
    <w:rsid w:val="00E53553"/>
    <w:rsid w:val="00E53FFF"/>
    <w:rsid w:val="00E54016"/>
    <w:rsid w:val="00E540BF"/>
    <w:rsid w:val="00E5479F"/>
    <w:rsid w:val="00E54843"/>
    <w:rsid w:val="00E54DDE"/>
    <w:rsid w:val="00E55719"/>
    <w:rsid w:val="00E55FA7"/>
    <w:rsid w:val="00E560B8"/>
    <w:rsid w:val="00E563FC"/>
    <w:rsid w:val="00E56714"/>
    <w:rsid w:val="00E56743"/>
    <w:rsid w:val="00E56839"/>
    <w:rsid w:val="00E5685B"/>
    <w:rsid w:val="00E57439"/>
    <w:rsid w:val="00E574E5"/>
    <w:rsid w:val="00E60415"/>
    <w:rsid w:val="00E60E66"/>
    <w:rsid w:val="00E60F62"/>
    <w:rsid w:val="00E61B86"/>
    <w:rsid w:val="00E61CA2"/>
    <w:rsid w:val="00E61CC0"/>
    <w:rsid w:val="00E6206B"/>
    <w:rsid w:val="00E620A1"/>
    <w:rsid w:val="00E620EB"/>
    <w:rsid w:val="00E621B1"/>
    <w:rsid w:val="00E62450"/>
    <w:rsid w:val="00E62EC8"/>
    <w:rsid w:val="00E63A79"/>
    <w:rsid w:val="00E63B55"/>
    <w:rsid w:val="00E640AE"/>
    <w:rsid w:val="00E64773"/>
    <w:rsid w:val="00E64E89"/>
    <w:rsid w:val="00E65839"/>
    <w:rsid w:val="00E65A98"/>
    <w:rsid w:val="00E65DB1"/>
    <w:rsid w:val="00E6689A"/>
    <w:rsid w:val="00E66CD8"/>
    <w:rsid w:val="00E66F9C"/>
    <w:rsid w:val="00E6730A"/>
    <w:rsid w:val="00E6949D"/>
    <w:rsid w:val="00E7028E"/>
    <w:rsid w:val="00E70D27"/>
    <w:rsid w:val="00E715EF"/>
    <w:rsid w:val="00E7184A"/>
    <w:rsid w:val="00E72458"/>
    <w:rsid w:val="00E7247E"/>
    <w:rsid w:val="00E736BB"/>
    <w:rsid w:val="00E73937"/>
    <w:rsid w:val="00E74371"/>
    <w:rsid w:val="00E7487D"/>
    <w:rsid w:val="00E7511C"/>
    <w:rsid w:val="00E753DD"/>
    <w:rsid w:val="00E7551D"/>
    <w:rsid w:val="00E75E59"/>
    <w:rsid w:val="00E76255"/>
    <w:rsid w:val="00E764DE"/>
    <w:rsid w:val="00E7661D"/>
    <w:rsid w:val="00E76A71"/>
    <w:rsid w:val="00E76BF8"/>
    <w:rsid w:val="00E76CBE"/>
    <w:rsid w:val="00E76D8A"/>
    <w:rsid w:val="00E7708B"/>
    <w:rsid w:val="00E77194"/>
    <w:rsid w:val="00E776DA"/>
    <w:rsid w:val="00E8057A"/>
    <w:rsid w:val="00E8084E"/>
    <w:rsid w:val="00E80A65"/>
    <w:rsid w:val="00E80C70"/>
    <w:rsid w:val="00E80D65"/>
    <w:rsid w:val="00E80DD0"/>
    <w:rsid w:val="00E816A5"/>
    <w:rsid w:val="00E81F84"/>
    <w:rsid w:val="00E82338"/>
    <w:rsid w:val="00E82852"/>
    <w:rsid w:val="00E82D50"/>
    <w:rsid w:val="00E82F24"/>
    <w:rsid w:val="00E830CA"/>
    <w:rsid w:val="00E831E1"/>
    <w:rsid w:val="00E83748"/>
    <w:rsid w:val="00E839AD"/>
    <w:rsid w:val="00E839E7"/>
    <w:rsid w:val="00E83BF0"/>
    <w:rsid w:val="00E83E24"/>
    <w:rsid w:val="00E83F8F"/>
    <w:rsid w:val="00E841A9"/>
    <w:rsid w:val="00E85077"/>
    <w:rsid w:val="00E85383"/>
    <w:rsid w:val="00E85943"/>
    <w:rsid w:val="00E86245"/>
    <w:rsid w:val="00E86491"/>
    <w:rsid w:val="00E86710"/>
    <w:rsid w:val="00E8684E"/>
    <w:rsid w:val="00E8715C"/>
    <w:rsid w:val="00E87539"/>
    <w:rsid w:val="00E87672"/>
    <w:rsid w:val="00E87D8D"/>
    <w:rsid w:val="00E87E9B"/>
    <w:rsid w:val="00E87EC9"/>
    <w:rsid w:val="00E905EE"/>
    <w:rsid w:val="00E906D0"/>
    <w:rsid w:val="00E90A60"/>
    <w:rsid w:val="00E91047"/>
    <w:rsid w:val="00E91377"/>
    <w:rsid w:val="00E9217A"/>
    <w:rsid w:val="00E92AAB"/>
    <w:rsid w:val="00E92D1A"/>
    <w:rsid w:val="00E931FE"/>
    <w:rsid w:val="00E936E5"/>
    <w:rsid w:val="00E93B43"/>
    <w:rsid w:val="00E94177"/>
    <w:rsid w:val="00E94F97"/>
    <w:rsid w:val="00E95119"/>
    <w:rsid w:val="00E95DC5"/>
    <w:rsid w:val="00E96022"/>
    <w:rsid w:val="00E9682C"/>
    <w:rsid w:val="00E969CE"/>
    <w:rsid w:val="00E96DD0"/>
    <w:rsid w:val="00E96F0E"/>
    <w:rsid w:val="00E972A9"/>
    <w:rsid w:val="00E9732B"/>
    <w:rsid w:val="00E97926"/>
    <w:rsid w:val="00E97C60"/>
    <w:rsid w:val="00EA011D"/>
    <w:rsid w:val="00EA03F9"/>
    <w:rsid w:val="00EA065D"/>
    <w:rsid w:val="00EA09A8"/>
    <w:rsid w:val="00EA0A30"/>
    <w:rsid w:val="00EA0DCE"/>
    <w:rsid w:val="00EA1042"/>
    <w:rsid w:val="00EA1854"/>
    <w:rsid w:val="00EA1D19"/>
    <w:rsid w:val="00EA1F53"/>
    <w:rsid w:val="00EA3A89"/>
    <w:rsid w:val="00EA3EDF"/>
    <w:rsid w:val="00EA444A"/>
    <w:rsid w:val="00EA4A42"/>
    <w:rsid w:val="00EA53D9"/>
    <w:rsid w:val="00EA54BB"/>
    <w:rsid w:val="00EA5757"/>
    <w:rsid w:val="00EA5966"/>
    <w:rsid w:val="00EA5E99"/>
    <w:rsid w:val="00EA65F4"/>
    <w:rsid w:val="00EA6EA7"/>
    <w:rsid w:val="00EA6F10"/>
    <w:rsid w:val="00EA7343"/>
    <w:rsid w:val="00EA7500"/>
    <w:rsid w:val="00EA7834"/>
    <w:rsid w:val="00EB0179"/>
    <w:rsid w:val="00EB0752"/>
    <w:rsid w:val="00EB07DB"/>
    <w:rsid w:val="00EB11C6"/>
    <w:rsid w:val="00EB1949"/>
    <w:rsid w:val="00EB1BD3"/>
    <w:rsid w:val="00EB1DF4"/>
    <w:rsid w:val="00EB22AE"/>
    <w:rsid w:val="00EB2392"/>
    <w:rsid w:val="00EB23A4"/>
    <w:rsid w:val="00EB2D1F"/>
    <w:rsid w:val="00EB31E8"/>
    <w:rsid w:val="00EB35F3"/>
    <w:rsid w:val="00EB49B4"/>
    <w:rsid w:val="00EB4D4E"/>
    <w:rsid w:val="00EB54A9"/>
    <w:rsid w:val="00EB623B"/>
    <w:rsid w:val="00EB675F"/>
    <w:rsid w:val="00EB73A5"/>
    <w:rsid w:val="00EB745D"/>
    <w:rsid w:val="00EB7B8E"/>
    <w:rsid w:val="00EB7FFC"/>
    <w:rsid w:val="00EC10E5"/>
    <w:rsid w:val="00EC1F38"/>
    <w:rsid w:val="00EC2092"/>
    <w:rsid w:val="00EC2592"/>
    <w:rsid w:val="00EC30CA"/>
    <w:rsid w:val="00EC30DA"/>
    <w:rsid w:val="00EC3A43"/>
    <w:rsid w:val="00EC4B00"/>
    <w:rsid w:val="00EC4DC2"/>
    <w:rsid w:val="00EC577B"/>
    <w:rsid w:val="00EC5833"/>
    <w:rsid w:val="00EC60FF"/>
    <w:rsid w:val="00EC631F"/>
    <w:rsid w:val="00EC674B"/>
    <w:rsid w:val="00EC67D2"/>
    <w:rsid w:val="00EC6E45"/>
    <w:rsid w:val="00EC7104"/>
    <w:rsid w:val="00EC7586"/>
    <w:rsid w:val="00EC7901"/>
    <w:rsid w:val="00EC7E2C"/>
    <w:rsid w:val="00EC7EEC"/>
    <w:rsid w:val="00ED01A2"/>
    <w:rsid w:val="00ED02B4"/>
    <w:rsid w:val="00ED051D"/>
    <w:rsid w:val="00ED09D9"/>
    <w:rsid w:val="00ED0AF5"/>
    <w:rsid w:val="00ED101D"/>
    <w:rsid w:val="00ED1398"/>
    <w:rsid w:val="00ED18FB"/>
    <w:rsid w:val="00ED1CE0"/>
    <w:rsid w:val="00ED22BD"/>
    <w:rsid w:val="00ED2586"/>
    <w:rsid w:val="00ED36C7"/>
    <w:rsid w:val="00ED3709"/>
    <w:rsid w:val="00ED38BD"/>
    <w:rsid w:val="00ED3C38"/>
    <w:rsid w:val="00ED3E2B"/>
    <w:rsid w:val="00ED43E7"/>
    <w:rsid w:val="00ED4587"/>
    <w:rsid w:val="00ED4966"/>
    <w:rsid w:val="00ED4C7B"/>
    <w:rsid w:val="00ED5077"/>
    <w:rsid w:val="00ED52D4"/>
    <w:rsid w:val="00ED58E9"/>
    <w:rsid w:val="00ED5C68"/>
    <w:rsid w:val="00ED653F"/>
    <w:rsid w:val="00ED7026"/>
    <w:rsid w:val="00ED7225"/>
    <w:rsid w:val="00ED723C"/>
    <w:rsid w:val="00EE00DC"/>
    <w:rsid w:val="00EE0290"/>
    <w:rsid w:val="00EE04AF"/>
    <w:rsid w:val="00EE0C5D"/>
    <w:rsid w:val="00EE11F0"/>
    <w:rsid w:val="00EE1AF2"/>
    <w:rsid w:val="00EE3027"/>
    <w:rsid w:val="00EE3267"/>
    <w:rsid w:val="00EE3973"/>
    <w:rsid w:val="00EE4027"/>
    <w:rsid w:val="00EE456C"/>
    <w:rsid w:val="00EE49D6"/>
    <w:rsid w:val="00EE5729"/>
    <w:rsid w:val="00EE62D2"/>
    <w:rsid w:val="00EE6483"/>
    <w:rsid w:val="00EE65A7"/>
    <w:rsid w:val="00EE682B"/>
    <w:rsid w:val="00EE69D3"/>
    <w:rsid w:val="00EE6E5A"/>
    <w:rsid w:val="00EE70B3"/>
    <w:rsid w:val="00EE7D1E"/>
    <w:rsid w:val="00EF0879"/>
    <w:rsid w:val="00EF08ED"/>
    <w:rsid w:val="00EF17D8"/>
    <w:rsid w:val="00EF198B"/>
    <w:rsid w:val="00EF1FCD"/>
    <w:rsid w:val="00EF2488"/>
    <w:rsid w:val="00EF2935"/>
    <w:rsid w:val="00EF2A21"/>
    <w:rsid w:val="00EF2F9E"/>
    <w:rsid w:val="00EF32CD"/>
    <w:rsid w:val="00EF35B0"/>
    <w:rsid w:val="00EF39B6"/>
    <w:rsid w:val="00EF3A6B"/>
    <w:rsid w:val="00EF3B17"/>
    <w:rsid w:val="00EF41A5"/>
    <w:rsid w:val="00EF47A6"/>
    <w:rsid w:val="00EF48FF"/>
    <w:rsid w:val="00EF524E"/>
    <w:rsid w:val="00EF53B6"/>
    <w:rsid w:val="00EF555B"/>
    <w:rsid w:val="00EF5748"/>
    <w:rsid w:val="00EF5920"/>
    <w:rsid w:val="00EF595F"/>
    <w:rsid w:val="00EF5B6F"/>
    <w:rsid w:val="00EF5D32"/>
    <w:rsid w:val="00EF6A4C"/>
    <w:rsid w:val="00EF6B14"/>
    <w:rsid w:val="00EF6DEA"/>
    <w:rsid w:val="00EF7139"/>
    <w:rsid w:val="00EF756E"/>
    <w:rsid w:val="00EF75D9"/>
    <w:rsid w:val="00EF7610"/>
    <w:rsid w:val="00EF7723"/>
    <w:rsid w:val="00EF7D9C"/>
    <w:rsid w:val="00EF7E49"/>
    <w:rsid w:val="00EFA08E"/>
    <w:rsid w:val="00F00063"/>
    <w:rsid w:val="00F001C3"/>
    <w:rsid w:val="00F00D2F"/>
    <w:rsid w:val="00F026F3"/>
    <w:rsid w:val="00F031EE"/>
    <w:rsid w:val="00F03939"/>
    <w:rsid w:val="00F03D8B"/>
    <w:rsid w:val="00F03DD0"/>
    <w:rsid w:val="00F04017"/>
    <w:rsid w:val="00F0403F"/>
    <w:rsid w:val="00F04368"/>
    <w:rsid w:val="00F046D8"/>
    <w:rsid w:val="00F046DC"/>
    <w:rsid w:val="00F04BA6"/>
    <w:rsid w:val="00F05580"/>
    <w:rsid w:val="00F05D67"/>
    <w:rsid w:val="00F06077"/>
    <w:rsid w:val="00F064B1"/>
    <w:rsid w:val="00F0692E"/>
    <w:rsid w:val="00F06E59"/>
    <w:rsid w:val="00F073EF"/>
    <w:rsid w:val="00F07900"/>
    <w:rsid w:val="00F07906"/>
    <w:rsid w:val="00F07AD8"/>
    <w:rsid w:val="00F103BF"/>
    <w:rsid w:val="00F10E9E"/>
    <w:rsid w:val="00F11702"/>
    <w:rsid w:val="00F119CE"/>
    <w:rsid w:val="00F11BD6"/>
    <w:rsid w:val="00F11D7F"/>
    <w:rsid w:val="00F11F4B"/>
    <w:rsid w:val="00F12183"/>
    <w:rsid w:val="00F12953"/>
    <w:rsid w:val="00F12B4B"/>
    <w:rsid w:val="00F12E4A"/>
    <w:rsid w:val="00F12F5F"/>
    <w:rsid w:val="00F13AB4"/>
    <w:rsid w:val="00F13DE8"/>
    <w:rsid w:val="00F13E82"/>
    <w:rsid w:val="00F1437B"/>
    <w:rsid w:val="00F1440B"/>
    <w:rsid w:val="00F14575"/>
    <w:rsid w:val="00F14BCE"/>
    <w:rsid w:val="00F14C31"/>
    <w:rsid w:val="00F14C44"/>
    <w:rsid w:val="00F1523A"/>
    <w:rsid w:val="00F153E3"/>
    <w:rsid w:val="00F15957"/>
    <w:rsid w:val="00F15A32"/>
    <w:rsid w:val="00F16146"/>
    <w:rsid w:val="00F16375"/>
    <w:rsid w:val="00F167DA"/>
    <w:rsid w:val="00F16B6C"/>
    <w:rsid w:val="00F16E21"/>
    <w:rsid w:val="00F177EB"/>
    <w:rsid w:val="00F2004F"/>
    <w:rsid w:val="00F2050D"/>
    <w:rsid w:val="00F20A37"/>
    <w:rsid w:val="00F20F84"/>
    <w:rsid w:val="00F2115E"/>
    <w:rsid w:val="00F21324"/>
    <w:rsid w:val="00F21E34"/>
    <w:rsid w:val="00F22111"/>
    <w:rsid w:val="00F22189"/>
    <w:rsid w:val="00F22A45"/>
    <w:rsid w:val="00F233BF"/>
    <w:rsid w:val="00F233D7"/>
    <w:rsid w:val="00F23594"/>
    <w:rsid w:val="00F23E7F"/>
    <w:rsid w:val="00F23F49"/>
    <w:rsid w:val="00F2401B"/>
    <w:rsid w:val="00F246BC"/>
    <w:rsid w:val="00F2481B"/>
    <w:rsid w:val="00F24A35"/>
    <w:rsid w:val="00F24BFC"/>
    <w:rsid w:val="00F258BC"/>
    <w:rsid w:val="00F25A74"/>
    <w:rsid w:val="00F25D17"/>
    <w:rsid w:val="00F260E2"/>
    <w:rsid w:val="00F271FE"/>
    <w:rsid w:val="00F27782"/>
    <w:rsid w:val="00F278DF"/>
    <w:rsid w:val="00F27AF3"/>
    <w:rsid w:val="00F27E1C"/>
    <w:rsid w:val="00F300C7"/>
    <w:rsid w:val="00F3010F"/>
    <w:rsid w:val="00F302A8"/>
    <w:rsid w:val="00F3049B"/>
    <w:rsid w:val="00F3094C"/>
    <w:rsid w:val="00F3224A"/>
    <w:rsid w:val="00F3226C"/>
    <w:rsid w:val="00F3250C"/>
    <w:rsid w:val="00F331AF"/>
    <w:rsid w:val="00F339E2"/>
    <w:rsid w:val="00F341F1"/>
    <w:rsid w:val="00F34455"/>
    <w:rsid w:val="00F34462"/>
    <w:rsid w:val="00F34905"/>
    <w:rsid w:val="00F34A86"/>
    <w:rsid w:val="00F34F19"/>
    <w:rsid w:val="00F353A1"/>
    <w:rsid w:val="00F357CD"/>
    <w:rsid w:val="00F359EE"/>
    <w:rsid w:val="00F35D66"/>
    <w:rsid w:val="00F36620"/>
    <w:rsid w:val="00F3680D"/>
    <w:rsid w:val="00F369C1"/>
    <w:rsid w:val="00F36AF1"/>
    <w:rsid w:val="00F36F77"/>
    <w:rsid w:val="00F404EA"/>
    <w:rsid w:val="00F405C0"/>
    <w:rsid w:val="00F40E9E"/>
    <w:rsid w:val="00F41921"/>
    <w:rsid w:val="00F41C67"/>
    <w:rsid w:val="00F41DCD"/>
    <w:rsid w:val="00F4230E"/>
    <w:rsid w:val="00F425CE"/>
    <w:rsid w:val="00F42BD3"/>
    <w:rsid w:val="00F4315B"/>
    <w:rsid w:val="00F4378F"/>
    <w:rsid w:val="00F439B9"/>
    <w:rsid w:val="00F43A08"/>
    <w:rsid w:val="00F43DED"/>
    <w:rsid w:val="00F4421E"/>
    <w:rsid w:val="00F44360"/>
    <w:rsid w:val="00F446C8"/>
    <w:rsid w:val="00F44FDE"/>
    <w:rsid w:val="00F45D35"/>
    <w:rsid w:val="00F500A3"/>
    <w:rsid w:val="00F50462"/>
    <w:rsid w:val="00F5099B"/>
    <w:rsid w:val="00F51C39"/>
    <w:rsid w:val="00F5226A"/>
    <w:rsid w:val="00F52321"/>
    <w:rsid w:val="00F523AC"/>
    <w:rsid w:val="00F52C96"/>
    <w:rsid w:val="00F53133"/>
    <w:rsid w:val="00F532B8"/>
    <w:rsid w:val="00F5371F"/>
    <w:rsid w:val="00F53733"/>
    <w:rsid w:val="00F53B7A"/>
    <w:rsid w:val="00F53EBF"/>
    <w:rsid w:val="00F5444E"/>
    <w:rsid w:val="00F54492"/>
    <w:rsid w:val="00F54A05"/>
    <w:rsid w:val="00F55275"/>
    <w:rsid w:val="00F553F6"/>
    <w:rsid w:val="00F55C75"/>
    <w:rsid w:val="00F55E5C"/>
    <w:rsid w:val="00F5757D"/>
    <w:rsid w:val="00F57CE6"/>
    <w:rsid w:val="00F60247"/>
    <w:rsid w:val="00F60A50"/>
    <w:rsid w:val="00F60B55"/>
    <w:rsid w:val="00F60F00"/>
    <w:rsid w:val="00F6153D"/>
    <w:rsid w:val="00F61A8C"/>
    <w:rsid w:val="00F61D22"/>
    <w:rsid w:val="00F62A7C"/>
    <w:rsid w:val="00F62ED4"/>
    <w:rsid w:val="00F6315C"/>
    <w:rsid w:val="00F639A8"/>
    <w:rsid w:val="00F64763"/>
    <w:rsid w:val="00F65334"/>
    <w:rsid w:val="00F6586A"/>
    <w:rsid w:val="00F65D2A"/>
    <w:rsid w:val="00F669B0"/>
    <w:rsid w:val="00F66CD7"/>
    <w:rsid w:val="00F670F8"/>
    <w:rsid w:val="00F672E4"/>
    <w:rsid w:val="00F675EC"/>
    <w:rsid w:val="00F70980"/>
    <w:rsid w:val="00F70E79"/>
    <w:rsid w:val="00F71558"/>
    <w:rsid w:val="00F71CC1"/>
    <w:rsid w:val="00F71D4A"/>
    <w:rsid w:val="00F72422"/>
    <w:rsid w:val="00F72C87"/>
    <w:rsid w:val="00F739A9"/>
    <w:rsid w:val="00F73B63"/>
    <w:rsid w:val="00F73CAB"/>
    <w:rsid w:val="00F73E31"/>
    <w:rsid w:val="00F73EF5"/>
    <w:rsid w:val="00F74065"/>
    <w:rsid w:val="00F741D7"/>
    <w:rsid w:val="00F742B1"/>
    <w:rsid w:val="00F74679"/>
    <w:rsid w:val="00F7495A"/>
    <w:rsid w:val="00F74BE2"/>
    <w:rsid w:val="00F75C41"/>
    <w:rsid w:val="00F76288"/>
    <w:rsid w:val="00F76752"/>
    <w:rsid w:val="00F76C3B"/>
    <w:rsid w:val="00F775C5"/>
    <w:rsid w:val="00F77689"/>
    <w:rsid w:val="00F77DC8"/>
    <w:rsid w:val="00F807EB"/>
    <w:rsid w:val="00F81229"/>
    <w:rsid w:val="00F821C8"/>
    <w:rsid w:val="00F82214"/>
    <w:rsid w:val="00F826DF"/>
    <w:rsid w:val="00F832B6"/>
    <w:rsid w:val="00F83823"/>
    <w:rsid w:val="00F83AD9"/>
    <w:rsid w:val="00F83CEF"/>
    <w:rsid w:val="00F84138"/>
    <w:rsid w:val="00F843FE"/>
    <w:rsid w:val="00F845BE"/>
    <w:rsid w:val="00F8460B"/>
    <w:rsid w:val="00F84799"/>
    <w:rsid w:val="00F84877"/>
    <w:rsid w:val="00F848F3"/>
    <w:rsid w:val="00F84D14"/>
    <w:rsid w:val="00F8550B"/>
    <w:rsid w:val="00F8607D"/>
    <w:rsid w:val="00F862F5"/>
    <w:rsid w:val="00F86719"/>
    <w:rsid w:val="00F86745"/>
    <w:rsid w:val="00F8696D"/>
    <w:rsid w:val="00F876B3"/>
    <w:rsid w:val="00F877C0"/>
    <w:rsid w:val="00F87831"/>
    <w:rsid w:val="00F87893"/>
    <w:rsid w:val="00F8793C"/>
    <w:rsid w:val="00F87FB4"/>
    <w:rsid w:val="00F902FC"/>
    <w:rsid w:val="00F9033E"/>
    <w:rsid w:val="00F903C3"/>
    <w:rsid w:val="00F908F6"/>
    <w:rsid w:val="00F9093B"/>
    <w:rsid w:val="00F90BD4"/>
    <w:rsid w:val="00F90F2F"/>
    <w:rsid w:val="00F91075"/>
    <w:rsid w:val="00F91629"/>
    <w:rsid w:val="00F91CEA"/>
    <w:rsid w:val="00F91F10"/>
    <w:rsid w:val="00F92403"/>
    <w:rsid w:val="00F92DE9"/>
    <w:rsid w:val="00F92E94"/>
    <w:rsid w:val="00F9301C"/>
    <w:rsid w:val="00F940B5"/>
    <w:rsid w:val="00F9418E"/>
    <w:rsid w:val="00F942A4"/>
    <w:rsid w:val="00F94499"/>
    <w:rsid w:val="00F9473C"/>
    <w:rsid w:val="00F947A4"/>
    <w:rsid w:val="00F94A6B"/>
    <w:rsid w:val="00F95245"/>
    <w:rsid w:val="00F9539D"/>
    <w:rsid w:val="00F9554B"/>
    <w:rsid w:val="00F9572A"/>
    <w:rsid w:val="00F95AB0"/>
    <w:rsid w:val="00F95C08"/>
    <w:rsid w:val="00F963AB"/>
    <w:rsid w:val="00F96B52"/>
    <w:rsid w:val="00F96C73"/>
    <w:rsid w:val="00F96D01"/>
    <w:rsid w:val="00F96E0E"/>
    <w:rsid w:val="00F96E27"/>
    <w:rsid w:val="00F9743C"/>
    <w:rsid w:val="00FA017B"/>
    <w:rsid w:val="00FA02E8"/>
    <w:rsid w:val="00FA05B5"/>
    <w:rsid w:val="00FA05BB"/>
    <w:rsid w:val="00FA0770"/>
    <w:rsid w:val="00FA231A"/>
    <w:rsid w:val="00FA2B5F"/>
    <w:rsid w:val="00FA37FB"/>
    <w:rsid w:val="00FA3894"/>
    <w:rsid w:val="00FA4A45"/>
    <w:rsid w:val="00FA4A5B"/>
    <w:rsid w:val="00FA4FC2"/>
    <w:rsid w:val="00FA57D0"/>
    <w:rsid w:val="00FA5F65"/>
    <w:rsid w:val="00FA61A2"/>
    <w:rsid w:val="00FA65B4"/>
    <w:rsid w:val="00FA76D8"/>
    <w:rsid w:val="00FA7ED5"/>
    <w:rsid w:val="00FA7FF5"/>
    <w:rsid w:val="00FB0097"/>
    <w:rsid w:val="00FB04CC"/>
    <w:rsid w:val="00FB0D98"/>
    <w:rsid w:val="00FB1267"/>
    <w:rsid w:val="00FB21BD"/>
    <w:rsid w:val="00FB2259"/>
    <w:rsid w:val="00FB2872"/>
    <w:rsid w:val="00FB2944"/>
    <w:rsid w:val="00FB29C6"/>
    <w:rsid w:val="00FB3A34"/>
    <w:rsid w:val="00FB3BBA"/>
    <w:rsid w:val="00FB3F32"/>
    <w:rsid w:val="00FB4933"/>
    <w:rsid w:val="00FB53F6"/>
    <w:rsid w:val="00FB568B"/>
    <w:rsid w:val="00FB58F8"/>
    <w:rsid w:val="00FB5E56"/>
    <w:rsid w:val="00FB619E"/>
    <w:rsid w:val="00FB65CD"/>
    <w:rsid w:val="00FB6792"/>
    <w:rsid w:val="00FB69D2"/>
    <w:rsid w:val="00FB6C39"/>
    <w:rsid w:val="00FB7280"/>
    <w:rsid w:val="00FB737B"/>
    <w:rsid w:val="00FB7597"/>
    <w:rsid w:val="00FB7599"/>
    <w:rsid w:val="00FB75D8"/>
    <w:rsid w:val="00FB75DD"/>
    <w:rsid w:val="00FB7DCF"/>
    <w:rsid w:val="00FB7FA9"/>
    <w:rsid w:val="00FBB435"/>
    <w:rsid w:val="00FC046A"/>
    <w:rsid w:val="00FC0680"/>
    <w:rsid w:val="00FC0B19"/>
    <w:rsid w:val="00FC0D69"/>
    <w:rsid w:val="00FC0DB2"/>
    <w:rsid w:val="00FC1622"/>
    <w:rsid w:val="00FC1C45"/>
    <w:rsid w:val="00FC1DE0"/>
    <w:rsid w:val="00FC1E12"/>
    <w:rsid w:val="00FC2B60"/>
    <w:rsid w:val="00FC2BE3"/>
    <w:rsid w:val="00FC2D69"/>
    <w:rsid w:val="00FC3245"/>
    <w:rsid w:val="00FC3A2F"/>
    <w:rsid w:val="00FC44A3"/>
    <w:rsid w:val="00FC4B25"/>
    <w:rsid w:val="00FC541D"/>
    <w:rsid w:val="00FC628D"/>
    <w:rsid w:val="00FC6294"/>
    <w:rsid w:val="00FC6C51"/>
    <w:rsid w:val="00FC73F0"/>
    <w:rsid w:val="00FC775C"/>
    <w:rsid w:val="00FC77BB"/>
    <w:rsid w:val="00FC7829"/>
    <w:rsid w:val="00FC798A"/>
    <w:rsid w:val="00FC7F56"/>
    <w:rsid w:val="00FD0AAD"/>
    <w:rsid w:val="00FD0D12"/>
    <w:rsid w:val="00FD1318"/>
    <w:rsid w:val="00FD14C1"/>
    <w:rsid w:val="00FD1F07"/>
    <w:rsid w:val="00FD2B4A"/>
    <w:rsid w:val="00FD348D"/>
    <w:rsid w:val="00FD36E6"/>
    <w:rsid w:val="00FD3910"/>
    <w:rsid w:val="00FD3AEC"/>
    <w:rsid w:val="00FD3E80"/>
    <w:rsid w:val="00FD4DFC"/>
    <w:rsid w:val="00FD5499"/>
    <w:rsid w:val="00FD556B"/>
    <w:rsid w:val="00FD55F5"/>
    <w:rsid w:val="00FD5A1C"/>
    <w:rsid w:val="00FD5A49"/>
    <w:rsid w:val="00FD6031"/>
    <w:rsid w:val="00FD645A"/>
    <w:rsid w:val="00FD6F0D"/>
    <w:rsid w:val="00FD755A"/>
    <w:rsid w:val="00FD7889"/>
    <w:rsid w:val="00FD79B0"/>
    <w:rsid w:val="00FD7B76"/>
    <w:rsid w:val="00FD7BEA"/>
    <w:rsid w:val="00FD7E44"/>
    <w:rsid w:val="00FE0664"/>
    <w:rsid w:val="00FE0C3F"/>
    <w:rsid w:val="00FE0C98"/>
    <w:rsid w:val="00FE16AC"/>
    <w:rsid w:val="00FE1874"/>
    <w:rsid w:val="00FE187C"/>
    <w:rsid w:val="00FE1A2F"/>
    <w:rsid w:val="00FE1DF3"/>
    <w:rsid w:val="00FE1E1E"/>
    <w:rsid w:val="00FE1F57"/>
    <w:rsid w:val="00FE207D"/>
    <w:rsid w:val="00FE237C"/>
    <w:rsid w:val="00FE2E46"/>
    <w:rsid w:val="00FE37FF"/>
    <w:rsid w:val="00FE3C61"/>
    <w:rsid w:val="00FE494F"/>
    <w:rsid w:val="00FE4B27"/>
    <w:rsid w:val="00FE4CCC"/>
    <w:rsid w:val="00FE4DF9"/>
    <w:rsid w:val="00FE4ECA"/>
    <w:rsid w:val="00FE59B2"/>
    <w:rsid w:val="00FE5CC7"/>
    <w:rsid w:val="00FE65F3"/>
    <w:rsid w:val="00FE685E"/>
    <w:rsid w:val="00FE6935"/>
    <w:rsid w:val="00FE6D09"/>
    <w:rsid w:val="00FE7B5B"/>
    <w:rsid w:val="00FF06DD"/>
    <w:rsid w:val="00FF1463"/>
    <w:rsid w:val="00FF188B"/>
    <w:rsid w:val="00FF1B7F"/>
    <w:rsid w:val="00FF1E4F"/>
    <w:rsid w:val="00FF2C4D"/>
    <w:rsid w:val="00FF2D9C"/>
    <w:rsid w:val="00FF3334"/>
    <w:rsid w:val="00FF3802"/>
    <w:rsid w:val="00FF38DC"/>
    <w:rsid w:val="00FF3CAC"/>
    <w:rsid w:val="00FF4084"/>
    <w:rsid w:val="00FF412B"/>
    <w:rsid w:val="00FF4312"/>
    <w:rsid w:val="00FF43ED"/>
    <w:rsid w:val="00FF4A60"/>
    <w:rsid w:val="00FF4ADE"/>
    <w:rsid w:val="00FF4BAF"/>
    <w:rsid w:val="00FF4E67"/>
    <w:rsid w:val="00FF4EF5"/>
    <w:rsid w:val="00FF5345"/>
    <w:rsid w:val="00FF55A4"/>
    <w:rsid w:val="00FF56A2"/>
    <w:rsid w:val="00FF56A5"/>
    <w:rsid w:val="00FF5A3D"/>
    <w:rsid w:val="00FF5AD8"/>
    <w:rsid w:val="00FF5B84"/>
    <w:rsid w:val="00FF5CA5"/>
    <w:rsid w:val="00FF5FC7"/>
    <w:rsid w:val="00FF700D"/>
    <w:rsid w:val="00FF7BC6"/>
    <w:rsid w:val="01025293"/>
    <w:rsid w:val="01057843"/>
    <w:rsid w:val="0109EE69"/>
    <w:rsid w:val="010A9FE5"/>
    <w:rsid w:val="01122FB6"/>
    <w:rsid w:val="01144008"/>
    <w:rsid w:val="0115B86F"/>
    <w:rsid w:val="0117DAA8"/>
    <w:rsid w:val="01194784"/>
    <w:rsid w:val="011B8696"/>
    <w:rsid w:val="011F1757"/>
    <w:rsid w:val="011F6219"/>
    <w:rsid w:val="0122FEF0"/>
    <w:rsid w:val="01230336"/>
    <w:rsid w:val="0123F656"/>
    <w:rsid w:val="0127F436"/>
    <w:rsid w:val="012EBD46"/>
    <w:rsid w:val="0131E2C1"/>
    <w:rsid w:val="01330852"/>
    <w:rsid w:val="0134219A"/>
    <w:rsid w:val="0134A357"/>
    <w:rsid w:val="01391132"/>
    <w:rsid w:val="013D176B"/>
    <w:rsid w:val="014200D8"/>
    <w:rsid w:val="0144D216"/>
    <w:rsid w:val="014A412E"/>
    <w:rsid w:val="014B353D"/>
    <w:rsid w:val="014BB071"/>
    <w:rsid w:val="015DD553"/>
    <w:rsid w:val="015EECDF"/>
    <w:rsid w:val="01622321"/>
    <w:rsid w:val="0163038D"/>
    <w:rsid w:val="01637CF6"/>
    <w:rsid w:val="0164D74A"/>
    <w:rsid w:val="016514B3"/>
    <w:rsid w:val="0167B9E6"/>
    <w:rsid w:val="016A91C5"/>
    <w:rsid w:val="0172428F"/>
    <w:rsid w:val="017311C1"/>
    <w:rsid w:val="01733711"/>
    <w:rsid w:val="0177E999"/>
    <w:rsid w:val="017C3344"/>
    <w:rsid w:val="0183438F"/>
    <w:rsid w:val="018467B1"/>
    <w:rsid w:val="01869D53"/>
    <w:rsid w:val="01883451"/>
    <w:rsid w:val="01897D34"/>
    <w:rsid w:val="0197AE2F"/>
    <w:rsid w:val="019E4582"/>
    <w:rsid w:val="019FD798"/>
    <w:rsid w:val="01A55A0E"/>
    <w:rsid w:val="01A6BEF2"/>
    <w:rsid w:val="01A72D06"/>
    <w:rsid w:val="01ACCCBE"/>
    <w:rsid w:val="01B32E02"/>
    <w:rsid w:val="01B47EBE"/>
    <w:rsid w:val="01B71429"/>
    <w:rsid w:val="01B7BAB2"/>
    <w:rsid w:val="01B9F7EB"/>
    <w:rsid w:val="01BAD262"/>
    <w:rsid w:val="01C9406C"/>
    <w:rsid w:val="01CE79E7"/>
    <w:rsid w:val="01D10F91"/>
    <w:rsid w:val="01DA342C"/>
    <w:rsid w:val="01DF1E3B"/>
    <w:rsid w:val="01DF56A6"/>
    <w:rsid w:val="01E200F4"/>
    <w:rsid w:val="01E3922A"/>
    <w:rsid w:val="01E3ACC4"/>
    <w:rsid w:val="01E56B40"/>
    <w:rsid w:val="01E60A93"/>
    <w:rsid w:val="01E86BA6"/>
    <w:rsid w:val="01E87891"/>
    <w:rsid w:val="01F3876A"/>
    <w:rsid w:val="01F63C7B"/>
    <w:rsid w:val="01F7510C"/>
    <w:rsid w:val="01FD2BF0"/>
    <w:rsid w:val="01FE859E"/>
    <w:rsid w:val="01FF6D11"/>
    <w:rsid w:val="0208BB5D"/>
    <w:rsid w:val="0218B8ED"/>
    <w:rsid w:val="021C4461"/>
    <w:rsid w:val="0233F17D"/>
    <w:rsid w:val="0235D3C6"/>
    <w:rsid w:val="02360000"/>
    <w:rsid w:val="0237028A"/>
    <w:rsid w:val="023A06F0"/>
    <w:rsid w:val="0240D2A6"/>
    <w:rsid w:val="02419AAA"/>
    <w:rsid w:val="0242DA51"/>
    <w:rsid w:val="0244FAAF"/>
    <w:rsid w:val="024B84C1"/>
    <w:rsid w:val="024C156C"/>
    <w:rsid w:val="024C2CFA"/>
    <w:rsid w:val="024FF436"/>
    <w:rsid w:val="0253C6D6"/>
    <w:rsid w:val="02577589"/>
    <w:rsid w:val="025A4FE2"/>
    <w:rsid w:val="0264FE2E"/>
    <w:rsid w:val="02740780"/>
    <w:rsid w:val="02740CCF"/>
    <w:rsid w:val="0276766C"/>
    <w:rsid w:val="0277EC67"/>
    <w:rsid w:val="02795B75"/>
    <w:rsid w:val="027F6E59"/>
    <w:rsid w:val="0280A29C"/>
    <w:rsid w:val="02818525"/>
    <w:rsid w:val="02837475"/>
    <w:rsid w:val="028390F4"/>
    <w:rsid w:val="028A9CCA"/>
    <w:rsid w:val="028DAB88"/>
    <w:rsid w:val="0290FDF7"/>
    <w:rsid w:val="02964196"/>
    <w:rsid w:val="0297BD2A"/>
    <w:rsid w:val="029B52FD"/>
    <w:rsid w:val="029B5492"/>
    <w:rsid w:val="029C09D0"/>
    <w:rsid w:val="02A1AE6B"/>
    <w:rsid w:val="02A28E4E"/>
    <w:rsid w:val="02A53620"/>
    <w:rsid w:val="02A5C4A6"/>
    <w:rsid w:val="02A7A71C"/>
    <w:rsid w:val="02A84723"/>
    <w:rsid w:val="02AFB720"/>
    <w:rsid w:val="02B3AB09"/>
    <w:rsid w:val="02B623B4"/>
    <w:rsid w:val="02B8E75F"/>
    <w:rsid w:val="02BB1336"/>
    <w:rsid w:val="02C2F9A2"/>
    <w:rsid w:val="02CDDC53"/>
    <w:rsid w:val="02D5966B"/>
    <w:rsid w:val="02D8F60F"/>
    <w:rsid w:val="02D8FF15"/>
    <w:rsid w:val="02DED0B6"/>
    <w:rsid w:val="02DEEDF6"/>
    <w:rsid w:val="02E1766E"/>
    <w:rsid w:val="02E28561"/>
    <w:rsid w:val="02E9A147"/>
    <w:rsid w:val="02F13C57"/>
    <w:rsid w:val="02F3FCEA"/>
    <w:rsid w:val="02F48DB1"/>
    <w:rsid w:val="02F82118"/>
    <w:rsid w:val="02FA2CC5"/>
    <w:rsid w:val="02FC2DB8"/>
    <w:rsid w:val="02FDA995"/>
    <w:rsid w:val="02FED3D6"/>
    <w:rsid w:val="030E863A"/>
    <w:rsid w:val="0312A11F"/>
    <w:rsid w:val="0316CAE5"/>
    <w:rsid w:val="031B24E1"/>
    <w:rsid w:val="031CA508"/>
    <w:rsid w:val="0327EAD1"/>
    <w:rsid w:val="0327F4C4"/>
    <w:rsid w:val="0328A45F"/>
    <w:rsid w:val="032A6159"/>
    <w:rsid w:val="0333165F"/>
    <w:rsid w:val="03339FF2"/>
    <w:rsid w:val="033907B6"/>
    <w:rsid w:val="033B9F9D"/>
    <w:rsid w:val="034112F2"/>
    <w:rsid w:val="0349E32D"/>
    <w:rsid w:val="034E390F"/>
    <w:rsid w:val="034F740C"/>
    <w:rsid w:val="0353614E"/>
    <w:rsid w:val="035F7749"/>
    <w:rsid w:val="0364A169"/>
    <w:rsid w:val="036A4A48"/>
    <w:rsid w:val="036AD1F7"/>
    <w:rsid w:val="037123AA"/>
    <w:rsid w:val="0373EA7D"/>
    <w:rsid w:val="0374895A"/>
    <w:rsid w:val="03752B30"/>
    <w:rsid w:val="037A6C01"/>
    <w:rsid w:val="037EB0F7"/>
    <w:rsid w:val="037FBCE2"/>
    <w:rsid w:val="03840611"/>
    <w:rsid w:val="03843B2A"/>
    <w:rsid w:val="0387315F"/>
    <w:rsid w:val="0389D2D5"/>
    <w:rsid w:val="038B9F08"/>
    <w:rsid w:val="0391AD0A"/>
    <w:rsid w:val="03959064"/>
    <w:rsid w:val="039EF755"/>
    <w:rsid w:val="03A91AF8"/>
    <w:rsid w:val="03AF1829"/>
    <w:rsid w:val="03B404A6"/>
    <w:rsid w:val="03B465CF"/>
    <w:rsid w:val="03B88122"/>
    <w:rsid w:val="03B9784C"/>
    <w:rsid w:val="03B9D302"/>
    <w:rsid w:val="03BDFBB8"/>
    <w:rsid w:val="03C0479B"/>
    <w:rsid w:val="03C17A9F"/>
    <w:rsid w:val="03C92BE1"/>
    <w:rsid w:val="03C9C334"/>
    <w:rsid w:val="03CA7D9C"/>
    <w:rsid w:val="03CC5769"/>
    <w:rsid w:val="03CFF7B6"/>
    <w:rsid w:val="03D085B9"/>
    <w:rsid w:val="03D1E95D"/>
    <w:rsid w:val="03D39224"/>
    <w:rsid w:val="03D5091D"/>
    <w:rsid w:val="03DB8466"/>
    <w:rsid w:val="03E0A251"/>
    <w:rsid w:val="03E2EECA"/>
    <w:rsid w:val="03E5EA65"/>
    <w:rsid w:val="03EBEACC"/>
    <w:rsid w:val="03EC8E45"/>
    <w:rsid w:val="03F357D3"/>
    <w:rsid w:val="03F6F59F"/>
    <w:rsid w:val="03FD1442"/>
    <w:rsid w:val="03FE7F7E"/>
    <w:rsid w:val="04010CC8"/>
    <w:rsid w:val="04011B41"/>
    <w:rsid w:val="04039AB7"/>
    <w:rsid w:val="04069528"/>
    <w:rsid w:val="040A5DD9"/>
    <w:rsid w:val="041222CD"/>
    <w:rsid w:val="04138E30"/>
    <w:rsid w:val="0413BF44"/>
    <w:rsid w:val="0414A7EB"/>
    <w:rsid w:val="041A060F"/>
    <w:rsid w:val="04201586"/>
    <w:rsid w:val="042700F3"/>
    <w:rsid w:val="04299D8E"/>
    <w:rsid w:val="042EADE9"/>
    <w:rsid w:val="042F3217"/>
    <w:rsid w:val="043061BD"/>
    <w:rsid w:val="0431324E"/>
    <w:rsid w:val="0431C480"/>
    <w:rsid w:val="043BB6A5"/>
    <w:rsid w:val="043DAA6E"/>
    <w:rsid w:val="043E4225"/>
    <w:rsid w:val="0440CD38"/>
    <w:rsid w:val="04410681"/>
    <w:rsid w:val="04451F1A"/>
    <w:rsid w:val="04473B8E"/>
    <w:rsid w:val="044C6141"/>
    <w:rsid w:val="044EBDF7"/>
    <w:rsid w:val="04537EFD"/>
    <w:rsid w:val="04555C23"/>
    <w:rsid w:val="0458A001"/>
    <w:rsid w:val="0459F738"/>
    <w:rsid w:val="045E7832"/>
    <w:rsid w:val="045F7046"/>
    <w:rsid w:val="046267E3"/>
    <w:rsid w:val="046AA914"/>
    <w:rsid w:val="0470E715"/>
    <w:rsid w:val="04747E9E"/>
    <w:rsid w:val="0475D9F6"/>
    <w:rsid w:val="0476F32B"/>
    <w:rsid w:val="047BB401"/>
    <w:rsid w:val="047FEB58"/>
    <w:rsid w:val="0485FF7A"/>
    <w:rsid w:val="049024DA"/>
    <w:rsid w:val="0490E370"/>
    <w:rsid w:val="0493B1BB"/>
    <w:rsid w:val="0494F58C"/>
    <w:rsid w:val="0495F201"/>
    <w:rsid w:val="0499F34A"/>
    <w:rsid w:val="049CB575"/>
    <w:rsid w:val="04A0B072"/>
    <w:rsid w:val="04A68819"/>
    <w:rsid w:val="04AA77A1"/>
    <w:rsid w:val="04AA7C05"/>
    <w:rsid w:val="04AAB283"/>
    <w:rsid w:val="04B51615"/>
    <w:rsid w:val="04B6030D"/>
    <w:rsid w:val="04BB8312"/>
    <w:rsid w:val="04BC7814"/>
    <w:rsid w:val="04BDA5CE"/>
    <w:rsid w:val="04C0F188"/>
    <w:rsid w:val="04C0F786"/>
    <w:rsid w:val="04D2F019"/>
    <w:rsid w:val="04D79428"/>
    <w:rsid w:val="04D7AE5D"/>
    <w:rsid w:val="04D99717"/>
    <w:rsid w:val="04E43702"/>
    <w:rsid w:val="04E86572"/>
    <w:rsid w:val="04ED8384"/>
    <w:rsid w:val="04F04AA5"/>
    <w:rsid w:val="04F0E056"/>
    <w:rsid w:val="04F261B5"/>
    <w:rsid w:val="04F3836F"/>
    <w:rsid w:val="04FBD4CB"/>
    <w:rsid w:val="04FD8199"/>
    <w:rsid w:val="04FF001A"/>
    <w:rsid w:val="05007EBD"/>
    <w:rsid w:val="0503E56D"/>
    <w:rsid w:val="05072E9C"/>
    <w:rsid w:val="050B27D9"/>
    <w:rsid w:val="050BC536"/>
    <w:rsid w:val="050FBADE"/>
    <w:rsid w:val="051A5BA2"/>
    <w:rsid w:val="051C093D"/>
    <w:rsid w:val="051FAB15"/>
    <w:rsid w:val="0525D2C8"/>
    <w:rsid w:val="0525D4EA"/>
    <w:rsid w:val="05294132"/>
    <w:rsid w:val="052E80FD"/>
    <w:rsid w:val="052FEE19"/>
    <w:rsid w:val="053564BE"/>
    <w:rsid w:val="053937D5"/>
    <w:rsid w:val="053C16A7"/>
    <w:rsid w:val="054279F5"/>
    <w:rsid w:val="05427C96"/>
    <w:rsid w:val="054439C9"/>
    <w:rsid w:val="05467522"/>
    <w:rsid w:val="054741F0"/>
    <w:rsid w:val="054F9B01"/>
    <w:rsid w:val="05503630"/>
    <w:rsid w:val="0552BCE0"/>
    <w:rsid w:val="05536B6C"/>
    <w:rsid w:val="0553CF3B"/>
    <w:rsid w:val="0553EF0E"/>
    <w:rsid w:val="055F26FE"/>
    <w:rsid w:val="0560FEBB"/>
    <w:rsid w:val="056428DE"/>
    <w:rsid w:val="0566E288"/>
    <w:rsid w:val="056A31C7"/>
    <w:rsid w:val="056A9BCD"/>
    <w:rsid w:val="056D6DA7"/>
    <w:rsid w:val="05706463"/>
    <w:rsid w:val="057288FD"/>
    <w:rsid w:val="05754FE3"/>
    <w:rsid w:val="0577FD8D"/>
    <w:rsid w:val="057FBF8E"/>
    <w:rsid w:val="0582A1E8"/>
    <w:rsid w:val="0585F90E"/>
    <w:rsid w:val="058617CF"/>
    <w:rsid w:val="058B6798"/>
    <w:rsid w:val="0595F8C8"/>
    <w:rsid w:val="0597FB28"/>
    <w:rsid w:val="05986140"/>
    <w:rsid w:val="059B9FF8"/>
    <w:rsid w:val="059BB3FF"/>
    <w:rsid w:val="05A33376"/>
    <w:rsid w:val="05A6EECB"/>
    <w:rsid w:val="05A8C48C"/>
    <w:rsid w:val="05AB6AFF"/>
    <w:rsid w:val="05ABB779"/>
    <w:rsid w:val="05AC029A"/>
    <w:rsid w:val="05AC73A7"/>
    <w:rsid w:val="05AE93E5"/>
    <w:rsid w:val="05B9852C"/>
    <w:rsid w:val="05BC9552"/>
    <w:rsid w:val="05C15E99"/>
    <w:rsid w:val="05C23D8C"/>
    <w:rsid w:val="05C6F25C"/>
    <w:rsid w:val="05CC321E"/>
    <w:rsid w:val="05CF2558"/>
    <w:rsid w:val="05D11FB4"/>
    <w:rsid w:val="05D4D30E"/>
    <w:rsid w:val="05D717AE"/>
    <w:rsid w:val="05D781DA"/>
    <w:rsid w:val="05D88ADC"/>
    <w:rsid w:val="05DF8D6C"/>
    <w:rsid w:val="05E6BFE1"/>
    <w:rsid w:val="05EB3BEA"/>
    <w:rsid w:val="05F4F6EA"/>
    <w:rsid w:val="05F7B5BB"/>
    <w:rsid w:val="05F96757"/>
    <w:rsid w:val="05F96870"/>
    <w:rsid w:val="05FC0B5D"/>
    <w:rsid w:val="05FCF964"/>
    <w:rsid w:val="05FFD18D"/>
    <w:rsid w:val="0601512F"/>
    <w:rsid w:val="06038613"/>
    <w:rsid w:val="060E7216"/>
    <w:rsid w:val="061B0C90"/>
    <w:rsid w:val="061C5371"/>
    <w:rsid w:val="061C9593"/>
    <w:rsid w:val="06233BC7"/>
    <w:rsid w:val="062369E5"/>
    <w:rsid w:val="0623FBF4"/>
    <w:rsid w:val="062AF033"/>
    <w:rsid w:val="062D5D6F"/>
    <w:rsid w:val="062F8D79"/>
    <w:rsid w:val="0634E2F9"/>
    <w:rsid w:val="0636B25C"/>
    <w:rsid w:val="06383E42"/>
    <w:rsid w:val="063D3AE4"/>
    <w:rsid w:val="063F113F"/>
    <w:rsid w:val="0644A439"/>
    <w:rsid w:val="0645F3BC"/>
    <w:rsid w:val="0646BD4D"/>
    <w:rsid w:val="06553CFB"/>
    <w:rsid w:val="065CA39A"/>
    <w:rsid w:val="0662068D"/>
    <w:rsid w:val="0664D5CD"/>
    <w:rsid w:val="0665F3FC"/>
    <w:rsid w:val="066B12FE"/>
    <w:rsid w:val="066EEC99"/>
    <w:rsid w:val="066F236A"/>
    <w:rsid w:val="0670003E"/>
    <w:rsid w:val="06711CC2"/>
    <w:rsid w:val="06736489"/>
    <w:rsid w:val="0674148B"/>
    <w:rsid w:val="0679D48D"/>
    <w:rsid w:val="067C646A"/>
    <w:rsid w:val="067CC2D9"/>
    <w:rsid w:val="0682964F"/>
    <w:rsid w:val="06832049"/>
    <w:rsid w:val="0683EC67"/>
    <w:rsid w:val="068AF812"/>
    <w:rsid w:val="068BA703"/>
    <w:rsid w:val="068F99B3"/>
    <w:rsid w:val="0690D120"/>
    <w:rsid w:val="069137E2"/>
    <w:rsid w:val="0695D852"/>
    <w:rsid w:val="069C7FD4"/>
    <w:rsid w:val="06A2023C"/>
    <w:rsid w:val="06A660F3"/>
    <w:rsid w:val="06A9B633"/>
    <w:rsid w:val="06AA1230"/>
    <w:rsid w:val="06ACEB6A"/>
    <w:rsid w:val="06B00C9C"/>
    <w:rsid w:val="06B083AD"/>
    <w:rsid w:val="06B79066"/>
    <w:rsid w:val="06BAB54F"/>
    <w:rsid w:val="06C1A54B"/>
    <w:rsid w:val="06C2C0B1"/>
    <w:rsid w:val="06C85FFD"/>
    <w:rsid w:val="06D67017"/>
    <w:rsid w:val="06D8122B"/>
    <w:rsid w:val="06DE4F67"/>
    <w:rsid w:val="06E0FC64"/>
    <w:rsid w:val="06E14FB7"/>
    <w:rsid w:val="06E2137B"/>
    <w:rsid w:val="06E92955"/>
    <w:rsid w:val="06F1EDCC"/>
    <w:rsid w:val="06F72943"/>
    <w:rsid w:val="06F8A9FF"/>
    <w:rsid w:val="06F91978"/>
    <w:rsid w:val="06F9320F"/>
    <w:rsid w:val="06FBBC54"/>
    <w:rsid w:val="07039682"/>
    <w:rsid w:val="0703AF08"/>
    <w:rsid w:val="07058BF2"/>
    <w:rsid w:val="0705AECA"/>
    <w:rsid w:val="070773AE"/>
    <w:rsid w:val="070953DE"/>
    <w:rsid w:val="070E595E"/>
    <w:rsid w:val="071243BE"/>
    <w:rsid w:val="0713C778"/>
    <w:rsid w:val="0714B4F8"/>
    <w:rsid w:val="0715D498"/>
    <w:rsid w:val="0717FB44"/>
    <w:rsid w:val="071A637C"/>
    <w:rsid w:val="071AA73E"/>
    <w:rsid w:val="0721C8AE"/>
    <w:rsid w:val="0721D466"/>
    <w:rsid w:val="0722CF18"/>
    <w:rsid w:val="07278899"/>
    <w:rsid w:val="07288480"/>
    <w:rsid w:val="07299CD7"/>
    <w:rsid w:val="072C4339"/>
    <w:rsid w:val="072E22C9"/>
    <w:rsid w:val="072E3A30"/>
    <w:rsid w:val="07370360"/>
    <w:rsid w:val="073B8FBF"/>
    <w:rsid w:val="073BC451"/>
    <w:rsid w:val="073D7D8F"/>
    <w:rsid w:val="073D9483"/>
    <w:rsid w:val="073DEE84"/>
    <w:rsid w:val="0747BAEB"/>
    <w:rsid w:val="074DB315"/>
    <w:rsid w:val="074E442B"/>
    <w:rsid w:val="074F4464"/>
    <w:rsid w:val="0753A89D"/>
    <w:rsid w:val="0753D181"/>
    <w:rsid w:val="0758443C"/>
    <w:rsid w:val="07587ACA"/>
    <w:rsid w:val="0762DD1B"/>
    <w:rsid w:val="07630957"/>
    <w:rsid w:val="0763F170"/>
    <w:rsid w:val="07667738"/>
    <w:rsid w:val="07686E40"/>
    <w:rsid w:val="076AFE4F"/>
    <w:rsid w:val="076BF6C0"/>
    <w:rsid w:val="077085CC"/>
    <w:rsid w:val="0773A913"/>
    <w:rsid w:val="077576FA"/>
    <w:rsid w:val="0778265E"/>
    <w:rsid w:val="077BB846"/>
    <w:rsid w:val="077DD7B1"/>
    <w:rsid w:val="077E478F"/>
    <w:rsid w:val="077E8136"/>
    <w:rsid w:val="07809921"/>
    <w:rsid w:val="0781BF73"/>
    <w:rsid w:val="0783508D"/>
    <w:rsid w:val="078625D5"/>
    <w:rsid w:val="0787C3B2"/>
    <w:rsid w:val="0788AADA"/>
    <w:rsid w:val="078AB378"/>
    <w:rsid w:val="078F5100"/>
    <w:rsid w:val="0792EB1A"/>
    <w:rsid w:val="07986128"/>
    <w:rsid w:val="079BA1EE"/>
    <w:rsid w:val="07A0E0C7"/>
    <w:rsid w:val="07A12445"/>
    <w:rsid w:val="07A267DE"/>
    <w:rsid w:val="07A6DA89"/>
    <w:rsid w:val="07AE487F"/>
    <w:rsid w:val="07B049FC"/>
    <w:rsid w:val="07B9B820"/>
    <w:rsid w:val="07BFB319"/>
    <w:rsid w:val="07C07A86"/>
    <w:rsid w:val="07C150BF"/>
    <w:rsid w:val="07C3027B"/>
    <w:rsid w:val="07C4348F"/>
    <w:rsid w:val="07C6FE87"/>
    <w:rsid w:val="07C98883"/>
    <w:rsid w:val="07CE2E63"/>
    <w:rsid w:val="07D282C9"/>
    <w:rsid w:val="07D45637"/>
    <w:rsid w:val="07E8E784"/>
    <w:rsid w:val="07EDB335"/>
    <w:rsid w:val="07EDBB02"/>
    <w:rsid w:val="07F0E5A4"/>
    <w:rsid w:val="07F270B1"/>
    <w:rsid w:val="07F27432"/>
    <w:rsid w:val="07F9E3D3"/>
    <w:rsid w:val="07FDD7D0"/>
    <w:rsid w:val="0800135A"/>
    <w:rsid w:val="080206DC"/>
    <w:rsid w:val="08045D56"/>
    <w:rsid w:val="0804F300"/>
    <w:rsid w:val="08051EFD"/>
    <w:rsid w:val="08071E85"/>
    <w:rsid w:val="080BDD26"/>
    <w:rsid w:val="08149417"/>
    <w:rsid w:val="0816B1DA"/>
    <w:rsid w:val="081784C6"/>
    <w:rsid w:val="08185B7A"/>
    <w:rsid w:val="081A1AC5"/>
    <w:rsid w:val="081A3A1A"/>
    <w:rsid w:val="081BE98C"/>
    <w:rsid w:val="082AD3A2"/>
    <w:rsid w:val="082B66C1"/>
    <w:rsid w:val="08313CA3"/>
    <w:rsid w:val="0835462B"/>
    <w:rsid w:val="0838DC04"/>
    <w:rsid w:val="0839034C"/>
    <w:rsid w:val="083B960C"/>
    <w:rsid w:val="08413A96"/>
    <w:rsid w:val="0846EFC3"/>
    <w:rsid w:val="08497FA1"/>
    <w:rsid w:val="084A40A6"/>
    <w:rsid w:val="084B5DAD"/>
    <w:rsid w:val="08500F11"/>
    <w:rsid w:val="0851EEBC"/>
    <w:rsid w:val="0866C87C"/>
    <w:rsid w:val="086E9FDD"/>
    <w:rsid w:val="0871CC18"/>
    <w:rsid w:val="08735AA2"/>
    <w:rsid w:val="087B8B14"/>
    <w:rsid w:val="087C6E83"/>
    <w:rsid w:val="087FD7D0"/>
    <w:rsid w:val="08876ECB"/>
    <w:rsid w:val="088A3184"/>
    <w:rsid w:val="088C2FC2"/>
    <w:rsid w:val="088FBE4C"/>
    <w:rsid w:val="089311FF"/>
    <w:rsid w:val="089AF93C"/>
    <w:rsid w:val="089D9D1C"/>
    <w:rsid w:val="089E7D85"/>
    <w:rsid w:val="08AB8105"/>
    <w:rsid w:val="08AC1734"/>
    <w:rsid w:val="08AD751D"/>
    <w:rsid w:val="08AF6A0D"/>
    <w:rsid w:val="08B0E2FD"/>
    <w:rsid w:val="08B25154"/>
    <w:rsid w:val="08C1096A"/>
    <w:rsid w:val="08C2D073"/>
    <w:rsid w:val="08CB4AD7"/>
    <w:rsid w:val="08CD998A"/>
    <w:rsid w:val="08CE6791"/>
    <w:rsid w:val="08D02CF3"/>
    <w:rsid w:val="08D27ED0"/>
    <w:rsid w:val="08D2B88C"/>
    <w:rsid w:val="08D61897"/>
    <w:rsid w:val="08D68B66"/>
    <w:rsid w:val="08D8D23C"/>
    <w:rsid w:val="08DCC84D"/>
    <w:rsid w:val="08DFA746"/>
    <w:rsid w:val="08E0284A"/>
    <w:rsid w:val="08E16783"/>
    <w:rsid w:val="08E5A142"/>
    <w:rsid w:val="08E63FD1"/>
    <w:rsid w:val="08E907DB"/>
    <w:rsid w:val="08E96F2F"/>
    <w:rsid w:val="08EFC251"/>
    <w:rsid w:val="08F3AC61"/>
    <w:rsid w:val="08F5C2EF"/>
    <w:rsid w:val="08F60AE2"/>
    <w:rsid w:val="08F911F6"/>
    <w:rsid w:val="08FEC3A1"/>
    <w:rsid w:val="08FFCB97"/>
    <w:rsid w:val="0900AF2B"/>
    <w:rsid w:val="0902149B"/>
    <w:rsid w:val="090330CD"/>
    <w:rsid w:val="0904413F"/>
    <w:rsid w:val="090577DC"/>
    <w:rsid w:val="090671A3"/>
    <w:rsid w:val="090AA66A"/>
    <w:rsid w:val="090E2B56"/>
    <w:rsid w:val="090F511B"/>
    <w:rsid w:val="09179B67"/>
    <w:rsid w:val="091DD6D9"/>
    <w:rsid w:val="091DFC82"/>
    <w:rsid w:val="092807E2"/>
    <w:rsid w:val="09290ACF"/>
    <w:rsid w:val="09310819"/>
    <w:rsid w:val="093259CB"/>
    <w:rsid w:val="093BB8EE"/>
    <w:rsid w:val="093E064E"/>
    <w:rsid w:val="0941E5FA"/>
    <w:rsid w:val="09433E06"/>
    <w:rsid w:val="0946E6C1"/>
    <w:rsid w:val="09478CD7"/>
    <w:rsid w:val="094827A3"/>
    <w:rsid w:val="094E7143"/>
    <w:rsid w:val="095264C2"/>
    <w:rsid w:val="095B837A"/>
    <w:rsid w:val="09632AEA"/>
    <w:rsid w:val="09665D05"/>
    <w:rsid w:val="096D8639"/>
    <w:rsid w:val="096D8BED"/>
    <w:rsid w:val="096EC634"/>
    <w:rsid w:val="09723E47"/>
    <w:rsid w:val="0974B6D9"/>
    <w:rsid w:val="09765B62"/>
    <w:rsid w:val="0976E967"/>
    <w:rsid w:val="09794A93"/>
    <w:rsid w:val="097B47EA"/>
    <w:rsid w:val="097E56AD"/>
    <w:rsid w:val="097ECF9B"/>
    <w:rsid w:val="09802C6E"/>
    <w:rsid w:val="0980F6BA"/>
    <w:rsid w:val="09815B97"/>
    <w:rsid w:val="0990D92E"/>
    <w:rsid w:val="09965A4F"/>
    <w:rsid w:val="0998A87A"/>
    <w:rsid w:val="099AE5CF"/>
    <w:rsid w:val="099CF672"/>
    <w:rsid w:val="099D2160"/>
    <w:rsid w:val="099FBEC1"/>
    <w:rsid w:val="09A0B424"/>
    <w:rsid w:val="09A14A32"/>
    <w:rsid w:val="09A2A56D"/>
    <w:rsid w:val="09AC2191"/>
    <w:rsid w:val="09B9A7F6"/>
    <w:rsid w:val="09BE8ECD"/>
    <w:rsid w:val="09C1E10C"/>
    <w:rsid w:val="09C623CE"/>
    <w:rsid w:val="09CEDD1C"/>
    <w:rsid w:val="09D0C548"/>
    <w:rsid w:val="09D0C697"/>
    <w:rsid w:val="09D3DB0A"/>
    <w:rsid w:val="09DA137B"/>
    <w:rsid w:val="09DAC871"/>
    <w:rsid w:val="09DB9FA1"/>
    <w:rsid w:val="09DEC133"/>
    <w:rsid w:val="09E39A59"/>
    <w:rsid w:val="09E44F45"/>
    <w:rsid w:val="09E57BED"/>
    <w:rsid w:val="09E59A95"/>
    <w:rsid w:val="09E636EC"/>
    <w:rsid w:val="09EABF64"/>
    <w:rsid w:val="09EACE7F"/>
    <w:rsid w:val="09EB4132"/>
    <w:rsid w:val="09FDA94E"/>
    <w:rsid w:val="09FE9E7B"/>
    <w:rsid w:val="0A01518A"/>
    <w:rsid w:val="0A042B6E"/>
    <w:rsid w:val="0A08EA96"/>
    <w:rsid w:val="0A0C18F4"/>
    <w:rsid w:val="0A0C384C"/>
    <w:rsid w:val="0A10E57A"/>
    <w:rsid w:val="0A120C78"/>
    <w:rsid w:val="0A1903CF"/>
    <w:rsid w:val="0A1978A9"/>
    <w:rsid w:val="0A1E0E0B"/>
    <w:rsid w:val="0A1E9BF1"/>
    <w:rsid w:val="0A223BD7"/>
    <w:rsid w:val="0A263F13"/>
    <w:rsid w:val="0A28EDB7"/>
    <w:rsid w:val="0A2E1D59"/>
    <w:rsid w:val="0A2F731A"/>
    <w:rsid w:val="0A2FAB8A"/>
    <w:rsid w:val="0A311CF0"/>
    <w:rsid w:val="0A334316"/>
    <w:rsid w:val="0A35B6F9"/>
    <w:rsid w:val="0A47A0E8"/>
    <w:rsid w:val="0A498C80"/>
    <w:rsid w:val="0A540B75"/>
    <w:rsid w:val="0A54CB3B"/>
    <w:rsid w:val="0A5702C2"/>
    <w:rsid w:val="0A571664"/>
    <w:rsid w:val="0A596A31"/>
    <w:rsid w:val="0A5F169F"/>
    <w:rsid w:val="0A60AC9C"/>
    <w:rsid w:val="0A657A59"/>
    <w:rsid w:val="0A6636C7"/>
    <w:rsid w:val="0A6D568D"/>
    <w:rsid w:val="0A70C44C"/>
    <w:rsid w:val="0A73C9FB"/>
    <w:rsid w:val="0A7F9632"/>
    <w:rsid w:val="0A837BA9"/>
    <w:rsid w:val="0A84ADAA"/>
    <w:rsid w:val="0A85A8FD"/>
    <w:rsid w:val="0A875BC5"/>
    <w:rsid w:val="0A8A1025"/>
    <w:rsid w:val="0A8AA64C"/>
    <w:rsid w:val="0A93B079"/>
    <w:rsid w:val="0A9DC4A7"/>
    <w:rsid w:val="0A9F9E76"/>
    <w:rsid w:val="0AA0B17C"/>
    <w:rsid w:val="0AA442C8"/>
    <w:rsid w:val="0AA564B5"/>
    <w:rsid w:val="0AA5699E"/>
    <w:rsid w:val="0AA6D27E"/>
    <w:rsid w:val="0AA83B6F"/>
    <w:rsid w:val="0AB47282"/>
    <w:rsid w:val="0AB5DE29"/>
    <w:rsid w:val="0ABBD650"/>
    <w:rsid w:val="0ABFFB75"/>
    <w:rsid w:val="0AC15CF0"/>
    <w:rsid w:val="0AC8639B"/>
    <w:rsid w:val="0AC88F81"/>
    <w:rsid w:val="0ACC418B"/>
    <w:rsid w:val="0ACE2A2C"/>
    <w:rsid w:val="0ACFBB69"/>
    <w:rsid w:val="0AD69A51"/>
    <w:rsid w:val="0AD96866"/>
    <w:rsid w:val="0AE4C829"/>
    <w:rsid w:val="0AE6236F"/>
    <w:rsid w:val="0AE7F3E9"/>
    <w:rsid w:val="0AEBBDD0"/>
    <w:rsid w:val="0AEDB122"/>
    <w:rsid w:val="0AEF93A1"/>
    <w:rsid w:val="0AF53912"/>
    <w:rsid w:val="0AF9E29C"/>
    <w:rsid w:val="0AFDD925"/>
    <w:rsid w:val="0B0290C3"/>
    <w:rsid w:val="0B0418AD"/>
    <w:rsid w:val="0B0A0C5E"/>
    <w:rsid w:val="0B113986"/>
    <w:rsid w:val="0B114428"/>
    <w:rsid w:val="0B24163D"/>
    <w:rsid w:val="0B251945"/>
    <w:rsid w:val="0B2611E1"/>
    <w:rsid w:val="0B267F21"/>
    <w:rsid w:val="0B29EB6E"/>
    <w:rsid w:val="0B2FAF22"/>
    <w:rsid w:val="0B3306A9"/>
    <w:rsid w:val="0B35D907"/>
    <w:rsid w:val="0B3BC7CF"/>
    <w:rsid w:val="0B3F0035"/>
    <w:rsid w:val="0B3F03CA"/>
    <w:rsid w:val="0B413AA4"/>
    <w:rsid w:val="0B425DBC"/>
    <w:rsid w:val="0B42B60C"/>
    <w:rsid w:val="0B47D51C"/>
    <w:rsid w:val="0B540F05"/>
    <w:rsid w:val="0B579512"/>
    <w:rsid w:val="0B59819B"/>
    <w:rsid w:val="0B5A19D3"/>
    <w:rsid w:val="0B5F8B15"/>
    <w:rsid w:val="0B60B58F"/>
    <w:rsid w:val="0B621B97"/>
    <w:rsid w:val="0B633AF6"/>
    <w:rsid w:val="0B6FF7E5"/>
    <w:rsid w:val="0B725AD5"/>
    <w:rsid w:val="0B732896"/>
    <w:rsid w:val="0B7442DB"/>
    <w:rsid w:val="0B7624B2"/>
    <w:rsid w:val="0B7CF40C"/>
    <w:rsid w:val="0B803346"/>
    <w:rsid w:val="0B803CA8"/>
    <w:rsid w:val="0B821082"/>
    <w:rsid w:val="0B85AB9F"/>
    <w:rsid w:val="0B87C026"/>
    <w:rsid w:val="0B8D367D"/>
    <w:rsid w:val="0B95C792"/>
    <w:rsid w:val="0B975B04"/>
    <w:rsid w:val="0B99253B"/>
    <w:rsid w:val="0B9D8F9C"/>
    <w:rsid w:val="0BA3EB58"/>
    <w:rsid w:val="0BAAC038"/>
    <w:rsid w:val="0BAFE994"/>
    <w:rsid w:val="0BB2096F"/>
    <w:rsid w:val="0BB98757"/>
    <w:rsid w:val="0BBBA478"/>
    <w:rsid w:val="0BBDFD15"/>
    <w:rsid w:val="0BCA198C"/>
    <w:rsid w:val="0BCD07B2"/>
    <w:rsid w:val="0BCEC80F"/>
    <w:rsid w:val="0BCF74E3"/>
    <w:rsid w:val="0BCF9CF4"/>
    <w:rsid w:val="0BD03313"/>
    <w:rsid w:val="0BD08DEB"/>
    <w:rsid w:val="0BD3150E"/>
    <w:rsid w:val="0BD4E575"/>
    <w:rsid w:val="0BD67A67"/>
    <w:rsid w:val="0BD750A2"/>
    <w:rsid w:val="0BD870D4"/>
    <w:rsid w:val="0BD8A2E1"/>
    <w:rsid w:val="0BDAE7E7"/>
    <w:rsid w:val="0BDB4C23"/>
    <w:rsid w:val="0BE01A67"/>
    <w:rsid w:val="0BE7773D"/>
    <w:rsid w:val="0BE91D0C"/>
    <w:rsid w:val="0BEA7DD9"/>
    <w:rsid w:val="0BF4803F"/>
    <w:rsid w:val="0BF65704"/>
    <w:rsid w:val="0BF6EB0E"/>
    <w:rsid w:val="0BFEA4E8"/>
    <w:rsid w:val="0C0170C1"/>
    <w:rsid w:val="0C0332A1"/>
    <w:rsid w:val="0C061671"/>
    <w:rsid w:val="0C0DF163"/>
    <w:rsid w:val="0C14867D"/>
    <w:rsid w:val="0C18331F"/>
    <w:rsid w:val="0C1F22BD"/>
    <w:rsid w:val="0C20BDB2"/>
    <w:rsid w:val="0C23C300"/>
    <w:rsid w:val="0C26DB22"/>
    <w:rsid w:val="0C2A4B00"/>
    <w:rsid w:val="0C2BA1D4"/>
    <w:rsid w:val="0C3274CA"/>
    <w:rsid w:val="0C3277D8"/>
    <w:rsid w:val="0C3627A1"/>
    <w:rsid w:val="0C366C63"/>
    <w:rsid w:val="0C392046"/>
    <w:rsid w:val="0C40509C"/>
    <w:rsid w:val="0C45FE41"/>
    <w:rsid w:val="0C4B5A03"/>
    <w:rsid w:val="0C51E36D"/>
    <w:rsid w:val="0C56E620"/>
    <w:rsid w:val="0C599B83"/>
    <w:rsid w:val="0C648D9E"/>
    <w:rsid w:val="0C67985B"/>
    <w:rsid w:val="0C67AE3C"/>
    <w:rsid w:val="0C71682C"/>
    <w:rsid w:val="0C787CAA"/>
    <w:rsid w:val="0C78D8C2"/>
    <w:rsid w:val="0C7926EE"/>
    <w:rsid w:val="0C7B0A0C"/>
    <w:rsid w:val="0C814824"/>
    <w:rsid w:val="0C834D23"/>
    <w:rsid w:val="0C8962F2"/>
    <w:rsid w:val="0C8EF72C"/>
    <w:rsid w:val="0C91A700"/>
    <w:rsid w:val="0C96C8F1"/>
    <w:rsid w:val="0C9953D1"/>
    <w:rsid w:val="0C9FD9D4"/>
    <w:rsid w:val="0CA3377D"/>
    <w:rsid w:val="0CAC75C1"/>
    <w:rsid w:val="0CAC9372"/>
    <w:rsid w:val="0CB12883"/>
    <w:rsid w:val="0CB285C0"/>
    <w:rsid w:val="0CB5B2B3"/>
    <w:rsid w:val="0CB89076"/>
    <w:rsid w:val="0CB8C118"/>
    <w:rsid w:val="0CBA22AD"/>
    <w:rsid w:val="0CBD77D5"/>
    <w:rsid w:val="0CBF893F"/>
    <w:rsid w:val="0CC0E9A6"/>
    <w:rsid w:val="0CC3A91A"/>
    <w:rsid w:val="0CC564FE"/>
    <w:rsid w:val="0CC92F61"/>
    <w:rsid w:val="0CD095FC"/>
    <w:rsid w:val="0CD5DB7F"/>
    <w:rsid w:val="0CD698E7"/>
    <w:rsid w:val="0CD79830"/>
    <w:rsid w:val="0CD7D744"/>
    <w:rsid w:val="0CD7E9F1"/>
    <w:rsid w:val="0CDCC991"/>
    <w:rsid w:val="0CDD7A45"/>
    <w:rsid w:val="0CE126F6"/>
    <w:rsid w:val="0CE6FFEF"/>
    <w:rsid w:val="0CF1FD26"/>
    <w:rsid w:val="0CF5F1EE"/>
    <w:rsid w:val="0CFBF3BA"/>
    <w:rsid w:val="0D090DCF"/>
    <w:rsid w:val="0D0F8BF8"/>
    <w:rsid w:val="0D10F7A5"/>
    <w:rsid w:val="0D1308AF"/>
    <w:rsid w:val="0D2523F8"/>
    <w:rsid w:val="0D29A1A8"/>
    <w:rsid w:val="0D2ED7C7"/>
    <w:rsid w:val="0D31DD99"/>
    <w:rsid w:val="0D366814"/>
    <w:rsid w:val="0D37AF19"/>
    <w:rsid w:val="0D3ABD0C"/>
    <w:rsid w:val="0D43B9B6"/>
    <w:rsid w:val="0D456C65"/>
    <w:rsid w:val="0D45808F"/>
    <w:rsid w:val="0D4BC60B"/>
    <w:rsid w:val="0D5B3448"/>
    <w:rsid w:val="0D5EA2BD"/>
    <w:rsid w:val="0D606AD5"/>
    <w:rsid w:val="0D60B32F"/>
    <w:rsid w:val="0D611DAE"/>
    <w:rsid w:val="0D61B63E"/>
    <w:rsid w:val="0D63E392"/>
    <w:rsid w:val="0D6597D3"/>
    <w:rsid w:val="0D67EA66"/>
    <w:rsid w:val="0D6C5696"/>
    <w:rsid w:val="0D6DC93D"/>
    <w:rsid w:val="0D70AC6E"/>
    <w:rsid w:val="0D73A44E"/>
    <w:rsid w:val="0D74CB77"/>
    <w:rsid w:val="0D78BD7E"/>
    <w:rsid w:val="0D7E511B"/>
    <w:rsid w:val="0D7F8689"/>
    <w:rsid w:val="0D8082E8"/>
    <w:rsid w:val="0D823A71"/>
    <w:rsid w:val="0D84456B"/>
    <w:rsid w:val="0D891292"/>
    <w:rsid w:val="0D8AA9A5"/>
    <w:rsid w:val="0D8FCBF0"/>
    <w:rsid w:val="0D91ECAE"/>
    <w:rsid w:val="0D924260"/>
    <w:rsid w:val="0D93D1B0"/>
    <w:rsid w:val="0D9697B3"/>
    <w:rsid w:val="0D96DAFC"/>
    <w:rsid w:val="0D9F1014"/>
    <w:rsid w:val="0DA26604"/>
    <w:rsid w:val="0DB92652"/>
    <w:rsid w:val="0DBA2118"/>
    <w:rsid w:val="0DBACC78"/>
    <w:rsid w:val="0DBDC719"/>
    <w:rsid w:val="0DC3093C"/>
    <w:rsid w:val="0DC66FAD"/>
    <w:rsid w:val="0DCE9618"/>
    <w:rsid w:val="0DD1EBD1"/>
    <w:rsid w:val="0DD635BF"/>
    <w:rsid w:val="0DF67DC9"/>
    <w:rsid w:val="0DF73D6C"/>
    <w:rsid w:val="0DFBE1EF"/>
    <w:rsid w:val="0E003ADB"/>
    <w:rsid w:val="0E0C88BB"/>
    <w:rsid w:val="0E11F05A"/>
    <w:rsid w:val="0E126C9A"/>
    <w:rsid w:val="0E1A867C"/>
    <w:rsid w:val="0E2265CA"/>
    <w:rsid w:val="0E280447"/>
    <w:rsid w:val="0E2D9841"/>
    <w:rsid w:val="0E2F89A2"/>
    <w:rsid w:val="0E3800A8"/>
    <w:rsid w:val="0E3D4444"/>
    <w:rsid w:val="0E40A8DE"/>
    <w:rsid w:val="0E43921D"/>
    <w:rsid w:val="0E43FF4A"/>
    <w:rsid w:val="0E463C8A"/>
    <w:rsid w:val="0E492CBE"/>
    <w:rsid w:val="0E4BFE38"/>
    <w:rsid w:val="0E4CBA1B"/>
    <w:rsid w:val="0E507249"/>
    <w:rsid w:val="0E54AA42"/>
    <w:rsid w:val="0E54D292"/>
    <w:rsid w:val="0E556A02"/>
    <w:rsid w:val="0E5675FF"/>
    <w:rsid w:val="0E5816D3"/>
    <w:rsid w:val="0E5AF597"/>
    <w:rsid w:val="0E5EF999"/>
    <w:rsid w:val="0E62845F"/>
    <w:rsid w:val="0E65064F"/>
    <w:rsid w:val="0E662FF3"/>
    <w:rsid w:val="0E689552"/>
    <w:rsid w:val="0E6BD615"/>
    <w:rsid w:val="0E6D53DC"/>
    <w:rsid w:val="0E70402D"/>
    <w:rsid w:val="0E72325A"/>
    <w:rsid w:val="0E743102"/>
    <w:rsid w:val="0E746312"/>
    <w:rsid w:val="0E794AA6"/>
    <w:rsid w:val="0E7C3EED"/>
    <w:rsid w:val="0E7CF757"/>
    <w:rsid w:val="0E7EBC91"/>
    <w:rsid w:val="0E80C1ED"/>
    <w:rsid w:val="0E922B56"/>
    <w:rsid w:val="0E94CDA0"/>
    <w:rsid w:val="0E976AAB"/>
    <w:rsid w:val="0E98E40C"/>
    <w:rsid w:val="0E9AE604"/>
    <w:rsid w:val="0EA4CC5E"/>
    <w:rsid w:val="0EA7972B"/>
    <w:rsid w:val="0EAFF260"/>
    <w:rsid w:val="0EB23402"/>
    <w:rsid w:val="0EB7DD6A"/>
    <w:rsid w:val="0EC5DDC7"/>
    <w:rsid w:val="0ECD3EFC"/>
    <w:rsid w:val="0ED406C7"/>
    <w:rsid w:val="0EDD1D69"/>
    <w:rsid w:val="0EDDF1EE"/>
    <w:rsid w:val="0EE65275"/>
    <w:rsid w:val="0EEC0459"/>
    <w:rsid w:val="0EF16FB9"/>
    <w:rsid w:val="0EF4FBDF"/>
    <w:rsid w:val="0EF9823D"/>
    <w:rsid w:val="0EF9FFA9"/>
    <w:rsid w:val="0EFDE4A4"/>
    <w:rsid w:val="0F04A73D"/>
    <w:rsid w:val="0F090A06"/>
    <w:rsid w:val="0F0BB745"/>
    <w:rsid w:val="0F0E17B1"/>
    <w:rsid w:val="0F14961D"/>
    <w:rsid w:val="0F15216E"/>
    <w:rsid w:val="0F164775"/>
    <w:rsid w:val="0F1B554B"/>
    <w:rsid w:val="0F223EBD"/>
    <w:rsid w:val="0F22FD36"/>
    <w:rsid w:val="0F2CD8F4"/>
    <w:rsid w:val="0F2D49A2"/>
    <w:rsid w:val="0F2E12C1"/>
    <w:rsid w:val="0F301692"/>
    <w:rsid w:val="0F311F67"/>
    <w:rsid w:val="0F34AEBC"/>
    <w:rsid w:val="0F39A882"/>
    <w:rsid w:val="0F3E81AC"/>
    <w:rsid w:val="0F418ED2"/>
    <w:rsid w:val="0F44EBF8"/>
    <w:rsid w:val="0F55100F"/>
    <w:rsid w:val="0F5544A1"/>
    <w:rsid w:val="0F57DE7D"/>
    <w:rsid w:val="0F59BA31"/>
    <w:rsid w:val="0F601B48"/>
    <w:rsid w:val="0F60A6C0"/>
    <w:rsid w:val="0F62C238"/>
    <w:rsid w:val="0F635D52"/>
    <w:rsid w:val="0F6EFF85"/>
    <w:rsid w:val="0F7133BC"/>
    <w:rsid w:val="0F75E018"/>
    <w:rsid w:val="0F75E229"/>
    <w:rsid w:val="0F789C13"/>
    <w:rsid w:val="0F817D53"/>
    <w:rsid w:val="0F8AB8A8"/>
    <w:rsid w:val="0F90D87F"/>
    <w:rsid w:val="0F92CFAE"/>
    <w:rsid w:val="0F93BCBF"/>
    <w:rsid w:val="0F93FD95"/>
    <w:rsid w:val="0F9B8A19"/>
    <w:rsid w:val="0FA34722"/>
    <w:rsid w:val="0FA4757D"/>
    <w:rsid w:val="0FA48660"/>
    <w:rsid w:val="0FA63286"/>
    <w:rsid w:val="0FA6FF9D"/>
    <w:rsid w:val="0FA89F02"/>
    <w:rsid w:val="0FA8B589"/>
    <w:rsid w:val="0FAA61E9"/>
    <w:rsid w:val="0FAAAC75"/>
    <w:rsid w:val="0FAC6FB2"/>
    <w:rsid w:val="0FACC9AF"/>
    <w:rsid w:val="0FACFAA5"/>
    <w:rsid w:val="0FAE186D"/>
    <w:rsid w:val="0FAFBBDC"/>
    <w:rsid w:val="0FB4F936"/>
    <w:rsid w:val="0FBDA6F9"/>
    <w:rsid w:val="0FC265DB"/>
    <w:rsid w:val="0FC4749A"/>
    <w:rsid w:val="0FCCAD8C"/>
    <w:rsid w:val="0FD0F825"/>
    <w:rsid w:val="0FD65739"/>
    <w:rsid w:val="0FD7C1C5"/>
    <w:rsid w:val="0FD9A213"/>
    <w:rsid w:val="0FE862FB"/>
    <w:rsid w:val="0FE9D2F7"/>
    <w:rsid w:val="0FECC99D"/>
    <w:rsid w:val="0FF183C7"/>
    <w:rsid w:val="0FF6E43D"/>
    <w:rsid w:val="0FFA445B"/>
    <w:rsid w:val="0FFED961"/>
    <w:rsid w:val="10071143"/>
    <w:rsid w:val="100873B7"/>
    <w:rsid w:val="10088EE8"/>
    <w:rsid w:val="100CF8DD"/>
    <w:rsid w:val="100E142A"/>
    <w:rsid w:val="10133A0E"/>
    <w:rsid w:val="10149380"/>
    <w:rsid w:val="10168CBD"/>
    <w:rsid w:val="1016EB54"/>
    <w:rsid w:val="101D088F"/>
    <w:rsid w:val="10267A6A"/>
    <w:rsid w:val="102DF959"/>
    <w:rsid w:val="102EC4B1"/>
    <w:rsid w:val="10309DA9"/>
    <w:rsid w:val="1030CA14"/>
    <w:rsid w:val="10359485"/>
    <w:rsid w:val="10394722"/>
    <w:rsid w:val="103D3ABC"/>
    <w:rsid w:val="1046394D"/>
    <w:rsid w:val="1051529D"/>
    <w:rsid w:val="10522F85"/>
    <w:rsid w:val="1053859B"/>
    <w:rsid w:val="10551306"/>
    <w:rsid w:val="105CD0BE"/>
    <w:rsid w:val="1062BE32"/>
    <w:rsid w:val="106950B8"/>
    <w:rsid w:val="10695621"/>
    <w:rsid w:val="106998E3"/>
    <w:rsid w:val="106F717A"/>
    <w:rsid w:val="107366BD"/>
    <w:rsid w:val="107553AD"/>
    <w:rsid w:val="1078F2C9"/>
    <w:rsid w:val="107EF03D"/>
    <w:rsid w:val="108E5B81"/>
    <w:rsid w:val="1095E5E0"/>
    <w:rsid w:val="109B322C"/>
    <w:rsid w:val="10A12C30"/>
    <w:rsid w:val="10A3A436"/>
    <w:rsid w:val="10A52566"/>
    <w:rsid w:val="10AF8E4F"/>
    <w:rsid w:val="10B133F4"/>
    <w:rsid w:val="10B2628D"/>
    <w:rsid w:val="10B55D6C"/>
    <w:rsid w:val="10B8D36F"/>
    <w:rsid w:val="10BA464D"/>
    <w:rsid w:val="10C1565F"/>
    <w:rsid w:val="10C23EB0"/>
    <w:rsid w:val="10D47FD2"/>
    <w:rsid w:val="10D93A97"/>
    <w:rsid w:val="10D95955"/>
    <w:rsid w:val="10E0C358"/>
    <w:rsid w:val="10E40F60"/>
    <w:rsid w:val="10EC38D6"/>
    <w:rsid w:val="10FE6E26"/>
    <w:rsid w:val="10FED8C2"/>
    <w:rsid w:val="1100B406"/>
    <w:rsid w:val="11067933"/>
    <w:rsid w:val="1109D7D1"/>
    <w:rsid w:val="110AD8A0"/>
    <w:rsid w:val="110C34BB"/>
    <w:rsid w:val="110DDEBB"/>
    <w:rsid w:val="1113784C"/>
    <w:rsid w:val="1118FC8B"/>
    <w:rsid w:val="111933A9"/>
    <w:rsid w:val="111A0687"/>
    <w:rsid w:val="1120180F"/>
    <w:rsid w:val="1121F204"/>
    <w:rsid w:val="1122235D"/>
    <w:rsid w:val="1122EA5D"/>
    <w:rsid w:val="112827D4"/>
    <w:rsid w:val="1133E9F2"/>
    <w:rsid w:val="1137D00D"/>
    <w:rsid w:val="113F8CA8"/>
    <w:rsid w:val="11441E74"/>
    <w:rsid w:val="11446F63"/>
    <w:rsid w:val="1148CB06"/>
    <w:rsid w:val="1154371D"/>
    <w:rsid w:val="1157710E"/>
    <w:rsid w:val="115E3646"/>
    <w:rsid w:val="115F270A"/>
    <w:rsid w:val="115FCED2"/>
    <w:rsid w:val="11625526"/>
    <w:rsid w:val="116600B4"/>
    <w:rsid w:val="1169E55D"/>
    <w:rsid w:val="11756E0C"/>
    <w:rsid w:val="11784478"/>
    <w:rsid w:val="117AA2CB"/>
    <w:rsid w:val="117EAA77"/>
    <w:rsid w:val="11828603"/>
    <w:rsid w:val="1186B08D"/>
    <w:rsid w:val="1189C12A"/>
    <w:rsid w:val="1189D94E"/>
    <w:rsid w:val="118AEC57"/>
    <w:rsid w:val="1190410B"/>
    <w:rsid w:val="1199699B"/>
    <w:rsid w:val="11999358"/>
    <w:rsid w:val="119A24A5"/>
    <w:rsid w:val="119B936C"/>
    <w:rsid w:val="119BDF4E"/>
    <w:rsid w:val="11A0A276"/>
    <w:rsid w:val="11A2E448"/>
    <w:rsid w:val="11A376D7"/>
    <w:rsid w:val="11A3E146"/>
    <w:rsid w:val="11A7362B"/>
    <w:rsid w:val="11A7C51A"/>
    <w:rsid w:val="11A9E48B"/>
    <w:rsid w:val="11ADE1F5"/>
    <w:rsid w:val="11AF5202"/>
    <w:rsid w:val="11B0F0AD"/>
    <w:rsid w:val="11B2BBB5"/>
    <w:rsid w:val="11B6E4CA"/>
    <w:rsid w:val="11B6FE30"/>
    <w:rsid w:val="11CAA7D0"/>
    <w:rsid w:val="11CAF504"/>
    <w:rsid w:val="11D270FA"/>
    <w:rsid w:val="11DC91B6"/>
    <w:rsid w:val="11DEBF36"/>
    <w:rsid w:val="11DF9D9D"/>
    <w:rsid w:val="11E240E0"/>
    <w:rsid w:val="11E43E33"/>
    <w:rsid w:val="11E8B950"/>
    <w:rsid w:val="11F0929E"/>
    <w:rsid w:val="11F2A6D3"/>
    <w:rsid w:val="11FA0B99"/>
    <w:rsid w:val="11FBC1E4"/>
    <w:rsid w:val="11FCDD8D"/>
    <w:rsid w:val="11FF6F0F"/>
    <w:rsid w:val="1201E8FF"/>
    <w:rsid w:val="1203ED40"/>
    <w:rsid w:val="12042600"/>
    <w:rsid w:val="120D0580"/>
    <w:rsid w:val="120ECB9D"/>
    <w:rsid w:val="12116DAE"/>
    <w:rsid w:val="12164378"/>
    <w:rsid w:val="12167270"/>
    <w:rsid w:val="12188BE3"/>
    <w:rsid w:val="122039E6"/>
    <w:rsid w:val="12204221"/>
    <w:rsid w:val="122C29C1"/>
    <w:rsid w:val="122C785A"/>
    <w:rsid w:val="1239DCA9"/>
    <w:rsid w:val="1244A94F"/>
    <w:rsid w:val="12452A55"/>
    <w:rsid w:val="12484765"/>
    <w:rsid w:val="12494DC6"/>
    <w:rsid w:val="124A93D2"/>
    <w:rsid w:val="1251DD55"/>
    <w:rsid w:val="12530583"/>
    <w:rsid w:val="1258E416"/>
    <w:rsid w:val="125987AC"/>
    <w:rsid w:val="125EE3F6"/>
    <w:rsid w:val="12609A0C"/>
    <w:rsid w:val="12647C16"/>
    <w:rsid w:val="1268364B"/>
    <w:rsid w:val="126F1205"/>
    <w:rsid w:val="127DC722"/>
    <w:rsid w:val="127DCCCB"/>
    <w:rsid w:val="1281B869"/>
    <w:rsid w:val="128709C3"/>
    <w:rsid w:val="128CE6B0"/>
    <w:rsid w:val="128D7B65"/>
    <w:rsid w:val="128EABE7"/>
    <w:rsid w:val="1292D27A"/>
    <w:rsid w:val="129376F1"/>
    <w:rsid w:val="129776D7"/>
    <w:rsid w:val="1298A7F8"/>
    <w:rsid w:val="1298BC06"/>
    <w:rsid w:val="129C8467"/>
    <w:rsid w:val="12A17E37"/>
    <w:rsid w:val="12A7C6E8"/>
    <w:rsid w:val="12AA6F75"/>
    <w:rsid w:val="12B1B016"/>
    <w:rsid w:val="12B46548"/>
    <w:rsid w:val="12B7E021"/>
    <w:rsid w:val="12B817A0"/>
    <w:rsid w:val="12B8D7F9"/>
    <w:rsid w:val="12B95172"/>
    <w:rsid w:val="12BBB69A"/>
    <w:rsid w:val="12C00088"/>
    <w:rsid w:val="12C268C7"/>
    <w:rsid w:val="12C50B8D"/>
    <w:rsid w:val="12D3A06E"/>
    <w:rsid w:val="12D3A8EF"/>
    <w:rsid w:val="12D6C697"/>
    <w:rsid w:val="12DB5E8F"/>
    <w:rsid w:val="12DC9617"/>
    <w:rsid w:val="12E42487"/>
    <w:rsid w:val="12E58E83"/>
    <w:rsid w:val="12E5B27C"/>
    <w:rsid w:val="12E924F3"/>
    <w:rsid w:val="12EC9575"/>
    <w:rsid w:val="12EFC2AD"/>
    <w:rsid w:val="12F9F97A"/>
    <w:rsid w:val="12FA4C44"/>
    <w:rsid w:val="12FCAF9C"/>
    <w:rsid w:val="13040366"/>
    <w:rsid w:val="1306E300"/>
    <w:rsid w:val="13091C70"/>
    <w:rsid w:val="130F940C"/>
    <w:rsid w:val="13100820"/>
    <w:rsid w:val="131383EE"/>
    <w:rsid w:val="131434E8"/>
    <w:rsid w:val="13172F01"/>
    <w:rsid w:val="1317F7EB"/>
    <w:rsid w:val="1320FD3E"/>
    <w:rsid w:val="1321368A"/>
    <w:rsid w:val="1321E847"/>
    <w:rsid w:val="1327C28F"/>
    <w:rsid w:val="132AACAE"/>
    <w:rsid w:val="132FD3D0"/>
    <w:rsid w:val="133306D4"/>
    <w:rsid w:val="13332503"/>
    <w:rsid w:val="1333BFBF"/>
    <w:rsid w:val="1334E5EF"/>
    <w:rsid w:val="133FE515"/>
    <w:rsid w:val="133FE6BD"/>
    <w:rsid w:val="134608C2"/>
    <w:rsid w:val="134763AE"/>
    <w:rsid w:val="13524F13"/>
    <w:rsid w:val="1354F91A"/>
    <w:rsid w:val="13597257"/>
    <w:rsid w:val="135B39AD"/>
    <w:rsid w:val="135DC3BB"/>
    <w:rsid w:val="135EE75B"/>
    <w:rsid w:val="13662401"/>
    <w:rsid w:val="1367E942"/>
    <w:rsid w:val="1368B830"/>
    <w:rsid w:val="136A9F7C"/>
    <w:rsid w:val="136F69C9"/>
    <w:rsid w:val="136FF282"/>
    <w:rsid w:val="13715789"/>
    <w:rsid w:val="1373D50D"/>
    <w:rsid w:val="1375FF1B"/>
    <w:rsid w:val="1376F6A3"/>
    <w:rsid w:val="13790C5D"/>
    <w:rsid w:val="13796866"/>
    <w:rsid w:val="1380FE30"/>
    <w:rsid w:val="1383AD14"/>
    <w:rsid w:val="1383C1B1"/>
    <w:rsid w:val="1386AF33"/>
    <w:rsid w:val="1387A0B7"/>
    <w:rsid w:val="1389BDB1"/>
    <w:rsid w:val="138B4C1D"/>
    <w:rsid w:val="138F84A2"/>
    <w:rsid w:val="1390AE36"/>
    <w:rsid w:val="13915DA7"/>
    <w:rsid w:val="13916384"/>
    <w:rsid w:val="13927C7B"/>
    <w:rsid w:val="13928551"/>
    <w:rsid w:val="1398A48F"/>
    <w:rsid w:val="13A880E5"/>
    <w:rsid w:val="13AA5CC5"/>
    <w:rsid w:val="13AADEC9"/>
    <w:rsid w:val="13B15D4B"/>
    <w:rsid w:val="13B22C6B"/>
    <w:rsid w:val="13B4FEB2"/>
    <w:rsid w:val="13C8726C"/>
    <w:rsid w:val="13CE3B9D"/>
    <w:rsid w:val="13CECBCE"/>
    <w:rsid w:val="13D2ED04"/>
    <w:rsid w:val="13D6E998"/>
    <w:rsid w:val="13D7D733"/>
    <w:rsid w:val="13D8A2B3"/>
    <w:rsid w:val="13E1DD99"/>
    <w:rsid w:val="13E5D16F"/>
    <w:rsid w:val="13E7BF5C"/>
    <w:rsid w:val="13EA5BE0"/>
    <w:rsid w:val="13EB722B"/>
    <w:rsid w:val="13EF9BF3"/>
    <w:rsid w:val="13F42281"/>
    <w:rsid w:val="13FDAC5E"/>
    <w:rsid w:val="14000F83"/>
    <w:rsid w:val="140FE9D2"/>
    <w:rsid w:val="1414FFF5"/>
    <w:rsid w:val="1415CDFF"/>
    <w:rsid w:val="141B38EF"/>
    <w:rsid w:val="141CFA07"/>
    <w:rsid w:val="141D3714"/>
    <w:rsid w:val="1427FC35"/>
    <w:rsid w:val="1438342F"/>
    <w:rsid w:val="143AFDB7"/>
    <w:rsid w:val="143D14B9"/>
    <w:rsid w:val="143E3C8C"/>
    <w:rsid w:val="14418EBE"/>
    <w:rsid w:val="14446295"/>
    <w:rsid w:val="1456AF05"/>
    <w:rsid w:val="14570C40"/>
    <w:rsid w:val="1459D679"/>
    <w:rsid w:val="14644D60"/>
    <w:rsid w:val="1471F8B3"/>
    <w:rsid w:val="14799CD5"/>
    <w:rsid w:val="1479A0FB"/>
    <w:rsid w:val="1479BA86"/>
    <w:rsid w:val="147F0148"/>
    <w:rsid w:val="148419CE"/>
    <w:rsid w:val="1486041C"/>
    <w:rsid w:val="148765DE"/>
    <w:rsid w:val="148B95BA"/>
    <w:rsid w:val="148B9808"/>
    <w:rsid w:val="148C5A2D"/>
    <w:rsid w:val="148E43A0"/>
    <w:rsid w:val="1499080A"/>
    <w:rsid w:val="149A38B3"/>
    <w:rsid w:val="14A2B361"/>
    <w:rsid w:val="14A6E3EF"/>
    <w:rsid w:val="14A7634A"/>
    <w:rsid w:val="14AB6C80"/>
    <w:rsid w:val="14ADD295"/>
    <w:rsid w:val="14AF544F"/>
    <w:rsid w:val="14B19C07"/>
    <w:rsid w:val="14B2CA7B"/>
    <w:rsid w:val="14B2F1DD"/>
    <w:rsid w:val="14B302A7"/>
    <w:rsid w:val="14B71513"/>
    <w:rsid w:val="14B8D4B4"/>
    <w:rsid w:val="14BCB420"/>
    <w:rsid w:val="14C08215"/>
    <w:rsid w:val="14C0C498"/>
    <w:rsid w:val="14C32D27"/>
    <w:rsid w:val="14C44A7C"/>
    <w:rsid w:val="14C44C9B"/>
    <w:rsid w:val="14C4C739"/>
    <w:rsid w:val="14CECE90"/>
    <w:rsid w:val="14D2CA6A"/>
    <w:rsid w:val="14D94D29"/>
    <w:rsid w:val="14D9EDD7"/>
    <w:rsid w:val="14E8A29D"/>
    <w:rsid w:val="14E8E196"/>
    <w:rsid w:val="14EA5C77"/>
    <w:rsid w:val="14FA1FCC"/>
    <w:rsid w:val="14FA7150"/>
    <w:rsid w:val="14FE7B48"/>
    <w:rsid w:val="1500AC6D"/>
    <w:rsid w:val="15022169"/>
    <w:rsid w:val="1505EDF5"/>
    <w:rsid w:val="1506C3D3"/>
    <w:rsid w:val="150DF691"/>
    <w:rsid w:val="150E1D5F"/>
    <w:rsid w:val="15131C32"/>
    <w:rsid w:val="1517D7BE"/>
    <w:rsid w:val="151B5F23"/>
    <w:rsid w:val="151D8BB2"/>
    <w:rsid w:val="15237118"/>
    <w:rsid w:val="152536E5"/>
    <w:rsid w:val="152B4387"/>
    <w:rsid w:val="15340337"/>
    <w:rsid w:val="1535E3E9"/>
    <w:rsid w:val="153B70B7"/>
    <w:rsid w:val="153BE355"/>
    <w:rsid w:val="153C16EC"/>
    <w:rsid w:val="153FFCE7"/>
    <w:rsid w:val="1545FDD3"/>
    <w:rsid w:val="1546CD4F"/>
    <w:rsid w:val="15474224"/>
    <w:rsid w:val="1547C9EA"/>
    <w:rsid w:val="154B7BC4"/>
    <w:rsid w:val="155124FD"/>
    <w:rsid w:val="1557F032"/>
    <w:rsid w:val="155B88FE"/>
    <w:rsid w:val="1565E38D"/>
    <w:rsid w:val="156D241B"/>
    <w:rsid w:val="156E6DD9"/>
    <w:rsid w:val="156E8891"/>
    <w:rsid w:val="156EA4BF"/>
    <w:rsid w:val="156F6F80"/>
    <w:rsid w:val="1570D000"/>
    <w:rsid w:val="157A31C8"/>
    <w:rsid w:val="157B3A5C"/>
    <w:rsid w:val="157BBE53"/>
    <w:rsid w:val="157E0271"/>
    <w:rsid w:val="157E9D3D"/>
    <w:rsid w:val="158C7A34"/>
    <w:rsid w:val="158CED00"/>
    <w:rsid w:val="1590F361"/>
    <w:rsid w:val="15949712"/>
    <w:rsid w:val="15A4AE73"/>
    <w:rsid w:val="15AEFF9D"/>
    <w:rsid w:val="15AFE918"/>
    <w:rsid w:val="15B00934"/>
    <w:rsid w:val="15B2966C"/>
    <w:rsid w:val="15B3C0AF"/>
    <w:rsid w:val="15B70093"/>
    <w:rsid w:val="15BFEB4C"/>
    <w:rsid w:val="15C3643D"/>
    <w:rsid w:val="15C5EEA6"/>
    <w:rsid w:val="15CC0220"/>
    <w:rsid w:val="15D1B0D8"/>
    <w:rsid w:val="15D9DF97"/>
    <w:rsid w:val="15DB9DB8"/>
    <w:rsid w:val="15E00A56"/>
    <w:rsid w:val="15E2878E"/>
    <w:rsid w:val="15E5BAEC"/>
    <w:rsid w:val="15E7E614"/>
    <w:rsid w:val="15EC5E81"/>
    <w:rsid w:val="15ED6548"/>
    <w:rsid w:val="15EFAE02"/>
    <w:rsid w:val="15F2DCA1"/>
    <w:rsid w:val="15F4B8F8"/>
    <w:rsid w:val="15F56C57"/>
    <w:rsid w:val="15F631B4"/>
    <w:rsid w:val="160A2E98"/>
    <w:rsid w:val="160B6D15"/>
    <w:rsid w:val="160D3B2C"/>
    <w:rsid w:val="161B1E55"/>
    <w:rsid w:val="161B77AE"/>
    <w:rsid w:val="161E2055"/>
    <w:rsid w:val="16234630"/>
    <w:rsid w:val="1623E96B"/>
    <w:rsid w:val="162AF227"/>
    <w:rsid w:val="162BE4A2"/>
    <w:rsid w:val="16333FF5"/>
    <w:rsid w:val="16339ECE"/>
    <w:rsid w:val="1633FFE1"/>
    <w:rsid w:val="16349E73"/>
    <w:rsid w:val="163AC794"/>
    <w:rsid w:val="163EA020"/>
    <w:rsid w:val="163EAF4F"/>
    <w:rsid w:val="16419065"/>
    <w:rsid w:val="16468A30"/>
    <w:rsid w:val="1646D4A3"/>
    <w:rsid w:val="164EA9A0"/>
    <w:rsid w:val="16525BA0"/>
    <w:rsid w:val="16597863"/>
    <w:rsid w:val="165C786B"/>
    <w:rsid w:val="16633350"/>
    <w:rsid w:val="1664D848"/>
    <w:rsid w:val="16673029"/>
    <w:rsid w:val="16678D77"/>
    <w:rsid w:val="1681D17C"/>
    <w:rsid w:val="1687E33F"/>
    <w:rsid w:val="16889AE5"/>
    <w:rsid w:val="168CDE46"/>
    <w:rsid w:val="169A5604"/>
    <w:rsid w:val="169AD429"/>
    <w:rsid w:val="16A131A9"/>
    <w:rsid w:val="16A1BA97"/>
    <w:rsid w:val="16A2C931"/>
    <w:rsid w:val="16AB4AEF"/>
    <w:rsid w:val="16ACF9D6"/>
    <w:rsid w:val="16B80DA4"/>
    <w:rsid w:val="16BBC0D8"/>
    <w:rsid w:val="16BCE5E6"/>
    <w:rsid w:val="16BEAB20"/>
    <w:rsid w:val="16C32234"/>
    <w:rsid w:val="16C3AD47"/>
    <w:rsid w:val="16CE1DEC"/>
    <w:rsid w:val="16CE3752"/>
    <w:rsid w:val="16D3C57F"/>
    <w:rsid w:val="16DD5138"/>
    <w:rsid w:val="16DE3325"/>
    <w:rsid w:val="16DF9269"/>
    <w:rsid w:val="16E5DD2B"/>
    <w:rsid w:val="16E67379"/>
    <w:rsid w:val="16E8DEC1"/>
    <w:rsid w:val="16EC8CBC"/>
    <w:rsid w:val="16F55329"/>
    <w:rsid w:val="16FE130C"/>
    <w:rsid w:val="16FF43E7"/>
    <w:rsid w:val="17018CCB"/>
    <w:rsid w:val="1705ED05"/>
    <w:rsid w:val="1709C275"/>
    <w:rsid w:val="1721D6C5"/>
    <w:rsid w:val="1726B577"/>
    <w:rsid w:val="1727253C"/>
    <w:rsid w:val="1729B8F7"/>
    <w:rsid w:val="172EB5E4"/>
    <w:rsid w:val="172FDF9C"/>
    <w:rsid w:val="1732A571"/>
    <w:rsid w:val="17334B07"/>
    <w:rsid w:val="17351D20"/>
    <w:rsid w:val="17369D41"/>
    <w:rsid w:val="1736D580"/>
    <w:rsid w:val="1737ED39"/>
    <w:rsid w:val="173A4194"/>
    <w:rsid w:val="174281C6"/>
    <w:rsid w:val="1746E8EB"/>
    <w:rsid w:val="174A3CCD"/>
    <w:rsid w:val="174A3F83"/>
    <w:rsid w:val="1751B58B"/>
    <w:rsid w:val="17545D0F"/>
    <w:rsid w:val="175782E9"/>
    <w:rsid w:val="1757B823"/>
    <w:rsid w:val="175B1C2E"/>
    <w:rsid w:val="175C8DF6"/>
    <w:rsid w:val="175EF003"/>
    <w:rsid w:val="1762C7FF"/>
    <w:rsid w:val="1764DA58"/>
    <w:rsid w:val="176569AD"/>
    <w:rsid w:val="17670265"/>
    <w:rsid w:val="176C3D90"/>
    <w:rsid w:val="17708764"/>
    <w:rsid w:val="17723D69"/>
    <w:rsid w:val="1775C9F1"/>
    <w:rsid w:val="1776FDB3"/>
    <w:rsid w:val="17785CE0"/>
    <w:rsid w:val="177B380B"/>
    <w:rsid w:val="177B38D4"/>
    <w:rsid w:val="177C532B"/>
    <w:rsid w:val="177CF6E9"/>
    <w:rsid w:val="177D05B7"/>
    <w:rsid w:val="17827CE0"/>
    <w:rsid w:val="1786059B"/>
    <w:rsid w:val="178BC333"/>
    <w:rsid w:val="178E1FF8"/>
    <w:rsid w:val="178E523D"/>
    <w:rsid w:val="178EC41E"/>
    <w:rsid w:val="17923D7C"/>
    <w:rsid w:val="1792CB39"/>
    <w:rsid w:val="1793A278"/>
    <w:rsid w:val="179A2E8E"/>
    <w:rsid w:val="17A2364E"/>
    <w:rsid w:val="17A61572"/>
    <w:rsid w:val="17AB2FED"/>
    <w:rsid w:val="17AC45AC"/>
    <w:rsid w:val="17AEF52C"/>
    <w:rsid w:val="17B61DDB"/>
    <w:rsid w:val="17B8363F"/>
    <w:rsid w:val="17B85702"/>
    <w:rsid w:val="17C00882"/>
    <w:rsid w:val="17C1F4F1"/>
    <w:rsid w:val="17C49C0C"/>
    <w:rsid w:val="17CA2911"/>
    <w:rsid w:val="17CFD042"/>
    <w:rsid w:val="17D2B1E4"/>
    <w:rsid w:val="17D5916F"/>
    <w:rsid w:val="17D85B06"/>
    <w:rsid w:val="17DAF3B7"/>
    <w:rsid w:val="17DE0D01"/>
    <w:rsid w:val="17DF0F25"/>
    <w:rsid w:val="17E113CB"/>
    <w:rsid w:val="17E1207E"/>
    <w:rsid w:val="17E28C7B"/>
    <w:rsid w:val="17E3A4D0"/>
    <w:rsid w:val="17E5E96B"/>
    <w:rsid w:val="17E9BCA2"/>
    <w:rsid w:val="17EA4111"/>
    <w:rsid w:val="17EDDBD3"/>
    <w:rsid w:val="17EE21F6"/>
    <w:rsid w:val="17F8655A"/>
    <w:rsid w:val="17FC66DB"/>
    <w:rsid w:val="17FC67FB"/>
    <w:rsid w:val="180778A2"/>
    <w:rsid w:val="180EF1CF"/>
    <w:rsid w:val="1815CC2C"/>
    <w:rsid w:val="1820F0E0"/>
    <w:rsid w:val="1826264E"/>
    <w:rsid w:val="1826ABD1"/>
    <w:rsid w:val="1829A73D"/>
    <w:rsid w:val="182C64B7"/>
    <w:rsid w:val="182E45AA"/>
    <w:rsid w:val="182F90DB"/>
    <w:rsid w:val="18342872"/>
    <w:rsid w:val="18349363"/>
    <w:rsid w:val="183C367C"/>
    <w:rsid w:val="183DC8A4"/>
    <w:rsid w:val="18437FCB"/>
    <w:rsid w:val="18444B08"/>
    <w:rsid w:val="1851DB0B"/>
    <w:rsid w:val="185252C5"/>
    <w:rsid w:val="185A7119"/>
    <w:rsid w:val="185B3FA9"/>
    <w:rsid w:val="186041D8"/>
    <w:rsid w:val="1861E1B3"/>
    <w:rsid w:val="1862A3CE"/>
    <w:rsid w:val="1864E0EA"/>
    <w:rsid w:val="18650113"/>
    <w:rsid w:val="1868BA5E"/>
    <w:rsid w:val="186B36A6"/>
    <w:rsid w:val="18702AF7"/>
    <w:rsid w:val="18766F2D"/>
    <w:rsid w:val="187FCB9E"/>
    <w:rsid w:val="18810A6B"/>
    <w:rsid w:val="18837865"/>
    <w:rsid w:val="18858D62"/>
    <w:rsid w:val="1886636B"/>
    <w:rsid w:val="188EDDE2"/>
    <w:rsid w:val="1895E896"/>
    <w:rsid w:val="189C7226"/>
    <w:rsid w:val="189E63DC"/>
    <w:rsid w:val="18A19DF5"/>
    <w:rsid w:val="18A3C246"/>
    <w:rsid w:val="18A44DBB"/>
    <w:rsid w:val="18A6D999"/>
    <w:rsid w:val="18A72C96"/>
    <w:rsid w:val="18AADDB6"/>
    <w:rsid w:val="18ABE092"/>
    <w:rsid w:val="18ABF0F6"/>
    <w:rsid w:val="18B6B04B"/>
    <w:rsid w:val="18BA81A1"/>
    <w:rsid w:val="18C004A9"/>
    <w:rsid w:val="18C00897"/>
    <w:rsid w:val="18C34397"/>
    <w:rsid w:val="18D027E0"/>
    <w:rsid w:val="18D238E6"/>
    <w:rsid w:val="18D3097F"/>
    <w:rsid w:val="18D67F07"/>
    <w:rsid w:val="18E05245"/>
    <w:rsid w:val="18E107E9"/>
    <w:rsid w:val="18E20117"/>
    <w:rsid w:val="18E9CA14"/>
    <w:rsid w:val="18EAD841"/>
    <w:rsid w:val="18EC12B2"/>
    <w:rsid w:val="18F73707"/>
    <w:rsid w:val="18FD8BE5"/>
    <w:rsid w:val="18FE7BFD"/>
    <w:rsid w:val="19098D04"/>
    <w:rsid w:val="190F935F"/>
    <w:rsid w:val="1912B239"/>
    <w:rsid w:val="19202549"/>
    <w:rsid w:val="19218022"/>
    <w:rsid w:val="19232B87"/>
    <w:rsid w:val="1923D41E"/>
    <w:rsid w:val="192670BB"/>
    <w:rsid w:val="1926E3D7"/>
    <w:rsid w:val="19289733"/>
    <w:rsid w:val="192B0276"/>
    <w:rsid w:val="192E0386"/>
    <w:rsid w:val="1935B760"/>
    <w:rsid w:val="1936EF00"/>
    <w:rsid w:val="193A3410"/>
    <w:rsid w:val="19405E6C"/>
    <w:rsid w:val="1942EEB1"/>
    <w:rsid w:val="1945BE38"/>
    <w:rsid w:val="1947B3C9"/>
    <w:rsid w:val="19486B3B"/>
    <w:rsid w:val="194A5710"/>
    <w:rsid w:val="194C61B2"/>
    <w:rsid w:val="194DE1E3"/>
    <w:rsid w:val="194E2366"/>
    <w:rsid w:val="194E3F3E"/>
    <w:rsid w:val="1955320D"/>
    <w:rsid w:val="1955AA4C"/>
    <w:rsid w:val="19567D47"/>
    <w:rsid w:val="1957BB4B"/>
    <w:rsid w:val="1957FC3D"/>
    <w:rsid w:val="195A81A9"/>
    <w:rsid w:val="195C9554"/>
    <w:rsid w:val="1963BBCF"/>
    <w:rsid w:val="196BA0A3"/>
    <w:rsid w:val="197BCB08"/>
    <w:rsid w:val="197E1D56"/>
    <w:rsid w:val="1982FAE4"/>
    <w:rsid w:val="19835FFB"/>
    <w:rsid w:val="1990E18A"/>
    <w:rsid w:val="1995A3EB"/>
    <w:rsid w:val="1995CACE"/>
    <w:rsid w:val="19A2FBB8"/>
    <w:rsid w:val="19A94B8E"/>
    <w:rsid w:val="19ADB1AE"/>
    <w:rsid w:val="19B4E6F5"/>
    <w:rsid w:val="19B7B0EA"/>
    <w:rsid w:val="19BB4C99"/>
    <w:rsid w:val="19BEAD40"/>
    <w:rsid w:val="19C079FD"/>
    <w:rsid w:val="19C27991"/>
    <w:rsid w:val="19C84FCC"/>
    <w:rsid w:val="19CA2BF3"/>
    <w:rsid w:val="19CB6747"/>
    <w:rsid w:val="19D135C5"/>
    <w:rsid w:val="19D1764C"/>
    <w:rsid w:val="19D3CF1D"/>
    <w:rsid w:val="19D8D76E"/>
    <w:rsid w:val="19E20D71"/>
    <w:rsid w:val="19E61539"/>
    <w:rsid w:val="19E9BDBB"/>
    <w:rsid w:val="19EB7A68"/>
    <w:rsid w:val="19EBDFAB"/>
    <w:rsid w:val="19EC234C"/>
    <w:rsid w:val="19FCBB1A"/>
    <w:rsid w:val="19FDB8B8"/>
    <w:rsid w:val="1A0716CE"/>
    <w:rsid w:val="1A091461"/>
    <w:rsid w:val="1A0DB99D"/>
    <w:rsid w:val="1A0F67E9"/>
    <w:rsid w:val="1A168192"/>
    <w:rsid w:val="1A19A718"/>
    <w:rsid w:val="1A30975E"/>
    <w:rsid w:val="1A315E1F"/>
    <w:rsid w:val="1A31AC09"/>
    <w:rsid w:val="1A3427AA"/>
    <w:rsid w:val="1A47F6B2"/>
    <w:rsid w:val="1A4BF35B"/>
    <w:rsid w:val="1A4F1A03"/>
    <w:rsid w:val="1A4FAA21"/>
    <w:rsid w:val="1A50DEEA"/>
    <w:rsid w:val="1A554F2E"/>
    <w:rsid w:val="1A57B61D"/>
    <w:rsid w:val="1A593023"/>
    <w:rsid w:val="1A5DBCB8"/>
    <w:rsid w:val="1A6056F5"/>
    <w:rsid w:val="1A608AE9"/>
    <w:rsid w:val="1A619CD7"/>
    <w:rsid w:val="1A628F3D"/>
    <w:rsid w:val="1A69CA20"/>
    <w:rsid w:val="1A6CB5A5"/>
    <w:rsid w:val="1A7116BA"/>
    <w:rsid w:val="1A85BE0D"/>
    <w:rsid w:val="1A8EACAA"/>
    <w:rsid w:val="1A95C70B"/>
    <w:rsid w:val="1A995E8B"/>
    <w:rsid w:val="1A9975BA"/>
    <w:rsid w:val="1A9BC3DE"/>
    <w:rsid w:val="1AA3A2D0"/>
    <w:rsid w:val="1AA758E3"/>
    <w:rsid w:val="1AA9C8EF"/>
    <w:rsid w:val="1AAEDC21"/>
    <w:rsid w:val="1AAF0F74"/>
    <w:rsid w:val="1AB1D487"/>
    <w:rsid w:val="1ABA826C"/>
    <w:rsid w:val="1ABC40BA"/>
    <w:rsid w:val="1ABE1CB3"/>
    <w:rsid w:val="1ABE72A8"/>
    <w:rsid w:val="1ABF0BFC"/>
    <w:rsid w:val="1AC2E41A"/>
    <w:rsid w:val="1AC6E6A4"/>
    <w:rsid w:val="1AD49640"/>
    <w:rsid w:val="1AD6CF67"/>
    <w:rsid w:val="1AE28AD1"/>
    <w:rsid w:val="1AF58747"/>
    <w:rsid w:val="1AF70076"/>
    <w:rsid w:val="1AFA05BC"/>
    <w:rsid w:val="1AFCD6C6"/>
    <w:rsid w:val="1B01800E"/>
    <w:rsid w:val="1B025532"/>
    <w:rsid w:val="1B1451E6"/>
    <w:rsid w:val="1B166FB6"/>
    <w:rsid w:val="1B179B69"/>
    <w:rsid w:val="1B189E62"/>
    <w:rsid w:val="1B1AD749"/>
    <w:rsid w:val="1B1DEA4F"/>
    <w:rsid w:val="1B1F3AFE"/>
    <w:rsid w:val="1B20F201"/>
    <w:rsid w:val="1B21C713"/>
    <w:rsid w:val="1B25F811"/>
    <w:rsid w:val="1B28E80B"/>
    <w:rsid w:val="1B2B120B"/>
    <w:rsid w:val="1B2E5D2C"/>
    <w:rsid w:val="1B3A5C31"/>
    <w:rsid w:val="1B3AFCBB"/>
    <w:rsid w:val="1B3D09F7"/>
    <w:rsid w:val="1B3D62D1"/>
    <w:rsid w:val="1B3F4524"/>
    <w:rsid w:val="1B3F7B9D"/>
    <w:rsid w:val="1B488C28"/>
    <w:rsid w:val="1B48C2CF"/>
    <w:rsid w:val="1B4AF8A2"/>
    <w:rsid w:val="1B4E1909"/>
    <w:rsid w:val="1B51B659"/>
    <w:rsid w:val="1B51BEA9"/>
    <w:rsid w:val="1B58DEBC"/>
    <w:rsid w:val="1B65819E"/>
    <w:rsid w:val="1B6C5764"/>
    <w:rsid w:val="1B739CB5"/>
    <w:rsid w:val="1B746B6F"/>
    <w:rsid w:val="1B759AC2"/>
    <w:rsid w:val="1B7C9BFA"/>
    <w:rsid w:val="1B7EF63D"/>
    <w:rsid w:val="1B7F8486"/>
    <w:rsid w:val="1B847F9B"/>
    <w:rsid w:val="1B87FBE3"/>
    <w:rsid w:val="1B89026E"/>
    <w:rsid w:val="1B8C7086"/>
    <w:rsid w:val="1B9054A5"/>
    <w:rsid w:val="1B9354DB"/>
    <w:rsid w:val="1BA1B775"/>
    <w:rsid w:val="1BA27814"/>
    <w:rsid w:val="1BA688DD"/>
    <w:rsid w:val="1BAA659A"/>
    <w:rsid w:val="1BAE0959"/>
    <w:rsid w:val="1BB066DD"/>
    <w:rsid w:val="1BB996C4"/>
    <w:rsid w:val="1BB9D666"/>
    <w:rsid w:val="1BBA10B7"/>
    <w:rsid w:val="1BBDF7BD"/>
    <w:rsid w:val="1BBE299C"/>
    <w:rsid w:val="1BBFD0B4"/>
    <w:rsid w:val="1BC5F078"/>
    <w:rsid w:val="1BC731B6"/>
    <w:rsid w:val="1BC7638C"/>
    <w:rsid w:val="1BCA4876"/>
    <w:rsid w:val="1BCC8ADE"/>
    <w:rsid w:val="1BCC999B"/>
    <w:rsid w:val="1BCF3F7E"/>
    <w:rsid w:val="1BDA09BB"/>
    <w:rsid w:val="1BDCEFF8"/>
    <w:rsid w:val="1BE57077"/>
    <w:rsid w:val="1BE5DEAF"/>
    <w:rsid w:val="1BEC92DA"/>
    <w:rsid w:val="1BF5F9EE"/>
    <w:rsid w:val="1BF62EF5"/>
    <w:rsid w:val="1BF7AA42"/>
    <w:rsid w:val="1BF84180"/>
    <w:rsid w:val="1BFC2756"/>
    <w:rsid w:val="1BFF032D"/>
    <w:rsid w:val="1BFFF335"/>
    <w:rsid w:val="1C03794C"/>
    <w:rsid w:val="1C04832B"/>
    <w:rsid w:val="1C0C7567"/>
    <w:rsid w:val="1C0EB627"/>
    <w:rsid w:val="1C1DB8B9"/>
    <w:rsid w:val="1C20E447"/>
    <w:rsid w:val="1C242752"/>
    <w:rsid w:val="1C2CEEC9"/>
    <w:rsid w:val="1C2D7EB7"/>
    <w:rsid w:val="1C30C2BB"/>
    <w:rsid w:val="1C31976C"/>
    <w:rsid w:val="1C358E07"/>
    <w:rsid w:val="1C396D1C"/>
    <w:rsid w:val="1C3E5F98"/>
    <w:rsid w:val="1C426436"/>
    <w:rsid w:val="1C42CBF5"/>
    <w:rsid w:val="1C470F98"/>
    <w:rsid w:val="1C4BB947"/>
    <w:rsid w:val="1C56796F"/>
    <w:rsid w:val="1C5B2D60"/>
    <w:rsid w:val="1C5C7A59"/>
    <w:rsid w:val="1C60DDE5"/>
    <w:rsid w:val="1C6587D1"/>
    <w:rsid w:val="1C6E90D6"/>
    <w:rsid w:val="1C75195E"/>
    <w:rsid w:val="1C7A5E4C"/>
    <w:rsid w:val="1C7B4BB7"/>
    <w:rsid w:val="1C7ECB97"/>
    <w:rsid w:val="1C815759"/>
    <w:rsid w:val="1C81E502"/>
    <w:rsid w:val="1C870A23"/>
    <w:rsid w:val="1C892B47"/>
    <w:rsid w:val="1C8A9D61"/>
    <w:rsid w:val="1C8C2C97"/>
    <w:rsid w:val="1C8DC304"/>
    <w:rsid w:val="1C8E6E8B"/>
    <w:rsid w:val="1C902A19"/>
    <w:rsid w:val="1C917736"/>
    <w:rsid w:val="1C92D0D7"/>
    <w:rsid w:val="1C993ED4"/>
    <w:rsid w:val="1C9BB9C4"/>
    <w:rsid w:val="1CA42DED"/>
    <w:rsid w:val="1CA5D472"/>
    <w:rsid w:val="1CB2F486"/>
    <w:rsid w:val="1CB30AB5"/>
    <w:rsid w:val="1CBA4197"/>
    <w:rsid w:val="1CBBD60E"/>
    <w:rsid w:val="1CBCE8F7"/>
    <w:rsid w:val="1CC90D7B"/>
    <w:rsid w:val="1CCE368C"/>
    <w:rsid w:val="1CD3C2F8"/>
    <w:rsid w:val="1CD62C92"/>
    <w:rsid w:val="1CD70EE9"/>
    <w:rsid w:val="1CE3C34B"/>
    <w:rsid w:val="1CE4FD85"/>
    <w:rsid w:val="1CEE059B"/>
    <w:rsid w:val="1CEE5A8C"/>
    <w:rsid w:val="1CEF2A76"/>
    <w:rsid w:val="1CF04CDE"/>
    <w:rsid w:val="1CF2D372"/>
    <w:rsid w:val="1CF3E6C7"/>
    <w:rsid w:val="1CF620CC"/>
    <w:rsid w:val="1CF733C9"/>
    <w:rsid w:val="1CF84CED"/>
    <w:rsid w:val="1CF86B4F"/>
    <w:rsid w:val="1CFA6E31"/>
    <w:rsid w:val="1CFE2E33"/>
    <w:rsid w:val="1D00EC68"/>
    <w:rsid w:val="1D013E25"/>
    <w:rsid w:val="1D027A6A"/>
    <w:rsid w:val="1D027DF5"/>
    <w:rsid w:val="1D06A76E"/>
    <w:rsid w:val="1D10E25C"/>
    <w:rsid w:val="1D10FBE2"/>
    <w:rsid w:val="1D1385DF"/>
    <w:rsid w:val="1D14B380"/>
    <w:rsid w:val="1D14F88D"/>
    <w:rsid w:val="1D1B62EC"/>
    <w:rsid w:val="1D1C7239"/>
    <w:rsid w:val="1D1D5603"/>
    <w:rsid w:val="1D1E6A04"/>
    <w:rsid w:val="1D1F8933"/>
    <w:rsid w:val="1D231C80"/>
    <w:rsid w:val="1D35BF1C"/>
    <w:rsid w:val="1D397024"/>
    <w:rsid w:val="1D3AA1A8"/>
    <w:rsid w:val="1D3DD695"/>
    <w:rsid w:val="1D47364F"/>
    <w:rsid w:val="1D4804E3"/>
    <w:rsid w:val="1D49B11D"/>
    <w:rsid w:val="1D4BC51E"/>
    <w:rsid w:val="1D566FF7"/>
    <w:rsid w:val="1D5C0597"/>
    <w:rsid w:val="1D5C25A6"/>
    <w:rsid w:val="1D657DE7"/>
    <w:rsid w:val="1D66805A"/>
    <w:rsid w:val="1D67B711"/>
    <w:rsid w:val="1D68BFFF"/>
    <w:rsid w:val="1D6D5CD0"/>
    <w:rsid w:val="1D6FEBF9"/>
    <w:rsid w:val="1D711359"/>
    <w:rsid w:val="1D753F25"/>
    <w:rsid w:val="1D770095"/>
    <w:rsid w:val="1D7C7894"/>
    <w:rsid w:val="1D802386"/>
    <w:rsid w:val="1D84CFC4"/>
    <w:rsid w:val="1D8C9649"/>
    <w:rsid w:val="1D8D8F15"/>
    <w:rsid w:val="1D8F56DF"/>
    <w:rsid w:val="1D94759B"/>
    <w:rsid w:val="1D95CEFF"/>
    <w:rsid w:val="1D9AA9C1"/>
    <w:rsid w:val="1D9D3908"/>
    <w:rsid w:val="1DA55540"/>
    <w:rsid w:val="1DA5F4DC"/>
    <w:rsid w:val="1DA99841"/>
    <w:rsid w:val="1DAABEA7"/>
    <w:rsid w:val="1DAAECC7"/>
    <w:rsid w:val="1DB95040"/>
    <w:rsid w:val="1DB98107"/>
    <w:rsid w:val="1DBA1DA0"/>
    <w:rsid w:val="1DBDB049"/>
    <w:rsid w:val="1DBF60F0"/>
    <w:rsid w:val="1DC036C4"/>
    <w:rsid w:val="1DC14654"/>
    <w:rsid w:val="1DC1E810"/>
    <w:rsid w:val="1DC413A6"/>
    <w:rsid w:val="1DC592EC"/>
    <w:rsid w:val="1DC5A7FA"/>
    <w:rsid w:val="1DC7329A"/>
    <w:rsid w:val="1DCCA553"/>
    <w:rsid w:val="1DCE2FE5"/>
    <w:rsid w:val="1DD31EDE"/>
    <w:rsid w:val="1DD8D2F7"/>
    <w:rsid w:val="1DDEEC66"/>
    <w:rsid w:val="1DE562B3"/>
    <w:rsid w:val="1DF249D0"/>
    <w:rsid w:val="1DF2BA74"/>
    <w:rsid w:val="1DF5EB38"/>
    <w:rsid w:val="1DF6BB9B"/>
    <w:rsid w:val="1DFD2496"/>
    <w:rsid w:val="1DFF1A1F"/>
    <w:rsid w:val="1E02DA5A"/>
    <w:rsid w:val="1E054233"/>
    <w:rsid w:val="1E072A54"/>
    <w:rsid w:val="1E0B8B0A"/>
    <w:rsid w:val="1E0DEA7C"/>
    <w:rsid w:val="1E154EBC"/>
    <w:rsid w:val="1E155C78"/>
    <w:rsid w:val="1E17904A"/>
    <w:rsid w:val="1E184DA9"/>
    <w:rsid w:val="1E1BEA44"/>
    <w:rsid w:val="1E1FEE21"/>
    <w:rsid w:val="1E25247E"/>
    <w:rsid w:val="1E2845B7"/>
    <w:rsid w:val="1E28A330"/>
    <w:rsid w:val="1E3463FB"/>
    <w:rsid w:val="1E34B900"/>
    <w:rsid w:val="1E39B795"/>
    <w:rsid w:val="1E3AC8B7"/>
    <w:rsid w:val="1E3FFE4E"/>
    <w:rsid w:val="1E41C21B"/>
    <w:rsid w:val="1E42C975"/>
    <w:rsid w:val="1E4753C7"/>
    <w:rsid w:val="1E523623"/>
    <w:rsid w:val="1E5391C7"/>
    <w:rsid w:val="1E54E2BD"/>
    <w:rsid w:val="1E595D1E"/>
    <w:rsid w:val="1E5FBE70"/>
    <w:rsid w:val="1E6051C9"/>
    <w:rsid w:val="1E6195AB"/>
    <w:rsid w:val="1E627524"/>
    <w:rsid w:val="1E62D7BB"/>
    <w:rsid w:val="1E65F0F3"/>
    <w:rsid w:val="1E6944CD"/>
    <w:rsid w:val="1E6ED6C8"/>
    <w:rsid w:val="1E736B4E"/>
    <w:rsid w:val="1E775468"/>
    <w:rsid w:val="1E7B076D"/>
    <w:rsid w:val="1E7EE771"/>
    <w:rsid w:val="1E7F8673"/>
    <w:rsid w:val="1E826404"/>
    <w:rsid w:val="1E8491BB"/>
    <w:rsid w:val="1E8513C9"/>
    <w:rsid w:val="1E85A241"/>
    <w:rsid w:val="1E8EA295"/>
    <w:rsid w:val="1E8FD17A"/>
    <w:rsid w:val="1E905CA3"/>
    <w:rsid w:val="1E930B71"/>
    <w:rsid w:val="1E93CE03"/>
    <w:rsid w:val="1E99C104"/>
    <w:rsid w:val="1EA129A1"/>
    <w:rsid w:val="1EA97790"/>
    <w:rsid w:val="1EACCC7C"/>
    <w:rsid w:val="1EB6933C"/>
    <w:rsid w:val="1EB83D0E"/>
    <w:rsid w:val="1EB9F5D4"/>
    <w:rsid w:val="1EBB1A3A"/>
    <w:rsid w:val="1EBCBB69"/>
    <w:rsid w:val="1EBE168F"/>
    <w:rsid w:val="1EC5E869"/>
    <w:rsid w:val="1EC9B29D"/>
    <w:rsid w:val="1ECBD75B"/>
    <w:rsid w:val="1ED11A41"/>
    <w:rsid w:val="1ED2007F"/>
    <w:rsid w:val="1ED546C6"/>
    <w:rsid w:val="1ED5B3F9"/>
    <w:rsid w:val="1ED7A72E"/>
    <w:rsid w:val="1ED887C9"/>
    <w:rsid w:val="1EDB8654"/>
    <w:rsid w:val="1EDE035B"/>
    <w:rsid w:val="1EDE3D4B"/>
    <w:rsid w:val="1EDF2D94"/>
    <w:rsid w:val="1EE3E22E"/>
    <w:rsid w:val="1EE64B0B"/>
    <w:rsid w:val="1EE6DA17"/>
    <w:rsid w:val="1EF20284"/>
    <w:rsid w:val="1EF6EEF0"/>
    <w:rsid w:val="1EFE2422"/>
    <w:rsid w:val="1F0042C0"/>
    <w:rsid w:val="1F039FD5"/>
    <w:rsid w:val="1F04CB28"/>
    <w:rsid w:val="1F05FB25"/>
    <w:rsid w:val="1F065ED1"/>
    <w:rsid w:val="1F0A27BA"/>
    <w:rsid w:val="1F11DCFD"/>
    <w:rsid w:val="1F12C464"/>
    <w:rsid w:val="1F196BFB"/>
    <w:rsid w:val="1F19897E"/>
    <w:rsid w:val="1F263847"/>
    <w:rsid w:val="1F266D5A"/>
    <w:rsid w:val="1F2B4538"/>
    <w:rsid w:val="1F3190D9"/>
    <w:rsid w:val="1F33C818"/>
    <w:rsid w:val="1F346CB7"/>
    <w:rsid w:val="1F35154A"/>
    <w:rsid w:val="1F387C6A"/>
    <w:rsid w:val="1F3F9E64"/>
    <w:rsid w:val="1F402E0F"/>
    <w:rsid w:val="1F4067CA"/>
    <w:rsid w:val="1F42B962"/>
    <w:rsid w:val="1F4ADC70"/>
    <w:rsid w:val="1F4BD452"/>
    <w:rsid w:val="1F4E8B1F"/>
    <w:rsid w:val="1F4F9D58"/>
    <w:rsid w:val="1F53F47F"/>
    <w:rsid w:val="1F561B50"/>
    <w:rsid w:val="1F56F8A5"/>
    <w:rsid w:val="1F580B9C"/>
    <w:rsid w:val="1F5C8AD0"/>
    <w:rsid w:val="1F63D11B"/>
    <w:rsid w:val="1F657E19"/>
    <w:rsid w:val="1F6A21A5"/>
    <w:rsid w:val="1F6FF0F9"/>
    <w:rsid w:val="1F7C1917"/>
    <w:rsid w:val="1F8119B1"/>
    <w:rsid w:val="1F8D33B3"/>
    <w:rsid w:val="1F8FDA1B"/>
    <w:rsid w:val="1F98DE53"/>
    <w:rsid w:val="1F9EAABB"/>
    <w:rsid w:val="1FA17520"/>
    <w:rsid w:val="1FA383B0"/>
    <w:rsid w:val="1FB1D37A"/>
    <w:rsid w:val="1FB2FF7A"/>
    <w:rsid w:val="1FBA22AE"/>
    <w:rsid w:val="1FC259F4"/>
    <w:rsid w:val="1FCA12B8"/>
    <w:rsid w:val="1FD35A86"/>
    <w:rsid w:val="1FD6379B"/>
    <w:rsid w:val="1FDF0858"/>
    <w:rsid w:val="1FE82C00"/>
    <w:rsid w:val="1FE9730B"/>
    <w:rsid w:val="1FEE60C1"/>
    <w:rsid w:val="1FF02600"/>
    <w:rsid w:val="1FF93D37"/>
    <w:rsid w:val="1FFEB8F9"/>
    <w:rsid w:val="200068F1"/>
    <w:rsid w:val="20028AE9"/>
    <w:rsid w:val="2004B137"/>
    <w:rsid w:val="20054168"/>
    <w:rsid w:val="20074D8C"/>
    <w:rsid w:val="2011E5F0"/>
    <w:rsid w:val="201482A5"/>
    <w:rsid w:val="201B567A"/>
    <w:rsid w:val="201E4C80"/>
    <w:rsid w:val="2027290A"/>
    <w:rsid w:val="2028CF54"/>
    <w:rsid w:val="202ACE43"/>
    <w:rsid w:val="202B0ADF"/>
    <w:rsid w:val="202DB03D"/>
    <w:rsid w:val="202E7DCE"/>
    <w:rsid w:val="20327BA3"/>
    <w:rsid w:val="20338C5B"/>
    <w:rsid w:val="203F2DEA"/>
    <w:rsid w:val="2049F68E"/>
    <w:rsid w:val="205BC993"/>
    <w:rsid w:val="2061CC22"/>
    <w:rsid w:val="2062147F"/>
    <w:rsid w:val="2064DBE5"/>
    <w:rsid w:val="2067664F"/>
    <w:rsid w:val="2067BF99"/>
    <w:rsid w:val="206B7CD3"/>
    <w:rsid w:val="206CA023"/>
    <w:rsid w:val="207A06AB"/>
    <w:rsid w:val="209559A2"/>
    <w:rsid w:val="209DAEDA"/>
    <w:rsid w:val="20A38F58"/>
    <w:rsid w:val="20AE6070"/>
    <w:rsid w:val="20AE9569"/>
    <w:rsid w:val="20AF2386"/>
    <w:rsid w:val="20B40C8D"/>
    <w:rsid w:val="20C4E978"/>
    <w:rsid w:val="20C5400A"/>
    <w:rsid w:val="20C5825E"/>
    <w:rsid w:val="20CA8471"/>
    <w:rsid w:val="20CDC63D"/>
    <w:rsid w:val="20CE54DD"/>
    <w:rsid w:val="20D42179"/>
    <w:rsid w:val="20DA262C"/>
    <w:rsid w:val="20DE26F4"/>
    <w:rsid w:val="20E7354A"/>
    <w:rsid w:val="20E8779A"/>
    <w:rsid w:val="20EDFF70"/>
    <w:rsid w:val="20F291D5"/>
    <w:rsid w:val="20F6BCBF"/>
    <w:rsid w:val="20F906FD"/>
    <w:rsid w:val="20F91BC2"/>
    <w:rsid w:val="20F9BBF7"/>
    <w:rsid w:val="21000811"/>
    <w:rsid w:val="21006220"/>
    <w:rsid w:val="21038732"/>
    <w:rsid w:val="210453DD"/>
    <w:rsid w:val="2106DBE2"/>
    <w:rsid w:val="210C9F41"/>
    <w:rsid w:val="210CD298"/>
    <w:rsid w:val="210E0560"/>
    <w:rsid w:val="210E22AF"/>
    <w:rsid w:val="2112E454"/>
    <w:rsid w:val="211A483C"/>
    <w:rsid w:val="211A80BB"/>
    <w:rsid w:val="211DE958"/>
    <w:rsid w:val="211F58D3"/>
    <w:rsid w:val="21206353"/>
    <w:rsid w:val="21227DFF"/>
    <w:rsid w:val="212475BA"/>
    <w:rsid w:val="212B5A04"/>
    <w:rsid w:val="212EE2C0"/>
    <w:rsid w:val="213603E6"/>
    <w:rsid w:val="2139CA28"/>
    <w:rsid w:val="213A9805"/>
    <w:rsid w:val="214200E5"/>
    <w:rsid w:val="21472179"/>
    <w:rsid w:val="214C3D2F"/>
    <w:rsid w:val="2153605C"/>
    <w:rsid w:val="21572FCC"/>
    <w:rsid w:val="215C3CEF"/>
    <w:rsid w:val="215E7583"/>
    <w:rsid w:val="215FDD60"/>
    <w:rsid w:val="215FE9E6"/>
    <w:rsid w:val="21636479"/>
    <w:rsid w:val="2164E95E"/>
    <w:rsid w:val="2167EA9A"/>
    <w:rsid w:val="216E09BC"/>
    <w:rsid w:val="216E463B"/>
    <w:rsid w:val="21760708"/>
    <w:rsid w:val="2177E7B8"/>
    <w:rsid w:val="21864455"/>
    <w:rsid w:val="218685DE"/>
    <w:rsid w:val="2187C28A"/>
    <w:rsid w:val="2189149B"/>
    <w:rsid w:val="2189AC2A"/>
    <w:rsid w:val="218DBED1"/>
    <w:rsid w:val="21936F0D"/>
    <w:rsid w:val="2194B38C"/>
    <w:rsid w:val="2196285F"/>
    <w:rsid w:val="21965AF0"/>
    <w:rsid w:val="21974491"/>
    <w:rsid w:val="21992B1A"/>
    <w:rsid w:val="219B1A3F"/>
    <w:rsid w:val="21A12AC5"/>
    <w:rsid w:val="21A452A7"/>
    <w:rsid w:val="21A7BF94"/>
    <w:rsid w:val="21AAC112"/>
    <w:rsid w:val="21AAC5CE"/>
    <w:rsid w:val="21B78701"/>
    <w:rsid w:val="21BA7A87"/>
    <w:rsid w:val="21BBE2ED"/>
    <w:rsid w:val="21C00B83"/>
    <w:rsid w:val="21C0AC80"/>
    <w:rsid w:val="21C30CC1"/>
    <w:rsid w:val="21CA4BB1"/>
    <w:rsid w:val="21CB5F29"/>
    <w:rsid w:val="21CD16AC"/>
    <w:rsid w:val="21D161C6"/>
    <w:rsid w:val="21D1E570"/>
    <w:rsid w:val="21D268B7"/>
    <w:rsid w:val="21D3E2F1"/>
    <w:rsid w:val="21D44E40"/>
    <w:rsid w:val="21D478B9"/>
    <w:rsid w:val="21DCD498"/>
    <w:rsid w:val="21E96E02"/>
    <w:rsid w:val="21EB016A"/>
    <w:rsid w:val="21EB4A39"/>
    <w:rsid w:val="21F2BAFC"/>
    <w:rsid w:val="21F306EA"/>
    <w:rsid w:val="21F64A97"/>
    <w:rsid w:val="21F66E1C"/>
    <w:rsid w:val="21FAA5C9"/>
    <w:rsid w:val="21FBA370"/>
    <w:rsid w:val="220336B0"/>
    <w:rsid w:val="2209C701"/>
    <w:rsid w:val="220D3531"/>
    <w:rsid w:val="22100F11"/>
    <w:rsid w:val="22124FEE"/>
    <w:rsid w:val="22176D50"/>
    <w:rsid w:val="221D744F"/>
    <w:rsid w:val="22253E85"/>
    <w:rsid w:val="222A0911"/>
    <w:rsid w:val="222B792D"/>
    <w:rsid w:val="222F12BA"/>
    <w:rsid w:val="22308A37"/>
    <w:rsid w:val="2233F980"/>
    <w:rsid w:val="223476BC"/>
    <w:rsid w:val="22353F33"/>
    <w:rsid w:val="2236261B"/>
    <w:rsid w:val="22378971"/>
    <w:rsid w:val="2238AF03"/>
    <w:rsid w:val="2238C4EB"/>
    <w:rsid w:val="223A594B"/>
    <w:rsid w:val="223B12EF"/>
    <w:rsid w:val="223D3C68"/>
    <w:rsid w:val="223F9C8D"/>
    <w:rsid w:val="22436B24"/>
    <w:rsid w:val="224D2C75"/>
    <w:rsid w:val="224F2CC0"/>
    <w:rsid w:val="2252CE80"/>
    <w:rsid w:val="22596F5E"/>
    <w:rsid w:val="225AADBB"/>
    <w:rsid w:val="2260CC0F"/>
    <w:rsid w:val="22673FF2"/>
    <w:rsid w:val="226AF4E6"/>
    <w:rsid w:val="226E0C2E"/>
    <w:rsid w:val="2273003F"/>
    <w:rsid w:val="2275062B"/>
    <w:rsid w:val="2276BEE5"/>
    <w:rsid w:val="2277E053"/>
    <w:rsid w:val="2278800F"/>
    <w:rsid w:val="22793535"/>
    <w:rsid w:val="227ED688"/>
    <w:rsid w:val="228B6203"/>
    <w:rsid w:val="228C462C"/>
    <w:rsid w:val="228DF659"/>
    <w:rsid w:val="22900323"/>
    <w:rsid w:val="229234A6"/>
    <w:rsid w:val="22928D20"/>
    <w:rsid w:val="2293B12F"/>
    <w:rsid w:val="229EB1BB"/>
    <w:rsid w:val="229FA24C"/>
    <w:rsid w:val="22A59D17"/>
    <w:rsid w:val="22A68BB7"/>
    <w:rsid w:val="22A775F4"/>
    <w:rsid w:val="22A8B967"/>
    <w:rsid w:val="22B23366"/>
    <w:rsid w:val="22B3C622"/>
    <w:rsid w:val="22B442F3"/>
    <w:rsid w:val="22B69444"/>
    <w:rsid w:val="22B8BA73"/>
    <w:rsid w:val="22BCECB8"/>
    <w:rsid w:val="22BE7C1B"/>
    <w:rsid w:val="22C0690F"/>
    <w:rsid w:val="22C6F358"/>
    <w:rsid w:val="22CAA78F"/>
    <w:rsid w:val="22CB4E44"/>
    <w:rsid w:val="22CD1BF2"/>
    <w:rsid w:val="22CD7465"/>
    <w:rsid w:val="22D0308F"/>
    <w:rsid w:val="22D6551F"/>
    <w:rsid w:val="22D9F262"/>
    <w:rsid w:val="22E1A43F"/>
    <w:rsid w:val="22E66106"/>
    <w:rsid w:val="22E7AD55"/>
    <w:rsid w:val="22EAF68F"/>
    <w:rsid w:val="22EF71EC"/>
    <w:rsid w:val="230379E2"/>
    <w:rsid w:val="23057C8B"/>
    <w:rsid w:val="23058A66"/>
    <w:rsid w:val="23066711"/>
    <w:rsid w:val="230D2AD3"/>
    <w:rsid w:val="230D7B51"/>
    <w:rsid w:val="2311E010"/>
    <w:rsid w:val="23160803"/>
    <w:rsid w:val="23226E42"/>
    <w:rsid w:val="232415DE"/>
    <w:rsid w:val="2331323D"/>
    <w:rsid w:val="2334CCB9"/>
    <w:rsid w:val="233BAEA6"/>
    <w:rsid w:val="233D5AB7"/>
    <w:rsid w:val="234204D9"/>
    <w:rsid w:val="23421064"/>
    <w:rsid w:val="23452655"/>
    <w:rsid w:val="2348EC99"/>
    <w:rsid w:val="234CAD71"/>
    <w:rsid w:val="235A72B1"/>
    <w:rsid w:val="235A891F"/>
    <w:rsid w:val="235AC7D2"/>
    <w:rsid w:val="235DDAC8"/>
    <w:rsid w:val="2367A536"/>
    <w:rsid w:val="2369288E"/>
    <w:rsid w:val="236FE87C"/>
    <w:rsid w:val="23701E31"/>
    <w:rsid w:val="23707D26"/>
    <w:rsid w:val="2372DCDB"/>
    <w:rsid w:val="237889C1"/>
    <w:rsid w:val="2379FE31"/>
    <w:rsid w:val="238267E1"/>
    <w:rsid w:val="23840752"/>
    <w:rsid w:val="23884894"/>
    <w:rsid w:val="238C3F82"/>
    <w:rsid w:val="23906E48"/>
    <w:rsid w:val="2391229D"/>
    <w:rsid w:val="2399242C"/>
    <w:rsid w:val="239AB011"/>
    <w:rsid w:val="23A30F43"/>
    <w:rsid w:val="23A34463"/>
    <w:rsid w:val="23A7B725"/>
    <w:rsid w:val="23A92206"/>
    <w:rsid w:val="23AC1450"/>
    <w:rsid w:val="23B3D961"/>
    <w:rsid w:val="23BC9280"/>
    <w:rsid w:val="23C14145"/>
    <w:rsid w:val="23C8B098"/>
    <w:rsid w:val="23CAD036"/>
    <w:rsid w:val="23CC19DC"/>
    <w:rsid w:val="23D2BF39"/>
    <w:rsid w:val="23D6F895"/>
    <w:rsid w:val="23D876C1"/>
    <w:rsid w:val="23D8AAAA"/>
    <w:rsid w:val="23DA8876"/>
    <w:rsid w:val="23DB4D0B"/>
    <w:rsid w:val="23E1AD2F"/>
    <w:rsid w:val="23ED462E"/>
    <w:rsid w:val="23EE300F"/>
    <w:rsid w:val="23EF038D"/>
    <w:rsid w:val="23EFAC48"/>
    <w:rsid w:val="23F27FDD"/>
    <w:rsid w:val="23F58240"/>
    <w:rsid w:val="23F981A6"/>
    <w:rsid w:val="23F9AC00"/>
    <w:rsid w:val="23FA7089"/>
    <w:rsid w:val="23FEB65B"/>
    <w:rsid w:val="240B02A4"/>
    <w:rsid w:val="240CBEBB"/>
    <w:rsid w:val="241E0544"/>
    <w:rsid w:val="241F435F"/>
    <w:rsid w:val="2427D5F8"/>
    <w:rsid w:val="242AADBB"/>
    <w:rsid w:val="242C3F0C"/>
    <w:rsid w:val="243311F4"/>
    <w:rsid w:val="243CACD1"/>
    <w:rsid w:val="243CBB44"/>
    <w:rsid w:val="24431DCB"/>
    <w:rsid w:val="24459AF0"/>
    <w:rsid w:val="2448A389"/>
    <w:rsid w:val="2448F2A5"/>
    <w:rsid w:val="2449B035"/>
    <w:rsid w:val="244AF77F"/>
    <w:rsid w:val="244B6DD8"/>
    <w:rsid w:val="24518D36"/>
    <w:rsid w:val="2454AFFB"/>
    <w:rsid w:val="24569CCE"/>
    <w:rsid w:val="24585A4A"/>
    <w:rsid w:val="245BF39E"/>
    <w:rsid w:val="245CA590"/>
    <w:rsid w:val="245DFF7C"/>
    <w:rsid w:val="2460381D"/>
    <w:rsid w:val="24641C6F"/>
    <w:rsid w:val="24647912"/>
    <w:rsid w:val="2466BA00"/>
    <w:rsid w:val="24694542"/>
    <w:rsid w:val="2477554A"/>
    <w:rsid w:val="24779C9D"/>
    <w:rsid w:val="24798EEE"/>
    <w:rsid w:val="247D43C9"/>
    <w:rsid w:val="24800A0F"/>
    <w:rsid w:val="2480AA60"/>
    <w:rsid w:val="2487F1CA"/>
    <w:rsid w:val="24886360"/>
    <w:rsid w:val="2497873B"/>
    <w:rsid w:val="249BA35A"/>
    <w:rsid w:val="249F2FF8"/>
    <w:rsid w:val="24A04D5E"/>
    <w:rsid w:val="24A1E83E"/>
    <w:rsid w:val="24AB9295"/>
    <w:rsid w:val="24B35246"/>
    <w:rsid w:val="24B46958"/>
    <w:rsid w:val="24B7FEA0"/>
    <w:rsid w:val="24B8D10C"/>
    <w:rsid w:val="24BCE033"/>
    <w:rsid w:val="24C0C457"/>
    <w:rsid w:val="24C53018"/>
    <w:rsid w:val="24C5AD8B"/>
    <w:rsid w:val="24C61C0B"/>
    <w:rsid w:val="24C89EA2"/>
    <w:rsid w:val="24C8B70A"/>
    <w:rsid w:val="24C995FC"/>
    <w:rsid w:val="24CAA903"/>
    <w:rsid w:val="24CAC4EC"/>
    <w:rsid w:val="24CB8BDC"/>
    <w:rsid w:val="24CC8B7C"/>
    <w:rsid w:val="24D16AE0"/>
    <w:rsid w:val="24D8D242"/>
    <w:rsid w:val="24D969E7"/>
    <w:rsid w:val="24DF7042"/>
    <w:rsid w:val="24E4F9AD"/>
    <w:rsid w:val="24F04D2D"/>
    <w:rsid w:val="24F4FEB1"/>
    <w:rsid w:val="24F94E7C"/>
    <w:rsid w:val="24FB1F06"/>
    <w:rsid w:val="24FC4496"/>
    <w:rsid w:val="24FCDDA5"/>
    <w:rsid w:val="250383F2"/>
    <w:rsid w:val="2505ECC6"/>
    <w:rsid w:val="25094E7B"/>
    <w:rsid w:val="250D1B64"/>
    <w:rsid w:val="250FEEEA"/>
    <w:rsid w:val="251226DC"/>
    <w:rsid w:val="2512A869"/>
    <w:rsid w:val="2515FE62"/>
    <w:rsid w:val="25162589"/>
    <w:rsid w:val="251C8D91"/>
    <w:rsid w:val="2522BAA4"/>
    <w:rsid w:val="2524E620"/>
    <w:rsid w:val="252553C7"/>
    <w:rsid w:val="2530FB5D"/>
    <w:rsid w:val="2533E717"/>
    <w:rsid w:val="2535F42C"/>
    <w:rsid w:val="253D7328"/>
    <w:rsid w:val="253FBACB"/>
    <w:rsid w:val="2545C3F8"/>
    <w:rsid w:val="2557A0E7"/>
    <w:rsid w:val="255B2FEC"/>
    <w:rsid w:val="255C92A6"/>
    <w:rsid w:val="255EF92A"/>
    <w:rsid w:val="2564EAEF"/>
    <w:rsid w:val="256AD92E"/>
    <w:rsid w:val="256D5C5E"/>
    <w:rsid w:val="256F13C2"/>
    <w:rsid w:val="2575A00A"/>
    <w:rsid w:val="2579A617"/>
    <w:rsid w:val="257DC415"/>
    <w:rsid w:val="257F0EE4"/>
    <w:rsid w:val="2581EDDD"/>
    <w:rsid w:val="2582EC07"/>
    <w:rsid w:val="25837C32"/>
    <w:rsid w:val="2583F94D"/>
    <w:rsid w:val="2584CD37"/>
    <w:rsid w:val="25856803"/>
    <w:rsid w:val="2586EEA2"/>
    <w:rsid w:val="25887CA1"/>
    <w:rsid w:val="258A63A1"/>
    <w:rsid w:val="25925CC8"/>
    <w:rsid w:val="25987F65"/>
    <w:rsid w:val="25A5ACF0"/>
    <w:rsid w:val="25A74BD0"/>
    <w:rsid w:val="25A7C86D"/>
    <w:rsid w:val="25AF6074"/>
    <w:rsid w:val="25BB6595"/>
    <w:rsid w:val="25BC3A1D"/>
    <w:rsid w:val="25BCB1F9"/>
    <w:rsid w:val="25C1DD23"/>
    <w:rsid w:val="25C5F66C"/>
    <w:rsid w:val="25C5FE7F"/>
    <w:rsid w:val="25C80F6D"/>
    <w:rsid w:val="25D37934"/>
    <w:rsid w:val="25E1BD93"/>
    <w:rsid w:val="25E1CC88"/>
    <w:rsid w:val="25E24277"/>
    <w:rsid w:val="25EF1DD1"/>
    <w:rsid w:val="25F492F1"/>
    <w:rsid w:val="25F9E14C"/>
    <w:rsid w:val="25FC49AB"/>
    <w:rsid w:val="260081EA"/>
    <w:rsid w:val="260F2996"/>
    <w:rsid w:val="26111949"/>
    <w:rsid w:val="26137E11"/>
    <w:rsid w:val="261402A1"/>
    <w:rsid w:val="261F79F5"/>
    <w:rsid w:val="26210400"/>
    <w:rsid w:val="262432B9"/>
    <w:rsid w:val="2629DFCD"/>
    <w:rsid w:val="262AE967"/>
    <w:rsid w:val="262B6CE6"/>
    <w:rsid w:val="262EE266"/>
    <w:rsid w:val="26303663"/>
    <w:rsid w:val="2633D46B"/>
    <w:rsid w:val="263F441D"/>
    <w:rsid w:val="26418058"/>
    <w:rsid w:val="2643FC1C"/>
    <w:rsid w:val="26463F73"/>
    <w:rsid w:val="2646F0C3"/>
    <w:rsid w:val="264A67D5"/>
    <w:rsid w:val="265286C4"/>
    <w:rsid w:val="266117E9"/>
    <w:rsid w:val="26696726"/>
    <w:rsid w:val="267211FA"/>
    <w:rsid w:val="26730AAF"/>
    <w:rsid w:val="26741D46"/>
    <w:rsid w:val="267695D1"/>
    <w:rsid w:val="267AF97F"/>
    <w:rsid w:val="267C6C98"/>
    <w:rsid w:val="267DF246"/>
    <w:rsid w:val="267F5592"/>
    <w:rsid w:val="267F794F"/>
    <w:rsid w:val="2682AC4A"/>
    <w:rsid w:val="26848649"/>
    <w:rsid w:val="2688A3DB"/>
    <w:rsid w:val="26940439"/>
    <w:rsid w:val="2694C4CB"/>
    <w:rsid w:val="269F45F8"/>
    <w:rsid w:val="26AC04F1"/>
    <w:rsid w:val="26B40A84"/>
    <w:rsid w:val="26B6D697"/>
    <w:rsid w:val="26B7DE61"/>
    <w:rsid w:val="26BB93EE"/>
    <w:rsid w:val="26CE3F7A"/>
    <w:rsid w:val="26DC9E49"/>
    <w:rsid w:val="26DD9CA2"/>
    <w:rsid w:val="26F2F3C5"/>
    <w:rsid w:val="26FAC770"/>
    <w:rsid w:val="2704882D"/>
    <w:rsid w:val="2708C83E"/>
    <w:rsid w:val="2710A88F"/>
    <w:rsid w:val="271108E0"/>
    <w:rsid w:val="271356ED"/>
    <w:rsid w:val="2715345D"/>
    <w:rsid w:val="271A0465"/>
    <w:rsid w:val="271A6D9E"/>
    <w:rsid w:val="271CA3FD"/>
    <w:rsid w:val="271D8438"/>
    <w:rsid w:val="2722A041"/>
    <w:rsid w:val="272777DD"/>
    <w:rsid w:val="27316746"/>
    <w:rsid w:val="2733EA04"/>
    <w:rsid w:val="27342AFC"/>
    <w:rsid w:val="273A8913"/>
    <w:rsid w:val="274A4769"/>
    <w:rsid w:val="274D0411"/>
    <w:rsid w:val="274DC8BF"/>
    <w:rsid w:val="275449CD"/>
    <w:rsid w:val="27550B6D"/>
    <w:rsid w:val="27551266"/>
    <w:rsid w:val="2756D31E"/>
    <w:rsid w:val="275735F6"/>
    <w:rsid w:val="27599A1F"/>
    <w:rsid w:val="275DC6EF"/>
    <w:rsid w:val="276384E6"/>
    <w:rsid w:val="2765A5C9"/>
    <w:rsid w:val="276A98B7"/>
    <w:rsid w:val="276B4D40"/>
    <w:rsid w:val="277395F9"/>
    <w:rsid w:val="2781E83C"/>
    <w:rsid w:val="2784EB74"/>
    <w:rsid w:val="278E98B4"/>
    <w:rsid w:val="27981A0C"/>
    <w:rsid w:val="279A647B"/>
    <w:rsid w:val="279A7DC9"/>
    <w:rsid w:val="279A81BB"/>
    <w:rsid w:val="279B9572"/>
    <w:rsid w:val="27A63122"/>
    <w:rsid w:val="27A8CD3A"/>
    <w:rsid w:val="27AAE109"/>
    <w:rsid w:val="27ACBE52"/>
    <w:rsid w:val="27AFFDF0"/>
    <w:rsid w:val="27B0BE5B"/>
    <w:rsid w:val="27B41842"/>
    <w:rsid w:val="27BFC190"/>
    <w:rsid w:val="27BFEFE8"/>
    <w:rsid w:val="27C538C6"/>
    <w:rsid w:val="27C6892C"/>
    <w:rsid w:val="27CA31A7"/>
    <w:rsid w:val="27CD825B"/>
    <w:rsid w:val="27CE2A0B"/>
    <w:rsid w:val="27D0C829"/>
    <w:rsid w:val="27D89752"/>
    <w:rsid w:val="27D8E3B1"/>
    <w:rsid w:val="27DCECBA"/>
    <w:rsid w:val="27E65211"/>
    <w:rsid w:val="2803FEF2"/>
    <w:rsid w:val="28083D44"/>
    <w:rsid w:val="28091043"/>
    <w:rsid w:val="28092BEE"/>
    <w:rsid w:val="280AD8B8"/>
    <w:rsid w:val="280B93B6"/>
    <w:rsid w:val="2810534D"/>
    <w:rsid w:val="2814CB47"/>
    <w:rsid w:val="28170C1B"/>
    <w:rsid w:val="2818238E"/>
    <w:rsid w:val="282AC688"/>
    <w:rsid w:val="283056FD"/>
    <w:rsid w:val="2836B44F"/>
    <w:rsid w:val="2837491B"/>
    <w:rsid w:val="28374A3F"/>
    <w:rsid w:val="283900A9"/>
    <w:rsid w:val="283B1659"/>
    <w:rsid w:val="283C117F"/>
    <w:rsid w:val="283F33DD"/>
    <w:rsid w:val="28401FFA"/>
    <w:rsid w:val="28473B63"/>
    <w:rsid w:val="284AA20E"/>
    <w:rsid w:val="284BB52B"/>
    <w:rsid w:val="2857A029"/>
    <w:rsid w:val="285AA9E2"/>
    <w:rsid w:val="285D1A21"/>
    <w:rsid w:val="285ED8A6"/>
    <w:rsid w:val="285F9AC0"/>
    <w:rsid w:val="2861B47F"/>
    <w:rsid w:val="286B6C54"/>
    <w:rsid w:val="286BF8C6"/>
    <w:rsid w:val="286D4E9D"/>
    <w:rsid w:val="286E3610"/>
    <w:rsid w:val="287323C5"/>
    <w:rsid w:val="28741100"/>
    <w:rsid w:val="2874AC5F"/>
    <w:rsid w:val="2874CB8D"/>
    <w:rsid w:val="28792003"/>
    <w:rsid w:val="287A1A04"/>
    <w:rsid w:val="287BC1C4"/>
    <w:rsid w:val="288386CE"/>
    <w:rsid w:val="2884865A"/>
    <w:rsid w:val="2889BB52"/>
    <w:rsid w:val="288C335E"/>
    <w:rsid w:val="2891ADC1"/>
    <w:rsid w:val="289632A1"/>
    <w:rsid w:val="2897209B"/>
    <w:rsid w:val="289A46B5"/>
    <w:rsid w:val="28A55BBB"/>
    <w:rsid w:val="28AA1087"/>
    <w:rsid w:val="28AD54BF"/>
    <w:rsid w:val="28B049B2"/>
    <w:rsid w:val="28B8A9CE"/>
    <w:rsid w:val="28C12ECC"/>
    <w:rsid w:val="28C45F99"/>
    <w:rsid w:val="28C5ECB5"/>
    <w:rsid w:val="28C7AE9C"/>
    <w:rsid w:val="28CB3957"/>
    <w:rsid w:val="28CE0917"/>
    <w:rsid w:val="28D0AADB"/>
    <w:rsid w:val="28D17065"/>
    <w:rsid w:val="28D4AC9D"/>
    <w:rsid w:val="28DB3861"/>
    <w:rsid w:val="28E079F5"/>
    <w:rsid w:val="28E3FC6B"/>
    <w:rsid w:val="28E4795B"/>
    <w:rsid w:val="28E53811"/>
    <w:rsid w:val="28EA0A08"/>
    <w:rsid w:val="28EAA1CB"/>
    <w:rsid w:val="28EB5AE8"/>
    <w:rsid w:val="28F5BDA7"/>
    <w:rsid w:val="28FCB071"/>
    <w:rsid w:val="28FCE27A"/>
    <w:rsid w:val="2909FA2D"/>
    <w:rsid w:val="29202C40"/>
    <w:rsid w:val="292102C6"/>
    <w:rsid w:val="2922A52D"/>
    <w:rsid w:val="2929CE1A"/>
    <w:rsid w:val="2929FBEA"/>
    <w:rsid w:val="292D813D"/>
    <w:rsid w:val="293888AA"/>
    <w:rsid w:val="294261B4"/>
    <w:rsid w:val="2942EAB5"/>
    <w:rsid w:val="29464CCD"/>
    <w:rsid w:val="29487518"/>
    <w:rsid w:val="294D7B5D"/>
    <w:rsid w:val="2951D886"/>
    <w:rsid w:val="2955BF73"/>
    <w:rsid w:val="295A39A8"/>
    <w:rsid w:val="295C2BCC"/>
    <w:rsid w:val="295E8780"/>
    <w:rsid w:val="2963AAD5"/>
    <w:rsid w:val="29640E53"/>
    <w:rsid w:val="29695A9F"/>
    <w:rsid w:val="296A7669"/>
    <w:rsid w:val="296A9457"/>
    <w:rsid w:val="2974BA1F"/>
    <w:rsid w:val="297D1E41"/>
    <w:rsid w:val="29806A4C"/>
    <w:rsid w:val="2980A6A9"/>
    <w:rsid w:val="298554BB"/>
    <w:rsid w:val="2988F932"/>
    <w:rsid w:val="298B461E"/>
    <w:rsid w:val="2993144D"/>
    <w:rsid w:val="299BB3D3"/>
    <w:rsid w:val="299C8DDD"/>
    <w:rsid w:val="29A7B1F2"/>
    <w:rsid w:val="29A97032"/>
    <w:rsid w:val="29AC00A6"/>
    <w:rsid w:val="29AD229B"/>
    <w:rsid w:val="29B0CEED"/>
    <w:rsid w:val="29B51563"/>
    <w:rsid w:val="29C2A70A"/>
    <w:rsid w:val="29C3A8E2"/>
    <w:rsid w:val="29C4598B"/>
    <w:rsid w:val="29C5C3B9"/>
    <w:rsid w:val="29CD36F5"/>
    <w:rsid w:val="29CF8F5C"/>
    <w:rsid w:val="29D4B032"/>
    <w:rsid w:val="29DE271D"/>
    <w:rsid w:val="29E16261"/>
    <w:rsid w:val="29E439A7"/>
    <w:rsid w:val="29E75AD8"/>
    <w:rsid w:val="29EA923E"/>
    <w:rsid w:val="29EAB0C1"/>
    <w:rsid w:val="29F2A82C"/>
    <w:rsid w:val="29F76CA9"/>
    <w:rsid w:val="29F776BB"/>
    <w:rsid w:val="29F89D82"/>
    <w:rsid w:val="29FC63B2"/>
    <w:rsid w:val="29FDA651"/>
    <w:rsid w:val="29FEA9BC"/>
    <w:rsid w:val="29FF79E9"/>
    <w:rsid w:val="2A04AC3F"/>
    <w:rsid w:val="2A09B270"/>
    <w:rsid w:val="2A109BEE"/>
    <w:rsid w:val="2A1159B1"/>
    <w:rsid w:val="2A17CB48"/>
    <w:rsid w:val="2A1BF2B1"/>
    <w:rsid w:val="2A220B15"/>
    <w:rsid w:val="2A22889D"/>
    <w:rsid w:val="2A28D860"/>
    <w:rsid w:val="2A2E0101"/>
    <w:rsid w:val="2A37BBBE"/>
    <w:rsid w:val="2A3AA75E"/>
    <w:rsid w:val="2A3EA043"/>
    <w:rsid w:val="2A49C9FA"/>
    <w:rsid w:val="2A4B3D3B"/>
    <w:rsid w:val="2A4BAC0D"/>
    <w:rsid w:val="2A4C82D7"/>
    <w:rsid w:val="2A4D9D9C"/>
    <w:rsid w:val="2A4F54E4"/>
    <w:rsid w:val="2A5072B1"/>
    <w:rsid w:val="2A56537E"/>
    <w:rsid w:val="2A5A76B6"/>
    <w:rsid w:val="2A5B66CC"/>
    <w:rsid w:val="2A5B71B6"/>
    <w:rsid w:val="2A5E725E"/>
    <w:rsid w:val="2A6AA9BF"/>
    <w:rsid w:val="2A718E25"/>
    <w:rsid w:val="2A73BB1F"/>
    <w:rsid w:val="2A790CC7"/>
    <w:rsid w:val="2A7BD4DA"/>
    <w:rsid w:val="2A7C88F8"/>
    <w:rsid w:val="2A81EFB6"/>
    <w:rsid w:val="2A8DB33E"/>
    <w:rsid w:val="2A8DB859"/>
    <w:rsid w:val="2A8E1373"/>
    <w:rsid w:val="2A8E515F"/>
    <w:rsid w:val="2A972803"/>
    <w:rsid w:val="2A97D130"/>
    <w:rsid w:val="2A9B8090"/>
    <w:rsid w:val="2A9DF336"/>
    <w:rsid w:val="2A9EB6D2"/>
    <w:rsid w:val="2AA9875C"/>
    <w:rsid w:val="2AA9E049"/>
    <w:rsid w:val="2AABC0DC"/>
    <w:rsid w:val="2AB07E88"/>
    <w:rsid w:val="2AB392CC"/>
    <w:rsid w:val="2AB849E4"/>
    <w:rsid w:val="2ABD3332"/>
    <w:rsid w:val="2AC10CF8"/>
    <w:rsid w:val="2ACAD4DB"/>
    <w:rsid w:val="2ACC53F9"/>
    <w:rsid w:val="2ACC8B26"/>
    <w:rsid w:val="2ACD6ADF"/>
    <w:rsid w:val="2AD7FEB3"/>
    <w:rsid w:val="2AD857B6"/>
    <w:rsid w:val="2AD8D354"/>
    <w:rsid w:val="2ADA7A2A"/>
    <w:rsid w:val="2AE7FCDB"/>
    <w:rsid w:val="2AE9F3D3"/>
    <w:rsid w:val="2AF1F7EB"/>
    <w:rsid w:val="2AF32DD1"/>
    <w:rsid w:val="2AF52AED"/>
    <w:rsid w:val="2AF67D0E"/>
    <w:rsid w:val="2AFDF277"/>
    <w:rsid w:val="2B02EC24"/>
    <w:rsid w:val="2B078BEB"/>
    <w:rsid w:val="2B0B63E0"/>
    <w:rsid w:val="2B0CECB7"/>
    <w:rsid w:val="2B111813"/>
    <w:rsid w:val="2B19FB3D"/>
    <w:rsid w:val="2B1E6A21"/>
    <w:rsid w:val="2B2044EB"/>
    <w:rsid w:val="2B2D4B87"/>
    <w:rsid w:val="2B2E9F78"/>
    <w:rsid w:val="2B2EE4AE"/>
    <w:rsid w:val="2B41AC4A"/>
    <w:rsid w:val="2B465592"/>
    <w:rsid w:val="2B4D5638"/>
    <w:rsid w:val="2B54A8A8"/>
    <w:rsid w:val="2B564782"/>
    <w:rsid w:val="2B5E4E02"/>
    <w:rsid w:val="2B5F34A2"/>
    <w:rsid w:val="2B5FAA6F"/>
    <w:rsid w:val="2B6117B0"/>
    <w:rsid w:val="2B61784C"/>
    <w:rsid w:val="2B638799"/>
    <w:rsid w:val="2B6846A6"/>
    <w:rsid w:val="2B6857AA"/>
    <w:rsid w:val="2B6CE364"/>
    <w:rsid w:val="2B78EE13"/>
    <w:rsid w:val="2B7D48D0"/>
    <w:rsid w:val="2B7EDC25"/>
    <w:rsid w:val="2B87A266"/>
    <w:rsid w:val="2B8A81BB"/>
    <w:rsid w:val="2B8B86F8"/>
    <w:rsid w:val="2B8E8256"/>
    <w:rsid w:val="2B90E643"/>
    <w:rsid w:val="2B92F9C3"/>
    <w:rsid w:val="2B937AB6"/>
    <w:rsid w:val="2B948EA9"/>
    <w:rsid w:val="2B999D42"/>
    <w:rsid w:val="2B9AB4FE"/>
    <w:rsid w:val="2B9C8A90"/>
    <w:rsid w:val="2B9F4016"/>
    <w:rsid w:val="2BA0AAF3"/>
    <w:rsid w:val="2BA13278"/>
    <w:rsid w:val="2BA353B8"/>
    <w:rsid w:val="2BA66667"/>
    <w:rsid w:val="2BA68A9B"/>
    <w:rsid w:val="2BAD898D"/>
    <w:rsid w:val="2BB525F4"/>
    <w:rsid w:val="2BB73C80"/>
    <w:rsid w:val="2BB84BC9"/>
    <w:rsid w:val="2BBB791A"/>
    <w:rsid w:val="2BBDFD4A"/>
    <w:rsid w:val="2BC4BA21"/>
    <w:rsid w:val="2BC4D517"/>
    <w:rsid w:val="2BC8EB24"/>
    <w:rsid w:val="2BD1AA6C"/>
    <w:rsid w:val="2BDA45EE"/>
    <w:rsid w:val="2BDD990E"/>
    <w:rsid w:val="2BDDF20F"/>
    <w:rsid w:val="2BDE59A0"/>
    <w:rsid w:val="2BE11BA8"/>
    <w:rsid w:val="2BE720C5"/>
    <w:rsid w:val="2BEB2545"/>
    <w:rsid w:val="2BEE2D2E"/>
    <w:rsid w:val="2BEEC80B"/>
    <w:rsid w:val="2BEF0452"/>
    <w:rsid w:val="2BF09848"/>
    <w:rsid w:val="2BFC0151"/>
    <w:rsid w:val="2BFC2CB8"/>
    <w:rsid w:val="2BFDB4E9"/>
    <w:rsid w:val="2C001CAB"/>
    <w:rsid w:val="2C01C26D"/>
    <w:rsid w:val="2C0381C7"/>
    <w:rsid w:val="2C03A739"/>
    <w:rsid w:val="2C0565C3"/>
    <w:rsid w:val="2C0F7AC0"/>
    <w:rsid w:val="2C14F3B0"/>
    <w:rsid w:val="2C16B671"/>
    <w:rsid w:val="2C187CDD"/>
    <w:rsid w:val="2C1B6F34"/>
    <w:rsid w:val="2C1BF065"/>
    <w:rsid w:val="2C1DBFB7"/>
    <w:rsid w:val="2C1F5D8A"/>
    <w:rsid w:val="2C2C8CDC"/>
    <w:rsid w:val="2C308713"/>
    <w:rsid w:val="2C35F4E7"/>
    <w:rsid w:val="2C38F7BE"/>
    <w:rsid w:val="2C3E2420"/>
    <w:rsid w:val="2C42B3B2"/>
    <w:rsid w:val="2C44899D"/>
    <w:rsid w:val="2C46A757"/>
    <w:rsid w:val="2C499836"/>
    <w:rsid w:val="2C4BDD90"/>
    <w:rsid w:val="2C4F841A"/>
    <w:rsid w:val="2C58BC8E"/>
    <w:rsid w:val="2C6699B1"/>
    <w:rsid w:val="2C74E8EB"/>
    <w:rsid w:val="2C76FA72"/>
    <w:rsid w:val="2C784D5B"/>
    <w:rsid w:val="2C7CC8D0"/>
    <w:rsid w:val="2C7D3765"/>
    <w:rsid w:val="2C7EFFF4"/>
    <w:rsid w:val="2C80FBBB"/>
    <w:rsid w:val="2C825059"/>
    <w:rsid w:val="2C85D963"/>
    <w:rsid w:val="2C88A2CF"/>
    <w:rsid w:val="2C88EFE4"/>
    <w:rsid w:val="2C89CE0E"/>
    <w:rsid w:val="2C8B6B07"/>
    <w:rsid w:val="2C8C179F"/>
    <w:rsid w:val="2C8D9E94"/>
    <w:rsid w:val="2C93F4D0"/>
    <w:rsid w:val="2C94F02C"/>
    <w:rsid w:val="2C9AFD29"/>
    <w:rsid w:val="2C9BDAA9"/>
    <w:rsid w:val="2CA09108"/>
    <w:rsid w:val="2CA239FF"/>
    <w:rsid w:val="2CA49BCC"/>
    <w:rsid w:val="2CACB2BE"/>
    <w:rsid w:val="2CAF60A1"/>
    <w:rsid w:val="2CB24DCB"/>
    <w:rsid w:val="2CB52EBC"/>
    <w:rsid w:val="2CBDCF81"/>
    <w:rsid w:val="2CBFE3BE"/>
    <w:rsid w:val="2CD0D2C3"/>
    <w:rsid w:val="2CD4D500"/>
    <w:rsid w:val="2CD8D324"/>
    <w:rsid w:val="2CD9DEC8"/>
    <w:rsid w:val="2CDA1C31"/>
    <w:rsid w:val="2CDA2687"/>
    <w:rsid w:val="2CDEB617"/>
    <w:rsid w:val="2CE6293B"/>
    <w:rsid w:val="2CE8F1C9"/>
    <w:rsid w:val="2CE905C0"/>
    <w:rsid w:val="2CEA9963"/>
    <w:rsid w:val="2CEE2427"/>
    <w:rsid w:val="2CF064D8"/>
    <w:rsid w:val="2CF2972B"/>
    <w:rsid w:val="2CFB7431"/>
    <w:rsid w:val="2CFEC14A"/>
    <w:rsid w:val="2D0373D6"/>
    <w:rsid w:val="2D040A42"/>
    <w:rsid w:val="2D056B08"/>
    <w:rsid w:val="2D08E9EA"/>
    <w:rsid w:val="2D0AB23B"/>
    <w:rsid w:val="2D0D4680"/>
    <w:rsid w:val="2D11C13B"/>
    <w:rsid w:val="2D120F63"/>
    <w:rsid w:val="2D1533A1"/>
    <w:rsid w:val="2D16BA32"/>
    <w:rsid w:val="2D22AD3D"/>
    <w:rsid w:val="2D23918B"/>
    <w:rsid w:val="2D25159C"/>
    <w:rsid w:val="2D25DF8D"/>
    <w:rsid w:val="2D2DABC6"/>
    <w:rsid w:val="2D316177"/>
    <w:rsid w:val="2D341358"/>
    <w:rsid w:val="2D37C8CA"/>
    <w:rsid w:val="2D42B75F"/>
    <w:rsid w:val="2D48850D"/>
    <w:rsid w:val="2D4A7AC3"/>
    <w:rsid w:val="2D4F08AC"/>
    <w:rsid w:val="2D566737"/>
    <w:rsid w:val="2D5A4967"/>
    <w:rsid w:val="2D5B2E5F"/>
    <w:rsid w:val="2D5C2690"/>
    <w:rsid w:val="2D5C35AC"/>
    <w:rsid w:val="2D5EB5EA"/>
    <w:rsid w:val="2D6734CC"/>
    <w:rsid w:val="2D67EB0A"/>
    <w:rsid w:val="2D6898BE"/>
    <w:rsid w:val="2D69A781"/>
    <w:rsid w:val="2D6A488E"/>
    <w:rsid w:val="2D6AC9DB"/>
    <w:rsid w:val="2D762270"/>
    <w:rsid w:val="2D7A4D5E"/>
    <w:rsid w:val="2D7D6F1C"/>
    <w:rsid w:val="2D80CAD8"/>
    <w:rsid w:val="2D82E151"/>
    <w:rsid w:val="2D836518"/>
    <w:rsid w:val="2D847EE6"/>
    <w:rsid w:val="2D89F22C"/>
    <w:rsid w:val="2D8E389F"/>
    <w:rsid w:val="2D9172FF"/>
    <w:rsid w:val="2D933FD9"/>
    <w:rsid w:val="2D9A16EA"/>
    <w:rsid w:val="2D9B233B"/>
    <w:rsid w:val="2D9FFA2A"/>
    <w:rsid w:val="2DA11747"/>
    <w:rsid w:val="2DA62AD7"/>
    <w:rsid w:val="2DAB6633"/>
    <w:rsid w:val="2DAD3867"/>
    <w:rsid w:val="2DB31F53"/>
    <w:rsid w:val="2DB3EB18"/>
    <w:rsid w:val="2DB988ED"/>
    <w:rsid w:val="2DBAF6C5"/>
    <w:rsid w:val="2DBDBF81"/>
    <w:rsid w:val="2DC58242"/>
    <w:rsid w:val="2DCAAFA3"/>
    <w:rsid w:val="2DCB2B52"/>
    <w:rsid w:val="2DCB7039"/>
    <w:rsid w:val="2DCF30D4"/>
    <w:rsid w:val="2DD0B060"/>
    <w:rsid w:val="2DD830E7"/>
    <w:rsid w:val="2DD85A87"/>
    <w:rsid w:val="2DDC82CF"/>
    <w:rsid w:val="2DDE4031"/>
    <w:rsid w:val="2DDFF2F9"/>
    <w:rsid w:val="2DE30DA1"/>
    <w:rsid w:val="2DECFED1"/>
    <w:rsid w:val="2DF10527"/>
    <w:rsid w:val="2DF3043C"/>
    <w:rsid w:val="2DF5F994"/>
    <w:rsid w:val="2DFC00E2"/>
    <w:rsid w:val="2E01D371"/>
    <w:rsid w:val="2E040C33"/>
    <w:rsid w:val="2E042B11"/>
    <w:rsid w:val="2E0834A7"/>
    <w:rsid w:val="2E0BC601"/>
    <w:rsid w:val="2E1B111A"/>
    <w:rsid w:val="2E1FE43B"/>
    <w:rsid w:val="2E253BA4"/>
    <w:rsid w:val="2E270C52"/>
    <w:rsid w:val="2E286937"/>
    <w:rsid w:val="2E2EBD42"/>
    <w:rsid w:val="2E38672F"/>
    <w:rsid w:val="2E3B4848"/>
    <w:rsid w:val="2E40E715"/>
    <w:rsid w:val="2E47FD89"/>
    <w:rsid w:val="2E4A0CB3"/>
    <w:rsid w:val="2E4A2045"/>
    <w:rsid w:val="2E5106C9"/>
    <w:rsid w:val="2E637090"/>
    <w:rsid w:val="2E677A4C"/>
    <w:rsid w:val="2E6908AE"/>
    <w:rsid w:val="2E70CEE5"/>
    <w:rsid w:val="2E73D30D"/>
    <w:rsid w:val="2E7B8B65"/>
    <w:rsid w:val="2E7C645E"/>
    <w:rsid w:val="2E810345"/>
    <w:rsid w:val="2E81A7B6"/>
    <w:rsid w:val="2E86D92D"/>
    <w:rsid w:val="2E8798F2"/>
    <w:rsid w:val="2E8830C1"/>
    <w:rsid w:val="2E8B0AE4"/>
    <w:rsid w:val="2E8B90B5"/>
    <w:rsid w:val="2E8ED096"/>
    <w:rsid w:val="2E974492"/>
    <w:rsid w:val="2E97E532"/>
    <w:rsid w:val="2E9D04BF"/>
    <w:rsid w:val="2E9E2E49"/>
    <w:rsid w:val="2E9F6867"/>
    <w:rsid w:val="2EADBBEF"/>
    <w:rsid w:val="2EB1B56F"/>
    <w:rsid w:val="2EB34089"/>
    <w:rsid w:val="2EB53074"/>
    <w:rsid w:val="2EB6DBCB"/>
    <w:rsid w:val="2EBE080B"/>
    <w:rsid w:val="2EC45460"/>
    <w:rsid w:val="2EC903F3"/>
    <w:rsid w:val="2ECEB27A"/>
    <w:rsid w:val="2ECFD59E"/>
    <w:rsid w:val="2ED4A29B"/>
    <w:rsid w:val="2ED90CCF"/>
    <w:rsid w:val="2EDA3F3A"/>
    <w:rsid w:val="2EE69B20"/>
    <w:rsid w:val="2EE71850"/>
    <w:rsid w:val="2EED006F"/>
    <w:rsid w:val="2EF23798"/>
    <w:rsid w:val="2EF3C5C0"/>
    <w:rsid w:val="2EF9C97A"/>
    <w:rsid w:val="2EFB74E2"/>
    <w:rsid w:val="2F03DC14"/>
    <w:rsid w:val="2F0617B4"/>
    <w:rsid w:val="2F0618EF"/>
    <w:rsid w:val="2F0B4EE7"/>
    <w:rsid w:val="2F1121FA"/>
    <w:rsid w:val="2F121166"/>
    <w:rsid w:val="2F13D1DA"/>
    <w:rsid w:val="2F149D3F"/>
    <w:rsid w:val="2F17ACF3"/>
    <w:rsid w:val="2F1C9B39"/>
    <w:rsid w:val="2F1D4D41"/>
    <w:rsid w:val="2F1D6A96"/>
    <w:rsid w:val="2F1EB222"/>
    <w:rsid w:val="2F1F254F"/>
    <w:rsid w:val="2F20CB3C"/>
    <w:rsid w:val="2F2A8B4C"/>
    <w:rsid w:val="2F2DBFD8"/>
    <w:rsid w:val="2F2DDC90"/>
    <w:rsid w:val="2F307050"/>
    <w:rsid w:val="2F315188"/>
    <w:rsid w:val="2F32970D"/>
    <w:rsid w:val="2F47E811"/>
    <w:rsid w:val="2F48C5D4"/>
    <w:rsid w:val="2F49A36F"/>
    <w:rsid w:val="2F4E21DA"/>
    <w:rsid w:val="2F4EBF17"/>
    <w:rsid w:val="2F4FF360"/>
    <w:rsid w:val="2F502E6B"/>
    <w:rsid w:val="2F5053EA"/>
    <w:rsid w:val="2F5093F1"/>
    <w:rsid w:val="2F559826"/>
    <w:rsid w:val="2F598FE2"/>
    <w:rsid w:val="2F5A2F67"/>
    <w:rsid w:val="2F5F57CA"/>
    <w:rsid w:val="2F60C6BF"/>
    <w:rsid w:val="2F69889B"/>
    <w:rsid w:val="2F725759"/>
    <w:rsid w:val="2F780D32"/>
    <w:rsid w:val="2F82533C"/>
    <w:rsid w:val="2F83C964"/>
    <w:rsid w:val="2F84EC04"/>
    <w:rsid w:val="2F863718"/>
    <w:rsid w:val="2F8893EB"/>
    <w:rsid w:val="2F8C0A8C"/>
    <w:rsid w:val="2F906AC3"/>
    <w:rsid w:val="2F917C6F"/>
    <w:rsid w:val="2F92C4C5"/>
    <w:rsid w:val="2F968B1C"/>
    <w:rsid w:val="2F9A3121"/>
    <w:rsid w:val="2FA03DAD"/>
    <w:rsid w:val="2FA592F7"/>
    <w:rsid w:val="2FA65825"/>
    <w:rsid w:val="2FB72AB7"/>
    <w:rsid w:val="2FC32FFB"/>
    <w:rsid w:val="2FC69018"/>
    <w:rsid w:val="2FC6D5D1"/>
    <w:rsid w:val="2FC8938B"/>
    <w:rsid w:val="2FCB4C6D"/>
    <w:rsid w:val="2FCD43E4"/>
    <w:rsid w:val="2FD1203C"/>
    <w:rsid w:val="2FD718A9"/>
    <w:rsid w:val="2FD85AA4"/>
    <w:rsid w:val="2FDFCDFE"/>
    <w:rsid w:val="2FE4259D"/>
    <w:rsid w:val="2FEA58E3"/>
    <w:rsid w:val="2FED1D29"/>
    <w:rsid w:val="2FF68A3E"/>
    <w:rsid w:val="2FF8572D"/>
    <w:rsid w:val="2FF89790"/>
    <w:rsid w:val="2FF918B7"/>
    <w:rsid w:val="2FF937A1"/>
    <w:rsid w:val="2FFE247C"/>
    <w:rsid w:val="2FFFCBE3"/>
    <w:rsid w:val="30017E3B"/>
    <w:rsid w:val="30028F76"/>
    <w:rsid w:val="3002D208"/>
    <w:rsid w:val="30086032"/>
    <w:rsid w:val="3008E046"/>
    <w:rsid w:val="300F96A0"/>
    <w:rsid w:val="3010A6E9"/>
    <w:rsid w:val="301513B4"/>
    <w:rsid w:val="30176EEE"/>
    <w:rsid w:val="302A918D"/>
    <w:rsid w:val="302C2553"/>
    <w:rsid w:val="302DC409"/>
    <w:rsid w:val="303314F3"/>
    <w:rsid w:val="30381C8E"/>
    <w:rsid w:val="303CD07C"/>
    <w:rsid w:val="3040D6A0"/>
    <w:rsid w:val="3043F00C"/>
    <w:rsid w:val="3045D339"/>
    <w:rsid w:val="3049F4B9"/>
    <w:rsid w:val="304BAABE"/>
    <w:rsid w:val="3051BFCE"/>
    <w:rsid w:val="30536ADD"/>
    <w:rsid w:val="305717EF"/>
    <w:rsid w:val="305A7F1D"/>
    <w:rsid w:val="305BB6A5"/>
    <w:rsid w:val="305DDB3C"/>
    <w:rsid w:val="3062DC93"/>
    <w:rsid w:val="306C4F42"/>
    <w:rsid w:val="306C8AD6"/>
    <w:rsid w:val="306D80BA"/>
    <w:rsid w:val="306DD746"/>
    <w:rsid w:val="30762895"/>
    <w:rsid w:val="30799254"/>
    <w:rsid w:val="308696E0"/>
    <w:rsid w:val="308BE15D"/>
    <w:rsid w:val="308FF9BF"/>
    <w:rsid w:val="30932EDB"/>
    <w:rsid w:val="3096EEE4"/>
    <w:rsid w:val="309AAD4A"/>
    <w:rsid w:val="309BC3D2"/>
    <w:rsid w:val="309FBE21"/>
    <w:rsid w:val="30AD5F52"/>
    <w:rsid w:val="30ADD08E"/>
    <w:rsid w:val="30B8D6D8"/>
    <w:rsid w:val="30BA8213"/>
    <w:rsid w:val="30BE9A29"/>
    <w:rsid w:val="30C5993B"/>
    <w:rsid w:val="30C8DB35"/>
    <w:rsid w:val="30D1546B"/>
    <w:rsid w:val="30D21DDD"/>
    <w:rsid w:val="30D50F6F"/>
    <w:rsid w:val="30D90A6C"/>
    <w:rsid w:val="30DB7AF0"/>
    <w:rsid w:val="30DD0A46"/>
    <w:rsid w:val="30DDD379"/>
    <w:rsid w:val="30E11859"/>
    <w:rsid w:val="30E3B872"/>
    <w:rsid w:val="30E64A46"/>
    <w:rsid w:val="30E65CED"/>
    <w:rsid w:val="30E6D98E"/>
    <w:rsid w:val="30E98E87"/>
    <w:rsid w:val="30EA4857"/>
    <w:rsid w:val="30EB165E"/>
    <w:rsid w:val="30ED510A"/>
    <w:rsid w:val="30EDEF3A"/>
    <w:rsid w:val="30F73ED4"/>
    <w:rsid w:val="30FAFA2C"/>
    <w:rsid w:val="30FFDD23"/>
    <w:rsid w:val="3102C9E8"/>
    <w:rsid w:val="3104EC9E"/>
    <w:rsid w:val="311187D3"/>
    <w:rsid w:val="3119FEBB"/>
    <w:rsid w:val="311AF02C"/>
    <w:rsid w:val="312380CB"/>
    <w:rsid w:val="3127059F"/>
    <w:rsid w:val="312A4F95"/>
    <w:rsid w:val="312F0462"/>
    <w:rsid w:val="312F70CC"/>
    <w:rsid w:val="312F8956"/>
    <w:rsid w:val="31325785"/>
    <w:rsid w:val="3134AEF2"/>
    <w:rsid w:val="31357AFA"/>
    <w:rsid w:val="3137824C"/>
    <w:rsid w:val="31388560"/>
    <w:rsid w:val="31401E59"/>
    <w:rsid w:val="314717F0"/>
    <w:rsid w:val="314D1DD6"/>
    <w:rsid w:val="3150E0AF"/>
    <w:rsid w:val="31528006"/>
    <w:rsid w:val="315CDC66"/>
    <w:rsid w:val="315E1E3E"/>
    <w:rsid w:val="315F256F"/>
    <w:rsid w:val="316073A0"/>
    <w:rsid w:val="316338C7"/>
    <w:rsid w:val="316879BF"/>
    <w:rsid w:val="3169971E"/>
    <w:rsid w:val="316BC272"/>
    <w:rsid w:val="317F5A67"/>
    <w:rsid w:val="31864EAA"/>
    <w:rsid w:val="318ADFEF"/>
    <w:rsid w:val="318BF6D9"/>
    <w:rsid w:val="319E7348"/>
    <w:rsid w:val="31A58927"/>
    <w:rsid w:val="31A78011"/>
    <w:rsid w:val="31B2B5A0"/>
    <w:rsid w:val="31B4EAFD"/>
    <w:rsid w:val="31BB3F0C"/>
    <w:rsid w:val="31BDBC9C"/>
    <w:rsid w:val="31BFDA75"/>
    <w:rsid w:val="31BFDAB5"/>
    <w:rsid w:val="31BFFA56"/>
    <w:rsid w:val="31C3F55C"/>
    <w:rsid w:val="31CEAAA4"/>
    <w:rsid w:val="31CEDDBD"/>
    <w:rsid w:val="31D3E565"/>
    <w:rsid w:val="31DB5453"/>
    <w:rsid w:val="31DF4ECD"/>
    <w:rsid w:val="31E9E397"/>
    <w:rsid w:val="31EEF746"/>
    <w:rsid w:val="31F6AE4B"/>
    <w:rsid w:val="31F6FEBB"/>
    <w:rsid w:val="31F702AE"/>
    <w:rsid w:val="31F86059"/>
    <w:rsid w:val="31F89CEF"/>
    <w:rsid w:val="31FADA8A"/>
    <w:rsid w:val="31FAE11F"/>
    <w:rsid w:val="31FC7AFE"/>
    <w:rsid w:val="31FDA766"/>
    <w:rsid w:val="31FDFA25"/>
    <w:rsid w:val="32014494"/>
    <w:rsid w:val="32089685"/>
    <w:rsid w:val="320CC817"/>
    <w:rsid w:val="320ED012"/>
    <w:rsid w:val="32122532"/>
    <w:rsid w:val="3212CB6E"/>
    <w:rsid w:val="321A81C5"/>
    <w:rsid w:val="321D8F67"/>
    <w:rsid w:val="321E0AB3"/>
    <w:rsid w:val="3233C467"/>
    <w:rsid w:val="3236F784"/>
    <w:rsid w:val="32377713"/>
    <w:rsid w:val="323B91C7"/>
    <w:rsid w:val="323DB876"/>
    <w:rsid w:val="3245498C"/>
    <w:rsid w:val="3246A9F9"/>
    <w:rsid w:val="324C8BF2"/>
    <w:rsid w:val="324D2388"/>
    <w:rsid w:val="324D37FE"/>
    <w:rsid w:val="325182EF"/>
    <w:rsid w:val="32557BE0"/>
    <w:rsid w:val="32565274"/>
    <w:rsid w:val="3256A8EF"/>
    <w:rsid w:val="3259DCB6"/>
    <w:rsid w:val="325B0C63"/>
    <w:rsid w:val="32681CB3"/>
    <w:rsid w:val="3268F24A"/>
    <w:rsid w:val="326AE43F"/>
    <w:rsid w:val="326FD5C8"/>
    <w:rsid w:val="3278B471"/>
    <w:rsid w:val="3278D308"/>
    <w:rsid w:val="327909C4"/>
    <w:rsid w:val="32810177"/>
    <w:rsid w:val="3282D580"/>
    <w:rsid w:val="32839ADE"/>
    <w:rsid w:val="3286E6BF"/>
    <w:rsid w:val="329E68C7"/>
    <w:rsid w:val="32B01BBF"/>
    <w:rsid w:val="32BA9A51"/>
    <w:rsid w:val="32BC7FD3"/>
    <w:rsid w:val="32BD8D72"/>
    <w:rsid w:val="32C5E234"/>
    <w:rsid w:val="32C5E961"/>
    <w:rsid w:val="32C9F5A9"/>
    <w:rsid w:val="32D5A50B"/>
    <w:rsid w:val="32D5D164"/>
    <w:rsid w:val="32DB54FA"/>
    <w:rsid w:val="32DE0ED8"/>
    <w:rsid w:val="32E3103F"/>
    <w:rsid w:val="32E39B71"/>
    <w:rsid w:val="32E91959"/>
    <w:rsid w:val="32E9F504"/>
    <w:rsid w:val="32EDF9EC"/>
    <w:rsid w:val="32F3F510"/>
    <w:rsid w:val="32F912F0"/>
    <w:rsid w:val="32FA0D44"/>
    <w:rsid w:val="33009828"/>
    <w:rsid w:val="33010649"/>
    <w:rsid w:val="3307A41C"/>
    <w:rsid w:val="3307ECD5"/>
    <w:rsid w:val="33080238"/>
    <w:rsid w:val="330FB13D"/>
    <w:rsid w:val="3327AD38"/>
    <w:rsid w:val="33364DA8"/>
    <w:rsid w:val="333DE68B"/>
    <w:rsid w:val="333E22B0"/>
    <w:rsid w:val="3348CC58"/>
    <w:rsid w:val="335469CE"/>
    <w:rsid w:val="33556DCD"/>
    <w:rsid w:val="335B51E7"/>
    <w:rsid w:val="335D3FF0"/>
    <w:rsid w:val="335D48D2"/>
    <w:rsid w:val="33632713"/>
    <w:rsid w:val="33651D20"/>
    <w:rsid w:val="3365C620"/>
    <w:rsid w:val="3366DED9"/>
    <w:rsid w:val="336998D3"/>
    <w:rsid w:val="336A43A3"/>
    <w:rsid w:val="3371FA81"/>
    <w:rsid w:val="33777BAE"/>
    <w:rsid w:val="3379F4E4"/>
    <w:rsid w:val="337AE39A"/>
    <w:rsid w:val="33834694"/>
    <w:rsid w:val="3383DEC1"/>
    <w:rsid w:val="33854401"/>
    <w:rsid w:val="338784E4"/>
    <w:rsid w:val="338D323D"/>
    <w:rsid w:val="339266C8"/>
    <w:rsid w:val="33974409"/>
    <w:rsid w:val="3399995A"/>
    <w:rsid w:val="339CC80E"/>
    <w:rsid w:val="339CEE5C"/>
    <w:rsid w:val="33A31876"/>
    <w:rsid w:val="33A33271"/>
    <w:rsid w:val="33A7F495"/>
    <w:rsid w:val="33A85BF1"/>
    <w:rsid w:val="33AB7A46"/>
    <w:rsid w:val="33AFF045"/>
    <w:rsid w:val="33B04A3B"/>
    <w:rsid w:val="33B30E3E"/>
    <w:rsid w:val="33B45CB8"/>
    <w:rsid w:val="33B85653"/>
    <w:rsid w:val="33BA1204"/>
    <w:rsid w:val="33BBBEA4"/>
    <w:rsid w:val="33C100C9"/>
    <w:rsid w:val="33C2F9BE"/>
    <w:rsid w:val="33C446A3"/>
    <w:rsid w:val="33CD20AF"/>
    <w:rsid w:val="33CF4BB8"/>
    <w:rsid w:val="33D1619A"/>
    <w:rsid w:val="33D22E42"/>
    <w:rsid w:val="33E5D4B2"/>
    <w:rsid w:val="33E61538"/>
    <w:rsid w:val="33EB32EF"/>
    <w:rsid w:val="33EB50CE"/>
    <w:rsid w:val="33EFC098"/>
    <w:rsid w:val="33F36B17"/>
    <w:rsid w:val="33F7C3DC"/>
    <w:rsid w:val="33F8FF90"/>
    <w:rsid w:val="340154EF"/>
    <w:rsid w:val="3401EDAB"/>
    <w:rsid w:val="340DD1F9"/>
    <w:rsid w:val="3410FB15"/>
    <w:rsid w:val="34196E16"/>
    <w:rsid w:val="341A83A3"/>
    <w:rsid w:val="341D2880"/>
    <w:rsid w:val="341FB57C"/>
    <w:rsid w:val="3420F2DE"/>
    <w:rsid w:val="3422B720"/>
    <w:rsid w:val="3425BF18"/>
    <w:rsid w:val="3426A4A7"/>
    <w:rsid w:val="3427F03D"/>
    <w:rsid w:val="342EF0CB"/>
    <w:rsid w:val="34346816"/>
    <w:rsid w:val="34374102"/>
    <w:rsid w:val="34383F9B"/>
    <w:rsid w:val="34395B84"/>
    <w:rsid w:val="343D0782"/>
    <w:rsid w:val="343EF160"/>
    <w:rsid w:val="3446D019"/>
    <w:rsid w:val="3447BB4E"/>
    <w:rsid w:val="344AEE08"/>
    <w:rsid w:val="3450ED34"/>
    <w:rsid w:val="3455F5A4"/>
    <w:rsid w:val="345DF461"/>
    <w:rsid w:val="345EA4CF"/>
    <w:rsid w:val="346071B2"/>
    <w:rsid w:val="34609E1B"/>
    <w:rsid w:val="3463796F"/>
    <w:rsid w:val="346EF3D4"/>
    <w:rsid w:val="347141A7"/>
    <w:rsid w:val="3474F5F0"/>
    <w:rsid w:val="348B0240"/>
    <w:rsid w:val="349A81AD"/>
    <w:rsid w:val="349AB86E"/>
    <w:rsid w:val="34A2B87F"/>
    <w:rsid w:val="34A56B3F"/>
    <w:rsid w:val="34A6D131"/>
    <w:rsid w:val="34A9544A"/>
    <w:rsid w:val="34AF3A25"/>
    <w:rsid w:val="34C5158D"/>
    <w:rsid w:val="34D1DFED"/>
    <w:rsid w:val="34D84075"/>
    <w:rsid w:val="34DA3582"/>
    <w:rsid w:val="34E66E19"/>
    <w:rsid w:val="34E69031"/>
    <w:rsid w:val="34F20097"/>
    <w:rsid w:val="34FA2545"/>
    <w:rsid w:val="35021E49"/>
    <w:rsid w:val="3506144A"/>
    <w:rsid w:val="350A4B93"/>
    <w:rsid w:val="3510001C"/>
    <w:rsid w:val="3514CE7C"/>
    <w:rsid w:val="351C68AE"/>
    <w:rsid w:val="351ED278"/>
    <w:rsid w:val="35200708"/>
    <w:rsid w:val="3521F9C3"/>
    <w:rsid w:val="35233F63"/>
    <w:rsid w:val="35269808"/>
    <w:rsid w:val="352C1833"/>
    <w:rsid w:val="352E4852"/>
    <w:rsid w:val="3534F53A"/>
    <w:rsid w:val="353DD499"/>
    <w:rsid w:val="353F5EA0"/>
    <w:rsid w:val="3540C6DD"/>
    <w:rsid w:val="35425E90"/>
    <w:rsid w:val="35456D11"/>
    <w:rsid w:val="3545E35B"/>
    <w:rsid w:val="35462D38"/>
    <w:rsid w:val="354918AA"/>
    <w:rsid w:val="35524DBA"/>
    <w:rsid w:val="355301DB"/>
    <w:rsid w:val="35533727"/>
    <w:rsid w:val="3554A69E"/>
    <w:rsid w:val="3556202B"/>
    <w:rsid w:val="355D1823"/>
    <w:rsid w:val="35644F25"/>
    <w:rsid w:val="3564F911"/>
    <w:rsid w:val="356990AB"/>
    <w:rsid w:val="356DBDF1"/>
    <w:rsid w:val="357000AC"/>
    <w:rsid w:val="3570B77F"/>
    <w:rsid w:val="35727BCF"/>
    <w:rsid w:val="35754EA0"/>
    <w:rsid w:val="35828A70"/>
    <w:rsid w:val="3582DE58"/>
    <w:rsid w:val="358459D4"/>
    <w:rsid w:val="35885B01"/>
    <w:rsid w:val="358B36C8"/>
    <w:rsid w:val="358D1C7D"/>
    <w:rsid w:val="358F2797"/>
    <w:rsid w:val="359BFEEB"/>
    <w:rsid w:val="359C6D18"/>
    <w:rsid w:val="35A80113"/>
    <w:rsid w:val="35AB0C0F"/>
    <w:rsid w:val="35AD7427"/>
    <w:rsid w:val="35AE8D09"/>
    <w:rsid w:val="35B5A7E5"/>
    <w:rsid w:val="35B640EA"/>
    <w:rsid w:val="35B9BB69"/>
    <w:rsid w:val="35BAA428"/>
    <w:rsid w:val="35BFD575"/>
    <w:rsid w:val="35C1CEDF"/>
    <w:rsid w:val="35C2AF8D"/>
    <w:rsid w:val="35CF54D8"/>
    <w:rsid w:val="35D2149E"/>
    <w:rsid w:val="35D2D8FC"/>
    <w:rsid w:val="35DE956F"/>
    <w:rsid w:val="35E7E28C"/>
    <w:rsid w:val="35EB00C1"/>
    <w:rsid w:val="35EB6582"/>
    <w:rsid w:val="35EC5156"/>
    <w:rsid w:val="35EEB3A0"/>
    <w:rsid w:val="35EF1715"/>
    <w:rsid w:val="35EFF7C7"/>
    <w:rsid w:val="35F2F933"/>
    <w:rsid w:val="35F44931"/>
    <w:rsid w:val="35FD879B"/>
    <w:rsid w:val="35FED6AB"/>
    <w:rsid w:val="36007BC4"/>
    <w:rsid w:val="3608F442"/>
    <w:rsid w:val="360E823E"/>
    <w:rsid w:val="36112105"/>
    <w:rsid w:val="3613DE8A"/>
    <w:rsid w:val="36197FB5"/>
    <w:rsid w:val="361F23F0"/>
    <w:rsid w:val="36212C7F"/>
    <w:rsid w:val="36220371"/>
    <w:rsid w:val="3629B281"/>
    <w:rsid w:val="363BBC60"/>
    <w:rsid w:val="363EC73F"/>
    <w:rsid w:val="3641271B"/>
    <w:rsid w:val="36464AEF"/>
    <w:rsid w:val="364E6708"/>
    <w:rsid w:val="36583029"/>
    <w:rsid w:val="3658921B"/>
    <w:rsid w:val="3659FF6D"/>
    <w:rsid w:val="365A9CC8"/>
    <w:rsid w:val="365B5608"/>
    <w:rsid w:val="365ED25C"/>
    <w:rsid w:val="365FBD35"/>
    <w:rsid w:val="3663EBEC"/>
    <w:rsid w:val="3666B389"/>
    <w:rsid w:val="36683A08"/>
    <w:rsid w:val="366DE208"/>
    <w:rsid w:val="366FEEFA"/>
    <w:rsid w:val="3670F466"/>
    <w:rsid w:val="3672D712"/>
    <w:rsid w:val="3676A752"/>
    <w:rsid w:val="3677BED9"/>
    <w:rsid w:val="3679D8D9"/>
    <w:rsid w:val="367BD230"/>
    <w:rsid w:val="367C30B1"/>
    <w:rsid w:val="367D6D68"/>
    <w:rsid w:val="367EC27A"/>
    <w:rsid w:val="3680B62A"/>
    <w:rsid w:val="36824071"/>
    <w:rsid w:val="36858DBA"/>
    <w:rsid w:val="3687229F"/>
    <w:rsid w:val="368AB1AA"/>
    <w:rsid w:val="368EB3F4"/>
    <w:rsid w:val="36A63593"/>
    <w:rsid w:val="36A90A46"/>
    <w:rsid w:val="36AA2EDE"/>
    <w:rsid w:val="36AB8A7D"/>
    <w:rsid w:val="36B0BB01"/>
    <w:rsid w:val="36B2FC79"/>
    <w:rsid w:val="36B3A6B1"/>
    <w:rsid w:val="36B66DA0"/>
    <w:rsid w:val="36BAD70F"/>
    <w:rsid w:val="36C491A3"/>
    <w:rsid w:val="36C59A8E"/>
    <w:rsid w:val="36CDFC39"/>
    <w:rsid w:val="36D64CFE"/>
    <w:rsid w:val="36DE8A80"/>
    <w:rsid w:val="36E4E90B"/>
    <w:rsid w:val="36EF7108"/>
    <w:rsid w:val="36F6DA05"/>
    <w:rsid w:val="36F81B6B"/>
    <w:rsid w:val="36FAD805"/>
    <w:rsid w:val="36FB1BCD"/>
    <w:rsid w:val="36FB7F83"/>
    <w:rsid w:val="36FE5FFD"/>
    <w:rsid w:val="36FE72FE"/>
    <w:rsid w:val="370258E2"/>
    <w:rsid w:val="3705CA62"/>
    <w:rsid w:val="37079805"/>
    <w:rsid w:val="37079973"/>
    <w:rsid w:val="370E910A"/>
    <w:rsid w:val="370FA100"/>
    <w:rsid w:val="3714432D"/>
    <w:rsid w:val="37180460"/>
    <w:rsid w:val="37181306"/>
    <w:rsid w:val="37184D72"/>
    <w:rsid w:val="3718A73E"/>
    <w:rsid w:val="37197C4E"/>
    <w:rsid w:val="37197C90"/>
    <w:rsid w:val="371A7D74"/>
    <w:rsid w:val="371C6AF4"/>
    <w:rsid w:val="371DD68C"/>
    <w:rsid w:val="37238A17"/>
    <w:rsid w:val="3723A892"/>
    <w:rsid w:val="37253DA8"/>
    <w:rsid w:val="3727AA46"/>
    <w:rsid w:val="372DBCC5"/>
    <w:rsid w:val="372FADD5"/>
    <w:rsid w:val="3732205C"/>
    <w:rsid w:val="373AAC9E"/>
    <w:rsid w:val="373D1C79"/>
    <w:rsid w:val="373D3E59"/>
    <w:rsid w:val="37401395"/>
    <w:rsid w:val="37405D5E"/>
    <w:rsid w:val="3740FC93"/>
    <w:rsid w:val="37419EF9"/>
    <w:rsid w:val="3745E051"/>
    <w:rsid w:val="3747C2ED"/>
    <w:rsid w:val="374D4027"/>
    <w:rsid w:val="3754899D"/>
    <w:rsid w:val="37558BCA"/>
    <w:rsid w:val="3757C247"/>
    <w:rsid w:val="3758C647"/>
    <w:rsid w:val="375DC852"/>
    <w:rsid w:val="375DD155"/>
    <w:rsid w:val="37638E87"/>
    <w:rsid w:val="376B1F90"/>
    <w:rsid w:val="376DE66E"/>
    <w:rsid w:val="37704E36"/>
    <w:rsid w:val="377072A6"/>
    <w:rsid w:val="37708AA7"/>
    <w:rsid w:val="3771E5D4"/>
    <w:rsid w:val="377F2105"/>
    <w:rsid w:val="377F5C10"/>
    <w:rsid w:val="37824673"/>
    <w:rsid w:val="3786D122"/>
    <w:rsid w:val="37888DF6"/>
    <w:rsid w:val="378A61AE"/>
    <w:rsid w:val="378D2F3A"/>
    <w:rsid w:val="378DDC87"/>
    <w:rsid w:val="3792B2FB"/>
    <w:rsid w:val="37936A66"/>
    <w:rsid w:val="379490BC"/>
    <w:rsid w:val="379873C1"/>
    <w:rsid w:val="37990CAA"/>
    <w:rsid w:val="3799ED0C"/>
    <w:rsid w:val="379D8D1E"/>
    <w:rsid w:val="37A11CDD"/>
    <w:rsid w:val="37A7592A"/>
    <w:rsid w:val="37AB9E7F"/>
    <w:rsid w:val="37AFFDF8"/>
    <w:rsid w:val="37B76E6B"/>
    <w:rsid w:val="37B78402"/>
    <w:rsid w:val="37BEF627"/>
    <w:rsid w:val="37BF0C1A"/>
    <w:rsid w:val="37C6E933"/>
    <w:rsid w:val="37CBA3D1"/>
    <w:rsid w:val="37CFA777"/>
    <w:rsid w:val="37D6A9CF"/>
    <w:rsid w:val="37D91412"/>
    <w:rsid w:val="37D9DAF1"/>
    <w:rsid w:val="37DE71F3"/>
    <w:rsid w:val="37E6EDE3"/>
    <w:rsid w:val="37E83060"/>
    <w:rsid w:val="37F284F6"/>
    <w:rsid w:val="38029D8C"/>
    <w:rsid w:val="3808F8B8"/>
    <w:rsid w:val="3815DAA6"/>
    <w:rsid w:val="381B11A5"/>
    <w:rsid w:val="381D8573"/>
    <w:rsid w:val="381DD3E2"/>
    <w:rsid w:val="38204BDF"/>
    <w:rsid w:val="382280D3"/>
    <w:rsid w:val="38243F9C"/>
    <w:rsid w:val="3826049B"/>
    <w:rsid w:val="38264CAC"/>
    <w:rsid w:val="3826C02A"/>
    <w:rsid w:val="38290A79"/>
    <w:rsid w:val="382960EB"/>
    <w:rsid w:val="382BD0E0"/>
    <w:rsid w:val="38328B82"/>
    <w:rsid w:val="3834AB9F"/>
    <w:rsid w:val="38354985"/>
    <w:rsid w:val="3837900C"/>
    <w:rsid w:val="3838C8CE"/>
    <w:rsid w:val="383D64B8"/>
    <w:rsid w:val="383F0D01"/>
    <w:rsid w:val="3841AFF1"/>
    <w:rsid w:val="3841E8A5"/>
    <w:rsid w:val="38456FBE"/>
    <w:rsid w:val="38464AAD"/>
    <w:rsid w:val="38466577"/>
    <w:rsid w:val="38494EBD"/>
    <w:rsid w:val="384B8EAC"/>
    <w:rsid w:val="384DB868"/>
    <w:rsid w:val="384E5C04"/>
    <w:rsid w:val="38507C09"/>
    <w:rsid w:val="3856E9FE"/>
    <w:rsid w:val="385BCEEF"/>
    <w:rsid w:val="385CCFAC"/>
    <w:rsid w:val="3866059E"/>
    <w:rsid w:val="38670FF1"/>
    <w:rsid w:val="38689448"/>
    <w:rsid w:val="3868FA17"/>
    <w:rsid w:val="38749ECD"/>
    <w:rsid w:val="3874E5BC"/>
    <w:rsid w:val="3875180B"/>
    <w:rsid w:val="387719C2"/>
    <w:rsid w:val="38791EE4"/>
    <w:rsid w:val="387A0EDD"/>
    <w:rsid w:val="387A809F"/>
    <w:rsid w:val="387CFF42"/>
    <w:rsid w:val="3880B96C"/>
    <w:rsid w:val="3885B266"/>
    <w:rsid w:val="3889EA76"/>
    <w:rsid w:val="388DAAC4"/>
    <w:rsid w:val="38922582"/>
    <w:rsid w:val="3896761B"/>
    <w:rsid w:val="389B4807"/>
    <w:rsid w:val="389F5B49"/>
    <w:rsid w:val="38AA9089"/>
    <w:rsid w:val="38AED0F7"/>
    <w:rsid w:val="38B1923D"/>
    <w:rsid w:val="38B40130"/>
    <w:rsid w:val="38BC650C"/>
    <w:rsid w:val="38BC8530"/>
    <w:rsid w:val="38BFE65D"/>
    <w:rsid w:val="38C35737"/>
    <w:rsid w:val="38C390B0"/>
    <w:rsid w:val="38C641DE"/>
    <w:rsid w:val="38C686D2"/>
    <w:rsid w:val="38CECD98"/>
    <w:rsid w:val="38D365DC"/>
    <w:rsid w:val="38D376D9"/>
    <w:rsid w:val="38D3B8D0"/>
    <w:rsid w:val="38DB7FC5"/>
    <w:rsid w:val="38E00534"/>
    <w:rsid w:val="38EF6A70"/>
    <w:rsid w:val="38F049FB"/>
    <w:rsid w:val="38F1561A"/>
    <w:rsid w:val="38F3ED85"/>
    <w:rsid w:val="38FD94C2"/>
    <w:rsid w:val="38FDD9A8"/>
    <w:rsid w:val="38FE15C9"/>
    <w:rsid w:val="3900F583"/>
    <w:rsid w:val="390AA439"/>
    <w:rsid w:val="39116E47"/>
    <w:rsid w:val="3912C4DE"/>
    <w:rsid w:val="391301DE"/>
    <w:rsid w:val="39172719"/>
    <w:rsid w:val="391D02F6"/>
    <w:rsid w:val="3921A2C0"/>
    <w:rsid w:val="3923AE50"/>
    <w:rsid w:val="39272741"/>
    <w:rsid w:val="392A99F8"/>
    <w:rsid w:val="392E835C"/>
    <w:rsid w:val="392FF23D"/>
    <w:rsid w:val="3937E2A5"/>
    <w:rsid w:val="39413984"/>
    <w:rsid w:val="39479AC7"/>
    <w:rsid w:val="3947AB04"/>
    <w:rsid w:val="39485C14"/>
    <w:rsid w:val="39498688"/>
    <w:rsid w:val="394BBAB3"/>
    <w:rsid w:val="394CCDDF"/>
    <w:rsid w:val="39546700"/>
    <w:rsid w:val="3956A057"/>
    <w:rsid w:val="39583FEE"/>
    <w:rsid w:val="395A4AD7"/>
    <w:rsid w:val="395C679C"/>
    <w:rsid w:val="395CCF31"/>
    <w:rsid w:val="3968E1CF"/>
    <w:rsid w:val="396D95FE"/>
    <w:rsid w:val="396E23A0"/>
    <w:rsid w:val="396F105F"/>
    <w:rsid w:val="396F3E09"/>
    <w:rsid w:val="3970B70A"/>
    <w:rsid w:val="397689C0"/>
    <w:rsid w:val="3977C8F3"/>
    <w:rsid w:val="3978E61B"/>
    <w:rsid w:val="397AE104"/>
    <w:rsid w:val="397DEBB1"/>
    <w:rsid w:val="397DED24"/>
    <w:rsid w:val="397F6249"/>
    <w:rsid w:val="3981918E"/>
    <w:rsid w:val="3981FCFE"/>
    <w:rsid w:val="3984DF44"/>
    <w:rsid w:val="398CA7C6"/>
    <w:rsid w:val="398CAFDC"/>
    <w:rsid w:val="398FC635"/>
    <w:rsid w:val="39901B10"/>
    <w:rsid w:val="39909C7D"/>
    <w:rsid w:val="399133B8"/>
    <w:rsid w:val="3995F552"/>
    <w:rsid w:val="399B35DA"/>
    <w:rsid w:val="399B39E8"/>
    <w:rsid w:val="399BA9E6"/>
    <w:rsid w:val="39A4FEC7"/>
    <w:rsid w:val="39A65CB0"/>
    <w:rsid w:val="39A7A261"/>
    <w:rsid w:val="39B1AB07"/>
    <w:rsid w:val="39B210D0"/>
    <w:rsid w:val="39B6E206"/>
    <w:rsid w:val="39BABBEA"/>
    <w:rsid w:val="39BC6375"/>
    <w:rsid w:val="39BC8FB9"/>
    <w:rsid w:val="39C316AC"/>
    <w:rsid w:val="39C827B8"/>
    <w:rsid w:val="39CE2160"/>
    <w:rsid w:val="39D3FE22"/>
    <w:rsid w:val="39DD3198"/>
    <w:rsid w:val="39DDDE29"/>
    <w:rsid w:val="39E0A245"/>
    <w:rsid w:val="39E72244"/>
    <w:rsid w:val="39E9C89E"/>
    <w:rsid w:val="39E9FB29"/>
    <w:rsid w:val="39EA0DD7"/>
    <w:rsid w:val="39ECEF5F"/>
    <w:rsid w:val="39F2531E"/>
    <w:rsid w:val="39F275A6"/>
    <w:rsid w:val="39F5F330"/>
    <w:rsid w:val="39F740C8"/>
    <w:rsid w:val="39F903F3"/>
    <w:rsid w:val="39FA2502"/>
    <w:rsid w:val="3A0B29BA"/>
    <w:rsid w:val="3A0B64C8"/>
    <w:rsid w:val="3A0DDFB8"/>
    <w:rsid w:val="3A0EAFAF"/>
    <w:rsid w:val="3A177B4A"/>
    <w:rsid w:val="3A1A69B5"/>
    <w:rsid w:val="3A1B15B2"/>
    <w:rsid w:val="3A1BC3C7"/>
    <w:rsid w:val="3A1CA510"/>
    <w:rsid w:val="3A1E1C79"/>
    <w:rsid w:val="3A204483"/>
    <w:rsid w:val="3A21FFA1"/>
    <w:rsid w:val="3A23B610"/>
    <w:rsid w:val="3A27207C"/>
    <w:rsid w:val="3A31BA94"/>
    <w:rsid w:val="3A32832A"/>
    <w:rsid w:val="3A347BB3"/>
    <w:rsid w:val="3A357C48"/>
    <w:rsid w:val="3A3E1788"/>
    <w:rsid w:val="3A41A423"/>
    <w:rsid w:val="3A49F72A"/>
    <w:rsid w:val="3A4C5051"/>
    <w:rsid w:val="3A4E263A"/>
    <w:rsid w:val="3A51A705"/>
    <w:rsid w:val="3A51F05E"/>
    <w:rsid w:val="3A523EEF"/>
    <w:rsid w:val="3A52C42C"/>
    <w:rsid w:val="3A54A58A"/>
    <w:rsid w:val="3A57C292"/>
    <w:rsid w:val="3A58A2E7"/>
    <w:rsid w:val="3A5BB6BE"/>
    <w:rsid w:val="3A5E0F8B"/>
    <w:rsid w:val="3A61CDDE"/>
    <w:rsid w:val="3A625D24"/>
    <w:rsid w:val="3A63A09E"/>
    <w:rsid w:val="3A692D09"/>
    <w:rsid w:val="3A6DD3E1"/>
    <w:rsid w:val="3A7137B4"/>
    <w:rsid w:val="3A7B6ACA"/>
    <w:rsid w:val="3A7C084A"/>
    <w:rsid w:val="3A81FB1B"/>
    <w:rsid w:val="3A85EEAB"/>
    <w:rsid w:val="3A8B6846"/>
    <w:rsid w:val="3A942888"/>
    <w:rsid w:val="3A9C835F"/>
    <w:rsid w:val="3A9F6392"/>
    <w:rsid w:val="3AA02A47"/>
    <w:rsid w:val="3AA28127"/>
    <w:rsid w:val="3AA687E1"/>
    <w:rsid w:val="3AA6C5FD"/>
    <w:rsid w:val="3AADEEBF"/>
    <w:rsid w:val="3AAE7EDD"/>
    <w:rsid w:val="3AB350FB"/>
    <w:rsid w:val="3AC446C9"/>
    <w:rsid w:val="3AC9AAC1"/>
    <w:rsid w:val="3ACDAF65"/>
    <w:rsid w:val="3ADAC218"/>
    <w:rsid w:val="3AE074F7"/>
    <w:rsid w:val="3AE35042"/>
    <w:rsid w:val="3AE54D9F"/>
    <w:rsid w:val="3AE72FE5"/>
    <w:rsid w:val="3AE9281B"/>
    <w:rsid w:val="3AECFC36"/>
    <w:rsid w:val="3AED42AB"/>
    <w:rsid w:val="3AF014B3"/>
    <w:rsid w:val="3AF1E193"/>
    <w:rsid w:val="3AF7FBA2"/>
    <w:rsid w:val="3AF8275C"/>
    <w:rsid w:val="3AFA6C2A"/>
    <w:rsid w:val="3AFB736A"/>
    <w:rsid w:val="3AFE4F27"/>
    <w:rsid w:val="3AFF5B55"/>
    <w:rsid w:val="3B02A2A7"/>
    <w:rsid w:val="3B05FD00"/>
    <w:rsid w:val="3B077C4C"/>
    <w:rsid w:val="3B0809C6"/>
    <w:rsid w:val="3B191B22"/>
    <w:rsid w:val="3B1B32AA"/>
    <w:rsid w:val="3B1E28D7"/>
    <w:rsid w:val="3B25DFD0"/>
    <w:rsid w:val="3B265156"/>
    <w:rsid w:val="3B26BBF8"/>
    <w:rsid w:val="3B283730"/>
    <w:rsid w:val="3B28F9B3"/>
    <w:rsid w:val="3B355283"/>
    <w:rsid w:val="3B3939B3"/>
    <w:rsid w:val="3B3A439A"/>
    <w:rsid w:val="3B3CD5B6"/>
    <w:rsid w:val="3B41C7FA"/>
    <w:rsid w:val="3B46EBF2"/>
    <w:rsid w:val="3B548ED1"/>
    <w:rsid w:val="3B54CEE8"/>
    <w:rsid w:val="3B54FB52"/>
    <w:rsid w:val="3B5A2195"/>
    <w:rsid w:val="3B5E131D"/>
    <w:rsid w:val="3B65540F"/>
    <w:rsid w:val="3B79CFD5"/>
    <w:rsid w:val="3B7C51F6"/>
    <w:rsid w:val="3B7ED1D3"/>
    <w:rsid w:val="3B8D57E7"/>
    <w:rsid w:val="3B8FFBD7"/>
    <w:rsid w:val="3B9122C5"/>
    <w:rsid w:val="3B920E33"/>
    <w:rsid w:val="3BA1DB1C"/>
    <w:rsid w:val="3BA77A32"/>
    <w:rsid w:val="3BA889EF"/>
    <w:rsid w:val="3BA9CBB6"/>
    <w:rsid w:val="3BAED7FE"/>
    <w:rsid w:val="3BB19D9F"/>
    <w:rsid w:val="3BB57A4F"/>
    <w:rsid w:val="3BC0AFC8"/>
    <w:rsid w:val="3BC378AE"/>
    <w:rsid w:val="3BCB12BA"/>
    <w:rsid w:val="3BCC3AE4"/>
    <w:rsid w:val="3BD01D1C"/>
    <w:rsid w:val="3BD69EE6"/>
    <w:rsid w:val="3BD9010A"/>
    <w:rsid w:val="3BDA892B"/>
    <w:rsid w:val="3BDFB73D"/>
    <w:rsid w:val="3BE47120"/>
    <w:rsid w:val="3BEAF038"/>
    <w:rsid w:val="3BF0360F"/>
    <w:rsid w:val="3BF0E697"/>
    <w:rsid w:val="3BF405CE"/>
    <w:rsid w:val="3BF4F564"/>
    <w:rsid w:val="3BF726EE"/>
    <w:rsid w:val="3BFB22ED"/>
    <w:rsid w:val="3C01B16F"/>
    <w:rsid w:val="3C0FCA54"/>
    <w:rsid w:val="3C103265"/>
    <w:rsid w:val="3C126786"/>
    <w:rsid w:val="3C12DA0F"/>
    <w:rsid w:val="3C13B267"/>
    <w:rsid w:val="3C148E32"/>
    <w:rsid w:val="3C152C4F"/>
    <w:rsid w:val="3C15B0F0"/>
    <w:rsid w:val="3C1AAF55"/>
    <w:rsid w:val="3C1E4D7F"/>
    <w:rsid w:val="3C23153A"/>
    <w:rsid w:val="3C2DC905"/>
    <w:rsid w:val="3C33B973"/>
    <w:rsid w:val="3C351148"/>
    <w:rsid w:val="3C391B02"/>
    <w:rsid w:val="3C39FDED"/>
    <w:rsid w:val="3C4015E6"/>
    <w:rsid w:val="3C4247C3"/>
    <w:rsid w:val="3C427866"/>
    <w:rsid w:val="3C42965E"/>
    <w:rsid w:val="3C44E3F5"/>
    <w:rsid w:val="3C45ECA6"/>
    <w:rsid w:val="3C4951D5"/>
    <w:rsid w:val="3C4DA154"/>
    <w:rsid w:val="3C4E239A"/>
    <w:rsid w:val="3C5355E6"/>
    <w:rsid w:val="3C5925FF"/>
    <w:rsid w:val="3C5A7FEE"/>
    <w:rsid w:val="3C5BA0AA"/>
    <w:rsid w:val="3C5BD513"/>
    <w:rsid w:val="3C5C26B6"/>
    <w:rsid w:val="3C6076B0"/>
    <w:rsid w:val="3C628DAC"/>
    <w:rsid w:val="3C634637"/>
    <w:rsid w:val="3C659FA7"/>
    <w:rsid w:val="3C662977"/>
    <w:rsid w:val="3C66E057"/>
    <w:rsid w:val="3C72D455"/>
    <w:rsid w:val="3C7541DA"/>
    <w:rsid w:val="3C79EAC7"/>
    <w:rsid w:val="3C7A45FF"/>
    <w:rsid w:val="3C800E0E"/>
    <w:rsid w:val="3C803F92"/>
    <w:rsid w:val="3C8829C0"/>
    <w:rsid w:val="3C8A61BF"/>
    <w:rsid w:val="3C8E91B8"/>
    <w:rsid w:val="3C8F8EB1"/>
    <w:rsid w:val="3C90460D"/>
    <w:rsid w:val="3C943D22"/>
    <w:rsid w:val="3C951E41"/>
    <w:rsid w:val="3C961AE6"/>
    <w:rsid w:val="3C97AF8C"/>
    <w:rsid w:val="3C997A64"/>
    <w:rsid w:val="3C99844F"/>
    <w:rsid w:val="3C99DC43"/>
    <w:rsid w:val="3C9E272A"/>
    <w:rsid w:val="3C9EB729"/>
    <w:rsid w:val="3CA4ECE5"/>
    <w:rsid w:val="3CAF5C2E"/>
    <w:rsid w:val="3CB147C4"/>
    <w:rsid w:val="3CB5564A"/>
    <w:rsid w:val="3CB59A32"/>
    <w:rsid w:val="3CBC8006"/>
    <w:rsid w:val="3CC05DC7"/>
    <w:rsid w:val="3CC1A3CF"/>
    <w:rsid w:val="3CC643C6"/>
    <w:rsid w:val="3CC89913"/>
    <w:rsid w:val="3CCB0B73"/>
    <w:rsid w:val="3CCD658A"/>
    <w:rsid w:val="3CD222B0"/>
    <w:rsid w:val="3CD4266E"/>
    <w:rsid w:val="3CD7179E"/>
    <w:rsid w:val="3CDAD875"/>
    <w:rsid w:val="3CDCC999"/>
    <w:rsid w:val="3CE3570C"/>
    <w:rsid w:val="3CE856AB"/>
    <w:rsid w:val="3CE97AA4"/>
    <w:rsid w:val="3CEB9BA1"/>
    <w:rsid w:val="3CF24E61"/>
    <w:rsid w:val="3CF3BCC8"/>
    <w:rsid w:val="3CF5F1F6"/>
    <w:rsid w:val="3CF9640C"/>
    <w:rsid w:val="3CFB55E7"/>
    <w:rsid w:val="3D01EC5B"/>
    <w:rsid w:val="3D037B08"/>
    <w:rsid w:val="3D07501B"/>
    <w:rsid w:val="3D0768E9"/>
    <w:rsid w:val="3D0D8817"/>
    <w:rsid w:val="3D0D9733"/>
    <w:rsid w:val="3D105A88"/>
    <w:rsid w:val="3D113B4B"/>
    <w:rsid w:val="3D11DC6F"/>
    <w:rsid w:val="3D154174"/>
    <w:rsid w:val="3D337918"/>
    <w:rsid w:val="3D375176"/>
    <w:rsid w:val="3D38B4CC"/>
    <w:rsid w:val="3D41500B"/>
    <w:rsid w:val="3D448C29"/>
    <w:rsid w:val="3D49B09B"/>
    <w:rsid w:val="3D4D83D2"/>
    <w:rsid w:val="3D4DF327"/>
    <w:rsid w:val="3D56399A"/>
    <w:rsid w:val="3D5B275A"/>
    <w:rsid w:val="3D5DA40F"/>
    <w:rsid w:val="3D5EA999"/>
    <w:rsid w:val="3D605236"/>
    <w:rsid w:val="3D6767A2"/>
    <w:rsid w:val="3D6C3DF6"/>
    <w:rsid w:val="3D70EDD5"/>
    <w:rsid w:val="3D739071"/>
    <w:rsid w:val="3D7B94A1"/>
    <w:rsid w:val="3D86ED99"/>
    <w:rsid w:val="3D8E4D8B"/>
    <w:rsid w:val="3D957781"/>
    <w:rsid w:val="3D995FB3"/>
    <w:rsid w:val="3DA66A46"/>
    <w:rsid w:val="3DA94D75"/>
    <w:rsid w:val="3DAEB330"/>
    <w:rsid w:val="3DAF4CE6"/>
    <w:rsid w:val="3DB2F6D7"/>
    <w:rsid w:val="3DB67FE6"/>
    <w:rsid w:val="3DB9F98E"/>
    <w:rsid w:val="3DBA1DE0"/>
    <w:rsid w:val="3DBCA1C5"/>
    <w:rsid w:val="3DC1F5BE"/>
    <w:rsid w:val="3DC9CBC7"/>
    <w:rsid w:val="3DCAE75A"/>
    <w:rsid w:val="3DCB5F8B"/>
    <w:rsid w:val="3DCC8C8A"/>
    <w:rsid w:val="3DCCF742"/>
    <w:rsid w:val="3DCD22F9"/>
    <w:rsid w:val="3DCDD41C"/>
    <w:rsid w:val="3DCE0A5F"/>
    <w:rsid w:val="3DCEB8E6"/>
    <w:rsid w:val="3DD0D25D"/>
    <w:rsid w:val="3DD186EC"/>
    <w:rsid w:val="3DD2DBF6"/>
    <w:rsid w:val="3DD48844"/>
    <w:rsid w:val="3DD4FB5D"/>
    <w:rsid w:val="3DD695B5"/>
    <w:rsid w:val="3DD79A3D"/>
    <w:rsid w:val="3DDC86F1"/>
    <w:rsid w:val="3DDD665C"/>
    <w:rsid w:val="3DDE66BF"/>
    <w:rsid w:val="3DDE7D17"/>
    <w:rsid w:val="3DE763CF"/>
    <w:rsid w:val="3DEA9208"/>
    <w:rsid w:val="3DEE5F38"/>
    <w:rsid w:val="3DEE9E19"/>
    <w:rsid w:val="3DF53311"/>
    <w:rsid w:val="3DFE112B"/>
    <w:rsid w:val="3E05352F"/>
    <w:rsid w:val="3E054307"/>
    <w:rsid w:val="3E0C5C16"/>
    <w:rsid w:val="3E0D200A"/>
    <w:rsid w:val="3E0E551B"/>
    <w:rsid w:val="3E12656A"/>
    <w:rsid w:val="3E17AB4A"/>
    <w:rsid w:val="3E1842C2"/>
    <w:rsid w:val="3E1BD5F7"/>
    <w:rsid w:val="3E1FE93A"/>
    <w:rsid w:val="3E231CF1"/>
    <w:rsid w:val="3E256CE0"/>
    <w:rsid w:val="3E26F14E"/>
    <w:rsid w:val="3E286EC0"/>
    <w:rsid w:val="3E2B7D30"/>
    <w:rsid w:val="3E3D4D84"/>
    <w:rsid w:val="3E4146F6"/>
    <w:rsid w:val="3E4399AD"/>
    <w:rsid w:val="3E4A7BA3"/>
    <w:rsid w:val="3E4B8DF0"/>
    <w:rsid w:val="3E50BBE4"/>
    <w:rsid w:val="3E520C29"/>
    <w:rsid w:val="3E53FFF8"/>
    <w:rsid w:val="3E568B6D"/>
    <w:rsid w:val="3E589E36"/>
    <w:rsid w:val="3E5AFCD1"/>
    <w:rsid w:val="3E5BA6A0"/>
    <w:rsid w:val="3E5D6C26"/>
    <w:rsid w:val="3E6A103B"/>
    <w:rsid w:val="3E6A5FDF"/>
    <w:rsid w:val="3E6BCB2B"/>
    <w:rsid w:val="3E6CFA6D"/>
    <w:rsid w:val="3E74172E"/>
    <w:rsid w:val="3E760AE1"/>
    <w:rsid w:val="3E78C653"/>
    <w:rsid w:val="3E7DDFDE"/>
    <w:rsid w:val="3E7FEB0C"/>
    <w:rsid w:val="3E830BA3"/>
    <w:rsid w:val="3E84B505"/>
    <w:rsid w:val="3E880C8B"/>
    <w:rsid w:val="3E8A8B4D"/>
    <w:rsid w:val="3E8AC4C6"/>
    <w:rsid w:val="3E8BCEBD"/>
    <w:rsid w:val="3E9041EE"/>
    <w:rsid w:val="3E92BCB7"/>
    <w:rsid w:val="3E94343D"/>
    <w:rsid w:val="3E959FE8"/>
    <w:rsid w:val="3E98614D"/>
    <w:rsid w:val="3E9A5798"/>
    <w:rsid w:val="3E9CE804"/>
    <w:rsid w:val="3E9D6406"/>
    <w:rsid w:val="3E9E71FA"/>
    <w:rsid w:val="3E9FC1F3"/>
    <w:rsid w:val="3EA3EBBB"/>
    <w:rsid w:val="3EAA666D"/>
    <w:rsid w:val="3EAB61D6"/>
    <w:rsid w:val="3EAEA599"/>
    <w:rsid w:val="3EAF40D0"/>
    <w:rsid w:val="3EB8A124"/>
    <w:rsid w:val="3EB9BE36"/>
    <w:rsid w:val="3EBC95D6"/>
    <w:rsid w:val="3EBE09BC"/>
    <w:rsid w:val="3EC97F4C"/>
    <w:rsid w:val="3ECAB1EB"/>
    <w:rsid w:val="3ECBED89"/>
    <w:rsid w:val="3ECED85F"/>
    <w:rsid w:val="3ED59055"/>
    <w:rsid w:val="3ED93B9F"/>
    <w:rsid w:val="3EDACC30"/>
    <w:rsid w:val="3EDCFE2A"/>
    <w:rsid w:val="3EE37AE1"/>
    <w:rsid w:val="3EE876F5"/>
    <w:rsid w:val="3EF0F31F"/>
    <w:rsid w:val="3EF4426A"/>
    <w:rsid w:val="3EF52543"/>
    <w:rsid w:val="3EF5A022"/>
    <w:rsid w:val="3EF74297"/>
    <w:rsid w:val="3EF8FF00"/>
    <w:rsid w:val="3EFA645F"/>
    <w:rsid w:val="3EFDE5C9"/>
    <w:rsid w:val="3F04A178"/>
    <w:rsid w:val="3F05993A"/>
    <w:rsid w:val="3F07A04A"/>
    <w:rsid w:val="3F0A7B80"/>
    <w:rsid w:val="3F0BE35D"/>
    <w:rsid w:val="3F0CBE36"/>
    <w:rsid w:val="3F153190"/>
    <w:rsid w:val="3F160809"/>
    <w:rsid w:val="3F1662E1"/>
    <w:rsid w:val="3F235F57"/>
    <w:rsid w:val="3F243DBB"/>
    <w:rsid w:val="3F248E12"/>
    <w:rsid w:val="3F2538AA"/>
    <w:rsid w:val="3F262B5D"/>
    <w:rsid w:val="3F297841"/>
    <w:rsid w:val="3F2B0C1E"/>
    <w:rsid w:val="3F2D6BBD"/>
    <w:rsid w:val="3F342F24"/>
    <w:rsid w:val="3F38DBF6"/>
    <w:rsid w:val="3F3E0F1C"/>
    <w:rsid w:val="3F3E19B6"/>
    <w:rsid w:val="3F4222A5"/>
    <w:rsid w:val="3F453C5B"/>
    <w:rsid w:val="3F480F18"/>
    <w:rsid w:val="3F4C2EF4"/>
    <w:rsid w:val="3F4CF842"/>
    <w:rsid w:val="3F4D43CE"/>
    <w:rsid w:val="3F4F62D8"/>
    <w:rsid w:val="3F51E446"/>
    <w:rsid w:val="3F5330D9"/>
    <w:rsid w:val="3F538CA0"/>
    <w:rsid w:val="3F53AF2D"/>
    <w:rsid w:val="3F551F65"/>
    <w:rsid w:val="3F573FAB"/>
    <w:rsid w:val="3F5862D9"/>
    <w:rsid w:val="3F59357C"/>
    <w:rsid w:val="3F598E9F"/>
    <w:rsid w:val="3F5A20B9"/>
    <w:rsid w:val="3F5D6AEE"/>
    <w:rsid w:val="3F5EBDE1"/>
    <w:rsid w:val="3F609DAF"/>
    <w:rsid w:val="3F62B59E"/>
    <w:rsid w:val="3F64D86D"/>
    <w:rsid w:val="3F69D5CD"/>
    <w:rsid w:val="3F6C7953"/>
    <w:rsid w:val="3F6CA917"/>
    <w:rsid w:val="3F737FC3"/>
    <w:rsid w:val="3F7C9FCE"/>
    <w:rsid w:val="3F7E87B9"/>
    <w:rsid w:val="3F80725A"/>
    <w:rsid w:val="3F83B973"/>
    <w:rsid w:val="3F8AA972"/>
    <w:rsid w:val="3F91442E"/>
    <w:rsid w:val="3F973AE5"/>
    <w:rsid w:val="3FA8FF56"/>
    <w:rsid w:val="3FAD005A"/>
    <w:rsid w:val="3FB1E8F9"/>
    <w:rsid w:val="3FB7A658"/>
    <w:rsid w:val="3FB9B9A4"/>
    <w:rsid w:val="3FC53AC2"/>
    <w:rsid w:val="3FCBFFAD"/>
    <w:rsid w:val="3FCCF4B1"/>
    <w:rsid w:val="3FCDBBA8"/>
    <w:rsid w:val="3FD10467"/>
    <w:rsid w:val="3FD35A4B"/>
    <w:rsid w:val="3FD5430D"/>
    <w:rsid w:val="3FD61628"/>
    <w:rsid w:val="3FDCED38"/>
    <w:rsid w:val="3FDDCC07"/>
    <w:rsid w:val="3FDF71C6"/>
    <w:rsid w:val="3FE11FD1"/>
    <w:rsid w:val="3FE609D1"/>
    <w:rsid w:val="3FE87847"/>
    <w:rsid w:val="3FEC4F37"/>
    <w:rsid w:val="3FEC591D"/>
    <w:rsid w:val="3FEDCBF1"/>
    <w:rsid w:val="3FEDF3CE"/>
    <w:rsid w:val="3FEF871B"/>
    <w:rsid w:val="3FF90EAE"/>
    <w:rsid w:val="3FFD2ABF"/>
    <w:rsid w:val="3FFED6E1"/>
    <w:rsid w:val="40009715"/>
    <w:rsid w:val="400747C3"/>
    <w:rsid w:val="4008F537"/>
    <w:rsid w:val="4009C0CF"/>
    <w:rsid w:val="400DB70E"/>
    <w:rsid w:val="400F6BD7"/>
    <w:rsid w:val="4010C122"/>
    <w:rsid w:val="401D8391"/>
    <w:rsid w:val="401E9633"/>
    <w:rsid w:val="40210581"/>
    <w:rsid w:val="40242A51"/>
    <w:rsid w:val="4027B682"/>
    <w:rsid w:val="4029E525"/>
    <w:rsid w:val="402C5894"/>
    <w:rsid w:val="402C9BC2"/>
    <w:rsid w:val="4033C360"/>
    <w:rsid w:val="403471B3"/>
    <w:rsid w:val="40362CE6"/>
    <w:rsid w:val="403F9F76"/>
    <w:rsid w:val="40440BB7"/>
    <w:rsid w:val="40456FA4"/>
    <w:rsid w:val="4047C46D"/>
    <w:rsid w:val="404BFF9D"/>
    <w:rsid w:val="404D59EF"/>
    <w:rsid w:val="404E4F0D"/>
    <w:rsid w:val="4051C397"/>
    <w:rsid w:val="40524B8C"/>
    <w:rsid w:val="4053D489"/>
    <w:rsid w:val="40613B30"/>
    <w:rsid w:val="4063F51E"/>
    <w:rsid w:val="4064AF6C"/>
    <w:rsid w:val="4064C1A1"/>
    <w:rsid w:val="4065FA6E"/>
    <w:rsid w:val="4066824C"/>
    <w:rsid w:val="406BDFCA"/>
    <w:rsid w:val="407178A3"/>
    <w:rsid w:val="40748E48"/>
    <w:rsid w:val="4074F038"/>
    <w:rsid w:val="40754C3F"/>
    <w:rsid w:val="4076E492"/>
    <w:rsid w:val="407786FE"/>
    <w:rsid w:val="4077C1DF"/>
    <w:rsid w:val="4077C3D3"/>
    <w:rsid w:val="407995C1"/>
    <w:rsid w:val="407A5CC6"/>
    <w:rsid w:val="40875FA7"/>
    <w:rsid w:val="40942C9C"/>
    <w:rsid w:val="409A3729"/>
    <w:rsid w:val="409DC351"/>
    <w:rsid w:val="409DF18F"/>
    <w:rsid w:val="40A33D39"/>
    <w:rsid w:val="40A7122B"/>
    <w:rsid w:val="40A7FF42"/>
    <w:rsid w:val="40AB109A"/>
    <w:rsid w:val="40AD666C"/>
    <w:rsid w:val="40B03B47"/>
    <w:rsid w:val="40B1627B"/>
    <w:rsid w:val="40B4736B"/>
    <w:rsid w:val="40B73FB2"/>
    <w:rsid w:val="40B74198"/>
    <w:rsid w:val="40B87E9C"/>
    <w:rsid w:val="40B941B5"/>
    <w:rsid w:val="40BA6490"/>
    <w:rsid w:val="40C177DA"/>
    <w:rsid w:val="40C5A49B"/>
    <w:rsid w:val="40C6DB25"/>
    <w:rsid w:val="40CA7A1F"/>
    <w:rsid w:val="40CC8BAF"/>
    <w:rsid w:val="40D0063F"/>
    <w:rsid w:val="40D076D5"/>
    <w:rsid w:val="40D3DACA"/>
    <w:rsid w:val="40D559E9"/>
    <w:rsid w:val="40D7B78A"/>
    <w:rsid w:val="40D8EB10"/>
    <w:rsid w:val="40DD628D"/>
    <w:rsid w:val="40DF9C26"/>
    <w:rsid w:val="40E18EE4"/>
    <w:rsid w:val="40E1CD03"/>
    <w:rsid w:val="40E3AEE1"/>
    <w:rsid w:val="40E52771"/>
    <w:rsid w:val="40EEE44E"/>
    <w:rsid w:val="40EFFF51"/>
    <w:rsid w:val="40FA1114"/>
    <w:rsid w:val="40FC99E9"/>
    <w:rsid w:val="41006DC9"/>
    <w:rsid w:val="410100A9"/>
    <w:rsid w:val="41066168"/>
    <w:rsid w:val="410BE1B6"/>
    <w:rsid w:val="411242E9"/>
    <w:rsid w:val="41159A25"/>
    <w:rsid w:val="411947E0"/>
    <w:rsid w:val="411FB74A"/>
    <w:rsid w:val="41288407"/>
    <w:rsid w:val="412F20F7"/>
    <w:rsid w:val="412F3AFC"/>
    <w:rsid w:val="4130643C"/>
    <w:rsid w:val="4132F635"/>
    <w:rsid w:val="413307A4"/>
    <w:rsid w:val="413BA476"/>
    <w:rsid w:val="4140B6B6"/>
    <w:rsid w:val="414E12AD"/>
    <w:rsid w:val="414E3B70"/>
    <w:rsid w:val="414FFE98"/>
    <w:rsid w:val="41585727"/>
    <w:rsid w:val="415F9FB6"/>
    <w:rsid w:val="4161D35E"/>
    <w:rsid w:val="41664ED6"/>
    <w:rsid w:val="416BDCDA"/>
    <w:rsid w:val="416C7E7D"/>
    <w:rsid w:val="417895DF"/>
    <w:rsid w:val="4179472F"/>
    <w:rsid w:val="417ACCEE"/>
    <w:rsid w:val="417DC22D"/>
    <w:rsid w:val="4184DA49"/>
    <w:rsid w:val="4187D545"/>
    <w:rsid w:val="4189AF6F"/>
    <w:rsid w:val="418B031F"/>
    <w:rsid w:val="418EE23C"/>
    <w:rsid w:val="4192036F"/>
    <w:rsid w:val="41973EB8"/>
    <w:rsid w:val="41975C78"/>
    <w:rsid w:val="419ABB95"/>
    <w:rsid w:val="41A128B8"/>
    <w:rsid w:val="41A1B0FD"/>
    <w:rsid w:val="41A1C00E"/>
    <w:rsid w:val="41A3FC33"/>
    <w:rsid w:val="41A5A399"/>
    <w:rsid w:val="41AA4B58"/>
    <w:rsid w:val="41AB7C77"/>
    <w:rsid w:val="41ABC43A"/>
    <w:rsid w:val="41B1120A"/>
    <w:rsid w:val="41B1E66C"/>
    <w:rsid w:val="41B3FAAA"/>
    <w:rsid w:val="41BA3A65"/>
    <w:rsid w:val="41BBC748"/>
    <w:rsid w:val="41C64481"/>
    <w:rsid w:val="41C7C94D"/>
    <w:rsid w:val="41C96319"/>
    <w:rsid w:val="41C9AE41"/>
    <w:rsid w:val="41CB45B5"/>
    <w:rsid w:val="41CDA072"/>
    <w:rsid w:val="41CDA270"/>
    <w:rsid w:val="41D5B883"/>
    <w:rsid w:val="41D5E549"/>
    <w:rsid w:val="41D7ED2C"/>
    <w:rsid w:val="41DCC41E"/>
    <w:rsid w:val="41E077F3"/>
    <w:rsid w:val="41E2F129"/>
    <w:rsid w:val="41E40843"/>
    <w:rsid w:val="41E6D079"/>
    <w:rsid w:val="41EF5A8D"/>
    <w:rsid w:val="41F1F633"/>
    <w:rsid w:val="41FA0BE4"/>
    <w:rsid w:val="41FC9819"/>
    <w:rsid w:val="41FEDCE2"/>
    <w:rsid w:val="4203F73B"/>
    <w:rsid w:val="420C02EA"/>
    <w:rsid w:val="4217CB83"/>
    <w:rsid w:val="4218A940"/>
    <w:rsid w:val="422103C0"/>
    <w:rsid w:val="42266903"/>
    <w:rsid w:val="4227CCF1"/>
    <w:rsid w:val="422D0184"/>
    <w:rsid w:val="422EFD24"/>
    <w:rsid w:val="4231A91E"/>
    <w:rsid w:val="42320521"/>
    <w:rsid w:val="42321D08"/>
    <w:rsid w:val="4238D338"/>
    <w:rsid w:val="42399DC1"/>
    <w:rsid w:val="423F563A"/>
    <w:rsid w:val="4241F238"/>
    <w:rsid w:val="4244A57A"/>
    <w:rsid w:val="424EAEE8"/>
    <w:rsid w:val="4251ABF1"/>
    <w:rsid w:val="425D38AD"/>
    <w:rsid w:val="426130D9"/>
    <w:rsid w:val="42622201"/>
    <w:rsid w:val="42652CCC"/>
    <w:rsid w:val="4268B9B6"/>
    <w:rsid w:val="426AB61A"/>
    <w:rsid w:val="426E8BAB"/>
    <w:rsid w:val="426F9261"/>
    <w:rsid w:val="427B69E9"/>
    <w:rsid w:val="427CC089"/>
    <w:rsid w:val="427DDA5A"/>
    <w:rsid w:val="427DFDEB"/>
    <w:rsid w:val="4288B5D6"/>
    <w:rsid w:val="428BCFB2"/>
    <w:rsid w:val="428F296E"/>
    <w:rsid w:val="42975782"/>
    <w:rsid w:val="429B2069"/>
    <w:rsid w:val="429CC9CD"/>
    <w:rsid w:val="429F0F3C"/>
    <w:rsid w:val="42A2E72F"/>
    <w:rsid w:val="42A38D4D"/>
    <w:rsid w:val="42ADAD7E"/>
    <w:rsid w:val="42B5D19F"/>
    <w:rsid w:val="42BE834C"/>
    <w:rsid w:val="42C12744"/>
    <w:rsid w:val="42C447F7"/>
    <w:rsid w:val="42C5298E"/>
    <w:rsid w:val="42C97D4B"/>
    <w:rsid w:val="42C98955"/>
    <w:rsid w:val="42CF5BC6"/>
    <w:rsid w:val="42D24D6F"/>
    <w:rsid w:val="42D41FBE"/>
    <w:rsid w:val="42D49E82"/>
    <w:rsid w:val="42D8C8A7"/>
    <w:rsid w:val="42E0B423"/>
    <w:rsid w:val="42E5205A"/>
    <w:rsid w:val="42F3C013"/>
    <w:rsid w:val="42FABE2C"/>
    <w:rsid w:val="43008F59"/>
    <w:rsid w:val="4304BDC7"/>
    <w:rsid w:val="4305766C"/>
    <w:rsid w:val="4308594C"/>
    <w:rsid w:val="43113F84"/>
    <w:rsid w:val="4313903E"/>
    <w:rsid w:val="431C87E3"/>
    <w:rsid w:val="432228DF"/>
    <w:rsid w:val="43299E75"/>
    <w:rsid w:val="432B61B0"/>
    <w:rsid w:val="43324C32"/>
    <w:rsid w:val="4336B119"/>
    <w:rsid w:val="4338F978"/>
    <w:rsid w:val="433B5214"/>
    <w:rsid w:val="433D20D8"/>
    <w:rsid w:val="433ECF13"/>
    <w:rsid w:val="433F9C7A"/>
    <w:rsid w:val="4340D9F7"/>
    <w:rsid w:val="4342441D"/>
    <w:rsid w:val="43441996"/>
    <w:rsid w:val="43497CBB"/>
    <w:rsid w:val="434B2F1A"/>
    <w:rsid w:val="434BECE5"/>
    <w:rsid w:val="435101B6"/>
    <w:rsid w:val="43521396"/>
    <w:rsid w:val="43557772"/>
    <w:rsid w:val="435A01CC"/>
    <w:rsid w:val="435D6563"/>
    <w:rsid w:val="43608B79"/>
    <w:rsid w:val="4362C18D"/>
    <w:rsid w:val="4366C32B"/>
    <w:rsid w:val="436BFB16"/>
    <w:rsid w:val="436E9F17"/>
    <w:rsid w:val="43757DD6"/>
    <w:rsid w:val="438365C8"/>
    <w:rsid w:val="43902670"/>
    <w:rsid w:val="43903D9F"/>
    <w:rsid w:val="43917ADF"/>
    <w:rsid w:val="43A22661"/>
    <w:rsid w:val="43ABFB10"/>
    <w:rsid w:val="43ACED01"/>
    <w:rsid w:val="43AD7A6D"/>
    <w:rsid w:val="43AE447A"/>
    <w:rsid w:val="43B4877D"/>
    <w:rsid w:val="43B6EC86"/>
    <w:rsid w:val="43BA7118"/>
    <w:rsid w:val="43BF743A"/>
    <w:rsid w:val="43C1CB9D"/>
    <w:rsid w:val="43C6DC80"/>
    <w:rsid w:val="43CAB10E"/>
    <w:rsid w:val="43CB24F3"/>
    <w:rsid w:val="43CBB3B9"/>
    <w:rsid w:val="43D84152"/>
    <w:rsid w:val="43DAF77D"/>
    <w:rsid w:val="43E42BD5"/>
    <w:rsid w:val="43EB51BA"/>
    <w:rsid w:val="43F0B0FC"/>
    <w:rsid w:val="43F2CBE8"/>
    <w:rsid w:val="43F95A0D"/>
    <w:rsid w:val="43FB5903"/>
    <w:rsid w:val="43FBE5D7"/>
    <w:rsid w:val="43FF7C5A"/>
    <w:rsid w:val="43FFEC13"/>
    <w:rsid w:val="44022952"/>
    <w:rsid w:val="44062F60"/>
    <w:rsid w:val="44081797"/>
    <w:rsid w:val="44083769"/>
    <w:rsid w:val="440E186D"/>
    <w:rsid w:val="4410832A"/>
    <w:rsid w:val="44144C3B"/>
    <w:rsid w:val="4414E78D"/>
    <w:rsid w:val="4415FE77"/>
    <w:rsid w:val="44173CE8"/>
    <w:rsid w:val="441794CF"/>
    <w:rsid w:val="4417A8AC"/>
    <w:rsid w:val="442B4516"/>
    <w:rsid w:val="442CD4B1"/>
    <w:rsid w:val="442F6966"/>
    <w:rsid w:val="442FD0F1"/>
    <w:rsid w:val="44322A2C"/>
    <w:rsid w:val="443327E3"/>
    <w:rsid w:val="4435FBDA"/>
    <w:rsid w:val="4436EC7E"/>
    <w:rsid w:val="443CAD44"/>
    <w:rsid w:val="443DA6CC"/>
    <w:rsid w:val="443E1BFD"/>
    <w:rsid w:val="444041E0"/>
    <w:rsid w:val="44419D04"/>
    <w:rsid w:val="44438B2E"/>
    <w:rsid w:val="4444A4DF"/>
    <w:rsid w:val="4446CCB0"/>
    <w:rsid w:val="44499F25"/>
    <w:rsid w:val="444BB94B"/>
    <w:rsid w:val="444C2BCD"/>
    <w:rsid w:val="44530048"/>
    <w:rsid w:val="44558B73"/>
    <w:rsid w:val="445C80CC"/>
    <w:rsid w:val="44640633"/>
    <w:rsid w:val="446938AB"/>
    <w:rsid w:val="446E797B"/>
    <w:rsid w:val="4474CACA"/>
    <w:rsid w:val="4474EF9E"/>
    <w:rsid w:val="447C4CE6"/>
    <w:rsid w:val="447E57FB"/>
    <w:rsid w:val="447F2632"/>
    <w:rsid w:val="4487EE4B"/>
    <w:rsid w:val="448BC20A"/>
    <w:rsid w:val="448EBEE5"/>
    <w:rsid w:val="448EE384"/>
    <w:rsid w:val="448F9D43"/>
    <w:rsid w:val="4491998B"/>
    <w:rsid w:val="449C727F"/>
    <w:rsid w:val="449E6EBD"/>
    <w:rsid w:val="44A11FCD"/>
    <w:rsid w:val="44AB6920"/>
    <w:rsid w:val="44AC9431"/>
    <w:rsid w:val="44ACC200"/>
    <w:rsid w:val="44AF72BF"/>
    <w:rsid w:val="44B29468"/>
    <w:rsid w:val="44BC59A9"/>
    <w:rsid w:val="44BDF8FD"/>
    <w:rsid w:val="44C51D83"/>
    <w:rsid w:val="44C5F5EB"/>
    <w:rsid w:val="44C9C1CA"/>
    <w:rsid w:val="44CD2F43"/>
    <w:rsid w:val="44CF1E8B"/>
    <w:rsid w:val="44D3EA98"/>
    <w:rsid w:val="44D6826C"/>
    <w:rsid w:val="44D8735F"/>
    <w:rsid w:val="44DC4E83"/>
    <w:rsid w:val="44E9D603"/>
    <w:rsid w:val="44EAB53B"/>
    <w:rsid w:val="44EAB8B6"/>
    <w:rsid w:val="44F0AB32"/>
    <w:rsid w:val="44F70D39"/>
    <w:rsid w:val="44F95DBC"/>
    <w:rsid w:val="44F9F319"/>
    <w:rsid w:val="44FD5648"/>
    <w:rsid w:val="44FEDE7B"/>
    <w:rsid w:val="44FEFBFB"/>
    <w:rsid w:val="450C1794"/>
    <w:rsid w:val="450F38E6"/>
    <w:rsid w:val="45114E37"/>
    <w:rsid w:val="4521694B"/>
    <w:rsid w:val="452A2EEF"/>
    <w:rsid w:val="452FFBB9"/>
    <w:rsid w:val="4531D52E"/>
    <w:rsid w:val="4533752D"/>
    <w:rsid w:val="4536290C"/>
    <w:rsid w:val="4537FABC"/>
    <w:rsid w:val="45385660"/>
    <w:rsid w:val="45392C4D"/>
    <w:rsid w:val="453A8E51"/>
    <w:rsid w:val="453F2658"/>
    <w:rsid w:val="45430DC5"/>
    <w:rsid w:val="454EAA92"/>
    <w:rsid w:val="4553B13A"/>
    <w:rsid w:val="4555CF9D"/>
    <w:rsid w:val="455C7117"/>
    <w:rsid w:val="4560D222"/>
    <w:rsid w:val="456372C5"/>
    <w:rsid w:val="4568F784"/>
    <w:rsid w:val="45692D6F"/>
    <w:rsid w:val="45696F1F"/>
    <w:rsid w:val="456EF0E6"/>
    <w:rsid w:val="4574BF36"/>
    <w:rsid w:val="45772363"/>
    <w:rsid w:val="457E0820"/>
    <w:rsid w:val="458C05A9"/>
    <w:rsid w:val="458C5131"/>
    <w:rsid w:val="458FE4EB"/>
    <w:rsid w:val="4596B421"/>
    <w:rsid w:val="459D9733"/>
    <w:rsid w:val="459FD50B"/>
    <w:rsid w:val="45A14D8F"/>
    <w:rsid w:val="45A23DD7"/>
    <w:rsid w:val="45A55FDF"/>
    <w:rsid w:val="45A745C7"/>
    <w:rsid w:val="45AB1B78"/>
    <w:rsid w:val="45AE206E"/>
    <w:rsid w:val="45AF3DA9"/>
    <w:rsid w:val="45B076F1"/>
    <w:rsid w:val="45B10923"/>
    <w:rsid w:val="45B24AD1"/>
    <w:rsid w:val="45BF2996"/>
    <w:rsid w:val="45C006C8"/>
    <w:rsid w:val="45CB3FA9"/>
    <w:rsid w:val="45CCAC72"/>
    <w:rsid w:val="45CEF844"/>
    <w:rsid w:val="45D950DB"/>
    <w:rsid w:val="45DB9E71"/>
    <w:rsid w:val="45DFDF73"/>
    <w:rsid w:val="45E1EAFF"/>
    <w:rsid w:val="45E363C1"/>
    <w:rsid w:val="45E798D6"/>
    <w:rsid w:val="45F13184"/>
    <w:rsid w:val="45F254E1"/>
    <w:rsid w:val="45FA6A12"/>
    <w:rsid w:val="4600A8F0"/>
    <w:rsid w:val="4600FFFF"/>
    <w:rsid w:val="46106CD3"/>
    <w:rsid w:val="4614EF7C"/>
    <w:rsid w:val="4626E7DC"/>
    <w:rsid w:val="4627E1F9"/>
    <w:rsid w:val="4629029E"/>
    <w:rsid w:val="462EE046"/>
    <w:rsid w:val="463405AD"/>
    <w:rsid w:val="4639191D"/>
    <w:rsid w:val="463C1295"/>
    <w:rsid w:val="463C1F5E"/>
    <w:rsid w:val="46438178"/>
    <w:rsid w:val="4646BAE6"/>
    <w:rsid w:val="464BCFBA"/>
    <w:rsid w:val="46541D6E"/>
    <w:rsid w:val="46546C8C"/>
    <w:rsid w:val="465CE486"/>
    <w:rsid w:val="46623F89"/>
    <w:rsid w:val="46651E1A"/>
    <w:rsid w:val="4677C1B0"/>
    <w:rsid w:val="467A0DD6"/>
    <w:rsid w:val="467AE1AE"/>
    <w:rsid w:val="467AFF09"/>
    <w:rsid w:val="467E6B6D"/>
    <w:rsid w:val="4682E076"/>
    <w:rsid w:val="46835553"/>
    <w:rsid w:val="46842039"/>
    <w:rsid w:val="46867053"/>
    <w:rsid w:val="46877DB1"/>
    <w:rsid w:val="4687AD17"/>
    <w:rsid w:val="46892778"/>
    <w:rsid w:val="4689CD8E"/>
    <w:rsid w:val="468D0DC3"/>
    <w:rsid w:val="468E807B"/>
    <w:rsid w:val="4695B7A5"/>
    <w:rsid w:val="4697CD22"/>
    <w:rsid w:val="469B341C"/>
    <w:rsid w:val="469E7A91"/>
    <w:rsid w:val="469EDD4D"/>
    <w:rsid w:val="46A02488"/>
    <w:rsid w:val="46A168E6"/>
    <w:rsid w:val="46A57CAC"/>
    <w:rsid w:val="46A7A5D3"/>
    <w:rsid w:val="46A91793"/>
    <w:rsid w:val="46AEC58F"/>
    <w:rsid w:val="46B37111"/>
    <w:rsid w:val="46B6CAA3"/>
    <w:rsid w:val="46B89D09"/>
    <w:rsid w:val="46BA9143"/>
    <w:rsid w:val="46CA2C58"/>
    <w:rsid w:val="46CCD481"/>
    <w:rsid w:val="46CDEF92"/>
    <w:rsid w:val="46D75A8E"/>
    <w:rsid w:val="46D8BDE9"/>
    <w:rsid w:val="46DFBDE5"/>
    <w:rsid w:val="46E2CCF2"/>
    <w:rsid w:val="46E43F47"/>
    <w:rsid w:val="46E6521B"/>
    <w:rsid w:val="46EACBF3"/>
    <w:rsid w:val="46EB3DB8"/>
    <w:rsid w:val="46F4118E"/>
    <w:rsid w:val="46F657A4"/>
    <w:rsid w:val="46FBA60C"/>
    <w:rsid w:val="47026DCA"/>
    <w:rsid w:val="4703C5BD"/>
    <w:rsid w:val="47061047"/>
    <w:rsid w:val="4707F191"/>
    <w:rsid w:val="4709F354"/>
    <w:rsid w:val="470B6FBA"/>
    <w:rsid w:val="470C1ED9"/>
    <w:rsid w:val="470EC960"/>
    <w:rsid w:val="47197E79"/>
    <w:rsid w:val="471AF37B"/>
    <w:rsid w:val="47221E9C"/>
    <w:rsid w:val="472418AE"/>
    <w:rsid w:val="472441CA"/>
    <w:rsid w:val="4725F63C"/>
    <w:rsid w:val="4733A6D3"/>
    <w:rsid w:val="4736716D"/>
    <w:rsid w:val="47405C9D"/>
    <w:rsid w:val="47491163"/>
    <w:rsid w:val="475BF389"/>
    <w:rsid w:val="4765A9BC"/>
    <w:rsid w:val="4768489F"/>
    <w:rsid w:val="4768713C"/>
    <w:rsid w:val="476D1AFE"/>
    <w:rsid w:val="476D877C"/>
    <w:rsid w:val="4770492F"/>
    <w:rsid w:val="4771AAB3"/>
    <w:rsid w:val="47749459"/>
    <w:rsid w:val="4778B50B"/>
    <w:rsid w:val="47796CD7"/>
    <w:rsid w:val="477EA044"/>
    <w:rsid w:val="477F5A49"/>
    <w:rsid w:val="4783435F"/>
    <w:rsid w:val="47876B2D"/>
    <w:rsid w:val="478797EB"/>
    <w:rsid w:val="478D7022"/>
    <w:rsid w:val="478D7D3A"/>
    <w:rsid w:val="4792692C"/>
    <w:rsid w:val="47A66F01"/>
    <w:rsid w:val="47A7CC1B"/>
    <w:rsid w:val="47A8C0FC"/>
    <w:rsid w:val="47ADE518"/>
    <w:rsid w:val="47AFB8BC"/>
    <w:rsid w:val="47B29890"/>
    <w:rsid w:val="47B72696"/>
    <w:rsid w:val="47BD84F7"/>
    <w:rsid w:val="47BE9647"/>
    <w:rsid w:val="47C2B83D"/>
    <w:rsid w:val="47C68E9C"/>
    <w:rsid w:val="47C73E05"/>
    <w:rsid w:val="47C85C65"/>
    <w:rsid w:val="47C8BF99"/>
    <w:rsid w:val="47CD809E"/>
    <w:rsid w:val="47D48FB2"/>
    <w:rsid w:val="47D7803B"/>
    <w:rsid w:val="47DA61ED"/>
    <w:rsid w:val="47DAE83C"/>
    <w:rsid w:val="47DAFE24"/>
    <w:rsid w:val="47DAFF46"/>
    <w:rsid w:val="47DC9F3D"/>
    <w:rsid w:val="47ECCEF4"/>
    <w:rsid w:val="47F9427D"/>
    <w:rsid w:val="47FA0B5E"/>
    <w:rsid w:val="47FB2707"/>
    <w:rsid w:val="47FF8542"/>
    <w:rsid w:val="48050138"/>
    <w:rsid w:val="4807C756"/>
    <w:rsid w:val="480C7945"/>
    <w:rsid w:val="480F8684"/>
    <w:rsid w:val="481A81F7"/>
    <w:rsid w:val="4820293B"/>
    <w:rsid w:val="4823FA42"/>
    <w:rsid w:val="4823FD10"/>
    <w:rsid w:val="48293D4E"/>
    <w:rsid w:val="48297868"/>
    <w:rsid w:val="482AFF0F"/>
    <w:rsid w:val="48302E19"/>
    <w:rsid w:val="4831AB9B"/>
    <w:rsid w:val="4833357A"/>
    <w:rsid w:val="48341AD1"/>
    <w:rsid w:val="48379AD0"/>
    <w:rsid w:val="4841A43E"/>
    <w:rsid w:val="4842FAAC"/>
    <w:rsid w:val="4843A792"/>
    <w:rsid w:val="484B85B6"/>
    <w:rsid w:val="48509EE7"/>
    <w:rsid w:val="4850EBAB"/>
    <w:rsid w:val="4851BF18"/>
    <w:rsid w:val="4853B810"/>
    <w:rsid w:val="48561904"/>
    <w:rsid w:val="485A1322"/>
    <w:rsid w:val="485B9024"/>
    <w:rsid w:val="485C6F27"/>
    <w:rsid w:val="48696E41"/>
    <w:rsid w:val="486BA433"/>
    <w:rsid w:val="486BC9EA"/>
    <w:rsid w:val="48709EFA"/>
    <w:rsid w:val="4877CD2B"/>
    <w:rsid w:val="4877FAA4"/>
    <w:rsid w:val="48782849"/>
    <w:rsid w:val="48787834"/>
    <w:rsid w:val="48789BEB"/>
    <w:rsid w:val="487CB524"/>
    <w:rsid w:val="48871AFB"/>
    <w:rsid w:val="488ACBB5"/>
    <w:rsid w:val="488B534E"/>
    <w:rsid w:val="488CA0B2"/>
    <w:rsid w:val="488F9693"/>
    <w:rsid w:val="4890C8D6"/>
    <w:rsid w:val="4891D0B8"/>
    <w:rsid w:val="4892B78E"/>
    <w:rsid w:val="4893A188"/>
    <w:rsid w:val="48957ADE"/>
    <w:rsid w:val="4897D849"/>
    <w:rsid w:val="48983569"/>
    <w:rsid w:val="489C99B8"/>
    <w:rsid w:val="489C9AF0"/>
    <w:rsid w:val="48A318A6"/>
    <w:rsid w:val="48A7341B"/>
    <w:rsid w:val="48A7EF3A"/>
    <w:rsid w:val="48A8E097"/>
    <w:rsid w:val="48A986FC"/>
    <w:rsid w:val="48ACF246"/>
    <w:rsid w:val="48AE454C"/>
    <w:rsid w:val="48B151C0"/>
    <w:rsid w:val="48B48A07"/>
    <w:rsid w:val="48B60FC8"/>
    <w:rsid w:val="48B7F382"/>
    <w:rsid w:val="48BB36E2"/>
    <w:rsid w:val="48BB7467"/>
    <w:rsid w:val="48BDB21E"/>
    <w:rsid w:val="48C0D083"/>
    <w:rsid w:val="48C27B4B"/>
    <w:rsid w:val="48C6D391"/>
    <w:rsid w:val="48C86672"/>
    <w:rsid w:val="48C91B3A"/>
    <w:rsid w:val="48D398EB"/>
    <w:rsid w:val="48D8C3E3"/>
    <w:rsid w:val="48D90DAC"/>
    <w:rsid w:val="48DA13A2"/>
    <w:rsid w:val="48DA9C2A"/>
    <w:rsid w:val="48DAD421"/>
    <w:rsid w:val="48E10886"/>
    <w:rsid w:val="48E2076C"/>
    <w:rsid w:val="48E2FACF"/>
    <w:rsid w:val="48E69DDE"/>
    <w:rsid w:val="48EE1D9F"/>
    <w:rsid w:val="48EE3EFB"/>
    <w:rsid w:val="48F1FDCE"/>
    <w:rsid w:val="48F68929"/>
    <w:rsid w:val="4903C631"/>
    <w:rsid w:val="4903F3AF"/>
    <w:rsid w:val="49058E2F"/>
    <w:rsid w:val="4908A873"/>
    <w:rsid w:val="49188949"/>
    <w:rsid w:val="491ACA92"/>
    <w:rsid w:val="491E8378"/>
    <w:rsid w:val="49226274"/>
    <w:rsid w:val="492B85F5"/>
    <w:rsid w:val="492EE40F"/>
    <w:rsid w:val="492F0792"/>
    <w:rsid w:val="4933BC8B"/>
    <w:rsid w:val="4934530F"/>
    <w:rsid w:val="49383FF7"/>
    <w:rsid w:val="4949EDA6"/>
    <w:rsid w:val="494EA91B"/>
    <w:rsid w:val="494EF9A1"/>
    <w:rsid w:val="4957E357"/>
    <w:rsid w:val="49582797"/>
    <w:rsid w:val="495A04B5"/>
    <w:rsid w:val="495BE2BA"/>
    <w:rsid w:val="495C8678"/>
    <w:rsid w:val="4961E81A"/>
    <w:rsid w:val="49631D9A"/>
    <w:rsid w:val="496324E2"/>
    <w:rsid w:val="496C5605"/>
    <w:rsid w:val="496C68EF"/>
    <w:rsid w:val="4974C36F"/>
    <w:rsid w:val="49765399"/>
    <w:rsid w:val="497C68C0"/>
    <w:rsid w:val="497E8CFB"/>
    <w:rsid w:val="4988B6FF"/>
    <w:rsid w:val="4989D83E"/>
    <w:rsid w:val="498AB4E9"/>
    <w:rsid w:val="498CEE16"/>
    <w:rsid w:val="498E1FD4"/>
    <w:rsid w:val="498FA332"/>
    <w:rsid w:val="4990FCA9"/>
    <w:rsid w:val="4992192D"/>
    <w:rsid w:val="4992377A"/>
    <w:rsid w:val="4992A52D"/>
    <w:rsid w:val="4999C657"/>
    <w:rsid w:val="499C8986"/>
    <w:rsid w:val="499CD170"/>
    <w:rsid w:val="49A1D946"/>
    <w:rsid w:val="49A5CFD5"/>
    <w:rsid w:val="49A8E914"/>
    <w:rsid w:val="49A9B20C"/>
    <w:rsid w:val="49AF31F7"/>
    <w:rsid w:val="49AF71DF"/>
    <w:rsid w:val="49B867B1"/>
    <w:rsid w:val="49B94557"/>
    <w:rsid w:val="49BAB6BE"/>
    <w:rsid w:val="49BD3057"/>
    <w:rsid w:val="49C16748"/>
    <w:rsid w:val="49C1740D"/>
    <w:rsid w:val="49C45E0D"/>
    <w:rsid w:val="49C4BA1E"/>
    <w:rsid w:val="49C6415B"/>
    <w:rsid w:val="49C78F23"/>
    <w:rsid w:val="49C9FBE2"/>
    <w:rsid w:val="49CDFAEB"/>
    <w:rsid w:val="49D0289B"/>
    <w:rsid w:val="49D42E1D"/>
    <w:rsid w:val="49D79056"/>
    <w:rsid w:val="49DB94A5"/>
    <w:rsid w:val="49DEC835"/>
    <w:rsid w:val="49DECB0D"/>
    <w:rsid w:val="49E0F72E"/>
    <w:rsid w:val="49E332E0"/>
    <w:rsid w:val="49E47579"/>
    <w:rsid w:val="49E5F8E2"/>
    <w:rsid w:val="49E8681D"/>
    <w:rsid w:val="49EA4300"/>
    <w:rsid w:val="49EA447F"/>
    <w:rsid w:val="49EAA0BC"/>
    <w:rsid w:val="49EE6151"/>
    <w:rsid w:val="49EFB513"/>
    <w:rsid w:val="49F5D8BE"/>
    <w:rsid w:val="49F862B9"/>
    <w:rsid w:val="49F90ADB"/>
    <w:rsid w:val="49FA752F"/>
    <w:rsid w:val="49FE51C1"/>
    <w:rsid w:val="49FEA40F"/>
    <w:rsid w:val="4A0B5210"/>
    <w:rsid w:val="4A0BAFC6"/>
    <w:rsid w:val="4A135FE3"/>
    <w:rsid w:val="4A1433A8"/>
    <w:rsid w:val="4A14F2B1"/>
    <w:rsid w:val="4A163905"/>
    <w:rsid w:val="4A18739E"/>
    <w:rsid w:val="4A21FE0B"/>
    <w:rsid w:val="4A2485D6"/>
    <w:rsid w:val="4A2603EC"/>
    <w:rsid w:val="4A278C9E"/>
    <w:rsid w:val="4A2ADB2A"/>
    <w:rsid w:val="4A2C9937"/>
    <w:rsid w:val="4A2F71E9"/>
    <w:rsid w:val="4A32D72C"/>
    <w:rsid w:val="4A3677E1"/>
    <w:rsid w:val="4A3D9D0F"/>
    <w:rsid w:val="4A49ECC7"/>
    <w:rsid w:val="4A4CA7ED"/>
    <w:rsid w:val="4A4F4725"/>
    <w:rsid w:val="4A50994F"/>
    <w:rsid w:val="4A50ADE7"/>
    <w:rsid w:val="4A51BF82"/>
    <w:rsid w:val="4A51C1AB"/>
    <w:rsid w:val="4A566C4C"/>
    <w:rsid w:val="4A572BFF"/>
    <w:rsid w:val="4A5A0B0A"/>
    <w:rsid w:val="4A5E30BE"/>
    <w:rsid w:val="4A635829"/>
    <w:rsid w:val="4A63D4FC"/>
    <w:rsid w:val="4A6E3C1A"/>
    <w:rsid w:val="4A71E4F6"/>
    <w:rsid w:val="4A77237C"/>
    <w:rsid w:val="4A7B229D"/>
    <w:rsid w:val="4A7B356C"/>
    <w:rsid w:val="4A80BE77"/>
    <w:rsid w:val="4A86511A"/>
    <w:rsid w:val="4A88C935"/>
    <w:rsid w:val="4A8C8226"/>
    <w:rsid w:val="4A9170B2"/>
    <w:rsid w:val="4A955FE5"/>
    <w:rsid w:val="4A9B4CDA"/>
    <w:rsid w:val="4A9B9760"/>
    <w:rsid w:val="4AADA060"/>
    <w:rsid w:val="4AB239A6"/>
    <w:rsid w:val="4AB367D0"/>
    <w:rsid w:val="4AB548D4"/>
    <w:rsid w:val="4AB80672"/>
    <w:rsid w:val="4ABC6BA1"/>
    <w:rsid w:val="4AC2488D"/>
    <w:rsid w:val="4ACC0C9D"/>
    <w:rsid w:val="4AD22B9A"/>
    <w:rsid w:val="4AD28765"/>
    <w:rsid w:val="4AD36A6B"/>
    <w:rsid w:val="4AD4E794"/>
    <w:rsid w:val="4AD55549"/>
    <w:rsid w:val="4AD6378D"/>
    <w:rsid w:val="4ADADF17"/>
    <w:rsid w:val="4ADCE303"/>
    <w:rsid w:val="4AE4A1A4"/>
    <w:rsid w:val="4AE4E2AE"/>
    <w:rsid w:val="4AE6ADA0"/>
    <w:rsid w:val="4AED3221"/>
    <w:rsid w:val="4AF1029E"/>
    <w:rsid w:val="4AF370A0"/>
    <w:rsid w:val="4AFD06AF"/>
    <w:rsid w:val="4AFD291B"/>
    <w:rsid w:val="4AFE4ED3"/>
    <w:rsid w:val="4AFEFB64"/>
    <w:rsid w:val="4B03DD6D"/>
    <w:rsid w:val="4B096508"/>
    <w:rsid w:val="4B1615E9"/>
    <w:rsid w:val="4B1C93FE"/>
    <w:rsid w:val="4B1CCEC3"/>
    <w:rsid w:val="4B1F1BCF"/>
    <w:rsid w:val="4B2386DC"/>
    <w:rsid w:val="4B253FC2"/>
    <w:rsid w:val="4B26A1C9"/>
    <w:rsid w:val="4B315FAA"/>
    <w:rsid w:val="4B343D66"/>
    <w:rsid w:val="4B38A1F9"/>
    <w:rsid w:val="4B38E5B5"/>
    <w:rsid w:val="4B3EE833"/>
    <w:rsid w:val="4B401FA3"/>
    <w:rsid w:val="4B41D377"/>
    <w:rsid w:val="4B451E1E"/>
    <w:rsid w:val="4B49F128"/>
    <w:rsid w:val="4B4AB8FA"/>
    <w:rsid w:val="4B4BEE65"/>
    <w:rsid w:val="4B538C74"/>
    <w:rsid w:val="4B56370E"/>
    <w:rsid w:val="4B565199"/>
    <w:rsid w:val="4B58904B"/>
    <w:rsid w:val="4B5E6201"/>
    <w:rsid w:val="4B651C9E"/>
    <w:rsid w:val="4B6EBE7C"/>
    <w:rsid w:val="4B710A0D"/>
    <w:rsid w:val="4B74F46C"/>
    <w:rsid w:val="4B75B201"/>
    <w:rsid w:val="4B7D9F7B"/>
    <w:rsid w:val="4B83E340"/>
    <w:rsid w:val="4B851A4F"/>
    <w:rsid w:val="4B85BC52"/>
    <w:rsid w:val="4B8C26D7"/>
    <w:rsid w:val="4B8E16E6"/>
    <w:rsid w:val="4B964590"/>
    <w:rsid w:val="4B98C094"/>
    <w:rsid w:val="4B99DD35"/>
    <w:rsid w:val="4BA02870"/>
    <w:rsid w:val="4BA6B07E"/>
    <w:rsid w:val="4BAC7CAE"/>
    <w:rsid w:val="4BAF6DED"/>
    <w:rsid w:val="4BAFE609"/>
    <w:rsid w:val="4BB11392"/>
    <w:rsid w:val="4BB4AE2F"/>
    <w:rsid w:val="4BB765C8"/>
    <w:rsid w:val="4BBA6F44"/>
    <w:rsid w:val="4BBA7486"/>
    <w:rsid w:val="4BBD0F73"/>
    <w:rsid w:val="4BC3011A"/>
    <w:rsid w:val="4BC3A659"/>
    <w:rsid w:val="4BC4D65E"/>
    <w:rsid w:val="4BCA0929"/>
    <w:rsid w:val="4BCDDD59"/>
    <w:rsid w:val="4BD75658"/>
    <w:rsid w:val="4BDB62B4"/>
    <w:rsid w:val="4BDB9509"/>
    <w:rsid w:val="4BDD8065"/>
    <w:rsid w:val="4BDFB012"/>
    <w:rsid w:val="4BE0EAD0"/>
    <w:rsid w:val="4BE42502"/>
    <w:rsid w:val="4BF038B0"/>
    <w:rsid w:val="4BF722D7"/>
    <w:rsid w:val="4BF829FD"/>
    <w:rsid w:val="4C085955"/>
    <w:rsid w:val="4C09F9AE"/>
    <w:rsid w:val="4C0C502E"/>
    <w:rsid w:val="4C20A57D"/>
    <w:rsid w:val="4C29D42C"/>
    <w:rsid w:val="4C29EC20"/>
    <w:rsid w:val="4C2A7F95"/>
    <w:rsid w:val="4C2FBF19"/>
    <w:rsid w:val="4C3123BC"/>
    <w:rsid w:val="4C365AD2"/>
    <w:rsid w:val="4C36D1DF"/>
    <w:rsid w:val="4C38A228"/>
    <w:rsid w:val="4C394DB0"/>
    <w:rsid w:val="4C3A3321"/>
    <w:rsid w:val="4C3EBFEA"/>
    <w:rsid w:val="4C4198F8"/>
    <w:rsid w:val="4C43E5A4"/>
    <w:rsid w:val="4C46BF30"/>
    <w:rsid w:val="4C4AA335"/>
    <w:rsid w:val="4C4C1DF6"/>
    <w:rsid w:val="4C4DAACF"/>
    <w:rsid w:val="4C4F0D40"/>
    <w:rsid w:val="4C4F5DF0"/>
    <w:rsid w:val="4C5331E8"/>
    <w:rsid w:val="4C5B2A51"/>
    <w:rsid w:val="4C5D8943"/>
    <w:rsid w:val="4C60BD67"/>
    <w:rsid w:val="4C62CE2E"/>
    <w:rsid w:val="4C672059"/>
    <w:rsid w:val="4C6D2FE1"/>
    <w:rsid w:val="4C7D4A9B"/>
    <w:rsid w:val="4C7F82F6"/>
    <w:rsid w:val="4C80F6D7"/>
    <w:rsid w:val="4C81B1F9"/>
    <w:rsid w:val="4C862CF7"/>
    <w:rsid w:val="4C8D6957"/>
    <w:rsid w:val="4C8E9F61"/>
    <w:rsid w:val="4C914C43"/>
    <w:rsid w:val="4C961AAC"/>
    <w:rsid w:val="4C97B0CA"/>
    <w:rsid w:val="4CA15F9D"/>
    <w:rsid w:val="4CAB49D6"/>
    <w:rsid w:val="4CABF0FD"/>
    <w:rsid w:val="4CAF1A8C"/>
    <w:rsid w:val="4CB336E4"/>
    <w:rsid w:val="4CB4CF95"/>
    <w:rsid w:val="4CB5CE66"/>
    <w:rsid w:val="4CBDC5F7"/>
    <w:rsid w:val="4CC0DE93"/>
    <w:rsid w:val="4CC20A98"/>
    <w:rsid w:val="4CC222B0"/>
    <w:rsid w:val="4CC339F9"/>
    <w:rsid w:val="4CC5196B"/>
    <w:rsid w:val="4CC5F9DF"/>
    <w:rsid w:val="4CC60F12"/>
    <w:rsid w:val="4CC82CBB"/>
    <w:rsid w:val="4CCA1C4D"/>
    <w:rsid w:val="4CCB72EA"/>
    <w:rsid w:val="4CCC3A4D"/>
    <w:rsid w:val="4CCD30D7"/>
    <w:rsid w:val="4CCE0325"/>
    <w:rsid w:val="4CD1F5A6"/>
    <w:rsid w:val="4CD1FF2E"/>
    <w:rsid w:val="4CD2DA48"/>
    <w:rsid w:val="4CD6A4C1"/>
    <w:rsid w:val="4CE4C42E"/>
    <w:rsid w:val="4CEDF31A"/>
    <w:rsid w:val="4CF00B41"/>
    <w:rsid w:val="4CF24760"/>
    <w:rsid w:val="4D032C0C"/>
    <w:rsid w:val="4D05D7C5"/>
    <w:rsid w:val="4D0BBCE9"/>
    <w:rsid w:val="4D0F8B42"/>
    <w:rsid w:val="4D115EE8"/>
    <w:rsid w:val="4D13F3C3"/>
    <w:rsid w:val="4D154FA3"/>
    <w:rsid w:val="4D15B962"/>
    <w:rsid w:val="4D15DB2E"/>
    <w:rsid w:val="4D171E42"/>
    <w:rsid w:val="4D20C7D1"/>
    <w:rsid w:val="4D21BF68"/>
    <w:rsid w:val="4D26E560"/>
    <w:rsid w:val="4D28AF56"/>
    <w:rsid w:val="4D2A0FE7"/>
    <w:rsid w:val="4D2F45FA"/>
    <w:rsid w:val="4D33D072"/>
    <w:rsid w:val="4D33EE67"/>
    <w:rsid w:val="4D380D96"/>
    <w:rsid w:val="4D3B0D9E"/>
    <w:rsid w:val="4D426416"/>
    <w:rsid w:val="4D456218"/>
    <w:rsid w:val="4D46489A"/>
    <w:rsid w:val="4D479C51"/>
    <w:rsid w:val="4D48B35A"/>
    <w:rsid w:val="4D4A01E2"/>
    <w:rsid w:val="4D4EA39B"/>
    <w:rsid w:val="4D5463B1"/>
    <w:rsid w:val="4D59A373"/>
    <w:rsid w:val="4D617E4C"/>
    <w:rsid w:val="4D6712AB"/>
    <w:rsid w:val="4D68E2CC"/>
    <w:rsid w:val="4D6A6DCC"/>
    <w:rsid w:val="4D6B81C5"/>
    <w:rsid w:val="4D6C8B1A"/>
    <w:rsid w:val="4D6FD367"/>
    <w:rsid w:val="4D71E5AA"/>
    <w:rsid w:val="4D7AD650"/>
    <w:rsid w:val="4D7CBB31"/>
    <w:rsid w:val="4D8112E1"/>
    <w:rsid w:val="4D87F5D4"/>
    <w:rsid w:val="4D8A8ECB"/>
    <w:rsid w:val="4D8B1B7A"/>
    <w:rsid w:val="4D8BBA02"/>
    <w:rsid w:val="4D8E9F05"/>
    <w:rsid w:val="4D92A7E0"/>
    <w:rsid w:val="4D95C7B1"/>
    <w:rsid w:val="4D96E645"/>
    <w:rsid w:val="4D98F072"/>
    <w:rsid w:val="4D9B35A4"/>
    <w:rsid w:val="4D9C1AA8"/>
    <w:rsid w:val="4DA579F7"/>
    <w:rsid w:val="4DB92918"/>
    <w:rsid w:val="4DBC9D06"/>
    <w:rsid w:val="4DBED3C3"/>
    <w:rsid w:val="4DC87722"/>
    <w:rsid w:val="4DCE8259"/>
    <w:rsid w:val="4DD9259D"/>
    <w:rsid w:val="4DD98AA4"/>
    <w:rsid w:val="4DDE9AD3"/>
    <w:rsid w:val="4DDF6446"/>
    <w:rsid w:val="4DE06E2B"/>
    <w:rsid w:val="4DE15FAE"/>
    <w:rsid w:val="4DE2420E"/>
    <w:rsid w:val="4DE3FCFB"/>
    <w:rsid w:val="4DE429BF"/>
    <w:rsid w:val="4DEEE323"/>
    <w:rsid w:val="4DF854EF"/>
    <w:rsid w:val="4DFC2803"/>
    <w:rsid w:val="4DFF590D"/>
    <w:rsid w:val="4E03D9EB"/>
    <w:rsid w:val="4E090A2A"/>
    <w:rsid w:val="4E0AF608"/>
    <w:rsid w:val="4E0C7899"/>
    <w:rsid w:val="4E107259"/>
    <w:rsid w:val="4E174B00"/>
    <w:rsid w:val="4E1819F1"/>
    <w:rsid w:val="4E1CA080"/>
    <w:rsid w:val="4E1D572C"/>
    <w:rsid w:val="4E1ED8C8"/>
    <w:rsid w:val="4E1F4BA3"/>
    <w:rsid w:val="4E312771"/>
    <w:rsid w:val="4E321567"/>
    <w:rsid w:val="4E3445FF"/>
    <w:rsid w:val="4E356F0F"/>
    <w:rsid w:val="4E37F287"/>
    <w:rsid w:val="4E3AED79"/>
    <w:rsid w:val="4E3AEEC7"/>
    <w:rsid w:val="4E3FFC97"/>
    <w:rsid w:val="4E4322EE"/>
    <w:rsid w:val="4E435D7E"/>
    <w:rsid w:val="4E46A4C2"/>
    <w:rsid w:val="4E4A3FA8"/>
    <w:rsid w:val="4E54DFF9"/>
    <w:rsid w:val="4E54FABA"/>
    <w:rsid w:val="4E583742"/>
    <w:rsid w:val="4E61DE6B"/>
    <w:rsid w:val="4E6476A6"/>
    <w:rsid w:val="4E682D31"/>
    <w:rsid w:val="4E6C17A7"/>
    <w:rsid w:val="4E6E4F68"/>
    <w:rsid w:val="4E739EAE"/>
    <w:rsid w:val="4E7A2276"/>
    <w:rsid w:val="4E838F27"/>
    <w:rsid w:val="4E848455"/>
    <w:rsid w:val="4E89CC9F"/>
    <w:rsid w:val="4E8A3278"/>
    <w:rsid w:val="4E8CE11D"/>
    <w:rsid w:val="4E8FB674"/>
    <w:rsid w:val="4E905CF1"/>
    <w:rsid w:val="4E93FF56"/>
    <w:rsid w:val="4E980C10"/>
    <w:rsid w:val="4E9856F8"/>
    <w:rsid w:val="4E9E709A"/>
    <w:rsid w:val="4EA19FFB"/>
    <w:rsid w:val="4EA7C413"/>
    <w:rsid w:val="4EAD61BA"/>
    <w:rsid w:val="4EADBDCB"/>
    <w:rsid w:val="4EAEF442"/>
    <w:rsid w:val="4EB3E341"/>
    <w:rsid w:val="4EB44A59"/>
    <w:rsid w:val="4EB44CF3"/>
    <w:rsid w:val="4EBE82F6"/>
    <w:rsid w:val="4EBEE7F9"/>
    <w:rsid w:val="4EC01A3A"/>
    <w:rsid w:val="4EC0E1CF"/>
    <w:rsid w:val="4EC2777E"/>
    <w:rsid w:val="4EC3BEF5"/>
    <w:rsid w:val="4EC48D94"/>
    <w:rsid w:val="4EC5A328"/>
    <w:rsid w:val="4EC91379"/>
    <w:rsid w:val="4EC99797"/>
    <w:rsid w:val="4ECEACAE"/>
    <w:rsid w:val="4ECF3B77"/>
    <w:rsid w:val="4ECF5931"/>
    <w:rsid w:val="4ED1E8A3"/>
    <w:rsid w:val="4ED2F806"/>
    <w:rsid w:val="4ED432C5"/>
    <w:rsid w:val="4ED821C8"/>
    <w:rsid w:val="4EDA9040"/>
    <w:rsid w:val="4EDECE62"/>
    <w:rsid w:val="4EE00E93"/>
    <w:rsid w:val="4EE07D1A"/>
    <w:rsid w:val="4EE1F102"/>
    <w:rsid w:val="4EE35608"/>
    <w:rsid w:val="4EEDF6E4"/>
    <w:rsid w:val="4EF4CF26"/>
    <w:rsid w:val="4EFA5AD6"/>
    <w:rsid w:val="4F0698E0"/>
    <w:rsid w:val="4F07B0BC"/>
    <w:rsid w:val="4F085B7B"/>
    <w:rsid w:val="4F0E0C40"/>
    <w:rsid w:val="4F0EFA76"/>
    <w:rsid w:val="4F12F571"/>
    <w:rsid w:val="4F1591AD"/>
    <w:rsid w:val="4F1E3BFB"/>
    <w:rsid w:val="4F2B6CC1"/>
    <w:rsid w:val="4F2CAE28"/>
    <w:rsid w:val="4F2EA991"/>
    <w:rsid w:val="4F325417"/>
    <w:rsid w:val="4F32F974"/>
    <w:rsid w:val="4F37B43F"/>
    <w:rsid w:val="4F4391B5"/>
    <w:rsid w:val="4F43DFD5"/>
    <w:rsid w:val="4F49BB61"/>
    <w:rsid w:val="4F49F012"/>
    <w:rsid w:val="4F520A14"/>
    <w:rsid w:val="4F528CDB"/>
    <w:rsid w:val="4F55EDA4"/>
    <w:rsid w:val="4F59CC2B"/>
    <w:rsid w:val="4F613C67"/>
    <w:rsid w:val="4F6198D5"/>
    <w:rsid w:val="4F66EBEB"/>
    <w:rsid w:val="4F6852B2"/>
    <w:rsid w:val="4F688A59"/>
    <w:rsid w:val="4F68F89C"/>
    <w:rsid w:val="4F6A0095"/>
    <w:rsid w:val="4F6D26B3"/>
    <w:rsid w:val="4F6E9DE4"/>
    <w:rsid w:val="4F6F5258"/>
    <w:rsid w:val="4F702721"/>
    <w:rsid w:val="4F70660B"/>
    <w:rsid w:val="4F71D8B2"/>
    <w:rsid w:val="4F72ED85"/>
    <w:rsid w:val="4F75DA8A"/>
    <w:rsid w:val="4F7829BB"/>
    <w:rsid w:val="4F7FFE3A"/>
    <w:rsid w:val="4F8B33D9"/>
    <w:rsid w:val="4F8B53EE"/>
    <w:rsid w:val="4F94887A"/>
    <w:rsid w:val="4F9600BA"/>
    <w:rsid w:val="4F97572B"/>
    <w:rsid w:val="4F98BAD6"/>
    <w:rsid w:val="4F9B3517"/>
    <w:rsid w:val="4FA32610"/>
    <w:rsid w:val="4FACCC6C"/>
    <w:rsid w:val="4FB0E04A"/>
    <w:rsid w:val="4FB280A6"/>
    <w:rsid w:val="4FB2C9DB"/>
    <w:rsid w:val="4FB57F00"/>
    <w:rsid w:val="4FB75F42"/>
    <w:rsid w:val="4FC8E6A0"/>
    <w:rsid w:val="4FCA963E"/>
    <w:rsid w:val="4FCC3F89"/>
    <w:rsid w:val="4FCCE620"/>
    <w:rsid w:val="4FCE8DBE"/>
    <w:rsid w:val="4FCF89C9"/>
    <w:rsid w:val="4FCF9FF2"/>
    <w:rsid w:val="4FD03915"/>
    <w:rsid w:val="4FD63ADE"/>
    <w:rsid w:val="4FD69682"/>
    <w:rsid w:val="4FD981AF"/>
    <w:rsid w:val="4FDE0781"/>
    <w:rsid w:val="4FE10315"/>
    <w:rsid w:val="4FE30D19"/>
    <w:rsid w:val="4FF2884E"/>
    <w:rsid w:val="4FF8F5EC"/>
    <w:rsid w:val="4FFA777B"/>
    <w:rsid w:val="50010DF0"/>
    <w:rsid w:val="5007CC4F"/>
    <w:rsid w:val="50091A99"/>
    <w:rsid w:val="500B30D3"/>
    <w:rsid w:val="500B3B88"/>
    <w:rsid w:val="5018A693"/>
    <w:rsid w:val="5018F390"/>
    <w:rsid w:val="501C64F0"/>
    <w:rsid w:val="5025D53E"/>
    <w:rsid w:val="502641C2"/>
    <w:rsid w:val="502ABF61"/>
    <w:rsid w:val="502C84A7"/>
    <w:rsid w:val="502D3198"/>
    <w:rsid w:val="502E6BB6"/>
    <w:rsid w:val="502F9401"/>
    <w:rsid w:val="50335BAD"/>
    <w:rsid w:val="50351480"/>
    <w:rsid w:val="50404FB3"/>
    <w:rsid w:val="5040C468"/>
    <w:rsid w:val="50446C1C"/>
    <w:rsid w:val="5049993C"/>
    <w:rsid w:val="504A219D"/>
    <w:rsid w:val="5051D5C3"/>
    <w:rsid w:val="5053D871"/>
    <w:rsid w:val="505405F0"/>
    <w:rsid w:val="505669A1"/>
    <w:rsid w:val="5056B7C1"/>
    <w:rsid w:val="5057761B"/>
    <w:rsid w:val="505D44AD"/>
    <w:rsid w:val="506322B9"/>
    <w:rsid w:val="506D6218"/>
    <w:rsid w:val="506F624F"/>
    <w:rsid w:val="50705080"/>
    <w:rsid w:val="50712266"/>
    <w:rsid w:val="50716243"/>
    <w:rsid w:val="5073647D"/>
    <w:rsid w:val="507A54AE"/>
    <w:rsid w:val="507C2E28"/>
    <w:rsid w:val="50803409"/>
    <w:rsid w:val="50843435"/>
    <w:rsid w:val="50911C58"/>
    <w:rsid w:val="50960D3D"/>
    <w:rsid w:val="509F1CA3"/>
    <w:rsid w:val="50A2F113"/>
    <w:rsid w:val="50A4CFC7"/>
    <w:rsid w:val="50A98C71"/>
    <w:rsid w:val="50A9DCA1"/>
    <w:rsid w:val="50AFC0B6"/>
    <w:rsid w:val="50B096EB"/>
    <w:rsid w:val="50B633E0"/>
    <w:rsid w:val="50C1C711"/>
    <w:rsid w:val="50C3774E"/>
    <w:rsid w:val="50C42B56"/>
    <w:rsid w:val="50C567C2"/>
    <w:rsid w:val="50CCD22B"/>
    <w:rsid w:val="50DBDCE2"/>
    <w:rsid w:val="50E1C0EF"/>
    <w:rsid w:val="50E44A27"/>
    <w:rsid w:val="50E6F16E"/>
    <w:rsid w:val="50E95084"/>
    <w:rsid w:val="50E9F96B"/>
    <w:rsid w:val="50EAB2A0"/>
    <w:rsid w:val="50ED0230"/>
    <w:rsid w:val="50F46E97"/>
    <w:rsid w:val="50F63F11"/>
    <w:rsid w:val="50F7ED50"/>
    <w:rsid w:val="50F94C33"/>
    <w:rsid w:val="50FF0E3C"/>
    <w:rsid w:val="50FFAD4B"/>
    <w:rsid w:val="51041646"/>
    <w:rsid w:val="510750A2"/>
    <w:rsid w:val="51077D96"/>
    <w:rsid w:val="510BDBA5"/>
    <w:rsid w:val="510D96F2"/>
    <w:rsid w:val="510E6C6F"/>
    <w:rsid w:val="511020C9"/>
    <w:rsid w:val="51151FFB"/>
    <w:rsid w:val="511861B4"/>
    <w:rsid w:val="511F3566"/>
    <w:rsid w:val="512193B8"/>
    <w:rsid w:val="512AEBB5"/>
    <w:rsid w:val="512DE1D6"/>
    <w:rsid w:val="5130CDF3"/>
    <w:rsid w:val="5131571A"/>
    <w:rsid w:val="514256C4"/>
    <w:rsid w:val="5145790E"/>
    <w:rsid w:val="514A843B"/>
    <w:rsid w:val="514B4D05"/>
    <w:rsid w:val="514E648A"/>
    <w:rsid w:val="5152A320"/>
    <w:rsid w:val="51545563"/>
    <w:rsid w:val="5155CB0A"/>
    <w:rsid w:val="515740AC"/>
    <w:rsid w:val="5157D258"/>
    <w:rsid w:val="51593DEC"/>
    <w:rsid w:val="515B43FF"/>
    <w:rsid w:val="516225B6"/>
    <w:rsid w:val="51641770"/>
    <w:rsid w:val="5167A3F1"/>
    <w:rsid w:val="5169B2AD"/>
    <w:rsid w:val="516A2DEE"/>
    <w:rsid w:val="516A5E1F"/>
    <w:rsid w:val="516CB167"/>
    <w:rsid w:val="516CD227"/>
    <w:rsid w:val="516D7BAC"/>
    <w:rsid w:val="516E07D5"/>
    <w:rsid w:val="516E54DC"/>
    <w:rsid w:val="516EAEEF"/>
    <w:rsid w:val="51748BAB"/>
    <w:rsid w:val="51753F75"/>
    <w:rsid w:val="5176A4F9"/>
    <w:rsid w:val="5178C559"/>
    <w:rsid w:val="517C3288"/>
    <w:rsid w:val="517E7A34"/>
    <w:rsid w:val="518344F6"/>
    <w:rsid w:val="518388E2"/>
    <w:rsid w:val="5186247A"/>
    <w:rsid w:val="51883AB7"/>
    <w:rsid w:val="518920D7"/>
    <w:rsid w:val="518B44C5"/>
    <w:rsid w:val="51922977"/>
    <w:rsid w:val="51944FB6"/>
    <w:rsid w:val="519F005D"/>
    <w:rsid w:val="519FDD11"/>
    <w:rsid w:val="51A02DB5"/>
    <w:rsid w:val="51A2F1A2"/>
    <w:rsid w:val="51A5D5A7"/>
    <w:rsid w:val="51A62561"/>
    <w:rsid w:val="51A7F329"/>
    <w:rsid w:val="51A92FB4"/>
    <w:rsid w:val="51AC5035"/>
    <w:rsid w:val="51AE7E01"/>
    <w:rsid w:val="51B14468"/>
    <w:rsid w:val="51B924E7"/>
    <w:rsid w:val="51C422AF"/>
    <w:rsid w:val="51CBDA1F"/>
    <w:rsid w:val="51D0F585"/>
    <w:rsid w:val="51D28C88"/>
    <w:rsid w:val="51D294F3"/>
    <w:rsid w:val="51DA15DF"/>
    <w:rsid w:val="51DE6F88"/>
    <w:rsid w:val="51DEC6FC"/>
    <w:rsid w:val="51E03C7D"/>
    <w:rsid w:val="51E12157"/>
    <w:rsid w:val="51E29539"/>
    <w:rsid w:val="51EBCB99"/>
    <w:rsid w:val="51EEDEAB"/>
    <w:rsid w:val="51F0B708"/>
    <w:rsid w:val="51F7BEC5"/>
    <w:rsid w:val="51F7F6AC"/>
    <w:rsid w:val="5204E613"/>
    <w:rsid w:val="5209510A"/>
    <w:rsid w:val="5211F318"/>
    <w:rsid w:val="5219A1BB"/>
    <w:rsid w:val="521E8EAE"/>
    <w:rsid w:val="521FB998"/>
    <w:rsid w:val="5224C85E"/>
    <w:rsid w:val="5224EB39"/>
    <w:rsid w:val="52294228"/>
    <w:rsid w:val="522DBA10"/>
    <w:rsid w:val="52344ABB"/>
    <w:rsid w:val="523A23B2"/>
    <w:rsid w:val="523E6A68"/>
    <w:rsid w:val="5242361A"/>
    <w:rsid w:val="5253305E"/>
    <w:rsid w:val="5256C03F"/>
    <w:rsid w:val="525BDD90"/>
    <w:rsid w:val="525E2F3E"/>
    <w:rsid w:val="525EA490"/>
    <w:rsid w:val="5264E8F2"/>
    <w:rsid w:val="52650198"/>
    <w:rsid w:val="52681F46"/>
    <w:rsid w:val="5269505B"/>
    <w:rsid w:val="526BC6B2"/>
    <w:rsid w:val="526D263F"/>
    <w:rsid w:val="5272D949"/>
    <w:rsid w:val="527411A8"/>
    <w:rsid w:val="52761EB7"/>
    <w:rsid w:val="529607C1"/>
    <w:rsid w:val="529BEA2C"/>
    <w:rsid w:val="529F273F"/>
    <w:rsid w:val="52A153AA"/>
    <w:rsid w:val="52A8218E"/>
    <w:rsid w:val="52AB95E3"/>
    <w:rsid w:val="52AC8C86"/>
    <w:rsid w:val="52AD00D3"/>
    <w:rsid w:val="52AECC64"/>
    <w:rsid w:val="52B23359"/>
    <w:rsid w:val="52B568D2"/>
    <w:rsid w:val="52B5B331"/>
    <w:rsid w:val="52B6700C"/>
    <w:rsid w:val="52C2F252"/>
    <w:rsid w:val="52C73903"/>
    <w:rsid w:val="52CA06D2"/>
    <w:rsid w:val="52CB466A"/>
    <w:rsid w:val="52CE7528"/>
    <w:rsid w:val="52D20FB2"/>
    <w:rsid w:val="52D4F6BC"/>
    <w:rsid w:val="52D58A18"/>
    <w:rsid w:val="52DB766E"/>
    <w:rsid w:val="52DC42FC"/>
    <w:rsid w:val="52DE6D8A"/>
    <w:rsid w:val="52DFD2A8"/>
    <w:rsid w:val="52E394BC"/>
    <w:rsid w:val="52E4BC7B"/>
    <w:rsid w:val="52E6A678"/>
    <w:rsid w:val="52E81CAF"/>
    <w:rsid w:val="52E951ED"/>
    <w:rsid w:val="52EE965C"/>
    <w:rsid w:val="52F07607"/>
    <w:rsid w:val="52F9CB75"/>
    <w:rsid w:val="52FF2B48"/>
    <w:rsid w:val="5303FF54"/>
    <w:rsid w:val="530DEB50"/>
    <w:rsid w:val="53137100"/>
    <w:rsid w:val="531439A3"/>
    <w:rsid w:val="5318C632"/>
    <w:rsid w:val="5322E6FE"/>
    <w:rsid w:val="53263104"/>
    <w:rsid w:val="53277CA0"/>
    <w:rsid w:val="532DB55E"/>
    <w:rsid w:val="533191F0"/>
    <w:rsid w:val="53362120"/>
    <w:rsid w:val="534B1D1C"/>
    <w:rsid w:val="53566FA9"/>
    <w:rsid w:val="5357AF7C"/>
    <w:rsid w:val="53610DCF"/>
    <w:rsid w:val="53642A9B"/>
    <w:rsid w:val="5369A97D"/>
    <w:rsid w:val="536C8905"/>
    <w:rsid w:val="536F9BE4"/>
    <w:rsid w:val="5370396B"/>
    <w:rsid w:val="53719ADC"/>
    <w:rsid w:val="5375A1F5"/>
    <w:rsid w:val="53767A2A"/>
    <w:rsid w:val="5378AF48"/>
    <w:rsid w:val="537914F1"/>
    <w:rsid w:val="53826674"/>
    <w:rsid w:val="53852FE0"/>
    <w:rsid w:val="53903288"/>
    <w:rsid w:val="53908C87"/>
    <w:rsid w:val="5391C395"/>
    <w:rsid w:val="539AE9F3"/>
    <w:rsid w:val="539DBEE4"/>
    <w:rsid w:val="539E4E9B"/>
    <w:rsid w:val="53A0D77B"/>
    <w:rsid w:val="53A0F02D"/>
    <w:rsid w:val="53A4EC9B"/>
    <w:rsid w:val="53A9748F"/>
    <w:rsid w:val="53AC4436"/>
    <w:rsid w:val="53AF901A"/>
    <w:rsid w:val="53B02970"/>
    <w:rsid w:val="53B26F28"/>
    <w:rsid w:val="53B48484"/>
    <w:rsid w:val="53BC785A"/>
    <w:rsid w:val="53BD3EA4"/>
    <w:rsid w:val="53BE9AFC"/>
    <w:rsid w:val="53C270A9"/>
    <w:rsid w:val="53C953DF"/>
    <w:rsid w:val="53CB6AF2"/>
    <w:rsid w:val="53CBCD03"/>
    <w:rsid w:val="53CCC87A"/>
    <w:rsid w:val="53D18610"/>
    <w:rsid w:val="53D91F9A"/>
    <w:rsid w:val="53DC3A3A"/>
    <w:rsid w:val="53DD112A"/>
    <w:rsid w:val="53DFFCBA"/>
    <w:rsid w:val="53E20423"/>
    <w:rsid w:val="53E7C0B1"/>
    <w:rsid w:val="53E986DA"/>
    <w:rsid w:val="53EBFCB5"/>
    <w:rsid w:val="53F755BA"/>
    <w:rsid w:val="53FA74F1"/>
    <w:rsid w:val="53FBB547"/>
    <w:rsid w:val="53FCF1A3"/>
    <w:rsid w:val="5405E18E"/>
    <w:rsid w:val="540C6960"/>
    <w:rsid w:val="540EF035"/>
    <w:rsid w:val="540FA074"/>
    <w:rsid w:val="541265A1"/>
    <w:rsid w:val="541729EC"/>
    <w:rsid w:val="541AD376"/>
    <w:rsid w:val="541BCB13"/>
    <w:rsid w:val="54224E75"/>
    <w:rsid w:val="54225383"/>
    <w:rsid w:val="54253FF8"/>
    <w:rsid w:val="542A5101"/>
    <w:rsid w:val="542B0B57"/>
    <w:rsid w:val="542F5E08"/>
    <w:rsid w:val="543283E7"/>
    <w:rsid w:val="54387EE5"/>
    <w:rsid w:val="543BCD5E"/>
    <w:rsid w:val="543C3EA4"/>
    <w:rsid w:val="544617B0"/>
    <w:rsid w:val="5446824A"/>
    <w:rsid w:val="5447C4B2"/>
    <w:rsid w:val="54494BAD"/>
    <w:rsid w:val="545F8E54"/>
    <w:rsid w:val="5464640B"/>
    <w:rsid w:val="546634B2"/>
    <w:rsid w:val="5469456C"/>
    <w:rsid w:val="546E95F0"/>
    <w:rsid w:val="547A2DF0"/>
    <w:rsid w:val="547E10D9"/>
    <w:rsid w:val="547EDAD7"/>
    <w:rsid w:val="5481FB50"/>
    <w:rsid w:val="54878A36"/>
    <w:rsid w:val="548B84D1"/>
    <w:rsid w:val="548C4030"/>
    <w:rsid w:val="549189CD"/>
    <w:rsid w:val="5493CA75"/>
    <w:rsid w:val="5499FC38"/>
    <w:rsid w:val="54A1A29F"/>
    <w:rsid w:val="54A4FE1E"/>
    <w:rsid w:val="54A5688D"/>
    <w:rsid w:val="54AE42C5"/>
    <w:rsid w:val="54AEEC7D"/>
    <w:rsid w:val="54AF6BEF"/>
    <w:rsid w:val="54B76828"/>
    <w:rsid w:val="54C3DCF2"/>
    <w:rsid w:val="54C7D39E"/>
    <w:rsid w:val="54C832D6"/>
    <w:rsid w:val="54C844EE"/>
    <w:rsid w:val="54CCD12A"/>
    <w:rsid w:val="54CDFB1B"/>
    <w:rsid w:val="54D99E56"/>
    <w:rsid w:val="54DADE12"/>
    <w:rsid w:val="54DB3DA9"/>
    <w:rsid w:val="54DE8A56"/>
    <w:rsid w:val="54E02640"/>
    <w:rsid w:val="54E3F0F7"/>
    <w:rsid w:val="54E6A9F2"/>
    <w:rsid w:val="54E963FA"/>
    <w:rsid w:val="54EB78E6"/>
    <w:rsid w:val="54ED2AC6"/>
    <w:rsid w:val="54EEB637"/>
    <w:rsid w:val="54F24D07"/>
    <w:rsid w:val="54F442B8"/>
    <w:rsid w:val="54FBB3F7"/>
    <w:rsid w:val="54FD2609"/>
    <w:rsid w:val="54FD85A2"/>
    <w:rsid w:val="54FE56C6"/>
    <w:rsid w:val="550169F4"/>
    <w:rsid w:val="550529B9"/>
    <w:rsid w:val="5507B664"/>
    <w:rsid w:val="5508B15A"/>
    <w:rsid w:val="550B0371"/>
    <w:rsid w:val="550B6867"/>
    <w:rsid w:val="55100725"/>
    <w:rsid w:val="5510D45A"/>
    <w:rsid w:val="551DFAC3"/>
    <w:rsid w:val="551E5A63"/>
    <w:rsid w:val="551E7C75"/>
    <w:rsid w:val="5522EB89"/>
    <w:rsid w:val="5523A306"/>
    <w:rsid w:val="5523F6BC"/>
    <w:rsid w:val="55254CC6"/>
    <w:rsid w:val="5528003F"/>
    <w:rsid w:val="552A28E4"/>
    <w:rsid w:val="552C32AD"/>
    <w:rsid w:val="5533352E"/>
    <w:rsid w:val="55366F25"/>
    <w:rsid w:val="5536BA68"/>
    <w:rsid w:val="553B3B82"/>
    <w:rsid w:val="5541F661"/>
    <w:rsid w:val="5545095C"/>
    <w:rsid w:val="554A4C45"/>
    <w:rsid w:val="554C591C"/>
    <w:rsid w:val="555047C0"/>
    <w:rsid w:val="55511E82"/>
    <w:rsid w:val="555667B0"/>
    <w:rsid w:val="55567DAC"/>
    <w:rsid w:val="5558CB2E"/>
    <w:rsid w:val="555F7596"/>
    <w:rsid w:val="5561BCEF"/>
    <w:rsid w:val="5562313F"/>
    <w:rsid w:val="5563403C"/>
    <w:rsid w:val="55636344"/>
    <w:rsid w:val="556BF08A"/>
    <w:rsid w:val="556D102C"/>
    <w:rsid w:val="556E9A0D"/>
    <w:rsid w:val="5570994C"/>
    <w:rsid w:val="558362E9"/>
    <w:rsid w:val="5588A30F"/>
    <w:rsid w:val="5590211B"/>
    <w:rsid w:val="55917CFB"/>
    <w:rsid w:val="55930E01"/>
    <w:rsid w:val="55970312"/>
    <w:rsid w:val="559779BE"/>
    <w:rsid w:val="55981B7B"/>
    <w:rsid w:val="559C59F5"/>
    <w:rsid w:val="559E1646"/>
    <w:rsid w:val="55A6916C"/>
    <w:rsid w:val="55AA0EC6"/>
    <w:rsid w:val="55AC486D"/>
    <w:rsid w:val="55AE509E"/>
    <w:rsid w:val="55AF6226"/>
    <w:rsid w:val="55B33277"/>
    <w:rsid w:val="55B9597C"/>
    <w:rsid w:val="55BA6291"/>
    <w:rsid w:val="55BABE91"/>
    <w:rsid w:val="55BAC8C2"/>
    <w:rsid w:val="55BC3336"/>
    <w:rsid w:val="55BF4146"/>
    <w:rsid w:val="55C4D8A5"/>
    <w:rsid w:val="55C8672B"/>
    <w:rsid w:val="55CA0088"/>
    <w:rsid w:val="55CCD40B"/>
    <w:rsid w:val="55CCF329"/>
    <w:rsid w:val="55CD84AC"/>
    <w:rsid w:val="55CF8580"/>
    <w:rsid w:val="55D1C2DE"/>
    <w:rsid w:val="55D327ED"/>
    <w:rsid w:val="55DB7DD8"/>
    <w:rsid w:val="55DEA307"/>
    <w:rsid w:val="55DF60F8"/>
    <w:rsid w:val="55E47DA8"/>
    <w:rsid w:val="55F25945"/>
    <w:rsid w:val="55F32F1F"/>
    <w:rsid w:val="55F5069C"/>
    <w:rsid w:val="55F5C373"/>
    <w:rsid w:val="55FA9314"/>
    <w:rsid w:val="55FBC5A2"/>
    <w:rsid w:val="55FC63B8"/>
    <w:rsid w:val="55FDB0F9"/>
    <w:rsid w:val="55FE1DB3"/>
    <w:rsid w:val="55FE8B49"/>
    <w:rsid w:val="560E27C2"/>
    <w:rsid w:val="560F1545"/>
    <w:rsid w:val="561082DF"/>
    <w:rsid w:val="561C897A"/>
    <w:rsid w:val="5622B9F4"/>
    <w:rsid w:val="562A29F1"/>
    <w:rsid w:val="56303992"/>
    <w:rsid w:val="5630E20C"/>
    <w:rsid w:val="56320566"/>
    <w:rsid w:val="56332FF6"/>
    <w:rsid w:val="5639BCF4"/>
    <w:rsid w:val="5639FCA2"/>
    <w:rsid w:val="563F0EB0"/>
    <w:rsid w:val="563FAD8B"/>
    <w:rsid w:val="5646023E"/>
    <w:rsid w:val="564CBF26"/>
    <w:rsid w:val="56501B1D"/>
    <w:rsid w:val="566310EF"/>
    <w:rsid w:val="5664A539"/>
    <w:rsid w:val="566C2E75"/>
    <w:rsid w:val="5672A41F"/>
    <w:rsid w:val="567853C1"/>
    <w:rsid w:val="567B4AED"/>
    <w:rsid w:val="5684294D"/>
    <w:rsid w:val="56851CDF"/>
    <w:rsid w:val="56874227"/>
    <w:rsid w:val="568950E7"/>
    <w:rsid w:val="568F2245"/>
    <w:rsid w:val="56958346"/>
    <w:rsid w:val="56973F44"/>
    <w:rsid w:val="5699D863"/>
    <w:rsid w:val="569BF767"/>
    <w:rsid w:val="56A3830F"/>
    <w:rsid w:val="56AADD95"/>
    <w:rsid w:val="56B2078B"/>
    <w:rsid w:val="56B5C083"/>
    <w:rsid w:val="56BA96ED"/>
    <w:rsid w:val="56C237CA"/>
    <w:rsid w:val="56C5F599"/>
    <w:rsid w:val="56D6100A"/>
    <w:rsid w:val="56D78B80"/>
    <w:rsid w:val="56D8B211"/>
    <w:rsid w:val="56D9C485"/>
    <w:rsid w:val="56DAACC3"/>
    <w:rsid w:val="56DE29C7"/>
    <w:rsid w:val="56E3DBE6"/>
    <w:rsid w:val="56E4F65E"/>
    <w:rsid w:val="56E6E5F4"/>
    <w:rsid w:val="56E7EF92"/>
    <w:rsid w:val="56EE6C30"/>
    <w:rsid w:val="56EE7539"/>
    <w:rsid w:val="56EE8A26"/>
    <w:rsid w:val="56F11D74"/>
    <w:rsid w:val="56F1DC6D"/>
    <w:rsid w:val="56F297FF"/>
    <w:rsid w:val="56F2A3A0"/>
    <w:rsid w:val="56F906BC"/>
    <w:rsid w:val="56FBE82F"/>
    <w:rsid w:val="56FD2F24"/>
    <w:rsid w:val="57002D40"/>
    <w:rsid w:val="57071C05"/>
    <w:rsid w:val="570C5A40"/>
    <w:rsid w:val="570C76E9"/>
    <w:rsid w:val="570FA195"/>
    <w:rsid w:val="5711A2D7"/>
    <w:rsid w:val="5714EE0F"/>
    <w:rsid w:val="571577BC"/>
    <w:rsid w:val="5721B150"/>
    <w:rsid w:val="57274029"/>
    <w:rsid w:val="5728B0B9"/>
    <w:rsid w:val="572A15C8"/>
    <w:rsid w:val="572A5AE3"/>
    <w:rsid w:val="5738324C"/>
    <w:rsid w:val="573C144A"/>
    <w:rsid w:val="573E54C5"/>
    <w:rsid w:val="5742DDF2"/>
    <w:rsid w:val="5743B01E"/>
    <w:rsid w:val="5748E86A"/>
    <w:rsid w:val="574993B2"/>
    <w:rsid w:val="5752B244"/>
    <w:rsid w:val="5752BBB7"/>
    <w:rsid w:val="575363D1"/>
    <w:rsid w:val="57582F21"/>
    <w:rsid w:val="5762E54C"/>
    <w:rsid w:val="57658095"/>
    <w:rsid w:val="576626AF"/>
    <w:rsid w:val="5768E131"/>
    <w:rsid w:val="576B8F14"/>
    <w:rsid w:val="576D5298"/>
    <w:rsid w:val="57739ED6"/>
    <w:rsid w:val="57747CD6"/>
    <w:rsid w:val="577A3A31"/>
    <w:rsid w:val="577CBE8A"/>
    <w:rsid w:val="577E989F"/>
    <w:rsid w:val="577FBDD8"/>
    <w:rsid w:val="5781550D"/>
    <w:rsid w:val="5784936B"/>
    <w:rsid w:val="5785215A"/>
    <w:rsid w:val="5786633B"/>
    <w:rsid w:val="5787C3EF"/>
    <w:rsid w:val="5789EC66"/>
    <w:rsid w:val="578D929C"/>
    <w:rsid w:val="5792008B"/>
    <w:rsid w:val="5792B82C"/>
    <w:rsid w:val="5799EE14"/>
    <w:rsid w:val="579B4F76"/>
    <w:rsid w:val="579C4B01"/>
    <w:rsid w:val="57A01B72"/>
    <w:rsid w:val="57A079BD"/>
    <w:rsid w:val="57A23845"/>
    <w:rsid w:val="57A3EE8D"/>
    <w:rsid w:val="57A59ABE"/>
    <w:rsid w:val="57A5DAE4"/>
    <w:rsid w:val="57A9DF2D"/>
    <w:rsid w:val="57B1C37B"/>
    <w:rsid w:val="57B509F0"/>
    <w:rsid w:val="57B82D9E"/>
    <w:rsid w:val="57BBBFC1"/>
    <w:rsid w:val="57C0C8EE"/>
    <w:rsid w:val="57C1F8F1"/>
    <w:rsid w:val="57C3E550"/>
    <w:rsid w:val="57C40625"/>
    <w:rsid w:val="57D530E5"/>
    <w:rsid w:val="57D5481F"/>
    <w:rsid w:val="57D6E476"/>
    <w:rsid w:val="57D7F991"/>
    <w:rsid w:val="57D85F33"/>
    <w:rsid w:val="57DAEB39"/>
    <w:rsid w:val="57DD094F"/>
    <w:rsid w:val="57DD2B91"/>
    <w:rsid w:val="57E6A26D"/>
    <w:rsid w:val="57E7D1A0"/>
    <w:rsid w:val="57EE778C"/>
    <w:rsid w:val="57F262D0"/>
    <w:rsid w:val="57F2E202"/>
    <w:rsid w:val="57F43BA5"/>
    <w:rsid w:val="57F617FE"/>
    <w:rsid w:val="57F6F809"/>
    <w:rsid w:val="57F80F89"/>
    <w:rsid w:val="57FA1BF3"/>
    <w:rsid w:val="57FCE16E"/>
    <w:rsid w:val="58023CE7"/>
    <w:rsid w:val="580524D1"/>
    <w:rsid w:val="58091D5A"/>
    <w:rsid w:val="580BCAC2"/>
    <w:rsid w:val="580EAC66"/>
    <w:rsid w:val="5812DE6B"/>
    <w:rsid w:val="58150162"/>
    <w:rsid w:val="58152A05"/>
    <w:rsid w:val="581B91B9"/>
    <w:rsid w:val="5824D8EE"/>
    <w:rsid w:val="583257CD"/>
    <w:rsid w:val="58365686"/>
    <w:rsid w:val="583962E3"/>
    <w:rsid w:val="583AF422"/>
    <w:rsid w:val="5841C220"/>
    <w:rsid w:val="58446301"/>
    <w:rsid w:val="584CF090"/>
    <w:rsid w:val="58542EE4"/>
    <w:rsid w:val="58545C70"/>
    <w:rsid w:val="585AF544"/>
    <w:rsid w:val="586363D4"/>
    <w:rsid w:val="5868C2AB"/>
    <w:rsid w:val="586904FA"/>
    <w:rsid w:val="5869CEA1"/>
    <w:rsid w:val="586D240B"/>
    <w:rsid w:val="586D6778"/>
    <w:rsid w:val="586E52BB"/>
    <w:rsid w:val="5874C898"/>
    <w:rsid w:val="58761DBD"/>
    <w:rsid w:val="587883B3"/>
    <w:rsid w:val="5879696F"/>
    <w:rsid w:val="587A76E9"/>
    <w:rsid w:val="58812B92"/>
    <w:rsid w:val="588723AA"/>
    <w:rsid w:val="58895911"/>
    <w:rsid w:val="588A1397"/>
    <w:rsid w:val="588DE2DD"/>
    <w:rsid w:val="588F20DB"/>
    <w:rsid w:val="589099A6"/>
    <w:rsid w:val="5894A333"/>
    <w:rsid w:val="58963507"/>
    <w:rsid w:val="5897F313"/>
    <w:rsid w:val="589BD68A"/>
    <w:rsid w:val="589C3408"/>
    <w:rsid w:val="589C4319"/>
    <w:rsid w:val="589C6902"/>
    <w:rsid w:val="58A5E558"/>
    <w:rsid w:val="58B2F133"/>
    <w:rsid w:val="58BD84A8"/>
    <w:rsid w:val="58BE3478"/>
    <w:rsid w:val="58BFF887"/>
    <w:rsid w:val="58C0A5B1"/>
    <w:rsid w:val="58C1138D"/>
    <w:rsid w:val="58C1D342"/>
    <w:rsid w:val="58C2F78E"/>
    <w:rsid w:val="58C69CC6"/>
    <w:rsid w:val="58D635E3"/>
    <w:rsid w:val="58D7675B"/>
    <w:rsid w:val="58DB33ED"/>
    <w:rsid w:val="58DB71F5"/>
    <w:rsid w:val="58DCC112"/>
    <w:rsid w:val="58DE7BE1"/>
    <w:rsid w:val="58E49D8D"/>
    <w:rsid w:val="58E7C3FE"/>
    <w:rsid w:val="58ECF609"/>
    <w:rsid w:val="58F037C8"/>
    <w:rsid w:val="58F0FA3E"/>
    <w:rsid w:val="58FADAF1"/>
    <w:rsid w:val="58FAE09C"/>
    <w:rsid w:val="590150F6"/>
    <w:rsid w:val="5901B0E1"/>
    <w:rsid w:val="590262A0"/>
    <w:rsid w:val="59049B05"/>
    <w:rsid w:val="5906FEBE"/>
    <w:rsid w:val="5907D43E"/>
    <w:rsid w:val="590827E3"/>
    <w:rsid w:val="5909726D"/>
    <w:rsid w:val="590EB6A8"/>
    <w:rsid w:val="5918FFEE"/>
    <w:rsid w:val="591DDD08"/>
    <w:rsid w:val="591E8927"/>
    <w:rsid w:val="591F6A24"/>
    <w:rsid w:val="5921B68C"/>
    <w:rsid w:val="59222BF3"/>
    <w:rsid w:val="59226412"/>
    <w:rsid w:val="593496DF"/>
    <w:rsid w:val="5935BE75"/>
    <w:rsid w:val="593A74B2"/>
    <w:rsid w:val="593BEBAF"/>
    <w:rsid w:val="593FADEF"/>
    <w:rsid w:val="594D2067"/>
    <w:rsid w:val="594ECB23"/>
    <w:rsid w:val="5951142A"/>
    <w:rsid w:val="59535710"/>
    <w:rsid w:val="5956B211"/>
    <w:rsid w:val="595B9067"/>
    <w:rsid w:val="595B90F3"/>
    <w:rsid w:val="595C2674"/>
    <w:rsid w:val="595CEF4E"/>
    <w:rsid w:val="595EF541"/>
    <w:rsid w:val="596122CE"/>
    <w:rsid w:val="5969503A"/>
    <w:rsid w:val="59714BA8"/>
    <w:rsid w:val="59742F94"/>
    <w:rsid w:val="59755CD3"/>
    <w:rsid w:val="597DC110"/>
    <w:rsid w:val="5982BC7A"/>
    <w:rsid w:val="5983F3BD"/>
    <w:rsid w:val="5985C91A"/>
    <w:rsid w:val="598A5491"/>
    <w:rsid w:val="598AF345"/>
    <w:rsid w:val="598E1304"/>
    <w:rsid w:val="5990EAAE"/>
    <w:rsid w:val="59A04B26"/>
    <w:rsid w:val="59A09352"/>
    <w:rsid w:val="59A20797"/>
    <w:rsid w:val="59A50EC4"/>
    <w:rsid w:val="59A62FC8"/>
    <w:rsid w:val="59A68C17"/>
    <w:rsid w:val="59A7D5C4"/>
    <w:rsid w:val="59AB576B"/>
    <w:rsid w:val="59AF37E0"/>
    <w:rsid w:val="59B126D8"/>
    <w:rsid w:val="59B2E7A7"/>
    <w:rsid w:val="59B455D5"/>
    <w:rsid w:val="59B6F149"/>
    <w:rsid w:val="59BCA923"/>
    <w:rsid w:val="59CC8CD3"/>
    <w:rsid w:val="59CDF4CA"/>
    <w:rsid w:val="59D13765"/>
    <w:rsid w:val="59D1DD65"/>
    <w:rsid w:val="59D60B66"/>
    <w:rsid w:val="59DB3179"/>
    <w:rsid w:val="59DCCFAB"/>
    <w:rsid w:val="59E471AA"/>
    <w:rsid w:val="59E78EAD"/>
    <w:rsid w:val="59EF2952"/>
    <w:rsid w:val="59F13130"/>
    <w:rsid w:val="59F7219A"/>
    <w:rsid w:val="59F7D3A0"/>
    <w:rsid w:val="59F885FF"/>
    <w:rsid w:val="59FA8674"/>
    <w:rsid w:val="59FCB972"/>
    <w:rsid w:val="59FD23A8"/>
    <w:rsid w:val="59FE9494"/>
    <w:rsid w:val="5A072BE3"/>
    <w:rsid w:val="5A0E55D6"/>
    <w:rsid w:val="5A159BE4"/>
    <w:rsid w:val="5A1E86B6"/>
    <w:rsid w:val="5A1ED19E"/>
    <w:rsid w:val="5A289D30"/>
    <w:rsid w:val="5A2C6D56"/>
    <w:rsid w:val="5A3155B7"/>
    <w:rsid w:val="5A3164E0"/>
    <w:rsid w:val="5A332627"/>
    <w:rsid w:val="5A352E12"/>
    <w:rsid w:val="5A3D3FA7"/>
    <w:rsid w:val="5A4381DE"/>
    <w:rsid w:val="5A47C3EC"/>
    <w:rsid w:val="5A536ECE"/>
    <w:rsid w:val="5A541891"/>
    <w:rsid w:val="5A604F7B"/>
    <w:rsid w:val="5A612686"/>
    <w:rsid w:val="5A64605E"/>
    <w:rsid w:val="5A655BDE"/>
    <w:rsid w:val="5A739902"/>
    <w:rsid w:val="5A74C5FA"/>
    <w:rsid w:val="5A7BFF65"/>
    <w:rsid w:val="5A7CCBAE"/>
    <w:rsid w:val="5A818B89"/>
    <w:rsid w:val="5A84F05C"/>
    <w:rsid w:val="5A8E87D2"/>
    <w:rsid w:val="5A91BBCF"/>
    <w:rsid w:val="5A9A3B2C"/>
    <w:rsid w:val="5A9DD0E6"/>
    <w:rsid w:val="5AA41944"/>
    <w:rsid w:val="5AA59A23"/>
    <w:rsid w:val="5AA8BA6B"/>
    <w:rsid w:val="5AAB3F98"/>
    <w:rsid w:val="5AAF9003"/>
    <w:rsid w:val="5AB1869A"/>
    <w:rsid w:val="5AB2B3F6"/>
    <w:rsid w:val="5AB2E072"/>
    <w:rsid w:val="5AB6A151"/>
    <w:rsid w:val="5AB76F40"/>
    <w:rsid w:val="5ABE3776"/>
    <w:rsid w:val="5AC0BCDC"/>
    <w:rsid w:val="5AC168C0"/>
    <w:rsid w:val="5AC33826"/>
    <w:rsid w:val="5AC3F93A"/>
    <w:rsid w:val="5AC49BB5"/>
    <w:rsid w:val="5AC4FEDD"/>
    <w:rsid w:val="5AC98B2D"/>
    <w:rsid w:val="5AD1B31E"/>
    <w:rsid w:val="5AD26E79"/>
    <w:rsid w:val="5AD8E769"/>
    <w:rsid w:val="5AE1F093"/>
    <w:rsid w:val="5AE69D1B"/>
    <w:rsid w:val="5AE6EFE7"/>
    <w:rsid w:val="5AE925C5"/>
    <w:rsid w:val="5AEE2C3B"/>
    <w:rsid w:val="5AEF54F3"/>
    <w:rsid w:val="5AF12E28"/>
    <w:rsid w:val="5AF3BA0E"/>
    <w:rsid w:val="5AF6174D"/>
    <w:rsid w:val="5AF85A9D"/>
    <w:rsid w:val="5AF9AC9A"/>
    <w:rsid w:val="5AFB4A40"/>
    <w:rsid w:val="5AFFEFA3"/>
    <w:rsid w:val="5B06B2CB"/>
    <w:rsid w:val="5B08F80C"/>
    <w:rsid w:val="5B0F8269"/>
    <w:rsid w:val="5B174D7B"/>
    <w:rsid w:val="5B1954BC"/>
    <w:rsid w:val="5B1A4C5F"/>
    <w:rsid w:val="5B1C7EEB"/>
    <w:rsid w:val="5B1FC41E"/>
    <w:rsid w:val="5B25FC22"/>
    <w:rsid w:val="5B299A74"/>
    <w:rsid w:val="5B2CBA46"/>
    <w:rsid w:val="5B308F95"/>
    <w:rsid w:val="5B344442"/>
    <w:rsid w:val="5B436EDB"/>
    <w:rsid w:val="5B4C48E9"/>
    <w:rsid w:val="5B4CD270"/>
    <w:rsid w:val="5B4D804B"/>
    <w:rsid w:val="5B4F1970"/>
    <w:rsid w:val="5B510E20"/>
    <w:rsid w:val="5B592119"/>
    <w:rsid w:val="5B5BFA3D"/>
    <w:rsid w:val="5B5DA225"/>
    <w:rsid w:val="5B60DCC4"/>
    <w:rsid w:val="5B629368"/>
    <w:rsid w:val="5B6CB100"/>
    <w:rsid w:val="5B74B2E4"/>
    <w:rsid w:val="5B769523"/>
    <w:rsid w:val="5B7701DA"/>
    <w:rsid w:val="5B774188"/>
    <w:rsid w:val="5B77492A"/>
    <w:rsid w:val="5B7DAF04"/>
    <w:rsid w:val="5B7E8FB8"/>
    <w:rsid w:val="5B8151E1"/>
    <w:rsid w:val="5B81B082"/>
    <w:rsid w:val="5B8782C7"/>
    <w:rsid w:val="5B9153FC"/>
    <w:rsid w:val="5B927A38"/>
    <w:rsid w:val="5B92AA3D"/>
    <w:rsid w:val="5B940EB6"/>
    <w:rsid w:val="5B9C38AA"/>
    <w:rsid w:val="5B9DAE7B"/>
    <w:rsid w:val="5B9FA431"/>
    <w:rsid w:val="5BA15346"/>
    <w:rsid w:val="5BAD23B3"/>
    <w:rsid w:val="5BB0B7A1"/>
    <w:rsid w:val="5BB3641C"/>
    <w:rsid w:val="5BB577B5"/>
    <w:rsid w:val="5BBCF22B"/>
    <w:rsid w:val="5BBEB357"/>
    <w:rsid w:val="5BC122E6"/>
    <w:rsid w:val="5BC3739E"/>
    <w:rsid w:val="5BC42A56"/>
    <w:rsid w:val="5BCF9961"/>
    <w:rsid w:val="5BD49C56"/>
    <w:rsid w:val="5BD4BEC4"/>
    <w:rsid w:val="5BDCB53A"/>
    <w:rsid w:val="5BDE22B0"/>
    <w:rsid w:val="5BE78D27"/>
    <w:rsid w:val="5BE9CA4A"/>
    <w:rsid w:val="5BEADC4C"/>
    <w:rsid w:val="5BEB9C2F"/>
    <w:rsid w:val="5BEBCFE5"/>
    <w:rsid w:val="5BF20368"/>
    <w:rsid w:val="5BF7D9B7"/>
    <w:rsid w:val="5BFE25B3"/>
    <w:rsid w:val="5C06CB52"/>
    <w:rsid w:val="5C0942AF"/>
    <w:rsid w:val="5C0E41D2"/>
    <w:rsid w:val="5C10BB40"/>
    <w:rsid w:val="5C11C5E8"/>
    <w:rsid w:val="5C11D179"/>
    <w:rsid w:val="5C1293DC"/>
    <w:rsid w:val="5C1B2301"/>
    <w:rsid w:val="5C21D84A"/>
    <w:rsid w:val="5C2AB21D"/>
    <w:rsid w:val="5C2F1B9B"/>
    <w:rsid w:val="5C318A3E"/>
    <w:rsid w:val="5C32807E"/>
    <w:rsid w:val="5C345EB7"/>
    <w:rsid w:val="5C387F07"/>
    <w:rsid w:val="5C3951A3"/>
    <w:rsid w:val="5C3C864D"/>
    <w:rsid w:val="5C4449B1"/>
    <w:rsid w:val="5C4719CB"/>
    <w:rsid w:val="5C47981D"/>
    <w:rsid w:val="5C4C161D"/>
    <w:rsid w:val="5C4E3D8B"/>
    <w:rsid w:val="5C532EFB"/>
    <w:rsid w:val="5C53BF2C"/>
    <w:rsid w:val="5C53D828"/>
    <w:rsid w:val="5C5A0D65"/>
    <w:rsid w:val="5C5BFD06"/>
    <w:rsid w:val="5C631A51"/>
    <w:rsid w:val="5C633B3A"/>
    <w:rsid w:val="5C6A0998"/>
    <w:rsid w:val="5C73914B"/>
    <w:rsid w:val="5C745B1D"/>
    <w:rsid w:val="5C781709"/>
    <w:rsid w:val="5C7AA33E"/>
    <w:rsid w:val="5C7BA8E9"/>
    <w:rsid w:val="5C7E9093"/>
    <w:rsid w:val="5C853FD5"/>
    <w:rsid w:val="5C8BA254"/>
    <w:rsid w:val="5C8D34B1"/>
    <w:rsid w:val="5C8F8EED"/>
    <w:rsid w:val="5C947B9C"/>
    <w:rsid w:val="5C94EAA6"/>
    <w:rsid w:val="5C971AA1"/>
    <w:rsid w:val="5C9B36AD"/>
    <w:rsid w:val="5C9C1B65"/>
    <w:rsid w:val="5C9D0E2D"/>
    <w:rsid w:val="5CA17AE3"/>
    <w:rsid w:val="5CA7098E"/>
    <w:rsid w:val="5CA951B0"/>
    <w:rsid w:val="5CAA8723"/>
    <w:rsid w:val="5CAAB077"/>
    <w:rsid w:val="5CB0D2AC"/>
    <w:rsid w:val="5CB1A1EF"/>
    <w:rsid w:val="5CB244CB"/>
    <w:rsid w:val="5CB34DBD"/>
    <w:rsid w:val="5CB3B11E"/>
    <w:rsid w:val="5CB76C31"/>
    <w:rsid w:val="5CBC3A41"/>
    <w:rsid w:val="5CC06976"/>
    <w:rsid w:val="5CCC939D"/>
    <w:rsid w:val="5CCCEFD3"/>
    <w:rsid w:val="5CD59EF2"/>
    <w:rsid w:val="5CD928DA"/>
    <w:rsid w:val="5CE12A22"/>
    <w:rsid w:val="5CE17D22"/>
    <w:rsid w:val="5CEEA539"/>
    <w:rsid w:val="5CEFE831"/>
    <w:rsid w:val="5CFAE702"/>
    <w:rsid w:val="5D021AED"/>
    <w:rsid w:val="5D05BACA"/>
    <w:rsid w:val="5D05DE5B"/>
    <w:rsid w:val="5D09C7A9"/>
    <w:rsid w:val="5D0A7AF6"/>
    <w:rsid w:val="5D0C9F20"/>
    <w:rsid w:val="5D10EF30"/>
    <w:rsid w:val="5D1149DB"/>
    <w:rsid w:val="5D12F437"/>
    <w:rsid w:val="5D1A302A"/>
    <w:rsid w:val="5D2C358A"/>
    <w:rsid w:val="5D2E230C"/>
    <w:rsid w:val="5D3B1FEF"/>
    <w:rsid w:val="5D41A853"/>
    <w:rsid w:val="5D43A514"/>
    <w:rsid w:val="5D474D09"/>
    <w:rsid w:val="5D515F7A"/>
    <w:rsid w:val="5D52401B"/>
    <w:rsid w:val="5D544579"/>
    <w:rsid w:val="5D584A7A"/>
    <w:rsid w:val="5D590F0E"/>
    <w:rsid w:val="5D62D1B0"/>
    <w:rsid w:val="5D647C44"/>
    <w:rsid w:val="5D64EDAD"/>
    <w:rsid w:val="5D66F17E"/>
    <w:rsid w:val="5D6C7B72"/>
    <w:rsid w:val="5D7B6469"/>
    <w:rsid w:val="5D7B9846"/>
    <w:rsid w:val="5D7C2DAC"/>
    <w:rsid w:val="5D7E9DA2"/>
    <w:rsid w:val="5D854D7F"/>
    <w:rsid w:val="5D895216"/>
    <w:rsid w:val="5D922F82"/>
    <w:rsid w:val="5D9364DA"/>
    <w:rsid w:val="5D954465"/>
    <w:rsid w:val="5D958098"/>
    <w:rsid w:val="5D9BF5C2"/>
    <w:rsid w:val="5DA1B53E"/>
    <w:rsid w:val="5DA478F4"/>
    <w:rsid w:val="5DB748B9"/>
    <w:rsid w:val="5DB82FF0"/>
    <w:rsid w:val="5DB9A8C2"/>
    <w:rsid w:val="5DBB54E5"/>
    <w:rsid w:val="5DBEB652"/>
    <w:rsid w:val="5DC0B22D"/>
    <w:rsid w:val="5DC24E89"/>
    <w:rsid w:val="5DC8B9BF"/>
    <w:rsid w:val="5DD36B4C"/>
    <w:rsid w:val="5DD3B607"/>
    <w:rsid w:val="5DD3CA1A"/>
    <w:rsid w:val="5DD9E5BE"/>
    <w:rsid w:val="5DDDF200"/>
    <w:rsid w:val="5DDFDA0B"/>
    <w:rsid w:val="5DE0F56B"/>
    <w:rsid w:val="5DEB2F25"/>
    <w:rsid w:val="5DF107D0"/>
    <w:rsid w:val="5DF3486B"/>
    <w:rsid w:val="5DF48289"/>
    <w:rsid w:val="5DF92219"/>
    <w:rsid w:val="5DF94392"/>
    <w:rsid w:val="5E04457F"/>
    <w:rsid w:val="5E0525D2"/>
    <w:rsid w:val="5E0844E7"/>
    <w:rsid w:val="5E0B45FA"/>
    <w:rsid w:val="5E123F20"/>
    <w:rsid w:val="5E19E909"/>
    <w:rsid w:val="5E1BD427"/>
    <w:rsid w:val="5E1D0695"/>
    <w:rsid w:val="5E2104FF"/>
    <w:rsid w:val="5E23A5B4"/>
    <w:rsid w:val="5E26F94F"/>
    <w:rsid w:val="5E2B3724"/>
    <w:rsid w:val="5E323027"/>
    <w:rsid w:val="5E35162A"/>
    <w:rsid w:val="5E396417"/>
    <w:rsid w:val="5E3ADE64"/>
    <w:rsid w:val="5E46BDCE"/>
    <w:rsid w:val="5E49C304"/>
    <w:rsid w:val="5E4A39F6"/>
    <w:rsid w:val="5E68101F"/>
    <w:rsid w:val="5E69C479"/>
    <w:rsid w:val="5E6A79B1"/>
    <w:rsid w:val="5E6C226D"/>
    <w:rsid w:val="5E6DFC05"/>
    <w:rsid w:val="5E73B74A"/>
    <w:rsid w:val="5E7868DF"/>
    <w:rsid w:val="5E78DAE5"/>
    <w:rsid w:val="5E7BD5C3"/>
    <w:rsid w:val="5E7EC73F"/>
    <w:rsid w:val="5E7FF834"/>
    <w:rsid w:val="5E810BCD"/>
    <w:rsid w:val="5E86D59E"/>
    <w:rsid w:val="5E8AEB2A"/>
    <w:rsid w:val="5E8DF47F"/>
    <w:rsid w:val="5E8F90A3"/>
    <w:rsid w:val="5E8FB302"/>
    <w:rsid w:val="5E91945B"/>
    <w:rsid w:val="5E977510"/>
    <w:rsid w:val="5E9839EB"/>
    <w:rsid w:val="5E989D50"/>
    <w:rsid w:val="5EA1FCB2"/>
    <w:rsid w:val="5EA495F9"/>
    <w:rsid w:val="5EA5BE52"/>
    <w:rsid w:val="5EAB2BFA"/>
    <w:rsid w:val="5EB0D04C"/>
    <w:rsid w:val="5EB10E6B"/>
    <w:rsid w:val="5EB29A6B"/>
    <w:rsid w:val="5EB6008B"/>
    <w:rsid w:val="5EB72523"/>
    <w:rsid w:val="5EBA74A1"/>
    <w:rsid w:val="5EC5540A"/>
    <w:rsid w:val="5ED12D00"/>
    <w:rsid w:val="5ED2D363"/>
    <w:rsid w:val="5ED7B732"/>
    <w:rsid w:val="5EDD9B61"/>
    <w:rsid w:val="5EDF7238"/>
    <w:rsid w:val="5EE4330B"/>
    <w:rsid w:val="5EE6E371"/>
    <w:rsid w:val="5EE9F003"/>
    <w:rsid w:val="5EEA9E38"/>
    <w:rsid w:val="5EEB688F"/>
    <w:rsid w:val="5EFFDE79"/>
    <w:rsid w:val="5F07CBFF"/>
    <w:rsid w:val="5F132924"/>
    <w:rsid w:val="5F13A079"/>
    <w:rsid w:val="5F14812D"/>
    <w:rsid w:val="5F1BD547"/>
    <w:rsid w:val="5F1EC438"/>
    <w:rsid w:val="5F1F238C"/>
    <w:rsid w:val="5F2C4E19"/>
    <w:rsid w:val="5F2CAA83"/>
    <w:rsid w:val="5F2EBA50"/>
    <w:rsid w:val="5F303174"/>
    <w:rsid w:val="5F328FEE"/>
    <w:rsid w:val="5F369CE2"/>
    <w:rsid w:val="5F3BB943"/>
    <w:rsid w:val="5F3D675F"/>
    <w:rsid w:val="5F3F1BFC"/>
    <w:rsid w:val="5F42B2C5"/>
    <w:rsid w:val="5F44513A"/>
    <w:rsid w:val="5F44AD4B"/>
    <w:rsid w:val="5F44B7EA"/>
    <w:rsid w:val="5F4F934B"/>
    <w:rsid w:val="5F509342"/>
    <w:rsid w:val="5F53FA4F"/>
    <w:rsid w:val="5F5B0C39"/>
    <w:rsid w:val="5F5B4A40"/>
    <w:rsid w:val="5F5EFCA8"/>
    <w:rsid w:val="5F5F97EA"/>
    <w:rsid w:val="5F67F705"/>
    <w:rsid w:val="5F68FABD"/>
    <w:rsid w:val="5F694049"/>
    <w:rsid w:val="5F6B24FA"/>
    <w:rsid w:val="5F6C3F83"/>
    <w:rsid w:val="5F6CF223"/>
    <w:rsid w:val="5F6DB4F6"/>
    <w:rsid w:val="5F706D68"/>
    <w:rsid w:val="5F70927A"/>
    <w:rsid w:val="5F73C2D5"/>
    <w:rsid w:val="5F787BBC"/>
    <w:rsid w:val="5F7962CC"/>
    <w:rsid w:val="5F7E70AB"/>
    <w:rsid w:val="5F7FFFA4"/>
    <w:rsid w:val="5F817A46"/>
    <w:rsid w:val="5F8A7DED"/>
    <w:rsid w:val="5F924283"/>
    <w:rsid w:val="5F93EBDA"/>
    <w:rsid w:val="5F950F37"/>
    <w:rsid w:val="5F973F62"/>
    <w:rsid w:val="5F97AD8B"/>
    <w:rsid w:val="5F9EF3A6"/>
    <w:rsid w:val="5FA149D5"/>
    <w:rsid w:val="5FA526B1"/>
    <w:rsid w:val="5FA86D97"/>
    <w:rsid w:val="5FAD3D4A"/>
    <w:rsid w:val="5FAF8B08"/>
    <w:rsid w:val="5FB372E3"/>
    <w:rsid w:val="5FB5CC15"/>
    <w:rsid w:val="5FB65FC1"/>
    <w:rsid w:val="5FB71E20"/>
    <w:rsid w:val="5FBC380C"/>
    <w:rsid w:val="5FBCD560"/>
    <w:rsid w:val="5FBEC16D"/>
    <w:rsid w:val="5FC2B94A"/>
    <w:rsid w:val="5FC47114"/>
    <w:rsid w:val="5FC53B48"/>
    <w:rsid w:val="5FC7837C"/>
    <w:rsid w:val="5FCE7E4F"/>
    <w:rsid w:val="5FCF535A"/>
    <w:rsid w:val="5FCFC034"/>
    <w:rsid w:val="5FD0467D"/>
    <w:rsid w:val="5FD17C8E"/>
    <w:rsid w:val="5FD6A8E9"/>
    <w:rsid w:val="5FDE6AA2"/>
    <w:rsid w:val="5FE44D21"/>
    <w:rsid w:val="5FE75302"/>
    <w:rsid w:val="5FEE3047"/>
    <w:rsid w:val="5FEFB6CC"/>
    <w:rsid w:val="5FEFD82E"/>
    <w:rsid w:val="5FF0F56C"/>
    <w:rsid w:val="5FF8D207"/>
    <w:rsid w:val="600CA6E2"/>
    <w:rsid w:val="600CC9C9"/>
    <w:rsid w:val="601293B4"/>
    <w:rsid w:val="60167B14"/>
    <w:rsid w:val="6019A8BA"/>
    <w:rsid w:val="602059E1"/>
    <w:rsid w:val="6021BCA5"/>
    <w:rsid w:val="60224920"/>
    <w:rsid w:val="60231310"/>
    <w:rsid w:val="60266B92"/>
    <w:rsid w:val="6026BB8B"/>
    <w:rsid w:val="602D2031"/>
    <w:rsid w:val="602EABAF"/>
    <w:rsid w:val="60337995"/>
    <w:rsid w:val="603B65D6"/>
    <w:rsid w:val="603C0089"/>
    <w:rsid w:val="603D1CA5"/>
    <w:rsid w:val="603D61AB"/>
    <w:rsid w:val="6041B900"/>
    <w:rsid w:val="6042068B"/>
    <w:rsid w:val="60462D88"/>
    <w:rsid w:val="604A0608"/>
    <w:rsid w:val="60507026"/>
    <w:rsid w:val="605C8C87"/>
    <w:rsid w:val="605DE72B"/>
    <w:rsid w:val="605F286D"/>
    <w:rsid w:val="606A3DBE"/>
    <w:rsid w:val="606DDEBC"/>
    <w:rsid w:val="60729B05"/>
    <w:rsid w:val="6074A8EB"/>
    <w:rsid w:val="6075876B"/>
    <w:rsid w:val="607F22E1"/>
    <w:rsid w:val="6082674F"/>
    <w:rsid w:val="6085B57D"/>
    <w:rsid w:val="60867810"/>
    <w:rsid w:val="608D5D49"/>
    <w:rsid w:val="6091A035"/>
    <w:rsid w:val="6095D46B"/>
    <w:rsid w:val="60984996"/>
    <w:rsid w:val="6098E9A4"/>
    <w:rsid w:val="609E0A53"/>
    <w:rsid w:val="609EB198"/>
    <w:rsid w:val="609FDEED"/>
    <w:rsid w:val="60A26A9D"/>
    <w:rsid w:val="60A2C0E6"/>
    <w:rsid w:val="60B1C902"/>
    <w:rsid w:val="60B231E3"/>
    <w:rsid w:val="60B25FCD"/>
    <w:rsid w:val="60B33908"/>
    <w:rsid w:val="60B6EDF6"/>
    <w:rsid w:val="60B6FFE9"/>
    <w:rsid w:val="60BC8951"/>
    <w:rsid w:val="60C64548"/>
    <w:rsid w:val="60C79366"/>
    <w:rsid w:val="60D7515E"/>
    <w:rsid w:val="60DCA5A0"/>
    <w:rsid w:val="60DF6477"/>
    <w:rsid w:val="60E07DAC"/>
    <w:rsid w:val="60E0D9EF"/>
    <w:rsid w:val="60E0F123"/>
    <w:rsid w:val="60E88B42"/>
    <w:rsid w:val="60EB1CFD"/>
    <w:rsid w:val="60F0665E"/>
    <w:rsid w:val="60F200B3"/>
    <w:rsid w:val="60F3D117"/>
    <w:rsid w:val="60FB5BF5"/>
    <w:rsid w:val="60FFFFDC"/>
    <w:rsid w:val="6104341A"/>
    <w:rsid w:val="61056200"/>
    <w:rsid w:val="610631CA"/>
    <w:rsid w:val="6107C84C"/>
    <w:rsid w:val="6108E4C5"/>
    <w:rsid w:val="611407F6"/>
    <w:rsid w:val="61179A7E"/>
    <w:rsid w:val="611A4171"/>
    <w:rsid w:val="611E40CD"/>
    <w:rsid w:val="6120C81E"/>
    <w:rsid w:val="6124346B"/>
    <w:rsid w:val="6124BA02"/>
    <w:rsid w:val="61251704"/>
    <w:rsid w:val="61264917"/>
    <w:rsid w:val="6126D78A"/>
    <w:rsid w:val="61294334"/>
    <w:rsid w:val="61333A08"/>
    <w:rsid w:val="6146BB06"/>
    <w:rsid w:val="615049AF"/>
    <w:rsid w:val="6153DC15"/>
    <w:rsid w:val="61556E81"/>
    <w:rsid w:val="6157FCDD"/>
    <w:rsid w:val="615894F0"/>
    <w:rsid w:val="6159E0B1"/>
    <w:rsid w:val="615F1748"/>
    <w:rsid w:val="6161C3F6"/>
    <w:rsid w:val="6161EBF2"/>
    <w:rsid w:val="6166191C"/>
    <w:rsid w:val="6169F266"/>
    <w:rsid w:val="616C2BE1"/>
    <w:rsid w:val="616E4151"/>
    <w:rsid w:val="61736334"/>
    <w:rsid w:val="617790EC"/>
    <w:rsid w:val="617A4399"/>
    <w:rsid w:val="617DC9E6"/>
    <w:rsid w:val="6180EA29"/>
    <w:rsid w:val="61824870"/>
    <w:rsid w:val="61881943"/>
    <w:rsid w:val="618D282C"/>
    <w:rsid w:val="61913C48"/>
    <w:rsid w:val="6199A0B7"/>
    <w:rsid w:val="61A16F9E"/>
    <w:rsid w:val="61A813E1"/>
    <w:rsid w:val="61ADBEBE"/>
    <w:rsid w:val="61AE06BD"/>
    <w:rsid w:val="61B28111"/>
    <w:rsid w:val="61B3D876"/>
    <w:rsid w:val="61BB9F2B"/>
    <w:rsid w:val="61BEE371"/>
    <w:rsid w:val="61C06584"/>
    <w:rsid w:val="61CE2931"/>
    <w:rsid w:val="61CF15D2"/>
    <w:rsid w:val="61D43BB9"/>
    <w:rsid w:val="61D5B922"/>
    <w:rsid w:val="61D6D6D2"/>
    <w:rsid w:val="61D758FF"/>
    <w:rsid w:val="61D9320C"/>
    <w:rsid w:val="61DA256B"/>
    <w:rsid w:val="61DE8428"/>
    <w:rsid w:val="61E0910C"/>
    <w:rsid w:val="61E10E49"/>
    <w:rsid w:val="61E1E8B1"/>
    <w:rsid w:val="61E2895E"/>
    <w:rsid w:val="61E7D252"/>
    <w:rsid w:val="61EF838F"/>
    <w:rsid w:val="61EFA250"/>
    <w:rsid w:val="61F08FB1"/>
    <w:rsid w:val="61F18089"/>
    <w:rsid w:val="61F2A96B"/>
    <w:rsid w:val="61F52B02"/>
    <w:rsid w:val="61F5EAB7"/>
    <w:rsid w:val="61F750EF"/>
    <w:rsid w:val="61FC8E66"/>
    <w:rsid w:val="620702B3"/>
    <w:rsid w:val="6209730E"/>
    <w:rsid w:val="620B7A2E"/>
    <w:rsid w:val="621B8F5B"/>
    <w:rsid w:val="621BC25B"/>
    <w:rsid w:val="621D7321"/>
    <w:rsid w:val="6222DAA1"/>
    <w:rsid w:val="62266D2E"/>
    <w:rsid w:val="622CD4A2"/>
    <w:rsid w:val="622FAC20"/>
    <w:rsid w:val="623410D4"/>
    <w:rsid w:val="623F75CD"/>
    <w:rsid w:val="624E41FA"/>
    <w:rsid w:val="625277B9"/>
    <w:rsid w:val="6252D2D7"/>
    <w:rsid w:val="6253CD61"/>
    <w:rsid w:val="625A58E3"/>
    <w:rsid w:val="625BE04D"/>
    <w:rsid w:val="625D4DDC"/>
    <w:rsid w:val="62609181"/>
    <w:rsid w:val="626C2350"/>
    <w:rsid w:val="626C3358"/>
    <w:rsid w:val="62706DDB"/>
    <w:rsid w:val="62762195"/>
    <w:rsid w:val="62777DFC"/>
    <w:rsid w:val="6282988C"/>
    <w:rsid w:val="6282F2C1"/>
    <w:rsid w:val="6283D80C"/>
    <w:rsid w:val="6285C4D2"/>
    <w:rsid w:val="62869BA2"/>
    <w:rsid w:val="62878B1B"/>
    <w:rsid w:val="6288F658"/>
    <w:rsid w:val="628B0F83"/>
    <w:rsid w:val="628C24B4"/>
    <w:rsid w:val="62908914"/>
    <w:rsid w:val="6298E599"/>
    <w:rsid w:val="62A08EF5"/>
    <w:rsid w:val="62A4348F"/>
    <w:rsid w:val="62A7FFE5"/>
    <w:rsid w:val="62AAA0FE"/>
    <w:rsid w:val="62AC6A49"/>
    <w:rsid w:val="62AFA1A1"/>
    <w:rsid w:val="62AFD6E7"/>
    <w:rsid w:val="62B16AD7"/>
    <w:rsid w:val="62B856EC"/>
    <w:rsid w:val="62BA8ACB"/>
    <w:rsid w:val="62BAB2BC"/>
    <w:rsid w:val="62BFA1E4"/>
    <w:rsid w:val="62BFC22B"/>
    <w:rsid w:val="62C07A43"/>
    <w:rsid w:val="62C23364"/>
    <w:rsid w:val="62C39F16"/>
    <w:rsid w:val="62C45B14"/>
    <w:rsid w:val="62C47F8A"/>
    <w:rsid w:val="62D0EC6B"/>
    <w:rsid w:val="62D202D8"/>
    <w:rsid w:val="62D20B68"/>
    <w:rsid w:val="62D49D7F"/>
    <w:rsid w:val="62D5A7FB"/>
    <w:rsid w:val="62D60D41"/>
    <w:rsid w:val="62D9938F"/>
    <w:rsid w:val="62DA4143"/>
    <w:rsid w:val="62DE11A0"/>
    <w:rsid w:val="62DFB082"/>
    <w:rsid w:val="62E730B3"/>
    <w:rsid w:val="62F8735A"/>
    <w:rsid w:val="62F9C294"/>
    <w:rsid w:val="62FBCBEA"/>
    <w:rsid w:val="62FE628E"/>
    <w:rsid w:val="631A51EF"/>
    <w:rsid w:val="6321A919"/>
    <w:rsid w:val="632A5834"/>
    <w:rsid w:val="632B805D"/>
    <w:rsid w:val="632BCFAB"/>
    <w:rsid w:val="63321934"/>
    <w:rsid w:val="63349D36"/>
    <w:rsid w:val="633EB466"/>
    <w:rsid w:val="633F8FE0"/>
    <w:rsid w:val="633FEC39"/>
    <w:rsid w:val="63400D10"/>
    <w:rsid w:val="63415C56"/>
    <w:rsid w:val="63418DA5"/>
    <w:rsid w:val="634E4C6E"/>
    <w:rsid w:val="6352471D"/>
    <w:rsid w:val="635CF722"/>
    <w:rsid w:val="63664C71"/>
    <w:rsid w:val="636CFC93"/>
    <w:rsid w:val="636F988C"/>
    <w:rsid w:val="63725A3D"/>
    <w:rsid w:val="6373DC2F"/>
    <w:rsid w:val="6374ECA7"/>
    <w:rsid w:val="637DD3CF"/>
    <w:rsid w:val="637E7D30"/>
    <w:rsid w:val="6383A2B3"/>
    <w:rsid w:val="6391DFB5"/>
    <w:rsid w:val="63932150"/>
    <w:rsid w:val="6398C52D"/>
    <w:rsid w:val="6398EF52"/>
    <w:rsid w:val="639A6378"/>
    <w:rsid w:val="639B505C"/>
    <w:rsid w:val="639DB894"/>
    <w:rsid w:val="63A47116"/>
    <w:rsid w:val="63A67BEB"/>
    <w:rsid w:val="63A92C8E"/>
    <w:rsid w:val="63AD0371"/>
    <w:rsid w:val="63AF0AAA"/>
    <w:rsid w:val="63B5EFE3"/>
    <w:rsid w:val="63B73718"/>
    <w:rsid w:val="63B81E07"/>
    <w:rsid w:val="63B998D2"/>
    <w:rsid w:val="63C5BC93"/>
    <w:rsid w:val="63C94460"/>
    <w:rsid w:val="63CF1E26"/>
    <w:rsid w:val="63D09BFF"/>
    <w:rsid w:val="63D0CC88"/>
    <w:rsid w:val="63D2B4EC"/>
    <w:rsid w:val="63D7253E"/>
    <w:rsid w:val="63D773B8"/>
    <w:rsid w:val="63D91030"/>
    <w:rsid w:val="63DC1058"/>
    <w:rsid w:val="63DD4259"/>
    <w:rsid w:val="63E4449D"/>
    <w:rsid w:val="63EAD9CA"/>
    <w:rsid w:val="63F713B1"/>
    <w:rsid w:val="63F8B00A"/>
    <w:rsid w:val="63FEC5D6"/>
    <w:rsid w:val="6407DB99"/>
    <w:rsid w:val="64090AC9"/>
    <w:rsid w:val="640944E4"/>
    <w:rsid w:val="640DE2AA"/>
    <w:rsid w:val="641609CA"/>
    <w:rsid w:val="641BF11B"/>
    <w:rsid w:val="641DB67A"/>
    <w:rsid w:val="641DC7C3"/>
    <w:rsid w:val="6426826D"/>
    <w:rsid w:val="642B8F1E"/>
    <w:rsid w:val="64383538"/>
    <w:rsid w:val="643A6E2D"/>
    <w:rsid w:val="643CD4E9"/>
    <w:rsid w:val="644A154B"/>
    <w:rsid w:val="644B0535"/>
    <w:rsid w:val="644BC567"/>
    <w:rsid w:val="644BE8CE"/>
    <w:rsid w:val="64532E59"/>
    <w:rsid w:val="6454EF86"/>
    <w:rsid w:val="64574583"/>
    <w:rsid w:val="645C0EA6"/>
    <w:rsid w:val="645C3BE6"/>
    <w:rsid w:val="645CAE55"/>
    <w:rsid w:val="6460B0D6"/>
    <w:rsid w:val="646214E4"/>
    <w:rsid w:val="6468F70F"/>
    <w:rsid w:val="6476A91C"/>
    <w:rsid w:val="6477A51D"/>
    <w:rsid w:val="6479BB31"/>
    <w:rsid w:val="647EFC82"/>
    <w:rsid w:val="64809DC7"/>
    <w:rsid w:val="6482CA7F"/>
    <w:rsid w:val="6483F68B"/>
    <w:rsid w:val="6485D845"/>
    <w:rsid w:val="64881FCD"/>
    <w:rsid w:val="648974EC"/>
    <w:rsid w:val="648AAB36"/>
    <w:rsid w:val="648B1BE2"/>
    <w:rsid w:val="648B6C13"/>
    <w:rsid w:val="648CBDE2"/>
    <w:rsid w:val="648E4C93"/>
    <w:rsid w:val="648F6BF3"/>
    <w:rsid w:val="648F9D9F"/>
    <w:rsid w:val="6498E679"/>
    <w:rsid w:val="649A760A"/>
    <w:rsid w:val="649BA59A"/>
    <w:rsid w:val="649DD251"/>
    <w:rsid w:val="649FBC92"/>
    <w:rsid w:val="64A0594F"/>
    <w:rsid w:val="64A0FA42"/>
    <w:rsid w:val="64A27B89"/>
    <w:rsid w:val="64A65ABE"/>
    <w:rsid w:val="64A65E34"/>
    <w:rsid w:val="64ABCAD2"/>
    <w:rsid w:val="64AFB6B9"/>
    <w:rsid w:val="64B46395"/>
    <w:rsid w:val="64B68DE1"/>
    <w:rsid w:val="64B8F7F5"/>
    <w:rsid w:val="64BAB2A3"/>
    <w:rsid w:val="64BC3D91"/>
    <w:rsid w:val="64BDEBDD"/>
    <w:rsid w:val="64C166A9"/>
    <w:rsid w:val="64C541BF"/>
    <w:rsid w:val="64C8FBEB"/>
    <w:rsid w:val="64CE3975"/>
    <w:rsid w:val="64D4C9E4"/>
    <w:rsid w:val="64DF18F5"/>
    <w:rsid w:val="64E01AAE"/>
    <w:rsid w:val="64E10E62"/>
    <w:rsid w:val="64E86D33"/>
    <w:rsid w:val="64F3D97F"/>
    <w:rsid w:val="64F63E7D"/>
    <w:rsid w:val="64FD2D50"/>
    <w:rsid w:val="64FE81A6"/>
    <w:rsid w:val="65052086"/>
    <w:rsid w:val="650FAC90"/>
    <w:rsid w:val="6514F17B"/>
    <w:rsid w:val="65186C24"/>
    <w:rsid w:val="651891FC"/>
    <w:rsid w:val="65204FEF"/>
    <w:rsid w:val="6520AD22"/>
    <w:rsid w:val="6520B071"/>
    <w:rsid w:val="6526F31E"/>
    <w:rsid w:val="652807FC"/>
    <w:rsid w:val="65285BBE"/>
    <w:rsid w:val="653C4C4C"/>
    <w:rsid w:val="653D7458"/>
    <w:rsid w:val="65409984"/>
    <w:rsid w:val="65413748"/>
    <w:rsid w:val="654429A3"/>
    <w:rsid w:val="654F4561"/>
    <w:rsid w:val="6555383D"/>
    <w:rsid w:val="6557E220"/>
    <w:rsid w:val="65594CD2"/>
    <w:rsid w:val="6561206F"/>
    <w:rsid w:val="656345C3"/>
    <w:rsid w:val="65642E5A"/>
    <w:rsid w:val="6568DE70"/>
    <w:rsid w:val="656E854D"/>
    <w:rsid w:val="656F808A"/>
    <w:rsid w:val="65738681"/>
    <w:rsid w:val="657834DE"/>
    <w:rsid w:val="65783ABA"/>
    <w:rsid w:val="657B4444"/>
    <w:rsid w:val="657FE114"/>
    <w:rsid w:val="6587BF40"/>
    <w:rsid w:val="658A106E"/>
    <w:rsid w:val="6595B2D9"/>
    <w:rsid w:val="659626ED"/>
    <w:rsid w:val="6597670C"/>
    <w:rsid w:val="65991615"/>
    <w:rsid w:val="65A40D73"/>
    <w:rsid w:val="65A99D0C"/>
    <w:rsid w:val="65AE4213"/>
    <w:rsid w:val="65AED204"/>
    <w:rsid w:val="65AF671B"/>
    <w:rsid w:val="65BF3BBC"/>
    <w:rsid w:val="65C79AD2"/>
    <w:rsid w:val="65CECD18"/>
    <w:rsid w:val="65D3957B"/>
    <w:rsid w:val="65D7DD9F"/>
    <w:rsid w:val="65E15342"/>
    <w:rsid w:val="65E7DA15"/>
    <w:rsid w:val="65E8EF1E"/>
    <w:rsid w:val="65EDACE2"/>
    <w:rsid w:val="65EDC99C"/>
    <w:rsid w:val="65F2DBDB"/>
    <w:rsid w:val="65F43941"/>
    <w:rsid w:val="660680AF"/>
    <w:rsid w:val="6608528F"/>
    <w:rsid w:val="660A4EC8"/>
    <w:rsid w:val="660C3E01"/>
    <w:rsid w:val="660D21A0"/>
    <w:rsid w:val="66113451"/>
    <w:rsid w:val="66123C14"/>
    <w:rsid w:val="661B050D"/>
    <w:rsid w:val="661D81C4"/>
    <w:rsid w:val="661DD6F0"/>
    <w:rsid w:val="6622EE0A"/>
    <w:rsid w:val="6627EAD6"/>
    <w:rsid w:val="6628863D"/>
    <w:rsid w:val="6628D236"/>
    <w:rsid w:val="662A9787"/>
    <w:rsid w:val="662BA36F"/>
    <w:rsid w:val="66304DFE"/>
    <w:rsid w:val="6635470E"/>
    <w:rsid w:val="663CCDE9"/>
    <w:rsid w:val="663DA9E9"/>
    <w:rsid w:val="664415CC"/>
    <w:rsid w:val="6645C3B5"/>
    <w:rsid w:val="66495608"/>
    <w:rsid w:val="664F3015"/>
    <w:rsid w:val="665480BA"/>
    <w:rsid w:val="66580DF2"/>
    <w:rsid w:val="66582D55"/>
    <w:rsid w:val="665B46FF"/>
    <w:rsid w:val="665CE71F"/>
    <w:rsid w:val="6660B9FC"/>
    <w:rsid w:val="66611220"/>
    <w:rsid w:val="66650C6D"/>
    <w:rsid w:val="6669380A"/>
    <w:rsid w:val="666A3442"/>
    <w:rsid w:val="66794169"/>
    <w:rsid w:val="66796A74"/>
    <w:rsid w:val="667F9117"/>
    <w:rsid w:val="66806E95"/>
    <w:rsid w:val="66844486"/>
    <w:rsid w:val="66908023"/>
    <w:rsid w:val="66928410"/>
    <w:rsid w:val="6697729D"/>
    <w:rsid w:val="66A7647C"/>
    <w:rsid w:val="66A7BE75"/>
    <w:rsid w:val="66AE88C8"/>
    <w:rsid w:val="66B166E6"/>
    <w:rsid w:val="66B46244"/>
    <w:rsid w:val="66B9AC5E"/>
    <w:rsid w:val="66BB4375"/>
    <w:rsid w:val="66BF317E"/>
    <w:rsid w:val="66C129AA"/>
    <w:rsid w:val="66C23708"/>
    <w:rsid w:val="66C4C0DF"/>
    <w:rsid w:val="66C4FD6C"/>
    <w:rsid w:val="66C8A8DE"/>
    <w:rsid w:val="66C96D85"/>
    <w:rsid w:val="66C9A73D"/>
    <w:rsid w:val="66CA1AE3"/>
    <w:rsid w:val="66CCFC6C"/>
    <w:rsid w:val="66CE3D66"/>
    <w:rsid w:val="66D170D5"/>
    <w:rsid w:val="66DB1136"/>
    <w:rsid w:val="66DC1D0F"/>
    <w:rsid w:val="66DD547C"/>
    <w:rsid w:val="66DF1963"/>
    <w:rsid w:val="66EA31DB"/>
    <w:rsid w:val="66EFED66"/>
    <w:rsid w:val="66F1875C"/>
    <w:rsid w:val="66F6C93E"/>
    <w:rsid w:val="66F764A5"/>
    <w:rsid w:val="66F7D5D5"/>
    <w:rsid w:val="66FA553E"/>
    <w:rsid w:val="6702A1B7"/>
    <w:rsid w:val="6709522F"/>
    <w:rsid w:val="670B36B9"/>
    <w:rsid w:val="670C8DA2"/>
    <w:rsid w:val="67109454"/>
    <w:rsid w:val="6711B10F"/>
    <w:rsid w:val="671714A5"/>
    <w:rsid w:val="67181544"/>
    <w:rsid w:val="6718F631"/>
    <w:rsid w:val="671A4843"/>
    <w:rsid w:val="67215B5C"/>
    <w:rsid w:val="6724A1D5"/>
    <w:rsid w:val="672AA7AA"/>
    <w:rsid w:val="67343888"/>
    <w:rsid w:val="673760EF"/>
    <w:rsid w:val="673CCE83"/>
    <w:rsid w:val="67400D98"/>
    <w:rsid w:val="6744AB16"/>
    <w:rsid w:val="67490ECE"/>
    <w:rsid w:val="674CF5C1"/>
    <w:rsid w:val="674EF5B8"/>
    <w:rsid w:val="6753EA33"/>
    <w:rsid w:val="6758C1B4"/>
    <w:rsid w:val="675AC516"/>
    <w:rsid w:val="675C3CFD"/>
    <w:rsid w:val="675EE39A"/>
    <w:rsid w:val="675F468C"/>
    <w:rsid w:val="6763FA37"/>
    <w:rsid w:val="67662BC1"/>
    <w:rsid w:val="6767950C"/>
    <w:rsid w:val="676E3DFD"/>
    <w:rsid w:val="6770E1C6"/>
    <w:rsid w:val="6770F19D"/>
    <w:rsid w:val="67756161"/>
    <w:rsid w:val="67773AD0"/>
    <w:rsid w:val="67785FA6"/>
    <w:rsid w:val="677FE0A5"/>
    <w:rsid w:val="6784DDAD"/>
    <w:rsid w:val="6786BCBE"/>
    <w:rsid w:val="67888D38"/>
    <w:rsid w:val="678C707B"/>
    <w:rsid w:val="678C8C2B"/>
    <w:rsid w:val="678CC994"/>
    <w:rsid w:val="678CE9C1"/>
    <w:rsid w:val="6792EF4A"/>
    <w:rsid w:val="679E572E"/>
    <w:rsid w:val="679F16B5"/>
    <w:rsid w:val="679FD79C"/>
    <w:rsid w:val="67A444BD"/>
    <w:rsid w:val="67A46C00"/>
    <w:rsid w:val="67A4D955"/>
    <w:rsid w:val="67A80F67"/>
    <w:rsid w:val="67AA22C6"/>
    <w:rsid w:val="67B15F9D"/>
    <w:rsid w:val="67B3552C"/>
    <w:rsid w:val="67B68403"/>
    <w:rsid w:val="67B83E89"/>
    <w:rsid w:val="67B85BE0"/>
    <w:rsid w:val="67B93B14"/>
    <w:rsid w:val="67BCA900"/>
    <w:rsid w:val="67CAE5B4"/>
    <w:rsid w:val="67D5D059"/>
    <w:rsid w:val="67D7C8E0"/>
    <w:rsid w:val="67E56A67"/>
    <w:rsid w:val="67EEC2F4"/>
    <w:rsid w:val="67F345CC"/>
    <w:rsid w:val="67F36D23"/>
    <w:rsid w:val="67FCB53B"/>
    <w:rsid w:val="67FF6F7F"/>
    <w:rsid w:val="6805CCFE"/>
    <w:rsid w:val="680E5E84"/>
    <w:rsid w:val="6811349A"/>
    <w:rsid w:val="6815A528"/>
    <w:rsid w:val="6828172D"/>
    <w:rsid w:val="682BBA03"/>
    <w:rsid w:val="682E6DAA"/>
    <w:rsid w:val="6837C31F"/>
    <w:rsid w:val="683ED7F2"/>
    <w:rsid w:val="6840D0BA"/>
    <w:rsid w:val="68438454"/>
    <w:rsid w:val="68438ED6"/>
    <w:rsid w:val="68464506"/>
    <w:rsid w:val="6849383E"/>
    <w:rsid w:val="684C7A50"/>
    <w:rsid w:val="685C0A04"/>
    <w:rsid w:val="685EEDD8"/>
    <w:rsid w:val="685F0E20"/>
    <w:rsid w:val="686B6DB9"/>
    <w:rsid w:val="686DD93E"/>
    <w:rsid w:val="687376FC"/>
    <w:rsid w:val="687724E2"/>
    <w:rsid w:val="687E50FC"/>
    <w:rsid w:val="688398ED"/>
    <w:rsid w:val="68876FB7"/>
    <w:rsid w:val="6890ED94"/>
    <w:rsid w:val="68945268"/>
    <w:rsid w:val="689559EE"/>
    <w:rsid w:val="6896F512"/>
    <w:rsid w:val="68970C70"/>
    <w:rsid w:val="68973278"/>
    <w:rsid w:val="689CC58F"/>
    <w:rsid w:val="689D11A6"/>
    <w:rsid w:val="68A32B05"/>
    <w:rsid w:val="68A50482"/>
    <w:rsid w:val="68AF7EFB"/>
    <w:rsid w:val="68B52CD5"/>
    <w:rsid w:val="68BDD6BF"/>
    <w:rsid w:val="68CA484B"/>
    <w:rsid w:val="68CCDEF1"/>
    <w:rsid w:val="68CEE115"/>
    <w:rsid w:val="68CEE1F7"/>
    <w:rsid w:val="68D341F7"/>
    <w:rsid w:val="68D37AF1"/>
    <w:rsid w:val="68D753E5"/>
    <w:rsid w:val="68E8CA28"/>
    <w:rsid w:val="68E97AED"/>
    <w:rsid w:val="68F47F89"/>
    <w:rsid w:val="68F61C8E"/>
    <w:rsid w:val="68F71F17"/>
    <w:rsid w:val="68FB43F6"/>
    <w:rsid w:val="68FE4C63"/>
    <w:rsid w:val="690CB227"/>
    <w:rsid w:val="69152A01"/>
    <w:rsid w:val="691A4D00"/>
    <w:rsid w:val="691A7EC2"/>
    <w:rsid w:val="691D91CA"/>
    <w:rsid w:val="6924D244"/>
    <w:rsid w:val="692EFFCB"/>
    <w:rsid w:val="692FB6C1"/>
    <w:rsid w:val="69301F78"/>
    <w:rsid w:val="6932E09A"/>
    <w:rsid w:val="6933C6EC"/>
    <w:rsid w:val="6936A432"/>
    <w:rsid w:val="6937025D"/>
    <w:rsid w:val="6938FFEB"/>
    <w:rsid w:val="693A6140"/>
    <w:rsid w:val="69433793"/>
    <w:rsid w:val="69461B22"/>
    <w:rsid w:val="69488CF0"/>
    <w:rsid w:val="69540EEA"/>
    <w:rsid w:val="695A61BF"/>
    <w:rsid w:val="696350A4"/>
    <w:rsid w:val="6964902B"/>
    <w:rsid w:val="69659421"/>
    <w:rsid w:val="6965DEC5"/>
    <w:rsid w:val="6965EDEC"/>
    <w:rsid w:val="696D687E"/>
    <w:rsid w:val="697726C1"/>
    <w:rsid w:val="697D9217"/>
    <w:rsid w:val="697F569F"/>
    <w:rsid w:val="698234DD"/>
    <w:rsid w:val="698694B8"/>
    <w:rsid w:val="698CCA48"/>
    <w:rsid w:val="6990F7FD"/>
    <w:rsid w:val="6991929F"/>
    <w:rsid w:val="69936BD8"/>
    <w:rsid w:val="6995BA92"/>
    <w:rsid w:val="69962EC4"/>
    <w:rsid w:val="6999C5A9"/>
    <w:rsid w:val="6999EE30"/>
    <w:rsid w:val="699F5C7C"/>
    <w:rsid w:val="69A1C2D2"/>
    <w:rsid w:val="69A2485E"/>
    <w:rsid w:val="69A5B15F"/>
    <w:rsid w:val="69B17589"/>
    <w:rsid w:val="69B40C9C"/>
    <w:rsid w:val="69B60FCB"/>
    <w:rsid w:val="69B84C5B"/>
    <w:rsid w:val="69BCA264"/>
    <w:rsid w:val="69BFD3E0"/>
    <w:rsid w:val="69C336E4"/>
    <w:rsid w:val="69C663A2"/>
    <w:rsid w:val="69C9F556"/>
    <w:rsid w:val="69CD3A7A"/>
    <w:rsid w:val="69D2C8D0"/>
    <w:rsid w:val="69D30D8E"/>
    <w:rsid w:val="69DADB89"/>
    <w:rsid w:val="69DF9951"/>
    <w:rsid w:val="69E3B810"/>
    <w:rsid w:val="69EE77EE"/>
    <w:rsid w:val="69F0716C"/>
    <w:rsid w:val="69F50EC0"/>
    <w:rsid w:val="69F51AEA"/>
    <w:rsid w:val="69F9397B"/>
    <w:rsid w:val="6A041925"/>
    <w:rsid w:val="6A061E90"/>
    <w:rsid w:val="6A065044"/>
    <w:rsid w:val="6A097308"/>
    <w:rsid w:val="6A0C521D"/>
    <w:rsid w:val="6A0D4F25"/>
    <w:rsid w:val="6A0E0113"/>
    <w:rsid w:val="6A0E550D"/>
    <w:rsid w:val="6A14D0B5"/>
    <w:rsid w:val="6A1568B6"/>
    <w:rsid w:val="6A15FBF5"/>
    <w:rsid w:val="6A16D711"/>
    <w:rsid w:val="6A19253E"/>
    <w:rsid w:val="6A1976E2"/>
    <w:rsid w:val="6A1D0923"/>
    <w:rsid w:val="6A238E54"/>
    <w:rsid w:val="6A2EE552"/>
    <w:rsid w:val="6A2FAF1B"/>
    <w:rsid w:val="6A300EAB"/>
    <w:rsid w:val="6A32A0D3"/>
    <w:rsid w:val="6A332F59"/>
    <w:rsid w:val="6A33B46F"/>
    <w:rsid w:val="6A3ACCA2"/>
    <w:rsid w:val="6A41B7DF"/>
    <w:rsid w:val="6A42BD62"/>
    <w:rsid w:val="6A4630DB"/>
    <w:rsid w:val="6A490CC7"/>
    <w:rsid w:val="6A4EB567"/>
    <w:rsid w:val="6A514735"/>
    <w:rsid w:val="6A52E4F7"/>
    <w:rsid w:val="6A55716E"/>
    <w:rsid w:val="6A56FC20"/>
    <w:rsid w:val="6A5D6EE9"/>
    <w:rsid w:val="6A63037E"/>
    <w:rsid w:val="6A675F45"/>
    <w:rsid w:val="6A681A61"/>
    <w:rsid w:val="6A725995"/>
    <w:rsid w:val="6A736000"/>
    <w:rsid w:val="6A77492D"/>
    <w:rsid w:val="6A7795FE"/>
    <w:rsid w:val="6A77ECB9"/>
    <w:rsid w:val="6A785E6F"/>
    <w:rsid w:val="6A8E48F0"/>
    <w:rsid w:val="6A8E5831"/>
    <w:rsid w:val="6A925766"/>
    <w:rsid w:val="6A93F50F"/>
    <w:rsid w:val="6A96C057"/>
    <w:rsid w:val="6A982E81"/>
    <w:rsid w:val="6AA21B76"/>
    <w:rsid w:val="6AB52995"/>
    <w:rsid w:val="6AB681F5"/>
    <w:rsid w:val="6ABE016D"/>
    <w:rsid w:val="6AC3CDB4"/>
    <w:rsid w:val="6AC50522"/>
    <w:rsid w:val="6AC5A98D"/>
    <w:rsid w:val="6AC5D388"/>
    <w:rsid w:val="6AC70B96"/>
    <w:rsid w:val="6ACD827D"/>
    <w:rsid w:val="6ADA79F4"/>
    <w:rsid w:val="6ADFAF64"/>
    <w:rsid w:val="6AE23F04"/>
    <w:rsid w:val="6AEBAA90"/>
    <w:rsid w:val="6AEC39EF"/>
    <w:rsid w:val="6AEC4012"/>
    <w:rsid w:val="6AED9ABD"/>
    <w:rsid w:val="6AEE5867"/>
    <w:rsid w:val="6AF3B903"/>
    <w:rsid w:val="6AF7BEB9"/>
    <w:rsid w:val="6AF7D99E"/>
    <w:rsid w:val="6AFE6F9F"/>
    <w:rsid w:val="6AFFBF55"/>
    <w:rsid w:val="6B0050A2"/>
    <w:rsid w:val="6B014E9C"/>
    <w:rsid w:val="6B045FED"/>
    <w:rsid w:val="6B046D31"/>
    <w:rsid w:val="6B04E936"/>
    <w:rsid w:val="6B0938DF"/>
    <w:rsid w:val="6B097473"/>
    <w:rsid w:val="6B106912"/>
    <w:rsid w:val="6B137483"/>
    <w:rsid w:val="6B165FD9"/>
    <w:rsid w:val="6B180C5F"/>
    <w:rsid w:val="6B199A79"/>
    <w:rsid w:val="6B1F0EB1"/>
    <w:rsid w:val="6B20B5EA"/>
    <w:rsid w:val="6B236892"/>
    <w:rsid w:val="6B2563DE"/>
    <w:rsid w:val="6B28ECFF"/>
    <w:rsid w:val="6B2A9CE5"/>
    <w:rsid w:val="6B2AC53E"/>
    <w:rsid w:val="6B2AD9C0"/>
    <w:rsid w:val="6B2DBEBB"/>
    <w:rsid w:val="6B2E2E98"/>
    <w:rsid w:val="6B30AA84"/>
    <w:rsid w:val="6B356A19"/>
    <w:rsid w:val="6B3DC38A"/>
    <w:rsid w:val="6B435062"/>
    <w:rsid w:val="6B45CB8F"/>
    <w:rsid w:val="6B45F331"/>
    <w:rsid w:val="6B46108B"/>
    <w:rsid w:val="6B51E02C"/>
    <w:rsid w:val="6B52FB2C"/>
    <w:rsid w:val="6B54F358"/>
    <w:rsid w:val="6B577B7E"/>
    <w:rsid w:val="6B599876"/>
    <w:rsid w:val="6B5DE32A"/>
    <w:rsid w:val="6B64C075"/>
    <w:rsid w:val="6B699BDB"/>
    <w:rsid w:val="6B6DB33D"/>
    <w:rsid w:val="6B6E0ABB"/>
    <w:rsid w:val="6B763422"/>
    <w:rsid w:val="6B7A8B00"/>
    <w:rsid w:val="6B7EB5F8"/>
    <w:rsid w:val="6B8A484F"/>
    <w:rsid w:val="6B8E6D74"/>
    <w:rsid w:val="6B8F51B8"/>
    <w:rsid w:val="6B917477"/>
    <w:rsid w:val="6B96AEE2"/>
    <w:rsid w:val="6B97D770"/>
    <w:rsid w:val="6B9EBF76"/>
    <w:rsid w:val="6BA05E44"/>
    <w:rsid w:val="6BAE32C5"/>
    <w:rsid w:val="6BB4E9E1"/>
    <w:rsid w:val="6BB6EC1E"/>
    <w:rsid w:val="6BB79246"/>
    <w:rsid w:val="6BBDC25E"/>
    <w:rsid w:val="6BBF99B9"/>
    <w:rsid w:val="6BC32FEC"/>
    <w:rsid w:val="6BC3BC02"/>
    <w:rsid w:val="6BC6586D"/>
    <w:rsid w:val="6BC746DB"/>
    <w:rsid w:val="6BC81C8A"/>
    <w:rsid w:val="6BCD8B40"/>
    <w:rsid w:val="6BCDB266"/>
    <w:rsid w:val="6BCE95D4"/>
    <w:rsid w:val="6BD791F1"/>
    <w:rsid w:val="6BD97115"/>
    <w:rsid w:val="6BD9B480"/>
    <w:rsid w:val="6BE7BE31"/>
    <w:rsid w:val="6BE8A82B"/>
    <w:rsid w:val="6BE94396"/>
    <w:rsid w:val="6BED1796"/>
    <w:rsid w:val="6BEFD739"/>
    <w:rsid w:val="6BF046BC"/>
    <w:rsid w:val="6BF0B618"/>
    <w:rsid w:val="6BF12206"/>
    <w:rsid w:val="6BF80672"/>
    <w:rsid w:val="6BFAF0C0"/>
    <w:rsid w:val="6C0356E1"/>
    <w:rsid w:val="6C063162"/>
    <w:rsid w:val="6C06D9B3"/>
    <w:rsid w:val="6C0AECB5"/>
    <w:rsid w:val="6C0D6DC8"/>
    <w:rsid w:val="6C0DA112"/>
    <w:rsid w:val="6C0E21E6"/>
    <w:rsid w:val="6C0F3E9B"/>
    <w:rsid w:val="6C15AA99"/>
    <w:rsid w:val="6C19E6C5"/>
    <w:rsid w:val="6C1D8397"/>
    <w:rsid w:val="6C1EA89F"/>
    <w:rsid w:val="6C243BDC"/>
    <w:rsid w:val="6C2EBE71"/>
    <w:rsid w:val="6C362B14"/>
    <w:rsid w:val="6C38B62A"/>
    <w:rsid w:val="6C3973B3"/>
    <w:rsid w:val="6C3A724F"/>
    <w:rsid w:val="6C3B3D8D"/>
    <w:rsid w:val="6C3F81A8"/>
    <w:rsid w:val="6C433E3C"/>
    <w:rsid w:val="6C445679"/>
    <w:rsid w:val="6C469EC5"/>
    <w:rsid w:val="6C4AFBEE"/>
    <w:rsid w:val="6C4EE57F"/>
    <w:rsid w:val="6C572C02"/>
    <w:rsid w:val="6C5988AA"/>
    <w:rsid w:val="6C5FE2FA"/>
    <w:rsid w:val="6C65ECB2"/>
    <w:rsid w:val="6C672F22"/>
    <w:rsid w:val="6C687770"/>
    <w:rsid w:val="6C69B891"/>
    <w:rsid w:val="6C6A815C"/>
    <w:rsid w:val="6C7CD4B2"/>
    <w:rsid w:val="6C8061C5"/>
    <w:rsid w:val="6C817D98"/>
    <w:rsid w:val="6C823B42"/>
    <w:rsid w:val="6C8CDE27"/>
    <w:rsid w:val="6C919DC1"/>
    <w:rsid w:val="6C9211A6"/>
    <w:rsid w:val="6C96C19D"/>
    <w:rsid w:val="6C9C86B9"/>
    <w:rsid w:val="6C9D1EFD"/>
    <w:rsid w:val="6C9DCD23"/>
    <w:rsid w:val="6C9E7D3B"/>
    <w:rsid w:val="6C9E7F99"/>
    <w:rsid w:val="6C9EF972"/>
    <w:rsid w:val="6C9F4F62"/>
    <w:rsid w:val="6CA42729"/>
    <w:rsid w:val="6CA50940"/>
    <w:rsid w:val="6CAD551F"/>
    <w:rsid w:val="6CAF57D0"/>
    <w:rsid w:val="6CB463C3"/>
    <w:rsid w:val="6CB7C05A"/>
    <w:rsid w:val="6CBA812D"/>
    <w:rsid w:val="6CBEDE5E"/>
    <w:rsid w:val="6CBF757A"/>
    <w:rsid w:val="6CC2D1FD"/>
    <w:rsid w:val="6CC33490"/>
    <w:rsid w:val="6CC33549"/>
    <w:rsid w:val="6CC868CD"/>
    <w:rsid w:val="6CC93E7F"/>
    <w:rsid w:val="6CCE5B36"/>
    <w:rsid w:val="6CD0D945"/>
    <w:rsid w:val="6CD3F32F"/>
    <w:rsid w:val="6CD79EAE"/>
    <w:rsid w:val="6CD9A58F"/>
    <w:rsid w:val="6CDBC548"/>
    <w:rsid w:val="6CDC8B85"/>
    <w:rsid w:val="6CDCBEF6"/>
    <w:rsid w:val="6CDD5221"/>
    <w:rsid w:val="6CE000D8"/>
    <w:rsid w:val="6CE04B32"/>
    <w:rsid w:val="6CE9FE40"/>
    <w:rsid w:val="6CEC0285"/>
    <w:rsid w:val="6CECE03C"/>
    <w:rsid w:val="6CF34C60"/>
    <w:rsid w:val="6CFB79EE"/>
    <w:rsid w:val="6CFD365F"/>
    <w:rsid w:val="6CFE0B92"/>
    <w:rsid w:val="6D0130BA"/>
    <w:rsid w:val="6D0BBBE3"/>
    <w:rsid w:val="6D0DE7D8"/>
    <w:rsid w:val="6D191C10"/>
    <w:rsid w:val="6D19C86D"/>
    <w:rsid w:val="6D1B82F0"/>
    <w:rsid w:val="6D1E9922"/>
    <w:rsid w:val="6D223EE5"/>
    <w:rsid w:val="6D2CEFFD"/>
    <w:rsid w:val="6D2DFF20"/>
    <w:rsid w:val="6D2E550E"/>
    <w:rsid w:val="6D323636"/>
    <w:rsid w:val="6D34C80A"/>
    <w:rsid w:val="6D3A84FF"/>
    <w:rsid w:val="6D3D744E"/>
    <w:rsid w:val="6D3D8259"/>
    <w:rsid w:val="6D3DE7A8"/>
    <w:rsid w:val="6D44FB37"/>
    <w:rsid w:val="6D45F5CF"/>
    <w:rsid w:val="6D4DDF7B"/>
    <w:rsid w:val="6D56806A"/>
    <w:rsid w:val="6D59C5A1"/>
    <w:rsid w:val="6D6079DF"/>
    <w:rsid w:val="6D63118F"/>
    <w:rsid w:val="6D645EB7"/>
    <w:rsid w:val="6D6ABCFD"/>
    <w:rsid w:val="6D6D6824"/>
    <w:rsid w:val="6D72DA00"/>
    <w:rsid w:val="6D73184C"/>
    <w:rsid w:val="6D781924"/>
    <w:rsid w:val="6D782A90"/>
    <w:rsid w:val="6D7893B3"/>
    <w:rsid w:val="6D7D40A0"/>
    <w:rsid w:val="6D7F4441"/>
    <w:rsid w:val="6D81FF4D"/>
    <w:rsid w:val="6D84D669"/>
    <w:rsid w:val="6D85FAA1"/>
    <w:rsid w:val="6D8C74DE"/>
    <w:rsid w:val="6D8EB506"/>
    <w:rsid w:val="6D914B34"/>
    <w:rsid w:val="6D941F23"/>
    <w:rsid w:val="6D9467CD"/>
    <w:rsid w:val="6D95E84D"/>
    <w:rsid w:val="6D967CDF"/>
    <w:rsid w:val="6D96FECD"/>
    <w:rsid w:val="6D9826E3"/>
    <w:rsid w:val="6D994D80"/>
    <w:rsid w:val="6DA13AAE"/>
    <w:rsid w:val="6DA2F6F6"/>
    <w:rsid w:val="6DA9C350"/>
    <w:rsid w:val="6DA9C9A1"/>
    <w:rsid w:val="6DB2ECCF"/>
    <w:rsid w:val="6DB5C109"/>
    <w:rsid w:val="6DB6DAF6"/>
    <w:rsid w:val="6DB8084F"/>
    <w:rsid w:val="6DB9EBA8"/>
    <w:rsid w:val="6DBC732F"/>
    <w:rsid w:val="6DBED00E"/>
    <w:rsid w:val="6DBFD7B2"/>
    <w:rsid w:val="6DC66152"/>
    <w:rsid w:val="6DC9717C"/>
    <w:rsid w:val="6DCA8ED2"/>
    <w:rsid w:val="6DCF592E"/>
    <w:rsid w:val="6DD79493"/>
    <w:rsid w:val="6DDA41A5"/>
    <w:rsid w:val="6DDBAF29"/>
    <w:rsid w:val="6DDEF88D"/>
    <w:rsid w:val="6DDF2417"/>
    <w:rsid w:val="6DE120CC"/>
    <w:rsid w:val="6DE32BB7"/>
    <w:rsid w:val="6DE40E84"/>
    <w:rsid w:val="6DE92DC3"/>
    <w:rsid w:val="6DEBF18D"/>
    <w:rsid w:val="6DF3557D"/>
    <w:rsid w:val="6DF3EF29"/>
    <w:rsid w:val="6DF52FDC"/>
    <w:rsid w:val="6DF95C16"/>
    <w:rsid w:val="6DFA3763"/>
    <w:rsid w:val="6DFBDBD6"/>
    <w:rsid w:val="6DFD97AB"/>
    <w:rsid w:val="6E03B3D3"/>
    <w:rsid w:val="6E03F019"/>
    <w:rsid w:val="6E051611"/>
    <w:rsid w:val="6E065B54"/>
    <w:rsid w:val="6E093B82"/>
    <w:rsid w:val="6E0D5E5F"/>
    <w:rsid w:val="6E129F5A"/>
    <w:rsid w:val="6E15D06D"/>
    <w:rsid w:val="6E182EAD"/>
    <w:rsid w:val="6E1874A5"/>
    <w:rsid w:val="6E18EA4F"/>
    <w:rsid w:val="6E1D1A67"/>
    <w:rsid w:val="6E1E0BA3"/>
    <w:rsid w:val="6E1EC301"/>
    <w:rsid w:val="6E1FEF70"/>
    <w:rsid w:val="6E278BBE"/>
    <w:rsid w:val="6E2AA04E"/>
    <w:rsid w:val="6E31CBF7"/>
    <w:rsid w:val="6E37A5FC"/>
    <w:rsid w:val="6E402AD0"/>
    <w:rsid w:val="6E46D687"/>
    <w:rsid w:val="6E4C252A"/>
    <w:rsid w:val="6E557B89"/>
    <w:rsid w:val="6E5AC312"/>
    <w:rsid w:val="6E602F69"/>
    <w:rsid w:val="6E650EE0"/>
    <w:rsid w:val="6E6A770E"/>
    <w:rsid w:val="6E726AD7"/>
    <w:rsid w:val="6E73103D"/>
    <w:rsid w:val="6E774EAF"/>
    <w:rsid w:val="6E7ADE83"/>
    <w:rsid w:val="6E7AE8FA"/>
    <w:rsid w:val="6E7BF689"/>
    <w:rsid w:val="6E7C295A"/>
    <w:rsid w:val="6E7E3F37"/>
    <w:rsid w:val="6E8708E2"/>
    <w:rsid w:val="6E871CCF"/>
    <w:rsid w:val="6E8BEF9E"/>
    <w:rsid w:val="6E96702E"/>
    <w:rsid w:val="6E98716F"/>
    <w:rsid w:val="6E9F8016"/>
    <w:rsid w:val="6E9FC3B7"/>
    <w:rsid w:val="6EA87E97"/>
    <w:rsid w:val="6EA88D06"/>
    <w:rsid w:val="6EAB2F67"/>
    <w:rsid w:val="6EAD3C51"/>
    <w:rsid w:val="6EB935C0"/>
    <w:rsid w:val="6EBB4733"/>
    <w:rsid w:val="6EBC78CB"/>
    <w:rsid w:val="6EBFD298"/>
    <w:rsid w:val="6EC0498E"/>
    <w:rsid w:val="6EC222D3"/>
    <w:rsid w:val="6ECDD585"/>
    <w:rsid w:val="6ED680B5"/>
    <w:rsid w:val="6ED6D863"/>
    <w:rsid w:val="6EDD953D"/>
    <w:rsid w:val="6EE5BBD1"/>
    <w:rsid w:val="6EE5EA35"/>
    <w:rsid w:val="6EE6E938"/>
    <w:rsid w:val="6EEE8CE0"/>
    <w:rsid w:val="6EF3B42F"/>
    <w:rsid w:val="6EF7CC30"/>
    <w:rsid w:val="6EFA2DA6"/>
    <w:rsid w:val="6EFA7537"/>
    <w:rsid w:val="6EFD7FC2"/>
    <w:rsid w:val="6EFF622E"/>
    <w:rsid w:val="6F047346"/>
    <w:rsid w:val="6F04EBC6"/>
    <w:rsid w:val="6F04EF06"/>
    <w:rsid w:val="6F0F9AB0"/>
    <w:rsid w:val="6F11E5CD"/>
    <w:rsid w:val="6F126C89"/>
    <w:rsid w:val="6F1343AF"/>
    <w:rsid w:val="6F1364A4"/>
    <w:rsid w:val="6F17C0FD"/>
    <w:rsid w:val="6F19B806"/>
    <w:rsid w:val="6F1C1C77"/>
    <w:rsid w:val="6F1C6E2D"/>
    <w:rsid w:val="6F230882"/>
    <w:rsid w:val="6F2495B8"/>
    <w:rsid w:val="6F337293"/>
    <w:rsid w:val="6F41036D"/>
    <w:rsid w:val="6F414369"/>
    <w:rsid w:val="6F4A68C1"/>
    <w:rsid w:val="6F4C20BC"/>
    <w:rsid w:val="6F4F3BD5"/>
    <w:rsid w:val="6F52F01A"/>
    <w:rsid w:val="6F56DEC1"/>
    <w:rsid w:val="6F57EAC7"/>
    <w:rsid w:val="6F5C5D22"/>
    <w:rsid w:val="6F609AAC"/>
    <w:rsid w:val="6F673FA7"/>
    <w:rsid w:val="6F73D37F"/>
    <w:rsid w:val="6F76AC76"/>
    <w:rsid w:val="6F83D497"/>
    <w:rsid w:val="6F87F3EC"/>
    <w:rsid w:val="6F8AACF2"/>
    <w:rsid w:val="6F8DCF6D"/>
    <w:rsid w:val="6F8E4299"/>
    <w:rsid w:val="6F925CB4"/>
    <w:rsid w:val="6F947722"/>
    <w:rsid w:val="6F96B6B4"/>
    <w:rsid w:val="6F99680C"/>
    <w:rsid w:val="6F9B007D"/>
    <w:rsid w:val="6FA309F5"/>
    <w:rsid w:val="6FA46AF4"/>
    <w:rsid w:val="6FA80FD9"/>
    <w:rsid w:val="6FA8BEA8"/>
    <w:rsid w:val="6FAA0E2B"/>
    <w:rsid w:val="6FAA84CC"/>
    <w:rsid w:val="6FAAA4FE"/>
    <w:rsid w:val="6FB3083E"/>
    <w:rsid w:val="6FB3FBE2"/>
    <w:rsid w:val="6FB44969"/>
    <w:rsid w:val="6FB786C5"/>
    <w:rsid w:val="6FB8C44B"/>
    <w:rsid w:val="6FC63237"/>
    <w:rsid w:val="6FC7CBF2"/>
    <w:rsid w:val="6FC997B0"/>
    <w:rsid w:val="6FCCB4F8"/>
    <w:rsid w:val="6FD242B1"/>
    <w:rsid w:val="6FD8554C"/>
    <w:rsid w:val="6FDDEB33"/>
    <w:rsid w:val="6FE3AF3A"/>
    <w:rsid w:val="6FE3F9C2"/>
    <w:rsid w:val="6FE47553"/>
    <w:rsid w:val="6FE6BA2B"/>
    <w:rsid w:val="6FEA1505"/>
    <w:rsid w:val="6FEAE611"/>
    <w:rsid w:val="6FECDD40"/>
    <w:rsid w:val="6FEDB330"/>
    <w:rsid w:val="6FEE2DC3"/>
    <w:rsid w:val="6FF26DC8"/>
    <w:rsid w:val="6FF63F0E"/>
    <w:rsid w:val="6FF71B8B"/>
    <w:rsid w:val="6FF8BF7B"/>
    <w:rsid w:val="7004FB1D"/>
    <w:rsid w:val="70086E5B"/>
    <w:rsid w:val="700BD792"/>
    <w:rsid w:val="7011B2BC"/>
    <w:rsid w:val="7013E210"/>
    <w:rsid w:val="70188C78"/>
    <w:rsid w:val="7019805F"/>
    <w:rsid w:val="701A120C"/>
    <w:rsid w:val="701E28E9"/>
    <w:rsid w:val="701FDF5E"/>
    <w:rsid w:val="702145A9"/>
    <w:rsid w:val="7023C5AF"/>
    <w:rsid w:val="70244FD8"/>
    <w:rsid w:val="7024C46F"/>
    <w:rsid w:val="7024CFF6"/>
    <w:rsid w:val="702716B4"/>
    <w:rsid w:val="702B5001"/>
    <w:rsid w:val="702FE986"/>
    <w:rsid w:val="7031A3A8"/>
    <w:rsid w:val="70326C46"/>
    <w:rsid w:val="7035DBFE"/>
    <w:rsid w:val="703B97E1"/>
    <w:rsid w:val="70409060"/>
    <w:rsid w:val="70420BE3"/>
    <w:rsid w:val="704387A9"/>
    <w:rsid w:val="70452A45"/>
    <w:rsid w:val="704EE2E4"/>
    <w:rsid w:val="70600E0D"/>
    <w:rsid w:val="706D97BB"/>
    <w:rsid w:val="7071D6E6"/>
    <w:rsid w:val="707642FD"/>
    <w:rsid w:val="707B28AD"/>
    <w:rsid w:val="707CD9F8"/>
    <w:rsid w:val="707D9691"/>
    <w:rsid w:val="7081727A"/>
    <w:rsid w:val="7088C8DF"/>
    <w:rsid w:val="708B7973"/>
    <w:rsid w:val="7094617A"/>
    <w:rsid w:val="709645DF"/>
    <w:rsid w:val="709915B7"/>
    <w:rsid w:val="709DEBCD"/>
    <w:rsid w:val="709E7558"/>
    <w:rsid w:val="709F0C89"/>
    <w:rsid w:val="709FADD3"/>
    <w:rsid w:val="70A09A18"/>
    <w:rsid w:val="70A35C99"/>
    <w:rsid w:val="70A4FC52"/>
    <w:rsid w:val="70B5725F"/>
    <w:rsid w:val="70B813E0"/>
    <w:rsid w:val="70B85DAA"/>
    <w:rsid w:val="70B9C02A"/>
    <w:rsid w:val="70BE3FC9"/>
    <w:rsid w:val="70C15E92"/>
    <w:rsid w:val="70C49329"/>
    <w:rsid w:val="70C82B52"/>
    <w:rsid w:val="70CAFB38"/>
    <w:rsid w:val="70D630CF"/>
    <w:rsid w:val="70D68988"/>
    <w:rsid w:val="70D88B4F"/>
    <w:rsid w:val="70D89434"/>
    <w:rsid w:val="70D8AFFB"/>
    <w:rsid w:val="70DDE0EC"/>
    <w:rsid w:val="70DE3CC0"/>
    <w:rsid w:val="70E17A40"/>
    <w:rsid w:val="70E3EE2B"/>
    <w:rsid w:val="70E6871A"/>
    <w:rsid w:val="70E96B44"/>
    <w:rsid w:val="70F53DD7"/>
    <w:rsid w:val="70FB0EB2"/>
    <w:rsid w:val="70FBFEBB"/>
    <w:rsid w:val="710A14E8"/>
    <w:rsid w:val="710A99A6"/>
    <w:rsid w:val="710BC749"/>
    <w:rsid w:val="710F13C1"/>
    <w:rsid w:val="7114FB4D"/>
    <w:rsid w:val="7116D8E7"/>
    <w:rsid w:val="71180899"/>
    <w:rsid w:val="7118C93E"/>
    <w:rsid w:val="711B0624"/>
    <w:rsid w:val="711BF19D"/>
    <w:rsid w:val="711CAAA4"/>
    <w:rsid w:val="711E9D41"/>
    <w:rsid w:val="7126006C"/>
    <w:rsid w:val="712BCF0F"/>
    <w:rsid w:val="71372F6A"/>
    <w:rsid w:val="713B7544"/>
    <w:rsid w:val="713DD6D4"/>
    <w:rsid w:val="71418C02"/>
    <w:rsid w:val="7146B9E2"/>
    <w:rsid w:val="714724B7"/>
    <w:rsid w:val="7147A155"/>
    <w:rsid w:val="714BFF56"/>
    <w:rsid w:val="714E143A"/>
    <w:rsid w:val="715467A6"/>
    <w:rsid w:val="7155AC65"/>
    <w:rsid w:val="715C1A0B"/>
    <w:rsid w:val="715D2A10"/>
    <w:rsid w:val="71631B45"/>
    <w:rsid w:val="71654884"/>
    <w:rsid w:val="71655D11"/>
    <w:rsid w:val="71726253"/>
    <w:rsid w:val="71734350"/>
    <w:rsid w:val="71767899"/>
    <w:rsid w:val="717D1640"/>
    <w:rsid w:val="718195E1"/>
    <w:rsid w:val="7187F5BB"/>
    <w:rsid w:val="718F8363"/>
    <w:rsid w:val="71924792"/>
    <w:rsid w:val="7195CA57"/>
    <w:rsid w:val="71960AFD"/>
    <w:rsid w:val="719C229B"/>
    <w:rsid w:val="719E6065"/>
    <w:rsid w:val="719E7AC9"/>
    <w:rsid w:val="71A1CFB7"/>
    <w:rsid w:val="71A3B245"/>
    <w:rsid w:val="71AF4B24"/>
    <w:rsid w:val="71B20A32"/>
    <w:rsid w:val="71B785E9"/>
    <w:rsid w:val="71B7B78E"/>
    <w:rsid w:val="71BBF17C"/>
    <w:rsid w:val="71C0B324"/>
    <w:rsid w:val="71CB127E"/>
    <w:rsid w:val="71D16E14"/>
    <w:rsid w:val="71D3B5FC"/>
    <w:rsid w:val="71D73EB2"/>
    <w:rsid w:val="71D812E8"/>
    <w:rsid w:val="71D9FF9F"/>
    <w:rsid w:val="71DC8E29"/>
    <w:rsid w:val="71DCF4C1"/>
    <w:rsid w:val="71E4A71D"/>
    <w:rsid w:val="71E7466D"/>
    <w:rsid w:val="71EB2C51"/>
    <w:rsid w:val="71ECD594"/>
    <w:rsid w:val="71F42A60"/>
    <w:rsid w:val="71F9B3CB"/>
    <w:rsid w:val="71FE7462"/>
    <w:rsid w:val="7200DE0C"/>
    <w:rsid w:val="72090F4D"/>
    <w:rsid w:val="720DD384"/>
    <w:rsid w:val="7213B928"/>
    <w:rsid w:val="7216B21C"/>
    <w:rsid w:val="721966F2"/>
    <w:rsid w:val="721CA464"/>
    <w:rsid w:val="72205628"/>
    <w:rsid w:val="72219DF8"/>
    <w:rsid w:val="7221E8F6"/>
    <w:rsid w:val="72224E52"/>
    <w:rsid w:val="7222FB99"/>
    <w:rsid w:val="722A11BF"/>
    <w:rsid w:val="722A58D2"/>
    <w:rsid w:val="722BE069"/>
    <w:rsid w:val="722C08B3"/>
    <w:rsid w:val="722D6825"/>
    <w:rsid w:val="72315B22"/>
    <w:rsid w:val="723329F1"/>
    <w:rsid w:val="7234E618"/>
    <w:rsid w:val="723641DF"/>
    <w:rsid w:val="723917D6"/>
    <w:rsid w:val="723AB88A"/>
    <w:rsid w:val="723B1153"/>
    <w:rsid w:val="723CA270"/>
    <w:rsid w:val="723E4184"/>
    <w:rsid w:val="72421A02"/>
    <w:rsid w:val="72426F9B"/>
    <w:rsid w:val="72474CE2"/>
    <w:rsid w:val="7247A9EB"/>
    <w:rsid w:val="7247FDA7"/>
    <w:rsid w:val="724B5CA5"/>
    <w:rsid w:val="724BB9E5"/>
    <w:rsid w:val="72530EC3"/>
    <w:rsid w:val="7257FEA1"/>
    <w:rsid w:val="7262EF12"/>
    <w:rsid w:val="726B2154"/>
    <w:rsid w:val="726C7DCD"/>
    <w:rsid w:val="726FA1BB"/>
    <w:rsid w:val="72727BAF"/>
    <w:rsid w:val="727B97D9"/>
    <w:rsid w:val="727E13F2"/>
    <w:rsid w:val="7280FD35"/>
    <w:rsid w:val="728D43E0"/>
    <w:rsid w:val="72949221"/>
    <w:rsid w:val="72953D37"/>
    <w:rsid w:val="72983D3D"/>
    <w:rsid w:val="729A8BEB"/>
    <w:rsid w:val="72A2B24F"/>
    <w:rsid w:val="72A2B5A7"/>
    <w:rsid w:val="72A63457"/>
    <w:rsid w:val="72B039BD"/>
    <w:rsid w:val="72B36882"/>
    <w:rsid w:val="72B44654"/>
    <w:rsid w:val="72B6B39F"/>
    <w:rsid w:val="72B871F4"/>
    <w:rsid w:val="72B8BC31"/>
    <w:rsid w:val="72C2F489"/>
    <w:rsid w:val="72C4CC03"/>
    <w:rsid w:val="72C8CA2E"/>
    <w:rsid w:val="72CC1BDA"/>
    <w:rsid w:val="72CDE90E"/>
    <w:rsid w:val="72D52E36"/>
    <w:rsid w:val="72D56C6B"/>
    <w:rsid w:val="72DFB09B"/>
    <w:rsid w:val="72E1B3CE"/>
    <w:rsid w:val="72E96768"/>
    <w:rsid w:val="72F125BD"/>
    <w:rsid w:val="72F5990D"/>
    <w:rsid w:val="72F715FA"/>
    <w:rsid w:val="72FBF60F"/>
    <w:rsid w:val="72FF6E1A"/>
    <w:rsid w:val="73006550"/>
    <w:rsid w:val="73085B1F"/>
    <w:rsid w:val="730B4518"/>
    <w:rsid w:val="730D2397"/>
    <w:rsid w:val="730F76C6"/>
    <w:rsid w:val="731250F0"/>
    <w:rsid w:val="73129845"/>
    <w:rsid w:val="7313CA16"/>
    <w:rsid w:val="73158EFD"/>
    <w:rsid w:val="73183575"/>
    <w:rsid w:val="731A2BB8"/>
    <w:rsid w:val="731CF806"/>
    <w:rsid w:val="731D689D"/>
    <w:rsid w:val="731FE556"/>
    <w:rsid w:val="73202199"/>
    <w:rsid w:val="732B3161"/>
    <w:rsid w:val="732CFD85"/>
    <w:rsid w:val="732F9759"/>
    <w:rsid w:val="7330603D"/>
    <w:rsid w:val="73325619"/>
    <w:rsid w:val="733B5107"/>
    <w:rsid w:val="733E4665"/>
    <w:rsid w:val="73409FE8"/>
    <w:rsid w:val="73428635"/>
    <w:rsid w:val="7346ADEC"/>
    <w:rsid w:val="7347DC9C"/>
    <w:rsid w:val="734F771E"/>
    <w:rsid w:val="73539C56"/>
    <w:rsid w:val="7356238F"/>
    <w:rsid w:val="7358B568"/>
    <w:rsid w:val="735915D8"/>
    <w:rsid w:val="735DA130"/>
    <w:rsid w:val="73634A2F"/>
    <w:rsid w:val="736501D6"/>
    <w:rsid w:val="7366FABE"/>
    <w:rsid w:val="736F126F"/>
    <w:rsid w:val="737041CF"/>
    <w:rsid w:val="7379FEC8"/>
    <w:rsid w:val="737EC61F"/>
    <w:rsid w:val="738A9C56"/>
    <w:rsid w:val="738F2CF7"/>
    <w:rsid w:val="738F2F55"/>
    <w:rsid w:val="7391C450"/>
    <w:rsid w:val="7393687F"/>
    <w:rsid w:val="7393A3DB"/>
    <w:rsid w:val="7393DA7C"/>
    <w:rsid w:val="73954295"/>
    <w:rsid w:val="739E13AF"/>
    <w:rsid w:val="739EA73B"/>
    <w:rsid w:val="73AD00D6"/>
    <w:rsid w:val="73AFA6B7"/>
    <w:rsid w:val="73B328C7"/>
    <w:rsid w:val="73B4DE1B"/>
    <w:rsid w:val="73BC4F02"/>
    <w:rsid w:val="73BD64B6"/>
    <w:rsid w:val="73C305E2"/>
    <w:rsid w:val="73CC74F1"/>
    <w:rsid w:val="73CDFA15"/>
    <w:rsid w:val="73CF892C"/>
    <w:rsid w:val="73D27E01"/>
    <w:rsid w:val="73D5835D"/>
    <w:rsid w:val="73DC13C8"/>
    <w:rsid w:val="73DE93D0"/>
    <w:rsid w:val="73E42800"/>
    <w:rsid w:val="73E60B0E"/>
    <w:rsid w:val="73E6A13D"/>
    <w:rsid w:val="73E9B9C1"/>
    <w:rsid w:val="73ED4CA1"/>
    <w:rsid w:val="73EFF614"/>
    <w:rsid w:val="73F2B63B"/>
    <w:rsid w:val="73F442AC"/>
    <w:rsid w:val="73F54C42"/>
    <w:rsid w:val="740077A2"/>
    <w:rsid w:val="7405EE83"/>
    <w:rsid w:val="7412BB90"/>
    <w:rsid w:val="74166407"/>
    <w:rsid w:val="7418D411"/>
    <w:rsid w:val="741BABAB"/>
    <w:rsid w:val="7424D9A2"/>
    <w:rsid w:val="74262097"/>
    <w:rsid w:val="7427487A"/>
    <w:rsid w:val="74277D83"/>
    <w:rsid w:val="742858B5"/>
    <w:rsid w:val="7428AB90"/>
    <w:rsid w:val="742D3EC6"/>
    <w:rsid w:val="74315FAD"/>
    <w:rsid w:val="743A0020"/>
    <w:rsid w:val="743F8FFC"/>
    <w:rsid w:val="74491FB6"/>
    <w:rsid w:val="7449FE41"/>
    <w:rsid w:val="744DF591"/>
    <w:rsid w:val="744EA51D"/>
    <w:rsid w:val="7451E6D6"/>
    <w:rsid w:val="745A447A"/>
    <w:rsid w:val="746274D8"/>
    <w:rsid w:val="7462C463"/>
    <w:rsid w:val="7469CB55"/>
    <w:rsid w:val="746C6911"/>
    <w:rsid w:val="746CD801"/>
    <w:rsid w:val="746E1DD8"/>
    <w:rsid w:val="7472579A"/>
    <w:rsid w:val="74753DEE"/>
    <w:rsid w:val="74797A20"/>
    <w:rsid w:val="747AEA7D"/>
    <w:rsid w:val="7482AFC7"/>
    <w:rsid w:val="748548DD"/>
    <w:rsid w:val="748D04E3"/>
    <w:rsid w:val="748EB469"/>
    <w:rsid w:val="749BA9CF"/>
    <w:rsid w:val="749ED6AF"/>
    <w:rsid w:val="749F267A"/>
    <w:rsid w:val="74A07331"/>
    <w:rsid w:val="74A9EDD7"/>
    <w:rsid w:val="74A9EE2B"/>
    <w:rsid w:val="74B376C4"/>
    <w:rsid w:val="74B40C96"/>
    <w:rsid w:val="74B48362"/>
    <w:rsid w:val="74B5A291"/>
    <w:rsid w:val="74B6B06E"/>
    <w:rsid w:val="74BD5922"/>
    <w:rsid w:val="74C21214"/>
    <w:rsid w:val="74C4C86E"/>
    <w:rsid w:val="74CBF3BB"/>
    <w:rsid w:val="74D58F2E"/>
    <w:rsid w:val="74D805C1"/>
    <w:rsid w:val="74DAC524"/>
    <w:rsid w:val="74E77334"/>
    <w:rsid w:val="74EDBEA8"/>
    <w:rsid w:val="74EDF770"/>
    <w:rsid w:val="74F7E2A0"/>
    <w:rsid w:val="750D19F3"/>
    <w:rsid w:val="7513AB61"/>
    <w:rsid w:val="75153ABA"/>
    <w:rsid w:val="7517E23F"/>
    <w:rsid w:val="751A1AE5"/>
    <w:rsid w:val="751AF3AE"/>
    <w:rsid w:val="751C4D7E"/>
    <w:rsid w:val="7520B2AA"/>
    <w:rsid w:val="7520FE74"/>
    <w:rsid w:val="75262EB0"/>
    <w:rsid w:val="752EBF55"/>
    <w:rsid w:val="7534C1FD"/>
    <w:rsid w:val="75362281"/>
    <w:rsid w:val="7538628D"/>
    <w:rsid w:val="753E7FA1"/>
    <w:rsid w:val="7546AAFB"/>
    <w:rsid w:val="754A0662"/>
    <w:rsid w:val="754AAF38"/>
    <w:rsid w:val="754ABC3F"/>
    <w:rsid w:val="7552913F"/>
    <w:rsid w:val="75552DE5"/>
    <w:rsid w:val="7557163A"/>
    <w:rsid w:val="755900E1"/>
    <w:rsid w:val="755A2B1C"/>
    <w:rsid w:val="755D70A5"/>
    <w:rsid w:val="75624F9D"/>
    <w:rsid w:val="7564C18A"/>
    <w:rsid w:val="7568067E"/>
    <w:rsid w:val="75684552"/>
    <w:rsid w:val="756D473E"/>
    <w:rsid w:val="757020CA"/>
    <w:rsid w:val="7571DFFC"/>
    <w:rsid w:val="75755836"/>
    <w:rsid w:val="757FF5C3"/>
    <w:rsid w:val="758ACDCC"/>
    <w:rsid w:val="758DA723"/>
    <w:rsid w:val="75A419AC"/>
    <w:rsid w:val="75A487CB"/>
    <w:rsid w:val="75A96CB4"/>
    <w:rsid w:val="75B0A044"/>
    <w:rsid w:val="75B58557"/>
    <w:rsid w:val="75B7BE8D"/>
    <w:rsid w:val="75BA6101"/>
    <w:rsid w:val="75BE61C1"/>
    <w:rsid w:val="75C270A1"/>
    <w:rsid w:val="75C33FE2"/>
    <w:rsid w:val="75C9F6EE"/>
    <w:rsid w:val="75CD300E"/>
    <w:rsid w:val="75CD7587"/>
    <w:rsid w:val="75CF287C"/>
    <w:rsid w:val="75D0F050"/>
    <w:rsid w:val="75D62360"/>
    <w:rsid w:val="75DDC960"/>
    <w:rsid w:val="75DE7510"/>
    <w:rsid w:val="75DFEDC9"/>
    <w:rsid w:val="75E25397"/>
    <w:rsid w:val="75E51CDC"/>
    <w:rsid w:val="75E6A1D2"/>
    <w:rsid w:val="75EB78FA"/>
    <w:rsid w:val="75ECF8FD"/>
    <w:rsid w:val="75F61333"/>
    <w:rsid w:val="75FC29D4"/>
    <w:rsid w:val="76056CBD"/>
    <w:rsid w:val="7605A586"/>
    <w:rsid w:val="7606389B"/>
    <w:rsid w:val="7610AC89"/>
    <w:rsid w:val="76144766"/>
    <w:rsid w:val="76152F52"/>
    <w:rsid w:val="76156926"/>
    <w:rsid w:val="76188E7C"/>
    <w:rsid w:val="761DD2D5"/>
    <w:rsid w:val="761ED838"/>
    <w:rsid w:val="761F7079"/>
    <w:rsid w:val="762BF942"/>
    <w:rsid w:val="763CDF2B"/>
    <w:rsid w:val="7640054A"/>
    <w:rsid w:val="76408C6F"/>
    <w:rsid w:val="76471788"/>
    <w:rsid w:val="76480251"/>
    <w:rsid w:val="76490B08"/>
    <w:rsid w:val="764B995A"/>
    <w:rsid w:val="7653444C"/>
    <w:rsid w:val="76567BB0"/>
    <w:rsid w:val="765A5FC7"/>
    <w:rsid w:val="765C6933"/>
    <w:rsid w:val="76689F19"/>
    <w:rsid w:val="76690DBE"/>
    <w:rsid w:val="766A456E"/>
    <w:rsid w:val="766DC08C"/>
    <w:rsid w:val="766E4546"/>
    <w:rsid w:val="767588B0"/>
    <w:rsid w:val="767817AA"/>
    <w:rsid w:val="767B21D6"/>
    <w:rsid w:val="767CA8E8"/>
    <w:rsid w:val="767D1749"/>
    <w:rsid w:val="767E5A31"/>
    <w:rsid w:val="767EAFDE"/>
    <w:rsid w:val="7680D99A"/>
    <w:rsid w:val="7684375C"/>
    <w:rsid w:val="768D084E"/>
    <w:rsid w:val="7690872D"/>
    <w:rsid w:val="76923D2A"/>
    <w:rsid w:val="76A29403"/>
    <w:rsid w:val="76ABDB87"/>
    <w:rsid w:val="76AC411F"/>
    <w:rsid w:val="76B12F17"/>
    <w:rsid w:val="76B53728"/>
    <w:rsid w:val="76B55388"/>
    <w:rsid w:val="76B76A01"/>
    <w:rsid w:val="76BBF3C5"/>
    <w:rsid w:val="76BC51A5"/>
    <w:rsid w:val="76BD0074"/>
    <w:rsid w:val="76BE8F85"/>
    <w:rsid w:val="76C5D9D4"/>
    <w:rsid w:val="76C7B908"/>
    <w:rsid w:val="76C7C387"/>
    <w:rsid w:val="76C8F01C"/>
    <w:rsid w:val="76CC094A"/>
    <w:rsid w:val="76CF51D5"/>
    <w:rsid w:val="76CFB8D0"/>
    <w:rsid w:val="76D07F01"/>
    <w:rsid w:val="76D0B611"/>
    <w:rsid w:val="76D3805C"/>
    <w:rsid w:val="76D3BF3F"/>
    <w:rsid w:val="76DA8BAC"/>
    <w:rsid w:val="76DB7972"/>
    <w:rsid w:val="76DBB478"/>
    <w:rsid w:val="76DD445F"/>
    <w:rsid w:val="76DFB25C"/>
    <w:rsid w:val="76E80EFE"/>
    <w:rsid w:val="76F2C349"/>
    <w:rsid w:val="76FE019C"/>
    <w:rsid w:val="770241F8"/>
    <w:rsid w:val="7704FFDD"/>
    <w:rsid w:val="77080FA4"/>
    <w:rsid w:val="770E1B58"/>
    <w:rsid w:val="770E8276"/>
    <w:rsid w:val="770EB093"/>
    <w:rsid w:val="77121C98"/>
    <w:rsid w:val="77173E2D"/>
    <w:rsid w:val="7718C268"/>
    <w:rsid w:val="771B9BE3"/>
    <w:rsid w:val="7722591B"/>
    <w:rsid w:val="77232F36"/>
    <w:rsid w:val="772CD358"/>
    <w:rsid w:val="7731C26A"/>
    <w:rsid w:val="7734094E"/>
    <w:rsid w:val="77348452"/>
    <w:rsid w:val="7735C64A"/>
    <w:rsid w:val="773A0679"/>
    <w:rsid w:val="7741B13F"/>
    <w:rsid w:val="7745ACCC"/>
    <w:rsid w:val="7746D827"/>
    <w:rsid w:val="7747C5DA"/>
    <w:rsid w:val="77480721"/>
    <w:rsid w:val="774AE597"/>
    <w:rsid w:val="774CC5C3"/>
    <w:rsid w:val="774D3452"/>
    <w:rsid w:val="775A7049"/>
    <w:rsid w:val="7761BC02"/>
    <w:rsid w:val="7762AE85"/>
    <w:rsid w:val="776798EA"/>
    <w:rsid w:val="776CDFCB"/>
    <w:rsid w:val="7771AE58"/>
    <w:rsid w:val="7772668C"/>
    <w:rsid w:val="77740276"/>
    <w:rsid w:val="778645DF"/>
    <w:rsid w:val="778817D4"/>
    <w:rsid w:val="778B0B12"/>
    <w:rsid w:val="778E2451"/>
    <w:rsid w:val="778F525F"/>
    <w:rsid w:val="7792ED45"/>
    <w:rsid w:val="77934863"/>
    <w:rsid w:val="77974647"/>
    <w:rsid w:val="779C6175"/>
    <w:rsid w:val="77A32630"/>
    <w:rsid w:val="77A5CF87"/>
    <w:rsid w:val="77AD3403"/>
    <w:rsid w:val="77B13987"/>
    <w:rsid w:val="77B1CE90"/>
    <w:rsid w:val="77B499BE"/>
    <w:rsid w:val="77B6296F"/>
    <w:rsid w:val="77B6C056"/>
    <w:rsid w:val="77B6D8EE"/>
    <w:rsid w:val="77BA90AC"/>
    <w:rsid w:val="77CA68C8"/>
    <w:rsid w:val="77CAF051"/>
    <w:rsid w:val="77CF700A"/>
    <w:rsid w:val="77D4CD90"/>
    <w:rsid w:val="77D5874F"/>
    <w:rsid w:val="77DE8340"/>
    <w:rsid w:val="77DFF1DE"/>
    <w:rsid w:val="77E1070F"/>
    <w:rsid w:val="77E59240"/>
    <w:rsid w:val="77E7D23C"/>
    <w:rsid w:val="77EE3B43"/>
    <w:rsid w:val="7800F044"/>
    <w:rsid w:val="7803BD7F"/>
    <w:rsid w:val="78050B6E"/>
    <w:rsid w:val="780A473D"/>
    <w:rsid w:val="780FB405"/>
    <w:rsid w:val="78102641"/>
    <w:rsid w:val="7812A4DE"/>
    <w:rsid w:val="78141786"/>
    <w:rsid w:val="78167264"/>
    <w:rsid w:val="781F29F2"/>
    <w:rsid w:val="78213F47"/>
    <w:rsid w:val="7821F774"/>
    <w:rsid w:val="78303E6B"/>
    <w:rsid w:val="7832F9F1"/>
    <w:rsid w:val="78354A15"/>
    <w:rsid w:val="783578CE"/>
    <w:rsid w:val="7837D74A"/>
    <w:rsid w:val="7838C4B5"/>
    <w:rsid w:val="7839494E"/>
    <w:rsid w:val="78394CA3"/>
    <w:rsid w:val="78399AFC"/>
    <w:rsid w:val="783CA9FA"/>
    <w:rsid w:val="78480F9C"/>
    <w:rsid w:val="784975BD"/>
    <w:rsid w:val="784B79A7"/>
    <w:rsid w:val="784E5CD4"/>
    <w:rsid w:val="7856A190"/>
    <w:rsid w:val="7857BAE8"/>
    <w:rsid w:val="7858536C"/>
    <w:rsid w:val="785A6DD5"/>
    <w:rsid w:val="785C1754"/>
    <w:rsid w:val="785C6EEF"/>
    <w:rsid w:val="785D039C"/>
    <w:rsid w:val="786CFF32"/>
    <w:rsid w:val="786E4138"/>
    <w:rsid w:val="7874975E"/>
    <w:rsid w:val="787784D9"/>
    <w:rsid w:val="787DAD3C"/>
    <w:rsid w:val="7880E86E"/>
    <w:rsid w:val="78863EA3"/>
    <w:rsid w:val="78888A97"/>
    <w:rsid w:val="788A7BED"/>
    <w:rsid w:val="788AA8B0"/>
    <w:rsid w:val="789339EC"/>
    <w:rsid w:val="78968B58"/>
    <w:rsid w:val="7897F404"/>
    <w:rsid w:val="78983CE4"/>
    <w:rsid w:val="78990BAD"/>
    <w:rsid w:val="789F8C7E"/>
    <w:rsid w:val="78A0D03E"/>
    <w:rsid w:val="78A405DE"/>
    <w:rsid w:val="78A7EA19"/>
    <w:rsid w:val="78AA4461"/>
    <w:rsid w:val="78AE9D78"/>
    <w:rsid w:val="78B228C6"/>
    <w:rsid w:val="78B40C42"/>
    <w:rsid w:val="78BD2AE4"/>
    <w:rsid w:val="78C6A4C0"/>
    <w:rsid w:val="78CA6653"/>
    <w:rsid w:val="78CB0B39"/>
    <w:rsid w:val="78D2644E"/>
    <w:rsid w:val="78D40448"/>
    <w:rsid w:val="78E2CE9A"/>
    <w:rsid w:val="78E7AA93"/>
    <w:rsid w:val="78EBF0D0"/>
    <w:rsid w:val="78EC29B3"/>
    <w:rsid w:val="78F115AB"/>
    <w:rsid w:val="78F453D0"/>
    <w:rsid w:val="78FD52DC"/>
    <w:rsid w:val="78FF215D"/>
    <w:rsid w:val="78FFB8BD"/>
    <w:rsid w:val="790060DA"/>
    <w:rsid w:val="7903CFF5"/>
    <w:rsid w:val="79046661"/>
    <w:rsid w:val="790998FE"/>
    <w:rsid w:val="79130043"/>
    <w:rsid w:val="791AC264"/>
    <w:rsid w:val="791E4294"/>
    <w:rsid w:val="79230364"/>
    <w:rsid w:val="7923D065"/>
    <w:rsid w:val="7927305B"/>
    <w:rsid w:val="79314FD6"/>
    <w:rsid w:val="79343B9D"/>
    <w:rsid w:val="793B75D1"/>
    <w:rsid w:val="793D7229"/>
    <w:rsid w:val="793D8C2B"/>
    <w:rsid w:val="79410F16"/>
    <w:rsid w:val="7942415A"/>
    <w:rsid w:val="794251F7"/>
    <w:rsid w:val="7942561A"/>
    <w:rsid w:val="7943D3A2"/>
    <w:rsid w:val="7957E801"/>
    <w:rsid w:val="795D0823"/>
    <w:rsid w:val="795F50DB"/>
    <w:rsid w:val="795FC21E"/>
    <w:rsid w:val="79698265"/>
    <w:rsid w:val="797AC83E"/>
    <w:rsid w:val="79834946"/>
    <w:rsid w:val="798571A7"/>
    <w:rsid w:val="7987D89D"/>
    <w:rsid w:val="7989D708"/>
    <w:rsid w:val="7990C838"/>
    <w:rsid w:val="79930416"/>
    <w:rsid w:val="7996F555"/>
    <w:rsid w:val="799AAA19"/>
    <w:rsid w:val="799DE0B0"/>
    <w:rsid w:val="799ED8DD"/>
    <w:rsid w:val="79A305C3"/>
    <w:rsid w:val="79A781B3"/>
    <w:rsid w:val="79A7C146"/>
    <w:rsid w:val="79A7E924"/>
    <w:rsid w:val="79AF0933"/>
    <w:rsid w:val="79B45D62"/>
    <w:rsid w:val="79B4811D"/>
    <w:rsid w:val="79B8146A"/>
    <w:rsid w:val="79BFC3ED"/>
    <w:rsid w:val="79C52B96"/>
    <w:rsid w:val="79C951CA"/>
    <w:rsid w:val="79E3C2E4"/>
    <w:rsid w:val="79E6EFA5"/>
    <w:rsid w:val="79EDD1B4"/>
    <w:rsid w:val="79F123BC"/>
    <w:rsid w:val="79F16F49"/>
    <w:rsid w:val="79F183FA"/>
    <w:rsid w:val="79F7806D"/>
    <w:rsid w:val="79F7CD2A"/>
    <w:rsid w:val="79FDB3E9"/>
    <w:rsid w:val="7A08930B"/>
    <w:rsid w:val="7A089BA4"/>
    <w:rsid w:val="7A0B211E"/>
    <w:rsid w:val="7A0F7B80"/>
    <w:rsid w:val="7A0FA185"/>
    <w:rsid w:val="7A11DC58"/>
    <w:rsid w:val="7A1247D1"/>
    <w:rsid w:val="7A147811"/>
    <w:rsid w:val="7A1AD482"/>
    <w:rsid w:val="7A1FB5DB"/>
    <w:rsid w:val="7A207E30"/>
    <w:rsid w:val="7A24AA24"/>
    <w:rsid w:val="7A28BE1A"/>
    <w:rsid w:val="7A2944BE"/>
    <w:rsid w:val="7A2D8291"/>
    <w:rsid w:val="7A2DF6F7"/>
    <w:rsid w:val="7A2EBAF8"/>
    <w:rsid w:val="7A315407"/>
    <w:rsid w:val="7A31B7BB"/>
    <w:rsid w:val="7A3B8A5F"/>
    <w:rsid w:val="7A3E6BED"/>
    <w:rsid w:val="7A4260D1"/>
    <w:rsid w:val="7A4CDBDC"/>
    <w:rsid w:val="7A5366E6"/>
    <w:rsid w:val="7A53D8B2"/>
    <w:rsid w:val="7A549834"/>
    <w:rsid w:val="7A566102"/>
    <w:rsid w:val="7A58FB45"/>
    <w:rsid w:val="7A5A029E"/>
    <w:rsid w:val="7A5FFE33"/>
    <w:rsid w:val="7A60F5D9"/>
    <w:rsid w:val="7A63FADB"/>
    <w:rsid w:val="7A64E68B"/>
    <w:rsid w:val="7A66D387"/>
    <w:rsid w:val="7A6A7C3E"/>
    <w:rsid w:val="7A6F300C"/>
    <w:rsid w:val="7A75C183"/>
    <w:rsid w:val="7A789C63"/>
    <w:rsid w:val="7A7C09C0"/>
    <w:rsid w:val="7A870AD1"/>
    <w:rsid w:val="7A876484"/>
    <w:rsid w:val="7A88754F"/>
    <w:rsid w:val="7A89D6B1"/>
    <w:rsid w:val="7A8D66BF"/>
    <w:rsid w:val="7A92338B"/>
    <w:rsid w:val="7A92A6EE"/>
    <w:rsid w:val="7A95538D"/>
    <w:rsid w:val="7A979F0C"/>
    <w:rsid w:val="7A97B680"/>
    <w:rsid w:val="7A9A9857"/>
    <w:rsid w:val="7A9CAC4A"/>
    <w:rsid w:val="7A9F05AC"/>
    <w:rsid w:val="7AA52C08"/>
    <w:rsid w:val="7AA95AD6"/>
    <w:rsid w:val="7AAB8E5B"/>
    <w:rsid w:val="7AAC6978"/>
    <w:rsid w:val="7AACC278"/>
    <w:rsid w:val="7AAED60D"/>
    <w:rsid w:val="7AAFF353"/>
    <w:rsid w:val="7AB536C3"/>
    <w:rsid w:val="7AB91D33"/>
    <w:rsid w:val="7ABB1A69"/>
    <w:rsid w:val="7ABD1894"/>
    <w:rsid w:val="7ABE642A"/>
    <w:rsid w:val="7AC2A976"/>
    <w:rsid w:val="7AC5FA5A"/>
    <w:rsid w:val="7AC8CB81"/>
    <w:rsid w:val="7ACD2037"/>
    <w:rsid w:val="7ACE165E"/>
    <w:rsid w:val="7AD96615"/>
    <w:rsid w:val="7AD9A9BE"/>
    <w:rsid w:val="7ADB8E16"/>
    <w:rsid w:val="7ADF74B2"/>
    <w:rsid w:val="7AE4A730"/>
    <w:rsid w:val="7AE95187"/>
    <w:rsid w:val="7AEEC094"/>
    <w:rsid w:val="7AF24CD9"/>
    <w:rsid w:val="7AF2E19C"/>
    <w:rsid w:val="7AF39991"/>
    <w:rsid w:val="7AF5D32E"/>
    <w:rsid w:val="7AF83DD9"/>
    <w:rsid w:val="7AF8D9AC"/>
    <w:rsid w:val="7AFEF82F"/>
    <w:rsid w:val="7B00FC35"/>
    <w:rsid w:val="7B023B78"/>
    <w:rsid w:val="7B040F00"/>
    <w:rsid w:val="7B05897F"/>
    <w:rsid w:val="7B05B39E"/>
    <w:rsid w:val="7B0A654A"/>
    <w:rsid w:val="7B0AB5FA"/>
    <w:rsid w:val="7B1724CF"/>
    <w:rsid w:val="7B17576E"/>
    <w:rsid w:val="7B17A4F0"/>
    <w:rsid w:val="7B1A88AB"/>
    <w:rsid w:val="7B1ACFF9"/>
    <w:rsid w:val="7B1B7193"/>
    <w:rsid w:val="7B20DE4B"/>
    <w:rsid w:val="7B22FD1E"/>
    <w:rsid w:val="7B26D7CC"/>
    <w:rsid w:val="7B27790F"/>
    <w:rsid w:val="7B2785C3"/>
    <w:rsid w:val="7B285318"/>
    <w:rsid w:val="7B2DC928"/>
    <w:rsid w:val="7B33F55C"/>
    <w:rsid w:val="7B391A63"/>
    <w:rsid w:val="7B3A80DB"/>
    <w:rsid w:val="7B3D54FB"/>
    <w:rsid w:val="7B3D6556"/>
    <w:rsid w:val="7B3EB460"/>
    <w:rsid w:val="7B4236DB"/>
    <w:rsid w:val="7B42AE3C"/>
    <w:rsid w:val="7B42E304"/>
    <w:rsid w:val="7B49024A"/>
    <w:rsid w:val="7B5B7BBE"/>
    <w:rsid w:val="7B5C4390"/>
    <w:rsid w:val="7B60DA3E"/>
    <w:rsid w:val="7B68B315"/>
    <w:rsid w:val="7B6963BB"/>
    <w:rsid w:val="7B6CB800"/>
    <w:rsid w:val="7B6D872C"/>
    <w:rsid w:val="7B6E557C"/>
    <w:rsid w:val="7B786427"/>
    <w:rsid w:val="7B80A9CB"/>
    <w:rsid w:val="7B84D06C"/>
    <w:rsid w:val="7B862071"/>
    <w:rsid w:val="7B955B78"/>
    <w:rsid w:val="7B957DC6"/>
    <w:rsid w:val="7B97B8C8"/>
    <w:rsid w:val="7BA582C5"/>
    <w:rsid w:val="7BADBA91"/>
    <w:rsid w:val="7BB0E3CF"/>
    <w:rsid w:val="7BB449CF"/>
    <w:rsid w:val="7BB55E07"/>
    <w:rsid w:val="7BBA85E2"/>
    <w:rsid w:val="7BBE66B9"/>
    <w:rsid w:val="7BC01F87"/>
    <w:rsid w:val="7BC0203B"/>
    <w:rsid w:val="7BC18DAC"/>
    <w:rsid w:val="7BC4EB52"/>
    <w:rsid w:val="7BCAEA1D"/>
    <w:rsid w:val="7BCE0CE9"/>
    <w:rsid w:val="7BCFAB7A"/>
    <w:rsid w:val="7BD93D0D"/>
    <w:rsid w:val="7BE0B393"/>
    <w:rsid w:val="7BE1BF30"/>
    <w:rsid w:val="7BEC0B30"/>
    <w:rsid w:val="7BEC6E42"/>
    <w:rsid w:val="7BECB179"/>
    <w:rsid w:val="7BECBFDB"/>
    <w:rsid w:val="7BF15513"/>
    <w:rsid w:val="7BF7BBBC"/>
    <w:rsid w:val="7BFE6388"/>
    <w:rsid w:val="7BFF01E8"/>
    <w:rsid w:val="7C0B146A"/>
    <w:rsid w:val="7C19EB84"/>
    <w:rsid w:val="7C1DEBC1"/>
    <w:rsid w:val="7C1E20B0"/>
    <w:rsid w:val="7C1FBB93"/>
    <w:rsid w:val="7C203DC5"/>
    <w:rsid w:val="7C23424D"/>
    <w:rsid w:val="7C262108"/>
    <w:rsid w:val="7C307DF8"/>
    <w:rsid w:val="7C312F8B"/>
    <w:rsid w:val="7C314AEC"/>
    <w:rsid w:val="7C34AF3D"/>
    <w:rsid w:val="7C3AB5E5"/>
    <w:rsid w:val="7C3E5B27"/>
    <w:rsid w:val="7C406F94"/>
    <w:rsid w:val="7C43E9F0"/>
    <w:rsid w:val="7C453549"/>
    <w:rsid w:val="7C4584BF"/>
    <w:rsid w:val="7C486D17"/>
    <w:rsid w:val="7C4F322B"/>
    <w:rsid w:val="7C5089FD"/>
    <w:rsid w:val="7C5A3DEA"/>
    <w:rsid w:val="7C5E79D7"/>
    <w:rsid w:val="7C63B023"/>
    <w:rsid w:val="7C6510D6"/>
    <w:rsid w:val="7C67639E"/>
    <w:rsid w:val="7C6863B8"/>
    <w:rsid w:val="7C6A75E7"/>
    <w:rsid w:val="7C7343DC"/>
    <w:rsid w:val="7C74D972"/>
    <w:rsid w:val="7C787FEE"/>
    <w:rsid w:val="7C81D563"/>
    <w:rsid w:val="7C82F91A"/>
    <w:rsid w:val="7C886BF4"/>
    <w:rsid w:val="7C8E01CF"/>
    <w:rsid w:val="7C91A38F"/>
    <w:rsid w:val="7C92F81C"/>
    <w:rsid w:val="7C95939B"/>
    <w:rsid w:val="7C98453A"/>
    <w:rsid w:val="7CA75703"/>
    <w:rsid w:val="7CA9CB9C"/>
    <w:rsid w:val="7CAB2E19"/>
    <w:rsid w:val="7CAD215E"/>
    <w:rsid w:val="7CB070B1"/>
    <w:rsid w:val="7CB4872B"/>
    <w:rsid w:val="7CB5C9E7"/>
    <w:rsid w:val="7CB64540"/>
    <w:rsid w:val="7CB94CB6"/>
    <w:rsid w:val="7CBC292F"/>
    <w:rsid w:val="7CBE2200"/>
    <w:rsid w:val="7CBF2C86"/>
    <w:rsid w:val="7CC63B16"/>
    <w:rsid w:val="7CC886EB"/>
    <w:rsid w:val="7CCD6BD5"/>
    <w:rsid w:val="7CCF4183"/>
    <w:rsid w:val="7CD1297D"/>
    <w:rsid w:val="7CD56B75"/>
    <w:rsid w:val="7CD8559A"/>
    <w:rsid w:val="7CE4F095"/>
    <w:rsid w:val="7CE54898"/>
    <w:rsid w:val="7CE6E356"/>
    <w:rsid w:val="7CED1C85"/>
    <w:rsid w:val="7CF0B9D7"/>
    <w:rsid w:val="7CF380F3"/>
    <w:rsid w:val="7CF90910"/>
    <w:rsid w:val="7CFAFEFE"/>
    <w:rsid w:val="7D037DF8"/>
    <w:rsid w:val="7D09C229"/>
    <w:rsid w:val="7D0F4F2E"/>
    <w:rsid w:val="7D16FDCD"/>
    <w:rsid w:val="7D1DD13C"/>
    <w:rsid w:val="7D2BE4DE"/>
    <w:rsid w:val="7D2D4454"/>
    <w:rsid w:val="7D36B647"/>
    <w:rsid w:val="7D38C09E"/>
    <w:rsid w:val="7D4541E3"/>
    <w:rsid w:val="7D45B480"/>
    <w:rsid w:val="7D4801F6"/>
    <w:rsid w:val="7D48272F"/>
    <w:rsid w:val="7D49C877"/>
    <w:rsid w:val="7D4AEBD4"/>
    <w:rsid w:val="7D57CEF8"/>
    <w:rsid w:val="7D5FB3DF"/>
    <w:rsid w:val="7D615F0D"/>
    <w:rsid w:val="7D645B5F"/>
    <w:rsid w:val="7D6EB1FE"/>
    <w:rsid w:val="7D7DD5A6"/>
    <w:rsid w:val="7D7FC589"/>
    <w:rsid w:val="7D82463C"/>
    <w:rsid w:val="7D8500E0"/>
    <w:rsid w:val="7D851C07"/>
    <w:rsid w:val="7D85447E"/>
    <w:rsid w:val="7D8A5C92"/>
    <w:rsid w:val="7D8B7974"/>
    <w:rsid w:val="7D8D247E"/>
    <w:rsid w:val="7D8E4AC4"/>
    <w:rsid w:val="7D920B18"/>
    <w:rsid w:val="7D92AC46"/>
    <w:rsid w:val="7D939D49"/>
    <w:rsid w:val="7D965265"/>
    <w:rsid w:val="7D99C1DA"/>
    <w:rsid w:val="7D9A62AC"/>
    <w:rsid w:val="7D9DCEA5"/>
    <w:rsid w:val="7D9FEEAA"/>
    <w:rsid w:val="7DB3AA82"/>
    <w:rsid w:val="7DB82720"/>
    <w:rsid w:val="7DBA3B86"/>
    <w:rsid w:val="7DBDA870"/>
    <w:rsid w:val="7DBF61F3"/>
    <w:rsid w:val="7DC03694"/>
    <w:rsid w:val="7DC0819E"/>
    <w:rsid w:val="7DC166BA"/>
    <w:rsid w:val="7DC507C4"/>
    <w:rsid w:val="7DC71925"/>
    <w:rsid w:val="7DC7E8F3"/>
    <w:rsid w:val="7DCAA574"/>
    <w:rsid w:val="7DCAE8EC"/>
    <w:rsid w:val="7DD69E83"/>
    <w:rsid w:val="7DD9B07E"/>
    <w:rsid w:val="7DDB8FF3"/>
    <w:rsid w:val="7DDB96DD"/>
    <w:rsid w:val="7DDBBF83"/>
    <w:rsid w:val="7DDE396A"/>
    <w:rsid w:val="7DE46908"/>
    <w:rsid w:val="7DE69F36"/>
    <w:rsid w:val="7DE82792"/>
    <w:rsid w:val="7DEEB807"/>
    <w:rsid w:val="7DEF19E7"/>
    <w:rsid w:val="7DEF7C0B"/>
    <w:rsid w:val="7DF02EC1"/>
    <w:rsid w:val="7DF2F390"/>
    <w:rsid w:val="7DF596A3"/>
    <w:rsid w:val="7DF6B477"/>
    <w:rsid w:val="7E017908"/>
    <w:rsid w:val="7E0C93DB"/>
    <w:rsid w:val="7E0F9E04"/>
    <w:rsid w:val="7E1113D1"/>
    <w:rsid w:val="7E12452E"/>
    <w:rsid w:val="7E1303C3"/>
    <w:rsid w:val="7E133D0F"/>
    <w:rsid w:val="7E136949"/>
    <w:rsid w:val="7E184B9A"/>
    <w:rsid w:val="7E1C7FF3"/>
    <w:rsid w:val="7E269586"/>
    <w:rsid w:val="7E2C195E"/>
    <w:rsid w:val="7E30F391"/>
    <w:rsid w:val="7E373419"/>
    <w:rsid w:val="7E3A31D5"/>
    <w:rsid w:val="7E3B70FE"/>
    <w:rsid w:val="7E3C9607"/>
    <w:rsid w:val="7E3D7A62"/>
    <w:rsid w:val="7E3EFE65"/>
    <w:rsid w:val="7E4A0287"/>
    <w:rsid w:val="7E4C0D16"/>
    <w:rsid w:val="7E4F42A5"/>
    <w:rsid w:val="7E51C172"/>
    <w:rsid w:val="7E52296D"/>
    <w:rsid w:val="7E57D5B9"/>
    <w:rsid w:val="7E584974"/>
    <w:rsid w:val="7E62654D"/>
    <w:rsid w:val="7E6B141B"/>
    <w:rsid w:val="7E6CF9DE"/>
    <w:rsid w:val="7E705CE3"/>
    <w:rsid w:val="7E71BE98"/>
    <w:rsid w:val="7E72D7A5"/>
    <w:rsid w:val="7E7512BA"/>
    <w:rsid w:val="7E7B2E95"/>
    <w:rsid w:val="7E7B9E84"/>
    <w:rsid w:val="7E7CEF43"/>
    <w:rsid w:val="7E88ECE6"/>
    <w:rsid w:val="7E8B6EDD"/>
    <w:rsid w:val="7E98924B"/>
    <w:rsid w:val="7E9945FC"/>
    <w:rsid w:val="7E9CF9D8"/>
    <w:rsid w:val="7E9D4F08"/>
    <w:rsid w:val="7E9FAF20"/>
    <w:rsid w:val="7E9FC52F"/>
    <w:rsid w:val="7EA01E3E"/>
    <w:rsid w:val="7EA871A3"/>
    <w:rsid w:val="7EA94183"/>
    <w:rsid w:val="7EB5D24E"/>
    <w:rsid w:val="7EBBB45B"/>
    <w:rsid w:val="7EBE736A"/>
    <w:rsid w:val="7EC4E943"/>
    <w:rsid w:val="7EC5A39A"/>
    <w:rsid w:val="7EC8E10F"/>
    <w:rsid w:val="7EC9B835"/>
    <w:rsid w:val="7ECC4B3C"/>
    <w:rsid w:val="7ED2D3F0"/>
    <w:rsid w:val="7ED4ABC7"/>
    <w:rsid w:val="7ED8262D"/>
    <w:rsid w:val="7ED87759"/>
    <w:rsid w:val="7EDB2C15"/>
    <w:rsid w:val="7EDCC032"/>
    <w:rsid w:val="7EDF10BD"/>
    <w:rsid w:val="7EDF6CB6"/>
    <w:rsid w:val="7EDFB71E"/>
    <w:rsid w:val="7EE2A5DB"/>
    <w:rsid w:val="7EE598D8"/>
    <w:rsid w:val="7EE66A84"/>
    <w:rsid w:val="7EEBC948"/>
    <w:rsid w:val="7EEDE6A2"/>
    <w:rsid w:val="7EF3AF4C"/>
    <w:rsid w:val="7EF6C953"/>
    <w:rsid w:val="7EF79BA8"/>
    <w:rsid w:val="7EF8849C"/>
    <w:rsid w:val="7F01F0AE"/>
    <w:rsid w:val="7F07E395"/>
    <w:rsid w:val="7F0E0B17"/>
    <w:rsid w:val="7F1490D5"/>
    <w:rsid w:val="7F170310"/>
    <w:rsid w:val="7F197379"/>
    <w:rsid w:val="7F1B74F6"/>
    <w:rsid w:val="7F1BEE2C"/>
    <w:rsid w:val="7F1C6ECE"/>
    <w:rsid w:val="7F1D445A"/>
    <w:rsid w:val="7F20EC68"/>
    <w:rsid w:val="7F222EC9"/>
    <w:rsid w:val="7F23490D"/>
    <w:rsid w:val="7F298317"/>
    <w:rsid w:val="7F2A8044"/>
    <w:rsid w:val="7F316331"/>
    <w:rsid w:val="7F31A2C4"/>
    <w:rsid w:val="7F3388EA"/>
    <w:rsid w:val="7F36CE61"/>
    <w:rsid w:val="7F378215"/>
    <w:rsid w:val="7F3AB243"/>
    <w:rsid w:val="7F407C91"/>
    <w:rsid w:val="7F41BAB2"/>
    <w:rsid w:val="7F41ED19"/>
    <w:rsid w:val="7F49E7E9"/>
    <w:rsid w:val="7F4AC43B"/>
    <w:rsid w:val="7F4C63D5"/>
    <w:rsid w:val="7F536D07"/>
    <w:rsid w:val="7F54ADA9"/>
    <w:rsid w:val="7F552FC2"/>
    <w:rsid w:val="7F562AFF"/>
    <w:rsid w:val="7F5A2E74"/>
    <w:rsid w:val="7F5BA500"/>
    <w:rsid w:val="7F5FF71A"/>
    <w:rsid w:val="7F654161"/>
    <w:rsid w:val="7F6AFC1A"/>
    <w:rsid w:val="7F71D5D7"/>
    <w:rsid w:val="7F79DA1B"/>
    <w:rsid w:val="7F7DE161"/>
    <w:rsid w:val="7F83F319"/>
    <w:rsid w:val="7F84A7E8"/>
    <w:rsid w:val="7F8825F4"/>
    <w:rsid w:val="7F891B86"/>
    <w:rsid w:val="7F89AD86"/>
    <w:rsid w:val="7F8D42C5"/>
    <w:rsid w:val="7F8E2843"/>
    <w:rsid w:val="7F9AC716"/>
    <w:rsid w:val="7F9EF458"/>
    <w:rsid w:val="7FA06D9A"/>
    <w:rsid w:val="7FA6143B"/>
    <w:rsid w:val="7FAC9297"/>
    <w:rsid w:val="7FAE0793"/>
    <w:rsid w:val="7FAFDB8E"/>
    <w:rsid w:val="7FAFEA88"/>
    <w:rsid w:val="7FB680D8"/>
    <w:rsid w:val="7FB85A35"/>
    <w:rsid w:val="7FBF9A5C"/>
    <w:rsid w:val="7FC4F4AE"/>
    <w:rsid w:val="7FC66A0A"/>
    <w:rsid w:val="7FC7F588"/>
    <w:rsid w:val="7FD7A3A5"/>
    <w:rsid w:val="7FDACEC6"/>
    <w:rsid w:val="7FDF74DC"/>
    <w:rsid w:val="7FE09934"/>
    <w:rsid w:val="7FE3332D"/>
    <w:rsid w:val="7FE92531"/>
    <w:rsid w:val="7FEBA255"/>
    <w:rsid w:val="7FEF7710"/>
    <w:rsid w:val="7FF28519"/>
    <w:rsid w:val="7FF4AC13"/>
    <w:rsid w:val="7FF562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E48795"/>
  <w15:docId w15:val="{FC04FBD1-4B29-4A07-BF1C-B42ABD82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qFormat="1"/>
    <w:lsdException w:name="annotation text" w:semiHidden="1" w:uiPriority="99"/>
    <w:lsdException w:name="footer" w:uiPriority="99"/>
    <w:lsdException w:name="index heading"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uiPriority="90" w:qFormat="1"/>
    <w:lsdException w:name="toa heading" w:semiHidden="1"/>
    <w:lsdException w:name="List" w:semiHidden="1"/>
    <w:lsdException w:name="List 2" w:semiHidden="1"/>
    <w:lsdException w:name="List 3" w:semiHidden="1"/>
    <w:lsdException w:name="List 4" w:semiHidden="1"/>
    <w:lsdException w:name="List 5" w:semiHidden="1"/>
    <w:lsdException w:name="List Bullet 2" w:uiPriority="1"/>
    <w:lsdException w:name="List Bullet 5" w:semiHidden="1"/>
    <w:lsdException w:name="List Number 5" w:semiHidden="1"/>
    <w:lsdException w:name="Closing"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Grid Table Light" w:uiPriority="40"/>
  </w:latentStyles>
  <w:style w:type="paragraph" w:default="1" w:styleId="Normal">
    <w:name w:val="Normal"/>
    <w:uiPriority w:val="90"/>
    <w:qFormat/>
    <w:rsid w:val="00B05A39"/>
    <w:pPr>
      <w:spacing w:after="240"/>
      <w:jc w:val="both"/>
    </w:pPr>
  </w:style>
  <w:style w:type="paragraph" w:styleId="Heading1">
    <w:name w:val="heading 1"/>
    <w:basedOn w:val="Normal"/>
    <w:next w:val="Text1"/>
    <w:link w:val="Heading1Char"/>
    <w:uiPriority w:val="90"/>
    <w:qFormat/>
    <w:pPr>
      <w:keepNext/>
      <w:numPr>
        <w:numId w:val="16"/>
      </w:numPr>
      <w:tabs>
        <w:tab w:val="clear" w:pos="4026"/>
        <w:tab w:val="num" w:pos="482"/>
      </w:tabs>
      <w:spacing w:before="240"/>
      <w:ind w:left="482"/>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rsid w:val="00463BA0"/>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right="-567"/>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Note de bas de page Car1 Car Car,Note de bas de page1,stile 1,Footnote1,Footnote2,Footnote3,Footnote4,Footnote5,Footnote6,Footnote7,Footnote8,Footnote9,Footnote10,Footnote11,Footnote21,Footnote31,Footnote41,Footnote51,Plonk,fn"/>
    <w:basedOn w:val="Normal"/>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numPr>
        <w:ilvl w:val="0"/>
        <w:numId w:val="0"/>
      </w:numPr>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uiPriority w:val="39"/>
    <w:rPr>
      <w:caps/>
    </w:rPr>
  </w:style>
  <w:style w:type="paragraph" w:styleId="TOC7">
    <w:name w:val="toc 7"/>
    <w:basedOn w:val="Normal"/>
    <w:next w:val="Normal"/>
    <w:uiPriority w:val="39"/>
    <w:pPr>
      <w:tabs>
        <w:tab w:val="right" w:leader="dot" w:pos="8640"/>
      </w:tabs>
    </w:pPr>
  </w:style>
  <w:style w:type="paragraph" w:styleId="TOC8">
    <w:name w:val="toc 8"/>
    <w:basedOn w:val="Normal"/>
    <w:next w:val="Normal"/>
    <w:uiPriority w:val="39"/>
    <w:pPr>
      <w:tabs>
        <w:tab w:val="right" w:leader="dot" w:pos="8640"/>
      </w:tabs>
    </w:pPr>
  </w:style>
  <w:style w:type="paragraph" w:styleId="TOC9">
    <w:name w:val="toc 9"/>
    <w:basedOn w:val="Normal"/>
    <w:next w:val="Normal"/>
    <w:uiPriority w:val="39"/>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1"/>
    <w:pPr>
      <w:tabs>
        <w:tab w:val="num" w:pos="1485"/>
      </w:tabs>
      <w:ind w:left="1485" w:hanging="283"/>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tabs>
        <w:tab w:val="num" w:pos="1769"/>
      </w:tabs>
      <w:ind w:left="1769" w:hanging="284"/>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tabs>
        <w:tab w:val="num" w:pos="850"/>
      </w:tabs>
      <w:ind w:left="850" w:hanging="283"/>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tabs>
        <w:tab w:val="num" w:pos="1616"/>
      </w:tabs>
      <w:ind w:left="1616" w:hanging="284"/>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tabs>
        <w:tab w:val="num" w:pos="1769"/>
      </w:tabs>
      <w:ind w:left="1769" w:hanging="284"/>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tabs>
        <w:tab w:val="num" w:pos="1769"/>
      </w:tabs>
      <w:ind w:left="1769" w:hanging="284"/>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unhideWhenUsed/>
    <w:pPr>
      <w:numPr>
        <w:ilvl w:val="2"/>
        <w:numId w:val="7"/>
      </w:numPr>
    </w:pPr>
  </w:style>
  <w:style w:type="paragraph" w:customStyle="1" w:styleId="ListNumber3Level4">
    <w:name w:val="List Number 3 (Level 4)"/>
    <w:basedOn w:val="Text3"/>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locked/>
    <w:rsid w:val="008E0896"/>
    <w:pPr>
      <w:ind w:left="720"/>
      <w:contextualSpacing/>
    </w:pPr>
  </w:style>
  <w:style w:type="character" w:customStyle="1" w:styleId="Heading1Char">
    <w:name w:val="Heading 1 Char"/>
    <w:basedOn w:val="DefaultParagraphFont"/>
    <w:link w:val="Heading1"/>
    <w:uiPriority w:val="90"/>
    <w:rsid w:val="00D91CF6"/>
    <w:rPr>
      <w:b/>
      <w:smallCaps/>
    </w:rPr>
  </w:style>
  <w:style w:type="character" w:styleId="CommentReference">
    <w:name w:val="annotation reference"/>
    <w:basedOn w:val="DefaultParagraphFont"/>
    <w:uiPriority w:val="99"/>
    <w:semiHidden/>
    <w:locked/>
    <w:rsid w:val="00E830CA"/>
    <w:rPr>
      <w:sz w:val="16"/>
      <w:szCs w:val="16"/>
    </w:rPr>
  </w:style>
  <w:style w:type="paragraph" w:styleId="CommentText">
    <w:name w:val="annotation text"/>
    <w:basedOn w:val="Normal"/>
    <w:link w:val="CommentTextChar"/>
    <w:uiPriority w:val="99"/>
    <w:locked/>
    <w:rsid w:val="00E830CA"/>
    <w:rPr>
      <w:sz w:val="20"/>
    </w:rPr>
  </w:style>
  <w:style w:type="character" w:customStyle="1" w:styleId="CommentTextChar">
    <w:name w:val="Comment Text Char"/>
    <w:basedOn w:val="DefaultParagraphFont"/>
    <w:link w:val="CommentText"/>
    <w:uiPriority w:val="99"/>
    <w:rsid w:val="00E830CA"/>
    <w:rPr>
      <w:sz w:val="20"/>
    </w:rPr>
  </w:style>
  <w:style w:type="paragraph" w:styleId="CommentSubject">
    <w:name w:val="annotation subject"/>
    <w:basedOn w:val="CommentText"/>
    <w:next w:val="CommentText"/>
    <w:link w:val="CommentSubjectChar"/>
    <w:semiHidden/>
    <w:locked/>
    <w:rsid w:val="00E830CA"/>
    <w:rPr>
      <w:b/>
      <w:bCs/>
    </w:rPr>
  </w:style>
  <w:style w:type="character" w:customStyle="1" w:styleId="CommentSubjectChar">
    <w:name w:val="Comment Subject Char"/>
    <w:basedOn w:val="CommentTextChar"/>
    <w:link w:val="CommentSubject"/>
    <w:semiHidden/>
    <w:rsid w:val="00E830CA"/>
    <w:rPr>
      <w:b/>
      <w:bCs/>
      <w:sz w:val="20"/>
    </w:rPr>
  </w:style>
  <w:style w:type="paragraph" w:styleId="BalloonText">
    <w:name w:val="Balloon Text"/>
    <w:basedOn w:val="Normal"/>
    <w:link w:val="BalloonTextChar"/>
    <w:semiHidden/>
    <w:locked/>
    <w:rsid w:val="00E830C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E830CA"/>
    <w:rPr>
      <w:rFonts w:ascii="Segoe UI" w:hAnsi="Segoe UI" w:cs="Segoe UI"/>
      <w:sz w:val="18"/>
      <w:szCs w:val="18"/>
    </w:rPr>
  </w:style>
  <w:style w:type="table" w:styleId="TableGrid">
    <w:name w:val="Table Grid"/>
    <w:basedOn w:val="TableNormal"/>
    <w:uiPriority w:val="39"/>
    <w:locked/>
    <w:rsid w:val="00E753DD"/>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locked/>
    <w:rsid w:val="00861578"/>
    <w:rPr>
      <w:color w:val="0000FF"/>
      <w:u w:val="single"/>
    </w:rPr>
  </w:style>
  <w:style w:type="paragraph" w:customStyle="1" w:styleId="Default">
    <w:name w:val="Default"/>
    <w:rsid w:val="00A04AAC"/>
    <w:pPr>
      <w:autoSpaceDE w:val="0"/>
      <w:autoSpaceDN w:val="0"/>
      <w:adjustRightInd w:val="0"/>
    </w:pPr>
    <w:rPr>
      <w:color w:val="000000"/>
      <w:szCs w:val="24"/>
    </w:rPr>
  </w:style>
  <w:style w:type="paragraph" w:customStyle="1" w:styleId="CM1">
    <w:name w:val="CM1"/>
    <w:basedOn w:val="Default"/>
    <w:next w:val="Default"/>
    <w:uiPriority w:val="99"/>
    <w:rsid w:val="00BD16BB"/>
    <w:rPr>
      <w:rFonts w:ascii="EU Albertina" w:hAnsi="EU Albertina"/>
      <w:color w:val="auto"/>
    </w:rPr>
  </w:style>
  <w:style w:type="paragraph" w:customStyle="1" w:styleId="CM3">
    <w:name w:val="CM3"/>
    <w:basedOn w:val="Default"/>
    <w:next w:val="Default"/>
    <w:uiPriority w:val="99"/>
    <w:rsid w:val="00BD16BB"/>
    <w:rPr>
      <w:rFonts w:ascii="EU Albertina" w:hAnsi="EU Albertina"/>
      <w:color w:val="auto"/>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ootnotesymbolCarZchn"/>
    <w:uiPriority w:val="99"/>
    <w:qFormat/>
    <w:locked/>
    <w:rsid w:val="003A11F3"/>
    <w:rPr>
      <w:vertAlign w:val="superscript"/>
    </w:rPr>
  </w:style>
  <w:style w:type="character" w:customStyle="1" w:styleId="FootnoteTextChar">
    <w:name w:val="Footnote Text Char"/>
    <w:aliases w:val="Note de bas de page Car1 Car Car Char,Note de bas de page1 Char,stile 1 Char,Footnote1 Char,Footnote2 Char,Footnote3 Char,Footnote4 Char,Footnote5 Char,Footnote6 Char,Footnote7 Char,Footnote8 Char,Footnote9 Char,Footnote10 Char"/>
    <w:basedOn w:val="DefaultParagraphFont"/>
    <w:uiPriority w:val="99"/>
    <w:rsid w:val="00E96DD0"/>
    <w:rPr>
      <w:sz w:val="20"/>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paragraph" w:styleId="Revision">
    <w:name w:val="Revision"/>
    <w:hidden/>
    <w:semiHidden/>
    <w:locked/>
    <w:rsid w:val="00C342ED"/>
  </w:style>
  <w:style w:type="character" w:styleId="FollowedHyperlink">
    <w:name w:val="FollowedHyperlink"/>
    <w:basedOn w:val="DefaultParagraphFont"/>
    <w:uiPriority w:val="99"/>
    <w:semiHidden/>
    <w:locked/>
    <w:rsid w:val="00F670F8"/>
    <w:rPr>
      <w:color w:val="954F72" w:themeColor="followedHyperlink"/>
      <w:u w:val="single"/>
    </w:rPr>
  </w:style>
  <w:style w:type="character" w:customStyle="1" w:styleId="Heading2Char">
    <w:name w:val="Heading 2 Char"/>
    <w:basedOn w:val="DefaultParagraphFont"/>
    <w:link w:val="Heading2"/>
    <w:uiPriority w:val="90"/>
    <w:rsid w:val="00F670F8"/>
    <w:rPr>
      <w:b/>
    </w:rPr>
  </w:style>
  <w:style w:type="character" w:styleId="Strong">
    <w:name w:val="Strong"/>
    <w:basedOn w:val="DefaultParagraphFont"/>
    <w:uiPriority w:val="22"/>
    <w:qFormat/>
    <w:locked/>
    <w:rsid w:val="00116241"/>
    <w:rPr>
      <w:b/>
      <w:bCs/>
    </w:rPr>
  </w:style>
  <w:style w:type="paragraph" w:customStyle="1" w:styleId="Normal1">
    <w:name w:val="Normal1"/>
    <w:basedOn w:val="Normal"/>
    <w:rsid w:val="0049698D"/>
    <w:pPr>
      <w:spacing w:before="100" w:beforeAutospacing="1" w:after="100" w:afterAutospacing="1"/>
      <w:jc w:val="left"/>
    </w:pPr>
    <w:rPr>
      <w:szCs w:val="24"/>
      <w:lang w:eastAsia="fr-BE"/>
    </w:rPr>
  </w:style>
  <w:style w:type="character" w:customStyle="1" w:styleId="st">
    <w:name w:val="st"/>
    <w:basedOn w:val="DefaultParagraphFont"/>
    <w:rsid w:val="0049698D"/>
  </w:style>
  <w:style w:type="character" w:customStyle="1" w:styleId="tgc">
    <w:name w:val="tgc"/>
    <w:basedOn w:val="DefaultParagraphFont"/>
    <w:rsid w:val="0049698D"/>
  </w:style>
  <w:style w:type="character" w:customStyle="1" w:styleId="highlight">
    <w:name w:val="highlight"/>
    <w:basedOn w:val="DefaultParagraphFont"/>
    <w:rsid w:val="00B8135C"/>
  </w:style>
  <w:style w:type="character" w:customStyle="1" w:styleId="acopre">
    <w:name w:val="acopre"/>
    <w:basedOn w:val="DefaultParagraphFont"/>
    <w:rsid w:val="00E37D1B"/>
  </w:style>
  <w:style w:type="character" w:styleId="Emphasis">
    <w:name w:val="Emphasis"/>
    <w:basedOn w:val="DefaultParagraphFont"/>
    <w:uiPriority w:val="20"/>
    <w:qFormat/>
    <w:locked/>
    <w:rsid w:val="00E37D1B"/>
    <w:rPr>
      <w:i/>
      <w:iCs/>
    </w:rPr>
  </w:style>
  <w:style w:type="character" w:customStyle="1" w:styleId="s1">
    <w:name w:val="s1"/>
    <w:basedOn w:val="DefaultParagraphFont"/>
    <w:rsid w:val="00C41452"/>
  </w:style>
  <w:style w:type="table" w:customStyle="1" w:styleId="TableGrid1">
    <w:name w:val="Table Grid1"/>
    <w:basedOn w:val="TableNormal"/>
    <w:next w:val="TableGrid"/>
    <w:uiPriority w:val="39"/>
    <w:rsid w:val="00744992"/>
    <w:rPr>
      <w:rFonts w:ascii="Arial" w:eastAsiaTheme="minorHAns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D7B76"/>
  </w:style>
  <w:style w:type="character" w:customStyle="1" w:styleId="eop">
    <w:name w:val="eop"/>
    <w:basedOn w:val="DefaultParagraphFont"/>
    <w:rsid w:val="00FD7B76"/>
  </w:style>
  <w:style w:type="character" w:customStyle="1" w:styleId="superscript">
    <w:name w:val="superscript"/>
    <w:basedOn w:val="DefaultParagraphFont"/>
    <w:rsid w:val="00FD7B76"/>
  </w:style>
  <w:style w:type="paragraph" w:customStyle="1" w:styleId="paragraph">
    <w:name w:val="paragraph"/>
    <w:basedOn w:val="Normal"/>
    <w:rsid w:val="009632E6"/>
    <w:pPr>
      <w:spacing w:before="100" w:beforeAutospacing="1" w:after="100" w:afterAutospacing="1"/>
      <w:jc w:val="left"/>
    </w:pPr>
    <w:rPr>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3Char">
    <w:name w:val="Heading 3 Char"/>
    <w:basedOn w:val="DefaultParagraphFont"/>
    <w:link w:val="Heading3"/>
    <w:uiPriority w:val="90"/>
    <w:rsid w:val="00463BA0"/>
    <w:rPr>
      <w:i/>
    </w:rPr>
  </w:style>
  <w:style w:type="paragraph" w:styleId="NormalWeb">
    <w:name w:val="Normal (Web)"/>
    <w:basedOn w:val="Normal"/>
    <w:uiPriority w:val="99"/>
    <w:unhideWhenUsed/>
    <w:locked/>
    <w:rsid w:val="001A3E2A"/>
    <w:pPr>
      <w:spacing w:before="100" w:beforeAutospacing="1" w:after="100" w:afterAutospacing="1"/>
      <w:jc w:val="left"/>
    </w:pPr>
    <w:rPr>
      <w:szCs w:val="24"/>
      <w:lang w:eastAsia="en-GB"/>
    </w:rPr>
  </w:style>
  <w:style w:type="paragraph" w:customStyle="1" w:styleId="Cuerpo">
    <w:name w:val="Cuerpo"/>
    <w:rsid w:val="00A47E44"/>
    <w:pPr>
      <w:pBdr>
        <w:top w:val="nil"/>
        <w:left w:val="nil"/>
        <w:bottom w:val="nil"/>
        <w:right w:val="nil"/>
        <w:between w:val="nil"/>
        <w:bar w:val="nil"/>
      </w:pBdr>
    </w:pPr>
    <w:rPr>
      <w:rFonts w:eastAsia="Arial Unicode MS" w:cs="Arial Unicode MS"/>
      <w:color w:val="000000"/>
      <w:szCs w:val="24"/>
      <w:u w:color="000000"/>
      <w:bdr w:val="nil"/>
      <w:lang w:eastAsia="fr-FR"/>
      <w14:textOutline w14:w="0" w14:cap="flat" w14:cmpd="sng" w14:algn="ctr">
        <w14:noFill/>
        <w14:prstDash w14:val="solid"/>
        <w14:bevel/>
      </w14:textOutline>
    </w:rPr>
  </w:style>
  <w:style w:type="character" w:customStyle="1" w:styleId="Ninguno">
    <w:name w:val="Ninguno"/>
    <w:rsid w:val="00A47E44"/>
  </w:style>
  <w:style w:type="character" w:customStyle="1" w:styleId="Hyperlink0">
    <w:name w:val="Hyperlink.0"/>
    <w:basedOn w:val="Ninguno"/>
    <w:rsid w:val="00A47E44"/>
    <w:rPr>
      <w:rFonts w:ascii="Times New Roman" w:eastAsia="Times New Roman" w:hAnsi="Times New Roman" w:cs="Times New Roman"/>
      <w:caps w:val="0"/>
      <w:smallCaps w:val="0"/>
      <w:strike w:val="0"/>
      <w:dstrike w:val="0"/>
      <w:outline w:val="0"/>
      <w:color w:val="1155CC"/>
      <w:sz w:val="20"/>
      <w:szCs w:val="20"/>
      <w:u w:val="single" w:color="1155CC"/>
      <w:vertAlign w:val="baseline"/>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0D3344"/>
  </w:style>
  <w:style w:type="paragraph" w:customStyle="1" w:styleId="Normal2">
    <w:name w:val="Normal2"/>
    <w:basedOn w:val="Normal"/>
    <w:rsid w:val="004F479C"/>
    <w:pPr>
      <w:spacing w:before="100" w:beforeAutospacing="1" w:after="100" w:afterAutospacing="1"/>
      <w:jc w:val="left"/>
    </w:pPr>
    <w:rPr>
      <w:szCs w:val="24"/>
      <w:lang w:eastAsia="en-GB"/>
    </w:rPr>
  </w:style>
  <w:style w:type="paragraph" w:customStyle="1" w:styleId="msonormal0">
    <w:name w:val="msonormal"/>
    <w:basedOn w:val="Normal"/>
    <w:rsid w:val="00A97351"/>
    <w:pPr>
      <w:spacing w:before="100" w:beforeAutospacing="1" w:after="100" w:afterAutospacing="1"/>
      <w:jc w:val="left"/>
    </w:pPr>
    <w:rPr>
      <w:szCs w:val="24"/>
    </w:rPr>
  </w:style>
  <w:style w:type="paragraph" w:customStyle="1" w:styleId="xl65">
    <w:name w:val="xl65"/>
    <w:basedOn w:val="Normal"/>
    <w:rsid w:val="00A97351"/>
    <w:pPr>
      <w:spacing w:before="100" w:beforeAutospacing="1" w:after="100" w:afterAutospacing="1"/>
      <w:jc w:val="left"/>
    </w:pPr>
    <w:rPr>
      <w:szCs w:val="24"/>
    </w:rPr>
  </w:style>
  <w:style w:type="paragraph" w:customStyle="1" w:styleId="xl66">
    <w:name w:val="xl66"/>
    <w:basedOn w:val="Normal"/>
    <w:rsid w:val="00A97351"/>
    <w:pPr>
      <w:shd w:val="clear" w:color="000000" w:fill="DDEBF7"/>
      <w:spacing w:before="100" w:beforeAutospacing="1" w:after="100" w:afterAutospacing="1"/>
      <w:jc w:val="left"/>
    </w:pPr>
    <w:rPr>
      <w:szCs w:val="24"/>
    </w:rPr>
  </w:style>
  <w:style w:type="paragraph" w:customStyle="1" w:styleId="xl67">
    <w:name w:val="xl67"/>
    <w:basedOn w:val="Normal"/>
    <w:rsid w:val="00A97351"/>
    <w:pPr>
      <w:shd w:val="clear" w:color="000000" w:fill="DDEBF7"/>
      <w:spacing w:before="100" w:beforeAutospacing="1" w:after="100" w:afterAutospacing="1"/>
      <w:jc w:val="left"/>
    </w:pPr>
    <w:rPr>
      <w:b/>
      <w:bCs/>
      <w:szCs w:val="24"/>
    </w:rPr>
  </w:style>
  <w:style w:type="paragraph" w:customStyle="1" w:styleId="xl68">
    <w:name w:val="xl6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9">
    <w:name w:val="xl69"/>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0">
    <w:name w:val="xl70"/>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rPr>
  </w:style>
  <w:style w:type="paragraph" w:customStyle="1" w:styleId="xl71">
    <w:name w:val="xl71"/>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szCs w:val="24"/>
    </w:rPr>
  </w:style>
  <w:style w:type="paragraph" w:customStyle="1" w:styleId="xl72">
    <w:name w:val="xl72"/>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b/>
      <w:bCs/>
      <w:szCs w:val="24"/>
    </w:rPr>
  </w:style>
  <w:style w:type="paragraph" w:customStyle="1" w:styleId="xl73">
    <w:name w:val="xl73"/>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rPr>
  </w:style>
  <w:style w:type="paragraph" w:customStyle="1" w:styleId="xl74">
    <w:name w:val="xl74"/>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Cs w:val="24"/>
    </w:rPr>
  </w:style>
  <w:style w:type="paragraph" w:customStyle="1" w:styleId="xl75">
    <w:name w:val="xl75"/>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b/>
      <w:bCs/>
      <w:szCs w:val="24"/>
    </w:rPr>
  </w:style>
  <w:style w:type="paragraph" w:customStyle="1" w:styleId="xl76">
    <w:name w:val="xl76"/>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77">
    <w:name w:val="xl77"/>
    <w:basedOn w:val="Normal"/>
    <w:rsid w:val="00A97351"/>
    <w:pPr>
      <w:pBdr>
        <w:bottom w:val="single" w:sz="4" w:space="0" w:color="auto"/>
      </w:pBdr>
      <w:spacing w:before="100" w:beforeAutospacing="1" w:after="100" w:afterAutospacing="1"/>
      <w:jc w:val="center"/>
    </w:pPr>
    <w:rPr>
      <w:szCs w:val="24"/>
    </w:rPr>
  </w:style>
  <w:style w:type="paragraph" w:customStyle="1" w:styleId="xl78">
    <w:name w:val="xl78"/>
    <w:basedOn w:val="Normal"/>
    <w:rsid w:val="00A97351"/>
    <w:pPr>
      <w:pBdr>
        <w:bottom w:val="single" w:sz="4" w:space="0" w:color="auto"/>
      </w:pBdr>
      <w:shd w:val="clear" w:color="000000" w:fill="70AD47"/>
      <w:spacing w:before="100" w:beforeAutospacing="1" w:after="100" w:afterAutospacing="1"/>
      <w:jc w:val="center"/>
    </w:pPr>
    <w:rPr>
      <w:b/>
      <w:bCs/>
      <w:szCs w:val="24"/>
    </w:rPr>
  </w:style>
  <w:style w:type="paragraph" w:customStyle="1" w:styleId="xl79">
    <w:name w:val="xl79"/>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Cs w:val="24"/>
    </w:rPr>
  </w:style>
  <w:style w:type="paragraph" w:customStyle="1" w:styleId="xl80">
    <w:name w:val="xl80"/>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Cs w:val="24"/>
    </w:rPr>
  </w:style>
  <w:style w:type="paragraph" w:customStyle="1" w:styleId="xl81">
    <w:name w:val="xl81"/>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rPr>
  </w:style>
  <w:style w:type="paragraph" w:customStyle="1" w:styleId="xl82">
    <w:name w:val="xl82"/>
    <w:basedOn w:val="Normal"/>
    <w:rsid w:val="00A97351"/>
    <w:pPr>
      <w:shd w:val="clear" w:color="000000" w:fill="70AD47"/>
      <w:spacing w:before="100" w:beforeAutospacing="1" w:after="100" w:afterAutospacing="1"/>
      <w:jc w:val="center"/>
    </w:pPr>
    <w:rPr>
      <w:b/>
      <w:bCs/>
      <w:szCs w:val="24"/>
    </w:rPr>
  </w:style>
  <w:style w:type="paragraph" w:customStyle="1" w:styleId="xl83">
    <w:name w:val="xl83"/>
    <w:basedOn w:val="Normal"/>
    <w:rsid w:val="00A97351"/>
    <w:pPr>
      <w:pBdr>
        <w:top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84">
    <w:name w:val="xl84"/>
    <w:basedOn w:val="Normal"/>
    <w:rsid w:val="00A97351"/>
    <w:pPr>
      <w:pBdr>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rPr>
  </w:style>
  <w:style w:type="paragraph" w:customStyle="1" w:styleId="xl85">
    <w:name w:val="xl85"/>
    <w:basedOn w:val="Normal"/>
    <w:rsid w:val="00A97351"/>
    <w:pPr>
      <w:pBdr>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rPr>
  </w:style>
  <w:style w:type="paragraph" w:customStyle="1" w:styleId="xl86">
    <w:name w:val="xl86"/>
    <w:basedOn w:val="Normal"/>
    <w:rsid w:val="00A97351"/>
    <w:pPr>
      <w:pBdr>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7">
    <w:name w:val="xl87"/>
    <w:basedOn w:val="Normal"/>
    <w:rsid w:val="00A97351"/>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pPr>
    <w:rPr>
      <w:b/>
      <w:bCs/>
      <w:szCs w:val="24"/>
    </w:rPr>
  </w:style>
  <w:style w:type="paragraph" w:customStyle="1" w:styleId="xl88">
    <w:name w:val="xl8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szCs w:val="24"/>
    </w:rPr>
  </w:style>
  <w:style w:type="paragraph" w:customStyle="1" w:styleId="xl89">
    <w:name w:val="xl89"/>
    <w:basedOn w:val="Normal"/>
    <w:rsid w:val="00A9735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b/>
      <w:bCs/>
      <w:szCs w:val="24"/>
    </w:rPr>
  </w:style>
  <w:style w:type="paragraph" w:customStyle="1" w:styleId="xl90">
    <w:name w:val="xl90"/>
    <w:basedOn w:val="Normal"/>
    <w:rsid w:val="00A97351"/>
    <w:pPr>
      <w:spacing w:before="100" w:beforeAutospacing="1" w:after="100" w:afterAutospacing="1"/>
      <w:jc w:val="left"/>
    </w:pPr>
    <w:rPr>
      <w:b/>
      <w:bCs/>
      <w:szCs w:val="24"/>
    </w:rPr>
  </w:style>
  <w:style w:type="paragraph" w:customStyle="1" w:styleId="xl91">
    <w:name w:val="xl91"/>
    <w:basedOn w:val="Normal"/>
    <w:rsid w:val="00A97351"/>
    <w:pPr>
      <w:pBdr>
        <w:bottom w:val="single" w:sz="4" w:space="0" w:color="auto"/>
      </w:pBdr>
      <w:spacing w:before="100" w:beforeAutospacing="1" w:after="100" w:afterAutospacing="1"/>
      <w:jc w:val="left"/>
    </w:pPr>
    <w:rPr>
      <w:szCs w:val="24"/>
    </w:rPr>
  </w:style>
  <w:style w:type="paragraph" w:customStyle="1" w:styleId="xl92">
    <w:name w:val="xl92"/>
    <w:basedOn w:val="Normal"/>
    <w:rsid w:val="00A97351"/>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93">
    <w:name w:val="xl93"/>
    <w:basedOn w:val="Normal"/>
    <w:rsid w:val="00A97351"/>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94">
    <w:name w:val="xl94"/>
    <w:basedOn w:val="Normal"/>
    <w:rsid w:val="00A97351"/>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95">
    <w:name w:val="xl95"/>
    <w:basedOn w:val="Normal"/>
    <w:rsid w:val="00A97351"/>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96">
    <w:name w:val="xl96"/>
    <w:basedOn w:val="Normal"/>
    <w:rsid w:val="00A97351"/>
    <w:pPr>
      <w:pBdr>
        <w:top w:val="single" w:sz="4" w:space="0" w:color="auto"/>
        <w:left w:val="single" w:sz="4" w:space="0" w:color="auto"/>
        <w:right w:val="single" w:sz="4" w:space="0" w:color="auto"/>
      </w:pBdr>
      <w:spacing w:before="100" w:beforeAutospacing="1" w:after="100" w:afterAutospacing="1"/>
      <w:jc w:val="left"/>
      <w:textAlignment w:val="center"/>
    </w:pPr>
    <w:rPr>
      <w:szCs w:val="24"/>
    </w:rPr>
  </w:style>
  <w:style w:type="paragraph" w:customStyle="1" w:styleId="xl97">
    <w:name w:val="xl97"/>
    <w:basedOn w:val="Normal"/>
    <w:rsid w:val="00A97351"/>
    <w:pPr>
      <w:pBdr>
        <w:left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xl98">
    <w:name w:val="xl98"/>
    <w:basedOn w:val="Normal"/>
    <w:rsid w:val="00A97351"/>
    <w:pPr>
      <w:pBdr>
        <w:top w:val="single" w:sz="4" w:space="0" w:color="auto"/>
        <w:left w:val="single" w:sz="4" w:space="0" w:color="auto"/>
        <w:bottom w:val="single" w:sz="4" w:space="0" w:color="auto"/>
      </w:pBdr>
      <w:spacing w:before="100" w:beforeAutospacing="1" w:after="100" w:afterAutospacing="1"/>
      <w:jc w:val="center"/>
    </w:pPr>
    <w:rPr>
      <w:szCs w:val="24"/>
    </w:rPr>
  </w:style>
  <w:style w:type="paragraph" w:customStyle="1" w:styleId="xl99">
    <w:name w:val="xl99"/>
    <w:basedOn w:val="Normal"/>
    <w:rsid w:val="00A97351"/>
    <w:pPr>
      <w:pBdr>
        <w:top w:val="single" w:sz="4" w:space="0" w:color="auto"/>
        <w:bottom w:val="single" w:sz="4" w:space="0" w:color="auto"/>
      </w:pBdr>
      <w:spacing w:before="100" w:beforeAutospacing="1" w:after="100" w:afterAutospacing="1"/>
      <w:jc w:val="center"/>
    </w:pPr>
    <w:rPr>
      <w:szCs w:val="24"/>
    </w:rPr>
  </w:style>
  <w:style w:type="paragraph" w:customStyle="1" w:styleId="xl100">
    <w:name w:val="xl100"/>
    <w:basedOn w:val="Normal"/>
    <w:rsid w:val="00A97351"/>
    <w:pPr>
      <w:pBdr>
        <w:top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ManualConsidrant">
    <w:name w:val="Manual Considérant"/>
    <w:basedOn w:val="Normal"/>
    <w:uiPriority w:val="99"/>
    <w:rsid w:val="00362D40"/>
    <w:pPr>
      <w:spacing w:before="120" w:after="120"/>
      <w:ind w:left="709" w:hanging="709"/>
    </w:pPr>
    <w:rPr>
      <w:rFonts w:eastAsiaTheme="minorHAnsi"/>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62D40"/>
    <w:pPr>
      <w:spacing w:after="160" w:line="240" w:lineRule="exact"/>
    </w:pPr>
    <w:rPr>
      <w:vertAlign w:val="superscript"/>
    </w:rPr>
  </w:style>
  <w:style w:type="character" w:customStyle="1" w:styleId="markedcontent">
    <w:name w:val="markedcontent"/>
    <w:basedOn w:val="DefaultParagraphFont"/>
    <w:rsid w:val="00653C2D"/>
  </w:style>
  <w:style w:type="paragraph" w:customStyle="1" w:styleId="ContNumLevel3">
    <w:name w:val="ContNum (Level 3)"/>
    <w:basedOn w:val="Normal"/>
    <w:uiPriority w:val="1"/>
    <w:rsid w:val="00EE0290"/>
    <w:pPr>
      <w:numPr>
        <w:ilvl w:val="2"/>
        <w:numId w:val="19"/>
      </w:numPr>
    </w:pPr>
    <w:rPr>
      <w:lang w:eastAsia="nl-BE"/>
    </w:rPr>
  </w:style>
  <w:style w:type="paragraph" w:customStyle="1" w:styleId="ContNumLevel2">
    <w:name w:val="ContNum (Level 2)"/>
    <w:basedOn w:val="Normal"/>
    <w:uiPriority w:val="1"/>
    <w:rsid w:val="00EE0290"/>
    <w:pPr>
      <w:numPr>
        <w:ilvl w:val="1"/>
        <w:numId w:val="19"/>
      </w:numPr>
    </w:pPr>
    <w:rPr>
      <w:lang w:eastAsia="nl-BE"/>
    </w:rPr>
  </w:style>
  <w:style w:type="paragraph" w:customStyle="1" w:styleId="ContNum">
    <w:name w:val="ContNum"/>
    <w:basedOn w:val="Normal"/>
    <w:uiPriority w:val="1"/>
    <w:qFormat/>
    <w:rsid w:val="00EE0290"/>
    <w:pPr>
      <w:numPr>
        <w:numId w:val="19"/>
      </w:numPr>
    </w:pPr>
    <w:rPr>
      <w:lang w:eastAsia="nl-BE"/>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locked/>
    <w:rsid w:val="00424C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39"/>
    <w:rsid w:val="00BC3EE2"/>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211E28"/>
  </w:style>
  <w:style w:type="paragraph" w:customStyle="1" w:styleId="Bodytext10">
    <w:name w:val="Body text|1"/>
    <w:basedOn w:val="Normal"/>
    <w:link w:val="Bodytext1"/>
    <w:rsid w:val="00211E28"/>
    <w:pPr>
      <w:widowControl w:val="0"/>
      <w:spacing w:after="100"/>
      <w:jc w:val="left"/>
    </w:pPr>
  </w:style>
  <w:style w:type="character" w:customStyle="1" w:styleId="Mention2">
    <w:name w:val="Mention2"/>
    <w:basedOn w:val="DefaultParagraphFont"/>
    <w:uiPriority w:val="99"/>
    <w:unhideWhenUsed/>
    <w:rsid w:val="00EB1949"/>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8E1E42"/>
    <w:rPr>
      <w:color w:val="605E5C"/>
      <w:shd w:val="clear" w:color="auto" w:fill="E1DFDD"/>
    </w:rPr>
  </w:style>
  <w:style w:type="character" w:styleId="EndnoteReference">
    <w:name w:val="endnote reference"/>
    <w:basedOn w:val="DefaultParagraphFont"/>
    <w:semiHidden/>
    <w:locked/>
    <w:rsid w:val="00651636"/>
    <w:rPr>
      <w:vertAlign w:val="superscript"/>
    </w:rPr>
  </w:style>
  <w:style w:type="character" w:customStyle="1" w:styleId="UnresolvedMention2">
    <w:name w:val="Unresolved Mention2"/>
    <w:basedOn w:val="DefaultParagraphFont"/>
    <w:uiPriority w:val="99"/>
    <w:semiHidden/>
    <w:unhideWhenUsed/>
    <w:rsid w:val="00667C9F"/>
    <w:rPr>
      <w:color w:val="605E5C"/>
      <w:shd w:val="clear" w:color="auto" w:fill="E1DFDD"/>
    </w:rPr>
  </w:style>
  <w:style w:type="character" w:customStyle="1" w:styleId="UnresolvedMention3">
    <w:name w:val="Unresolved Mention3"/>
    <w:basedOn w:val="DefaultParagraphFont"/>
    <w:uiPriority w:val="99"/>
    <w:semiHidden/>
    <w:unhideWhenUsed/>
    <w:rsid w:val="00236671"/>
    <w:rPr>
      <w:color w:val="605E5C"/>
      <w:shd w:val="clear" w:color="auto" w:fill="E1DFDD"/>
    </w:rPr>
  </w:style>
  <w:style w:type="character" w:customStyle="1" w:styleId="UnresolvedMention4">
    <w:name w:val="Unresolved Mention4"/>
    <w:basedOn w:val="DefaultParagraphFont"/>
    <w:uiPriority w:val="99"/>
    <w:semiHidden/>
    <w:unhideWhenUsed/>
    <w:rsid w:val="008C70CA"/>
    <w:rPr>
      <w:color w:val="605E5C"/>
      <w:shd w:val="clear" w:color="auto" w:fill="E1DFDD"/>
    </w:rPr>
  </w:style>
  <w:style w:type="character" w:customStyle="1" w:styleId="Mention4">
    <w:name w:val="Mention4"/>
    <w:basedOn w:val="DefaultParagraphFont"/>
    <w:uiPriority w:val="99"/>
    <w:unhideWhenUsed/>
    <w:rPr>
      <w:color w:val="2B579A"/>
      <w:shd w:val="clear" w:color="auto" w:fill="E6E6E6"/>
    </w:rPr>
  </w:style>
  <w:style w:type="character" w:customStyle="1" w:styleId="Marker">
    <w:name w:val="Marker"/>
    <w:basedOn w:val="DefaultParagraphFont"/>
    <w:rsid w:val="00C77D5D"/>
    <w:rPr>
      <w:color w:val="0000FF"/>
      <w:shd w:val="clear" w:color="auto" w:fill="auto"/>
    </w:rPr>
  </w:style>
  <w:style w:type="paragraph" w:customStyle="1" w:styleId="Pagedecouverture">
    <w:name w:val="Page de couverture"/>
    <w:basedOn w:val="Normal"/>
    <w:next w:val="Normal"/>
    <w:rsid w:val="00C77D5D"/>
    <w:pPr>
      <w:spacing w:after="0"/>
    </w:pPr>
    <w:rPr>
      <w:rFonts w:eastAsiaTheme="minorHAnsi"/>
      <w:szCs w:val="22"/>
    </w:rPr>
  </w:style>
  <w:style w:type="paragraph" w:customStyle="1" w:styleId="FooterCoverPage">
    <w:name w:val="Footer Cover Page"/>
    <w:basedOn w:val="Normal"/>
    <w:link w:val="FooterCoverPageChar"/>
    <w:rsid w:val="00C77D5D"/>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rsid w:val="00C77D5D"/>
  </w:style>
  <w:style w:type="character" w:customStyle="1" w:styleId="FooterCoverPageChar">
    <w:name w:val="Footer Cover Page Char"/>
    <w:basedOn w:val="ZFlagChar"/>
    <w:link w:val="FooterCoverPage"/>
    <w:rsid w:val="00C77D5D"/>
  </w:style>
  <w:style w:type="paragraph" w:customStyle="1" w:styleId="FooterSensitivity">
    <w:name w:val="Footer Sensitivity"/>
    <w:basedOn w:val="Normal"/>
    <w:link w:val="FooterSensitivityChar"/>
    <w:rsid w:val="00C77D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sid w:val="00C77D5D"/>
    <w:rPr>
      <w:b/>
      <w:sz w:val="32"/>
    </w:rPr>
  </w:style>
  <w:style w:type="paragraph" w:customStyle="1" w:styleId="HeaderCoverPage">
    <w:name w:val="Header Cover Page"/>
    <w:basedOn w:val="Normal"/>
    <w:link w:val="HeaderCoverPageChar"/>
    <w:rsid w:val="00C77D5D"/>
    <w:pPr>
      <w:tabs>
        <w:tab w:val="center" w:pos="4535"/>
        <w:tab w:val="right" w:pos="9071"/>
      </w:tabs>
      <w:spacing w:after="120"/>
    </w:pPr>
  </w:style>
  <w:style w:type="character" w:customStyle="1" w:styleId="HeaderCoverPageChar">
    <w:name w:val="Header Cover Page Char"/>
    <w:basedOn w:val="ZFlagChar"/>
    <w:link w:val="HeaderCoverPage"/>
    <w:rsid w:val="00C77D5D"/>
  </w:style>
  <w:style w:type="paragraph" w:customStyle="1" w:styleId="HeaderSensitivity">
    <w:name w:val="Header Sensitivity"/>
    <w:basedOn w:val="Normal"/>
    <w:link w:val="HeaderSensitivityChar"/>
    <w:rsid w:val="00C77D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sid w:val="00C77D5D"/>
    <w:rPr>
      <w:b/>
      <w:sz w:val="32"/>
    </w:rPr>
  </w:style>
  <w:style w:type="paragraph" w:customStyle="1" w:styleId="HeaderSensitivityRight">
    <w:name w:val="Header Sensitivity Right"/>
    <w:basedOn w:val="Normal"/>
    <w:link w:val="HeaderSensitivityRightChar"/>
    <w:rsid w:val="00C77D5D"/>
    <w:pPr>
      <w:spacing w:after="120"/>
      <w:jc w:val="right"/>
    </w:pPr>
    <w:rPr>
      <w:sz w:val="28"/>
    </w:rPr>
  </w:style>
  <w:style w:type="character" w:customStyle="1" w:styleId="HeaderSensitivityRightChar">
    <w:name w:val="Header Sensitivity Right Char"/>
    <w:basedOn w:val="ZFlagChar"/>
    <w:link w:val="HeaderSensitivityRight"/>
    <w:rsid w:val="00C77D5D"/>
    <w:rPr>
      <w:sz w:val="28"/>
    </w:rPr>
  </w:style>
  <w:style w:type="character" w:customStyle="1" w:styleId="FooterChar">
    <w:name w:val="Footer Char"/>
    <w:basedOn w:val="DefaultParagraphFont"/>
    <w:link w:val="Footer"/>
    <w:uiPriority w:val="99"/>
    <w:rsid w:val="00F13E82"/>
    <w:rPr>
      <w:sz w:val="16"/>
    </w:rPr>
  </w:style>
  <w:style w:type="character" w:customStyle="1" w:styleId="UnresolvedMention5">
    <w:name w:val="Unresolved Mention5"/>
    <w:basedOn w:val="DefaultParagraphFont"/>
    <w:uiPriority w:val="99"/>
    <w:semiHidden/>
    <w:unhideWhenUsed/>
    <w:rsid w:val="007513E2"/>
    <w:rPr>
      <w:color w:val="605E5C"/>
      <w:shd w:val="clear" w:color="auto" w:fill="E1DFDD"/>
    </w:rPr>
  </w:style>
  <w:style w:type="character" w:customStyle="1" w:styleId="UnresolvedMention6">
    <w:name w:val="Unresolved Mention6"/>
    <w:basedOn w:val="DefaultParagraphFont"/>
    <w:uiPriority w:val="99"/>
    <w:semiHidden/>
    <w:unhideWhenUsed/>
    <w:rsid w:val="00177244"/>
    <w:rPr>
      <w:color w:val="605E5C"/>
      <w:shd w:val="clear" w:color="auto" w:fill="E1DFDD"/>
    </w:rPr>
  </w:style>
  <w:style w:type="character" w:customStyle="1" w:styleId="ui-provider">
    <w:name w:val="ui-provider"/>
    <w:basedOn w:val="DefaultParagraphFont"/>
    <w:rsid w:val="004F1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327">
      <w:bodyDiv w:val="1"/>
      <w:marLeft w:val="0"/>
      <w:marRight w:val="0"/>
      <w:marTop w:val="0"/>
      <w:marBottom w:val="0"/>
      <w:divBdr>
        <w:top w:val="none" w:sz="0" w:space="0" w:color="auto"/>
        <w:left w:val="none" w:sz="0" w:space="0" w:color="auto"/>
        <w:bottom w:val="none" w:sz="0" w:space="0" w:color="auto"/>
        <w:right w:val="none" w:sz="0" w:space="0" w:color="auto"/>
      </w:divBdr>
    </w:div>
    <w:div w:id="19747370">
      <w:bodyDiv w:val="1"/>
      <w:marLeft w:val="0"/>
      <w:marRight w:val="0"/>
      <w:marTop w:val="0"/>
      <w:marBottom w:val="0"/>
      <w:divBdr>
        <w:top w:val="none" w:sz="0" w:space="0" w:color="auto"/>
        <w:left w:val="none" w:sz="0" w:space="0" w:color="auto"/>
        <w:bottom w:val="none" w:sz="0" w:space="0" w:color="auto"/>
        <w:right w:val="none" w:sz="0" w:space="0" w:color="auto"/>
      </w:divBdr>
    </w:div>
    <w:div w:id="31544526">
      <w:bodyDiv w:val="1"/>
      <w:marLeft w:val="0"/>
      <w:marRight w:val="0"/>
      <w:marTop w:val="0"/>
      <w:marBottom w:val="0"/>
      <w:divBdr>
        <w:top w:val="none" w:sz="0" w:space="0" w:color="auto"/>
        <w:left w:val="none" w:sz="0" w:space="0" w:color="auto"/>
        <w:bottom w:val="none" w:sz="0" w:space="0" w:color="auto"/>
        <w:right w:val="none" w:sz="0" w:space="0" w:color="auto"/>
      </w:divBdr>
    </w:div>
    <w:div w:id="34238000">
      <w:bodyDiv w:val="1"/>
      <w:marLeft w:val="0"/>
      <w:marRight w:val="0"/>
      <w:marTop w:val="0"/>
      <w:marBottom w:val="0"/>
      <w:divBdr>
        <w:top w:val="none" w:sz="0" w:space="0" w:color="auto"/>
        <w:left w:val="none" w:sz="0" w:space="0" w:color="auto"/>
        <w:bottom w:val="none" w:sz="0" w:space="0" w:color="auto"/>
        <w:right w:val="none" w:sz="0" w:space="0" w:color="auto"/>
      </w:divBdr>
    </w:div>
    <w:div w:id="39523628">
      <w:bodyDiv w:val="1"/>
      <w:marLeft w:val="0"/>
      <w:marRight w:val="0"/>
      <w:marTop w:val="0"/>
      <w:marBottom w:val="0"/>
      <w:divBdr>
        <w:top w:val="none" w:sz="0" w:space="0" w:color="auto"/>
        <w:left w:val="none" w:sz="0" w:space="0" w:color="auto"/>
        <w:bottom w:val="none" w:sz="0" w:space="0" w:color="auto"/>
        <w:right w:val="none" w:sz="0" w:space="0" w:color="auto"/>
      </w:divBdr>
    </w:div>
    <w:div w:id="63533083">
      <w:bodyDiv w:val="1"/>
      <w:marLeft w:val="0"/>
      <w:marRight w:val="0"/>
      <w:marTop w:val="0"/>
      <w:marBottom w:val="0"/>
      <w:divBdr>
        <w:top w:val="none" w:sz="0" w:space="0" w:color="auto"/>
        <w:left w:val="none" w:sz="0" w:space="0" w:color="auto"/>
        <w:bottom w:val="none" w:sz="0" w:space="0" w:color="auto"/>
        <w:right w:val="none" w:sz="0" w:space="0" w:color="auto"/>
      </w:divBdr>
    </w:div>
    <w:div w:id="89742071">
      <w:bodyDiv w:val="1"/>
      <w:marLeft w:val="0"/>
      <w:marRight w:val="0"/>
      <w:marTop w:val="0"/>
      <w:marBottom w:val="0"/>
      <w:divBdr>
        <w:top w:val="none" w:sz="0" w:space="0" w:color="auto"/>
        <w:left w:val="none" w:sz="0" w:space="0" w:color="auto"/>
        <w:bottom w:val="none" w:sz="0" w:space="0" w:color="auto"/>
        <w:right w:val="none" w:sz="0" w:space="0" w:color="auto"/>
      </w:divBdr>
    </w:div>
    <w:div w:id="103113060">
      <w:bodyDiv w:val="1"/>
      <w:marLeft w:val="0"/>
      <w:marRight w:val="0"/>
      <w:marTop w:val="0"/>
      <w:marBottom w:val="0"/>
      <w:divBdr>
        <w:top w:val="none" w:sz="0" w:space="0" w:color="auto"/>
        <w:left w:val="none" w:sz="0" w:space="0" w:color="auto"/>
        <w:bottom w:val="none" w:sz="0" w:space="0" w:color="auto"/>
        <w:right w:val="none" w:sz="0" w:space="0" w:color="auto"/>
      </w:divBdr>
    </w:div>
    <w:div w:id="124616674">
      <w:bodyDiv w:val="1"/>
      <w:marLeft w:val="0"/>
      <w:marRight w:val="0"/>
      <w:marTop w:val="0"/>
      <w:marBottom w:val="0"/>
      <w:divBdr>
        <w:top w:val="none" w:sz="0" w:space="0" w:color="auto"/>
        <w:left w:val="none" w:sz="0" w:space="0" w:color="auto"/>
        <w:bottom w:val="none" w:sz="0" w:space="0" w:color="auto"/>
        <w:right w:val="none" w:sz="0" w:space="0" w:color="auto"/>
      </w:divBdr>
    </w:div>
    <w:div w:id="130025511">
      <w:bodyDiv w:val="1"/>
      <w:marLeft w:val="0"/>
      <w:marRight w:val="0"/>
      <w:marTop w:val="0"/>
      <w:marBottom w:val="0"/>
      <w:divBdr>
        <w:top w:val="none" w:sz="0" w:space="0" w:color="auto"/>
        <w:left w:val="none" w:sz="0" w:space="0" w:color="auto"/>
        <w:bottom w:val="none" w:sz="0" w:space="0" w:color="auto"/>
        <w:right w:val="none" w:sz="0" w:space="0" w:color="auto"/>
      </w:divBdr>
    </w:div>
    <w:div w:id="133643183">
      <w:bodyDiv w:val="1"/>
      <w:marLeft w:val="0"/>
      <w:marRight w:val="0"/>
      <w:marTop w:val="0"/>
      <w:marBottom w:val="0"/>
      <w:divBdr>
        <w:top w:val="none" w:sz="0" w:space="0" w:color="auto"/>
        <w:left w:val="none" w:sz="0" w:space="0" w:color="auto"/>
        <w:bottom w:val="none" w:sz="0" w:space="0" w:color="auto"/>
        <w:right w:val="none" w:sz="0" w:space="0" w:color="auto"/>
      </w:divBdr>
    </w:div>
    <w:div w:id="166795269">
      <w:bodyDiv w:val="1"/>
      <w:marLeft w:val="0"/>
      <w:marRight w:val="0"/>
      <w:marTop w:val="0"/>
      <w:marBottom w:val="0"/>
      <w:divBdr>
        <w:top w:val="none" w:sz="0" w:space="0" w:color="auto"/>
        <w:left w:val="none" w:sz="0" w:space="0" w:color="auto"/>
        <w:bottom w:val="none" w:sz="0" w:space="0" w:color="auto"/>
        <w:right w:val="none" w:sz="0" w:space="0" w:color="auto"/>
      </w:divBdr>
    </w:div>
    <w:div w:id="174614284">
      <w:bodyDiv w:val="1"/>
      <w:marLeft w:val="0"/>
      <w:marRight w:val="0"/>
      <w:marTop w:val="0"/>
      <w:marBottom w:val="0"/>
      <w:divBdr>
        <w:top w:val="none" w:sz="0" w:space="0" w:color="auto"/>
        <w:left w:val="none" w:sz="0" w:space="0" w:color="auto"/>
        <w:bottom w:val="none" w:sz="0" w:space="0" w:color="auto"/>
        <w:right w:val="none" w:sz="0" w:space="0" w:color="auto"/>
      </w:divBdr>
    </w:div>
    <w:div w:id="181479715">
      <w:bodyDiv w:val="1"/>
      <w:marLeft w:val="0"/>
      <w:marRight w:val="0"/>
      <w:marTop w:val="0"/>
      <w:marBottom w:val="0"/>
      <w:divBdr>
        <w:top w:val="none" w:sz="0" w:space="0" w:color="auto"/>
        <w:left w:val="none" w:sz="0" w:space="0" w:color="auto"/>
        <w:bottom w:val="none" w:sz="0" w:space="0" w:color="auto"/>
        <w:right w:val="none" w:sz="0" w:space="0" w:color="auto"/>
      </w:divBdr>
    </w:div>
    <w:div w:id="195192755">
      <w:bodyDiv w:val="1"/>
      <w:marLeft w:val="0"/>
      <w:marRight w:val="0"/>
      <w:marTop w:val="0"/>
      <w:marBottom w:val="0"/>
      <w:divBdr>
        <w:top w:val="none" w:sz="0" w:space="0" w:color="auto"/>
        <w:left w:val="none" w:sz="0" w:space="0" w:color="auto"/>
        <w:bottom w:val="none" w:sz="0" w:space="0" w:color="auto"/>
        <w:right w:val="none" w:sz="0" w:space="0" w:color="auto"/>
      </w:divBdr>
    </w:div>
    <w:div w:id="209808094">
      <w:bodyDiv w:val="1"/>
      <w:marLeft w:val="0"/>
      <w:marRight w:val="0"/>
      <w:marTop w:val="0"/>
      <w:marBottom w:val="0"/>
      <w:divBdr>
        <w:top w:val="none" w:sz="0" w:space="0" w:color="auto"/>
        <w:left w:val="none" w:sz="0" w:space="0" w:color="auto"/>
        <w:bottom w:val="none" w:sz="0" w:space="0" w:color="auto"/>
        <w:right w:val="none" w:sz="0" w:space="0" w:color="auto"/>
      </w:divBdr>
    </w:div>
    <w:div w:id="223835070">
      <w:bodyDiv w:val="1"/>
      <w:marLeft w:val="0"/>
      <w:marRight w:val="0"/>
      <w:marTop w:val="0"/>
      <w:marBottom w:val="0"/>
      <w:divBdr>
        <w:top w:val="none" w:sz="0" w:space="0" w:color="auto"/>
        <w:left w:val="none" w:sz="0" w:space="0" w:color="auto"/>
        <w:bottom w:val="none" w:sz="0" w:space="0" w:color="auto"/>
        <w:right w:val="none" w:sz="0" w:space="0" w:color="auto"/>
      </w:divBdr>
    </w:div>
    <w:div w:id="228655494">
      <w:bodyDiv w:val="1"/>
      <w:marLeft w:val="0"/>
      <w:marRight w:val="0"/>
      <w:marTop w:val="0"/>
      <w:marBottom w:val="0"/>
      <w:divBdr>
        <w:top w:val="none" w:sz="0" w:space="0" w:color="auto"/>
        <w:left w:val="none" w:sz="0" w:space="0" w:color="auto"/>
        <w:bottom w:val="none" w:sz="0" w:space="0" w:color="auto"/>
        <w:right w:val="none" w:sz="0" w:space="0" w:color="auto"/>
      </w:divBdr>
    </w:div>
    <w:div w:id="229852045">
      <w:bodyDiv w:val="1"/>
      <w:marLeft w:val="0"/>
      <w:marRight w:val="0"/>
      <w:marTop w:val="0"/>
      <w:marBottom w:val="0"/>
      <w:divBdr>
        <w:top w:val="none" w:sz="0" w:space="0" w:color="auto"/>
        <w:left w:val="none" w:sz="0" w:space="0" w:color="auto"/>
        <w:bottom w:val="none" w:sz="0" w:space="0" w:color="auto"/>
        <w:right w:val="none" w:sz="0" w:space="0" w:color="auto"/>
      </w:divBdr>
    </w:div>
    <w:div w:id="243996931">
      <w:bodyDiv w:val="1"/>
      <w:marLeft w:val="0"/>
      <w:marRight w:val="0"/>
      <w:marTop w:val="0"/>
      <w:marBottom w:val="0"/>
      <w:divBdr>
        <w:top w:val="none" w:sz="0" w:space="0" w:color="auto"/>
        <w:left w:val="none" w:sz="0" w:space="0" w:color="auto"/>
        <w:bottom w:val="none" w:sz="0" w:space="0" w:color="auto"/>
        <w:right w:val="none" w:sz="0" w:space="0" w:color="auto"/>
      </w:divBdr>
    </w:div>
    <w:div w:id="262999790">
      <w:bodyDiv w:val="1"/>
      <w:marLeft w:val="0"/>
      <w:marRight w:val="0"/>
      <w:marTop w:val="0"/>
      <w:marBottom w:val="0"/>
      <w:divBdr>
        <w:top w:val="none" w:sz="0" w:space="0" w:color="auto"/>
        <w:left w:val="none" w:sz="0" w:space="0" w:color="auto"/>
        <w:bottom w:val="none" w:sz="0" w:space="0" w:color="auto"/>
        <w:right w:val="none" w:sz="0" w:space="0" w:color="auto"/>
      </w:divBdr>
    </w:div>
    <w:div w:id="325205833">
      <w:bodyDiv w:val="1"/>
      <w:marLeft w:val="0"/>
      <w:marRight w:val="0"/>
      <w:marTop w:val="0"/>
      <w:marBottom w:val="0"/>
      <w:divBdr>
        <w:top w:val="none" w:sz="0" w:space="0" w:color="auto"/>
        <w:left w:val="none" w:sz="0" w:space="0" w:color="auto"/>
        <w:bottom w:val="none" w:sz="0" w:space="0" w:color="auto"/>
        <w:right w:val="none" w:sz="0" w:space="0" w:color="auto"/>
      </w:divBdr>
    </w:div>
    <w:div w:id="340859179">
      <w:bodyDiv w:val="1"/>
      <w:marLeft w:val="0"/>
      <w:marRight w:val="0"/>
      <w:marTop w:val="0"/>
      <w:marBottom w:val="0"/>
      <w:divBdr>
        <w:top w:val="none" w:sz="0" w:space="0" w:color="auto"/>
        <w:left w:val="none" w:sz="0" w:space="0" w:color="auto"/>
        <w:bottom w:val="none" w:sz="0" w:space="0" w:color="auto"/>
        <w:right w:val="none" w:sz="0" w:space="0" w:color="auto"/>
      </w:divBdr>
    </w:div>
    <w:div w:id="340862595">
      <w:bodyDiv w:val="1"/>
      <w:marLeft w:val="0"/>
      <w:marRight w:val="0"/>
      <w:marTop w:val="0"/>
      <w:marBottom w:val="0"/>
      <w:divBdr>
        <w:top w:val="none" w:sz="0" w:space="0" w:color="auto"/>
        <w:left w:val="none" w:sz="0" w:space="0" w:color="auto"/>
        <w:bottom w:val="none" w:sz="0" w:space="0" w:color="auto"/>
        <w:right w:val="none" w:sz="0" w:space="0" w:color="auto"/>
      </w:divBdr>
    </w:div>
    <w:div w:id="420222516">
      <w:bodyDiv w:val="1"/>
      <w:marLeft w:val="0"/>
      <w:marRight w:val="0"/>
      <w:marTop w:val="0"/>
      <w:marBottom w:val="0"/>
      <w:divBdr>
        <w:top w:val="none" w:sz="0" w:space="0" w:color="auto"/>
        <w:left w:val="none" w:sz="0" w:space="0" w:color="auto"/>
        <w:bottom w:val="none" w:sz="0" w:space="0" w:color="auto"/>
        <w:right w:val="none" w:sz="0" w:space="0" w:color="auto"/>
      </w:divBdr>
    </w:div>
    <w:div w:id="425468010">
      <w:bodyDiv w:val="1"/>
      <w:marLeft w:val="0"/>
      <w:marRight w:val="0"/>
      <w:marTop w:val="0"/>
      <w:marBottom w:val="0"/>
      <w:divBdr>
        <w:top w:val="none" w:sz="0" w:space="0" w:color="auto"/>
        <w:left w:val="none" w:sz="0" w:space="0" w:color="auto"/>
        <w:bottom w:val="none" w:sz="0" w:space="0" w:color="auto"/>
        <w:right w:val="none" w:sz="0" w:space="0" w:color="auto"/>
      </w:divBdr>
    </w:div>
    <w:div w:id="480079694">
      <w:bodyDiv w:val="1"/>
      <w:marLeft w:val="0"/>
      <w:marRight w:val="0"/>
      <w:marTop w:val="0"/>
      <w:marBottom w:val="0"/>
      <w:divBdr>
        <w:top w:val="none" w:sz="0" w:space="0" w:color="auto"/>
        <w:left w:val="none" w:sz="0" w:space="0" w:color="auto"/>
        <w:bottom w:val="none" w:sz="0" w:space="0" w:color="auto"/>
        <w:right w:val="none" w:sz="0" w:space="0" w:color="auto"/>
      </w:divBdr>
    </w:div>
    <w:div w:id="513692199">
      <w:bodyDiv w:val="1"/>
      <w:marLeft w:val="0"/>
      <w:marRight w:val="0"/>
      <w:marTop w:val="0"/>
      <w:marBottom w:val="0"/>
      <w:divBdr>
        <w:top w:val="none" w:sz="0" w:space="0" w:color="auto"/>
        <w:left w:val="none" w:sz="0" w:space="0" w:color="auto"/>
        <w:bottom w:val="none" w:sz="0" w:space="0" w:color="auto"/>
        <w:right w:val="none" w:sz="0" w:space="0" w:color="auto"/>
      </w:divBdr>
    </w:div>
    <w:div w:id="517085896">
      <w:bodyDiv w:val="1"/>
      <w:marLeft w:val="0"/>
      <w:marRight w:val="0"/>
      <w:marTop w:val="0"/>
      <w:marBottom w:val="0"/>
      <w:divBdr>
        <w:top w:val="none" w:sz="0" w:space="0" w:color="auto"/>
        <w:left w:val="none" w:sz="0" w:space="0" w:color="auto"/>
        <w:bottom w:val="none" w:sz="0" w:space="0" w:color="auto"/>
        <w:right w:val="none" w:sz="0" w:space="0" w:color="auto"/>
      </w:divBdr>
    </w:div>
    <w:div w:id="525754232">
      <w:bodyDiv w:val="1"/>
      <w:marLeft w:val="0"/>
      <w:marRight w:val="0"/>
      <w:marTop w:val="0"/>
      <w:marBottom w:val="0"/>
      <w:divBdr>
        <w:top w:val="none" w:sz="0" w:space="0" w:color="auto"/>
        <w:left w:val="none" w:sz="0" w:space="0" w:color="auto"/>
        <w:bottom w:val="none" w:sz="0" w:space="0" w:color="auto"/>
        <w:right w:val="none" w:sz="0" w:space="0" w:color="auto"/>
      </w:divBdr>
    </w:div>
    <w:div w:id="529798626">
      <w:bodyDiv w:val="1"/>
      <w:marLeft w:val="0"/>
      <w:marRight w:val="0"/>
      <w:marTop w:val="0"/>
      <w:marBottom w:val="0"/>
      <w:divBdr>
        <w:top w:val="none" w:sz="0" w:space="0" w:color="auto"/>
        <w:left w:val="none" w:sz="0" w:space="0" w:color="auto"/>
        <w:bottom w:val="none" w:sz="0" w:space="0" w:color="auto"/>
        <w:right w:val="none" w:sz="0" w:space="0" w:color="auto"/>
      </w:divBdr>
    </w:div>
    <w:div w:id="553472879">
      <w:bodyDiv w:val="1"/>
      <w:marLeft w:val="0"/>
      <w:marRight w:val="0"/>
      <w:marTop w:val="0"/>
      <w:marBottom w:val="0"/>
      <w:divBdr>
        <w:top w:val="none" w:sz="0" w:space="0" w:color="auto"/>
        <w:left w:val="none" w:sz="0" w:space="0" w:color="auto"/>
        <w:bottom w:val="none" w:sz="0" w:space="0" w:color="auto"/>
        <w:right w:val="none" w:sz="0" w:space="0" w:color="auto"/>
      </w:divBdr>
      <w:divsChild>
        <w:div w:id="1478455722">
          <w:marLeft w:val="0"/>
          <w:marRight w:val="0"/>
          <w:marTop w:val="0"/>
          <w:marBottom w:val="0"/>
          <w:divBdr>
            <w:top w:val="none" w:sz="0" w:space="0" w:color="auto"/>
            <w:left w:val="none" w:sz="0" w:space="0" w:color="auto"/>
            <w:bottom w:val="none" w:sz="0" w:space="0" w:color="auto"/>
            <w:right w:val="none" w:sz="0" w:space="0" w:color="auto"/>
          </w:divBdr>
        </w:div>
        <w:div w:id="2043239689">
          <w:marLeft w:val="0"/>
          <w:marRight w:val="0"/>
          <w:marTop w:val="0"/>
          <w:marBottom w:val="0"/>
          <w:divBdr>
            <w:top w:val="none" w:sz="0" w:space="0" w:color="auto"/>
            <w:left w:val="none" w:sz="0" w:space="0" w:color="auto"/>
            <w:bottom w:val="none" w:sz="0" w:space="0" w:color="auto"/>
            <w:right w:val="none" w:sz="0" w:space="0" w:color="auto"/>
          </w:divBdr>
        </w:div>
      </w:divsChild>
    </w:div>
    <w:div w:id="568152440">
      <w:bodyDiv w:val="1"/>
      <w:marLeft w:val="0"/>
      <w:marRight w:val="0"/>
      <w:marTop w:val="0"/>
      <w:marBottom w:val="0"/>
      <w:divBdr>
        <w:top w:val="none" w:sz="0" w:space="0" w:color="auto"/>
        <w:left w:val="none" w:sz="0" w:space="0" w:color="auto"/>
        <w:bottom w:val="none" w:sz="0" w:space="0" w:color="auto"/>
        <w:right w:val="none" w:sz="0" w:space="0" w:color="auto"/>
      </w:divBdr>
    </w:div>
    <w:div w:id="585000558">
      <w:bodyDiv w:val="1"/>
      <w:marLeft w:val="0"/>
      <w:marRight w:val="0"/>
      <w:marTop w:val="0"/>
      <w:marBottom w:val="0"/>
      <w:divBdr>
        <w:top w:val="none" w:sz="0" w:space="0" w:color="auto"/>
        <w:left w:val="none" w:sz="0" w:space="0" w:color="auto"/>
        <w:bottom w:val="none" w:sz="0" w:space="0" w:color="auto"/>
        <w:right w:val="none" w:sz="0" w:space="0" w:color="auto"/>
      </w:divBdr>
    </w:div>
    <w:div w:id="640959441">
      <w:bodyDiv w:val="1"/>
      <w:marLeft w:val="0"/>
      <w:marRight w:val="0"/>
      <w:marTop w:val="0"/>
      <w:marBottom w:val="0"/>
      <w:divBdr>
        <w:top w:val="none" w:sz="0" w:space="0" w:color="auto"/>
        <w:left w:val="none" w:sz="0" w:space="0" w:color="auto"/>
        <w:bottom w:val="none" w:sz="0" w:space="0" w:color="auto"/>
        <w:right w:val="none" w:sz="0" w:space="0" w:color="auto"/>
      </w:divBdr>
    </w:div>
    <w:div w:id="654839975">
      <w:bodyDiv w:val="1"/>
      <w:marLeft w:val="0"/>
      <w:marRight w:val="0"/>
      <w:marTop w:val="0"/>
      <w:marBottom w:val="0"/>
      <w:divBdr>
        <w:top w:val="none" w:sz="0" w:space="0" w:color="auto"/>
        <w:left w:val="none" w:sz="0" w:space="0" w:color="auto"/>
        <w:bottom w:val="none" w:sz="0" w:space="0" w:color="auto"/>
        <w:right w:val="none" w:sz="0" w:space="0" w:color="auto"/>
      </w:divBdr>
    </w:div>
    <w:div w:id="660430784">
      <w:bodyDiv w:val="1"/>
      <w:marLeft w:val="0"/>
      <w:marRight w:val="0"/>
      <w:marTop w:val="0"/>
      <w:marBottom w:val="0"/>
      <w:divBdr>
        <w:top w:val="none" w:sz="0" w:space="0" w:color="auto"/>
        <w:left w:val="none" w:sz="0" w:space="0" w:color="auto"/>
        <w:bottom w:val="none" w:sz="0" w:space="0" w:color="auto"/>
        <w:right w:val="none" w:sz="0" w:space="0" w:color="auto"/>
      </w:divBdr>
    </w:div>
    <w:div w:id="662053306">
      <w:bodyDiv w:val="1"/>
      <w:marLeft w:val="0"/>
      <w:marRight w:val="0"/>
      <w:marTop w:val="0"/>
      <w:marBottom w:val="0"/>
      <w:divBdr>
        <w:top w:val="none" w:sz="0" w:space="0" w:color="auto"/>
        <w:left w:val="none" w:sz="0" w:space="0" w:color="auto"/>
        <w:bottom w:val="none" w:sz="0" w:space="0" w:color="auto"/>
        <w:right w:val="none" w:sz="0" w:space="0" w:color="auto"/>
      </w:divBdr>
    </w:div>
    <w:div w:id="684861552">
      <w:bodyDiv w:val="1"/>
      <w:marLeft w:val="0"/>
      <w:marRight w:val="0"/>
      <w:marTop w:val="0"/>
      <w:marBottom w:val="0"/>
      <w:divBdr>
        <w:top w:val="none" w:sz="0" w:space="0" w:color="auto"/>
        <w:left w:val="none" w:sz="0" w:space="0" w:color="auto"/>
        <w:bottom w:val="none" w:sz="0" w:space="0" w:color="auto"/>
        <w:right w:val="none" w:sz="0" w:space="0" w:color="auto"/>
      </w:divBdr>
    </w:div>
    <w:div w:id="749886498">
      <w:bodyDiv w:val="1"/>
      <w:marLeft w:val="0"/>
      <w:marRight w:val="0"/>
      <w:marTop w:val="0"/>
      <w:marBottom w:val="0"/>
      <w:divBdr>
        <w:top w:val="none" w:sz="0" w:space="0" w:color="auto"/>
        <w:left w:val="none" w:sz="0" w:space="0" w:color="auto"/>
        <w:bottom w:val="none" w:sz="0" w:space="0" w:color="auto"/>
        <w:right w:val="none" w:sz="0" w:space="0" w:color="auto"/>
      </w:divBdr>
    </w:div>
    <w:div w:id="759563017">
      <w:bodyDiv w:val="1"/>
      <w:marLeft w:val="0"/>
      <w:marRight w:val="0"/>
      <w:marTop w:val="0"/>
      <w:marBottom w:val="0"/>
      <w:divBdr>
        <w:top w:val="none" w:sz="0" w:space="0" w:color="auto"/>
        <w:left w:val="none" w:sz="0" w:space="0" w:color="auto"/>
        <w:bottom w:val="none" w:sz="0" w:space="0" w:color="auto"/>
        <w:right w:val="none" w:sz="0" w:space="0" w:color="auto"/>
      </w:divBdr>
    </w:div>
    <w:div w:id="804547472">
      <w:bodyDiv w:val="1"/>
      <w:marLeft w:val="0"/>
      <w:marRight w:val="0"/>
      <w:marTop w:val="0"/>
      <w:marBottom w:val="0"/>
      <w:divBdr>
        <w:top w:val="none" w:sz="0" w:space="0" w:color="auto"/>
        <w:left w:val="none" w:sz="0" w:space="0" w:color="auto"/>
        <w:bottom w:val="none" w:sz="0" w:space="0" w:color="auto"/>
        <w:right w:val="none" w:sz="0" w:space="0" w:color="auto"/>
      </w:divBdr>
    </w:div>
    <w:div w:id="807210607">
      <w:bodyDiv w:val="1"/>
      <w:marLeft w:val="0"/>
      <w:marRight w:val="0"/>
      <w:marTop w:val="0"/>
      <w:marBottom w:val="0"/>
      <w:divBdr>
        <w:top w:val="none" w:sz="0" w:space="0" w:color="auto"/>
        <w:left w:val="none" w:sz="0" w:space="0" w:color="auto"/>
        <w:bottom w:val="none" w:sz="0" w:space="0" w:color="auto"/>
        <w:right w:val="none" w:sz="0" w:space="0" w:color="auto"/>
      </w:divBdr>
    </w:div>
    <w:div w:id="840320058">
      <w:bodyDiv w:val="1"/>
      <w:marLeft w:val="0"/>
      <w:marRight w:val="0"/>
      <w:marTop w:val="0"/>
      <w:marBottom w:val="0"/>
      <w:divBdr>
        <w:top w:val="none" w:sz="0" w:space="0" w:color="auto"/>
        <w:left w:val="none" w:sz="0" w:space="0" w:color="auto"/>
        <w:bottom w:val="none" w:sz="0" w:space="0" w:color="auto"/>
        <w:right w:val="none" w:sz="0" w:space="0" w:color="auto"/>
      </w:divBdr>
    </w:div>
    <w:div w:id="875891680">
      <w:bodyDiv w:val="1"/>
      <w:marLeft w:val="0"/>
      <w:marRight w:val="0"/>
      <w:marTop w:val="0"/>
      <w:marBottom w:val="0"/>
      <w:divBdr>
        <w:top w:val="none" w:sz="0" w:space="0" w:color="auto"/>
        <w:left w:val="none" w:sz="0" w:space="0" w:color="auto"/>
        <w:bottom w:val="none" w:sz="0" w:space="0" w:color="auto"/>
        <w:right w:val="none" w:sz="0" w:space="0" w:color="auto"/>
      </w:divBdr>
    </w:div>
    <w:div w:id="908812494">
      <w:bodyDiv w:val="1"/>
      <w:marLeft w:val="0"/>
      <w:marRight w:val="0"/>
      <w:marTop w:val="0"/>
      <w:marBottom w:val="0"/>
      <w:divBdr>
        <w:top w:val="none" w:sz="0" w:space="0" w:color="auto"/>
        <w:left w:val="none" w:sz="0" w:space="0" w:color="auto"/>
        <w:bottom w:val="none" w:sz="0" w:space="0" w:color="auto"/>
        <w:right w:val="none" w:sz="0" w:space="0" w:color="auto"/>
      </w:divBdr>
    </w:div>
    <w:div w:id="914164241">
      <w:bodyDiv w:val="1"/>
      <w:marLeft w:val="0"/>
      <w:marRight w:val="0"/>
      <w:marTop w:val="0"/>
      <w:marBottom w:val="0"/>
      <w:divBdr>
        <w:top w:val="none" w:sz="0" w:space="0" w:color="auto"/>
        <w:left w:val="none" w:sz="0" w:space="0" w:color="auto"/>
        <w:bottom w:val="none" w:sz="0" w:space="0" w:color="auto"/>
        <w:right w:val="none" w:sz="0" w:space="0" w:color="auto"/>
      </w:divBdr>
    </w:div>
    <w:div w:id="916479336">
      <w:bodyDiv w:val="1"/>
      <w:marLeft w:val="0"/>
      <w:marRight w:val="0"/>
      <w:marTop w:val="0"/>
      <w:marBottom w:val="0"/>
      <w:divBdr>
        <w:top w:val="none" w:sz="0" w:space="0" w:color="auto"/>
        <w:left w:val="none" w:sz="0" w:space="0" w:color="auto"/>
        <w:bottom w:val="none" w:sz="0" w:space="0" w:color="auto"/>
        <w:right w:val="none" w:sz="0" w:space="0" w:color="auto"/>
      </w:divBdr>
    </w:div>
    <w:div w:id="967203617">
      <w:bodyDiv w:val="1"/>
      <w:marLeft w:val="0"/>
      <w:marRight w:val="0"/>
      <w:marTop w:val="0"/>
      <w:marBottom w:val="0"/>
      <w:divBdr>
        <w:top w:val="none" w:sz="0" w:space="0" w:color="auto"/>
        <w:left w:val="none" w:sz="0" w:space="0" w:color="auto"/>
        <w:bottom w:val="none" w:sz="0" w:space="0" w:color="auto"/>
        <w:right w:val="none" w:sz="0" w:space="0" w:color="auto"/>
      </w:divBdr>
    </w:div>
    <w:div w:id="984045069">
      <w:bodyDiv w:val="1"/>
      <w:marLeft w:val="0"/>
      <w:marRight w:val="0"/>
      <w:marTop w:val="0"/>
      <w:marBottom w:val="0"/>
      <w:divBdr>
        <w:top w:val="none" w:sz="0" w:space="0" w:color="auto"/>
        <w:left w:val="none" w:sz="0" w:space="0" w:color="auto"/>
        <w:bottom w:val="none" w:sz="0" w:space="0" w:color="auto"/>
        <w:right w:val="none" w:sz="0" w:space="0" w:color="auto"/>
      </w:divBdr>
    </w:div>
    <w:div w:id="1004476028">
      <w:bodyDiv w:val="1"/>
      <w:marLeft w:val="0"/>
      <w:marRight w:val="0"/>
      <w:marTop w:val="0"/>
      <w:marBottom w:val="0"/>
      <w:divBdr>
        <w:top w:val="none" w:sz="0" w:space="0" w:color="auto"/>
        <w:left w:val="none" w:sz="0" w:space="0" w:color="auto"/>
        <w:bottom w:val="none" w:sz="0" w:space="0" w:color="auto"/>
        <w:right w:val="none" w:sz="0" w:space="0" w:color="auto"/>
      </w:divBdr>
    </w:div>
    <w:div w:id="1040083949">
      <w:bodyDiv w:val="1"/>
      <w:marLeft w:val="0"/>
      <w:marRight w:val="0"/>
      <w:marTop w:val="0"/>
      <w:marBottom w:val="0"/>
      <w:divBdr>
        <w:top w:val="none" w:sz="0" w:space="0" w:color="auto"/>
        <w:left w:val="none" w:sz="0" w:space="0" w:color="auto"/>
        <w:bottom w:val="none" w:sz="0" w:space="0" w:color="auto"/>
        <w:right w:val="none" w:sz="0" w:space="0" w:color="auto"/>
      </w:divBdr>
    </w:div>
    <w:div w:id="1046611519">
      <w:bodyDiv w:val="1"/>
      <w:marLeft w:val="0"/>
      <w:marRight w:val="0"/>
      <w:marTop w:val="0"/>
      <w:marBottom w:val="0"/>
      <w:divBdr>
        <w:top w:val="none" w:sz="0" w:space="0" w:color="auto"/>
        <w:left w:val="none" w:sz="0" w:space="0" w:color="auto"/>
        <w:bottom w:val="none" w:sz="0" w:space="0" w:color="auto"/>
        <w:right w:val="none" w:sz="0" w:space="0" w:color="auto"/>
      </w:divBdr>
    </w:div>
    <w:div w:id="1052463552">
      <w:bodyDiv w:val="1"/>
      <w:marLeft w:val="0"/>
      <w:marRight w:val="0"/>
      <w:marTop w:val="0"/>
      <w:marBottom w:val="0"/>
      <w:divBdr>
        <w:top w:val="none" w:sz="0" w:space="0" w:color="auto"/>
        <w:left w:val="none" w:sz="0" w:space="0" w:color="auto"/>
        <w:bottom w:val="none" w:sz="0" w:space="0" w:color="auto"/>
        <w:right w:val="none" w:sz="0" w:space="0" w:color="auto"/>
      </w:divBdr>
    </w:div>
    <w:div w:id="1062563230">
      <w:bodyDiv w:val="1"/>
      <w:marLeft w:val="0"/>
      <w:marRight w:val="0"/>
      <w:marTop w:val="0"/>
      <w:marBottom w:val="0"/>
      <w:divBdr>
        <w:top w:val="none" w:sz="0" w:space="0" w:color="auto"/>
        <w:left w:val="none" w:sz="0" w:space="0" w:color="auto"/>
        <w:bottom w:val="none" w:sz="0" w:space="0" w:color="auto"/>
        <w:right w:val="none" w:sz="0" w:space="0" w:color="auto"/>
      </w:divBdr>
    </w:div>
    <w:div w:id="1068653267">
      <w:bodyDiv w:val="1"/>
      <w:marLeft w:val="0"/>
      <w:marRight w:val="0"/>
      <w:marTop w:val="0"/>
      <w:marBottom w:val="0"/>
      <w:divBdr>
        <w:top w:val="none" w:sz="0" w:space="0" w:color="auto"/>
        <w:left w:val="none" w:sz="0" w:space="0" w:color="auto"/>
        <w:bottom w:val="none" w:sz="0" w:space="0" w:color="auto"/>
        <w:right w:val="none" w:sz="0" w:space="0" w:color="auto"/>
      </w:divBdr>
    </w:div>
    <w:div w:id="1115367962">
      <w:bodyDiv w:val="1"/>
      <w:marLeft w:val="0"/>
      <w:marRight w:val="0"/>
      <w:marTop w:val="0"/>
      <w:marBottom w:val="0"/>
      <w:divBdr>
        <w:top w:val="none" w:sz="0" w:space="0" w:color="auto"/>
        <w:left w:val="none" w:sz="0" w:space="0" w:color="auto"/>
        <w:bottom w:val="none" w:sz="0" w:space="0" w:color="auto"/>
        <w:right w:val="none" w:sz="0" w:space="0" w:color="auto"/>
      </w:divBdr>
    </w:div>
    <w:div w:id="1139961274">
      <w:bodyDiv w:val="1"/>
      <w:marLeft w:val="0"/>
      <w:marRight w:val="0"/>
      <w:marTop w:val="0"/>
      <w:marBottom w:val="0"/>
      <w:divBdr>
        <w:top w:val="none" w:sz="0" w:space="0" w:color="auto"/>
        <w:left w:val="none" w:sz="0" w:space="0" w:color="auto"/>
        <w:bottom w:val="none" w:sz="0" w:space="0" w:color="auto"/>
        <w:right w:val="none" w:sz="0" w:space="0" w:color="auto"/>
      </w:divBdr>
    </w:div>
    <w:div w:id="1171721950">
      <w:bodyDiv w:val="1"/>
      <w:marLeft w:val="0"/>
      <w:marRight w:val="0"/>
      <w:marTop w:val="0"/>
      <w:marBottom w:val="0"/>
      <w:divBdr>
        <w:top w:val="none" w:sz="0" w:space="0" w:color="auto"/>
        <w:left w:val="none" w:sz="0" w:space="0" w:color="auto"/>
        <w:bottom w:val="none" w:sz="0" w:space="0" w:color="auto"/>
        <w:right w:val="none" w:sz="0" w:space="0" w:color="auto"/>
      </w:divBdr>
    </w:div>
    <w:div w:id="1191533654">
      <w:bodyDiv w:val="1"/>
      <w:marLeft w:val="0"/>
      <w:marRight w:val="0"/>
      <w:marTop w:val="0"/>
      <w:marBottom w:val="0"/>
      <w:divBdr>
        <w:top w:val="none" w:sz="0" w:space="0" w:color="auto"/>
        <w:left w:val="none" w:sz="0" w:space="0" w:color="auto"/>
        <w:bottom w:val="none" w:sz="0" w:space="0" w:color="auto"/>
        <w:right w:val="none" w:sz="0" w:space="0" w:color="auto"/>
      </w:divBdr>
    </w:div>
    <w:div w:id="1201668515">
      <w:bodyDiv w:val="1"/>
      <w:marLeft w:val="0"/>
      <w:marRight w:val="0"/>
      <w:marTop w:val="0"/>
      <w:marBottom w:val="0"/>
      <w:divBdr>
        <w:top w:val="none" w:sz="0" w:space="0" w:color="auto"/>
        <w:left w:val="none" w:sz="0" w:space="0" w:color="auto"/>
        <w:bottom w:val="none" w:sz="0" w:space="0" w:color="auto"/>
        <w:right w:val="none" w:sz="0" w:space="0" w:color="auto"/>
      </w:divBdr>
    </w:div>
    <w:div w:id="1235972271">
      <w:bodyDiv w:val="1"/>
      <w:marLeft w:val="0"/>
      <w:marRight w:val="0"/>
      <w:marTop w:val="0"/>
      <w:marBottom w:val="0"/>
      <w:divBdr>
        <w:top w:val="none" w:sz="0" w:space="0" w:color="auto"/>
        <w:left w:val="none" w:sz="0" w:space="0" w:color="auto"/>
        <w:bottom w:val="none" w:sz="0" w:space="0" w:color="auto"/>
        <w:right w:val="none" w:sz="0" w:space="0" w:color="auto"/>
      </w:divBdr>
    </w:div>
    <w:div w:id="1245728483">
      <w:bodyDiv w:val="1"/>
      <w:marLeft w:val="0"/>
      <w:marRight w:val="0"/>
      <w:marTop w:val="0"/>
      <w:marBottom w:val="0"/>
      <w:divBdr>
        <w:top w:val="none" w:sz="0" w:space="0" w:color="auto"/>
        <w:left w:val="none" w:sz="0" w:space="0" w:color="auto"/>
        <w:bottom w:val="none" w:sz="0" w:space="0" w:color="auto"/>
        <w:right w:val="none" w:sz="0" w:space="0" w:color="auto"/>
      </w:divBdr>
    </w:div>
    <w:div w:id="1248878501">
      <w:bodyDiv w:val="1"/>
      <w:marLeft w:val="0"/>
      <w:marRight w:val="0"/>
      <w:marTop w:val="0"/>
      <w:marBottom w:val="0"/>
      <w:divBdr>
        <w:top w:val="none" w:sz="0" w:space="0" w:color="auto"/>
        <w:left w:val="none" w:sz="0" w:space="0" w:color="auto"/>
        <w:bottom w:val="none" w:sz="0" w:space="0" w:color="auto"/>
        <w:right w:val="none" w:sz="0" w:space="0" w:color="auto"/>
      </w:divBdr>
    </w:div>
    <w:div w:id="1256280378">
      <w:bodyDiv w:val="1"/>
      <w:marLeft w:val="0"/>
      <w:marRight w:val="0"/>
      <w:marTop w:val="0"/>
      <w:marBottom w:val="0"/>
      <w:divBdr>
        <w:top w:val="none" w:sz="0" w:space="0" w:color="auto"/>
        <w:left w:val="none" w:sz="0" w:space="0" w:color="auto"/>
        <w:bottom w:val="none" w:sz="0" w:space="0" w:color="auto"/>
        <w:right w:val="none" w:sz="0" w:space="0" w:color="auto"/>
      </w:divBdr>
    </w:div>
    <w:div w:id="1265501110">
      <w:bodyDiv w:val="1"/>
      <w:marLeft w:val="0"/>
      <w:marRight w:val="0"/>
      <w:marTop w:val="0"/>
      <w:marBottom w:val="0"/>
      <w:divBdr>
        <w:top w:val="none" w:sz="0" w:space="0" w:color="auto"/>
        <w:left w:val="none" w:sz="0" w:space="0" w:color="auto"/>
        <w:bottom w:val="none" w:sz="0" w:space="0" w:color="auto"/>
        <w:right w:val="none" w:sz="0" w:space="0" w:color="auto"/>
      </w:divBdr>
    </w:div>
    <w:div w:id="1305815792">
      <w:bodyDiv w:val="1"/>
      <w:marLeft w:val="0"/>
      <w:marRight w:val="0"/>
      <w:marTop w:val="0"/>
      <w:marBottom w:val="0"/>
      <w:divBdr>
        <w:top w:val="none" w:sz="0" w:space="0" w:color="auto"/>
        <w:left w:val="none" w:sz="0" w:space="0" w:color="auto"/>
        <w:bottom w:val="none" w:sz="0" w:space="0" w:color="auto"/>
        <w:right w:val="none" w:sz="0" w:space="0" w:color="auto"/>
      </w:divBdr>
    </w:div>
    <w:div w:id="1328904406">
      <w:bodyDiv w:val="1"/>
      <w:marLeft w:val="0"/>
      <w:marRight w:val="0"/>
      <w:marTop w:val="0"/>
      <w:marBottom w:val="0"/>
      <w:divBdr>
        <w:top w:val="none" w:sz="0" w:space="0" w:color="auto"/>
        <w:left w:val="none" w:sz="0" w:space="0" w:color="auto"/>
        <w:bottom w:val="none" w:sz="0" w:space="0" w:color="auto"/>
        <w:right w:val="none" w:sz="0" w:space="0" w:color="auto"/>
      </w:divBdr>
    </w:div>
    <w:div w:id="1374886269">
      <w:bodyDiv w:val="1"/>
      <w:marLeft w:val="0"/>
      <w:marRight w:val="0"/>
      <w:marTop w:val="0"/>
      <w:marBottom w:val="0"/>
      <w:divBdr>
        <w:top w:val="none" w:sz="0" w:space="0" w:color="auto"/>
        <w:left w:val="none" w:sz="0" w:space="0" w:color="auto"/>
        <w:bottom w:val="none" w:sz="0" w:space="0" w:color="auto"/>
        <w:right w:val="none" w:sz="0" w:space="0" w:color="auto"/>
      </w:divBdr>
    </w:div>
    <w:div w:id="1378699801">
      <w:bodyDiv w:val="1"/>
      <w:marLeft w:val="0"/>
      <w:marRight w:val="0"/>
      <w:marTop w:val="0"/>
      <w:marBottom w:val="0"/>
      <w:divBdr>
        <w:top w:val="none" w:sz="0" w:space="0" w:color="auto"/>
        <w:left w:val="none" w:sz="0" w:space="0" w:color="auto"/>
        <w:bottom w:val="none" w:sz="0" w:space="0" w:color="auto"/>
        <w:right w:val="none" w:sz="0" w:space="0" w:color="auto"/>
      </w:divBdr>
    </w:div>
    <w:div w:id="1382560311">
      <w:bodyDiv w:val="1"/>
      <w:marLeft w:val="0"/>
      <w:marRight w:val="0"/>
      <w:marTop w:val="0"/>
      <w:marBottom w:val="0"/>
      <w:divBdr>
        <w:top w:val="none" w:sz="0" w:space="0" w:color="auto"/>
        <w:left w:val="none" w:sz="0" w:space="0" w:color="auto"/>
        <w:bottom w:val="none" w:sz="0" w:space="0" w:color="auto"/>
        <w:right w:val="none" w:sz="0" w:space="0" w:color="auto"/>
      </w:divBdr>
      <w:divsChild>
        <w:div w:id="526795192">
          <w:marLeft w:val="0"/>
          <w:marRight w:val="0"/>
          <w:marTop w:val="0"/>
          <w:marBottom w:val="0"/>
          <w:divBdr>
            <w:top w:val="none" w:sz="0" w:space="0" w:color="auto"/>
            <w:left w:val="none" w:sz="0" w:space="0" w:color="auto"/>
            <w:bottom w:val="none" w:sz="0" w:space="0" w:color="auto"/>
            <w:right w:val="none" w:sz="0" w:space="0" w:color="auto"/>
          </w:divBdr>
        </w:div>
        <w:div w:id="1622763487">
          <w:marLeft w:val="0"/>
          <w:marRight w:val="0"/>
          <w:marTop w:val="0"/>
          <w:marBottom w:val="0"/>
          <w:divBdr>
            <w:top w:val="none" w:sz="0" w:space="0" w:color="auto"/>
            <w:left w:val="none" w:sz="0" w:space="0" w:color="auto"/>
            <w:bottom w:val="none" w:sz="0" w:space="0" w:color="auto"/>
            <w:right w:val="none" w:sz="0" w:space="0" w:color="auto"/>
          </w:divBdr>
        </w:div>
        <w:div w:id="2100707750">
          <w:marLeft w:val="0"/>
          <w:marRight w:val="0"/>
          <w:marTop w:val="0"/>
          <w:marBottom w:val="0"/>
          <w:divBdr>
            <w:top w:val="none" w:sz="0" w:space="0" w:color="auto"/>
            <w:left w:val="none" w:sz="0" w:space="0" w:color="auto"/>
            <w:bottom w:val="none" w:sz="0" w:space="0" w:color="auto"/>
            <w:right w:val="none" w:sz="0" w:space="0" w:color="auto"/>
          </w:divBdr>
        </w:div>
      </w:divsChild>
    </w:div>
    <w:div w:id="1390155055">
      <w:bodyDiv w:val="1"/>
      <w:marLeft w:val="0"/>
      <w:marRight w:val="0"/>
      <w:marTop w:val="0"/>
      <w:marBottom w:val="0"/>
      <w:divBdr>
        <w:top w:val="none" w:sz="0" w:space="0" w:color="auto"/>
        <w:left w:val="none" w:sz="0" w:space="0" w:color="auto"/>
        <w:bottom w:val="none" w:sz="0" w:space="0" w:color="auto"/>
        <w:right w:val="none" w:sz="0" w:space="0" w:color="auto"/>
      </w:divBdr>
    </w:div>
    <w:div w:id="1424253948">
      <w:bodyDiv w:val="1"/>
      <w:marLeft w:val="0"/>
      <w:marRight w:val="0"/>
      <w:marTop w:val="0"/>
      <w:marBottom w:val="0"/>
      <w:divBdr>
        <w:top w:val="none" w:sz="0" w:space="0" w:color="auto"/>
        <w:left w:val="none" w:sz="0" w:space="0" w:color="auto"/>
        <w:bottom w:val="none" w:sz="0" w:space="0" w:color="auto"/>
        <w:right w:val="none" w:sz="0" w:space="0" w:color="auto"/>
      </w:divBdr>
    </w:div>
    <w:div w:id="1435832068">
      <w:bodyDiv w:val="1"/>
      <w:marLeft w:val="0"/>
      <w:marRight w:val="0"/>
      <w:marTop w:val="0"/>
      <w:marBottom w:val="0"/>
      <w:divBdr>
        <w:top w:val="none" w:sz="0" w:space="0" w:color="auto"/>
        <w:left w:val="none" w:sz="0" w:space="0" w:color="auto"/>
        <w:bottom w:val="none" w:sz="0" w:space="0" w:color="auto"/>
        <w:right w:val="none" w:sz="0" w:space="0" w:color="auto"/>
      </w:divBdr>
    </w:div>
    <w:div w:id="1442844770">
      <w:bodyDiv w:val="1"/>
      <w:marLeft w:val="0"/>
      <w:marRight w:val="0"/>
      <w:marTop w:val="0"/>
      <w:marBottom w:val="0"/>
      <w:divBdr>
        <w:top w:val="none" w:sz="0" w:space="0" w:color="auto"/>
        <w:left w:val="none" w:sz="0" w:space="0" w:color="auto"/>
        <w:bottom w:val="none" w:sz="0" w:space="0" w:color="auto"/>
        <w:right w:val="none" w:sz="0" w:space="0" w:color="auto"/>
      </w:divBdr>
    </w:div>
    <w:div w:id="1448544391">
      <w:bodyDiv w:val="1"/>
      <w:marLeft w:val="0"/>
      <w:marRight w:val="0"/>
      <w:marTop w:val="0"/>
      <w:marBottom w:val="0"/>
      <w:divBdr>
        <w:top w:val="none" w:sz="0" w:space="0" w:color="auto"/>
        <w:left w:val="none" w:sz="0" w:space="0" w:color="auto"/>
        <w:bottom w:val="none" w:sz="0" w:space="0" w:color="auto"/>
        <w:right w:val="none" w:sz="0" w:space="0" w:color="auto"/>
      </w:divBdr>
    </w:div>
    <w:div w:id="1449201384">
      <w:bodyDiv w:val="1"/>
      <w:marLeft w:val="0"/>
      <w:marRight w:val="0"/>
      <w:marTop w:val="0"/>
      <w:marBottom w:val="0"/>
      <w:divBdr>
        <w:top w:val="none" w:sz="0" w:space="0" w:color="auto"/>
        <w:left w:val="none" w:sz="0" w:space="0" w:color="auto"/>
        <w:bottom w:val="none" w:sz="0" w:space="0" w:color="auto"/>
        <w:right w:val="none" w:sz="0" w:space="0" w:color="auto"/>
      </w:divBdr>
    </w:div>
    <w:div w:id="1490175639">
      <w:bodyDiv w:val="1"/>
      <w:marLeft w:val="0"/>
      <w:marRight w:val="0"/>
      <w:marTop w:val="0"/>
      <w:marBottom w:val="0"/>
      <w:divBdr>
        <w:top w:val="none" w:sz="0" w:space="0" w:color="auto"/>
        <w:left w:val="none" w:sz="0" w:space="0" w:color="auto"/>
        <w:bottom w:val="none" w:sz="0" w:space="0" w:color="auto"/>
        <w:right w:val="none" w:sz="0" w:space="0" w:color="auto"/>
      </w:divBdr>
    </w:div>
    <w:div w:id="1544709345">
      <w:bodyDiv w:val="1"/>
      <w:marLeft w:val="0"/>
      <w:marRight w:val="0"/>
      <w:marTop w:val="0"/>
      <w:marBottom w:val="0"/>
      <w:divBdr>
        <w:top w:val="none" w:sz="0" w:space="0" w:color="auto"/>
        <w:left w:val="none" w:sz="0" w:space="0" w:color="auto"/>
        <w:bottom w:val="none" w:sz="0" w:space="0" w:color="auto"/>
        <w:right w:val="none" w:sz="0" w:space="0" w:color="auto"/>
      </w:divBdr>
    </w:div>
    <w:div w:id="1546405503">
      <w:bodyDiv w:val="1"/>
      <w:marLeft w:val="0"/>
      <w:marRight w:val="0"/>
      <w:marTop w:val="0"/>
      <w:marBottom w:val="0"/>
      <w:divBdr>
        <w:top w:val="none" w:sz="0" w:space="0" w:color="auto"/>
        <w:left w:val="none" w:sz="0" w:space="0" w:color="auto"/>
        <w:bottom w:val="none" w:sz="0" w:space="0" w:color="auto"/>
        <w:right w:val="none" w:sz="0" w:space="0" w:color="auto"/>
      </w:divBdr>
    </w:div>
    <w:div w:id="1574968042">
      <w:bodyDiv w:val="1"/>
      <w:marLeft w:val="0"/>
      <w:marRight w:val="0"/>
      <w:marTop w:val="0"/>
      <w:marBottom w:val="0"/>
      <w:divBdr>
        <w:top w:val="none" w:sz="0" w:space="0" w:color="auto"/>
        <w:left w:val="none" w:sz="0" w:space="0" w:color="auto"/>
        <w:bottom w:val="none" w:sz="0" w:space="0" w:color="auto"/>
        <w:right w:val="none" w:sz="0" w:space="0" w:color="auto"/>
      </w:divBdr>
    </w:div>
    <w:div w:id="1642728903">
      <w:bodyDiv w:val="1"/>
      <w:marLeft w:val="0"/>
      <w:marRight w:val="0"/>
      <w:marTop w:val="0"/>
      <w:marBottom w:val="0"/>
      <w:divBdr>
        <w:top w:val="none" w:sz="0" w:space="0" w:color="auto"/>
        <w:left w:val="none" w:sz="0" w:space="0" w:color="auto"/>
        <w:bottom w:val="none" w:sz="0" w:space="0" w:color="auto"/>
        <w:right w:val="none" w:sz="0" w:space="0" w:color="auto"/>
      </w:divBdr>
    </w:div>
    <w:div w:id="1651329634">
      <w:bodyDiv w:val="1"/>
      <w:marLeft w:val="0"/>
      <w:marRight w:val="0"/>
      <w:marTop w:val="0"/>
      <w:marBottom w:val="0"/>
      <w:divBdr>
        <w:top w:val="none" w:sz="0" w:space="0" w:color="auto"/>
        <w:left w:val="none" w:sz="0" w:space="0" w:color="auto"/>
        <w:bottom w:val="none" w:sz="0" w:space="0" w:color="auto"/>
        <w:right w:val="none" w:sz="0" w:space="0" w:color="auto"/>
      </w:divBdr>
    </w:div>
    <w:div w:id="1673217689">
      <w:bodyDiv w:val="1"/>
      <w:marLeft w:val="0"/>
      <w:marRight w:val="0"/>
      <w:marTop w:val="0"/>
      <w:marBottom w:val="0"/>
      <w:divBdr>
        <w:top w:val="none" w:sz="0" w:space="0" w:color="auto"/>
        <w:left w:val="none" w:sz="0" w:space="0" w:color="auto"/>
        <w:bottom w:val="none" w:sz="0" w:space="0" w:color="auto"/>
        <w:right w:val="none" w:sz="0" w:space="0" w:color="auto"/>
      </w:divBdr>
    </w:div>
    <w:div w:id="1693070805">
      <w:bodyDiv w:val="1"/>
      <w:marLeft w:val="0"/>
      <w:marRight w:val="0"/>
      <w:marTop w:val="0"/>
      <w:marBottom w:val="0"/>
      <w:divBdr>
        <w:top w:val="none" w:sz="0" w:space="0" w:color="auto"/>
        <w:left w:val="none" w:sz="0" w:space="0" w:color="auto"/>
        <w:bottom w:val="none" w:sz="0" w:space="0" w:color="auto"/>
        <w:right w:val="none" w:sz="0" w:space="0" w:color="auto"/>
      </w:divBdr>
    </w:div>
    <w:div w:id="1713268909">
      <w:bodyDiv w:val="1"/>
      <w:marLeft w:val="0"/>
      <w:marRight w:val="0"/>
      <w:marTop w:val="0"/>
      <w:marBottom w:val="0"/>
      <w:divBdr>
        <w:top w:val="none" w:sz="0" w:space="0" w:color="auto"/>
        <w:left w:val="none" w:sz="0" w:space="0" w:color="auto"/>
        <w:bottom w:val="none" w:sz="0" w:space="0" w:color="auto"/>
        <w:right w:val="none" w:sz="0" w:space="0" w:color="auto"/>
      </w:divBdr>
    </w:div>
    <w:div w:id="1742629693">
      <w:bodyDiv w:val="1"/>
      <w:marLeft w:val="0"/>
      <w:marRight w:val="0"/>
      <w:marTop w:val="0"/>
      <w:marBottom w:val="0"/>
      <w:divBdr>
        <w:top w:val="none" w:sz="0" w:space="0" w:color="auto"/>
        <w:left w:val="none" w:sz="0" w:space="0" w:color="auto"/>
        <w:bottom w:val="none" w:sz="0" w:space="0" w:color="auto"/>
        <w:right w:val="none" w:sz="0" w:space="0" w:color="auto"/>
      </w:divBdr>
    </w:div>
    <w:div w:id="1752123011">
      <w:bodyDiv w:val="1"/>
      <w:marLeft w:val="0"/>
      <w:marRight w:val="0"/>
      <w:marTop w:val="0"/>
      <w:marBottom w:val="0"/>
      <w:divBdr>
        <w:top w:val="none" w:sz="0" w:space="0" w:color="auto"/>
        <w:left w:val="none" w:sz="0" w:space="0" w:color="auto"/>
        <w:bottom w:val="none" w:sz="0" w:space="0" w:color="auto"/>
        <w:right w:val="none" w:sz="0" w:space="0" w:color="auto"/>
      </w:divBdr>
    </w:div>
    <w:div w:id="1757700555">
      <w:bodyDiv w:val="1"/>
      <w:marLeft w:val="0"/>
      <w:marRight w:val="0"/>
      <w:marTop w:val="0"/>
      <w:marBottom w:val="0"/>
      <w:divBdr>
        <w:top w:val="none" w:sz="0" w:space="0" w:color="auto"/>
        <w:left w:val="none" w:sz="0" w:space="0" w:color="auto"/>
        <w:bottom w:val="none" w:sz="0" w:space="0" w:color="auto"/>
        <w:right w:val="none" w:sz="0" w:space="0" w:color="auto"/>
      </w:divBdr>
    </w:div>
    <w:div w:id="1760832915">
      <w:bodyDiv w:val="1"/>
      <w:marLeft w:val="0"/>
      <w:marRight w:val="0"/>
      <w:marTop w:val="0"/>
      <w:marBottom w:val="0"/>
      <w:divBdr>
        <w:top w:val="none" w:sz="0" w:space="0" w:color="auto"/>
        <w:left w:val="none" w:sz="0" w:space="0" w:color="auto"/>
        <w:bottom w:val="none" w:sz="0" w:space="0" w:color="auto"/>
        <w:right w:val="none" w:sz="0" w:space="0" w:color="auto"/>
      </w:divBdr>
    </w:div>
    <w:div w:id="1768500949">
      <w:bodyDiv w:val="1"/>
      <w:marLeft w:val="0"/>
      <w:marRight w:val="0"/>
      <w:marTop w:val="0"/>
      <w:marBottom w:val="0"/>
      <w:divBdr>
        <w:top w:val="none" w:sz="0" w:space="0" w:color="auto"/>
        <w:left w:val="none" w:sz="0" w:space="0" w:color="auto"/>
        <w:bottom w:val="none" w:sz="0" w:space="0" w:color="auto"/>
        <w:right w:val="none" w:sz="0" w:space="0" w:color="auto"/>
      </w:divBdr>
    </w:div>
    <w:div w:id="1772584047">
      <w:bodyDiv w:val="1"/>
      <w:marLeft w:val="0"/>
      <w:marRight w:val="0"/>
      <w:marTop w:val="0"/>
      <w:marBottom w:val="0"/>
      <w:divBdr>
        <w:top w:val="none" w:sz="0" w:space="0" w:color="auto"/>
        <w:left w:val="none" w:sz="0" w:space="0" w:color="auto"/>
        <w:bottom w:val="none" w:sz="0" w:space="0" w:color="auto"/>
        <w:right w:val="none" w:sz="0" w:space="0" w:color="auto"/>
      </w:divBdr>
    </w:div>
    <w:div w:id="1776751991">
      <w:bodyDiv w:val="1"/>
      <w:marLeft w:val="0"/>
      <w:marRight w:val="0"/>
      <w:marTop w:val="0"/>
      <w:marBottom w:val="0"/>
      <w:divBdr>
        <w:top w:val="none" w:sz="0" w:space="0" w:color="auto"/>
        <w:left w:val="none" w:sz="0" w:space="0" w:color="auto"/>
        <w:bottom w:val="none" w:sz="0" w:space="0" w:color="auto"/>
        <w:right w:val="none" w:sz="0" w:space="0" w:color="auto"/>
      </w:divBdr>
    </w:div>
    <w:div w:id="1782918178">
      <w:bodyDiv w:val="1"/>
      <w:marLeft w:val="0"/>
      <w:marRight w:val="0"/>
      <w:marTop w:val="0"/>
      <w:marBottom w:val="0"/>
      <w:divBdr>
        <w:top w:val="none" w:sz="0" w:space="0" w:color="auto"/>
        <w:left w:val="none" w:sz="0" w:space="0" w:color="auto"/>
        <w:bottom w:val="none" w:sz="0" w:space="0" w:color="auto"/>
        <w:right w:val="none" w:sz="0" w:space="0" w:color="auto"/>
      </w:divBdr>
    </w:div>
    <w:div w:id="1795562086">
      <w:bodyDiv w:val="1"/>
      <w:marLeft w:val="0"/>
      <w:marRight w:val="0"/>
      <w:marTop w:val="0"/>
      <w:marBottom w:val="0"/>
      <w:divBdr>
        <w:top w:val="none" w:sz="0" w:space="0" w:color="auto"/>
        <w:left w:val="none" w:sz="0" w:space="0" w:color="auto"/>
        <w:bottom w:val="none" w:sz="0" w:space="0" w:color="auto"/>
        <w:right w:val="none" w:sz="0" w:space="0" w:color="auto"/>
      </w:divBdr>
    </w:div>
    <w:div w:id="1812599731">
      <w:bodyDiv w:val="1"/>
      <w:marLeft w:val="0"/>
      <w:marRight w:val="0"/>
      <w:marTop w:val="0"/>
      <w:marBottom w:val="0"/>
      <w:divBdr>
        <w:top w:val="none" w:sz="0" w:space="0" w:color="auto"/>
        <w:left w:val="none" w:sz="0" w:space="0" w:color="auto"/>
        <w:bottom w:val="none" w:sz="0" w:space="0" w:color="auto"/>
        <w:right w:val="none" w:sz="0" w:space="0" w:color="auto"/>
      </w:divBdr>
    </w:div>
    <w:div w:id="1829055897">
      <w:bodyDiv w:val="1"/>
      <w:marLeft w:val="0"/>
      <w:marRight w:val="0"/>
      <w:marTop w:val="0"/>
      <w:marBottom w:val="0"/>
      <w:divBdr>
        <w:top w:val="none" w:sz="0" w:space="0" w:color="auto"/>
        <w:left w:val="none" w:sz="0" w:space="0" w:color="auto"/>
        <w:bottom w:val="none" w:sz="0" w:space="0" w:color="auto"/>
        <w:right w:val="none" w:sz="0" w:space="0" w:color="auto"/>
      </w:divBdr>
    </w:div>
    <w:div w:id="1830555200">
      <w:bodyDiv w:val="1"/>
      <w:marLeft w:val="0"/>
      <w:marRight w:val="0"/>
      <w:marTop w:val="0"/>
      <w:marBottom w:val="0"/>
      <w:divBdr>
        <w:top w:val="none" w:sz="0" w:space="0" w:color="auto"/>
        <w:left w:val="none" w:sz="0" w:space="0" w:color="auto"/>
        <w:bottom w:val="none" w:sz="0" w:space="0" w:color="auto"/>
        <w:right w:val="none" w:sz="0" w:space="0" w:color="auto"/>
      </w:divBdr>
    </w:div>
    <w:div w:id="1838418178">
      <w:bodyDiv w:val="1"/>
      <w:marLeft w:val="0"/>
      <w:marRight w:val="0"/>
      <w:marTop w:val="0"/>
      <w:marBottom w:val="0"/>
      <w:divBdr>
        <w:top w:val="none" w:sz="0" w:space="0" w:color="auto"/>
        <w:left w:val="none" w:sz="0" w:space="0" w:color="auto"/>
        <w:bottom w:val="none" w:sz="0" w:space="0" w:color="auto"/>
        <w:right w:val="none" w:sz="0" w:space="0" w:color="auto"/>
      </w:divBdr>
    </w:div>
    <w:div w:id="1849782421">
      <w:bodyDiv w:val="1"/>
      <w:marLeft w:val="0"/>
      <w:marRight w:val="0"/>
      <w:marTop w:val="0"/>
      <w:marBottom w:val="0"/>
      <w:divBdr>
        <w:top w:val="none" w:sz="0" w:space="0" w:color="auto"/>
        <w:left w:val="none" w:sz="0" w:space="0" w:color="auto"/>
        <w:bottom w:val="none" w:sz="0" w:space="0" w:color="auto"/>
        <w:right w:val="none" w:sz="0" w:space="0" w:color="auto"/>
      </w:divBdr>
    </w:div>
    <w:div w:id="1868331759">
      <w:bodyDiv w:val="1"/>
      <w:marLeft w:val="0"/>
      <w:marRight w:val="0"/>
      <w:marTop w:val="0"/>
      <w:marBottom w:val="0"/>
      <w:divBdr>
        <w:top w:val="none" w:sz="0" w:space="0" w:color="auto"/>
        <w:left w:val="none" w:sz="0" w:space="0" w:color="auto"/>
        <w:bottom w:val="none" w:sz="0" w:space="0" w:color="auto"/>
        <w:right w:val="none" w:sz="0" w:space="0" w:color="auto"/>
      </w:divBdr>
    </w:div>
    <w:div w:id="1915161239">
      <w:bodyDiv w:val="1"/>
      <w:marLeft w:val="0"/>
      <w:marRight w:val="0"/>
      <w:marTop w:val="0"/>
      <w:marBottom w:val="0"/>
      <w:divBdr>
        <w:top w:val="none" w:sz="0" w:space="0" w:color="auto"/>
        <w:left w:val="none" w:sz="0" w:space="0" w:color="auto"/>
        <w:bottom w:val="none" w:sz="0" w:space="0" w:color="auto"/>
        <w:right w:val="none" w:sz="0" w:space="0" w:color="auto"/>
      </w:divBdr>
      <w:divsChild>
        <w:div w:id="952788351">
          <w:marLeft w:val="0"/>
          <w:marRight w:val="0"/>
          <w:marTop w:val="0"/>
          <w:marBottom w:val="0"/>
          <w:divBdr>
            <w:top w:val="none" w:sz="0" w:space="0" w:color="auto"/>
            <w:left w:val="none" w:sz="0" w:space="0" w:color="auto"/>
            <w:bottom w:val="none" w:sz="0" w:space="0" w:color="auto"/>
            <w:right w:val="none" w:sz="0" w:space="0" w:color="auto"/>
          </w:divBdr>
          <w:divsChild>
            <w:div w:id="95271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95934">
      <w:bodyDiv w:val="1"/>
      <w:marLeft w:val="0"/>
      <w:marRight w:val="0"/>
      <w:marTop w:val="0"/>
      <w:marBottom w:val="0"/>
      <w:divBdr>
        <w:top w:val="none" w:sz="0" w:space="0" w:color="auto"/>
        <w:left w:val="none" w:sz="0" w:space="0" w:color="auto"/>
        <w:bottom w:val="none" w:sz="0" w:space="0" w:color="auto"/>
        <w:right w:val="none" w:sz="0" w:space="0" w:color="auto"/>
      </w:divBdr>
    </w:div>
    <w:div w:id="1966154724">
      <w:bodyDiv w:val="1"/>
      <w:marLeft w:val="0"/>
      <w:marRight w:val="0"/>
      <w:marTop w:val="0"/>
      <w:marBottom w:val="0"/>
      <w:divBdr>
        <w:top w:val="none" w:sz="0" w:space="0" w:color="auto"/>
        <w:left w:val="none" w:sz="0" w:space="0" w:color="auto"/>
        <w:bottom w:val="none" w:sz="0" w:space="0" w:color="auto"/>
        <w:right w:val="none" w:sz="0" w:space="0" w:color="auto"/>
      </w:divBdr>
    </w:div>
    <w:div w:id="1972976187">
      <w:bodyDiv w:val="1"/>
      <w:marLeft w:val="0"/>
      <w:marRight w:val="0"/>
      <w:marTop w:val="0"/>
      <w:marBottom w:val="0"/>
      <w:divBdr>
        <w:top w:val="none" w:sz="0" w:space="0" w:color="auto"/>
        <w:left w:val="none" w:sz="0" w:space="0" w:color="auto"/>
        <w:bottom w:val="none" w:sz="0" w:space="0" w:color="auto"/>
        <w:right w:val="none" w:sz="0" w:space="0" w:color="auto"/>
      </w:divBdr>
    </w:div>
    <w:div w:id="2003117234">
      <w:bodyDiv w:val="1"/>
      <w:marLeft w:val="0"/>
      <w:marRight w:val="0"/>
      <w:marTop w:val="0"/>
      <w:marBottom w:val="0"/>
      <w:divBdr>
        <w:top w:val="none" w:sz="0" w:space="0" w:color="auto"/>
        <w:left w:val="none" w:sz="0" w:space="0" w:color="auto"/>
        <w:bottom w:val="none" w:sz="0" w:space="0" w:color="auto"/>
        <w:right w:val="none" w:sz="0" w:space="0" w:color="auto"/>
      </w:divBdr>
    </w:div>
    <w:div w:id="2040006916">
      <w:bodyDiv w:val="1"/>
      <w:marLeft w:val="0"/>
      <w:marRight w:val="0"/>
      <w:marTop w:val="0"/>
      <w:marBottom w:val="0"/>
      <w:divBdr>
        <w:top w:val="none" w:sz="0" w:space="0" w:color="auto"/>
        <w:left w:val="none" w:sz="0" w:space="0" w:color="auto"/>
        <w:bottom w:val="none" w:sz="0" w:space="0" w:color="auto"/>
        <w:right w:val="none" w:sz="0" w:space="0" w:color="auto"/>
      </w:divBdr>
    </w:div>
    <w:div w:id="2060783998">
      <w:bodyDiv w:val="1"/>
      <w:marLeft w:val="0"/>
      <w:marRight w:val="0"/>
      <w:marTop w:val="0"/>
      <w:marBottom w:val="0"/>
      <w:divBdr>
        <w:top w:val="none" w:sz="0" w:space="0" w:color="auto"/>
        <w:left w:val="none" w:sz="0" w:space="0" w:color="auto"/>
        <w:bottom w:val="none" w:sz="0" w:space="0" w:color="auto"/>
        <w:right w:val="none" w:sz="0" w:space="0" w:color="auto"/>
      </w:divBdr>
    </w:div>
    <w:div w:id="2116628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tecf.jrc.ec.europa.eu/web/stecf/ewg2002" TargetMode="External"/><Relationship Id="rId13" Type="http://schemas.openxmlformats.org/officeDocument/2006/relationships/hyperlink" Target="https://onlinelibrary.wiley.com/doi/full/10.1111/gcb.16019" TargetMode="External"/><Relationship Id="rId18" Type="http://schemas.openxmlformats.org/officeDocument/2006/relationships/hyperlink" Target="https://doi.org/10.1038/s41597-022-01478-0" TargetMode="External"/><Relationship Id="rId3" Type="http://schemas.openxmlformats.org/officeDocument/2006/relationships/hyperlink" Target="https://op.europa.eu/webpub/eca/special-reports/marine-environment-26-2020/fr/" TargetMode="External"/><Relationship Id="rId21" Type="http://schemas.openxmlformats.org/officeDocument/2006/relationships/hyperlink" Target="https://oceans-and-fisheries.ec.europa.eu/news/joining-hands-eu-fight-marine-litter-2021-09-29_en" TargetMode="External"/><Relationship Id="rId7" Type="http://schemas.openxmlformats.org/officeDocument/2006/relationships/hyperlink" Target="https://doi.org/10.17895/ices.advice.21946634" TargetMode="External"/><Relationship Id="rId12" Type="http://schemas.openxmlformats.org/officeDocument/2006/relationships/hyperlink" Target="https://documents-dds-ny.un.org/doc/UNDOC/GEN/N22/389/07/PDF/N2238907.pdf?OpenElement" TargetMode="External"/><Relationship Id="rId17" Type="http://schemas.openxmlformats.org/officeDocument/2006/relationships/hyperlink" Target="https://www.pnas.org/doi/pdf/10.1073/pnas.1618858114" TargetMode="External"/><Relationship Id="rId25" Type="http://schemas.openxmlformats.org/officeDocument/2006/relationships/hyperlink" Target="https://ec.europa.eu/environment/nature/natura2000/marine/docs/Marine%20SWD%20288%20final.pdf" TargetMode="External"/><Relationship Id="rId2" Type="http://schemas.openxmlformats.org/officeDocument/2006/relationships/hyperlink" Target="https://doi.org/10.1038/s43247-022-00516-4" TargetMode="External"/><Relationship Id="rId16" Type="http://schemas.openxmlformats.org/officeDocument/2006/relationships/hyperlink" Target="https://www.pnas.org/doi/full/10.1073/pnas.1405454111" TargetMode="External"/><Relationship Id="rId20" Type="http://schemas.openxmlformats.org/officeDocument/2006/relationships/hyperlink" Target="https://www.researchgate.net/publication/360642059_Scientific_Technical_and_Economic_Committee_for_Fisheries_STECF_-_Support_of_the_Action_plan_to_conserve_fisheries_resources_and_protect_marine_ecosystems" TargetMode="External"/><Relationship Id="rId1" Type="http://schemas.openxmlformats.org/officeDocument/2006/relationships/hyperlink" Target="https://doi.org/10.5281/zenodo.6425599" TargetMode="External"/><Relationship Id="rId6" Type="http://schemas.openxmlformats.org/officeDocument/2006/relationships/hyperlink" Target="https://ec.europa.eu/environment/nature/natura2000/marine/docs/Marine%20SWD%20288%20final.pdf" TargetMode="External"/><Relationship Id="rId11" Type="http://schemas.openxmlformats.org/officeDocument/2006/relationships/hyperlink" Target="https://documents-dds-ny.un.org/doc/UNDOC/GEN/N22/389/07/PDF/N2238907.pdf?OpenElement" TargetMode="External"/><Relationship Id="rId24" Type="http://schemas.openxmlformats.org/officeDocument/2006/relationships/hyperlink" Target="https://www.eca.europa.eu/fr/Pages/DocItem.aspx?did=57066" TargetMode="External"/><Relationship Id="rId5" Type="http://schemas.openxmlformats.org/officeDocument/2006/relationships/hyperlink" Target="https://www.eionet.europa.eu/etcs/etc-icm/products/etc-icm-reports/etc-icm-report-3-2020-spatial-analysis-of-marine-protected-area-networks-in-europe2019s-seas-iii" TargetMode="External"/><Relationship Id="rId15" Type="http://schemas.openxmlformats.org/officeDocument/2006/relationships/hyperlink" Target="https://www.sciencedirect.com/science/article/pii/S2212041618300536" TargetMode="External"/><Relationship Id="rId23" Type="http://schemas.openxmlformats.org/officeDocument/2006/relationships/hyperlink" Target="https://eur-lex.europa.eu/legal-content/FR/TXT/?uri=COM:2021:316:FIN" TargetMode="External"/><Relationship Id="rId10" Type="http://schemas.openxmlformats.org/officeDocument/2006/relationships/hyperlink" Target="https://www.eea.europa.eu/data-and-maps/figures/bottom-trawl-fishing-intensity-in" TargetMode="External"/><Relationship Id="rId19" Type="http://schemas.openxmlformats.org/officeDocument/2006/relationships/hyperlink" Target="https://doi.org/10.5281/zenodo.6425599" TargetMode="External"/><Relationship Id="rId4" Type="http://schemas.openxmlformats.org/officeDocument/2006/relationships/hyperlink" Target="https://www.eea.europa.eu/themes/water/europes-seas-and-coasts/assessments/marine-protected-areas" TargetMode="External"/><Relationship Id="rId9" Type="http://schemas.openxmlformats.org/officeDocument/2006/relationships/hyperlink" Target="https://stecf.jrc.ec.europa.eu/ewg2107" TargetMode="External"/><Relationship Id="rId14" Type="http://schemas.openxmlformats.org/officeDocument/2006/relationships/hyperlink" Target="https://www.nature.com/articles/s41586-020-2146-7" TargetMode="External"/><Relationship Id="rId22" Type="http://schemas.openxmlformats.org/officeDocument/2006/relationships/hyperlink" Target="https://audiovisual.ec.europa.eu/fr/video/I-175441?&amp;lg=F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3.xml><?xml version="1.0" encoding="utf-8"?>
<Author Role="Creator" AuthorRoleName="Writer" AuthorRoleId="a4fbaff4-b07c-48b4-a21e-e7b9eedf3796">
  <Id>96915916-4637-4862-b372-12261ca8e16c</Id>
  <Names>
    <Latin>
      <FirstName>Maria</FirstName>
      <LastName>MOSET MARTINEZ</LastName>
    </Latin>
    <Greek>
      <FirstName/>
      <LastName/>
    </Greek>
    <Cyrillic>
      <FirstName/>
      <LastName/>
    </Cyrillic>
    <DocumentScript>
      <FirstName>Maria</FirstName>
      <LastName>MOSET MARTINEZ</LastName>
      <FullName>Maria MOSET MARTINEZ</FullName>
    </DocumentScript>
  </Names>
  <Initials>MMM</Initials>
  <Gender>f</Gender>
  <Email>Maria.MOSET-MARTINEZ@ec.europa.eu</Email>
  <Service>MARE.D.3</Service>
  <Function ADCode="" ShowInSignature="true" ShowInHeader="false" HeaderText=""/>
  <WebAddress/>
  <InheritedWebAddress>WebAddress</InheritedWebAddress>
  <OrgaEntity1>
    <Id>004739e2-ff9b-4233-bea9-b10c90dbfa39</Id>
    <LogicalLevel>1</LogicalLevel>
    <Name>MARE</Name>
    <HeadLine1>DIRECTORATE-GENERAL FOR MARITIME AFFAIRS AND FISHERIES
DIRECTORATE-GENERAL FOR ENVIRONMENT
</HeadLine1>
    <HeadLine2/>
    <PrimaryAddressId>f03b5801-04c9-4931-aa17-c6d6c70bc579</PrimaryAddressId>
    <SecondaryAddressId/>
    <WebAddress>WebAddress</WebAddress>
    <InheritedWebAddress>WebAddress</InheritedWebAddress>
    <ShowInHeader>true</ShowInHeader>
  </OrgaEntity1>
  <OrgaEntity2>
    <Id>c21148be-aa8f-42d4-a882-fa5c4cd626da</Id>
    <LogicalLevel>2</LogicalLevel>
    <Name>MARE.D</Name>
    <HeadLine1>Fisheries Policy Mediterranean and Black Sea</HeadLine1>
    <HeadLine2/>
    <PrimaryAddressId>f03b5801-04c9-4931-aa17-c6d6c70bc579</PrimaryAddressId>
    <SecondaryAddressId/>
    <WebAddress/>
    <InheritedWebAddress>WebAddress</InheritedWebAddress>
    <ShowInHeader>true</ShowInHeader>
  </OrgaEntity2>
  <OrgaEntity3>
    <Id>edcffab2-7def-4910-a418-485fe662ee32</Id>
    <LogicalLevel>3</LogicalLevel>
    <Name>MARE.D.3</Name>
    <HeadLine1>CFP and Structural Support, Policy Development and Coordination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+32 229-80613</Phone>
    <Office>J-99 01/029</Office>
  </MainWorkplace>
  <Workplaces>
    <Workplace IsMain="false">
      <AddressId>1264fb81-f6bb-475e-9f9d-a937d3be6ee2</AddressId>
      <Fax/>
      <Phone/>
      <Office/>
    </Workplace>
    <Workplace IsMain="true">
      <AddressId>f03b5801-04c9-4931-aa17-c6d6c70bc579</AddressId>
      <Fax/>
      <Phone>+32 229-80613</Phone>
      <Office>J-99 01/029</Office>
    </Workplace>
  </Workplaces>
</Author>
</file>

<file path=customXml/item4.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6" ma:contentTypeDescription="Create a new document." ma:contentTypeScope="" ma:versionID="0ce5d5e3d9e1c82c7606966abfa6cecb">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8c9edb61bd3310b313acc81a5ae1f6b5"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10.0.40183.0</Version>
    <Date>2019-11-22T15:31:55</Date>
    <Language>EN</Language>
    <Note/>
  </Created>
  <Edited>
    <Version>10.0.42447.0</Version>
    <Date>2021-06-16T12:03:25</Date>
  </Edited>
  <DocumentModel>
    <Id>6cbda13a-4db2-46c6-876a-ef72275827ef</Id>
    <Name>Report</Name>
  </DocumentModel>
  <DocumentDate>2019-11-22T15:31:55</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DD57D-9B1B-47F4-AE45-6AD188B3185F}">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BA44D14F-B794-4DD5-B9C2-3834AAC11339}">
  <ds:schemaRefs/>
</ds:datastoreItem>
</file>

<file path=customXml/itemProps4.xml><?xml version="1.0" encoding="utf-8"?>
<ds:datastoreItem xmlns:ds="http://schemas.openxmlformats.org/officeDocument/2006/customXml" ds:itemID="{0283B1DE-A6C5-4217-B4D9-876A44525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74829453-B078-4112-A7F3-27111D3F2598}">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109fe164-c690-497e-a27a-2f9db3c5ef70"/>
    <ds:schemaRef ds:uri="http://purl.org/dc/elements/1.1/"/>
    <ds:schemaRef ds:uri="http://schemas.microsoft.com/office/2006/metadata/properties"/>
    <ds:schemaRef ds:uri="e79f5ee3-6126-495d-84fb-deab44380441"/>
    <ds:schemaRef ds:uri="http://www.w3.org/XML/1998/namespace"/>
    <ds:schemaRef ds:uri="http://purl.org/dc/terms/"/>
  </ds:schemaRefs>
</ds:datastoreItem>
</file>

<file path=customXml/itemProps7.xml><?xml version="1.0" encoding="utf-8"?>
<ds:datastoreItem xmlns:ds="http://schemas.openxmlformats.org/officeDocument/2006/customXml" ds:itemID="{CF6273E7-7D48-41B3-AF70-FA335B2F5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24</Pages>
  <Words>10943</Words>
  <Characters>58988</Characters>
  <Application>Microsoft Office Word</Application>
  <DocSecurity>0</DocSecurity>
  <PresentationFormat>Microsoft Word 14.0</PresentationFormat>
  <Lines>951</Lines>
  <Paragraphs>205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2023-01-24T13:04:00Z</cp:lastPrinted>
  <dcterms:created xsi:type="dcterms:W3CDTF">2023-02-20T08:04:00Z</dcterms:created>
  <dcterms:modified xsi:type="dcterms:W3CDTF">2023-03-14T12:37:00Z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2022-06-16T06:04:46Z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8d694f1b-07c6-494e-9d47-5bf1423917d3</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8.1, Build 20230124</vt:lpwstr>
  </property>
  <property fmtid="{D5CDD505-2E9C-101B-9397-08002B2CF9AE}" pid="16" name="Created using">
    <vt:lpwstr>LW 8.1, Build 20220902</vt:lpwstr>
  </property>
</Properties>
</file>