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F6669" w14:textId="7B267FB5" w:rsidR="00FE3E5E" w:rsidRDefault="008B73D1" w:rsidP="002151DB">
      <w:pPr>
        <w:pStyle w:val="Pagedecouverture"/>
        <w:rPr>
          <w:noProof/>
        </w:rPr>
      </w:pPr>
      <w:bookmarkStart w:id="0" w:name="LW_BM_COVERPAGE"/>
      <w:r>
        <w:rPr>
          <w:noProof/>
        </w:rPr>
        <w:pict w14:anchorId="3E3EB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6AA3A8F-9BE6-4901-9790-080A02960C95" style="width:455.25pt;height:324pt">
            <v:imagedata r:id="rId8" o:title=""/>
          </v:shape>
        </w:pict>
      </w:r>
    </w:p>
    <w:bookmarkEnd w:id="0"/>
    <w:p w14:paraId="7D25073C" w14:textId="77777777" w:rsidR="00DC63DF" w:rsidRPr="00DC63DF" w:rsidRDefault="00DC63DF" w:rsidP="00DC63DF">
      <w:pPr>
        <w:pStyle w:val="Pagedecouverture"/>
        <w:rPr>
          <w:noProof/>
        </w:rPr>
        <w:sectPr w:rsidR="00DC63DF" w:rsidRPr="00DC63DF" w:rsidSect="002151D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F886AAB" w14:textId="2EFCF623" w:rsidR="00DD30E4" w:rsidRPr="00FF62BA" w:rsidRDefault="00DD30E4" w:rsidP="00C33A5B">
      <w:pPr>
        <w:pStyle w:val="Heading1"/>
        <w:numPr>
          <w:ilvl w:val="0"/>
          <w:numId w:val="1"/>
        </w:numPr>
        <w:jc w:val="both"/>
        <w:rPr>
          <w:rFonts w:eastAsiaTheme="minorHAnsi" w:cstheme="minorBidi"/>
          <w:b/>
          <w:noProof/>
          <w:color w:val="auto"/>
          <w:sz w:val="24"/>
          <w:szCs w:val="22"/>
        </w:rPr>
      </w:pPr>
      <w:r w:rsidRPr="00FF62BA">
        <w:rPr>
          <w:rFonts w:eastAsiaTheme="minorHAnsi" w:cstheme="minorBidi"/>
          <w:b/>
          <w:noProof/>
          <w:color w:val="auto"/>
          <w:sz w:val="24"/>
          <w:szCs w:val="22"/>
        </w:rPr>
        <w:lastRenderedPageBreak/>
        <w:t>INTRODUCTION</w:t>
      </w:r>
    </w:p>
    <w:p w14:paraId="7F70CF27" w14:textId="77777777" w:rsidR="00DD30E4" w:rsidRPr="00FA7614" w:rsidRDefault="00DD30E4" w:rsidP="00DD30E4">
      <w:pPr>
        <w:rPr>
          <w:noProof/>
        </w:rPr>
      </w:pPr>
    </w:p>
    <w:p w14:paraId="25C7F6E1" w14:textId="649F8236" w:rsidR="00DD30E4" w:rsidRDefault="00DD30E4" w:rsidP="00DD30E4">
      <w:pPr>
        <w:jc w:val="both"/>
        <w:rPr>
          <w:noProof/>
        </w:rPr>
      </w:pPr>
      <w:r w:rsidRPr="00FA7614">
        <w:rPr>
          <w:noProof/>
        </w:rPr>
        <w:t>Th</w:t>
      </w:r>
      <w:r w:rsidR="00F520B9">
        <w:rPr>
          <w:noProof/>
        </w:rPr>
        <w:t>is year the</w:t>
      </w:r>
      <w:r w:rsidRPr="00FA7614">
        <w:rPr>
          <w:noProof/>
        </w:rPr>
        <w:t xml:space="preserve"> Single Market </w:t>
      </w:r>
      <w:r w:rsidR="00F520B9">
        <w:rPr>
          <w:noProof/>
        </w:rPr>
        <w:t>celebrates it</w:t>
      </w:r>
      <w:r w:rsidR="007800D9">
        <w:rPr>
          <w:noProof/>
        </w:rPr>
        <w:t>s</w:t>
      </w:r>
      <w:r w:rsidR="00F520B9">
        <w:rPr>
          <w:noProof/>
        </w:rPr>
        <w:t xml:space="preserve"> 30</w:t>
      </w:r>
      <w:r w:rsidR="00F520B9" w:rsidRPr="00AD0DE1">
        <w:rPr>
          <w:noProof/>
          <w:vertAlign w:val="superscript"/>
        </w:rPr>
        <w:t>th</w:t>
      </w:r>
      <w:r w:rsidR="00F520B9">
        <w:rPr>
          <w:noProof/>
        </w:rPr>
        <w:t xml:space="preserve"> anniversary</w:t>
      </w:r>
      <w:r w:rsidRPr="00FA7614">
        <w:rPr>
          <w:noProof/>
        </w:rPr>
        <w:t xml:space="preserve">. </w:t>
      </w:r>
      <w:r w:rsidR="00E65DF7">
        <w:rPr>
          <w:noProof/>
        </w:rPr>
        <w:t xml:space="preserve">The Single Market is one of the greatest achievements of the EU. </w:t>
      </w:r>
      <w:r w:rsidRPr="00FA7614">
        <w:rPr>
          <w:noProof/>
        </w:rPr>
        <w:t>Since its creation</w:t>
      </w:r>
      <w:r>
        <w:rPr>
          <w:noProof/>
        </w:rPr>
        <w:t xml:space="preserve"> in 1993, citizens and businesses have benefitted from the </w:t>
      </w:r>
      <w:r w:rsidRPr="00843B3E">
        <w:rPr>
          <w:noProof/>
        </w:rPr>
        <w:t>free movement of people, services</w:t>
      </w:r>
      <w:r>
        <w:rPr>
          <w:noProof/>
        </w:rPr>
        <w:t>, goods</w:t>
      </w:r>
      <w:r w:rsidRPr="00843B3E">
        <w:rPr>
          <w:noProof/>
        </w:rPr>
        <w:t xml:space="preserve"> and capital</w:t>
      </w:r>
      <w:r>
        <w:rPr>
          <w:noProof/>
        </w:rPr>
        <w:t xml:space="preserve"> to an extent that exceeds even the most visionary expectations of three decades ago. </w:t>
      </w:r>
    </w:p>
    <w:p w14:paraId="0356E098" w14:textId="31B42A5D" w:rsidR="00DD30E4" w:rsidRDefault="2BC1431E" w:rsidP="00DD30E4">
      <w:pPr>
        <w:jc w:val="both"/>
        <w:rPr>
          <w:noProof/>
        </w:rPr>
      </w:pPr>
      <w:r>
        <w:rPr>
          <w:noProof/>
        </w:rPr>
        <w:t xml:space="preserve">Originally conceived as an area of free trade without tariff or non-tariff barriers among its members, the Single Market has developed into much more than that. </w:t>
      </w:r>
      <w:r w:rsidR="00B942A8">
        <w:rPr>
          <w:noProof/>
        </w:rPr>
        <w:t>I</w:t>
      </w:r>
      <w:r>
        <w:rPr>
          <w:noProof/>
        </w:rPr>
        <w:t>t has successfully become the world</w:t>
      </w:r>
      <w:r w:rsidR="00B942A8">
        <w:rPr>
          <w:noProof/>
        </w:rPr>
        <w:t>’</w:t>
      </w:r>
      <w:r>
        <w:rPr>
          <w:noProof/>
        </w:rPr>
        <w:t xml:space="preserve">s largest </w:t>
      </w:r>
      <w:r w:rsidR="0049362E">
        <w:rPr>
          <w:noProof/>
        </w:rPr>
        <w:t xml:space="preserve">integrated </w:t>
      </w:r>
      <w:r>
        <w:rPr>
          <w:noProof/>
        </w:rPr>
        <w:t>single market area</w:t>
      </w:r>
      <w:r w:rsidR="00C83097">
        <w:rPr>
          <w:rStyle w:val="FootnoteReference"/>
          <w:noProof/>
        </w:rPr>
        <w:footnoteReference w:id="2"/>
      </w:r>
      <w:r w:rsidR="00B942A8">
        <w:rPr>
          <w:noProof/>
        </w:rPr>
        <w:t>,</w:t>
      </w:r>
      <w:r>
        <w:rPr>
          <w:noProof/>
        </w:rPr>
        <w:t xml:space="preserve"> </w:t>
      </w:r>
      <w:r w:rsidR="0033476F" w:rsidRPr="0033476F">
        <w:rPr>
          <w:noProof/>
        </w:rPr>
        <w:t>while remaining one of the most outward</w:t>
      </w:r>
      <w:r w:rsidR="002C67F3">
        <w:rPr>
          <w:noProof/>
        </w:rPr>
        <w:t xml:space="preserve"> </w:t>
      </w:r>
      <w:r w:rsidR="0033476F" w:rsidRPr="0033476F">
        <w:rPr>
          <w:noProof/>
        </w:rPr>
        <w:t>oriented</w:t>
      </w:r>
      <w:r w:rsidR="0033476F">
        <w:rPr>
          <w:noProof/>
        </w:rPr>
        <w:t>. Yet the Single Market is much more</w:t>
      </w:r>
      <w:r w:rsidR="00667AC6">
        <w:rPr>
          <w:noProof/>
        </w:rPr>
        <w:t xml:space="preserve"> </w:t>
      </w:r>
      <w:r>
        <w:rPr>
          <w:noProof/>
        </w:rPr>
        <w:t xml:space="preserve">than a legal framework or indeed a market: it is an area of freedom, progress, opportunity, growth, </w:t>
      </w:r>
      <w:r w:rsidR="00BE0B6E">
        <w:rPr>
          <w:noProof/>
        </w:rPr>
        <w:t xml:space="preserve">shared prosperity, </w:t>
      </w:r>
      <w:r>
        <w:rPr>
          <w:noProof/>
        </w:rPr>
        <w:t xml:space="preserve">resilience and </w:t>
      </w:r>
      <w:r w:rsidR="002A1F37">
        <w:rPr>
          <w:noProof/>
        </w:rPr>
        <w:t xml:space="preserve">a means of </w:t>
      </w:r>
      <w:r w:rsidR="005B72D7">
        <w:rPr>
          <w:noProof/>
        </w:rPr>
        <w:t xml:space="preserve">geopolitical </w:t>
      </w:r>
      <w:r>
        <w:rPr>
          <w:noProof/>
        </w:rPr>
        <w:t>projection.</w:t>
      </w:r>
    </w:p>
    <w:p w14:paraId="36F2EC4E" w14:textId="41DC89A2" w:rsidR="00DD30E4" w:rsidRDefault="00DD30E4" w:rsidP="00DD30E4">
      <w:pPr>
        <w:jc w:val="both"/>
        <w:rPr>
          <w:noProof/>
        </w:rPr>
      </w:pPr>
      <w:r>
        <w:rPr>
          <w:noProof/>
        </w:rPr>
        <w:t xml:space="preserve">In addition to looking back at the many achievements that we </w:t>
      </w:r>
      <w:r w:rsidR="002A1F37">
        <w:rPr>
          <w:noProof/>
        </w:rPr>
        <w:t xml:space="preserve">have come </w:t>
      </w:r>
      <w:r>
        <w:rPr>
          <w:noProof/>
        </w:rPr>
        <w:t xml:space="preserve">to take for granted in our everyday lives, it is important to acknowledge that the Single Market is a </w:t>
      </w:r>
      <w:r w:rsidR="00EE3F95">
        <w:rPr>
          <w:noProof/>
        </w:rPr>
        <w:t xml:space="preserve">valuable </w:t>
      </w:r>
      <w:r w:rsidR="00C524BB">
        <w:rPr>
          <w:noProof/>
        </w:rPr>
        <w:t xml:space="preserve">living </w:t>
      </w:r>
      <w:r>
        <w:rPr>
          <w:noProof/>
        </w:rPr>
        <w:t>asset that we must co</w:t>
      </w:r>
      <w:r w:rsidRPr="0085330A">
        <w:rPr>
          <w:noProof/>
        </w:rPr>
        <w:t>ntinuously preserve</w:t>
      </w:r>
      <w:r w:rsidR="002B5FDB">
        <w:rPr>
          <w:noProof/>
        </w:rPr>
        <w:t xml:space="preserve"> and</w:t>
      </w:r>
      <w:r w:rsidRPr="0085330A">
        <w:rPr>
          <w:noProof/>
        </w:rPr>
        <w:t xml:space="preserve"> improve.</w:t>
      </w:r>
    </w:p>
    <w:p w14:paraId="46F26DE7" w14:textId="219B1FDD" w:rsidR="0004749C" w:rsidRDefault="00DD30E4" w:rsidP="00A814C4">
      <w:pPr>
        <w:jc w:val="both"/>
        <w:rPr>
          <w:noProof/>
        </w:rPr>
      </w:pPr>
      <w:r>
        <w:rPr>
          <w:noProof/>
        </w:rPr>
        <w:t xml:space="preserve">The Single Market must </w:t>
      </w:r>
      <w:r w:rsidR="00990FA3">
        <w:rPr>
          <w:noProof/>
        </w:rPr>
        <w:t>continue</w:t>
      </w:r>
      <w:r>
        <w:rPr>
          <w:noProof/>
        </w:rPr>
        <w:t xml:space="preserve"> to </w:t>
      </w:r>
      <w:r w:rsidRPr="003D0F5C">
        <w:rPr>
          <w:noProof/>
        </w:rPr>
        <w:t>adapt to new challenges</w:t>
      </w:r>
      <w:r w:rsidR="00B4292A">
        <w:rPr>
          <w:rStyle w:val="FootnoteReference"/>
          <w:noProof/>
        </w:rPr>
        <w:footnoteReference w:id="3"/>
      </w:r>
      <w:r w:rsidRPr="003D0F5C">
        <w:rPr>
          <w:noProof/>
        </w:rPr>
        <w:t xml:space="preserve">, </w:t>
      </w:r>
      <w:r>
        <w:rPr>
          <w:noProof/>
        </w:rPr>
        <w:t>as recognised</w:t>
      </w:r>
      <w:r w:rsidR="00701E0E">
        <w:rPr>
          <w:noProof/>
        </w:rPr>
        <w:t>, among others,</w:t>
      </w:r>
      <w:r>
        <w:rPr>
          <w:noProof/>
        </w:rPr>
        <w:t xml:space="preserve"> </w:t>
      </w:r>
      <w:r w:rsidR="00701E0E">
        <w:rPr>
          <w:noProof/>
        </w:rPr>
        <w:t xml:space="preserve">by </w:t>
      </w:r>
      <w:r>
        <w:rPr>
          <w:noProof/>
        </w:rPr>
        <w:t>the</w:t>
      </w:r>
      <w:r w:rsidRPr="008C1F62">
        <w:rPr>
          <w:noProof/>
        </w:rPr>
        <w:t xml:space="preserve"> </w:t>
      </w:r>
      <w:r>
        <w:rPr>
          <w:noProof/>
        </w:rPr>
        <w:t xml:space="preserve">European Parliament </w:t>
      </w:r>
      <w:r w:rsidR="00701E0E">
        <w:rPr>
          <w:noProof/>
        </w:rPr>
        <w:t xml:space="preserve">in its </w:t>
      </w:r>
      <w:r w:rsidRPr="008C1F62">
        <w:rPr>
          <w:noProof/>
        </w:rPr>
        <w:t>Resolution on the 30</w:t>
      </w:r>
      <w:r w:rsidRPr="008C1F62">
        <w:rPr>
          <w:noProof/>
          <w:vertAlign w:val="superscript"/>
        </w:rPr>
        <w:t>th</w:t>
      </w:r>
      <w:r w:rsidRPr="008C1F62">
        <w:rPr>
          <w:noProof/>
        </w:rPr>
        <w:t xml:space="preserve"> anniversary of the Single Market</w:t>
      </w:r>
      <w:r w:rsidRPr="008C1F62">
        <w:rPr>
          <w:rStyle w:val="FootnoteReference"/>
          <w:noProof/>
        </w:rPr>
        <w:footnoteReference w:id="4"/>
      </w:r>
      <w:r w:rsidR="002A1F37">
        <w:rPr>
          <w:noProof/>
        </w:rPr>
        <w:t>.</w:t>
      </w:r>
      <w:r>
        <w:rPr>
          <w:noProof/>
        </w:rPr>
        <w:t xml:space="preserve"> </w:t>
      </w:r>
      <w:r w:rsidR="002A1F37">
        <w:rPr>
          <w:noProof/>
        </w:rPr>
        <w:t>A</w:t>
      </w:r>
      <w:r>
        <w:rPr>
          <w:noProof/>
        </w:rPr>
        <w:t xml:space="preserve"> collective effort is required to continue</w:t>
      </w:r>
      <w:r w:rsidR="00BE1D72">
        <w:rPr>
          <w:noProof/>
        </w:rPr>
        <w:t xml:space="preserve"> maintaining it,</w:t>
      </w:r>
      <w:r>
        <w:rPr>
          <w:noProof/>
        </w:rPr>
        <w:t xml:space="preserve"> deepening it, harnessing its full potential, preserving a level playing field both internally and globally, and ensuring it </w:t>
      </w:r>
      <w:r w:rsidR="002A1F37">
        <w:rPr>
          <w:noProof/>
        </w:rPr>
        <w:t>underpins</w:t>
      </w:r>
      <w:r>
        <w:rPr>
          <w:noProof/>
        </w:rPr>
        <w:t xml:space="preserve"> the EU’s </w:t>
      </w:r>
      <w:r w:rsidR="002A1F37">
        <w:rPr>
          <w:noProof/>
        </w:rPr>
        <w:t>prosperity through</w:t>
      </w:r>
      <w:r>
        <w:rPr>
          <w:noProof/>
        </w:rPr>
        <w:t xml:space="preserve"> long-term competitiveness and productivity, as requested by the European Council</w:t>
      </w:r>
      <w:r>
        <w:rPr>
          <w:rStyle w:val="FootnoteReference"/>
          <w:noProof/>
        </w:rPr>
        <w:footnoteReference w:id="5"/>
      </w:r>
      <w:r>
        <w:rPr>
          <w:noProof/>
        </w:rPr>
        <w:t xml:space="preserve">. </w:t>
      </w:r>
      <w:r w:rsidR="002F3B6F">
        <w:rPr>
          <w:noProof/>
        </w:rPr>
        <w:t>The</w:t>
      </w:r>
      <w:r w:rsidR="00E80720" w:rsidRPr="00E80720">
        <w:rPr>
          <w:noProof/>
        </w:rPr>
        <w:t xml:space="preserve"> Single Market </w:t>
      </w:r>
      <w:r w:rsidR="002F3B6F">
        <w:rPr>
          <w:noProof/>
        </w:rPr>
        <w:t>i</w:t>
      </w:r>
      <w:r w:rsidR="00E80720" w:rsidRPr="00E80720">
        <w:rPr>
          <w:noProof/>
        </w:rPr>
        <w:t xml:space="preserve">s a common space which attracts investments within </w:t>
      </w:r>
      <w:r w:rsidR="00667AC6">
        <w:rPr>
          <w:noProof/>
        </w:rPr>
        <w:t xml:space="preserve">the EU </w:t>
      </w:r>
      <w:r w:rsidR="00E80720" w:rsidRPr="00E80720">
        <w:rPr>
          <w:noProof/>
        </w:rPr>
        <w:t xml:space="preserve">and from outside the EU </w:t>
      </w:r>
      <w:r w:rsidR="002F3B6F">
        <w:rPr>
          <w:noProof/>
        </w:rPr>
        <w:t>by</w:t>
      </w:r>
      <w:r w:rsidR="00E80720" w:rsidRPr="00E80720">
        <w:rPr>
          <w:noProof/>
        </w:rPr>
        <w:t xml:space="preserve"> </w:t>
      </w:r>
      <w:r w:rsidR="001C3F39">
        <w:rPr>
          <w:noProof/>
        </w:rPr>
        <w:t>having</w:t>
      </w:r>
      <w:r w:rsidR="001C3F39" w:rsidRPr="00E80720">
        <w:rPr>
          <w:noProof/>
        </w:rPr>
        <w:t xml:space="preserve"> </w:t>
      </w:r>
      <w:r w:rsidR="00E80720" w:rsidRPr="00E80720">
        <w:rPr>
          <w:noProof/>
        </w:rPr>
        <w:t>a predictable and simple regulatory framework.</w:t>
      </w:r>
    </w:p>
    <w:p w14:paraId="206031F2" w14:textId="58DD287E" w:rsidR="00DD30E4" w:rsidRDefault="000909B5" w:rsidP="00DD30E4">
      <w:pPr>
        <w:jc w:val="both"/>
        <w:rPr>
          <w:noProof/>
        </w:rPr>
      </w:pPr>
      <w:r>
        <w:rPr>
          <w:noProof/>
        </w:rPr>
        <w:t xml:space="preserve">Joint efforts </w:t>
      </w:r>
      <w:r w:rsidR="00EA3463">
        <w:rPr>
          <w:noProof/>
        </w:rPr>
        <w:t>are required</w:t>
      </w:r>
      <w:r>
        <w:rPr>
          <w:noProof/>
        </w:rPr>
        <w:t xml:space="preserve"> to e</w:t>
      </w:r>
      <w:r w:rsidR="00A814C4">
        <w:rPr>
          <w:noProof/>
        </w:rPr>
        <w:t>nforc</w:t>
      </w:r>
      <w:r>
        <w:rPr>
          <w:noProof/>
        </w:rPr>
        <w:t>e</w:t>
      </w:r>
      <w:r w:rsidR="00A814C4">
        <w:rPr>
          <w:noProof/>
        </w:rPr>
        <w:t xml:space="preserve"> existing rules</w:t>
      </w:r>
      <w:r>
        <w:rPr>
          <w:noProof/>
        </w:rPr>
        <w:t>, remov</w:t>
      </w:r>
      <w:r w:rsidR="00FB40C3">
        <w:rPr>
          <w:noProof/>
        </w:rPr>
        <w:t>e</w:t>
      </w:r>
      <w:r>
        <w:rPr>
          <w:noProof/>
        </w:rPr>
        <w:t xml:space="preserve"> barriers and explore areas for further integration of the Single Market. </w:t>
      </w:r>
      <w:r w:rsidR="00D80AB3">
        <w:rPr>
          <w:noProof/>
        </w:rPr>
        <w:t>The potential benefits are very significant: i</w:t>
      </w:r>
      <w:r w:rsidRPr="000909B5">
        <w:rPr>
          <w:noProof/>
        </w:rPr>
        <w:t>t has been estimated that removing Member</w:t>
      </w:r>
      <w:r w:rsidR="008E04CB">
        <w:rPr>
          <w:noProof/>
        </w:rPr>
        <w:t xml:space="preserve"> </w:t>
      </w:r>
      <w:r w:rsidRPr="000909B5">
        <w:rPr>
          <w:noProof/>
        </w:rPr>
        <w:t xml:space="preserve">State-level barriers to the Single Market for goods and services alone could </w:t>
      </w:r>
      <w:r w:rsidR="00006ADA">
        <w:rPr>
          <w:noProof/>
        </w:rPr>
        <w:t>add</w:t>
      </w:r>
      <w:r w:rsidRPr="000909B5">
        <w:rPr>
          <w:noProof/>
        </w:rPr>
        <w:t xml:space="preserve"> EUR 713 billion </w:t>
      </w:r>
      <w:r w:rsidR="00006ADA">
        <w:rPr>
          <w:noProof/>
        </w:rPr>
        <w:t xml:space="preserve">to the economy </w:t>
      </w:r>
      <w:r w:rsidRPr="000909B5">
        <w:rPr>
          <w:noProof/>
        </w:rPr>
        <w:t>by the end of 2029</w:t>
      </w:r>
      <w:r w:rsidR="000B2440">
        <w:rPr>
          <w:rStyle w:val="FootnoteReference"/>
          <w:noProof/>
        </w:rPr>
        <w:footnoteReference w:id="6"/>
      </w:r>
      <w:r w:rsidRPr="000909B5">
        <w:rPr>
          <w:noProof/>
        </w:rPr>
        <w:t>.</w:t>
      </w:r>
    </w:p>
    <w:p w14:paraId="37674A95" w14:textId="318234EE" w:rsidR="00613067" w:rsidRDefault="00613067" w:rsidP="00DD30E4">
      <w:pPr>
        <w:jc w:val="both"/>
        <w:rPr>
          <w:noProof/>
        </w:rPr>
      </w:pPr>
    </w:p>
    <w:p w14:paraId="6B354C59" w14:textId="48D6E2C6" w:rsidR="00613067" w:rsidRDefault="00613067" w:rsidP="00DD30E4">
      <w:pPr>
        <w:jc w:val="both"/>
        <w:rPr>
          <w:noProof/>
        </w:rPr>
      </w:pPr>
    </w:p>
    <w:p w14:paraId="76C69460" w14:textId="4DEF6BEA" w:rsidR="00613067" w:rsidRDefault="00613067" w:rsidP="00DD30E4">
      <w:pPr>
        <w:jc w:val="both"/>
        <w:rPr>
          <w:noProof/>
        </w:rPr>
      </w:pPr>
    </w:p>
    <w:p w14:paraId="750BCFC3" w14:textId="77777777" w:rsidR="00613067" w:rsidRDefault="00613067" w:rsidP="00DD30E4">
      <w:pPr>
        <w:jc w:val="both"/>
        <w:rPr>
          <w:noProof/>
        </w:rPr>
      </w:pPr>
    </w:p>
    <w:p w14:paraId="3E4FE7D1" w14:textId="67B061E7" w:rsidR="00CE0812" w:rsidRDefault="00CE0812" w:rsidP="00DD30E4">
      <w:pPr>
        <w:jc w:val="both"/>
        <w:rPr>
          <w:noProof/>
        </w:rPr>
      </w:pPr>
    </w:p>
    <w:p w14:paraId="61109FF8" w14:textId="0534AB4D" w:rsidR="00CE0812" w:rsidRDefault="00CE0812" w:rsidP="00DD30E4">
      <w:pPr>
        <w:jc w:val="both"/>
        <w:rPr>
          <w:noProof/>
        </w:rPr>
      </w:pPr>
    </w:p>
    <w:p w14:paraId="438A30BA" w14:textId="77777777" w:rsidR="00DD30E4" w:rsidRPr="00FF62BA" w:rsidRDefault="00DD30E4" w:rsidP="00C33A5B">
      <w:pPr>
        <w:pStyle w:val="Heading1"/>
        <w:numPr>
          <w:ilvl w:val="0"/>
          <w:numId w:val="1"/>
        </w:numPr>
        <w:jc w:val="both"/>
        <w:rPr>
          <w:rFonts w:eastAsiaTheme="minorHAnsi" w:cstheme="minorBidi"/>
          <w:b/>
          <w:noProof/>
          <w:color w:val="auto"/>
          <w:sz w:val="24"/>
          <w:szCs w:val="22"/>
        </w:rPr>
      </w:pPr>
      <w:r w:rsidRPr="00FF62BA">
        <w:rPr>
          <w:rFonts w:eastAsiaTheme="minorHAnsi" w:cstheme="minorBidi"/>
          <w:b/>
          <w:noProof/>
          <w:color w:val="auto"/>
          <w:sz w:val="24"/>
          <w:szCs w:val="22"/>
        </w:rPr>
        <w:lastRenderedPageBreak/>
        <w:t>THE SINGLE MARKET AT THE HEART OF THE EUROPEAN PROJECT FOR 30 YEARS</w:t>
      </w:r>
    </w:p>
    <w:p w14:paraId="277C2BBC" w14:textId="77777777" w:rsidR="00DD30E4" w:rsidRPr="004D1591" w:rsidRDefault="00DD30E4" w:rsidP="00DD30E4">
      <w:pPr>
        <w:jc w:val="both"/>
        <w:rPr>
          <w:b/>
          <w:bCs/>
          <w:noProof/>
          <w:highlight w:val="yellow"/>
        </w:rPr>
      </w:pPr>
    </w:p>
    <w:p w14:paraId="61A68ECE" w14:textId="7907DC5E" w:rsidR="00DD30E4" w:rsidRPr="00CF2517" w:rsidRDefault="00DD30E4" w:rsidP="00C33A5B">
      <w:pPr>
        <w:pStyle w:val="ListParagraph"/>
        <w:numPr>
          <w:ilvl w:val="1"/>
          <w:numId w:val="1"/>
        </w:numPr>
        <w:jc w:val="both"/>
        <w:rPr>
          <w:b/>
          <w:bCs/>
          <w:noProof/>
        </w:rPr>
      </w:pPr>
      <w:r w:rsidRPr="00733A21">
        <w:rPr>
          <w:b/>
          <w:bCs/>
          <w:noProof/>
        </w:rPr>
        <w:t xml:space="preserve"> Improving lives</w:t>
      </w:r>
      <w:r w:rsidR="00016058">
        <w:rPr>
          <w:b/>
          <w:bCs/>
          <w:noProof/>
        </w:rPr>
        <w:t xml:space="preserve"> of citizens and businesses</w:t>
      </w:r>
      <w:r>
        <w:rPr>
          <w:b/>
          <w:bCs/>
          <w:noProof/>
        </w:rPr>
        <w:t xml:space="preserve">, </w:t>
      </w:r>
      <w:bookmarkStart w:id="3" w:name="_Hlk128424781"/>
      <w:r w:rsidR="00C524BB">
        <w:rPr>
          <w:b/>
          <w:bCs/>
          <w:noProof/>
        </w:rPr>
        <w:t>accompanying the green and digital transitions</w:t>
      </w:r>
      <w:bookmarkEnd w:id="3"/>
    </w:p>
    <w:p w14:paraId="30A8C827" w14:textId="55886036" w:rsidR="00A272A0" w:rsidRDefault="00DD30E4" w:rsidP="00DD30E4">
      <w:pPr>
        <w:jc w:val="both"/>
        <w:rPr>
          <w:noProof/>
        </w:rPr>
      </w:pPr>
      <w:r w:rsidRPr="008C1F62">
        <w:rPr>
          <w:noProof/>
        </w:rPr>
        <w:t>The free movement of people, goods, services and capital give</w:t>
      </w:r>
      <w:r>
        <w:rPr>
          <w:noProof/>
        </w:rPr>
        <w:t>s</w:t>
      </w:r>
      <w:r w:rsidRPr="008C1F62">
        <w:rPr>
          <w:noProof/>
        </w:rPr>
        <w:t xml:space="preserve"> European</w:t>
      </w:r>
      <w:r>
        <w:rPr>
          <w:noProof/>
        </w:rPr>
        <w:t>s</w:t>
      </w:r>
      <w:r w:rsidRPr="008C1F62">
        <w:rPr>
          <w:noProof/>
        </w:rPr>
        <w:t xml:space="preserve"> access to the widest possible choice of </w:t>
      </w:r>
      <w:r w:rsidR="002A1F37">
        <w:rPr>
          <w:noProof/>
        </w:rPr>
        <w:t>products</w:t>
      </w:r>
      <w:r w:rsidRPr="008C1F62">
        <w:rPr>
          <w:noProof/>
        </w:rPr>
        <w:t>, services</w:t>
      </w:r>
      <w:r w:rsidR="00942F5A">
        <w:rPr>
          <w:noProof/>
        </w:rPr>
        <w:t xml:space="preserve">, </w:t>
      </w:r>
      <w:r w:rsidR="00C5438E">
        <w:rPr>
          <w:noProof/>
        </w:rPr>
        <w:t>experiences,</w:t>
      </w:r>
      <w:r w:rsidRPr="008C1F62">
        <w:rPr>
          <w:noProof/>
        </w:rPr>
        <w:t xml:space="preserve"> ideas, cultures and languages. </w:t>
      </w:r>
      <w:r w:rsidR="00A57C2E">
        <w:rPr>
          <w:noProof/>
        </w:rPr>
        <w:t xml:space="preserve">Everyday </w:t>
      </w:r>
      <w:r w:rsidR="002938A7">
        <w:rPr>
          <w:noProof/>
        </w:rPr>
        <w:t>this benefits</w:t>
      </w:r>
      <w:r w:rsidR="00A57C2E" w:rsidRPr="00A57C2E">
        <w:rPr>
          <w:noProof/>
        </w:rPr>
        <w:t xml:space="preserve"> more than 440 million citizens across the continent</w:t>
      </w:r>
      <w:r w:rsidR="002938A7">
        <w:rPr>
          <w:noProof/>
        </w:rPr>
        <w:t>.</w:t>
      </w:r>
      <w:r w:rsidR="00A272A0">
        <w:rPr>
          <w:noProof/>
        </w:rPr>
        <w:t xml:space="preserve"> </w:t>
      </w:r>
      <w:r w:rsidR="00A272A0" w:rsidRPr="0066490E">
        <w:rPr>
          <w:iCs/>
          <w:noProof/>
        </w:rPr>
        <w:t xml:space="preserve">The </w:t>
      </w:r>
      <w:r w:rsidR="00F75AC2">
        <w:rPr>
          <w:iCs/>
          <w:noProof/>
        </w:rPr>
        <w:t>S</w:t>
      </w:r>
      <w:r w:rsidR="00A272A0" w:rsidRPr="0066490E">
        <w:rPr>
          <w:iCs/>
          <w:noProof/>
        </w:rPr>
        <w:t xml:space="preserve">ingle </w:t>
      </w:r>
      <w:r w:rsidR="00F75AC2">
        <w:rPr>
          <w:iCs/>
          <w:noProof/>
        </w:rPr>
        <w:t>M</w:t>
      </w:r>
      <w:r w:rsidR="00A272A0" w:rsidRPr="0066490E">
        <w:rPr>
          <w:iCs/>
          <w:noProof/>
        </w:rPr>
        <w:t>arket</w:t>
      </w:r>
      <w:r w:rsidR="00A272A0" w:rsidRPr="0066490E">
        <w:rPr>
          <w:b/>
          <w:bCs/>
          <w:iCs/>
          <w:noProof/>
        </w:rPr>
        <w:t xml:space="preserve"> </w:t>
      </w:r>
      <w:r w:rsidR="00A272A0" w:rsidRPr="0066490E">
        <w:rPr>
          <w:iCs/>
          <w:noProof/>
        </w:rPr>
        <w:t>is</w:t>
      </w:r>
      <w:r w:rsidR="001C3F39">
        <w:rPr>
          <w:iCs/>
          <w:noProof/>
        </w:rPr>
        <w:t>,</w:t>
      </w:r>
      <w:r w:rsidR="00A272A0" w:rsidRPr="0066490E">
        <w:rPr>
          <w:iCs/>
          <w:noProof/>
        </w:rPr>
        <w:t xml:space="preserve"> above all</w:t>
      </w:r>
      <w:r w:rsidR="00A272A0">
        <w:rPr>
          <w:iCs/>
          <w:noProof/>
        </w:rPr>
        <w:t>,</w:t>
      </w:r>
      <w:r w:rsidR="00A272A0" w:rsidRPr="0066490E">
        <w:rPr>
          <w:iCs/>
          <w:noProof/>
        </w:rPr>
        <w:t xml:space="preserve"> a </w:t>
      </w:r>
      <w:r w:rsidR="00A272A0" w:rsidRPr="00A272A0">
        <w:rPr>
          <w:iCs/>
          <w:noProof/>
        </w:rPr>
        <w:t>means to</w:t>
      </w:r>
      <w:r w:rsidR="00A272A0" w:rsidRPr="0066490E">
        <w:rPr>
          <w:iCs/>
          <w:noProof/>
        </w:rPr>
        <w:t xml:space="preserve"> enhance people’s well-being. </w:t>
      </w:r>
    </w:p>
    <w:p w14:paraId="0FBCC8F1" w14:textId="5B086EB6" w:rsidR="00DD30E4" w:rsidRDefault="00DD30E4" w:rsidP="00DD30E4">
      <w:pPr>
        <w:jc w:val="both"/>
        <w:rPr>
          <w:noProof/>
        </w:rPr>
      </w:pPr>
      <w:bookmarkStart w:id="4" w:name="_Hlk127781594"/>
      <w:r w:rsidRPr="008C1F62">
        <w:rPr>
          <w:noProof/>
        </w:rPr>
        <w:t xml:space="preserve">The abolition of </w:t>
      </w:r>
      <w:r w:rsidRPr="004D1591">
        <w:rPr>
          <w:b/>
          <w:bCs/>
          <w:noProof/>
        </w:rPr>
        <w:t>roaming</w:t>
      </w:r>
      <w:r w:rsidRPr="008C1F62">
        <w:rPr>
          <w:noProof/>
        </w:rPr>
        <w:t xml:space="preserve"> surcharges lets us stay in touch with family and friends when we travel around Europe</w:t>
      </w:r>
      <w:r>
        <w:rPr>
          <w:noProof/>
        </w:rPr>
        <w:t>.</w:t>
      </w:r>
      <w:r w:rsidRPr="008C1F62">
        <w:rPr>
          <w:noProof/>
        </w:rPr>
        <w:t xml:space="preserve"> </w:t>
      </w:r>
      <w:r w:rsidRPr="006A6D1A">
        <w:rPr>
          <w:b/>
          <w:bCs/>
          <w:noProof/>
        </w:rPr>
        <w:t>C</w:t>
      </w:r>
      <w:r w:rsidRPr="004D1591">
        <w:rPr>
          <w:b/>
          <w:bCs/>
          <w:noProof/>
        </w:rPr>
        <w:t>onsumer products</w:t>
      </w:r>
      <w:r>
        <w:rPr>
          <w:b/>
          <w:bCs/>
          <w:noProof/>
        </w:rPr>
        <w:t xml:space="preserve"> </w:t>
      </w:r>
      <w:r w:rsidR="00C652A8">
        <w:rPr>
          <w:b/>
          <w:bCs/>
          <w:noProof/>
        </w:rPr>
        <w:t xml:space="preserve">and food </w:t>
      </w:r>
      <w:r>
        <w:rPr>
          <w:noProof/>
        </w:rPr>
        <w:t xml:space="preserve">circulating in the Single Market, whether bought online or offline, have become safer, and </w:t>
      </w:r>
      <w:r w:rsidRPr="002D57C8">
        <w:rPr>
          <w:noProof/>
        </w:rPr>
        <w:t>dangerous products are recalled from the market</w:t>
      </w:r>
      <w:r w:rsidRPr="00761B15">
        <w:rPr>
          <w:noProof/>
        </w:rPr>
        <w:t>.</w:t>
      </w:r>
      <w:r w:rsidR="00C652A8">
        <w:rPr>
          <w:b/>
          <w:bCs/>
          <w:noProof/>
        </w:rPr>
        <w:t xml:space="preserve"> </w:t>
      </w:r>
      <w:r w:rsidRPr="002D57C8">
        <w:rPr>
          <w:noProof/>
        </w:rPr>
        <w:t>T</w:t>
      </w:r>
      <w:r>
        <w:rPr>
          <w:noProof/>
        </w:rPr>
        <w:t xml:space="preserve">he </w:t>
      </w:r>
      <w:r w:rsidRPr="004D1591">
        <w:rPr>
          <w:b/>
          <w:bCs/>
          <w:noProof/>
        </w:rPr>
        <w:t>common charger</w:t>
      </w:r>
      <w:r w:rsidRPr="008C1F62">
        <w:rPr>
          <w:noProof/>
        </w:rPr>
        <w:t xml:space="preserve"> for electronic devices</w:t>
      </w:r>
      <w:r w:rsidRPr="002D57C8">
        <w:rPr>
          <w:noProof/>
        </w:rPr>
        <w:t xml:space="preserve"> </w:t>
      </w:r>
      <w:r w:rsidR="00C524BB">
        <w:rPr>
          <w:noProof/>
        </w:rPr>
        <w:t>will reduce</w:t>
      </w:r>
      <w:r>
        <w:rPr>
          <w:noProof/>
        </w:rPr>
        <w:t xml:space="preserve"> </w:t>
      </w:r>
      <w:r w:rsidRPr="004D1591">
        <w:rPr>
          <w:noProof/>
        </w:rPr>
        <w:t>e-waste and consumer inconvenience</w:t>
      </w:r>
      <w:r>
        <w:rPr>
          <w:noProof/>
        </w:rPr>
        <w:t xml:space="preserve"> and bring savings of EUR 250 million to consumers each year. </w:t>
      </w:r>
      <w:r w:rsidR="00DB0CBB" w:rsidRPr="00C009E1">
        <w:rPr>
          <w:noProof/>
        </w:rPr>
        <w:t xml:space="preserve">The Single European Transport Area </w:t>
      </w:r>
      <w:r w:rsidR="00DB0CBB">
        <w:rPr>
          <w:noProof/>
        </w:rPr>
        <w:t>allows</w:t>
      </w:r>
      <w:r w:rsidR="009C4C9A">
        <w:rPr>
          <w:noProof/>
        </w:rPr>
        <w:t xml:space="preserve"> </w:t>
      </w:r>
      <w:r w:rsidR="00DB0CBB" w:rsidRPr="00C009E1">
        <w:rPr>
          <w:noProof/>
        </w:rPr>
        <w:t>travel and goods to be transported affordably within the EU</w:t>
      </w:r>
      <w:r w:rsidR="00DB0CBB">
        <w:rPr>
          <w:noProof/>
        </w:rPr>
        <w:t xml:space="preserve">. </w:t>
      </w:r>
      <w:r>
        <w:rPr>
          <w:noProof/>
        </w:rPr>
        <w:t>S</w:t>
      </w:r>
      <w:r w:rsidRPr="008C1F62">
        <w:rPr>
          <w:noProof/>
        </w:rPr>
        <w:t xml:space="preserve">trong </w:t>
      </w:r>
      <w:r w:rsidRPr="004D1591">
        <w:rPr>
          <w:b/>
          <w:bCs/>
          <w:noProof/>
        </w:rPr>
        <w:t>passenger rights</w:t>
      </w:r>
      <w:r w:rsidRPr="008C1F62">
        <w:rPr>
          <w:noProof/>
        </w:rPr>
        <w:t xml:space="preserve"> mean we are compensated when our travel plans are disrupted. </w:t>
      </w:r>
      <w:r w:rsidR="007F6785" w:rsidRPr="007F6785">
        <w:rPr>
          <w:noProof/>
        </w:rPr>
        <w:t>Businesses and citizens can make payments across borders just as easily as they do domestically.</w:t>
      </w:r>
      <w:r w:rsidRPr="002D57C8">
        <w:rPr>
          <w:noProof/>
        </w:rPr>
        <w:t xml:space="preserve"> </w:t>
      </w:r>
      <w:r>
        <w:rPr>
          <w:noProof/>
        </w:rPr>
        <w:t xml:space="preserve">Consumers applying for </w:t>
      </w:r>
      <w:r w:rsidRPr="002D57C8">
        <w:rPr>
          <w:b/>
          <w:bCs/>
          <w:noProof/>
        </w:rPr>
        <w:t xml:space="preserve">credit </w:t>
      </w:r>
      <w:r>
        <w:rPr>
          <w:noProof/>
        </w:rPr>
        <w:t>can count on improved protection.</w:t>
      </w:r>
    </w:p>
    <w:bookmarkEnd w:id="4"/>
    <w:p w14:paraId="587570DC" w14:textId="48114432" w:rsidR="00DD30E4" w:rsidRPr="008C1F62" w:rsidRDefault="00DD30E4" w:rsidP="00DD30E4">
      <w:pPr>
        <w:jc w:val="both"/>
        <w:rPr>
          <w:noProof/>
        </w:rPr>
      </w:pPr>
      <w:r>
        <w:rPr>
          <w:noProof/>
        </w:rPr>
        <w:t>The</w:t>
      </w:r>
      <w:r w:rsidRPr="008C1F62">
        <w:rPr>
          <w:noProof/>
        </w:rPr>
        <w:t xml:space="preserve"> Single Market </w:t>
      </w:r>
      <w:r>
        <w:rPr>
          <w:noProof/>
        </w:rPr>
        <w:t>also makes it easier to</w:t>
      </w:r>
      <w:r w:rsidRPr="008C1F62">
        <w:rPr>
          <w:noProof/>
        </w:rPr>
        <w:t xml:space="preserve"> live, </w:t>
      </w:r>
      <w:r w:rsidR="00EF1AEB">
        <w:rPr>
          <w:noProof/>
        </w:rPr>
        <w:t>study</w:t>
      </w:r>
      <w:r>
        <w:rPr>
          <w:noProof/>
        </w:rPr>
        <w:t>,</w:t>
      </w:r>
      <w:r w:rsidRPr="008C1F62">
        <w:rPr>
          <w:noProof/>
        </w:rPr>
        <w:t xml:space="preserve"> work</w:t>
      </w:r>
      <w:r>
        <w:rPr>
          <w:noProof/>
        </w:rPr>
        <w:t xml:space="preserve"> and retire in another Member State</w:t>
      </w:r>
      <w:r w:rsidRPr="008C1F62">
        <w:rPr>
          <w:noProof/>
        </w:rPr>
        <w:t xml:space="preserve">. The </w:t>
      </w:r>
      <w:r w:rsidRPr="002D57C8">
        <w:rPr>
          <w:b/>
          <w:bCs/>
          <w:noProof/>
        </w:rPr>
        <w:t xml:space="preserve">Erasmus </w:t>
      </w:r>
      <w:r w:rsidRPr="008C1F62">
        <w:rPr>
          <w:noProof/>
        </w:rPr>
        <w:t>programme has enabled nearly 13 million young people to study and work abroad.</w:t>
      </w:r>
      <w:r>
        <w:rPr>
          <w:noProof/>
        </w:rPr>
        <w:t xml:space="preserve"> </w:t>
      </w:r>
      <w:r w:rsidRPr="008C1F62">
        <w:rPr>
          <w:noProof/>
        </w:rPr>
        <w:t xml:space="preserve">The Single Market has expanded the horizons and opportunities of European professionals </w:t>
      </w:r>
      <w:r>
        <w:rPr>
          <w:noProof/>
        </w:rPr>
        <w:t xml:space="preserve">who have their </w:t>
      </w:r>
      <w:r>
        <w:rPr>
          <w:b/>
          <w:bCs/>
          <w:noProof/>
        </w:rPr>
        <w:t xml:space="preserve">professional qualifications </w:t>
      </w:r>
      <w:r>
        <w:rPr>
          <w:noProof/>
        </w:rPr>
        <w:t>recognised more easily</w:t>
      </w:r>
      <w:r w:rsidRPr="008C1F62">
        <w:rPr>
          <w:noProof/>
        </w:rPr>
        <w:t>.</w:t>
      </w:r>
      <w:r>
        <w:rPr>
          <w:noProof/>
        </w:rPr>
        <w:t xml:space="preserve"> </w:t>
      </w:r>
      <w:r w:rsidRPr="008C1F62">
        <w:rPr>
          <w:noProof/>
        </w:rPr>
        <w:t xml:space="preserve">Thanks to the coordination of </w:t>
      </w:r>
      <w:r w:rsidRPr="002D57C8">
        <w:rPr>
          <w:b/>
          <w:bCs/>
          <w:noProof/>
        </w:rPr>
        <w:t>social security</w:t>
      </w:r>
      <w:r w:rsidRPr="008C1F62">
        <w:rPr>
          <w:noProof/>
        </w:rPr>
        <w:t xml:space="preserve"> rules, millions of Europeans can continue to enjoy their rights to pensions and healthcare when they live abroad, and rules on health and safety at work ensure fair competition and high standards for all, wherever they work.</w:t>
      </w:r>
      <w:r w:rsidRPr="008C1F62">
        <w:rPr>
          <w:rStyle w:val="FootnoteReference"/>
          <w:noProof/>
        </w:rPr>
        <w:footnoteReference w:id="7"/>
      </w:r>
    </w:p>
    <w:p w14:paraId="1CB88595" w14:textId="6BDFE5D6" w:rsidR="00C524BB" w:rsidRPr="003D0F5C" w:rsidRDefault="00C524BB" w:rsidP="00DE369E">
      <w:pPr>
        <w:jc w:val="both"/>
        <w:rPr>
          <w:rFonts w:eastAsia="Times New Roman" w:cs="Times New Roman"/>
          <w:noProof/>
        </w:rPr>
      </w:pPr>
      <w:r>
        <w:rPr>
          <w:noProof/>
        </w:rPr>
        <w:t xml:space="preserve">The Single </w:t>
      </w:r>
      <w:r w:rsidR="00F75AC2">
        <w:rPr>
          <w:noProof/>
        </w:rPr>
        <w:t>M</w:t>
      </w:r>
      <w:r>
        <w:rPr>
          <w:noProof/>
        </w:rPr>
        <w:t xml:space="preserve">arket </w:t>
      </w:r>
      <w:r w:rsidR="000A3A79">
        <w:rPr>
          <w:noProof/>
        </w:rPr>
        <w:t>is a powerful</w:t>
      </w:r>
      <w:r>
        <w:rPr>
          <w:noProof/>
        </w:rPr>
        <w:t xml:space="preserve"> engine to accelerate </w:t>
      </w:r>
      <w:r w:rsidR="000A3A79">
        <w:rPr>
          <w:noProof/>
        </w:rPr>
        <w:t xml:space="preserve">the </w:t>
      </w:r>
      <w:r w:rsidRPr="766CDC6E">
        <w:rPr>
          <w:b/>
          <w:bCs/>
          <w:noProof/>
        </w:rPr>
        <w:t>green transition</w:t>
      </w:r>
      <w:r w:rsidR="00A23FC8">
        <w:rPr>
          <w:b/>
          <w:bCs/>
          <w:noProof/>
        </w:rPr>
        <w:t xml:space="preserve">, </w:t>
      </w:r>
      <w:r w:rsidR="00A23FC8" w:rsidRPr="0066490E">
        <w:rPr>
          <w:bCs/>
          <w:noProof/>
        </w:rPr>
        <w:t>in line with the</w:t>
      </w:r>
      <w:r w:rsidR="00A23FC8">
        <w:rPr>
          <w:bCs/>
          <w:noProof/>
        </w:rPr>
        <w:t xml:space="preserve"> European Green Deal. </w:t>
      </w:r>
      <w:r w:rsidR="00A23FC8" w:rsidRPr="00A23FC8">
        <w:rPr>
          <w:noProof/>
        </w:rPr>
        <w:t xml:space="preserve"> </w:t>
      </w:r>
      <w:r w:rsidRPr="003D0F5C">
        <w:rPr>
          <w:rFonts w:eastAsia="Times New Roman" w:cs="Times New Roman"/>
          <w:noProof/>
        </w:rPr>
        <w:t xml:space="preserve">Product standards set uniformly at EU level ensure environmental and safety compliance, as well as respecting energy efficiency requirements. </w:t>
      </w:r>
      <w:r w:rsidRPr="35C15F54">
        <w:rPr>
          <w:rFonts w:eastAsia="Times New Roman" w:cs="Times New Roman"/>
          <w:noProof/>
          <w:lang w:val="en-US"/>
        </w:rPr>
        <w:t xml:space="preserve">The </w:t>
      </w:r>
      <w:r>
        <w:rPr>
          <w:rFonts w:eastAsia="Times New Roman" w:cs="Times New Roman"/>
          <w:noProof/>
          <w:lang w:val="en-US"/>
        </w:rPr>
        <w:t xml:space="preserve">market-based approach of the </w:t>
      </w:r>
      <w:r w:rsidRPr="35C15F54">
        <w:rPr>
          <w:rFonts w:eastAsia="Times New Roman" w:cs="Times New Roman"/>
          <w:noProof/>
          <w:lang w:val="en-US"/>
        </w:rPr>
        <w:t xml:space="preserve">EU Emissions Trading System (ETS) </w:t>
      </w:r>
      <w:r>
        <w:rPr>
          <w:rFonts w:eastAsia="Times New Roman" w:cs="Times New Roman"/>
          <w:noProof/>
          <w:lang w:val="en-US"/>
        </w:rPr>
        <w:t xml:space="preserve">is bringing </w:t>
      </w:r>
      <w:r w:rsidRPr="35C15F54">
        <w:rPr>
          <w:rFonts w:eastAsia="Times New Roman" w:cs="Times New Roman"/>
          <w:noProof/>
          <w:lang w:val="en-US"/>
        </w:rPr>
        <w:t xml:space="preserve">down emissions in a cost-effective way, while the revenues it generates </w:t>
      </w:r>
      <w:r>
        <w:rPr>
          <w:rFonts w:eastAsia="Times New Roman" w:cs="Times New Roman"/>
          <w:noProof/>
          <w:lang w:val="en-US"/>
        </w:rPr>
        <w:t xml:space="preserve">can </w:t>
      </w:r>
      <w:r w:rsidRPr="35C15F54">
        <w:rPr>
          <w:rFonts w:eastAsia="Times New Roman" w:cs="Times New Roman"/>
          <w:noProof/>
          <w:lang w:val="en-US"/>
        </w:rPr>
        <w:t xml:space="preserve">support the transition to cleaner production and to stimulate innovation. </w:t>
      </w:r>
    </w:p>
    <w:p w14:paraId="31A027C7" w14:textId="07812401" w:rsidR="00C524BB" w:rsidRPr="003D0F5C" w:rsidRDefault="00C524BB" w:rsidP="00C524BB">
      <w:pPr>
        <w:jc w:val="both"/>
        <w:rPr>
          <w:rFonts w:eastAsia="Times New Roman" w:cs="Times New Roman"/>
          <w:noProof/>
        </w:rPr>
      </w:pPr>
      <w:r w:rsidRPr="35C15F54">
        <w:rPr>
          <w:rFonts w:eastAsia="Times New Roman" w:cs="Times New Roman"/>
          <w:noProof/>
        </w:rPr>
        <w:t xml:space="preserve">An integrated </w:t>
      </w:r>
      <w:r w:rsidRPr="00E414E8">
        <w:rPr>
          <w:rFonts w:eastAsia="Times New Roman" w:cs="Times New Roman"/>
          <w:b/>
          <w:bCs/>
          <w:noProof/>
        </w:rPr>
        <w:t>EU energy market</w:t>
      </w:r>
      <w:r w:rsidRPr="35C15F54">
        <w:rPr>
          <w:rFonts w:eastAsia="Times New Roman" w:cs="Times New Roman"/>
          <w:noProof/>
        </w:rPr>
        <w:t xml:space="preserve"> is the most cost-effective way to ensure sustainable, secure and affordable energy supplies to EU citizens. </w:t>
      </w:r>
      <w:r>
        <w:rPr>
          <w:rFonts w:eastAsia="Times New Roman" w:cs="Times New Roman"/>
          <w:noProof/>
        </w:rPr>
        <w:t>O</w:t>
      </w:r>
      <w:r w:rsidRPr="35C15F54">
        <w:rPr>
          <w:rFonts w:eastAsia="Times New Roman" w:cs="Times New Roman"/>
          <w:noProof/>
        </w:rPr>
        <w:t xml:space="preserve">ver the last decade, </w:t>
      </w:r>
      <w:r>
        <w:rPr>
          <w:rFonts w:eastAsia="Times New Roman" w:cs="Times New Roman"/>
          <w:noProof/>
        </w:rPr>
        <w:t>the</w:t>
      </w:r>
      <w:r w:rsidRPr="35C15F54">
        <w:rPr>
          <w:rFonts w:eastAsia="Times New Roman" w:cs="Times New Roman"/>
          <w:noProof/>
        </w:rPr>
        <w:t xml:space="preserve"> major efforts undertaken to further integrate electricity markets in Europe have delivered significant benefits</w:t>
      </w:r>
      <w:r>
        <w:rPr>
          <w:rFonts w:eastAsia="Times New Roman" w:cs="Times New Roman"/>
          <w:noProof/>
        </w:rPr>
        <w:t xml:space="preserve">, </w:t>
      </w:r>
      <w:r w:rsidRPr="35C15F54">
        <w:rPr>
          <w:rFonts w:eastAsia="Times New Roman" w:cs="Times New Roman"/>
          <w:noProof/>
        </w:rPr>
        <w:t>estimated to amount to around EUR 34 billion a year</w:t>
      </w:r>
      <w:r>
        <w:rPr>
          <w:rFonts w:eastAsia="Times New Roman" w:cs="Times New Roman"/>
          <w:noProof/>
        </w:rPr>
        <w:t>,</w:t>
      </w:r>
      <w:r w:rsidRPr="35C15F54">
        <w:rPr>
          <w:rFonts w:eastAsia="Times New Roman" w:cs="Times New Roman"/>
          <w:noProof/>
        </w:rPr>
        <w:t xml:space="preserve"> for consumers</w:t>
      </w:r>
      <w:r>
        <w:rPr>
          <w:rFonts w:eastAsia="Times New Roman" w:cs="Times New Roman"/>
          <w:noProof/>
        </w:rPr>
        <w:t xml:space="preserve">, </w:t>
      </w:r>
      <w:r w:rsidRPr="35C15F54">
        <w:rPr>
          <w:rFonts w:eastAsia="Times New Roman" w:cs="Times New Roman"/>
          <w:noProof/>
        </w:rPr>
        <w:t xml:space="preserve">by enabling cross-border trade between Member States and improving security of supply across a larger </w:t>
      </w:r>
      <w:r w:rsidRPr="35C15F54">
        <w:rPr>
          <w:rFonts w:eastAsia="Times New Roman" w:cs="Times New Roman"/>
          <w:noProof/>
        </w:rPr>
        <w:lastRenderedPageBreak/>
        <w:t>geographical area</w:t>
      </w:r>
      <w:r>
        <w:rPr>
          <w:rStyle w:val="FootnoteReference"/>
          <w:rFonts w:eastAsia="Times New Roman" w:cs="Times New Roman"/>
          <w:noProof/>
        </w:rPr>
        <w:footnoteReference w:id="8"/>
      </w:r>
      <w:r w:rsidRPr="35C15F54">
        <w:rPr>
          <w:rFonts w:eastAsia="Times New Roman" w:cs="Times New Roman"/>
          <w:noProof/>
        </w:rPr>
        <w:t xml:space="preserve">. </w:t>
      </w:r>
      <w:r w:rsidRPr="003D0F5C">
        <w:rPr>
          <w:rFonts w:eastAsia="Times New Roman" w:cs="Times New Roman"/>
          <w:noProof/>
        </w:rPr>
        <w:t xml:space="preserve">In </w:t>
      </w:r>
      <w:r w:rsidR="007E5ED4">
        <w:rPr>
          <w:rFonts w:eastAsia="Times New Roman" w:cs="Times New Roman"/>
          <w:noProof/>
        </w:rPr>
        <w:t>the</w:t>
      </w:r>
      <w:r w:rsidRPr="003D0F5C">
        <w:rPr>
          <w:rFonts w:eastAsia="Times New Roman" w:cs="Times New Roman"/>
          <w:noProof/>
        </w:rPr>
        <w:t xml:space="preserve"> context of frequent supply disruptions, the Single Market has helped ensure that energy, notably gas, flows to where it is most needed. Regional cooperation and solidarity have been essential to guaranteeing the resilience of the EU energy system. The TEN-E Regulation has contributed significantly to this robust security of supply by interconnecting Member States’ energy systems through Projects of Common Interest (PCIs).</w:t>
      </w:r>
      <w:r w:rsidR="009B21CD" w:rsidRPr="009B21CD">
        <w:rPr>
          <w:noProof/>
        </w:rPr>
        <w:t xml:space="preserve"> </w:t>
      </w:r>
      <w:r w:rsidR="009B21CD" w:rsidRPr="009B21CD">
        <w:rPr>
          <w:rFonts w:eastAsia="Times New Roman" w:cs="Times New Roman"/>
          <w:noProof/>
        </w:rPr>
        <w:t xml:space="preserve">At the same time, the recent energy crisis has highlighted a number of shortcomings to which the EU </w:t>
      </w:r>
      <w:r w:rsidR="00640620">
        <w:rPr>
          <w:rFonts w:eastAsia="Times New Roman" w:cs="Times New Roman"/>
          <w:noProof/>
        </w:rPr>
        <w:t xml:space="preserve">has </w:t>
      </w:r>
      <w:r w:rsidR="009B21CD" w:rsidRPr="009B21CD">
        <w:rPr>
          <w:rFonts w:eastAsia="Times New Roman" w:cs="Times New Roman"/>
          <w:noProof/>
        </w:rPr>
        <w:t>ha</w:t>
      </w:r>
      <w:r w:rsidR="002F3B6F">
        <w:rPr>
          <w:rFonts w:eastAsia="Times New Roman" w:cs="Times New Roman"/>
          <w:noProof/>
        </w:rPr>
        <w:t>d</w:t>
      </w:r>
      <w:r w:rsidR="009B21CD" w:rsidRPr="009B21CD">
        <w:rPr>
          <w:rFonts w:eastAsia="Times New Roman" w:cs="Times New Roman"/>
          <w:noProof/>
        </w:rPr>
        <w:t xml:space="preserve"> to respond.</w:t>
      </w:r>
    </w:p>
    <w:p w14:paraId="13A14E2C" w14:textId="07E60A5F" w:rsidR="00C524BB" w:rsidRPr="00E870A7" w:rsidRDefault="00A272A0" w:rsidP="00C524BB">
      <w:pPr>
        <w:jc w:val="both"/>
        <w:rPr>
          <w:noProof/>
        </w:rPr>
      </w:pPr>
      <w:r w:rsidRPr="00470B8A">
        <w:rPr>
          <w:iCs/>
          <w:noProof/>
        </w:rPr>
        <w:t xml:space="preserve">In the next years, </w:t>
      </w:r>
      <w:r>
        <w:rPr>
          <w:iCs/>
          <w:noProof/>
        </w:rPr>
        <w:t xml:space="preserve">the Single Market </w:t>
      </w:r>
      <w:r w:rsidRPr="00470B8A">
        <w:rPr>
          <w:iCs/>
          <w:noProof/>
        </w:rPr>
        <w:t xml:space="preserve">must evolve to meet citizens’ expectations </w:t>
      </w:r>
      <w:r w:rsidR="007235EE">
        <w:rPr>
          <w:iCs/>
          <w:noProof/>
        </w:rPr>
        <w:t>for</w:t>
      </w:r>
      <w:r w:rsidR="007235EE" w:rsidRPr="00470B8A">
        <w:rPr>
          <w:iCs/>
          <w:noProof/>
        </w:rPr>
        <w:t xml:space="preserve"> </w:t>
      </w:r>
      <w:r w:rsidRPr="00470B8A">
        <w:rPr>
          <w:iCs/>
          <w:noProof/>
        </w:rPr>
        <w:t>a human</w:t>
      </w:r>
      <w:r w:rsidR="00640BFF">
        <w:rPr>
          <w:iCs/>
          <w:noProof/>
        </w:rPr>
        <w:t>-</w:t>
      </w:r>
      <w:r w:rsidRPr="00470B8A">
        <w:rPr>
          <w:iCs/>
          <w:noProof/>
        </w:rPr>
        <w:t xml:space="preserve">centric </w:t>
      </w:r>
      <w:r w:rsidRPr="0066490E">
        <w:rPr>
          <w:b/>
          <w:iCs/>
          <w:noProof/>
        </w:rPr>
        <w:t>digital transition</w:t>
      </w:r>
      <w:r w:rsidRPr="00470B8A">
        <w:rPr>
          <w:iCs/>
          <w:noProof/>
        </w:rPr>
        <w:t xml:space="preserve"> and </w:t>
      </w:r>
      <w:r w:rsidR="007235EE">
        <w:rPr>
          <w:iCs/>
          <w:noProof/>
        </w:rPr>
        <w:t>for</w:t>
      </w:r>
      <w:r w:rsidRPr="00470B8A">
        <w:rPr>
          <w:iCs/>
          <w:noProof/>
        </w:rPr>
        <w:t xml:space="preserve"> markets that make sustainable choices affordable and attractive”.</w:t>
      </w:r>
      <w:r>
        <w:rPr>
          <w:iCs/>
          <w:noProof/>
        </w:rPr>
        <w:t xml:space="preserve"> </w:t>
      </w:r>
      <w:r w:rsidR="00C524BB" w:rsidRPr="0048465D">
        <w:rPr>
          <w:noProof/>
        </w:rPr>
        <w:t xml:space="preserve">The </w:t>
      </w:r>
      <w:r w:rsidR="00C524BB" w:rsidRPr="00C524BB">
        <w:rPr>
          <w:b/>
          <w:bCs/>
          <w:noProof/>
        </w:rPr>
        <w:t>Digital Services Act</w:t>
      </w:r>
      <w:r w:rsidR="00C524BB" w:rsidRPr="00C524BB">
        <w:rPr>
          <w:noProof/>
        </w:rPr>
        <w:t xml:space="preserve"> will ensure that online businesses can operate across Europe on the basis of a single set of directly applicable rules, and that</w:t>
      </w:r>
      <w:r w:rsidR="00C524BB">
        <w:rPr>
          <w:noProof/>
        </w:rPr>
        <w:t xml:space="preserve"> </w:t>
      </w:r>
      <w:r w:rsidR="00C524BB" w:rsidRPr="0048465D">
        <w:rPr>
          <w:noProof/>
        </w:rPr>
        <w:t xml:space="preserve">citizens can </w:t>
      </w:r>
      <w:r w:rsidR="00C524BB">
        <w:rPr>
          <w:noProof/>
        </w:rPr>
        <w:t xml:space="preserve">safely </w:t>
      </w:r>
      <w:r w:rsidR="00C524BB" w:rsidRPr="0048465D">
        <w:rPr>
          <w:noProof/>
        </w:rPr>
        <w:t>use online platforms and e-commerce services no matter where they are in the EU, protect</w:t>
      </w:r>
      <w:r w:rsidR="00C524BB">
        <w:rPr>
          <w:noProof/>
        </w:rPr>
        <w:t>ed</w:t>
      </w:r>
      <w:r w:rsidR="00C524BB" w:rsidRPr="0048465D">
        <w:rPr>
          <w:noProof/>
        </w:rPr>
        <w:t xml:space="preserve"> </w:t>
      </w:r>
      <w:r w:rsidR="00C524BB">
        <w:rPr>
          <w:noProof/>
        </w:rPr>
        <w:t>from illegal content,</w:t>
      </w:r>
      <w:r w:rsidR="00C524BB" w:rsidRPr="0048465D">
        <w:rPr>
          <w:noProof/>
        </w:rPr>
        <w:t xml:space="preserve"> disinformation and cyberbullying. The </w:t>
      </w:r>
      <w:r w:rsidR="00C524BB" w:rsidRPr="0048465D">
        <w:rPr>
          <w:b/>
          <w:bCs/>
          <w:noProof/>
        </w:rPr>
        <w:t>Digital Markets Act</w:t>
      </w:r>
      <w:r w:rsidR="00C524BB" w:rsidRPr="0048465D">
        <w:rPr>
          <w:noProof/>
        </w:rPr>
        <w:t xml:space="preserve"> will ensure fair </w:t>
      </w:r>
      <w:r w:rsidR="00412609" w:rsidRPr="00412609">
        <w:rPr>
          <w:noProof/>
        </w:rPr>
        <w:t xml:space="preserve">and contestable markets in the digital sector </w:t>
      </w:r>
      <w:r w:rsidR="00C524BB" w:rsidRPr="0048465D">
        <w:rPr>
          <w:noProof/>
        </w:rPr>
        <w:t xml:space="preserve">so that platforms cannot </w:t>
      </w:r>
      <w:r w:rsidR="00C524BB">
        <w:rPr>
          <w:noProof/>
        </w:rPr>
        <w:t>misuse</w:t>
      </w:r>
      <w:r w:rsidR="00C524BB" w:rsidRPr="0048465D">
        <w:rPr>
          <w:noProof/>
        </w:rPr>
        <w:t xml:space="preserve"> their gatekeeper </w:t>
      </w:r>
      <w:r w:rsidR="00C524BB">
        <w:rPr>
          <w:noProof/>
        </w:rPr>
        <w:t>power in the Single Market</w:t>
      </w:r>
      <w:r w:rsidR="00C524BB" w:rsidRPr="0048465D">
        <w:rPr>
          <w:noProof/>
        </w:rPr>
        <w:t xml:space="preserve">. </w:t>
      </w:r>
      <w:r w:rsidR="00E85EB6">
        <w:rPr>
          <w:noProof/>
        </w:rPr>
        <w:t>H</w:t>
      </w:r>
      <w:r w:rsidR="001F4E7D" w:rsidRPr="001F4E7D">
        <w:rPr>
          <w:noProof/>
        </w:rPr>
        <w:t>armonised rules</w:t>
      </w:r>
      <w:r w:rsidR="003F4C10">
        <w:rPr>
          <w:noProof/>
        </w:rPr>
        <w:t>,</w:t>
      </w:r>
      <w:r w:rsidR="001F4E7D" w:rsidRPr="001F4E7D">
        <w:rPr>
          <w:noProof/>
        </w:rPr>
        <w:t xml:space="preserve"> in areas </w:t>
      </w:r>
      <w:r w:rsidR="00667AC6">
        <w:rPr>
          <w:noProof/>
        </w:rPr>
        <w:t xml:space="preserve">such </w:t>
      </w:r>
      <w:r w:rsidR="001F4E7D" w:rsidRPr="001F4E7D">
        <w:rPr>
          <w:noProof/>
        </w:rPr>
        <w:t xml:space="preserve">as </w:t>
      </w:r>
      <w:r w:rsidR="003F6323" w:rsidRPr="001F4E7D">
        <w:rPr>
          <w:noProof/>
        </w:rPr>
        <w:t>audio-visual</w:t>
      </w:r>
      <w:r w:rsidR="001F4E7D" w:rsidRPr="001F4E7D">
        <w:rPr>
          <w:noProof/>
        </w:rPr>
        <w:t xml:space="preserve"> media and copyright</w:t>
      </w:r>
      <w:r w:rsidR="00667AC6">
        <w:rPr>
          <w:noProof/>
        </w:rPr>
        <w:t>,</w:t>
      </w:r>
      <w:r w:rsidR="001F4E7D" w:rsidRPr="001F4E7D">
        <w:rPr>
          <w:noProof/>
        </w:rPr>
        <w:t xml:space="preserve"> </w:t>
      </w:r>
      <w:r w:rsidR="00E85EB6">
        <w:rPr>
          <w:noProof/>
        </w:rPr>
        <w:t>support</w:t>
      </w:r>
      <w:r w:rsidR="001F4E7D" w:rsidRPr="001F4E7D">
        <w:rPr>
          <w:noProof/>
        </w:rPr>
        <w:t xml:space="preserve"> cultural diversity and media pluralism in the digital context.</w:t>
      </w:r>
      <w:r w:rsidR="001F4E7D">
        <w:rPr>
          <w:noProof/>
        </w:rPr>
        <w:t xml:space="preserve"> </w:t>
      </w:r>
      <w:r w:rsidR="00C524BB" w:rsidRPr="0048465D">
        <w:rPr>
          <w:noProof/>
        </w:rPr>
        <w:t xml:space="preserve">With the Data Governance Act, already adopted, and the Data Act, in advanced negotiations, the EU is building a genuine </w:t>
      </w:r>
      <w:r w:rsidR="00C524BB" w:rsidRPr="0048465D">
        <w:rPr>
          <w:b/>
          <w:bCs/>
          <w:noProof/>
        </w:rPr>
        <w:t>Single Market for data</w:t>
      </w:r>
      <w:r w:rsidR="00C524BB" w:rsidRPr="0048465D">
        <w:rPr>
          <w:noProof/>
        </w:rPr>
        <w:t>, opening up opportunities for all economic players and making Europe a global leader in the data-agile economy.</w:t>
      </w:r>
      <w:r w:rsidR="00C524BB">
        <w:rPr>
          <w:noProof/>
        </w:rPr>
        <w:t xml:space="preserve"> And we are </w:t>
      </w:r>
      <w:r w:rsidR="00C524BB" w:rsidRPr="0048465D">
        <w:rPr>
          <w:noProof/>
        </w:rPr>
        <w:t xml:space="preserve">creating </w:t>
      </w:r>
      <w:r w:rsidR="00C524BB">
        <w:rPr>
          <w:noProof/>
        </w:rPr>
        <w:t xml:space="preserve">a </w:t>
      </w:r>
      <w:r w:rsidR="00C524BB" w:rsidRPr="0048465D">
        <w:rPr>
          <w:noProof/>
        </w:rPr>
        <w:t xml:space="preserve">Single Market of </w:t>
      </w:r>
      <w:r w:rsidR="00C524BB" w:rsidRPr="0048465D">
        <w:rPr>
          <w:b/>
          <w:bCs/>
          <w:noProof/>
        </w:rPr>
        <w:t>cybersecurity,</w:t>
      </w:r>
      <w:r w:rsidR="00C524BB" w:rsidRPr="0048465D">
        <w:rPr>
          <w:noProof/>
        </w:rPr>
        <w:t xml:space="preserve"> including cybersecurity requirements for any</w:t>
      </w:r>
      <w:r w:rsidR="00C524BB">
        <w:rPr>
          <w:noProof/>
        </w:rPr>
        <w:t xml:space="preserve"> connectable</w:t>
      </w:r>
      <w:r w:rsidR="00C524BB" w:rsidRPr="0048465D">
        <w:rPr>
          <w:noProof/>
        </w:rPr>
        <w:t xml:space="preserve"> product, software or </w:t>
      </w:r>
      <w:r w:rsidR="00C524BB" w:rsidRPr="00E870A7">
        <w:rPr>
          <w:noProof/>
        </w:rPr>
        <w:t>hardware.</w:t>
      </w:r>
    </w:p>
    <w:p w14:paraId="044CEAA4" w14:textId="5AC505F5" w:rsidR="00DD30E4" w:rsidRDefault="00DD30E4" w:rsidP="00DD30E4">
      <w:pPr>
        <w:jc w:val="both"/>
        <w:rPr>
          <w:noProof/>
        </w:rPr>
      </w:pPr>
      <w:r w:rsidRPr="00E870A7">
        <w:rPr>
          <w:noProof/>
        </w:rPr>
        <w:t xml:space="preserve">The </w:t>
      </w:r>
      <w:r w:rsidRPr="00E870A7">
        <w:rPr>
          <w:b/>
          <w:bCs/>
          <w:noProof/>
        </w:rPr>
        <w:t xml:space="preserve">EU has </w:t>
      </w:r>
      <w:r>
        <w:rPr>
          <w:b/>
          <w:bCs/>
          <w:noProof/>
        </w:rPr>
        <w:t>developed</w:t>
      </w:r>
      <w:r w:rsidRPr="00E870A7">
        <w:rPr>
          <w:b/>
          <w:bCs/>
          <w:noProof/>
        </w:rPr>
        <w:t xml:space="preserve"> digital tools </w:t>
      </w:r>
      <w:r>
        <w:rPr>
          <w:b/>
          <w:bCs/>
          <w:noProof/>
        </w:rPr>
        <w:t>to make the</w:t>
      </w:r>
      <w:r w:rsidRPr="00E870A7">
        <w:rPr>
          <w:b/>
          <w:bCs/>
          <w:noProof/>
        </w:rPr>
        <w:t xml:space="preserve"> Single Market</w:t>
      </w:r>
      <w:r>
        <w:rPr>
          <w:b/>
          <w:bCs/>
          <w:noProof/>
        </w:rPr>
        <w:t xml:space="preserve"> run more smoothly</w:t>
      </w:r>
      <w:r w:rsidRPr="00E870A7">
        <w:rPr>
          <w:b/>
          <w:bCs/>
          <w:noProof/>
        </w:rPr>
        <w:t xml:space="preserve">. </w:t>
      </w:r>
      <w:r>
        <w:rPr>
          <w:noProof/>
        </w:rPr>
        <w:t xml:space="preserve">During the pandemic, the Commission quickly developed a </w:t>
      </w:r>
      <w:r w:rsidRPr="00E870A7">
        <w:rPr>
          <w:b/>
          <w:bCs/>
          <w:noProof/>
        </w:rPr>
        <w:t>Digital COVID Certificate</w:t>
      </w:r>
      <w:r>
        <w:rPr>
          <w:noProof/>
        </w:rPr>
        <w:t xml:space="preserve"> </w:t>
      </w:r>
      <w:r w:rsidR="00942F5A">
        <w:rPr>
          <w:noProof/>
        </w:rPr>
        <w:t>to facilitate freedom of movement, by enabling</w:t>
      </w:r>
      <w:r w:rsidRPr="00E870A7">
        <w:rPr>
          <w:noProof/>
        </w:rPr>
        <w:t xml:space="preserve"> EU citizens and residents </w:t>
      </w:r>
      <w:r w:rsidR="00942F5A">
        <w:rPr>
          <w:noProof/>
        </w:rPr>
        <w:t xml:space="preserve">to </w:t>
      </w:r>
      <w:r>
        <w:rPr>
          <w:noProof/>
        </w:rPr>
        <w:t>easily provide digital proof that they had either been vaccinated against COVID-19, received a negative test result or recovered.</w:t>
      </w:r>
    </w:p>
    <w:p w14:paraId="673063AB" w14:textId="23AE352C" w:rsidR="00E03138" w:rsidRDefault="00C524BB">
      <w:pPr>
        <w:jc w:val="both"/>
        <w:rPr>
          <w:noProof/>
        </w:rPr>
      </w:pPr>
      <w:r>
        <w:rPr>
          <w:noProof/>
        </w:rPr>
        <w:t xml:space="preserve">Digital tools </w:t>
      </w:r>
      <w:r w:rsidRPr="006A6D1A">
        <w:rPr>
          <w:b/>
          <w:bCs/>
          <w:noProof/>
        </w:rPr>
        <w:t xml:space="preserve">reduce administrative burdens and create transparency </w:t>
      </w:r>
      <w:r w:rsidRPr="003D0F5C">
        <w:rPr>
          <w:noProof/>
        </w:rPr>
        <w:t>for citizens and businesses</w:t>
      </w:r>
      <w:r w:rsidRPr="006A6D1A">
        <w:rPr>
          <w:b/>
          <w:bCs/>
          <w:noProof/>
        </w:rPr>
        <w:t xml:space="preserve">. </w:t>
      </w:r>
      <w:r>
        <w:rPr>
          <w:noProof/>
        </w:rPr>
        <w:t xml:space="preserve">When they </w:t>
      </w:r>
      <w:r w:rsidR="00413D85">
        <w:rPr>
          <w:noProof/>
        </w:rPr>
        <w:t>want to know more about</w:t>
      </w:r>
      <w:r w:rsidRPr="008C1F62">
        <w:rPr>
          <w:noProof/>
        </w:rPr>
        <w:t xml:space="preserve"> </w:t>
      </w:r>
      <w:r>
        <w:rPr>
          <w:noProof/>
        </w:rPr>
        <w:t xml:space="preserve">their </w:t>
      </w:r>
      <w:r w:rsidRPr="008C1F62">
        <w:rPr>
          <w:noProof/>
        </w:rPr>
        <w:t>rights and opportunities</w:t>
      </w:r>
      <w:r>
        <w:rPr>
          <w:noProof/>
        </w:rPr>
        <w:t xml:space="preserve">, they </w:t>
      </w:r>
      <w:r w:rsidRPr="008C1F62">
        <w:rPr>
          <w:noProof/>
        </w:rPr>
        <w:t xml:space="preserve">can turn to the </w:t>
      </w:r>
      <w:r w:rsidRPr="006A6D1A">
        <w:rPr>
          <w:b/>
          <w:bCs/>
          <w:noProof/>
        </w:rPr>
        <w:t xml:space="preserve">Your Europe </w:t>
      </w:r>
      <w:r w:rsidR="008E04CB" w:rsidRPr="006A25AF">
        <w:rPr>
          <w:noProof/>
        </w:rPr>
        <w:t>p</w:t>
      </w:r>
      <w:r w:rsidRPr="006A25AF">
        <w:rPr>
          <w:noProof/>
        </w:rPr>
        <w:t>ortal</w:t>
      </w:r>
      <w:r w:rsidRPr="008C1F62">
        <w:rPr>
          <w:noProof/>
        </w:rPr>
        <w:t xml:space="preserve">, a one-stop shop for information. Those seeking advice when Single Market problems arise can make use of </w:t>
      </w:r>
      <w:r w:rsidRPr="006A6D1A">
        <w:rPr>
          <w:b/>
          <w:bCs/>
          <w:noProof/>
        </w:rPr>
        <w:t xml:space="preserve">Your Europe Advice </w:t>
      </w:r>
      <w:r w:rsidRPr="000A3097">
        <w:rPr>
          <w:noProof/>
        </w:rPr>
        <w:t xml:space="preserve">and </w:t>
      </w:r>
      <w:r w:rsidRPr="000C4CC1">
        <w:rPr>
          <w:b/>
          <w:bCs/>
          <w:noProof/>
        </w:rPr>
        <w:t>SOLVIT</w:t>
      </w:r>
      <w:r w:rsidRPr="003D0F5C">
        <w:rPr>
          <w:noProof/>
        </w:rPr>
        <w:t>, which helps businesses or individuals</w:t>
      </w:r>
      <w:r w:rsidRPr="006A6D1A">
        <w:rPr>
          <w:b/>
          <w:bCs/>
          <w:noProof/>
        </w:rPr>
        <w:t xml:space="preserve"> </w:t>
      </w:r>
      <w:r w:rsidRPr="008C1F62">
        <w:rPr>
          <w:noProof/>
        </w:rPr>
        <w:t>affected by breaches of EU law to resolve disputes and obtain out-of-court redress</w:t>
      </w:r>
      <w:r>
        <w:rPr>
          <w:noProof/>
        </w:rPr>
        <w:t xml:space="preserve">, enabling them </w:t>
      </w:r>
      <w:r w:rsidRPr="008C1F62">
        <w:rPr>
          <w:noProof/>
        </w:rPr>
        <w:t>to overcome barriers.</w:t>
      </w:r>
      <w:r>
        <w:rPr>
          <w:noProof/>
        </w:rPr>
        <w:t xml:space="preserve"> </w:t>
      </w:r>
      <w:r w:rsidR="00632490">
        <w:rPr>
          <w:noProof/>
        </w:rPr>
        <w:t xml:space="preserve">To improve </w:t>
      </w:r>
      <w:r w:rsidR="003D5C08">
        <w:rPr>
          <w:noProof/>
        </w:rPr>
        <w:t>the</w:t>
      </w:r>
      <w:r w:rsidR="00632490">
        <w:rPr>
          <w:noProof/>
        </w:rPr>
        <w:t xml:space="preserve"> business environment, </w:t>
      </w:r>
      <w:r w:rsidRPr="008C1F62">
        <w:rPr>
          <w:noProof/>
        </w:rPr>
        <w:t xml:space="preserve">SOLVIT will focus its efforts on helping </w:t>
      </w:r>
      <w:r w:rsidR="00225F28">
        <w:rPr>
          <w:noProof/>
        </w:rPr>
        <w:t>small and medium-sized enterprises (</w:t>
      </w:r>
      <w:r w:rsidRPr="008C1F62">
        <w:rPr>
          <w:noProof/>
        </w:rPr>
        <w:t>SMEs</w:t>
      </w:r>
      <w:r w:rsidR="00225F28">
        <w:rPr>
          <w:noProof/>
        </w:rPr>
        <w:t>)</w:t>
      </w:r>
      <w:r w:rsidRPr="008C1F62">
        <w:rPr>
          <w:noProof/>
        </w:rPr>
        <w:t xml:space="preserve"> to make the best use of the opportunities of the Single Market. </w:t>
      </w:r>
      <w:r w:rsidR="00924B3F">
        <w:rPr>
          <w:noProof/>
        </w:rPr>
        <w:t>T</w:t>
      </w:r>
      <w:r w:rsidR="005E7410" w:rsidRPr="008C1F62">
        <w:rPr>
          <w:noProof/>
        </w:rPr>
        <w:t xml:space="preserve">he </w:t>
      </w:r>
      <w:r w:rsidR="005E7410" w:rsidRPr="006A6D1A">
        <w:rPr>
          <w:b/>
          <w:bCs/>
          <w:noProof/>
        </w:rPr>
        <w:t>Internal Market Information system (IMI)</w:t>
      </w:r>
      <w:r w:rsidR="005E7410" w:rsidRPr="008C1F62">
        <w:rPr>
          <w:rStyle w:val="FootnoteReference"/>
          <w:noProof/>
        </w:rPr>
        <w:footnoteReference w:id="9"/>
      </w:r>
      <w:r w:rsidR="005E7410" w:rsidRPr="008C1F62">
        <w:rPr>
          <w:noProof/>
        </w:rPr>
        <w:t>, which connects thousands of public administrations</w:t>
      </w:r>
      <w:r w:rsidR="00924B3F">
        <w:rPr>
          <w:noProof/>
        </w:rPr>
        <w:t xml:space="preserve">, </w:t>
      </w:r>
      <w:r w:rsidR="005E7410">
        <w:rPr>
          <w:noProof/>
        </w:rPr>
        <w:t>facilitate</w:t>
      </w:r>
      <w:r w:rsidR="00924B3F">
        <w:rPr>
          <w:noProof/>
        </w:rPr>
        <w:t>s</w:t>
      </w:r>
      <w:r w:rsidR="005E7410">
        <w:rPr>
          <w:noProof/>
        </w:rPr>
        <w:t xml:space="preserve"> cross-border administrative exchanges between them </w:t>
      </w:r>
      <w:r w:rsidR="005E7410" w:rsidRPr="008C1F62">
        <w:rPr>
          <w:noProof/>
        </w:rPr>
        <w:t>and solve</w:t>
      </w:r>
      <w:r w:rsidR="008E04CB">
        <w:rPr>
          <w:noProof/>
        </w:rPr>
        <w:t>s</w:t>
      </w:r>
      <w:r w:rsidR="005E7410" w:rsidRPr="008C1F62">
        <w:rPr>
          <w:noProof/>
        </w:rPr>
        <w:t xml:space="preserve"> problems. </w:t>
      </w:r>
      <w:r w:rsidR="005E7410">
        <w:rPr>
          <w:noProof/>
        </w:rPr>
        <w:t xml:space="preserve">It </w:t>
      </w:r>
      <w:r w:rsidR="005E7410" w:rsidRPr="00CE0082">
        <w:rPr>
          <w:noProof/>
        </w:rPr>
        <w:t>has been constantly growing over the years, now covering 19 policy areas.</w:t>
      </w:r>
      <w:r w:rsidR="005E7410">
        <w:rPr>
          <w:rStyle w:val="FootnoteReference"/>
          <w:noProof/>
        </w:rPr>
        <w:footnoteReference w:id="10"/>
      </w:r>
      <w:r w:rsidR="005E7410">
        <w:rPr>
          <w:noProof/>
        </w:rPr>
        <w:t xml:space="preserve"> </w:t>
      </w:r>
      <w:r w:rsidR="005E7410" w:rsidRPr="008C1F62">
        <w:rPr>
          <w:noProof/>
        </w:rPr>
        <w:t xml:space="preserve">Taken together, this creates a true ‘Single Market back office’, for </w:t>
      </w:r>
      <w:r w:rsidR="005E7410">
        <w:rPr>
          <w:noProof/>
        </w:rPr>
        <w:t xml:space="preserve">the benefit of </w:t>
      </w:r>
      <w:r w:rsidR="005E7410" w:rsidRPr="008C1F62">
        <w:rPr>
          <w:noProof/>
        </w:rPr>
        <w:t>businesses and administrations alike.</w:t>
      </w:r>
    </w:p>
    <w:p w14:paraId="6D647B47" w14:textId="08409CFC" w:rsidR="00A60F5E" w:rsidRPr="00FF62BA" w:rsidRDefault="00A60F5E">
      <w:pPr>
        <w:jc w:val="both"/>
        <w:rPr>
          <w:noProof/>
        </w:rPr>
      </w:pPr>
    </w:p>
    <w:p w14:paraId="3D38878E" w14:textId="30F98CCD" w:rsidR="00DD30E4" w:rsidRPr="00047A71" w:rsidRDefault="00A60F5E" w:rsidP="00DD30E4">
      <w:pPr>
        <w:jc w:val="both"/>
        <w:rPr>
          <w:rFonts w:eastAsiaTheme="minorEastAsia"/>
          <w:noProof/>
          <w:highlight w:val="green"/>
        </w:rPr>
      </w:pPr>
      <w:r w:rsidRPr="000C4CC1">
        <w:rPr>
          <w:b/>
          <w:bCs/>
          <w:noProof/>
        </w:rPr>
        <w:t>T</w:t>
      </w:r>
      <w:r w:rsidR="00DD30E4" w:rsidRPr="00047A71">
        <w:rPr>
          <w:b/>
          <w:noProof/>
        </w:rPr>
        <w:t>he once-only technical system (OOTS)</w:t>
      </w:r>
      <w:r w:rsidR="00DD30E4">
        <w:rPr>
          <w:noProof/>
        </w:rPr>
        <w:t xml:space="preserve"> </w:t>
      </w:r>
      <w:r w:rsidR="00DD30E4" w:rsidRPr="008C1F62">
        <w:rPr>
          <w:noProof/>
        </w:rPr>
        <w:t>will ensure that when a business or citizen has submitted a document once to a public administration, the document can be safely transferred to other public administrations, so that the business or individual can complete other procedures without needing to re-submit it. All of these tools are accessible through the</w:t>
      </w:r>
      <w:r w:rsidR="00942F5A">
        <w:rPr>
          <w:noProof/>
        </w:rPr>
        <w:t xml:space="preserve"> EU’s</w:t>
      </w:r>
      <w:r w:rsidR="00DD30E4" w:rsidRPr="008C1F62">
        <w:rPr>
          <w:noProof/>
        </w:rPr>
        <w:t xml:space="preserve"> </w:t>
      </w:r>
      <w:r w:rsidR="00DD30E4" w:rsidRPr="00047A71">
        <w:rPr>
          <w:b/>
          <w:noProof/>
        </w:rPr>
        <w:t>Single Digital Gateway</w:t>
      </w:r>
      <w:r w:rsidR="00DD30E4" w:rsidRPr="008C1F62">
        <w:rPr>
          <w:noProof/>
        </w:rPr>
        <w:t xml:space="preserve">. </w:t>
      </w:r>
      <w:r w:rsidR="00432A47">
        <w:rPr>
          <w:noProof/>
        </w:rPr>
        <w:t>Furthermore</w:t>
      </w:r>
      <w:r w:rsidR="00632490">
        <w:rPr>
          <w:noProof/>
        </w:rPr>
        <w:t>, t</w:t>
      </w:r>
      <w:r w:rsidR="00DD30E4" w:rsidRPr="008C1F62">
        <w:rPr>
          <w:noProof/>
        </w:rPr>
        <w:t xml:space="preserve">he </w:t>
      </w:r>
      <w:r w:rsidR="00DD30E4" w:rsidRPr="00047A71">
        <w:rPr>
          <w:b/>
          <w:noProof/>
        </w:rPr>
        <w:t>European Digital Identity Wallet</w:t>
      </w:r>
      <w:r w:rsidR="00DD30E4" w:rsidRPr="008C1F62">
        <w:rPr>
          <w:rStyle w:val="FootnoteReference"/>
          <w:noProof/>
        </w:rPr>
        <w:footnoteReference w:id="11"/>
      </w:r>
      <w:r w:rsidR="00DD30E4" w:rsidRPr="008C1F62">
        <w:rPr>
          <w:noProof/>
        </w:rPr>
        <w:t xml:space="preserve"> will </w:t>
      </w:r>
      <w:r w:rsidR="00DD30E4">
        <w:rPr>
          <w:noProof/>
        </w:rPr>
        <w:t>provide citizen</w:t>
      </w:r>
      <w:r w:rsidR="004C5F5C">
        <w:rPr>
          <w:noProof/>
        </w:rPr>
        <w:t>s</w:t>
      </w:r>
      <w:r w:rsidR="00DD30E4">
        <w:rPr>
          <w:noProof/>
        </w:rPr>
        <w:t xml:space="preserve"> and businesses with standardised documents they can use </w:t>
      </w:r>
      <w:r w:rsidR="59791C76">
        <w:rPr>
          <w:noProof/>
        </w:rPr>
        <w:t>safely to identify themselves</w:t>
      </w:r>
      <w:r w:rsidR="00942F5A">
        <w:rPr>
          <w:noProof/>
        </w:rPr>
        <w:t xml:space="preserve"> and key information</w:t>
      </w:r>
      <w:r w:rsidR="3397EC5E">
        <w:rPr>
          <w:noProof/>
        </w:rPr>
        <w:t xml:space="preserve"> </w:t>
      </w:r>
      <w:r w:rsidR="00DD30E4">
        <w:rPr>
          <w:noProof/>
        </w:rPr>
        <w:t>across the EU, for example diplomas</w:t>
      </w:r>
      <w:r w:rsidR="008A1D49">
        <w:rPr>
          <w:noProof/>
        </w:rPr>
        <w:t xml:space="preserve"> attesting</w:t>
      </w:r>
      <w:r w:rsidR="00DD30E4">
        <w:rPr>
          <w:noProof/>
        </w:rPr>
        <w:t xml:space="preserve"> professional qualifications or </w:t>
      </w:r>
      <w:r w:rsidR="007839EA">
        <w:rPr>
          <w:noProof/>
        </w:rPr>
        <w:t xml:space="preserve">documents relating to </w:t>
      </w:r>
      <w:r w:rsidR="00DD30E4">
        <w:rPr>
          <w:noProof/>
        </w:rPr>
        <w:t>healthcare</w:t>
      </w:r>
      <w:r w:rsidR="00BE0B6E">
        <w:rPr>
          <w:noProof/>
        </w:rPr>
        <w:t xml:space="preserve"> and social security</w:t>
      </w:r>
      <w:r w:rsidR="00DD30E4" w:rsidRPr="008C1F62">
        <w:rPr>
          <w:noProof/>
        </w:rPr>
        <w:t>.</w:t>
      </w:r>
      <w:r w:rsidR="00DD30E4" w:rsidRPr="426C3688">
        <w:rPr>
          <w:rFonts w:eastAsiaTheme="minorEastAsia"/>
          <w:noProof/>
        </w:rPr>
        <w:t xml:space="preserve"> </w:t>
      </w:r>
      <w:r w:rsidR="00413D85">
        <w:rPr>
          <w:rFonts w:eastAsiaTheme="minorEastAsia"/>
          <w:noProof/>
        </w:rPr>
        <w:t>Moreover, i</w:t>
      </w:r>
      <w:r w:rsidR="00413D85" w:rsidRPr="475CF62B">
        <w:rPr>
          <w:rFonts w:eastAsiaTheme="minorEastAsia"/>
          <w:noProof/>
        </w:rPr>
        <w:t>n pursuit of the EU Digital Decade</w:t>
      </w:r>
      <w:r w:rsidR="00413D85" w:rsidRPr="475CF62B">
        <w:rPr>
          <w:rStyle w:val="FootnoteReference"/>
          <w:rFonts w:eastAsiaTheme="minorEastAsia"/>
          <w:noProof/>
        </w:rPr>
        <w:footnoteReference w:id="12"/>
      </w:r>
      <w:r w:rsidR="00413D85" w:rsidRPr="475CF62B">
        <w:rPr>
          <w:rFonts w:eastAsiaTheme="minorEastAsia"/>
          <w:noProof/>
        </w:rPr>
        <w:t xml:space="preserve"> ambition, the EU aims to provide all key public services online by 2030. </w:t>
      </w:r>
      <w:r w:rsidR="00413D85">
        <w:rPr>
          <w:rFonts w:eastAsiaTheme="minorEastAsia"/>
          <w:noProof/>
        </w:rPr>
        <w:t xml:space="preserve"> </w:t>
      </w:r>
    </w:p>
    <w:p w14:paraId="44D2678A" w14:textId="5FE4FB4D" w:rsidR="00FC2FE2" w:rsidRPr="00FC2FE2" w:rsidRDefault="00FC2FE2" w:rsidP="006D3C02">
      <w:pPr>
        <w:jc w:val="both"/>
        <w:rPr>
          <w:noProof/>
          <w:highlight w:val="yellow"/>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242"/>
      </w:tblGrid>
      <w:tr w:rsidR="00DD30E4" w14:paraId="418BC93C" w14:textId="77777777" w:rsidTr="53C55EFE">
        <w:trPr>
          <w:cantSplit/>
          <w:trHeight w:val="274"/>
        </w:trPr>
        <w:tc>
          <w:tcPr>
            <w:tcW w:w="9576" w:type="dxa"/>
          </w:tcPr>
          <w:p w14:paraId="0C0BF391" w14:textId="6E899595" w:rsidR="00277D08" w:rsidRPr="009E6777" w:rsidRDefault="00863F85" w:rsidP="001B531C">
            <w:pPr>
              <w:rPr>
                <w:b/>
                <w:noProof/>
                <w:lang w:val="en-IE"/>
              </w:rPr>
            </w:pPr>
            <w:r w:rsidRPr="009E6777">
              <w:rPr>
                <w:b/>
                <w:noProof/>
              </w:rPr>
              <w:t xml:space="preserve">Graph </w:t>
            </w:r>
            <w:r w:rsidR="00277D08" w:rsidRPr="009E6777">
              <w:rPr>
                <w:b/>
                <w:noProof/>
              </w:rPr>
              <w:t xml:space="preserve">1: Single Market </w:t>
            </w:r>
            <w:r w:rsidR="008E04CB">
              <w:rPr>
                <w:b/>
                <w:noProof/>
              </w:rPr>
              <w:t>t</w:t>
            </w:r>
            <w:r w:rsidR="00277D08" w:rsidRPr="009E6777">
              <w:rPr>
                <w:b/>
                <w:noProof/>
              </w:rPr>
              <w:t>ools</w:t>
            </w:r>
          </w:p>
        </w:tc>
      </w:tr>
      <w:tr w:rsidR="00DD30E4" w14:paraId="774B5908" w14:textId="77777777" w:rsidTr="53C55EFE">
        <w:trPr>
          <w:cantSplit/>
        </w:trPr>
        <w:tc>
          <w:tcPr>
            <w:tcW w:w="9576" w:type="dxa"/>
          </w:tcPr>
          <w:p w14:paraId="444B28DA" w14:textId="41763F34" w:rsidR="00941BA5" w:rsidRDefault="00941BA5" w:rsidP="00277D08">
            <w:pPr>
              <w:jc w:val="center"/>
              <w:rPr>
                <w:noProof/>
                <w:lang w:val="en-IE"/>
              </w:rPr>
            </w:pPr>
          </w:p>
          <w:p w14:paraId="70637991" w14:textId="2BDBF367" w:rsidR="00DF2AF3" w:rsidRDefault="00DF2AF3" w:rsidP="00277D08">
            <w:pPr>
              <w:jc w:val="center"/>
              <w:rPr>
                <w:noProof/>
                <w:lang w:val="en-IE"/>
              </w:rPr>
            </w:pPr>
            <w:r w:rsidRPr="00DF2AF3">
              <w:rPr>
                <w:noProof/>
                <w:lang w:val="en-GB" w:eastAsia="en-GB"/>
              </w:rPr>
              <w:drawing>
                <wp:inline distT="0" distB="0" distL="0" distR="0" wp14:anchorId="3015938E" wp14:editId="46CA7FF5">
                  <wp:extent cx="5943600" cy="42684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4268470"/>
                          </a:xfrm>
                          <a:prstGeom prst="rect">
                            <a:avLst/>
                          </a:prstGeom>
                        </pic:spPr>
                      </pic:pic>
                    </a:graphicData>
                  </a:graphic>
                </wp:inline>
              </w:drawing>
            </w:r>
          </w:p>
          <w:p w14:paraId="2A075B6E" w14:textId="77777777" w:rsidR="00277D08" w:rsidRPr="00FC2FE2" w:rsidRDefault="00277D08" w:rsidP="00DF2AF3">
            <w:pPr>
              <w:jc w:val="center"/>
              <w:rPr>
                <w:noProof/>
                <w:color w:val="2B579A"/>
                <w:shd w:val="clear" w:color="auto" w:fill="E6E6E6"/>
                <w:lang w:val="en-IE" w:eastAsia="en-IE"/>
              </w:rPr>
            </w:pPr>
          </w:p>
        </w:tc>
      </w:tr>
      <w:tr w:rsidR="00DD30E4" w14:paraId="3E361A12" w14:textId="77777777" w:rsidTr="53C55EFE">
        <w:trPr>
          <w:cantSplit/>
          <w:trHeight w:val="280"/>
        </w:trPr>
        <w:tc>
          <w:tcPr>
            <w:tcW w:w="9576" w:type="dxa"/>
          </w:tcPr>
          <w:p w14:paraId="20A39273" w14:textId="17ADF2AA" w:rsidR="00277D08" w:rsidRPr="003D0F5C" w:rsidRDefault="00277D08" w:rsidP="00277D08">
            <w:pPr>
              <w:rPr>
                <w:noProof/>
                <w:sz w:val="16"/>
                <w:szCs w:val="16"/>
              </w:rPr>
            </w:pPr>
            <w:r w:rsidRPr="00166045">
              <w:rPr>
                <w:noProof/>
                <w:sz w:val="16"/>
                <w:szCs w:val="16"/>
              </w:rPr>
              <w:t>Source: European Commission</w:t>
            </w:r>
          </w:p>
        </w:tc>
      </w:tr>
    </w:tbl>
    <w:p w14:paraId="167654CB" w14:textId="77777777" w:rsidR="00CE0812" w:rsidRDefault="00CE0812" w:rsidP="009366E0">
      <w:pPr>
        <w:spacing w:before="120"/>
        <w:jc w:val="both"/>
        <w:rPr>
          <w:noProof/>
          <w:highlight w:val="yellow"/>
        </w:rPr>
      </w:pPr>
    </w:p>
    <w:p w14:paraId="2140A2A2" w14:textId="77777777" w:rsidR="00D135F4" w:rsidRDefault="00D135F4" w:rsidP="009366E0">
      <w:pPr>
        <w:spacing w:before="120"/>
        <w:jc w:val="both"/>
        <w:rPr>
          <w:noProof/>
          <w:highlight w:val="yellow"/>
        </w:rPr>
      </w:pPr>
    </w:p>
    <w:p w14:paraId="2AB1D600" w14:textId="77777777" w:rsidR="00D135F4" w:rsidRPr="008C1F62" w:rsidRDefault="00D135F4" w:rsidP="009366E0">
      <w:pPr>
        <w:spacing w:before="120"/>
        <w:jc w:val="both"/>
        <w:rPr>
          <w:noProof/>
          <w:highlight w:val="yellow"/>
        </w:rPr>
      </w:pPr>
    </w:p>
    <w:p w14:paraId="591A1AAE" w14:textId="780E4602" w:rsidR="00DD30E4" w:rsidRPr="00FA7614" w:rsidRDefault="00DD30E4" w:rsidP="00C33A5B">
      <w:pPr>
        <w:pStyle w:val="ListParagraph"/>
        <w:numPr>
          <w:ilvl w:val="1"/>
          <w:numId w:val="1"/>
        </w:numPr>
        <w:shd w:val="clear" w:color="auto" w:fill="FFFFFF" w:themeFill="background1"/>
        <w:jc w:val="both"/>
        <w:rPr>
          <w:b/>
          <w:bCs/>
          <w:noProof/>
        </w:rPr>
      </w:pPr>
      <w:r w:rsidRPr="00FA7614">
        <w:rPr>
          <w:b/>
          <w:bCs/>
          <w:noProof/>
        </w:rPr>
        <w:t xml:space="preserve"> Boosting the economy </w:t>
      </w:r>
      <w:r w:rsidR="004C5F5C">
        <w:rPr>
          <w:b/>
          <w:bCs/>
          <w:noProof/>
        </w:rPr>
        <w:t xml:space="preserve"> </w:t>
      </w:r>
    </w:p>
    <w:p w14:paraId="5E72B788" w14:textId="5C6A4B44" w:rsidR="00D57E36" w:rsidRDefault="00DD30E4" w:rsidP="00DE369E">
      <w:pPr>
        <w:shd w:val="clear" w:color="auto" w:fill="FFFFFF" w:themeFill="background1"/>
        <w:jc w:val="both"/>
        <w:rPr>
          <w:noProof/>
        </w:rPr>
      </w:pPr>
      <w:r>
        <w:rPr>
          <w:noProof/>
        </w:rPr>
        <w:t xml:space="preserve">As the world’s largest </w:t>
      </w:r>
      <w:r w:rsidR="00EA3463">
        <w:rPr>
          <w:noProof/>
        </w:rPr>
        <w:t xml:space="preserve">integrated </w:t>
      </w:r>
      <w:r>
        <w:rPr>
          <w:noProof/>
        </w:rPr>
        <w:t>market,</w:t>
      </w:r>
      <w:r w:rsidRPr="008C1F62">
        <w:rPr>
          <w:noProof/>
        </w:rPr>
        <w:t xml:space="preserve"> the Single Market has exceeded all expectations</w:t>
      </w:r>
      <w:r>
        <w:rPr>
          <w:noProof/>
        </w:rPr>
        <w:t xml:space="preserve"> in </w:t>
      </w:r>
      <w:r w:rsidRPr="008C1F62">
        <w:rPr>
          <w:noProof/>
        </w:rPr>
        <w:t>macro-economic terms</w:t>
      </w:r>
      <w:r w:rsidRPr="25755A6E">
        <w:rPr>
          <w:noProof/>
        </w:rPr>
        <w:t xml:space="preserve">. </w:t>
      </w:r>
      <w:r w:rsidR="001A02A7">
        <w:rPr>
          <w:noProof/>
        </w:rPr>
        <w:t>Accounting</w:t>
      </w:r>
      <w:r w:rsidRPr="008C1F62">
        <w:rPr>
          <w:noProof/>
        </w:rPr>
        <w:t xml:space="preserve"> for 18% of global GDP</w:t>
      </w:r>
      <w:r w:rsidRPr="008C1F62">
        <w:rPr>
          <w:rStyle w:val="FootnoteReference"/>
          <w:noProof/>
        </w:rPr>
        <w:footnoteReference w:id="13"/>
      </w:r>
      <w:r w:rsidRPr="25755A6E">
        <w:rPr>
          <w:noProof/>
        </w:rPr>
        <w:t xml:space="preserve">, </w:t>
      </w:r>
      <w:r>
        <w:rPr>
          <w:noProof/>
        </w:rPr>
        <w:t>it is</w:t>
      </w:r>
      <w:r w:rsidRPr="25755A6E">
        <w:rPr>
          <w:noProof/>
        </w:rPr>
        <w:t xml:space="preserve"> </w:t>
      </w:r>
      <w:r>
        <w:rPr>
          <w:noProof/>
        </w:rPr>
        <w:t xml:space="preserve">a </w:t>
      </w:r>
      <w:r w:rsidRPr="008C1F62">
        <w:rPr>
          <w:noProof/>
        </w:rPr>
        <w:t xml:space="preserve">springboard for businesses to offer their goods and services to </w:t>
      </w:r>
      <w:r w:rsidR="000A222E">
        <w:rPr>
          <w:noProof/>
        </w:rPr>
        <w:t>more than</w:t>
      </w:r>
      <w:r w:rsidR="00564316">
        <w:rPr>
          <w:noProof/>
        </w:rPr>
        <w:t xml:space="preserve"> 440</w:t>
      </w:r>
      <w:r w:rsidRPr="008C1F62">
        <w:rPr>
          <w:noProof/>
        </w:rPr>
        <w:t xml:space="preserve"> million </w:t>
      </w:r>
      <w:r>
        <w:rPr>
          <w:noProof/>
        </w:rPr>
        <w:t xml:space="preserve">EU </w:t>
      </w:r>
      <w:r w:rsidRPr="008C1F62">
        <w:rPr>
          <w:noProof/>
        </w:rPr>
        <w:t>citizens across the continent</w:t>
      </w:r>
      <w:r w:rsidR="005B6468" w:rsidRPr="25755A6E">
        <w:rPr>
          <w:noProof/>
        </w:rPr>
        <w:t>.</w:t>
      </w:r>
      <w:r w:rsidR="00BB7D74" w:rsidRPr="25755A6E">
        <w:rPr>
          <w:noProof/>
        </w:rPr>
        <w:t xml:space="preserve"> </w:t>
      </w:r>
      <w:r w:rsidR="005B6468">
        <w:rPr>
          <w:noProof/>
        </w:rPr>
        <w:t>I</w:t>
      </w:r>
      <w:r>
        <w:rPr>
          <w:noProof/>
        </w:rPr>
        <w:t>t</w:t>
      </w:r>
      <w:r w:rsidRPr="008C1F62">
        <w:rPr>
          <w:noProof/>
        </w:rPr>
        <w:t xml:space="preserve"> is home to 23 million businesses</w:t>
      </w:r>
      <w:r>
        <w:rPr>
          <w:rStyle w:val="FootnoteReference"/>
          <w:noProof/>
        </w:rPr>
        <w:footnoteReference w:id="14"/>
      </w:r>
      <w:r w:rsidRPr="008C1F62">
        <w:rPr>
          <w:noProof/>
        </w:rPr>
        <w:t xml:space="preserve"> which employ nearly 128 million people</w:t>
      </w:r>
      <w:r w:rsidRPr="008C1F62">
        <w:rPr>
          <w:rStyle w:val="FootnoteReference"/>
          <w:noProof/>
        </w:rPr>
        <w:footnoteReference w:id="15"/>
      </w:r>
      <w:r w:rsidRPr="25755A6E">
        <w:rPr>
          <w:noProof/>
        </w:rPr>
        <w:t xml:space="preserve">. </w:t>
      </w:r>
      <w:r>
        <w:rPr>
          <w:noProof/>
        </w:rPr>
        <w:t xml:space="preserve">The Single Market </w:t>
      </w:r>
      <w:r w:rsidRPr="008C1F62">
        <w:rPr>
          <w:noProof/>
        </w:rPr>
        <w:t xml:space="preserve">has brought very </w:t>
      </w:r>
      <w:r w:rsidRPr="006A6D1A">
        <w:rPr>
          <w:b/>
          <w:bCs/>
          <w:noProof/>
        </w:rPr>
        <w:t>significant economic benefits</w:t>
      </w:r>
      <w:r w:rsidRPr="008C1F62">
        <w:rPr>
          <w:noProof/>
        </w:rPr>
        <w:t xml:space="preserve">, delivering </w:t>
      </w:r>
      <w:r w:rsidR="00FC7C6F">
        <w:rPr>
          <w:noProof/>
        </w:rPr>
        <w:t xml:space="preserve">to the </w:t>
      </w:r>
      <w:r w:rsidRPr="008C1F62">
        <w:rPr>
          <w:noProof/>
        </w:rPr>
        <w:t>EU</w:t>
      </w:r>
      <w:r>
        <w:rPr>
          <w:noProof/>
        </w:rPr>
        <w:t xml:space="preserve"> a</w:t>
      </w:r>
      <w:r w:rsidRPr="008C1F62">
        <w:rPr>
          <w:noProof/>
        </w:rPr>
        <w:t xml:space="preserve"> GDP that </w:t>
      </w:r>
      <w:r w:rsidR="00771FAD">
        <w:rPr>
          <w:noProof/>
        </w:rPr>
        <w:t xml:space="preserve">is </w:t>
      </w:r>
      <w:r w:rsidR="00E03138">
        <w:rPr>
          <w:noProof/>
        </w:rPr>
        <w:t xml:space="preserve">up to </w:t>
      </w:r>
      <w:r w:rsidRPr="008C1F62">
        <w:rPr>
          <w:noProof/>
        </w:rPr>
        <w:t>9% higher</w:t>
      </w:r>
      <w:r w:rsidR="00EF22E8">
        <w:rPr>
          <w:noProof/>
        </w:rPr>
        <w:t xml:space="preserve"> in the long run</w:t>
      </w:r>
      <w:r w:rsidR="003C4B3D" w:rsidRPr="25755A6E">
        <w:rPr>
          <w:noProof/>
        </w:rPr>
        <w:t>,</w:t>
      </w:r>
      <w:r w:rsidRPr="25755A6E" w:rsidDel="00F267BB">
        <w:rPr>
          <w:noProof/>
        </w:rPr>
        <w:t xml:space="preserve"> </w:t>
      </w:r>
      <w:r w:rsidRPr="008C1F62">
        <w:rPr>
          <w:noProof/>
        </w:rPr>
        <w:t>than would have been the case without the Single Market</w:t>
      </w:r>
      <w:r w:rsidRPr="008C1F62">
        <w:rPr>
          <w:rStyle w:val="FootnoteReference"/>
          <w:noProof/>
        </w:rPr>
        <w:footnoteReference w:id="16"/>
      </w:r>
      <w:r w:rsidRPr="25755A6E">
        <w:rPr>
          <w:noProof/>
        </w:rPr>
        <w:t xml:space="preserve">. </w:t>
      </w:r>
      <w:r>
        <w:rPr>
          <w:noProof/>
        </w:rPr>
        <w:t>This</w:t>
      </w:r>
      <w:r w:rsidRPr="008C1F62">
        <w:rPr>
          <w:noProof/>
        </w:rPr>
        <w:t xml:space="preserve"> integration has </w:t>
      </w:r>
      <w:r>
        <w:rPr>
          <w:noProof/>
        </w:rPr>
        <w:t>been, and continues to be,</w:t>
      </w:r>
      <w:r w:rsidRPr="008C1F62">
        <w:rPr>
          <w:noProof/>
        </w:rPr>
        <w:t xml:space="preserve"> a</w:t>
      </w:r>
      <w:r w:rsidRPr="25755A6E">
        <w:rPr>
          <w:noProof/>
        </w:rPr>
        <w:t xml:space="preserve"> </w:t>
      </w:r>
      <w:r w:rsidRPr="006A6D1A">
        <w:rPr>
          <w:b/>
          <w:bCs/>
          <w:noProof/>
        </w:rPr>
        <w:t>fundamental source of growth and job creation</w:t>
      </w:r>
      <w:r w:rsidRPr="008C1F62">
        <w:rPr>
          <w:rStyle w:val="FootnoteReference"/>
          <w:noProof/>
        </w:rPr>
        <w:footnoteReference w:id="17"/>
      </w:r>
      <w:r w:rsidRPr="25755A6E">
        <w:rPr>
          <w:noProof/>
        </w:rPr>
        <w:t>.</w:t>
      </w:r>
      <w:bookmarkStart w:id="5" w:name="_Ref107325954"/>
      <w:r w:rsidRPr="25755A6E">
        <w:rPr>
          <w:noProof/>
        </w:rPr>
        <w:t xml:space="preserve"> </w:t>
      </w:r>
      <w:r w:rsidR="00DF0FBC" w:rsidRPr="00D4517A">
        <w:rPr>
          <w:noProof/>
        </w:rPr>
        <w:t xml:space="preserve">Whereas total employment in the EU </w:t>
      </w:r>
      <w:r w:rsidR="00A10B49" w:rsidRPr="00D4517A">
        <w:rPr>
          <w:noProof/>
        </w:rPr>
        <w:t xml:space="preserve">increased </w:t>
      </w:r>
      <w:r w:rsidR="00DF0FBC" w:rsidRPr="00D4517A">
        <w:rPr>
          <w:noProof/>
        </w:rPr>
        <w:t xml:space="preserve">by 5.5% </w:t>
      </w:r>
      <w:r w:rsidR="00A10B49" w:rsidRPr="00D4517A">
        <w:rPr>
          <w:noProof/>
        </w:rPr>
        <w:t xml:space="preserve">in </w:t>
      </w:r>
      <w:r w:rsidR="00DF0FBC" w:rsidRPr="00D4517A">
        <w:rPr>
          <w:noProof/>
        </w:rPr>
        <w:t>2000</w:t>
      </w:r>
      <w:r w:rsidR="00A10B49" w:rsidRPr="00D4517A">
        <w:rPr>
          <w:noProof/>
        </w:rPr>
        <w:t>-2014</w:t>
      </w:r>
      <w:r w:rsidR="00DF0FBC" w:rsidRPr="00D4517A">
        <w:rPr>
          <w:noProof/>
        </w:rPr>
        <w:t>, the number of jobs reliant on cross-border services</w:t>
      </w:r>
      <w:r w:rsidR="00A10B49" w:rsidRPr="00D4517A">
        <w:rPr>
          <w:rStyle w:val="FootnoteReference"/>
          <w:noProof/>
        </w:rPr>
        <w:footnoteReference w:id="18"/>
      </w:r>
      <w:r w:rsidR="00DF0FBC" w:rsidRPr="00D4517A">
        <w:rPr>
          <w:noProof/>
        </w:rPr>
        <w:t xml:space="preserve"> almost doubled in the same period (</w:t>
      </w:r>
      <w:r w:rsidR="00A10B49" w:rsidRPr="00D4517A">
        <w:rPr>
          <w:noProof/>
        </w:rPr>
        <w:t>from 5.6 to 10.9 million</w:t>
      </w:r>
      <w:r w:rsidR="00DF0FBC" w:rsidRPr="00D4517A">
        <w:rPr>
          <w:noProof/>
        </w:rPr>
        <w:t>)</w:t>
      </w:r>
      <w:r w:rsidR="00045DB6" w:rsidRPr="00D4517A">
        <w:rPr>
          <w:rStyle w:val="FootnoteReference"/>
          <w:noProof/>
          <w:lang w:val="en-GB"/>
        </w:rPr>
        <w:footnoteReference w:id="19"/>
      </w:r>
      <w:r w:rsidR="00045DB6" w:rsidRPr="00D4517A">
        <w:rPr>
          <w:noProof/>
        </w:rPr>
        <w:t xml:space="preserve">. </w:t>
      </w:r>
      <w:r w:rsidRPr="00D4517A">
        <w:rPr>
          <w:noProof/>
        </w:rPr>
        <w:t xml:space="preserve">The level of trade between Member States in goods and services in comparison to the size of the EU economy has approximately doubled over the last 30 years. </w:t>
      </w:r>
      <w:r w:rsidR="00D57E36" w:rsidRPr="00D4517A">
        <w:rPr>
          <w:noProof/>
        </w:rPr>
        <w:t>Researchers</w:t>
      </w:r>
      <w:r w:rsidR="00D57E36" w:rsidRPr="008C1F62">
        <w:rPr>
          <w:noProof/>
        </w:rPr>
        <w:t xml:space="preserve"> </w:t>
      </w:r>
      <w:r w:rsidR="00D57E36">
        <w:rPr>
          <w:noProof/>
        </w:rPr>
        <w:t xml:space="preserve">suggest </w:t>
      </w:r>
      <w:r w:rsidR="00D57E36" w:rsidRPr="008C1F62">
        <w:rPr>
          <w:noProof/>
        </w:rPr>
        <w:t>that economic integration in Europe is</w:t>
      </w:r>
      <w:r w:rsidR="00D57E36">
        <w:rPr>
          <w:noProof/>
        </w:rPr>
        <w:t xml:space="preserve"> </w:t>
      </w:r>
      <w:r w:rsidR="00D57E36" w:rsidRPr="008C1F62">
        <w:rPr>
          <w:noProof/>
        </w:rPr>
        <w:t>more advanced from a regulatory standpoint than, for example, in the United States</w:t>
      </w:r>
      <w:r w:rsidR="00D57E36">
        <w:rPr>
          <w:noProof/>
        </w:rPr>
        <w:t>.</w:t>
      </w:r>
      <w:r w:rsidR="00D57E36" w:rsidRPr="008C1F62">
        <w:rPr>
          <w:rStyle w:val="FootnoteReference"/>
          <w:noProof/>
        </w:rPr>
        <w:footnoteReference w:id="20"/>
      </w:r>
      <w:r w:rsidR="00D57E36" w:rsidRPr="008C1F62">
        <w:rPr>
          <w:noProof/>
        </w:rPr>
        <w:t xml:space="preserve"> </w:t>
      </w:r>
    </w:p>
    <w:p w14:paraId="518D4633" w14:textId="77777777" w:rsidR="00D135F4" w:rsidRDefault="00D135F4" w:rsidP="00F17E86">
      <w:pPr>
        <w:jc w:val="both"/>
        <w:rPr>
          <w:noProof/>
        </w:rPr>
      </w:pPr>
    </w:p>
    <w:p w14:paraId="5F98DF95" w14:textId="77777777" w:rsidR="00DE369E" w:rsidRDefault="00DE369E" w:rsidP="00F17E86">
      <w:pPr>
        <w:jc w:val="both"/>
        <w:rPr>
          <w:noProof/>
        </w:rPr>
      </w:pPr>
    </w:p>
    <w:p w14:paraId="1628686F" w14:textId="77777777" w:rsidR="00D135F4" w:rsidRDefault="00D135F4" w:rsidP="00F17E86">
      <w:pPr>
        <w:jc w:val="both"/>
        <w:rPr>
          <w:noProof/>
        </w:rPr>
      </w:pPr>
    </w:p>
    <w:p w14:paraId="030D67A1" w14:textId="77777777" w:rsidR="00D135F4" w:rsidRDefault="00D135F4" w:rsidP="00F17E86">
      <w:pPr>
        <w:jc w:val="both"/>
        <w:rPr>
          <w:noProof/>
        </w:rPr>
      </w:pPr>
    </w:p>
    <w:p w14:paraId="6EFF64C8" w14:textId="77777777" w:rsidR="00D135F4" w:rsidRDefault="00D135F4" w:rsidP="00F17E86">
      <w:pPr>
        <w:jc w:val="both"/>
        <w:rPr>
          <w:noProof/>
        </w:rPr>
      </w:pPr>
    </w:p>
    <w:p w14:paraId="49B9085D" w14:textId="77777777" w:rsidR="00D135F4" w:rsidRDefault="00D135F4" w:rsidP="00F17E86">
      <w:pPr>
        <w:jc w:val="both"/>
        <w:rPr>
          <w:noProof/>
        </w:rPr>
      </w:pPr>
    </w:p>
    <w:p w14:paraId="54AA5256" w14:textId="77777777" w:rsidR="00D135F4" w:rsidRDefault="00D135F4" w:rsidP="00F17E86">
      <w:pPr>
        <w:jc w:val="both"/>
        <w:rPr>
          <w:noProof/>
        </w:rPr>
      </w:pPr>
    </w:p>
    <w:p w14:paraId="3C6C021C" w14:textId="77777777" w:rsidR="00D135F4" w:rsidRDefault="00D135F4" w:rsidP="00F17E86">
      <w:pPr>
        <w:jc w:val="both"/>
        <w:rPr>
          <w:noProof/>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242"/>
      </w:tblGrid>
      <w:tr w:rsidR="007000E1" w14:paraId="19332B77" w14:textId="77777777" w:rsidTr="00613067">
        <w:trPr>
          <w:cantSplit/>
        </w:trPr>
        <w:tc>
          <w:tcPr>
            <w:tcW w:w="9242" w:type="dxa"/>
          </w:tcPr>
          <w:bookmarkEnd w:id="5"/>
          <w:p w14:paraId="566FC707" w14:textId="49A2950D" w:rsidR="00B479FD" w:rsidRDefault="002F2559" w:rsidP="00DD30E4">
            <w:pPr>
              <w:rPr>
                <w:rFonts w:eastAsia="Times New Roman" w:cs="Times New Roman"/>
                <w:noProof/>
                <w:lang w:val="en-GB"/>
              </w:rPr>
            </w:pPr>
            <w:r w:rsidRPr="003D0F5C">
              <w:rPr>
                <w:rFonts w:cs="Times New Roman"/>
                <w:b/>
                <w:noProof/>
                <w:lang w:val="en-GB"/>
              </w:rPr>
              <w:lastRenderedPageBreak/>
              <w:t xml:space="preserve">Graph </w:t>
            </w:r>
            <w:r w:rsidR="00B479FD" w:rsidRPr="008E596E">
              <w:rPr>
                <w:rFonts w:cs="Times New Roman"/>
                <w:b/>
                <w:bCs/>
                <w:noProof/>
                <w:lang w:val="en-GB"/>
              </w:rPr>
              <w:t>2</w:t>
            </w:r>
            <w:r w:rsidR="00B479FD" w:rsidRPr="003D0F5C">
              <w:rPr>
                <w:rFonts w:cs="Times New Roman"/>
                <w:b/>
                <w:noProof/>
                <w:lang w:val="en-GB"/>
              </w:rPr>
              <w:t>: Trade in goods and services within the Single Market (1993-2021)</w:t>
            </w:r>
          </w:p>
        </w:tc>
      </w:tr>
      <w:tr w:rsidR="007000E1" w14:paraId="4D9B978E" w14:textId="77777777" w:rsidTr="00613067">
        <w:trPr>
          <w:cantSplit/>
        </w:trPr>
        <w:tc>
          <w:tcPr>
            <w:tcW w:w="9242" w:type="dxa"/>
          </w:tcPr>
          <w:p w14:paraId="5B17387D" w14:textId="77777777" w:rsidR="00B479FD" w:rsidRDefault="00B479FD" w:rsidP="00733A21">
            <w:pPr>
              <w:jc w:val="center"/>
              <w:rPr>
                <w:rFonts w:eastAsia="Times New Roman" w:cs="Times New Roman"/>
                <w:noProof/>
                <w:lang w:val="en-GB"/>
              </w:rPr>
            </w:pPr>
          </w:p>
          <w:p w14:paraId="24DEFF75" w14:textId="77777777" w:rsidR="00B479FD" w:rsidRPr="000E757D" w:rsidRDefault="00B479FD" w:rsidP="00733A21">
            <w:pPr>
              <w:jc w:val="center"/>
              <w:rPr>
                <w:rFonts w:eastAsia="Times New Roman" w:cs="Times New Roman"/>
                <w:noProof/>
                <w:lang w:val="en-GB"/>
              </w:rPr>
            </w:pPr>
            <w:r w:rsidRPr="008C1F62">
              <w:rPr>
                <w:noProof/>
                <w:color w:val="2B579A"/>
                <w:shd w:val="clear" w:color="auto" w:fill="E6E6E6"/>
                <w:lang w:val="en-GB" w:eastAsia="en-GB"/>
              </w:rPr>
              <w:drawing>
                <wp:inline distT="0" distB="0" distL="0" distR="0" wp14:anchorId="3181BA22" wp14:editId="58CE7401">
                  <wp:extent cx="4238625" cy="2409825"/>
                  <wp:effectExtent l="0" t="0" r="635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4238625" cy="2409825"/>
                          </a:xfrm>
                          <a:prstGeom prst="rect">
                            <a:avLst/>
                          </a:prstGeom>
                          <a:ln>
                            <a:noFill/>
                          </a:ln>
                          <a:extLst>
                            <a:ext uri="{53640926-AAD7-44D8-BBD7-CCE9431645EC}">
                              <a14:shadowObscured xmlns:a14="http://schemas.microsoft.com/office/drawing/2010/main"/>
                            </a:ext>
                          </a:extLst>
                        </pic:spPr>
                      </pic:pic>
                    </a:graphicData>
                  </a:graphic>
                </wp:inline>
              </w:drawing>
            </w:r>
          </w:p>
          <w:p w14:paraId="19FB0280" w14:textId="77777777" w:rsidR="00B479FD" w:rsidRDefault="00B479FD" w:rsidP="00733A21">
            <w:pPr>
              <w:jc w:val="center"/>
              <w:rPr>
                <w:rFonts w:eastAsia="Times New Roman" w:cs="Times New Roman"/>
                <w:noProof/>
                <w:lang w:val="en-GB"/>
              </w:rPr>
            </w:pPr>
          </w:p>
        </w:tc>
      </w:tr>
      <w:tr w:rsidR="007000E1" w14:paraId="708A1B84" w14:textId="77777777" w:rsidTr="00613067">
        <w:trPr>
          <w:cantSplit/>
        </w:trPr>
        <w:tc>
          <w:tcPr>
            <w:tcW w:w="9242" w:type="dxa"/>
          </w:tcPr>
          <w:p w14:paraId="7E752E9C" w14:textId="5099DEFF" w:rsidR="00B479FD" w:rsidRPr="00733A21" w:rsidRDefault="00B479FD" w:rsidP="00DD30E4">
            <w:pPr>
              <w:rPr>
                <w:rFonts w:eastAsia="Times New Roman" w:cs="Times New Roman"/>
                <w:noProof/>
                <w:lang w:val="en-IE"/>
              </w:rPr>
            </w:pPr>
            <w:r w:rsidRPr="008C1F62">
              <w:rPr>
                <w:rFonts w:eastAsia="Times New Roman" w:cs="Times New Roman"/>
                <w:noProof/>
                <w:sz w:val="16"/>
                <w:szCs w:val="16"/>
                <w:lang w:val="en-GB"/>
              </w:rPr>
              <w:t>Source:  Commission services, based on Eurostat. Note: the graph shows intra-EU trade flows in goods and services as a share of EU GDP. The vertical dotted lines in the graph highlight changes in the scope of data on trade and GDP being considered, in light of the number of Member States (e.g. the period 2007-2012</w:t>
            </w:r>
            <w:r w:rsidRPr="008C1F62">
              <w:rPr>
                <w:noProof/>
                <w:lang w:val="en-GB"/>
              </w:rPr>
              <w:t xml:space="preserve"> </w:t>
            </w:r>
            <w:r w:rsidRPr="008C1F62">
              <w:rPr>
                <w:rFonts w:eastAsia="Times New Roman" w:cs="Times New Roman"/>
                <w:noProof/>
                <w:sz w:val="16"/>
                <w:szCs w:val="16"/>
                <w:lang w:val="en-GB"/>
              </w:rPr>
              <w:t>considers trade and GDP for EU-27, whereas the period 2013-2019 considers trade and GDP for EU-28). Trade is measured by the average of imports and exports.</w:t>
            </w:r>
          </w:p>
        </w:tc>
      </w:tr>
    </w:tbl>
    <w:p w14:paraId="24297EBA" w14:textId="77777777" w:rsidR="00A93E10" w:rsidRDefault="00A93E10" w:rsidP="00DD30E4">
      <w:pPr>
        <w:jc w:val="both"/>
        <w:rPr>
          <w:rFonts w:eastAsiaTheme="minorEastAsia"/>
          <w:noProof/>
        </w:rPr>
      </w:pPr>
    </w:p>
    <w:p w14:paraId="062920B7" w14:textId="19CD01EB" w:rsidR="00FE1822" w:rsidRPr="00F570CB" w:rsidRDefault="00A93E10">
      <w:pPr>
        <w:jc w:val="both"/>
        <w:rPr>
          <w:rFonts w:eastAsiaTheme="minorEastAsia"/>
          <w:noProof/>
        </w:rPr>
      </w:pPr>
      <w:r w:rsidRPr="475CF62B">
        <w:rPr>
          <w:rFonts w:eastAsiaTheme="minorEastAsia"/>
          <w:noProof/>
        </w:rPr>
        <w:t xml:space="preserve">Moreover, the </w:t>
      </w:r>
      <w:r w:rsidR="00EA3463" w:rsidRPr="475CF62B">
        <w:rPr>
          <w:rFonts w:eastAsiaTheme="minorEastAsia"/>
          <w:noProof/>
        </w:rPr>
        <w:t>S</w:t>
      </w:r>
      <w:r w:rsidRPr="475CF62B">
        <w:rPr>
          <w:rFonts w:eastAsiaTheme="minorEastAsia"/>
          <w:noProof/>
        </w:rPr>
        <w:t xml:space="preserve">ingle </w:t>
      </w:r>
      <w:r w:rsidR="00EA3463" w:rsidRPr="475CF62B">
        <w:rPr>
          <w:rFonts w:eastAsiaTheme="minorEastAsia"/>
          <w:noProof/>
        </w:rPr>
        <w:t>M</w:t>
      </w:r>
      <w:r w:rsidRPr="475CF62B">
        <w:rPr>
          <w:rFonts w:eastAsiaTheme="minorEastAsia"/>
          <w:noProof/>
        </w:rPr>
        <w:t xml:space="preserve">arket is an important vehicle for </w:t>
      </w:r>
      <w:r w:rsidRPr="007F73B4">
        <w:rPr>
          <w:rFonts w:eastAsiaTheme="minorEastAsia"/>
          <w:b/>
          <w:noProof/>
        </w:rPr>
        <w:t>financial integration</w:t>
      </w:r>
      <w:r w:rsidRPr="475CF62B">
        <w:rPr>
          <w:rFonts w:eastAsiaTheme="minorEastAsia"/>
          <w:noProof/>
        </w:rPr>
        <w:t xml:space="preserve"> in Europe and essential for the economic and monetary union.</w:t>
      </w:r>
      <w:r w:rsidR="00E543C1" w:rsidRPr="475CF62B">
        <w:rPr>
          <w:rFonts w:eastAsiaTheme="minorEastAsia"/>
          <w:noProof/>
        </w:rPr>
        <w:t xml:space="preserve"> It makes it easier for businesses to raise money and makes Europe a more attractive place to invest</w:t>
      </w:r>
      <w:r w:rsidR="007F6785" w:rsidRPr="475CF62B">
        <w:rPr>
          <w:rStyle w:val="FootnoteReference"/>
          <w:rFonts w:eastAsiaTheme="minorEastAsia"/>
          <w:noProof/>
        </w:rPr>
        <w:footnoteReference w:id="21"/>
      </w:r>
      <w:r w:rsidR="00E543C1" w:rsidRPr="475CF62B">
        <w:rPr>
          <w:rFonts w:eastAsiaTheme="minorEastAsia"/>
          <w:noProof/>
        </w:rPr>
        <w:t>.</w:t>
      </w:r>
      <w:r w:rsidR="004E7264" w:rsidRPr="475CF62B">
        <w:rPr>
          <w:rFonts w:eastAsiaTheme="minorEastAsia"/>
          <w:noProof/>
        </w:rPr>
        <w:t xml:space="preserve"> </w:t>
      </w:r>
      <w:r w:rsidR="0076165F" w:rsidRPr="00EF5B16">
        <w:rPr>
          <w:noProof/>
        </w:rPr>
        <w:t xml:space="preserve">Intra-EU holdings of foreign direct investments and portfolio investments kept increasing in the last decades, were almost 5 times higher, and 4 times higher, respectively, in the second quarter of 2021 compared to the beginning of 2002. </w:t>
      </w:r>
      <w:r w:rsidR="00FE1822">
        <w:rPr>
          <w:noProof/>
          <w:color w:val="000000" w:themeColor="text1"/>
        </w:rPr>
        <w:t xml:space="preserve">As part of the Capital Markets Union Action Plan, several initiatives are underway to complete the Single market for Capital. </w:t>
      </w:r>
      <w:r w:rsidR="00D81C09">
        <w:rPr>
          <w:noProof/>
        </w:rPr>
        <w:t>Most recently</w:t>
      </w:r>
      <w:r w:rsidR="00DF3FAE">
        <w:rPr>
          <w:noProof/>
        </w:rPr>
        <w:t>, in December 2022</w:t>
      </w:r>
      <w:r w:rsidR="00D81C09">
        <w:rPr>
          <w:noProof/>
        </w:rPr>
        <w:t>,</w:t>
      </w:r>
      <w:r w:rsidR="00D81C09" w:rsidRPr="475CF62B">
        <w:rPr>
          <w:rFonts w:eastAsiaTheme="minorEastAsia"/>
          <w:noProof/>
        </w:rPr>
        <w:t xml:space="preserve"> as part of the Capital Markets Union, </w:t>
      </w:r>
      <w:r w:rsidR="004E7264" w:rsidRPr="475CF62B">
        <w:rPr>
          <w:rFonts w:eastAsiaTheme="minorEastAsia"/>
          <w:noProof/>
        </w:rPr>
        <w:t>the Commission put forward a proposal to cut red tape for companies, in particular SMEs, aiming to raise funds on stock exchanges</w:t>
      </w:r>
      <w:r w:rsidR="00FE1822" w:rsidRPr="00FE1822">
        <w:rPr>
          <w:rFonts w:eastAsiaTheme="minorEastAsia"/>
          <w:noProof/>
        </w:rPr>
        <w:t xml:space="preserve"> </w:t>
      </w:r>
      <w:r w:rsidR="00FE1822">
        <w:rPr>
          <w:rFonts w:eastAsiaTheme="minorEastAsia"/>
          <w:noProof/>
        </w:rPr>
        <w:t xml:space="preserve">and a proposal to address structural barriers </w:t>
      </w:r>
      <w:r w:rsidR="00FE1822">
        <w:rPr>
          <w:rFonts w:eastAsia="Calibri"/>
          <w:noProof/>
        </w:rPr>
        <w:t>by harmonising key aspects of corporate insolvency laws</w:t>
      </w:r>
      <w:r w:rsidR="004E7264" w:rsidRPr="475CF62B">
        <w:rPr>
          <w:rFonts w:eastAsiaTheme="minorEastAsia"/>
          <w:noProof/>
        </w:rPr>
        <w:t xml:space="preserve">. </w:t>
      </w:r>
      <w:r w:rsidR="00D82974">
        <w:rPr>
          <w:rFonts w:eastAsiaTheme="minorEastAsia"/>
          <w:noProof/>
        </w:rPr>
        <w:t>Nevertheless</w:t>
      </w:r>
      <w:r w:rsidR="004E7264" w:rsidRPr="475CF62B">
        <w:rPr>
          <w:rFonts w:eastAsiaTheme="minorEastAsia"/>
          <w:noProof/>
        </w:rPr>
        <w:t>, much more remains to be done to integrate national capital markets.</w:t>
      </w:r>
      <w:r w:rsidR="00F75AC2">
        <w:rPr>
          <w:rFonts w:eastAsiaTheme="minorEastAsia"/>
          <w:noProof/>
        </w:rPr>
        <w:t xml:space="preserve"> </w:t>
      </w:r>
      <w:r w:rsidR="00FE1822" w:rsidRPr="009B729E">
        <w:rPr>
          <w:noProof/>
          <w:lang w:val="en-US"/>
        </w:rPr>
        <w:t xml:space="preserve">Integrated and trusted payment systems support the functioning of the </w:t>
      </w:r>
      <w:r w:rsidR="007E38F6">
        <w:rPr>
          <w:noProof/>
          <w:lang w:val="en-US"/>
        </w:rPr>
        <w:t>S</w:t>
      </w:r>
      <w:r w:rsidR="00FE1822" w:rsidRPr="009B729E">
        <w:rPr>
          <w:noProof/>
          <w:lang w:val="en-US"/>
        </w:rPr>
        <w:t xml:space="preserve">ingle </w:t>
      </w:r>
      <w:r w:rsidR="007E38F6">
        <w:rPr>
          <w:noProof/>
          <w:lang w:val="en-US"/>
        </w:rPr>
        <w:t>M</w:t>
      </w:r>
      <w:r w:rsidR="00FE1822" w:rsidRPr="009B729E">
        <w:rPr>
          <w:noProof/>
          <w:lang w:val="en-US"/>
        </w:rPr>
        <w:t xml:space="preserve">arket and thus contribute to </w:t>
      </w:r>
      <w:r w:rsidR="007E38F6">
        <w:rPr>
          <w:noProof/>
          <w:lang w:val="en-US"/>
        </w:rPr>
        <w:t xml:space="preserve">the </w:t>
      </w:r>
      <w:r w:rsidR="00FE1822" w:rsidRPr="009B729E">
        <w:rPr>
          <w:noProof/>
          <w:lang w:val="en-US"/>
        </w:rPr>
        <w:t xml:space="preserve">EU’s competitiveness. </w:t>
      </w:r>
    </w:p>
    <w:p w14:paraId="04777FF0" w14:textId="260DB801" w:rsidR="002D76B8" w:rsidRDefault="00C57DCB" w:rsidP="00DD30E4">
      <w:pPr>
        <w:jc w:val="both"/>
        <w:rPr>
          <w:noProof/>
        </w:rPr>
      </w:pPr>
      <w:bookmarkStart w:id="6" w:name="_Hlk127808217"/>
      <w:r w:rsidRPr="475CF62B">
        <w:rPr>
          <w:rFonts w:eastAsiaTheme="minorEastAsia"/>
          <w:noProof/>
        </w:rPr>
        <w:t xml:space="preserve">The social benefits of the </w:t>
      </w:r>
      <w:r w:rsidR="00D57E36" w:rsidRPr="475CF62B">
        <w:rPr>
          <w:rFonts w:eastAsiaTheme="minorEastAsia"/>
          <w:noProof/>
        </w:rPr>
        <w:t>S</w:t>
      </w:r>
      <w:r w:rsidRPr="475CF62B">
        <w:rPr>
          <w:rFonts w:eastAsiaTheme="minorEastAsia"/>
          <w:noProof/>
        </w:rPr>
        <w:t xml:space="preserve">ingle </w:t>
      </w:r>
      <w:r w:rsidR="00D57E36" w:rsidRPr="475CF62B">
        <w:rPr>
          <w:rFonts w:eastAsiaTheme="minorEastAsia"/>
          <w:noProof/>
        </w:rPr>
        <w:t>M</w:t>
      </w:r>
      <w:r w:rsidRPr="475CF62B">
        <w:rPr>
          <w:rFonts w:eastAsiaTheme="minorEastAsia"/>
          <w:noProof/>
        </w:rPr>
        <w:t xml:space="preserve">arket on employment </w:t>
      </w:r>
      <w:r w:rsidR="007B148C" w:rsidRPr="475CF62B">
        <w:rPr>
          <w:rFonts w:eastAsiaTheme="minorEastAsia"/>
          <w:noProof/>
        </w:rPr>
        <w:t xml:space="preserve">are </w:t>
      </w:r>
      <w:r w:rsidR="00D57E36" w:rsidRPr="475CF62B">
        <w:rPr>
          <w:rFonts w:eastAsiaTheme="minorEastAsia"/>
          <w:noProof/>
        </w:rPr>
        <w:t xml:space="preserve">also </w:t>
      </w:r>
      <w:r w:rsidR="007B148C" w:rsidRPr="475CF62B">
        <w:rPr>
          <w:rFonts w:eastAsiaTheme="minorEastAsia"/>
          <w:noProof/>
        </w:rPr>
        <w:t>significant</w:t>
      </w:r>
      <w:r w:rsidRPr="475CF62B">
        <w:rPr>
          <w:rFonts w:eastAsiaTheme="minorEastAsia"/>
          <w:noProof/>
        </w:rPr>
        <w:t xml:space="preserve">, with up to 56 million jobs in the EU depending on </w:t>
      </w:r>
      <w:r w:rsidR="00D57E36" w:rsidRPr="475CF62B">
        <w:rPr>
          <w:rFonts w:eastAsiaTheme="minorEastAsia"/>
          <w:noProof/>
        </w:rPr>
        <w:t xml:space="preserve">intra-EU </w:t>
      </w:r>
      <w:r w:rsidRPr="475CF62B">
        <w:rPr>
          <w:rFonts w:eastAsiaTheme="minorEastAsia"/>
          <w:noProof/>
        </w:rPr>
        <w:t xml:space="preserve">trade. </w:t>
      </w:r>
      <w:r w:rsidR="008172F0" w:rsidRPr="475CF62B">
        <w:rPr>
          <w:rFonts w:eastAsiaTheme="minorEastAsia"/>
          <w:noProof/>
        </w:rPr>
        <w:t>T</w:t>
      </w:r>
      <w:r w:rsidRPr="475CF62B">
        <w:rPr>
          <w:rFonts w:eastAsiaTheme="minorEastAsia"/>
          <w:noProof/>
        </w:rPr>
        <w:t>he number of mobile EU workers ha</w:t>
      </w:r>
      <w:r w:rsidR="003909A8" w:rsidRPr="475CF62B">
        <w:rPr>
          <w:rFonts w:eastAsiaTheme="minorEastAsia"/>
          <w:noProof/>
        </w:rPr>
        <w:t>s</w:t>
      </w:r>
      <w:r w:rsidRPr="475CF62B">
        <w:rPr>
          <w:rFonts w:eastAsiaTheme="minorEastAsia"/>
          <w:noProof/>
        </w:rPr>
        <w:t xml:space="preserve"> increas</w:t>
      </w:r>
      <w:r w:rsidR="003909A8" w:rsidRPr="475CF62B">
        <w:rPr>
          <w:rFonts w:eastAsiaTheme="minorEastAsia"/>
          <w:noProof/>
        </w:rPr>
        <w:t>ed</w:t>
      </w:r>
      <w:r w:rsidRPr="475CF62B">
        <w:rPr>
          <w:rFonts w:eastAsiaTheme="minorEastAsia"/>
          <w:noProof/>
        </w:rPr>
        <w:t xml:space="preserve"> steadily </w:t>
      </w:r>
      <w:r w:rsidR="003909A8" w:rsidRPr="475CF62B">
        <w:rPr>
          <w:rFonts w:eastAsiaTheme="minorEastAsia"/>
          <w:noProof/>
        </w:rPr>
        <w:t>in the last 30 years</w:t>
      </w:r>
      <w:r w:rsidRPr="475CF62B">
        <w:rPr>
          <w:rFonts w:eastAsiaTheme="minorEastAsia"/>
          <w:noProof/>
        </w:rPr>
        <w:t xml:space="preserve"> thanks also to programmes such as EURES</w:t>
      </w:r>
      <w:r w:rsidR="00AA3EEB" w:rsidRPr="475CF62B">
        <w:rPr>
          <w:rStyle w:val="FootnoteReference"/>
          <w:rFonts w:eastAsiaTheme="minorEastAsia"/>
          <w:noProof/>
        </w:rPr>
        <w:footnoteReference w:id="22"/>
      </w:r>
      <w:r w:rsidRPr="475CF62B">
        <w:rPr>
          <w:rFonts w:eastAsiaTheme="minorEastAsia"/>
          <w:noProof/>
        </w:rPr>
        <w:t xml:space="preserve"> and to policies aimed at improving </w:t>
      </w:r>
      <w:r w:rsidR="00604EB3" w:rsidRPr="475CF62B">
        <w:rPr>
          <w:rFonts w:eastAsiaTheme="minorEastAsia"/>
          <w:noProof/>
        </w:rPr>
        <w:t xml:space="preserve">qualifications and </w:t>
      </w:r>
      <w:r w:rsidRPr="475CF62B">
        <w:rPr>
          <w:rFonts w:eastAsiaTheme="minorEastAsia"/>
          <w:noProof/>
        </w:rPr>
        <w:t xml:space="preserve">skills recognition. </w:t>
      </w:r>
      <w:r w:rsidR="00BE0B6E">
        <w:rPr>
          <w:rFonts w:eastAsiaTheme="minorEastAsia"/>
          <w:noProof/>
        </w:rPr>
        <w:t>The EU model of a social market economy r</w:t>
      </w:r>
      <w:r w:rsidR="00E85EB6">
        <w:rPr>
          <w:rFonts w:eastAsiaTheme="minorEastAsia"/>
          <w:noProof/>
        </w:rPr>
        <w:t>elies</w:t>
      </w:r>
      <w:r w:rsidR="00BE0B6E">
        <w:rPr>
          <w:rFonts w:eastAsiaTheme="minorEastAsia"/>
          <w:noProof/>
        </w:rPr>
        <w:t xml:space="preserve"> on high social standards as promoted by t</w:t>
      </w:r>
      <w:r w:rsidR="00DD30E4" w:rsidRPr="475CF62B">
        <w:rPr>
          <w:rFonts w:eastAsiaTheme="minorEastAsia"/>
          <w:noProof/>
        </w:rPr>
        <w:t xml:space="preserve">he </w:t>
      </w:r>
      <w:r w:rsidR="00DD30E4" w:rsidRPr="006A6D1A">
        <w:rPr>
          <w:b/>
          <w:bCs/>
          <w:noProof/>
        </w:rPr>
        <w:t>European Pillar of Social Rights</w:t>
      </w:r>
      <w:r w:rsidR="00DC0CD7">
        <w:rPr>
          <w:b/>
          <w:bCs/>
          <w:noProof/>
        </w:rPr>
        <w:t>.</w:t>
      </w:r>
      <w:r w:rsidR="00DD30E4" w:rsidRPr="475CF62B">
        <w:rPr>
          <w:rFonts w:eastAsiaTheme="minorEastAsia"/>
          <w:noProof/>
        </w:rPr>
        <w:t xml:space="preserve"> </w:t>
      </w:r>
      <w:r w:rsidR="002D76B8">
        <w:rPr>
          <w:noProof/>
        </w:rPr>
        <w:t xml:space="preserve">It promotes </w:t>
      </w:r>
      <w:r w:rsidR="002D76B8" w:rsidRPr="002D76B8">
        <w:rPr>
          <w:noProof/>
        </w:rPr>
        <w:t>equal opportunities and access to the labour market</w:t>
      </w:r>
      <w:r w:rsidR="002D76B8">
        <w:rPr>
          <w:noProof/>
        </w:rPr>
        <w:t xml:space="preserve">, </w:t>
      </w:r>
      <w:r w:rsidR="002D76B8" w:rsidRPr="002D76B8">
        <w:rPr>
          <w:noProof/>
        </w:rPr>
        <w:t xml:space="preserve">fair working </w:t>
      </w:r>
      <w:r w:rsidR="002D76B8" w:rsidRPr="002D76B8">
        <w:rPr>
          <w:noProof/>
        </w:rPr>
        <w:lastRenderedPageBreak/>
        <w:t>conditions and</w:t>
      </w:r>
      <w:r w:rsidR="002D76B8">
        <w:rPr>
          <w:noProof/>
        </w:rPr>
        <w:t xml:space="preserve"> </w:t>
      </w:r>
      <w:r w:rsidR="002D76B8" w:rsidRPr="002D76B8">
        <w:rPr>
          <w:noProof/>
        </w:rPr>
        <w:t>social protection</w:t>
      </w:r>
      <w:r w:rsidR="00F045D5">
        <w:rPr>
          <w:noProof/>
        </w:rPr>
        <w:t>,</w:t>
      </w:r>
      <w:r w:rsidR="002D76B8" w:rsidRPr="002D76B8">
        <w:rPr>
          <w:noProof/>
        </w:rPr>
        <w:t xml:space="preserve"> inclusion</w:t>
      </w:r>
      <w:r w:rsidR="00017720">
        <w:rPr>
          <w:noProof/>
        </w:rPr>
        <w:t xml:space="preserve"> </w:t>
      </w:r>
      <w:r w:rsidR="00F045D5">
        <w:rPr>
          <w:noProof/>
        </w:rPr>
        <w:t xml:space="preserve">and diversity </w:t>
      </w:r>
      <w:r w:rsidR="00017720">
        <w:rPr>
          <w:noProof/>
        </w:rPr>
        <w:t xml:space="preserve">(for instance on </w:t>
      </w:r>
      <w:r w:rsidR="00611059">
        <w:rPr>
          <w:noProof/>
        </w:rPr>
        <w:t>posting of workers</w:t>
      </w:r>
      <w:r w:rsidR="00611059">
        <w:rPr>
          <w:rStyle w:val="FootnoteReference"/>
          <w:noProof/>
        </w:rPr>
        <w:footnoteReference w:id="23"/>
      </w:r>
      <w:r w:rsidR="00611059">
        <w:rPr>
          <w:noProof/>
        </w:rPr>
        <w:t xml:space="preserve">, </w:t>
      </w:r>
      <w:r w:rsidR="00017720">
        <w:rPr>
          <w:noProof/>
        </w:rPr>
        <w:t>work-life balance</w:t>
      </w:r>
      <w:r w:rsidR="00611059">
        <w:rPr>
          <w:rStyle w:val="FootnoteReference"/>
          <w:noProof/>
        </w:rPr>
        <w:footnoteReference w:id="24"/>
      </w:r>
      <w:r w:rsidR="00017720">
        <w:rPr>
          <w:noProof/>
        </w:rPr>
        <w:t xml:space="preserve">, </w:t>
      </w:r>
      <w:r w:rsidR="00611059">
        <w:rPr>
          <w:noProof/>
        </w:rPr>
        <w:t>adequate</w:t>
      </w:r>
      <w:r w:rsidR="00017720">
        <w:rPr>
          <w:noProof/>
        </w:rPr>
        <w:t xml:space="preserve"> minimum wages</w:t>
      </w:r>
      <w:r w:rsidR="00611059">
        <w:rPr>
          <w:rStyle w:val="FootnoteReference"/>
          <w:noProof/>
        </w:rPr>
        <w:footnoteReference w:id="25"/>
      </w:r>
      <w:r w:rsidR="00017720">
        <w:rPr>
          <w:noProof/>
        </w:rPr>
        <w:t xml:space="preserve"> and </w:t>
      </w:r>
      <w:r w:rsidR="00F045D5">
        <w:rPr>
          <w:noProof/>
        </w:rPr>
        <w:t>pay transparency</w:t>
      </w:r>
      <w:r w:rsidR="00017720">
        <w:rPr>
          <w:noProof/>
        </w:rPr>
        <w:t>)</w:t>
      </w:r>
      <w:r w:rsidR="002D76B8">
        <w:rPr>
          <w:noProof/>
        </w:rPr>
        <w:t>.</w:t>
      </w:r>
      <w:r w:rsidR="00611059" w:rsidRPr="00611059">
        <w:rPr>
          <w:noProof/>
        </w:rPr>
        <w:t xml:space="preserve"> In return, this social framework contributes to a level playing field in the Single Market</w:t>
      </w:r>
      <w:r w:rsidR="00611059">
        <w:rPr>
          <w:noProof/>
        </w:rPr>
        <w:t>.</w:t>
      </w:r>
    </w:p>
    <w:p w14:paraId="1967FBC4" w14:textId="73650CCF" w:rsidR="00D572D4" w:rsidRPr="000A7023" w:rsidRDefault="00D572D4" w:rsidP="004F6503">
      <w:pPr>
        <w:jc w:val="both"/>
        <w:rPr>
          <w:noProof/>
          <w:sz w:val="22"/>
        </w:rPr>
      </w:pPr>
      <w:r w:rsidRPr="007917F0">
        <w:rPr>
          <w:rFonts w:cs="Times New Roman"/>
          <w:noProof/>
          <w:szCs w:val="24"/>
        </w:rPr>
        <w:t xml:space="preserve">The Single Market has also allowed for the further development of the </w:t>
      </w:r>
      <w:r w:rsidRPr="007917F0">
        <w:rPr>
          <w:rFonts w:cs="Times New Roman"/>
          <w:b/>
          <w:bCs/>
          <w:noProof/>
          <w:szCs w:val="24"/>
        </w:rPr>
        <w:t>social economy</w:t>
      </w:r>
      <w:r w:rsidRPr="007917F0">
        <w:rPr>
          <w:rFonts w:cs="Times New Roman"/>
          <w:noProof/>
          <w:szCs w:val="24"/>
        </w:rPr>
        <w:t>, with about 2.8 million social economy entities in Europe employing around 13.6 million people</w:t>
      </w:r>
      <w:r w:rsidRPr="007917F0">
        <w:rPr>
          <w:noProof/>
          <w:vertAlign w:val="superscript"/>
        </w:rPr>
        <w:footnoteReference w:id="26"/>
      </w:r>
      <w:r w:rsidRPr="007917F0">
        <w:rPr>
          <w:noProof/>
        </w:rPr>
        <w:t xml:space="preserve">. </w:t>
      </w:r>
      <w:r w:rsidRPr="007917F0">
        <w:rPr>
          <w:rFonts w:cs="Times New Roman"/>
          <w:noProof/>
          <w:szCs w:val="24"/>
        </w:rPr>
        <w:t xml:space="preserve"> The Commission adopted an action plan for the social economy in December 2021</w:t>
      </w:r>
      <w:r w:rsidRPr="007917F0">
        <w:rPr>
          <w:noProof/>
          <w:vertAlign w:val="superscript"/>
        </w:rPr>
        <w:footnoteReference w:id="27"/>
      </w:r>
      <w:r w:rsidRPr="007917F0">
        <w:rPr>
          <w:rFonts w:cs="Times New Roman"/>
          <w:noProof/>
          <w:szCs w:val="24"/>
        </w:rPr>
        <w:t>, </w:t>
      </w:r>
      <w:r w:rsidRPr="007917F0">
        <w:rPr>
          <w:rFonts w:cs="Times New Roman"/>
          <w:noProof/>
          <w:szCs w:val="24"/>
          <w:bdr w:val="none" w:sz="0" w:space="0" w:color="auto" w:frame="1"/>
          <w:lang w:val="en-GB"/>
        </w:rPr>
        <w:t xml:space="preserve">proposing </w:t>
      </w:r>
      <w:r w:rsidRPr="00EF267F">
        <w:rPr>
          <w:noProof/>
        </w:rPr>
        <w:t>concrete</w:t>
      </w:r>
      <w:r w:rsidRPr="007917F0">
        <w:rPr>
          <w:rFonts w:cs="Times New Roman"/>
          <w:noProof/>
          <w:szCs w:val="24"/>
          <w:bdr w:val="none" w:sz="0" w:space="0" w:color="auto" w:frame="1"/>
          <w:lang w:val="en-GB"/>
        </w:rPr>
        <w:t xml:space="preserve"> actions to be implemented by 2030</w:t>
      </w:r>
      <w:r w:rsidR="002777CD">
        <w:rPr>
          <w:rFonts w:cs="Times New Roman"/>
          <w:noProof/>
          <w:szCs w:val="24"/>
          <w:bdr w:val="none" w:sz="0" w:space="0" w:color="auto" w:frame="1"/>
          <w:lang w:val="en-GB"/>
        </w:rPr>
        <w:t xml:space="preserve">. A </w:t>
      </w:r>
      <w:r w:rsidRPr="007917F0">
        <w:rPr>
          <w:rFonts w:cs="Times New Roman"/>
          <w:noProof/>
          <w:szCs w:val="24"/>
          <w:bdr w:val="none" w:sz="0" w:space="0" w:color="auto" w:frame="1"/>
          <w:lang w:val="en-GB"/>
        </w:rPr>
        <w:t xml:space="preserve">Social Economy </w:t>
      </w:r>
      <w:r w:rsidRPr="00EF267F">
        <w:rPr>
          <w:noProof/>
        </w:rPr>
        <w:t>Package</w:t>
      </w:r>
      <w:r w:rsidRPr="007917F0">
        <w:rPr>
          <w:rFonts w:cs="Times New Roman"/>
          <w:noProof/>
          <w:szCs w:val="24"/>
          <w:bdr w:val="none" w:sz="0" w:space="0" w:color="auto" w:frame="1"/>
          <w:lang w:val="en-GB"/>
        </w:rPr>
        <w:t xml:space="preserve"> will be adopted this year, including a legislative initiative</w:t>
      </w:r>
      <w:r w:rsidR="00B22C0E">
        <w:rPr>
          <w:rFonts w:cs="Times New Roman"/>
          <w:noProof/>
          <w:szCs w:val="24"/>
          <w:bdr w:val="none" w:sz="0" w:space="0" w:color="auto" w:frame="1"/>
          <w:lang w:val="en-GB"/>
        </w:rPr>
        <w:t xml:space="preserve"> </w:t>
      </w:r>
      <w:r w:rsidR="00B22C0E" w:rsidRPr="009852BE">
        <w:rPr>
          <w:noProof/>
          <w:bdr w:val="none" w:sz="0" w:space="0" w:color="auto" w:frame="1"/>
          <w:lang w:val="en-GB"/>
        </w:rPr>
        <w:t xml:space="preserve">on cross-border activities of associations in the </w:t>
      </w:r>
      <w:r w:rsidR="00B22C0E">
        <w:rPr>
          <w:noProof/>
          <w:bdr w:val="none" w:sz="0" w:space="0" w:color="auto" w:frame="1"/>
          <w:lang w:val="en-GB"/>
        </w:rPr>
        <w:t>S</w:t>
      </w:r>
      <w:r w:rsidR="00B22C0E" w:rsidRPr="009852BE">
        <w:rPr>
          <w:noProof/>
          <w:bdr w:val="none" w:sz="0" w:space="0" w:color="auto" w:frame="1"/>
          <w:lang w:val="en-GB"/>
        </w:rPr>
        <w:t xml:space="preserve">ingle </w:t>
      </w:r>
      <w:r w:rsidR="00B22C0E">
        <w:rPr>
          <w:noProof/>
          <w:bdr w:val="none" w:sz="0" w:space="0" w:color="auto" w:frame="1"/>
          <w:lang w:val="en-GB"/>
        </w:rPr>
        <w:t>M</w:t>
      </w:r>
      <w:r w:rsidR="00B22C0E" w:rsidRPr="009852BE">
        <w:rPr>
          <w:noProof/>
          <w:bdr w:val="none" w:sz="0" w:space="0" w:color="auto" w:frame="1"/>
          <w:lang w:val="en-GB"/>
        </w:rPr>
        <w:t>arket</w:t>
      </w:r>
      <w:r w:rsidR="00836316">
        <w:rPr>
          <w:rFonts w:cs="Times New Roman"/>
          <w:noProof/>
          <w:szCs w:val="24"/>
          <w:bdr w:val="none" w:sz="0" w:space="0" w:color="auto" w:frame="1"/>
          <w:lang w:val="en-GB"/>
        </w:rPr>
        <w:t>.</w:t>
      </w:r>
    </w:p>
    <w:bookmarkEnd w:id="6"/>
    <w:p w14:paraId="296853F7" w14:textId="142F04E9" w:rsidR="00926D38" w:rsidRPr="007F6785" w:rsidRDefault="00DD30E4" w:rsidP="009366E0">
      <w:pPr>
        <w:jc w:val="both"/>
        <w:rPr>
          <w:noProof/>
        </w:rPr>
      </w:pPr>
      <w:r w:rsidRPr="008C1F62">
        <w:rPr>
          <w:noProof/>
        </w:rPr>
        <w:t xml:space="preserve">The Single Market has </w:t>
      </w:r>
      <w:r w:rsidR="00DD33B8">
        <w:rPr>
          <w:noProof/>
        </w:rPr>
        <w:t>played</w:t>
      </w:r>
      <w:r w:rsidR="00DD33B8" w:rsidRPr="008C1F62">
        <w:rPr>
          <w:noProof/>
        </w:rPr>
        <w:t xml:space="preserve"> </w:t>
      </w:r>
      <w:r w:rsidRPr="008C1F62">
        <w:rPr>
          <w:noProof/>
        </w:rPr>
        <w:t xml:space="preserve">a major role in enabling </w:t>
      </w:r>
      <w:r w:rsidR="00FB7F11" w:rsidRPr="008C1F62">
        <w:rPr>
          <w:noProof/>
        </w:rPr>
        <w:t xml:space="preserve">progressive </w:t>
      </w:r>
      <w:r w:rsidR="009823E2">
        <w:rPr>
          <w:noProof/>
        </w:rPr>
        <w:t xml:space="preserve">upward </w:t>
      </w:r>
      <w:r w:rsidRPr="006A6D1A">
        <w:rPr>
          <w:b/>
          <w:bCs/>
          <w:noProof/>
        </w:rPr>
        <w:t>economic convergence</w:t>
      </w:r>
      <w:r w:rsidRPr="008C1F62">
        <w:rPr>
          <w:noProof/>
        </w:rPr>
        <w:t xml:space="preserve"> within the </w:t>
      </w:r>
      <w:r>
        <w:rPr>
          <w:noProof/>
        </w:rPr>
        <w:t xml:space="preserve">EU </w:t>
      </w:r>
      <w:r w:rsidRPr="008C1F62">
        <w:rPr>
          <w:noProof/>
        </w:rPr>
        <w:t xml:space="preserve">following successive enlargements. </w:t>
      </w:r>
      <w:r w:rsidR="005D2D25">
        <w:rPr>
          <w:noProof/>
        </w:rPr>
        <w:t>This is because the Single Market has created a level playing field for businesses across the EU, making it easier for companies to operate across borders and compete on an equal footing. This has encouraged greater cross-border trade and investment, which in turn has helped to boost economic growth and create jobs.</w:t>
      </w:r>
      <w:r w:rsidRPr="008C1F62">
        <w:rPr>
          <w:rStyle w:val="FootnoteReference"/>
          <w:noProof/>
        </w:rPr>
        <w:footnoteReference w:id="28"/>
      </w:r>
      <w:r w:rsidRPr="008C1F62">
        <w:rPr>
          <w:noProof/>
        </w:rPr>
        <w:t xml:space="preserve"> </w:t>
      </w:r>
      <w:r w:rsidR="0002459D">
        <w:rPr>
          <w:noProof/>
        </w:rPr>
        <w:t>S</w:t>
      </w:r>
      <w:r w:rsidR="0002459D" w:rsidRPr="0002459D">
        <w:rPr>
          <w:noProof/>
        </w:rPr>
        <w:t xml:space="preserve">ocial and economic cohesion </w:t>
      </w:r>
      <w:r w:rsidR="0002459D">
        <w:rPr>
          <w:noProof/>
        </w:rPr>
        <w:t xml:space="preserve">are vital </w:t>
      </w:r>
      <w:r w:rsidR="0002459D" w:rsidRPr="0002459D">
        <w:rPr>
          <w:noProof/>
        </w:rPr>
        <w:t xml:space="preserve">for the functioning of the </w:t>
      </w:r>
      <w:r w:rsidR="0002459D">
        <w:rPr>
          <w:noProof/>
        </w:rPr>
        <w:t>S</w:t>
      </w:r>
      <w:r w:rsidR="0002459D" w:rsidRPr="0002459D">
        <w:rPr>
          <w:noProof/>
        </w:rPr>
        <w:t xml:space="preserve">ingle </w:t>
      </w:r>
      <w:r w:rsidR="0002459D">
        <w:rPr>
          <w:noProof/>
        </w:rPr>
        <w:t>M</w:t>
      </w:r>
      <w:r w:rsidR="0002459D" w:rsidRPr="0002459D">
        <w:rPr>
          <w:noProof/>
        </w:rPr>
        <w:t>arket</w:t>
      </w:r>
      <w:r w:rsidR="00B22C0E">
        <w:rPr>
          <w:noProof/>
        </w:rPr>
        <w:t>,</w:t>
      </w:r>
      <w:r w:rsidR="003560E4">
        <w:rPr>
          <w:noProof/>
        </w:rPr>
        <w:t xml:space="preserve"> as recognised</w:t>
      </w:r>
      <w:r w:rsidR="00CC6558">
        <w:rPr>
          <w:noProof/>
        </w:rPr>
        <w:t xml:space="preserve"> in its founding act 30 years ago</w:t>
      </w:r>
      <w:r w:rsidR="0006314F">
        <w:rPr>
          <w:noProof/>
        </w:rPr>
        <w:t>. C</w:t>
      </w:r>
      <w:r w:rsidR="0002459D" w:rsidRPr="0002459D">
        <w:rPr>
          <w:noProof/>
        </w:rPr>
        <w:t xml:space="preserve">ohesion </w:t>
      </w:r>
      <w:r w:rsidR="0002459D">
        <w:rPr>
          <w:noProof/>
        </w:rPr>
        <w:t>p</w:t>
      </w:r>
      <w:r w:rsidR="0002459D" w:rsidRPr="0002459D">
        <w:rPr>
          <w:noProof/>
        </w:rPr>
        <w:t>olicy suppor</w:t>
      </w:r>
      <w:r w:rsidR="0002459D">
        <w:rPr>
          <w:noProof/>
        </w:rPr>
        <w:t>ts</w:t>
      </w:r>
      <w:r w:rsidR="0002459D" w:rsidRPr="0002459D">
        <w:rPr>
          <w:noProof/>
        </w:rPr>
        <w:t xml:space="preserve"> </w:t>
      </w:r>
      <w:r w:rsidR="0002459D">
        <w:rPr>
          <w:noProof/>
        </w:rPr>
        <w:t xml:space="preserve">a </w:t>
      </w:r>
      <w:r w:rsidR="0002459D" w:rsidRPr="0002459D">
        <w:rPr>
          <w:noProof/>
        </w:rPr>
        <w:t>harmonious development of European regions</w:t>
      </w:r>
      <w:r w:rsidR="0019545A">
        <w:rPr>
          <w:noProof/>
        </w:rPr>
        <w:t xml:space="preserve">, allowing them </w:t>
      </w:r>
      <w:r w:rsidR="00316A02">
        <w:rPr>
          <w:noProof/>
        </w:rPr>
        <w:t>to contribute to</w:t>
      </w:r>
      <w:r w:rsidR="00CB37AA">
        <w:rPr>
          <w:noProof/>
        </w:rPr>
        <w:t>,</w:t>
      </w:r>
      <w:r w:rsidR="00316A02">
        <w:rPr>
          <w:noProof/>
        </w:rPr>
        <w:t xml:space="preserve"> </w:t>
      </w:r>
      <w:r w:rsidR="0048395B">
        <w:rPr>
          <w:noProof/>
        </w:rPr>
        <w:t>and reap the benefits of their participation in</w:t>
      </w:r>
      <w:r w:rsidR="00CB37AA">
        <w:rPr>
          <w:noProof/>
        </w:rPr>
        <w:t>,</w:t>
      </w:r>
      <w:r w:rsidR="0048395B">
        <w:rPr>
          <w:noProof/>
        </w:rPr>
        <w:t xml:space="preserve"> the Single Market</w:t>
      </w:r>
      <w:r w:rsidR="00667AC6">
        <w:rPr>
          <w:noProof/>
        </w:rPr>
        <w:t>.</w:t>
      </w:r>
      <w:r w:rsidR="0002459D" w:rsidRPr="0002459D" w:rsidDel="0002459D">
        <w:rPr>
          <w:noProof/>
        </w:rPr>
        <w:t xml:space="preserve"> </w:t>
      </w:r>
      <w:r w:rsidR="00512FDE" w:rsidRPr="00761B15">
        <w:rPr>
          <w:noProof/>
        </w:rPr>
        <w:t>By increasing opportunities for economic activity, the Single Market has allowed lower</w:t>
      </w:r>
      <w:r w:rsidR="00CB37AA">
        <w:rPr>
          <w:noProof/>
        </w:rPr>
        <w:t>-</w:t>
      </w:r>
      <w:r w:rsidR="00512FDE" w:rsidRPr="00761B15">
        <w:rPr>
          <w:noProof/>
        </w:rPr>
        <w:t>income countries to converge towards higher</w:t>
      </w:r>
      <w:r w:rsidR="001D5B3A">
        <w:rPr>
          <w:noProof/>
        </w:rPr>
        <w:t>-</w:t>
      </w:r>
      <w:r w:rsidR="00512FDE" w:rsidRPr="00761B15">
        <w:rPr>
          <w:noProof/>
        </w:rPr>
        <w:t>income ones and has contributed to creating more jobs, therefore reducing unemployment.</w:t>
      </w:r>
      <w:r w:rsidR="00CA22C8" w:rsidRPr="73F118FF">
        <w:rPr>
          <w:noProof/>
        </w:rPr>
        <w:t xml:space="preserve"> </w:t>
      </w:r>
      <w:bookmarkStart w:id="7" w:name="_Hlk129013999"/>
      <w:r w:rsidR="00B71FAB">
        <w:rPr>
          <w:noProof/>
        </w:rPr>
        <w:t xml:space="preserve">The Single </w:t>
      </w:r>
      <w:r w:rsidR="00B71FAB" w:rsidRPr="008C1F62">
        <w:rPr>
          <w:noProof/>
        </w:rPr>
        <w:t>Market</w:t>
      </w:r>
      <w:r w:rsidR="00B71FAB">
        <w:rPr>
          <w:noProof/>
        </w:rPr>
        <w:t xml:space="preserve"> has </w:t>
      </w:r>
      <w:r w:rsidR="00B71FAB" w:rsidRPr="006A6D1A">
        <w:rPr>
          <w:b/>
          <w:bCs/>
          <w:noProof/>
        </w:rPr>
        <w:t>underpinned the competitiveness of European businesses</w:t>
      </w:r>
      <w:r w:rsidR="00B71FAB" w:rsidRPr="008C1F62">
        <w:rPr>
          <w:rStyle w:val="FootnoteReference"/>
          <w:noProof/>
        </w:rPr>
        <w:footnoteReference w:id="29"/>
      </w:r>
      <w:r w:rsidR="00B71FAB" w:rsidRPr="008C1F62">
        <w:rPr>
          <w:noProof/>
        </w:rPr>
        <w:t xml:space="preserve">, </w:t>
      </w:r>
      <w:r w:rsidR="00DF3FAE">
        <w:rPr>
          <w:noProof/>
        </w:rPr>
        <w:t xml:space="preserve">which </w:t>
      </w:r>
      <w:r w:rsidR="00B71FAB" w:rsidRPr="008C1F62">
        <w:rPr>
          <w:noProof/>
        </w:rPr>
        <w:t>ha</w:t>
      </w:r>
      <w:r w:rsidR="00B71FAB">
        <w:rPr>
          <w:noProof/>
        </w:rPr>
        <w:t xml:space="preserve">s </w:t>
      </w:r>
      <w:r w:rsidR="00B71FAB" w:rsidRPr="008C1F62">
        <w:rPr>
          <w:noProof/>
        </w:rPr>
        <w:t>resulted in better products and lower prices for consume</w:t>
      </w:r>
      <w:r w:rsidR="00B71FAB" w:rsidRPr="00E870A7">
        <w:rPr>
          <w:noProof/>
        </w:rPr>
        <w:t>rs</w:t>
      </w:r>
      <w:r w:rsidR="00B71FAB" w:rsidRPr="00E870A7">
        <w:rPr>
          <w:rStyle w:val="FootnoteReference"/>
          <w:noProof/>
        </w:rPr>
        <w:footnoteReference w:id="30"/>
      </w:r>
      <w:r w:rsidR="00B71FAB" w:rsidRPr="00E870A7">
        <w:rPr>
          <w:noProof/>
        </w:rPr>
        <w:t xml:space="preserve">. </w:t>
      </w:r>
      <w:r w:rsidR="562729BE" w:rsidRPr="00E870A7">
        <w:rPr>
          <w:noProof/>
        </w:rPr>
        <w:t xml:space="preserve"> </w:t>
      </w:r>
      <w:r w:rsidR="00575514">
        <w:rPr>
          <w:noProof/>
        </w:rPr>
        <w:t>It</w:t>
      </w:r>
      <w:r w:rsidR="00DF3FAE">
        <w:rPr>
          <w:noProof/>
        </w:rPr>
        <w:t xml:space="preserve"> has </w:t>
      </w:r>
      <w:r w:rsidR="00575514">
        <w:rPr>
          <w:noProof/>
        </w:rPr>
        <w:t xml:space="preserve">also </w:t>
      </w:r>
      <w:r w:rsidR="00DF3FAE">
        <w:rPr>
          <w:noProof/>
        </w:rPr>
        <w:t>made</w:t>
      </w:r>
      <w:r w:rsidR="562729BE" w:rsidRPr="00E870A7">
        <w:rPr>
          <w:noProof/>
        </w:rPr>
        <w:t xml:space="preserve"> value chains in the EU highly integrated and interconnected. The mobility and automotive ecosystem</w:t>
      </w:r>
      <w:r w:rsidR="008E04CB">
        <w:rPr>
          <w:noProof/>
        </w:rPr>
        <w:t>,</w:t>
      </w:r>
      <w:r w:rsidR="562729BE" w:rsidRPr="00E870A7">
        <w:rPr>
          <w:noProof/>
        </w:rPr>
        <w:t xml:space="preserve"> for example, is not only </w:t>
      </w:r>
      <w:r w:rsidR="562729BE">
        <w:rPr>
          <w:noProof/>
        </w:rPr>
        <w:t>made up of</w:t>
      </w:r>
      <w:r w:rsidR="562729BE" w:rsidRPr="00E870A7">
        <w:rPr>
          <w:noProof/>
        </w:rPr>
        <w:t xml:space="preserve"> large, world-renowned </w:t>
      </w:r>
      <w:r w:rsidR="562729BE">
        <w:rPr>
          <w:noProof/>
        </w:rPr>
        <w:t>corporations</w:t>
      </w:r>
      <w:r w:rsidR="562729BE" w:rsidRPr="00E870A7">
        <w:rPr>
          <w:noProof/>
        </w:rPr>
        <w:t xml:space="preserve">, but most importantly component suppliers, sales and repair networks, and represents a total of 1.8 million companies, 99.7% of which are SMEs. </w:t>
      </w:r>
      <w:bookmarkStart w:id="8" w:name="_Hlk129007741"/>
    </w:p>
    <w:bookmarkEnd w:id="7"/>
    <w:bookmarkEnd w:id="8"/>
    <w:p w14:paraId="540AA288" w14:textId="77777777" w:rsidR="005B303C" w:rsidRDefault="005B303C" w:rsidP="005B303C">
      <w:pPr>
        <w:shd w:val="clear" w:color="auto" w:fill="FFFFFF" w:themeFill="background1"/>
        <w:jc w:val="both"/>
        <w:rPr>
          <w:noProof/>
        </w:rPr>
      </w:pPr>
      <w:r w:rsidRPr="000E5ED8">
        <w:rPr>
          <w:noProof/>
        </w:rPr>
        <w:t xml:space="preserve">Competition policy plays a central role </w:t>
      </w:r>
      <w:r>
        <w:rPr>
          <w:noProof/>
        </w:rPr>
        <w:t>for</w:t>
      </w:r>
      <w:r w:rsidRPr="000E5ED8">
        <w:rPr>
          <w:noProof/>
        </w:rPr>
        <w:t xml:space="preserve"> preserv</w:t>
      </w:r>
      <w:r>
        <w:rPr>
          <w:noProof/>
        </w:rPr>
        <w:t>ing</w:t>
      </w:r>
      <w:r w:rsidRPr="000E5ED8">
        <w:rPr>
          <w:noProof/>
        </w:rPr>
        <w:t xml:space="preserve"> well-functioning markets and </w:t>
      </w:r>
      <w:r>
        <w:rPr>
          <w:noProof/>
        </w:rPr>
        <w:t xml:space="preserve">in </w:t>
      </w:r>
      <w:r w:rsidRPr="000E5ED8">
        <w:rPr>
          <w:noProof/>
        </w:rPr>
        <w:t>address</w:t>
      </w:r>
      <w:r>
        <w:rPr>
          <w:noProof/>
        </w:rPr>
        <w:t>ing</w:t>
      </w:r>
      <w:r w:rsidRPr="000E5ED8">
        <w:rPr>
          <w:noProof/>
        </w:rPr>
        <w:t xml:space="preserve"> relevant market failures in Europe. Since the creation of the Union, competition policy has helped industries become stronger and globally competitive and has ensured that EU citizens are the ultimate beneficiaries of a highly competitive social market economy. Rules-based competition law enforcement also provides legal certainty and predictability to all businesses striving to make the best of Europe’s Single Market.  </w:t>
      </w:r>
    </w:p>
    <w:p w14:paraId="7DD4B56D" w14:textId="59FA8EBE" w:rsidR="00926D38" w:rsidRDefault="00926D38" w:rsidP="009366E0">
      <w:pPr>
        <w:jc w:val="both"/>
        <w:rPr>
          <w:b/>
          <w:bCs/>
          <w:noProof/>
          <w:highlight w:val="yellow"/>
        </w:rPr>
      </w:pPr>
    </w:p>
    <w:p w14:paraId="6337680B" w14:textId="1DBC1F3C" w:rsidR="00DD30E4" w:rsidRPr="00FA7614" w:rsidRDefault="2BC1431E" w:rsidP="00C33A5B">
      <w:pPr>
        <w:pStyle w:val="ListParagraph"/>
        <w:numPr>
          <w:ilvl w:val="1"/>
          <w:numId w:val="1"/>
        </w:numPr>
        <w:jc w:val="both"/>
        <w:rPr>
          <w:b/>
          <w:bCs/>
          <w:noProof/>
        </w:rPr>
      </w:pPr>
      <w:r w:rsidRPr="75965158">
        <w:rPr>
          <w:b/>
          <w:bCs/>
          <w:noProof/>
        </w:rPr>
        <w:t xml:space="preserve"> </w:t>
      </w:r>
      <w:r w:rsidR="5C73743E" w:rsidRPr="75965158">
        <w:rPr>
          <w:b/>
          <w:bCs/>
          <w:noProof/>
        </w:rPr>
        <w:t xml:space="preserve">Building </w:t>
      </w:r>
      <w:r w:rsidR="00193678">
        <w:rPr>
          <w:b/>
          <w:bCs/>
          <w:noProof/>
        </w:rPr>
        <w:t>resistance</w:t>
      </w:r>
      <w:r w:rsidR="00193678" w:rsidRPr="75965158">
        <w:rPr>
          <w:b/>
          <w:bCs/>
          <w:noProof/>
        </w:rPr>
        <w:t xml:space="preserve"> </w:t>
      </w:r>
      <w:r w:rsidR="00193678">
        <w:rPr>
          <w:b/>
          <w:bCs/>
          <w:noProof/>
        </w:rPr>
        <w:t xml:space="preserve">and </w:t>
      </w:r>
      <w:r w:rsidR="5C73743E" w:rsidRPr="75965158">
        <w:rPr>
          <w:b/>
          <w:bCs/>
          <w:noProof/>
        </w:rPr>
        <w:t>resilience</w:t>
      </w:r>
      <w:r w:rsidR="00E55DA0">
        <w:rPr>
          <w:b/>
          <w:bCs/>
          <w:noProof/>
        </w:rPr>
        <w:t xml:space="preserve"> </w:t>
      </w:r>
      <w:r w:rsidR="3EDF0318" w:rsidRPr="75965158">
        <w:rPr>
          <w:b/>
          <w:bCs/>
          <w:noProof/>
        </w:rPr>
        <w:t>against</w:t>
      </w:r>
      <w:r w:rsidRPr="75965158">
        <w:rPr>
          <w:b/>
          <w:bCs/>
          <w:noProof/>
        </w:rPr>
        <w:t xml:space="preserve"> crises</w:t>
      </w:r>
    </w:p>
    <w:p w14:paraId="5F9F468F" w14:textId="1290FD52" w:rsidR="00DD30E4" w:rsidRDefault="00DD30E4" w:rsidP="00DD30E4">
      <w:pPr>
        <w:jc w:val="both"/>
        <w:rPr>
          <w:noProof/>
        </w:rPr>
      </w:pPr>
      <w:r>
        <w:rPr>
          <w:noProof/>
        </w:rPr>
        <w:t>The recent succession of crises has demonstrated the critical importance of a smoothly functioning Single Market.</w:t>
      </w:r>
      <w:r w:rsidR="00C849B9" w:rsidRPr="00C849B9">
        <w:rPr>
          <w:noProof/>
        </w:rPr>
        <w:t xml:space="preserve"> </w:t>
      </w:r>
      <w:r w:rsidR="00C849B9">
        <w:rPr>
          <w:noProof/>
        </w:rPr>
        <w:t>Essential services such as energy, water and health provision, transport</w:t>
      </w:r>
      <w:r w:rsidR="007A2512" w:rsidRPr="007C48E5">
        <w:rPr>
          <w:rStyle w:val="FootnoteReference"/>
          <w:rFonts w:eastAsia="Times New Roman" w:cs="Times New Roman"/>
          <w:noProof/>
          <w:szCs w:val="24"/>
        </w:rPr>
        <w:footnoteReference w:id="31"/>
      </w:r>
      <w:r w:rsidR="00C849B9">
        <w:rPr>
          <w:noProof/>
        </w:rPr>
        <w:t xml:space="preserve"> and telecommunications are key to ensuring the well-being of people, as well as to the emergency response itself. These services need to remain operational during and after a disaster</w:t>
      </w:r>
      <w:r w:rsidR="00F25EBF">
        <w:rPr>
          <w:noProof/>
        </w:rPr>
        <w:t xml:space="preserve"> or crisis</w:t>
      </w:r>
      <w:r w:rsidR="00C849B9">
        <w:rPr>
          <w:noProof/>
        </w:rPr>
        <w:t xml:space="preserve">. </w:t>
      </w:r>
    </w:p>
    <w:p w14:paraId="7C62D09C" w14:textId="21632C37" w:rsidR="00DD30E4" w:rsidRDefault="00DD30E4" w:rsidP="00DD30E4">
      <w:pPr>
        <w:jc w:val="both"/>
        <w:rPr>
          <w:noProof/>
        </w:rPr>
      </w:pPr>
      <w:r>
        <w:rPr>
          <w:noProof/>
        </w:rPr>
        <w:t>When Member States act individually, by closing their borders or introducing intra-EU export bans on medical equipment, grain or raw materials, the whole functioning of the Single Market is put under pressure, threatening industry, services and professionals alike</w:t>
      </w:r>
      <w:r w:rsidR="00604EB3">
        <w:rPr>
          <w:noProof/>
        </w:rPr>
        <w:t>, and ultimately citizens</w:t>
      </w:r>
      <w:r>
        <w:rPr>
          <w:noProof/>
        </w:rPr>
        <w:t>. Wh</w:t>
      </w:r>
      <w:r w:rsidR="00604EB3">
        <w:rPr>
          <w:noProof/>
        </w:rPr>
        <w:t>ile</w:t>
      </w:r>
      <w:r>
        <w:rPr>
          <w:noProof/>
        </w:rPr>
        <w:t xml:space="preserve"> the COVID-19 pandemic led to initial shortages of essential products and huge traffic jams at frontiers preventing free movement of essential workers, the Single Market </w:t>
      </w:r>
      <w:r w:rsidRPr="00153BAD">
        <w:rPr>
          <w:noProof/>
        </w:rPr>
        <w:t xml:space="preserve">prevailed. When the global demand for masks and vaccines skyrocketed, the Single Market helped us overcome the lack of diverse sources of supply </w:t>
      </w:r>
      <w:r>
        <w:rPr>
          <w:noProof/>
        </w:rPr>
        <w:t>and</w:t>
      </w:r>
      <w:r w:rsidRPr="00153BAD">
        <w:rPr>
          <w:noProof/>
        </w:rPr>
        <w:t xml:space="preserve"> capacity to produce what had become vitally important goods.</w:t>
      </w:r>
    </w:p>
    <w:p w14:paraId="75E9E9C1" w14:textId="12D6F388" w:rsidR="00DD30E4" w:rsidRPr="00B3450C" w:rsidRDefault="001046E3" w:rsidP="00DD30E4">
      <w:pPr>
        <w:jc w:val="both"/>
        <w:rPr>
          <w:noProof/>
          <w:highlight w:val="yellow"/>
        </w:rPr>
      </w:pPr>
      <w:r>
        <w:rPr>
          <w:noProof/>
        </w:rPr>
        <w:t xml:space="preserve">After an initial period in which national authorities raised </w:t>
      </w:r>
      <w:r w:rsidRPr="00153BAD">
        <w:rPr>
          <w:noProof/>
        </w:rPr>
        <w:t>barriers to the free flow of goods, services and people in a unilateral and uncoordinated way</w:t>
      </w:r>
      <w:r>
        <w:rPr>
          <w:noProof/>
        </w:rPr>
        <w:t xml:space="preserve">, </w:t>
      </w:r>
      <w:r w:rsidRPr="00153BAD">
        <w:rPr>
          <w:noProof/>
        </w:rPr>
        <w:t xml:space="preserve">which </w:t>
      </w:r>
      <w:r w:rsidRPr="004D0265">
        <w:rPr>
          <w:noProof/>
        </w:rPr>
        <w:t>affect</w:t>
      </w:r>
      <w:r w:rsidR="005E77E1" w:rsidRPr="004D0265">
        <w:rPr>
          <w:noProof/>
        </w:rPr>
        <w:t>ed</w:t>
      </w:r>
      <w:r w:rsidRPr="00153BAD">
        <w:rPr>
          <w:noProof/>
        </w:rPr>
        <w:t xml:space="preserve"> economic activity profoundly</w:t>
      </w:r>
      <w:r>
        <w:rPr>
          <w:noProof/>
        </w:rPr>
        <w:t>, t</w:t>
      </w:r>
      <w:r w:rsidR="00DD30E4">
        <w:rPr>
          <w:noProof/>
        </w:rPr>
        <w:t xml:space="preserve">he Commission </w:t>
      </w:r>
      <w:r w:rsidR="00DD30E4" w:rsidRPr="00153BAD">
        <w:rPr>
          <w:noProof/>
        </w:rPr>
        <w:t>stepped in</w:t>
      </w:r>
      <w:r>
        <w:rPr>
          <w:noProof/>
        </w:rPr>
        <w:t xml:space="preserve"> </w:t>
      </w:r>
      <w:r w:rsidR="00E17E20">
        <w:rPr>
          <w:noProof/>
        </w:rPr>
        <w:softHyphen/>
      </w:r>
      <w:r w:rsidR="00E17E20">
        <w:rPr>
          <w:noProof/>
        </w:rPr>
        <w:softHyphen/>
      </w:r>
      <w:r w:rsidR="00E17E20">
        <w:rPr>
          <w:noProof/>
        </w:rPr>
        <w:softHyphen/>
      </w:r>
      <w:r w:rsidR="006A0BDB">
        <w:rPr>
          <w:noProof/>
        </w:rPr>
        <w:t xml:space="preserve">– </w:t>
      </w:r>
      <w:r w:rsidR="00604EB3">
        <w:rPr>
          <w:noProof/>
        </w:rPr>
        <w:t>with the support of Member States</w:t>
      </w:r>
      <w:r>
        <w:rPr>
          <w:noProof/>
        </w:rPr>
        <w:t xml:space="preserve"> </w:t>
      </w:r>
      <w:r w:rsidR="006A0BDB">
        <w:rPr>
          <w:noProof/>
        </w:rPr>
        <w:t xml:space="preserve">– </w:t>
      </w:r>
      <w:r w:rsidR="00DD30E4" w:rsidRPr="00153BAD">
        <w:rPr>
          <w:noProof/>
        </w:rPr>
        <w:t>to remove</w:t>
      </w:r>
      <w:r>
        <w:rPr>
          <w:noProof/>
        </w:rPr>
        <w:t xml:space="preserve"> these</w:t>
      </w:r>
      <w:r w:rsidR="00D777B3">
        <w:rPr>
          <w:noProof/>
        </w:rPr>
        <w:t xml:space="preserve"> with initiatives such as </w:t>
      </w:r>
      <w:r w:rsidR="007D20C2">
        <w:rPr>
          <w:noProof/>
        </w:rPr>
        <w:t>“g</w:t>
      </w:r>
      <w:r w:rsidR="00D777B3">
        <w:rPr>
          <w:noProof/>
        </w:rPr>
        <w:t>reen lanes</w:t>
      </w:r>
      <w:r w:rsidR="007D20C2">
        <w:rPr>
          <w:noProof/>
        </w:rPr>
        <w:t>”</w:t>
      </w:r>
      <w:r w:rsidR="00DD30E4" w:rsidRPr="00153BAD">
        <w:rPr>
          <w:noProof/>
        </w:rPr>
        <w:t xml:space="preserve">. </w:t>
      </w:r>
      <w:r w:rsidR="00DD30E4">
        <w:rPr>
          <w:noProof/>
        </w:rPr>
        <w:t>And the EU maintained fully open supply chains</w:t>
      </w:r>
      <w:r>
        <w:rPr>
          <w:noProof/>
        </w:rPr>
        <w:t xml:space="preserve"> with the world</w:t>
      </w:r>
      <w:r w:rsidR="00DD30E4">
        <w:rPr>
          <w:noProof/>
        </w:rPr>
        <w:t xml:space="preserve">, building on a thriving industry that has benefitted from the Single Market for decades, and joining forces and capacities all over Europe from large companies to highly innovative and competitive </w:t>
      </w:r>
      <w:r w:rsidR="00C57037">
        <w:rPr>
          <w:noProof/>
        </w:rPr>
        <w:t>SMEs</w:t>
      </w:r>
      <w:r w:rsidR="00DD30E4">
        <w:rPr>
          <w:noProof/>
        </w:rPr>
        <w:t>.</w:t>
      </w:r>
    </w:p>
    <w:p w14:paraId="1EF2FC7B" w14:textId="5B49616D" w:rsidR="005079DC" w:rsidRDefault="001046E3" w:rsidP="00DD30E4">
      <w:pPr>
        <w:jc w:val="both"/>
        <w:rPr>
          <w:b/>
          <w:bCs/>
          <w:noProof/>
        </w:rPr>
      </w:pPr>
      <w:r>
        <w:rPr>
          <w:noProof/>
        </w:rPr>
        <w:t>W</w:t>
      </w:r>
      <w:r w:rsidR="00DD30E4">
        <w:rPr>
          <w:noProof/>
        </w:rPr>
        <w:t>e have drawn the necessary policy lessons</w:t>
      </w:r>
      <w:r w:rsidR="00575514">
        <w:rPr>
          <w:noProof/>
        </w:rPr>
        <w:t xml:space="preserve"> from</w:t>
      </w:r>
      <w:r w:rsidR="00DD30E4">
        <w:rPr>
          <w:noProof/>
        </w:rPr>
        <w:t xml:space="preserve"> these </w:t>
      </w:r>
      <w:r w:rsidR="00575514">
        <w:rPr>
          <w:noProof/>
        </w:rPr>
        <w:t>crises</w:t>
      </w:r>
      <w:r>
        <w:rPr>
          <w:noProof/>
        </w:rPr>
        <w:t>,</w:t>
      </w:r>
      <w:r w:rsidR="00DD30E4">
        <w:rPr>
          <w:noProof/>
        </w:rPr>
        <w:t xml:space="preserve"> building on these </w:t>
      </w:r>
      <w:r w:rsidR="00DD30E4" w:rsidRPr="00153BAD">
        <w:rPr>
          <w:noProof/>
        </w:rPr>
        <w:t>achievements.</w:t>
      </w:r>
      <w:r w:rsidR="00DD30E4" w:rsidRPr="00153BAD">
        <w:rPr>
          <w:b/>
          <w:bCs/>
          <w:noProof/>
        </w:rPr>
        <w:t xml:space="preserve"> </w:t>
      </w:r>
      <w:r w:rsidR="00DD30E4" w:rsidRPr="00BA3D2F">
        <w:rPr>
          <w:noProof/>
        </w:rPr>
        <w:t xml:space="preserve">The </w:t>
      </w:r>
      <w:r w:rsidR="00DD30E4" w:rsidRPr="00153BAD">
        <w:rPr>
          <w:noProof/>
        </w:rPr>
        <w:t xml:space="preserve">Commission established the </w:t>
      </w:r>
      <w:r w:rsidR="00DD30E4" w:rsidRPr="009E6777">
        <w:rPr>
          <w:b/>
          <w:noProof/>
        </w:rPr>
        <w:t>Health Emergency Preparedness and Response Authority</w:t>
      </w:r>
      <w:r w:rsidR="004E0A5C" w:rsidRPr="009E6777">
        <w:rPr>
          <w:b/>
          <w:noProof/>
        </w:rPr>
        <w:t xml:space="preserve"> (</w:t>
      </w:r>
      <w:r w:rsidR="00DD30E4" w:rsidRPr="009E6777">
        <w:rPr>
          <w:b/>
          <w:noProof/>
        </w:rPr>
        <w:t>HERA</w:t>
      </w:r>
      <w:r w:rsidR="004E0A5C" w:rsidRPr="009E6777">
        <w:rPr>
          <w:b/>
          <w:noProof/>
        </w:rPr>
        <w:t>)</w:t>
      </w:r>
      <w:r w:rsidR="00DD30E4" w:rsidRPr="00153BAD">
        <w:rPr>
          <w:noProof/>
        </w:rPr>
        <w:t xml:space="preserve"> to better detect, prevent and respond to future cross-border health emergencies. The Commission has also proposed a new </w:t>
      </w:r>
      <w:r w:rsidR="00DD30E4" w:rsidRPr="009E6777">
        <w:rPr>
          <w:b/>
          <w:noProof/>
        </w:rPr>
        <w:t>Single Market Emergency Instrument</w:t>
      </w:r>
      <w:r w:rsidR="00DD30E4" w:rsidRPr="00153BAD">
        <w:rPr>
          <w:noProof/>
        </w:rPr>
        <w:t xml:space="preserve"> to make sure that, </w:t>
      </w:r>
      <w:r w:rsidR="004E0A5C">
        <w:rPr>
          <w:noProof/>
        </w:rPr>
        <w:t>in a future</w:t>
      </w:r>
      <w:r w:rsidR="00DD30E4" w:rsidRPr="00153BAD">
        <w:rPr>
          <w:noProof/>
        </w:rPr>
        <w:t xml:space="preserve"> crisis</w:t>
      </w:r>
      <w:r w:rsidR="004E0A5C">
        <w:rPr>
          <w:noProof/>
        </w:rPr>
        <w:t xml:space="preserve"> situation</w:t>
      </w:r>
      <w:r w:rsidR="00DD30E4" w:rsidRPr="00153BAD">
        <w:rPr>
          <w:noProof/>
        </w:rPr>
        <w:t>, the Single Market remains open</w:t>
      </w:r>
      <w:r w:rsidR="00C57037">
        <w:rPr>
          <w:noProof/>
        </w:rPr>
        <w:t xml:space="preserve"> and</w:t>
      </w:r>
      <w:r w:rsidR="00DD30E4" w:rsidRPr="00153BAD">
        <w:rPr>
          <w:noProof/>
        </w:rPr>
        <w:t xml:space="preserve"> fair</w:t>
      </w:r>
      <w:r w:rsidR="00C57037">
        <w:rPr>
          <w:noProof/>
        </w:rPr>
        <w:t>,</w:t>
      </w:r>
      <w:r w:rsidR="00DD30E4" w:rsidRPr="00153BAD">
        <w:rPr>
          <w:noProof/>
        </w:rPr>
        <w:t xml:space="preserve"> and continues to ensure the availability of goods and services that people and businesses most need.</w:t>
      </w:r>
      <w:r w:rsidR="00DD30E4" w:rsidRPr="00153BAD">
        <w:rPr>
          <w:i/>
          <w:iCs/>
          <w:noProof/>
        </w:rPr>
        <w:t xml:space="preserve"> </w:t>
      </w:r>
      <w:r w:rsidR="00413D85">
        <w:rPr>
          <w:noProof/>
        </w:rPr>
        <w:t>More generally, the EU has stepped up its emergency readiness at all levels through the Union Civil Protection Mechanism</w:t>
      </w:r>
      <w:r w:rsidR="00413D85">
        <w:rPr>
          <w:rStyle w:val="FootnoteReference"/>
          <w:noProof/>
        </w:rPr>
        <w:footnoteReference w:id="32"/>
      </w:r>
      <w:r w:rsidR="00413D85">
        <w:rPr>
          <w:noProof/>
        </w:rPr>
        <w:t>.</w:t>
      </w:r>
      <w:r w:rsidR="0025662F">
        <w:rPr>
          <w:noProof/>
        </w:rPr>
        <w:t xml:space="preserve"> Finally,</w:t>
      </w:r>
      <w:r w:rsidR="0025662F" w:rsidRPr="006F3DB3">
        <w:rPr>
          <w:noProof/>
        </w:rPr>
        <w:t xml:space="preserve"> ensuring the resilience of Single Market requires a coordinated approach </w:t>
      </w:r>
      <w:r w:rsidR="0025662F">
        <w:rPr>
          <w:noProof/>
        </w:rPr>
        <w:t xml:space="preserve">at EU level </w:t>
      </w:r>
      <w:r w:rsidR="0025662F" w:rsidRPr="006F3DB3">
        <w:rPr>
          <w:noProof/>
        </w:rPr>
        <w:t>against growing cross-border threats, notably t</w:t>
      </w:r>
      <w:r w:rsidR="0025662F">
        <w:rPr>
          <w:noProof/>
        </w:rPr>
        <w:t>o</w:t>
      </w:r>
      <w:r w:rsidR="0025662F" w:rsidRPr="006F3DB3">
        <w:rPr>
          <w:noProof/>
        </w:rPr>
        <w:t xml:space="preserve"> critical sectors and infrastructure</w:t>
      </w:r>
      <w:r w:rsidR="000C7D89">
        <w:rPr>
          <w:noProof/>
        </w:rPr>
        <w:t xml:space="preserve"> </w:t>
      </w:r>
      <w:r w:rsidR="0025662F" w:rsidRPr="006F3DB3">
        <w:rPr>
          <w:noProof/>
        </w:rPr>
        <w:t xml:space="preserve">that </w:t>
      </w:r>
      <w:r w:rsidR="0025662F">
        <w:rPr>
          <w:noProof/>
        </w:rPr>
        <w:t>is</w:t>
      </w:r>
      <w:r w:rsidR="0025662F" w:rsidRPr="006F3DB3">
        <w:rPr>
          <w:noProof/>
        </w:rPr>
        <w:t xml:space="preserve"> being developed and implemented under the Security Union umbrella.</w:t>
      </w:r>
      <w:r w:rsidR="0025662F" w:rsidRPr="006F3DB3">
        <w:rPr>
          <w:rStyle w:val="FootnoteReference"/>
          <w:noProof/>
        </w:rPr>
        <w:footnoteReference w:id="33"/>
      </w:r>
      <w:r w:rsidR="0025662F" w:rsidRPr="001039D9">
        <w:rPr>
          <w:noProof/>
        </w:rPr>
        <w:t xml:space="preserve"> </w:t>
      </w:r>
    </w:p>
    <w:p w14:paraId="373F0C95" w14:textId="32EE8184" w:rsidR="00DD30E4" w:rsidRDefault="00E03138" w:rsidP="00DD30E4">
      <w:pPr>
        <w:jc w:val="both"/>
        <w:rPr>
          <w:noProof/>
        </w:rPr>
      </w:pPr>
      <w:r>
        <w:rPr>
          <w:b/>
          <w:bCs/>
          <w:noProof/>
        </w:rPr>
        <w:t xml:space="preserve">Resilience is also improved with better preparedness. </w:t>
      </w:r>
      <w:r w:rsidRPr="00047A71">
        <w:rPr>
          <w:noProof/>
        </w:rPr>
        <w:t>T</w:t>
      </w:r>
      <w:r w:rsidR="00DD30E4" w:rsidRPr="00153BAD">
        <w:rPr>
          <w:noProof/>
        </w:rPr>
        <w:t xml:space="preserve">he Commission has designed an </w:t>
      </w:r>
      <w:r w:rsidR="00DD30E4" w:rsidRPr="00047A71">
        <w:rPr>
          <w:b/>
          <w:noProof/>
        </w:rPr>
        <w:t>early warning system (SCAN Monitoring System)</w:t>
      </w:r>
      <w:r w:rsidR="00DD30E4" w:rsidRPr="00047A71">
        <w:rPr>
          <w:rStyle w:val="FootnoteReference"/>
          <w:b/>
          <w:noProof/>
        </w:rPr>
        <w:footnoteReference w:id="34"/>
      </w:r>
      <w:r w:rsidR="00DD30E4" w:rsidRPr="00153BAD">
        <w:rPr>
          <w:noProof/>
        </w:rPr>
        <w:t xml:space="preserve"> with the goal of providing evidence for policy. It uses quasi-real-time customs data and examines anomalous variations in quantities and prices to reveal premature signs of supply chain disruption. </w:t>
      </w:r>
      <w:r w:rsidR="00F25EBF">
        <w:rPr>
          <w:noProof/>
        </w:rPr>
        <w:t>Other possible drivers</w:t>
      </w:r>
      <w:r w:rsidR="00F25EBF" w:rsidRPr="00153BAD">
        <w:rPr>
          <w:noProof/>
        </w:rPr>
        <w:t xml:space="preserve"> </w:t>
      </w:r>
      <w:r w:rsidR="00DD30E4" w:rsidRPr="00153BAD">
        <w:rPr>
          <w:noProof/>
        </w:rPr>
        <w:t xml:space="preserve">include the excessive concentration of </w:t>
      </w:r>
      <w:r w:rsidR="001046E3">
        <w:rPr>
          <w:noProof/>
        </w:rPr>
        <w:t xml:space="preserve">certain </w:t>
      </w:r>
      <w:r w:rsidR="00DD30E4" w:rsidRPr="00153BAD">
        <w:rPr>
          <w:noProof/>
        </w:rPr>
        <w:t xml:space="preserve">imports from </w:t>
      </w:r>
      <w:r w:rsidR="001046E3">
        <w:rPr>
          <w:noProof/>
        </w:rPr>
        <w:t xml:space="preserve">limited </w:t>
      </w:r>
      <w:r w:rsidR="00DD30E4" w:rsidRPr="00153BAD">
        <w:rPr>
          <w:noProof/>
        </w:rPr>
        <w:t xml:space="preserve">foreign sources, the existence of global single points of failure for critical inputs propelled by strategic dependencies, or indications of limited EU industrial production capacity. The </w:t>
      </w:r>
      <w:r w:rsidR="00DD30E4" w:rsidRPr="006A6D1A">
        <w:rPr>
          <w:b/>
          <w:bCs/>
          <w:noProof/>
        </w:rPr>
        <w:t>Chips Act</w:t>
      </w:r>
      <w:r w:rsidR="00DD30E4" w:rsidRPr="00153BAD">
        <w:rPr>
          <w:rStyle w:val="FootnoteReference"/>
          <w:noProof/>
        </w:rPr>
        <w:footnoteReference w:id="35"/>
      </w:r>
      <w:r w:rsidR="00DD30E4" w:rsidRPr="006A6D1A">
        <w:rPr>
          <w:b/>
          <w:bCs/>
          <w:noProof/>
        </w:rPr>
        <w:t xml:space="preserve"> proposed in 2022</w:t>
      </w:r>
      <w:r w:rsidR="00DD30E4" w:rsidRPr="00153BAD">
        <w:rPr>
          <w:noProof/>
        </w:rPr>
        <w:t xml:space="preserve"> and the </w:t>
      </w:r>
      <w:r w:rsidR="005E77E1" w:rsidRPr="004D0265">
        <w:rPr>
          <w:noProof/>
        </w:rPr>
        <w:t>proposal for a</w:t>
      </w:r>
      <w:r w:rsidR="005E77E1">
        <w:rPr>
          <w:noProof/>
        </w:rPr>
        <w:t xml:space="preserve"> </w:t>
      </w:r>
      <w:r w:rsidR="00DD30E4" w:rsidRPr="00733A21">
        <w:rPr>
          <w:b/>
          <w:bCs/>
          <w:noProof/>
        </w:rPr>
        <w:t>European</w:t>
      </w:r>
      <w:r w:rsidR="00DD30E4">
        <w:rPr>
          <w:noProof/>
        </w:rPr>
        <w:t xml:space="preserve"> </w:t>
      </w:r>
      <w:r w:rsidR="00DD30E4" w:rsidRPr="006A6D1A">
        <w:rPr>
          <w:b/>
          <w:bCs/>
          <w:noProof/>
        </w:rPr>
        <w:t>Critical Raw Materials Act</w:t>
      </w:r>
      <w:r w:rsidR="005C2158">
        <w:rPr>
          <w:rStyle w:val="FootnoteReference"/>
          <w:b/>
          <w:bCs/>
          <w:noProof/>
        </w:rPr>
        <w:footnoteReference w:id="36"/>
      </w:r>
      <w:r w:rsidR="001459F8">
        <w:rPr>
          <w:b/>
          <w:bCs/>
          <w:noProof/>
        </w:rPr>
        <w:t xml:space="preserve"> </w:t>
      </w:r>
      <w:r w:rsidR="001459F8" w:rsidRPr="00047A71">
        <w:rPr>
          <w:noProof/>
        </w:rPr>
        <w:t xml:space="preserve">adopted </w:t>
      </w:r>
      <w:r w:rsidR="00F25EBF" w:rsidRPr="000C7D89">
        <w:rPr>
          <w:noProof/>
        </w:rPr>
        <w:t>in</w:t>
      </w:r>
      <w:r w:rsidR="00F25EBF">
        <w:rPr>
          <w:noProof/>
        </w:rPr>
        <w:t xml:space="preserve"> parallel to this </w:t>
      </w:r>
      <w:r w:rsidR="00001EB3">
        <w:rPr>
          <w:noProof/>
        </w:rPr>
        <w:t>C</w:t>
      </w:r>
      <w:r w:rsidR="00F25EBF">
        <w:rPr>
          <w:noProof/>
        </w:rPr>
        <w:t>ommunication</w:t>
      </w:r>
      <w:r w:rsidR="001459F8" w:rsidRPr="00920477">
        <w:rPr>
          <w:noProof/>
        </w:rPr>
        <w:t xml:space="preserve"> will</w:t>
      </w:r>
      <w:r w:rsidR="00DD30E4" w:rsidRPr="00153BAD">
        <w:rPr>
          <w:noProof/>
        </w:rPr>
        <w:t xml:space="preserve">, respectively, help turn </w:t>
      </w:r>
      <w:r w:rsidR="00DD30E4">
        <w:rPr>
          <w:noProof/>
        </w:rPr>
        <w:t xml:space="preserve">the </w:t>
      </w:r>
      <w:r w:rsidR="00DD30E4" w:rsidRPr="00153BAD">
        <w:rPr>
          <w:noProof/>
        </w:rPr>
        <w:t>EU’s world-class research into industrial leadership, by investing in European industry and promoting international partnerships</w:t>
      </w:r>
      <w:r w:rsidR="0056717A">
        <w:rPr>
          <w:noProof/>
        </w:rPr>
        <w:t xml:space="preserve">, </w:t>
      </w:r>
      <w:r w:rsidR="00DD30E4" w:rsidRPr="00153BAD">
        <w:rPr>
          <w:noProof/>
        </w:rPr>
        <w:t xml:space="preserve">and set a framework to </w:t>
      </w:r>
      <w:r w:rsidR="00AC69C5">
        <w:rPr>
          <w:noProof/>
        </w:rPr>
        <w:t>improve access to</w:t>
      </w:r>
      <w:r w:rsidR="00DD30E4" w:rsidRPr="00153BAD">
        <w:rPr>
          <w:noProof/>
        </w:rPr>
        <w:t xml:space="preserve"> raw materials within the Single Market, increase European capacity and diversify external sources of raw </w:t>
      </w:r>
      <w:r w:rsidR="00DD30E4" w:rsidRPr="007275B4">
        <w:rPr>
          <w:noProof/>
        </w:rPr>
        <w:t xml:space="preserve">materials. </w:t>
      </w:r>
    </w:p>
    <w:p w14:paraId="15F47399" w14:textId="77777777" w:rsidR="00B92F1F" w:rsidRDefault="007303CF" w:rsidP="00F01769">
      <w:pPr>
        <w:jc w:val="both"/>
        <w:rPr>
          <w:noProof/>
        </w:rPr>
      </w:pPr>
      <w:r>
        <w:rPr>
          <w:noProof/>
        </w:rPr>
        <w:t xml:space="preserve">The </w:t>
      </w:r>
      <w:r w:rsidRPr="00F01769">
        <w:rPr>
          <w:b/>
          <w:bCs/>
          <w:noProof/>
        </w:rPr>
        <w:t>Green Deal Industrial Plan for the Net-Zero Age</w:t>
      </w:r>
      <w:r w:rsidR="005C2158">
        <w:rPr>
          <w:rStyle w:val="FootnoteReference"/>
          <w:b/>
          <w:bCs/>
          <w:noProof/>
        </w:rPr>
        <w:footnoteReference w:id="37"/>
      </w:r>
      <w:r>
        <w:rPr>
          <w:noProof/>
        </w:rPr>
        <w:t xml:space="preserve"> sets out the challenges that European industry is currently facing and therefore proposes further measures to promote the net-zero industry. As part of this plan, the </w:t>
      </w:r>
      <w:r w:rsidRPr="00FC2FE2">
        <w:rPr>
          <w:noProof/>
        </w:rPr>
        <w:t>Commission</w:t>
      </w:r>
      <w:r>
        <w:rPr>
          <w:noProof/>
        </w:rPr>
        <w:t xml:space="preserve"> </w:t>
      </w:r>
      <w:r w:rsidR="0083675E">
        <w:rPr>
          <w:noProof/>
        </w:rPr>
        <w:t xml:space="preserve">has </w:t>
      </w:r>
      <w:r>
        <w:rPr>
          <w:noProof/>
        </w:rPr>
        <w:t>propose</w:t>
      </w:r>
      <w:r w:rsidR="0083675E">
        <w:rPr>
          <w:noProof/>
        </w:rPr>
        <w:t>d</w:t>
      </w:r>
      <w:r>
        <w:rPr>
          <w:noProof/>
        </w:rPr>
        <w:t xml:space="preserve"> a </w:t>
      </w:r>
      <w:r w:rsidRPr="00F01769">
        <w:rPr>
          <w:b/>
          <w:bCs/>
          <w:noProof/>
        </w:rPr>
        <w:t>Net Zero Industry Act</w:t>
      </w:r>
      <w:r w:rsidR="005265F8">
        <w:rPr>
          <w:rStyle w:val="FootnoteReference"/>
          <w:noProof/>
        </w:rPr>
        <w:footnoteReference w:id="38"/>
      </w:r>
      <w:r>
        <w:rPr>
          <w:noProof/>
        </w:rPr>
        <w:t>, and</w:t>
      </w:r>
      <w:r w:rsidRPr="00FC2FE2">
        <w:rPr>
          <w:noProof/>
        </w:rPr>
        <w:t xml:space="preserve"> </w:t>
      </w:r>
      <w:r w:rsidRPr="00690AFB">
        <w:rPr>
          <w:noProof/>
        </w:rPr>
        <w:t>has adopted</w:t>
      </w:r>
      <w:r>
        <w:rPr>
          <w:noProof/>
        </w:rPr>
        <w:t xml:space="preserve"> a </w:t>
      </w:r>
      <w:bookmarkStart w:id="9" w:name="_Hlk129010050"/>
      <w:r w:rsidRPr="00F01769">
        <w:rPr>
          <w:b/>
          <w:bCs/>
          <w:noProof/>
        </w:rPr>
        <w:t>State Aid Temporary Crisis and Transition Framework</w:t>
      </w:r>
      <w:bookmarkEnd w:id="9"/>
      <w:r w:rsidR="005265F8">
        <w:rPr>
          <w:rStyle w:val="FootnoteReference"/>
          <w:b/>
          <w:bCs/>
          <w:noProof/>
        </w:rPr>
        <w:footnoteReference w:id="39"/>
      </w:r>
      <w:r>
        <w:rPr>
          <w:noProof/>
        </w:rPr>
        <w:t xml:space="preserve">, setting out </w:t>
      </w:r>
      <w:r w:rsidRPr="00CD18F7">
        <w:rPr>
          <w:noProof/>
        </w:rPr>
        <w:t xml:space="preserve">targeted, temporary, and proportionate </w:t>
      </w:r>
      <w:r>
        <w:rPr>
          <w:noProof/>
        </w:rPr>
        <w:t xml:space="preserve">measures </w:t>
      </w:r>
      <w:r w:rsidRPr="00CD18F7">
        <w:rPr>
          <w:noProof/>
        </w:rPr>
        <w:t xml:space="preserve">to accelerate Europe’s </w:t>
      </w:r>
      <w:r>
        <w:rPr>
          <w:noProof/>
        </w:rPr>
        <w:t xml:space="preserve">competitive </w:t>
      </w:r>
      <w:r w:rsidRPr="00CD18F7">
        <w:rPr>
          <w:noProof/>
        </w:rPr>
        <w:t xml:space="preserve">transition to a net-zero economy </w:t>
      </w:r>
      <w:r>
        <w:rPr>
          <w:noProof/>
        </w:rPr>
        <w:t>while</w:t>
      </w:r>
      <w:r w:rsidRPr="00CD18F7">
        <w:rPr>
          <w:noProof/>
        </w:rPr>
        <w:t xml:space="preserve"> avoid</w:t>
      </w:r>
      <w:r>
        <w:rPr>
          <w:noProof/>
        </w:rPr>
        <w:t>ing</w:t>
      </w:r>
      <w:r w:rsidRPr="00CD18F7">
        <w:rPr>
          <w:noProof/>
        </w:rPr>
        <w:t xml:space="preserve"> fragmentation of the Single Market.</w:t>
      </w:r>
      <w:r>
        <w:rPr>
          <w:noProof/>
        </w:rPr>
        <w:t xml:space="preserve"> </w:t>
      </w:r>
      <w:r w:rsidR="0025662F">
        <w:rPr>
          <w:noProof/>
        </w:rPr>
        <w:t>In addition, as</w:t>
      </w:r>
      <w:r w:rsidR="005C23FD" w:rsidRPr="005C23FD">
        <w:rPr>
          <w:noProof/>
        </w:rPr>
        <w:t xml:space="preserve"> </w:t>
      </w:r>
      <w:r w:rsidR="005C23FD" w:rsidRPr="000C7D89">
        <w:rPr>
          <w:noProof/>
        </w:rPr>
        <w:t xml:space="preserve">announced in the Green Deal Industrial Plan, the Commission intends to propose a European Sovereignty Fund </w:t>
      </w:r>
      <w:r w:rsidR="005C23FD" w:rsidRPr="005C23FD">
        <w:rPr>
          <w:noProof/>
        </w:rPr>
        <w:t>before summer 2023</w:t>
      </w:r>
      <w:r w:rsidR="0025662F">
        <w:rPr>
          <w:noProof/>
        </w:rPr>
        <w:t xml:space="preserve"> to preserve a European edge on critical and emerging technologies relevant to the Green and digital transition</w:t>
      </w:r>
      <w:r w:rsidR="00E62FAB">
        <w:rPr>
          <w:noProof/>
        </w:rPr>
        <w:t>, as well as to safeguard</w:t>
      </w:r>
      <w:r w:rsidR="00821B48">
        <w:rPr>
          <w:noProof/>
        </w:rPr>
        <w:t xml:space="preserve"> cohesion and preserve the integrity of the Single Market</w:t>
      </w:r>
      <w:r w:rsidR="005C23FD" w:rsidRPr="005C23FD">
        <w:rPr>
          <w:noProof/>
        </w:rPr>
        <w:t>.</w:t>
      </w:r>
      <w:r w:rsidR="00F01769">
        <w:rPr>
          <w:noProof/>
        </w:rPr>
        <w:t xml:space="preserve"> </w:t>
      </w:r>
    </w:p>
    <w:p w14:paraId="42F2A22D" w14:textId="77777777" w:rsidR="00B92F1F" w:rsidRDefault="00B92F1F" w:rsidP="00F01769">
      <w:pPr>
        <w:jc w:val="both"/>
        <w:rPr>
          <w:noProof/>
        </w:rPr>
      </w:pPr>
    </w:p>
    <w:p w14:paraId="1BBE7901" w14:textId="02EB6B51" w:rsidR="0019136D" w:rsidRPr="00AE7DAA" w:rsidRDefault="0019136D" w:rsidP="00886AC7">
      <w:pPr>
        <w:pStyle w:val="ListParagraph"/>
        <w:numPr>
          <w:ilvl w:val="1"/>
          <w:numId w:val="1"/>
        </w:numPr>
        <w:jc w:val="both"/>
        <w:rPr>
          <w:b/>
          <w:bCs/>
          <w:noProof/>
        </w:rPr>
      </w:pPr>
      <w:r w:rsidRPr="00AE7DAA">
        <w:rPr>
          <w:b/>
          <w:bCs/>
          <w:noProof/>
        </w:rPr>
        <w:t xml:space="preserve"> </w:t>
      </w:r>
      <w:r w:rsidR="18BA21EA" w:rsidRPr="00AE7DAA">
        <w:rPr>
          <w:b/>
          <w:bCs/>
          <w:noProof/>
        </w:rPr>
        <w:t xml:space="preserve">The Single Market as a pull factor and geopolitical </w:t>
      </w:r>
      <w:r w:rsidR="22EE94E8" w:rsidRPr="00AE7DAA">
        <w:rPr>
          <w:b/>
          <w:bCs/>
          <w:noProof/>
        </w:rPr>
        <w:t xml:space="preserve">asset </w:t>
      </w:r>
      <w:r w:rsidR="21815EEC" w:rsidRPr="00AE7DAA">
        <w:rPr>
          <w:b/>
          <w:bCs/>
          <w:noProof/>
        </w:rPr>
        <w:t xml:space="preserve">on </w:t>
      </w:r>
      <w:r w:rsidR="2F827C91" w:rsidRPr="00AE7DAA">
        <w:rPr>
          <w:b/>
          <w:bCs/>
          <w:noProof/>
        </w:rPr>
        <w:t>the global stage</w:t>
      </w:r>
      <w:r w:rsidR="00A657F0" w:rsidRPr="00AE7DAA">
        <w:rPr>
          <w:b/>
          <w:bCs/>
          <w:noProof/>
        </w:rPr>
        <w:t xml:space="preserve"> </w:t>
      </w:r>
    </w:p>
    <w:p w14:paraId="2C1CCE9A" w14:textId="1C80A50C" w:rsidR="00E40DAB" w:rsidRDefault="00E40DAB" w:rsidP="00E40DAB">
      <w:pPr>
        <w:jc w:val="both"/>
        <w:rPr>
          <w:noProof/>
        </w:rPr>
      </w:pPr>
      <w:r>
        <w:rPr>
          <w:noProof/>
        </w:rPr>
        <w:t xml:space="preserve">The benefits the Single Market brings are a major component of the </w:t>
      </w:r>
      <w:r w:rsidRPr="00E40DAB">
        <w:rPr>
          <w:b/>
          <w:bCs/>
          <w:noProof/>
        </w:rPr>
        <w:t>EU’s overall attractiveness as a pole of security, stability and open values</w:t>
      </w:r>
      <w:r>
        <w:rPr>
          <w:noProof/>
        </w:rPr>
        <w:t xml:space="preserve">. </w:t>
      </w:r>
      <w:r w:rsidRPr="008D54AA">
        <w:rPr>
          <w:noProof/>
        </w:rPr>
        <w:t xml:space="preserve">The </w:t>
      </w:r>
      <w:r>
        <w:rPr>
          <w:noProof/>
        </w:rPr>
        <w:t>EU</w:t>
      </w:r>
      <w:r w:rsidRPr="008D54AA">
        <w:rPr>
          <w:noProof/>
        </w:rPr>
        <w:t xml:space="preserve"> accounts for around 14% of the world’s trade in goods</w:t>
      </w:r>
      <w:r>
        <w:rPr>
          <w:rStyle w:val="FootnoteReference"/>
          <w:noProof/>
        </w:rPr>
        <w:footnoteReference w:id="40"/>
      </w:r>
      <w:r>
        <w:rPr>
          <w:noProof/>
        </w:rPr>
        <w:t xml:space="preserve">. In addition to successive enlargements between 1973 and 2007, in the 1990s EFTA members Iceland, Liechtenstein and Norway decided to establish the European Economic Area jointly with the EU, thus extending the </w:t>
      </w:r>
      <w:r w:rsidR="00042175">
        <w:rPr>
          <w:noProof/>
        </w:rPr>
        <w:t>f</w:t>
      </w:r>
      <w:r>
        <w:rPr>
          <w:noProof/>
        </w:rPr>
        <w:t xml:space="preserve">our </w:t>
      </w:r>
      <w:r w:rsidR="00042175">
        <w:rPr>
          <w:noProof/>
        </w:rPr>
        <w:t>f</w:t>
      </w:r>
      <w:r>
        <w:rPr>
          <w:noProof/>
        </w:rPr>
        <w:t>reedoms of the Single Market to their countries. M</w:t>
      </w:r>
      <w:r w:rsidRPr="008C1F62">
        <w:rPr>
          <w:noProof/>
        </w:rPr>
        <w:t xml:space="preserve">any countries in the </w:t>
      </w:r>
      <w:r>
        <w:rPr>
          <w:noProof/>
        </w:rPr>
        <w:t xml:space="preserve">Western Balkans and Eastern </w:t>
      </w:r>
      <w:r w:rsidRPr="008C1F62">
        <w:rPr>
          <w:noProof/>
        </w:rPr>
        <w:t xml:space="preserve">neighbourhood wish to pursue a future as members of the </w:t>
      </w:r>
      <w:r>
        <w:rPr>
          <w:noProof/>
        </w:rPr>
        <w:t>Union and its</w:t>
      </w:r>
      <w:r w:rsidRPr="008C1F62">
        <w:rPr>
          <w:noProof/>
        </w:rPr>
        <w:t xml:space="preserve"> Single Market. </w:t>
      </w:r>
      <w:r>
        <w:rPr>
          <w:noProof/>
        </w:rPr>
        <w:t>The EU is</w:t>
      </w:r>
      <w:r w:rsidRPr="007275B4">
        <w:rPr>
          <w:noProof/>
        </w:rPr>
        <w:t xml:space="preserve"> strong</w:t>
      </w:r>
      <w:r>
        <w:rPr>
          <w:noProof/>
        </w:rPr>
        <w:t xml:space="preserve">ly </w:t>
      </w:r>
      <w:r w:rsidRPr="007275B4">
        <w:rPr>
          <w:noProof/>
        </w:rPr>
        <w:t>commit</w:t>
      </w:r>
      <w:r>
        <w:rPr>
          <w:noProof/>
        </w:rPr>
        <w:t>ted</w:t>
      </w:r>
      <w:r w:rsidRPr="007275B4">
        <w:rPr>
          <w:noProof/>
        </w:rPr>
        <w:t xml:space="preserve"> to </w:t>
      </w:r>
      <w:r>
        <w:rPr>
          <w:noProof/>
        </w:rPr>
        <w:t xml:space="preserve">supporting </w:t>
      </w:r>
      <w:r w:rsidRPr="007275B4">
        <w:rPr>
          <w:noProof/>
        </w:rPr>
        <w:t xml:space="preserve">the Western Balkans </w:t>
      </w:r>
      <w:r>
        <w:rPr>
          <w:noProof/>
        </w:rPr>
        <w:t>on</w:t>
      </w:r>
      <w:r w:rsidRPr="007275B4">
        <w:rPr>
          <w:noProof/>
        </w:rPr>
        <w:t xml:space="preserve"> their path towards the EU</w:t>
      </w:r>
      <w:r>
        <w:rPr>
          <w:noProof/>
        </w:rPr>
        <w:t xml:space="preserve">. </w:t>
      </w:r>
    </w:p>
    <w:p w14:paraId="416CDC03" w14:textId="30975BA9" w:rsidR="001459F8" w:rsidRDefault="00E40DAB" w:rsidP="00E40DAB">
      <w:pPr>
        <w:jc w:val="both"/>
        <w:rPr>
          <w:noProof/>
        </w:rPr>
      </w:pPr>
      <w:r>
        <w:rPr>
          <w:noProof/>
        </w:rPr>
        <w:t xml:space="preserve">The EU </w:t>
      </w:r>
      <w:r w:rsidRPr="007474C8">
        <w:rPr>
          <w:noProof/>
        </w:rPr>
        <w:t xml:space="preserve">is also seizing every opportunity to integrate Ukraine further into the Single Market, e.g. by connecting it to the EU’s electricity grid, suspending import </w:t>
      </w:r>
      <w:r w:rsidRPr="00FC2FE2">
        <w:rPr>
          <w:noProof/>
        </w:rPr>
        <w:t>duties on Ukrainian exports to the EU</w:t>
      </w:r>
      <w:r w:rsidR="00CB585A">
        <w:rPr>
          <w:noProof/>
        </w:rPr>
        <w:t xml:space="preserve">, </w:t>
      </w:r>
      <w:r w:rsidR="00CB585A" w:rsidRPr="00CB585A">
        <w:rPr>
          <w:noProof/>
        </w:rPr>
        <w:t>creating Solidarity Lanes to improve movement of goods and persons</w:t>
      </w:r>
      <w:r w:rsidRPr="00FC2FE2">
        <w:rPr>
          <w:noProof/>
        </w:rPr>
        <w:t xml:space="preserve"> and bringing Ukraine into the European roam</w:t>
      </w:r>
      <w:r>
        <w:rPr>
          <w:noProof/>
        </w:rPr>
        <w:t>-</w:t>
      </w:r>
      <w:r w:rsidRPr="00FC2FE2">
        <w:rPr>
          <w:noProof/>
        </w:rPr>
        <w:t>like</w:t>
      </w:r>
      <w:r>
        <w:rPr>
          <w:noProof/>
        </w:rPr>
        <w:t>-</w:t>
      </w:r>
      <w:r w:rsidRPr="00FC2FE2">
        <w:rPr>
          <w:noProof/>
        </w:rPr>
        <w:t>at</w:t>
      </w:r>
      <w:r>
        <w:rPr>
          <w:noProof/>
        </w:rPr>
        <w:t>-</w:t>
      </w:r>
      <w:r w:rsidRPr="00FC2FE2">
        <w:rPr>
          <w:noProof/>
        </w:rPr>
        <w:t>home area</w:t>
      </w:r>
      <w:r>
        <w:rPr>
          <w:noProof/>
        </w:rPr>
        <w:t xml:space="preserve">. </w:t>
      </w:r>
      <w:r w:rsidR="00612CC4" w:rsidRPr="00761B15">
        <w:rPr>
          <w:noProof/>
        </w:rPr>
        <w:t xml:space="preserve">The Commission will </w:t>
      </w:r>
      <w:r w:rsidR="00DA4BF7" w:rsidRPr="00761B15">
        <w:rPr>
          <w:noProof/>
        </w:rPr>
        <w:t xml:space="preserve">focus with Ukraine </w:t>
      </w:r>
      <w:r w:rsidR="00612CC4" w:rsidRPr="00761B15">
        <w:rPr>
          <w:noProof/>
        </w:rPr>
        <w:t xml:space="preserve">on </w:t>
      </w:r>
      <w:r w:rsidR="00F717B3" w:rsidRPr="00761B15">
        <w:rPr>
          <w:noProof/>
        </w:rPr>
        <w:t xml:space="preserve">agreed </w:t>
      </w:r>
      <w:r w:rsidR="00D9491E" w:rsidRPr="00761B15">
        <w:rPr>
          <w:noProof/>
        </w:rPr>
        <w:t>priority actions</w:t>
      </w:r>
      <w:r w:rsidR="00D9491E" w:rsidRPr="00761B15">
        <w:rPr>
          <w:rStyle w:val="FootnoteReference"/>
          <w:noProof/>
        </w:rPr>
        <w:footnoteReference w:id="41"/>
      </w:r>
      <w:r w:rsidR="00DA4BF7" w:rsidRPr="00761B15">
        <w:rPr>
          <w:noProof/>
        </w:rPr>
        <w:t>, including in the area of</w:t>
      </w:r>
      <w:r w:rsidR="00D9491E" w:rsidRPr="00761B15">
        <w:rPr>
          <w:noProof/>
        </w:rPr>
        <w:t xml:space="preserve"> </w:t>
      </w:r>
      <w:r w:rsidR="00DA4BF7" w:rsidRPr="00761B15">
        <w:rPr>
          <w:noProof/>
        </w:rPr>
        <w:t>public procurement, standardisation, industrial cooperation, Technical Barriers to Trade and conformity assessment</w:t>
      </w:r>
      <w:r w:rsidR="00DA4BF7" w:rsidRPr="00761B15">
        <w:rPr>
          <w:rStyle w:val="FootnoteReference"/>
          <w:noProof/>
        </w:rPr>
        <w:footnoteReference w:id="42"/>
      </w:r>
      <w:r w:rsidR="00DA4BF7" w:rsidRPr="00761B15">
        <w:rPr>
          <w:noProof/>
        </w:rPr>
        <w:t xml:space="preserve">, </w:t>
      </w:r>
      <w:r w:rsidR="00F717B3" w:rsidRPr="00761B15">
        <w:rPr>
          <w:noProof/>
        </w:rPr>
        <w:t xml:space="preserve">in order </w:t>
      </w:r>
      <w:r w:rsidR="00612CC4" w:rsidRPr="00761B15">
        <w:rPr>
          <w:noProof/>
        </w:rPr>
        <w:t xml:space="preserve">to better integrate </w:t>
      </w:r>
      <w:r w:rsidR="00DA4BF7" w:rsidRPr="00761B15">
        <w:rPr>
          <w:noProof/>
        </w:rPr>
        <w:t>Ukraine</w:t>
      </w:r>
      <w:r w:rsidR="00612CC4" w:rsidRPr="00761B15">
        <w:rPr>
          <w:noProof/>
        </w:rPr>
        <w:t xml:space="preserve"> in</w:t>
      </w:r>
      <w:r w:rsidR="00DA4BF7" w:rsidRPr="00761B15">
        <w:rPr>
          <w:noProof/>
        </w:rPr>
        <w:t>to</w:t>
      </w:r>
      <w:r w:rsidR="00612CC4" w:rsidRPr="00761B15">
        <w:rPr>
          <w:noProof/>
        </w:rPr>
        <w:t xml:space="preserve"> the Single Market. </w:t>
      </w:r>
      <w:r w:rsidR="00DA4BF7" w:rsidRPr="00761B15">
        <w:rPr>
          <w:noProof/>
        </w:rPr>
        <w:t>Similar efforts are underway to similarly integrate Moldova.</w:t>
      </w:r>
      <w:r w:rsidRPr="004F10D4">
        <w:rPr>
          <w:noProof/>
        </w:rPr>
        <w:t xml:space="preserve"> The EU is also including Ukraine and other Eastern Partnership countries in a number of key EU programmes such as the Single Market Programme</w:t>
      </w:r>
      <w:r w:rsidR="00FA0497">
        <w:rPr>
          <w:noProof/>
        </w:rPr>
        <w:t>.</w:t>
      </w:r>
      <w:r w:rsidR="00A4753B" w:rsidRPr="004F10D4">
        <w:rPr>
          <w:rStyle w:val="FootnoteReference"/>
          <w:noProof/>
        </w:rPr>
        <w:footnoteReference w:id="43"/>
      </w:r>
    </w:p>
    <w:p w14:paraId="6564A645" w14:textId="48E2C846" w:rsidR="001459F8" w:rsidRDefault="00E40DAB" w:rsidP="00E40DAB">
      <w:pPr>
        <w:jc w:val="both"/>
        <w:rPr>
          <w:noProof/>
        </w:rPr>
      </w:pPr>
      <w:r w:rsidRPr="004F10D4">
        <w:rPr>
          <w:noProof/>
        </w:rPr>
        <w:t xml:space="preserve">The Single Market is also a force of projection, a </w:t>
      </w:r>
      <w:r w:rsidRPr="004F10D4">
        <w:rPr>
          <w:b/>
          <w:bCs/>
          <w:noProof/>
        </w:rPr>
        <w:t>geopolitical lever</w:t>
      </w:r>
      <w:r w:rsidRPr="004F10D4">
        <w:rPr>
          <w:noProof/>
        </w:rPr>
        <w:t xml:space="preserve"> that boosts the EU’s standing and influence in the world. It is the economic backbone of the EU’s international diplomacy</w:t>
      </w:r>
      <w:r>
        <w:rPr>
          <w:noProof/>
        </w:rPr>
        <w:t xml:space="preserve">. </w:t>
      </w:r>
      <w:r w:rsidRPr="008C1F62">
        <w:rPr>
          <w:noProof/>
        </w:rPr>
        <w:t>This global influence is crucial in light of the geopolitical devel</w:t>
      </w:r>
      <w:r>
        <w:rPr>
          <w:noProof/>
        </w:rPr>
        <w:t xml:space="preserve">opments over the last 30 years and the intensified </w:t>
      </w:r>
      <w:r w:rsidRPr="008C1F62">
        <w:rPr>
          <w:noProof/>
        </w:rPr>
        <w:t>global competition with other continent-size economies</w:t>
      </w:r>
      <w:r>
        <w:rPr>
          <w:noProof/>
        </w:rPr>
        <w:t xml:space="preserve">. </w:t>
      </w:r>
      <w:r w:rsidR="001459F8">
        <w:rPr>
          <w:noProof/>
        </w:rPr>
        <w:t>For example,</w:t>
      </w:r>
      <w:r w:rsidR="00E32CE9">
        <w:rPr>
          <w:noProof/>
        </w:rPr>
        <w:t xml:space="preserve"> </w:t>
      </w:r>
      <w:r w:rsidR="001459F8">
        <w:rPr>
          <w:noProof/>
        </w:rPr>
        <w:t>during the pandemic, the fast development and authorisation of vaccines under the EU’s rigorous medicines regime</w:t>
      </w:r>
      <w:r w:rsidR="001459F8">
        <w:rPr>
          <w:rStyle w:val="FootnoteReference"/>
          <w:noProof/>
        </w:rPr>
        <w:footnoteReference w:id="44"/>
      </w:r>
      <w:r w:rsidR="001459F8">
        <w:rPr>
          <w:noProof/>
        </w:rPr>
        <w:t xml:space="preserve"> gave the EU a powerful platform to help address COVID-19 on a global scale. </w:t>
      </w:r>
    </w:p>
    <w:p w14:paraId="0996DA24" w14:textId="77777777" w:rsidR="00A13F59" w:rsidRDefault="001459F8" w:rsidP="00E40DAB">
      <w:pPr>
        <w:jc w:val="both"/>
        <w:rPr>
          <w:noProof/>
        </w:rPr>
      </w:pPr>
      <w:r>
        <w:rPr>
          <w:noProof/>
        </w:rPr>
        <w:t>T</w:t>
      </w:r>
      <w:r w:rsidR="00E40DAB">
        <w:rPr>
          <w:noProof/>
        </w:rPr>
        <w:t xml:space="preserve">he size and attractiveness of the EU Single Market often results in companies choosing to apply EU legislation and standards to their global operations. This has enabled the EU to contribute to global prosperity and </w:t>
      </w:r>
      <w:r w:rsidR="005A1C64">
        <w:rPr>
          <w:noProof/>
        </w:rPr>
        <w:t xml:space="preserve">to </w:t>
      </w:r>
      <w:r w:rsidR="00E40DAB">
        <w:rPr>
          <w:noProof/>
        </w:rPr>
        <w:t>the Sustainable Development Goals – with sustainable growth, a high level of social protection, respect for privacy and fundamental rights</w:t>
      </w:r>
      <w:r w:rsidR="00E40DAB" w:rsidRPr="75965158">
        <w:rPr>
          <w:rStyle w:val="FootnoteReference"/>
          <w:noProof/>
        </w:rPr>
        <w:footnoteReference w:id="45"/>
      </w:r>
      <w:r w:rsidR="00E40DAB">
        <w:rPr>
          <w:noProof/>
        </w:rPr>
        <w:t>, and strong environmental and human rights protection.</w:t>
      </w:r>
    </w:p>
    <w:p w14:paraId="77F2E396" w14:textId="77777777" w:rsidR="009F4055" w:rsidRDefault="00E40DAB" w:rsidP="75965158">
      <w:pPr>
        <w:jc w:val="both"/>
        <w:rPr>
          <w:noProof/>
          <w:szCs w:val="24"/>
        </w:rPr>
      </w:pPr>
      <w:bookmarkStart w:id="10" w:name="_Hlk129006532"/>
      <w:r w:rsidRPr="00C40497">
        <w:rPr>
          <w:noProof/>
          <w:szCs w:val="24"/>
        </w:rPr>
        <w:t xml:space="preserve">The European </w:t>
      </w:r>
      <w:r w:rsidRPr="00C40497">
        <w:rPr>
          <w:b/>
          <w:bCs/>
          <w:noProof/>
          <w:szCs w:val="24"/>
        </w:rPr>
        <w:t>standardisation system</w:t>
      </w:r>
      <w:r w:rsidRPr="00C40497">
        <w:rPr>
          <w:noProof/>
          <w:szCs w:val="24"/>
        </w:rPr>
        <w:t xml:space="preserve"> is a particular success story in this regard, with the special role of harmonised European standards that allow economic operators to demonstrate compliance with EU law with one </w:t>
      </w:r>
      <w:r w:rsidRPr="00A13F59">
        <w:rPr>
          <w:noProof/>
        </w:rPr>
        <w:t>standard</w:t>
      </w:r>
      <w:r w:rsidRPr="00C40497">
        <w:rPr>
          <w:noProof/>
          <w:szCs w:val="24"/>
        </w:rPr>
        <w:t xml:space="preserve"> across the Single Market. As underpinned by the recent EU Standardisation Strategy</w:t>
      </w:r>
      <w:r w:rsidRPr="00C40497">
        <w:rPr>
          <w:rStyle w:val="FootnoteReference"/>
          <w:noProof/>
          <w:szCs w:val="24"/>
        </w:rPr>
        <w:footnoteReference w:id="46"/>
      </w:r>
      <w:r w:rsidRPr="00C40497">
        <w:rPr>
          <w:noProof/>
          <w:szCs w:val="24"/>
        </w:rPr>
        <w:t>, standards play an important role for the digital and green transition and can give the EU a global leadership role, especially when it comes to strategic technologies.</w:t>
      </w:r>
      <w:r w:rsidR="00625F7A">
        <w:rPr>
          <w:noProof/>
          <w:szCs w:val="24"/>
        </w:rPr>
        <w:t xml:space="preserve"> </w:t>
      </w:r>
      <w:r w:rsidR="00F045D5" w:rsidRPr="00F045D5">
        <w:rPr>
          <w:noProof/>
          <w:szCs w:val="24"/>
        </w:rPr>
        <w:t>Standards can also contribute to a more inclusive society</w:t>
      </w:r>
      <w:r w:rsidR="001730F2">
        <w:rPr>
          <w:noProof/>
          <w:szCs w:val="24"/>
        </w:rPr>
        <w:t xml:space="preserve"> </w:t>
      </w:r>
      <w:r w:rsidR="00F045D5" w:rsidRPr="00F045D5">
        <w:rPr>
          <w:noProof/>
          <w:szCs w:val="24"/>
        </w:rPr>
        <w:t>by ensuring accessibility of a range of everyday products and services.</w:t>
      </w:r>
      <w:r w:rsidR="00F045D5">
        <w:rPr>
          <w:noProof/>
          <w:szCs w:val="24"/>
        </w:rPr>
        <w:t xml:space="preserve"> </w:t>
      </w:r>
      <w:r w:rsidR="00166045" w:rsidRPr="00C40497">
        <w:rPr>
          <w:noProof/>
          <w:szCs w:val="24"/>
        </w:rPr>
        <w:t xml:space="preserve">International standards </w:t>
      </w:r>
      <w:r w:rsidR="00625F7A">
        <w:rPr>
          <w:noProof/>
          <w:szCs w:val="24"/>
        </w:rPr>
        <w:t xml:space="preserve">also </w:t>
      </w:r>
      <w:r w:rsidR="00166045" w:rsidRPr="00C40497">
        <w:rPr>
          <w:noProof/>
          <w:szCs w:val="24"/>
        </w:rPr>
        <w:t xml:space="preserve">play an important role </w:t>
      </w:r>
      <w:r w:rsidR="008D5CB4">
        <w:rPr>
          <w:noProof/>
          <w:szCs w:val="24"/>
        </w:rPr>
        <w:t xml:space="preserve">not only </w:t>
      </w:r>
      <w:r w:rsidR="00166045" w:rsidRPr="00C40497">
        <w:rPr>
          <w:noProof/>
          <w:szCs w:val="24"/>
        </w:rPr>
        <w:t>for tackling technical barriers to trade</w:t>
      </w:r>
      <w:r w:rsidR="008D5CB4">
        <w:rPr>
          <w:noProof/>
          <w:szCs w:val="24"/>
        </w:rPr>
        <w:t>, but also for</w:t>
      </w:r>
      <w:r w:rsidR="00166045" w:rsidRPr="00C40497">
        <w:rPr>
          <w:noProof/>
          <w:szCs w:val="24"/>
        </w:rPr>
        <w:t xml:space="preserve"> facilitating international market access for EU companies. With the increasing geopolitical role of standards, enhanced EU engagement</w:t>
      </w:r>
      <w:r w:rsidR="00C40497">
        <w:rPr>
          <w:noProof/>
          <w:szCs w:val="24"/>
        </w:rPr>
        <w:t xml:space="preserve"> in</w:t>
      </w:r>
      <w:r w:rsidR="00166045" w:rsidRPr="00C40497">
        <w:rPr>
          <w:noProof/>
          <w:szCs w:val="24"/>
        </w:rPr>
        <w:t xml:space="preserve"> </w:t>
      </w:r>
      <w:r w:rsidR="00FD2FCD" w:rsidRPr="00C40497">
        <w:rPr>
          <w:noProof/>
          <w:szCs w:val="24"/>
        </w:rPr>
        <w:t xml:space="preserve">international standards-development processes </w:t>
      </w:r>
      <w:r w:rsidR="00166045" w:rsidRPr="00C40497">
        <w:rPr>
          <w:noProof/>
          <w:szCs w:val="24"/>
        </w:rPr>
        <w:t>is also key to preserve EU values and interests.</w:t>
      </w:r>
      <w:r w:rsidR="00FD2FCD" w:rsidRPr="00C40497">
        <w:rPr>
          <w:noProof/>
          <w:szCs w:val="24"/>
        </w:rPr>
        <w:t xml:space="preserve"> For this, the Commission </w:t>
      </w:r>
      <w:r w:rsidR="009A7CE4">
        <w:rPr>
          <w:noProof/>
          <w:szCs w:val="24"/>
        </w:rPr>
        <w:t xml:space="preserve">is </w:t>
      </w:r>
      <w:r w:rsidR="00FD2FCD" w:rsidRPr="00C40497">
        <w:rPr>
          <w:noProof/>
          <w:szCs w:val="24"/>
        </w:rPr>
        <w:t>undertak</w:t>
      </w:r>
      <w:r w:rsidR="009A7CE4">
        <w:rPr>
          <w:noProof/>
          <w:szCs w:val="24"/>
        </w:rPr>
        <w:t>ing</w:t>
      </w:r>
      <w:r w:rsidR="00FD2FCD" w:rsidRPr="00C40497">
        <w:rPr>
          <w:noProof/>
          <w:szCs w:val="24"/>
        </w:rPr>
        <w:t xml:space="preserve"> strategic dialogues with key trading partners, like the US, Japan or India.</w:t>
      </w:r>
      <w:bookmarkEnd w:id="10"/>
      <w:r w:rsidR="00F75AC2">
        <w:rPr>
          <w:noProof/>
          <w:szCs w:val="24"/>
        </w:rPr>
        <w:t xml:space="preserve"> </w:t>
      </w:r>
    </w:p>
    <w:p w14:paraId="4D4397D0" w14:textId="06048F1C" w:rsidR="7459403C" w:rsidRDefault="00A13F59" w:rsidP="75965158">
      <w:pPr>
        <w:jc w:val="both"/>
        <w:rPr>
          <w:noProof/>
        </w:rPr>
      </w:pPr>
      <w:r w:rsidRPr="00A13F59">
        <w:rPr>
          <w:noProof/>
          <w:szCs w:val="24"/>
        </w:rPr>
        <w:t xml:space="preserve">The Single Market has enabled the EU to become a trading power, creating opportunities for the EU’s businesses abroad, projecting our rules and values, connecting the EU to growth poles around the world, securing the inputs we need and supporting others in achieving sustainability objectives. The EU is the number one trading partner for 53 countries around the world that </w:t>
      </w:r>
      <w:r w:rsidR="002975BD">
        <w:rPr>
          <w:noProof/>
          <w:szCs w:val="24"/>
        </w:rPr>
        <w:t xml:space="preserve">together </w:t>
      </w:r>
      <w:r w:rsidRPr="00A13F59">
        <w:rPr>
          <w:noProof/>
          <w:szCs w:val="24"/>
        </w:rPr>
        <w:t>represent 48% of world GDP.</w:t>
      </w:r>
      <w:r w:rsidR="00AB6A1D">
        <w:rPr>
          <w:noProof/>
          <w:szCs w:val="24"/>
        </w:rPr>
        <w:t xml:space="preserve"> </w:t>
      </w:r>
      <w:r w:rsidR="2BC1431E" w:rsidRPr="75965158">
        <w:rPr>
          <w:b/>
          <w:bCs/>
          <w:noProof/>
        </w:rPr>
        <w:t xml:space="preserve">The Single Market provides leverage to </w:t>
      </w:r>
      <w:r w:rsidR="18BA21EA" w:rsidRPr="75965158">
        <w:rPr>
          <w:b/>
          <w:bCs/>
          <w:noProof/>
        </w:rPr>
        <w:t xml:space="preserve">ensure that </w:t>
      </w:r>
      <w:r w:rsidR="0090239A">
        <w:rPr>
          <w:b/>
          <w:bCs/>
          <w:noProof/>
        </w:rPr>
        <w:t>the EU’s</w:t>
      </w:r>
      <w:r w:rsidR="0090239A" w:rsidRPr="75965158">
        <w:rPr>
          <w:b/>
          <w:bCs/>
          <w:noProof/>
        </w:rPr>
        <w:t xml:space="preserve"> </w:t>
      </w:r>
      <w:r w:rsidR="18BA21EA" w:rsidRPr="75965158">
        <w:rPr>
          <w:b/>
          <w:bCs/>
          <w:noProof/>
        </w:rPr>
        <w:t xml:space="preserve">openness goes hand in hand with </w:t>
      </w:r>
      <w:r w:rsidR="2BC1431E" w:rsidRPr="75965158">
        <w:rPr>
          <w:b/>
          <w:bCs/>
          <w:noProof/>
        </w:rPr>
        <w:t xml:space="preserve">respect of </w:t>
      </w:r>
      <w:r w:rsidR="00042175">
        <w:rPr>
          <w:b/>
          <w:bCs/>
          <w:noProof/>
        </w:rPr>
        <w:t xml:space="preserve">the </w:t>
      </w:r>
      <w:r w:rsidR="2BC1431E" w:rsidRPr="75965158">
        <w:rPr>
          <w:b/>
          <w:bCs/>
          <w:noProof/>
        </w:rPr>
        <w:t>EU</w:t>
      </w:r>
      <w:r w:rsidR="0090239A">
        <w:rPr>
          <w:b/>
          <w:bCs/>
          <w:noProof/>
        </w:rPr>
        <w:t>’s</w:t>
      </w:r>
      <w:r w:rsidR="2BC1431E" w:rsidRPr="75965158">
        <w:rPr>
          <w:b/>
          <w:bCs/>
          <w:noProof/>
        </w:rPr>
        <w:t xml:space="preserve"> rules</w:t>
      </w:r>
      <w:r w:rsidR="2BC1431E">
        <w:rPr>
          <w:noProof/>
        </w:rPr>
        <w:t xml:space="preserve">, for instance by </w:t>
      </w:r>
      <w:r w:rsidR="2BC1431E" w:rsidRPr="00FC152E">
        <w:rPr>
          <w:noProof/>
        </w:rPr>
        <w:t>addressing distortions caused by foreign subsidies</w:t>
      </w:r>
      <w:r w:rsidR="00DD30E4">
        <w:rPr>
          <w:rStyle w:val="FootnoteReference"/>
          <w:noProof/>
        </w:rPr>
        <w:footnoteReference w:id="47"/>
      </w:r>
      <w:r w:rsidR="2BC1431E">
        <w:rPr>
          <w:noProof/>
        </w:rPr>
        <w:t xml:space="preserve">, </w:t>
      </w:r>
      <w:r w:rsidR="2BC1431E" w:rsidRPr="008C1F62">
        <w:rPr>
          <w:noProof/>
        </w:rPr>
        <w:t>preventing goods made with forced labour</w:t>
      </w:r>
      <w:r w:rsidR="00DD30E4" w:rsidRPr="008C1F62">
        <w:rPr>
          <w:rStyle w:val="FootnoteReference"/>
          <w:noProof/>
        </w:rPr>
        <w:footnoteReference w:id="48"/>
      </w:r>
      <w:r w:rsidR="2BC1431E" w:rsidRPr="008C1F62">
        <w:rPr>
          <w:noProof/>
        </w:rPr>
        <w:t xml:space="preserve"> or environmentally</w:t>
      </w:r>
      <w:r w:rsidR="007C2D41">
        <w:rPr>
          <w:noProof/>
        </w:rPr>
        <w:t>/socially</w:t>
      </w:r>
      <w:r w:rsidR="2BC1431E" w:rsidRPr="008C1F62">
        <w:rPr>
          <w:noProof/>
        </w:rPr>
        <w:t xml:space="preserve"> unsustainable practices</w:t>
      </w:r>
      <w:r w:rsidR="2BC1431E">
        <w:rPr>
          <w:noProof/>
        </w:rPr>
        <w:t>.</w:t>
      </w:r>
      <w:r w:rsidR="00640218">
        <w:rPr>
          <w:noProof/>
        </w:rPr>
        <w:t xml:space="preserve"> </w:t>
      </w:r>
      <w:r w:rsidR="7459403C">
        <w:rPr>
          <w:noProof/>
        </w:rPr>
        <w:t>Furthermore, the ability of the EU to use economic tools, such as sanctions and restrictive measures, to uphold the international rules-based order, is predicated on</w:t>
      </w:r>
      <w:r w:rsidR="27DE7D7C">
        <w:rPr>
          <w:noProof/>
        </w:rPr>
        <w:t xml:space="preserve"> a well-functioning </w:t>
      </w:r>
      <w:r w:rsidR="001114B0">
        <w:rPr>
          <w:noProof/>
        </w:rPr>
        <w:t>S</w:t>
      </w:r>
      <w:r w:rsidR="27DE7D7C">
        <w:rPr>
          <w:noProof/>
        </w:rPr>
        <w:t xml:space="preserve">ingle </w:t>
      </w:r>
      <w:r w:rsidR="001114B0">
        <w:rPr>
          <w:noProof/>
        </w:rPr>
        <w:t>M</w:t>
      </w:r>
      <w:r w:rsidR="27DE7D7C">
        <w:rPr>
          <w:noProof/>
        </w:rPr>
        <w:t>arket with a central role in the global economy.</w:t>
      </w:r>
    </w:p>
    <w:p w14:paraId="4899C51C" w14:textId="77777777" w:rsidR="00966CF9" w:rsidRDefault="00966CF9" w:rsidP="75965158">
      <w:pPr>
        <w:jc w:val="both"/>
        <w:rPr>
          <w:noProof/>
        </w:rPr>
      </w:pPr>
    </w:p>
    <w:p w14:paraId="42B37917" w14:textId="4254E590" w:rsidR="00613067" w:rsidRDefault="00613067" w:rsidP="75965158">
      <w:pPr>
        <w:jc w:val="both"/>
        <w:rPr>
          <w:noProof/>
        </w:rPr>
      </w:pPr>
    </w:p>
    <w:p w14:paraId="067CBDE4" w14:textId="1144C193" w:rsidR="00770C1D" w:rsidRPr="00E87D40" w:rsidRDefault="00770C1D" w:rsidP="00BE68A3">
      <w:pPr>
        <w:pStyle w:val="Heading1"/>
        <w:numPr>
          <w:ilvl w:val="0"/>
          <w:numId w:val="1"/>
        </w:numPr>
        <w:jc w:val="both"/>
        <w:rPr>
          <w:rFonts w:eastAsiaTheme="minorHAnsi" w:cstheme="minorBidi"/>
          <w:b/>
          <w:noProof/>
          <w:color w:val="auto"/>
          <w:sz w:val="24"/>
          <w:szCs w:val="22"/>
        </w:rPr>
      </w:pPr>
      <w:r w:rsidRPr="00E87D40">
        <w:rPr>
          <w:rFonts w:eastAsiaTheme="minorHAnsi" w:cstheme="minorBidi"/>
          <w:b/>
          <w:noProof/>
          <w:color w:val="auto"/>
          <w:sz w:val="24"/>
          <w:szCs w:val="22"/>
        </w:rPr>
        <w:t xml:space="preserve">  THE WAY FORWARD</w:t>
      </w:r>
      <w:r w:rsidR="00522FB2" w:rsidRPr="00E87D40">
        <w:rPr>
          <w:rFonts w:eastAsiaTheme="minorHAnsi" w:cstheme="minorBidi"/>
          <w:b/>
          <w:noProof/>
          <w:color w:val="auto"/>
          <w:sz w:val="24"/>
          <w:szCs w:val="22"/>
        </w:rPr>
        <w:t xml:space="preserve"> –</w:t>
      </w:r>
      <w:r w:rsidR="00123D4C" w:rsidRPr="00E87D40">
        <w:rPr>
          <w:rFonts w:eastAsiaTheme="minorHAnsi" w:cstheme="minorBidi"/>
          <w:b/>
          <w:noProof/>
          <w:color w:val="auto"/>
          <w:sz w:val="24"/>
          <w:szCs w:val="22"/>
        </w:rPr>
        <w:t xml:space="preserve"> </w:t>
      </w:r>
      <w:r w:rsidR="00522FB2" w:rsidRPr="00E87D40">
        <w:rPr>
          <w:rFonts w:eastAsiaTheme="minorHAnsi" w:cstheme="minorBidi"/>
          <w:b/>
          <w:noProof/>
          <w:color w:val="auto"/>
          <w:sz w:val="24"/>
          <w:szCs w:val="22"/>
        </w:rPr>
        <w:t>TOWARDS FURTHER IN</w:t>
      </w:r>
      <w:r w:rsidR="006C0E58" w:rsidRPr="00E87D40">
        <w:rPr>
          <w:rFonts w:eastAsiaTheme="minorHAnsi" w:cstheme="minorBidi"/>
          <w:b/>
          <w:noProof/>
          <w:color w:val="auto"/>
          <w:sz w:val="24"/>
          <w:szCs w:val="22"/>
        </w:rPr>
        <w:t>TEGRATION OF THE SING</w:t>
      </w:r>
      <w:r w:rsidR="003D4522" w:rsidRPr="00E87D40">
        <w:rPr>
          <w:rFonts w:eastAsiaTheme="minorHAnsi" w:cstheme="minorBidi"/>
          <w:b/>
          <w:noProof/>
          <w:color w:val="auto"/>
          <w:sz w:val="24"/>
          <w:szCs w:val="22"/>
        </w:rPr>
        <w:t>L</w:t>
      </w:r>
      <w:r w:rsidR="006C0E58" w:rsidRPr="00E87D40">
        <w:rPr>
          <w:rFonts w:eastAsiaTheme="minorHAnsi" w:cstheme="minorBidi"/>
          <w:b/>
          <w:noProof/>
          <w:color w:val="auto"/>
          <w:sz w:val="24"/>
          <w:szCs w:val="22"/>
        </w:rPr>
        <w:t>E MARKET</w:t>
      </w:r>
    </w:p>
    <w:p w14:paraId="56E49BF3" w14:textId="77777777" w:rsidR="00097D69" w:rsidRDefault="00097D69" w:rsidP="001A5EC5">
      <w:pPr>
        <w:jc w:val="both"/>
        <w:rPr>
          <w:noProof/>
        </w:rPr>
      </w:pPr>
    </w:p>
    <w:p w14:paraId="3EC2DFAC" w14:textId="1486F249" w:rsidR="00205BF5" w:rsidRPr="00640218" w:rsidRDefault="37A1946E" w:rsidP="00FC2FE2">
      <w:pPr>
        <w:jc w:val="both"/>
        <w:rPr>
          <w:noProof/>
        </w:rPr>
      </w:pPr>
      <w:r>
        <w:rPr>
          <w:noProof/>
        </w:rPr>
        <w:t xml:space="preserve">Anniversaries are an opportunity </w:t>
      </w:r>
      <w:r w:rsidR="009F0835">
        <w:rPr>
          <w:noProof/>
        </w:rPr>
        <w:t xml:space="preserve">not only </w:t>
      </w:r>
      <w:r>
        <w:rPr>
          <w:noProof/>
        </w:rPr>
        <w:t xml:space="preserve">to look back at </w:t>
      </w:r>
      <w:r w:rsidR="225CDF10">
        <w:rPr>
          <w:noProof/>
        </w:rPr>
        <w:t>past achievements</w:t>
      </w:r>
      <w:r>
        <w:rPr>
          <w:noProof/>
        </w:rPr>
        <w:t>, but to set</w:t>
      </w:r>
      <w:r w:rsidR="799AC509">
        <w:rPr>
          <w:noProof/>
        </w:rPr>
        <w:t xml:space="preserve"> the expectations and </w:t>
      </w:r>
      <w:r w:rsidR="00204752">
        <w:rPr>
          <w:noProof/>
        </w:rPr>
        <w:t>objectives</w:t>
      </w:r>
      <w:r w:rsidR="799AC509">
        <w:rPr>
          <w:noProof/>
        </w:rPr>
        <w:t xml:space="preserve"> for the future</w:t>
      </w:r>
      <w:r w:rsidR="22E8F28A">
        <w:rPr>
          <w:noProof/>
        </w:rPr>
        <w:t xml:space="preserve">. </w:t>
      </w:r>
      <w:r w:rsidR="5CCAB3C9">
        <w:rPr>
          <w:noProof/>
        </w:rPr>
        <w:t xml:space="preserve">In a rapidly changing environment, </w:t>
      </w:r>
      <w:r w:rsidR="00AF60DA">
        <w:rPr>
          <w:noProof/>
        </w:rPr>
        <w:t xml:space="preserve">efforts to improve </w:t>
      </w:r>
      <w:r w:rsidR="00EF3F20">
        <w:rPr>
          <w:noProof/>
        </w:rPr>
        <w:t xml:space="preserve">enforcement of </w:t>
      </w:r>
      <w:r w:rsidR="5CCAB3C9">
        <w:rPr>
          <w:noProof/>
        </w:rPr>
        <w:t xml:space="preserve">Single Market </w:t>
      </w:r>
      <w:r w:rsidR="00236A2A">
        <w:rPr>
          <w:noProof/>
        </w:rPr>
        <w:t xml:space="preserve">rules </w:t>
      </w:r>
      <w:r w:rsidR="00644895">
        <w:rPr>
          <w:noProof/>
        </w:rPr>
        <w:t xml:space="preserve">and to </w:t>
      </w:r>
      <w:r w:rsidR="00D07578">
        <w:rPr>
          <w:noProof/>
        </w:rPr>
        <w:t>instil joint ownership</w:t>
      </w:r>
      <w:r w:rsidR="00644895">
        <w:rPr>
          <w:noProof/>
        </w:rPr>
        <w:t xml:space="preserve"> of </w:t>
      </w:r>
      <w:r w:rsidR="00D07578">
        <w:rPr>
          <w:noProof/>
        </w:rPr>
        <w:t>the Single Market at EU and national level</w:t>
      </w:r>
      <w:r w:rsidR="00236A2A">
        <w:rPr>
          <w:noProof/>
        </w:rPr>
        <w:t xml:space="preserve"> </w:t>
      </w:r>
      <w:r w:rsidR="5CCAB3C9">
        <w:rPr>
          <w:noProof/>
        </w:rPr>
        <w:t xml:space="preserve">need </w:t>
      </w:r>
      <w:r w:rsidR="005A1C64">
        <w:rPr>
          <w:noProof/>
        </w:rPr>
        <w:t xml:space="preserve">to </w:t>
      </w:r>
      <w:r w:rsidR="00D36A23">
        <w:rPr>
          <w:noProof/>
        </w:rPr>
        <w:t>continue</w:t>
      </w:r>
      <w:r w:rsidR="00D07578">
        <w:rPr>
          <w:noProof/>
        </w:rPr>
        <w:t>.</w:t>
      </w:r>
      <w:r w:rsidR="00D36A23">
        <w:rPr>
          <w:noProof/>
        </w:rPr>
        <w:t xml:space="preserve"> </w:t>
      </w:r>
      <w:r w:rsidR="00D07578">
        <w:rPr>
          <w:noProof/>
        </w:rPr>
        <w:t>R</w:t>
      </w:r>
      <w:r w:rsidR="00DF1845">
        <w:rPr>
          <w:noProof/>
        </w:rPr>
        <w:t>ules must</w:t>
      </w:r>
      <w:r w:rsidR="00D07578">
        <w:rPr>
          <w:noProof/>
        </w:rPr>
        <w:t xml:space="preserve"> also</w:t>
      </w:r>
      <w:r w:rsidR="30B04836">
        <w:rPr>
          <w:noProof/>
        </w:rPr>
        <w:t>, where ne</w:t>
      </w:r>
      <w:r w:rsidR="003A4653">
        <w:rPr>
          <w:noProof/>
        </w:rPr>
        <w:t>cessary</w:t>
      </w:r>
      <w:r w:rsidR="30B04836">
        <w:rPr>
          <w:noProof/>
        </w:rPr>
        <w:t xml:space="preserve">, </w:t>
      </w:r>
      <w:r w:rsidR="00AF60DA">
        <w:rPr>
          <w:noProof/>
        </w:rPr>
        <w:t xml:space="preserve">continue </w:t>
      </w:r>
      <w:r w:rsidR="009F0835">
        <w:rPr>
          <w:noProof/>
        </w:rPr>
        <w:t xml:space="preserve">to </w:t>
      </w:r>
      <w:r w:rsidR="00EF3F20">
        <w:rPr>
          <w:noProof/>
        </w:rPr>
        <w:t xml:space="preserve">be </w:t>
      </w:r>
      <w:r w:rsidR="009F0835">
        <w:rPr>
          <w:noProof/>
        </w:rPr>
        <w:t>adapted</w:t>
      </w:r>
      <w:r w:rsidR="5CCAB3C9">
        <w:rPr>
          <w:noProof/>
        </w:rPr>
        <w:t xml:space="preserve"> to new </w:t>
      </w:r>
      <w:r w:rsidR="00D36A23">
        <w:rPr>
          <w:noProof/>
        </w:rPr>
        <w:t>products</w:t>
      </w:r>
      <w:r w:rsidR="003A4653">
        <w:rPr>
          <w:noProof/>
        </w:rPr>
        <w:t>,</w:t>
      </w:r>
      <w:r w:rsidR="00D36A23">
        <w:rPr>
          <w:noProof/>
        </w:rPr>
        <w:t xml:space="preserve"> services </w:t>
      </w:r>
      <w:r w:rsidR="5CCAB3C9">
        <w:rPr>
          <w:noProof/>
        </w:rPr>
        <w:t xml:space="preserve">and business models that will help fuel the green and digital </w:t>
      </w:r>
      <w:r w:rsidR="5CCAB3C9" w:rsidRPr="00640218">
        <w:rPr>
          <w:noProof/>
        </w:rPr>
        <w:t>transition</w:t>
      </w:r>
      <w:r w:rsidR="009F0835" w:rsidRPr="00640218">
        <w:rPr>
          <w:noProof/>
        </w:rPr>
        <w:t>s</w:t>
      </w:r>
      <w:r w:rsidR="5CCAB3C9" w:rsidRPr="00640218">
        <w:rPr>
          <w:noProof/>
        </w:rPr>
        <w:t>.</w:t>
      </w:r>
      <w:r w:rsidR="00E16B4D">
        <w:rPr>
          <w:noProof/>
        </w:rPr>
        <w:t xml:space="preserve"> </w:t>
      </w:r>
    </w:p>
    <w:p w14:paraId="43E33876" w14:textId="70316F9B" w:rsidR="00FE70DC" w:rsidRPr="00640218" w:rsidRDefault="00753EB9" w:rsidP="0090239A">
      <w:pPr>
        <w:jc w:val="both"/>
        <w:rPr>
          <w:noProof/>
        </w:rPr>
      </w:pPr>
      <w:r w:rsidRPr="00640218">
        <w:rPr>
          <w:noProof/>
        </w:rPr>
        <w:t>A fully functioning Single Market is t</w:t>
      </w:r>
      <w:r w:rsidR="002C41D6" w:rsidRPr="00640218">
        <w:rPr>
          <w:noProof/>
        </w:rPr>
        <w:t xml:space="preserve">he </w:t>
      </w:r>
      <w:r w:rsidR="00096548" w:rsidRPr="00640218">
        <w:rPr>
          <w:noProof/>
        </w:rPr>
        <w:t xml:space="preserve">essential </w:t>
      </w:r>
      <w:r w:rsidRPr="00640218">
        <w:rPr>
          <w:noProof/>
        </w:rPr>
        <w:t xml:space="preserve">foundation of the </w:t>
      </w:r>
      <w:r w:rsidR="002C41D6" w:rsidRPr="00640218">
        <w:rPr>
          <w:noProof/>
        </w:rPr>
        <w:t>EU’s l</w:t>
      </w:r>
      <w:r w:rsidR="002A2A88" w:rsidRPr="00640218">
        <w:rPr>
          <w:noProof/>
        </w:rPr>
        <w:t>ong-term competitiveness</w:t>
      </w:r>
      <w:r w:rsidR="000D120A" w:rsidRPr="00640218">
        <w:rPr>
          <w:noProof/>
        </w:rPr>
        <w:t>.</w:t>
      </w:r>
      <w:r w:rsidR="002A2A88" w:rsidRPr="00640218">
        <w:rPr>
          <w:noProof/>
        </w:rPr>
        <w:t xml:space="preserve"> </w:t>
      </w:r>
      <w:r w:rsidR="00FE70DC" w:rsidRPr="00640218">
        <w:rPr>
          <w:noProof/>
        </w:rPr>
        <w:t xml:space="preserve">The Commission’s </w:t>
      </w:r>
      <w:r w:rsidR="007F73B4">
        <w:rPr>
          <w:noProof/>
        </w:rPr>
        <w:t>Communication on competitiveness</w:t>
      </w:r>
      <w:r w:rsidR="00FE70DC" w:rsidRPr="00640218">
        <w:rPr>
          <w:noProof/>
        </w:rPr>
        <w:t>, published alongside this Communication</w:t>
      </w:r>
      <w:r w:rsidR="0082487E" w:rsidRPr="00640218">
        <w:rPr>
          <w:rStyle w:val="FootnoteReference"/>
          <w:noProof/>
        </w:rPr>
        <w:footnoteReference w:id="49"/>
      </w:r>
      <w:r w:rsidR="00FE70DC" w:rsidRPr="00640218">
        <w:rPr>
          <w:noProof/>
        </w:rPr>
        <w:t xml:space="preserve">, sets out actions to ensure a predictable, coherent and simplified </w:t>
      </w:r>
      <w:r w:rsidR="00FE70DC" w:rsidRPr="00640218">
        <w:rPr>
          <w:b/>
          <w:noProof/>
        </w:rPr>
        <w:t>regulatory framework that is favourable</w:t>
      </w:r>
      <w:r w:rsidR="00FE70DC" w:rsidRPr="00640218">
        <w:rPr>
          <w:noProof/>
        </w:rPr>
        <w:t xml:space="preserve"> to long-term competitiveness, as well as to ensure the availability of skills needed for the green and digital transitions and for economic growth, and to speed up and improve access to finance.</w:t>
      </w:r>
    </w:p>
    <w:p w14:paraId="7A8D74CB" w14:textId="1C85CADC" w:rsidR="00C347CF" w:rsidRPr="00640218" w:rsidRDefault="00097D69" w:rsidP="0090239A">
      <w:pPr>
        <w:jc w:val="both"/>
        <w:rPr>
          <w:noProof/>
        </w:rPr>
      </w:pPr>
      <w:r w:rsidRPr="00640218">
        <w:rPr>
          <w:noProof/>
        </w:rPr>
        <w:t>Going forward, the Commission will work with all levels of governance and all stakeholders to</w:t>
      </w:r>
      <w:r w:rsidR="00C347CF" w:rsidRPr="00640218">
        <w:rPr>
          <w:noProof/>
        </w:rPr>
        <w:t xml:space="preserve"> fully harness the potential of the Single Market </w:t>
      </w:r>
      <w:r w:rsidR="00A762EF" w:rsidRPr="00640218">
        <w:rPr>
          <w:noProof/>
        </w:rPr>
        <w:t>so that it provide</w:t>
      </w:r>
      <w:r w:rsidR="00D36A23" w:rsidRPr="00640218">
        <w:rPr>
          <w:noProof/>
        </w:rPr>
        <w:t>s</w:t>
      </w:r>
      <w:r w:rsidR="00A762EF" w:rsidRPr="00640218">
        <w:rPr>
          <w:noProof/>
        </w:rPr>
        <w:t xml:space="preserve"> a firm foundation for </w:t>
      </w:r>
      <w:r w:rsidR="00A048A1" w:rsidRPr="00640218">
        <w:rPr>
          <w:noProof/>
        </w:rPr>
        <w:t xml:space="preserve">long-term </w:t>
      </w:r>
      <w:r w:rsidR="00A762EF" w:rsidRPr="00640218">
        <w:rPr>
          <w:noProof/>
        </w:rPr>
        <w:t>sustainabl</w:t>
      </w:r>
      <w:r w:rsidR="007F73B4">
        <w:rPr>
          <w:noProof/>
        </w:rPr>
        <w:t>e</w:t>
      </w:r>
      <w:r w:rsidR="00A762EF" w:rsidRPr="00640218">
        <w:rPr>
          <w:noProof/>
        </w:rPr>
        <w:t xml:space="preserve"> </w:t>
      </w:r>
      <w:r w:rsidR="00A048A1" w:rsidRPr="00640218">
        <w:rPr>
          <w:noProof/>
        </w:rPr>
        <w:t>competitiveness</w:t>
      </w:r>
      <w:r w:rsidR="00A762EF" w:rsidRPr="00640218">
        <w:rPr>
          <w:noProof/>
        </w:rPr>
        <w:t>. In this context, this Communication</w:t>
      </w:r>
      <w:r w:rsidR="00A048A1" w:rsidRPr="00640218">
        <w:rPr>
          <w:noProof/>
        </w:rPr>
        <w:t xml:space="preserve"> </w:t>
      </w:r>
      <w:r w:rsidR="00AB2FC6" w:rsidRPr="00640218">
        <w:rPr>
          <w:noProof/>
        </w:rPr>
        <w:t>focu</w:t>
      </w:r>
      <w:r w:rsidR="00101370" w:rsidRPr="00640218">
        <w:rPr>
          <w:noProof/>
        </w:rPr>
        <w:t>s</w:t>
      </w:r>
      <w:r w:rsidR="00A048A1" w:rsidRPr="00640218">
        <w:rPr>
          <w:noProof/>
        </w:rPr>
        <w:t>es</w:t>
      </w:r>
      <w:r w:rsidR="00101370" w:rsidRPr="00640218">
        <w:rPr>
          <w:noProof/>
        </w:rPr>
        <w:t xml:space="preserve"> on </w:t>
      </w:r>
      <w:r w:rsidR="00A048A1" w:rsidRPr="00640218">
        <w:rPr>
          <w:noProof/>
        </w:rPr>
        <w:t xml:space="preserve">two </w:t>
      </w:r>
      <w:r w:rsidR="00396C3A" w:rsidRPr="00640218">
        <w:rPr>
          <w:noProof/>
        </w:rPr>
        <w:t>key</w:t>
      </w:r>
      <w:r w:rsidR="00101370" w:rsidRPr="00640218">
        <w:rPr>
          <w:noProof/>
        </w:rPr>
        <w:t xml:space="preserve"> areas </w:t>
      </w:r>
      <w:r w:rsidR="00A048A1" w:rsidRPr="00640218">
        <w:rPr>
          <w:noProof/>
        </w:rPr>
        <w:t xml:space="preserve">for </w:t>
      </w:r>
      <w:r w:rsidR="00685C9E" w:rsidRPr="00640218">
        <w:rPr>
          <w:noProof/>
        </w:rPr>
        <w:t>further action</w:t>
      </w:r>
      <w:r w:rsidR="00C347CF" w:rsidRPr="00640218">
        <w:rPr>
          <w:noProof/>
        </w:rPr>
        <w:t>:</w:t>
      </w:r>
    </w:p>
    <w:p w14:paraId="1FC68CF4" w14:textId="509E94E1" w:rsidR="00C347CF" w:rsidRPr="00640218" w:rsidRDefault="00612287" w:rsidP="00C33A5B">
      <w:pPr>
        <w:pStyle w:val="ListParagraph"/>
        <w:numPr>
          <w:ilvl w:val="0"/>
          <w:numId w:val="3"/>
        </w:numPr>
        <w:spacing w:after="0"/>
        <w:jc w:val="both"/>
        <w:rPr>
          <w:noProof/>
        </w:rPr>
      </w:pPr>
      <w:r w:rsidRPr="00640218">
        <w:rPr>
          <w:b/>
          <w:bCs/>
          <w:noProof/>
        </w:rPr>
        <w:t>enforc</w:t>
      </w:r>
      <w:r w:rsidR="00BE2109" w:rsidRPr="00640218">
        <w:rPr>
          <w:b/>
          <w:bCs/>
          <w:noProof/>
        </w:rPr>
        <w:t>ing</w:t>
      </w:r>
      <w:r w:rsidRPr="00640218">
        <w:rPr>
          <w:b/>
          <w:bCs/>
          <w:noProof/>
        </w:rPr>
        <w:t xml:space="preserve"> </w:t>
      </w:r>
      <w:r w:rsidR="0076650E" w:rsidRPr="00640218">
        <w:rPr>
          <w:b/>
          <w:bCs/>
          <w:noProof/>
        </w:rPr>
        <w:t>existing</w:t>
      </w:r>
      <w:r w:rsidR="00123D4C" w:rsidRPr="00640218">
        <w:rPr>
          <w:b/>
          <w:bCs/>
          <w:noProof/>
        </w:rPr>
        <w:t xml:space="preserve"> Single Market</w:t>
      </w:r>
      <w:r w:rsidR="0076650E" w:rsidRPr="00640218">
        <w:rPr>
          <w:b/>
          <w:bCs/>
          <w:noProof/>
        </w:rPr>
        <w:t xml:space="preserve"> rules and </w:t>
      </w:r>
      <w:r w:rsidR="00F83C30" w:rsidRPr="00640218">
        <w:rPr>
          <w:b/>
          <w:bCs/>
          <w:noProof/>
        </w:rPr>
        <w:t>removing Member</w:t>
      </w:r>
      <w:r w:rsidR="00582319" w:rsidRPr="00640218">
        <w:rPr>
          <w:b/>
          <w:bCs/>
          <w:noProof/>
        </w:rPr>
        <w:t xml:space="preserve"> </w:t>
      </w:r>
      <w:r w:rsidR="00F83C30" w:rsidRPr="00640218">
        <w:rPr>
          <w:b/>
          <w:bCs/>
          <w:noProof/>
        </w:rPr>
        <w:t>State-level barriers</w:t>
      </w:r>
      <w:r w:rsidR="007E59C4" w:rsidRPr="00640218">
        <w:rPr>
          <w:noProof/>
        </w:rPr>
        <w:t xml:space="preserve">, </w:t>
      </w:r>
      <w:r w:rsidR="00620770" w:rsidRPr="00640218">
        <w:rPr>
          <w:noProof/>
        </w:rPr>
        <w:t xml:space="preserve">in particular </w:t>
      </w:r>
      <w:r w:rsidR="007E59C4" w:rsidRPr="00640218">
        <w:rPr>
          <w:noProof/>
        </w:rPr>
        <w:t>barriers</w:t>
      </w:r>
      <w:r w:rsidR="00F83C30" w:rsidRPr="00640218">
        <w:rPr>
          <w:noProof/>
        </w:rPr>
        <w:t xml:space="preserve"> to the cross-border provision of services</w:t>
      </w:r>
      <w:r w:rsidR="00620770" w:rsidRPr="00640218">
        <w:rPr>
          <w:noProof/>
        </w:rPr>
        <w:t xml:space="preserve">, and </w:t>
      </w:r>
      <w:r w:rsidR="00F83C30" w:rsidRPr="00640218">
        <w:rPr>
          <w:noProof/>
        </w:rPr>
        <w:t xml:space="preserve">in the industrial ecosystems with </w:t>
      </w:r>
      <w:r w:rsidR="00721BBC" w:rsidRPr="00640218">
        <w:rPr>
          <w:noProof/>
        </w:rPr>
        <w:t>the greatest</w:t>
      </w:r>
      <w:r w:rsidR="00F83C30" w:rsidRPr="00640218">
        <w:rPr>
          <w:noProof/>
        </w:rPr>
        <w:t xml:space="preserve"> economic integration potential (retail, construction, tourism, business services</w:t>
      </w:r>
      <w:r w:rsidR="0002066F" w:rsidRPr="00640218">
        <w:rPr>
          <w:noProof/>
        </w:rPr>
        <w:t xml:space="preserve"> and renewable energy sector</w:t>
      </w:r>
      <w:r w:rsidR="00FC2FE2" w:rsidRPr="00640218">
        <w:rPr>
          <w:noProof/>
        </w:rPr>
        <w:t>)</w:t>
      </w:r>
      <w:r w:rsidR="0002066F" w:rsidRPr="00640218">
        <w:rPr>
          <w:noProof/>
        </w:rPr>
        <w:t xml:space="preserve">, </w:t>
      </w:r>
      <w:r w:rsidR="00C347CF" w:rsidRPr="00640218">
        <w:rPr>
          <w:noProof/>
        </w:rPr>
        <w:t xml:space="preserve"> </w:t>
      </w:r>
    </w:p>
    <w:p w14:paraId="1F1A3433" w14:textId="62447BA5" w:rsidR="00C347CF" w:rsidRDefault="00097D69" w:rsidP="00C33A5B">
      <w:pPr>
        <w:pStyle w:val="ListParagraph"/>
        <w:numPr>
          <w:ilvl w:val="0"/>
          <w:numId w:val="3"/>
        </w:numPr>
        <w:spacing w:after="0"/>
        <w:jc w:val="both"/>
        <w:rPr>
          <w:noProof/>
        </w:rPr>
      </w:pPr>
      <w:r w:rsidRPr="00640218">
        <w:rPr>
          <w:noProof/>
        </w:rPr>
        <w:t>continuing</w:t>
      </w:r>
      <w:r w:rsidR="00C347CF" w:rsidRPr="00640218">
        <w:rPr>
          <w:noProof/>
        </w:rPr>
        <w:t xml:space="preserve"> to</w:t>
      </w:r>
      <w:r w:rsidR="00C347CF" w:rsidRPr="00640218">
        <w:rPr>
          <w:b/>
          <w:noProof/>
        </w:rPr>
        <w:t xml:space="preserve"> </w:t>
      </w:r>
      <w:r w:rsidR="00153BAD" w:rsidRPr="00640218">
        <w:rPr>
          <w:b/>
          <w:noProof/>
        </w:rPr>
        <w:t>foster the</w:t>
      </w:r>
      <w:r w:rsidR="00D60825" w:rsidRPr="00640218">
        <w:rPr>
          <w:b/>
          <w:noProof/>
        </w:rPr>
        <w:t xml:space="preserve"> </w:t>
      </w:r>
      <w:r w:rsidR="00D60825" w:rsidRPr="00640218">
        <w:rPr>
          <w:b/>
          <w:bCs/>
          <w:noProof/>
        </w:rPr>
        <w:t>green and</w:t>
      </w:r>
      <w:r w:rsidR="00153BAD" w:rsidRPr="00640218">
        <w:rPr>
          <w:b/>
          <w:bCs/>
          <w:noProof/>
        </w:rPr>
        <w:t xml:space="preserve"> </w:t>
      </w:r>
      <w:r w:rsidR="00153BAD" w:rsidRPr="00640218">
        <w:rPr>
          <w:b/>
          <w:noProof/>
        </w:rPr>
        <w:t xml:space="preserve">digital </w:t>
      </w:r>
      <w:r w:rsidR="00153BAD" w:rsidRPr="00640218">
        <w:rPr>
          <w:b/>
          <w:bCs/>
          <w:noProof/>
        </w:rPr>
        <w:t>dimension</w:t>
      </w:r>
      <w:r w:rsidR="00D60825" w:rsidRPr="00640218">
        <w:rPr>
          <w:b/>
          <w:bCs/>
          <w:noProof/>
        </w:rPr>
        <w:t>s</w:t>
      </w:r>
      <w:r w:rsidR="00153BAD" w:rsidRPr="00640218">
        <w:rPr>
          <w:noProof/>
        </w:rPr>
        <w:t xml:space="preserve"> of the Single Market </w:t>
      </w:r>
      <w:r w:rsidR="009100C5" w:rsidRPr="00640218">
        <w:rPr>
          <w:noProof/>
        </w:rPr>
        <w:t>as a source of</w:t>
      </w:r>
      <w:r w:rsidR="00153BAD" w:rsidRPr="00640218">
        <w:rPr>
          <w:noProof/>
        </w:rPr>
        <w:t xml:space="preserve"> innovation, growth and competitiveness</w:t>
      </w:r>
      <w:r w:rsidR="00A762EF" w:rsidRPr="00640218">
        <w:rPr>
          <w:noProof/>
        </w:rPr>
        <w:t>.</w:t>
      </w:r>
    </w:p>
    <w:p w14:paraId="02D3DEF1" w14:textId="77777777" w:rsidR="00AB6A1D" w:rsidRDefault="00AB6A1D" w:rsidP="00AB6A1D">
      <w:pPr>
        <w:spacing w:after="0"/>
        <w:jc w:val="both"/>
        <w:rPr>
          <w:noProof/>
        </w:rPr>
      </w:pPr>
    </w:p>
    <w:p w14:paraId="5AB61014" w14:textId="3048A137" w:rsidR="00E92452" w:rsidRPr="00E92452" w:rsidRDefault="00FB6E21" w:rsidP="00E91B32">
      <w:pPr>
        <w:pStyle w:val="ListParagraph"/>
        <w:numPr>
          <w:ilvl w:val="1"/>
          <w:numId w:val="1"/>
        </w:numPr>
        <w:spacing w:before="120"/>
        <w:rPr>
          <w:b/>
          <w:bCs/>
          <w:noProof/>
        </w:rPr>
      </w:pPr>
      <w:r>
        <w:rPr>
          <w:b/>
          <w:bCs/>
          <w:noProof/>
        </w:rPr>
        <w:t xml:space="preserve"> </w:t>
      </w:r>
      <w:r w:rsidR="00E92452" w:rsidRPr="578B50F5">
        <w:rPr>
          <w:b/>
          <w:bCs/>
          <w:noProof/>
        </w:rPr>
        <w:t>Enforcing Single Market rules</w:t>
      </w:r>
      <w:r w:rsidR="00335842">
        <w:rPr>
          <w:b/>
          <w:bCs/>
          <w:noProof/>
        </w:rPr>
        <w:t xml:space="preserve"> and removing Member</w:t>
      </w:r>
      <w:r w:rsidR="00CD2686">
        <w:rPr>
          <w:b/>
          <w:bCs/>
          <w:noProof/>
        </w:rPr>
        <w:t xml:space="preserve"> </w:t>
      </w:r>
      <w:r w:rsidR="00335842">
        <w:rPr>
          <w:b/>
          <w:bCs/>
          <w:noProof/>
        </w:rPr>
        <w:t>State</w:t>
      </w:r>
      <w:r w:rsidR="00CD2686">
        <w:rPr>
          <w:b/>
          <w:bCs/>
          <w:noProof/>
        </w:rPr>
        <w:t>-</w:t>
      </w:r>
      <w:r w:rsidR="00335842">
        <w:rPr>
          <w:b/>
          <w:bCs/>
          <w:noProof/>
        </w:rPr>
        <w:t>level barriers</w:t>
      </w:r>
    </w:p>
    <w:p w14:paraId="606BE13F" w14:textId="2A560D53" w:rsidR="00A06E0E" w:rsidRPr="00A06E0E" w:rsidRDefault="0636C4EB" w:rsidP="00A06E0E">
      <w:pPr>
        <w:spacing w:line="252" w:lineRule="auto"/>
        <w:jc w:val="both"/>
        <w:rPr>
          <w:noProof/>
        </w:rPr>
      </w:pPr>
      <w:r>
        <w:rPr>
          <w:noProof/>
        </w:rPr>
        <w:t>Citizens</w:t>
      </w:r>
      <w:r w:rsidRPr="008C1F62">
        <w:rPr>
          <w:noProof/>
        </w:rPr>
        <w:t xml:space="preserve"> and businesses </w:t>
      </w:r>
      <w:r>
        <w:rPr>
          <w:noProof/>
        </w:rPr>
        <w:t>can fully benefit</w:t>
      </w:r>
      <w:r w:rsidRPr="008C1F62">
        <w:rPr>
          <w:noProof/>
        </w:rPr>
        <w:t xml:space="preserve"> </w:t>
      </w:r>
      <w:r w:rsidR="004A1312">
        <w:rPr>
          <w:noProof/>
        </w:rPr>
        <w:t>from</w:t>
      </w:r>
      <w:r w:rsidR="004A1312" w:rsidRPr="008C1F62">
        <w:rPr>
          <w:noProof/>
        </w:rPr>
        <w:t xml:space="preserve"> </w:t>
      </w:r>
      <w:r w:rsidRPr="008C1F62">
        <w:rPr>
          <w:noProof/>
        </w:rPr>
        <w:t>the Single Market</w:t>
      </w:r>
      <w:r w:rsidRPr="00AC0FB6">
        <w:rPr>
          <w:noProof/>
        </w:rPr>
        <w:t xml:space="preserve"> </w:t>
      </w:r>
      <w:r>
        <w:rPr>
          <w:noProof/>
        </w:rPr>
        <w:t>o</w:t>
      </w:r>
      <w:r w:rsidRPr="008C1F62">
        <w:rPr>
          <w:noProof/>
        </w:rPr>
        <w:t xml:space="preserve">nly when </w:t>
      </w:r>
      <w:r>
        <w:rPr>
          <w:noProof/>
        </w:rPr>
        <w:t>EU</w:t>
      </w:r>
      <w:r w:rsidRPr="008C1F62">
        <w:rPr>
          <w:noProof/>
        </w:rPr>
        <w:t xml:space="preserve"> rules are correctly </w:t>
      </w:r>
      <w:r w:rsidR="00F17538">
        <w:rPr>
          <w:noProof/>
        </w:rPr>
        <w:t xml:space="preserve">implemented and </w:t>
      </w:r>
      <w:r w:rsidRPr="008C1F62">
        <w:rPr>
          <w:noProof/>
        </w:rPr>
        <w:t>enforced</w:t>
      </w:r>
      <w:r>
        <w:rPr>
          <w:noProof/>
        </w:rPr>
        <w:t>.</w:t>
      </w:r>
      <w:r w:rsidR="00CF2517" w:rsidRPr="008C1F62">
        <w:rPr>
          <w:rStyle w:val="FootnoteReference"/>
          <w:noProof/>
        </w:rPr>
        <w:footnoteReference w:id="50"/>
      </w:r>
      <w:r w:rsidR="00F17538">
        <w:rPr>
          <w:noProof/>
        </w:rPr>
        <w:t xml:space="preserve"> Ensuring the correct day-today implementation of single market rules</w:t>
      </w:r>
      <w:r>
        <w:rPr>
          <w:noProof/>
        </w:rPr>
        <w:t xml:space="preserve"> </w:t>
      </w:r>
      <w:r w:rsidRPr="008C1F62">
        <w:rPr>
          <w:noProof/>
        </w:rPr>
        <w:t>is the collective responsibility of the Commission</w:t>
      </w:r>
      <w:r w:rsidR="00BC346C">
        <w:rPr>
          <w:noProof/>
        </w:rPr>
        <w:t xml:space="preserve"> </w:t>
      </w:r>
      <w:r w:rsidRPr="008C1F62">
        <w:rPr>
          <w:noProof/>
        </w:rPr>
        <w:t xml:space="preserve">and </w:t>
      </w:r>
      <w:r w:rsidR="00B93C34">
        <w:rPr>
          <w:noProof/>
        </w:rPr>
        <w:t>the</w:t>
      </w:r>
      <w:r w:rsidR="00B93C34" w:rsidRPr="008C1F62">
        <w:rPr>
          <w:noProof/>
        </w:rPr>
        <w:t xml:space="preserve"> </w:t>
      </w:r>
      <w:r w:rsidRPr="008C1F62">
        <w:rPr>
          <w:noProof/>
        </w:rPr>
        <w:t>Member States</w:t>
      </w:r>
      <w:r w:rsidR="00D36A23">
        <w:rPr>
          <w:noProof/>
        </w:rPr>
        <w:t xml:space="preserve">. </w:t>
      </w:r>
      <w:r w:rsidRPr="008C1F62">
        <w:rPr>
          <w:noProof/>
        </w:rPr>
        <w:t xml:space="preserve">In particular, </w:t>
      </w:r>
      <w:r w:rsidR="00571315">
        <w:rPr>
          <w:noProof/>
        </w:rPr>
        <w:t xml:space="preserve">a </w:t>
      </w:r>
      <w:r w:rsidRPr="008C1F62">
        <w:rPr>
          <w:noProof/>
        </w:rPr>
        <w:t xml:space="preserve">correct application of regulations relies on the work of national authorities to give full effect to them. </w:t>
      </w:r>
    </w:p>
    <w:p w14:paraId="3D9DCCCC" w14:textId="4DADAF8B" w:rsidR="00900770" w:rsidRDefault="00585F4B" w:rsidP="0075190F">
      <w:pPr>
        <w:spacing w:line="252" w:lineRule="auto"/>
        <w:jc w:val="both"/>
        <w:rPr>
          <w:noProof/>
        </w:rPr>
      </w:pPr>
      <w:r>
        <w:rPr>
          <w:rFonts w:eastAsia="Times New Roman" w:cs="Times New Roman"/>
          <w:b/>
          <w:bCs/>
          <w:noProof/>
          <w:lang w:eastAsia="en-IE"/>
        </w:rPr>
        <w:t>C</w:t>
      </w:r>
      <w:r w:rsidR="00A06E0E" w:rsidRPr="00FC2FE2">
        <w:rPr>
          <w:rFonts w:eastAsia="Times New Roman" w:cs="Times New Roman"/>
          <w:b/>
          <w:bCs/>
          <w:noProof/>
          <w:lang w:eastAsia="en-IE"/>
        </w:rPr>
        <w:t>orrect and timely transposition</w:t>
      </w:r>
      <w:r w:rsidR="00E649AA">
        <w:rPr>
          <w:rFonts w:eastAsia="Times New Roman" w:cs="Times New Roman"/>
          <w:b/>
          <w:bCs/>
          <w:noProof/>
          <w:lang w:eastAsia="en-IE"/>
        </w:rPr>
        <w:t xml:space="preserve"> of EU law</w:t>
      </w:r>
      <w:r w:rsidR="00A06E0E" w:rsidRPr="00FC2FE2">
        <w:rPr>
          <w:rFonts w:eastAsia="Times New Roman" w:cs="Times New Roman"/>
          <w:noProof/>
          <w:lang w:eastAsia="en-IE"/>
        </w:rPr>
        <w:t xml:space="preserve"> </w:t>
      </w:r>
      <w:r w:rsidR="00A06E0E" w:rsidRPr="00FC2FE2">
        <w:rPr>
          <w:noProof/>
        </w:rPr>
        <w:t>is of critical importance to ensure that Single Market legislation achieves its intended effects. T</w:t>
      </w:r>
      <w:r w:rsidR="00A06E0E" w:rsidRPr="00FC2FE2">
        <w:rPr>
          <w:rFonts w:cs="Times New Roman"/>
          <w:noProof/>
        </w:rPr>
        <w:t>he average transposition deficit of Single Market directives</w:t>
      </w:r>
      <w:r w:rsidR="00A06E0E" w:rsidRPr="00FC2FE2">
        <w:rPr>
          <w:noProof/>
          <w:vertAlign w:val="superscript"/>
        </w:rPr>
        <w:footnoteReference w:id="51"/>
      </w:r>
      <w:r w:rsidR="00A06E0E" w:rsidRPr="00FC2FE2">
        <w:rPr>
          <w:rFonts w:cs="Times New Roman"/>
          <w:noProof/>
        </w:rPr>
        <w:t xml:space="preserve"> now </w:t>
      </w:r>
      <w:r w:rsidR="00A06E0E" w:rsidRPr="00B575F3">
        <w:rPr>
          <w:rFonts w:cs="Times New Roman"/>
          <w:noProof/>
        </w:rPr>
        <w:t xml:space="preserve">exceeds the 1% threshold set by the European Council in March 2007. </w:t>
      </w:r>
      <w:r w:rsidR="005E4DEC" w:rsidRPr="00B575F3">
        <w:rPr>
          <w:rFonts w:cs="Times New Roman"/>
          <w:noProof/>
        </w:rPr>
        <w:t xml:space="preserve">Only five Member States have met the agreed target (see graph 3). </w:t>
      </w:r>
      <w:r w:rsidR="005E4DEC" w:rsidRPr="00B575F3">
        <w:rPr>
          <w:noProof/>
        </w:rPr>
        <w:t xml:space="preserve">Directives also need to be correctly transposed and applied on the ground, paying particular attention to issues of unjustified "gold plating". Here, Member States need to improve the </w:t>
      </w:r>
      <w:r w:rsidR="00B575F3">
        <w:rPr>
          <w:noProof/>
        </w:rPr>
        <w:t>situation</w:t>
      </w:r>
      <w:r w:rsidR="009E4B57">
        <w:rPr>
          <w:noProof/>
        </w:rPr>
        <w:t xml:space="preserve"> considerably </w:t>
      </w:r>
      <w:r w:rsidR="005E4DEC" w:rsidRPr="00B575F3">
        <w:rPr>
          <w:noProof/>
        </w:rPr>
        <w:t>(see graph 4).</w:t>
      </w:r>
    </w:p>
    <w:p w14:paraId="5E1AF48F" w14:textId="77777777" w:rsidR="00966CF9" w:rsidRDefault="00966CF9" w:rsidP="0075190F">
      <w:pPr>
        <w:spacing w:line="252" w:lineRule="auto"/>
        <w:jc w:val="both"/>
        <w:rPr>
          <w:noProof/>
        </w:rPr>
      </w:pPr>
    </w:p>
    <w:p w14:paraId="32185549" w14:textId="25AB7205" w:rsidR="00966CF9" w:rsidRDefault="00966CF9" w:rsidP="0075190F">
      <w:pPr>
        <w:spacing w:line="252" w:lineRule="auto"/>
        <w:jc w:val="both"/>
        <w:rPr>
          <w:noProof/>
        </w:rPr>
      </w:pPr>
    </w:p>
    <w:p w14:paraId="3D41F831" w14:textId="1EBF5B13" w:rsidR="000E7F20" w:rsidRDefault="000E7F20" w:rsidP="0075190F">
      <w:pPr>
        <w:spacing w:line="252" w:lineRule="auto"/>
        <w:jc w:val="both"/>
        <w:rPr>
          <w:noProof/>
        </w:rPr>
      </w:pPr>
    </w:p>
    <w:p w14:paraId="2E15BB86" w14:textId="267D409E" w:rsidR="000E7F20" w:rsidRDefault="000E7F20" w:rsidP="0075190F">
      <w:pPr>
        <w:spacing w:line="252" w:lineRule="auto"/>
        <w:jc w:val="both"/>
        <w:rPr>
          <w:noProof/>
        </w:rPr>
      </w:pPr>
    </w:p>
    <w:p w14:paraId="2E24AC1D" w14:textId="77777777" w:rsidR="000E7F20" w:rsidRDefault="000E7F20" w:rsidP="0075190F">
      <w:pPr>
        <w:spacing w:line="252" w:lineRule="auto"/>
        <w:jc w:val="both"/>
        <w:rPr>
          <w:noProof/>
        </w:rPr>
      </w:pPr>
    </w:p>
    <w:p w14:paraId="47A9B4F2" w14:textId="77777777" w:rsidR="00966CF9" w:rsidRDefault="00966CF9" w:rsidP="0075190F">
      <w:pPr>
        <w:spacing w:line="252" w:lineRule="auto"/>
        <w:jc w:val="both"/>
        <w:rPr>
          <w:noProof/>
        </w:rPr>
      </w:pPr>
    </w:p>
    <w:p w14:paraId="3B411B23" w14:textId="77777777" w:rsidR="00966CF9" w:rsidRDefault="00966CF9" w:rsidP="0075190F">
      <w:pPr>
        <w:spacing w:line="252" w:lineRule="auto"/>
        <w:jc w:val="both"/>
        <w:rPr>
          <w:noProof/>
        </w:rPr>
      </w:pPr>
    </w:p>
    <w:p w14:paraId="388EBAB3" w14:textId="77777777" w:rsidR="00966CF9" w:rsidRDefault="00966CF9" w:rsidP="0075190F">
      <w:pPr>
        <w:spacing w:line="252" w:lineRule="auto"/>
        <w:jc w:val="both"/>
        <w:rPr>
          <w:noProof/>
        </w:rPr>
      </w:pPr>
    </w:p>
    <w:p w14:paraId="7D45ECD7" w14:textId="77777777" w:rsidR="00966CF9" w:rsidRDefault="00966CF9" w:rsidP="0075190F">
      <w:pPr>
        <w:spacing w:line="252" w:lineRule="auto"/>
        <w:jc w:val="both"/>
        <w:rPr>
          <w:noProof/>
        </w:rPr>
      </w:pPr>
    </w:p>
    <w:p w14:paraId="1B3435A6" w14:textId="77777777" w:rsidR="00900770" w:rsidRPr="00900770" w:rsidRDefault="00900770" w:rsidP="0075190F">
      <w:pPr>
        <w:spacing w:line="252" w:lineRule="auto"/>
        <w:jc w:val="both"/>
        <w:rPr>
          <w:noProof/>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242"/>
      </w:tblGrid>
      <w:tr w:rsidR="000A3C20" w14:paraId="6AB0BB65" w14:textId="77777777" w:rsidTr="00613067">
        <w:trPr>
          <w:cantSplit/>
        </w:trPr>
        <w:tc>
          <w:tcPr>
            <w:tcW w:w="9242" w:type="dxa"/>
          </w:tcPr>
          <w:p w14:paraId="6914EA9E" w14:textId="2DE3DC9A" w:rsidR="00941BA5" w:rsidRPr="00047A71" w:rsidRDefault="00941BA5" w:rsidP="00047A71">
            <w:pPr>
              <w:spacing w:line="252" w:lineRule="auto"/>
              <w:jc w:val="both"/>
              <w:rPr>
                <w:b/>
                <w:noProof/>
                <w:lang w:val="en-IE"/>
              </w:rPr>
            </w:pPr>
            <w:r w:rsidRPr="00603716">
              <w:rPr>
                <w:b/>
                <w:noProof/>
                <w:lang w:val="en-GB"/>
              </w:rPr>
              <w:t xml:space="preserve">Graph 3: Transposition deficit of Member States as </w:t>
            </w:r>
            <w:r w:rsidR="00F717B3" w:rsidDel="00E32CE9">
              <w:rPr>
                <w:b/>
                <w:noProof/>
                <w:lang w:val="en-IE"/>
              </w:rPr>
              <w:t>at</w:t>
            </w:r>
            <w:r w:rsidRPr="00603716">
              <w:rPr>
                <w:b/>
                <w:noProof/>
                <w:lang w:val="en-GB"/>
              </w:rPr>
              <w:t xml:space="preserve"> 10 December 2021</w:t>
            </w:r>
            <w:r w:rsidR="006E09C2">
              <w:rPr>
                <w:rStyle w:val="FootnoteReference"/>
                <w:b/>
                <w:noProof/>
                <w:lang w:val="en-GB"/>
              </w:rPr>
              <w:footnoteReference w:id="52"/>
            </w:r>
          </w:p>
        </w:tc>
      </w:tr>
      <w:tr w:rsidR="000A3C20" w14:paraId="54ADF52C" w14:textId="77777777" w:rsidTr="00613067">
        <w:trPr>
          <w:cantSplit/>
        </w:trPr>
        <w:tc>
          <w:tcPr>
            <w:tcW w:w="9242" w:type="dxa"/>
          </w:tcPr>
          <w:p w14:paraId="15BA597A" w14:textId="37604567" w:rsidR="00941BA5" w:rsidRPr="00772E9D" w:rsidRDefault="00144B46" w:rsidP="00772E9D">
            <w:pPr>
              <w:spacing w:line="252" w:lineRule="auto"/>
              <w:jc w:val="center"/>
              <w:rPr>
                <w:noProof/>
                <w:lang w:val="en-IE"/>
              </w:rPr>
            </w:pPr>
            <w:r>
              <w:rPr>
                <w:noProof/>
                <w:lang w:val="en-GB" w:eastAsia="en-GB"/>
              </w:rPr>
              <w:drawing>
                <wp:inline distT="0" distB="0" distL="0" distR="0" wp14:anchorId="035357F0" wp14:editId="2F614BA9">
                  <wp:extent cx="5731510" cy="25692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2569210"/>
                          </a:xfrm>
                          <a:prstGeom prst="rect">
                            <a:avLst/>
                          </a:prstGeom>
                        </pic:spPr>
                      </pic:pic>
                    </a:graphicData>
                  </a:graphic>
                </wp:inline>
              </w:drawing>
            </w:r>
          </w:p>
          <w:p w14:paraId="6BF7564E" w14:textId="74C025DC" w:rsidR="00941BA5" w:rsidRDefault="00941BA5" w:rsidP="475CF62B">
            <w:pPr>
              <w:spacing w:line="252" w:lineRule="auto"/>
              <w:jc w:val="center"/>
              <w:rPr>
                <w:noProof/>
              </w:rPr>
            </w:pPr>
          </w:p>
        </w:tc>
      </w:tr>
      <w:tr w:rsidR="000A3C20" w14:paraId="08174A3C" w14:textId="77777777" w:rsidTr="00613067">
        <w:trPr>
          <w:cantSplit/>
        </w:trPr>
        <w:tc>
          <w:tcPr>
            <w:tcW w:w="9242" w:type="dxa"/>
          </w:tcPr>
          <w:p w14:paraId="227A88E4" w14:textId="47A5605B" w:rsidR="00941BA5" w:rsidRPr="003D0F5C" w:rsidRDefault="00941BA5" w:rsidP="003D0F5C">
            <w:pPr>
              <w:spacing w:line="252" w:lineRule="auto"/>
              <w:jc w:val="both"/>
              <w:rPr>
                <w:noProof/>
                <w:sz w:val="16"/>
                <w:szCs w:val="16"/>
              </w:rPr>
            </w:pPr>
            <w:r w:rsidRPr="003D0F5C">
              <w:rPr>
                <w:noProof/>
                <w:sz w:val="16"/>
                <w:szCs w:val="16"/>
              </w:rPr>
              <w:t>Source</w:t>
            </w:r>
            <w:r w:rsidR="000E7F20">
              <w:rPr>
                <w:noProof/>
                <w:sz w:val="16"/>
                <w:szCs w:val="16"/>
              </w:rPr>
              <w:t> </w:t>
            </w:r>
            <w:r w:rsidRPr="003D0F5C">
              <w:rPr>
                <w:noProof/>
                <w:sz w:val="16"/>
                <w:szCs w:val="16"/>
              </w:rPr>
              <w:t xml:space="preserve">: </w:t>
            </w:r>
            <w:r w:rsidR="000F451D" w:rsidRPr="003D0F5C">
              <w:rPr>
                <w:noProof/>
                <w:sz w:val="16"/>
                <w:szCs w:val="16"/>
              </w:rPr>
              <w:t>Single Market Scoreboard</w:t>
            </w:r>
            <w:r w:rsidR="00415D97" w:rsidRPr="003D0F5C">
              <w:rPr>
                <w:rStyle w:val="FootnoteReference"/>
                <w:noProof/>
                <w:sz w:val="16"/>
                <w:szCs w:val="16"/>
              </w:rPr>
              <w:footnoteReference w:id="53"/>
            </w:r>
          </w:p>
        </w:tc>
      </w:tr>
      <w:tr w:rsidR="000E7F20" w14:paraId="0A849784" w14:textId="77777777" w:rsidTr="00613067">
        <w:trPr>
          <w:cantSplit/>
        </w:trPr>
        <w:tc>
          <w:tcPr>
            <w:tcW w:w="9242" w:type="dxa"/>
          </w:tcPr>
          <w:p w14:paraId="5BDCFB66" w14:textId="77777777" w:rsidR="000E7F20" w:rsidRDefault="000E7F20" w:rsidP="003D0F5C">
            <w:pPr>
              <w:spacing w:line="252" w:lineRule="auto"/>
              <w:jc w:val="both"/>
              <w:rPr>
                <w:noProof/>
                <w:sz w:val="16"/>
                <w:szCs w:val="16"/>
              </w:rPr>
            </w:pPr>
          </w:p>
          <w:p w14:paraId="6C5EC3A6" w14:textId="0B51CAC7" w:rsidR="000E7F20" w:rsidRPr="003D0F5C" w:rsidRDefault="000E7F20" w:rsidP="003D0F5C">
            <w:pPr>
              <w:spacing w:line="252" w:lineRule="auto"/>
              <w:jc w:val="both"/>
              <w:rPr>
                <w:noProof/>
                <w:sz w:val="16"/>
                <w:szCs w:val="16"/>
              </w:rPr>
            </w:pPr>
          </w:p>
        </w:tc>
      </w:tr>
      <w:tr w:rsidR="000A3C20" w14:paraId="7884B08F" w14:textId="77777777" w:rsidTr="00D572D4">
        <w:trPr>
          <w:cantSplit/>
        </w:trPr>
        <w:tc>
          <w:tcPr>
            <w:tcW w:w="9242" w:type="dxa"/>
          </w:tcPr>
          <w:p w14:paraId="0D4D14DA" w14:textId="7C35D53B" w:rsidR="00941BA5" w:rsidRPr="00772E9D" w:rsidRDefault="00941BA5" w:rsidP="0075190F">
            <w:pPr>
              <w:spacing w:line="252" w:lineRule="auto"/>
              <w:jc w:val="both"/>
              <w:rPr>
                <w:noProof/>
                <w:lang w:val="en-IE"/>
              </w:rPr>
            </w:pPr>
            <w:r w:rsidRPr="00047A71">
              <w:rPr>
                <w:b/>
                <w:noProof/>
                <w:lang w:val="en-GB"/>
              </w:rPr>
              <w:t xml:space="preserve">Graph 4: Conformity deficit of Member States as </w:t>
            </w:r>
            <w:r w:rsidR="00D777B3">
              <w:rPr>
                <w:b/>
                <w:noProof/>
                <w:lang w:val="en-GB"/>
              </w:rPr>
              <w:t>at</w:t>
            </w:r>
            <w:r w:rsidRPr="00047A71">
              <w:rPr>
                <w:b/>
                <w:noProof/>
                <w:lang w:val="en-GB"/>
              </w:rPr>
              <w:t xml:space="preserve"> 10 December 2021 </w:t>
            </w:r>
          </w:p>
        </w:tc>
      </w:tr>
      <w:tr w:rsidR="000A3C20" w14:paraId="7860176A" w14:textId="77777777" w:rsidTr="00D572D4">
        <w:trPr>
          <w:cantSplit/>
        </w:trPr>
        <w:tc>
          <w:tcPr>
            <w:tcW w:w="9242" w:type="dxa"/>
          </w:tcPr>
          <w:p w14:paraId="7C710B8F" w14:textId="040579D6" w:rsidR="00941BA5" w:rsidRPr="00B145D7" w:rsidRDefault="00B145D7" w:rsidP="475CF62B">
            <w:pPr>
              <w:spacing w:line="252" w:lineRule="auto"/>
              <w:jc w:val="center"/>
              <w:rPr>
                <w:noProof/>
                <w:lang w:val="en-IE"/>
              </w:rPr>
            </w:pPr>
            <w:r>
              <w:rPr>
                <w:noProof/>
                <w:lang w:val="en-GB" w:eastAsia="en-GB"/>
              </w:rPr>
              <w:drawing>
                <wp:inline distT="0" distB="0" distL="0" distR="0" wp14:anchorId="71B6C116" wp14:editId="6CEA4899">
                  <wp:extent cx="5760528" cy="236156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5791529" cy="2374274"/>
                          </a:xfrm>
                          <a:prstGeom prst="rect">
                            <a:avLst/>
                          </a:prstGeom>
                          <a:noFill/>
                          <a:ln>
                            <a:noFill/>
                          </a:ln>
                        </pic:spPr>
                      </pic:pic>
                    </a:graphicData>
                  </a:graphic>
                </wp:inline>
              </w:drawing>
            </w:r>
          </w:p>
        </w:tc>
      </w:tr>
      <w:tr w:rsidR="000A3C20" w14:paraId="582CC87E" w14:textId="77777777" w:rsidTr="00D572D4">
        <w:trPr>
          <w:cantSplit/>
        </w:trPr>
        <w:tc>
          <w:tcPr>
            <w:tcW w:w="9242" w:type="dxa"/>
          </w:tcPr>
          <w:p w14:paraId="6EF7C34C" w14:textId="42A5B2ED" w:rsidR="00941BA5" w:rsidRDefault="00941BA5" w:rsidP="0075190F">
            <w:pPr>
              <w:spacing w:line="252" w:lineRule="auto"/>
              <w:jc w:val="both"/>
              <w:rPr>
                <w:noProof/>
              </w:rPr>
            </w:pPr>
            <w:r w:rsidRPr="003D0F5C">
              <w:rPr>
                <w:noProof/>
                <w:sz w:val="16"/>
                <w:szCs w:val="16"/>
              </w:rPr>
              <w:t>Source:</w:t>
            </w:r>
            <w:r w:rsidR="000F451D" w:rsidRPr="003D0F5C">
              <w:rPr>
                <w:noProof/>
                <w:sz w:val="16"/>
                <w:szCs w:val="16"/>
              </w:rPr>
              <w:t xml:space="preserve"> Single Market Scoreboard</w:t>
            </w:r>
            <w:r w:rsidR="000F451D" w:rsidRPr="003D0F5C">
              <w:rPr>
                <w:rStyle w:val="FootnoteReference"/>
                <w:noProof/>
                <w:sz w:val="16"/>
                <w:szCs w:val="16"/>
              </w:rPr>
              <w:footnoteReference w:id="54"/>
            </w:r>
          </w:p>
        </w:tc>
      </w:tr>
    </w:tbl>
    <w:p w14:paraId="2C78F0F3" w14:textId="7E3A9970" w:rsidR="00863F85" w:rsidRPr="00863F85" w:rsidRDefault="00CE0812" w:rsidP="00863F85">
      <w:pPr>
        <w:spacing w:line="252" w:lineRule="auto"/>
        <w:jc w:val="both"/>
        <w:rPr>
          <w:noProof/>
        </w:rPr>
      </w:pPr>
      <w:r>
        <w:rPr>
          <w:noProof/>
        </w:rPr>
        <w:br/>
      </w:r>
      <w:r w:rsidR="0075190F">
        <w:rPr>
          <w:noProof/>
        </w:rPr>
        <w:t>There</w:t>
      </w:r>
      <w:r w:rsidR="0075190F" w:rsidRPr="008C1F62">
        <w:rPr>
          <w:noProof/>
        </w:rPr>
        <w:t xml:space="preserve"> is </w:t>
      </w:r>
      <w:r w:rsidR="0075190F" w:rsidRPr="003D777E">
        <w:rPr>
          <w:b/>
          <w:bCs/>
          <w:noProof/>
        </w:rPr>
        <w:t xml:space="preserve">no one-size-fits-all approach </w:t>
      </w:r>
      <w:r w:rsidR="0075190F" w:rsidRPr="008C1F62">
        <w:rPr>
          <w:noProof/>
        </w:rPr>
        <w:t>to making Single Market rules achieve their full potential</w:t>
      </w:r>
      <w:r w:rsidR="00106A95">
        <w:rPr>
          <w:noProof/>
        </w:rPr>
        <w:t xml:space="preserve">, but in all cases, </w:t>
      </w:r>
      <w:r w:rsidR="0075190F">
        <w:rPr>
          <w:noProof/>
        </w:rPr>
        <w:t>a strong culture of compliance</w:t>
      </w:r>
      <w:r w:rsidR="000575EE" w:rsidRPr="000575EE">
        <w:rPr>
          <w:rFonts w:eastAsia="Times New Roman" w:cs="Times New Roman"/>
          <w:noProof/>
        </w:rPr>
        <w:t xml:space="preserve"> </w:t>
      </w:r>
      <w:r w:rsidR="000575EE">
        <w:rPr>
          <w:rFonts w:eastAsia="Times New Roman" w:cs="Times New Roman"/>
          <w:noProof/>
        </w:rPr>
        <w:t xml:space="preserve">and </w:t>
      </w:r>
      <w:r w:rsidR="000575EE" w:rsidRPr="578B50F5">
        <w:rPr>
          <w:rFonts w:eastAsia="Times New Roman" w:cs="Times New Roman"/>
          <w:noProof/>
        </w:rPr>
        <w:t>the spirit of partnership</w:t>
      </w:r>
      <w:r w:rsidR="0075190F">
        <w:rPr>
          <w:noProof/>
        </w:rPr>
        <w:t xml:space="preserve"> </w:t>
      </w:r>
      <w:r w:rsidR="000575EE">
        <w:rPr>
          <w:noProof/>
        </w:rPr>
        <w:t>are</w:t>
      </w:r>
      <w:r w:rsidR="0075190F">
        <w:rPr>
          <w:noProof/>
        </w:rPr>
        <w:t xml:space="preserve"> needed to successfully manage the Single Market</w:t>
      </w:r>
      <w:r w:rsidR="000575EE">
        <w:rPr>
          <w:rFonts w:eastAsia="Times New Roman" w:cs="Times New Roman"/>
          <w:noProof/>
        </w:rPr>
        <w:t>. T</w:t>
      </w:r>
      <w:r w:rsidR="0075190F" w:rsidRPr="578B50F5">
        <w:rPr>
          <w:rFonts w:eastAsia="Times New Roman" w:cs="Times New Roman"/>
          <w:noProof/>
        </w:rPr>
        <w:t xml:space="preserve">he Commission is committed to working together with the Member States at the appropriate level within their administration to support and promote the </w:t>
      </w:r>
      <w:r w:rsidR="00824E73">
        <w:rPr>
          <w:rFonts w:eastAsia="Times New Roman" w:cs="Times New Roman"/>
          <w:noProof/>
        </w:rPr>
        <w:t>ambitious implementation</w:t>
      </w:r>
      <w:r w:rsidR="00824E73" w:rsidRPr="578B50F5">
        <w:rPr>
          <w:rFonts w:eastAsia="Times New Roman" w:cs="Times New Roman"/>
          <w:noProof/>
        </w:rPr>
        <w:t xml:space="preserve"> </w:t>
      </w:r>
      <w:r w:rsidR="0075190F" w:rsidRPr="578B50F5">
        <w:rPr>
          <w:rFonts w:eastAsia="Times New Roman" w:cs="Times New Roman"/>
          <w:noProof/>
        </w:rPr>
        <w:t xml:space="preserve">of Single Market rules. </w:t>
      </w:r>
      <w:r w:rsidR="4A876AF7">
        <w:rPr>
          <w:rFonts w:eastAsia="Times New Roman" w:cs="Times New Roman"/>
          <w:noProof/>
        </w:rPr>
        <w:t>Complementing</w:t>
      </w:r>
      <w:r w:rsidR="004A1312">
        <w:rPr>
          <w:rFonts w:eastAsia="Times New Roman" w:cs="Times New Roman"/>
          <w:noProof/>
        </w:rPr>
        <w:t xml:space="preserve"> cooperation, </w:t>
      </w:r>
      <w:r w:rsidR="004A1312">
        <w:rPr>
          <w:noProof/>
        </w:rPr>
        <w:t>the Commission will continue to pursue a rigorous enforcement policy to ensure that jointly agreed EU rules are also correctly applied collectively by all Member States.</w:t>
      </w:r>
    </w:p>
    <w:p w14:paraId="1593C3B5" w14:textId="48D1024D" w:rsidR="00CF2517" w:rsidRDefault="00863F85" w:rsidP="00690AFB">
      <w:pPr>
        <w:jc w:val="both"/>
        <w:rPr>
          <w:noProof/>
        </w:rPr>
      </w:pPr>
      <w:r w:rsidRPr="00FC2FE2">
        <w:rPr>
          <w:noProof/>
        </w:rPr>
        <w:t xml:space="preserve">The Commission pursues a </w:t>
      </w:r>
      <w:r w:rsidRPr="00FC2FE2">
        <w:rPr>
          <w:b/>
          <w:bCs/>
          <w:noProof/>
        </w:rPr>
        <w:t xml:space="preserve">strategic approach </w:t>
      </w:r>
      <w:r w:rsidR="00575514">
        <w:rPr>
          <w:b/>
          <w:bCs/>
          <w:noProof/>
        </w:rPr>
        <w:t>to</w:t>
      </w:r>
      <w:r w:rsidRPr="00FC2FE2">
        <w:rPr>
          <w:b/>
          <w:bCs/>
          <w:noProof/>
        </w:rPr>
        <w:t xml:space="preserve"> enforcement</w:t>
      </w:r>
      <w:r w:rsidR="007C55DD">
        <w:rPr>
          <w:b/>
          <w:bCs/>
          <w:noProof/>
        </w:rPr>
        <w:t xml:space="preserve"> </w:t>
      </w:r>
      <w:r w:rsidR="007C55DD">
        <w:rPr>
          <w:noProof/>
        </w:rPr>
        <w:t>and is successfully implementing its 2020 Single Market Enforcement Action Plan</w:t>
      </w:r>
      <w:r w:rsidRPr="00FC2FE2">
        <w:rPr>
          <w:noProof/>
          <w:vertAlign w:val="superscript"/>
        </w:rPr>
        <w:footnoteReference w:id="55"/>
      </w:r>
      <w:r w:rsidRPr="00FC2FE2">
        <w:rPr>
          <w:noProof/>
        </w:rPr>
        <w:t xml:space="preserve">, focusing on </w:t>
      </w:r>
      <w:r w:rsidR="00575514">
        <w:rPr>
          <w:noProof/>
        </w:rPr>
        <w:t xml:space="preserve">critical </w:t>
      </w:r>
      <w:r w:rsidRPr="00FC2FE2">
        <w:rPr>
          <w:noProof/>
        </w:rPr>
        <w:t>issues</w:t>
      </w:r>
      <w:r w:rsidR="00575514">
        <w:rPr>
          <w:noProof/>
        </w:rPr>
        <w:t>.</w:t>
      </w:r>
      <w:r w:rsidRPr="00FC2FE2">
        <w:rPr>
          <w:noProof/>
        </w:rPr>
        <w:t xml:space="preserve"> </w:t>
      </w:r>
      <w:r w:rsidR="00575514">
        <w:rPr>
          <w:noProof/>
        </w:rPr>
        <w:t xml:space="preserve">This includes ensuring </w:t>
      </w:r>
      <w:r w:rsidRPr="00FC2FE2">
        <w:rPr>
          <w:noProof/>
        </w:rPr>
        <w:t xml:space="preserve">the freedom of establishment, </w:t>
      </w:r>
      <w:r w:rsidR="00575514">
        <w:rPr>
          <w:noProof/>
        </w:rPr>
        <w:t>the</w:t>
      </w:r>
      <w:r w:rsidRPr="00FC2FE2">
        <w:rPr>
          <w:noProof/>
        </w:rPr>
        <w:t xml:space="preserve"> free circulation of goods and services, including mobility </w:t>
      </w:r>
      <w:r w:rsidR="710C53CD" w:rsidRPr="00FC2FE2">
        <w:rPr>
          <w:noProof/>
        </w:rPr>
        <w:t>of pro</w:t>
      </w:r>
      <w:r w:rsidR="364335FC" w:rsidRPr="00FC2FE2">
        <w:rPr>
          <w:noProof/>
        </w:rPr>
        <w:t>f</w:t>
      </w:r>
      <w:r w:rsidR="710C53CD" w:rsidRPr="00FC2FE2">
        <w:rPr>
          <w:noProof/>
        </w:rPr>
        <w:t xml:space="preserve">essionals </w:t>
      </w:r>
      <w:r w:rsidRPr="00FC2FE2">
        <w:rPr>
          <w:noProof/>
        </w:rPr>
        <w:t xml:space="preserve">to bridge skills gaps, ensuring public procurement rules enable companies to compete across </w:t>
      </w:r>
      <w:r w:rsidR="008F1158">
        <w:rPr>
          <w:noProof/>
        </w:rPr>
        <w:t>the Single M</w:t>
      </w:r>
      <w:r w:rsidR="008F1158" w:rsidRPr="00FC2FE2">
        <w:rPr>
          <w:noProof/>
        </w:rPr>
        <w:t xml:space="preserve">arket </w:t>
      </w:r>
      <w:r w:rsidRPr="00FC2FE2">
        <w:rPr>
          <w:noProof/>
        </w:rPr>
        <w:t>and public funds</w:t>
      </w:r>
      <w:r w:rsidR="00106A95">
        <w:rPr>
          <w:noProof/>
        </w:rPr>
        <w:t xml:space="preserve"> to be used efficiently</w:t>
      </w:r>
      <w:r w:rsidRPr="00FC2FE2">
        <w:rPr>
          <w:noProof/>
        </w:rPr>
        <w:t>, addressing unfair payment practices and delays in payments, and enforcing European standards for the benefit of citizens and companies.</w:t>
      </w:r>
    </w:p>
    <w:p w14:paraId="3A793A4D" w14:textId="66D2E3B5" w:rsidR="00335842" w:rsidRPr="008B0D94" w:rsidRDefault="00106A95" w:rsidP="00124D74">
      <w:pPr>
        <w:jc w:val="both"/>
        <w:rPr>
          <w:rStyle w:val="normaltextrun"/>
          <w:noProof/>
        </w:rPr>
      </w:pPr>
      <w:r>
        <w:rPr>
          <w:noProof/>
        </w:rPr>
        <w:t>In</w:t>
      </w:r>
      <w:r w:rsidR="004B44E7">
        <w:rPr>
          <w:noProof/>
        </w:rPr>
        <w:t xml:space="preserve"> </w:t>
      </w:r>
      <w:r w:rsidR="0669413B">
        <w:rPr>
          <w:noProof/>
        </w:rPr>
        <w:t xml:space="preserve">February 2023, the </w:t>
      </w:r>
      <w:r w:rsidR="0669413B" w:rsidRPr="004D355E">
        <w:rPr>
          <w:noProof/>
        </w:rPr>
        <w:t xml:space="preserve">Commission adopted 24 infringement decisions to bring down barriers </w:t>
      </w:r>
      <w:r w:rsidR="0669413B" w:rsidRPr="004D355E" w:rsidDel="00BD4CDA">
        <w:rPr>
          <w:noProof/>
        </w:rPr>
        <w:t>in</w:t>
      </w:r>
      <w:r w:rsidR="0669413B" w:rsidRPr="004D355E">
        <w:rPr>
          <w:noProof/>
        </w:rPr>
        <w:t xml:space="preserve"> the Single Market </w:t>
      </w:r>
      <w:r w:rsidR="00BD4CDA">
        <w:rPr>
          <w:noProof/>
        </w:rPr>
        <w:t xml:space="preserve">in services </w:t>
      </w:r>
      <w:r w:rsidR="0669413B" w:rsidRPr="004D355E">
        <w:rPr>
          <w:noProof/>
        </w:rPr>
        <w:t>and make it easier for companies in the EU to</w:t>
      </w:r>
      <w:r w:rsidR="291FAB1B">
        <w:rPr>
          <w:noProof/>
        </w:rPr>
        <w:t xml:space="preserve"> </w:t>
      </w:r>
      <w:r w:rsidR="26498A0D">
        <w:rPr>
          <w:noProof/>
        </w:rPr>
        <w:t>operate</w:t>
      </w:r>
      <w:r w:rsidR="00C1262C" w:rsidRPr="009366E0">
        <w:rPr>
          <w:rStyle w:val="FootnoteReference"/>
          <w:noProof/>
        </w:rPr>
        <w:footnoteReference w:id="56"/>
      </w:r>
      <w:r w:rsidR="291FAB1B" w:rsidRPr="009366E0">
        <w:rPr>
          <w:noProof/>
        </w:rPr>
        <w:t>.</w:t>
      </w:r>
      <w:r w:rsidR="0669413B" w:rsidRPr="00BB22C2">
        <w:rPr>
          <w:noProof/>
        </w:rPr>
        <w:t xml:space="preserve"> </w:t>
      </w:r>
      <w:r w:rsidR="2C1BF3A1">
        <w:rPr>
          <w:noProof/>
        </w:rPr>
        <w:t xml:space="preserve"> </w:t>
      </w:r>
      <w:r w:rsidR="00BD4CDA" w:rsidRPr="00BD4CDA">
        <w:rPr>
          <w:noProof/>
        </w:rPr>
        <w:t xml:space="preserve">At the same time, robust enforcement action </w:t>
      </w:r>
      <w:r w:rsidR="00225F28">
        <w:rPr>
          <w:noProof/>
        </w:rPr>
        <w:t>by</w:t>
      </w:r>
      <w:r w:rsidR="00BD4CDA" w:rsidRPr="00BD4CDA">
        <w:rPr>
          <w:noProof/>
        </w:rPr>
        <w:t xml:space="preserve"> the Commission meant that </w:t>
      </w:r>
      <w:r w:rsidR="00BF3172">
        <w:rPr>
          <w:noProof/>
        </w:rPr>
        <w:t xml:space="preserve">it was possible to close </w:t>
      </w:r>
      <w:r w:rsidR="00BD4CDA" w:rsidRPr="00BD4CDA">
        <w:rPr>
          <w:noProof/>
        </w:rPr>
        <w:t>18 infringement cases due to real improvements in the Single Market for services.</w:t>
      </w:r>
    </w:p>
    <w:p w14:paraId="3C11DDF3" w14:textId="43768CFE" w:rsidR="00335842" w:rsidRDefault="00335842" w:rsidP="00124D74">
      <w:pPr>
        <w:jc w:val="both"/>
        <w:rPr>
          <w:rFonts w:eastAsia="Times New Roman" w:cs="Times New Roman"/>
          <w:noProof/>
        </w:rPr>
      </w:pPr>
      <w:r w:rsidRPr="00263022">
        <w:rPr>
          <w:rFonts w:eastAsia="Times New Roman" w:cs="Times New Roman"/>
          <w:noProof/>
        </w:rPr>
        <w:t xml:space="preserve">Unjustified barriers arise when national law conflicts with </w:t>
      </w:r>
      <w:r w:rsidRPr="569199B5">
        <w:rPr>
          <w:rFonts w:eastAsia="Times New Roman" w:cs="Times New Roman"/>
          <w:noProof/>
        </w:rPr>
        <w:t>Single M</w:t>
      </w:r>
      <w:r w:rsidRPr="00263022">
        <w:rPr>
          <w:rFonts w:eastAsia="Times New Roman" w:cs="Times New Roman"/>
          <w:noProof/>
        </w:rPr>
        <w:t xml:space="preserve">arket rules or when those rules are incompletely or insufficiently implemented or applied at national level, including due to administrative practices of national authorities. They hinder the capacity of businesses to flourish, remain competitive and to harness the green and digital transition. </w:t>
      </w:r>
    </w:p>
    <w:p w14:paraId="3383D3BB" w14:textId="155218DF" w:rsidR="00222C1C" w:rsidRDefault="00222C1C" w:rsidP="00222C1C">
      <w:pPr>
        <w:jc w:val="both"/>
        <w:rPr>
          <w:rFonts w:eastAsia="Times New Roman" w:cs="Times New Roman"/>
          <w:noProof/>
        </w:rPr>
      </w:pPr>
      <w:r w:rsidRPr="00222C1C">
        <w:rPr>
          <w:rFonts w:eastAsia="Times New Roman" w:cs="Times New Roman"/>
          <w:noProof/>
        </w:rPr>
        <w:t>Some types of barriers have proven to be persistent: 60% of the barriers that businesses report facing today are of the same type as were reported 20 years ago</w:t>
      </w:r>
      <w:r w:rsidRPr="00222C1C">
        <w:rPr>
          <w:rStyle w:val="FootnoteReference"/>
          <w:rFonts w:eastAsia="Times New Roman" w:cs="Times New Roman"/>
          <w:noProof/>
        </w:rPr>
        <w:footnoteReference w:id="57"/>
      </w:r>
      <w:r w:rsidRPr="00222C1C">
        <w:rPr>
          <w:rFonts w:eastAsia="Times New Roman" w:cs="Times New Roman"/>
          <w:noProof/>
        </w:rPr>
        <w:t xml:space="preserve">. Many of these relate to </w:t>
      </w:r>
      <w:r w:rsidRPr="00FC2FE2">
        <w:rPr>
          <w:rFonts w:eastAsia="Times New Roman" w:cs="Times New Roman"/>
          <w:b/>
          <w:bCs/>
          <w:noProof/>
        </w:rPr>
        <w:t>national regulation as well as administrative practices</w:t>
      </w:r>
      <w:r w:rsidRPr="00222C1C">
        <w:rPr>
          <w:rFonts w:eastAsia="Times New Roman" w:cs="Times New Roman"/>
          <w:noProof/>
        </w:rPr>
        <w:t xml:space="preserve">, </w:t>
      </w:r>
      <w:r w:rsidR="00835C1F">
        <w:rPr>
          <w:rFonts w:eastAsia="Times New Roman" w:cs="Times New Roman"/>
          <w:noProof/>
        </w:rPr>
        <w:t>which</w:t>
      </w:r>
      <w:r w:rsidR="00177EF5">
        <w:rPr>
          <w:rFonts w:eastAsia="Times New Roman" w:cs="Times New Roman"/>
          <w:noProof/>
        </w:rPr>
        <w:t>,</w:t>
      </w:r>
      <w:r w:rsidRPr="00222C1C">
        <w:rPr>
          <w:rFonts w:eastAsia="Times New Roman" w:cs="Times New Roman"/>
          <w:noProof/>
        </w:rPr>
        <w:t xml:space="preserve"> </w:t>
      </w:r>
      <w:r w:rsidR="00835C1F">
        <w:rPr>
          <w:rFonts w:eastAsia="Times New Roman" w:cs="Times New Roman"/>
          <w:noProof/>
        </w:rPr>
        <w:t xml:space="preserve">in </w:t>
      </w:r>
      <w:r w:rsidR="00177EF5">
        <w:rPr>
          <w:rFonts w:eastAsia="Times New Roman" w:cs="Times New Roman"/>
          <w:noProof/>
        </w:rPr>
        <w:t xml:space="preserve">the </w:t>
      </w:r>
      <w:r w:rsidR="00835C1F">
        <w:rPr>
          <w:rFonts w:eastAsia="Times New Roman" w:cs="Times New Roman"/>
          <w:noProof/>
        </w:rPr>
        <w:t>first instance</w:t>
      </w:r>
      <w:r w:rsidR="00177EF5">
        <w:rPr>
          <w:rFonts w:eastAsia="Times New Roman" w:cs="Times New Roman"/>
          <w:noProof/>
        </w:rPr>
        <w:t xml:space="preserve">, </w:t>
      </w:r>
      <w:r w:rsidR="00177EF5" w:rsidRPr="004D0265">
        <w:rPr>
          <w:rFonts w:eastAsia="Times New Roman" w:cs="Times New Roman"/>
          <w:noProof/>
        </w:rPr>
        <w:t>have to</w:t>
      </w:r>
      <w:r w:rsidR="00835C1F">
        <w:rPr>
          <w:rFonts w:eastAsia="Times New Roman" w:cs="Times New Roman"/>
          <w:noProof/>
        </w:rPr>
        <w:t xml:space="preserve"> </w:t>
      </w:r>
      <w:r w:rsidRPr="00222C1C">
        <w:rPr>
          <w:rFonts w:eastAsia="Times New Roman" w:cs="Times New Roman"/>
          <w:noProof/>
        </w:rPr>
        <w:t>be addressed directly by Member States</w:t>
      </w:r>
      <w:r w:rsidR="00106A95">
        <w:rPr>
          <w:rFonts w:eastAsia="Times New Roman" w:cs="Times New Roman"/>
          <w:noProof/>
        </w:rPr>
        <w:t xml:space="preserve">. </w:t>
      </w:r>
      <w:r w:rsidRPr="00222C1C">
        <w:rPr>
          <w:rFonts w:eastAsia="Times New Roman" w:cs="Times New Roman"/>
          <w:noProof/>
        </w:rPr>
        <w:t>Barriers confirmed by stakeholders include the complexity of national procedures and lack of information on them, disproportionate national requirements in the area of services, including mobility of professionals, burdensome administrative requirements for posting workers and difficulties related to taxation in a cross-border context.</w:t>
      </w:r>
      <w:r w:rsidR="00EF0236">
        <w:rPr>
          <w:rFonts w:eastAsia="Times New Roman" w:cs="Times New Roman"/>
          <w:noProof/>
        </w:rPr>
        <w:t xml:space="preserve"> </w:t>
      </w:r>
      <w:bookmarkStart w:id="11" w:name="_Hlk128426182"/>
      <w:r w:rsidR="00E65F5E">
        <w:rPr>
          <w:rFonts w:eastAsia="Times New Roman" w:cs="Times New Roman"/>
          <w:noProof/>
        </w:rPr>
        <w:t>M</w:t>
      </w:r>
      <w:r w:rsidR="00EF0236">
        <w:rPr>
          <w:rFonts w:eastAsia="Times New Roman" w:cs="Times New Roman"/>
          <w:noProof/>
        </w:rPr>
        <w:t xml:space="preserve">any such barriers are </w:t>
      </w:r>
      <w:r w:rsidR="00EF0236" w:rsidRPr="00EF0236">
        <w:rPr>
          <w:rFonts w:eastAsia="Times New Roman" w:cs="Times New Roman"/>
          <w:noProof/>
        </w:rPr>
        <w:t>not amenable</w:t>
      </w:r>
      <w:r w:rsidR="00EF0236">
        <w:rPr>
          <w:rFonts w:eastAsia="Times New Roman" w:cs="Times New Roman"/>
          <w:noProof/>
        </w:rPr>
        <w:t xml:space="preserve"> to legislative harmonisation</w:t>
      </w:r>
      <w:r w:rsidR="00106A95">
        <w:rPr>
          <w:rFonts w:eastAsia="Times New Roman" w:cs="Times New Roman"/>
          <w:noProof/>
        </w:rPr>
        <w:t xml:space="preserve"> </w:t>
      </w:r>
      <w:r w:rsidR="00E65F5E">
        <w:rPr>
          <w:rFonts w:eastAsia="Times New Roman" w:cs="Times New Roman"/>
          <w:noProof/>
        </w:rPr>
        <w:t xml:space="preserve">and hence </w:t>
      </w:r>
      <w:r w:rsidR="00E65F5E">
        <w:rPr>
          <w:noProof/>
        </w:rPr>
        <w:t xml:space="preserve">reducing obstacles at national level remains the major </w:t>
      </w:r>
      <w:r w:rsidR="00550398">
        <w:rPr>
          <w:noProof/>
        </w:rPr>
        <w:t>objective</w:t>
      </w:r>
      <w:r w:rsidR="00EF0236">
        <w:rPr>
          <w:rFonts w:eastAsia="Times New Roman" w:cs="Times New Roman"/>
          <w:noProof/>
        </w:rPr>
        <w:t>.</w:t>
      </w:r>
      <w:bookmarkEnd w:id="11"/>
      <w:r w:rsidR="00D11961">
        <w:rPr>
          <w:noProof/>
        </w:rPr>
        <w:t xml:space="preserve"> </w:t>
      </w:r>
      <w:r w:rsidR="00D11961" w:rsidRPr="00D11961">
        <w:rPr>
          <w:rFonts w:eastAsia="Times New Roman" w:cs="Times New Roman"/>
          <w:noProof/>
        </w:rPr>
        <w:t>Technical Support Instrument</w:t>
      </w:r>
      <w:r w:rsidR="00D11961">
        <w:rPr>
          <w:rFonts w:eastAsia="Times New Roman" w:cs="Times New Roman"/>
          <w:noProof/>
        </w:rPr>
        <w:t xml:space="preserve"> </w:t>
      </w:r>
      <w:r w:rsidR="00483A70">
        <w:rPr>
          <w:rFonts w:eastAsia="Times New Roman" w:cs="Times New Roman"/>
          <w:noProof/>
        </w:rPr>
        <w:t>helps</w:t>
      </w:r>
      <w:r w:rsidR="00D11961">
        <w:rPr>
          <w:rFonts w:eastAsia="Times New Roman" w:cs="Times New Roman"/>
          <w:noProof/>
        </w:rPr>
        <w:t xml:space="preserve"> Member States to improve </w:t>
      </w:r>
      <w:r w:rsidR="00D11961" w:rsidRPr="00D11961">
        <w:rPr>
          <w:rFonts w:eastAsia="Times New Roman" w:cs="Times New Roman"/>
          <w:noProof/>
        </w:rPr>
        <w:t xml:space="preserve">public administration and </w:t>
      </w:r>
      <w:r w:rsidR="00D11961">
        <w:rPr>
          <w:rFonts w:eastAsia="Times New Roman" w:cs="Times New Roman"/>
          <w:noProof/>
        </w:rPr>
        <w:t xml:space="preserve">create </w:t>
      </w:r>
      <w:r w:rsidR="00D11961" w:rsidRPr="00D11961">
        <w:rPr>
          <w:rFonts w:eastAsia="Times New Roman" w:cs="Times New Roman"/>
          <w:noProof/>
        </w:rPr>
        <w:t>an enabling business environment</w:t>
      </w:r>
      <w:r w:rsidR="00D11961">
        <w:rPr>
          <w:rFonts w:eastAsia="Times New Roman" w:cs="Times New Roman"/>
          <w:noProof/>
        </w:rPr>
        <w:t>.</w:t>
      </w:r>
      <w:r w:rsidR="00483A70" w:rsidRPr="00D11961" w:rsidDel="00483A70">
        <w:rPr>
          <w:rFonts w:eastAsia="Times New Roman" w:cs="Times New Roman"/>
          <w:noProof/>
        </w:rPr>
        <w:t xml:space="preserve"> </w:t>
      </w:r>
    </w:p>
    <w:p w14:paraId="609DAA7A" w14:textId="4C0D7D99" w:rsidR="00335842" w:rsidRPr="005B0C65" w:rsidRDefault="001B5AE8" w:rsidP="00335842">
      <w:pPr>
        <w:jc w:val="both"/>
        <w:rPr>
          <w:noProof/>
        </w:rPr>
      </w:pPr>
      <w:r w:rsidRPr="006A6D1A">
        <w:rPr>
          <w:rFonts w:cs="Times New Roman"/>
          <w:b/>
          <w:bCs/>
          <w:noProof/>
          <w:color w:val="000000"/>
        </w:rPr>
        <w:t>S</w:t>
      </w:r>
      <w:r w:rsidR="00335842" w:rsidRPr="006A6D1A">
        <w:rPr>
          <w:rFonts w:cs="Times New Roman"/>
          <w:b/>
          <w:bCs/>
          <w:noProof/>
          <w:color w:val="000000"/>
        </w:rPr>
        <w:t>ervices are particularly crucial to the EU economy.</w:t>
      </w:r>
      <w:r w:rsidR="00335842" w:rsidRPr="00E17C02">
        <w:rPr>
          <w:rFonts w:cs="Times New Roman"/>
          <w:noProof/>
          <w:color w:val="000000"/>
          <w:sz w:val="27"/>
          <w:szCs w:val="27"/>
        </w:rPr>
        <w:t xml:space="preserve"> </w:t>
      </w:r>
      <w:r w:rsidR="00335842" w:rsidRPr="5C86949B">
        <w:rPr>
          <w:rFonts w:cs="Times New Roman"/>
          <w:noProof/>
          <w:color w:val="000000"/>
        </w:rPr>
        <w:t xml:space="preserve">They account for around 70% of the EU's GDP and </w:t>
      </w:r>
      <w:r w:rsidR="00B93274" w:rsidRPr="00B93274">
        <w:rPr>
          <w:rFonts w:cs="Times New Roman"/>
          <w:noProof/>
          <w:color w:val="000000"/>
        </w:rPr>
        <w:t xml:space="preserve">73% of total </w:t>
      </w:r>
      <w:r w:rsidR="00335842" w:rsidRPr="5C86949B">
        <w:rPr>
          <w:rFonts w:cs="Times New Roman"/>
          <w:noProof/>
          <w:color w:val="000000"/>
        </w:rPr>
        <w:t>employment.</w:t>
      </w:r>
      <w:r w:rsidR="00335842" w:rsidRPr="00E17C02">
        <w:rPr>
          <w:rFonts w:cs="Times New Roman"/>
          <w:noProof/>
          <w:color w:val="000000"/>
          <w:sz w:val="27"/>
          <w:szCs w:val="27"/>
        </w:rPr>
        <w:t xml:space="preserve"> </w:t>
      </w:r>
      <w:r w:rsidR="00335842" w:rsidRPr="00E17C02">
        <w:rPr>
          <w:rFonts w:cs="Times New Roman"/>
          <w:noProof/>
        </w:rPr>
        <w:t xml:space="preserve">Services cover a broad range of sectors and many </w:t>
      </w:r>
      <w:r w:rsidR="006C397F" w:rsidRPr="00E17C02">
        <w:rPr>
          <w:rFonts w:cs="Times New Roman"/>
          <w:noProof/>
        </w:rPr>
        <w:t>di</w:t>
      </w:r>
      <w:r w:rsidR="006C397F">
        <w:rPr>
          <w:rFonts w:cs="Times New Roman"/>
          <w:noProof/>
        </w:rPr>
        <w:t>fferent</w:t>
      </w:r>
      <w:r w:rsidR="00335842" w:rsidRPr="00E17C02">
        <w:rPr>
          <w:rFonts w:cs="Times New Roman"/>
          <w:noProof/>
        </w:rPr>
        <w:t xml:space="preserve"> activities. In some</w:t>
      </w:r>
      <w:r w:rsidR="00335842" w:rsidRPr="00A45203">
        <w:rPr>
          <w:noProof/>
        </w:rPr>
        <w:t xml:space="preserve"> sectors, the free movement of services works well, facilitated by digital </w:t>
      </w:r>
      <w:r w:rsidR="00335842" w:rsidRPr="00A45203">
        <w:rPr>
          <w:noProof/>
          <w:shd w:val="clear" w:color="auto" w:fill="FFFFFF" w:themeFill="background1"/>
        </w:rPr>
        <w:t xml:space="preserve">technologies and harmonised rules. Others are still mainly domestic markets, sometimes due to intrinsic factors of the specific service (e.g. </w:t>
      </w:r>
      <w:r w:rsidR="006F3988" w:rsidRPr="006F3988">
        <w:rPr>
          <w:noProof/>
          <w:shd w:val="clear" w:color="auto" w:fill="FFFFFF" w:themeFill="background1"/>
        </w:rPr>
        <w:t>regional or national market preferences</w:t>
      </w:r>
      <w:r w:rsidR="00335842" w:rsidRPr="00A45203">
        <w:rPr>
          <w:noProof/>
          <w:shd w:val="clear" w:color="auto" w:fill="FFFFFF" w:themeFill="background1"/>
        </w:rPr>
        <w:t>)</w:t>
      </w:r>
      <w:r w:rsidR="004663E9">
        <w:rPr>
          <w:noProof/>
          <w:shd w:val="clear" w:color="auto" w:fill="FFFFFF" w:themeFill="background1"/>
        </w:rPr>
        <w:t>.</w:t>
      </w:r>
      <w:r w:rsidR="00106A95">
        <w:rPr>
          <w:noProof/>
          <w:shd w:val="clear" w:color="auto" w:fill="FFFFFF" w:themeFill="background1"/>
        </w:rPr>
        <w:t xml:space="preserve"> </w:t>
      </w:r>
      <w:r w:rsidR="004663E9">
        <w:rPr>
          <w:noProof/>
          <w:shd w:val="clear" w:color="auto" w:fill="FFFFFF"/>
        </w:rPr>
        <w:t xml:space="preserve">Where there is scope for more integration in services, </w:t>
      </w:r>
      <w:r w:rsidR="006C3AC4" w:rsidRPr="007474C8">
        <w:rPr>
          <w:noProof/>
        </w:rPr>
        <w:t xml:space="preserve">barriers </w:t>
      </w:r>
      <w:r w:rsidR="004663E9">
        <w:rPr>
          <w:noProof/>
        </w:rPr>
        <w:t xml:space="preserve">typically </w:t>
      </w:r>
      <w:r w:rsidR="006C3AC4" w:rsidRPr="007474C8">
        <w:rPr>
          <w:noProof/>
        </w:rPr>
        <w:t xml:space="preserve">linked to </w:t>
      </w:r>
      <w:r w:rsidR="006C3AC4" w:rsidRPr="007474C8">
        <w:rPr>
          <w:b/>
          <w:bCs/>
          <w:noProof/>
        </w:rPr>
        <w:t xml:space="preserve">national regulation </w:t>
      </w:r>
      <w:r w:rsidR="006C3AC4" w:rsidRPr="00FC2FE2">
        <w:rPr>
          <w:noProof/>
        </w:rPr>
        <w:t>in the area of</w:t>
      </w:r>
      <w:r w:rsidR="006C3AC4" w:rsidRPr="007474C8">
        <w:rPr>
          <w:noProof/>
        </w:rPr>
        <w:t xml:space="preserve"> business services, restrictive authorisation requirements in the area of retail, regulatory and administrative requirements complicating the cross-border provision of construction services</w:t>
      </w:r>
      <w:r w:rsidR="006C3AC4" w:rsidRPr="25755A6E">
        <w:rPr>
          <w:noProof/>
        </w:rPr>
        <w:t xml:space="preserve">, </w:t>
      </w:r>
      <w:r w:rsidR="6566933D" w:rsidRPr="6566933D">
        <w:rPr>
          <w:noProof/>
        </w:rPr>
        <w:t>and restrictio</w:t>
      </w:r>
      <w:r w:rsidR="403B3DCA" w:rsidRPr="403B3DCA">
        <w:rPr>
          <w:noProof/>
        </w:rPr>
        <w:t xml:space="preserve">ns in tourism both for cross-border service provision and as regards </w:t>
      </w:r>
      <w:r w:rsidR="006C3AC4" w:rsidRPr="00914F5F">
        <w:rPr>
          <w:noProof/>
          <w:color w:val="000000"/>
        </w:rPr>
        <w:t>requirements for accommodation services</w:t>
      </w:r>
      <w:r w:rsidR="006C3AC4">
        <w:rPr>
          <w:noProof/>
          <w:color w:val="000000"/>
        </w:rPr>
        <w:t>.</w:t>
      </w:r>
      <w:r w:rsidR="006C3AC4" w:rsidRPr="25755A6E">
        <w:rPr>
          <w:noProof/>
        </w:rPr>
        <w:t xml:space="preserve">  </w:t>
      </w:r>
    </w:p>
    <w:p w14:paraId="3893AA5B" w14:textId="6DF03277" w:rsidR="00024281" w:rsidRDefault="00024281" w:rsidP="001375DA">
      <w:pPr>
        <w:jc w:val="both"/>
        <w:rPr>
          <w:rFonts w:eastAsia="Times New Roman" w:cs="Times New Roman"/>
          <w:noProof/>
        </w:rPr>
      </w:pPr>
      <w:r w:rsidRPr="00024281">
        <w:rPr>
          <w:rFonts w:eastAsia="Times New Roman" w:cs="Times New Roman"/>
          <w:noProof/>
        </w:rPr>
        <w:t xml:space="preserve">Strengthened collaboration between Member </w:t>
      </w:r>
      <w:r w:rsidR="00335842">
        <w:rPr>
          <w:rFonts w:eastAsia="Times New Roman" w:cs="Times New Roman"/>
          <w:noProof/>
        </w:rPr>
        <w:t>S</w:t>
      </w:r>
      <w:r w:rsidR="00335842" w:rsidRPr="00024281">
        <w:rPr>
          <w:rFonts w:eastAsia="Times New Roman" w:cs="Times New Roman"/>
          <w:noProof/>
        </w:rPr>
        <w:t xml:space="preserve">tates </w:t>
      </w:r>
      <w:r w:rsidRPr="00024281">
        <w:rPr>
          <w:rFonts w:eastAsia="Times New Roman" w:cs="Times New Roman"/>
          <w:noProof/>
        </w:rPr>
        <w:t>and with the Commission and exchanges of information</w:t>
      </w:r>
      <w:r w:rsidR="00177EF5">
        <w:rPr>
          <w:rFonts w:eastAsia="Times New Roman" w:cs="Times New Roman"/>
          <w:noProof/>
        </w:rPr>
        <w:t xml:space="preserve">, </w:t>
      </w:r>
      <w:r w:rsidR="00177EF5" w:rsidRPr="004D0265">
        <w:rPr>
          <w:rFonts w:eastAsia="Times New Roman" w:cs="Times New Roman"/>
          <w:noProof/>
        </w:rPr>
        <w:t>as well as exchanges of views</w:t>
      </w:r>
      <w:r w:rsidRPr="00024281">
        <w:rPr>
          <w:rFonts w:eastAsia="Times New Roman" w:cs="Times New Roman"/>
          <w:noProof/>
        </w:rPr>
        <w:t xml:space="preserve"> </w:t>
      </w:r>
      <w:r w:rsidR="007727BE">
        <w:rPr>
          <w:rFonts w:eastAsia="Times New Roman" w:cs="Times New Roman"/>
          <w:noProof/>
        </w:rPr>
        <w:t xml:space="preserve">especially </w:t>
      </w:r>
      <w:r w:rsidR="00144054">
        <w:rPr>
          <w:rFonts w:eastAsia="Times New Roman" w:cs="Times New Roman"/>
          <w:noProof/>
        </w:rPr>
        <w:t>in the Competitiveness Council</w:t>
      </w:r>
      <w:r w:rsidRPr="00024281">
        <w:rPr>
          <w:rFonts w:eastAsia="Times New Roman" w:cs="Times New Roman"/>
          <w:noProof/>
        </w:rPr>
        <w:t xml:space="preserve">, play an important role in effective implementation of Single </w:t>
      </w:r>
      <w:r w:rsidR="00335842">
        <w:rPr>
          <w:rFonts w:eastAsia="Times New Roman" w:cs="Times New Roman"/>
          <w:noProof/>
        </w:rPr>
        <w:t>M</w:t>
      </w:r>
      <w:r w:rsidRPr="00024281">
        <w:rPr>
          <w:rFonts w:eastAsia="Times New Roman" w:cs="Times New Roman"/>
          <w:noProof/>
        </w:rPr>
        <w:t xml:space="preserve">arket rules, preventing breaches of EU law from the outset and avoiding infringements </w:t>
      </w:r>
      <w:r w:rsidR="00335842">
        <w:rPr>
          <w:rFonts w:eastAsia="Times New Roman" w:cs="Times New Roman"/>
          <w:noProof/>
        </w:rPr>
        <w:t>of EU law</w:t>
      </w:r>
      <w:r w:rsidRPr="00024281">
        <w:rPr>
          <w:rFonts w:eastAsia="Times New Roman" w:cs="Times New Roman"/>
          <w:noProof/>
        </w:rPr>
        <w:t>.</w:t>
      </w:r>
    </w:p>
    <w:p w14:paraId="2704F6E5" w14:textId="56917326" w:rsidR="00AD0062" w:rsidRDefault="2347AA81" w:rsidP="001375DA">
      <w:pPr>
        <w:jc w:val="both"/>
        <w:rPr>
          <w:rFonts w:eastAsia="Times New Roman" w:cs="Times New Roman"/>
          <w:noProof/>
        </w:rPr>
      </w:pPr>
      <w:r w:rsidRPr="008C1F62">
        <w:rPr>
          <w:noProof/>
        </w:rPr>
        <w:t xml:space="preserve">The work of </w:t>
      </w:r>
      <w:r w:rsidRPr="008C1F62">
        <w:rPr>
          <w:rFonts w:eastAsia="Times New Roman" w:cs="Times New Roman"/>
          <w:noProof/>
        </w:rPr>
        <w:t xml:space="preserve">the </w:t>
      </w:r>
      <w:r w:rsidRPr="75965158">
        <w:rPr>
          <w:rFonts w:eastAsia="Times New Roman" w:cs="Times New Roman"/>
          <w:b/>
          <w:bCs/>
          <w:noProof/>
        </w:rPr>
        <w:t>Single Market Enforcement Taskforce (SMET)</w:t>
      </w:r>
      <w:r w:rsidR="00AC0FB6" w:rsidRPr="008C1F62">
        <w:rPr>
          <w:rStyle w:val="FootnoteReference"/>
          <w:rFonts w:eastAsia="Times New Roman" w:cs="Times New Roman"/>
          <w:noProof/>
        </w:rPr>
        <w:footnoteReference w:id="58"/>
      </w:r>
      <w:r>
        <w:rPr>
          <w:rFonts w:eastAsia="Times New Roman" w:cs="Times New Roman"/>
          <w:noProof/>
        </w:rPr>
        <w:t xml:space="preserve">, set up in 2020, </w:t>
      </w:r>
      <w:r w:rsidRPr="008C1F62">
        <w:rPr>
          <w:noProof/>
        </w:rPr>
        <w:t xml:space="preserve">has shown </w:t>
      </w:r>
      <w:r w:rsidR="008F7C93">
        <w:rPr>
          <w:noProof/>
        </w:rPr>
        <w:t xml:space="preserve">the </w:t>
      </w:r>
      <w:r w:rsidR="5FA8D27C">
        <w:rPr>
          <w:noProof/>
        </w:rPr>
        <w:t xml:space="preserve">significant value </w:t>
      </w:r>
      <w:r w:rsidR="008F7C93">
        <w:rPr>
          <w:noProof/>
        </w:rPr>
        <w:t>of</w:t>
      </w:r>
      <w:r w:rsidRPr="008C1F62">
        <w:rPr>
          <w:noProof/>
        </w:rPr>
        <w:t xml:space="preserve"> collaboration between Member States and the Commission in </w:t>
      </w:r>
      <w:r w:rsidR="6F7132DA">
        <w:rPr>
          <w:noProof/>
        </w:rPr>
        <w:t>tackling the concrete barriers that EU business</w:t>
      </w:r>
      <w:r w:rsidR="06F9F914">
        <w:rPr>
          <w:noProof/>
        </w:rPr>
        <w:t>es</w:t>
      </w:r>
      <w:r w:rsidR="6F7132DA">
        <w:rPr>
          <w:noProof/>
        </w:rPr>
        <w:t xml:space="preserve"> experience in the Single Market</w:t>
      </w:r>
      <w:r w:rsidRPr="008C1F62">
        <w:rPr>
          <w:rFonts w:eastAsia="Times New Roman" w:cs="Times New Roman"/>
          <w:noProof/>
        </w:rPr>
        <w:t xml:space="preserve">. </w:t>
      </w:r>
      <w:r w:rsidR="1664E174">
        <w:rPr>
          <w:rFonts w:eastAsia="Times New Roman" w:cs="Times New Roman"/>
          <w:noProof/>
        </w:rPr>
        <w:t xml:space="preserve">The joint </w:t>
      </w:r>
      <w:r w:rsidR="0D43DE82">
        <w:rPr>
          <w:rFonts w:eastAsia="Times New Roman" w:cs="Times New Roman"/>
          <w:noProof/>
        </w:rPr>
        <w:t>and intensive work in this innovative forum focuse</w:t>
      </w:r>
      <w:r w:rsidR="67CE1A65">
        <w:rPr>
          <w:rFonts w:eastAsia="Times New Roman" w:cs="Times New Roman"/>
          <w:noProof/>
        </w:rPr>
        <w:t>s</w:t>
      </w:r>
      <w:r w:rsidRPr="00431FA8">
        <w:rPr>
          <w:rFonts w:eastAsia="Times New Roman" w:cs="Times New Roman"/>
          <w:noProof/>
        </w:rPr>
        <w:t xml:space="preserve"> on simplifying </w:t>
      </w:r>
      <w:r w:rsidR="67CE1A65">
        <w:rPr>
          <w:rFonts w:eastAsia="Times New Roman" w:cs="Times New Roman"/>
          <w:noProof/>
        </w:rPr>
        <w:t>the</w:t>
      </w:r>
      <w:r w:rsidRPr="00431FA8">
        <w:rPr>
          <w:rFonts w:eastAsia="Times New Roman" w:cs="Times New Roman"/>
          <w:noProof/>
        </w:rPr>
        <w:t xml:space="preserve"> regulatory framework and reducing administrative barriers in </w:t>
      </w:r>
      <w:r>
        <w:rPr>
          <w:rFonts w:eastAsia="Times New Roman" w:cs="Times New Roman"/>
          <w:noProof/>
        </w:rPr>
        <w:t xml:space="preserve">specific </w:t>
      </w:r>
      <w:r w:rsidRPr="00431FA8">
        <w:rPr>
          <w:rFonts w:eastAsia="Times New Roman" w:cs="Times New Roman"/>
          <w:noProof/>
        </w:rPr>
        <w:t>areas</w:t>
      </w:r>
      <w:r w:rsidRPr="008C1F62">
        <w:rPr>
          <w:rFonts w:eastAsia="Times New Roman" w:cs="Times New Roman"/>
          <w:noProof/>
        </w:rPr>
        <w:t xml:space="preserve">. For example, within SMET Member States have agreed to simplify the constraints for professionals </w:t>
      </w:r>
      <w:r w:rsidR="45BAA837">
        <w:rPr>
          <w:rFonts w:eastAsia="Times New Roman" w:cs="Times New Roman"/>
          <w:noProof/>
        </w:rPr>
        <w:t>and businesses</w:t>
      </w:r>
      <w:r w:rsidRPr="008C1F62">
        <w:rPr>
          <w:rFonts w:eastAsia="Times New Roman" w:cs="Times New Roman"/>
          <w:noProof/>
        </w:rPr>
        <w:t xml:space="preserve"> that provide temporary </w:t>
      </w:r>
      <w:r w:rsidR="3F1CE9D4">
        <w:rPr>
          <w:rFonts w:eastAsia="Times New Roman" w:cs="Times New Roman"/>
          <w:noProof/>
        </w:rPr>
        <w:t xml:space="preserve">cross-border </w:t>
      </w:r>
      <w:r w:rsidRPr="008C1F62">
        <w:rPr>
          <w:rFonts w:eastAsia="Times New Roman" w:cs="Times New Roman"/>
          <w:noProof/>
        </w:rPr>
        <w:t xml:space="preserve">services </w:t>
      </w:r>
      <w:r w:rsidR="4D49B48B" w:rsidRPr="008C1F62">
        <w:rPr>
          <w:rFonts w:eastAsia="Times New Roman" w:cs="Times New Roman"/>
          <w:noProof/>
        </w:rPr>
        <w:t>and</w:t>
      </w:r>
      <w:r w:rsidR="72D48324">
        <w:rPr>
          <w:rFonts w:eastAsia="Times New Roman" w:cs="Times New Roman"/>
          <w:noProof/>
        </w:rPr>
        <w:t>, based on good practices,</w:t>
      </w:r>
      <w:r w:rsidR="4D49B48B" w:rsidRPr="008C1F62">
        <w:rPr>
          <w:rFonts w:eastAsia="Times New Roman" w:cs="Times New Roman"/>
          <w:noProof/>
        </w:rPr>
        <w:t xml:space="preserve"> to remove</w:t>
      </w:r>
      <w:r w:rsidRPr="008C1F62">
        <w:rPr>
          <w:rFonts w:eastAsia="Times New Roman" w:cs="Times New Roman"/>
          <w:noProof/>
        </w:rPr>
        <w:t xml:space="preserve"> prior qualification checks for 247 professions</w:t>
      </w:r>
      <w:r w:rsidR="188928C6" w:rsidRPr="008C1F62">
        <w:rPr>
          <w:rFonts w:eastAsia="Times New Roman" w:cs="Times New Roman"/>
          <w:noProof/>
        </w:rPr>
        <w:t xml:space="preserve"> and to review and reduce</w:t>
      </w:r>
      <w:r w:rsidR="011B7931">
        <w:rPr>
          <w:rFonts w:eastAsia="Times New Roman" w:cs="Times New Roman"/>
          <w:noProof/>
        </w:rPr>
        <w:t xml:space="preserve"> </w:t>
      </w:r>
      <w:r w:rsidR="1E37BF4D">
        <w:rPr>
          <w:rFonts w:eastAsia="Times New Roman" w:cs="Times New Roman"/>
          <w:noProof/>
        </w:rPr>
        <w:t>administrative and</w:t>
      </w:r>
      <w:r w:rsidRPr="008C1F62">
        <w:rPr>
          <w:rFonts w:eastAsia="Times New Roman" w:cs="Times New Roman"/>
          <w:noProof/>
        </w:rPr>
        <w:t xml:space="preserve"> document requirements</w:t>
      </w:r>
      <w:r w:rsidR="206782CD">
        <w:rPr>
          <w:noProof/>
        </w:rPr>
        <w:t>.</w:t>
      </w:r>
      <w:r w:rsidR="28243457">
        <w:rPr>
          <w:rFonts w:eastAsia="Times New Roman" w:cs="Times New Roman"/>
          <w:noProof/>
        </w:rPr>
        <w:t xml:space="preserve"> </w:t>
      </w:r>
    </w:p>
    <w:p w14:paraId="1FC9EB14" w14:textId="13593868" w:rsidR="00275E19" w:rsidRPr="00A30CB2" w:rsidRDefault="2347AA81" w:rsidP="00C123D7">
      <w:pPr>
        <w:jc w:val="both"/>
        <w:rPr>
          <w:noProof/>
          <w:color w:val="00B0F0"/>
        </w:rPr>
      </w:pPr>
      <w:r w:rsidRPr="008C1F62">
        <w:rPr>
          <w:rFonts w:eastAsia="Times New Roman" w:cs="Times New Roman"/>
          <w:noProof/>
        </w:rPr>
        <w:t xml:space="preserve">SMET also identified more than 80 of the most pressing barriers to the smooth and rapid granting of permits for the </w:t>
      </w:r>
      <w:r w:rsidR="00CE12F6">
        <w:rPr>
          <w:rFonts w:eastAsia="Times New Roman" w:cs="Times New Roman"/>
          <w:noProof/>
        </w:rPr>
        <w:t>deployment</w:t>
      </w:r>
      <w:r w:rsidR="00CE12F6" w:rsidRPr="008C1F62">
        <w:rPr>
          <w:rFonts w:eastAsia="Times New Roman" w:cs="Times New Roman"/>
          <w:noProof/>
        </w:rPr>
        <w:t xml:space="preserve"> </w:t>
      </w:r>
      <w:r w:rsidRPr="008C1F62">
        <w:rPr>
          <w:rFonts w:eastAsia="Times New Roman" w:cs="Times New Roman"/>
          <w:noProof/>
        </w:rPr>
        <w:t xml:space="preserve">of wind and solar energy installations. </w:t>
      </w:r>
      <w:r w:rsidRPr="008C1F62">
        <w:rPr>
          <w:noProof/>
        </w:rPr>
        <w:t>Bearing in mind there are 50</w:t>
      </w:r>
      <w:r w:rsidR="00A32BF3">
        <w:rPr>
          <w:noProof/>
        </w:rPr>
        <w:t> </w:t>
      </w:r>
      <w:r w:rsidRPr="008C1F62">
        <w:rPr>
          <w:noProof/>
        </w:rPr>
        <w:t xml:space="preserve">000 SMEs active in the production of renewable energy, removing these barriers will </w:t>
      </w:r>
      <w:r w:rsidR="005C14A7">
        <w:rPr>
          <w:noProof/>
        </w:rPr>
        <w:t>facilitate</w:t>
      </w:r>
      <w:r w:rsidR="005C14A7" w:rsidRPr="008C1F62">
        <w:rPr>
          <w:noProof/>
        </w:rPr>
        <w:t xml:space="preserve"> sustainable growth</w:t>
      </w:r>
      <w:r w:rsidRPr="008C1F62">
        <w:rPr>
          <w:noProof/>
        </w:rPr>
        <w:t xml:space="preserve">. This will also make the </w:t>
      </w:r>
      <w:r>
        <w:rPr>
          <w:noProof/>
        </w:rPr>
        <w:t>E</w:t>
      </w:r>
      <w:r w:rsidRPr="008C1F62">
        <w:rPr>
          <w:noProof/>
        </w:rPr>
        <w:t>U more attractive as an investment location</w:t>
      </w:r>
      <w:r w:rsidR="00106A95">
        <w:rPr>
          <w:noProof/>
        </w:rPr>
        <w:t>, and complement well the proposal</w:t>
      </w:r>
      <w:r w:rsidR="00C123D7" w:rsidRPr="00C123D7">
        <w:rPr>
          <w:noProof/>
        </w:rPr>
        <w:t xml:space="preserve"> </w:t>
      </w:r>
      <w:r w:rsidR="00C123D7" w:rsidRPr="00CE12F6">
        <w:rPr>
          <w:noProof/>
        </w:rPr>
        <w:t xml:space="preserve">for a Net Zero Industry Act </w:t>
      </w:r>
      <w:r w:rsidR="00C123D7">
        <w:rPr>
          <w:noProof/>
        </w:rPr>
        <w:t>,</w:t>
      </w:r>
      <w:r w:rsidR="00C123D7" w:rsidRPr="00CE12F6">
        <w:rPr>
          <w:noProof/>
        </w:rPr>
        <w:t xml:space="preserve"> which aims to facilitate and speed up investments into net-zero technology manufacturing projects so as to significantly scale up the production of solar panels, wind turbines and other clean energy technologies in Europe. The existing legal framework on permitting for the deployment of renewable energy installations (based on the Renewable Energy Directive), will soon be complemented through </w:t>
      </w:r>
      <w:r w:rsidR="00A32BF3">
        <w:rPr>
          <w:noProof/>
        </w:rPr>
        <w:t>this legislation</w:t>
      </w:r>
      <w:r w:rsidR="00C123D7" w:rsidRPr="00CE12F6">
        <w:rPr>
          <w:noProof/>
        </w:rPr>
        <w:t xml:space="preserve"> </w:t>
      </w:r>
      <w:r w:rsidR="00C123D7" w:rsidRPr="00A30CB2">
        <w:rPr>
          <w:noProof/>
        </w:rPr>
        <w:t xml:space="preserve">as regards a harmonised legal framework to also streamline permitting for new industrial facilities that produce such technologies, including gigafactory-sized projects. </w:t>
      </w:r>
      <w:r w:rsidR="00275E19" w:rsidRPr="00A30CB2">
        <w:rPr>
          <w:noProof/>
        </w:rPr>
        <w:t xml:space="preserve">The Commission reiterates the </w:t>
      </w:r>
      <w:r w:rsidR="00B1324A" w:rsidRPr="00A30CB2">
        <w:rPr>
          <w:noProof/>
        </w:rPr>
        <w:t>significant</w:t>
      </w:r>
      <w:r w:rsidR="00275E19" w:rsidRPr="00A30CB2">
        <w:rPr>
          <w:noProof/>
        </w:rPr>
        <w:t xml:space="preserve"> value of </w:t>
      </w:r>
      <w:r w:rsidR="00B1324A" w:rsidRPr="00A30CB2">
        <w:rPr>
          <w:noProof/>
        </w:rPr>
        <w:t>SMET as a cooperative tool with the Member States to address Single Market barriers</w:t>
      </w:r>
      <w:r w:rsidR="00575514">
        <w:rPr>
          <w:noProof/>
        </w:rPr>
        <w:t>, and</w:t>
      </w:r>
      <w:r w:rsidR="00B1324A" w:rsidRPr="00A30CB2">
        <w:rPr>
          <w:noProof/>
        </w:rPr>
        <w:t xml:space="preserve"> therefore </w:t>
      </w:r>
      <w:r w:rsidR="00CC6136" w:rsidRPr="00A30CB2">
        <w:rPr>
          <w:noProof/>
        </w:rPr>
        <w:t>relies</w:t>
      </w:r>
      <w:r w:rsidR="00B1324A" w:rsidRPr="00A30CB2">
        <w:rPr>
          <w:noProof/>
        </w:rPr>
        <w:t xml:space="preserve"> on continued joint efforts aiming at concrete deliverables within this framework. </w:t>
      </w:r>
    </w:p>
    <w:p w14:paraId="39105F3E" w14:textId="51490EBE" w:rsidR="00C36BC5" w:rsidRDefault="00870607" w:rsidP="00C36BC5">
      <w:pPr>
        <w:jc w:val="both"/>
        <w:rPr>
          <w:noProof/>
        </w:rPr>
      </w:pPr>
      <w:bookmarkStart w:id="12" w:name="_Hlk129360486"/>
      <w:bookmarkStart w:id="13" w:name="_Hlk129188713"/>
      <w:r w:rsidRPr="00A30CB2">
        <w:rPr>
          <w:rFonts w:eastAsia="Times New Roman" w:cs="Times New Roman"/>
          <w:noProof/>
          <w:color w:val="000000" w:themeColor="text1"/>
        </w:rPr>
        <w:t xml:space="preserve">Continuing the existing </w:t>
      </w:r>
      <w:r w:rsidRPr="00A30CB2">
        <w:rPr>
          <w:rFonts w:eastAsia="Times New Roman" w:cs="Times New Roman"/>
          <w:b/>
          <w:noProof/>
          <w:color w:val="000000" w:themeColor="text1"/>
        </w:rPr>
        <w:t>structured engagement with</w:t>
      </w:r>
      <w:r w:rsidRPr="00047A71">
        <w:rPr>
          <w:rFonts w:eastAsia="Times New Roman" w:cs="Times New Roman"/>
          <w:b/>
          <w:noProof/>
          <w:color w:val="000000" w:themeColor="text1"/>
        </w:rPr>
        <w:t xml:space="preserve"> business stakeholders</w:t>
      </w:r>
      <w:r w:rsidR="00E24185" w:rsidRPr="00761B15">
        <w:rPr>
          <w:rFonts w:eastAsia="Times New Roman" w:cs="Times New Roman"/>
          <w:noProof/>
          <w:color w:val="000000" w:themeColor="text1"/>
        </w:rPr>
        <w:t>, including</w:t>
      </w:r>
      <w:r w:rsidRPr="00761B15">
        <w:rPr>
          <w:rFonts w:eastAsia="Times New Roman" w:cs="Times New Roman"/>
          <w:noProof/>
          <w:color w:val="000000" w:themeColor="text1"/>
        </w:rPr>
        <w:t xml:space="preserve"> in the context of the Industrial Forum</w:t>
      </w:r>
      <w:r w:rsidR="00120C06" w:rsidRPr="00761B15">
        <w:rPr>
          <w:rStyle w:val="FootnoteReference"/>
          <w:rFonts w:eastAsia="Times New Roman" w:cs="Times New Roman"/>
          <w:noProof/>
          <w:color w:val="000000" w:themeColor="text1"/>
        </w:rPr>
        <w:footnoteReference w:id="59"/>
      </w:r>
      <w:r w:rsidR="00566FA4" w:rsidRPr="00761B15">
        <w:rPr>
          <w:rFonts w:eastAsia="Times New Roman" w:cs="Times New Roman"/>
          <w:noProof/>
          <w:color w:val="000000" w:themeColor="text1"/>
        </w:rPr>
        <w:t xml:space="preserve">, </w:t>
      </w:r>
      <w:r w:rsidR="000B3461">
        <w:rPr>
          <w:rFonts w:eastAsia="Times New Roman" w:cs="Times New Roman"/>
          <w:noProof/>
          <w:color w:val="000000" w:themeColor="text1"/>
        </w:rPr>
        <w:t xml:space="preserve">the </w:t>
      </w:r>
      <w:r w:rsidR="00566FA4" w:rsidRPr="00A30CB2">
        <w:rPr>
          <w:rFonts w:eastAsia="Times New Roman" w:cs="Times New Roman"/>
          <w:noProof/>
          <w:color w:val="000000" w:themeColor="text1"/>
        </w:rPr>
        <w:t xml:space="preserve">Enterprise Europe Network (EEN), </w:t>
      </w:r>
      <w:r w:rsidR="000B3461" w:rsidRPr="00A30CB2">
        <w:rPr>
          <w:rFonts w:eastAsia="Times New Roman" w:cs="Times New Roman"/>
          <w:noProof/>
          <w:color w:val="000000" w:themeColor="text1"/>
        </w:rPr>
        <w:t xml:space="preserve">the network of national </w:t>
      </w:r>
      <w:r w:rsidR="00566FA4" w:rsidRPr="00A30CB2">
        <w:rPr>
          <w:rFonts w:eastAsia="Times New Roman" w:cs="Times New Roman"/>
          <w:noProof/>
          <w:color w:val="000000" w:themeColor="text1"/>
        </w:rPr>
        <w:t xml:space="preserve">SME Envoys and </w:t>
      </w:r>
      <w:r w:rsidR="000B3461" w:rsidRPr="00A30CB2">
        <w:rPr>
          <w:rFonts w:eastAsia="Times New Roman" w:cs="Times New Roman"/>
          <w:noProof/>
          <w:color w:val="000000" w:themeColor="text1"/>
        </w:rPr>
        <w:t xml:space="preserve">the </w:t>
      </w:r>
      <w:r w:rsidR="00566FA4" w:rsidRPr="00A30CB2">
        <w:rPr>
          <w:rFonts w:eastAsia="Times New Roman" w:cs="Times New Roman"/>
          <w:noProof/>
          <w:color w:val="000000" w:themeColor="text1"/>
        </w:rPr>
        <w:t>clusters network,</w:t>
      </w:r>
      <w:r w:rsidRPr="00A30CB2">
        <w:rPr>
          <w:rFonts w:eastAsia="Times New Roman" w:cs="Times New Roman"/>
          <w:noProof/>
          <w:color w:val="000000" w:themeColor="text1"/>
        </w:rPr>
        <w:t xml:space="preserve"> </w:t>
      </w:r>
      <w:r w:rsidRPr="00C36BC5">
        <w:rPr>
          <w:noProof/>
        </w:rPr>
        <w:t>is</w:t>
      </w:r>
      <w:r w:rsidRPr="00A30CB2">
        <w:rPr>
          <w:rFonts w:eastAsia="Times New Roman" w:cs="Times New Roman"/>
          <w:noProof/>
          <w:color w:val="000000" w:themeColor="text1"/>
        </w:rPr>
        <w:t xml:space="preserve"> also crucial to better understand barriers that they face.</w:t>
      </w:r>
      <w:r w:rsidR="00106A95" w:rsidRPr="00A30CB2">
        <w:rPr>
          <w:rFonts w:eastAsia="Times New Roman" w:cs="Times New Roman"/>
          <w:noProof/>
          <w:color w:val="000000" w:themeColor="text1"/>
        </w:rPr>
        <w:t xml:space="preserve"> This work will be fed by</w:t>
      </w:r>
      <w:r w:rsidR="00A71D51" w:rsidRPr="00A30CB2">
        <w:rPr>
          <w:rFonts w:eastAsia="Times New Roman" w:cs="Times New Roman"/>
          <w:noProof/>
          <w:color w:val="000000" w:themeColor="text1"/>
        </w:rPr>
        <w:t xml:space="preserve"> </w:t>
      </w:r>
      <w:r w:rsidR="00106A95" w:rsidRPr="00A30CB2">
        <w:rPr>
          <w:rFonts w:eastAsia="Times New Roman" w:cs="Times New Roman"/>
          <w:noProof/>
          <w:color w:val="000000" w:themeColor="text1"/>
        </w:rPr>
        <w:t xml:space="preserve">analytical work such as the </w:t>
      </w:r>
      <w:r w:rsidR="00A71D51" w:rsidRPr="00A30CB2">
        <w:rPr>
          <w:rFonts w:eastAsia="Times New Roman" w:cs="Times New Roman"/>
          <w:noProof/>
          <w:color w:val="000000" w:themeColor="text1"/>
        </w:rPr>
        <w:t>Annual Single Market Report</w:t>
      </w:r>
      <w:r w:rsidR="009A65A3" w:rsidRPr="00A30CB2">
        <w:rPr>
          <w:rFonts w:eastAsia="Times New Roman" w:cs="Times New Roman"/>
          <w:noProof/>
          <w:color w:val="000000" w:themeColor="text1"/>
        </w:rPr>
        <w:t xml:space="preserve"> </w:t>
      </w:r>
      <w:r w:rsidR="006D092B" w:rsidRPr="00A30CB2">
        <w:rPr>
          <w:rFonts w:eastAsia="Times New Roman" w:cs="Times New Roman"/>
          <w:noProof/>
          <w:color w:val="000000" w:themeColor="text1"/>
        </w:rPr>
        <w:t>and</w:t>
      </w:r>
      <w:r w:rsidR="009A65A3" w:rsidRPr="00A30CB2">
        <w:rPr>
          <w:rFonts w:eastAsia="Times New Roman" w:cs="Times New Roman"/>
          <w:noProof/>
          <w:color w:val="000000" w:themeColor="text1"/>
        </w:rPr>
        <w:t xml:space="preserve"> the SMET Annual Report</w:t>
      </w:r>
      <w:r w:rsidR="005E4DEC" w:rsidRPr="00A30CB2">
        <w:rPr>
          <w:rFonts w:eastAsia="Times New Roman" w:cs="Times New Roman"/>
          <w:noProof/>
          <w:color w:val="000000" w:themeColor="text1"/>
        </w:rPr>
        <w:t>.</w:t>
      </w:r>
      <w:r w:rsidR="00132B36" w:rsidRPr="00A30CB2">
        <w:rPr>
          <w:rFonts w:eastAsia="Times New Roman" w:cs="Times New Roman"/>
          <w:noProof/>
          <w:color w:val="000000" w:themeColor="text1"/>
        </w:rPr>
        <w:t xml:space="preserve"> </w:t>
      </w:r>
      <w:bookmarkStart w:id="17" w:name="_Hlk129357481"/>
      <w:bookmarkEnd w:id="12"/>
      <w:bookmarkEnd w:id="13"/>
      <w:r w:rsidR="00827002" w:rsidRPr="00A30CB2">
        <w:rPr>
          <w:noProof/>
        </w:rPr>
        <w:t xml:space="preserve">The </w:t>
      </w:r>
      <w:r w:rsidR="003A6346" w:rsidRPr="00A30CB2">
        <w:rPr>
          <w:b/>
          <w:noProof/>
        </w:rPr>
        <w:t>Single Market Scoreboard</w:t>
      </w:r>
      <w:r w:rsidR="003A6346" w:rsidRPr="00771FAD">
        <w:rPr>
          <w:noProof/>
        </w:rPr>
        <w:t xml:space="preserve"> </w:t>
      </w:r>
      <w:r w:rsidR="00236A2A" w:rsidRPr="00771FAD">
        <w:rPr>
          <w:noProof/>
        </w:rPr>
        <w:t xml:space="preserve">is a helpful tool for </w:t>
      </w:r>
      <w:r w:rsidR="00106A95" w:rsidRPr="00771FAD">
        <w:rPr>
          <w:noProof/>
        </w:rPr>
        <w:t xml:space="preserve">all stakeholders </w:t>
      </w:r>
      <w:r w:rsidR="00FB413C">
        <w:rPr>
          <w:noProof/>
        </w:rPr>
        <w:t xml:space="preserve">to </w:t>
      </w:r>
      <w:r w:rsidR="00FB413C" w:rsidRPr="00A30CB2">
        <w:rPr>
          <w:noProof/>
        </w:rPr>
        <w:t xml:space="preserve">understand </w:t>
      </w:r>
      <w:r w:rsidR="00236A2A" w:rsidRPr="00A30CB2">
        <w:rPr>
          <w:noProof/>
        </w:rPr>
        <w:t xml:space="preserve">the remaining barriers </w:t>
      </w:r>
      <w:r w:rsidR="00A51FC4" w:rsidRPr="00A30CB2">
        <w:rPr>
          <w:noProof/>
        </w:rPr>
        <w:t>and to design actions to remove them</w:t>
      </w:r>
      <w:r w:rsidR="00236A2A" w:rsidRPr="00A30CB2">
        <w:rPr>
          <w:noProof/>
        </w:rPr>
        <w:t xml:space="preserve">. </w:t>
      </w:r>
      <w:bookmarkEnd w:id="17"/>
      <w:r w:rsidR="003A6346" w:rsidRPr="00A30CB2">
        <w:rPr>
          <w:b/>
          <w:noProof/>
        </w:rPr>
        <w:t>The Commission will carefully monitor</w:t>
      </w:r>
      <w:r w:rsidR="003A6346" w:rsidRPr="00A30CB2">
        <w:rPr>
          <w:noProof/>
        </w:rPr>
        <w:t xml:space="preserve"> selected indicators </w:t>
      </w:r>
      <w:r w:rsidR="00207FEF" w:rsidRPr="00A30CB2">
        <w:rPr>
          <w:noProof/>
        </w:rPr>
        <w:t xml:space="preserve">from the </w:t>
      </w:r>
      <w:r w:rsidR="00207FEF" w:rsidRPr="00A30CB2">
        <w:rPr>
          <w:b/>
          <w:noProof/>
        </w:rPr>
        <w:t xml:space="preserve">Single Market Scoreboard and other relevant sources </w:t>
      </w:r>
      <w:r w:rsidR="003A6346" w:rsidRPr="00A30CB2">
        <w:rPr>
          <w:b/>
          <w:noProof/>
        </w:rPr>
        <w:t xml:space="preserve">related to enforcement and </w:t>
      </w:r>
      <w:r w:rsidR="004B5AEC" w:rsidRPr="00A30CB2">
        <w:rPr>
          <w:b/>
          <w:noProof/>
        </w:rPr>
        <w:t xml:space="preserve">the </w:t>
      </w:r>
      <w:r w:rsidR="003A6346" w:rsidRPr="00A30CB2">
        <w:rPr>
          <w:b/>
          <w:noProof/>
        </w:rPr>
        <w:t>business environment</w:t>
      </w:r>
      <w:r w:rsidR="00236A2A" w:rsidRPr="00A30CB2">
        <w:rPr>
          <w:noProof/>
        </w:rPr>
        <w:t>,</w:t>
      </w:r>
      <w:r w:rsidR="0063052E" w:rsidRPr="00A30CB2">
        <w:rPr>
          <w:noProof/>
        </w:rPr>
        <w:t xml:space="preserve"> such as transposition and conformity deficit</w:t>
      </w:r>
      <w:r w:rsidR="000B3461" w:rsidRPr="00A30CB2">
        <w:rPr>
          <w:noProof/>
        </w:rPr>
        <w:t>s</w:t>
      </w:r>
      <w:r w:rsidR="0063052E" w:rsidRPr="00A30CB2">
        <w:rPr>
          <w:noProof/>
        </w:rPr>
        <w:t xml:space="preserve">, </w:t>
      </w:r>
      <w:r w:rsidR="0077348E" w:rsidRPr="00A30CB2">
        <w:rPr>
          <w:noProof/>
        </w:rPr>
        <w:t xml:space="preserve">public procurement, </w:t>
      </w:r>
      <w:r w:rsidR="0063052E" w:rsidRPr="00A30CB2">
        <w:rPr>
          <w:noProof/>
        </w:rPr>
        <w:t>payment delays by public authorities and availability of digital public services</w:t>
      </w:r>
      <w:r w:rsidR="00207FEF" w:rsidRPr="00A30CB2">
        <w:rPr>
          <w:noProof/>
        </w:rPr>
        <w:t xml:space="preserve"> </w:t>
      </w:r>
      <w:r w:rsidR="00236A2A" w:rsidRPr="00A30CB2">
        <w:rPr>
          <w:noProof/>
        </w:rPr>
        <w:t xml:space="preserve">as well as </w:t>
      </w:r>
      <w:r w:rsidR="00106A95" w:rsidRPr="00A30CB2">
        <w:rPr>
          <w:noProof/>
        </w:rPr>
        <w:t>those</w:t>
      </w:r>
      <w:r w:rsidR="00236A2A" w:rsidRPr="00A30CB2">
        <w:rPr>
          <w:noProof/>
        </w:rPr>
        <w:t xml:space="preserve"> </w:t>
      </w:r>
      <w:r w:rsidR="005A5771" w:rsidRPr="00A30CB2">
        <w:rPr>
          <w:noProof/>
        </w:rPr>
        <w:t xml:space="preserve">indicators </w:t>
      </w:r>
      <w:r w:rsidR="00236A2A" w:rsidRPr="00A30CB2">
        <w:rPr>
          <w:noProof/>
        </w:rPr>
        <w:t>developed in the Reform Recommendations for professional services</w:t>
      </w:r>
      <w:r w:rsidR="00207FEF" w:rsidRPr="00A30CB2">
        <w:rPr>
          <w:noProof/>
        </w:rPr>
        <w:t>.</w:t>
      </w:r>
      <w:r w:rsidR="00287D26" w:rsidRPr="00287D26">
        <w:rPr>
          <w:rStyle w:val="FootnoteReference"/>
          <w:rFonts w:eastAsia="Times New Roman" w:cs="Times New Roman"/>
          <w:noProof/>
        </w:rPr>
        <w:t xml:space="preserve"> </w:t>
      </w:r>
      <w:r w:rsidR="003E79B5" w:rsidRPr="00A30CB2">
        <w:rPr>
          <w:rStyle w:val="FootnoteReference"/>
          <w:rFonts w:eastAsia="Times New Roman" w:cs="Times New Roman"/>
          <w:noProof/>
        </w:rPr>
        <w:footnoteReference w:id="60"/>
      </w:r>
      <w:r w:rsidR="00287D26" w:rsidRPr="00A30CB2">
        <w:rPr>
          <w:rFonts w:eastAsia="Times New Roman" w:cs="Times New Roman"/>
          <w:noProof/>
          <w:color w:val="000000" w:themeColor="text1"/>
        </w:rPr>
        <w:t xml:space="preserve"> </w:t>
      </w:r>
      <w:r w:rsidR="00207FEF" w:rsidRPr="00A30CB2">
        <w:rPr>
          <w:noProof/>
        </w:rPr>
        <w:t xml:space="preserve"> </w:t>
      </w:r>
    </w:p>
    <w:p w14:paraId="21876400" w14:textId="1200858E" w:rsidR="00A643EE" w:rsidRDefault="00E716AD" w:rsidP="00C36BC5">
      <w:pPr>
        <w:jc w:val="both"/>
        <w:rPr>
          <w:noProof/>
          <w:lang w:val="en-GB"/>
        </w:rPr>
      </w:pPr>
      <w:r w:rsidRPr="006A6D1A">
        <w:rPr>
          <w:rFonts w:eastAsia="Times New Roman" w:cs="Times New Roman"/>
          <w:b/>
          <w:bCs/>
          <w:noProof/>
          <w:color w:val="000000" w:themeColor="text1"/>
        </w:rPr>
        <w:t>The existing collaboration instruments should be fully exploited</w:t>
      </w:r>
      <w:r w:rsidRPr="003D0F5C">
        <w:rPr>
          <w:rFonts w:eastAsia="Times New Roman" w:cs="Times New Roman"/>
          <w:noProof/>
          <w:color w:val="000000" w:themeColor="text1"/>
        </w:rPr>
        <w:t xml:space="preserve"> to </w:t>
      </w:r>
      <w:r w:rsidR="00E97B6F">
        <w:rPr>
          <w:rFonts w:eastAsia="Times New Roman" w:cs="Times New Roman"/>
          <w:noProof/>
          <w:color w:val="000000" w:themeColor="text1"/>
        </w:rPr>
        <w:t xml:space="preserve">improve </w:t>
      </w:r>
      <w:r w:rsidRPr="003D0F5C">
        <w:rPr>
          <w:rFonts w:eastAsia="Times New Roman" w:cs="Times New Roman"/>
          <w:noProof/>
          <w:color w:val="000000" w:themeColor="text1"/>
        </w:rPr>
        <w:t xml:space="preserve">further the proactive and practical </w:t>
      </w:r>
      <w:r w:rsidR="00E97B6F">
        <w:rPr>
          <w:rFonts w:eastAsia="Times New Roman" w:cs="Times New Roman"/>
          <w:noProof/>
          <w:color w:val="000000" w:themeColor="text1"/>
        </w:rPr>
        <w:t>resolution</w:t>
      </w:r>
      <w:r w:rsidR="00E97B6F" w:rsidRPr="003D0F5C">
        <w:rPr>
          <w:rFonts w:eastAsia="Times New Roman" w:cs="Times New Roman"/>
          <w:noProof/>
          <w:color w:val="000000" w:themeColor="text1"/>
        </w:rPr>
        <w:t xml:space="preserve"> </w:t>
      </w:r>
      <w:r w:rsidRPr="003D0F5C">
        <w:rPr>
          <w:rFonts w:eastAsia="Times New Roman" w:cs="Times New Roman"/>
          <w:noProof/>
          <w:color w:val="000000" w:themeColor="text1"/>
        </w:rPr>
        <w:t xml:space="preserve">of Single Market </w:t>
      </w:r>
      <w:r w:rsidR="00E97B6F">
        <w:rPr>
          <w:rFonts w:eastAsia="Times New Roman" w:cs="Times New Roman"/>
          <w:noProof/>
          <w:color w:val="000000" w:themeColor="text1"/>
        </w:rPr>
        <w:t xml:space="preserve">problems </w:t>
      </w:r>
      <w:r w:rsidRPr="003D0F5C">
        <w:rPr>
          <w:rFonts w:eastAsia="Times New Roman" w:cs="Times New Roman"/>
          <w:noProof/>
          <w:color w:val="000000" w:themeColor="text1"/>
        </w:rPr>
        <w:t xml:space="preserve">for citizens and businesses, including </w:t>
      </w:r>
      <w:r w:rsidRPr="00A30CB2">
        <w:rPr>
          <w:rFonts w:eastAsia="Times New Roman" w:cs="Times New Roman"/>
          <w:b/>
          <w:noProof/>
          <w:color w:val="000000" w:themeColor="text1"/>
        </w:rPr>
        <w:t xml:space="preserve">urgent action by Member States to ensure that national </w:t>
      </w:r>
      <w:r w:rsidRPr="00A30CB2">
        <w:rPr>
          <w:rFonts w:eastAsia="Times New Roman" w:cs="Times New Roman"/>
          <w:b/>
          <w:bCs/>
          <w:noProof/>
          <w:color w:val="000000" w:themeColor="text1"/>
        </w:rPr>
        <w:t>SOLVIT</w:t>
      </w:r>
      <w:r w:rsidRPr="00A30CB2">
        <w:rPr>
          <w:rFonts w:eastAsia="Times New Roman" w:cs="Times New Roman"/>
          <w:noProof/>
          <w:color w:val="000000" w:themeColor="text1"/>
        </w:rPr>
        <w:t xml:space="preserve"> centres</w:t>
      </w:r>
      <w:r w:rsidRPr="00A30CB2">
        <w:rPr>
          <w:rStyle w:val="FootnoteReference"/>
          <w:rFonts w:eastAsia="Times New Roman" w:cs="Times New Roman"/>
          <w:noProof/>
        </w:rPr>
        <w:footnoteReference w:id="61"/>
      </w:r>
      <w:r w:rsidRPr="00A30CB2">
        <w:rPr>
          <w:rFonts w:eastAsia="Times New Roman" w:cs="Times New Roman"/>
          <w:noProof/>
          <w:color w:val="000000" w:themeColor="text1"/>
        </w:rPr>
        <w:t xml:space="preserve"> have </w:t>
      </w:r>
      <w:r w:rsidRPr="0035287A">
        <w:rPr>
          <w:noProof/>
        </w:rPr>
        <w:t>sufficient</w:t>
      </w:r>
      <w:r w:rsidRPr="004A582F">
        <w:rPr>
          <w:rFonts w:eastAsia="Times New Roman" w:cs="Times New Roman"/>
          <w:noProof/>
          <w:color w:val="000000" w:themeColor="text1"/>
        </w:rPr>
        <w:t xml:space="preserve"> and adequate human resources.</w:t>
      </w:r>
      <w:r w:rsidR="00F63958" w:rsidRPr="004A582F">
        <w:rPr>
          <w:rFonts w:eastAsia="Times New Roman" w:cs="Times New Roman"/>
          <w:noProof/>
          <w:color w:val="000000" w:themeColor="text1"/>
        </w:rPr>
        <w:t xml:space="preserve"> </w:t>
      </w:r>
      <w:r w:rsidR="00523B90" w:rsidRPr="004A582F">
        <w:rPr>
          <w:rFonts w:eastAsia="Times New Roman" w:cs="Times New Roman"/>
          <w:noProof/>
        </w:rPr>
        <w:t xml:space="preserve">Scrutinising national measures before they are adopted has shown to be particularly </w:t>
      </w:r>
      <w:r w:rsidR="00523B90" w:rsidRPr="00C36BC5">
        <w:rPr>
          <w:noProof/>
        </w:rPr>
        <w:t>effective</w:t>
      </w:r>
      <w:r w:rsidR="00523B90" w:rsidRPr="004A582F">
        <w:rPr>
          <w:rFonts w:eastAsia="Times New Roman" w:cs="Times New Roman"/>
          <w:noProof/>
        </w:rPr>
        <w:t xml:space="preserve"> to prevent conflicts with the Single Market rules. </w:t>
      </w:r>
      <w:bookmarkStart w:id="18" w:name="_Hlk129457721"/>
      <w:r w:rsidR="00A643EE" w:rsidRPr="004A582F">
        <w:rPr>
          <w:noProof/>
          <w:lang w:val="en-GB"/>
        </w:rPr>
        <w:t>SOLVIT has managed to solve more than 2000 cases in 2021</w:t>
      </w:r>
      <w:r w:rsidR="00CF63AF" w:rsidRPr="004A582F">
        <w:rPr>
          <w:rStyle w:val="FootnoteReference"/>
          <w:noProof/>
          <w:lang w:val="en-GB"/>
        </w:rPr>
        <w:footnoteReference w:id="62"/>
      </w:r>
      <w:r w:rsidR="00CF63AF" w:rsidRPr="004A582F">
        <w:rPr>
          <w:noProof/>
          <w:lang w:val="en-GB"/>
        </w:rPr>
        <w:t xml:space="preserve"> </w:t>
      </w:r>
      <w:r w:rsidR="00A643EE" w:rsidRPr="004A582F">
        <w:rPr>
          <w:noProof/>
          <w:lang w:val="en-GB"/>
        </w:rPr>
        <w:t xml:space="preserve">with the average resolution rate of 87%. </w:t>
      </w:r>
    </w:p>
    <w:bookmarkEnd w:id="18"/>
    <w:p w14:paraId="22FE413E" w14:textId="6C19F32C" w:rsidR="00523B90" w:rsidRDefault="00523B90" w:rsidP="00523B90">
      <w:pPr>
        <w:shd w:val="clear" w:color="auto" w:fill="FFFFFF" w:themeFill="background1"/>
        <w:jc w:val="both"/>
        <w:rPr>
          <w:rFonts w:eastAsia="Times New Roman" w:cs="Times New Roman"/>
          <w:noProof/>
        </w:rPr>
      </w:pPr>
      <w:r w:rsidRPr="00A30CB2">
        <w:rPr>
          <w:rFonts w:eastAsia="Times New Roman" w:cs="Times New Roman"/>
          <w:noProof/>
        </w:rPr>
        <w:t>The notification mechanism</w:t>
      </w:r>
      <w:r w:rsidRPr="00A30CB2">
        <w:rPr>
          <w:noProof/>
          <w:sz w:val="22"/>
        </w:rPr>
        <w:t xml:space="preserve"> </w:t>
      </w:r>
      <w:r w:rsidRPr="00A30CB2">
        <w:rPr>
          <w:rFonts w:eastAsia="Times New Roman" w:cs="Times New Roman"/>
          <w:noProof/>
        </w:rPr>
        <w:t xml:space="preserve">under </w:t>
      </w:r>
      <w:r w:rsidRPr="00A30CB2">
        <w:rPr>
          <w:rFonts w:eastAsia="Times New Roman" w:cs="Times New Roman"/>
          <w:b/>
          <w:bCs/>
          <w:noProof/>
        </w:rPr>
        <w:t>the Single Market Transparency Directive (SMTD notification system)</w:t>
      </w:r>
      <w:r w:rsidRPr="00A30CB2">
        <w:rPr>
          <w:rStyle w:val="FootnoteReference"/>
          <w:noProof/>
          <w:sz w:val="22"/>
        </w:rPr>
        <w:footnoteReference w:id="63"/>
      </w:r>
      <w:r w:rsidRPr="00A30CB2">
        <w:rPr>
          <w:rFonts w:eastAsia="Times New Roman" w:cs="Times New Roman"/>
          <w:noProof/>
        </w:rPr>
        <w:t xml:space="preserve"> has developed</w:t>
      </w:r>
      <w:r w:rsidRPr="00BB13D7">
        <w:rPr>
          <w:rFonts w:eastAsia="Times New Roman" w:cs="Times New Roman"/>
          <w:noProof/>
        </w:rPr>
        <w:t xml:space="preserve"> into a genuinely preventive tool, reinforcing dialogue and cooperation between Member States and the Commission at an early stage</w:t>
      </w:r>
      <w:r>
        <w:rPr>
          <w:rFonts w:eastAsia="Times New Roman" w:cs="Times New Roman"/>
          <w:noProof/>
        </w:rPr>
        <w:t xml:space="preserve">, </w:t>
      </w:r>
      <w:r w:rsidRPr="00AB2AAB">
        <w:rPr>
          <w:rFonts w:eastAsia="Times New Roman" w:cs="Times New Roman"/>
          <w:noProof/>
        </w:rPr>
        <w:t xml:space="preserve">for instance </w:t>
      </w:r>
      <w:r>
        <w:rPr>
          <w:rFonts w:eastAsia="Times New Roman" w:cs="Times New Roman"/>
          <w:noProof/>
        </w:rPr>
        <w:t xml:space="preserve">with respect to </w:t>
      </w:r>
      <w:r w:rsidRPr="00AB2AAB">
        <w:rPr>
          <w:rFonts w:eastAsia="Times New Roman" w:cs="Times New Roman"/>
          <w:noProof/>
        </w:rPr>
        <w:t>low-emission transport or recycling and reducing waste</w:t>
      </w:r>
      <w:r w:rsidRPr="00BB13D7">
        <w:rPr>
          <w:rFonts w:eastAsia="Times New Roman" w:cs="Times New Roman"/>
          <w:noProof/>
        </w:rPr>
        <w:t>.</w:t>
      </w:r>
      <w:r w:rsidRPr="6080B98C">
        <w:rPr>
          <w:rFonts w:eastAsia="Times New Roman" w:cs="Times New Roman"/>
          <w:noProof/>
        </w:rPr>
        <w:t xml:space="preserve"> </w:t>
      </w:r>
    </w:p>
    <w:p w14:paraId="0D9AA680" w14:textId="6E6212E0" w:rsidR="004B44E7" w:rsidRDefault="004B44E7" w:rsidP="25755A6E">
      <w:pPr>
        <w:shd w:val="clear" w:color="auto" w:fill="FFFFFF" w:themeFill="background1"/>
        <w:jc w:val="both"/>
        <w:rPr>
          <w:noProof/>
        </w:rPr>
      </w:pPr>
      <w:r>
        <w:rPr>
          <w:rFonts w:eastAsia="Times New Roman" w:cs="Times New Roman"/>
          <w:noProof/>
        </w:rPr>
        <w:t xml:space="preserve">In order to </w:t>
      </w:r>
      <w:r w:rsidR="00A15347">
        <w:rPr>
          <w:rFonts w:eastAsia="Times New Roman" w:cs="Times New Roman"/>
          <w:noProof/>
        </w:rPr>
        <w:t>i</w:t>
      </w:r>
      <w:r w:rsidR="00E97B6F">
        <w:rPr>
          <w:rFonts w:eastAsia="Times New Roman" w:cs="Times New Roman"/>
          <w:noProof/>
        </w:rPr>
        <w:t xml:space="preserve">mprove </w:t>
      </w:r>
      <w:r>
        <w:rPr>
          <w:rFonts w:eastAsia="Times New Roman" w:cs="Times New Roman"/>
          <w:noProof/>
        </w:rPr>
        <w:t xml:space="preserve">compliance with Single Market rules, </w:t>
      </w:r>
      <w:r>
        <w:rPr>
          <w:rFonts w:eastAsia="Times New Roman" w:cs="Times New Roman"/>
          <w:noProof/>
          <w:lang w:val="en-US"/>
        </w:rPr>
        <w:t>t</w:t>
      </w:r>
      <w:r>
        <w:rPr>
          <w:noProof/>
        </w:rPr>
        <w:t>he Commission intends</w:t>
      </w:r>
      <w:r w:rsidRPr="008C1F62">
        <w:rPr>
          <w:noProof/>
        </w:rPr>
        <w:t xml:space="preserve"> to </w:t>
      </w:r>
      <w:r w:rsidRPr="006A6D1A">
        <w:rPr>
          <w:b/>
          <w:bCs/>
          <w:noProof/>
        </w:rPr>
        <w:t>simplify the notification obligations of Member States by setting up a single notification entry point</w:t>
      </w:r>
      <w:r>
        <w:rPr>
          <w:noProof/>
        </w:rPr>
        <w:t xml:space="preserve"> for Single Market notifications.</w:t>
      </w:r>
      <w:r w:rsidRPr="25755A6E">
        <w:rPr>
          <w:noProof/>
        </w:rPr>
        <w:t xml:space="preserve"> </w:t>
      </w:r>
      <w:r>
        <w:rPr>
          <w:noProof/>
        </w:rPr>
        <w:t>Whereas Member States currently have to use a variety of</w:t>
      </w:r>
      <w:r w:rsidRPr="25755A6E">
        <w:rPr>
          <w:noProof/>
        </w:rPr>
        <w:t xml:space="preserve"> </w:t>
      </w:r>
      <w:r>
        <w:rPr>
          <w:noProof/>
        </w:rPr>
        <w:t xml:space="preserve">notification </w:t>
      </w:r>
      <w:r w:rsidRPr="008C1F62">
        <w:rPr>
          <w:noProof/>
        </w:rPr>
        <w:t>tools</w:t>
      </w:r>
      <w:r w:rsidRPr="25755A6E">
        <w:rPr>
          <w:noProof/>
        </w:rPr>
        <w:t>,</w:t>
      </w:r>
      <w:r w:rsidRPr="008C1F62">
        <w:rPr>
          <w:noProof/>
        </w:rPr>
        <w:t xml:space="preserve"> set up under different pieces of </w:t>
      </w:r>
      <w:r>
        <w:rPr>
          <w:noProof/>
        </w:rPr>
        <w:t xml:space="preserve">Single Market </w:t>
      </w:r>
      <w:r w:rsidRPr="008C1F62">
        <w:rPr>
          <w:noProof/>
        </w:rPr>
        <w:t>legislation</w:t>
      </w:r>
      <w:r>
        <w:rPr>
          <w:noProof/>
        </w:rPr>
        <w:t>, a</w:t>
      </w:r>
      <w:r w:rsidRPr="008C1F62">
        <w:rPr>
          <w:noProof/>
        </w:rPr>
        <w:t xml:space="preserve"> Single Notification Window</w:t>
      </w:r>
      <w:r>
        <w:rPr>
          <w:noProof/>
        </w:rPr>
        <w:t xml:space="preserve"> will enable Member States</w:t>
      </w:r>
      <w:r w:rsidRPr="008C1F62">
        <w:rPr>
          <w:noProof/>
        </w:rPr>
        <w:t xml:space="preserve"> to finalise all notifications in one place. </w:t>
      </w:r>
    </w:p>
    <w:p w14:paraId="4DB00142" w14:textId="58145709" w:rsidR="00A15347" w:rsidRPr="0035287A" w:rsidRDefault="00F10366" w:rsidP="00A15347">
      <w:pPr>
        <w:shd w:val="clear" w:color="auto" w:fill="FFFFFF" w:themeFill="background1"/>
        <w:jc w:val="both"/>
        <w:rPr>
          <w:noProof/>
        </w:rPr>
      </w:pPr>
      <w:r w:rsidRPr="00035D37">
        <w:rPr>
          <w:rFonts w:eastAsia="Times New Roman" w:cs="Times New Roman"/>
          <w:noProof/>
        </w:rPr>
        <w:t xml:space="preserve">In the area of services, </w:t>
      </w:r>
      <w:r w:rsidR="00835C1F" w:rsidRPr="00CE12F6">
        <w:rPr>
          <w:rFonts w:eastAsia="Times New Roman" w:cs="Times New Roman"/>
          <w:noProof/>
        </w:rPr>
        <w:t>t</w:t>
      </w:r>
      <w:r w:rsidR="00835C1F" w:rsidRPr="00CE12F6">
        <w:rPr>
          <w:noProof/>
        </w:rPr>
        <w:t xml:space="preserve">he Commission is also launching a priority process of addressing jointly with </w:t>
      </w:r>
      <w:r w:rsidR="00835C1F" w:rsidRPr="00372653">
        <w:rPr>
          <w:b/>
          <w:noProof/>
        </w:rPr>
        <w:t xml:space="preserve">Member States </w:t>
      </w:r>
      <w:r w:rsidR="00AE562F" w:rsidRPr="00372653">
        <w:rPr>
          <w:b/>
          <w:noProof/>
        </w:rPr>
        <w:t>b</w:t>
      </w:r>
      <w:r w:rsidR="00835C1F" w:rsidRPr="000C4904">
        <w:rPr>
          <w:b/>
          <w:noProof/>
        </w:rPr>
        <w:t>arriers</w:t>
      </w:r>
      <w:r w:rsidR="00AE562F" w:rsidRPr="000C4904">
        <w:rPr>
          <w:b/>
          <w:noProof/>
        </w:rPr>
        <w:t xml:space="preserve"> to free movement of services</w:t>
      </w:r>
      <w:r w:rsidR="00835C1F" w:rsidRPr="000C4904">
        <w:rPr>
          <w:b/>
          <w:noProof/>
        </w:rPr>
        <w:t xml:space="preserve"> in industrial ecosystems</w:t>
      </w:r>
      <w:r w:rsidR="00835C1F" w:rsidRPr="00194DC5">
        <w:rPr>
          <w:b/>
          <w:noProof/>
        </w:rPr>
        <w:t xml:space="preserve"> with a high services content</w:t>
      </w:r>
      <w:r w:rsidR="00835C1F" w:rsidRPr="5E3FD82A">
        <w:rPr>
          <w:noProof/>
        </w:rPr>
        <w:t xml:space="preserve"> </w:t>
      </w:r>
      <w:r w:rsidR="00A15347" w:rsidRPr="00636FC1">
        <w:rPr>
          <w:noProof/>
        </w:rPr>
        <w:t>which have</w:t>
      </w:r>
      <w:r w:rsidR="00835C1F" w:rsidRPr="00636FC1">
        <w:rPr>
          <w:noProof/>
        </w:rPr>
        <w:t xml:space="preserve"> not reached their potential of cross-border trade</w:t>
      </w:r>
      <w:r w:rsidR="00A15347" w:rsidRPr="00636FC1">
        <w:rPr>
          <w:noProof/>
        </w:rPr>
        <w:t xml:space="preserve">. These </w:t>
      </w:r>
      <w:r w:rsidR="00A15347" w:rsidRPr="0035287A">
        <w:rPr>
          <w:noProof/>
        </w:rPr>
        <w:t>ecosystems are</w:t>
      </w:r>
      <w:r w:rsidR="00835C1F" w:rsidRPr="0035287A">
        <w:rPr>
          <w:noProof/>
        </w:rPr>
        <w:t xml:space="preserve"> </w:t>
      </w:r>
      <w:r w:rsidR="00A15347" w:rsidRPr="0035287A">
        <w:rPr>
          <w:noProof/>
        </w:rPr>
        <w:t>in particular</w:t>
      </w:r>
      <w:r w:rsidR="00835C1F" w:rsidRPr="0035287A">
        <w:rPr>
          <w:noProof/>
        </w:rPr>
        <w:t xml:space="preserve"> construction, retail, tourism and business services</w:t>
      </w:r>
      <w:r w:rsidR="00A15347" w:rsidRPr="0035287A">
        <w:rPr>
          <w:noProof/>
        </w:rPr>
        <w:t>.</w:t>
      </w:r>
      <w:r w:rsidR="00530A33" w:rsidRPr="0035287A">
        <w:rPr>
          <w:noProof/>
        </w:rPr>
        <w:t xml:space="preserve"> </w:t>
      </w:r>
    </w:p>
    <w:p w14:paraId="743C3493" w14:textId="38ADFB12" w:rsidR="00EA1F46" w:rsidRDefault="00C33A5B" w:rsidP="00EA1F46">
      <w:pPr>
        <w:jc w:val="both"/>
        <w:rPr>
          <w:rFonts w:ascii="Arial" w:hAnsi="Arial" w:cs="Arial"/>
          <w:noProof/>
          <w:color w:val="000080"/>
          <w:sz w:val="22"/>
          <w:lang w:val="en-US"/>
        </w:rPr>
      </w:pPr>
      <w:bookmarkStart w:id="19" w:name="_Hlk129458174"/>
      <w:r w:rsidRPr="00C33A5B">
        <w:rPr>
          <w:bCs/>
          <w:iCs/>
          <w:noProof/>
        </w:rPr>
        <w:t xml:space="preserve">Many barriers are not intended as such – they are often simply the outcome of different ways of doing things, devised at different times in different Member States, focused on national or local considerations. They may not be clearly contrary to the Treaty or to harmonised rules. However, they can still significantly impede cross-border business. Moreover, despite the benefits we can all derive from smoother exchanges, powerful vested interests, other more politically visible priorities and/or the simple force of inertia may stand in the way of practical solutions. The Commission cannot be the sole voice of the interest of the Single Market, acting through its enforcement and convening powers. The Single Market also needs a dedicated voice within national administrations. </w:t>
      </w:r>
      <w:r w:rsidR="00EA1F46" w:rsidRPr="0035287A">
        <w:rPr>
          <w:bCs/>
          <w:iCs/>
          <w:noProof/>
        </w:rPr>
        <w:t>The Commission</w:t>
      </w:r>
      <w:r>
        <w:rPr>
          <w:noProof/>
        </w:rPr>
        <w:t xml:space="preserve"> therefore</w:t>
      </w:r>
      <w:r w:rsidR="00EA1F46" w:rsidRPr="0035287A">
        <w:rPr>
          <w:bCs/>
          <w:iCs/>
          <w:noProof/>
        </w:rPr>
        <w:t xml:space="preserve"> </w:t>
      </w:r>
      <w:r w:rsidR="00EA1F46" w:rsidRPr="0035287A">
        <w:rPr>
          <w:noProof/>
          <w:lang w:val="en-US"/>
        </w:rPr>
        <w:t xml:space="preserve">proposes to </w:t>
      </w:r>
      <w:r w:rsidR="00287D26" w:rsidRPr="0035287A">
        <w:rPr>
          <w:noProof/>
          <w:lang w:val="en-US"/>
        </w:rPr>
        <w:t xml:space="preserve">each </w:t>
      </w:r>
      <w:r w:rsidR="00EA1F46" w:rsidRPr="0035287A">
        <w:rPr>
          <w:noProof/>
          <w:lang w:val="en-US"/>
        </w:rPr>
        <w:t xml:space="preserve">Member State </w:t>
      </w:r>
      <w:r w:rsidR="0035287A" w:rsidRPr="0035287A">
        <w:rPr>
          <w:noProof/>
          <w:lang w:val="en-US"/>
        </w:rPr>
        <w:t xml:space="preserve">to </w:t>
      </w:r>
      <w:r w:rsidR="00D572D4">
        <w:rPr>
          <w:noProof/>
        </w:rPr>
        <w:t>establish</w:t>
      </w:r>
      <w:r w:rsidR="00D572D4" w:rsidRPr="0035287A">
        <w:rPr>
          <w:noProof/>
          <w:lang w:val="en-US"/>
        </w:rPr>
        <w:t xml:space="preserve"> </w:t>
      </w:r>
      <w:r w:rsidR="00D572D4" w:rsidRPr="0035287A">
        <w:rPr>
          <w:noProof/>
        </w:rPr>
        <w:t>a</w:t>
      </w:r>
      <w:r w:rsidR="00290010" w:rsidRPr="0035287A">
        <w:rPr>
          <w:noProof/>
          <w:lang w:val="en-US"/>
        </w:rPr>
        <w:t xml:space="preserve"> </w:t>
      </w:r>
      <w:r>
        <w:rPr>
          <w:noProof/>
        </w:rPr>
        <w:t xml:space="preserve">dedicated </w:t>
      </w:r>
      <w:r w:rsidR="00EA1F46" w:rsidRPr="0035287A">
        <w:rPr>
          <w:b/>
          <w:bCs/>
          <w:noProof/>
          <w:lang w:val="en-US"/>
        </w:rPr>
        <w:t xml:space="preserve">Single Market </w:t>
      </w:r>
      <w:r w:rsidR="00290010" w:rsidRPr="0035287A">
        <w:rPr>
          <w:b/>
          <w:bCs/>
          <w:noProof/>
          <w:lang w:val="en-US"/>
        </w:rPr>
        <w:t xml:space="preserve">Office </w:t>
      </w:r>
      <w:r w:rsidR="0035287A" w:rsidRPr="0035287A">
        <w:rPr>
          <w:b/>
          <w:bCs/>
          <w:noProof/>
          <w:lang w:val="en-US"/>
        </w:rPr>
        <w:t xml:space="preserve">to address Single Market barriers.  </w:t>
      </w:r>
      <w:r w:rsidR="0035287A" w:rsidRPr="0035287A">
        <w:rPr>
          <w:bCs/>
          <w:noProof/>
          <w:lang w:val="en-US"/>
        </w:rPr>
        <w:t xml:space="preserve">Such office should have </w:t>
      </w:r>
      <w:r w:rsidR="0035287A">
        <w:rPr>
          <w:bCs/>
          <w:noProof/>
          <w:lang w:val="en-US"/>
        </w:rPr>
        <w:t xml:space="preserve">a </w:t>
      </w:r>
      <w:r w:rsidR="0035287A" w:rsidRPr="0035287A">
        <w:rPr>
          <w:bCs/>
          <w:noProof/>
          <w:lang w:val="en-US"/>
        </w:rPr>
        <w:t>senior leadership and appropriate</w:t>
      </w:r>
      <w:r w:rsidR="0035287A" w:rsidRPr="0035287A">
        <w:rPr>
          <w:b/>
          <w:bCs/>
          <w:noProof/>
          <w:lang w:val="en-US"/>
        </w:rPr>
        <w:t xml:space="preserve"> </w:t>
      </w:r>
      <w:r w:rsidR="0035287A" w:rsidRPr="009E4B57">
        <w:rPr>
          <w:bCs/>
          <w:noProof/>
          <w:lang w:val="en-US"/>
        </w:rPr>
        <w:t>resources</w:t>
      </w:r>
      <w:r>
        <w:rPr>
          <w:noProof/>
        </w:rPr>
        <w:t>,</w:t>
      </w:r>
      <w:r w:rsidRPr="00C33A5B">
        <w:rPr>
          <w:noProof/>
        </w:rPr>
        <w:t xml:space="preserve"> and a standing brief to proactively raise issues and propose solutions within the national decision-making system</w:t>
      </w:r>
      <w:r>
        <w:rPr>
          <w:rStyle w:val="FootnoteReference"/>
          <w:bCs/>
          <w:noProof/>
          <w:lang w:val="en-US"/>
        </w:rPr>
        <w:footnoteReference w:id="64"/>
      </w:r>
      <w:r w:rsidR="0035287A" w:rsidRPr="009E4B57">
        <w:rPr>
          <w:bCs/>
          <w:noProof/>
          <w:lang w:val="en-US"/>
        </w:rPr>
        <w:t xml:space="preserve">. </w:t>
      </w:r>
      <w:r w:rsidR="00EA1F46" w:rsidRPr="009E4B57">
        <w:rPr>
          <w:bCs/>
          <w:iCs/>
          <w:noProof/>
        </w:rPr>
        <w:t>This</w:t>
      </w:r>
      <w:r w:rsidR="00EA1F46" w:rsidRPr="0035287A">
        <w:rPr>
          <w:bCs/>
          <w:iCs/>
          <w:noProof/>
        </w:rPr>
        <w:t xml:space="preserve"> </w:t>
      </w:r>
      <w:r w:rsidR="00290010" w:rsidRPr="0035287A">
        <w:rPr>
          <w:bCs/>
          <w:iCs/>
          <w:noProof/>
        </w:rPr>
        <w:t>work would be complementary to collaborative tools such as SOLVIT and SMET</w:t>
      </w:r>
      <w:r w:rsidR="00287D26" w:rsidRPr="0035287A">
        <w:rPr>
          <w:bCs/>
          <w:iCs/>
          <w:noProof/>
        </w:rPr>
        <w:t xml:space="preserve"> and could contribute in particular </w:t>
      </w:r>
      <w:r w:rsidR="00B575F3" w:rsidRPr="0035287A">
        <w:rPr>
          <w:bCs/>
          <w:iCs/>
          <w:noProof/>
        </w:rPr>
        <w:t>to address</w:t>
      </w:r>
      <w:r w:rsidR="00575514">
        <w:rPr>
          <w:bCs/>
          <w:iCs/>
          <w:noProof/>
        </w:rPr>
        <w:t>ing</w:t>
      </w:r>
      <w:r w:rsidR="00B575F3" w:rsidRPr="0035287A">
        <w:rPr>
          <w:bCs/>
          <w:iCs/>
          <w:noProof/>
        </w:rPr>
        <w:t xml:space="preserve"> </w:t>
      </w:r>
      <w:r w:rsidR="0035287A" w:rsidRPr="0035287A">
        <w:rPr>
          <w:bCs/>
          <w:iCs/>
          <w:noProof/>
        </w:rPr>
        <w:t xml:space="preserve">remaining </w:t>
      </w:r>
      <w:r w:rsidR="00B575F3" w:rsidRPr="0035287A">
        <w:rPr>
          <w:bCs/>
          <w:iCs/>
          <w:noProof/>
        </w:rPr>
        <w:t xml:space="preserve">barriers for </w:t>
      </w:r>
      <w:r w:rsidR="00EA1F46" w:rsidRPr="0035287A">
        <w:rPr>
          <w:bCs/>
          <w:iCs/>
          <w:noProof/>
        </w:rPr>
        <w:t>services.</w:t>
      </w:r>
    </w:p>
    <w:bookmarkEnd w:id="19"/>
    <w:p w14:paraId="26085639" w14:textId="77777777" w:rsidR="00EF2622" w:rsidRDefault="00EF2622" w:rsidP="00EF2622">
      <w:pPr>
        <w:shd w:val="clear" w:color="auto" w:fill="FFFFFF" w:themeFill="background1"/>
        <w:jc w:val="both"/>
        <w:rPr>
          <w:rStyle w:val="CommentReference"/>
          <w:noProof/>
        </w:rPr>
      </w:pPr>
      <w:r w:rsidRPr="00A30CB2">
        <w:rPr>
          <w:b/>
          <w:bCs/>
          <w:noProof/>
        </w:rPr>
        <w:t>Preventing</w:t>
      </w:r>
      <w:r w:rsidRPr="00A30CB2">
        <w:rPr>
          <w:rFonts w:eastAsia="Times New Roman" w:cs="Times New Roman"/>
          <w:b/>
          <w:bCs/>
          <w:noProof/>
        </w:rPr>
        <w:t xml:space="preserve"> new trade barriers</w:t>
      </w:r>
      <w:r w:rsidRPr="00A30CB2">
        <w:rPr>
          <w:rFonts w:eastAsia="Times New Roman" w:cs="Times New Roman"/>
          <w:noProof/>
        </w:rPr>
        <w:t xml:space="preserve"> from emerging is extremely important and is especially relevant in the services sector, where the diversity of national regulation and strong vested interests have limited the ability to achieve greater integration in the</w:t>
      </w:r>
      <w:r w:rsidRPr="00FC2FE2">
        <w:rPr>
          <w:rFonts w:eastAsia="Times New Roman" w:cs="Times New Roman"/>
          <w:noProof/>
        </w:rPr>
        <w:t xml:space="preserve"> Single Market. </w:t>
      </w:r>
      <w:r w:rsidRPr="00FC2FE2">
        <w:rPr>
          <w:noProof/>
        </w:rPr>
        <w:t xml:space="preserve">The </w:t>
      </w:r>
      <w:r w:rsidRPr="00EF29D7">
        <w:rPr>
          <w:b/>
          <w:bCs/>
          <w:noProof/>
        </w:rPr>
        <w:t>Services Directive</w:t>
      </w:r>
      <w:r w:rsidRPr="25755A6E">
        <w:rPr>
          <w:noProof/>
        </w:rPr>
        <w:t xml:space="preserve"> </w:t>
      </w:r>
      <w:r>
        <w:rPr>
          <w:noProof/>
        </w:rPr>
        <w:t>requires</w:t>
      </w:r>
      <w:r w:rsidRPr="00FC2FE2">
        <w:rPr>
          <w:noProof/>
        </w:rPr>
        <w:t xml:space="preserve"> Member States to ensure that new regulations which they introduce are justified and proportionate, namely as regards restrictions such as territorial limitations, company ownership rules or fixed tariffs. The Services Directive also </w:t>
      </w:r>
      <w:r>
        <w:rPr>
          <w:noProof/>
        </w:rPr>
        <w:t>obliges</w:t>
      </w:r>
      <w:r w:rsidRPr="00FC2FE2">
        <w:rPr>
          <w:noProof/>
        </w:rPr>
        <w:t xml:space="preserve"> Member States to notify such new requirements to the Commission and the other Member States</w:t>
      </w:r>
      <w:r>
        <w:rPr>
          <w:noProof/>
        </w:rPr>
        <w:t xml:space="preserve">. </w:t>
      </w:r>
    </w:p>
    <w:p w14:paraId="38AAAD35" w14:textId="0869CF26" w:rsidR="004B4CE1" w:rsidRPr="00607B90" w:rsidRDefault="1BAAAC65" w:rsidP="00A15347">
      <w:pPr>
        <w:shd w:val="clear" w:color="auto" w:fill="FFFFFF" w:themeFill="background1"/>
        <w:jc w:val="both"/>
        <w:rPr>
          <w:noProof/>
          <w:szCs w:val="24"/>
        </w:rPr>
      </w:pPr>
      <w:r w:rsidRPr="00035D37">
        <w:rPr>
          <w:noProof/>
        </w:rPr>
        <w:t xml:space="preserve">Moreover, since 2020, the </w:t>
      </w:r>
      <w:r w:rsidRPr="00372653">
        <w:rPr>
          <w:b/>
          <w:noProof/>
        </w:rPr>
        <w:t>Proportionality Test Directive</w:t>
      </w:r>
      <w:r w:rsidRPr="00CE12F6">
        <w:rPr>
          <w:noProof/>
        </w:rPr>
        <w:t xml:space="preserve"> has provided a framework for Member States to assess and explain why </w:t>
      </w:r>
      <w:r w:rsidR="007F2A69" w:rsidRPr="00CE12F6">
        <w:rPr>
          <w:noProof/>
        </w:rPr>
        <w:t xml:space="preserve">any new </w:t>
      </w:r>
      <w:r w:rsidRPr="00CE12F6">
        <w:rPr>
          <w:noProof/>
        </w:rPr>
        <w:t>national rules are non-discriminatory and proportionate before they ente</w:t>
      </w:r>
      <w:r w:rsidRPr="00636FC1">
        <w:rPr>
          <w:noProof/>
        </w:rPr>
        <w:t xml:space="preserve">r into force. However, it only applies to part of the services </w:t>
      </w:r>
      <w:r w:rsidRPr="00A15347">
        <w:rPr>
          <w:noProof/>
        </w:rPr>
        <w:t>economy</w:t>
      </w:r>
      <w:r w:rsidRPr="00CE12F6">
        <w:rPr>
          <w:noProof/>
        </w:rPr>
        <w:t xml:space="preserve">, namely </w:t>
      </w:r>
      <w:r w:rsidR="004C4985" w:rsidRPr="00CE12F6">
        <w:rPr>
          <w:noProof/>
        </w:rPr>
        <w:t>regulated professional services. The Commission intends to explore together with Member States how to make best use of this framework for services at large and not just professions. It will do so by adapting the Services Directive notification tool and providing additional targeted guidance to Member States for applying these proportionality criteria. This will contribute significantly to better and less restrictive regulation and avoid recourse to costly and unnecessarily confrontational ex-post enforcement.</w:t>
      </w:r>
    </w:p>
    <w:p w14:paraId="5196A142" w14:textId="06647862" w:rsidR="007A1851" w:rsidRPr="00A30CB2" w:rsidRDefault="004F6C28">
      <w:pPr>
        <w:jc w:val="both"/>
        <w:rPr>
          <w:noProof/>
          <w:sz w:val="22"/>
        </w:rPr>
      </w:pPr>
      <w:bookmarkStart w:id="20" w:name="_Hlk129276626"/>
      <w:r>
        <w:rPr>
          <w:noProof/>
        </w:rPr>
        <w:t>A</w:t>
      </w:r>
      <w:r w:rsidR="00F10366" w:rsidRPr="00FC2FE2">
        <w:rPr>
          <w:noProof/>
        </w:rPr>
        <w:t xml:space="preserve"> large group of Member States </w:t>
      </w:r>
      <w:r w:rsidR="00370DCF">
        <w:rPr>
          <w:noProof/>
        </w:rPr>
        <w:t xml:space="preserve">has </w:t>
      </w:r>
      <w:r w:rsidR="00F10366" w:rsidRPr="00FC2FE2">
        <w:rPr>
          <w:noProof/>
        </w:rPr>
        <w:t xml:space="preserve">started working together with the Commission with </w:t>
      </w:r>
      <w:r w:rsidR="00370DCF">
        <w:rPr>
          <w:noProof/>
        </w:rPr>
        <w:t>a view</w:t>
      </w:r>
      <w:r w:rsidR="00F10366" w:rsidRPr="00FC2FE2">
        <w:rPr>
          <w:noProof/>
        </w:rPr>
        <w:t xml:space="preserve"> to voluntarily introduc</w:t>
      </w:r>
      <w:r w:rsidR="00370DCF">
        <w:rPr>
          <w:noProof/>
        </w:rPr>
        <w:t>ing</w:t>
      </w:r>
      <w:r w:rsidR="00F10366" w:rsidRPr="00FC2FE2">
        <w:rPr>
          <w:noProof/>
        </w:rPr>
        <w:t xml:space="preserve"> a </w:t>
      </w:r>
      <w:r w:rsidR="00F10366" w:rsidRPr="00FC2FE2">
        <w:rPr>
          <w:b/>
          <w:bCs/>
          <w:noProof/>
        </w:rPr>
        <w:t>common e-declaration for posted workers</w:t>
      </w:r>
      <w:r w:rsidR="00BF26D3" w:rsidRPr="00061A12">
        <w:rPr>
          <w:rStyle w:val="FootnoteReference"/>
          <w:noProof/>
        </w:rPr>
        <w:footnoteReference w:id="65"/>
      </w:r>
      <w:r w:rsidR="00106B23" w:rsidRPr="02B285FE">
        <w:rPr>
          <w:noProof/>
        </w:rPr>
        <w:t>.</w:t>
      </w:r>
      <w:r w:rsidR="00A15347">
        <w:rPr>
          <w:noProof/>
        </w:rPr>
        <w:t xml:space="preserve"> The </w:t>
      </w:r>
      <w:r w:rsidR="008F446B">
        <w:rPr>
          <w:noProof/>
        </w:rPr>
        <w:t xml:space="preserve">Commission </w:t>
      </w:r>
      <w:r>
        <w:rPr>
          <w:noProof/>
        </w:rPr>
        <w:t>urges</w:t>
      </w:r>
      <w:r w:rsidR="008F446B">
        <w:rPr>
          <w:noProof/>
        </w:rPr>
        <w:t xml:space="preserve"> all Member States to </w:t>
      </w:r>
      <w:r w:rsidR="008F446B" w:rsidRPr="00A30CB2">
        <w:rPr>
          <w:noProof/>
        </w:rPr>
        <w:t>work towards</w:t>
      </w:r>
      <w:r w:rsidRPr="00A30CB2">
        <w:rPr>
          <w:noProof/>
        </w:rPr>
        <w:t xml:space="preserve"> finali</w:t>
      </w:r>
      <w:r w:rsidR="005A5771" w:rsidRPr="00A30CB2">
        <w:rPr>
          <w:noProof/>
        </w:rPr>
        <w:t>s</w:t>
      </w:r>
      <w:r w:rsidRPr="00A30CB2">
        <w:rPr>
          <w:noProof/>
        </w:rPr>
        <w:t>ing their work by end</w:t>
      </w:r>
      <w:r w:rsidR="00A552D0" w:rsidRPr="00A30CB2">
        <w:rPr>
          <w:noProof/>
        </w:rPr>
        <w:t xml:space="preserve"> of</w:t>
      </w:r>
      <w:r w:rsidR="008F446B" w:rsidRPr="00A30CB2">
        <w:rPr>
          <w:noProof/>
        </w:rPr>
        <w:t xml:space="preserve"> 2023. </w:t>
      </w:r>
    </w:p>
    <w:bookmarkEnd w:id="20"/>
    <w:p w14:paraId="6D800F9D" w14:textId="77777777" w:rsidR="00B575F3" w:rsidRPr="009E4B57" w:rsidRDefault="009B493B" w:rsidP="00B575F3">
      <w:pPr>
        <w:jc w:val="both"/>
        <w:rPr>
          <w:noProof/>
        </w:rPr>
      </w:pPr>
      <w:r w:rsidRPr="00A30CB2">
        <w:rPr>
          <w:noProof/>
        </w:rPr>
        <w:t xml:space="preserve">A </w:t>
      </w:r>
      <w:r w:rsidRPr="00A30CB2">
        <w:rPr>
          <w:b/>
          <w:noProof/>
        </w:rPr>
        <w:t>renewed political commitment</w:t>
      </w:r>
      <w:r w:rsidRPr="00A30CB2">
        <w:rPr>
          <w:noProof/>
        </w:rPr>
        <w:t xml:space="preserve"> at all levels is needed to enhance application and enforcement of Single Market rules and </w:t>
      </w:r>
      <w:r w:rsidR="007F2A69" w:rsidRPr="00A30CB2">
        <w:rPr>
          <w:noProof/>
        </w:rPr>
        <w:t xml:space="preserve">to </w:t>
      </w:r>
      <w:r w:rsidRPr="00A30CB2">
        <w:rPr>
          <w:noProof/>
        </w:rPr>
        <w:t>deliver on previous commitments</w:t>
      </w:r>
      <w:r w:rsidRPr="00A30CB2">
        <w:rPr>
          <w:rStyle w:val="FootnoteReference"/>
          <w:noProof/>
        </w:rPr>
        <w:footnoteReference w:id="66"/>
      </w:r>
      <w:r w:rsidRPr="00A30CB2">
        <w:rPr>
          <w:noProof/>
        </w:rPr>
        <w:t xml:space="preserve">. </w:t>
      </w:r>
      <w:r w:rsidR="00B575F3" w:rsidRPr="00A30CB2">
        <w:rPr>
          <w:noProof/>
        </w:rPr>
        <w:t>The Commission will regularly</w:t>
      </w:r>
      <w:r w:rsidR="00B575F3" w:rsidRPr="00761B15">
        <w:rPr>
          <w:noProof/>
        </w:rPr>
        <w:t xml:space="preserve"> bring the </w:t>
      </w:r>
      <w:r w:rsidR="00B575F3" w:rsidRPr="00372653">
        <w:rPr>
          <w:b/>
          <w:noProof/>
        </w:rPr>
        <w:t xml:space="preserve">results of the Single Market Scoreboard </w:t>
      </w:r>
      <w:r w:rsidR="00B575F3" w:rsidRPr="00761B15">
        <w:rPr>
          <w:b/>
          <w:bCs/>
          <w:noProof/>
        </w:rPr>
        <w:t xml:space="preserve">to the attention of national authorities responsible for the </w:t>
      </w:r>
      <w:r w:rsidR="00B575F3">
        <w:rPr>
          <w:b/>
          <w:bCs/>
          <w:noProof/>
        </w:rPr>
        <w:t>Single</w:t>
      </w:r>
      <w:r w:rsidR="00B575F3" w:rsidRPr="00761B15">
        <w:rPr>
          <w:b/>
          <w:bCs/>
          <w:noProof/>
        </w:rPr>
        <w:t xml:space="preserve"> </w:t>
      </w:r>
      <w:r w:rsidR="00B575F3">
        <w:rPr>
          <w:b/>
          <w:bCs/>
          <w:noProof/>
        </w:rPr>
        <w:t>M</w:t>
      </w:r>
      <w:r w:rsidR="00B575F3" w:rsidRPr="00761B15">
        <w:rPr>
          <w:b/>
          <w:bCs/>
          <w:noProof/>
        </w:rPr>
        <w:t>arket</w:t>
      </w:r>
      <w:r w:rsidR="00B575F3" w:rsidRPr="00761B15">
        <w:rPr>
          <w:noProof/>
        </w:rPr>
        <w:t xml:space="preserve">, notably in the </w:t>
      </w:r>
      <w:r w:rsidR="00B575F3" w:rsidRPr="000D5887">
        <w:rPr>
          <w:noProof/>
        </w:rPr>
        <w:t xml:space="preserve">Competitiveness Council. The discussion should assess progress on achieving the targets, identify potential additional action in order to </w:t>
      </w:r>
      <w:r w:rsidR="00B575F3" w:rsidRPr="009E4B57">
        <w:rPr>
          <w:noProof/>
        </w:rPr>
        <w:t>improve Member States’ performance in enforcing Single Market rules and reducing unnecessary and disproportionate barriers.</w:t>
      </w:r>
    </w:p>
    <w:p w14:paraId="701DF0CD" w14:textId="1E5AFD06" w:rsidR="009B493B" w:rsidRPr="009E4B57" w:rsidRDefault="009B493B" w:rsidP="007A1851">
      <w:pPr>
        <w:jc w:val="both"/>
        <w:rPr>
          <w:noProof/>
        </w:rPr>
      </w:pPr>
      <w:r w:rsidRPr="009E4B57">
        <w:rPr>
          <w:b/>
          <w:noProof/>
        </w:rPr>
        <w:t xml:space="preserve">The Commission </w:t>
      </w:r>
      <w:r w:rsidR="009E4B57" w:rsidRPr="009E4B57">
        <w:rPr>
          <w:b/>
          <w:noProof/>
        </w:rPr>
        <w:t>refers to its previous call</w:t>
      </w:r>
      <w:r w:rsidRPr="009E4B57">
        <w:rPr>
          <w:b/>
          <w:noProof/>
        </w:rPr>
        <w:t xml:space="preserve"> on the Member States </w:t>
      </w:r>
      <w:r w:rsidRPr="00280816">
        <w:rPr>
          <w:noProof/>
        </w:rPr>
        <w:t>to commit to limiting the transposition deficit to 0.5% for all directives</w:t>
      </w:r>
      <w:r w:rsidRPr="00280816">
        <w:rPr>
          <w:rStyle w:val="FootnoteReference"/>
          <w:noProof/>
        </w:rPr>
        <w:footnoteReference w:id="67"/>
      </w:r>
      <w:r w:rsidRPr="00280816">
        <w:rPr>
          <w:noProof/>
        </w:rPr>
        <w:t xml:space="preserve"> and to 0% in the case of directives whose implementation is more than two years overdue</w:t>
      </w:r>
      <w:r w:rsidRPr="00280816">
        <w:rPr>
          <w:rStyle w:val="FootnoteReference"/>
          <w:noProof/>
        </w:rPr>
        <w:footnoteReference w:id="68"/>
      </w:r>
      <w:r w:rsidRPr="00280816">
        <w:rPr>
          <w:noProof/>
        </w:rPr>
        <w:t>. Likewise</w:t>
      </w:r>
      <w:r w:rsidR="00A30CB2" w:rsidRPr="00280816">
        <w:rPr>
          <w:noProof/>
        </w:rPr>
        <w:t>,</w:t>
      </w:r>
      <w:r w:rsidRPr="00280816">
        <w:rPr>
          <w:noProof/>
        </w:rPr>
        <w:t xml:space="preserve"> the Commission </w:t>
      </w:r>
      <w:r w:rsidR="009E4B57" w:rsidRPr="00280816">
        <w:rPr>
          <w:noProof/>
        </w:rPr>
        <w:t>refers to</w:t>
      </w:r>
      <w:r w:rsidRPr="00280816">
        <w:rPr>
          <w:noProof/>
        </w:rPr>
        <w:t xml:space="preserve"> its previous proposal to limit the conformity deficit to 0.5% for all directives</w:t>
      </w:r>
      <w:r w:rsidRPr="00280816">
        <w:rPr>
          <w:rStyle w:val="FootnoteReference"/>
          <w:noProof/>
        </w:rPr>
        <w:footnoteReference w:id="69"/>
      </w:r>
      <w:r w:rsidRPr="00280816">
        <w:rPr>
          <w:noProof/>
        </w:rPr>
        <w:t>. Furthermore</w:t>
      </w:r>
      <w:r w:rsidRPr="009E4B57">
        <w:rPr>
          <w:noProof/>
        </w:rPr>
        <w:t xml:space="preserve">, for cases concerning the non-communication of transposition measures, the Commission </w:t>
      </w:r>
      <w:r w:rsidR="009E4B57" w:rsidRPr="009E4B57">
        <w:rPr>
          <w:noProof/>
        </w:rPr>
        <w:t xml:space="preserve">has proposed </w:t>
      </w:r>
      <w:r w:rsidRPr="009E4B57">
        <w:rPr>
          <w:noProof/>
        </w:rPr>
        <w:t>the target of 12 months from the sending of the letter of formal notice to the resolution of the case or to refer infringement cases to the Court of Justice</w:t>
      </w:r>
      <w:r w:rsidRPr="009E4B57">
        <w:rPr>
          <w:rStyle w:val="FootnoteReference"/>
          <w:noProof/>
        </w:rPr>
        <w:footnoteReference w:id="70"/>
      </w:r>
      <w:r w:rsidRPr="009E4B57">
        <w:rPr>
          <w:noProof/>
        </w:rPr>
        <w:t xml:space="preserve">. </w:t>
      </w:r>
    </w:p>
    <w:p w14:paraId="47E1D066" w14:textId="72C54CF5" w:rsidR="00A011A6" w:rsidRDefault="00A011A6" w:rsidP="00A011A6">
      <w:pPr>
        <w:jc w:val="both"/>
        <w:rPr>
          <w:noProof/>
        </w:rPr>
      </w:pPr>
      <w:r w:rsidRPr="009E4B57">
        <w:rPr>
          <w:noProof/>
        </w:rPr>
        <w:t xml:space="preserve">Based on the above elements, the </w:t>
      </w:r>
      <w:r w:rsidRPr="009E4B57">
        <w:rPr>
          <w:b/>
          <w:noProof/>
        </w:rPr>
        <w:t xml:space="preserve">Commission proposes to </w:t>
      </w:r>
      <w:r w:rsidR="00290010" w:rsidRPr="009E4B57">
        <w:rPr>
          <w:b/>
          <w:noProof/>
        </w:rPr>
        <w:t xml:space="preserve">set concrete </w:t>
      </w:r>
      <w:r w:rsidRPr="009E4B57">
        <w:rPr>
          <w:b/>
          <w:noProof/>
        </w:rPr>
        <w:t>targets on enforcement</w:t>
      </w:r>
      <w:r w:rsidRPr="009E4B57">
        <w:rPr>
          <w:noProof/>
        </w:rPr>
        <w:t xml:space="preserve"> with the aim of </w:t>
      </w:r>
      <w:r w:rsidRPr="00280816">
        <w:rPr>
          <w:b/>
          <w:noProof/>
        </w:rPr>
        <w:t xml:space="preserve">limiting </w:t>
      </w:r>
      <w:r w:rsidR="009E4B57" w:rsidRPr="00280816">
        <w:rPr>
          <w:b/>
          <w:noProof/>
        </w:rPr>
        <w:t xml:space="preserve">both the </w:t>
      </w:r>
      <w:r w:rsidRPr="00280816">
        <w:rPr>
          <w:b/>
          <w:noProof/>
        </w:rPr>
        <w:t xml:space="preserve">transposition </w:t>
      </w:r>
      <w:r w:rsidR="009E4B57" w:rsidRPr="00280816">
        <w:rPr>
          <w:b/>
          <w:noProof/>
        </w:rPr>
        <w:t>as well as</w:t>
      </w:r>
      <w:r w:rsidRPr="00280816">
        <w:rPr>
          <w:b/>
          <w:noProof/>
        </w:rPr>
        <w:t xml:space="preserve"> conformity deficit to 0.5%.</w:t>
      </w:r>
      <w:r w:rsidRPr="009E4B57">
        <w:rPr>
          <w:noProof/>
        </w:rPr>
        <w:t xml:space="preserve"> It also proposes </w:t>
      </w:r>
      <w:r w:rsidR="009E4B57">
        <w:rPr>
          <w:noProof/>
        </w:rPr>
        <w:t xml:space="preserve">to set </w:t>
      </w:r>
      <w:r w:rsidR="009E4B57" w:rsidRPr="009E4B57">
        <w:rPr>
          <w:noProof/>
        </w:rPr>
        <w:t xml:space="preserve">a </w:t>
      </w:r>
      <w:r w:rsidR="009E4B57">
        <w:rPr>
          <w:b/>
          <w:noProof/>
        </w:rPr>
        <w:t>benchmark</w:t>
      </w:r>
      <w:r w:rsidRPr="009E4B57">
        <w:rPr>
          <w:b/>
          <w:noProof/>
        </w:rPr>
        <w:t xml:space="preserve"> on SOLVIT </w:t>
      </w:r>
      <w:r w:rsidRPr="009E4B57">
        <w:rPr>
          <w:noProof/>
        </w:rPr>
        <w:t xml:space="preserve">with the aim of </w:t>
      </w:r>
      <w:r w:rsidRPr="009E4B57">
        <w:rPr>
          <w:noProof/>
          <w:lang w:val="en-GB"/>
        </w:rPr>
        <w:t xml:space="preserve">solving a minimum of 90% of </w:t>
      </w:r>
      <w:r w:rsidRPr="009E4B57">
        <w:rPr>
          <w:noProof/>
        </w:rPr>
        <w:t xml:space="preserve">the </w:t>
      </w:r>
      <w:r w:rsidRPr="009E4B57">
        <w:rPr>
          <w:noProof/>
          <w:lang w:val="en-GB"/>
        </w:rPr>
        <w:t>cases</w:t>
      </w:r>
      <w:r w:rsidRPr="009E4B57">
        <w:rPr>
          <w:noProof/>
        </w:rPr>
        <w:t xml:space="preserve"> within 12 months</w:t>
      </w:r>
      <w:r w:rsidRPr="009E4B57">
        <w:rPr>
          <w:noProof/>
          <w:lang w:val="en-GB"/>
        </w:rPr>
        <w:t xml:space="preserve"> in each Member State</w:t>
      </w:r>
      <w:r w:rsidRPr="009E4B57">
        <w:rPr>
          <w:noProof/>
        </w:rPr>
        <w:t xml:space="preserve">. The Commission </w:t>
      </w:r>
      <w:r w:rsidR="00290010" w:rsidRPr="009E4B57">
        <w:rPr>
          <w:noProof/>
        </w:rPr>
        <w:t xml:space="preserve">will also </w:t>
      </w:r>
      <w:r w:rsidRPr="009E4B57">
        <w:rPr>
          <w:noProof/>
        </w:rPr>
        <w:t>communicate on its observations on progress in solving Single Market barriers in the context of cooperative tools such as SMET.</w:t>
      </w:r>
      <w:r w:rsidRPr="000D5887">
        <w:rPr>
          <w:noProof/>
        </w:rPr>
        <w:t xml:space="preserve"> </w:t>
      </w:r>
    </w:p>
    <w:p w14:paraId="41BFFE9D" w14:textId="77777777" w:rsidR="00D266B7" w:rsidRDefault="00D266B7" w:rsidP="007A1851">
      <w:pPr>
        <w:jc w:val="both"/>
        <w:rPr>
          <w:noProof/>
        </w:rPr>
      </w:pPr>
    </w:p>
    <w:p w14:paraId="1757897C" w14:textId="7334C81E" w:rsidR="00E92452" w:rsidRPr="00E92452" w:rsidRDefault="002249A6" w:rsidP="00C33A5B">
      <w:pPr>
        <w:pStyle w:val="ListParagraph"/>
        <w:numPr>
          <w:ilvl w:val="1"/>
          <w:numId w:val="2"/>
        </w:numPr>
        <w:rPr>
          <w:b/>
          <w:bCs/>
          <w:noProof/>
        </w:rPr>
      </w:pPr>
      <w:bookmarkStart w:id="21" w:name="_Hlk127262074"/>
      <w:r>
        <w:rPr>
          <w:b/>
          <w:bCs/>
          <w:noProof/>
        </w:rPr>
        <w:t xml:space="preserve"> </w:t>
      </w:r>
      <w:r w:rsidR="00C77AB3">
        <w:rPr>
          <w:b/>
          <w:bCs/>
          <w:noProof/>
        </w:rPr>
        <w:t>Continu</w:t>
      </w:r>
      <w:r w:rsidR="00411CD0">
        <w:rPr>
          <w:b/>
          <w:bCs/>
          <w:noProof/>
        </w:rPr>
        <w:t>ing to</w:t>
      </w:r>
      <w:r w:rsidR="00C77AB3">
        <w:rPr>
          <w:b/>
          <w:bCs/>
          <w:noProof/>
        </w:rPr>
        <w:t xml:space="preserve"> foster the</w:t>
      </w:r>
      <w:r w:rsidR="00D60825">
        <w:rPr>
          <w:b/>
          <w:bCs/>
          <w:noProof/>
        </w:rPr>
        <w:t xml:space="preserve"> green and</w:t>
      </w:r>
      <w:r w:rsidR="00C77AB3">
        <w:rPr>
          <w:b/>
          <w:bCs/>
          <w:noProof/>
        </w:rPr>
        <w:t xml:space="preserve"> digital dimension</w:t>
      </w:r>
      <w:r w:rsidR="00D60825">
        <w:rPr>
          <w:b/>
          <w:bCs/>
          <w:noProof/>
        </w:rPr>
        <w:t>s</w:t>
      </w:r>
      <w:r w:rsidR="00C77AB3">
        <w:rPr>
          <w:b/>
          <w:bCs/>
          <w:noProof/>
        </w:rPr>
        <w:t xml:space="preserve"> of the Single Market</w:t>
      </w:r>
    </w:p>
    <w:p w14:paraId="29335635" w14:textId="087FA7FA" w:rsidR="00D60825" w:rsidRDefault="002E5F82" w:rsidP="00CC27DC">
      <w:pPr>
        <w:shd w:val="clear" w:color="auto" w:fill="FFFFFF" w:themeFill="background1"/>
        <w:jc w:val="both"/>
        <w:rPr>
          <w:noProof/>
        </w:rPr>
      </w:pPr>
      <w:bookmarkStart w:id="22" w:name="_Hlk127801878"/>
      <w:r>
        <w:rPr>
          <w:noProof/>
        </w:rPr>
        <w:t>T</w:t>
      </w:r>
      <w:r w:rsidRPr="002E5F82">
        <w:rPr>
          <w:noProof/>
        </w:rPr>
        <w:t xml:space="preserve">he </w:t>
      </w:r>
      <w:r>
        <w:rPr>
          <w:noProof/>
        </w:rPr>
        <w:t>S</w:t>
      </w:r>
      <w:r w:rsidRPr="002E5F82">
        <w:rPr>
          <w:noProof/>
        </w:rPr>
        <w:t xml:space="preserve">ingle </w:t>
      </w:r>
      <w:r>
        <w:rPr>
          <w:noProof/>
        </w:rPr>
        <w:t>M</w:t>
      </w:r>
      <w:r w:rsidRPr="002E5F82">
        <w:rPr>
          <w:noProof/>
        </w:rPr>
        <w:t xml:space="preserve">arket will be crucial for </w:t>
      </w:r>
      <w:r>
        <w:rPr>
          <w:noProof/>
        </w:rPr>
        <w:t>the EU’s</w:t>
      </w:r>
      <w:r w:rsidRPr="25755A6E">
        <w:rPr>
          <w:noProof/>
        </w:rPr>
        <w:t xml:space="preserve"> </w:t>
      </w:r>
      <w:r w:rsidR="00851BEE">
        <w:rPr>
          <w:b/>
          <w:bCs/>
          <w:noProof/>
        </w:rPr>
        <w:t xml:space="preserve">green transition and </w:t>
      </w:r>
      <w:r w:rsidR="002745ED">
        <w:rPr>
          <w:b/>
          <w:bCs/>
          <w:noProof/>
        </w:rPr>
        <w:t>the</w:t>
      </w:r>
      <w:r w:rsidR="00851BEE" w:rsidRPr="25755A6E">
        <w:rPr>
          <w:noProof/>
        </w:rPr>
        <w:t xml:space="preserve"> </w:t>
      </w:r>
      <w:r w:rsidRPr="006A6D1A">
        <w:rPr>
          <w:b/>
          <w:bCs/>
          <w:noProof/>
        </w:rPr>
        <w:t>circular economy</w:t>
      </w:r>
      <w:r w:rsidRPr="25755A6E">
        <w:rPr>
          <w:noProof/>
        </w:rPr>
        <w:t xml:space="preserve">. </w:t>
      </w:r>
      <w:r w:rsidR="00073543">
        <w:rPr>
          <w:noProof/>
        </w:rPr>
        <w:t>The EU</w:t>
      </w:r>
      <w:r w:rsidR="00735EDA" w:rsidRPr="008C1F62" w:rsidDel="003447ED">
        <w:rPr>
          <w:noProof/>
        </w:rPr>
        <w:t xml:space="preserve"> need</w:t>
      </w:r>
      <w:r w:rsidR="002745ED">
        <w:rPr>
          <w:noProof/>
        </w:rPr>
        <w:t>s</w:t>
      </w:r>
      <w:r w:rsidR="00735EDA" w:rsidRPr="008C1F62" w:rsidDel="003447ED">
        <w:rPr>
          <w:noProof/>
        </w:rPr>
        <w:t xml:space="preserve"> to maintain </w:t>
      </w:r>
      <w:r w:rsidR="00FB7E1A">
        <w:rPr>
          <w:noProof/>
        </w:rPr>
        <w:t>its</w:t>
      </w:r>
      <w:r w:rsidR="00735EDA" w:rsidRPr="008C1F62" w:rsidDel="003447ED">
        <w:rPr>
          <w:noProof/>
        </w:rPr>
        <w:t xml:space="preserve"> leadership on clean </w:t>
      </w:r>
      <w:r w:rsidR="00735EDA" w:rsidRPr="00CC27DC" w:rsidDel="003447ED">
        <w:rPr>
          <w:noProof/>
          <w:lang w:val="en-GB"/>
        </w:rPr>
        <w:t>technologies</w:t>
      </w:r>
      <w:r w:rsidR="00735EDA" w:rsidRPr="008C1F62" w:rsidDel="003447ED">
        <w:rPr>
          <w:noProof/>
        </w:rPr>
        <w:t xml:space="preserve"> and </w:t>
      </w:r>
      <w:r w:rsidR="002745ED">
        <w:rPr>
          <w:noProof/>
        </w:rPr>
        <w:t xml:space="preserve">its </w:t>
      </w:r>
      <w:r w:rsidR="00735EDA" w:rsidRPr="008C1F62" w:rsidDel="003447ED">
        <w:rPr>
          <w:noProof/>
        </w:rPr>
        <w:t>competitive edge on decarboni</w:t>
      </w:r>
      <w:r w:rsidR="00735EDA" w:rsidRPr="008C1F62">
        <w:rPr>
          <w:noProof/>
        </w:rPr>
        <w:t>s</w:t>
      </w:r>
      <w:r w:rsidR="00735EDA" w:rsidRPr="008C1F62" w:rsidDel="003447ED">
        <w:rPr>
          <w:noProof/>
        </w:rPr>
        <w:t xml:space="preserve">ation to be able to deliver </w:t>
      </w:r>
      <w:r w:rsidR="00735EDA" w:rsidRPr="008C1F62">
        <w:rPr>
          <w:noProof/>
        </w:rPr>
        <w:t>a</w:t>
      </w:r>
      <w:r w:rsidR="00735EDA" w:rsidRPr="008C1F62" w:rsidDel="003447ED">
        <w:rPr>
          <w:noProof/>
        </w:rPr>
        <w:t xml:space="preserve"> zero</w:t>
      </w:r>
      <w:r w:rsidR="00735EDA" w:rsidRPr="25755A6E">
        <w:rPr>
          <w:noProof/>
        </w:rPr>
        <w:t>-</w:t>
      </w:r>
      <w:r w:rsidR="00735EDA" w:rsidRPr="008C1F62" w:rsidDel="003447ED">
        <w:rPr>
          <w:noProof/>
        </w:rPr>
        <w:t>emissions economy.</w:t>
      </w:r>
      <w:r w:rsidR="00735EDA" w:rsidRPr="25755A6E">
        <w:rPr>
          <w:noProof/>
        </w:rPr>
        <w:t xml:space="preserve"> </w:t>
      </w:r>
      <w:r w:rsidR="00735EDA" w:rsidRPr="007A3FAF">
        <w:rPr>
          <w:noProof/>
        </w:rPr>
        <w:t>We need to use materials and other resources more efficiently and shift to a circular economy</w:t>
      </w:r>
      <w:r w:rsidR="007F2A69">
        <w:rPr>
          <w:noProof/>
        </w:rPr>
        <w:t xml:space="preserve"> that</w:t>
      </w:r>
      <w:r w:rsidR="00735EDA" w:rsidRPr="007A3FAF">
        <w:rPr>
          <w:noProof/>
        </w:rPr>
        <w:t xml:space="preserve"> </w:t>
      </w:r>
      <w:r w:rsidR="007F2A69">
        <w:rPr>
          <w:noProof/>
        </w:rPr>
        <w:t>retains</w:t>
      </w:r>
      <w:r w:rsidR="007F2A69" w:rsidRPr="007A3FAF">
        <w:rPr>
          <w:noProof/>
        </w:rPr>
        <w:t xml:space="preserve"> </w:t>
      </w:r>
      <w:r w:rsidR="00735EDA" w:rsidRPr="007A3FAF">
        <w:rPr>
          <w:noProof/>
        </w:rPr>
        <w:t>the value of materials in products and minimise</w:t>
      </w:r>
      <w:r w:rsidR="00851BEE">
        <w:rPr>
          <w:noProof/>
        </w:rPr>
        <w:t>s</w:t>
      </w:r>
      <w:r w:rsidR="00735EDA" w:rsidRPr="007A3FAF">
        <w:rPr>
          <w:noProof/>
        </w:rPr>
        <w:t xml:space="preserve"> waste</w:t>
      </w:r>
      <w:r w:rsidR="004612E1">
        <w:rPr>
          <w:noProof/>
        </w:rPr>
        <w:t xml:space="preserve">. </w:t>
      </w:r>
      <w:r w:rsidR="004612E1" w:rsidRPr="00977C11">
        <w:rPr>
          <w:rFonts w:cs="Times New Roman"/>
          <w:noProof/>
        </w:rPr>
        <w:t>The Circular Economy Action Plan is being rolled out with ambitious goals to promote green and digital transition.</w:t>
      </w:r>
    </w:p>
    <w:bookmarkEnd w:id="22"/>
    <w:p w14:paraId="5090C589" w14:textId="52C30714" w:rsidR="002745ED" w:rsidRDefault="002F5411" w:rsidP="25755A6E">
      <w:pPr>
        <w:shd w:val="clear" w:color="auto" w:fill="FFFFFF" w:themeFill="background1"/>
        <w:jc w:val="both"/>
        <w:rPr>
          <w:noProof/>
        </w:rPr>
      </w:pPr>
      <w:r>
        <w:rPr>
          <w:noProof/>
          <w:lang w:val="en-GB"/>
        </w:rPr>
        <w:t xml:space="preserve">Common rules applicable throughout the EU will make it easier for businesses to rise to the challenge, and thus to achieve our objectives – also potentially at the global level. </w:t>
      </w:r>
      <w:r w:rsidRPr="006A6D1A">
        <w:rPr>
          <w:b/>
          <w:bCs/>
          <w:noProof/>
          <w:lang w:val="en-GB"/>
        </w:rPr>
        <w:t>Ecodesign rules for Sustainable Products</w:t>
      </w:r>
      <w:r w:rsidRPr="00FC2FE2">
        <w:rPr>
          <w:noProof/>
          <w:lang w:val="en-GB"/>
        </w:rPr>
        <w:t xml:space="preserve"> facilitate and increase the recuperation and recycling of materials from products at the end of their life cycle, minimising waste production. </w:t>
      </w:r>
      <w:r w:rsidRPr="00FC2FE2">
        <w:rPr>
          <w:noProof/>
        </w:rPr>
        <w:t xml:space="preserve">The </w:t>
      </w:r>
      <w:r w:rsidRPr="006A6D1A">
        <w:rPr>
          <w:b/>
          <w:bCs/>
          <w:noProof/>
        </w:rPr>
        <w:t>Product Passport Initiative</w:t>
      </w:r>
      <w:r w:rsidRPr="00FC2FE2">
        <w:rPr>
          <w:noProof/>
        </w:rPr>
        <w:t xml:space="preserve"> will allow consumers and operators to easily access information on compliance of products, as well as recycled and recyclable content in products.</w:t>
      </w:r>
      <w:r>
        <w:rPr>
          <w:noProof/>
        </w:rPr>
        <w:t xml:space="preserve"> </w:t>
      </w:r>
    </w:p>
    <w:p w14:paraId="1EF36A8D" w14:textId="2CFB7464" w:rsidR="00FE1822" w:rsidRDefault="00FE1822" w:rsidP="25755A6E">
      <w:pPr>
        <w:shd w:val="clear" w:color="auto" w:fill="FFFFFF" w:themeFill="background1"/>
        <w:jc w:val="both"/>
        <w:rPr>
          <w:noProof/>
        </w:rPr>
      </w:pPr>
      <w:r>
        <w:rPr>
          <w:noProof/>
        </w:rPr>
        <w:t xml:space="preserve">The EU sustainable finance framework offers tools that help private capital invest into green activities and finance the transition. The EU Taxonomy offers a list of sustainable economic activities tailored for investors looking for clean-tech and sustainable investments. </w:t>
      </w:r>
    </w:p>
    <w:p w14:paraId="0B05D13B" w14:textId="594157F5" w:rsidR="002F5411" w:rsidRPr="00761B15" w:rsidRDefault="003A209E" w:rsidP="00771FAD">
      <w:pPr>
        <w:shd w:val="clear" w:color="auto" w:fill="FFFFFF" w:themeFill="background1"/>
        <w:jc w:val="both"/>
        <w:rPr>
          <w:rFonts w:eastAsia="Times New Roman" w:cs="Times New Roman"/>
          <w:noProof/>
        </w:rPr>
      </w:pPr>
      <w:r w:rsidRPr="00761B15">
        <w:rPr>
          <w:rFonts w:eastAsia="Times New Roman" w:cs="Times New Roman"/>
          <w:noProof/>
        </w:rPr>
        <w:t xml:space="preserve">Whilst the current </w:t>
      </w:r>
      <w:r w:rsidR="002745ED" w:rsidRPr="00761B15">
        <w:rPr>
          <w:rFonts w:eastAsia="Times New Roman" w:cs="Times New Roman"/>
          <w:noProof/>
        </w:rPr>
        <w:t xml:space="preserve">design of the </w:t>
      </w:r>
      <w:r w:rsidRPr="00761B15">
        <w:rPr>
          <w:rFonts w:eastAsia="Times New Roman" w:cs="Times New Roman"/>
          <w:noProof/>
        </w:rPr>
        <w:t>EU electricity market has over many years delivered an efficient, well integrated market, which incentivi</w:t>
      </w:r>
      <w:r w:rsidR="002745ED" w:rsidRPr="00761B15">
        <w:rPr>
          <w:rFonts w:eastAsia="Times New Roman" w:cs="Times New Roman"/>
          <w:noProof/>
        </w:rPr>
        <w:t>s</w:t>
      </w:r>
      <w:r w:rsidRPr="00761B15">
        <w:rPr>
          <w:rFonts w:eastAsia="Times New Roman" w:cs="Times New Roman"/>
          <w:noProof/>
        </w:rPr>
        <w:t>ed deployment of renewable and low</w:t>
      </w:r>
      <w:r w:rsidR="002745ED" w:rsidRPr="00761B15">
        <w:rPr>
          <w:rFonts w:eastAsia="Times New Roman" w:cs="Times New Roman"/>
          <w:noProof/>
        </w:rPr>
        <w:t>-</w:t>
      </w:r>
      <w:r w:rsidRPr="00761B15">
        <w:rPr>
          <w:rFonts w:eastAsia="Times New Roman" w:cs="Times New Roman"/>
          <w:noProof/>
        </w:rPr>
        <w:t xml:space="preserve">carbon energy and clean flexible technologies, the </w:t>
      </w:r>
      <w:r w:rsidR="002745ED" w:rsidRPr="00761B15">
        <w:rPr>
          <w:rFonts w:eastAsia="Times New Roman" w:cs="Times New Roman"/>
          <w:noProof/>
        </w:rPr>
        <w:t xml:space="preserve">recent </w:t>
      </w:r>
      <w:r w:rsidRPr="00761B15">
        <w:rPr>
          <w:rFonts w:eastAsia="Times New Roman" w:cs="Times New Roman"/>
          <w:noProof/>
        </w:rPr>
        <w:t>energy crisis has highlighted a number of shortcomings</w:t>
      </w:r>
      <w:r w:rsidR="002745ED" w:rsidRPr="00761B15">
        <w:rPr>
          <w:rFonts w:eastAsia="Times New Roman" w:cs="Times New Roman"/>
          <w:noProof/>
        </w:rPr>
        <w:t>,</w:t>
      </w:r>
      <w:r w:rsidRPr="00761B15">
        <w:rPr>
          <w:rFonts w:eastAsia="Times New Roman" w:cs="Times New Roman"/>
          <w:noProof/>
        </w:rPr>
        <w:t xml:space="preserve"> which </w:t>
      </w:r>
      <w:r w:rsidR="002745ED" w:rsidRPr="00761B15">
        <w:rPr>
          <w:rFonts w:eastAsia="Times New Roman" w:cs="Times New Roman"/>
          <w:noProof/>
        </w:rPr>
        <w:t>have</w:t>
      </w:r>
      <w:r w:rsidRPr="00761B15">
        <w:rPr>
          <w:rFonts w:eastAsia="Times New Roman" w:cs="Times New Roman"/>
          <w:noProof/>
        </w:rPr>
        <w:t xml:space="preserve"> exposed households and companies to significant price spikes with effects on their electricity bills. To respond to the crisis, the EU adopted an energy prices toolbox with measures to address high prices (including income support, tax breaks, </w:t>
      </w:r>
      <w:r w:rsidR="002745ED" w:rsidRPr="00761B15">
        <w:rPr>
          <w:rFonts w:eastAsia="Times New Roman" w:cs="Times New Roman"/>
          <w:noProof/>
        </w:rPr>
        <w:t xml:space="preserve">and </w:t>
      </w:r>
      <w:r w:rsidRPr="00761B15">
        <w:rPr>
          <w:rFonts w:eastAsia="Times New Roman" w:cs="Times New Roman"/>
          <w:noProof/>
        </w:rPr>
        <w:t>gas</w:t>
      </w:r>
      <w:r w:rsidR="002745ED" w:rsidRPr="00761B15">
        <w:rPr>
          <w:rFonts w:eastAsia="Times New Roman" w:cs="Times New Roman"/>
          <w:noProof/>
        </w:rPr>
        <w:t>-</w:t>
      </w:r>
      <w:r w:rsidRPr="00761B15">
        <w:rPr>
          <w:rFonts w:eastAsia="Times New Roman" w:cs="Times New Roman"/>
          <w:noProof/>
        </w:rPr>
        <w:t>saving and storage measures), as well as the REPowerEU plan with further measures and funding to boost energy efficiency and renewable energy in order to reduce dependence on Russian fossil fuels. The Commission has proposed a reform of the Electricity Market Design</w:t>
      </w:r>
      <w:r w:rsidR="00750816">
        <w:rPr>
          <w:rStyle w:val="FootnoteReference"/>
          <w:rFonts w:eastAsia="Times New Roman" w:cs="Times New Roman"/>
          <w:noProof/>
        </w:rPr>
        <w:footnoteReference w:id="71"/>
      </w:r>
      <w:r w:rsidR="004F6C28">
        <w:rPr>
          <w:rFonts w:eastAsia="Times New Roman" w:cs="Times New Roman"/>
          <w:noProof/>
        </w:rPr>
        <w:t>.</w:t>
      </w:r>
      <w:r w:rsidRPr="00761B15">
        <w:rPr>
          <w:rFonts w:eastAsia="Times New Roman" w:cs="Times New Roman"/>
          <w:noProof/>
        </w:rPr>
        <w:t xml:space="preserve"> </w:t>
      </w:r>
    </w:p>
    <w:p w14:paraId="33BFC8F5" w14:textId="69B66A89" w:rsidR="00EA58E2" w:rsidRPr="00CC27DC" w:rsidRDefault="002249A6" w:rsidP="00EC4567">
      <w:pPr>
        <w:spacing w:line="257" w:lineRule="auto"/>
        <w:jc w:val="both"/>
        <w:rPr>
          <w:noProof/>
          <w:szCs w:val="24"/>
        </w:rPr>
      </w:pPr>
      <w:r w:rsidRPr="009E6777">
        <w:rPr>
          <w:b/>
          <w:noProof/>
          <w:lang w:val="en-GB"/>
        </w:rPr>
        <w:t>Digital</w:t>
      </w:r>
      <w:r w:rsidR="00DA779B" w:rsidRPr="009E6777">
        <w:rPr>
          <w:b/>
          <w:noProof/>
          <w:lang w:val="en-GB"/>
        </w:rPr>
        <w:t>isation</w:t>
      </w:r>
      <w:r w:rsidRPr="002249A6">
        <w:rPr>
          <w:noProof/>
          <w:lang w:val="en-GB"/>
        </w:rPr>
        <w:t xml:space="preserve"> is pervasive and part of our everyday life</w:t>
      </w:r>
      <w:r w:rsidR="00DA779B">
        <w:rPr>
          <w:noProof/>
          <w:lang w:val="en-GB"/>
        </w:rPr>
        <w:t>.</w:t>
      </w:r>
      <w:r w:rsidRPr="002249A6">
        <w:rPr>
          <w:noProof/>
          <w:lang w:val="en-GB"/>
        </w:rPr>
        <w:t xml:space="preserve"> </w:t>
      </w:r>
      <w:r w:rsidR="00DA779B">
        <w:rPr>
          <w:noProof/>
          <w:lang w:val="en-GB"/>
        </w:rPr>
        <w:t>It</w:t>
      </w:r>
      <w:r w:rsidR="006A31D4">
        <w:rPr>
          <w:noProof/>
        </w:rPr>
        <w:t xml:space="preserve"> is</w:t>
      </w:r>
      <w:r w:rsidRPr="002249A6">
        <w:rPr>
          <w:noProof/>
          <w:lang w:val="en-GB"/>
        </w:rPr>
        <w:t xml:space="preserve"> a key driver </w:t>
      </w:r>
      <w:r>
        <w:rPr>
          <w:noProof/>
        </w:rPr>
        <w:t xml:space="preserve">of the Union’s competitiveness, prosperity and well-being of our societies. </w:t>
      </w:r>
      <w:r w:rsidR="00080BD2" w:rsidRPr="003D0F5C">
        <w:rPr>
          <w:noProof/>
        </w:rPr>
        <w:t xml:space="preserve">The </w:t>
      </w:r>
      <w:r w:rsidR="00080BD2" w:rsidRPr="003D0F5C">
        <w:rPr>
          <w:b/>
          <w:noProof/>
        </w:rPr>
        <w:t>Digital Services Act</w:t>
      </w:r>
      <w:r w:rsidR="00080BD2" w:rsidRPr="003D0F5C">
        <w:rPr>
          <w:noProof/>
        </w:rPr>
        <w:t xml:space="preserve"> and the </w:t>
      </w:r>
      <w:r w:rsidR="00080BD2" w:rsidRPr="003D0F5C">
        <w:rPr>
          <w:b/>
          <w:noProof/>
        </w:rPr>
        <w:t>Digital Markets Act</w:t>
      </w:r>
      <w:r w:rsidR="00080BD2" w:rsidRPr="003D0F5C">
        <w:rPr>
          <w:noProof/>
        </w:rPr>
        <w:t xml:space="preserve"> </w:t>
      </w:r>
      <w:r w:rsidR="00FC2FE2" w:rsidRPr="003D0F5C">
        <w:rPr>
          <w:noProof/>
        </w:rPr>
        <w:t>entrust</w:t>
      </w:r>
      <w:r w:rsidR="00080BD2" w:rsidRPr="003D0F5C">
        <w:rPr>
          <w:noProof/>
        </w:rPr>
        <w:t xml:space="preserve"> the Commission with new direct, investigatory and enforcement powers that are already known in some other areas, such as competition law or financial regulation. The Commission is committed to taking all necessary investigatory and enforcement measures and us</w:t>
      </w:r>
      <w:r w:rsidR="007F2A69">
        <w:rPr>
          <w:noProof/>
        </w:rPr>
        <w:t>ing</w:t>
      </w:r>
      <w:r w:rsidR="00080BD2" w:rsidRPr="003D0F5C">
        <w:rPr>
          <w:noProof/>
        </w:rPr>
        <w:t xml:space="preserve"> its supervisory powers against very large online platforms and very large online search engines as well as gatekeepers, where they do not comply with their DSA or DMA obligations. </w:t>
      </w:r>
    </w:p>
    <w:p w14:paraId="66EE4BB2" w14:textId="0E486DB2" w:rsidR="002249A6" w:rsidRDefault="00C462E7" w:rsidP="0098576D">
      <w:pPr>
        <w:jc w:val="both"/>
        <w:rPr>
          <w:noProof/>
          <w:szCs w:val="24"/>
        </w:rPr>
      </w:pPr>
      <w:r w:rsidRPr="003D0F5C">
        <w:rPr>
          <w:noProof/>
        </w:rPr>
        <w:t xml:space="preserve">Europeans across the Single Market need access to </w:t>
      </w:r>
      <w:r w:rsidRPr="009E6777">
        <w:rPr>
          <w:b/>
          <w:noProof/>
        </w:rPr>
        <w:t>reliable, fast and secure connectivity</w:t>
      </w:r>
      <w:r w:rsidRPr="003D0F5C">
        <w:rPr>
          <w:noProof/>
        </w:rPr>
        <w:t xml:space="preserve"> throughout the Union, ensuring that all critical infrastructures in the EU, including electronic communications and digital infrastructures, </w:t>
      </w:r>
      <w:r w:rsidRPr="003D0F5C">
        <w:rPr>
          <w:noProof/>
          <w:lang w:val="en-GB"/>
        </w:rPr>
        <w:t>are</w:t>
      </w:r>
      <w:r w:rsidRPr="003D0F5C">
        <w:rPr>
          <w:noProof/>
        </w:rPr>
        <w:t xml:space="preserve"> highly secure. In parallel to the </w:t>
      </w:r>
      <w:r w:rsidR="007F2A69">
        <w:rPr>
          <w:noProof/>
        </w:rPr>
        <w:t xml:space="preserve">proposal for a </w:t>
      </w:r>
      <w:r w:rsidRPr="009E6777">
        <w:rPr>
          <w:b/>
          <w:noProof/>
        </w:rPr>
        <w:t>Gigabit Infrastructure Act</w:t>
      </w:r>
      <w:r w:rsidR="007F2A69" w:rsidRPr="00C055FE">
        <w:rPr>
          <w:bCs/>
          <w:noProof/>
        </w:rPr>
        <w:t>,</w:t>
      </w:r>
      <w:r w:rsidRPr="009E6777">
        <w:rPr>
          <w:b/>
          <w:noProof/>
        </w:rPr>
        <w:t xml:space="preserve"> </w:t>
      </w:r>
      <w:r w:rsidR="007F2A69" w:rsidRPr="00C055FE">
        <w:rPr>
          <w:bCs/>
          <w:noProof/>
        </w:rPr>
        <w:t>adopted</w:t>
      </w:r>
      <w:r w:rsidRPr="003D0F5C">
        <w:rPr>
          <w:noProof/>
        </w:rPr>
        <w:t xml:space="preserve"> on 23 February, </w:t>
      </w:r>
      <w:bookmarkStart w:id="23" w:name="_Hlk128041951"/>
      <w:r w:rsidRPr="003D0F5C">
        <w:rPr>
          <w:noProof/>
        </w:rPr>
        <w:t>the Commission has launched a broad exploratory consultation on the future of the connectivity sector. The consultation also explores how we can</w:t>
      </w:r>
      <w:r w:rsidRPr="009E6777">
        <w:rPr>
          <w:b/>
          <w:noProof/>
        </w:rPr>
        <w:t xml:space="preserve"> move towards a true Single Market for electronic communications</w:t>
      </w:r>
      <w:bookmarkEnd w:id="23"/>
      <w:r w:rsidRPr="003D0F5C">
        <w:rPr>
          <w:noProof/>
        </w:rPr>
        <w:t>.</w:t>
      </w:r>
      <w:r w:rsidR="0098576D" w:rsidRPr="003D0F5C">
        <w:rPr>
          <w:noProof/>
        </w:rPr>
        <w:t xml:space="preserve"> </w:t>
      </w:r>
      <w:r w:rsidR="007C2D41">
        <w:rPr>
          <w:noProof/>
        </w:rPr>
        <w:t>T</w:t>
      </w:r>
      <w:r w:rsidR="007C2D41" w:rsidRPr="007C2D41">
        <w:rPr>
          <w:noProof/>
        </w:rPr>
        <w:t>his would ultimately benefit citizens by providing them with better and more affordable telecommunication services.</w:t>
      </w:r>
    </w:p>
    <w:p w14:paraId="0D42B957" w14:textId="5463F3C8" w:rsidR="00B0764F" w:rsidRDefault="00420F05" w:rsidP="00815E4A">
      <w:pPr>
        <w:jc w:val="both"/>
        <w:rPr>
          <w:noProof/>
        </w:rPr>
      </w:pPr>
      <w:r>
        <w:rPr>
          <w:noProof/>
        </w:rPr>
        <w:t>T</w:t>
      </w:r>
      <w:r w:rsidRPr="327F4A02">
        <w:rPr>
          <w:noProof/>
        </w:rPr>
        <w:t>he 2020 European Data Strategy aim</w:t>
      </w:r>
      <w:r>
        <w:rPr>
          <w:noProof/>
        </w:rPr>
        <w:t>s</w:t>
      </w:r>
      <w:r w:rsidRPr="327F4A02">
        <w:rPr>
          <w:noProof/>
        </w:rPr>
        <w:t xml:space="preserve"> to create a genuine </w:t>
      </w:r>
      <w:r w:rsidR="00656EC2">
        <w:rPr>
          <w:noProof/>
        </w:rPr>
        <w:t>S</w:t>
      </w:r>
      <w:r w:rsidRPr="327F4A02">
        <w:rPr>
          <w:noProof/>
        </w:rPr>
        <w:t xml:space="preserve">ingle </w:t>
      </w:r>
      <w:r w:rsidR="00656EC2">
        <w:rPr>
          <w:noProof/>
        </w:rPr>
        <w:t>M</w:t>
      </w:r>
      <w:r w:rsidRPr="327F4A02">
        <w:rPr>
          <w:noProof/>
        </w:rPr>
        <w:t>arket for data where European rules on privacy and data protection are fully respected and there is legal clarity on who can access and use the data and under which conditions.</w:t>
      </w:r>
      <w:r>
        <w:rPr>
          <w:noProof/>
        </w:rPr>
        <w:t xml:space="preserve"> The Commission proposed the Data Act in February 2022 in order to set the basic framework </w:t>
      </w:r>
      <w:r w:rsidR="00216C2E" w:rsidRPr="00216C2E">
        <w:rPr>
          <w:noProof/>
        </w:rPr>
        <w:t>to ensure fairness in the digital environment, stimulate a competitive data market, open opportunities for data-driven innovation and make data more accessible for all</w:t>
      </w:r>
      <w:r w:rsidR="00216C2E">
        <w:rPr>
          <w:noProof/>
        </w:rPr>
        <w:t>.</w:t>
      </w:r>
      <w:r w:rsidR="00216C2E" w:rsidRPr="00216C2E" w:rsidDel="00216C2E">
        <w:rPr>
          <w:noProof/>
        </w:rPr>
        <w:t xml:space="preserve"> </w:t>
      </w:r>
      <w:r w:rsidRPr="327F4A02">
        <w:rPr>
          <w:noProof/>
        </w:rPr>
        <w:t>The</w:t>
      </w:r>
      <w:r>
        <w:rPr>
          <w:noProof/>
        </w:rPr>
        <w:t xml:space="preserve"> general framework will be supported by the</w:t>
      </w:r>
      <w:r w:rsidRPr="327F4A02">
        <w:rPr>
          <w:noProof/>
        </w:rPr>
        <w:t xml:space="preserve"> creation and interconnection of </w:t>
      </w:r>
      <w:r w:rsidRPr="75965158">
        <w:rPr>
          <w:b/>
          <w:bCs/>
          <w:noProof/>
        </w:rPr>
        <w:t>common European data spaces</w:t>
      </w:r>
      <w:r w:rsidRPr="327F4A02">
        <w:rPr>
          <w:noProof/>
        </w:rPr>
        <w:t xml:space="preserve"> in strategic sectors and domains of public interest</w:t>
      </w:r>
      <w:r>
        <w:rPr>
          <w:noProof/>
        </w:rPr>
        <w:t>.</w:t>
      </w:r>
      <w:r w:rsidRPr="327F4A02">
        <w:rPr>
          <w:noProof/>
        </w:rPr>
        <w:t xml:space="preserve"> </w:t>
      </w:r>
    </w:p>
    <w:p w14:paraId="0CCD1172" w14:textId="534E3038" w:rsidR="002D26C1" w:rsidRDefault="00575514" w:rsidP="00815E4A">
      <w:pPr>
        <w:jc w:val="both"/>
        <w:rPr>
          <w:noProof/>
        </w:rPr>
      </w:pPr>
      <w:r>
        <w:rPr>
          <w:noProof/>
        </w:rPr>
        <w:t>Alongside the publication of this Communication, t</w:t>
      </w:r>
      <w:r w:rsidR="226F5269">
        <w:rPr>
          <w:noProof/>
        </w:rPr>
        <w:t xml:space="preserve">he </w:t>
      </w:r>
      <w:r w:rsidR="226F5269" w:rsidRPr="75965158">
        <w:rPr>
          <w:b/>
          <w:bCs/>
          <w:noProof/>
        </w:rPr>
        <w:t xml:space="preserve">Commission </w:t>
      </w:r>
      <w:r w:rsidR="00B0764F">
        <w:rPr>
          <w:b/>
          <w:bCs/>
          <w:noProof/>
        </w:rPr>
        <w:t>is launching</w:t>
      </w:r>
      <w:r w:rsidR="00690AFB">
        <w:rPr>
          <w:b/>
          <w:bCs/>
          <w:noProof/>
        </w:rPr>
        <w:t xml:space="preserve"> </w:t>
      </w:r>
      <w:r w:rsidR="226F5269" w:rsidRPr="75965158">
        <w:rPr>
          <w:b/>
          <w:bCs/>
          <w:noProof/>
        </w:rPr>
        <w:t>a Public Procurement Data Space</w:t>
      </w:r>
      <w:r w:rsidR="00493417">
        <w:rPr>
          <w:rStyle w:val="FootnoteReference"/>
          <w:b/>
          <w:bCs/>
          <w:noProof/>
        </w:rPr>
        <w:footnoteReference w:id="72"/>
      </w:r>
      <w:r w:rsidR="226F5269">
        <w:rPr>
          <w:noProof/>
        </w:rPr>
        <w:t>, which will</w:t>
      </w:r>
      <w:r w:rsidR="226F5269" w:rsidRPr="008C1F62">
        <w:rPr>
          <w:noProof/>
        </w:rPr>
        <w:t xml:space="preserve"> ensure more accessible and better quality data</w:t>
      </w:r>
      <w:r w:rsidR="226F5269">
        <w:rPr>
          <w:noProof/>
        </w:rPr>
        <w:t xml:space="preserve"> for public contracts,</w:t>
      </w:r>
      <w:r w:rsidR="226F5269" w:rsidRPr="008C1F62">
        <w:rPr>
          <w:noProof/>
        </w:rPr>
        <w:t xml:space="preserve"> which </w:t>
      </w:r>
      <w:r w:rsidR="226F5269">
        <w:rPr>
          <w:noProof/>
        </w:rPr>
        <w:t xml:space="preserve">account for </w:t>
      </w:r>
      <w:r w:rsidR="226F5269" w:rsidRPr="008C1F62">
        <w:rPr>
          <w:noProof/>
        </w:rPr>
        <w:t>around EUR 2 trillion</w:t>
      </w:r>
      <w:r w:rsidR="226F5269" w:rsidRPr="1C317DF0">
        <w:rPr>
          <w:noProof/>
        </w:rPr>
        <w:t xml:space="preserve"> (</w:t>
      </w:r>
      <w:r w:rsidR="226F5269" w:rsidRPr="008C1F62">
        <w:rPr>
          <w:noProof/>
        </w:rPr>
        <w:t>almost 13.6% of EU GDP</w:t>
      </w:r>
      <w:r w:rsidR="226F5269" w:rsidRPr="1C317DF0">
        <w:rPr>
          <w:noProof/>
        </w:rPr>
        <w:t>).</w:t>
      </w:r>
      <w:r w:rsidR="00815E4A" w:rsidRPr="008C1F62">
        <w:rPr>
          <w:rStyle w:val="FootnoteReference"/>
          <w:noProof/>
        </w:rPr>
        <w:footnoteReference w:id="73"/>
      </w:r>
      <w:r w:rsidR="226F5269" w:rsidRPr="1C317DF0">
        <w:rPr>
          <w:noProof/>
        </w:rPr>
        <w:t xml:space="preserve"> </w:t>
      </w:r>
      <w:r w:rsidR="226F5269" w:rsidRPr="008C1F62">
        <w:rPr>
          <w:noProof/>
        </w:rPr>
        <w:t>This data space will create a level playing field for businesses making bids for public procurement projects anywhere in the EU</w:t>
      </w:r>
      <w:r w:rsidR="00690AFB">
        <w:rPr>
          <w:noProof/>
        </w:rPr>
        <w:t>. It will be a particularly helpful tool for SMEs. It will</w:t>
      </w:r>
      <w:r w:rsidR="226F5269" w:rsidRPr="008C1F62">
        <w:rPr>
          <w:noProof/>
        </w:rPr>
        <w:t xml:space="preserve"> help public buyers and businesses improve their investment and bidding strategies, and to give all stakeholders greater transparency and better value for money. </w:t>
      </w:r>
    </w:p>
    <w:p w14:paraId="221ACA08" w14:textId="6BE17B0D" w:rsidR="00815E4A" w:rsidRDefault="54F8AF93" w:rsidP="00815E4A">
      <w:pPr>
        <w:jc w:val="both"/>
        <w:rPr>
          <w:noProof/>
        </w:rPr>
      </w:pPr>
      <w:r>
        <w:rPr>
          <w:noProof/>
        </w:rPr>
        <w:t xml:space="preserve">The proposed </w:t>
      </w:r>
      <w:r w:rsidRPr="00F33FDD">
        <w:rPr>
          <w:b/>
          <w:bCs/>
          <w:noProof/>
        </w:rPr>
        <w:t>European Health Data Space</w:t>
      </w:r>
      <w:r>
        <w:rPr>
          <w:noProof/>
        </w:rPr>
        <w:t xml:space="preserve"> will</w:t>
      </w:r>
      <w:r w:rsidR="360E477A">
        <w:rPr>
          <w:noProof/>
        </w:rPr>
        <w:t xml:space="preserve"> not only </w:t>
      </w:r>
      <w:r w:rsidR="313A98A5">
        <w:rPr>
          <w:noProof/>
        </w:rPr>
        <w:t>empower individual patients, it will also enable health-related research and innovations at European scale.</w:t>
      </w:r>
      <w:r w:rsidR="00B42C9E" w:rsidRPr="75965158">
        <w:rPr>
          <w:rStyle w:val="FootnoteReference"/>
          <w:rFonts w:eastAsia="Times New Roman" w:cs="Times New Roman"/>
          <w:noProof/>
        </w:rPr>
        <w:footnoteReference w:id="74"/>
      </w:r>
      <w:r w:rsidR="00B42C9E" w:rsidRPr="75965158">
        <w:rPr>
          <w:rFonts w:eastAsia="Times New Roman" w:cs="Times New Roman"/>
          <w:noProof/>
        </w:rPr>
        <w:t xml:space="preserve"> </w:t>
      </w:r>
      <w:r w:rsidR="00495E62">
        <w:rPr>
          <w:rFonts w:eastAsia="Times New Roman" w:cs="Times New Roman"/>
          <w:noProof/>
        </w:rPr>
        <w:t>E</w:t>
      </w:r>
      <w:r w:rsidR="00AC52DC" w:rsidRPr="00AC52DC">
        <w:rPr>
          <w:rFonts w:eastAsia="Times New Roman" w:cs="Times New Roman"/>
          <w:noProof/>
        </w:rPr>
        <w:t>xcessive fragmentation of the Single Market for pharmaceuticals</w:t>
      </w:r>
      <w:r w:rsidR="00495E62">
        <w:rPr>
          <w:rFonts w:eastAsia="Times New Roman" w:cs="Times New Roman"/>
          <w:noProof/>
        </w:rPr>
        <w:t xml:space="preserve"> must also be tackled</w:t>
      </w:r>
      <w:r w:rsidR="00AC52DC" w:rsidRPr="00AC52DC">
        <w:rPr>
          <w:rFonts w:eastAsia="Times New Roman" w:cs="Times New Roman"/>
          <w:noProof/>
        </w:rPr>
        <w:t>, to facilitate the circulation of medicinal products for the benefit of EU patients.</w:t>
      </w:r>
    </w:p>
    <w:p w14:paraId="78C569F2" w14:textId="598E1720" w:rsidR="39C460D2" w:rsidRPr="003D0F5C" w:rsidRDefault="649148D4" w:rsidP="6E1D9064">
      <w:pPr>
        <w:jc w:val="both"/>
        <w:rPr>
          <w:rFonts w:ascii="Calibri" w:eastAsia="Calibri" w:hAnsi="Calibri" w:cs="Calibri"/>
          <w:i/>
          <w:noProof/>
          <w:lang w:val="en-GB"/>
        </w:rPr>
      </w:pPr>
      <w:r w:rsidRPr="75965158">
        <w:rPr>
          <w:rFonts w:eastAsia="Times New Roman" w:cs="Times New Roman"/>
          <w:noProof/>
          <w:color w:val="000000" w:themeColor="text1"/>
        </w:rPr>
        <w:t xml:space="preserve">After </w:t>
      </w:r>
      <w:r w:rsidR="6C4AE654" w:rsidRPr="75965158">
        <w:rPr>
          <w:rFonts w:eastAsia="Times New Roman" w:cs="Times New Roman"/>
          <w:noProof/>
        </w:rPr>
        <w:t xml:space="preserve">decades of discussion, </w:t>
      </w:r>
      <w:r w:rsidRPr="75965158">
        <w:rPr>
          <w:rFonts w:eastAsia="Times New Roman" w:cs="Times New Roman"/>
          <w:noProof/>
        </w:rPr>
        <w:t>the Unitary Patent</w:t>
      </w:r>
      <w:r w:rsidR="0A353DB4" w:rsidRPr="75965158">
        <w:rPr>
          <w:rFonts w:eastAsia="Times New Roman" w:cs="Times New Roman"/>
          <w:noProof/>
        </w:rPr>
        <w:t xml:space="preserve"> will finally </w:t>
      </w:r>
      <w:r w:rsidR="726CC976" w:rsidRPr="75965158">
        <w:rPr>
          <w:rFonts w:eastAsia="Times New Roman" w:cs="Times New Roman"/>
          <w:noProof/>
        </w:rPr>
        <w:t>become reality</w:t>
      </w:r>
      <w:r w:rsidR="0A353DB4" w:rsidRPr="75965158">
        <w:rPr>
          <w:rFonts w:eastAsia="Times New Roman" w:cs="Times New Roman"/>
          <w:noProof/>
        </w:rPr>
        <w:t xml:space="preserve"> in June 2023</w:t>
      </w:r>
      <w:r w:rsidRPr="75965158">
        <w:rPr>
          <w:rFonts w:eastAsia="Times New Roman" w:cs="Times New Roman"/>
          <w:noProof/>
        </w:rPr>
        <w:t>. This mark</w:t>
      </w:r>
      <w:r w:rsidR="0A353DB4" w:rsidRPr="75965158">
        <w:rPr>
          <w:rFonts w:eastAsia="Times New Roman" w:cs="Times New Roman"/>
          <w:noProof/>
        </w:rPr>
        <w:t>s</w:t>
      </w:r>
      <w:r w:rsidRPr="75965158">
        <w:rPr>
          <w:rFonts w:eastAsia="Times New Roman" w:cs="Times New Roman"/>
          <w:noProof/>
        </w:rPr>
        <w:t xml:space="preserve"> a </w:t>
      </w:r>
      <w:r w:rsidRPr="75965158">
        <w:rPr>
          <w:rFonts w:eastAsia="Times New Roman" w:cs="Times New Roman"/>
          <w:b/>
          <w:bCs/>
          <w:noProof/>
        </w:rPr>
        <w:t xml:space="preserve">long-overdue </w:t>
      </w:r>
      <w:r w:rsidR="694C3EEA" w:rsidRPr="75965158">
        <w:rPr>
          <w:rFonts w:eastAsia="Times New Roman" w:cs="Times New Roman"/>
          <w:b/>
          <w:bCs/>
          <w:noProof/>
        </w:rPr>
        <w:t>deepening</w:t>
      </w:r>
      <w:r w:rsidRPr="75965158">
        <w:rPr>
          <w:rFonts w:eastAsia="Times New Roman" w:cs="Times New Roman"/>
          <w:b/>
          <w:bCs/>
          <w:noProof/>
        </w:rPr>
        <w:t xml:space="preserve"> of the Single Market in technology</w:t>
      </w:r>
      <w:r w:rsidRPr="75965158">
        <w:rPr>
          <w:rFonts w:eastAsia="Times New Roman" w:cs="Times New Roman"/>
          <w:noProof/>
        </w:rPr>
        <w:t xml:space="preserve">. Patents are the most potent </w:t>
      </w:r>
      <w:r w:rsidR="3D5DD43F" w:rsidRPr="75965158">
        <w:rPr>
          <w:rFonts w:eastAsia="Times New Roman" w:cs="Times New Roman"/>
          <w:noProof/>
        </w:rPr>
        <w:t xml:space="preserve">of </w:t>
      </w:r>
      <w:r w:rsidRPr="75965158">
        <w:rPr>
          <w:rFonts w:eastAsia="Times New Roman" w:cs="Times New Roman"/>
          <w:noProof/>
        </w:rPr>
        <w:t xml:space="preserve">intellectual property rights, critical for investment in the digital transition. Simulations suggest that the </w:t>
      </w:r>
      <w:r w:rsidR="3D5DD43F" w:rsidRPr="75965158">
        <w:rPr>
          <w:rFonts w:eastAsia="Times New Roman" w:cs="Times New Roman"/>
          <w:noProof/>
        </w:rPr>
        <w:t>Unitary Patent</w:t>
      </w:r>
      <w:r w:rsidRPr="75965158">
        <w:rPr>
          <w:rFonts w:eastAsia="Times New Roman" w:cs="Times New Roman"/>
          <w:noProof/>
        </w:rPr>
        <w:t xml:space="preserve"> could generate a EUR 1.8 billion increase in annual </w:t>
      </w:r>
      <w:r w:rsidR="4EF6C278" w:rsidRPr="75965158">
        <w:rPr>
          <w:rFonts w:eastAsia="Times New Roman" w:cs="Times New Roman"/>
          <w:noProof/>
        </w:rPr>
        <w:t xml:space="preserve">foreign direct investment </w:t>
      </w:r>
      <w:r w:rsidRPr="75965158">
        <w:rPr>
          <w:rFonts w:eastAsia="Times New Roman" w:cs="Times New Roman"/>
          <w:noProof/>
        </w:rPr>
        <w:t>into the EU</w:t>
      </w:r>
      <w:r w:rsidR="0037703C" w:rsidRPr="75965158">
        <w:rPr>
          <w:rStyle w:val="FootnoteReference"/>
          <w:rFonts w:eastAsia="Times New Roman" w:cs="Times New Roman"/>
          <w:noProof/>
        </w:rPr>
        <w:footnoteReference w:id="75"/>
      </w:r>
      <w:r w:rsidRPr="75965158">
        <w:rPr>
          <w:rFonts w:eastAsia="Times New Roman" w:cs="Times New Roman"/>
          <w:noProof/>
        </w:rPr>
        <w:t xml:space="preserve">. </w:t>
      </w:r>
      <w:r w:rsidRPr="75965158">
        <w:rPr>
          <w:rFonts w:eastAsia="Times New Roman" w:cs="Times New Roman"/>
          <w:noProof/>
          <w:lang w:val="en-GB"/>
        </w:rPr>
        <w:t xml:space="preserve">The </w:t>
      </w:r>
      <w:r w:rsidR="4EF6C278" w:rsidRPr="75965158">
        <w:rPr>
          <w:rFonts w:eastAsia="Times New Roman" w:cs="Times New Roman"/>
          <w:noProof/>
          <w:lang w:val="en-GB"/>
        </w:rPr>
        <w:t>Unitary Patent</w:t>
      </w:r>
      <w:r w:rsidRPr="75965158">
        <w:rPr>
          <w:rFonts w:eastAsia="Times New Roman" w:cs="Times New Roman"/>
          <w:noProof/>
          <w:lang w:val="en-GB"/>
        </w:rPr>
        <w:t xml:space="preserve"> </w:t>
      </w:r>
      <w:r w:rsidR="4EF6C278" w:rsidRPr="75965158">
        <w:rPr>
          <w:rFonts w:eastAsia="Times New Roman" w:cs="Times New Roman"/>
          <w:noProof/>
          <w:lang w:val="en-GB"/>
        </w:rPr>
        <w:t xml:space="preserve">will </w:t>
      </w:r>
      <w:r w:rsidRPr="75965158">
        <w:rPr>
          <w:rFonts w:eastAsia="Times New Roman" w:cs="Times New Roman"/>
          <w:noProof/>
          <w:lang w:val="en-GB"/>
        </w:rPr>
        <w:t xml:space="preserve">be accompanied by a </w:t>
      </w:r>
      <w:r w:rsidR="25E3EB24" w:rsidRPr="75965158">
        <w:rPr>
          <w:rFonts w:eastAsia="Times New Roman" w:cs="Times New Roman"/>
          <w:noProof/>
          <w:lang w:val="en-GB"/>
        </w:rPr>
        <w:t xml:space="preserve">reform of </w:t>
      </w:r>
      <w:r w:rsidRPr="75965158">
        <w:rPr>
          <w:rFonts w:eastAsia="Times New Roman" w:cs="Times New Roman"/>
          <w:noProof/>
          <w:lang w:val="en-GB"/>
        </w:rPr>
        <w:t xml:space="preserve">Standard Essential Patents </w:t>
      </w:r>
      <w:r w:rsidRPr="75965158">
        <w:rPr>
          <w:rFonts w:eastAsia="Times New Roman" w:cs="Times New Roman"/>
          <w:b/>
          <w:bCs/>
          <w:noProof/>
          <w:lang w:val="en-GB"/>
        </w:rPr>
        <w:t>setting out the global licensing standards</w:t>
      </w:r>
      <w:r w:rsidRPr="75965158">
        <w:rPr>
          <w:rFonts w:eastAsia="Times New Roman" w:cs="Times New Roman"/>
          <w:noProof/>
          <w:lang w:val="en-GB"/>
        </w:rPr>
        <w:t xml:space="preserve"> in a </w:t>
      </w:r>
      <w:r w:rsidR="72926438" w:rsidRPr="75965158">
        <w:rPr>
          <w:rFonts w:eastAsia="Times New Roman" w:cs="Times New Roman"/>
          <w:noProof/>
          <w:lang w:val="en-GB"/>
        </w:rPr>
        <w:t>way that</w:t>
      </w:r>
      <w:r w:rsidRPr="75965158">
        <w:rPr>
          <w:rFonts w:eastAsia="Times New Roman" w:cs="Times New Roman"/>
          <w:noProof/>
          <w:lang w:val="en-GB"/>
        </w:rPr>
        <w:t xml:space="preserve"> maximises R&amp;D investment of </w:t>
      </w:r>
      <w:r w:rsidR="3BF25FDC" w:rsidRPr="75965158">
        <w:rPr>
          <w:rFonts w:eastAsia="Times New Roman" w:cs="Times New Roman"/>
          <w:noProof/>
          <w:lang w:val="en-GB"/>
        </w:rPr>
        <w:t>holders and implementers</w:t>
      </w:r>
      <w:r w:rsidR="0037134F">
        <w:rPr>
          <w:rFonts w:eastAsia="Times New Roman" w:cs="Times New Roman"/>
          <w:noProof/>
          <w:lang w:val="en-GB"/>
        </w:rPr>
        <w:t xml:space="preserve"> alike</w:t>
      </w:r>
      <w:r w:rsidR="3BF25FDC" w:rsidRPr="75965158">
        <w:rPr>
          <w:rFonts w:eastAsia="Times New Roman" w:cs="Times New Roman"/>
          <w:noProof/>
          <w:lang w:val="en-GB"/>
        </w:rPr>
        <w:t xml:space="preserve"> of </w:t>
      </w:r>
      <w:r w:rsidRPr="75965158">
        <w:rPr>
          <w:rFonts w:eastAsia="Times New Roman" w:cs="Times New Roman"/>
          <w:noProof/>
          <w:lang w:val="en-GB"/>
        </w:rPr>
        <w:t xml:space="preserve">EU </w:t>
      </w:r>
      <w:r w:rsidR="3BF25FDC" w:rsidRPr="75965158">
        <w:rPr>
          <w:rFonts w:eastAsia="Times New Roman" w:cs="Times New Roman"/>
          <w:noProof/>
          <w:lang w:val="en-GB"/>
        </w:rPr>
        <w:t>Standard Essential Patents</w:t>
      </w:r>
      <w:r w:rsidRPr="75965158">
        <w:rPr>
          <w:rFonts w:eastAsia="Times New Roman" w:cs="Times New Roman"/>
          <w:noProof/>
          <w:lang w:val="en-GB"/>
        </w:rPr>
        <w:t xml:space="preserve">. </w:t>
      </w:r>
    </w:p>
    <w:p w14:paraId="3B45DB8F" w14:textId="37F4EDC8" w:rsidR="00EF6C13" w:rsidRPr="00CF3D10" w:rsidRDefault="00EF6C13" w:rsidP="00EF6C13">
      <w:pPr>
        <w:spacing w:line="257" w:lineRule="auto"/>
        <w:jc w:val="both"/>
        <w:rPr>
          <w:noProof/>
          <w:lang w:val="en-GB"/>
        </w:rPr>
      </w:pPr>
      <w:r w:rsidRPr="475CF62B">
        <w:rPr>
          <w:rFonts w:eastAsiaTheme="minorEastAsia"/>
          <w:noProof/>
        </w:rPr>
        <w:t xml:space="preserve">Digitalisation is increasingly making it easier for citizens to exercise their social security rights across borders. The Commission will, in the course of 2023, present an initiative on </w:t>
      </w:r>
      <w:r w:rsidRPr="006A6D1A">
        <w:rPr>
          <w:rFonts w:eastAsiaTheme="minorEastAsia"/>
          <w:b/>
          <w:bCs/>
          <w:noProof/>
        </w:rPr>
        <w:t>digitalising social security coordination</w:t>
      </w:r>
      <w:r w:rsidRPr="475CF62B">
        <w:rPr>
          <w:rFonts w:eastAsiaTheme="minorEastAsia"/>
          <w:noProof/>
        </w:rPr>
        <w:t>, in connection with the work on a pilot project for the European Social Security Pass</w:t>
      </w:r>
      <w:r w:rsidRPr="475CF62B">
        <w:rPr>
          <w:rStyle w:val="FootnoteReference"/>
          <w:rFonts w:eastAsiaTheme="minorEastAsia"/>
          <w:noProof/>
        </w:rPr>
        <w:footnoteReference w:id="76"/>
      </w:r>
      <w:r w:rsidRPr="475CF62B">
        <w:rPr>
          <w:rFonts w:eastAsiaTheme="minorEastAsia"/>
          <w:noProof/>
        </w:rPr>
        <w:t xml:space="preserve">. </w:t>
      </w:r>
      <w:r>
        <w:rPr>
          <w:noProof/>
        </w:rPr>
        <w:t xml:space="preserve">The initiative will present how digitalisation in this area facilitates the exercise of citizens’ social security rights across Europe and thus supports free movement of persons and labour mobility. It will describe the progress </w:t>
      </w:r>
      <w:r w:rsidR="00D777B3">
        <w:rPr>
          <w:noProof/>
        </w:rPr>
        <w:t>in digitalisation of social security,</w:t>
      </w:r>
      <w:r>
        <w:rPr>
          <w:noProof/>
        </w:rPr>
        <w:t xml:space="preserve"> the </w:t>
      </w:r>
      <w:r w:rsidR="00D777B3">
        <w:rPr>
          <w:noProof/>
        </w:rPr>
        <w:t xml:space="preserve">main </w:t>
      </w:r>
      <w:r>
        <w:rPr>
          <w:noProof/>
        </w:rPr>
        <w:t xml:space="preserve">challenges </w:t>
      </w:r>
      <w:r w:rsidR="00D777B3">
        <w:rPr>
          <w:noProof/>
        </w:rPr>
        <w:t>and opportunities, links to other digital initiatives and will set clear milestones until 2030</w:t>
      </w:r>
      <w:r>
        <w:rPr>
          <w:noProof/>
        </w:rPr>
        <w:t>, supporting the Commission’s longer-term vision of more interoperable and interconnected social security systems.</w:t>
      </w:r>
    </w:p>
    <w:p w14:paraId="0204D13F" w14:textId="0D58A198" w:rsidR="00EF6C13" w:rsidRPr="008B0D94" w:rsidRDefault="004158A6" w:rsidP="00EF6C13">
      <w:pPr>
        <w:jc w:val="both"/>
        <w:rPr>
          <w:rFonts w:eastAsia="Times New Roman" w:cs="Times New Roman"/>
          <w:noProof/>
        </w:rPr>
      </w:pPr>
      <w:r>
        <w:rPr>
          <w:noProof/>
        </w:rPr>
        <w:t>T</w:t>
      </w:r>
      <w:r w:rsidR="00EF6C13" w:rsidRPr="1FB2AE7E">
        <w:rPr>
          <w:noProof/>
          <w:lang w:val="en-GB"/>
        </w:rPr>
        <w:t xml:space="preserve">he EU plays an active role </w:t>
      </w:r>
      <w:r>
        <w:rPr>
          <w:noProof/>
          <w:lang w:val="en-GB"/>
        </w:rPr>
        <w:t>also in the field of tax policies</w:t>
      </w:r>
      <w:r w:rsidRPr="1FB2AE7E">
        <w:rPr>
          <w:noProof/>
          <w:lang w:val="en-GB"/>
        </w:rPr>
        <w:t xml:space="preserve"> </w:t>
      </w:r>
      <w:r w:rsidR="00EF6C13">
        <w:rPr>
          <w:noProof/>
          <w:lang w:val="en-GB"/>
        </w:rPr>
        <w:t>to</w:t>
      </w:r>
      <w:r w:rsidR="00EF6C13" w:rsidRPr="1FB2AE7E">
        <w:rPr>
          <w:noProof/>
          <w:lang w:val="en-GB"/>
        </w:rPr>
        <w:t xml:space="preserve"> </w:t>
      </w:r>
      <w:r>
        <w:rPr>
          <w:noProof/>
          <w:lang w:val="en-GB"/>
        </w:rPr>
        <w:t>address distortions</w:t>
      </w:r>
      <w:r w:rsidRPr="1FB2AE7E">
        <w:rPr>
          <w:noProof/>
          <w:lang w:val="en-GB"/>
        </w:rPr>
        <w:t xml:space="preserve"> </w:t>
      </w:r>
      <w:r>
        <w:rPr>
          <w:noProof/>
          <w:lang w:val="en-GB"/>
        </w:rPr>
        <w:t>and ensure the</w:t>
      </w:r>
      <w:r>
        <w:rPr>
          <w:noProof/>
        </w:rPr>
        <w:t xml:space="preserve"> good functioning </w:t>
      </w:r>
      <w:r w:rsidR="007D5DB4">
        <w:rPr>
          <w:noProof/>
        </w:rPr>
        <w:t xml:space="preserve">of </w:t>
      </w:r>
      <w:r w:rsidR="007D5DB4" w:rsidRPr="1FB2AE7E">
        <w:rPr>
          <w:noProof/>
          <w:lang w:val="en-GB"/>
        </w:rPr>
        <w:t>the</w:t>
      </w:r>
      <w:r w:rsidR="00EF6C13" w:rsidRPr="1FB2AE7E">
        <w:rPr>
          <w:noProof/>
          <w:lang w:val="en-GB"/>
        </w:rPr>
        <w:t xml:space="preserve"> </w:t>
      </w:r>
      <w:r w:rsidR="00EF6C13">
        <w:rPr>
          <w:noProof/>
          <w:lang w:val="en-GB"/>
        </w:rPr>
        <w:t>S</w:t>
      </w:r>
      <w:r w:rsidR="00EF6C13" w:rsidRPr="1FB2AE7E">
        <w:rPr>
          <w:noProof/>
          <w:lang w:val="en-GB"/>
        </w:rPr>
        <w:t xml:space="preserve">ingle </w:t>
      </w:r>
      <w:r w:rsidR="00EF6C13">
        <w:rPr>
          <w:noProof/>
          <w:lang w:val="en-GB"/>
        </w:rPr>
        <w:t>M</w:t>
      </w:r>
      <w:r w:rsidR="00EF6C13" w:rsidRPr="1FB2AE7E">
        <w:rPr>
          <w:noProof/>
          <w:lang w:val="en-GB"/>
        </w:rPr>
        <w:t xml:space="preserve">arket. </w:t>
      </w:r>
      <w:r w:rsidR="00EF6C13" w:rsidRPr="00253287">
        <w:rPr>
          <w:rFonts w:eastAsia="Times New Roman" w:cs="Times New Roman"/>
          <w:noProof/>
        </w:rPr>
        <w:t xml:space="preserve">For example, the </w:t>
      </w:r>
      <w:r w:rsidR="00EF6C13" w:rsidRPr="00E414E8">
        <w:rPr>
          <w:rFonts w:eastAsia="Times New Roman" w:cs="Times New Roman"/>
          <w:b/>
          <w:bCs/>
          <w:noProof/>
        </w:rPr>
        <w:t>VAT in the Digital Age</w:t>
      </w:r>
      <w:r w:rsidR="00EF6C13" w:rsidRPr="00253287">
        <w:rPr>
          <w:rFonts w:eastAsia="Times New Roman" w:cs="Times New Roman"/>
          <w:noProof/>
        </w:rPr>
        <w:t xml:space="preserve"> proposal</w:t>
      </w:r>
      <w:r w:rsidR="00EF6C13" w:rsidRPr="2AC797F7">
        <w:rPr>
          <w:rStyle w:val="FootnoteReference"/>
          <w:rFonts w:ascii="Calibri" w:eastAsia="Calibri" w:hAnsi="Calibri" w:cs="Calibri"/>
          <w:noProof/>
          <w:color w:val="1F497D"/>
          <w:lang w:val="en-GB"/>
        </w:rPr>
        <w:footnoteReference w:id="77"/>
      </w:r>
      <w:r w:rsidR="00EF6C13" w:rsidRPr="00253287">
        <w:rPr>
          <w:rFonts w:eastAsia="Times New Roman" w:cs="Times New Roman"/>
          <w:noProof/>
        </w:rPr>
        <w:t xml:space="preserve"> will greatly contribute to the strengthening of the </w:t>
      </w:r>
      <w:r w:rsidR="004F6C28">
        <w:rPr>
          <w:rFonts w:eastAsia="Times New Roman" w:cs="Times New Roman"/>
          <w:noProof/>
        </w:rPr>
        <w:t>S</w:t>
      </w:r>
      <w:r w:rsidR="00EF6C13" w:rsidRPr="00253287">
        <w:rPr>
          <w:rFonts w:eastAsia="Times New Roman" w:cs="Times New Roman"/>
          <w:noProof/>
        </w:rPr>
        <w:t xml:space="preserve">ingle </w:t>
      </w:r>
      <w:r w:rsidR="004F6C28">
        <w:rPr>
          <w:rFonts w:eastAsia="Times New Roman" w:cs="Times New Roman"/>
          <w:noProof/>
        </w:rPr>
        <w:t>M</w:t>
      </w:r>
      <w:r w:rsidR="00EF6C13" w:rsidRPr="00253287">
        <w:rPr>
          <w:rFonts w:eastAsia="Times New Roman" w:cs="Times New Roman"/>
          <w:noProof/>
        </w:rPr>
        <w:t>arket by further simplifying the VAT obligations of traders, especially SMEs</w:t>
      </w:r>
      <w:r w:rsidR="00EF6C13">
        <w:rPr>
          <w:rFonts w:eastAsia="Times New Roman" w:cs="Times New Roman"/>
          <w:noProof/>
        </w:rPr>
        <w:t>,</w:t>
      </w:r>
      <w:r w:rsidR="00EF6C13" w:rsidRPr="00253287">
        <w:rPr>
          <w:rFonts w:eastAsia="Times New Roman" w:cs="Times New Roman"/>
          <w:noProof/>
        </w:rPr>
        <w:t xml:space="preserve"> and by proposing a digital reporting requirement which will prevent further fragmentation in the EU. </w:t>
      </w:r>
      <w:r w:rsidRPr="004158A6">
        <w:rPr>
          <w:rFonts w:eastAsia="Times New Roman" w:cs="Times New Roman"/>
          <w:noProof/>
        </w:rPr>
        <w:t>The Business in Europe: Framework for Income Taxation (BEFIT), currently under preparation, will introduce a single corporate tax rulebook for the EU, creating a coherent approach to business taxation throughout the EU.</w:t>
      </w:r>
    </w:p>
    <w:p w14:paraId="72C277AE" w14:textId="35BD4C16" w:rsidR="000A3C20" w:rsidRPr="00761B15" w:rsidRDefault="00EF6C13" w:rsidP="0044211C">
      <w:pPr>
        <w:spacing w:line="257" w:lineRule="auto"/>
        <w:jc w:val="both"/>
        <w:rPr>
          <w:noProof/>
        </w:rPr>
      </w:pPr>
      <w:r w:rsidRPr="005A2C27">
        <w:rPr>
          <w:noProof/>
        </w:rPr>
        <w:t xml:space="preserve">Moreover, the Commission is preparing an ambitious </w:t>
      </w:r>
      <w:r w:rsidRPr="006A6D1A">
        <w:rPr>
          <w:b/>
          <w:bCs/>
          <w:noProof/>
        </w:rPr>
        <w:t>reform of the Customs Union</w:t>
      </w:r>
      <w:r w:rsidRPr="005A2C27">
        <w:rPr>
          <w:noProof/>
        </w:rPr>
        <w:t xml:space="preserve">, which will further strengthen the cooperation between customs and market surveillance authorities, by including centralised risk management data analytics, and a more comprehensive and structured exchange of data from multiple sources. For EU businesses to prosper in the face of new geo-political challenges and to keep their production facilities within the </w:t>
      </w:r>
      <w:r w:rsidR="000A3C20">
        <w:rPr>
          <w:noProof/>
        </w:rPr>
        <w:t>S</w:t>
      </w:r>
      <w:r w:rsidRPr="005A2C27">
        <w:rPr>
          <w:noProof/>
        </w:rPr>
        <w:t xml:space="preserve">ingle </w:t>
      </w:r>
      <w:r w:rsidR="000A3C20">
        <w:rPr>
          <w:noProof/>
        </w:rPr>
        <w:t>M</w:t>
      </w:r>
      <w:r w:rsidRPr="005A2C27">
        <w:rPr>
          <w:noProof/>
        </w:rPr>
        <w:t>arket, preserving its integrity and a level-playing field with third-country producers is of utmost importance. A key objective of the Customs reform is thus to more efficiently and effectively enforc</w:t>
      </w:r>
      <w:r>
        <w:rPr>
          <w:noProof/>
        </w:rPr>
        <w:t>e</w:t>
      </w:r>
      <w:r w:rsidRPr="005A2C27">
        <w:rPr>
          <w:noProof/>
        </w:rPr>
        <w:t xml:space="preserve"> EU </w:t>
      </w:r>
      <w:r>
        <w:rPr>
          <w:noProof/>
        </w:rPr>
        <w:t>rules at external borders</w:t>
      </w:r>
      <w:r w:rsidRPr="005A2C27">
        <w:rPr>
          <w:noProof/>
        </w:rPr>
        <w:t>, including prohibitions and restrictions</w:t>
      </w:r>
      <w:r>
        <w:rPr>
          <w:rStyle w:val="FootnoteReference"/>
          <w:noProof/>
        </w:rPr>
        <w:footnoteReference w:id="78"/>
      </w:r>
      <w:r w:rsidRPr="02B285FE">
        <w:rPr>
          <w:noProof/>
        </w:rPr>
        <w:t>.</w:t>
      </w:r>
      <w:r w:rsidRPr="00BE354D">
        <w:rPr>
          <w:noProof/>
          <w:shd w:val="clear" w:color="auto" w:fill="FFF2CC" w:themeFill="accent4" w:themeFillTint="33"/>
        </w:rPr>
        <w:t xml:space="preserve"> </w:t>
      </w:r>
    </w:p>
    <w:p w14:paraId="6DA13908" w14:textId="50D42BE2" w:rsidR="003E304C" w:rsidRPr="00A30CB2" w:rsidRDefault="00A762EF" w:rsidP="003E304C">
      <w:pPr>
        <w:spacing w:line="257" w:lineRule="auto"/>
        <w:jc w:val="both"/>
        <w:rPr>
          <w:rFonts w:eastAsia="Times New Roman" w:cs="Times New Roman"/>
          <w:noProof/>
        </w:rPr>
      </w:pPr>
      <w:r w:rsidRPr="00761B15">
        <w:rPr>
          <w:noProof/>
        </w:rPr>
        <w:t>Successful transition to a green and digital economy requires</w:t>
      </w:r>
      <w:r w:rsidR="008A2294">
        <w:rPr>
          <w:noProof/>
        </w:rPr>
        <w:t xml:space="preserve"> </w:t>
      </w:r>
      <w:r w:rsidR="00D777B3">
        <w:rPr>
          <w:noProof/>
        </w:rPr>
        <w:t xml:space="preserve">a workforce with the necessary </w:t>
      </w:r>
      <w:r w:rsidR="003E304C">
        <w:rPr>
          <w:noProof/>
        </w:rPr>
        <w:t xml:space="preserve">education </w:t>
      </w:r>
      <w:r w:rsidR="00D777B3">
        <w:rPr>
          <w:noProof/>
        </w:rPr>
        <w:t>skills</w:t>
      </w:r>
      <w:r w:rsidRPr="00761B15">
        <w:rPr>
          <w:noProof/>
        </w:rPr>
        <w:t>. Already today, 77% of companies declare that they struggle to find employees with the required skills</w:t>
      </w:r>
      <w:r w:rsidRPr="00761B15">
        <w:rPr>
          <w:rStyle w:val="FootnoteReference"/>
          <w:noProof/>
        </w:rPr>
        <w:footnoteReference w:id="79"/>
      </w:r>
      <w:r w:rsidRPr="00761B15">
        <w:rPr>
          <w:noProof/>
        </w:rPr>
        <w:t>.</w:t>
      </w:r>
      <w:r w:rsidR="0044211C" w:rsidRPr="00761B15">
        <w:rPr>
          <w:noProof/>
        </w:rPr>
        <w:t xml:space="preserve"> A key tool for ensuring companies have access to the skills when and where they need them is the </w:t>
      </w:r>
      <w:r w:rsidR="0044211C" w:rsidRPr="00761B15">
        <w:rPr>
          <w:b/>
          <w:noProof/>
        </w:rPr>
        <w:t>EU’s professional mobility system</w:t>
      </w:r>
      <w:r w:rsidR="0044211C" w:rsidRPr="00761B15">
        <w:rPr>
          <w:noProof/>
        </w:rPr>
        <w:t xml:space="preserve">, which has already enabled 800 000 people to practise their profession in another Member State since 1997. Since 2013, the introduction of the </w:t>
      </w:r>
      <w:r w:rsidR="0044211C" w:rsidRPr="00761B15">
        <w:rPr>
          <w:b/>
          <w:noProof/>
        </w:rPr>
        <w:t>European Professional Card and a Common Training Test</w:t>
      </w:r>
      <w:r w:rsidR="0044211C" w:rsidRPr="00761B15">
        <w:rPr>
          <w:noProof/>
        </w:rPr>
        <w:t xml:space="preserve"> has made mobility easier, but only in a limited number of professions. </w:t>
      </w:r>
      <w:r w:rsidR="0044211C" w:rsidRPr="00761B15" w:rsidDel="00EC65E3">
        <w:rPr>
          <w:noProof/>
        </w:rPr>
        <w:t xml:space="preserve">To tap this potential and make the recognition of </w:t>
      </w:r>
      <w:r w:rsidR="0044211C" w:rsidRPr="00761B15">
        <w:rPr>
          <w:noProof/>
        </w:rPr>
        <w:t xml:space="preserve">professional </w:t>
      </w:r>
      <w:r w:rsidR="0044211C" w:rsidRPr="00761B15" w:rsidDel="00EC65E3">
        <w:rPr>
          <w:noProof/>
        </w:rPr>
        <w:t xml:space="preserve">qualifications in other Member States faster and easier for more people, the Commission </w:t>
      </w:r>
      <w:r w:rsidR="0044211C" w:rsidRPr="00761B15">
        <w:rPr>
          <w:noProof/>
        </w:rPr>
        <w:t xml:space="preserve">will </w:t>
      </w:r>
      <w:r w:rsidR="0044211C" w:rsidRPr="00761B15" w:rsidDel="00EC65E3">
        <w:rPr>
          <w:noProof/>
        </w:rPr>
        <w:t xml:space="preserve">explore with Member States the possibility of using these and similar tools more widely. </w:t>
      </w:r>
      <w:r w:rsidR="0044211C" w:rsidRPr="00761B15">
        <w:rPr>
          <w:noProof/>
        </w:rPr>
        <w:t xml:space="preserve">The Commission will moreover present in 2023 a </w:t>
      </w:r>
      <w:r w:rsidR="0044211C" w:rsidRPr="00761B15">
        <w:rPr>
          <w:b/>
          <w:noProof/>
        </w:rPr>
        <w:t xml:space="preserve">proposal to facilitate the recognition of qualifications of third country nationals </w:t>
      </w:r>
      <w:r w:rsidR="0044211C" w:rsidRPr="00761B15">
        <w:rPr>
          <w:rFonts w:eastAsia="Times New Roman" w:cs="Times New Roman"/>
          <w:noProof/>
        </w:rPr>
        <w:t>in order to make the Single Market more attractive for talent and skilled workers from outside the EU. The Commission will also pilot the European Digital Skills Certificate to ensure a minimum level of quality of digital skilling and upskilling and its recognition across the EU.</w:t>
      </w:r>
      <w:r w:rsidR="003E304C">
        <w:rPr>
          <w:rFonts w:eastAsia="Times New Roman" w:cs="Times New Roman"/>
          <w:noProof/>
        </w:rPr>
        <w:t xml:space="preserve"> </w:t>
      </w:r>
      <w:r w:rsidR="003E304C" w:rsidRPr="00FB2D3E">
        <w:rPr>
          <w:rFonts w:eastAsia="Times New Roman" w:cs="Times New Roman"/>
          <w:noProof/>
        </w:rPr>
        <w:t xml:space="preserve">In parallel, we </w:t>
      </w:r>
      <w:r w:rsidR="003E304C">
        <w:rPr>
          <w:rFonts w:eastAsia="Times New Roman" w:cs="Times New Roman"/>
          <w:noProof/>
        </w:rPr>
        <w:t>will</w:t>
      </w:r>
      <w:r w:rsidR="003E304C" w:rsidRPr="00FB2D3E">
        <w:rPr>
          <w:rFonts w:eastAsia="Times New Roman" w:cs="Times New Roman"/>
          <w:noProof/>
        </w:rPr>
        <w:t xml:space="preserve"> complete the European Education Area by 2025, further enriching the digital and green dimension of Member State</w:t>
      </w:r>
      <w:r w:rsidR="00EA3B44">
        <w:rPr>
          <w:rFonts w:eastAsia="Times New Roman" w:cs="Times New Roman"/>
          <w:noProof/>
        </w:rPr>
        <w:t>s’</w:t>
      </w:r>
      <w:r w:rsidR="003E304C" w:rsidRPr="00FB2D3E">
        <w:rPr>
          <w:rFonts w:eastAsia="Times New Roman" w:cs="Times New Roman"/>
          <w:noProof/>
        </w:rPr>
        <w:t xml:space="preserve"> education system</w:t>
      </w:r>
      <w:r w:rsidR="003E304C">
        <w:rPr>
          <w:rFonts w:eastAsia="Times New Roman" w:cs="Times New Roman"/>
          <w:noProof/>
        </w:rPr>
        <w:t>s, facilitating</w:t>
      </w:r>
      <w:r w:rsidR="003E304C" w:rsidRPr="00FB2D3E">
        <w:rPr>
          <w:rFonts w:eastAsia="Times New Roman" w:cs="Times New Roman"/>
          <w:noProof/>
        </w:rPr>
        <w:t xml:space="preserve"> learners and teachers </w:t>
      </w:r>
      <w:r w:rsidR="003E304C">
        <w:rPr>
          <w:rFonts w:eastAsia="Times New Roman" w:cs="Times New Roman"/>
          <w:noProof/>
        </w:rPr>
        <w:t xml:space="preserve">to </w:t>
      </w:r>
      <w:r w:rsidR="003E304C" w:rsidRPr="00FB2D3E">
        <w:rPr>
          <w:rFonts w:eastAsia="Times New Roman" w:cs="Times New Roman"/>
          <w:noProof/>
        </w:rPr>
        <w:t xml:space="preserve">work across the Single Market and making it easier for </w:t>
      </w:r>
      <w:r w:rsidR="003E304C">
        <w:rPr>
          <w:rFonts w:eastAsia="Times New Roman" w:cs="Times New Roman"/>
          <w:noProof/>
        </w:rPr>
        <w:t>researchers and universities to collaborate</w:t>
      </w:r>
      <w:r w:rsidR="003E304C" w:rsidRPr="00FB2D3E">
        <w:rPr>
          <w:rFonts w:eastAsia="Times New Roman" w:cs="Times New Roman"/>
          <w:noProof/>
        </w:rPr>
        <w:t>.</w:t>
      </w:r>
    </w:p>
    <w:p w14:paraId="78AFEA34" w14:textId="5D15CD22" w:rsidR="00A762EF" w:rsidRPr="00A30CB2" w:rsidRDefault="00A762EF" w:rsidP="00A30CB2">
      <w:pPr>
        <w:spacing w:line="257" w:lineRule="auto"/>
        <w:jc w:val="both"/>
        <w:rPr>
          <w:rFonts w:eastAsia="Times New Roman" w:cs="Times New Roman"/>
          <w:noProof/>
        </w:rPr>
      </w:pPr>
    </w:p>
    <w:bookmarkEnd w:id="21"/>
    <w:p w14:paraId="5B7F3E5B" w14:textId="1AC1A8E2" w:rsidR="00CE0812" w:rsidRDefault="76FF48A9" w:rsidP="00A30CB2">
      <w:pPr>
        <w:pStyle w:val="ListParagraph"/>
        <w:spacing w:before="480"/>
        <w:jc w:val="center"/>
        <w:rPr>
          <w:noProof/>
        </w:rPr>
      </w:pPr>
      <w:r w:rsidRPr="008C1F62">
        <w:rPr>
          <w:noProof/>
        </w:rPr>
        <w:t>* * *</w:t>
      </w:r>
    </w:p>
    <w:p w14:paraId="1278A4F8" w14:textId="77777777" w:rsidR="00613067" w:rsidRDefault="00613067" w:rsidP="00A30CB2">
      <w:pPr>
        <w:pStyle w:val="ListParagraph"/>
        <w:spacing w:before="480"/>
        <w:jc w:val="center"/>
        <w:rPr>
          <w:noProof/>
        </w:rPr>
      </w:pPr>
    </w:p>
    <w:p w14:paraId="0F34B7DC" w14:textId="77777777" w:rsidR="00A30CB2" w:rsidRPr="008C1F62" w:rsidRDefault="00A30CB2" w:rsidP="00A30CB2">
      <w:pPr>
        <w:pStyle w:val="ListParagraph"/>
        <w:spacing w:before="480"/>
        <w:jc w:val="center"/>
        <w:rPr>
          <w:noProof/>
        </w:rPr>
      </w:pPr>
    </w:p>
    <w:p w14:paraId="4BF42E44" w14:textId="7BF89157" w:rsidR="00D161B3" w:rsidRPr="00A30CB2" w:rsidRDefault="00E15FA0" w:rsidP="00F93C20">
      <w:pPr>
        <w:pStyle w:val="Heading1"/>
        <w:numPr>
          <w:ilvl w:val="0"/>
          <w:numId w:val="1"/>
        </w:numPr>
        <w:rPr>
          <w:b/>
          <w:caps/>
          <w:noProof/>
          <w:color w:val="auto"/>
          <w:sz w:val="24"/>
          <w:szCs w:val="24"/>
        </w:rPr>
      </w:pPr>
      <w:r w:rsidRPr="00A30CB2">
        <w:rPr>
          <w:b/>
          <w:caps/>
          <w:noProof/>
          <w:color w:val="auto"/>
          <w:sz w:val="24"/>
          <w:szCs w:val="24"/>
        </w:rPr>
        <w:t>Conclusion</w:t>
      </w:r>
      <w:r w:rsidR="00571D7F" w:rsidRPr="00A30CB2">
        <w:rPr>
          <w:b/>
          <w:caps/>
          <w:noProof/>
          <w:color w:val="auto"/>
          <w:sz w:val="24"/>
          <w:szCs w:val="24"/>
        </w:rPr>
        <w:t>s</w:t>
      </w:r>
    </w:p>
    <w:p w14:paraId="27B0A9C1" w14:textId="77777777" w:rsidR="00E15FA0" w:rsidRPr="00A30CB2" w:rsidRDefault="00E15FA0" w:rsidP="009E6CAE">
      <w:pPr>
        <w:jc w:val="both"/>
        <w:rPr>
          <w:noProof/>
        </w:rPr>
      </w:pPr>
      <w:bookmarkStart w:id="24" w:name="_Hlk127190304"/>
    </w:p>
    <w:p w14:paraId="36AF44DA" w14:textId="4D0AF926" w:rsidR="00904500" w:rsidRPr="00A30CB2" w:rsidRDefault="00904500" w:rsidP="008A2294">
      <w:pPr>
        <w:spacing w:line="257" w:lineRule="auto"/>
        <w:jc w:val="both"/>
        <w:rPr>
          <w:rFonts w:cs="Times New Roman"/>
          <w:noProof/>
          <w:szCs w:val="24"/>
        </w:rPr>
      </w:pPr>
      <w:r w:rsidRPr="00A30CB2">
        <w:rPr>
          <w:rFonts w:cs="Times New Roman"/>
          <w:noProof/>
          <w:szCs w:val="24"/>
        </w:rPr>
        <w:t xml:space="preserve">The Single Market has benefitted citizens, businesses and the EU as a whole in economic, social and geopolitical terms. While these benefits are undisputed, </w:t>
      </w:r>
      <w:r w:rsidR="00FF4254" w:rsidRPr="00A30CB2">
        <w:rPr>
          <w:rFonts w:cs="Times New Roman"/>
          <w:noProof/>
          <w:szCs w:val="24"/>
        </w:rPr>
        <w:t>further joint efforts remain to be continued in order to</w:t>
      </w:r>
      <w:r w:rsidRPr="00A30CB2">
        <w:rPr>
          <w:rFonts w:cs="Times New Roman"/>
          <w:noProof/>
          <w:szCs w:val="24"/>
        </w:rPr>
        <w:t xml:space="preserve"> </w:t>
      </w:r>
      <w:r w:rsidRPr="00A30CB2">
        <w:rPr>
          <w:rFonts w:cs="Times New Roman"/>
          <w:b/>
          <w:noProof/>
          <w:szCs w:val="24"/>
        </w:rPr>
        <w:t xml:space="preserve">explore and </w:t>
      </w:r>
      <w:r w:rsidR="00B07240" w:rsidRPr="00A30CB2">
        <w:rPr>
          <w:rFonts w:cs="Times New Roman"/>
          <w:b/>
          <w:noProof/>
          <w:szCs w:val="24"/>
        </w:rPr>
        <w:t xml:space="preserve">find solutions </w:t>
      </w:r>
      <w:r w:rsidR="00B07240" w:rsidRPr="00A30CB2">
        <w:rPr>
          <w:rFonts w:cs="Times New Roman"/>
          <w:noProof/>
          <w:szCs w:val="24"/>
        </w:rPr>
        <w:t xml:space="preserve">in order to </w:t>
      </w:r>
      <w:r w:rsidRPr="00A30CB2">
        <w:rPr>
          <w:rFonts w:cs="Times New Roman"/>
          <w:noProof/>
          <w:szCs w:val="24"/>
        </w:rPr>
        <w:t xml:space="preserve">benefit further from the </w:t>
      </w:r>
      <w:r w:rsidR="00FF4254" w:rsidRPr="00A30CB2">
        <w:rPr>
          <w:rFonts w:cs="Times New Roman"/>
          <w:noProof/>
          <w:szCs w:val="24"/>
        </w:rPr>
        <w:t xml:space="preserve">potential which is still untapped. </w:t>
      </w:r>
      <w:r w:rsidRPr="00A30CB2">
        <w:rPr>
          <w:rFonts w:cs="Times New Roman"/>
          <w:noProof/>
          <w:szCs w:val="24"/>
        </w:rPr>
        <w:t xml:space="preserve">The Single Market will </w:t>
      </w:r>
      <w:r w:rsidR="007F5CAC" w:rsidRPr="00A30CB2">
        <w:rPr>
          <w:rFonts w:cs="Times New Roman"/>
          <w:noProof/>
          <w:szCs w:val="24"/>
        </w:rPr>
        <w:t xml:space="preserve">also </w:t>
      </w:r>
      <w:r w:rsidRPr="00A30CB2">
        <w:rPr>
          <w:rFonts w:cs="Times New Roman"/>
          <w:noProof/>
          <w:szCs w:val="24"/>
        </w:rPr>
        <w:t xml:space="preserve">have to continue to </w:t>
      </w:r>
      <w:r w:rsidRPr="00A30CB2">
        <w:rPr>
          <w:rFonts w:cs="Times New Roman"/>
          <w:b/>
          <w:bCs/>
          <w:noProof/>
          <w:szCs w:val="24"/>
        </w:rPr>
        <w:t>adapt to the new realities</w:t>
      </w:r>
      <w:r w:rsidRPr="00A30CB2">
        <w:rPr>
          <w:rFonts w:cs="Times New Roman"/>
          <w:noProof/>
          <w:szCs w:val="24"/>
        </w:rPr>
        <w:t xml:space="preserve"> of the geopolitical environment, technological developments, the green and digital transitions and the need to </w:t>
      </w:r>
      <w:r w:rsidRPr="00AF3D89">
        <w:rPr>
          <w:noProof/>
        </w:rPr>
        <w:t>boost</w:t>
      </w:r>
      <w:r w:rsidRPr="00A30CB2">
        <w:rPr>
          <w:rFonts w:cs="Times New Roman"/>
          <w:noProof/>
          <w:szCs w:val="24"/>
        </w:rPr>
        <w:t xml:space="preserve"> the EU’s long-term competitiveness and productivity. </w:t>
      </w:r>
    </w:p>
    <w:p w14:paraId="1E61F80C" w14:textId="4C4C4B39" w:rsidR="009420C2" w:rsidRDefault="00904500" w:rsidP="008A2294">
      <w:pPr>
        <w:spacing w:line="257" w:lineRule="auto"/>
        <w:jc w:val="both"/>
        <w:rPr>
          <w:rFonts w:cs="Times New Roman"/>
          <w:noProof/>
          <w:szCs w:val="24"/>
        </w:rPr>
      </w:pPr>
      <w:r w:rsidRPr="00A30CB2">
        <w:rPr>
          <w:rFonts w:cs="Times New Roman"/>
          <w:noProof/>
          <w:szCs w:val="24"/>
        </w:rPr>
        <w:t xml:space="preserve">The creation of the Single Market thirty years ago was the fruit of common endeavour. As we </w:t>
      </w:r>
      <w:r w:rsidRPr="00A30CB2">
        <w:rPr>
          <w:rFonts w:cs="Times New Roman"/>
          <w:b/>
          <w:bCs/>
          <w:noProof/>
          <w:szCs w:val="24"/>
        </w:rPr>
        <w:t xml:space="preserve">look forward, </w:t>
      </w:r>
      <w:r w:rsidRPr="00A30CB2">
        <w:rPr>
          <w:rFonts w:cs="Times New Roman"/>
          <w:noProof/>
          <w:szCs w:val="24"/>
        </w:rPr>
        <w:t>we need to continue</w:t>
      </w:r>
      <w:r w:rsidRPr="00A30CB2">
        <w:rPr>
          <w:rFonts w:cs="Times New Roman"/>
          <w:b/>
          <w:bCs/>
          <w:noProof/>
          <w:szCs w:val="24"/>
        </w:rPr>
        <w:t xml:space="preserve"> </w:t>
      </w:r>
      <w:r w:rsidRPr="00A30CB2">
        <w:rPr>
          <w:rFonts w:cs="Times New Roman"/>
          <w:noProof/>
          <w:szCs w:val="24"/>
        </w:rPr>
        <w:t xml:space="preserve">maximising the Single Market’s benefits in the context of those new realities. First, a renewed focus is needed on tackling barriers in areas most relevant for the whole economy, such as </w:t>
      </w:r>
      <w:r w:rsidR="00326FC2" w:rsidRPr="00A30CB2">
        <w:rPr>
          <w:rFonts w:cs="Times New Roman"/>
          <w:noProof/>
          <w:szCs w:val="24"/>
        </w:rPr>
        <w:t xml:space="preserve">services, </w:t>
      </w:r>
      <w:r w:rsidRPr="00A30CB2">
        <w:rPr>
          <w:rFonts w:cs="Times New Roman"/>
          <w:noProof/>
          <w:szCs w:val="24"/>
        </w:rPr>
        <w:t>capital markets, energy markets, digital and data markets. Second, enforcement activities need to focus on areas with the highest untapped potential, such as business services, retail, construction and tourism. Third,</w:t>
      </w:r>
      <w:r w:rsidR="00B07240" w:rsidRPr="00A30CB2">
        <w:rPr>
          <w:rFonts w:cs="Times New Roman"/>
          <w:noProof/>
          <w:szCs w:val="24"/>
        </w:rPr>
        <w:t xml:space="preserve"> clear benchmarks are needed to address the deficits related to transposition and implementation of EU rules, </w:t>
      </w:r>
      <w:r w:rsidRPr="00A30CB2">
        <w:rPr>
          <w:rFonts w:cs="Times New Roman"/>
          <w:noProof/>
          <w:szCs w:val="24"/>
        </w:rPr>
        <w:t xml:space="preserve">reducing administrative barriers and improving the business environment. </w:t>
      </w:r>
    </w:p>
    <w:p w14:paraId="7CF121E1" w14:textId="0F38A13D" w:rsidR="00904500" w:rsidRDefault="00904500" w:rsidP="008A2294">
      <w:pPr>
        <w:spacing w:line="257" w:lineRule="auto"/>
        <w:jc w:val="both"/>
        <w:rPr>
          <w:rFonts w:cs="Times New Roman"/>
          <w:noProof/>
          <w:szCs w:val="24"/>
        </w:rPr>
      </w:pPr>
      <w:r w:rsidRPr="00A30CB2">
        <w:rPr>
          <w:rFonts w:cs="Times New Roman"/>
          <w:noProof/>
          <w:szCs w:val="24"/>
        </w:rPr>
        <w:t xml:space="preserve">The Commission will monitor progress based on the Single Market Scoreboard and other relevant sources related to enforcement and the </w:t>
      </w:r>
      <w:r w:rsidR="00B07240" w:rsidRPr="00A30CB2">
        <w:rPr>
          <w:rFonts w:cs="Times New Roman"/>
          <w:noProof/>
          <w:szCs w:val="24"/>
        </w:rPr>
        <w:t>business environment as well as</w:t>
      </w:r>
      <w:r w:rsidRPr="00A30CB2">
        <w:rPr>
          <w:rFonts w:cs="Times New Roman"/>
          <w:noProof/>
          <w:szCs w:val="24"/>
        </w:rPr>
        <w:t xml:space="preserve"> progress in the framework of SOLVIT and cooperative tools such as SMET. </w:t>
      </w:r>
    </w:p>
    <w:p w14:paraId="49ADA7E7" w14:textId="77777777" w:rsidR="00904500" w:rsidRDefault="00904500" w:rsidP="008A2294">
      <w:pPr>
        <w:spacing w:line="257" w:lineRule="auto"/>
        <w:jc w:val="both"/>
        <w:rPr>
          <w:rFonts w:cs="Times New Roman"/>
          <w:noProof/>
          <w:szCs w:val="24"/>
        </w:rPr>
      </w:pPr>
      <w:r>
        <w:rPr>
          <w:rFonts w:cs="Times New Roman"/>
          <w:noProof/>
          <w:szCs w:val="24"/>
        </w:rPr>
        <w:t>Based on the elements presented above, the Commission’s reporting on</w:t>
      </w:r>
      <w:r>
        <w:rPr>
          <w:rFonts w:cs="Times New Roman"/>
          <w:b/>
          <w:bCs/>
          <w:noProof/>
          <w:szCs w:val="24"/>
        </w:rPr>
        <w:t xml:space="preserve"> </w:t>
      </w:r>
      <w:r>
        <w:rPr>
          <w:rFonts w:cs="Times New Roman"/>
          <w:noProof/>
          <w:szCs w:val="24"/>
        </w:rPr>
        <w:t>progress with</w:t>
      </w:r>
      <w:r>
        <w:rPr>
          <w:rFonts w:cs="Times New Roman"/>
          <w:b/>
          <w:bCs/>
          <w:noProof/>
          <w:szCs w:val="24"/>
        </w:rPr>
        <w:t xml:space="preserve"> enforcement and implementation of the Single Market rules </w:t>
      </w:r>
      <w:r>
        <w:rPr>
          <w:rFonts w:cs="Times New Roman"/>
          <w:noProof/>
          <w:szCs w:val="24"/>
        </w:rPr>
        <w:t>and on</w:t>
      </w:r>
      <w:r>
        <w:rPr>
          <w:rFonts w:cs="Times New Roman"/>
          <w:b/>
          <w:bCs/>
          <w:noProof/>
          <w:szCs w:val="24"/>
        </w:rPr>
        <w:t xml:space="preserve"> addressing barriers to the Single Market </w:t>
      </w:r>
      <w:r>
        <w:rPr>
          <w:rFonts w:cs="Times New Roman"/>
          <w:noProof/>
          <w:szCs w:val="24"/>
        </w:rPr>
        <w:t>will inform</w:t>
      </w:r>
      <w:r>
        <w:rPr>
          <w:rFonts w:cs="Times New Roman"/>
          <w:b/>
          <w:bCs/>
          <w:noProof/>
          <w:szCs w:val="24"/>
        </w:rPr>
        <w:t xml:space="preserve"> discussions in the Council and the European Council. </w:t>
      </w:r>
      <w:r>
        <w:rPr>
          <w:rFonts w:cs="Times New Roman"/>
          <w:noProof/>
          <w:szCs w:val="24"/>
        </w:rPr>
        <w:t>Heads of State and Government are invited to discuss the respective developments on an annual basis in the context of the Spring European Council.</w:t>
      </w:r>
    </w:p>
    <w:p w14:paraId="260F29CD" w14:textId="04EB356F" w:rsidR="00DC63DF" w:rsidRDefault="00904500" w:rsidP="008A2294">
      <w:pPr>
        <w:spacing w:line="257" w:lineRule="auto"/>
        <w:jc w:val="both"/>
        <w:rPr>
          <w:rFonts w:cs="Times New Roman"/>
          <w:noProof/>
          <w:szCs w:val="24"/>
        </w:rPr>
      </w:pPr>
      <w:r>
        <w:rPr>
          <w:rFonts w:cs="Times New Roman"/>
          <w:noProof/>
          <w:szCs w:val="24"/>
        </w:rPr>
        <w:t xml:space="preserve">All of this will require </w:t>
      </w:r>
      <w:r>
        <w:rPr>
          <w:rFonts w:cs="Times New Roman"/>
          <w:b/>
          <w:bCs/>
          <w:noProof/>
          <w:szCs w:val="24"/>
        </w:rPr>
        <w:t>a common endeavour, jointly with all actors</w:t>
      </w:r>
      <w:r>
        <w:rPr>
          <w:rFonts w:cs="Times New Roman"/>
          <w:noProof/>
          <w:szCs w:val="24"/>
        </w:rPr>
        <w:t xml:space="preserve"> – the European Parliament, Member States, the Commission, as well as businesses, SMEs and civil society organisations – each playing their part. </w:t>
      </w:r>
    </w:p>
    <w:p w14:paraId="2F503346" w14:textId="502D9D5A" w:rsidR="00612CC4" w:rsidRPr="00A30CB2" w:rsidRDefault="00904500" w:rsidP="008A2294">
      <w:pPr>
        <w:spacing w:line="257" w:lineRule="auto"/>
        <w:jc w:val="both"/>
        <w:rPr>
          <w:rFonts w:cs="Times New Roman"/>
          <w:noProof/>
          <w:szCs w:val="24"/>
        </w:rPr>
      </w:pPr>
      <w:r>
        <w:rPr>
          <w:rFonts w:cs="Times New Roman"/>
          <w:noProof/>
          <w:szCs w:val="24"/>
        </w:rPr>
        <w:t xml:space="preserve">The Commission calls on leaders, governments, lawmakers and social partners to take this year’s celebration of the Single Market as </w:t>
      </w:r>
      <w:r>
        <w:rPr>
          <w:rFonts w:cs="Times New Roman"/>
          <w:b/>
          <w:bCs/>
          <w:noProof/>
          <w:szCs w:val="24"/>
        </w:rPr>
        <w:t>an opportunity to redouble efforts to keep the Single Market delivering, and delivering better</w:t>
      </w:r>
      <w:r>
        <w:rPr>
          <w:rFonts w:cs="Times New Roman"/>
          <w:noProof/>
          <w:szCs w:val="24"/>
        </w:rPr>
        <w:t>, for people and businesses. A continued reflection is necessary on how to take the Single Market forward over the next 30 years. </w:t>
      </w:r>
      <w:bookmarkStart w:id="25" w:name="_GoBack"/>
      <w:bookmarkEnd w:id="24"/>
      <w:bookmarkEnd w:id="25"/>
    </w:p>
    <w:sectPr w:rsidR="00612CC4" w:rsidRPr="00A30CB2" w:rsidSect="00DE647E">
      <w:headerReference w:type="even" r:id="rId20"/>
      <w:headerReference w:type="default" r:id="rId21"/>
      <w:footerReference w:type="even" r:id="rId22"/>
      <w:footerReference w:type="default" r:id="rId23"/>
      <w:headerReference w:type="first" r:id="rId24"/>
      <w:footerReference w:type="first" r:id="rId25"/>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04AED" w14:textId="77777777" w:rsidR="00746219" w:rsidRDefault="00746219" w:rsidP="00FE3E5E">
      <w:pPr>
        <w:spacing w:after="0" w:line="240" w:lineRule="auto"/>
      </w:pPr>
      <w:r>
        <w:separator/>
      </w:r>
    </w:p>
  </w:endnote>
  <w:endnote w:type="continuationSeparator" w:id="0">
    <w:p w14:paraId="1FD79A29" w14:textId="77777777" w:rsidR="00746219" w:rsidRDefault="00746219" w:rsidP="00FE3E5E">
      <w:pPr>
        <w:spacing w:after="0" w:line="240" w:lineRule="auto"/>
      </w:pPr>
      <w:r>
        <w:continuationSeparator/>
      </w:r>
    </w:p>
  </w:endnote>
  <w:endnote w:type="continuationNotice" w:id="1">
    <w:p w14:paraId="528CD2B2" w14:textId="77777777" w:rsidR="00746219" w:rsidRDefault="007462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37A98" w14:textId="77777777" w:rsidR="002151DB" w:rsidRPr="002151DB" w:rsidRDefault="002151DB" w:rsidP="002151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93543" w14:textId="537E7837" w:rsidR="002B68D4" w:rsidRPr="002151DB" w:rsidRDefault="002151DB" w:rsidP="002151DB">
    <w:pPr>
      <w:pStyle w:val="FooterCoverPage"/>
      <w:rPr>
        <w:rFonts w:ascii="Arial" w:hAnsi="Arial" w:cs="Arial"/>
        <w:b/>
        <w:sz w:val="48"/>
      </w:rPr>
    </w:pPr>
    <w:r w:rsidRPr="002151DB">
      <w:rPr>
        <w:rFonts w:ascii="Arial" w:hAnsi="Arial" w:cs="Arial"/>
        <w:b/>
        <w:sz w:val="48"/>
      </w:rPr>
      <w:t>EN</w:t>
    </w:r>
    <w:r w:rsidRPr="002151DB">
      <w:rPr>
        <w:rFonts w:ascii="Arial" w:hAnsi="Arial" w:cs="Arial"/>
        <w:b/>
        <w:sz w:val="48"/>
      </w:rPr>
      <w:tab/>
    </w:r>
    <w:r w:rsidRPr="002151DB">
      <w:rPr>
        <w:rFonts w:ascii="Arial" w:hAnsi="Arial" w:cs="Arial"/>
        <w:b/>
        <w:sz w:val="48"/>
      </w:rPr>
      <w:tab/>
    </w:r>
    <w:r w:rsidRPr="002151DB">
      <w:tab/>
    </w:r>
    <w:r w:rsidRPr="002151D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AFE45" w14:textId="77777777" w:rsidR="002151DB" w:rsidRPr="002151DB" w:rsidRDefault="002151DB" w:rsidP="002151D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3901C" w14:textId="77777777" w:rsidR="000A3A79" w:rsidRDefault="000A3A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6037561"/>
      <w:docPartObj>
        <w:docPartGallery w:val="Page Numbers (Bottom of Page)"/>
        <w:docPartUnique/>
      </w:docPartObj>
    </w:sdtPr>
    <w:sdtEndPr>
      <w:rPr>
        <w:noProof/>
      </w:rPr>
    </w:sdtEndPr>
    <w:sdtContent>
      <w:p w14:paraId="5148854F" w14:textId="27A1ADA4" w:rsidR="000A3A79" w:rsidRDefault="000A3A79" w:rsidP="006C6E01">
        <w:pPr>
          <w:pStyle w:val="Footer"/>
          <w:shd w:val="clear" w:color="auto" w:fill="FFFFFF" w:themeFill="background1"/>
          <w:jc w:val="center"/>
        </w:pPr>
        <w:r w:rsidRPr="00652BCA">
          <w:rPr>
            <w:color w:val="2B579A"/>
            <w:shd w:val="clear" w:color="auto" w:fill="E6E6E6"/>
          </w:rPr>
          <w:fldChar w:fldCharType="begin"/>
        </w:r>
        <w:r w:rsidRPr="00652BCA">
          <w:instrText xml:space="preserve"> PAGE   \* MERGEFORMAT </w:instrText>
        </w:r>
        <w:r w:rsidRPr="00652BCA">
          <w:rPr>
            <w:color w:val="2B579A"/>
            <w:shd w:val="clear" w:color="auto" w:fill="E6E6E6"/>
          </w:rPr>
          <w:fldChar w:fldCharType="separate"/>
        </w:r>
        <w:r w:rsidR="008B73D1">
          <w:rPr>
            <w:noProof/>
          </w:rPr>
          <w:t>22</w:t>
        </w:r>
        <w:r w:rsidRPr="00652BCA">
          <w:rPr>
            <w:color w:val="2B579A"/>
            <w:shd w:val="clear" w:color="auto" w:fill="E6E6E6"/>
          </w:rPr>
          <w:fldChar w:fldCharType="end"/>
        </w:r>
      </w:p>
    </w:sdtContent>
  </w:sdt>
  <w:p w14:paraId="662EFD7D" w14:textId="77777777" w:rsidR="000A3A79" w:rsidRDefault="000A3A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5A86F" w14:textId="77777777" w:rsidR="000A3A79" w:rsidRDefault="000A3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64708" w14:textId="77777777" w:rsidR="00746219" w:rsidRDefault="00746219" w:rsidP="00FE3E5E">
      <w:pPr>
        <w:spacing w:after="0" w:line="240" w:lineRule="auto"/>
      </w:pPr>
      <w:r>
        <w:separator/>
      </w:r>
    </w:p>
  </w:footnote>
  <w:footnote w:type="continuationSeparator" w:id="0">
    <w:p w14:paraId="10FF8083" w14:textId="77777777" w:rsidR="00746219" w:rsidRDefault="00746219" w:rsidP="00FE3E5E">
      <w:pPr>
        <w:spacing w:after="0" w:line="240" w:lineRule="auto"/>
      </w:pPr>
      <w:r>
        <w:continuationSeparator/>
      </w:r>
    </w:p>
  </w:footnote>
  <w:footnote w:type="continuationNotice" w:id="1">
    <w:p w14:paraId="3D4E15ED" w14:textId="77777777" w:rsidR="00746219" w:rsidRDefault="00746219">
      <w:pPr>
        <w:spacing w:after="0" w:line="240" w:lineRule="auto"/>
      </w:pPr>
    </w:p>
  </w:footnote>
  <w:footnote w:id="2">
    <w:p w14:paraId="1AE5C618" w14:textId="30EF0058" w:rsidR="000A3A79" w:rsidRPr="00FC2FE2" w:rsidRDefault="000A3A79" w:rsidP="007A61E3">
      <w:pPr>
        <w:pStyle w:val="FootnoteText"/>
        <w:jc w:val="both"/>
        <w:rPr>
          <w:rFonts w:ascii="Times New Roman" w:hAnsi="Times New Roman" w:cs="Times New Roman"/>
        </w:rPr>
      </w:pPr>
      <w:r>
        <w:rPr>
          <w:rStyle w:val="FootnoteReference"/>
        </w:rPr>
        <w:footnoteRef/>
      </w:r>
      <w:r>
        <w:t xml:space="preserve"> </w:t>
      </w:r>
      <w:r w:rsidRPr="00FC2FE2">
        <w:rPr>
          <w:rFonts w:ascii="Times New Roman" w:hAnsi="Times New Roman" w:cs="Times New Roman"/>
        </w:rPr>
        <w:t>Measured in purchasing power parity, IMF World Economic Outlook.</w:t>
      </w:r>
    </w:p>
  </w:footnote>
  <w:footnote w:id="3">
    <w:p w14:paraId="12AD60F1" w14:textId="36D3A79C" w:rsidR="000A3A79" w:rsidRPr="00B4292A" w:rsidRDefault="000A3A79">
      <w:pPr>
        <w:pStyle w:val="FootnoteText"/>
      </w:pPr>
      <w:r>
        <w:rPr>
          <w:rStyle w:val="FootnoteReference"/>
        </w:rPr>
        <w:footnoteRef/>
      </w:r>
      <w:r>
        <w:t xml:space="preserve"> </w:t>
      </w:r>
      <w:r w:rsidRPr="00B4292A">
        <w:rPr>
          <w:rFonts w:ascii="Times New Roman" w:hAnsi="Times New Roman" w:cs="Times New Roman"/>
        </w:rPr>
        <w:t>Including demographic ones</w:t>
      </w:r>
      <w:r>
        <w:rPr>
          <w:rFonts w:ascii="Times New Roman" w:hAnsi="Times New Roman" w:cs="Times New Roman"/>
        </w:rPr>
        <w:t>.</w:t>
      </w:r>
    </w:p>
  </w:footnote>
  <w:footnote w:id="4">
    <w:p w14:paraId="46F669E1" w14:textId="595B67EB" w:rsidR="000A3A79" w:rsidRPr="00FC2FE2" w:rsidRDefault="000A3A79" w:rsidP="007A61E3">
      <w:pPr>
        <w:pStyle w:val="Footnote"/>
        <w:jc w:val="both"/>
        <w:rPr>
          <w:rFonts w:cs="Times New Roman"/>
          <w:lang w:val="en-IE"/>
        </w:rPr>
      </w:pPr>
      <w:r w:rsidRPr="00FC2FE2">
        <w:rPr>
          <w:rStyle w:val="FootnoteReference"/>
          <w:rFonts w:cs="Times New Roman"/>
        </w:rPr>
        <w:footnoteRef/>
      </w:r>
      <w:r w:rsidRPr="00FC2FE2">
        <w:rPr>
          <w:rFonts w:cs="Times New Roman"/>
          <w:lang w:val="en-IE"/>
        </w:rPr>
        <w:t xml:space="preserve"> European Parliament resolution of 18.1.2023 on the 30th anniversary of the </w:t>
      </w:r>
      <w:r w:rsidR="00F75AC2">
        <w:rPr>
          <w:rFonts w:cs="Times New Roman"/>
          <w:lang w:val="en-IE"/>
        </w:rPr>
        <w:t>S</w:t>
      </w:r>
      <w:r w:rsidRPr="00FC2FE2">
        <w:rPr>
          <w:rFonts w:cs="Times New Roman"/>
          <w:lang w:val="en-IE"/>
        </w:rPr>
        <w:t xml:space="preserve">ingle </w:t>
      </w:r>
      <w:r w:rsidR="00F75AC2">
        <w:rPr>
          <w:rFonts w:cs="Times New Roman"/>
          <w:lang w:val="en-IE"/>
        </w:rPr>
        <w:t>M</w:t>
      </w:r>
      <w:r w:rsidRPr="00FC2FE2">
        <w:rPr>
          <w:rFonts w:cs="Times New Roman"/>
          <w:lang w:val="en-IE"/>
        </w:rPr>
        <w:t>arket: celebrating achievements and looking towards future developments, P9_TA(2023)0007.</w:t>
      </w:r>
    </w:p>
  </w:footnote>
  <w:footnote w:id="5">
    <w:p w14:paraId="7648B321" w14:textId="77777777" w:rsidR="000A3A79" w:rsidRPr="00FC2FE2" w:rsidRDefault="000A3A79" w:rsidP="007A61E3">
      <w:pPr>
        <w:pStyle w:val="FootnoteText"/>
        <w:jc w:val="both"/>
        <w:rPr>
          <w:rFonts w:ascii="Times New Roman" w:hAnsi="Times New Roman" w:cs="Times New Roman"/>
        </w:rPr>
      </w:pPr>
      <w:r w:rsidRPr="00FC2FE2">
        <w:rPr>
          <w:rStyle w:val="FootnoteReference"/>
          <w:rFonts w:ascii="Times New Roman" w:hAnsi="Times New Roman" w:cs="Times New Roman"/>
        </w:rPr>
        <w:footnoteRef/>
      </w:r>
      <w:r w:rsidRPr="00FC2FE2">
        <w:rPr>
          <w:rFonts w:ascii="Times New Roman" w:hAnsi="Times New Roman" w:cs="Times New Roman"/>
        </w:rPr>
        <w:t xml:space="preserve"> </w:t>
      </w:r>
      <w:hyperlink r:id="rId1" w:history="1">
        <w:r w:rsidRPr="00FC2FE2">
          <w:rPr>
            <w:rStyle w:val="Hyperlink"/>
            <w:rFonts w:ascii="Times New Roman" w:hAnsi="Times New Roman" w:cs="Times New Roman"/>
            <w:color w:val="auto"/>
            <w:u w:val="none"/>
          </w:rPr>
          <w:t>European Cou</w:t>
        </w:r>
        <w:bookmarkStart w:id="1" w:name="_Hlt127732507"/>
        <w:bookmarkStart w:id="2" w:name="_Hlt127732508"/>
        <w:r w:rsidRPr="00FC2FE2">
          <w:rPr>
            <w:rStyle w:val="Hyperlink"/>
            <w:rFonts w:ascii="Times New Roman" w:hAnsi="Times New Roman" w:cs="Times New Roman"/>
            <w:color w:val="auto"/>
            <w:u w:val="none"/>
          </w:rPr>
          <w:t>n</w:t>
        </w:r>
        <w:bookmarkEnd w:id="1"/>
        <w:bookmarkEnd w:id="2"/>
        <w:r w:rsidRPr="00FC2FE2">
          <w:rPr>
            <w:rStyle w:val="Hyperlink"/>
            <w:rFonts w:ascii="Times New Roman" w:hAnsi="Times New Roman" w:cs="Times New Roman"/>
            <w:color w:val="auto"/>
            <w:u w:val="none"/>
          </w:rPr>
          <w:t>cil conclusions, 9 February 2023</w:t>
        </w:r>
      </w:hyperlink>
      <w:r w:rsidRPr="00FC2FE2">
        <w:rPr>
          <w:rFonts w:ascii="Times New Roman" w:hAnsi="Times New Roman" w:cs="Times New Roman"/>
        </w:rPr>
        <w:t>.</w:t>
      </w:r>
    </w:p>
  </w:footnote>
  <w:footnote w:id="6">
    <w:p w14:paraId="12ED97AF" w14:textId="530D8481" w:rsidR="000A3A79" w:rsidRPr="00CC27DC" w:rsidRDefault="000A3A79" w:rsidP="007A61E3">
      <w:pPr>
        <w:pStyle w:val="Footnote"/>
        <w:jc w:val="both"/>
        <w:rPr>
          <w:rFonts w:cs="Times New Roman"/>
          <w:lang w:val="en-IE"/>
        </w:rPr>
      </w:pPr>
      <w:r w:rsidRPr="007E3B18">
        <w:rPr>
          <w:rStyle w:val="FootnoteReference"/>
          <w:rFonts w:cs="Times New Roman"/>
        </w:rPr>
        <w:footnoteRef/>
      </w:r>
      <w:r w:rsidRPr="007E3B18">
        <w:rPr>
          <w:rFonts w:cs="Times New Roman"/>
          <w:lang w:val="en-IE"/>
        </w:rPr>
        <w:t xml:space="preserve"> Mapping the Cost of Non-Europe 2019-24, Study of the European Parliamentary Research Service, 2019.</w:t>
      </w:r>
    </w:p>
  </w:footnote>
  <w:footnote w:id="7">
    <w:p w14:paraId="5E0CE363" w14:textId="77777777" w:rsidR="000A3A79" w:rsidRPr="007A61E3" w:rsidRDefault="000A3A79" w:rsidP="00DD30E4">
      <w:pPr>
        <w:pStyle w:val="Footnote"/>
        <w:rPr>
          <w:rFonts w:cs="Times New Roman"/>
          <w:lang w:val="en-IE"/>
        </w:rPr>
      </w:pPr>
      <w:r w:rsidRPr="008C1F62">
        <w:rPr>
          <w:rStyle w:val="FootnoteReference"/>
        </w:rPr>
        <w:footnoteRef/>
      </w:r>
      <w:r w:rsidRPr="008C1F62">
        <w:rPr>
          <w:lang w:val="en-IE"/>
        </w:rPr>
        <w:t xml:space="preserve"> This holistic role of the Single Market is </w:t>
      </w:r>
      <w:r w:rsidRPr="007A61E3">
        <w:rPr>
          <w:rFonts w:cs="Times New Roman"/>
          <w:lang w:val="en-IE"/>
        </w:rPr>
        <w:t>acknowledged by the EP Resolution (see point 9).</w:t>
      </w:r>
    </w:p>
  </w:footnote>
  <w:footnote w:id="8">
    <w:p w14:paraId="696F2862" w14:textId="7ED8A5F3" w:rsidR="000A3A79" w:rsidRPr="00E87D40" w:rsidRDefault="000A3A79" w:rsidP="00FF62BA">
      <w:pPr>
        <w:pStyle w:val="Footnote"/>
        <w:rPr>
          <w:lang w:val="en-IE"/>
        </w:rPr>
      </w:pPr>
      <w:r w:rsidRPr="007A61E3">
        <w:rPr>
          <w:rStyle w:val="FootnoteReference"/>
          <w:rFonts w:cs="Times New Roman"/>
        </w:rPr>
        <w:footnoteRef/>
      </w:r>
      <w:r w:rsidRPr="007A61E3">
        <w:rPr>
          <w:rFonts w:cs="Times New Roman"/>
          <w:lang w:val="en-IE"/>
        </w:rPr>
        <w:t xml:space="preserve"> Agency for Cooperation of Energy Regulators: </w:t>
      </w:r>
      <w:hyperlink r:id="rId2" w:history="1">
        <w:r w:rsidRPr="007A61E3">
          <w:rPr>
            <w:rStyle w:val="Hyperlink"/>
            <w:rFonts w:eastAsia="Times New Roman" w:cs="Times New Roman"/>
            <w:lang w:val="en-IE"/>
          </w:rPr>
          <w:t>https://www.acer.europa.eu/events-and-engagement/news/press-release-acer-publishes-its-final-assessment-eu-wholesale</w:t>
        </w:r>
      </w:hyperlink>
      <w:r w:rsidRPr="007A61E3">
        <w:rPr>
          <w:rFonts w:cs="Times New Roman"/>
          <w:lang w:val="en-IE"/>
        </w:rPr>
        <w:t>.</w:t>
      </w:r>
      <w:r w:rsidRPr="00DE68E2" w:rsidDel="00DE68E2">
        <w:rPr>
          <w:rStyle w:val="Hyperlink"/>
          <w:rFonts w:eastAsia="Times New Roman" w:cs="Times New Roman"/>
          <w:lang w:val="en-IE"/>
        </w:rPr>
        <w:t xml:space="preserve"> </w:t>
      </w:r>
    </w:p>
  </w:footnote>
  <w:footnote w:id="9">
    <w:p w14:paraId="24BF5AA3" w14:textId="7D7B9ABC" w:rsidR="000A3A79" w:rsidRPr="0066490E" w:rsidRDefault="000A3A79" w:rsidP="005E7410">
      <w:pPr>
        <w:pStyle w:val="Footnote"/>
        <w:rPr>
          <w:lang w:val="sv-FI"/>
        </w:rPr>
      </w:pPr>
      <w:r w:rsidRPr="008C1F62">
        <w:rPr>
          <w:rStyle w:val="FootnoteReference"/>
        </w:rPr>
        <w:footnoteRef/>
      </w:r>
      <w:r w:rsidRPr="0066490E">
        <w:rPr>
          <w:lang w:val="sv-FI"/>
        </w:rPr>
        <w:t xml:space="preserve"> Internal Market Information System https://ec.europa.eu/internal_market/imi-net/index_en.htm.</w:t>
      </w:r>
    </w:p>
  </w:footnote>
  <w:footnote w:id="10">
    <w:p w14:paraId="5C04E1F9" w14:textId="0C7032AA" w:rsidR="000A3A79" w:rsidRPr="00A71483" w:rsidRDefault="000A3A79" w:rsidP="005E7410">
      <w:pPr>
        <w:pStyle w:val="Footnote"/>
        <w:rPr>
          <w:lang w:val="en-IE"/>
        </w:rPr>
      </w:pPr>
      <w:r>
        <w:rPr>
          <w:rStyle w:val="FootnoteReference"/>
        </w:rPr>
        <w:footnoteRef/>
      </w:r>
      <w:r w:rsidRPr="00A45203">
        <w:rPr>
          <w:lang w:val="en-IE"/>
        </w:rPr>
        <w:t xml:space="preserve"> </w:t>
      </w:r>
      <w:hyperlink r:id="rId3" w:history="1">
        <w:r w:rsidRPr="00A45203">
          <w:rPr>
            <w:rStyle w:val="Hyperlink"/>
            <w:lang w:val="en-IE"/>
          </w:rPr>
          <w:t>Single Market Scoreboard 2022</w:t>
        </w:r>
      </w:hyperlink>
      <w:r w:rsidRPr="00A45203">
        <w:rPr>
          <w:rStyle w:val="normaltextrun"/>
          <w:sz w:val="22"/>
          <w:szCs w:val="22"/>
          <w:lang w:val="en-IE"/>
        </w:rPr>
        <w:t xml:space="preserve">, </w:t>
      </w:r>
      <w:r w:rsidRPr="003D0F5C">
        <w:rPr>
          <w:rStyle w:val="normaltextrun"/>
          <w:lang w:val="en-IE"/>
        </w:rPr>
        <w:t>IMI overall performance</w:t>
      </w:r>
      <w:r w:rsidRPr="00A71483">
        <w:rPr>
          <w:rStyle w:val="normaltextrun"/>
          <w:lang w:val="en-IE"/>
        </w:rPr>
        <w:t>.</w:t>
      </w:r>
    </w:p>
  </w:footnote>
  <w:footnote w:id="11">
    <w:p w14:paraId="4882032A" w14:textId="4491E85F" w:rsidR="000A3A79" w:rsidRPr="008C1F62" w:rsidRDefault="000A3A79" w:rsidP="00DD30E4">
      <w:pPr>
        <w:pStyle w:val="Footnote"/>
        <w:rPr>
          <w:lang w:val="en-IE"/>
        </w:rPr>
      </w:pPr>
      <w:r w:rsidRPr="008C1F62">
        <w:rPr>
          <w:rStyle w:val="FootnoteReference"/>
        </w:rPr>
        <w:footnoteRef/>
      </w:r>
      <w:r w:rsidRPr="008C1F62">
        <w:rPr>
          <w:lang w:val="en-IE"/>
        </w:rPr>
        <w:t xml:space="preserve"> For more information, see </w:t>
      </w:r>
      <w:hyperlink r:id="rId4" w:history="1">
        <w:r w:rsidRPr="008C1F62">
          <w:rPr>
            <w:rStyle w:val="Hyperlink"/>
            <w:lang w:val="en-IE"/>
          </w:rPr>
          <w:t>European Digital Identity (europa.eu)</w:t>
        </w:r>
      </w:hyperlink>
      <w:r w:rsidRPr="008C1F62">
        <w:rPr>
          <w:lang w:val="en-IE"/>
        </w:rPr>
        <w:t>.</w:t>
      </w:r>
    </w:p>
  </w:footnote>
  <w:footnote w:id="12">
    <w:p w14:paraId="3CBE20A5" w14:textId="77777777" w:rsidR="000A3A79" w:rsidRPr="003D777E" w:rsidRDefault="000A3A79" w:rsidP="00413D85">
      <w:pPr>
        <w:pStyle w:val="FootnoteText"/>
        <w:rPr>
          <w:rFonts w:ascii="Times New Roman" w:hAnsi="Times New Roman" w:cs="Times New Roman"/>
        </w:rPr>
      </w:pPr>
      <w:r w:rsidRPr="003D777E">
        <w:rPr>
          <w:rStyle w:val="FootnoteReference"/>
          <w:rFonts w:ascii="Times New Roman" w:hAnsi="Times New Roman" w:cs="Times New Roman"/>
        </w:rPr>
        <w:footnoteRef/>
      </w:r>
      <w:r w:rsidRPr="003D777E">
        <w:rPr>
          <w:rFonts w:ascii="Times New Roman" w:hAnsi="Times New Roman" w:cs="Times New Roman"/>
        </w:rPr>
        <w:t xml:space="preserve"> For more information, see </w:t>
      </w:r>
      <w:hyperlink r:id="rId5" w:history="1">
        <w:r w:rsidRPr="003D777E">
          <w:rPr>
            <w:rStyle w:val="Hyperlink"/>
            <w:rFonts w:ascii="Times New Roman" w:hAnsi="Times New Roman" w:cs="Times New Roman"/>
          </w:rPr>
          <w:t>Decision on the 2030 policy Programme “Path to the Digital Decade”</w:t>
        </w:r>
      </w:hyperlink>
      <w:r>
        <w:rPr>
          <w:rStyle w:val="Hyperlink"/>
          <w:rFonts w:ascii="Times New Roman" w:hAnsi="Times New Roman" w:cs="Times New Roman"/>
        </w:rPr>
        <w:t>.</w:t>
      </w:r>
    </w:p>
  </w:footnote>
  <w:footnote w:id="13">
    <w:p w14:paraId="7A6E9597" w14:textId="77777777" w:rsidR="000A3A79" w:rsidRPr="008C1F62" w:rsidRDefault="000A3A79" w:rsidP="00DD30E4">
      <w:pPr>
        <w:pStyle w:val="Footnote"/>
        <w:rPr>
          <w:lang w:val="en-IE"/>
        </w:rPr>
      </w:pPr>
      <w:r w:rsidRPr="008C1F62">
        <w:rPr>
          <w:rStyle w:val="FootnoteReference"/>
        </w:rPr>
        <w:footnoteRef/>
      </w:r>
      <w:r w:rsidRPr="008C1F62">
        <w:rPr>
          <w:lang w:val="en-IE"/>
        </w:rPr>
        <w:t xml:space="preserve"> GDP at current prices.</w:t>
      </w:r>
    </w:p>
  </w:footnote>
  <w:footnote w:id="14">
    <w:p w14:paraId="7F6DC128" w14:textId="77777777" w:rsidR="000A3A79" w:rsidRPr="00D663F6" w:rsidRDefault="000A3A79" w:rsidP="00F17E86">
      <w:pPr>
        <w:pStyle w:val="Footnote"/>
        <w:jc w:val="both"/>
        <w:rPr>
          <w:lang w:val="en-IE"/>
        </w:rPr>
      </w:pPr>
      <w:r>
        <w:rPr>
          <w:rStyle w:val="FootnoteReference"/>
        </w:rPr>
        <w:footnoteRef/>
      </w:r>
      <w:r w:rsidRPr="0002174D">
        <w:rPr>
          <w:lang w:val="en-IE"/>
        </w:rPr>
        <w:t xml:space="preserve"> Excluding financial sector.</w:t>
      </w:r>
    </w:p>
  </w:footnote>
  <w:footnote w:id="15">
    <w:p w14:paraId="35DA4C1E" w14:textId="0BF5BE7B" w:rsidR="000A3A79" w:rsidRPr="005E4DEC" w:rsidRDefault="000A3A79" w:rsidP="00F17E86">
      <w:pPr>
        <w:pStyle w:val="Footnote"/>
        <w:jc w:val="both"/>
        <w:rPr>
          <w:rFonts w:ascii="Segoe UI" w:hAnsi="Segoe UI" w:cs="Segoe UI"/>
          <w:color w:val="333333"/>
          <w:lang w:val="en-IE"/>
        </w:rPr>
      </w:pPr>
      <w:r w:rsidRPr="008C1F62">
        <w:rPr>
          <w:rStyle w:val="FootnoteReference"/>
        </w:rPr>
        <w:footnoteRef/>
      </w:r>
      <w:r w:rsidRPr="008C1F62">
        <w:rPr>
          <w:lang w:val="en-IE"/>
        </w:rPr>
        <w:t xml:space="preserve"> Celebrating 30 years of EU Single Market 1993-2023, Eurostat</w:t>
      </w:r>
      <w:r>
        <w:rPr>
          <w:lang w:val="en-IE"/>
        </w:rPr>
        <w:t xml:space="preserve"> : </w:t>
      </w:r>
      <w:hyperlink r:id="rId6" w:tgtFrame="_blank" w:tooltip="https://ec.europa.eu/eurostat/web/products-eurostat-news/w/edn-20221206-1" w:history="1">
        <w:r w:rsidRPr="005E4DEC">
          <w:rPr>
            <w:rStyle w:val="Hyperlink"/>
            <w:color w:val="0000EE"/>
            <w:lang w:val="en-IE"/>
          </w:rPr>
          <w:t>https://ec.europa.eu/eurostat/web/products-eurostat-news/w/edn-20221206-1</w:t>
        </w:r>
      </w:hyperlink>
      <w:r w:rsidRPr="005E4DEC">
        <w:rPr>
          <w:rFonts w:ascii="Segoe UI" w:hAnsi="Segoe UI" w:cs="Segoe UI"/>
          <w:color w:val="333333"/>
          <w:lang w:val="en-IE"/>
        </w:rPr>
        <w:t>.</w:t>
      </w:r>
    </w:p>
    <w:p w14:paraId="30980CC0" w14:textId="066FF926" w:rsidR="000A3A79" w:rsidRPr="006D3C02" w:rsidRDefault="000A3A79" w:rsidP="00F17E86">
      <w:pPr>
        <w:pStyle w:val="Footnote"/>
        <w:jc w:val="both"/>
        <w:rPr>
          <w:lang w:val="en-IE"/>
        </w:rPr>
      </w:pPr>
      <w:r w:rsidRPr="00CE5E7B">
        <w:rPr>
          <w:lang w:val="en-IE"/>
        </w:rPr>
        <w:t>This figure covers the 'non-financial business economy' (NACE Rev. 2 sections B to N and division 95 except section K) which includes: industry, construction, distributive trades, non-financial services</w:t>
      </w:r>
      <w:r w:rsidRPr="006D3C02">
        <w:rPr>
          <w:lang w:val="en-IE"/>
        </w:rPr>
        <w:t>.</w:t>
      </w:r>
    </w:p>
  </w:footnote>
  <w:footnote w:id="16">
    <w:p w14:paraId="542DE6E8" w14:textId="77777777" w:rsidR="000A3A79" w:rsidRPr="008C1F62" w:rsidRDefault="000A3A79" w:rsidP="00F17E86">
      <w:pPr>
        <w:pStyle w:val="Footnote"/>
        <w:jc w:val="both"/>
        <w:rPr>
          <w:lang w:val="en-IE"/>
        </w:rPr>
      </w:pPr>
      <w:r w:rsidRPr="008C1F62">
        <w:rPr>
          <w:rStyle w:val="FootnoteReference"/>
        </w:rPr>
        <w:footnoteRef/>
      </w:r>
      <w:r w:rsidRPr="008C1F62">
        <w:rPr>
          <w:lang w:val="en-IE"/>
        </w:rPr>
        <w:t xml:space="preserve"> Discussion Paper 094:</w:t>
      </w:r>
      <w:r w:rsidRPr="008C1F62">
        <w:rPr>
          <w:sz w:val="16"/>
          <w:szCs w:val="16"/>
          <w:lang w:val="en-IE"/>
        </w:rPr>
        <w:t xml:space="preserve"> </w:t>
      </w:r>
      <w:hyperlink r:id="rId7" w:history="1">
        <w:r w:rsidRPr="008C1F62">
          <w:rPr>
            <w:rStyle w:val="Hyperlink"/>
            <w:lang w:val="en-GB"/>
          </w:rPr>
          <w:t>Quantifying the Economic Effects of the Single Market in a Structural Macromodel (europa.eu)</w:t>
        </w:r>
      </w:hyperlink>
      <w:r w:rsidRPr="008C1F62">
        <w:rPr>
          <w:rStyle w:val="Hyperlink"/>
          <w:lang w:val="en-GB"/>
        </w:rPr>
        <w:t>,</w:t>
      </w:r>
      <w:r w:rsidRPr="008C1F62">
        <w:rPr>
          <w:lang w:val="en-US"/>
        </w:rPr>
        <w:t xml:space="preserve"> Jan in’t Veld, 2019.</w:t>
      </w:r>
    </w:p>
  </w:footnote>
  <w:footnote w:id="17">
    <w:p w14:paraId="0000453A" w14:textId="50691B24" w:rsidR="000A3A79" w:rsidRPr="008C1F62" w:rsidRDefault="000A3A79" w:rsidP="00F17E86">
      <w:pPr>
        <w:pStyle w:val="Footnote"/>
        <w:jc w:val="both"/>
        <w:rPr>
          <w:lang w:val="en-IE"/>
        </w:rPr>
      </w:pPr>
      <w:r w:rsidRPr="008C1F62">
        <w:rPr>
          <w:rStyle w:val="FootnoteReference"/>
        </w:rPr>
        <w:footnoteRef/>
      </w:r>
      <w:r w:rsidRPr="008C1F62">
        <w:rPr>
          <w:lang w:val="en-IE"/>
        </w:rPr>
        <w:t xml:space="preserve"> </w:t>
      </w:r>
      <w:r w:rsidRPr="00C92A98">
        <w:rPr>
          <w:lang w:val="en-IE"/>
        </w:rPr>
        <w:t xml:space="preserve">Source: </w:t>
      </w:r>
      <w:r w:rsidRPr="00772E9D">
        <w:rPr>
          <w:lang w:val="en-IE"/>
        </w:rPr>
        <w:t xml:space="preserve">Danish Ministry of Industry, Business and Financial Affairs: </w:t>
      </w:r>
      <w:hyperlink r:id="rId8" w:history="1">
        <w:r w:rsidRPr="00772E9D">
          <w:rPr>
            <w:rStyle w:val="Hyperlink"/>
            <w:lang w:val="en-IE"/>
          </w:rPr>
          <w:t>The Single Market accounts for 56 million jobs across the EU.</w:t>
        </w:r>
      </w:hyperlink>
      <w:r w:rsidRPr="00772E9D">
        <w:rPr>
          <w:lang w:val="en-IE"/>
        </w:rPr>
        <w:t xml:space="preserve"> </w:t>
      </w:r>
    </w:p>
  </w:footnote>
  <w:footnote w:id="18">
    <w:p w14:paraId="556B4974" w14:textId="16AC6DF0" w:rsidR="000A3A79" w:rsidRPr="00A10B49" w:rsidRDefault="000A3A79" w:rsidP="001D58DF">
      <w:pPr>
        <w:pStyle w:val="FootnoteText"/>
      </w:pPr>
      <w:r>
        <w:rPr>
          <w:rStyle w:val="FootnoteReference"/>
        </w:rPr>
        <w:footnoteRef/>
      </w:r>
      <w:r>
        <w:t xml:space="preserve"> </w:t>
      </w:r>
      <w:r w:rsidRPr="00603716">
        <w:rPr>
          <w:rFonts w:ascii="Times New Roman" w:hAnsi="Times New Roman"/>
        </w:rPr>
        <w:t xml:space="preserve">Employees </w:t>
      </w:r>
      <w:r>
        <w:rPr>
          <w:rFonts w:ascii="Times New Roman" w:hAnsi="Times New Roman"/>
        </w:rPr>
        <w:t xml:space="preserve">in companies which </w:t>
      </w:r>
      <w:r w:rsidRPr="00603716">
        <w:rPr>
          <w:rFonts w:ascii="Times New Roman" w:hAnsi="Times New Roman"/>
        </w:rPr>
        <w:t>export service</w:t>
      </w:r>
      <w:r>
        <w:rPr>
          <w:rFonts w:ascii="Times New Roman" w:hAnsi="Times New Roman"/>
        </w:rPr>
        <w:t>s</w:t>
      </w:r>
      <w:r w:rsidRPr="00603716">
        <w:rPr>
          <w:rFonts w:ascii="Times New Roman" w:hAnsi="Times New Roman"/>
        </w:rPr>
        <w:t xml:space="preserve"> </w:t>
      </w:r>
      <w:r>
        <w:rPr>
          <w:rFonts w:ascii="Times New Roman" w:hAnsi="Times New Roman"/>
        </w:rPr>
        <w:t xml:space="preserve">or </w:t>
      </w:r>
      <w:r w:rsidRPr="00603716">
        <w:rPr>
          <w:rFonts w:ascii="Times New Roman" w:hAnsi="Times New Roman"/>
        </w:rPr>
        <w:t>provid</w:t>
      </w:r>
      <w:r>
        <w:rPr>
          <w:rFonts w:ascii="Times New Roman" w:hAnsi="Times New Roman"/>
        </w:rPr>
        <w:t>e</w:t>
      </w:r>
      <w:r w:rsidRPr="00603716">
        <w:rPr>
          <w:rFonts w:ascii="Times New Roman" w:hAnsi="Times New Roman"/>
        </w:rPr>
        <w:t xml:space="preserve"> the exporting sector with</w:t>
      </w:r>
      <w:r>
        <w:rPr>
          <w:rFonts w:ascii="Times New Roman" w:hAnsi="Times New Roman"/>
        </w:rPr>
        <w:t xml:space="preserve"> </w:t>
      </w:r>
      <w:r w:rsidRPr="00603716">
        <w:rPr>
          <w:rFonts w:ascii="Times New Roman" w:hAnsi="Times New Roman"/>
        </w:rPr>
        <w:t>intermediate goods and services</w:t>
      </w:r>
      <w:r>
        <w:rPr>
          <w:rFonts w:ascii="Times New Roman" w:hAnsi="Times New Roman"/>
        </w:rPr>
        <w:t>.</w:t>
      </w:r>
    </w:p>
  </w:footnote>
  <w:footnote w:id="19">
    <w:p w14:paraId="15ACDBA3" w14:textId="6D993857" w:rsidR="000A3A79" w:rsidRPr="00093757" w:rsidRDefault="000A3A79" w:rsidP="00093757">
      <w:pPr>
        <w:pStyle w:val="FootnoteText"/>
        <w:jc w:val="both"/>
        <w:rPr>
          <w:rFonts w:ascii="Times New Roman" w:hAnsi="Times New Roman" w:cs="Times New Roman"/>
        </w:rPr>
      </w:pPr>
      <w:r w:rsidRPr="00093757">
        <w:rPr>
          <w:rStyle w:val="FootnoteReference"/>
          <w:rFonts w:ascii="Times New Roman" w:hAnsi="Times New Roman" w:cs="Times New Roman"/>
        </w:rPr>
        <w:footnoteRef/>
      </w:r>
      <w:r w:rsidRPr="00093757">
        <w:rPr>
          <w:rFonts w:ascii="Times New Roman" w:hAnsi="Times New Roman" w:cs="Times New Roman"/>
        </w:rPr>
        <w:t xml:space="preserve"> Source: “Cross border services in the internal market: an important contribution to economic and social cohesion“</w:t>
      </w:r>
      <w:r>
        <w:rPr>
          <w:rFonts w:ascii="Times New Roman" w:hAnsi="Times New Roman" w:cs="Times New Roman"/>
        </w:rPr>
        <w:t xml:space="preserve">, Study by </w:t>
      </w:r>
      <w:r w:rsidRPr="00093757">
        <w:rPr>
          <w:rFonts w:ascii="Times New Roman" w:hAnsi="Times New Roman" w:cs="Times New Roman"/>
        </w:rPr>
        <w:t>Manuel Fritsch</w:t>
      </w:r>
      <w:r>
        <w:rPr>
          <w:rFonts w:ascii="Times New Roman" w:hAnsi="Times New Roman" w:cs="Times New Roman"/>
        </w:rPr>
        <w:t xml:space="preserve"> and </w:t>
      </w:r>
      <w:r w:rsidRPr="00093757">
        <w:rPr>
          <w:rFonts w:ascii="Times New Roman" w:hAnsi="Times New Roman" w:cs="Times New Roman"/>
        </w:rPr>
        <w:t>Dr. Roman Bertenrath</w:t>
      </w:r>
      <w:r>
        <w:rPr>
          <w:rFonts w:ascii="Times New Roman" w:hAnsi="Times New Roman" w:cs="Times New Roman"/>
        </w:rPr>
        <w:t xml:space="preserve"> </w:t>
      </w:r>
      <w:r w:rsidRPr="00093757">
        <w:rPr>
          <w:rFonts w:ascii="Times New Roman" w:hAnsi="Times New Roman" w:cs="Times New Roman"/>
        </w:rPr>
        <w:t>(2019)</w:t>
      </w:r>
      <w:r>
        <w:rPr>
          <w:rFonts w:ascii="Times New Roman" w:hAnsi="Times New Roman" w:cs="Times New Roman"/>
        </w:rPr>
        <w:t>;</w:t>
      </w:r>
      <w:r w:rsidRPr="00093757">
        <w:rPr>
          <w:rFonts w:ascii="Times New Roman" w:hAnsi="Times New Roman" w:cs="Times New Roman"/>
        </w:rPr>
        <w:t xml:space="preserve"> </w:t>
      </w:r>
      <w:hyperlink r:id="rId9" w:history="1">
        <w:r w:rsidRPr="00AD6EB8">
          <w:rPr>
            <w:rStyle w:val="Hyperlink"/>
            <w:rFonts w:ascii="Times New Roman" w:hAnsi="Times New Roman" w:cs="Times New Roman"/>
          </w:rPr>
          <w:t>https://www.eesc.europa.eu/en/our-work/publications-other-work/publications/cross-border-services-internal-market-important-contribution-economic-and-social-cohesion</w:t>
        </w:r>
      </w:hyperlink>
      <w:r>
        <w:rPr>
          <w:rFonts w:ascii="Times New Roman" w:hAnsi="Times New Roman" w:cs="Times New Roman"/>
        </w:rPr>
        <w:t>.</w:t>
      </w:r>
    </w:p>
  </w:footnote>
  <w:footnote w:id="20">
    <w:p w14:paraId="7DDF3758" w14:textId="1D107C13" w:rsidR="000A3A79" w:rsidRPr="008C1F62" w:rsidRDefault="000A3A79" w:rsidP="00F17E86">
      <w:pPr>
        <w:pStyle w:val="Footnote"/>
        <w:jc w:val="both"/>
        <w:rPr>
          <w:lang w:val="en-IE"/>
        </w:rPr>
      </w:pPr>
      <w:r w:rsidRPr="00093757">
        <w:rPr>
          <w:rStyle w:val="FootnoteReference"/>
          <w:rFonts w:cs="Times New Roman"/>
        </w:rPr>
        <w:footnoteRef/>
      </w:r>
      <w:r w:rsidRPr="00093757">
        <w:rPr>
          <w:rFonts w:cs="Times New Roman"/>
          <w:lang w:val="en-IE"/>
        </w:rPr>
        <w:t xml:space="preserve"> Source: Parson</w:t>
      </w:r>
      <w:r w:rsidRPr="00DA216E">
        <w:rPr>
          <w:lang w:val="en-IE"/>
        </w:rPr>
        <w:t xml:space="preserve">, C. and Smith, A. (2022) “The 'completeness' of the EU </w:t>
      </w:r>
      <w:r w:rsidR="00F75AC2">
        <w:rPr>
          <w:lang w:val="en-IE"/>
        </w:rPr>
        <w:t>S</w:t>
      </w:r>
      <w:r w:rsidRPr="00DA216E">
        <w:rPr>
          <w:lang w:val="en-IE"/>
        </w:rPr>
        <w:t xml:space="preserve">ingle </w:t>
      </w:r>
      <w:r w:rsidR="00F75AC2">
        <w:rPr>
          <w:lang w:val="en-IE"/>
        </w:rPr>
        <w:t>M</w:t>
      </w:r>
      <w:r w:rsidRPr="00DA216E">
        <w:rPr>
          <w:lang w:val="en-IE"/>
        </w:rPr>
        <w:t>arket in comparison to the United States”, Single Market Economy Papers, WP7, Publication Office of the European Commission.</w:t>
      </w:r>
      <w:r>
        <w:rPr>
          <w:lang w:val="en-IE"/>
        </w:rPr>
        <w:t xml:space="preserve"> </w:t>
      </w:r>
      <w:r w:rsidRPr="008C1F62">
        <w:rPr>
          <w:lang w:val="en-IE"/>
        </w:rPr>
        <w:t xml:space="preserve">See </w:t>
      </w:r>
      <w:r>
        <w:rPr>
          <w:lang w:val="en-IE"/>
        </w:rPr>
        <w:t xml:space="preserve">also </w:t>
      </w:r>
      <w:r w:rsidRPr="008C1F62">
        <w:rPr>
          <w:lang w:val="en-IE"/>
        </w:rPr>
        <w:t xml:space="preserve">Section </w:t>
      </w:r>
      <w:r>
        <w:rPr>
          <w:lang w:val="en-IE"/>
        </w:rPr>
        <w:t>2.4</w:t>
      </w:r>
      <w:r w:rsidRPr="008C1F62">
        <w:rPr>
          <w:lang w:val="en-IE"/>
        </w:rPr>
        <w:t xml:space="preserve"> on how non-regulatory barriers are addressed in the </w:t>
      </w:r>
      <w:r>
        <w:rPr>
          <w:lang w:val="en-IE"/>
        </w:rPr>
        <w:t>EU</w:t>
      </w:r>
      <w:r w:rsidRPr="008C1F62">
        <w:rPr>
          <w:lang w:val="en-IE"/>
        </w:rPr>
        <w:t xml:space="preserve"> through administrative cooperation and digital tools.</w:t>
      </w:r>
    </w:p>
  </w:footnote>
  <w:footnote w:id="21">
    <w:p w14:paraId="5C069406" w14:textId="4C4991A6" w:rsidR="000A3A79" w:rsidRPr="00F94853" w:rsidRDefault="000A3A79" w:rsidP="00FC2FE2">
      <w:pPr>
        <w:pStyle w:val="FootnoteText"/>
        <w:jc w:val="both"/>
      </w:pPr>
      <w:r>
        <w:rPr>
          <w:rStyle w:val="FootnoteReference"/>
        </w:rPr>
        <w:footnoteRef/>
      </w:r>
      <w:r>
        <w:t xml:space="preserve"> </w:t>
      </w:r>
      <w:r w:rsidRPr="007F6785">
        <w:rPr>
          <w:rFonts w:ascii="Times New Roman" w:hAnsi="Times New Roman" w:cs="Times New Roman"/>
        </w:rPr>
        <w:t>Source: European Central Bank (2022), Financial Integration and Structure in the Euro Area, Technical report, European Central Bank, Frankfurt. European Commission (2022), European Financial Stability and Integration Review, Staff Working Document, SWD(2022) 93 final, European Commission, Brussels</w:t>
      </w:r>
      <w:r>
        <w:rPr>
          <w:rFonts w:ascii="Times New Roman" w:hAnsi="Times New Roman" w:cs="Times New Roman"/>
        </w:rPr>
        <w:t>.</w:t>
      </w:r>
    </w:p>
  </w:footnote>
  <w:footnote w:id="22">
    <w:p w14:paraId="209BA604" w14:textId="25323BBE" w:rsidR="000A3A79" w:rsidRPr="00F94853" w:rsidRDefault="000A3A79" w:rsidP="00FC2FE2">
      <w:pPr>
        <w:pStyle w:val="FootnoteText"/>
        <w:jc w:val="both"/>
        <w:rPr>
          <w:rFonts w:ascii="Times New Roman" w:hAnsi="Times New Roman" w:cs="Times New Roman"/>
        </w:rPr>
      </w:pPr>
      <w:r w:rsidRPr="00772E9D">
        <w:rPr>
          <w:rStyle w:val="FootnoteReference"/>
          <w:rFonts w:ascii="Times New Roman" w:hAnsi="Times New Roman" w:cs="Times New Roman"/>
        </w:rPr>
        <w:footnoteRef/>
      </w:r>
      <w:r w:rsidRPr="00772E9D">
        <w:rPr>
          <w:rFonts w:ascii="Times New Roman" w:hAnsi="Times New Roman" w:cs="Times New Roman"/>
        </w:rPr>
        <w:t xml:space="preserve"> EURES is a European cooperation network of employment services, designed to facilitate the free movement of workers </w:t>
      </w:r>
      <w:hyperlink r:id="rId10" w:history="1">
        <w:r w:rsidRPr="00772E9D">
          <w:rPr>
            <w:rStyle w:val="Hyperlink"/>
            <w:rFonts w:ascii="Times New Roman" w:hAnsi="Times New Roman" w:cs="Times New Roman"/>
          </w:rPr>
          <w:t>EURES (europa.eu)</w:t>
        </w:r>
      </w:hyperlink>
      <w:r>
        <w:rPr>
          <w:rStyle w:val="Hyperlink"/>
          <w:rFonts w:ascii="Times New Roman" w:hAnsi="Times New Roman" w:cs="Times New Roman"/>
        </w:rPr>
        <w:t>.</w:t>
      </w:r>
    </w:p>
  </w:footnote>
  <w:footnote w:id="23">
    <w:p w14:paraId="373D6C5C" w14:textId="77777777" w:rsidR="000A3A79" w:rsidRPr="00BD135A" w:rsidRDefault="000A3A79" w:rsidP="00611059">
      <w:pPr>
        <w:pStyle w:val="FootnoteText"/>
        <w:jc w:val="both"/>
      </w:pPr>
      <w:r>
        <w:rPr>
          <w:rStyle w:val="FootnoteReference"/>
        </w:rPr>
        <w:footnoteRef/>
      </w:r>
      <w:r>
        <w:t xml:space="preserve"> </w:t>
      </w:r>
      <w:r w:rsidRPr="005A75BE">
        <w:rPr>
          <w:rFonts w:ascii="Times New Roman" w:hAnsi="Times New Roman" w:cs="Times New Roman"/>
        </w:rPr>
        <w:t>Directive (EU) 2018/957 of the European Parliament and of the Council of 28 June 2018 amending Directive 96/71/EC concerning the posting of workers in the framework of the provision of services (Text with EEA relevance)</w:t>
      </w:r>
      <w:r>
        <w:rPr>
          <w:rFonts w:ascii="Times New Roman" w:hAnsi="Times New Roman" w:cs="Times New Roman"/>
        </w:rPr>
        <w:t xml:space="preserve">. </w:t>
      </w:r>
    </w:p>
  </w:footnote>
  <w:footnote w:id="24">
    <w:p w14:paraId="1D20E28B" w14:textId="77777777" w:rsidR="000A3A79" w:rsidRPr="00115171" w:rsidRDefault="000A3A79" w:rsidP="00611059">
      <w:pPr>
        <w:pStyle w:val="FootnoteText"/>
        <w:rPr>
          <w:rFonts w:ascii="Times New Roman" w:hAnsi="Times New Roman" w:cs="Times New Roman"/>
        </w:rPr>
      </w:pPr>
      <w:r>
        <w:rPr>
          <w:rStyle w:val="FootnoteReference"/>
        </w:rPr>
        <w:footnoteRef/>
      </w:r>
      <w:r>
        <w:t xml:space="preserve"> </w:t>
      </w:r>
      <w:r w:rsidRPr="00115171">
        <w:t>Directive (EU) 2019/1158 of the European Parliament and of the Council of 20 June 2019 on work-life balance for parents and carers and repealing Council Directive 2010/18/EU</w:t>
      </w:r>
      <w:r>
        <w:rPr>
          <w:rFonts w:ascii="Times New Roman" w:hAnsi="Times New Roman" w:cs="Times New Roman"/>
        </w:rPr>
        <w:t xml:space="preserve">. </w:t>
      </w:r>
    </w:p>
  </w:footnote>
  <w:footnote w:id="25">
    <w:p w14:paraId="5F34E8EC" w14:textId="77777777" w:rsidR="000A3A79" w:rsidRPr="00BD135A" w:rsidRDefault="000A3A79" w:rsidP="00611059">
      <w:pPr>
        <w:pStyle w:val="FootnoteText"/>
      </w:pPr>
      <w:r>
        <w:rPr>
          <w:rStyle w:val="FootnoteReference"/>
        </w:rPr>
        <w:footnoteRef/>
      </w:r>
      <w:r>
        <w:t xml:space="preserve"> </w:t>
      </w:r>
      <w:r w:rsidRPr="00115171">
        <w:rPr>
          <w:rFonts w:ascii="Times New Roman" w:hAnsi="Times New Roman" w:cs="Times New Roman"/>
        </w:rPr>
        <w:t>Directive (EU) 2022/2041 of the European Parliament and of the Council of 19 October 2022 on adequate minimum wages in the European Union</w:t>
      </w:r>
      <w:r>
        <w:rPr>
          <w:rFonts w:ascii="Times New Roman" w:hAnsi="Times New Roman" w:cs="Times New Roman"/>
        </w:rPr>
        <w:t xml:space="preserve">. </w:t>
      </w:r>
    </w:p>
  </w:footnote>
  <w:footnote w:id="26">
    <w:p w14:paraId="453242E1" w14:textId="77777777" w:rsidR="00D572D4" w:rsidRPr="00721652" w:rsidRDefault="00D572D4" w:rsidP="00D572D4">
      <w:pPr>
        <w:pStyle w:val="FootnoteText"/>
        <w:jc w:val="both"/>
        <w:rPr>
          <w:rFonts w:ascii="Times New Roman" w:hAnsi="Times New Roman" w:cs="Times New Roman"/>
          <w:lang w:val="en-GB"/>
        </w:rPr>
      </w:pPr>
      <w:r w:rsidRPr="00721652">
        <w:rPr>
          <w:rStyle w:val="FootnoteReference"/>
          <w:rFonts w:ascii="Times New Roman" w:hAnsi="Times New Roman" w:cs="Times New Roman"/>
        </w:rPr>
        <w:footnoteRef/>
      </w:r>
      <w:r w:rsidRPr="00721652">
        <w:rPr>
          <w:rFonts w:ascii="Times New Roman" w:hAnsi="Times New Roman" w:cs="Times New Roman"/>
        </w:rPr>
        <w:t xml:space="preserve"> Figure covering the EU 28. See European Economic and Social Committee, Recent evolutions of the Social Economy in the European Union, by Monzon J. L. and Chaves R., 2017.</w:t>
      </w:r>
    </w:p>
  </w:footnote>
  <w:footnote w:id="27">
    <w:p w14:paraId="343C7FD1" w14:textId="3C4362DD" w:rsidR="00D572D4" w:rsidRPr="00721652" w:rsidRDefault="00D572D4" w:rsidP="00D572D4">
      <w:pPr>
        <w:pStyle w:val="FootnoteText"/>
        <w:jc w:val="both"/>
        <w:rPr>
          <w:rFonts w:ascii="Times New Roman" w:hAnsi="Times New Roman" w:cs="Times New Roman"/>
        </w:rPr>
      </w:pPr>
      <w:r w:rsidRPr="00721652">
        <w:rPr>
          <w:rStyle w:val="FootnoteReference"/>
          <w:rFonts w:ascii="Times New Roman" w:hAnsi="Times New Roman" w:cs="Times New Roman"/>
        </w:rPr>
        <w:footnoteRef/>
      </w:r>
      <w:r w:rsidRPr="00721652">
        <w:rPr>
          <w:rFonts w:ascii="Times New Roman" w:hAnsi="Times New Roman" w:cs="Times New Roman"/>
        </w:rPr>
        <w:t xml:space="preserve"> Communication from the Commission ‘Building an economy that works for people: an action plan for the social economy’, COM(2021</w:t>
      </w:r>
      <w:r>
        <w:rPr>
          <w:rFonts w:ascii="Times New Roman" w:hAnsi="Times New Roman" w:cs="Times New Roman"/>
        </w:rPr>
        <w:t>)</w:t>
      </w:r>
      <w:r w:rsidRPr="00721652">
        <w:rPr>
          <w:rFonts w:ascii="Times New Roman" w:hAnsi="Times New Roman" w:cs="Times New Roman"/>
        </w:rPr>
        <w:t>778.</w:t>
      </w:r>
    </w:p>
  </w:footnote>
  <w:footnote w:id="28">
    <w:p w14:paraId="4ACFA596" w14:textId="09A1B566" w:rsidR="000A3A79" w:rsidRPr="008C1F62" w:rsidRDefault="000A3A79" w:rsidP="00FC2FE2">
      <w:pPr>
        <w:pStyle w:val="Footnote"/>
        <w:jc w:val="both"/>
        <w:rPr>
          <w:lang w:val="en-IE"/>
        </w:rPr>
      </w:pPr>
      <w:r w:rsidRPr="008C1F62">
        <w:rPr>
          <w:rStyle w:val="FootnoteReference"/>
        </w:rPr>
        <w:footnoteRef/>
      </w:r>
      <w:r w:rsidRPr="008C1F62">
        <w:rPr>
          <w:lang w:val="en-IE"/>
        </w:rPr>
        <w:t xml:space="preserve"> </w:t>
      </w:r>
      <w:r>
        <w:rPr>
          <w:lang w:val="en-IE"/>
        </w:rPr>
        <w:t xml:space="preserve">Source: </w:t>
      </w:r>
      <w:r w:rsidRPr="00DA216E">
        <w:rPr>
          <w:lang w:val="en-IE"/>
        </w:rPr>
        <w:t>Parson, C. and Smith, A. (2022) “The 'completeness' of the EU single market in comparison to the United States”, Single Market Economy Papers, WP7, Publication Office of the European Commission.</w:t>
      </w:r>
      <w:r>
        <w:rPr>
          <w:lang w:val="en-IE"/>
        </w:rPr>
        <w:t xml:space="preserve"> </w:t>
      </w:r>
      <w:r w:rsidRPr="008C1F62">
        <w:rPr>
          <w:lang w:val="en-IE"/>
        </w:rPr>
        <w:t xml:space="preserve">See </w:t>
      </w:r>
      <w:r>
        <w:rPr>
          <w:lang w:val="en-IE"/>
        </w:rPr>
        <w:t xml:space="preserve">also </w:t>
      </w:r>
      <w:r w:rsidRPr="008C1F62">
        <w:rPr>
          <w:lang w:val="en-IE"/>
        </w:rPr>
        <w:t xml:space="preserve">Section </w:t>
      </w:r>
      <w:r>
        <w:rPr>
          <w:lang w:val="en-IE"/>
        </w:rPr>
        <w:t>2.4</w:t>
      </w:r>
      <w:r w:rsidRPr="008C1F62">
        <w:rPr>
          <w:lang w:val="en-IE"/>
        </w:rPr>
        <w:t xml:space="preserve"> on how such non-regulatory barriers are addressed in the </w:t>
      </w:r>
      <w:r>
        <w:rPr>
          <w:lang w:val="en-IE"/>
        </w:rPr>
        <w:t>EU</w:t>
      </w:r>
      <w:r w:rsidRPr="008C1F62">
        <w:rPr>
          <w:lang w:val="en-IE"/>
        </w:rPr>
        <w:t xml:space="preserve"> through administrative cooperation and digital tools.</w:t>
      </w:r>
    </w:p>
  </w:footnote>
  <w:footnote w:id="29">
    <w:p w14:paraId="64BFC850" w14:textId="7C6E66C9" w:rsidR="000A3A79" w:rsidRPr="008C1F62" w:rsidRDefault="000A3A79" w:rsidP="00B71FAB">
      <w:pPr>
        <w:pStyle w:val="Footnote"/>
        <w:jc w:val="both"/>
        <w:rPr>
          <w:lang w:val="en-IE"/>
        </w:rPr>
      </w:pPr>
      <w:r w:rsidRPr="008C1F62">
        <w:rPr>
          <w:rStyle w:val="FootnoteReference"/>
        </w:rPr>
        <w:footnoteRef/>
      </w:r>
      <w:r w:rsidRPr="008C1F62">
        <w:rPr>
          <w:lang w:val="en-IE"/>
        </w:rPr>
        <w:t xml:space="preserve"> </w:t>
      </w:r>
      <w:r w:rsidRPr="00AE5EE3">
        <w:rPr>
          <w:lang w:val="en-IE"/>
        </w:rPr>
        <w:t xml:space="preserve">Over the past decade, research and innovation in the wide sense contributed to two thirds of EU productivity growth. Horizon Europe and its predecessor programmes have helped creating and better diffusing excellent knowledge and technologies throughout the </w:t>
      </w:r>
      <w:r w:rsidRPr="00F4278D">
        <w:rPr>
          <w:lang w:val="en-IE"/>
        </w:rPr>
        <w:t xml:space="preserve">Single </w:t>
      </w:r>
      <w:r w:rsidRPr="00AE5EE3">
        <w:rPr>
          <w:lang w:val="en-IE"/>
        </w:rPr>
        <w:t>Market</w:t>
      </w:r>
      <w:r w:rsidRPr="00E87D40">
        <w:rPr>
          <w:lang w:val="en-IE"/>
        </w:rPr>
        <w:t xml:space="preserve">. </w:t>
      </w:r>
      <w:r w:rsidRPr="00F4278D">
        <w:rPr>
          <w:lang w:val="en-IE"/>
        </w:rPr>
        <w:t>See</w:t>
      </w:r>
      <w:r w:rsidRPr="00AE5EE3">
        <w:rPr>
          <w:lang w:val="en-IE"/>
        </w:rPr>
        <w:t xml:space="preserve"> Science, Research and Innovation Performance of the EU (SRIP) Report 2020.</w:t>
      </w:r>
      <w:r w:rsidRPr="00CD75C6">
        <w:rPr>
          <w:lang w:val="en-IE"/>
        </w:rPr>
        <w:t xml:space="preserve"> </w:t>
      </w:r>
      <w:r w:rsidRPr="008C1F62">
        <w:rPr>
          <w:lang w:val="en-IE"/>
        </w:rPr>
        <w:t xml:space="preserve">The October 2022 Eurobarometer survey on competition policy, focussing on citizens and SMEs shows that a vast majority of respondents believe that competition encourages innovation and allows for more choice and better prices. See </w:t>
      </w:r>
      <w:hyperlink r:id="rId11" w:history="1">
        <w:r w:rsidRPr="008C1F62">
          <w:rPr>
            <w:rStyle w:val="Hyperlink"/>
            <w:rFonts w:cs="Times New Roman"/>
            <w:lang w:val="en-IE"/>
          </w:rPr>
          <w:t>https://ec.europa.eu/commission/presscorner/detail/en/ip_22_6374</w:t>
        </w:r>
      </w:hyperlink>
      <w:r w:rsidRPr="008C1F62">
        <w:rPr>
          <w:lang w:val="en-IE"/>
        </w:rPr>
        <w:t>.</w:t>
      </w:r>
      <w:r w:rsidRPr="00CD75C6">
        <w:rPr>
          <w:lang w:val="en-IE"/>
        </w:rPr>
        <w:t xml:space="preserve"> </w:t>
      </w:r>
    </w:p>
  </w:footnote>
  <w:footnote w:id="30">
    <w:p w14:paraId="2C7483B3" w14:textId="77777777" w:rsidR="000A3A79" w:rsidRPr="00FE733D" w:rsidRDefault="000A3A79" w:rsidP="00B71FAB">
      <w:pPr>
        <w:pStyle w:val="Footnote"/>
        <w:jc w:val="both"/>
        <w:rPr>
          <w:lang w:val="en-IE"/>
        </w:rPr>
      </w:pPr>
      <w:r>
        <w:rPr>
          <w:rStyle w:val="FootnoteReference"/>
        </w:rPr>
        <w:footnoteRef/>
      </w:r>
      <w:r w:rsidRPr="00FE733D">
        <w:rPr>
          <w:lang w:val="en-IE"/>
        </w:rPr>
        <w:t xml:space="preserve"> In specific terms, it is estimated that interventions concerning mergers, cartels and antitrust generated direct customer savings in the range of EUR 12-21 billion per year in the period 2012-2021 (Annual Single Market Report 2023, page 18).</w:t>
      </w:r>
    </w:p>
  </w:footnote>
  <w:footnote w:id="31">
    <w:p w14:paraId="71088D20" w14:textId="77777777" w:rsidR="000A3A79" w:rsidRPr="003D38C6" w:rsidRDefault="000A3A79" w:rsidP="007A2512">
      <w:pPr>
        <w:pStyle w:val="FootnoteText"/>
        <w:rPr>
          <w:rFonts w:ascii="Times New Roman" w:hAnsi="Times New Roman" w:cs="Times New Roman"/>
        </w:rPr>
      </w:pPr>
      <w:r w:rsidRPr="00B31C80">
        <w:rPr>
          <w:rStyle w:val="FootnoteReference"/>
          <w:rFonts w:ascii="Times New Roman" w:hAnsi="Times New Roman" w:cs="Times New Roman"/>
        </w:rPr>
        <w:footnoteRef/>
      </w:r>
      <w:r w:rsidRPr="00B31C80">
        <w:rPr>
          <w:rFonts w:ascii="Times New Roman" w:hAnsi="Times New Roman" w:cs="Times New Roman"/>
        </w:rPr>
        <w:t xml:space="preserve"> </w:t>
      </w:r>
      <w:r>
        <w:rPr>
          <w:rFonts w:ascii="Times New Roman" w:hAnsi="Times New Roman" w:cs="Times New Roman"/>
        </w:rPr>
        <w:t>T</w:t>
      </w:r>
      <w:r w:rsidRPr="00B31C80">
        <w:rPr>
          <w:rFonts w:ascii="Times New Roman" w:hAnsi="Times New Roman" w:cs="Times New Roman"/>
        </w:rPr>
        <w:t xml:space="preserve">o strengthen the resilience of EU transport in times of crisis, the Commission adopted a Communication on Contingency Plan for Transport (COM/2022/211 final). See also the Action Plan on Military Mobility 2.0: </w:t>
      </w:r>
      <w:hyperlink r:id="rId12" w:history="1">
        <w:r w:rsidRPr="00B31C80">
          <w:rPr>
            <w:rStyle w:val="Hyperlink"/>
            <w:rFonts w:ascii="Times New Roman" w:hAnsi="Times New Roman" w:cs="Times New Roman"/>
          </w:rPr>
          <w:t>https://defence-industry-space.ec.europa.eu/action-plan-military-mobility-20_en</w:t>
        </w:r>
      </w:hyperlink>
    </w:p>
  </w:footnote>
  <w:footnote w:id="32">
    <w:p w14:paraId="5FD166DF" w14:textId="2EA0C622" w:rsidR="00A06833" w:rsidRPr="00413D85" w:rsidRDefault="000A3A79" w:rsidP="00413D85">
      <w:pPr>
        <w:pStyle w:val="Footnote"/>
        <w:rPr>
          <w:lang w:val="en-IE"/>
        </w:rPr>
      </w:pPr>
      <w:r>
        <w:rPr>
          <w:rStyle w:val="FootnoteReference"/>
        </w:rPr>
        <w:footnoteRef/>
      </w:r>
      <w:r w:rsidRPr="00413D85">
        <w:rPr>
          <w:lang w:val="en-IE"/>
        </w:rPr>
        <w:t xml:space="preserve"> </w:t>
      </w:r>
      <w:hyperlink r:id="rId13" w:history="1">
        <w:r w:rsidR="00A06833" w:rsidRPr="00B85E6E">
          <w:rPr>
            <w:rStyle w:val="Hyperlink"/>
            <w:lang w:val="en-IE"/>
          </w:rPr>
          <w:t>https://civil-protection-humanitarian-aid.ec.europa.eu/what/civil-protection/eu-civil-protection-mechanism_en</w:t>
        </w:r>
      </w:hyperlink>
      <w:r w:rsidRPr="00413D85">
        <w:rPr>
          <w:lang w:val="en-IE"/>
        </w:rPr>
        <w:t>.</w:t>
      </w:r>
      <w:r w:rsidR="00A06833">
        <w:rPr>
          <w:lang w:val="en-IE"/>
        </w:rPr>
        <w:t xml:space="preserve"> </w:t>
      </w:r>
    </w:p>
  </w:footnote>
  <w:footnote w:id="33">
    <w:p w14:paraId="740FB526" w14:textId="23F61E65" w:rsidR="0025662F" w:rsidRPr="006F3DB3" w:rsidRDefault="0025662F" w:rsidP="0025662F">
      <w:pPr>
        <w:pStyle w:val="FootnoteText"/>
        <w:rPr>
          <w:rStyle w:val="Hyperlink"/>
          <w:rFonts w:ascii="Times New Roman" w:hAnsi="Times New Roman" w:cs="Times New Roman"/>
        </w:rPr>
      </w:pPr>
      <w:r w:rsidRPr="006F3DB3">
        <w:rPr>
          <w:rStyle w:val="FootnoteReference"/>
          <w:rFonts w:ascii="Times New Roman" w:hAnsi="Times New Roman"/>
        </w:rPr>
        <w:footnoteRef/>
      </w:r>
      <w:r w:rsidRPr="006F3DB3">
        <w:rPr>
          <w:rStyle w:val="FootnoteReference"/>
          <w:rFonts w:ascii="Times New Roman" w:hAnsi="Times New Roman"/>
        </w:rPr>
        <w:t xml:space="preserve"> </w:t>
      </w:r>
      <w:r>
        <w:rPr>
          <w:rStyle w:val="Hyperlink"/>
          <w:rFonts w:ascii="Times New Roman" w:hAnsi="Times New Roman" w:cs="Times New Roman"/>
        </w:rPr>
        <w:t xml:space="preserve">For </w:t>
      </w:r>
      <w:r w:rsidR="00F76605">
        <w:rPr>
          <w:rStyle w:val="Hyperlink"/>
          <w:rFonts w:ascii="Times New Roman" w:hAnsi="Times New Roman" w:cs="Times New Roman"/>
        </w:rPr>
        <w:t>example,</w:t>
      </w:r>
      <w:r w:rsidRPr="006F3DB3">
        <w:rPr>
          <w:rStyle w:val="Hyperlink"/>
          <w:rFonts w:ascii="Times New Roman" w:hAnsi="Times New Roman" w:cs="Times New Roman"/>
        </w:rPr>
        <w:t xml:space="preserve"> </w:t>
      </w:r>
      <w:r>
        <w:rPr>
          <w:rStyle w:val="Hyperlink"/>
          <w:rFonts w:ascii="Times New Roman" w:hAnsi="Times New Roman" w:cs="Times New Roman"/>
        </w:rPr>
        <w:t xml:space="preserve">the </w:t>
      </w:r>
      <w:r w:rsidRPr="006F3DB3">
        <w:rPr>
          <w:rStyle w:val="Hyperlink"/>
          <w:rFonts w:ascii="Times New Roman" w:hAnsi="Times New Roman" w:cs="Times New Roman"/>
        </w:rPr>
        <w:t>Directive on the resilience of critical entities (Directive (EU) 2022/2557).</w:t>
      </w:r>
    </w:p>
  </w:footnote>
  <w:footnote w:id="34">
    <w:p w14:paraId="6B2F7215" w14:textId="5D791DC7" w:rsidR="000A3A79" w:rsidRPr="008C1F62" w:rsidRDefault="000A3A79" w:rsidP="00DD30E4">
      <w:pPr>
        <w:pStyle w:val="Footnote"/>
        <w:rPr>
          <w:lang w:val="en-IE"/>
        </w:rPr>
      </w:pPr>
      <w:r w:rsidRPr="008C1F62">
        <w:rPr>
          <w:rStyle w:val="FootnoteReference"/>
        </w:rPr>
        <w:footnoteRef/>
      </w:r>
      <w:r w:rsidRPr="008C1F62">
        <w:rPr>
          <w:lang w:val="en-IE"/>
        </w:rPr>
        <w:t xml:space="preserve"> See SCAN” (Supply Chain Alert Notification) Monitoring System, which introduces this approach accompanied by a pilot application to Solar PVs: </w:t>
      </w:r>
      <w:hyperlink r:id="rId14" w:history="1">
        <w:r w:rsidRPr="008C1F62">
          <w:rPr>
            <w:rStyle w:val="Hyperlink"/>
            <w:lang w:val="en-IE"/>
          </w:rPr>
          <w:t>https://single-market-economy.ec.europa.eu/publications/scan-supply-chain-alert-notification-monitoring-system_en</w:t>
        </w:r>
      </w:hyperlink>
      <w:r w:rsidRPr="008C1F62">
        <w:rPr>
          <w:lang w:val="en-IE"/>
        </w:rPr>
        <w:t>”.</w:t>
      </w:r>
    </w:p>
  </w:footnote>
  <w:footnote w:id="35">
    <w:p w14:paraId="163878FB" w14:textId="77777777" w:rsidR="000A3A79" w:rsidRPr="00512FDE" w:rsidRDefault="000A3A79" w:rsidP="00DD30E4">
      <w:pPr>
        <w:pStyle w:val="Footnote"/>
        <w:rPr>
          <w:rFonts w:cs="Times New Roman"/>
          <w:lang w:val="en-IE"/>
        </w:rPr>
      </w:pPr>
      <w:r w:rsidRPr="008C1F62">
        <w:rPr>
          <w:rStyle w:val="FootnoteReference"/>
        </w:rPr>
        <w:footnoteRef/>
      </w:r>
      <w:r w:rsidRPr="008C1F62">
        <w:rPr>
          <w:lang w:val="en-IE"/>
        </w:rPr>
        <w:t xml:space="preserve"> Proposal for a Regulation of the European Parliament and of the Council establishing a framework of measures </w:t>
      </w:r>
      <w:r w:rsidRPr="00512FDE">
        <w:rPr>
          <w:rFonts w:cs="Times New Roman"/>
          <w:lang w:val="en-IE"/>
        </w:rPr>
        <w:t>for strengthening Europe's semiconductor ecosystem (Chips Act), COM(2022) 46 final.</w:t>
      </w:r>
    </w:p>
  </w:footnote>
  <w:footnote w:id="36">
    <w:p w14:paraId="3C8C5CEB" w14:textId="63057DBC" w:rsidR="000A3A79" w:rsidRPr="007E71C1" w:rsidRDefault="000A3A79" w:rsidP="00644C7E">
      <w:pPr>
        <w:pStyle w:val="FootnoteText"/>
        <w:contextualSpacing/>
        <w:rPr>
          <w:rFonts w:ascii="Times New Roman" w:hAnsi="Times New Roman" w:cs="Times New Roman"/>
          <w:highlight w:val="yellow"/>
        </w:rPr>
      </w:pPr>
      <w:r w:rsidRPr="00F15F23">
        <w:rPr>
          <w:rStyle w:val="FootnoteReference"/>
        </w:rPr>
        <w:footnoteRef/>
      </w:r>
      <w:r w:rsidRPr="00F15F23">
        <w:t xml:space="preserve"> </w:t>
      </w:r>
      <w:r w:rsidRPr="00F15F23">
        <w:rPr>
          <w:rFonts w:ascii="Times New Roman" w:hAnsi="Times New Roman" w:cs="Times New Roman"/>
        </w:rPr>
        <w:t>COM(</w:t>
      </w:r>
      <w:r w:rsidR="00F15F23" w:rsidRPr="00F15F23">
        <w:rPr>
          <w:rFonts w:ascii="Times New Roman" w:hAnsi="Times New Roman" w:cs="Times New Roman"/>
        </w:rPr>
        <w:t>2023</w:t>
      </w:r>
      <w:r w:rsidRPr="00F15F23">
        <w:rPr>
          <w:rFonts w:ascii="Times New Roman" w:hAnsi="Times New Roman" w:cs="Times New Roman"/>
        </w:rPr>
        <w:t>)</w:t>
      </w:r>
      <w:r w:rsidR="00F15F23" w:rsidRPr="00F15F23">
        <w:rPr>
          <w:rFonts w:ascii="Times New Roman" w:hAnsi="Times New Roman" w:cs="Times New Roman"/>
        </w:rPr>
        <w:t>160</w:t>
      </w:r>
    </w:p>
  </w:footnote>
  <w:footnote w:id="37">
    <w:p w14:paraId="5FD4AE48" w14:textId="64B591C0" w:rsidR="000A3A79" w:rsidRPr="007E71C1" w:rsidRDefault="000A3A79" w:rsidP="00644C7E">
      <w:pPr>
        <w:pStyle w:val="CommentText"/>
        <w:spacing w:after="0"/>
        <w:contextualSpacing/>
        <w:rPr>
          <w:rFonts w:cs="Times New Roman"/>
        </w:rPr>
      </w:pPr>
      <w:r w:rsidRPr="00EE6722">
        <w:rPr>
          <w:rStyle w:val="FootnoteReference"/>
          <w:rFonts w:cs="Times New Roman"/>
        </w:rPr>
        <w:footnoteRef/>
      </w:r>
      <w:r w:rsidRPr="007E71C1">
        <w:rPr>
          <w:rFonts w:cs="Times New Roman"/>
        </w:rPr>
        <w:t xml:space="preserve"> COM(2023) 62 </w:t>
      </w:r>
    </w:p>
  </w:footnote>
  <w:footnote w:id="38">
    <w:p w14:paraId="2A212A71" w14:textId="24A567A4" w:rsidR="000A3A79" w:rsidRPr="007E71C1" w:rsidRDefault="000A3A79" w:rsidP="00644C7E">
      <w:pPr>
        <w:pStyle w:val="Footnote"/>
        <w:contextualSpacing/>
        <w:rPr>
          <w:rFonts w:cs="Times New Roman"/>
          <w:lang w:val="en-IE"/>
        </w:rPr>
      </w:pPr>
      <w:r w:rsidRPr="00644C7E">
        <w:rPr>
          <w:rStyle w:val="FootnoteReference"/>
          <w:rFonts w:cs="Times New Roman"/>
        </w:rPr>
        <w:footnoteRef/>
      </w:r>
      <w:r w:rsidRPr="007E71C1">
        <w:rPr>
          <w:rFonts w:cs="Times New Roman"/>
          <w:lang w:val="en-IE"/>
        </w:rPr>
        <w:t xml:space="preserve"> </w:t>
      </w:r>
      <w:r w:rsidR="00AB6A1D" w:rsidRPr="00AB6A1D">
        <w:rPr>
          <w:rFonts w:cs="Times New Roman"/>
          <w:lang w:val="en-IE"/>
        </w:rPr>
        <w:t xml:space="preserve">COM(2023) </w:t>
      </w:r>
      <w:r w:rsidR="00AB6A1D" w:rsidRPr="004F6503">
        <w:rPr>
          <w:rFonts w:cs="Times New Roman"/>
          <w:lang w:val="en-IE"/>
        </w:rPr>
        <w:t>161</w:t>
      </w:r>
    </w:p>
  </w:footnote>
  <w:footnote w:id="39">
    <w:p w14:paraId="553EB055" w14:textId="32ED45D5" w:rsidR="000A3A79" w:rsidRPr="003736BF" w:rsidRDefault="000A3A79" w:rsidP="005E2843">
      <w:pPr>
        <w:pStyle w:val="Footnote"/>
        <w:rPr>
          <w:lang w:val="en-IE"/>
        </w:rPr>
      </w:pPr>
      <w:r w:rsidRPr="00512FDE">
        <w:rPr>
          <w:rStyle w:val="FootnoteReference"/>
          <w:rFonts w:cs="Times New Roman"/>
        </w:rPr>
        <w:footnoteRef/>
      </w:r>
      <w:r w:rsidRPr="003736BF">
        <w:rPr>
          <w:rFonts w:cs="Times New Roman"/>
          <w:lang w:val="en-IE"/>
        </w:rPr>
        <w:t xml:space="preserve"> </w:t>
      </w:r>
      <w:hyperlink r:id="rId15" w:history="1">
        <w:r w:rsidRPr="00124D74">
          <w:rPr>
            <w:rStyle w:val="Hyperlink"/>
            <w:lang w:val="en-IE"/>
          </w:rPr>
          <w:t>Temporary Crisis and Transition Framework (europa.eu)</w:t>
        </w:r>
      </w:hyperlink>
      <w:r>
        <w:rPr>
          <w:rStyle w:val="Hyperlink"/>
          <w:lang w:val="en-IE"/>
        </w:rPr>
        <w:t>.</w:t>
      </w:r>
    </w:p>
  </w:footnote>
  <w:footnote w:id="40">
    <w:p w14:paraId="554B0319" w14:textId="14B1F6DE" w:rsidR="000A3A79" w:rsidRPr="005E4DEC" w:rsidRDefault="000A3A79" w:rsidP="00E32CE9">
      <w:pPr>
        <w:pStyle w:val="FootnoteText"/>
        <w:contextualSpacing/>
        <w:rPr>
          <w:rFonts w:ascii="Times New Roman" w:hAnsi="Times New Roman" w:cs="Times New Roman"/>
        </w:rPr>
      </w:pPr>
      <w:r>
        <w:rPr>
          <w:rStyle w:val="FootnoteReference"/>
        </w:rPr>
        <w:footnoteRef/>
      </w:r>
      <w:r>
        <w:t xml:space="preserve"> </w:t>
      </w:r>
      <w:hyperlink r:id="rId16" w:history="1">
        <w:r w:rsidRPr="00AD6EB8">
          <w:rPr>
            <w:rStyle w:val="Hyperlink"/>
            <w:rFonts w:ascii="Times New Roman" w:hAnsi="Times New Roman" w:cs="Times New Roman"/>
          </w:rPr>
          <w:t>https://european-union.europa.eu/principles-countries-history/key-facts-and-figures/economy_en</w:t>
        </w:r>
      </w:hyperlink>
      <w:r>
        <w:rPr>
          <w:rFonts w:ascii="Times New Roman" w:hAnsi="Times New Roman" w:cs="Times New Roman"/>
        </w:rPr>
        <w:t>.</w:t>
      </w:r>
    </w:p>
  </w:footnote>
  <w:footnote w:id="41">
    <w:p w14:paraId="374639D7" w14:textId="1B45E77C" w:rsidR="000A3A79" w:rsidRPr="00D9491E" w:rsidRDefault="000A3A79" w:rsidP="00E32CE9">
      <w:pPr>
        <w:pStyle w:val="FootnoteText"/>
        <w:contextualSpacing/>
        <w:jc w:val="both"/>
        <w:rPr>
          <w:rFonts w:ascii="Times New Roman" w:hAnsi="Times New Roman" w:cs="Times New Roman"/>
        </w:rPr>
      </w:pPr>
      <w:r w:rsidRPr="00D9491E">
        <w:rPr>
          <w:rStyle w:val="FootnoteReference"/>
          <w:rFonts w:ascii="Times New Roman" w:hAnsi="Times New Roman" w:cs="Times New Roman"/>
        </w:rPr>
        <w:footnoteRef/>
      </w:r>
      <w:r w:rsidRPr="00D9491E">
        <w:rPr>
          <w:rFonts w:ascii="Times New Roman" w:hAnsi="Times New Roman" w:cs="Times New Roman"/>
        </w:rPr>
        <w:t xml:space="preserve"> Priority Action Plan for enhanced implementation of the EU-Ukraine Deep and Comprehensive Free Trade Agreement</w:t>
      </w:r>
      <w:r>
        <w:rPr>
          <w:rFonts w:ascii="Times New Roman" w:hAnsi="Times New Roman" w:cs="Times New Roman"/>
        </w:rPr>
        <w:t>.</w:t>
      </w:r>
      <w:r w:rsidRPr="00D9491E">
        <w:rPr>
          <w:rFonts w:ascii="Times New Roman" w:hAnsi="Times New Roman" w:cs="Times New Roman"/>
        </w:rPr>
        <w:t xml:space="preserve"> </w:t>
      </w:r>
    </w:p>
  </w:footnote>
  <w:footnote w:id="42">
    <w:p w14:paraId="66FB4632" w14:textId="77777777" w:rsidR="000A3A79" w:rsidRDefault="000A3A79" w:rsidP="00E32CE9">
      <w:pPr>
        <w:pStyle w:val="FootnoteText"/>
        <w:contextualSpacing/>
        <w:jc w:val="both"/>
      </w:pPr>
      <w:r>
        <w:rPr>
          <w:rStyle w:val="FootnoteReference"/>
        </w:rPr>
        <w:footnoteRef/>
      </w:r>
      <w:r>
        <w:t xml:space="preserve"> </w:t>
      </w:r>
      <w:r w:rsidRPr="00FA0497">
        <w:rPr>
          <w:rFonts w:ascii="Times New Roman" w:hAnsi="Times New Roman" w:cs="Times New Roman"/>
        </w:rPr>
        <w:t>The Commission is preparing the ground for an Agreement on Conformity Assessment and Acceptance of Industrial Products (ACAA) with Ukraine. The Commission is engaged in preparatory work with Moldova as well, with the intention of starting negotiations for an ACAA.</w:t>
      </w:r>
    </w:p>
  </w:footnote>
  <w:footnote w:id="43">
    <w:p w14:paraId="0FAA6417" w14:textId="54D3B49E" w:rsidR="000A3A79" w:rsidRPr="00E0479C" w:rsidRDefault="000A3A79" w:rsidP="00482656">
      <w:pPr>
        <w:pStyle w:val="FootnoteText"/>
        <w:jc w:val="both"/>
      </w:pPr>
      <w:r>
        <w:rPr>
          <w:rStyle w:val="FootnoteReference"/>
        </w:rPr>
        <w:footnoteRef/>
      </w:r>
      <w:r>
        <w:t xml:space="preserve"> </w:t>
      </w:r>
      <w:r w:rsidRPr="004F10D4">
        <w:rPr>
          <w:rFonts w:ascii="Times New Roman" w:hAnsi="Times New Roman" w:cs="Times New Roman"/>
        </w:rPr>
        <w:t>In order to strengthen the Single Market on the ground, a significant funding package of EUR 4.2 billion – the Single Market Programme – was adopted to support a variety of actions from improving market surveillance to providing citizens and businesses with problem-solving support, supporting SMEs’ competitiveness and improving food safety.</w:t>
      </w:r>
    </w:p>
  </w:footnote>
  <w:footnote w:id="44">
    <w:p w14:paraId="1469DC57" w14:textId="0A58530E" w:rsidR="000A3A79" w:rsidRPr="003736BF" w:rsidRDefault="000A3A79" w:rsidP="001459F8">
      <w:pPr>
        <w:pStyle w:val="FootnoteText"/>
        <w:jc w:val="both"/>
        <w:rPr>
          <w:rFonts w:ascii="Times New Roman" w:hAnsi="Times New Roman" w:cs="Times New Roman"/>
        </w:rPr>
      </w:pPr>
      <w:r w:rsidRPr="00761B15">
        <w:rPr>
          <w:rStyle w:val="FootnoteReference"/>
        </w:rPr>
        <w:footnoteRef/>
      </w:r>
      <w:hyperlink r:id="rId17" w:history="1">
        <w:r w:rsidRPr="00761B15">
          <w:rPr>
            <w:rStyle w:val="Hyperlink"/>
            <w:rFonts w:ascii="Times New Roman" w:hAnsi="Times New Roman" w:cs="Times New Roman"/>
          </w:rPr>
          <w:t>COVID-19 vaccines | European Medicines Agency (europa.eu)</w:t>
        </w:r>
      </w:hyperlink>
      <w:r w:rsidRPr="00761B15">
        <w:rPr>
          <w:rFonts w:ascii="Times New Roman" w:hAnsi="Times New Roman" w:cs="Times New Roman"/>
        </w:rPr>
        <w:t>.</w:t>
      </w:r>
    </w:p>
  </w:footnote>
  <w:footnote w:id="45">
    <w:p w14:paraId="7BF52D23" w14:textId="77777777" w:rsidR="000A3A79" w:rsidRPr="00761B15" w:rsidRDefault="000A3A79" w:rsidP="00482656">
      <w:pPr>
        <w:pStyle w:val="Footnote"/>
        <w:jc w:val="both"/>
        <w:rPr>
          <w:lang w:val="en-IE"/>
        </w:rPr>
      </w:pPr>
      <w:r w:rsidRPr="75965158">
        <w:rPr>
          <w:rStyle w:val="FootnoteReference"/>
        </w:rPr>
        <w:footnoteRef/>
      </w:r>
      <w:r w:rsidRPr="75965158">
        <w:rPr>
          <w:lang w:val="en-IE"/>
        </w:rPr>
        <w:t xml:space="preserve"> Regulation (EU) 2016/679 of the European Parliament and of the Council of 27 April 2016 on the protection of natural persons with regard to the processing of personal data and on the free movement of such data, and repealing </w:t>
      </w:r>
      <w:r w:rsidRPr="00761B15">
        <w:rPr>
          <w:lang w:val="en-IE"/>
        </w:rPr>
        <w:t>Directive 95/46/EC (General Data Protection Regulation, GDPR).</w:t>
      </w:r>
    </w:p>
  </w:footnote>
  <w:footnote w:id="46">
    <w:p w14:paraId="0E310A88" w14:textId="77777777" w:rsidR="000A3A79" w:rsidRPr="008C1F62" w:rsidRDefault="000A3A79" w:rsidP="00482656">
      <w:pPr>
        <w:pStyle w:val="Footnote"/>
        <w:jc w:val="both"/>
        <w:rPr>
          <w:lang w:val="en-IE"/>
        </w:rPr>
      </w:pPr>
      <w:r w:rsidRPr="008C1F62">
        <w:rPr>
          <w:rStyle w:val="FootnoteReference"/>
        </w:rPr>
        <w:footnoteRef/>
      </w:r>
      <w:r w:rsidRPr="008C1F62">
        <w:rPr>
          <w:lang w:val="en-IE"/>
        </w:rPr>
        <w:t xml:space="preserve"> An EU Strategy on Standardisation - Setting global standards in support of a resilient, green and digital EU single market, COM(2022)31.</w:t>
      </w:r>
    </w:p>
  </w:footnote>
  <w:footnote w:id="47">
    <w:p w14:paraId="6CD6B8B2" w14:textId="77777777" w:rsidR="000A3A79" w:rsidRPr="00A1588C" w:rsidRDefault="000A3A79" w:rsidP="00C40497">
      <w:pPr>
        <w:pStyle w:val="Footnote"/>
        <w:jc w:val="both"/>
        <w:rPr>
          <w:lang w:val="en-IE"/>
        </w:rPr>
      </w:pPr>
      <w:r>
        <w:rPr>
          <w:rStyle w:val="FootnoteReference"/>
        </w:rPr>
        <w:footnoteRef/>
      </w:r>
      <w:r w:rsidRPr="00FE733D">
        <w:rPr>
          <w:lang w:val="en-IE"/>
        </w:rPr>
        <w:t xml:space="preserve"> Regulation (EU) 2022/2560 of the European Parliament and of the Council of 14 December 2022 on foreign subsidies distorting the internal market.</w:t>
      </w:r>
    </w:p>
  </w:footnote>
  <w:footnote w:id="48">
    <w:p w14:paraId="04787775" w14:textId="77777777" w:rsidR="000A3A79" w:rsidRPr="008C1F62" w:rsidRDefault="000A3A79" w:rsidP="00C40497">
      <w:pPr>
        <w:pStyle w:val="Footnote"/>
        <w:jc w:val="both"/>
        <w:rPr>
          <w:lang w:val="en-IE"/>
        </w:rPr>
      </w:pPr>
      <w:r w:rsidRPr="008C1F62">
        <w:rPr>
          <w:rStyle w:val="FootnoteReference"/>
        </w:rPr>
        <w:footnoteRef/>
      </w:r>
      <w:r w:rsidRPr="008C1F62">
        <w:rPr>
          <w:lang w:val="en-IE"/>
        </w:rPr>
        <w:t xml:space="preserve"> Proposal for a Regulation of the European Parliament and of the Council on prohibiting products made with forced labour on the Union market, COM(2022) 453 final.</w:t>
      </w:r>
    </w:p>
  </w:footnote>
  <w:footnote w:id="49">
    <w:p w14:paraId="26E28568" w14:textId="3E1D7CF6" w:rsidR="000A3A79" w:rsidRPr="00EE6CAE" w:rsidRDefault="000A3A79">
      <w:pPr>
        <w:pStyle w:val="FootnoteText"/>
      </w:pPr>
      <w:r>
        <w:rPr>
          <w:rStyle w:val="FootnoteReference"/>
        </w:rPr>
        <w:footnoteRef/>
      </w:r>
      <w:r>
        <w:t xml:space="preserve"> </w:t>
      </w:r>
      <w:r w:rsidR="00484A0B" w:rsidRPr="00484A0B">
        <w:rPr>
          <w:rFonts w:ascii="Times New Roman" w:hAnsi="Times New Roman" w:cs="Times New Roman"/>
        </w:rPr>
        <w:t>COM(2023)168</w:t>
      </w:r>
    </w:p>
  </w:footnote>
  <w:footnote w:id="50">
    <w:p w14:paraId="2EF2BAC0" w14:textId="77777777" w:rsidR="000A3A79" w:rsidRPr="008C1F62" w:rsidRDefault="000A3A79" w:rsidP="00C40497">
      <w:pPr>
        <w:pStyle w:val="FootnoteText"/>
        <w:jc w:val="both"/>
      </w:pPr>
      <w:r w:rsidRPr="008C1F62">
        <w:rPr>
          <w:rStyle w:val="FootnoteReference"/>
        </w:rPr>
        <w:footnoteRef/>
      </w:r>
      <w:r w:rsidRPr="008C1F62">
        <w:t xml:space="preserve"> </w:t>
      </w:r>
      <w:r w:rsidRPr="008C1F62">
        <w:rPr>
          <w:rFonts w:ascii="Times New Roman" w:eastAsia="Times New Roman" w:hAnsi="Times New Roman" w:cs="Times New Roman"/>
        </w:rPr>
        <w:t>See also recent Commission Communication on Enforcing EU law for a Europe that delivers (COM(2022)518 final).</w:t>
      </w:r>
    </w:p>
  </w:footnote>
  <w:footnote w:id="51">
    <w:p w14:paraId="5D2F642D" w14:textId="655ED67B" w:rsidR="000A3A79" w:rsidRPr="00772E9D" w:rsidRDefault="000A3A79" w:rsidP="00A06E0E">
      <w:pPr>
        <w:pStyle w:val="FootnoteText"/>
        <w:rPr>
          <w:rFonts w:ascii="Times New Roman" w:hAnsi="Times New Roman" w:cs="Times New Roman"/>
        </w:rPr>
      </w:pPr>
      <w:r>
        <w:rPr>
          <w:rStyle w:val="FootnoteReference"/>
        </w:rPr>
        <w:footnoteRef/>
      </w:r>
      <w:r>
        <w:t xml:space="preserve"> </w:t>
      </w:r>
      <w:hyperlink r:id="rId18" w:history="1">
        <w:r w:rsidRPr="00772E9D">
          <w:rPr>
            <w:rStyle w:val="Hyperlink"/>
            <w:rFonts w:ascii="Times New Roman" w:hAnsi="Times New Roman" w:cs="Times New Roman"/>
          </w:rPr>
          <w:t>Single Market Scoreboard 2022</w:t>
        </w:r>
      </w:hyperlink>
      <w:r>
        <w:rPr>
          <w:rFonts w:ascii="Times New Roman" w:hAnsi="Times New Roman" w:cs="Times New Roman"/>
        </w:rPr>
        <w:t>.</w:t>
      </w:r>
      <w:r w:rsidRPr="00772E9D">
        <w:rPr>
          <w:rFonts w:ascii="Times New Roman" w:hAnsi="Times New Roman" w:cs="Times New Roman"/>
        </w:rPr>
        <w:t xml:space="preserve"> </w:t>
      </w:r>
    </w:p>
    <w:p w14:paraId="7E230369" w14:textId="77777777" w:rsidR="000A3A79" w:rsidRDefault="000A3A79" w:rsidP="00A407E3">
      <w:pPr>
        <w:pStyle w:val="FootnoteText"/>
        <w:jc w:val="both"/>
      </w:pPr>
      <w:r w:rsidRPr="00772E9D">
        <w:rPr>
          <w:rFonts w:ascii="Times New Roman" w:hAnsi="Times New Roman" w:cs="Times New Roman"/>
        </w:rPr>
        <w:t>This analysis considers 997 directives and 5669 regulations to ensure the functioning of the Single Market, in force on 1 December 2021.</w:t>
      </w:r>
    </w:p>
  </w:footnote>
  <w:footnote w:id="52">
    <w:p w14:paraId="1992CD20" w14:textId="0C4FCBE7" w:rsidR="000A3A79" w:rsidRPr="00855C51" w:rsidRDefault="000A3A79" w:rsidP="00E20B26">
      <w:pPr>
        <w:pStyle w:val="FootnoteText"/>
        <w:rPr>
          <w:rFonts w:ascii="Times New Roman" w:hAnsi="Times New Roman" w:cs="Times New Roman"/>
        </w:rPr>
      </w:pPr>
      <w:r w:rsidRPr="00855C51">
        <w:rPr>
          <w:rStyle w:val="FootnoteReference"/>
        </w:rPr>
        <w:footnoteRef/>
      </w:r>
      <w:r w:rsidRPr="00855C51">
        <w:t xml:space="preserve"> </w:t>
      </w:r>
      <w:r w:rsidRPr="00855C51">
        <w:rPr>
          <w:rFonts w:ascii="Times New Roman" w:hAnsi="Times New Roman" w:cs="Times New Roman"/>
        </w:rPr>
        <w:t xml:space="preserve">See footnotes </w:t>
      </w:r>
      <w:r w:rsidR="00855C51" w:rsidRPr="00855C51">
        <w:rPr>
          <w:rFonts w:ascii="Times New Roman" w:hAnsi="Times New Roman" w:cs="Times New Roman"/>
        </w:rPr>
        <w:t>65 to 68</w:t>
      </w:r>
      <w:r w:rsidRPr="00855C51">
        <w:rPr>
          <w:rFonts w:ascii="Times New Roman" w:hAnsi="Times New Roman" w:cs="Times New Roman"/>
        </w:rPr>
        <w:t xml:space="preserve">  for details on enforcement  deficit targets.</w:t>
      </w:r>
    </w:p>
  </w:footnote>
  <w:footnote w:id="53">
    <w:p w14:paraId="06813367" w14:textId="748AC57C" w:rsidR="000A3A79" w:rsidRPr="00A407E3" w:rsidRDefault="000A3A79">
      <w:pPr>
        <w:pStyle w:val="FootnoteText"/>
      </w:pPr>
      <w:r w:rsidRPr="00855C51">
        <w:rPr>
          <w:rStyle w:val="FootnoteReference"/>
        </w:rPr>
        <w:footnoteRef/>
      </w:r>
      <w:r w:rsidRPr="00855C51">
        <w:t xml:space="preserve"> </w:t>
      </w:r>
      <w:hyperlink r:id="rId19" w:history="1">
        <w:r w:rsidRPr="00855C51">
          <w:rPr>
            <w:rStyle w:val="Hyperlink"/>
            <w:rFonts w:ascii="Times New Roman" w:hAnsi="Times New Roman" w:cs="Times New Roman"/>
          </w:rPr>
          <w:t>Single Market Scoreboard</w:t>
        </w:r>
      </w:hyperlink>
      <w:r w:rsidRPr="00855C51">
        <w:rPr>
          <w:rStyle w:val="Hyperlink"/>
          <w:rFonts w:ascii="Times New Roman" w:hAnsi="Times New Roman" w:cs="Times New Roman"/>
        </w:rPr>
        <w:t xml:space="preserve"> 2022</w:t>
      </w:r>
      <w:r w:rsidRPr="00855C51">
        <w:t>.</w:t>
      </w:r>
    </w:p>
  </w:footnote>
  <w:footnote w:id="54">
    <w:p w14:paraId="69CE0B3B" w14:textId="47DCD2A0" w:rsidR="000A3A79" w:rsidRPr="00DA237C" w:rsidRDefault="000A3A79">
      <w:pPr>
        <w:pStyle w:val="FootnoteText"/>
      </w:pPr>
      <w:r>
        <w:rPr>
          <w:rStyle w:val="FootnoteReference"/>
        </w:rPr>
        <w:footnoteRef/>
      </w:r>
      <w:r>
        <w:t xml:space="preserve"> </w:t>
      </w:r>
      <w:hyperlink r:id="rId20" w:history="1">
        <w:r w:rsidRPr="00772E9D">
          <w:rPr>
            <w:rStyle w:val="Hyperlink"/>
            <w:rFonts w:ascii="Times New Roman" w:hAnsi="Times New Roman" w:cs="Times New Roman"/>
          </w:rPr>
          <w:t>Single Market Scoreboard 2022</w:t>
        </w:r>
      </w:hyperlink>
      <w:r w:rsidRPr="280E820D">
        <w:t>.</w:t>
      </w:r>
    </w:p>
  </w:footnote>
  <w:footnote w:id="55">
    <w:p w14:paraId="0E78C87D" w14:textId="501990CD" w:rsidR="000A3A79" w:rsidRPr="00564176" w:rsidRDefault="000A3A79" w:rsidP="00A407E3">
      <w:pPr>
        <w:pStyle w:val="FootnoteText"/>
        <w:jc w:val="both"/>
        <w:rPr>
          <w:rFonts w:ascii="Times New Roman" w:hAnsi="Times New Roman"/>
        </w:rPr>
      </w:pPr>
      <w:r>
        <w:rPr>
          <w:rStyle w:val="FootnoteReference"/>
        </w:rPr>
        <w:footnoteRef/>
      </w:r>
      <w:r>
        <w:t xml:space="preserve"> </w:t>
      </w:r>
      <w:r w:rsidRPr="00FE0949">
        <w:rPr>
          <w:rFonts w:ascii="Times New Roman" w:hAnsi="Times New Roman" w:cs="Times New Roman"/>
        </w:rPr>
        <w:t xml:space="preserve">As described in the Annex 1 : Stocktaking of the implementation of the 2020 Single Market Enforcement Action Plan, </w:t>
      </w:r>
      <w:hyperlink r:id="rId21" w:history="1">
        <w:r w:rsidRPr="008872FA">
          <w:rPr>
            <w:rStyle w:val="Hyperlink"/>
            <w:rFonts w:ascii="Times New Roman" w:hAnsi="Times New Roman"/>
          </w:rPr>
          <w:t>Annual Single Market Report 2023</w:t>
        </w:r>
      </w:hyperlink>
      <w:r>
        <w:rPr>
          <w:rStyle w:val="Hyperlink"/>
          <w:rFonts w:ascii="Times New Roman" w:hAnsi="Times New Roman"/>
        </w:rPr>
        <w:t>.</w:t>
      </w:r>
      <w:r>
        <w:rPr>
          <w:rFonts w:ascii="Times New Roman" w:hAnsi="Times New Roman" w:cs="Times New Roman"/>
        </w:rPr>
        <w:t xml:space="preserve"> A</w:t>
      </w:r>
      <w:r w:rsidRPr="00FE0949">
        <w:rPr>
          <w:rFonts w:ascii="Times New Roman" w:hAnsi="Times New Roman" w:cs="Times New Roman"/>
        </w:rPr>
        <w:t>ll</w:t>
      </w:r>
      <w:r w:rsidRPr="00A93003">
        <w:rPr>
          <w:rFonts w:ascii="Times New Roman" w:hAnsi="Times New Roman"/>
        </w:rPr>
        <w:t xml:space="preserve"> actions of the long term Action Plan for better implementation and enforcement of single market rules have been implemented or launched.</w:t>
      </w:r>
      <w:r>
        <w:rPr>
          <w:rFonts w:ascii="Times New Roman" w:hAnsi="Times New Roman"/>
        </w:rPr>
        <w:t xml:space="preserve"> </w:t>
      </w:r>
    </w:p>
  </w:footnote>
  <w:footnote w:id="56">
    <w:p w14:paraId="30F32FA4" w14:textId="78CF0507" w:rsidR="000A3A79" w:rsidRPr="00E8412D" w:rsidRDefault="000A3A79" w:rsidP="00C1262C">
      <w:pPr>
        <w:pStyle w:val="Footnote"/>
        <w:rPr>
          <w:highlight w:val="yellow"/>
          <w:lang w:val="en-IE"/>
        </w:rPr>
      </w:pPr>
      <w:r w:rsidRPr="00EC014D">
        <w:rPr>
          <w:rStyle w:val="FootnoteReference"/>
        </w:rPr>
        <w:footnoteRef/>
      </w:r>
      <w:r w:rsidRPr="00E8412D">
        <w:rPr>
          <w:color w:val="2B579A"/>
          <w:shd w:val="clear" w:color="auto" w:fill="E6E6E6"/>
          <w:lang w:val="en-IE"/>
        </w:rPr>
        <w:t xml:space="preserve"> </w:t>
      </w:r>
      <w:hyperlink r:id="rId22" w:history="1">
        <w:r w:rsidRPr="00EE24BA">
          <w:rPr>
            <w:rStyle w:val="Hyperlink"/>
            <w:rFonts w:cs="Times New Roman"/>
            <w:lang w:val="en-IE"/>
          </w:rPr>
          <w:t>Free movement of services: Commission takes action (europa.eu)</w:t>
        </w:r>
      </w:hyperlink>
      <w:r w:rsidRPr="00EE24BA">
        <w:rPr>
          <w:lang w:val="en-IE"/>
        </w:rPr>
        <w:t>.</w:t>
      </w:r>
    </w:p>
  </w:footnote>
  <w:footnote w:id="57">
    <w:p w14:paraId="6CFE3F41" w14:textId="77777777" w:rsidR="000A3A79" w:rsidRPr="008C1F62" w:rsidRDefault="000A3A79" w:rsidP="00222C1C">
      <w:pPr>
        <w:pStyle w:val="Footnote"/>
        <w:rPr>
          <w:lang w:val="en-IE"/>
        </w:rPr>
      </w:pPr>
      <w:r w:rsidRPr="008C1F62">
        <w:rPr>
          <w:rStyle w:val="FootnoteReference"/>
        </w:rPr>
        <w:footnoteRef/>
      </w:r>
      <w:r w:rsidRPr="008C1F62">
        <w:rPr>
          <w:lang w:val="en-IE"/>
        </w:rPr>
        <w:t xml:space="preserve"> See “</w:t>
      </w:r>
      <w:hyperlink r:id="rId23" w:history="1">
        <w:r w:rsidRPr="008C1F62">
          <w:rPr>
            <w:rStyle w:val="Hyperlink"/>
            <w:lang w:val="en-IE"/>
          </w:rPr>
          <w:t>30 years of single market – taking stock and looking ahead”, European Commission 2022</w:t>
        </w:r>
      </w:hyperlink>
      <w:r w:rsidRPr="008C1F62">
        <w:rPr>
          <w:lang w:val="en-IE"/>
        </w:rPr>
        <w:t>.</w:t>
      </w:r>
    </w:p>
  </w:footnote>
  <w:footnote w:id="58">
    <w:p w14:paraId="722AD7EA" w14:textId="0C7B990B" w:rsidR="000A3A79" w:rsidRPr="008B0D94" w:rsidRDefault="000A3A79" w:rsidP="00AC0FB6">
      <w:pPr>
        <w:pStyle w:val="Footnote"/>
        <w:rPr>
          <w:lang w:val="en-IE"/>
        </w:rPr>
      </w:pPr>
      <w:r w:rsidRPr="008B0D94">
        <w:rPr>
          <w:rStyle w:val="FootnoteReference"/>
        </w:rPr>
        <w:footnoteRef/>
      </w:r>
      <w:r w:rsidRPr="008B0D94">
        <w:rPr>
          <w:lang w:val="en-IE"/>
        </w:rPr>
        <w:t xml:space="preserve"> </w:t>
      </w:r>
      <w:hyperlink r:id="rId24" w:history="1">
        <w:r w:rsidRPr="005B4839">
          <w:rPr>
            <w:rStyle w:val="Hyperlink"/>
            <w:lang w:val="en-IE"/>
          </w:rPr>
          <w:t>https://single-market-economy.ec.europa.eu/news/single-market-task-force-continues-tackle-barriers-single-market-2022-11-29_en</w:t>
        </w:r>
      </w:hyperlink>
      <w:r>
        <w:rPr>
          <w:lang w:val="en-IE"/>
        </w:rPr>
        <w:t>.</w:t>
      </w:r>
    </w:p>
  </w:footnote>
  <w:footnote w:id="59">
    <w:p w14:paraId="6BFA1C92" w14:textId="22ED692F" w:rsidR="000A3A79" w:rsidRPr="00566FA4" w:rsidRDefault="000A3A79" w:rsidP="00566FA4">
      <w:pPr>
        <w:pStyle w:val="FootnoteText"/>
        <w:jc w:val="both"/>
        <w:rPr>
          <w:rFonts w:ascii="Times New Roman" w:hAnsi="Times New Roman" w:cs="Times New Roman"/>
        </w:rPr>
      </w:pPr>
      <w:bookmarkStart w:id="14" w:name="_Hlk129009629"/>
      <w:bookmarkStart w:id="15" w:name="_Hlk129012768"/>
      <w:r w:rsidRPr="00761B15">
        <w:rPr>
          <w:rStyle w:val="FootnoteReference"/>
        </w:rPr>
        <w:footnoteRef/>
      </w:r>
      <w:r w:rsidRPr="00761B15">
        <w:t xml:space="preserve"> </w:t>
      </w:r>
      <w:bookmarkStart w:id="16" w:name="_Hlk129188733"/>
      <w:r w:rsidRPr="00761B15">
        <w:rPr>
          <w:rFonts w:ascii="Times New Roman" w:hAnsi="Times New Roman" w:cs="Times New Roman"/>
        </w:rPr>
        <w:t>The Industrial Forum brings together Member States, businesses of all sizes, trade unions and civil society and it acts as a sounding board for stakeholders and showcases the state of the European competitiveness. The Forum also counts on a dedicated taskforce that is tasked with assessing the state of the Single Market</w:t>
      </w:r>
      <w:bookmarkEnd w:id="14"/>
      <w:r w:rsidRPr="00761B15">
        <w:rPr>
          <w:rFonts w:ascii="Times New Roman" w:hAnsi="Times New Roman" w:cs="Times New Roman"/>
        </w:rPr>
        <w:t>. It also actively contributes to Transition Pathways, which also take into account regulatory challenges for the twin transitions and resilience of Europe’s industry.</w:t>
      </w:r>
      <w:bookmarkEnd w:id="15"/>
      <w:r w:rsidRPr="00761B15">
        <w:t xml:space="preserve"> </w:t>
      </w:r>
      <w:r w:rsidRPr="00761B15">
        <w:rPr>
          <w:rFonts w:ascii="Times New Roman" w:hAnsi="Times New Roman" w:cs="Times New Roman"/>
        </w:rPr>
        <w:t>It acts as a sounding board but also as a source of information on issues that industry is facing and how to address them. The Forum meets in plenary 2-3 times a year, most recently 7 March 2023.</w:t>
      </w:r>
      <w:bookmarkEnd w:id="16"/>
    </w:p>
  </w:footnote>
  <w:footnote w:id="60">
    <w:p w14:paraId="537A1B22" w14:textId="0905EDCF" w:rsidR="000A3A79" w:rsidRPr="001866A6" w:rsidRDefault="000A3A79" w:rsidP="003E79B5">
      <w:pPr>
        <w:pStyle w:val="Footnote"/>
        <w:jc w:val="both"/>
        <w:rPr>
          <w:rStyle w:val="Hyperlink"/>
          <w:color w:val="auto"/>
          <w:u w:val="none"/>
          <w:lang w:val="en-IE"/>
        </w:rPr>
      </w:pPr>
      <w:r w:rsidRPr="008B0D94">
        <w:rPr>
          <w:rStyle w:val="FootnoteReference"/>
        </w:rPr>
        <w:footnoteRef/>
      </w:r>
      <w:r w:rsidRPr="00287D26">
        <w:rPr>
          <w:lang w:val="en-IE"/>
        </w:rPr>
        <w:t xml:space="preserve"> </w:t>
      </w:r>
      <w:r w:rsidRPr="00196E34">
        <w:rPr>
          <w:rStyle w:val="Hyperlink"/>
          <w:color w:val="auto"/>
          <w:u w:val="none"/>
          <w:lang w:val="en-IE"/>
        </w:rPr>
        <w:t xml:space="preserve">According to the Single </w:t>
      </w:r>
      <w:r w:rsidRPr="00350BF4">
        <w:rPr>
          <w:rStyle w:val="Hyperlink"/>
          <w:color w:val="auto"/>
          <w:u w:val="none"/>
          <w:lang w:val="en-IE"/>
        </w:rPr>
        <w:t>Market Scoreboard</w:t>
      </w:r>
      <w:r>
        <w:rPr>
          <w:rStyle w:val="Hyperlink"/>
          <w:color w:val="auto"/>
          <w:u w:val="none"/>
          <w:lang w:val="en-IE"/>
        </w:rPr>
        <w:t>,</w:t>
      </w:r>
      <w:r w:rsidRPr="00196E34">
        <w:rPr>
          <w:rStyle w:val="Hyperlink"/>
          <w:color w:val="auto"/>
          <w:u w:val="none"/>
          <w:lang w:val="en-IE"/>
        </w:rPr>
        <w:t xml:space="preserve"> the latest score on the provision of digital public services for businesses was very high (around 80 or more) for two thirds of Member States. By contrast, </w:t>
      </w:r>
      <w:r>
        <w:rPr>
          <w:rStyle w:val="Hyperlink"/>
          <w:color w:val="auto"/>
          <w:u w:val="none"/>
          <w:lang w:val="en-IE"/>
        </w:rPr>
        <w:t>in 2022,</w:t>
      </w:r>
      <w:r w:rsidRPr="00196E34">
        <w:rPr>
          <w:rStyle w:val="Hyperlink"/>
          <w:color w:val="auto"/>
          <w:u w:val="none"/>
          <w:lang w:val="en-IE"/>
        </w:rPr>
        <w:t xml:space="preserve"> </w:t>
      </w:r>
      <w:r w:rsidRPr="00FD240D">
        <w:rPr>
          <w:rStyle w:val="Hyperlink"/>
          <w:color w:val="auto"/>
          <w:u w:val="none"/>
          <w:lang w:val="en-IE"/>
        </w:rPr>
        <w:t>19 out of 27 Member States show</w:t>
      </w:r>
      <w:r>
        <w:rPr>
          <w:rStyle w:val="Hyperlink"/>
          <w:color w:val="auto"/>
          <w:u w:val="none"/>
          <w:lang w:val="en-IE"/>
        </w:rPr>
        <w:t>ed</w:t>
      </w:r>
      <w:r w:rsidRPr="00FD240D">
        <w:rPr>
          <w:rStyle w:val="Hyperlink"/>
          <w:color w:val="auto"/>
          <w:u w:val="none"/>
          <w:lang w:val="en-IE"/>
        </w:rPr>
        <w:t xml:space="preserve"> higher public payment delays </w:t>
      </w:r>
      <w:r w:rsidRPr="0093293C">
        <w:rPr>
          <w:rStyle w:val="Hyperlink"/>
          <w:color w:val="auto"/>
          <w:u w:val="none"/>
          <w:lang w:val="en-IE"/>
        </w:rPr>
        <w:t xml:space="preserve">by public authorities </w:t>
      </w:r>
      <w:r w:rsidRPr="00FD240D">
        <w:rPr>
          <w:rStyle w:val="Hyperlink"/>
          <w:color w:val="auto"/>
          <w:u w:val="none"/>
          <w:lang w:val="en-IE"/>
        </w:rPr>
        <w:t>than in 2019</w:t>
      </w:r>
      <w:r>
        <w:rPr>
          <w:rStyle w:val="Hyperlink"/>
          <w:color w:val="auto"/>
          <w:u w:val="none"/>
          <w:lang w:val="en-IE"/>
        </w:rPr>
        <w:t xml:space="preserve">. </w:t>
      </w:r>
      <w:r w:rsidRPr="00196E34">
        <w:rPr>
          <w:rStyle w:val="Hyperlink"/>
          <w:color w:val="auto"/>
          <w:u w:val="none"/>
          <w:lang w:val="en-IE"/>
        </w:rPr>
        <w:t>Overall, the public procurement indicators suggest a stable situation, with slight improvement</w:t>
      </w:r>
      <w:r>
        <w:rPr>
          <w:rStyle w:val="Hyperlink"/>
          <w:color w:val="auto"/>
          <w:u w:val="none"/>
          <w:lang w:val="en-IE"/>
        </w:rPr>
        <w:t xml:space="preserve">. However, there is </w:t>
      </w:r>
      <w:r w:rsidRPr="00196E34">
        <w:rPr>
          <w:rStyle w:val="Hyperlink"/>
          <w:color w:val="auto"/>
          <w:u w:val="none"/>
          <w:lang w:val="en-IE"/>
        </w:rPr>
        <w:t xml:space="preserve">scope for the further progress in several Member States, in areas such as the share of public procurement tenders with </w:t>
      </w:r>
      <w:r>
        <w:rPr>
          <w:rStyle w:val="Hyperlink"/>
          <w:color w:val="auto"/>
          <w:u w:val="none"/>
          <w:lang w:val="en-IE"/>
        </w:rPr>
        <w:t xml:space="preserve">a </w:t>
      </w:r>
      <w:r w:rsidRPr="00196E34">
        <w:rPr>
          <w:rStyle w:val="Hyperlink"/>
          <w:color w:val="auto"/>
          <w:u w:val="none"/>
          <w:lang w:val="en-IE"/>
        </w:rPr>
        <w:t xml:space="preserve">single bidder and the share of direct awards. On professional services, the scoreboard shows little if any </w:t>
      </w:r>
      <w:r w:rsidRPr="001866A6">
        <w:rPr>
          <w:rStyle w:val="Hyperlink"/>
          <w:color w:val="auto"/>
          <w:u w:val="none"/>
          <w:lang w:val="en-IE"/>
        </w:rPr>
        <w:t xml:space="preserve">progress between 2007 and 2021 with respect to reducing regulatory barriers for entry to and the exercise of professions. Legal services remain the most protected profession in the </w:t>
      </w:r>
      <w:r w:rsidR="00F75AC2">
        <w:rPr>
          <w:rStyle w:val="Hyperlink"/>
          <w:color w:val="auto"/>
          <w:u w:val="none"/>
          <w:lang w:val="en-IE"/>
        </w:rPr>
        <w:t>S</w:t>
      </w:r>
      <w:r w:rsidRPr="001866A6">
        <w:rPr>
          <w:rStyle w:val="Hyperlink"/>
          <w:color w:val="auto"/>
          <w:u w:val="none"/>
          <w:lang w:val="en-IE"/>
        </w:rPr>
        <w:t xml:space="preserve">ingle </w:t>
      </w:r>
      <w:r w:rsidR="00F75AC2">
        <w:rPr>
          <w:rStyle w:val="Hyperlink"/>
          <w:color w:val="auto"/>
          <w:u w:val="none"/>
          <w:lang w:val="en-IE"/>
        </w:rPr>
        <w:t>M</w:t>
      </w:r>
      <w:r w:rsidRPr="001866A6">
        <w:rPr>
          <w:rStyle w:val="Hyperlink"/>
          <w:color w:val="auto"/>
          <w:u w:val="none"/>
          <w:lang w:val="en-IE"/>
        </w:rPr>
        <w:t>arket.</w:t>
      </w:r>
    </w:p>
  </w:footnote>
  <w:footnote w:id="61">
    <w:p w14:paraId="25597D29" w14:textId="5122B382" w:rsidR="000A3A79" w:rsidRPr="00A30CB2" w:rsidRDefault="000A3A79" w:rsidP="00E716AD">
      <w:pPr>
        <w:pStyle w:val="Footnote"/>
        <w:rPr>
          <w:rStyle w:val="Hyperlink"/>
          <w:color w:val="auto"/>
          <w:sz w:val="24"/>
          <w:szCs w:val="22"/>
          <w:u w:val="none"/>
          <w:lang w:val="fr-BE"/>
        </w:rPr>
      </w:pPr>
      <w:r w:rsidRPr="008B0D94">
        <w:rPr>
          <w:rStyle w:val="FootnoteReference"/>
        </w:rPr>
        <w:footnoteRef/>
      </w:r>
      <w:r w:rsidRPr="00C055FE">
        <w:rPr>
          <w:lang w:val="fr-BE"/>
        </w:rPr>
        <w:t xml:space="preserve"> </w:t>
      </w:r>
      <w:hyperlink r:id="rId25" w:history="1">
        <w:r w:rsidRPr="00A30CB2">
          <w:rPr>
            <w:rStyle w:val="Hyperlink"/>
            <w:color w:val="auto"/>
            <w:u w:val="none"/>
            <w:lang w:val="fr-BE"/>
          </w:rPr>
          <w:t>National SOLVIT centres - European Commission (europa.eu)</w:t>
        </w:r>
      </w:hyperlink>
      <w:r w:rsidRPr="00A30CB2">
        <w:rPr>
          <w:rStyle w:val="Hyperlink"/>
          <w:color w:val="auto"/>
          <w:u w:val="none"/>
          <w:lang w:val="fr-BE"/>
        </w:rPr>
        <w:t>.</w:t>
      </w:r>
    </w:p>
  </w:footnote>
  <w:footnote w:id="62">
    <w:p w14:paraId="647B7E2D" w14:textId="57739813" w:rsidR="000A3A79" w:rsidRPr="00613067" w:rsidRDefault="000A3A79" w:rsidP="00CF63AF">
      <w:pPr>
        <w:pStyle w:val="FootnoteText"/>
      </w:pPr>
      <w:r w:rsidRPr="00A30CB2">
        <w:rPr>
          <w:rStyle w:val="FootnoteReference"/>
        </w:rPr>
        <w:footnoteRef/>
      </w:r>
      <w:r w:rsidRPr="00A30CB2">
        <w:t xml:space="preserve"> </w:t>
      </w:r>
      <w:r w:rsidRPr="00D572D4">
        <w:rPr>
          <w:rFonts w:ascii="Times New Roman" w:hAnsi="Times New Roman" w:cs="Times New Roman"/>
        </w:rPr>
        <w:t xml:space="preserve">SOLVIT’s Helping Hand in the Single Market: celebrating 20 years </w:t>
      </w:r>
      <w:hyperlink r:id="rId26" w:history="1">
        <w:r w:rsidRPr="00D572D4">
          <w:rPr>
            <w:rStyle w:val="Hyperlink"/>
            <w:rFonts w:ascii="Times New Roman" w:hAnsi="Times New Roman" w:cs="Times New Roman"/>
          </w:rPr>
          <w:t>https://ec.europa.eu/solvit/_docs/2022/anniversary_report_web_en.pdf</w:t>
        </w:r>
      </w:hyperlink>
      <w:r w:rsidRPr="00D572D4">
        <w:rPr>
          <w:rFonts w:ascii="Times New Roman" w:hAnsi="Times New Roman" w:cs="Times New Roman"/>
        </w:rPr>
        <w:t>.</w:t>
      </w:r>
    </w:p>
  </w:footnote>
  <w:footnote w:id="63">
    <w:p w14:paraId="643F61F7" w14:textId="36223DC8" w:rsidR="000A3A79" w:rsidRPr="003A521D" w:rsidRDefault="000A3A79" w:rsidP="00523B90">
      <w:pPr>
        <w:pStyle w:val="Footnote"/>
        <w:rPr>
          <w:rStyle w:val="normaltextrun"/>
          <w:sz w:val="22"/>
          <w:szCs w:val="22"/>
          <w:lang w:val="en-IE"/>
        </w:rPr>
      </w:pPr>
      <w:r w:rsidRPr="009366E0">
        <w:rPr>
          <w:rStyle w:val="FootnoteReference"/>
        </w:rPr>
        <w:footnoteRef/>
      </w:r>
      <w:r w:rsidRPr="003D0F5C">
        <w:rPr>
          <w:sz w:val="18"/>
          <w:szCs w:val="18"/>
          <w:lang w:val="en-IE"/>
        </w:rPr>
        <w:t xml:space="preserve"> </w:t>
      </w:r>
      <w:hyperlink r:id="rId27" w:history="1">
        <w:r w:rsidRPr="00D572D4">
          <w:rPr>
            <w:rStyle w:val="Hyperlink"/>
            <w:lang w:val="en-IE"/>
          </w:rPr>
          <w:t>Single market transparency directive – EUR-Lex (europa.eu).</w:t>
        </w:r>
      </w:hyperlink>
    </w:p>
  </w:footnote>
  <w:footnote w:id="64">
    <w:p w14:paraId="1829667E" w14:textId="77777777" w:rsidR="000A3A79" w:rsidRPr="00C33A5B" w:rsidRDefault="000A3A79" w:rsidP="00C36BC5">
      <w:pPr>
        <w:pStyle w:val="FootnoteText"/>
        <w:jc w:val="both"/>
        <w:rPr>
          <w:rFonts w:ascii="Times New Roman" w:hAnsi="Times New Roman" w:cs="Times New Roman"/>
        </w:rPr>
      </w:pPr>
      <w:r w:rsidRPr="00C33A5B">
        <w:rPr>
          <w:rStyle w:val="FootnoteReference"/>
          <w:rFonts w:ascii="Times New Roman" w:hAnsi="Times New Roman" w:cs="Times New Roman"/>
        </w:rPr>
        <w:footnoteRef/>
      </w:r>
      <w:r w:rsidRPr="00C33A5B">
        <w:rPr>
          <w:rFonts w:ascii="Times New Roman" w:hAnsi="Times New Roman" w:cs="Times New Roman"/>
        </w:rPr>
        <w:t xml:space="preserve"> Its role should be adapted to different governance systems, e.g. in federal systems, or where there is significant decentralisation.</w:t>
      </w:r>
    </w:p>
  </w:footnote>
  <w:footnote w:id="65">
    <w:p w14:paraId="107DFA61" w14:textId="060829CC" w:rsidR="000A3A79" w:rsidRPr="00FD4611" w:rsidRDefault="000A3A79" w:rsidP="00F4278D">
      <w:pPr>
        <w:pStyle w:val="Footnote"/>
        <w:jc w:val="both"/>
        <w:rPr>
          <w:rFonts w:cs="Times New Roman"/>
          <w:lang w:val="en-IE"/>
        </w:rPr>
      </w:pPr>
      <w:r>
        <w:rPr>
          <w:rStyle w:val="FootnoteReference"/>
        </w:rPr>
        <w:footnoteRef/>
      </w:r>
      <w:r w:rsidRPr="00F4278D">
        <w:rPr>
          <w:lang w:val="en-IE"/>
        </w:rPr>
        <w:t xml:space="preserve"> </w:t>
      </w:r>
      <w:r w:rsidRPr="00F4278D">
        <w:rPr>
          <w:rFonts w:cs="Times New Roman"/>
          <w:lang w:val="en-IE"/>
        </w:rPr>
        <w:t xml:space="preserve">By early 2023 and following consultations and a feasibility study, 20 Member States agreed to work towards a common form as announced in the </w:t>
      </w:r>
      <w:r w:rsidRPr="00761B15">
        <w:rPr>
          <w:rFonts w:cs="Times New Roman"/>
          <w:lang w:val="en-IE"/>
        </w:rPr>
        <w:t>Industrial Strategy Update 2021</w:t>
      </w:r>
      <w:r w:rsidRPr="00F4278D">
        <w:rPr>
          <w:rFonts w:cs="Times New Roman"/>
          <w:lang w:val="en-IE"/>
        </w:rPr>
        <w:t>.</w:t>
      </w:r>
    </w:p>
  </w:footnote>
  <w:footnote w:id="66">
    <w:p w14:paraId="6FE0A0F7" w14:textId="3F0176A4" w:rsidR="000A3A79" w:rsidRPr="00F4278D" w:rsidRDefault="000A3A79" w:rsidP="009B493B">
      <w:pPr>
        <w:pStyle w:val="FootnoteText"/>
        <w:jc w:val="both"/>
        <w:rPr>
          <w:rFonts w:ascii="Times New Roman" w:hAnsi="Times New Roman" w:cs="Times New Roman"/>
        </w:rPr>
      </w:pPr>
      <w:r w:rsidRPr="00F4278D">
        <w:rPr>
          <w:rStyle w:val="FootnoteReference"/>
          <w:rFonts w:ascii="Times New Roman" w:hAnsi="Times New Roman" w:cs="Times New Roman"/>
        </w:rPr>
        <w:footnoteRef/>
      </w:r>
      <w:r w:rsidRPr="00F4278D">
        <w:rPr>
          <w:rFonts w:ascii="Times New Roman" w:hAnsi="Times New Roman" w:cs="Times New Roman"/>
        </w:rPr>
        <w:t xml:space="preserve"> 1% transposition deficit (percentage of </w:t>
      </w:r>
      <w:r w:rsidR="00F75AC2">
        <w:rPr>
          <w:rFonts w:ascii="Times New Roman" w:hAnsi="Times New Roman" w:cs="Times New Roman"/>
        </w:rPr>
        <w:t>S</w:t>
      </w:r>
      <w:r w:rsidRPr="00F4278D">
        <w:rPr>
          <w:rFonts w:ascii="Times New Roman" w:hAnsi="Times New Roman" w:cs="Times New Roman"/>
        </w:rPr>
        <w:t xml:space="preserve">ingle </w:t>
      </w:r>
      <w:r w:rsidR="00F75AC2">
        <w:rPr>
          <w:rFonts w:ascii="Times New Roman" w:hAnsi="Times New Roman" w:cs="Times New Roman"/>
        </w:rPr>
        <w:t>M</w:t>
      </w:r>
      <w:r w:rsidRPr="00F4278D">
        <w:rPr>
          <w:rFonts w:ascii="Times New Roman" w:hAnsi="Times New Roman" w:cs="Times New Roman"/>
        </w:rPr>
        <w:t>arket directives not yet completely notified to the Commission) target established by the European Council, Brussels 8-9 March 2007</w:t>
      </w:r>
      <w:r w:rsidRPr="00FD4611">
        <w:rPr>
          <w:rFonts w:ascii="Times New Roman" w:hAnsi="Times New Roman" w:cs="Times New Roman"/>
        </w:rPr>
        <w:t xml:space="preserve">, and </w:t>
      </w:r>
      <w:r w:rsidRPr="00F4278D">
        <w:rPr>
          <w:rFonts w:ascii="Times New Roman" w:hAnsi="Times New Roman" w:cs="Times New Roman"/>
        </w:rPr>
        <w:t>0% transposition target for directives whose implementation is more than two years overdue established by the European Council, Barcelona 15-16 March 2002.</w:t>
      </w:r>
    </w:p>
  </w:footnote>
  <w:footnote w:id="67">
    <w:p w14:paraId="178C1FBE" w14:textId="77777777" w:rsidR="000A3A79" w:rsidRPr="003D1341" w:rsidRDefault="000A3A79" w:rsidP="009B493B">
      <w:pPr>
        <w:pStyle w:val="FootnoteText"/>
        <w:jc w:val="both"/>
        <w:rPr>
          <w:rFonts w:ascii="Times New Roman" w:hAnsi="Times New Roman" w:cs="Times New Roman"/>
        </w:rPr>
      </w:pPr>
      <w:r w:rsidRPr="003D1341">
        <w:rPr>
          <w:rStyle w:val="FootnoteReference"/>
          <w:rFonts w:ascii="Times New Roman" w:hAnsi="Times New Roman" w:cs="Times New Roman"/>
        </w:rPr>
        <w:footnoteRef/>
      </w:r>
      <w:r w:rsidRPr="003D1341">
        <w:rPr>
          <w:rFonts w:ascii="Times New Roman" w:hAnsi="Times New Roman" w:cs="Times New Roman"/>
        </w:rPr>
        <w:t xml:space="preserve"> 0.5% transposition deficit target proposed by the Commission in the Single Market Act COM/2011/0206</w:t>
      </w:r>
    </w:p>
  </w:footnote>
  <w:footnote w:id="68">
    <w:p w14:paraId="75AA6F32" w14:textId="77777777" w:rsidR="000A3A79" w:rsidRPr="003D1341" w:rsidRDefault="000A3A79" w:rsidP="009B493B">
      <w:pPr>
        <w:pStyle w:val="FootnoteText"/>
        <w:jc w:val="both"/>
        <w:rPr>
          <w:rFonts w:ascii="Times New Roman" w:hAnsi="Times New Roman" w:cs="Times New Roman"/>
        </w:rPr>
      </w:pPr>
      <w:r w:rsidRPr="003D1341">
        <w:rPr>
          <w:rStyle w:val="FootnoteReference"/>
          <w:rFonts w:ascii="Times New Roman" w:hAnsi="Times New Roman" w:cs="Times New Roman"/>
        </w:rPr>
        <w:footnoteRef/>
      </w:r>
      <w:r w:rsidRPr="003D1341">
        <w:rPr>
          <w:rFonts w:ascii="Times New Roman" w:hAnsi="Times New Roman" w:cs="Times New Roman"/>
        </w:rPr>
        <w:t xml:space="preserve"> 0% transposition target for directives whose implementation is more than two years overdue established by the European Council, Barcelona 15-16 March 2002</w:t>
      </w:r>
    </w:p>
  </w:footnote>
  <w:footnote w:id="69">
    <w:p w14:paraId="2678D3B1" w14:textId="77777777" w:rsidR="000A3A79" w:rsidRPr="003D1341" w:rsidRDefault="000A3A79" w:rsidP="009B493B">
      <w:pPr>
        <w:pStyle w:val="FootnoteText"/>
        <w:jc w:val="both"/>
        <w:rPr>
          <w:rFonts w:ascii="Times New Roman" w:hAnsi="Times New Roman" w:cs="Times New Roman"/>
        </w:rPr>
      </w:pPr>
      <w:r w:rsidRPr="003D1341">
        <w:rPr>
          <w:rStyle w:val="FootnoteReference"/>
          <w:rFonts w:ascii="Times New Roman" w:hAnsi="Times New Roman" w:cs="Times New Roman"/>
        </w:rPr>
        <w:footnoteRef/>
      </w:r>
      <w:r w:rsidRPr="003D1341">
        <w:rPr>
          <w:rFonts w:ascii="Times New Roman" w:hAnsi="Times New Roman" w:cs="Times New Roman"/>
        </w:rPr>
        <w:t xml:space="preserve"> 0.5 conformity deficit targets proposed by the Commission in the Single Market Act COM/2011/0206</w:t>
      </w:r>
    </w:p>
  </w:footnote>
  <w:footnote w:id="70">
    <w:p w14:paraId="045DF0F7" w14:textId="77777777" w:rsidR="000A3A79" w:rsidRPr="007A15C2" w:rsidRDefault="000A3A79" w:rsidP="009B493B">
      <w:pPr>
        <w:pStyle w:val="FootnoteText"/>
        <w:jc w:val="both"/>
      </w:pPr>
      <w:r w:rsidRPr="003D1341">
        <w:rPr>
          <w:rStyle w:val="FootnoteReference"/>
          <w:rFonts w:ascii="Times New Roman" w:hAnsi="Times New Roman" w:cs="Times New Roman"/>
        </w:rPr>
        <w:footnoteRef/>
      </w:r>
      <w:r w:rsidRPr="003D1341">
        <w:rPr>
          <w:rFonts w:ascii="Times New Roman" w:hAnsi="Times New Roman" w:cs="Times New Roman"/>
        </w:rPr>
        <w:t xml:space="preserve"> Communication from the Commission — EU law: Better results through better application C/2016/8600</w:t>
      </w:r>
    </w:p>
  </w:footnote>
  <w:footnote w:id="71">
    <w:p w14:paraId="7AF2A765" w14:textId="3631541C" w:rsidR="000A3A79" w:rsidRPr="009F4055" w:rsidRDefault="000A3A79">
      <w:pPr>
        <w:pStyle w:val="FootnoteText"/>
        <w:rPr>
          <w:lang w:val="en-US"/>
        </w:rPr>
      </w:pPr>
      <w:r>
        <w:rPr>
          <w:rStyle w:val="FootnoteReference"/>
        </w:rPr>
        <w:footnoteRef/>
      </w:r>
      <w:r>
        <w:t xml:space="preserve"> </w:t>
      </w:r>
      <w:r w:rsidR="004B7C44" w:rsidRPr="004B7C44">
        <w:rPr>
          <w:rFonts w:ascii="Times New Roman" w:hAnsi="Times New Roman" w:cs="Times New Roman"/>
        </w:rPr>
        <w:t>COM(</w:t>
      </w:r>
      <w:r w:rsidR="004B7C44" w:rsidRPr="009F4055">
        <w:rPr>
          <w:rFonts w:ascii="Times New Roman" w:hAnsi="Times New Roman" w:cs="Times New Roman"/>
        </w:rPr>
        <w:t>2023) 148 final</w:t>
      </w:r>
    </w:p>
  </w:footnote>
  <w:footnote w:id="72">
    <w:p w14:paraId="29D6CF68" w14:textId="1AF3BE34" w:rsidR="000A3A79" w:rsidRPr="00493417" w:rsidRDefault="000A3A79">
      <w:pPr>
        <w:pStyle w:val="FootnoteText"/>
      </w:pPr>
      <w:r w:rsidRPr="009F4055">
        <w:rPr>
          <w:rStyle w:val="FootnoteReference"/>
        </w:rPr>
        <w:footnoteRef/>
      </w:r>
      <w:r w:rsidRPr="009F4055">
        <w:t xml:space="preserve"> </w:t>
      </w:r>
      <w:r w:rsidR="00A62802" w:rsidRPr="009F4055">
        <w:rPr>
          <w:rFonts w:ascii="Times New Roman" w:hAnsi="Times New Roman" w:cs="Times New Roman"/>
        </w:rPr>
        <w:t>C(2023) 1696</w:t>
      </w:r>
    </w:p>
  </w:footnote>
  <w:footnote w:id="73">
    <w:p w14:paraId="3BCEEBB4" w14:textId="77777777" w:rsidR="000A3A79" w:rsidRPr="009366E0" w:rsidRDefault="000A3A79" w:rsidP="003D1341">
      <w:pPr>
        <w:pStyle w:val="Footnote"/>
        <w:jc w:val="both"/>
        <w:rPr>
          <w:rFonts w:cs="Times New Roman"/>
          <w:lang w:val="en-IE"/>
        </w:rPr>
      </w:pPr>
      <w:r w:rsidRPr="009366E0">
        <w:rPr>
          <w:rStyle w:val="FootnoteReference"/>
          <w:rFonts w:cs="Times New Roman"/>
        </w:rPr>
        <w:footnoteRef/>
      </w:r>
      <w:r w:rsidRPr="009366E0">
        <w:rPr>
          <w:rFonts w:cs="Times New Roman"/>
          <w:lang w:val="en-IE"/>
        </w:rPr>
        <w:t xml:space="preserve"> To date, only a small fraction of data, from only 20% of all tenders, is available and searchable for analysis in one place, the EU database Tenders Electronic Daily (TED). 80% of the data, on the other hand, is spread in different formats and multiple systems across the Member States.</w:t>
      </w:r>
    </w:p>
  </w:footnote>
  <w:footnote w:id="74">
    <w:p w14:paraId="3FBCEF4F" w14:textId="2D15D62D" w:rsidR="000A3A79" w:rsidRPr="000A3C20" w:rsidRDefault="000A3A79" w:rsidP="00B42C9E">
      <w:pPr>
        <w:pStyle w:val="FootnoteText"/>
        <w:rPr>
          <w:rFonts w:ascii="Times New Roman" w:hAnsi="Times New Roman" w:cs="Times New Roman"/>
        </w:rPr>
      </w:pPr>
      <w:r w:rsidRPr="009366E0">
        <w:rPr>
          <w:rStyle w:val="FootnoteReference"/>
          <w:rFonts w:ascii="Times New Roman" w:hAnsi="Times New Roman" w:cs="Times New Roman"/>
        </w:rPr>
        <w:footnoteRef/>
      </w:r>
      <w:r w:rsidRPr="009366E0">
        <w:rPr>
          <w:rFonts w:ascii="Times New Roman" w:hAnsi="Times New Roman" w:cs="Times New Roman"/>
        </w:rPr>
        <w:t xml:space="preserve"> </w:t>
      </w:r>
      <w:hyperlink r:id="rId28" w:history="1">
        <w:r w:rsidRPr="007D5DB4">
          <w:rPr>
            <w:rStyle w:val="Hyperlink"/>
            <w:rFonts w:ascii="Times New Roman" w:hAnsi="Times New Roman" w:cs="Times New Roman"/>
          </w:rPr>
          <w:t>European Health Data Space (europa.eu).</w:t>
        </w:r>
      </w:hyperlink>
    </w:p>
  </w:footnote>
  <w:footnote w:id="75">
    <w:p w14:paraId="0C351DC7" w14:textId="22F917FA" w:rsidR="000A3A79" w:rsidRPr="000A3C20" w:rsidRDefault="000A3A79">
      <w:pPr>
        <w:pStyle w:val="FootnoteText"/>
      </w:pPr>
      <w:r w:rsidRPr="009366E0">
        <w:rPr>
          <w:rStyle w:val="FootnoteReference"/>
          <w:rFonts w:ascii="Times New Roman" w:hAnsi="Times New Roman" w:cs="Times New Roman"/>
        </w:rPr>
        <w:footnoteRef/>
      </w:r>
      <w:r w:rsidRPr="000A3C20">
        <w:rPr>
          <w:rFonts w:ascii="Times New Roman" w:hAnsi="Times New Roman" w:cs="Times New Roman"/>
        </w:rPr>
        <w:t xml:space="preserve"> </w:t>
      </w:r>
      <w:hyperlink r:id="rId29" w:history="1">
        <w:r w:rsidRPr="000A3C20">
          <w:rPr>
            <w:rStyle w:val="Hyperlink"/>
            <w:rFonts w:ascii="Times New Roman" w:hAnsi="Times New Roman" w:cs="Times New Roman"/>
          </w:rPr>
          <w:t>https://www.epo.org/service-support/publications.html?pubid=162#tab3</w:t>
        </w:r>
      </w:hyperlink>
      <w:r>
        <w:rPr>
          <w:rStyle w:val="Hyperlink"/>
          <w:rFonts w:ascii="Times New Roman" w:hAnsi="Times New Roman" w:cs="Times New Roman"/>
        </w:rPr>
        <w:t>.</w:t>
      </w:r>
    </w:p>
  </w:footnote>
  <w:footnote w:id="76">
    <w:p w14:paraId="3482258B" w14:textId="77777777" w:rsidR="000A3A79" w:rsidRPr="001D01E6" w:rsidRDefault="000A3A79" w:rsidP="001D01E6">
      <w:pPr>
        <w:pStyle w:val="FootnoteText"/>
        <w:jc w:val="both"/>
        <w:rPr>
          <w:rFonts w:ascii="Times New Roman" w:hAnsi="Times New Roman" w:cs="Times New Roman"/>
        </w:rPr>
      </w:pPr>
      <w:r w:rsidRPr="001D01E6">
        <w:rPr>
          <w:rStyle w:val="FootnoteReference"/>
          <w:rFonts w:ascii="Times New Roman" w:hAnsi="Times New Roman" w:cs="Times New Roman"/>
        </w:rPr>
        <w:footnoteRef/>
      </w:r>
      <w:r w:rsidRPr="001D01E6">
        <w:rPr>
          <w:rFonts w:ascii="Times New Roman" w:hAnsi="Times New Roman" w:cs="Times New Roman"/>
        </w:rPr>
        <w:t xml:space="preserve"> This pass complements the </w:t>
      </w:r>
      <w:r w:rsidRPr="001D01E6">
        <w:rPr>
          <w:rFonts w:ascii="Times New Roman" w:hAnsi="Times New Roman" w:cs="Times New Roman"/>
          <w:lang w:val="en-GB"/>
        </w:rPr>
        <w:t>Electronic Exchange of Social Security Information system (EESSI), which enables exchanges between authorities,</w:t>
      </w:r>
      <w:r w:rsidRPr="006A6D1A">
        <w:rPr>
          <w:rFonts w:ascii="Times New Roman" w:hAnsi="Times New Roman" w:cs="Times New Roman"/>
          <w:b/>
          <w:bCs/>
          <w:lang w:val="en-GB"/>
        </w:rPr>
        <w:t xml:space="preserve"> </w:t>
      </w:r>
      <w:r w:rsidRPr="001D01E6">
        <w:rPr>
          <w:rFonts w:ascii="Times New Roman" w:hAnsi="Times New Roman" w:cs="Times New Roman"/>
        </w:rPr>
        <w:t>by facilitating the interactions and exchanges between mobile citizens, social security institutions and other relevant public administrations (e.g. labour inspectorates and health care providers), making real-time verification of social security entitlements possible, including by those actors that do not have access to the EESSI system.</w:t>
      </w:r>
    </w:p>
  </w:footnote>
  <w:footnote w:id="77">
    <w:p w14:paraId="7FE72699" w14:textId="77777777" w:rsidR="000A3A79" w:rsidRPr="001D01E6" w:rsidRDefault="000A3A79" w:rsidP="001D01E6">
      <w:pPr>
        <w:pStyle w:val="FootnoteText"/>
        <w:jc w:val="both"/>
        <w:rPr>
          <w:rFonts w:ascii="Times New Roman" w:hAnsi="Times New Roman" w:cs="Times New Roman"/>
        </w:rPr>
      </w:pPr>
      <w:r w:rsidRPr="001D01E6">
        <w:rPr>
          <w:rStyle w:val="FootnoteReference"/>
          <w:rFonts w:ascii="Times New Roman" w:hAnsi="Times New Roman" w:cs="Times New Roman"/>
        </w:rPr>
        <w:footnoteRef/>
      </w:r>
      <w:r w:rsidRPr="001D01E6">
        <w:rPr>
          <w:rFonts w:ascii="Times New Roman" w:hAnsi="Times New Roman" w:cs="Times New Roman"/>
        </w:rPr>
        <w:t xml:space="preserve"> See </w:t>
      </w:r>
      <w:r w:rsidRPr="001D01E6">
        <w:rPr>
          <w:rFonts w:ascii="Times New Roman" w:eastAsia="Times New Roman" w:hAnsi="Times New Roman" w:cs="Times New Roman"/>
        </w:rPr>
        <w:t>(COM(2022)701 final).</w:t>
      </w:r>
      <w:r w:rsidRPr="001D01E6">
        <w:rPr>
          <w:rFonts w:ascii="Times New Roman" w:hAnsi="Times New Roman" w:cs="Times New Roman"/>
        </w:rPr>
        <w:t xml:space="preserve"> </w:t>
      </w:r>
    </w:p>
    <w:p w14:paraId="61C0CB5E" w14:textId="090DDF70" w:rsidR="000A3A79" w:rsidRPr="001D01E6" w:rsidRDefault="008B73D1" w:rsidP="001D01E6">
      <w:pPr>
        <w:pStyle w:val="FootnoteText"/>
        <w:jc w:val="both"/>
        <w:rPr>
          <w:rFonts w:ascii="Times New Roman" w:hAnsi="Times New Roman" w:cs="Times New Roman"/>
        </w:rPr>
      </w:pPr>
      <w:hyperlink r:id="rId30" w:history="1">
        <w:r w:rsidR="000A3A79" w:rsidRPr="00DC0471">
          <w:rPr>
            <w:rStyle w:val="Hyperlink"/>
            <w:rFonts w:ascii="Times New Roman" w:hAnsi="Times New Roman" w:cs="Times New Roman"/>
          </w:rPr>
          <w:t>https://taxation-customs.ec.europa.eu/taxation-1/value-added-tax-vat/vat-digital-age_en</w:t>
        </w:r>
      </w:hyperlink>
      <w:r w:rsidR="000A3A79">
        <w:rPr>
          <w:rFonts w:ascii="Times New Roman" w:hAnsi="Times New Roman" w:cs="Times New Roman"/>
        </w:rPr>
        <w:t xml:space="preserve">. </w:t>
      </w:r>
    </w:p>
  </w:footnote>
  <w:footnote w:id="78">
    <w:p w14:paraId="3C46C4DE" w14:textId="77777777" w:rsidR="000A3A79" w:rsidRPr="000C10CD" w:rsidRDefault="000A3A79" w:rsidP="001D01E6">
      <w:pPr>
        <w:pStyle w:val="Footnote"/>
        <w:jc w:val="both"/>
        <w:rPr>
          <w:lang w:val="en-IE"/>
        </w:rPr>
      </w:pPr>
      <w:r w:rsidRPr="001D01E6">
        <w:rPr>
          <w:rStyle w:val="FootnoteReference"/>
          <w:rFonts w:cs="Times New Roman"/>
        </w:rPr>
        <w:footnoteRef/>
      </w:r>
      <w:r w:rsidRPr="001D01E6">
        <w:rPr>
          <w:rFonts w:cs="Times New Roman"/>
          <w:lang w:val="en-IE"/>
        </w:rPr>
        <w:t>Another example of strengthened cooperation of customs and market surveillance authorities is the recently adopted EU Single Window Environment for Customs Regulation, which ensures national customs systems interconnection: Regulation (EU) 2022/2399 of the European Parliament and of the Council of 23 November 2022 establishing the European Union Single Window Environment for Customs and amending Regulation (EU) No 952/2013, OJ L 317, 9.12.2022, p. 1.</w:t>
      </w:r>
    </w:p>
  </w:footnote>
  <w:footnote w:id="79">
    <w:p w14:paraId="4D15348B" w14:textId="77777777" w:rsidR="000A3A79" w:rsidRPr="008C1F62" w:rsidRDefault="000A3A79" w:rsidP="00A762EF">
      <w:pPr>
        <w:pStyle w:val="Footnote"/>
        <w:rPr>
          <w:lang w:val="en-IE"/>
        </w:rPr>
      </w:pPr>
      <w:r w:rsidRPr="008C1F62">
        <w:rPr>
          <w:rStyle w:val="FootnoteReference"/>
        </w:rPr>
        <w:footnoteRef/>
      </w:r>
      <w:r w:rsidRPr="008C1F62">
        <w:rPr>
          <w:lang w:val="en-IE"/>
        </w:rPr>
        <w:t xml:space="preserve"> </w:t>
      </w:r>
      <w:hyperlink r:id="rId31" w:history="1">
        <w:r w:rsidRPr="004714D2">
          <w:rPr>
            <w:rStyle w:val="Hyperlink"/>
            <w:lang w:val="en-IE"/>
          </w:rPr>
          <w:t>Annual Single Market Report 2023</w:t>
        </w:r>
      </w:hyperlink>
      <w:r w:rsidRPr="008C1F62">
        <w:rPr>
          <w:lang w:val="en-IE"/>
        </w:rPr>
        <w:t>, p. 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BEE93" w14:textId="77777777" w:rsidR="002151DB" w:rsidRPr="002151DB" w:rsidRDefault="002151DB" w:rsidP="002151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A3BE8" w14:textId="77777777" w:rsidR="002151DB" w:rsidRPr="002151DB" w:rsidRDefault="002151DB" w:rsidP="002151D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766A9" w14:textId="77777777" w:rsidR="002151DB" w:rsidRPr="002151DB" w:rsidRDefault="002151DB" w:rsidP="002151D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09E37" w14:textId="77777777" w:rsidR="000A3A79" w:rsidRDefault="000A3A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C2921" w14:textId="77777777" w:rsidR="000A3A79" w:rsidRDefault="000A3A7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B4E21" w14:textId="77777777" w:rsidR="000A3A79" w:rsidRDefault="000A3A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6ECB"/>
    <w:multiLevelType w:val="hybridMultilevel"/>
    <w:tmpl w:val="6F627B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A0547A"/>
    <w:multiLevelType w:val="multilevel"/>
    <w:tmpl w:val="3AE6DE4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E067FA"/>
    <w:multiLevelType w:val="multilevel"/>
    <w:tmpl w:val="241A83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6737117"/>
    <w:multiLevelType w:val="hybridMultilevel"/>
    <w:tmpl w:val="A4060454"/>
    <w:lvl w:ilvl="0" w:tplc="9B6AB7B8">
      <w:start w:val="20"/>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15:restartNumberingAfterBreak="0">
    <w:nsid w:val="5FA75485"/>
    <w:multiLevelType w:val="multilevel"/>
    <w:tmpl w:val="241A83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1"/>
  </w:num>
  <w:num w:numId="3">
    <w:abstractNumId w:val="0"/>
  </w:num>
  <w:num w:numId="4">
    <w:abstractNumId w:val="3"/>
  </w:num>
  <w:num w:numId="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3"/>
  <w:removePersonalInformation/>
  <w:removeDateAndTime/>
  <w:hideSpellingErrors/>
  <w:hideGrammaticalErrors/>
  <w:activeWritingStyle w:appName="MSWord" w:lang="pt-PT"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en-GB" w:vendorID="64" w:dllVersion="0" w:nlCheck="1" w:checkStyle="0"/>
  <w:activeWritingStyle w:appName="MSWord" w:lang="en-IE" w:vendorID="64" w:dllVersion="6" w:nlCheck="1" w:checkStyle="1"/>
  <w:activeWritingStyle w:appName="MSWord" w:lang="fr-BE" w:vendorID="64" w:dllVersion="6" w:nlCheck="1" w:checkStyle="0"/>
  <w:activeWritingStyle w:appName="MSWord" w:lang="en-GB" w:vendorID="64" w:dllVersion="6" w:nlCheck="1" w:checkStyle="1"/>
  <w:activeWritingStyle w:appName="MSWord" w:lang="pt-PT" w:vendorID="64" w:dllVersion="6" w:nlCheck="1" w:checkStyle="0"/>
  <w:activeWritingStyle w:appName="MSWord" w:lang="en-US" w:vendorID="64" w:dllVersion="6" w:nlCheck="1" w:checkStyle="1"/>
  <w:activeWritingStyle w:appName="MSWord" w:lang="fr-FR" w:vendorID="64" w:dllVersion="6" w:nlCheck="1" w:checkStyle="0"/>
  <w:activeWritingStyle w:appName="MSWord" w:lang="de-DE" w:vendorID="64" w:dllVersion="0" w:nlCheck="1" w:checkStyle="0"/>
  <w:activeWritingStyle w:appName="MSWord" w:lang="de-DE" w:vendorID="64" w:dllVersion="6" w:nlCheck="1" w:checkStyle="0"/>
  <w:activeWritingStyle w:appName="MSWord" w:lang="sv-FI" w:vendorID="64" w:dllVersion="0" w:nlCheck="1" w:checkStyle="0"/>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en-GB" w:vendorID="64" w:dllVersion="131078" w:nlCheck="1" w:checkStyle="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6AA3A8F-9BE6-4901-9790-080A02960C95"/>
    <w:docVar w:name="LW_COVERPAGE_TYPE" w:val="1"/>
    <w:docVar w:name="LW_CROSSREFERENCE" w:val="&lt;UNUSED&gt;"/>
    <w:docVar w:name="LW_DocType" w:val="NORMAL"/>
    <w:docVar w:name="LW_EMISSION" w:val="16.3.2023"/>
    <w:docVar w:name="LW_EMISSION_ISODATE" w:val="2023-03-16"/>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1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Single Market at 30"/>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FE3E5E"/>
    <w:rsid w:val="000000D6"/>
    <w:rsid w:val="00000251"/>
    <w:rsid w:val="0000032F"/>
    <w:rsid w:val="000004E5"/>
    <w:rsid w:val="00000740"/>
    <w:rsid w:val="00000D59"/>
    <w:rsid w:val="00000FAB"/>
    <w:rsid w:val="0000145E"/>
    <w:rsid w:val="00001741"/>
    <w:rsid w:val="00001BE0"/>
    <w:rsid w:val="00001EB3"/>
    <w:rsid w:val="00002024"/>
    <w:rsid w:val="0000283A"/>
    <w:rsid w:val="000028CE"/>
    <w:rsid w:val="00002B3D"/>
    <w:rsid w:val="00003C59"/>
    <w:rsid w:val="00003FED"/>
    <w:rsid w:val="000041C9"/>
    <w:rsid w:val="00004242"/>
    <w:rsid w:val="0000453D"/>
    <w:rsid w:val="00004967"/>
    <w:rsid w:val="00004FF4"/>
    <w:rsid w:val="0000546E"/>
    <w:rsid w:val="000059C0"/>
    <w:rsid w:val="000061CC"/>
    <w:rsid w:val="000067C5"/>
    <w:rsid w:val="000068A5"/>
    <w:rsid w:val="000069C5"/>
    <w:rsid w:val="00006AAE"/>
    <w:rsid w:val="00006ADA"/>
    <w:rsid w:val="000072F5"/>
    <w:rsid w:val="0000759C"/>
    <w:rsid w:val="00007651"/>
    <w:rsid w:val="00007A5C"/>
    <w:rsid w:val="00010147"/>
    <w:rsid w:val="00010478"/>
    <w:rsid w:val="00010E57"/>
    <w:rsid w:val="00010F43"/>
    <w:rsid w:val="000110AF"/>
    <w:rsid w:val="00011209"/>
    <w:rsid w:val="000115AD"/>
    <w:rsid w:val="000118D4"/>
    <w:rsid w:val="000118E7"/>
    <w:rsid w:val="00011A4E"/>
    <w:rsid w:val="0001288B"/>
    <w:rsid w:val="00012961"/>
    <w:rsid w:val="000129F3"/>
    <w:rsid w:val="0001332C"/>
    <w:rsid w:val="00013A05"/>
    <w:rsid w:val="00014061"/>
    <w:rsid w:val="00014190"/>
    <w:rsid w:val="000143F6"/>
    <w:rsid w:val="00014451"/>
    <w:rsid w:val="00014911"/>
    <w:rsid w:val="00014996"/>
    <w:rsid w:val="000149C6"/>
    <w:rsid w:val="00014F8A"/>
    <w:rsid w:val="00015AF5"/>
    <w:rsid w:val="00015E7D"/>
    <w:rsid w:val="00016058"/>
    <w:rsid w:val="0001614B"/>
    <w:rsid w:val="000161F4"/>
    <w:rsid w:val="000165C1"/>
    <w:rsid w:val="0001693A"/>
    <w:rsid w:val="00016B3A"/>
    <w:rsid w:val="00016E72"/>
    <w:rsid w:val="00017720"/>
    <w:rsid w:val="00017A2B"/>
    <w:rsid w:val="00017AEB"/>
    <w:rsid w:val="0002066F"/>
    <w:rsid w:val="00020D68"/>
    <w:rsid w:val="00020D7D"/>
    <w:rsid w:val="00020F6F"/>
    <w:rsid w:val="00020FB9"/>
    <w:rsid w:val="000211CD"/>
    <w:rsid w:val="0002174D"/>
    <w:rsid w:val="00021998"/>
    <w:rsid w:val="000222F2"/>
    <w:rsid w:val="00022909"/>
    <w:rsid w:val="00022984"/>
    <w:rsid w:val="00022EAB"/>
    <w:rsid w:val="00023D3E"/>
    <w:rsid w:val="0002401C"/>
    <w:rsid w:val="00024281"/>
    <w:rsid w:val="00024305"/>
    <w:rsid w:val="0002459D"/>
    <w:rsid w:val="0002496E"/>
    <w:rsid w:val="00024CF1"/>
    <w:rsid w:val="000254D4"/>
    <w:rsid w:val="00025780"/>
    <w:rsid w:val="000257E0"/>
    <w:rsid w:val="0002583C"/>
    <w:rsid w:val="00026134"/>
    <w:rsid w:val="00026AB0"/>
    <w:rsid w:val="00026B0C"/>
    <w:rsid w:val="00026CC5"/>
    <w:rsid w:val="00027D7C"/>
    <w:rsid w:val="0003002D"/>
    <w:rsid w:val="00030073"/>
    <w:rsid w:val="0003049B"/>
    <w:rsid w:val="000304C9"/>
    <w:rsid w:val="00030AAB"/>
    <w:rsid w:val="00030E21"/>
    <w:rsid w:val="00031649"/>
    <w:rsid w:val="00031A38"/>
    <w:rsid w:val="00031D2A"/>
    <w:rsid w:val="00031E7A"/>
    <w:rsid w:val="00032141"/>
    <w:rsid w:val="00032375"/>
    <w:rsid w:val="00032E74"/>
    <w:rsid w:val="0003339E"/>
    <w:rsid w:val="00033502"/>
    <w:rsid w:val="000335A9"/>
    <w:rsid w:val="000337C4"/>
    <w:rsid w:val="00033E62"/>
    <w:rsid w:val="0003501E"/>
    <w:rsid w:val="000350DD"/>
    <w:rsid w:val="00035D37"/>
    <w:rsid w:val="000361FB"/>
    <w:rsid w:val="00036339"/>
    <w:rsid w:val="000364E7"/>
    <w:rsid w:val="0003681E"/>
    <w:rsid w:val="00036ED7"/>
    <w:rsid w:val="000375FA"/>
    <w:rsid w:val="000379C9"/>
    <w:rsid w:val="00037CAF"/>
    <w:rsid w:val="00037E2B"/>
    <w:rsid w:val="000401E2"/>
    <w:rsid w:val="00040262"/>
    <w:rsid w:val="000402F9"/>
    <w:rsid w:val="0004051F"/>
    <w:rsid w:val="000405A6"/>
    <w:rsid w:val="00040D3D"/>
    <w:rsid w:val="000414B6"/>
    <w:rsid w:val="00041577"/>
    <w:rsid w:val="000415AA"/>
    <w:rsid w:val="00041B40"/>
    <w:rsid w:val="00041EF7"/>
    <w:rsid w:val="00041F3E"/>
    <w:rsid w:val="00042175"/>
    <w:rsid w:val="000422D1"/>
    <w:rsid w:val="00042BE9"/>
    <w:rsid w:val="00042D7C"/>
    <w:rsid w:val="000439AA"/>
    <w:rsid w:val="00043BD6"/>
    <w:rsid w:val="00043D6E"/>
    <w:rsid w:val="000452A4"/>
    <w:rsid w:val="00045436"/>
    <w:rsid w:val="00045DB6"/>
    <w:rsid w:val="000460C0"/>
    <w:rsid w:val="0004626E"/>
    <w:rsid w:val="00046795"/>
    <w:rsid w:val="00046C64"/>
    <w:rsid w:val="00046FE3"/>
    <w:rsid w:val="000470D8"/>
    <w:rsid w:val="0004749C"/>
    <w:rsid w:val="00047A71"/>
    <w:rsid w:val="00050401"/>
    <w:rsid w:val="00050757"/>
    <w:rsid w:val="00050B3E"/>
    <w:rsid w:val="00051190"/>
    <w:rsid w:val="000511DD"/>
    <w:rsid w:val="000514F6"/>
    <w:rsid w:val="000517DA"/>
    <w:rsid w:val="00051C21"/>
    <w:rsid w:val="00051FEB"/>
    <w:rsid w:val="00052510"/>
    <w:rsid w:val="00052B20"/>
    <w:rsid w:val="00052DC2"/>
    <w:rsid w:val="000531B5"/>
    <w:rsid w:val="000531D3"/>
    <w:rsid w:val="000537C5"/>
    <w:rsid w:val="00053819"/>
    <w:rsid w:val="00053A36"/>
    <w:rsid w:val="00053DDC"/>
    <w:rsid w:val="0005457D"/>
    <w:rsid w:val="00054DA6"/>
    <w:rsid w:val="00055042"/>
    <w:rsid w:val="00055EA7"/>
    <w:rsid w:val="00055F70"/>
    <w:rsid w:val="00055F95"/>
    <w:rsid w:val="0005614E"/>
    <w:rsid w:val="00056344"/>
    <w:rsid w:val="0005663D"/>
    <w:rsid w:val="00056E8E"/>
    <w:rsid w:val="00056FAA"/>
    <w:rsid w:val="00057098"/>
    <w:rsid w:val="000575EE"/>
    <w:rsid w:val="00057E05"/>
    <w:rsid w:val="00060348"/>
    <w:rsid w:val="000603D8"/>
    <w:rsid w:val="000604B3"/>
    <w:rsid w:val="0006098E"/>
    <w:rsid w:val="00060A4D"/>
    <w:rsid w:val="00060A80"/>
    <w:rsid w:val="0006100B"/>
    <w:rsid w:val="00061056"/>
    <w:rsid w:val="00061114"/>
    <w:rsid w:val="00061413"/>
    <w:rsid w:val="00061A12"/>
    <w:rsid w:val="00062492"/>
    <w:rsid w:val="00062876"/>
    <w:rsid w:val="00062935"/>
    <w:rsid w:val="000629FC"/>
    <w:rsid w:val="0006314F"/>
    <w:rsid w:val="00063344"/>
    <w:rsid w:val="0006345F"/>
    <w:rsid w:val="000638F9"/>
    <w:rsid w:val="00063BCD"/>
    <w:rsid w:val="000640E6"/>
    <w:rsid w:val="000640EC"/>
    <w:rsid w:val="00064181"/>
    <w:rsid w:val="000647C7"/>
    <w:rsid w:val="00064888"/>
    <w:rsid w:val="00064D8A"/>
    <w:rsid w:val="00065088"/>
    <w:rsid w:val="00065585"/>
    <w:rsid w:val="00065AEF"/>
    <w:rsid w:val="000662BB"/>
    <w:rsid w:val="00066ADF"/>
    <w:rsid w:val="00066E75"/>
    <w:rsid w:val="00067565"/>
    <w:rsid w:val="00067A3D"/>
    <w:rsid w:val="0007047A"/>
    <w:rsid w:val="00070790"/>
    <w:rsid w:val="00071D86"/>
    <w:rsid w:val="00071E13"/>
    <w:rsid w:val="00072017"/>
    <w:rsid w:val="00072699"/>
    <w:rsid w:val="000728CA"/>
    <w:rsid w:val="00072AC0"/>
    <w:rsid w:val="00072B73"/>
    <w:rsid w:val="0007336D"/>
    <w:rsid w:val="00073543"/>
    <w:rsid w:val="00074F63"/>
    <w:rsid w:val="000750B0"/>
    <w:rsid w:val="000752DF"/>
    <w:rsid w:val="0007596F"/>
    <w:rsid w:val="00075C85"/>
    <w:rsid w:val="00075D3E"/>
    <w:rsid w:val="00076B01"/>
    <w:rsid w:val="00076C20"/>
    <w:rsid w:val="00076DCC"/>
    <w:rsid w:val="00076DE9"/>
    <w:rsid w:val="0007749A"/>
    <w:rsid w:val="00077F49"/>
    <w:rsid w:val="000804F7"/>
    <w:rsid w:val="0008050E"/>
    <w:rsid w:val="00080BD2"/>
    <w:rsid w:val="00081EB9"/>
    <w:rsid w:val="000821BB"/>
    <w:rsid w:val="000828D5"/>
    <w:rsid w:val="00082B4A"/>
    <w:rsid w:val="00082C0A"/>
    <w:rsid w:val="00083746"/>
    <w:rsid w:val="00083CD6"/>
    <w:rsid w:val="00084062"/>
    <w:rsid w:val="000841F8"/>
    <w:rsid w:val="000846FC"/>
    <w:rsid w:val="000849C8"/>
    <w:rsid w:val="00085119"/>
    <w:rsid w:val="0008535E"/>
    <w:rsid w:val="00085400"/>
    <w:rsid w:val="00085432"/>
    <w:rsid w:val="0008544E"/>
    <w:rsid w:val="0008576D"/>
    <w:rsid w:val="00086630"/>
    <w:rsid w:val="00086827"/>
    <w:rsid w:val="000868EE"/>
    <w:rsid w:val="00086F45"/>
    <w:rsid w:val="000871D5"/>
    <w:rsid w:val="00087521"/>
    <w:rsid w:val="0008757F"/>
    <w:rsid w:val="000877A6"/>
    <w:rsid w:val="0009037F"/>
    <w:rsid w:val="00090657"/>
    <w:rsid w:val="00090786"/>
    <w:rsid w:val="000909B5"/>
    <w:rsid w:val="00090C2B"/>
    <w:rsid w:val="00091069"/>
    <w:rsid w:val="0009158B"/>
    <w:rsid w:val="00092802"/>
    <w:rsid w:val="000929A3"/>
    <w:rsid w:val="00092EAD"/>
    <w:rsid w:val="000936BD"/>
    <w:rsid w:val="000936D1"/>
    <w:rsid w:val="00093757"/>
    <w:rsid w:val="000940A4"/>
    <w:rsid w:val="000940D9"/>
    <w:rsid w:val="000940DE"/>
    <w:rsid w:val="00094234"/>
    <w:rsid w:val="00094834"/>
    <w:rsid w:val="00095DC7"/>
    <w:rsid w:val="0009615A"/>
    <w:rsid w:val="0009625E"/>
    <w:rsid w:val="00096548"/>
    <w:rsid w:val="00096643"/>
    <w:rsid w:val="00096C7C"/>
    <w:rsid w:val="0009708D"/>
    <w:rsid w:val="000970CF"/>
    <w:rsid w:val="0009713B"/>
    <w:rsid w:val="000974F7"/>
    <w:rsid w:val="00097CB0"/>
    <w:rsid w:val="00097D69"/>
    <w:rsid w:val="00097E58"/>
    <w:rsid w:val="000A0205"/>
    <w:rsid w:val="000A0BD6"/>
    <w:rsid w:val="000A13C7"/>
    <w:rsid w:val="000A18D6"/>
    <w:rsid w:val="000A205A"/>
    <w:rsid w:val="000A2060"/>
    <w:rsid w:val="000A222E"/>
    <w:rsid w:val="000A2552"/>
    <w:rsid w:val="000A2796"/>
    <w:rsid w:val="000A29B2"/>
    <w:rsid w:val="000A3097"/>
    <w:rsid w:val="000A33BD"/>
    <w:rsid w:val="000A3877"/>
    <w:rsid w:val="000A3A68"/>
    <w:rsid w:val="000A3A79"/>
    <w:rsid w:val="000A3AE8"/>
    <w:rsid w:val="000A3C01"/>
    <w:rsid w:val="000A3C20"/>
    <w:rsid w:val="000A3E52"/>
    <w:rsid w:val="000A3EC2"/>
    <w:rsid w:val="000A3FDE"/>
    <w:rsid w:val="000A496C"/>
    <w:rsid w:val="000A56C7"/>
    <w:rsid w:val="000A590D"/>
    <w:rsid w:val="000A5F01"/>
    <w:rsid w:val="000A5F4B"/>
    <w:rsid w:val="000A677C"/>
    <w:rsid w:val="000A6954"/>
    <w:rsid w:val="000A71CE"/>
    <w:rsid w:val="000A7558"/>
    <w:rsid w:val="000A799A"/>
    <w:rsid w:val="000B0013"/>
    <w:rsid w:val="000B02C0"/>
    <w:rsid w:val="000B0437"/>
    <w:rsid w:val="000B050A"/>
    <w:rsid w:val="000B0536"/>
    <w:rsid w:val="000B0C75"/>
    <w:rsid w:val="000B0DE4"/>
    <w:rsid w:val="000B0E6B"/>
    <w:rsid w:val="000B1062"/>
    <w:rsid w:val="000B19DA"/>
    <w:rsid w:val="000B1DDB"/>
    <w:rsid w:val="000B213C"/>
    <w:rsid w:val="000B2440"/>
    <w:rsid w:val="000B246D"/>
    <w:rsid w:val="000B271C"/>
    <w:rsid w:val="000B2999"/>
    <w:rsid w:val="000B2AC9"/>
    <w:rsid w:val="000B2ACE"/>
    <w:rsid w:val="000B333E"/>
    <w:rsid w:val="000B3461"/>
    <w:rsid w:val="000B35BD"/>
    <w:rsid w:val="000B35C1"/>
    <w:rsid w:val="000B37E8"/>
    <w:rsid w:val="000B4150"/>
    <w:rsid w:val="000B4B9E"/>
    <w:rsid w:val="000B4D04"/>
    <w:rsid w:val="000B4D90"/>
    <w:rsid w:val="000B4DF6"/>
    <w:rsid w:val="000B4E86"/>
    <w:rsid w:val="000B4F02"/>
    <w:rsid w:val="000B5651"/>
    <w:rsid w:val="000B5C9F"/>
    <w:rsid w:val="000B5EF5"/>
    <w:rsid w:val="000B5F47"/>
    <w:rsid w:val="000B6138"/>
    <w:rsid w:val="000B6741"/>
    <w:rsid w:val="000B6948"/>
    <w:rsid w:val="000B6AB2"/>
    <w:rsid w:val="000B6C0F"/>
    <w:rsid w:val="000B6F93"/>
    <w:rsid w:val="000B7401"/>
    <w:rsid w:val="000B7527"/>
    <w:rsid w:val="000B787E"/>
    <w:rsid w:val="000B78C6"/>
    <w:rsid w:val="000B7DCA"/>
    <w:rsid w:val="000C0E5A"/>
    <w:rsid w:val="000C0FB2"/>
    <w:rsid w:val="000C143C"/>
    <w:rsid w:val="000C1829"/>
    <w:rsid w:val="000C1AA5"/>
    <w:rsid w:val="000C2230"/>
    <w:rsid w:val="000C2E65"/>
    <w:rsid w:val="000C306F"/>
    <w:rsid w:val="000C3842"/>
    <w:rsid w:val="000C3893"/>
    <w:rsid w:val="000C3C1A"/>
    <w:rsid w:val="000C4904"/>
    <w:rsid w:val="000C4CC1"/>
    <w:rsid w:val="000C4D5A"/>
    <w:rsid w:val="000C52BF"/>
    <w:rsid w:val="000C5FBC"/>
    <w:rsid w:val="000C63A4"/>
    <w:rsid w:val="000C6B91"/>
    <w:rsid w:val="000C6BEB"/>
    <w:rsid w:val="000C7318"/>
    <w:rsid w:val="000C790C"/>
    <w:rsid w:val="000C7BB3"/>
    <w:rsid w:val="000C7C47"/>
    <w:rsid w:val="000C7D2D"/>
    <w:rsid w:val="000C7D51"/>
    <w:rsid w:val="000C7D89"/>
    <w:rsid w:val="000D0538"/>
    <w:rsid w:val="000D09F8"/>
    <w:rsid w:val="000D120A"/>
    <w:rsid w:val="000D1484"/>
    <w:rsid w:val="000D1514"/>
    <w:rsid w:val="000D17DB"/>
    <w:rsid w:val="000D1B40"/>
    <w:rsid w:val="000D1C0C"/>
    <w:rsid w:val="000D209B"/>
    <w:rsid w:val="000D233F"/>
    <w:rsid w:val="000D2C65"/>
    <w:rsid w:val="000D2FDF"/>
    <w:rsid w:val="000D3B04"/>
    <w:rsid w:val="000D4027"/>
    <w:rsid w:val="000D44D0"/>
    <w:rsid w:val="000D474E"/>
    <w:rsid w:val="000D4875"/>
    <w:rsid w:val="000D537B"/>
    <w:rsid w:val="000D5459"/>
    <w:rsid w:val="000D562C"/>
    <w:rsid w:val="000D5887"/>
    <w:rsid w:val="000D5D8C"/>
    <w:rsid w:val="000D5E22"/>
    <w:rsid w:val="000D5F76"/>
    <w:rsid w:val="000D6067"/>
    <w:rsid w:val="000D6677"/>
    <w:rsid w:val="000D68D8"/>
    <w:rsid w:val="000D6D04"/>
    <w:rsid w:val="000D7213"/>
    <w:rsid w:val="000D7C9F"/>
    <w:rsid w:val="000D7CC7"/>
    <w:rsid w:val="000E017F"/>
    <w:rsid w:val="000E039E"/>
    <w:rsid w:val="000E05AC"/>
    <w:rsid w:val="000E1435"/>
    <w:rsid w:val="000E183A"/>
    <w:rsid w:val="000E1B94"/>
    <w:rsid w:val="000E223A"/>
    <w:rsid w:val="000E24D5"/>
    <w:rsid w:val="000E2E52"/>
    <w:rsid w:val="000E3A1F"/>
    <w:rsid w:val="000E45B3"/>
    <w:rsid w:val="000E473A"/>
    <w:rsid w:val="000E4886"/>
    <w:rsid w:val="000E4A1F"/>
    <w:rsid w:val="000E4B88"/>
    <w:rsid w:val="000E4E1C"/>
    <w:rsid w:val="000E4E20"/>
    <w:rsid w:val="000E518E"/>
    <w:rsid w:val="000E5349"/>
    <w:rsid w:val="000E5512"/>
    <w:rsid w:val="000E56AB"/>
    <w:rsid w:val="000E5BB0"/>
    <w:rsid w:val="000E5ED8"/>
    <w:rsid w:val="000E6702"/>
    <w:rsid w:val="000E6733"/>
    <w:rsid w:val="000E6BB3"/>
    <w:rsid w:val="000E700F"/>
    <w:rsid w:val="000E757D"/>
    <w:rsid w:val="000E7B9A"/>
    <w:rsid w:val="000E7DFB"/>
    <w:rsid w:val="000E7E8A"/>
    <w:rsid w:val="000E7F20"/>
    <w:rsid w:val="000F072C"/>
    <w:rsid w:val="000F08F2"/>
    <w:rsid w:val="000F119C"/>
    <w:rsid w:val="000F136D"/>
    <w:rsid w:val="000F1B20"/>
    <w:rsid w:val="000F21EE"/>
    <w:rsid w:val="000F2506"/>
    <w:rsid w:val="000F2875"/>
    <w:rsid w:val="000F2E6F"/>
    <w:rsid w:val="000F429A"/>
    <w:rsid w:val="000F4468"/>
    <w:rsid w:val="000F451D"/>
    <w:rsid w:val="000F4B5E"/>
    <w:rsid w:val="000F4F30"/>
    <w:rsid w:val="000F55CA"/>
    <w:rsid w:val="000F5639"/>
    <w:rsid w:val="000F5C3E"/>
    <w:rsid w:val="000F5EDA"/>
    <w:rsid w:val="000F6346"/>
    <w:rsid w:val="000F6649"/>
    <w:rsid w:val="000F6673"/>
    <w:rsid w:val="000F6B47"/>
    <w:rsid w:val="000F6DE5"/>
    <w:rsid w:val="000F7032"/>
    <w:rsid w:val="000F7423"/>
    <w:rsid w:val="000F754C"/>
    <w:rsid w:val="000F782E"/>
    <w:rsid w:val="000F7A9B"/>
    <w:rsid w:val="000F7AB2"/>
    <w:rsid w:val="00100074"/>
    <w:rsid w:val="00100240"/>
    <w:rsid w:val="001003C2"/>
    <w:rsid w:val="00101370"/>
    <w:rsid w:val="00102332"/>
    <w:rsid w:val="0010259B"/>
    <w:rsid w:val="001033D4"/>
    <w:rsid w:val="0010362B"/>
    <w:rsid w:val="0010386A"/>
    <w:rsid w:val="00103D21"/>
    <w:rsid w:val="001045F7"/>
    <w:rsid w:val="001046E3"/>
    <w:rsid w:val="001047B5"/>
    <w:rsid w:val="001049F7"/>
    <w:rsid w:val="0010534C"/>
    <w:rsid w:val="00105446"/>
    <w:rsid w:val="001057CF"/>
    <w:rsid w:val="00105EE6"/>
    <w:rsid w:val="001064B1"/>
    <w:rsid w:val="001064D9"/>
    <w:rsid w:val="00106730"/>
    <w:rsid w:val="00106A95"/>
    <w:rsid w:val="00106B23"/>
    <w:rsid w:val="00106C85"/>
    <w:rsid w:val="00106EFE"/>
    <w:rsid w:val="001074B2"/>
    <w:rsid w:val="0010770A"/>
    <w:rsid w:val="00107A74"/>
    <w:rsid w:val="0010869E"/>
    <w:rsid w:val="00110319"/>
    <w:rsid w:val="001106A6"/>
    <w:rsid w:val="00110BEF"/>
    <w:rsid w:val="00110C42"/>
    <w:rsid w:val="00111115"/>
    <w:rsid w:val="00111499"/>
    <w:rsid w:val="001114B0"/>
    <w:rsid w:val="00111514"/>
    <w:rsid w:val="0011152A"/>
    <w:rsid w:val="00111C10"/>
    <w:rsid w:val="00111DBE"/>
    <w:rsid w:val="0011250E"/>
    <w:rsid w:val="001128F6"/>
    <w:rsid w:val="00112961"/>
    <w:rsid w:val="00112FEC"/>
    <w:rsid w:val="00113336"/>
    <w:rsid w:val="00114204"/>
    <w:rsid w:val="00114413"/>
    <w:rsid w:val="001148B0"/>
    <w:rsid w:val="00114A6F"/>
    <w:rsid w:val="00114FC9"/>
    <w:rsid w:val="00115333"/>
    <w:rsid w:val="001156A3"/>
    <w:rsid w:val="0011597D"/>
    <w:rsid w:val="00115CB2"/>
    <w:rsid w:val="001163CF"/>
    <w:rsid w:val="00116689"/>
    <w:rsid w:val="00117400"/>
    <w:rsid w:val="00117476"/>
    <w:rsid w:val="001177E4"/>
    <w:rsid w:val="0012069B"/>
    <w:rsid w:val="00120B81"/>
    <w:rsid w:val="00120C06"/>
    <w:rsid w:val="00120C2F"/>
    <w:rsid w:val="00120CF8"/>
    <w:rsid w:val="00120D00"/>
    <w:rsid w:val="0012146F"/>
    <w:rsid w:val="00121606"/>
    <w:rsid w:val="001216A7"/>
    <w:rsid w:val="00121FCD"/>
    <w:rsid w:val="00122565"/>
    <w:rsid w:val="0012277F"/>
    <w:rsid w:val="00123287"/>
    <w:rsid w:val="00123467"/>
    <w:rsid w:val="001239F7"/>
    <w:rsid w:val="00123AE3"/>
    <w:rsid w:val="00123D4C"/>
    <w:rsid w:val="00124576"/>
    <w:rsid w:val="00124A00"/>
    <w:rsid w:val="00124D74"/>
    <w:rsid w:val="00125678"/>
    <w:rsid w:val="00125A5E"/>
    <w:rsid w:val="00126134"/>
    <w:rsid w:val="0012613F"/>
    <w:rsid w:val="0012663C"/>
    <w:rsid w:val="00126FC3"/>
    <w:rsid w:val="00127705"/>
    <w:rsid w:val="00127C37"/>
    <w:rsid w:val="00127C51"/>
    <w:rsid w:val="00127EFC"/>
    <w:rsid w:val="00127F57"/>
    <w:rsid w:val="0013064F"/>
    <w:rsid w:val="001306B9"/>
    <w:rsid w:val="001306DA"/>
    <w:rsid w:val="00130FCC"/>
    <w:rsid w:val="0013107E"/>
    <w:rsid w:val="001315F9"/>
    <w:rsid w:val="00131AE9"/>
    <w:rsid w:val="001323D9"/>
    <w:rsid w:val="00132605"/>
    <w:rsid w:val="00132A3D"/>
    <w:rsid w:val="00132B36"/>
    <w:rsid w:val="00132EFA"/>
    <w:rsid w:val="0013301F"/>
    <w:rsid w:val="001330A3"/>
    <w:rsid w:val="00133607"/>
    <w:rsid w:val="001339BC"/>
    <w:rsid w:val="00133CAF"/>
    <w:rsid w:val="00134408"/>
    <w:rsid w:val="0013491E"/>
    <w:rsid w:val="00134A38"/>
    <w:rsid w:val="001354AA"/>
    <w:rsid w:val="001354C9"/>
    <w:rsid w:val="00135BF3"/>
    <w:rsid w:val="00135C7D"/>
    <w:rsid w:val="00135EAE"/>
    <w:rsid w:val="001366EA"/>
    <w:rsid w:val="0013725A"/>
    <w:rsid w:val="001375DA"/>
    <w:rsid w:val="00137CB1"/>
    <w:rsid w:val="00137CDF"/>
    <w:rsid w:val="0013D0AA"/>
    <w:rsid w:val="00140320"/>
    <w:rsid w:val="0014076B"/>
    <w:rsid w:val="00140CAD"/>
    <w:rsid w:val="00140F50"/>
    <w:rsid w:val="00141852"/>
    <w:rsid w:val="00141D51"/>
    <w:rsid w:val="00141DDD"/>
    <w:rsid w:val="00141FB4"/>
    <w:rsid w:val="001423C1"/>
    <w:rsid w:val="001437AA"/>
    <w:rsid w:val="00144054"/>
    <w:rsid w:val="00144343"/>
    <w:rsid w:val="00144B46"/>
    <w:rsid w:val="0014580C"/>
    <w:rsid w:val="001459F8"/>
    <w:rsid w:val="0014648B"/>
    <w:rsid w:val="00146490"/>
    <w:rsid w:val="001470AA"/>
    <w:rsid w:val="001471B4"/>
    <w:rsid w:val="001471DD"/>
    <w:rsid w:val="00147564"/>
    <w:rsid w:val="00147AFD"/>
    <w:rsid w:val="00147E2A"/>
    <w:rsid w:val="00149985"/>
    <w:rsid w:val="001502EE"/>
    <w:rsid w:val="00150799"/>
    <w:rsid w:val="00150B17"/>
    <w:rsid w:val="00151984"/>
    <w:rsid w:val="00151EED"/>
    <w:rsid w:val="00151F9E"/>
    <w:rsid w:val="00152019"/>
    <w:rsid w:val="001526F1"/>
    <w:rsid w:val="00152AA4"/>
    <w:rsid w:val="00152CD1"/>
    <w:rsid w:val="00152D2D"/>
    <w:rsid w:val="001538F4"/>
    <w:rsid w:val="00153BAD"/>
    <w:rsid w:val="00153F25"/>
    <w:rsid w:val="00153F5A"/>
    <w:rsid w:val="00154409"/>
    <w:rsid w:val="00154422"/>
    <w:rsid w:val="001544EF"/>
    <w:rsid w:val="00154973"/>
    <w:rsid w:val="00154CA8"/>
    <w:rsid w:val="00154CBA"/>
    <w:rsid w:val="00155298"/>
    <w:rsid w:val="001553AC"/>
    <w:rsid w:val="00155E3E"/>
    <w:rsid w:val="00156088"/>
    <w:rsid w:val="00156121"/>
    <w:rsid w:val="00156441"/>
    <w:rsid w:val="001564B8"/>
    <w:rsid w:val="00156871"/>
    <w:rsid w:val="00156E36"/>
    <w:rsid w:val="00156EDA"/>
    <w:rsid w:val="00156F91"/>
    <w:rsid w:val="001576BE"/>
    <w:rsid w:val="00157D1F"/>
    <w:rsid w:val="00160024"/>
    <w:rsid w:val="0016060A"/>
    <w:rsid w:val="00160693"/>
    <w:rsid w:val="00160AC6"/>
    <w:rsid w:val="00160FB8"/>
    <w:rsid w:val="00161213"/>
    <w:rsid w:val="00161977"/>
    <w:rsid w:val="0016198C"/>
    <w:rsid w:val="00161AC9"/>
    <w:rsid w:val="00161D90"/>
    <w:rsid w:val="00161DEC"/>
    <w:rsid w:val="0016202C"/>
    <w:rsid w:val="0016305F"/>
    <w:rsid w:val="00163482"/>
    <w:rsid w:val="00163847"/>
    <w:rsid w:val="00164731"/>
    <w:rsid w:val="001648DC"/>
    <w:rsid w:val="00164BAB"/>
    <w:rsid w:val="00164BB0"/>
    <w:rsid w:val="00164C57"/>
    <w:rsid w:val="001650CF"/>
    <w:rsid w:val="00165457"/>
    <w:rsid w:val="0016553B"/>
    <w:rsid w:val="0016587B"/>
    <w:rsid w:val="00165C0F"/>
    <w:rsid w:val="00165D85"/>
    <w:rsid w:val="00166030"/>
    <w:rsid w:val="00166045"/>
    <w:rsid w:val="001664CE"/>
    <w:rsid w:val="00166F5A"/>
    <w:rsid w:val="001675FC"/>
    <w:rsid w:val="001700FD"/>
    <w:rsid w:val="00170377"/>
    <w:rsid w:val="00170712"/>
    <w:rsid w:val="0017081A"/>
    <w:rsid w:val="00170B16"/>
    <w:rsid w:val="001711AB"/>
    <w:rsid w:val="00171D83"/>
    <w:rsid w:val="001727E6"/>
    <w:rsid w:val="00172A85"/>
    <w:rsid w:val="00172C4A"/>
    <w:rsid w:val="00172F22"/>
    <w:rsid w:val="001730F2"/>
    <w:rsid w:val="001738EC"/>
    <w:rsid w:val="00173A73"/>
    <w:rsid w:val="00173E56"/>
    <w:rsid w:val="0017439D"/>
    <w:rsid w:val="001747B3"/>
    <w:rsid w:val="001749A3"/>
    <w:rsid w:val="00174A98"/>
    <w:rsid w:val="00174D00"/>
    <w:rsid w:val="00174D17"/>
    <w:rsid w:val="00175CB5"/>
    <w:rsid w:val="00175F61"/>
    <w:rsid w:val="00175FE4"/>
    <w:rsid w:val="00176324"/>
    <w:rsid w:val="00176361"/>
    <w:rsid w:val="00176702"/>
    <w:rsid w:val="001769BF"/>
    <w:rsid w:val="00177576"/>
    <w:rsid w:val="001775ED"/>
    <w:rsid w:val="00177EF5"/>
    <w:rsid w:val="00180279"/>
    <w:rsid w:val="001809F9"/>
    <w:rsid w:val="00180F1E"/>
    <w:rsid w:val="001811FC"/>
    <w:rsid w:val="001814FB"/>
    <w:rsid w:val="001816CB"/>
    <w:rsid w:val="00181EC5"/>
    <w:rsid w:val="00182287"/>
    <w:rsid w:val="00182707"/>
    <w:rsid w:val="00182FB5"/>
    <w:rsid w:val="00183862"/>
    <w:rsid w:val="00183AAC"/>
    <w:rsid w:val="00183ED6"/>
    <w:rsid w:val="0018440C"/>
    <w:rsid w:val="00184736"/>
    <w:rsid w:val="00184BAE"/>
    <w:rsid w:val="001853FF"/>
    <w:rsid w:val="00186039"/>
    <w:rsid w:val="001860CB"/>
    <w:rsid w:val="0018612E"/>
    <w:rsid w:val="001863F0"/>
    <w:rsid w:val="001866A6"/>
    <w:rsid w:val="00186800"/>
    <w:rsid w:val="00186ACA"/>
    <w:rsid w:val="00186EDF"/>
    <w:rsid w:val="0018720A"/>
    <w:rsid w:val="001879B1"/>
    <w:rsid w:val="00187B88"/>
    <w:rsid w:val="00187B99"/>
    <w:rsid w:val="00187C9A"/>
    <w:rsid w:val="00187FD8"/>
    <w:rsid w:val="00190449"/>
    <w:rsid w:val="001909DD"/>
    <w:rsid w:val="00190DF7"/>
    <w:rsid w:val="00190F02"/>
    <w:rsid w:val="001910FF"/>
    <w:rsid w:val="0019136D"/>
    <w:rsid w:val="00191486"/>
    <w:rsid w:val="0019229C"/>
    <w:rsid w:val="00192447"/>
    <w:rsid w:val="00193678"/>
    <w:rsid w:val="00193B90"/>
    <w:rsid w:val="00193C95"/>
    <w:rsid w:val="001941CF"/>
    <w:rsid w:val="00194DC5"/>
    <w:rsid w:val="00194F64"/>
    <w:rsid w:val="001950D9"/>
    <w:rsid w:val="0019540A"/>
    <w:rsid w:val="0019545A"/>
    <w:rsid w:val="00195750"/>
    <w:rsid w:val="00195D22"/>
    <w:rsid w:val="00195DA2"/>
    <w:rsid w:val="00195F0D"/>
    <w:rsid w:val="001965B8"/>
    <w:rsid w:val="0019669B"/>
    <w:rsid w:val="00196828"/>
    <w:rsid w:val="001969FC"/>
    <w:rsid w:val="00196B5E"/>
    <w:rsid w:val="00196D12"/>
    <w:rsid w:val="00196E00"/>
    <w:rsid w:val="001972F6"/>
    <w:rsid w:val="00197790"/>
    <w:rsid w:val="00197802"/>
    <w:rsid w:val="00197E9F"/>
    <w:rsid w:val="001A02A7"/>
    <w:rsid w:val="001A067D"/>
    <w:rsid w:val="001A0A3C"/>
    <w:rsid w:val="001A0D5B"/>
    <w:rsid w:val="001A118D"/>
    <w:rsid w:val="001A12AC"/>
    <w:rsid w:val="001A161A"/>
    <w:rsid w:val="001A2048"/>
    <w:rsid w:val="001A20EC"/>
    <w:rsid w:val="001A21D6"/>
    <w:rsid w:val="001A26BA"/>
    <w:rsid w:val="001A29CF"/>
    <w:rsid w:val="001A2A6D"/>
    <w:rsid w:val="001A380A"/>
    <w:rsid w:val="001A3810"/>
    <w:rsid w:val="001A3D26"/>
    <w:rsid w:val="001A4A19"/>
    <w:rsid w:val="001A51E6"/>
    <w:rsid w:val="001A581F"/>
    <w:rsid w:val="001A5DE7"/>
    <w:rsid w:val="001A5EC5"/>
    <w:rsid w:val="001A6534"/>
    <w:rsid w:val="001A6936"/>
    <w:rsid w:val="001A721E"/>
    <w:rsid w:val="001A725C"/>
    <w:rsid w:val="001B00A5"/>
    <w:rsid w:val="001B0533"/>
    <w:rsid w:val="001B0733"/>
    <w:rsid w:val="001B11AC"/>
    <w:rsid w:val="001B1553"/>
    <w:rsid w:val="001B15D2"/>
    <w:rsid w:val="001B1676"/>
    <w:rsid w:val="001B1940"/>
    <w:rsid w:val="001B1A5B"/>
    <w:rsid w:val="001B1AF4"/>
    <w:rsid w:val="001B2113"/>
    <w:rsid w:val="001B2169"/>
    <w:rsid w:val="001B2908"/>
    <w:rsid w:val="001B2C5B"/>
    <w:rsid w:val="001B2E5B"/>
    <w:rsid w:val="001B3034"/>
    <w:rsid w:val="001B30DA"/>
    <w:rsid w:val="001B33DD"/>
    <w:rsid w:val="001B36A5"/>
    <w:rsid w:val="001B3B37"/>
    <w:rsid w:val="001B3CEE"/>
    <w:rsid w:val="001B3DDC"/>
    <w:rsid w:val="001B3F11"/>
    <w:rsid w:val="001B4C95"/>
    <w:rsid w:val="001B531C"/>
    <w:rsid w:val="001B5641"/>
    <w:rsid w:val="001B5AE8"/>
    <w:rsid w:val="001B5B0E"/>
    <w:rsid w:val="001B5C6F"/>
    <w:rsid w:val="001B640A"/>
    <w:rsid w:val="001B64BA"/>
    <w:rsid w:val="001B72F7"/>
    <w:rsid w:val="001B77A5"/>
    <w:rsid w:val="001B77B0"/>
    <w:rsid w:val="001B78A0"/>
    <w:rsid w:val="001B7A13"/>
    <w:rsid w:val="001C0239"/>
    <w:rsid w:val="001C07C2"/>
    <w:rsid w:val="001C0D58"/>
    <w:rsid w:val="001C0E5C"/>
    <w:rsid w:val="001C193C"/>
    <w:rsid w:val="001C1F5B"/>
    <w:rsid w:val="001C2000"/>
    <w:rsid w:val="001C2642"/>
    <w:rsid w:val="001C2664"/>
    <w:rsid w:val="001C2665"/>
    <w:rsid w:val="001C2DAB"/>
    <w:rsid w:val="001C2EDC"/>
    <w:rsid w:val="001C3306"/>
    <w:rsid w:val="001C363E"/>
    <w:rsid w:val="001C378C"/>
    <w:rsid w:val="001C3A42"/>
    <w:rsid w:val="001C3F39"/>
    <w:rsid w:val="001C4232"/>
    <w:rsid w:val="001C46B1"/>
    <w:rsid w:val="001C515E"/>
    <w:rsid w:val="001C52E1"/>
    <w:rsid w:val="001C5537"/>
    <w:rsid w:val="001C6623"/>
    <w:rsid w:val="001C6F82"/>
    <w:rsid w:val="001C71FA"/>
    <w:rsid w:val="001C7292"/>
    <w:rsid w:val="001C73A9"/>
    <w:rsid w:val="001C7A0A"/>
    <w:rsid w:val="001D01E6"/>
    <w:rsid w:val="001D0B9E"/>
    <w:rsid w:val="001D0D54"/>
    <w:rsid w:val="001D133C"/>
    <w:rsid w:val="001D18F2"/>
    <w:rsid w:val="001D1BF9"/>
    <w:rsid w:val="001D1EEB"/>
    <w:rsid w:val="001D222F"/>
    <w:rsid w:val="001D22EE"/>
    <w:rsid w:val="001D2350"/>
    <w:rsid w:val="001D2A36"/>
    <w:rsid w:val="001D2ABB"/>
    <w:rsid w:val="001D2D9B"/>
    <w:rsid w:val="001D3111"/>
    <w:rsid w:val="001D41CB"/>
    <w:rsid w:val="001D4912"/>
    <w:rsid w:val="001D49AC"/>
    <w:rsid w:val="001D58DF"/>
    <w:rsid w:val="001D5B3A"/>
    <w:rsid w:val="001D5FE2"/>
    <w:rsid w:val="001D67B7"/>
    <w:rsid w:val="001D76A1"/>
    <w:rsid w:val="001D77AF"/>
    <w:rsid w:val="001D7C66"/>
    <w:rsid w:val="001D7D49"/>
    <w:rsid w:val="001D7D6E"/>
    <w:rsid w:val="001D7E5E"/>
    <w:rsid w:val="001E0265"/>
    <w:rsid w:val="001E0356"/>
    <w:rsid w:val="001E0B53"/>
    <w:rsid w:val="001E0E8E"/>
    <w:rsid w:val="001E105B"/>
    <w:rsid w:val="001E10FB"/>
    <w:rsid w:val="001E1D86"/>
    <w:rsid w:val="001E2273"/>
    <w:rsid w:val="001E2429"/>
    <w:rsid w:val="001E2699"/>
    <w:rsid w:val="001E2E2D"/>
    <w:rsid w:val="001E3D9F"/>
    <w:rsid w:val="001E47BC"/>
    <w:rsid w:val="001E5247"/>
    <w:rsid w:val="001E548C"/>
    <w:rsid w:val="001E54C7"/>
    <w:rsid w:val="001E62A0"/>
    <w:rsid w:val="001E652E"/>
    <w:rsid w:val="001E6F91"/>
    <w:rsid w:val="001E7E41"/>
    <w:rsid w:val="001F0819"/>
    <w:rsid w:val="001F137C"/>
    <w:rsid w:val="001F1DFA"/>
    <w:rsid w:val="001F1F38"/>
    <w:rsid w:val="001F212C"/>
    <w:rsid w:val="001F216A"/>
    <w:rsid w:val="001F2902"/>
    <w:rsid w:val="001F2B23"/>
    <w:rsid w:val="001F2D46"/>
    <w:rsid w:val="001F3185"/>
    <w:rsid w:val="001F3A21"/>
    <w:rsid w:val="001F454B"/>
    <w:rsid w:val="001F45B7"/>
    <w:rsid w:val="001F47CA"/>
    <w:rsid w:val="001F4E01"/>
    <w:rsid w:val="001F4E7D"/>
    <w:rsid w:val="001F5209"/>
    <w:rsid w:val="001F52CD"/>
    <w:rsid w:val="001F5DFE"/>
    <w:rsid w:val="001F5EE5"/>
    <w:rsid w:val="001F61F1"/>
    <w:rsid w:val="001F637E"/>
    <w:rsid w:val="001F6F3B"/>
    <w:rsid w:val="001F7514"/>
    <w:rsid w:val="001F76B2"/>
    <w:rsid w:val="001F7830"/>
    <w:rsid w:val="001F78A1"/>
    <w:rsid w:val="001F79A5"/>
    <w:rsid w:val="001F7BAF"/>
    <w:rsid w:val="001F7D19"/>
    <w:rsid w:val="001F7F2C"/>
    <w:rsid w:val="00201840"/>
    <w:rsid w:val="00201F86"/>
    <w:rsid w:val="002021BC"/>
    <w:rsid w:val="00202EE5"/>
    <w:rsid w:val="00202F26"/>
    <w:rsid w:val="002030B0"/>
    <w:rsid w:val="00203119"/>
    <w:rsid w:val="00203B1F"/>
    <w:rsid w:val="00203D68"/>
    <w:rsid w:val="00204039"/>
    <w:rsid w:val="00204350"/>
    <w:rsid w:val="00204752"/>
    <w:rsid w:val="002050BF"/>
    <w:rsid w:val="0020517D"/>
    <w:rsid w:val="00205567"/>
    <w:rsid w:val="002057F6"/>
    <w:rsid w:val="00205A54"/>
    <w:rsid w:val="00205BF5"/>
    <w:rsid w:val="00205C9F"/>
    <w:rsid w:val="00205EDD"/>
    <w:rsid w:val="00205F76"/>
    <w:rsid w:val="002060F4"/>
    <w:rsid w:val="0020613A"/>
    <w:rsid w:val="00206B59"/>
    <w:rsid w:val="00206B8C"/>
    <w:rsid w:val="0020701F"/>
    <w:rsid w:val="0020705D"/>
    <w:rsid w:val="00207510"/>
    <w:rsid w:val="00207DE1"/>
    <w:rsid w:val="00207FEF"/>
    <w:rsid w:val="002103E1"/>
    <w:rsid w:val="002104F7"/>
    <w:rsid w:val="002107CE"/>
    <w:rsid w:val="00210F28"/>
    <w:rsid w:val="00211250"/>
    <w:rsid w:val="00211664"/>
    <w:rsid w:val="002116E5"/>
    <w:rsid w:val="00211AAA"/>
    <w:rsid w:val="00211F8B"/>
    <w:rsid w:val="00212255"/>
    <w:rsid w:val="002124DE"/>
    <w:rsid w:val="00212574"/>
    <w:rsid w:val="00212913"/>
    <w:rsid w:val="00212B7F"/>
    <w:rsid w:val="00212C29"/>
    <w:rsid w:val="002133A0"/>
    <w:rsid w:val="00213D01"/>
    <w:rsid w:val="00214226"/>
    <w:rsid w:val="0021453F"/>
    <w:rsid w:val="00214964"/>
    <w:rsid w:val="00214B30"/>
    <w:rsid w:val="002150B2"/>
    <w:rsid w:val="002151DB"/>
    <w:rsid w:val="00215425"/>
    <w:rsid w:val="00215450"/>
    <w:rsid w:val="00215BFF"/>
    <w:rsid w:val="00215C40"/>
    <w:rsid w:val="002160C5"/>
    <w:rsid w:val="0021699E"/>
    <w:rsid w:val="00216C2E"/>
    <w:rsid w:val="00216E57"/>
    <w:rsid w:val="00216ED6"/>
    <w:rsid w:val="0021716A"/>
    <w:rsid w:val="002171A9"/>
    <w:rsid w:val="002173A0"/>
    <w:rsid w:val="002173BA"/>
    <w:rsid w:val="002173C4"/>
    <w:rsid w:val="0022044B"/>
    <w:rsid w:val="002207DC"/>
    <w:rsid w:val="002207E9"/>
    <w:rsid w:val="00220C31"/>
    <w:rsid w:val="00220E1D"/>
    <w:rsid w:val="00221122"/>
    <w:rsid w:val="00221420"/>
    <w:rsid w:val="002215E0"/>
    <w:rsid w:val="002217A6"/>
    <w:rsid w:val="00221DFB"/>
    <w:rsid w:val="00221FB0"/>
    <w:rsid w:val="00222033"/>
    <w:rsid w:val="002220A7"/>
    <w:rsid w:val="00222995"/>
    <w:rsid w:val="002229AB"/>
    <w:rsid w:val="002229E4"/>
    <w:rsid w:val="00222C1C"/>
    <w:rsid w:val="00222F34"/>
    <w:rsid w:val="002230BA"/>
    <w:rsid w:val="00223283"/>
    <w:rsid w:val="0022365A"/>
    <w:rsid w:val="002240D6"/>
    <w:rsid w:val="00224406"/>
    <w:rsid w:val="002244B1"/>
    <w:rsid w:val="0022478A"/>
    <w:rsid w:val="002248E0"/>
    <w:rsid w:val="002249A6"/>
    <w:rsid w:val="002249E1"/>
    <w:rsid w:val="002251CF"/>
    <w:rsid w:val="00225517"/>
    <w:rsid w:val="002258E4"/>
    <w:rsid w:val="00225B71"/>
    <w:rsid w:val="00225F28"/>
    <w:rsid w:val="002271B0"/>
    <w:rsid w:val="002271F1"/>
    <w:rsid w:val="002274A7"/>
    <w:rsid w:val="00227713"/>
    <w:rsid w:val="00227E6E"/>
    <w:rsid w:val="00230134"/>
    <w:rsid w:val="00230182"/>
    <w:rsid w:val="002304BC"/>
    <w:rsid w:val="00230E31"/>
    <w:rsid w:val="00230F48"/>
    <w:rsid w:val="0023100F"/>
    <w:rsid w:val="0023134C"/>
    <w:rsid w:val="00231877"/>
    <w:rsid w:val="0023187E"/>
    <w:rsid w:val="00232529"/>
    <w:rsid w:val="00232888"/>
    <w:rsid w:val="00232D77"/>
    <w:rsid w:val="00232DCC"/>
    <w:rsid w:val="00232FF1"/>
    <w:rsid w:val="0023305E"/>
    <w:rsid w:val="0023308D"/>
    <w:rsid w:val="002334DD"/>
    <w:rsid w:val="00234389"/>
    <w:rsid w:val="002345B7"/>
    <w:rsid w:val="00234775"/>
    <w:rsid w:val="00234B48"/>
    <w:rsid w:val="00235235"/>
    <w:rsid w:val="002356DF"/>
    <w:rsid w:val="00236A2A"/>
    <w:rsid w:val="00236A4C"/>
    <w:rsid w:val="00236DC3"/>
    <w:rsid w:val="00236FE4"/>
    <w:rsid w:val="002371CE"/>
    <w:rsid w:val="00237DF2"/>
    <w:rsid w:val="002409AB"/>
    <w:rsid w:val="00240D55"/>
    <w:rsid w:val="0024200C"/>
    <w:rsid w:val="0024204C"/>
    <w:rsid w:val="00242D13"/>
    <w:rsid w:val="00243635"/>
    <w:rsid w:val="00244269"/>
    <w:rsid w:val="002443B8"/>
    <w:rsid w:val="0024442B"/>
    <w:rsid w:val="0024490B"/>
    <w:rsid w:val="00244D67"/>
    <w:rsid w:val="00245415"/>
    <w:rsid w:val="0024553F"/>
    <w:rsid w:val="00245594"/>
    <w:rsid w:val="0024572A"/>
    <w:rsid w:val="00245B22"/>
    <w:rsid w:val="00246475"/>
    <w:rsid w:val="002467EA"/>
    <w:rsid w:val="00246B70"/>
    <w:rsid w:val="00247157"/>
    <w:rsid w:val="0024735E"/>
    <w:rsid w:val="00247565"/>
    <w:rsid w:val="00247C85"/>
    <w:rsid w:val="00247EEE"/>
    <w:rsid w:val="002508FB"/>
    <w:rsid w:val="00250EA0"/>
    <w:rsid w:val="00251535"/>
    <w:rsid w:val="00251617"/>
    <w:rsid w:val="0025161A"/>
    <w:rsid w:val="0025174E"/>
    <w:rsid w:val="00251CEB"/>
    <w:rsid w:val="00251E73"/>
    <w:rsid w:val="00251EFB"/>
    <w:rsid w:val="00251FA7"/>
    <w:rsid w:val="002523F3"/>
    <w:rsid w:val="00252621"/>
    <w:rsid w:val="00253A94"/>
    <w:rsid w:val="00253BA1"/>
    <w:rsid w:val="00253CC5"/>
    <w:rsid w:val="00253CEB"/>
    <w:rsid w:val="002541B3"/>
    <w:rsid w:val="002541BE"/>
    <w:rsid w:val="00254565"/>
    <w:rsid w:val="0025478F"/>
    <w:rsid w:val="00254981"/>
    <w:rsid w:val="00254E55"/>
    <w:rsid w:val="00254F49"/>
    <w:rsid w:val="002556C5"/>
    <w:rsid w:val="00256256"/>
    <w:rsid w:val="0025662F"/>
    <w:rsid w:val="00256763"/>
    <w:rsid w:val="00256CF9"/>
    <w:rsid w:val="0026000F"/>
    <w:rsid w:val="002600C1"/>
    <w:rsid w:val="00260109"/>
    <w:rsid w:val="002603AE"/>
    <w:rsid w:val="002607BC"/>
    <w:rsid w:val="00260816"/>
    <w:rsid w:val="00260DCC"/>
    <w:rsid w:val="00261093"/>
    <w:rsid w:val="002611B0"/>
    <w:rsid w:val="0026131D"/>
    <w:rsid w:val="0026137D"/>
    <w:rsid w:val="002614A6"/>
    <w:rsid w:val="002618A0"/>
    <w:rsid w:val="00261A83"/>
    <w:rsid w:val="00261D32"/>
    <w:rsid w:val="00261D48"/>
    <w:rsid w:val="00261D78"/>
    <w:rsid w:val="0026211C"/>
    <w:rsid w:val="00262235"/>
    <w:rsid w:val="00262309"/>
    <w:rsid w:val="002624DD"/>
    <w:rsid w:val="002629AE"/>
    <w:rsid w:val="00262FAD"/>
    <w:rsid w:val="00263022"/>
    <w:rsid w:val="00263187"/>
    <w:rsid w:val="00263269"/>
    <w:rsid w:val="00263C16"/>
    <w:rsid w:val="002642A6"/>
    <w:rsid w:val="00264B28"/>
    <w:rsid w:val="00264D15"/>
    <w:rsid w:val="00264E30"/>
    <w:rsid w:val="0026536C"/>
    <w:rsid w:val="002659FE"/>
    <w:rsid w:val="0026649F"/>
    <w:rsid w:val="00266871"/>
    <w:rsid w:val="0026702E"/>
    <w:rsid w:val="00267327"/>
    <w:rsid w:val="002679B9"/>
    <w:rsid w:val="00267A97"/>
    <w:rsid w:val="00267D7F"/>
    <w:rsid w:val="0027021A"/>
    <w:rsid w:val="002704F9"/>
    <w:rsid w:val="002706A2"/>
    <w:rsid w:val="0027087D"/>
    <w:rsid w:val="002711A9"/>
    <w:rsid w:val="0027154F"/>
    <w:rsid w:val="00271694"/>
    <w:rsid w:val="00271A08"/>
    <w:rsid w:val="00271A90"/>
    <w:rsid w:val="00272097"/>
    <w:rsid w:val="002722F5"/>
    <w:rsid w:val="00272827"/>
    <w:rsid w:val="0027292E"/>
    <w:rsid w:val="00272C87"/>
    <w:rsid w:val="002730DD"/>
    <w:rsid w:val="00273ADB"/>
    <w:rsid w:val="00273EE5"/>
    <w:rsid w:val="0027409B"/>
    <w:rsid w:val="00274181"/>
    <w:rsid w:val="002745CC"/>
    <w:rsid w:val="002745ED"/>
    <w:rsid w:val="0027468D"/>
    <w:rsid w:val="00274745"/>
    <w:rsid w:val="00274771"/>
    <w:rsid w:val="00274AA8"/>
    <w:rsid w:val="00274F96"/>
    <w:rsid w:val="0027508F"/>
    <w:rsid w:val="0027511C"/>
    <w:rsid w:val="0027536C"/>
    <w:rsid w:val="0027545C"/>
    <w:rsid w:val="00275836"/>
    <w:rsid w:val="00275BA5"/>
    <w:rsid w:val="00275BEC"/>
    <w:rsid w:val="00275CA3"/>
    <w:rsid w:val="00275E19"/>
    <w:rsid w:val="002760E1"/>
    <w:rsid w:val="00276364"/>
    <w:rsid w:val="0027639A"/>
    <w:rsid w:val="00276A40"/>
    <w:rsid w:val="00276C3D"/>
    <w:rsid w:val="0027713F"/>
    <w:rsid w:val="002777CD"/>
    <w:rsid w:val="00277876"/>
    <w:rsid w:val="00277D08"/>
    <w:rsid w:val="00277DC1"/>
    <w:rsid w:val="00277E3E"/>
    <w:rsid w:val="00277F71"/>
    <w:rsid w:val="002806F6"/>
    <w:rsid w:val="00280816"/>
    <w:rsid w:val="00280F9F"/>
    <w:rsid w:val="00281982"/>
    <w:rsid w:val="00281EA1"/>
    <w:rsid w:val="00282C0C"/>
    <w:rsid w:val="00282FE5"/>
    <w:rsid w:val="00283722"/>
    <w:rsid w:val="00283943"/>
    <w:rsid w:val="00283995"/>
    <w:rsid w:val="00283B7A"/>
    <w:rsid w:val="00283BA8"/>
    <w:rsid w:val="00283E2C"/>
    <w:rsid w:val="00283FCF"/>
    <w:rsid w:val="002846A0"/>
    <w:rsid w:val="00285283"/>
    <w:rsid w:val="002855CF"/>
    <w:rsid w:val="00285BB7"/>
    <w:rsid w:val="002864BA"/>
    <w:rsid w:val="002865CF"/>
    <w:rsid w:val="00286963"/>
    <w:rsid w:val="00286A93"/>
    <w:rsid w:val="00286F71"/>
    <w:rsid w:val="002871BF"/>
    <w:rsid w:val="002873A4"/>
    <w:rsid w:val="00287710"/>
    <w:rsid w:val="00287873"/>
    <w:rsid w:val="00287D26"/>
    <w:rsid w:val="00290010"/>
    <w:rsid w:val="00290481"/>
    <w:rsid w:val="002906C8"/>
    <w:rsid w:val="0029091E"/>
    <w:rsid w:val="00290949"/>
    <w:rsid w:val="00290A2F"/>
    <w:rsid w:val="00290E03"/>
    <w:rsid w:val="002912A5"/>
    <w:rsid w:val="002912DC"/>
    <w:rsid w:val="00291B49"/>
    <w:rsid w:val="00291D23"/>
    <w:rsid w:val="00292529"/>
    <w:rsid w:val="00292663"/>
    <w:rsid w:val="002929E8"/>
    <w:rsid w:val="00292C4D"/>
    <w:rsid w:val="002930C9"/>
    <w:rsid w:val="002934B3"/>
    <w:rsid w:val="002938A7"/>
    <w:rsid w:val="00293BDB"/>
    <w:rsid w:val="00293CC4"/>
    <w:rsid w:val="00293CC6"/>
    <w:rsid w:val="00294B3B"/>
    <w:rsid w:val="0029585B"/>
    <w:rsid w:val="0029589D"/>
    <w:rsid w:val="002960F9"/>
    <w:rsid w:val="00296C7C"/>
    <w:rsid w:val="00297188"/>
    <w:rsid w:val="002975BD"/>
    <w:rsid w:val="00297D1B"/>
    <w:rsid w:val="00297D57"/>
    <w:rsid w:val="002A0BC5"/>
    <w:rsid w:val="002A0D4B"/>
    <w:rsid w:val="002A0DCD"/>
    <w:rsid w:val="002A100A"/>
    <w:rsid w:val="002A1230"/>
    <w:rsid w:val="002A1728"/>
    <w:rsid w:val="002A19E5"/>
    <w:rsid w:val="002A1DAF"/>
    <w:rsid w:val="002A1E5C"/>
    <w:rsid w:val="002A1F37"/>
    <w:rsid w:val="002A2553"/>
    <w:rsid w:val="002A25FD"/>
    <w:rsid w:val="002A2906"/>
    <w:rsid w:val="002A2A88"/>
    <w:rsid w:val="002A2DCA"/>
    <w:rsid w:val="002A3294"/>
    <w:rsid w:val="002A392B"/>
    <w:rsid w:val="002A3A1F"/>
    <w:rsid w:val="002A41BD"/>
    <w:rsid w:val="002A4671"/>
    <w:rsid w:val="002A4843"/>
    <w:rsid w:val="002A4C6B"/>
    <w:rsid w:val="002A4EF8"/>
    <w:rsid w:val="002A4FE8"/>
    <w:rsid w:val="002A5414"/>
    <w:rsid w:val="002A54AA"/>
    <w:rsid w:val="002A569D"/>
    <w:rsid w:val="002A59B8"/>
    <w:rsid w:val="002A5F30"/>
    <w:rsid w:val="002A60C4"/>
    <w:rsid w:val="002A6883"/>
    <w:rsid w:val="002A68FB"/>
    <w:rsid w:val="002A694E"/>
    <w:rsid w:val="002A6C32"/>
    <w:rsid w:val="002A7400"/>
    <w:rsid w:val="002A74FE"/>
    <w:rsid w:val="002A7B6B"/>
    <w:rsid w:val="002A7BAB"/>
    <w:rsid w:val="002A7C0B"/>
    <w:rsid w:val="002A7D75"/>
    <w:rsid w:val="002A7F6C"/>
    <w:rsid w:val="002B0009"/>
    <w:rsid w:val="002B13F2"/>
    <w:rsid w:val="002B17E2"/>
    <w:rsid w:val="002B1DC5"/>
    <w:rsid w:val="002B2408"/>
    <w:rsid w:val="002B371D"/>
    <w:rsid w:val="002B38BA"/>
    <w:rsid w:val="002B3D0E"/>
    <w:rsid w:val="002B43A1"/>
    <w:rsid w:val="002B4E1E"/>
    <w:rsid w:val="002B515C"/>
    <w:rsid w:val="002B52BF"/>
    <w:rsid w:val="002B5FDB"/>
    <w:rsid w:val="002B6185"/>
    <w:rsid w:val="002B61D6"/>
    <w:rsid w:val="002B684B"/>
    <w:rsid w:val="002B68D4"/>
    <w:rsid w:val="002B6BC8"/>
    <w:rsid w:val="002B6CE4"/>
    <w:rsid w:val="002B7276"/>
    <w:rsid w:val="002B7742"/>
    <w:rsid w:val="002B7747"/>
    <w:rsid w:val="002C0009"/>
    <w:rsid w:val="002C0100"/>
    <w:rsid w:val="002C0859"/>
    <w:rsid w:val="002C0929"/>
    <w:rsid w:val="002C0A54"/>
    <w:rsid w:val="002C17E0"/>
    <w:rsid w:val="002C1F37"/>
    <w:rsid w:val="002C2212"/>
    <w:rsid w:val="002C2719"/>
    <w:rsid w:val="002C2774"/>
    <w:rsid w:val="002C3200"/>
    <w:rsid w:val="002C36F6"/>
    <w:rsid w:val="002C377C"/>
    <w:rsid w:val="002C379F"/>
    <w:rsid w:val="002C3886"/>
    <w:rsid w:val="002C38F6"/>
    <w:rsid w:val="002C3914"/>
    <w:rsid w:val="002C3B0B"/>
    <w:rsid w:val="002C41D6"/>
    <w:rsid w:val="002C439E"/>
    <w:rsid w:val="002C4747"/>
    <w:rsid w:val="002C480A"/>
    <w:rsid w:val="002C49A1"/>
    <w:rsid w:val="002C4D02"/>
    <w:rsid w:val="002C4F50"/>
    <w:rsid w:val="002C50DD"/>
    <w:rsid w:val="002C5F5B"/>
    <w:rsid w:val="002C5F61"/>
    <w:rsid w:val="002C6360"/>
    <w:rsid w:val="002C67F3"/>
    <w:rsid w:val="002C6813"/>
    <w:rsid w:val="002C6A79"/>
    <w:rsid w:val="002C7347"/>
    <w:rsid w:val="002C7570"/>
    <w:rsid w:val="002C7597"/>
    <w:rsid w:val="002D01D7"/>
    <w:rsid w:val="002D02B0"/>
    <w:rsid w:val="002D0532"/>
    <w:rsid w:val="002D075B"/>
    <w:rsid w:val="002D0F83"/>
    <w:rsid w:val="002D1195"/>
    <w:rsid w:val="002D1309"/>
    <w:rsid w:val="002D1A2F"/>
    <w:rsid w:val="002D1F85"/>
    <w:rsid w:val="002D26C1"/>
    <w:rsid w:val="002D27BA"/>
    <w:rsid w:val="002D2D11"/>
    <w:rsid w:val="002D2E5B"/>
    <w:rsid w:val="002D2F43"/>
    <w:rsid w:val="002D4DA9"/>
    <w:rsid w:val="002D4EB3"/>
    <w:rsid w:val="002D57C8"/>
    <w:rsid w:val="002D5DB8"/>
    <w:rsid w:val="002D5F4B"/>
    <w:rsid w:val="002D5F5D"/>
    <w:rsid w:val="002D6725"/>
    <w:rsid w:val="002D6B6B"/>
    <w:rsid w:val="002D6C68"/>
    <w:rsid w:val="002D6CD3"/>
    <w:rsid w:val="002D6DF5"/>
    <w:rsid w:val="002D7652"/>
    <w:rsid w:val="002D76B8"/>
    <w:rsid w:val="002D77B4"/>
    <w:rsid w:val="002D78E4"/>
    <w:rsid w:val="002D7926"/>
    <w:rsid w:val="002E002C"/>
    <w:rsid w:val="002E01EF"/>
    <w:rsid w:val="002E03CB"/>
    <w:rsid w:val="002E1599"/>
    <w:rsid w:val="002E1709"/>
    <w:rsid w:val="002E1915"/>
    <w:rsid w:val="002E198F"/>
    <w:rsid w:val="002E1A8C"/>
    <w:rsid w:val="002E1B9D"/>
    <w:rsid w:val="002E1E90"/>
    <w:rsid w:val="002E1ED4"/>
    <w:rsid w:val="002E2079"/>
    <w:rsid w:val="002E21A6"/>
    <w:rsid w:val="002E25A0"/>
    <w:rsid w:val="002E264C"/>
    <w:rsid w:val="002E28A7"/>
    <w:rsid w:val="002E328A"/>
    <w:rsid w:val="002E37BD"/>
    <w:rsid w:val="002E39C6"/>
    <w:rsid w:val="002E3BDB"/>
    <w:rsid w:val="002E3D55"/>
    <w:rsid w:val="002E3D69"/>
    <w:rsid w:val="002E3F79"/>
    <w:rsid w:val="002E4536"/>
    <w:rsid w:val="002E482D"/>
    <w:rsid w:val="002E486F"/>
    <w:rsid w:val="002E4DC3"/>
    <w:rsid w:val="002E4E90"/>
    <w:rsid w:val="002E50CA"/>
    <w:rsid w:val="002E553B"/>
    <w:rsid w:val="002E56B8"/>
    <w:rsid w:val="002E578F"/>
    <w:rsid w:val="002E5A01"/>
    <w:rsid w:val="002E5F82"/>
    <w:rsid w:val="002E6267"/>
    <w:rsid w:val="002E64D9"/>
    <w:rsid w:val="002E6E25"/>
    <w:rsid w:val="002E7653"/>
    <w:rsid w:val="002E777D"/>
    <w:rsid w:val="002E7B88"/>
    <w:rsid w:val="002F0A38"/>
    <w:rsid w:val="002F0B73"/>
    <w:rsid w:val="002F0F8F"/>
    <w:rsid w:val="002F1091"/>
    <w:rsid w:val="002F155A"/>
    <w:rsid w:val="002F23FA"/>
    <w:rsid w:val="002F2559"/>
    <w:rsid w:val="002F26B6"/>
    <w:rsid w:val="002F2922"/>
    <w:rsid w:val="002F2E5C"/>
    <w:rsid w:val="002F3433"/>
    <w:rsid w:val="002F358D"/>
    <w:rsid w:val="002F3775"/>
    <w:rsid w:val="002F3ADA"/>
    <w:rsid w:val="002F3B6F"/>
    <w:rsid w:val="002F3F27"/>
    <w:rsid w:val="002F42D1"/>
    <w:rsid w:val="002F42D2"/>
    <w:rsid w:val="002F4603"/>
    <w:rsid w:val="002F49D4"/>
    <w:rsid w:val="002F4B28"/>
    <w:rsid w:val="002F4B29"/>
    <w:rsid w:val="002F4C52"/>
    <w:rsid w:val="002F4F44"/>
    <w:rsid w:val="002F5411"/>
    <w:rsid w:val="002F56C6"/>
    <w:rsid w:val="002F59D7"/>
    <w:rsid w:val="002F6BD9"/>
    <w:rsid w:val="002F77BE"/>
    <w:rsid w:val="002F7B79"/>
    <w:rsid w:val="003000B1"/>
    <w:rsid w:val="003007E7"/>
    <w:rsid w:val="003008F9"/>
    <w:rsid w:val="00300C28"/>
    <w:rsid w:val="00300DB4"/>
    <w:rsid w:val="00301022"/>
    <w:rsid w:val="00301259"/>
    <w:rsid w:val="00301322"/>
    <w:rsid w:val="00301429"/>
    <w:rsid w:val="00301CEF"/>
    <w:rsid w:val="00301D62"/>
    <w:rsid w:val="0030267E"/>
    <w:rsid w:val="003031A5"/>
    <w:rsid w:val="0030370F"/>
    <w:rsid w:val="00303BCC"/>
    <w:rsid w:val="00303CFA"/>
    <w:rsid w:val="0030423A"/>
    <w:rsid w:val="00304285"/>
    <w:rsid w:val="00304407"/>
    <w:rsid w:val="003049C2"/>
    <w:rsid w:val="00304CE3"/>
    <w:rsid w:val="00305131"/>
    <w:rsid w:val="00305EFE"/>
    <w:rsid w:val="00306013"/>
    <w:rsid w:val="00306A54"/>
    <w:rsid w:val="00306AF5"/>
    <w:rsid w:val="00306F94"/>
    <w:rsid w:val="003070A0"/>
    <w:rsid w:val="003072A7"/>
    <w:rsid w:val="0030743C"/>
    <w:rsid w:val="003078AD"/>
    <w:rsid w:val="00307B03"/>
    <w:rsid w:val="00307EB8"/>
    <w:rsid w:val="00307F6F"/>
    <w:rsid w:val="00310073"/>
    <w:rsid w:val="003105CD"/>
    <w:rsid w:val="00310BDA"/>
    <w:rsid w:val="00310C23"/>
    <w:rsid w:val="003115AB"/>
    <w:rsid w:val="0031170C"/>
    <w:rsid w:val="003118FB"/>
    <w:rsid w:val="00311A19"/>
    <w:rsid w:val="00311CDB"/>
    <w:rsid w:val="00311DE6"/>
    <w:rsid w:val="00311FA9"/>
    <w:rsid w:val="003120B6"/>
    <w:rsid w:val="00312391"/>
    <w:rsid w:val="0031253D"/>
    <w:rsid w:val="00312CEB"/>
    <w:rsid w:val="00312E7C"/>
    <w:rsid w:val="003133FD"/>
    <w:rsid w:val="00313DB6"/>
    <w:rsid w:val="00313F19"/>
    <w:rsid w:val="00314185"/>
    <w:rsid w:val="00314302"/>
    <w:rsid w:val="0031454A"/>
    <w:rsid w:val="00314870"/>
    <w:rsid w:val="003148C6"/>
    <w:rsid w:val="00314B67"/>
    <w:rsid w:val="00314D91"/>
    <w:rsid w:val="00314E7E"/>
    <w:rsid w:val="0031502D"/>
    <w:rsid w:val="00315170"/>
    <w:rsid w:val="00315B85"/>
    <w:rsid w:val="00315F40"/>
    <w:rsid w:val="00316017"/>
    <w:rsid w:val="00316293"/>
    <w:rsid w:val="003165A5"/>
    <w:rsid w:val="00316A02"/>
    <w:rsid w:val="00316F64"/>
    <w:rsid w:val="003177FB"/>
    <w:rsid w:val="003204A3"/>
    <w:rsid w:val="003204FE"/>
    <w:rsid w:val="0032064E"/>
    <w:rsid w:val="0032088F"/>
    <w:rsid w:val="00321116"/>
    <w:rsid w:val="003215D6"/>
    <w:rsid w:val="00321AF3"/>
    <w:rsid w:val="00321CE1"/>
    <w:rsid w:val="00322957"/>
    <w:rsid w:val="00322A06"/>
    <w:rsid w:val="00323762"/>
    <w:rsid w:val="00323EFB"/>
    <w:rsid w:val="0032450C"/>
    <w:rsid w:val="00324D27"/>
    <w:rsid w:val="00324D3A"/>
    <w:rsid w:val="0032547B"/>
    <w:rsid w:val="003265C7"/>
    <w:rsid w:val="0032696B"/>
    <w:rsid w:val="00326F9F"/>
    <w:rsid w:val="00326FC2"/>
    <w:rsid w:val="00327301"/>
    <w:rsid w:val="003274CE"/>
    <w:rsid w:val="003275B6"/>
    <w:rsid w:val="003278AF"/>
    <w:rsid w:val="00327D07"/>
    <w:rsid w:val="003300F0"/>
    <w:rsid w:val="003301F3"/>
    <w:rsid w:val="00330BE7"/>
    <w:rsid w:val="0033152B"/>
    <w:rsid w:val="00331641"/>
    <w:rsid w:val="003316A8"/>
    <w:rsid w:val="0033266D"/>
    <w:rsid w:val="0033272B"/>
    <w:rsid w:val="00332833"/>
    <w:rsid w:val="00332A41"/>
    <w:rsid w:val="00332C75"/>
    <w:rsid w:val="00333491"/>
    <w:rsid w:val="00333E95"/>
    <w:rsid w:val="00333EDC"/>
    <w:rsid w:val="003341AC"/>
    <w:rsid w:val="0033476F"/>
    <w:rsid w:val="003347B5"/>
    <w:rsid w:val="00334A1C"/>
    <w:rsid w:val="00334A52"/>
    <w:rsid w:val="00334AA9"/>
    <w:rsid w:val="00334AD6"/>
    <w:rsid w:val="00334C76"/>
    <w:rsid w:val="00335121"/>
    <w:rsid w:val="00335362"/>
    <w:rsid w:val="0033563E"/>
    <w:rsid w:val="003356AB"/>
    <w:rsid w:val="00335842"/>
    <w:rsid w:val="003358C6"/>
    <w:rsid w:val="00335AF7"/>
    <w:rsid w:val="00335FD8"/>
    <w:rsid w:val="0033600C"/>
    <w:rsid w:val="003363A8"/>
    <w:rsid w:val="00336407"/>
    <w:rsid w:val="003366B7"/>
    <w:rsid w:val="003367C4"/>
    <w:rsid w:val="00336869"/>
    <w:rsid w:val="003373C9"/>
    <w:rsid w:val="00337EAC"/>
    <w:rsid w:val="0034014B"/>
    <w:rsid w:val="0034018D"/>
    <w:rsid w:val="00340532"/>
    <w:rsid w:val="00340B0A"/>
    <w:rsid w:val="00340E5B"/>
    <w:rsid w:val="00341612"/>
    <w:rsid w:val="00341797"/>
    <w:rsid w:val="00341AFE"/>
    <w:rsid w:val="00341EC0"/>
    <w:rsid w:val="003422AE"/>
    <w:rsid w:val="003426A0"/>
    <w:rsid w:val="003436C5"/>
    <w:rsid w:val="00343AF4"/>
    <w:rsid w:val="00343C48"/>
    <w:rsid w:val="00343D28"/>
    <w:rsid w:val="003447ED"/>
    <w:rsid w:val="00344B42"/>
    <w:rsid w:val="00344BC4"/>
    <w:rsid w:val="0034521B"/>
    <w:rsid w:val="00345244"/>
    <w:rsid w:val="003456E8"/>
    <w:rsid w:val="00345C72"/>
    <w:rsid w:val="0034686B"/>
    <w:rsid w:val="00346884"/>
    <w:rsid w:val="00346C53"/>
    <w:rsid w:val="00347076"/>
    <w:rsid w:val="00347113"/>
    <w:rsid w:val="003476AB"/>
    <w:rsid w:val="003476C7"/>
    <w:rsid w:val="00347B24"/>
    <w:rsid w:val="00350027"/>
    <w:rsid w:val="00350295"/>
    <w:rsid w:val="00350298"/>
    <w:rsid w:val="003502CB"/>
    <w:rsid w:val="00350CBC"/>
    <w:rsid w:val="00350DBE"/>
    <w:rsid w:val="00351074"/>
    <w:rsid w:val="00351570"/>
    <w:rsid w:val="0035208D"/>
    <w:rsid w:val="0035257D"/>
    <w:rsid w:val="0035271E"/>
    <w:rsid w:val="0035287A"/>
    <w:rsid w:val="003528C4"/>
    <w:rsid w:val="003533AB"/>
    <w:rsid w:val="003536F0"/>
    <w:rsid w:val="00353BF5"/>
    <w:rsid w:val="003545DE"/>
    <w:rsid w:val="0035498D"/>
    <w:rsid w:val="00354C12"/>
    <w:rsid w:val="00355350"/>
    <w:rsid w:val="0035562C"/>
    <w:rsid w:val="00355BAB"/>
    <w:rsid w:val="00355D6A"/>
    <w:rsid w:val="00355DE3"/>
    <w:rsid w:val="00355E28"/>
    <w:rsid w:val="003560E4"/>
    <w:rsid w:val="00356299"/>
    <w:rsid w:val="00356918"/>
    <w:rsid w:val="0035713B"/>
    <w:rsid w:val="00357228"/>
    <w:rsid w:val="00357389"/>
    <w:rsid w:val="003575D8"/>
    <w:rsid w:val="00357F65"/>
    <w:rsid w:val="00360A52"/>
    <w:rsid w:val="00360A8F"/>
    <w:rsid w:val="00361776"/>
    <w:rsid w:val="00361855"/>
    <w:rsid w:val="00361C24"/>
    <w:rsid w:val="00362207"/>
    <w:rsid w:val="0036225D"/>
    <w:rsid w:val="00362B1D"/>
    <w:rsid w:val="003632D7"/>
    <w:rsid w:val="00363418"/>
    <w:rsid w:val="003635A7"/>
    <w:rsid w:val="00363AD6"/>
    <w:rsid w:val="00363E63"/>
    <w:rsid w:val="00364A72"/>
    <w:rsid w:val="00364FE1"/>
    <w:rsid w:val="0036509A"/>
    <w:rsid w:val="00365196"/>
    <w:rsid w:val="00365A69"/>
    <w:rsid w:val="00365EC2"/>
    <w:rsid w:val="00365EF4"/>
    <w:rsid w:val="00366154"/>
    <w:rsid w:val="003661AD"/>
    <w:rsid w:val="00366EC7"/>
    <w:rsid w:val="0036708F"/>
    <w:rsid w:val="0036788A"/>
    <w:rsid w:val="003707A2"/>
    <w:rsid w:val="00370A99"/>
    <w:rsid w:val="00370CB2"/>
    <w:rsid w:val="00370D52"/>
    <w:rsid w:val="00370DCF"/>
    <w:rsid w:val="00370E11"/>
    <w:rsid w:val="00370FE6"/>
    <w:rsid w:val="0037134F"/>
    <w:rsid w:val="00372653"/>
    <w:rsid w:val="003736BF"/>
    <w:rsid w:val="00373B6B"/>
    <w:rsid w:val="003741A9"/>
    <w:rsid w:val="003746B3"/>
    <w:rsid w:val="003748F7"/>
    <w:rsid w:val="00374E39"/>
    <w:rsid w:val="00374FCA"/>
    <w:rsid w:val="0037542E"/>
    <w:rsid w:val="00375604"/>
    <w:rsid w:val="0037612A"/>
    <w:rsid w:val="003762C5"/>
    <w:rsid w:val="00376723"/>
    <w:rsid w:val="0037680A"/>
    <w:rsid w:val="00376B6E"/>
    <w:rsid w:val="0037703C"/>
    <w:rsid w:val="00377403"/>
    <w:rsid w:val="0037779B"/>
    <w:rsid w:val="00377838"/>
    <w:rsid w:val="00377C23"/>
    <w:rsid w:val="003804DF"/>
    <w:rsid w:val="0038068E"/>
    <w:rsid w:val="0038082C"/>
    <w:rsid w:val="003809C3"/>
    <w:rsid w:val="0038107B"/>
    <w:rsid w:val="003815F2"/>
    <w:rsid w:val="003817C4"/>
    <w:rsid w:val="00381C73"/>
    <w:rsid w:val="00381D8B"/>
    <w:rsid w:val="00382117"/>
    <w:rsid w:val="003822B5"/>
    <w:rsid w:val="00382632"/>
    <w:rsid w:val="00382656"/>
    <w:rsid w:val="003836CD"/>
    <w:rsid w:val="003837BC"/>
    <w:rsid w:val="00383990"/>
    <w:rsid w:val="00383BA1"/>
    <w:rsid w:val="00384421"/>
    <w:rsid w:val="00384B55"/>
    <w:rsid w:val="00384DD3"/>
    <w:rsid w:val="00384E59"/>
    <w:rsid w:val="003853B9"/>
    <w:rsid w:val="003854ED"/>
    <w:rsid w:val="0038552D"/>
    <w:rsid w:val="0038574F"/>
    <w:rsid w:val="00385D47"/>
    <w:rsid w:val="00386497"/>
    <w:rsid w:val="003866BB"/>
    <w:rsid w:val="0038695B"/>
    <w:rsid w:val="00386AA3"/>
    <w:rsid w:val="00386D84"/>
    <w:rsid w:val="00387482"/>
    <w:rsid w:val="00387B15"/>
    <w:rsid w:val="00387D45"/>
    <w:rsid w:val="00387DF5"/>
    <w:rsid w:val="0039009E"/>
    <w:rsid w:val="00390811"/>
    <w:rsid w:val="003909A8"/>
    <w:rsid w:val="00391119"/>
    <w:rsid w:val="0039112F"/>
    <w:rsid w:val="0039122E"/>
    <w:rsid w:val="00391323"/>
    <w:rsid w:val="00391562"/>
    <w:rsid w:val="00391DFB"/>
    <w:rsid w:val="00392008"/>
    <w:rsid w:val="00392256"/>
    <w:rsid w:val="00392584"/>
    <w:rsid w:val="00392860"/>
    <w:rsid w:val="003928AF"/>
    <w:rsid w:val="0039290F"/>
    <w:rsid w:val="00392A6C"/>
    <w:rsid w:val="00392F61"/>
    <w:rsid w:val="00393009"/>
    <w:rsid w:val="0039371F"/>
    <w:rsid w:val="003939E6"/>
    <w:rsid w:val="00393AA3"/>
    <w:rsid w:val="00394739"/>
    <w:rsid w:val="00394AFF"/>
    <w:rsid w:val="00394B9C"/>
    <w:rsid w:val="00394DC8"/>
    <w:rsid w:val="00395BC9"/>
    <w:rsid w:val="00396567"/>
    <w:rsid w:val="0039684C"/>
    <w:rsid w:val="00396C3A"/>
    <w:rsid w:val="00396F36"/>
    <w:rsid w:val="00397096"/>
    <w:rsid w:val="003979C3"/>
    <w:rsid w:val="003979CF"/>
    <w:rsid w:val="00397A85"/>
    <w:rsid w:val="003A01EB"/>
    <w:rsid w:val="003A0694"/>
    <w:rsid w:val="003A1410"/>
    <w:rsid w:val="003A17DA"/>
    <w:rsid w:val="003A1B37"/>
    <w:rsid w:val="003A1ECE"/>
    <w:rsid w:val="003A209E"/>
    <w:rsid w:val="003A22AB"/>
    <w:rsid w:val="003A22F3"/>
    <w:rsid w:val="003A26B6"/>
    <w:rsid w:val="003A29B6"/>
    <w:rsid w:val="003A2CF0"/>
    <w:rsid w:val="003A2DFA"/>
    <w:rsid w:val="003A30BD"/>
    <w:rsid w:val="003A31FE"/>
    <w:rsid w:val="003A3796"/>
    <w:rsid w:val="003A3F45"/>
    <w:rsid w:val="003A4653"/>
    <w:rsid w:val="003A4732"/>
    <w:rsid w:val="003A4979"/>
    <w:rsid w:val="003A4BC1"/>
    <w:rsid w:val="003A4C0F"/>
    <w:rsid w:val="003A4EB1"/>
    <w:rsid w:val="003A51BF"/>
    <w:rsid w:val="003A521D"/>
    <w:rsid w:val="003A62CD"/>
    <w:rsid w:val="003A6346"/>
    <w:rsid w:val="003A6433"/>
    <w:rsid w:val="003A67CD"/>
    <w:rsid w:val="003A6C07"/>
    <w:rsid w:val="003A7262"/>
    <w:rsid w:val="003A748C"/>
    <w:rsid w:val="003A75D9"/>
    <w:rsid w:val="003A7DBB"/>
    <w:rsid w:val="003B05F9"/>
    <w:rsid w:val="003B0AEA"/>
    <w:rsid w:val="003B0C8A"/>
    <w:rsid w:val="003B1163"/>
    <w:rsid w:val="003B1355"/>
    <w:rsid w:val="003B18ED"/>
    <w:rsid w:val="003B1A83"/>
    <w:rsid w:val="003B2425"/>
    <w:rsid w:val="003B251C"/>
    <w:rsid w:val="003B29F0"/>
    <w:rsid w:val="003B367A"/>
    <w:rsid w:val="003B369D"/>
    <w:rsid w:val="003B3D88"/>
    <w:rsid w:val="003B3DA9"/>
    <w:rsid w:val="003B3DE0"/>
    <w:rsid w:val="003B44E6"/>
    <w:rsid w:val="003B45AD"/>
    <w:rsid w:val="003B52AE"/>
    <w:rsid w:val="003B538A"/>
    <w:rsid w:val="003B544C"/>
    <w:rsid w:val="003B5681"/>
    <w:rsid w:val="003B56A0"/>
    <w:rsid w:val="003B5884"/>
    <w:rsid w:val="003B5C76"/>
    <w:rsid w:val="003B5D0C"/>
    <w:rsid w:val="003B6886"/>
    <w:rsid w:val="003B68BD"/>
    <w:rsid w:val="003B6DC0"/>
    <w:rsid w:val="003B6F76"/>
    <w:rsid w:val="003B7111"/>
    <w:rsid w:val="003B76A0"/>
    <w:rsid w:val="003B78DB"/>
    <w:rsid w:val="003B7A6A"/>
    <w:rsid w:val="003B7B7A"/>
    <w:rsid w:val="003C02E8"/>
    <w:rsid w:val="003C053E"/>
    <w:rsid w:val="003C19B4"/>
    <w:rsid w:val="003C1F72"/>
    <w:rsid w:val="003C2021"/>
    <w:rsid w:val="003C23AC"/>
    <w:rsid w:val="003C248B"/>
    <w:rsid w:val="003C24B9"/>
    <w:rsid w:val="003C32D5"/>
    <w:rsid w:val="003C3309"/>
    <w:rsid w:val="003C3431"/>
    <w:rsid w:val="003C3707"/>
    <w:rsid w:val="003C3869"/>
    <w:rsid w:val="003C44FD"/>
    <w:rsid w:val="003C4783"/>
    <w:rsid w:val="003C4976"/>
    <w:rsid w:val="003C4B3D"/>
    <w:rsid w:val="003C5501"/>
    <w:rsid w:val="003C584B"/>
    <w:rsid w:val="003C5DB0"/>
    <w:rsid w:val="003C63E7"/>
    <w:rsid w:val="003C656D"/>
    <w:rsid w:val="003C6611"/>
    <w:rsid w:val="003C68F0"/>
    <w:rsid w:val="003C70DB"/>
    <w:rsid w:val="003D0337"/>
    <w:rsid w:val="003D04EF"/>
    <w:rsid w:val="003D099A"/>
    <w:rsid w:val="003D09DB"/>
    <w:rsid w:val="003D0F5C"/>
    <w:rsid w:val="003D1341"/>
    <w:rsid w:val="003D154A"/>
    <w:rsid w:val="003D2235"/>
    <w:rsid w:val="003D225F"/>
    <w:rsid w:val="003D2272"/>
    <w:rsid w:val="003D2401"/>
    <w:rsid w:val="003D24E7"/>
    <w:rsid w:val="003D317F"/>
    <w:rsid w:val="003D35B0"/>
    <w:rsid w:val="003D3715"/>
    <w:rsid w:val="003D3818"/>
    <w:rsid w:val="003D3F1A"/>
    <w:rsid w:val="003D4522"/>
    <w:rsid w:val="003D4906"/>
    <w:rsid w:val="003D4BF2"/>
    <w:rsid w:val="003D4C6F"/>
    <w:rsid w:val="003D50F7"/>
    <w:rsid w:val="003D548A"/>
    <w:rsid w:val="003D552F"/>
    <w:rsid w:val="003D5B91"/>
    <w:rsid w:val="003D5C08"/>
    <w:rsid w:val="003D5D13"/>
    <w:rsid w:val="003D61F6"/>
    <w:rsid w:val="003D6B66"/>
    <w:rsid w:val="003D7012"/>
    <w:rsid w:val="003D777E"/>
    <w:rsid w:val="003D78A9"/>
    <w:rsid w:val="003D7DF2"/>
    <w:rsid w:val="003D7F93"/>
    <w:rsid w:val="003E0024"/>
    <w:rsid w:val="003E0086"/>
    <w:rsid w:val="003E013C"/>
    <w:rsid w:val="003E0496"/>
    <w:rsid w:val="003E0913"/>
    <w:rsid w:val="003E14C2"/>
    <w:rsid w:val="003E1641"/>
    <w:rsid w:val="003E16B7"/>
    <w:rsid w:val="003E1FDA"/>
    <w:rsid w:val="003E2574"/>
    <w:rsid w:val="003E2697"/>
    <w:rsid w:val="003E285E"/>
    <w:rsid w:val="003E2DFA"/>
    <w:rsid w:val="003E304C"/>
    <w:rsid w:val="003E313F"/>
    <w:rsid w:val="003E39F4"/>
    <w:rsid w:val="003E3A67"/>
    <w:rsid w:val="003E3D5A"/>
    <w:rsid w:val="003E3FC4"/>
    <w:rsid w:val="003E42B8"/>
    <w:rsid w:val="003E42BC"/>
    <w:rsid w:val="003E4791"/>
    <w:rsid w:val="003E4E26"/>
    <w:rsid w:val="003E4F90"/>
    <w:rsid w:val="003E51B1"/>
    <w:rsid w:val="003E548D"/>
    <w:rsid w:val="003E557C"/>
    <w:rsid w:val="003E5859"/>
    <w:rsid w:val="003E5C7F"/>
    <w:rsid w:val="003E5CAA"/>
    <w:rsid w:val="003E62B7"/>
    <w:rsid w:val="003E6A48"/>
    <w:rsid w:val="003E6C16"/>
    <w:rsid w:val="003E6F78"/>
    <w:rsid w:val="003E70B5"/>
    <w:rsid w:val="003E726B"/>
    <w:rsid w:val="003E734F"/>
    <w:rsid w:val="003E7641"/>
    <w:rsid w:val="003E79B5"/>
    <w:rsid w:val="003F00C0"/>
    <w:rsid w:val="003F04EC"/>
    <w:rsid w:val="003F070B"/>
    <w:rsid w:val="003F0BB1"/>
    <w:rsid w:val="003F18F6"/>
    <w:rsid w:val="003F1A6A"/>
    <w:rsid w:val="003F1DBF"/>
    <w:rsid w:val="003F2344"/>
    <w:rsid w:val="003F23A0"/>
    <w:rsid w:val="003F2478"/>
    <w:rsid w:val="003F297A"/>
    <w:rsid w:val="003F2E00"/>
    <w:rsid w:val="003F32B5"/>
    <w:rsid w:val="003F3590"/>
    <w:rsid w:val="003F3876"/>
    <w:rsid w:val="003F38ED"/>
    <w:rsid w:val="003F3BB1"/>
    <w:rsid w:val="003F4183"/>
    <w:rsid w:val="003F4326"/>
    <w:rsid w:val="003F43D5"/>
    <w:rsid w:val="003F4825"/>
    <w:rsid w:val="003F4C10"/>
    <w:rsid w:val="003F51D5"/>
    <w:rsid w:val="003F526F"/>
    <w:rsid w:val="003F5411"/>
    <w:rsid w:val="003F5B4B"/>
    <w:rsid w:val="003F6048"/>
    <w:rsid w:val="003F6323"/>
    <w:rsid w:val="003F67CC"/>
    <w:rsid w:val="003F7CB6"/>
    <w:rsid w:val="003F7CE1"/>
    <w:rsid w:val="003F7D81"/>
    <w:rsid w:val="003F7DFD"/>
    <w:rsid w:val="004002CD"/>
    <w:rsid w:val="0040043D"/>
    <w:rsid w:val="00400455"/>
    <w:rsid w:val="00400C8A"/>
    <w:rsid w:val="00400D5B"/>
    <w:rsid w:val="00400F52"/>
    <w:rsid w:val="00401136"/>
    <w:rsid w:val="004016E8"/>
    <w:rsid w:val="00401903"/>
    <w:rsid w:val="00401A56"/>
    <w:rsid w:val="00401ABD"/>
    <w:rsid w:val="00401AF6"/>
    <w:rsid w:val="00402A4B"/>
    <w:rsid w:val="00402E8B"/>
    <w:rsid w:val="00403418"/>
    <w:rsid w:val="00403551"/>
    <w:rsid w:val="004035D9"/>
    <w:rsid w:val="0040365D"/>
    <w:rsid w:val="00403BCD"/>
    <w:rsid w:val="004043A8"/>
    <w:rsid w:val="00404A23"/>
    <w:rsid w:val="00404C24"/>
    <w:rsid w:val="0040539E"/>
    <w:rsid w:val="00405571"/>
    <w:rsid w:val="00405A66"/>
    <w:rsid w:val="00405CF3"/>
    <w:rsid w:val="004063D3"/>
    <w:rsid w:val="004073B8"/>
    <w:rsid w:val="004077D9"/>
    <w:rsid w:val="00407D4F"/>
    <w:rsid w:val="00410108"/>
    <w:rsid w:val="0041030E"/>
    <w:rsid w:val="00410456"/>
    <w:rsid w:val="004105CB"/>
    <w:rsid w:val="004107F6"/>
    <w:rsid w:val="004109EC"/>
    <w:rsid w:val="004109FB"/>
    <w:rsid w:val="00410BD3"/>
    <w:rsid w:val="00410D7D"/>
    <w:rsid w:val="0041113F"/>
    <w:rsid w:val="00411CD0"/>
    <w:rsid w:val="00412609"/>
    <w:rsid w:val="00412D76"/>
    <w:rsid w:val="00413A95"/>
    <w:rsid w:val="00413D85"/>
    <w:rsid w:val="00414182"/>
    <w:rsid w:val="004144BC"/>
    <w:rsid w:val="00414859"/>
    <w:rsid w:val="00414A90"/>
    <w:rsid w:val="00414F83"/>
    <w:rsid w:val="00415025"/>
    <w:rsid w:val="004157F6"/>
    <w:rsid w:val="004158A6"/>
    <w:rsid w:val="00415D97"/>
    <w:rsid w:val="00415E30"/>
    <w:rsid w:val="00416525"/>
    <w:rsid w:val="0041654B"/>
    <w:rsid w:val="00416C0D"/>
    <w:rsid w:val="00416D52"/>
    <w:rsid w:val="00416F7B"/>
    <w:rsid w:val="0041703E"/>
    <w:rsid w:val="004176C3"/>
    <w:rsid w:val="0042036C"/>
    <w:rsid w:val="00420373"/>
    <w:rsid w:val="00420384"/>
    <w:rsid w:val="00420C9E"/>
    <w:rsid w:val="00420D8F"/>
    <w:rsid w:val="00420F05"/>
    <w:rsid w:val="00421019"/>
    <w:rsid w:val="00421BF4"/>
    <w:rsid w:val="00421ECE"/>
    <w:rsid w:val="00421EE3"/>
    <w:rsid w:val="004221CD"/>
    <w:rsid w:val="0042222C"/>
    <w:rsid w:val="004234D5"/>
    <w:rsid w:val="004237F6"/>
    <w:rsid w:val="004238C9"/>
    <w:rsid w:val="00423B61"/>
    <w:rsid w:val="00423DF5"/>
    <w:rsid w:val="0042404A"/>
    <w:rsid w:val="004240E5"/>
    <w:rsid w:val="00424288"/>
    <w:rsid w:val="00424B7D"/>
    <w:rsid w:val="00424BF7"/>
    <w:rsid w:val="00424C22"/>
    <w:rsid w:val="00424F07"/>
    <w:rsid w:val="004250C3"/>
    <w:rsid w:val="0042550E"/>
    <w:rsid w:val="0042589D"/>
    <w:rsid w:val="00425999"/>
    <w:rsid w:val="00425A09"/>
    <w:rsid w:val="00425AC8"/>
    <w:rsid w:val="00425F4E"/>
    <w:rsid w:val="004262B7"/>
    <w:rsid w:val="0042638A"/>
    <w:rsid w:val="00426F0F"/>
    <w:rsid w:val="0042703F"/>
    <w:rsid w:val="00427966"/>
    <w:rsid w:val="00430363"/>
    <w:rsid w:val="00430595"/>
    <w:rsid w:val="00430CAA"/>
    <w:rsid w:val="00430E5F"/>
    <w:rsid w:val="004310E2"/>
    <w:rsid w:val="00431264"/>
    <w:rsid w:val="004314B2"/>
    <w:rsid w:val="00431DFC"/>
    <w:rsid w:val="00431E57"/>
    <w:rsid w:val="00431FA8"/>
    <w:rsid w:val="0043216E"/>
    <w:rsid w:val="0043240A"/>
    <w:rsid w:val="004325C6"/>
    <w:rsid w:val="00432A47"/>
    <w:rsid w:val="00432CCB"/>
    <w:rsid w:val="00432E6C"/>
    <w:rsid w:val="00432E74"/>
    <w:rsid w:val="00433312"/>
    <w:rsid w:val="004337D7"/>
    <w:rsid w:val="004337E2"/>
    <w:rsid w:val="00433865"/>
    <w:rsid w:val="0043399D"/>
    <w:rsid w:val="0043404B"/>
    <w:rsid w:val="00434127"/>
    <w:rsid w:val="00434624"/>
    <w:rsid w:val="0043472A"/>
    <w:rsid w:val="004351C9"/>
    <w:rsid w:val="00435E91"/>
    <w:rsid w:val="00435F34"/>
    <w:rsid w:val="00436144"/>
    <w:rsid w:val="00436536"/>
    <w:rsid w:val="004367C6"/>
    <w:rsid w:val="00436814"/>
    <w:rsid w:val="00436882"/>
    <w:rsid w:val="00440255"/>
    <w:rsid w:val="00440A12"/>
    <w:rsid w:val="00440C52"/>
    <w:rsid w:val="004418F8"/>
    <w:rsid w:val="00441971"/>
    <w:rsid w:val="0044211C"/>
    <w:rsid w:val="00442214"/>
    <w:rsid w:val="0044228C"/>
    <w:rsid w:val="004433D6"/>
    <w:rsid w:val="0044366D"/>
    <w:rsid w:val="0044464B"/>
    <w:rsid w:val="00444AAE"/>
    <w:rsid w:val="00444D12"/>
    <w:rsid w:val="00445313"/>
    <w:rsid w:val="00445829"/>
    <w:rsid w:val="004468B0"/>
    <w:rsid w:val="0044693F"/>
    <w:rsid w:val="00446DF7"/>
    <w:rsid w:val="00450024"/>
    <w:rsid w:val="00450174"/>
    <w:rsid w:val="00450232"/>
    <w:rsid w:val="004504E7"/>
    <w:rsid w:val="00450B24"/>
    <w:rsid w:val="00450C5C"/>
    <w:rsid w:val="00450F1C"/>
    <w:rsid w:val="00450FDD"/>
    <w:rsid w:val="00451794"/>
    <w:rsid w:val="00451E48"/>
    <w:rsid w:val="0045215F"/>
    <w:rsid w:val="00452560"/>
    <w:rsid w:val="00452778"/>
    <w:rsid w:val="00452912"/>
    <w:rsid w:val="004529D6"/>
    <w:rsid w:val="00452D71"/>
    <w:rsid w:val="0045337D"/>
    <w:rsid w:val="00453477"/>
    <w:rsid w:val="004536BA"/>
    <w:rsid w:val="00453CA9"/>
    <w:rsid w:val="00453CC3"/>
    <w:rsid w:val="00453D17"/>
    <w:rsid w:val="00453DB1"/>
    <w:rsid w:val="00454E61"/>
    <w:rsid w:val="00454EFB"/>
    <w:rsid w:val="00455283"/>
    <w:rsid w:val="0045529A"/>
    <w:rsid w:val="0045535C"/>
    <w:rsid w:val="0045537A"/>
    <w:rsid w:val="004554C1"/>
    <w:rsid w:val="004556FC"/>
    <w:rsid w:val="00455760"/>
    <w:rsid w:val="00455CA3"/>
    <w:rsid w:val="00456142"/>
    <w:rsid w:val="0045638B"/>
    <w:rsid w:val="00456A31"/>
    <w:rsid w:val="00456C85"/>
    <w:rsid w:val="00456CA2"/>
    <w:rsid w:val="00457081"/>
    <w:rsid w:val="004572F5"/>
    <w:rsid w:val="0045751C"/>
    <w:rsid w:val="00457D43"/>
    <w:rsid w:val="004606CE"/>
    <w:rsid w:val="004606F9"/>
    <w:rsid w:val="00460885"/>
    <w:rsid w:val="00460CC8"/>
    <w:rsid w:val="00460CDB"/>
    <w:rsid w:val="00460E22"/>
    <w:rsid w:val="00460E30"/>
    <w:rsid w:val="00461289"/>
    <w:rsid w:val="004612E1"/>
    <w:rsid w:val="00461341"/>
    <w:rsid w:val="0046175A"/>
    <w:rsid w:val="00462421"/>
    <w:rsid w:val="004625B8"/>
    <w:rsid w:val="00462903"/>
    <w:rsid w:val="00462B18"/>
    <w:rsid w:val="0046309A"/>
    <w:rsid w:val="0046320A"/>
    <w:rsid w:val="0046353F"/>
    <w:rsid w:val="004635F0"/>
    <w:rsid w:val="00463869"/>
    <w:rsid w:val="00464191"/>
    <w:rsid w:val="0046474B"/>
    <w:rsid w:val="00465055"/>
    <w:rsid w:val="004653FA"/>
    <w:rsid w:val="00465548"/>
    <w:rsid w:val="00465B3A"/>
    <w:rsid w:val="00465F5A"/>
    <w:rsid w:val="004661B9"/>
    <w:rsid w:val="004663E9"/>
    <w:rsid w:val="00466A9C"/>
    <w:rsid w:val="004675A4"/>
    <w:rsid w:val="00470059"/>
    <w:rsid w:val="00470309"/>
    <w:rsid w:val="00470891"/>
    <w:rsid w:val="00470ADD"/>
    <w:rsid w:val="00470F39"/>
    <w:rsid w:val="0047132E"/>
    <w:rsid w:val="00471375"/>
    <w:rsid w:val="004714D2"/>
    <w:rsid w:val="0047173A"/>
    <w:rsid w:val="004717AD"/>
    <w:rsid w:val="00471B0B"/>
    <w:rsid w:val="00471B40"/>
    <w:rsid w:val="00471CFD"/>
    <w:rsid w:val="004724BD"/>
    <w:rsid w:val="004729A3"/>
    <w:rsid w:val="00472E7C"/>
    <w:rsid w:val="004731F1"/>
    <w:rsid w:val="004731FC"/>
    <w:rsid w:val="00473351"/>
    <w:rsid w:val="00473C41"/>
    <w:rsid w:val="00475313"/>
    <w:rsid w:val="0047554B"/>
    <w:rsid w:val="0047558C"/>
    <w:rsid w:val="00475A36"/>
    <w:rsid w:val="00475A74"/>
    <w:rsid w:val="00475E7D"/>
    <w:rsid w:val="00475EB5"/>
    <w:rsid w:val="004760AC"/>
    <w:rsid w:val="00476493"/>
    <w:rsid w:val="00476A06"/>
    <w:rsid w:val="00476AEB"/>
    <w:rsid w:val="00476D4D"/>
    <w:rsid w:val="00476EFF"/>
    <w:rsid w:val="00476F46"/>
    <w:rsid w:val="004771F5"/>
    <w:rsid w:val="00477239"/>
    <w:rsid w:val="004772B2"/>
    <w:rsid w:val="0047741E"/>
    <w:rsid w:val="0047746D"/>
    <w:rsid w:val="00477505"/>
    <w:rsid w:val="00477627"/>
    <w:rsid w:val="00480069"/>
    <w:rsid w:val="0048074A"/>
    <w:rsid w:val="004808C6"/>
    <w:rsid w:val="004810A6"/>
    <w:rsid w:val="0048126B"/>
    <w:rsid w:val="004819FB"/>
    <w:rsid w:val="00481B72"/>
    <w:rsid w:val="004821DB"/>
    <w:rsid w:val="00482656"/>
    <w:rsid w:val="00482B11"/>
    <w:rsid w:val="00482E8B"/>
    <w:rsid w:val="0048314A"/>
    <w:rsid w:val="00483242"/>
    <w:rsid w:val="0048395B"/>
    <w:rsid w:val="00483A70"/>
    <w:rsid w:val="00483D75"/>
    <w:rsid w:val="0048465D"/>
    <w:rsid w:val="00484861"/>
    <w:rsid w:val="00484A0B"/>
    <w:rsid w:val="00484A65"/>
    <w:rsid w:val="00484B82"/>
    <w:rsid w:val="0048521A"/>
    <w:rsid w:val="004860E6"/>
    <w:rsid w:val="004861DF"/>
    <w:rsid w:val="00487046"/>
    <w:rsid w:val="00487447"/>
    <w:rsid w:val="004874CA"/>
    <w:rsid w:val="0048775C"/>
    <w:rsid w:val="00490083"/>
    <w:rsid w:val="00490391"/>
    <w:rsid w:val="00490502"/>
    <w:rsid w:val="004908EC"/>
    <w:rsid w:val="00490B2C"/>
    <w:rsid w:val="00490CDD"/>
    <w:rsid w:val="00490DD7"/>
    <w:rsid w:val="00491276"/>
    <w:rsid w:val="004914DB"/>
    <w:rsid w:val="0049184B"/>
    <w:rsid w:val="00491B74"/>
    <w:rsid w:val="004920BD"/>
    <w:rsid w:val="004923F0"/>
    <w:rsid w:val="004929AB"/>
    <w:rsid w:val="004932B9"/>
    <w:rsid w:val="00493417"/>
    <w:rsid w:val="00493481"/>
    <w:rsid w:val="0049362E"/>
    <w:rsid w:val="00493824"/>
    <w:rsid w:val="0049483B"/>
    <w:rsid w:val="00494A57"/>
    <w:rsid w:val="00494BB7"/>
    <w:rsid w:val="00495A1B"/>
    <w:rsid w:val="00495BC9"/>
    <w:rsid w:val="00495E62"/>
    <w:rsid w:val="00496278"/>
    <w:rsid w:val="004963EF"/>
    <w:rsid w:val="00496520"/>
    <w:rsid w:val="00496937"/>
    <w:rsid w:val="0049727A"/>
    <w:rsid w:val="00497AD8"/>
    <w:rsid w:val="00497C15"/>
    <w:rsid w:val="00497E2B"/>
    <w:rsid w:val="004A039E"/>
    <w:rsid w:val="004A0B62"/>
    <w:rsid w:val="004A0F33"/>
    <w:rsid w:val="004A0FE1"/>
    <w:rsid w:val="004A0FF7"/>
    <w:rsid w:val="004A11EF"/>
    <w:rsid w:val="004A121F"/>
    <w:rsid w:val="004A1312"/>
    <w:rsid w:val="004A1642"/>
    <w:rsid w:val="004A1A2E"/>
    <w:rsid w:val="004A1A4A"/>
    <w:rsid w:val="004A1F42"/>
    <w:rsid w:val="004A22D2"/>
    <w:rsid w:val="004A260D"/>
    <w:rsid w:val="004A28BE"/>
    <w:rsid w:val="004A2947"/>
    <w:rsid w:val="004A2A6B"/>
    <w:rsid w:val="004A391A"/>
    <w:rsid w:val="004A4136"/>
    <w:rsid w:val="004A4419"/>
    <w:rsid w:val="004A47F6"/>
    <w:rsid w:val="004A4A3B"/>
    <w:rsid w:val="004A4D88"/>
    <w:rsid w:val="004A582F"/>
    <w:rsid w:val="004A5EB8"/>
    <w:rsid w:val="004A69AC"/>
    <w:rsid w:val="004A6D56"/>
    <w:rsid w:val="004A6D5C"/>
    <w:rsid w:val="004A723F"/>
    <w:rsid w:val="004A7310"/>
    <w:rsid w:val="004A734C"/>
    <w:rsid w:val="004A79BE"/>
    <w:rsid w:val="004B1427"/>
    <w:rsid w:val="004B14D9"/>
    <w:rsid w:val="004B1A8F"/>
    <w:rsid w:val="004B1DB9"/>
    <w:rsid w:val="004B1E87"/>
    <w:rsid w:val="004B23A2"/>
    <w:rsid w:val="004B2604"/>
    <w:rsid w:val="004B266E"/>
    <w:rsid w:val="004B2D06"/>
    <w:rsid w:val="004B2E37"/>
    <w:rsid w:val="004B2EA7"/>
    <w:rsid w:val="004B30F2"/>
    <w:rsid w:val="004B3616"/>
    <w:rsid w:val="004B3F1F"/>
    <w:rsid w:val="004B44E7"/>
    <w:rsid w:val="004B48FC"/>
    <w:rsid w:val="004B4CE1"/>
    <w:rsid w:val="004B4CE6"/>
    <w:rsid w:val="004B4D46"/>
    <w:rsid w:val="004B51AF"/>
    <w:rsid w:val="004B5AEC"/>
    <w:rsid w:val="004B5CE3"/>
    <w:rsid w:val="004B5E38"/>
    <w:rsid w:val="004B65D6"/>
    <w:rsid w:val="004B687C"/>
    <w:rsid w:val="004B6ACB"/>
    <w:rsid w:val="004B6F41"/>
    <w:rsid w:val="004B75C0"/>
    <w:rsid w:val="004B7C44"/>
    <w:rsid w:val="004B7DA6"/>
    <w:rsid w:val="004C0460"/>
    <w:rsid w:val="004C08FD"/>
    <w:rsid w:val="004C0D29"/>
    <w:rsid w:val="004C0F75"/>
    <w:rsid w:val="004C183E"/>
    <w:rsid w:val="004C1EA5"/>
    <w:rsid w:val="004C2403"/>
    <w:rsid w:val="004C2626"/>
    <w:rsid w:val="004C275F"/>
    <w:rsid w:val="004C2BC9"/>
    <w:rsid w:val="004C2DAD"/>
    <w:rsid w:val="004C31BC"/>
    <w:rsid w:val="004C324E"/>
    <w:rsid w:val="004C373A"/>
    <w:rsid w:val="004C4294"/>
    <w:rsid w:val="004C43E4"/>
    <w:rsid w:val="004C441E"/>
    <w:rsid w:val="004C459B"/>
    <w:rsid w:val="004C4985"/>
    <w:rsid w:val="004C49B3"/>
    <w:rsid w:val="004C5700"/>
    <w:rsid w:val="004C59FB"/>
    <w:rsid w:val="004C5D79"/>
    <w:rsid w:val="004C5F5C"/>
    <w:rsid w:val="004C6078"/>
    <w:rsid w:val="004C652B"/>
    <w:rsid w:val="004C67FF"/>
    <w:rsid w:val="004C6C7A"/>
    <w:rsid w:val="004C6EDB"/>
    <w:rsid w:val="004C7B33"/>
    <w:rsid w:val="004C7DFC"/>
    <w:rsid w:val="004D0265"/>
    <w:rsid w:val="004D04F9"/>
    <w:rsid w:val="004D0DA2"/>
    <w:rsid w:val="004D146E"/>
    <w:rsid w:val="004D1591"/>
    <w:rsid w:val="004D1BC6"/>
    <w:rsid w:val="004D1EA7"/>
    <w:rsid w:val="004D1FDC"/>
    <w:rsid w:val="004D2277"/>
    <w:rsid w:val="004D230A"/>
    <w:rsid w:val="004D2473"/>
    <w:rsid w:val="004D296F"/>
    <w:rsid w:val="004D2CF1"/>
    <w:rsid w:val="004D33AA"/>
    <w:rsid w:val="004D33FB"/>
    <w:rsid w:val="004D355E"/>
    <w:rsid w:val="004D378F"/>
    <w:rsid w:val="004D38CB"/>
    <w:rsid w:val="004D4A00"/>
    <w:rsid w:val="004D55D1"/>
    <w:rsid w:val="004D5C9D"/>
    <w:rsid w:val="004D60D2"/>
    <w:rsid w:val="004D6652"/>
    <w:rsid w:val="004D6A9C"/>
    <w:rsid w:val="004D6B89"/>
    <w:rsid w:val="004D6F21"/>
    <w:rsid w:val="004D707F"/>
    <w:rsid w:val="004D728D"/>
    <w:rsid w:val="004D7880"/>
    <w:rsid w:val="004E046B"/>
    <w:rsid w:val="004E051D"/>
    <w:rsid w:val="004E07F0"/>
    <w:rsid w:val="004E09B8"/>
    <w:rsid w:val="004E0A5C"/>
    <w:rsid w:val="004E0B91"/>
    <w:rsid w:val="004E1117"/>
    <w:rsid w:val="004E19B9"/>
    <w:rsid w:val="004E1FFE"/>
    <w:rsid w:val="004E201E"/>
    <w:rsid w:val="004E20C9"/>
    <w:rsid w:val="004E22B0"/>
    <w:rsid w:val="004E2477"/>
    <w:rsid w:val="004E2F22"/>
    <w:rsid w:val="004E2F9F"/>
    <w:rsid w:val="004E3123"/>
    <w:rsid w:val="004E32B1"/>
    <w:rsid w:val="004E3517"/>
    <w:rsid w:val="004E36C4"/>
    <w:rsid w:val="004E375B"/>
    <w:rsid w:val="004E3D67"/>
    <w:rsid w:val="004E3D99"/>
    <w:rsid w:val="004E4576"/>
    <w:rsid w:val="004E486E"/>
    <w:rsid w:val="004E4D0D"/>
    <w:rsid w:val="004E4F21"/>
    <w:rsid w:val="004E50BB"/>
    <w:rsid w:val="004E53C1"/>
    <w:rsid w:val="004E5B01"/>
    <w:rsid w:val="004E5E67"/>
    <w:rsid w:val="004E626E"/>
    <w:rsid w:val="004E635D"/>
    <w:rsid w:val="004E6F2C"/>
    <w:rsid w:val="004E7264"/>
    <w:rsid w:val="004E7746"/>
    <w:rsid w:val="004E79C4"/>
    <w:rsid w:val="004E7BF7"/>
    <w:rsid w:val="004E7D3F"/>
    <w:rsid w:val="004F0089"/>
    <w:rsid w:val="004F0452"/>
    <w:rsid w:val="004F0770"/>
    <w:rsid w:val="004F0CA3"/>
    <w:rsid w:val="004F10D4"/>
    <w:rsid w:val="004F1938"/>
    <w:rsid w:val="004F1968"/>
    <w:rsid w:val="004F1D49"/>
    <w:rsid w:val="004F31B1"/>
    <w:rsid w:val="004F3390"/>
    <w:rsid w:val="004F39D5"/>
    <w:rsid w:val="004F3EF6"/>
    <w:rsid w:val="004F42D5"/>
    <w:rsid w:val="004F44F2"/>
    <w:rsid w:val="004F4DAD"/>
    <w:rsid w:val="004F51DC"/>
    <w:rsid w:val="004F52AF"/>
    <w:rsid w:val="004F5578"/>
    <w:rsid w:val="004F561B"/>
    <w:rsid w:val="004F5786"/>
    <w:rsid w:val="004F5B33"/>
    <w:rsid w:val="004F5CB1"/>
    <w:rsid w:val="004F5F4A"/>
    <w:rsid w:val="004F60B5"/>
    <w:rsid w:val="004F6503"/>
    <w:rsid w:val="004F6AB2"/>
    <w:rsid w:val="004F6C28"/>
    <w:rsid w:val="004F6D42"/>
    <w:rsid w:val="004F7005"/>
    <w:rsid w:val="004F73AC"/>
    <w:rsid w:val="004F75FC"/>
    <w:rsid w:val="004F778C"/>
    <w:rsid w:val="004F785A"/>
    <w:rsid w:val="004F7AFC"/>
    <w:rsid w:val="004F7B69"/>
    <w:rsid w:val="004F7DFF"/>
    <w:rsid w:val="004F7EA1"/>
    <w:rsid w:val="004F7ECA"/>
    <w:rsid w:val="00500167"/>
    <w:rsid w:val="00500587"/>
    <w:rsid w:val="00500A60"/>
    <w:rsid w:val="00500C30"/>
    <w:rsid w:val="00501082"/>
    <w:rsid w:val="005012EA"/>
    <w:rsid w:val="005015CD"/>
    <w:rsid w:val="005017E5"/>
    <w:rsid w:val="00501B95"/>
    <w:rsid w:val="00501C4C"/>
    <w:rsid w:val="00502005"/>
    <w:rsid w:val="00502112"/>
    <w:rsid w:val="00502137"/>
    <w:rsid w:val="00502152"/>
    <w:rsid w:val="00502641"/>
    <w:rsid w:val="005037F0"/>
    <w:rsid w:val="0050385A"/>
    <w:rsid w:val="00503D91"/>
    <w:rsid w:val="00504005"/>
    <w:rsid w:val="0050434A"/>
    <w:rsid w:val="00504371"/>
    <w:rsid w:val="00504611"/>
    <w:rsid w:val="00505293"/>
    <w:rsid w:val="00505AC2"/>
    <w:rsid w:val="00505F29"/>
    <w:rsid w:val="00506159"/>
    <w:rsid w:val="00506819"/>
    <w:rsid w:val="00506AF6"/>
    <w:rsid w:val="00506D7E"/>
    <w:rsid w:val="00507411"/>
    <w:rsid w:val="005077AE"/>
    <w:rsid w:val="005079DC"/>
    <w:rsid w:val="00507DF3"/>
    <w:rsid w:val="00507F1D"/>
    <w:rsid w:val="00507F1F"/>
    <w:rsid w:val="00510479"/>
    <w:rsid w:val="00510F4C"/>
    <w:rsid w:val="00511FF8"/>
    <w:rsid w:val="005121DD"/>
    <w:rsid w:val="005123E0"/>
    <w:rsid w:val="00512D23"/>
    <w:rsid w:val="00512FDE"/>
    <w:rsid w:val="005135F5"/>
    <w:rsid w:val="0051367A"/>
    <w:rsid w:val="005137DC"/>
    <w:rsid w:val="00513AB3"/>
    <w:rsid w:val="00514148"/>
    <w:rsid w:val="0051455D"/>
    <w:rsid w:val="00515339"/>
    <w:rsid w:val="005156F8"/>
    <w:rsid w:val="00515874"/>
    <w:rsid w:val="00515A0F"/>
    <w:rsid w:val="00515E71"/>
    <w:rsid w:val="00515FBC"/>
    <w:rsid w:val="005160E3"/>
    <w:rsid w:val="00516DAD"/>
    <w:rsid w:val="00516E6F"/>
    <w:rsid w:val="005205BA"/>
    <w:rsid w:val="00520FB1"/>
    <w:rsid w:val="005216BF"/>
    <w:rsid w:val="0052177F"/>
    <w:rsid w:val="00521A6D"/>
    <w:rsid w:val="00521B4F"/>
    <w:rsid w:val="00521B6E"/>
    <w:rsid w:val="00521F7B"/>
    <w:rsid w:val="00522AC7"/>
    <w:rsid w:val="00522E18"/>
    <w:rsid w:val="00522FB2"/>
    <w:rsid w:val="005231FB"/>
    <w:rsid w:val="0052340F"/>
    <w:rsid w:val="00523B90"/>
    <w:rsid w:val="00523F38"/>
    <w:rsid w:val="00524125"/>
    <w:rsid w:val="005242EF"/>
    <w:rsid w:val="00524464"/>
    <w:rsid w:val="00524576"/>
    <w:rsid w:val="00524DD4"/>
    <w:rsid w:val="00525924"/>
    <w:rsid w:val="00525AB2"/>
    <w:rsid w:val="00525D73"/>
    <w:rsid w:val="00525EA9"/>
    <w:rsid w:val="005261F9"/>
    <w:rsid w:val="005262E7"/>
    <w:rsid w:val="005265F8"/>
    <w:rsid w:val="00526706"/>
    <w:rsid w:val="005268E6"/>
    <w:rsid w:val="00526E51"/>
    <w:rsid w:val="00526FB2"/>
    <w:rsid w:val="00527312"/>
    <w:rsid w:val="005275CF"/>
    <w:rsid w:val="00527F71"/>
    <w:rsid w:val="005303DD"/>
    <w:rsid w:val="0053054B"/>
    <w:rsid w:val="0053076C"/>
    <w:rsid w:val="005308E7"/>
    <w:rsid w:val="00530A33"/>
    <w:rsid w:val="00530C96"/>
    <w:rsid w:val="0053137C"/>
    <w:rsid w:val="00531B2C"/>
    <w:rsid w:val="00531CC3"/>
    <w:rsid w:val="00531E37"/>
    <w:rsid w:val="005324C2"/>
    <w:rsid w:val="00532656"/>
    <w:rsid w:val="0053290D"/>
    <w:rsid w:val="0053333F"/>
    <w:rsid w:val="00533C06"/>
    <w:rsid w:val="00533C6B"/>
    <w:rsid w:val="00533DF2"/>
    <w:rsid w:val="0053418A"/>
    <w:rsid w:val="00534A19"/>
    <w:rsid w:val="00534CFD"/>
    <w:rsid w:val="00535058"/>
    <w:rsid w:val="005350FA"/>
    <w:rsid w:val="005355F2"/>
    <w:rsid w:val="0053568D"/>
    <w:rsid w:val="005359F4"/>
    <w:rsid w:val="00535A76"/>
    <w:rsid w:val="00535BC6"/>
    <w:rsid w:val="00535C7C"/>
    <w:rsid w:val="0053669E"/>
    <w:rsid w:val="00537143"/>
    <w:rsid w:val="00537223"/>
    <w:rsid w:val="00537495"/>
    <w:rsid w:val="00537610"/>
    <w:rsid w:val="005378ED"/>
    <w:rsid w:val="00537C71"/>
    <w:rsid w:val="005405FD"/>
    <w:rsid w:val="00540CBB"/>
    <w:rsid w:val="0054166A"/>
    <w:rsid w:val="00541912"/>
    <w:rsid w:val="00541913"/>
    <w:rsid w:val="0054261A"/>
    <w:rsid w:val="00542DDB"/>
    <w:rsid w:val="00542E04"/>
    <w:rsid w:val="0054308A"/>
    <w:rsid w:val="0054314C"/>
    <w:rsid w:val="00543810"/>
    <w:rsid w:val="0054382A"/>
    <w:rsid w:val="00543B3A"/>
    <w:rsid w:val="00543B8D"/>
    <w:rsid w:val="00543EA3"/>
    <w:rsid w:val="005441CE"/>
    <w:rsid w:val="005449EA"/>
    <w:rsid w:val="00544C2C"/>
    <w:rsid w:val="00544CE3"/>
    <w:rsid w:val="00544E84"/>
    <w:rsid w:val="0054509E"/>
    <w:rsid w:val="005451D3"/>
    <w:rsid w:val="00545D46"/>
    <w:rsid w:val="0054687C"/>
    <w:rsid w:val="00546CB6"/>
    <w:rsid w:val="0054702B"/>
    <w:rsid w:val="0054D786"/>
    <w:rsid w:val="00550023"/>
    <w:rsid w:val="005500E9"/>
    <w:rsid w:val="005501EF"/>
    <w:rsid w:val="00550398"/>
    <w:rsid w:val="005503A0"/>
    <w:rsid w:val="0055054B"/>
    <w:rsid w:val="00551255"/>
    <w:rsid w:val="00551870"/>
    <w:rsid w:val="0055253A"/>
    <w:rsid w:val="00552ACA"/>
    <w:rsid w:val="00552D4E"/>
    <w:rsid w:val="0055331F"/>
    <w:rsid w:val="00553CFB"/>
    <w:rsid w:val="00553FB1"/>
    <w:rsid w:val="00553FE0"/>
    <w:rsid w:val="005556F5"/>
    <w:rsid w:val="0055585A"/>
    <w:rsid w:val="00555A1B"/>
    <w:rsid w:val="005560B2"/>
    <w:rsid w:val="00556C4A"/>
    <w:rsid w:val="00556C4C"/>
    <w:rsid w:val="00557179"/>
    <w:rsid w:val="0055771D"/>
    <w:rsid w:val="00557B96"/>
    <w:rsid w:val="00557D27"/>
    <w:rsid w:val="00557EA0"/>
    <w:rsid w:val="00557F09"/>
    <w:rsid w:val="00560241"/>
    <w:rsid w:val="005603EA"/>
    <w:rsid w:val="005605B4"/>
    <w:rsid w:val="00560659"/>
    <w:rsid w:val="0056068D"/>
    <w:rsid w:val="00560914"/>
    <w:rsid w:val="00560BEB"/>
    <w:rsid w:val="00560D3F"/>
    <w:rsid w:val="00560F91"/>
    <w:rsid w:val="005612FB"/>
    <w:rsid w:val="00561664"/>
    <w:rsid w:val="00561718"/>
    <w:rsid w:val="0056172A"/>
    <w:rsid w:val="00561734"/>
    <w:rsid w:val="0056181D"/>
    <w:rsid w:val="00561F9B"/>
    <w:rsid w:val="005622D7"/>
    <w:rsid w:val="005625E4"/>
    <w:rsid w:val="00562AFD"/>
    <w:rsid w:val="005631A3"/>
    <w:rsid w:val="0056397E"/>
    <w:rsid w:val="005639B7"/>
    <w:rsid w:val="00564176"/>
    <w:rsid w:val="005641A7"/>
    <w:rsid w:val="0056427C"/>
    <w:rsid w:val="00564316"/>
    <w:rsid w:val="00564333"/>
    <w:rsid w:val="00564854"/>
    <w:rsid w:val="005648C4"/>
    <w:rsid w:val="005650B8"/>
    <w:rsid w:val="0056519F"/>
    <w:rsid w:val="0056525B"/>
    <w:rsid w:val="00565443"/>
    <w:rsid w:val="00565471"/>
    <w:rsid w:val="00565510"/>
    <w:rsid w:val="00565577"/>
    <w:rsid w:val="005655E8"/>
    <w:rsid w:val="005657D7"/>
    <w:rsid w:val="0056580A"/>
    <w:rsid w:val="00565C4C"/>
    <w:rsid w:val="00565D57"/>
    <w:rsid w:val="00565F40"/>
    <w:rsid w:val="005660F5"/>
    <w:rsid w:val="00566FA4"/>
    <w:rsid w:val="0056717A"/>
    <w:rsid w:val="00567384"/>
    <w:rsid w:val="005675E6"/>
    <w:rsid w:val="005676FB"/>
    <w:rsid w:val="00570147"/>
    <w:rsid w:val="005701AF"/>
    <w:rsid w:val="0057050F"/>
    <w:rsid w:val="005707F1"/>
    <w:rsid w:val="00570EE3"/>
    <w:rsid w:val="00570F89"/>
    <w:rsid w:val="00571315"/>
    <w:rsid w:val="00571360"/>
    <w:rsid w:val="0057177A"/>
    <w:rsid w:val="00571AA8"/>
    <w:rsid w:val="00571D20"/>
    <w:rsid w:val="00571D3D"/>
    <w:rsid w:val="00571D7F"/>
    <w:rsid w:val="005720B8"/>
    <w:rsid w:val="00572675"/>
    <w:rsid w:val="00572CEE"/>
    <w:rsid w:val="00572F10"/>
    <w:rsid w:val="00573596"/>
    <w:rsid w:val="005736A5"/>
    <w:rsid w:val="00573A5B"/>
    <w:rsid w:val="00573F6A"/>
    <w:rsid w:val="0057460C"/>
    <w:rsid w:val="00574884"/>
    <w:rsid w:val="00574EAD"/>
    <w:rsid w:val="00575514"/>
    <w:rsid w:val="005758AD"/>
    <w:rsid w:val="00576E97"/>
    <w:rsid w:val="00576F9C"/>
    <w:rsid w:val="00577031"/>
    <w:rsid w:val="005771C9"/>
    <w:rsid w:val="005773CC"/>
    <w:rsid w:val="00577A94"/>
    <w:rsid w:val="00577E93"/>
    <w:rsid w:val="0058044D"/>
    <w:rsid w:val="00580FA7"/>
    <w:rsid w:val="00580FF6"/>
    <w:rsid w:val="00581814"/>
    <w:rsid w:val="00581A3B"/>
    <w:rsid w:val="00581AFB"/>
    <w:rsid w:val="00581C0D"/>
    <w:rsid w:val="00581C22"/>
    <w:rsid w:val="0058228A"/>
    <w:rsid w:val="00582319"/>
    <w:rsid w:val="00582555"/>
    <w:rsid w:val="00582887"/>
    <w:rsid w:val="005830C3"/>
    <w:rsid w:val="00583251"/>
    <w:rsid w:val="00583B98"/>
    <w:rsid w:val="00583D92"/>
    <w:rsid w:val="005840AC"/>
    <w:rsid w:val="00584DEF"/>
    <w:rsid w:val="0058500F"/>
    <w:rsid w:val="0058503D"/>
    <w:rsid w:val="00585F4B"/>
    <w:rsid w:val="005860E6"/>
    <w:rsid w:val="0058627A"/>
    <w:rsid w:val="005864A4"/>
    <w:rsid w:val="00586527"/>
    <w:rsid w:val="005872A5"/>
    <w:rsid w:val="00587643"/>
    <w:rsid w:val="0058782B"/>
    <w:rsid w:val="005878EC"/>
    <w:rsid w:val="00587FF7"/>
    <w:rsid w:val="0058C799"/>
    <w:rsid w:val="005900A1"/>
    <w:rsid w:val="00590613"/>
    <w:rsid w:val="0059072C"/>
    <w:rsid w:val="00590C7D"/>
    <w:rsid w:val="00591433"/>
    <w:rsid w:val="00591645"/>
    <w:rsid w:val="005919C9"/>
    <w:rsid w:val="00591C69"/>
    <w:rsid w:val="00591D71"/>
    <w:rsid w:val="0059255C"/>
    <w:rsid w:val="0059272B"/>
    <w:rsid w:val="00592761"/>
    <w:rsid w:val="00592785"/>
    <w:rsid w:val="005928BB"/>
    <w:rsid w:val="00592997"/>
    <w:rsid w:val="00592D02"/>
    <w:rsid w:val="0059384D"/>
    <w:rsid w:val="005938B6"/>
    <w:rsid w:val="00593CA1"/>
    <w:rsid w:val="00593F45"/>
    <w:rsid w:val="005945B2"/>
    <w:rsid w:val="0059472C"/>
    <w:rsid w:val="00594829"/>
    <w:rsid w:val="00594E7A"/>
    <w:rsid w:val="00595098"/>
    <w:rsid w:val="005952D6"/>
    <w:rsid w:val="005952D8"/>
    <w:rsid w:val="005956C4"/>
    <w:rsid w:val="00595849"/>
    <w:rsid w:val="005964E6"/>
    <w:rsid w:val="00596914"/>
    <w:rsid w:val="00596B4A"/>
    <w:rsid w:val="00596C33"/>
    <w:rsid w:val="00596FA0"/>
    <w:rsid w:val="005973CE"/>
    <w:rsid w:val="005974D1"/>
    <w:rsid w:val="00597639"/>
    <w:rsid w:val="005978DF"/>
    <w:rsid w:val="00597AC3"/>
    <w:rsid w:val="00597C79"/>
    <w:rsid w:val="005A0128"/>
    <w:rsid w:val="005A0156"/>
    <w:rsid w:val="005A0287"/>
    <w:rsid w:val="005A1076"/>
    <w:rsid w:val="005A16D6"/>
    <w:rsid w:val="005A1C64"/>
    <w:rsid w:val="005A2107"/>
    <w:rsid w:val="005A2722"/>
    <w:rsid w:val="005A27D5"/>
    <w:rsid w:val="005A2907"/>
    <w:rsid w:val="005A2C27"/>
    <w:rsid w:val="005A2FD6"/>
    <w:rsid w:val="005A301A"/>
    <w:rsid w:val="005A34A0"/>
    <w:rsid w:val="005A3645"/>
    <w:rsid w:val="005A3A21"/>
    <w:rsid w:val="005A3DB0"/>
    <w:rsid w:val="005A4292"/>
    <w:rsid w:val="005A4366"/>
    <w:rsid w:val="005A43B8"/>
    <w:rsid w:val="005A4972"/>
    <w:rsid w:val="005A5121"/>
    <w:rsid w:val="005A5224"/>
    <w:rsid w:val="005A5473"/>
    <w:rsid w:val="005A5771"/>
    <w:rsid w:val="005A599F"/>
    <w:rsid w:val="005A695C"/>
    <w:rsid w:val="005A6C2C"/>
    <w:rsid w:val="005A6D1B"/>
    <w:rsid w:val="005A7F9B"/>
    <w:rsid w:val="005B01F2"/>
    <w:rsid w:val="005B036B"/>
    <w:rsid w:val="005B044F"/>
    <w:rsid w:val="005B04FF"/>
    <w:rsid w:val="005B0A2C"/>
    <w:rsid w:val="005B0C65"/>
    <w:rsid w:val="005B0D07"/>
    <w:rsid w:val="005B0DC1"/>
    <w:rsid w:val="005B11AD"/>
    <w:rsid w:val="005B16CA"/>
    <w:rsid w:val="005B2119"/>
    <w:rsid w:val="005B2178"/>
    <w:rsid w:val="005B2445"/>
    <w:rsid w:val="005B2606"/>
    <w:rsid w:val="005B2613"/>
    <w:rsid w:val="005B288B"/>
    <w:rsid w:val="005B2CA7"/>
    <w:rsid w:val="005B303C"/>
    <w:rsid w:val="005B30AB"/>
    <w:rsid w:val="005B3940"/>
    <w:rsid w:val="005B397D"/>
    <w:rsid w:val="005B3AB9"/>
    <w:rsid w:val="005B3E75"/>
    <w:rsid w:val="005B48E8"/>
    <w:rsid w:val="005B49DC"/>
    <w:rsid w:val="005B5117"/>
    <w:rsid w:val="005B62EB"/>
    <w:rsid w:val="005B6468"/>
    <w:rsid w:val="005B6B10"/>
    <w:rsid w:val="005B6C35"/>
    <w:rsid w:val="005B6D34"/>
    <w:rsid w:val="005B71B6"/>
    <w:rsid w:val="005B72D7"/>
    <w:rsid w:val="005B76A3"/>
    <w:rsid w:val="005B7E09"/>
    <w:rsid w:val="005B7E12"/>
    <w:rsid w:val="005B7EFA"/>
    <w:rsid w:val="005C018D"/>
    <w:rsid w:val="005C07F5"/>
    <w:rsid w:val="005C0B21"/>
    <w:rsid w:val="005C12B5"/>
    <w:rsid w:val="005C14A7"/>
    <w:rsid w:val="005C2158"/>
    <w:rsid w:val="005C23FD"/>
    <w:rsid w:val="005C24B3"/>
    <w:rsid w:val="005C33F0"/>
    <w:rsid w:val="005C34FF"/>
    <w:rsid w:val="005C36C4"/>
    <w:rsid w:val="005C45F7"/>
    <w:rsid w:val="005C4851"/>
    <w:rsid w:val="005C4AAC"/>
    <w:rsid w:val="005C4F1D"/>
    <w:rsid w:val="005C5482"/>
    <w:rsid w:val="005C56B2"/>
    <w:rsid w:val="005C5A85"/>
    <w:rsid w:val="005C5E06"/>
    <w:rsid w:val="005C6666"/>
    <w:rsid w:val="005C692B"/>
    <w:rsid w:val="005C6D3F"/>
    <w:rsid w:val="005C7466"/>
    <w:rsid w:val="005C7852"/>
    <w:rsid w:val="005C7D2E"/>
    <w:rsid w:val="005C7DA1"/>
    <w:rsid w:val="005D1457"/>
    <w:rsid w:val="005D1A80"/>
    <w:rsid w:val="005D1AE8"/>
    <w:rsid w:val="005D225E"/>
    <w:rsid w:val="005D233B"/>
    <w:rsid w:val="005D23E9"/>
    <w:rsid w:val="005D27EB"/>
    <w:rsid w:val="005D2D25"/>
    <w:rsid w:val="005D3422"/>
    <w:rsid w:val="005D343E"/>
    <w:rsid w:val="005D3772"/>
    <w:rsid w:val="005D3872"/>
    <w:rsid w:val="005D3AB7"/>
    <w:rsid w:val="005D427E"/>
    <w:rsid w:val="005D4772"/>
    <w:rsid w:val="005D49BA"/>
    <w:rsid w:val="005D4B87"/>
    <w:rsid w:val="005D4BD0"/>
    <w:rsid w:val="005D4E19"/>
    <w:rsid w:val="005D53E7"/>
    <w:rsid w:val="005D598D"/>
    <w:rsid w:val="005D5A45"/>
    <w:rsid w:val="005D5B1B"/>
    <w:rsid w:val="005D5C02"/>
    <w:rsid w:val="005D6471"/>
    <w:rsid w:val="005D654D"/>
    <w:rsid w:val="005D655A"/>
    <w:rsid w:val="005D6A46"/>
    <w:rsid w:val="005D74B3"/>
    <w:rsid w:val="005E04EA"/>
    <w:rsid w:val="005E0D4C"/>
    <w:rsid w:val="005E0EC1"/>
    <w:rsid w:val="005E0FC9"/>
    <w:rsid w:val="005E126D"/>
    <w:rsid w:val="005E1480"/>
    <w:rsid w:val="005E17BB"/>
    <w:rsid w:val="005E1B3E"/>
    <w:rsid w:val="005E1D5A"/>
    <w:rsid w:val="005E21A0"/>
    <w:rsid w:val="005E21B1"/>
    <w:rsid w:val="005E2843"/>
    <w:rsid w:val="005E2F9D"/>
    <w:rsid w:val="005E38AB"/>
    <w:rsid w:val="005E3AB8"/>
    <w:rsid w:val="005E46EF"/>
    <w:rsid w:val="005E4DEC"/>
    <w:rsid w:val="005E55F5"/>
    <w:rsid w:val="005E5EF3"/>
    <w:rsid w:val="005E656E"/>
    <w:rsid w:val="005E7410"/>
    <w:rsid w:val="005E76CF"/>
    <w:rsid w:val="005E77E1"/>
    <w:rsid w:val="005E7D8B"/>
    <w:rsid w:val="005E7F6B"/>
    <w:rsid w:val="005E7FF6"/>
    <w:rsid w:val="005F0133"/>
    <w:rsid w:val="005F028F"/>
    <w:rsid w:val="005F1F17"/>
    <w:rsid w:val="005F2156"/>
    <w:rsid w:val="005F21E0"/>
    <w:rsid w:val="005F2232"/>
    <w:rsid w:val="005F26F0"/>
    <w:rsid w:val="005F27C4"/>
    <w:rsid w:val="005F2A97"/>
    <w:rsid w:val="005F34D8"/>
    <w:rsid w:val="005F36C2"/>
    <w:rsid w:val="005F3BB0"/>
    <w:rsid w:val="005F3E4B"/>
    <w:rsid w:val="005F402E"/>
    <w:rsid w:val="005F418E"/>
    <w:rsid w:val="005F44D3"/>
    <w:rsid w:val="005F49A2"/>
    <w:rsid w:val="005F4C70"/>
    <w:rsid w:val="005F5BA0"/>
    <w:rsid w:val="005F5BDF"/>
    <w:rsid w:val="005F5EF7"/>
    <w:rsid w:val="005F5F23"/>
    <w:rsid w:val="005F6008"/>
    <w:rsid w:val="005F63A2"/>
    <w:rsid w:val="006000D4"/>
    <w:rsid w:val="00600D2F"/>
    <w:rsid w:val="00601CE4"/>
    <w:rsid w:val="00601DC8"/>
    <w:rsid w:val="006027BA"/>
    <w:rsid w:val="006029D8"/>
    <w:rsid w:val="00602C86"/>
    <w:rsid w:val="0060333C"/>
    <w:rsid w:val="0060335D"/>
    <w:rsid w:val="00603387"/>
    <w:rsid w:val="00603716"/>
    <w:rsid w:val="00603861"/>
    <w:rsid w:val="006041CD"/>
    <w:rsid w:val="0060430E"/>
    <w:rsid w:val="0060456D"/>
    <w:rsid w:val="00604AF7"/>
    <w:rsid w:val="00604EB3"/>
    <w:rsid w:val="006051CC"/>
    <w:rsid w:val="00605307"/>
    <w:rsid w:val="0060575F"/>
    <w:rsid w:val="00605A0B"/>
    <w:rsid w:val="00605E37"/>
    <w:rsid w:val="006061DE"/>
    <w:rsid w:val="00606459"/>
    <w:rsid w:val="00606A36"/>
    <w:rsid w:val="00606A92"/>
    <w:rsid w:val="00607006"/>
    <w:rsid w:val="006075BD"/>
    <w:rsid w:val="0060788B"/>
    <w:rsid w:val="00607B90"/>
    <w:rsid w:val="00607E45"/>
    <w:rsid w:val="00610774"/>
    <w:rsid w:val="00611059"/>
    <w:rsid w:val="0061120F"/>
    <w:rsid w:val="0061126F"/>
    <w:rsid w:val="00611473"/>
    <w:rsid w:val="0061148B"/>
    <w:rsid w:val="00611778"/>
    <w:rsid w:val="006118C7"/>
    <w:rsid w:val="0061204D"/>
    <w:rsid w:val="0061223D"/>
    <w:rsid w:val="00612287"/>
    <w:rsid w:val="00612753"/>
    <w:rsid w:val="006129CD"/>
    <w:rsid w:val="00612CC4"/>
    <w:rsid w:val="00612DDC"/>
    <w:rsid w:val="00613067"/>
    <w:rsid w:val="006132E4"/>
    <w:rsid w:val="006138F9"/>
    <w:rsid w:val="00613B46"/>
    <w:rsid w:val="006147DD"/>
    <w:rsid w:val="006149B8"/>
    <w:rsid w:val="00615D8B"/>
    <w:rsid w:val="00616BE4"/>
    <w:rsid w:val="00616F42"/>
    <w:rsid w:val="00616F68"/>
    <w:rsid w:val="00616FC5"/>
    <w:rsid w:val="006172F3"/>
    <w:rsid w:val="0061756E"/>
    <w:rsid w:val="00617D99"/>
    <w:rsid w:val="00617DC2"/>
    <w:rsid w:val="006205B6"/>
    <w:rsid w:val="00620770"/>
    <w:rsid w:val="0062090F"/>
    <w:rsid w:val="0062139B"/>
    <w:rsid w:val="006218A6"/>
    <w:rsid w:val="006219CA"/>
    <w:rsid w:val="00622147"/>
    <w:rsid w:val="0062281F"/>
    <w:rsid w:val="00623BBE"/>
    <w:rsid w:val="00623D41"/>
    <w:rsid w:val="00623F1B"/>
    <w:rsid w:val="00623FE4"/>
    <w:rsid w:val="00624151"/>
    <w:rsid w:val="006244C5"/>
    <w:rsid w:val="0062461D"/>
    <w:rsid w:val="0062491F"/>
    <w:rsid w:val="00625241"/>
    <w:rsid w:val="006255B1"/>
    <w:rsid w:val="0062575E"/>
    <w:rsid w:val="00625C5F"/>
    <w:rsid w:val="00625EDC"/>
    <w:rsid w:val="00625F7A"/>
    <w:rsid w:val="00626C6D"/>
    <w:rsid w:val="006270BF"/>
    <w:rsid w:val="006270D5"/>
    <w:rsid w:val="006276FF"/>
    <w:rsid w:val="006279E1"/>
    <w:rsid w:val="00627A7C"/>
    <w:rsid w:val="00630489"/>
    <w:rsid w:val="0063052E"/>
    <w:rsid w:val="00630D3D"/>
    <w:rsid w:val="00630E22"/>
    <w:rsid w:val="00630F6A"/>
    <w:rsid w:val="00631362"/>
    <w:rsid w:val="00631834"/>
    <w:rsid w:val="00631C69"/>
    <w:rsid w:val="0063237A"/>
    <w:rsid w:val="00632490"/>
    <w:rsid w:val="00632691"/>
    <w:rsid w:val="00632DBE"/>
    <w:rsid w:val="006332A3"/>
    <w:rsid w:val="00634321"/>
    <w:rsid w:val="00634340"/>
    <w:rsid w:val="0063457A"/>
    <w:rsid w:val="006346B1"/>
    <w:rsid w:val="006350C0"/>
    <w:rsid w:val="006357FD"/>
    <w:rsid w:val="00635937"/>
    <w:rsid w:val="00635950"/>
    <w:rsid w:val="0063673E"/>
    <w:rsid w:val="00636FC1"/>
    <w:rsid w:val="00637099"/>
    <w:rsid w:val="006372BF"/>
    <w:rsid w:val="00637981"/>
    <w:rsid w:val="00637D91"/>
    <w:rsid w:val="00637FB7"/>
    <w:rsid w:val="00640218"/>
    <w:rsid w:val="0064046E"/>
    <w:rsid w:val="00640620"/>
    <w:rsid w:val="006407A3"/>
    <w:rsid w:val="0064086A"/>
    <w:rsid w:val="006408C9"/>
    <w:rsid w:val="00640BFF"/>
    <w:rsid w:val="00640C2A"/>
    <w:rsid w:val="0064105B"/>
    <w:rsid w:val="006417E1"/>
    <w:rsid w:val="00641FB5"/>
    <w:rsid w:val="006420E5"/>
    <w:rsid w:val="00642609"/>
    <w:rsid w:val="00642B6B"/>
    <w:rsid w:val="00642E70"/>
    <w:rsid w:val="00643022"/>
    <w:rsid w:val="00643111"/>
    <w:rsid w:val="006442B0"/>
    <w:rsid w:val="0064465E"/>
    <w:rsid w:val="00644779"/>
    <w:rsid w:val="00644895"/>
    <w:rsid w:val="00644B83"/>
    <w:rsid w:val="00644C7E"/>
    <w:rsid w:val="00644FA3"/>
    <w:rsid w:val="00645043"/>
    <w:rsid w:val="006453BC"/>
    <w:rsid w:val="00645C1C"/>
    <w:rsid w:val="00645D56"/>
    <w:rsid w:val="00645EC7"/>
    <w:rsid w:val="0064656C"/>
    <w:rsid w:val="00647B06"/>
    <w:rsid w:val="00647CF1"/>
    <w:rsid w:val="0065053D"/>
    <w:rsid w:val="00650CA9"/>
    <w:rsid w:val="00650F14"/>
    <w:rsid w:val="00651291"/>
    <w:rsid w:val="00651B61"/>
    <w:rsid w:val="006524BA"/>
    <w:rsid w:val="006524C5"/>
    <w:rsid w:val="0065277D"/>
    <w:rsid w:val="00652BCA"/>
    <w:rsid w:val="006530B9"/>
    <w:rsid w:val="00653301"/>
    <w:rsid w:val="006535B5"/>
    <w:rsid w:val="006539F5"/>
    <w:rsid w:val="00653B16"/>
    <w:rsid w:val="00653E1B"/>
    <w:rsid w:val="00653F52"/>
    <w:rsid w:val="00654628"/>
    <w:rsid w:val="00654651"/>
    <w:rsid w:val="00654A61"/>
    <w:rsid w:val="00654F18"/>
    <w:rsid w:val="00655174"/>
    <w:rsid w:val="006566DC"/>
    <w:rsid w:val="006566DE"/>
    <w:rsid w:val="006567F4"/>
    <w:rsid w:val="00656A7F"/>
    <w:rsid w:val="00656E82"/>
    <w:rsid w:val="00656EC2"/>
    <w:rsid w:val="00656EFE"/>
    <w:rsid w:val="00656FAC"/>
    <w:rsid w:val="00657F99"/>
    <w:rsid w:val="00660A0B"/>
    <w:rsid w:val="006617B9"/>
    <w:rsid w:val="006619C8"/>
    <w:rsid w:val="00661A1E"/>
    <w:rsid w:val="00662012"/>
    <w:rsid w:val="006625A1"/>
    <w:rsid w:val="00662666"/>
    <w:rsid w:val="00662AEA"/>
    <w:rsid w:val="00662FBD"/>
    <w:rsid w:val="006636EA"/>
    <w:rsid w:val="00664318"/>
    <w:rsid w:val="00664683"/>
    <w:rsid w:val="0066490E"/>
    <w:rsid w:val="00664C32"/>
    <w:rsid w:val="00664C5D"/>
    <w:rsid w:val="00665073"/>
    <w:rsid w:val="0066511C"/>
    <w:rsid w:val="006665DA"/>
    <w:rsid w:val="00666617"/>
    <w:rsid w:val="0066665A"/>
    <w:rsid w:val="00666876"/>
    <w:rsid w:val="006668BF"/>
    <w:rsid w:val="00666DE6"/>
    <w:rsid w:val="00667302"/>
    <w:rsid w:val="0066739C"/>
    <w:rsid w:val="00667AC6"/>
    <w:rsid w:val="00667F05"/>
    <w:rsid w:val="006704F9"/>
    <w:rsid w:val="006705B5"/>
    <w:rsid w:val="006709CD"/>
    <w:rsid w:val="00670C38"/>
    <w:rsid w:val="00670EA3"/>
    <w:rsid w:val="00670F36"/>
    <w:rsid w:val="006710B3"/>
    <w:rsid w:val="0067119D"/>
    <w:rsid w:val="006718B2"/>
    <w:rsid w:val="00671B88"/>
    <w:rsid w:val="00671D6E"/>
    <w:rsid w:val="00671FCB"/>
    <w:rsid w:val="006723D8"/>
    <w:rsid w:val="00672F9C"/>
    <w:rsid w:val="00673631"/>
    <w:rsid w:val="00673951"/>
    <w:rsid w:val="00673E47"/>
    <w:rsid w:val="00673EBE"/>
    <w:rsid w:val="006743E5"/>
    <w:rsid w:val="006746A1"/>
    <w:rsid w:val="00674916"/>
    <w:rsid w:val="0067564B"/>
    <w:rsid w:val="0067585E"/>
    <w:rsid w:val="00675DAF"/>
    <w:rsid w:val="00676E02"/>
    <w:rsid w:val="00676F25"/>
    <w:rsid w:val="006776CB"/>
    <w:rsid w:val="006778A4"/>
    <w:rsid w:val="00677A83"/>
    <w:rsid w:val="00680022"/>
    <w:rsid w:val="00680078"/>
    <w:rsid w:val="006802EF"/>
    <w:rsid w:val="0068053F"/>
    <w:rsid w:val="00681A78"/>
    <w:rsid w:val="00681AA0"/>
    <w:rsid w:val="00681CAC"/>
    <w:rsid w:val="00681FC0"/>
    <w:rsid w:val="00682596"/>
    <w:rsid w:val="00682718"/>
    <w:rsid w:val="00682BA2"/>
    <w:rsid w:val="006830D4"/>
    <w:rsid w:val="00683138"/>
    <w:rsid w:val="00683231"/>
    <w:rsid w:val="0068333F"/>
    <w:rsid w:val="0068357C"/>
    <w:rsid w:val="00683981"/>
    <w:rsid w:val="00683B73"/>
    <w:rsid w:val="00684167"/>
    <w:rsid w:val="0068461F"/>
    <w:rsid w:val="006849CD"/>
    <w:rsid w:val="00685559"/>
    <w:rsid w:val="00685C9E"/>
    <w:rsid w:val="006862A6"/>
    <w:rsid w:val="00686376"/>
    <w:rsid w:val="0068648D"/>
    <w:rsid w:val="0068740F"/>
    <w:rsid w:val="0068759B"/>
    <w:rsid w:val="006875F6"/>
    <w:rsid w:val="00687866"/>
    <w:rsid w:val="00687AF7"/>
    <w:rsid w:val="00690574"/>
    <w:rsid w:val="00690AFB"/>
    <w:rsid w:val="0069139A"/>
    <w:rsid w:val="0069169E"/>
    <w:rsid w:val="00691B3D"/>
    <w:rsid w:val="00691DFD"/>
    <w:rsid w:val="006923B5"/>
    <w:rsid w:val="006926DB"/>
    <w:rsid w:val="00692990"/>
    <w:rsid w:val="00692DED"/>
    <w:rsid w:val="00692ED2"/>
    <w:rsid w:val="006933FC"/>
    <w:rsid w:val="0069343B"/>
    <w:rsid w:val="00693682"/>
    <w:rsid w:val="00693E0E"/>
    <w:rsid w:val="00693FCC"/>
    <w:rsid w:val="00694C74"/>
    <w:rsid w:val="00695A32"/>
    <w:rsid w:val="00696177"/>
    <w:rsid w:val="00696512"/>
    <w:rsid w:val="0069666C"/>
    <w:rsid w:val="006967B6"/>
    <w:rsid w:val="00696823"/>
    <w:rsid w:val="00696A9D"/>
    <w:rsid w:val="00696C4E"/>
    <w:rsid w:val="00696FE4"/>
    <w:rsid w:val="006979F6"/>
    <w:rsid w:val="006A0290"/>
    <w:rsid w:val="006A0623"/>
    <w:rsid w:val="006A072A"/>
    <w:rsid w:val="006A0788"/>
    <w:rsid w:val="006A0840"/>
    <w:rsid w:val="006A0BDB"/>
    <w:rsid w:val="006A0F0F"/>
    <w:rsid w:val="006A179A"/>
    <w:rsid w:val="006A2037"/>
    <w:rsid w:val="006A222B"/>
    <w:rsid w:val="006A234E"/>
    <w:rsid w:val="006A24BA"/>
    <w:rsid w:val="006A25AF"/>
    <w:rsid w:val="006A2D63"/>
    <w:rsid w:val="006A3049"/>
    <w:rsid w:val="006A30A8"/>
    <w:rsid w:val="006A31D4"/>
    <w:rsid w:val="006A3D9B"/>
    <w:rsid w:val="006A4678"/>
    <w:rsid w:val="006A4857"/>
    <w:rsid w:val="006A4A01"/>
    <w:rsid w:val="006A4C6C"/>
    <w:rsid w:val="006A4C7B"/>
    <w:rsid w:val="006A5A4E"/>
    <w:rsid w:val="006A5E84"/>
    <w:rsid w:val="006A5F28"/>
    <w:rsid w:val="006A60E4"/>
    <w:rsid w:val="006A681C"/>
    <w:rsid w:val="006A68D8"/>
    <w:rsid w:val="006A6A49"/>
    <w:rsid w:val="006A6D1A"/>
    <w:rsid w:val="006A7019"/>
    <w:rsid w:val="006A711E"/>
    <w:rsid w:val="006A7A07"/>
    <w:rsid w:val="006B002E"/>
    <w:rsid w:val="006B04DB"/>
    <w:rsid w:val="006B10BE"/>
    <w:rsid w:val="006B15B1"/>
    <w:rsid w:val="006B17F1"/>
    <w:rsid w:val="006B2305"/>
    <w:rsid w:val="006B23F2"/>
    <w:rsid w:val="006B2431"/>
    <w:rsid w:val="006B2734"/>
    <w:rsid w:val="006B287E"/>
    <w:rsid w:val="006B28C0"/>
    <w:rsid w:val="006B3009"/>
    <w:rsid w:val="006B356D"/>
    <w:rsid w:val="006B3BE0"/>
    <w:rsid w:val="006B3F6F"/>
    <w:rsid w:val="006B423A"/>
    <w:rsid w:val="006B5789"/>
    <w:rsid w:val="006B5CB6"/>
    <w:rsid w:val="006B610E"/>
    <w:rsid w:val="006B6304"/>
    <w:rsid w:val="006B6AE8"/>
    <w:rsid w:val="006B758A"/>
    <w:rsid w:val="006B7739"/>
    <w:rsid w:val="006C012C"/>
    <w:rsid w:val="006C0224"/>
    <w:rsid w:val="006C08E6"/>
    <w:rsid w:val="006C0AC1"/>
    <w:rsid w:val="006C0B66"/>
    <w:rsid w:val="006C0CC9"/>
    <w:rsid w:val="006C0E58"/>
    <w:rsid w:val="006C2426"/>
    <w:rsid w:val="006C25C3"/>
    <w:rsid w:val="006C2CBD"/>
    <w:rsid w:val="006C2DB9"/>
    <w:rsid w:val="006C3316"/>
    <w:rsid w:val="006C397F"/>
    <w:rsid w:val="006C3AC4"/>
    <w:rsid w:val="006C41C2"/>
    <w:rsid w:val="006C499F"/>
    <w:rsid w:val="006C4D8D"/>
    <w:rsid w:val="006C523E"/>
    <w:rsid w:val="006C57D4"/>
    <w:rsid w:val="006C58C0"/>
    <w:rsid w:val="006C5A38"/>
    <w:rsid w:val="006C5B6D"/>
    <w:rsid w:val="006C615B"/>
    <w:rsid w:val="006C677D"/>
    <w:rsid w:val="006C6853"/>
    <w:rsid w:val="006C693B"/>
    <w:rsid w:val="006C6C59"/>
    <w:rsid w:val="006C6DF7"/>
    <w:rsid w:val="006C6E01"/>
    <w:rsid w:val="006C71B7"/>
    <w:rsid w:val="006C74D1"/>
    <w:rsid w:val="006C77D3"/>
    <w:rsid w:val="006C7852"/>
    <w:rsid w:val="006D08D0"/>
    <w:rsid w:val="006D092B"/>
    <w:rsid w:val="006D0C83"/>
    <w:rsid w:val="006D118A"/>
    <w:rsid w:val="006D221C"/>
    <w:rsid w:val="006D22F0"/>
    <w:rsid w:val="006D2537"/>
    <w:rsid w:val="006D2595"/>
    <w:rsid w:val="006D2E6A"/>
    <w:rsid w:val="006D304E"/>
    <w:rsid w:val="006D33D3"/>
    <w:rsid w:val="006D3570"/>
    <w:rsid w:val="006D3A49"/>
    <w:rsid w:val="006D3C02"/>
    <w:rsid w:val="006D3CA4"/>
    <w:rsid w:val="006D403A"/>
    <w:rsid w:val="006D40F9"/>
    <w:rsid w:val="006D4E44"/>
    <w:rsid w:val="006D516C"/>
    <w:rsid w:val="006D5609"/>
    <w:rsid w:val="006D5753"/>
    <w:rsid w:val="006D5882"/>
    <w:rsid w:val="006D654F"/>
    <w:rsid w:val="006D69D0"/>
    <w:rsid w:val="006D6B76"/>
    <w:rsid w:val="006D6E0A"/>
    <w:rsid w:val="006D6E7E"/>
    <w:rsid w:val="006D73C0"/>
    <w:rsid w:val="006D7C7A"/>
    <w:rsid w:val="006D7EB1"/>
    <w:rsid w:val="006E04E5"/>
    <w:rsid w:val="006E09C2"/>
    <w:rsid w:val="006E0B7C"/>
    <w:rsid w:val="006E1545"/>
    <w:rsid w:val="006E157F"/>
    <w:rsid w:val="006E1BCA"/>
    <w:rsid w:val="006E1D38"/>
    <w:rsid w:val="006E3302"/>
    <w:rsid w:val="006E33B1"/>
    <w:rsid w:val="006E3494"/>
    <w:rsid w:val="006E351F"/>
    <w:rsid w:val="006E386E"/>
    <w:rsid w:val="006E3AD2"/>
    <w:rsid w:val="006E3C45"/>
    <w:rsid w:val="006E45FB"/>
    <w:rsid w:val="006E4C2F"/>
    <w:rsid w:val="006E4D99"/>
    <w:rsid w:val="006E51F1"/>
    <w:rsid w:val="006E5326"/>
    <w:rsid w:val="006E5655"/>
    <w:rsid w:val="006E574D"/>
    <w:rsid w:val="006E584E"/>
    <w:rsid w:val="006E5C38"/>
    <w:rsid w:val="006E6464"/>
    <w:rsid w:val="006E696A"/>
    <w:rsid w:val="006E6FA3"/>
    <w:rsid w:val="006E7148"/>
    <w:rsid w:val="006E7211"/>
    <w:rsid w:val="006E72D7"/>
    <w:rsid w:val="006E7617"/>
    <w:rsid w:val="006E78A7"/>
    <w:rsid w:val="006E7AD2"/>
    <w:rsid w:val="006E7D27"/>
    <w:rsid w:val="006F010E"/>
    <w:rsid w:val="006F050B"/>
    <w:rsid w:val="006F05E2"/>
    <w:rsid w:val="006F0BBF"/>
    <w:rsid w:val="006F1528"/>
    <w:rsid w:val="006F23E8"/>
    <w:rsid w:val="006F260C"/>
    <w:rsid w:val="006F27FF"/>
    <w:rsid w:val="006F3296"/>
    <w:rsid w:val="006F3690"/>
    <w:rsid w:val="006F36B3"/>
    <w:rsid w:val="006F3988"/>
    <w:rsid w:val="006F3C79"/>
    <w:rsid w:val="006F4EAC"/>
    <w:rsid w:val="006F52AB"/>
    <w:rsid w:val="006F53E5"/>
    <w:rsid w:val="006F55CE"/>
    <w:rsid w:val="006F60A0"/>
    <w:rsid w:val="006F689D"/>
    <w:rsid w:val="006F756E"/>
    <w:rsid w:val="006F7AAA"/>
    <w:rsid w:val="006F7CF9"/>
    <w:rsid w:val="006F7E99"/>
    <w:rsid w:val="007000E1"/>
    <w:rsid w:val="007002A9"/>
    <w:rsid w:val="00700649"/>
    <w:rsid w:val="0070075E"/>
    <w:rsid w:val="00700A6E"/>
    <w:rsid w:val="007012F7"/>
    <w:rsid w:val="007018E0"/>
    <w:rsid w:val="00701E0E"/>
    <w:rsid w:val="00702372"/>
    <w:rsid w:val="007024AE"/>
    <w:rsid w:val="0070285A"/>
    <w:rsid w:val="007028B3"/>
    <w:rsid w:val="00702B17"/>
    <w:rsid w:val="00702EBB"/>
    <w:rsid w:val="00702F2E"/>
    <w:rsid w:val="007035F3"/>
    <w:rsid w:val="00703A17"/>
    <w:rsid w:val="00703D47"/>
    <w:rsid w:val="00703E62"/>
    <w:rsid w:val="007046B7"/>
    <w:rsid w:val="00704B9D"/>
    <w:rsid w:val="00704C22"/>
    <w:rsid w:val="00704DF8"/>
    <w:rsid w:val="00705291"/>
    <w:rsid w:val="0070543E"/>
    <w:rsid w:val="007055B8"/>
    <w:rsid w:val="00705919"/>
    <w:rsid w:val="00705BE7"/>
    <w:rsid w:val="00705C6B"/>
    <w:rsid w:val="00705E0B"/>
    <w:rsid w:val="00705EE7"/>
    <w:rsid w:val="007060F6"/>
    <w:rsid w:val="007065C1"/>
    <w:rsid w:val="007068E6"/>
    <w:rsid w:val="00706B2B"/>
    <w:rsid w:val="00706DDF"/>
    <w:rsid w:val="00707846"/>
    <w:rsid w:val="007078E8"/>
    <w:rsid w:val="00707BB2"/>
    <w:rsid w:val="00707CFF"/>
    <w:rsid w:val="00707E84"/>
    <w:rsid w:val="00707EF6"/>
    <w:rsid w:val="007103A4"/>
    <w:rsid w:val="007106A3"/>
    <w:rsid w:val="0071077D"/>
    <w:rsid w:val="00710D71"/>
    <w:rsid w:val="00710F45"/>
    <w:rsid w:val="00710FD2"/>
    <w:rsid w:val="0071150E"/>
    <w:rsid w:val="0071224C"/>
    <w:rsid w:val="00712282"/>
    <w:rsid w:val="0071323D"/>
    <w:rsid w:val="007136A0"/>
    <w:rsid w:val="00713C65"/>
    <w:rsid w:val="00714207"/>
    <w:rsid w:val="00714A4E"/>
    <w:rsid w:val="00714A61"/>
    <w:rsid w:val="007151CA"/>
    <w:rsid w:val="00715786"/>
    <w:rsid w:val="007169A0"/>
    <w:rsid w:val="00716A04"/>
    <w:rsid w:val="0071742A"/>
    <w:rsid w:val="00717651"/>
    <w:rsid w:val="00717B57"/>
    <w:rsid w:val="00717B95"/>
    <w:rsid w:val="00717D7D"/>
    <w:rsid w:val="007206ED"/>
    <w:rsid w:val="0072113D"/>
    <w:rsid w:val="00721794"/>
    <w:rsid w:val="00721BBC"/>
    <w:rsid w:val="00721D67"/>
    <w:rsid w:val="00722C8C"/>
    <w:rsid w:val="00722D8A"/>
    <w:rsid w:val="00723174"/>
    <w:rsid w:val="007235EE"/>
    <w:rsid w:val="00723AC3"/>
    <w:rsid w:val="00723C3D"/>
    <w:rsid w:val="00723D6B"/>
    <w:rsid w:val="00724186"/>
    <w:rsid w:val="00724589"/>
    <w:rsid w:val="00724955"/>
    <w:rsid w:val="00724AF2"/>
    <w:rsid w:val="00724D1C"/>
    <w:rsid w:val="00724DBC"/>
    <w:rsid w:val="00724ECD"/>
    <w:rsid w:val="00725122"/>
    <w:rsid w:val="0072533B"/>
    <w:rsid w:val="00725889"/>
    <w:rsid w:val="0072599C"/>
    <w:rsid w:val="007259F7"/>
    <w:rsid w:val="00725A65"/>
    <w:rsid w:val="007261F2"/>
    <w:rsid w:val="00726509"/>
    <w:rsid w:val="007266E9"/>
    <w:rsid w:val="00726926"/>
    <w:rsid w:val="00727527"/>
    <w:rsid w:val="00727572"/>
    <w:rsid w:val="007275B4"/>
    <w:rsid w:val="00727A3E"/>
    <w:rsid w:val="00727BD9"/>
    <w:rsid w:val="00727D30"/>
    <w:rsid w:val="00727EF5"/>
    <w:rsid w:val="00727F5C"/>
    <w:rsid w:val="007303CF"/>
    <w:rsid w:val="007305F6"/>
    <w:rsid w:val="00730C3C"/>
    <w:rsid w:val="00730D48"/>
    <w:rsid w:val="00730DD4"/>
    <w:rsid w:val="00730E9C"/>
    <w:rsid w:val="00731548"/>
    <w:rsid w:val="00731BA2"/>
    <w:rsid w:val="00731EA0"/>
    <w:rsid w:val="00732355"/>
    <w:rsid w:val="00732B27"/>
    <w:rsid w:val="00732DF8"/>
    <w:rsid w:val="00732E6A"/>
    <w:rsid w:val="0073322F"/>
    <w:rsid w:val="00733307"/>
    <w:rsid w:val="00733342"/>
    <w:rsid w:val="007336A2"/>
    <w:rsid w:val="0073396F"/>
    <w:rsid w:val="00733A21"/>
    <w:rsid w:val="00734B55"/>
    <w:rsid w:val="00734C4B"/>
    <w:rsid w:val="00734E63"/>
    <w:rsid w:val="00735058"/>
    <w:rsid w:val="00735BF9"/>
    <w:rsid w:val="00735CFB"/>
    <w:rsid w:val="00735EDA"/>
    <w:rsid w:val="0073653E"/>
    <w:rsid w:val="00736690"/>
    <w:rsid w:val="0073731D"/>
    <w:rsid w:val="00737700"/>
    <w:rsid w:val="00737B60"/>
    <w:rsid w:val="00737FD3"/>
    <w:rsid w:val="007401E1"/>
    <w:rsid w:val="00740365"/>
    <w:rsid w:val="00740AB6"/>
    <w:rsid w:val="0074108B"/>
    <w:rsid w:val="007411EF"/>
    <w:rsid w:val="00741363"/>
    <w:rsid w:val="00741406"/>
    <w:rsid w:val="007414BF"/>
    <w:rsid w:val="00741686"/>
    <w:rsid w:val="0074203E"/>
    <w:rsid w:val="0074203F"/>
    <w:rsid w:val="0074211C"/>
    <w:rsid w:val="0074229E"/>
    <w:rsid w:val="00742520"/>
    <w:rsid w:val="007429AC"/>
    <w:rsid w:val="00742B06"/>
    <w:rsid w:val="00742D93"/>
    <w:rsid w:val="00743254"/>
    <w:rsid w:val="00743300"/>
    <w:rsid w:val="0074337A"/>
    <w:rsid w:val="00743F16"/>
    <w:rsid w:val="00743F56"/>
    <w:rsid w:val="00744393"/>
    <w:rsid w:val="00744913"/>
    <w:rsid w:val="00745303"/>
    <w:rsid w:val="00745965"/>
    <w:rsid w:val="00745A68"/>
    <w:rsid w:val="00745C32"/>
    <w:rsid w:val="00746093"/>
    <w:rsid w:val="00746219"/>
    <w:rsid w:val="0074638B"/>
    <w:rsid w:val="007463A2"/>
    <w:rsid w:val="0074772B"/>
    <w:rsid w:val="007479E5"/>
    <w:rsid w:val="007500A3"/>
    <w:rsid w:val="007503D9"/>
    <w:rsid w:val="007506E0"/>
    <w:rsid w:val="00750816"/>
    <w:rsid w:val="00750EB3"/>
    <w:rsid w:val="007517F3"/>
    <w:rsid w:val="0075190F"/>
    <w:rsid w:val="0075215C"/>
    <w:rsid w:val="007529F4"/>
    <w:rsid w:val="00752CDD"/>
    <w:rsid w:val="00753132"/>
    <w:rsid w:val="007532E7"/>
    <w:rsid w:val="00753EB6"/>
    <w:rsid w:val="00753EB9"/>
    <w:rsid w:val="00753ECA"/>
    <w:rsid w:val="007546FB"/>
    <w:rsid w:val="007553AC"/>
    <w:rsid w:val="007557B2"/>
    <w:rsid w:val="0075637E"/>
    <w:rsid w:val="007565DF"/>
    <w:rsid w:val="00756702"/>
    <w:rsid w:val="00756801"/>
    <w:rsid w:val="00756AC2"/>
    <w:rsid w:val="00757314"/>
    <w:rsid w:val="00757349"/>
    <w:rsid w:val="007575DD"/>
    <w:rsid w:val="0075798A"/>
    <w:rsid w:val="00757D4C"/>
    <w:rsid w:val="007601A1"/>
    <w:rsid w:val="00760421"/>
    <w:rsid w:val="0076096A"/>
    <w:rsid w:val="00761161"/>
    <w:rsid w:val="007612AC"/>
    <w:rsid w:val="007614D1"/>
    <w:rsid w:val="0076165F"/>
    <w:rsid w:val="007616FE"/>
    <w:rsid w:val="00761B15"/>
    <w:rsid w:val="00761BE2"/>
    <w:rsid w:val="00761EBF"/>
    <w:rsid w:val="0076219E"/>
    <w:rsid w:val="00762B24"/>
    <w:rsid w:val="00762C64"/>
    <w:rsid w:val="00763019"/>
    <w:rsid w:val="00763B36"/>
    <w:rsid w:val="00763DD4"/>
    <w:rsid w:val="0076469B"/>
    <w:rsid w:val="0076489F"/>
    <w:rsid w:val="0076498C"/>
    <w:rsid w:val="0076523B"/>
    <w:rsid w:val="00765962"/>
    <w:rsid w:val="0076598D"/>
    <w:rsid w:val="0076650E"/>
    <w:rsid w:val="00766C09"/>
    <w:rsid w:val="007676BB"/>
    <w:rsid w:val="0076793B"/>
    <w:rsid w:val="00767B2F"/>
    <w:rsid w:val="0076B155"/>
    <w:rsid w:val="0077057A"/>
    <w:rsid w:val="00770670"/>
    <w:rsid w:val="0077096A"/>
    <w:rsid w:val="00770C1D"/>
    <w:rsid w:val="00771F64"/>
    <w:rsid w:val="00771FAD"/>
    <w:rsid w:val="00771FF4"/>
    <w:rsid w:val="00772274"/>
    <w:rsid w:val="007724E2"/>
    <w:rsid w:val="007726E7"/>
    <w:rsid w:val="007727BE"/>
    <w:rsid w:val="00772913"/>
    <w:rsid w:val="00772C96"/>
    <w:rsid w:val="00772E9D"/>
    <w:rsid w:val="00772EC0"/>
    <w:rsid w:val="007731F0"/>
    <w:rsid w:val="0077348E"/>
    <w:rsid w:val="00773AB3"/>
    <w:rsid w:val="00773B24"/>
    <w:rsid w:val="00773EA5"/>
    <w:rsid w:val="00773F55"/>
    <w:rsid w:val="0077438C"/>
    <w:rsid w:val="007747E1"/>
    <w:rsid w:val="00774C79"/>
    <w:rsid w:val="007756AF"/>
    <w:rsid w:val="00775A11"/>
    <w:rsid w:val="00775A79"/>
    <w:rsid w:val="00775AF3"/>
    <w:rsid w:val="00776221"/>
    <w:rsid w:val="00776497"/>
    <w:rsid w:val="007764D5"/>
    <w:rsid w:val="00776DEF"/>
    <w:rsid w:val="00776EB8"/>
    <w:rsid w:val="0077740F"/>
    <w:rsid w:val="0077795D"/>
    <w:rsid w:val="007800D9"/>
    <w:rsid w:val="00780585"/>
    <w:rsid w:val="00780B33"/>
    <w:rsid w:val="00780E03"/>
    <w:rsid w:val="00780EC4"/>
    <w:rsid w:val="00781E6F"/>
    <w:rsid w:val="0078218F"/>
    <w:rsid w:val="00782223"/>
    <w:rsid w:val="00782347"/>
    <w:rsid w:val="00782948"/>
    <w:rsid w:val="00783192"/>
    <w:rsid w:val="00783319"/>
    <w:rsid w:val="00783649"/>
    <w:rsid w:val="0078386F"/>
    <w:rsid w:val="007839EA"/>
    <w:rsid w:val="00783BBB"/>
    <w:rsid w:val="00784200"/>
    <w:rsid w:val="00784AE5"/>
    <w:rsid w:val="00785460"/>
    <w:rsid w:val="00785488"/>
    <w:rsid w:val="00785622"/>
    <w:rsid w:val="0078563F"/>
    <w:rsid w:val="00785711"/>
    <w:rsid w:val="00785907"/>
    <w:rsid w:val="00785DE9"/>
    <w:rsid w:val="00786481"/>
    <w:rsid w:val="0078671A"/>
    <w:rsid w:val="00786FA3"/>
    <w:rsid w:val="007870B8"/>
    <w:rsid w:val="00787361"/>
    <w:rsid w:val="007873D3"/>
    <w:rsid w:val="0078787B"/>
    <w:rsid w:val="0078787E"/>
    <w:rsid w:val="007905BE"/>
    <w:rsid w:val="00791546"/>
    <w:rsid w:val="007917F0"/>
    <w:rsid w:val="00792440"/>
    <w:rsid w:val="007926CC"/>
    <w:rsid w:val="007926CF"/>
    <w:rsid w:val="007927B1"/>
    <w:rsid w:val="007929CF"/>
    <w:rsid w:val="00792D18"/>
    <w:rsid w:val="007930AD"/>
    <w:rsid w:val="00793194"/>
    <w:rsid w:val="00793417"/>
    <w:rsid w:val="00793A4F"/>
    <w:rsid w:val="00793ED1"/>
    <w:rsid w:val="00793F37"/>
    <w:rsid w:val="007941DF"/>
    <w:rsid w:val="0079511E"/>
    <w:rsid w:val="0079512C"/>
    <w:rsid w:val="0079518E"/>
    <w:rsid w:val="00795367"/>
    <w:rsid w:val="00796966"/>
    <w:rsid w:val="007976F7"/>
    <w:rsid w:val="00797F93"/>
    <w:rsid w:val="007A15C2"/>
    <w:rsid w:val="007A17A7"/>
    <w:rsid w:val="007A1820"/>
    <w:rsid w:val="007A1851"/>
    <w:rsid w:val="007A196F"/>
    <w:rsid w:val="007A1E67"/>
    <w:rsid w:val="007A2308"/>
    <w:rsid w:val="007A234A"/>
    <w:rsid w:val="007A2512"/>
    <w:rsid w:val="007A3560"/>
    <w:rsid w:val="007A3ACE"/>
    <w:rsid w:val="007A3F2A"/>
    <w:rsid w:val="007A3FD5"/>
    <w:rsid w:val="007A4021"/>
    <w:rsid w:val="007A40FD"/>
    <w:rsid w:val="007A41AA"/>
    <w:rsid w:val="007A442D"/>
    <w:rsid w:val="007A48CF"/>
    <w:rsid w:val="007A4D0D"/>
    <w:rsid w:val="007A5365"/>
    <w:rsid w:val="007A57E5"/>
    <w:rsid w:val="007A59FB"/>
    <w:rsid w:val="007A5B99"/>
    <w:rsid w:val="007A5E54"/>
    <w:rsid w:val="007A60F1"/>
    <w:rsid w:val="007A61E3"/>
    <w:rsid w:val="007A65F5"/>
    <w:rsid w:val="007A6667"/>
    <w:rsid w:val="007A6B41"/>
    <w:rsid w:val="007A6B91"/>
    <w:rsid w:val="007A7527"/>
    <w:rsid w:val="007A7B26"/>
    <w:rsid w:val="007A7B30"/>
    <w:rsid w:val="007A7BF7"/>
    <w:rsid w:val="007B0128"/>
    <w:rsid w:val="007B02AA"/>
    <w:rsid w:val="007B0D87"/>
    <w:rsid w:val="007B0DDB"/>
    <w:rsid w:val="007B0F25"/>
    <w:rsid w:val="007B0F27"/>
    <w:rsid w:val="007B1012"/>
    <w:rsid w:val="007B1406"/>
    <w:rsid w:val="007B148C"/>
    <w:rsid w:val="007B14F5"/>
    <w:rsid w:val="007B1D98"/>
    <w:rsid w:val="007B23A8"/>
    <w:rsid w:val="007B2536"/>
    <w:rsid w:val="007B3104"/>
    <w:rsid w:val="007B34CB"/>
    <w:rsid w:val="007B388C"/>
    <w:rsid w:val="007B3FCC"/>
    <w:rsid w:val="007B510E"/>
    <w:rsid w:val="007B56F1"/>
    <w:rsid w:val="007B5AB7"/>
    <w:rsid w:val="007B6298"/>
    <w:rsid w:val="007B6352"/>
    <w:rsid w:val="007B65CC"/>
    <w:rsid w:val="007B65F8"/>
    <w:rsid w:val="007B6E32"/>
    <w:rsid w:val="007B707E"/>
    <w:rsid w:val="007B73E1"/>
    <w:rsid w:val="007B7753"/>
    <w:rsid w:val="007B7779"/>
    <w:rsid w:val="007B7C2B"/>
    <w:rsid w:val="007B7D66"/>
    <w:rsid w:val="007B7EA2"/>
    <w:rsid w:val="007C0263"/>
    <w:rsid w:val="007C0AE9"/>
    <w:rsid w:val="007C0B90"/>
    <w:rsid w:val="007C1603"/>
    <w:rsid w:val="007C1825"/>
    <w:rsid w:val="007C1A0A"/>
    <w:rsid w:val="007C1A27"/>
    <w:rsid w:val="007C1C21"/>
    <w:rsid w:val="007C245E"/>
    <w:rsid w:val="007C26F1"/>
    <w:rsid w:val="007C27DD"/>
    <w:rsid w:val="007C2957"/>
    <w:rsid w:val="007C2D41"/>
    <w:rsid w:val="007C34E1"/>
    <w:rsid w:val="007C36CD"/>
    <w:rsid w:val="007C39E9"/>
    <w:rsid w:val="007C3C1C"/>
    <w:rsid w:val="007C436A"/>
    <w:rsid w:val="007C46E8"/>
    <w:rsid w:val="007C4744"/>
    <w:rsid w:val="007C47EC"/>
    <w:rsid w:val="007C4A30"/>
    <w:rsid w:val="007C4FED"/>
    <w:rsid w:val="007C5030"/>
    <w:rsid w:val="007C5036"/>
    <w:rsid w:val="007C505D"/>
    <w:rsid w:val="007C5091"/>
    <w:rsid w:val="007C54F5"/>
    <w:rsid w:val="007C55DD"/>
    <w:rsid w:val="007C563F"/>
    <w:rsid w:val="007C56C8"/>
    <w:rsid w:val="007C5AC3"/>
    <w:rsid w:val="007C5BAA"/>
    <w:rsid w:val="007C619F"/>
    <w:rsid w:val="007C63C4"/>
    <w:rsid w:val="007C6564"/>
    <w:rsid w:val="007C6826"/>
    <w:rsid w:val="007C6883"/>
    <w:rsid w:val="007C694E"/>
    <w:rsid w:val="007C69AE"/>
    <w:rsid w:val="007C6D0A"/>
    <w:rsid w:val="007C7282"/>
    <w:rsid w:val="007C7C12"/>
    <w:rsid w:val="007C7DBB"/>
    <w:rsid w:val="007D06AF"/>
    <w:rsid w:val="007D06D6"/>
    <w:rsid w:val="007D07D3"/>
    <w:rsid w:val="007D0E7B"/>
    <w:rsid w:val="007D1414"/>
    <w:rsid w:val="007D1D4E"/>
    <w:rsid w:val="007D20C2"/>
    <w:rsid w:val="007D2192"/>
    <w:rsid w:val="007D2405"/>
    <w:rsid w:val="007D27F0"/>
    <w:rsid w:val="007D2A77"/>
    <w:rsid w:val="007D2C9C"/>
    <w:rsid w:val="007D2CE5"/>
    <w:rsid w:val="007D3188"/>
    <w:rsid w:val="007D319A"/>
    <w:rsid w:val="007D3459"/>
    <w:rsid w:val="007D3544"/>
    <w:rsid w:val="007D3AE0"/>
    <w:rsid w:val="007D3DBA"/>
    <w:rsid w:val="007D3FBF"/>
    <w:rsid w:val="007D4147"/>
    <w:rsid w:val="007D4C90"/>
    <w:rsid w:val="007D5144"/>
    <w:rsid w:val="007D572F"/>
    <w:rsid w:val="007D5C9C"/>
    <w:rsid w:val="007D5CFD"/>
    <w:rsid w:val="007D5DB4"/>
    <w:rsid w:val="007D6090"/>
    <w:rsid w:val="007D61CF"/>
    <w:rsid w:val="007D68C2"/>
    <w:rsid w:val="007D6E33"/>
    <w:rsid w:val="007D7469"/>
    <w:rsid w:val="007D74E3"/>
    <w:rsid w:val="007D7B9B"/>
    <w:rsid w:val="007D7D69"/>
    <w:rsid w:val="007E064E"/>
    <w:rsid w:val="007E07A0"/>
    <w:rsid w:val="007E0C2E"/>
    <w:rsid w:val="007E0DC5"/>
    <w:rsid w:val="007E1145"/>
    <w:rsid w:val="007E1237"/>
    <w:rsid w:val="007E1272"/>
    <w:rsid w:val="007E12C2"/>
    <w:rsid w:val="007E1689"/>
    <w:rsid w:val="007E1C2E"/>
    <w:rsid w:val="007E20BE"/>
    <w:rsid w:val="007E2180"/>
    <w:rsid w:val="007E2212"/>
    <w:rsid w:val="007E29A0"/>
    <w:rsid w:val="007E29D7"/>
    <w:rsid w:val="007E2CE6"/>
    <w:rsid w:val="007E324F"/>
    <w:rsid w:val="007E328B"/>
    <w:rsid w:val="007E332F"/>
    <w:rsid w:val="007E38F6"/>
    <w:rsid w:val="007E3B18"/>
    <w:rsid w:val="007E3C7F"/>
    <w:rsid w:val="007E3F05"/>
    <w:rsid w:val="007E3F83"/>
    <w:rsid w:val="007E40EE"/>
    <w:rsid w:val="007E41B0"/>
    <w:rsid w:val="007E51C4"/>
    <w:rsid w:val="007E5284"/>
    <w:rsid w:val="007E5428"/>
    <w:rsid w:val="007E59C4"/>
    <w:rsid w:val="007E5ED4"/>
    <w:rsid w:val="007E6254"/>
    <w:rsid w:val="007E6278"/>
    <w:rsid w:val="007E63BD"/>
    <w:rsid w:val="007E642F"/>
    <w:rsid w:val="007E6523"/>
    <w:rsid w:val="007E658F"/>
    <w:rsid w:val="007E6B97"/>
    <w:rsid w:val="007E71C1"/>
    <w:rsid w:val="007E7352"/>
    <w:rsid w:val="007E7A5E"/>
    <w:rsid w:val="007E7ADE"/>
    <w:rsid w:val="007E7B5D"/>
    <w:rsid w:val="007E7E02"/>
    <w:rsid w:val="007F1369"/>
    <w:rsid w:val="007F13B3"/>
    <w:rsid w:val="007F165F"/>
    <w:rsid w:val="007F1B4D"/>
    <w:rsid w:val="007F1B70"/>
    <w:rsid w:val="007F1C6F"/>
    <w:rsid w:val="007F28FB"/>
    <w:rsid w:val="007F2A69"/>
    <w:rsid w:val="007F2AF7"/>
    <w:rsid w:val="007F2BC8"/>
    <w:rsid w:val="007F30E4"/>
    <w:rsid w:val="007F3748"/>
    <w:rsid w:val="007F3B37"/>
    <w:rsid w:val="007F3BA3"/>
    <w:rsid w:val="007F3C56"/>
    <w:rsid w:val="007F4151"/>
    <w:rsid w:val="007F4889"/>
    <w:rsid w:val="007F4BC2"/>
    <w:rsid w:val="007F4C75"/>
    <w:rsid w:val="007F4EFA"/>
    <w:rsid w:val="007F5568"/>
    <w:rsid w:val="007F5B97"/>
    <w:rsid w:val="007F5CAC"/>
    <w:rsid w:val="007F5D64"/>
    <w:rsid w:val="007F5ED6"/>
    <w:rsid w:val="007F620E"/>
    <w:rsid w:val="007F6242"/>
    <w:rsid w:val="007F64E1"/>
    <w:rsid w:val="007F6785"/>
    <w:rsid w:val="007F67C5"/>
    <w:rsid w:val="007F73B4"/>
    <w:rsid w:val="007F7697"/>
    <w:rsid w:val="007F7756"/>
    <w:rsid w:val="007F7E2A"/>
    <w:rsid w:val="00800887"/>
    <w:rsid w:val="00800E94"/>
    <w:rsid w:val="00801338"/>
    <w:rsid w:val="0080137A"/>
    <w:rsid w:val="0080194D"/>
    <w:rsid w:val="00802271"/>
    <w:rsid w:val="0080247D"/>
    <w:rsid w:val="0080256D"/>
    <w:rsid w:val="008026B3"/>
    <w:rsid w:val="00802C12"/>
    <w:rsid w:val="00802F06"/>
    <w:rsid w:val="00803365"/>
    <w:rsid w:val="00803792"/>
    <w:rsid w:val="0080417C"/>
    <w:rsid w:val="00804480"/>
    <w:rsid w:val="008051D4"/>
    <w:rsid w:val="0080557D"/>
    <w:rsid w:val="0080626F"/>
    <w:rsid w:val="0080664D"/>
    <w:rsid w:val="0080718E"/>
    <w:rsid w:val="00807709"/>
    <w:rsid w:val="008108FC"/>
    <w:rsid w:val="00810D73"/>
    <w:rsid w:val="00810DF2"/>
    <w:rsid w:val="008112B2"/>
    <w:rsid w:val="0081137A"/>
    <w:rsid w:val="00811662"/>
    <w:rsid w:val="00811865"/>
    <w:rsid w:val="0081193B"/>
    <w:rsid w:val="00811E89"/>
    <w:rsid w:val="00812359"/>
    <w:rsid w:val="00812CC3"/>
    <w:rsid w:val="00812F58"/>
    <w:rsid w:val="00813510"/>
    <w:rsid w:val="00813C66"/>
    <w:rsid w:val="00813E38"/>
    <w:rsid w:val="00813EBD"/>
    <w:rsid w:val="00814037"/>
    <w:rsid w:val="00814C1A"/>
    <w:rsid w:val="00814E0F"/>
    <w:rsid w:val="00814ECB"/>
    <w:rsid w:val="008154D6"/>
    <w:rsid w:val="00815D72"/>
    <w:rsid w:val="00815E4A"/>
    <w:rsid w:val="008163E7"/>
    <w:rsid w:val="0081649E"/>
    <w:rsid w:val="008169A1"/>
    <w:rsid w:val="00816D95"/>
    <w:rsid w:val="00816E46"/>
    <w:rsid w:val="00816F33"/>
    <w:rsid w:val="00817276"/>
    <w:rsid w:val="00817292"/>
    <w:rsid w:val="008172F0"/>
    <w:rsid w:val="00817A81"/>
    <w:rsid w:val="00817BBD"/>
    <w:rsid w:val="00817E78"/>
    <w:rsid w:val="00820360"/>
    <w:rsid w:val="008205AE"/>
    <w:rsid w:val="00820C74"/>
    <w:rsid w:val="00820D9B"/>
    <w:rsid w:val="00820DA2"/>
    <w:rsid w:val="00820E3E"/>
    <w:rsid w:val="008210B9"/>
    <w:rsid w:val="00821815"/>
    <w:rsid w:val="008218D8"/>
    <w:rsid w:val="00821B48"/>
    <w:rsid w:val="00821DA1"/>
    <w:rsid w:val="0082229A"/>
    <w:rsid w:val="00822517"/>
    <w:rsid w:val="00822728"/>
    <w:rsid w:val="00822CA8"/>
    <w:rsid w:val="008241A3"/>
    <w:rsid w:val="0082474F"/>
    <w:rsid w:val="0082477B"/>
    <w:rsid w:val="0082487E"/>
    <w:rsid w:val="00824ACA"/>
    <w:rsid w:val="00824E73"/>
    <w:rsid w:val="0082540D"/>
    <w:rsid w:val="00825458"/>
    <w:rsid w:val="008254D3"/>
    <w:rsid w:val="0082578B"/>
    <w:rsid w:val="008261A1"/>
    <w:rsid w:val="00826D44"/>
    <w:rsid w:val="00826F29"/>
    <w:rsid w:val="00826FC9"/>
    <w:rsid w:val="00826FFB"/>
    <w:rsid w:val="00827002"/>
    <w:rsid w:val="00827135"/>
    <w:rsid w:val="008275AE"/>
    <w:rsid w:val="00827A32"/>
    <w:rsid w:val="00827D9D"/>
    <w:rsid w:val="0082F2C8"/>
    <w:rsid w:val="00830450"/>
    <w:rsid w:val="0083093A"/>
    <w:rsid w:val="00830B68"/>
    <w:rsid w:val="00830D0D"/>
    <w:rsid w:val="00830FA6"/>
    <w:rsid w:val="00831158"/>
    <w:rsid w:val="008311A3"/>
    <w:rsid w:val="00831419"/>
    <w:rsid w:val="00831470"/>
    <w:rsid w:val="00831780"/>
    <w:rsid w:val="00831990"/>
    <w:rsid w:val="00831B42"/>
    <w:rsid w:val="008322F9"/>
    <w:rsid w:val="008327F1"/>
    <w:rsid w:val="00833197"/>
    <w:rsid w:val="00833418"/>
    <w:rsid w:val="0083373D"/>
    <w:rsid w:val="008350D7"/>
    <w:rsid w:val="00835427"/>
    <w:rsid w:val="0083566A"/>
    <w:rsid w:val="008356C4"/>
    <w:rsid w:val="00835881"/>
    <w:rsid w:val="00835BB0"/>
    <w:rsid w:val="00835C1F"/>
    <w:rsid w:val="00836316"/>
    <w:rsid w:val="0083666B"/>
    <w:rsid w:val="008366E3"/>
    <w:rsid w:val="0083675E"/>
    <w:rsid w:val="00836981"/>
    <w:rsid w:val="00836DE5"/>
    <w:rsid w:val="00836DEA"/>
    <w:rsid w:val="0083706E"/>
    <w:rsid w:val="008370FC"/>
    <w:rsid w:val="0083761A"/>
    <w:rsid w:val="00837E5D"/>
    <w:rsid w:val="00840475"/>
    <w:rsid w:val="00840B60"/>
    <w:rsid w:val="00840C3A"/>
    <w:rsid w:val="00841946"/>
    <w:rsid w:val="00841DA9"/>
    <w:rsid w:val="00841E50"/>
    <w:rsid w:val="00841F75"/>
    <w:rsid w:val="00842513"/>
    <w:rsid w:val="0084253B"/>
    <w:rsid w:val="008425E1"/>
    <w:rsid w:val="0084299B"/>
    <w:rsid w:val="0084364E"/>
    <w:rsid w:val="00843845"/>
    <w:rsid w:val="008438E6"/>
    <w:rsid w:val="008438EE"/>
    <w:rsid w:val="00843B3E"/>
    <w:rsid w:val="0084429D"/>
    <w:rsid w:val="0084461F"/>
    <w:rsid w:val="00844F54"/>
    <w:rsid w:val="00844F96"/>
    <w:rsid w:val="00844FCD"/>
    <w:rsid w:val="00845210"/>
    <w:rsid w:val="008454B5"/>
    <w:rsid w:val="00846812"/>
    <w:rsid w:val="00846C67"/>
    <w:rsid w:val="0084798F"/>
    <w:rsid w:val="00847A69"/>
    <w:rsid w:val="00847C42"/>
    <w:rsid w:val="00847C78"/>
    <w:rsid w:val="008509C2"/>
    <w:rsid w:val="0085102E"/>
    <w:rsid w:val="0085109F"/>
    <w:rsid w:val="008512F8"/>
    <w:rsid w:val="008516C1"/>
    <w:rsid w:val="008519EE"/>
    <w:rsid w:val="00851BEE"/>
    <w:rsid w:val="00851BF1"/>
    <w:rsid w:val="00851CEE"/>
    <w:rsid w:val="0085205B"/>
    <w:rsid w:val="00852253"/>
    <w:rsid w:val="008528E2"/>
    <w:rsid w:val="00852A10"/>
    <w:rsid w:val="008531EC"/>
    <w:rsid w:val="0085330A"/>
    <w:rsid w:val="00853FB0"/>
    <w:rsid w:val="00854084"/>
    <w:rsid w:val="00854105"/>
    <w:rsid w:val="008541C1"/>
    <w:rsid w:val="00854414"/>
    <w:rsid w:val="0085454D"/>
    <w:rsid w:val="0085488D"/>
    <w:rsid w:val="0085491A"/>
    <w:rsid w:val="00854E8B"/>
    <w:rsid w:val="00855081"/>
    <w:rsid w:val="008554C8"/>
    <w:rsid w:val="008555B3"/>
    <w:rsid w:val="00855792"/>
    <w:rsid w:val="008557D1"/>
    <w:rsid w:val="0085581C"/>
    <w:rsid w:val="00855A6D"/>
    <w:rsid w:val="00855C51"/>
    <w:rsid w:val="00855D12"/>
    <w:rsid w:val="0085621F"/>
    <w:rsid w:val="0085687C"/>
    <w:rsid w:val="00856F1E"/>
    <w:rsid w:val="0085742D"/>
    <w:rsid w:val="008577CC"/>
    <w:rsid w:val="00857CFF"/>
    <w:rsid w:val="00857F94"/>
    <w:rsid w:val="008601B4"/>
    <w:rsid w:val="00860432"/>
    <w:rsid w:val="008606D7"/>
    <w:rsid w:val="0086075D"/>
    <w:rsid w:val="00860957"/>
    <w:rsid w:val="00860AAE"/>
    <w:rsid w:val="00861175"/>
    <w:rsid w:val="0086136B"/>
    <w:rsid w:val="008613A1"/>
    <w:rsid w:val="00861589"/>
    <w:rsid w:val="0086176C"/>
    <w:rsid w:val="008619EA"/>
    <w:rsid w:val="00861EE4"/>
    <w:rsid w:val="008623AC"/>
    <w:rsid w:val="008624C3"/>
    <w:rsid w:val="008626BD"/>
    <w:rsid w:val="00862984"/>
    <w:rsid w:val="00862A19"/>
    <w:rsid w:val="00862A9A"/>
    <w:rsid w:val="00863059"/>
    <w:rsid w:val="00863400"/>
    <w:rsid w:val="0086342A"/>
    <w:rsid w:val="008634FC"/>
    <w:rsid w:val="00863F85"/>
    <w:rsid w:val="00864734"/>
    <w:rsid w:val="00864F01"/>
    <w:rsid w:val="008650F0"/>
    <w:rsid w:val="008654C5"/>
    <w:rsid w:val="00865737"/>
    <w:rsid w:val="0086597C"/>
    <w:rsid w:val="00865ECA"/>
    <w:rsid w:val="0086603F"/>
    <w:rsid w:val="008661DB"/>
    <w:rsid w:val="0086638F"/>
    <w:rsid w:val="0086665A"/>
    <w:rsid w:val="00866685"/>
    <w:rsid w:val="00866DAE"/>
    <w:rsid w:val="00866DD4"/>
    <w:rsid w:val="0086703C"/>
    <w:rsid w:val="008676F7"/>
    <w:rsid w:val="008676FA"/>
    <w:rsid w:val="0086782C"/>
    <w:rsid w:val="00867C4B"/>
    <w:rsid w:val="00867F45"/>
    <w:rsid w:val="00870166"/>
    <w:rsid w:val="00870607"/>
    <w:rsid w:val="00870C2E"/>
    <w:rsid w:val="0087100C"/>
    <w:rsid w:val="008713F8"/>
    <w:rsid w:val="00871667"/>
    <w:rsid w:val="00871D3C"/>
    <w:rsid w:val="008720B4"/>
    <w:rsid w:val="00872EA9"/>
    <w:rsid w:val="0087347E"/>
    <w:rsid w:val="008739CD"/>
    <w:rsid w:val="0087501D"/>
    <w:rsid w:val="0087569C"/>
    <w:rsid w:val="00875F1F"/>
    <w:rsid w:val="00876D56"/>
    <w:rsid w:val="00877226"/>
    <w:rsid w:val="0087788B"/>
    <w:rsid w:val="00877AD5"/>
    <w:rsid w:val="00877C5B"/>
    <w:rsid w:val="00877D60"/>
    <w:rsid w:val="00877FD9"/>
    <w:rsid w:val="00880516"/>
    <w:rsid w:val="008805AE"/>
    <w:rsid w:val="00880768"/>
    <w:rsid w:val="0088082A"/>
    <w:rsid w:val="00880CD9"/>
    <w:rsid w:val="00880FE5"/>
    <w:rsid w:val="00881080"/>
    <w:rsid w:val="008811D0"/>
    <w:rsid w:val="00881868"/>
    <w:rsid w:val="00881AA1"/>
    <w:rsid w:val="00881B67"/>
    <w:rsid w:val="0088210E"/>
    <w:rsid w:val="00882459"/>
    <w:rsid w:val="008824E6"/>
    <w:rsid w:val="00882574"/>
    <w:rsid w:val="008825FE"/>
    <w:rsid w:val="0088265E"/>
    <w:rsid w:val="008828E2"/>
    <w:rsid w:val="00882978"/>
    <w:rsid w:val="008829FE"/>
    <w:rsid w:val="00882DF9"/>
    <w:rsid w:val="00884386"/>
    <w:rsid w:val="008843BF"/>
    <w:rsid w:val="0088471D"/>
    <w:rsid w:val="00884796"/>
    <w:rsid w:val="0088494C"/>
    <w:rsid w:val="00884C52"/>
    <w:rsid w:val="00885236"/>
    <w:rsid w:val="00885579"/>
    <w:rsid w:val="00885954"/>
    <w:rsid w:val="00885BB2"/>
    <w:rsid w:val="00886AC7"/>
    <w:rsid w:val="008872FA"/>
    <w:rsid w:val="00887625"/>
    <w:rsid w:val="00887647"/>
    <w:rsid w:val="0088776B"/>
    <w:rsid w:val="008877A2"/>
    <w:rsid w:val="00887BFF"/>
    <w:rsid w:val="00887D3C"/>
    <w:rsid w:val="00887DE4"/>
    <w:rsid w:val="00887E80"/>
    <w:rsid w:val="008904CA"/>
    <w:rsid w:val="008910B9"/>
    <w:rsid w:val="00891384"/>
    <w:rsid w:val="008918D8"/>
    <w:rsid w:val="00891C58"/>
    <w:rsid w:val="00891E2E"/>
    <w:rsid w:val="00891F40"/>
    <w:rsid w:val="00892006"/>
    <w:rsid w:val="00892A13"/>
    <w:rsid w:val="008938A6"/>
    <w:rsid w:val="00893B83"/>
    <w:rsid w:val="00893F08"/>
    <w:rsid w:val="00893F26"/>
    <w:rsid w:val="008940AF"/>
    <w:rsid w:val="00894225"/>
    <w:rsid w:val="008942C1"/>
    <w:rsid w:val="00894555"/>
    <w:rsid w:val="00894744"/>
    <w:rsid w:val="00894C42"/>
    <w:rsid w:val="00894F41"/>
    <w:rsid w:val="008951BE"/>
    <w:rsid w:val="0089567D"/>
    <w:rsid w:val="00895B74"/>
    <w:rsid w:val="00895B90"/>
    <w:rsid w:val="00895C5D"/>
    <w:rsid w:val="00895D58"/>
    <w:rsid w:val="00895F92"/>
    <w:rsid w:val="008961DB"/>
    <w:rsid w:val="0089663B"/>
    <w:rsid w:val="008966EE"/>
    <w:rsid w:val="008967D9"/>
    <w:rsid w:val="008968AE"/>
    <w:rsid w:val="0089724A"/>
    <w:rsid w:val="008974D5"/>
    <w:rsid w:val="00897615"/>
    <w:rsid w:val="0089792F"/>
    <w:rsid w:val="008979C7"/>
    <w:rsid w:val="00897F2B"/>
    <w:rsid w:val="008A0871"/>
    <w:rsid w:val="008A1D49"/>
    <w:rsid w:val="008A1DD0"/>
    <w:rsid w:val="008A1F20"/>
    <w:rsid w:val="008A21F8"/>
    <w:rsid w:val="008A2294"/>
    <w:rsid w:val="008A23FC"/>
    <w:rsid w:val="008A324E"/>
    <w:rsid w:val="008A3564"/>
    <w:rsid w:val="008A3AFB"/>
    <w:rsid w:val="008A4499"/>
    <w:rsid w:val="008A49D9"/>
    <w:rsid w:val="008A50EC"/>
    <w:rsid w:val="008A544E"/>
    <w:rsid w:val="008A5A1A"/>
    <w:rsid w:val="008A5A7E"/>
    <w:rsid w:val="008A5E31"/>
    <w:rsid w:val="008A6453"/>
    <w:rsid w:val="008A6F16"/>
    <w:rsid w:val="008A71FE"/>
    <w:rsid w:val="008A77CC"/>
    <w:rsid w:val="008A7B62"/>
    <w:rsid w:val="008A7E02"/>
    <w:rsid w:val="008B009B"/>
    <w:rsid w:val="008B0676"/>
    <w:rsid w:val="008B0D94"/>
    <w:rsid w:val="008B0EF5"/>
    <w:rsid w:val="008B0F0C"/>
    <w:rsid w:val="008B1002"/>
    <w:rsid w:val="008B15C1"/>
    <w:rsid w:val="008B1760"/>
    <w:rsid w:val="008B1B6E"/>
    <w:rsid w:val="008B1D30"/>
    <w:rsid w:val="008B200C"/>
    <w:rsid w:val="008B2361"/>
    <w:rsid w:val="008B2653"/>
    <w:rsid w:val="008B2F85"/>
    <w:rsid w:val="008B30D6"/>
    <w:rsid w:val="008B339E"/>
    <w:rsid w:val="008B37BF"/>
    <w:rsid w:val="008B3FE2"/>
    <w:rsid w:val="008B4E26"/>
    <w:rsid w:val="008B4EC3"/>
    <w:rsid w:val="008B4FAD"/>
    <w:rsid w:val="008B50C6"/>
    <w:rsid w:val="008B52EB"/>
    <w:rsid w:val="008B610C"/>
    <w:rsid w:val="008B673D"/>
    <w:rsid w:val="008B707C"/>
    <w:rsid w:val="008B7223"/>
    <w:rsid w:val="008B73D1"/>
    <w:rsid w:val="008B7535"/>
    <w:rsid w:val="008B7A4D"/>
    <w:rsid w:val="008B7AB8"/>
    <w:rsid w:val="008B7ACE"/>
    <w:rsid w:val="008C039D"/>
    <w:rsid w:val="008C03A3"/>
    <w:rsid w:val="008C04D5"/>
    <w:rsid w:val="008C09CC"/>
    <w:rsid w:val="008C09DF"/>
    <w:rsid w:val="008C0FD7"/>
    <w:rsid w:val="008C16F6"/>
    <w:rsid w:val="008C18CE"/>
    <w:rsid w:val="008C1A40"/>
    <w:rsid w:val="008C1F0E"/>
    <w:rsid w:val="008C1F62"/>
    <w:rsid w:val="008C2260"/>
    <w:rsid w:val="008C24F9"/>
    <w:rsid w:val="008C2E7B"/>
    <w:rsid w:val="008C310D"/>
    <w:rsid w:val="008C32FC"/>
    <w:rsid w:val="008C3466"/>
    <w:rsid w:val="008C3662"/>
    <w:rsid w:val="008C4A5E"/>
    <w:rsid w:val="008C4D45"/>
    <w:rsid w:val="008C5314"/>
    <w:rsid w:val="008C5480"/>
    <w:rsid w:val="008C55A5"/>
    <w:rsid w:val="008C64F2"/>
    <w:rsid w:val="008C65A9"/>
    <w:rsid w:val="008C6A83"/>
    <w:rsid w:val="008C6EE6"/>
    <w:rsid w:val="008C6FA0"/>
    <w:rsid w:val="008C72CF"/>
    <w:rsid w:val="008C7335"/>
    <w:rsid w:val="008C7B34"/>
    <w:rsid w:val="008C7D4F"/>
    <w:rsid w:val="008D049A"/>
    <w:rsid w:val="008D0A0B"/>
    <w:rsid w:val="008D0A8D"/>
    <w:rsid w:val="008D13CA"/>
    <w:rsid w:val="008D162D"/>
    <w:rsid w:val="008D1706"/>
    <w:rsid w:val="008D1B38"/>
    <w:rsid w:val="008D1B8A"/>
    <w:rsid w:val="008D23BF"/>
    <w:rsid w:val="008D2749"/>
    <w:rsid w:val="008D2829"/>
    <w:rsid w:val="008D2B87"/>
    <w:rsid w:val="008D2E37"/>
    <w:rsid w:val="008D2EAE"/>
    <w:rsid w:val="008D2FD1"/>
    <w:rsid w:val="008D3071"/>
    <w:rsid w:val="008D30D0"/>
    <w:rsid w:val="008D31FF"/>
    <w:rsid w:val="008D36F0"/>
    <w:rsid w:val="008D3C6D"/>
    <w:rsid w:val="008D3F7B"/>
    <w:rsid w:val="008D4207"/>
    <w:rsid w:val="008D4792"/>
    <w:rsid w:val="008D47CA"/>
    <w:rsid w:val="008D4A8E"/>
    <w:rsid w:val="008D4ACB"/>
    <w:rsid w:val="008D54AA"/>
    <w:rsid w:val="008D55D5"/>
    <w:rsid w:val="008D57E9"/>
    <w:rsid w:val="008D5CB4"/>
    <w:rsid w:val="008D60F9"/>
    <w:rsid w:val="008D6AD1"/>
    <w:rsid w:val="008D6D2D"/>
    <w:rsid w:val="008D6DF7"/>
    <w:rsid w:val="008D6E8F"/>
    <w:rsid w:val="008D74A1"/>
    <w:rsid w:val="008D7F01"/>
    <w:rsid w:val="008D7FF1"/>
    <w:rsid w:val="008E0102"/>
    <w:rsid w:val="008E0180"/>
    <w:rsid w:val="008E032A"/>
    <w:rsid w:val="008E0331"/>
    <w:rsid w:val="008E04CB"/>
    <w:rsid w:val="008E0959"/>
    <w:rsid w:val="008E1539"/>
    <w:rsid w:val="008E1A2D"/>
    <w:rsid w:val="008E2305"/>
    <w:rsid w:val="008E288A"/>
    <w:rsid w:val="008E347B"/>
    <w:rsid w:val="008E35DB"/>
    <w:rsid w:val="008E39F0"/>
    <w:rsid w:val="008E3E65"/>
    <w:rsid w:val="008E41F8"/>
    <w:rsid w:val="008E47EE"/>
    <w:rsid w:val="008E4843"/>
    <w:rsid w:val="008E4897"/>
    <w:rsid w:val="008E50F8"/>
    <w:rsid w:val="008E53E0"/>
    <w:rsid w:val="008E5C2F"/>
    <w:rsid w:val="008E637D"/>
    <w:rsid w:val="008E67BF"/>
    <w:rsid w:val="008E6F14"/>
    <w:rsid w:val="008E7250"/>
    <w:rsid w:val="008E740A"/>
    <w:rsid w:val="008E7919"/>
    <w:rsid w:val="008E7973"/>
    <w:rsid w:val="008E7C68"/>
    <w:rsid w:val="008F04C7"/>
    <w:rsid w:val="008F0EB7"/>
    <w:rsid w:val="008F1158"/>
    <w:rsid w:val="008F15E5"/>
    <w:rsid w:val="008F1C16"/>
    <w:rsid w:val="008F224D"/>
    <w:rsid w:val="008F4256"/>
    <w:rsid w:val="008F446B"/>
    <w:rsid w:val="008F4591"/>
    <w:rsid w:val="008F46DF"/>
    <w:rsid w:val="008F470F"/>
    <w:rsid w:val="008F4824"/>
    <w:rsid w:val="008F482B"/>
    <w:rsid w:val="008F55C2"/>
    <w:rsid w:val="008F58A8"/>
    <w:rsid w:val="008F5DFD"/>
    <w:rsid w:val="008F6053"/>
    <w:rsid w:val="008F67BC"/>
    <w:rsid w:val="008F7249"/>
    <w:rsid w:val="008F765F"/>
    <w:rsid w:val="008F79BF"/>
    <w:rsid w:val="008F7C93"/>
    <w:rsid w:val="00900770"/>
    <w:rsid w:val="00900CF4"/>
    <w:rsid w:val="00900E3B"/>
    <w:rsid w:val="00901106"/>
    <w:rsid w:val="00901358"/>
    <w:rsid w:val="00901871"/>
    <w:rsid w:val="0090198D"/>
    <w:rsid w:val="00901EA0"/>
    <w:rsid w:val="00901EF1"/>
    <w:rsid w:val="009022F9"/>
    <w:rsid w:val="0090235F"/>
    <w:rsid w:val="0090239A"/>
    <w:rsid w:val="00904097"/>
    <w:rsid w:val="0090437D"/>
    <w:rsid w:val="00904500"/>
    <w:rsid w:val="009046EF"/>
    <w:rsid w:val="00904BC5"/>
    <w:rsid w:val="0090513E"/>
    <w:rsid w:val="00905280"/>
    <w:rsid w:val="0090569A"/>
    <w:rsid w:val="009059EB"/>
    <w:rsid w:val="00905FEE"/>
    <w:rsid w:val="009061BB"/>
    <w:rsid w:val="009066E8"/>
    <w:rsid w:val="00906B8B"/>
    <w:rsid w:val="009077D1"/>
    <w:rsid w:val="00907CA7"/>
    <w:rsid w:val="00907DA0"/>
    <w:rsid w:val="009100C5"/>
    <w:rsid w:val="00910807"/>
    <w:rsid w:val="00910B50"/>
    <w:rsid w:val="00910CEC"/>
    <w:rsid w:val="009114F9"/>
    <w:rsid w:val="0091152B"/>
    <w:rsid w:val="009116B3"/>
    <w:rsid w:val="00911953"/>
    <w:rsid w:val="00911BEE"/>
    <w:rsid w:val="00911E7E"/>
    <w:rsid w:val="00912025"/>
    <w:rsid w:val="009129C2"/>
    <w:rsid w:val="00912C38"/>
    <w:rsid w:val="00912E52"/>
    <w:rsid w:val="0091361C"/>
    <w:rsid w:val="009138E0"/>
    <w:rsid w:val="00913FB8"/>
    <w:rsid w:val="00913FBC"/>
    <w:rsid w:val="0091422D"/>
    <w:rsid w:val="00914AED"/>
    <w:rsid w:val="00914EC7"/>
    <w:rsid w:val="0091548E"/>
    <w:rsid w:val="009154AC"/>
    <w:rsid w:val="009157D7"/>
    <w:rsid w:val="00915F7E"/>
    <w:rsid w:val="0091673A"/>
    <w:rsid w:val="00916897"/>
    <w:rsid w:val="0091699F"/>
    <w:rsid w:val="00916B83"/>
    <w:rsid w:val="00916CE5"/>
    <w:rsid w:val="00916E9A"/>
    <w:rsid w:val="00917920"/>
    <w:rsid w:val="00917D7D"/>
    <w:rsid w:val="00920477"/>
    <w:rsid w:val="00920777"/>
    <w:rsid w:val="00921492"/>
    <w:rsid w:val="00921BAC"/>
    <w:rsid w:val="00921C0F"/>
    <w:rsid w:val="00922330"/>
    <w:rsid w:val="00922771"/>
    <w:rsid w:val="00922FD7"/>
    <w:rsid w:val="00923010"/>
    <w:rsid w:val="00923116"/>
    <w:rsid w:val="009232DA"/>
    <w:rsid w:val="009234C4"/>
    <w:rsid w:val="00923798"/>
    <w:rsid w:val="0092424A"/>
    <w:rsid w:val="00924B3F"/>
    <w:rsid w:val="00924FE1"/>
    <w:rsid w:val="00925014"/>
    <w:rsid w:val="0092501F"/>
    <w:rsid w:val="009250EA"/>
    <w:rsid w:val="009251AC"/>
    <w:rsid w:val="00925797"/>
    <w:rsid w:val="00926376"/>
    <w:rsid w:val="009264B3"/>
    <w:rsid w:val="00926D38"/>
    <w:rsid w:val="0092722C"/>
    <w:rsid w:val="009273AA"/>
    <w:rsid w:val="009275BA"/>
    <w:rsid w:val="00927760"/>
    <w:rsid w:val="009278BF"/>
    <w:rsid w:val="00927DBD"/>
    <w:rsid w:val="00930244"/>
    <w:rsid w:val="009303FF"/>
    <w:rsid w:val="009304E7"/>
    <w:rsid w:val="0093051D"/>
    <w:rsid w:val="00930C31"/>
    <w:rsid w:val="0093157E"/>
    <w:rsid w:val="0093185D"/>
    <w:rsid w:val="00931B12"/>
    <w:rsid w:val="00932437"/>
    <w:rsid w:val="00932549"/>
    <w:rsid w:val="00932A9A"/>
    <w:rsid w:val="00932C18"/>
    <w:rsid w:val="00933AC7"/>
    <w:rsid w:val="00934581"/>
    <w:rsid w:val="00934A39"/>
    <w:rsid w:val="009359C4"/>
    <w:rsid w:val="00935E32"/>
    <w:rsid w:val="009366A2"/>
    <w:rsid w:val="009366E0"/>
    <w:rsid w:val="00937056"/>
    <w:rsid w:val="009371B5"/>
    <w:rsid w:val="009375D7"/>
    <w:rsid w:val="00937633"/>
    <w:rsid w:val="00937BE7"/>
    <w:rsid w:val="00937D5A"/>
    <w:rsid w:val="00937F70"/>
    <w:rsid w:val="009403B5"/>
    <w:rsid w:val="009406DE"/>
    <w:rsid w:val="00940AF1"/>
    <w:rsid w:val="00940C11"/>
    <w:rsid w:val="00940DD2"/>
    <w:rsid w:val="00940E95"/>
    <w:rsid w:val="009413A0"/>
    <w:rsid w:val="009419F3"/>
    <w:rsid w:val="00941A7B"/>
    <w:rsid w:val="00941BA5"/>
    <w:rsid w:val="00941F4D"/>
    <w:rsid w:val="009420C2"/>
    <w:rsid w:val="00942881"/>
    <w:rsid w:val="00942F5A"/>
    <w:rsid w:val="009430D8"/>
    <w:rsid w:val="0094312E"/>
    <w:rsid w:val="00943848"/>
    <w:rsid w:val="00943BC7"/>
    <w:rsid w:val="00943C68"/>
    <w:rsid w:val="00943C69"/>
    <w:rsid w:val="00943FB4"/>
    <w:rsid w:val="009442A3"/>
    <w:rsid w:val="00944B12"/>
    <w:rsid w:val="009450C2"/>
    <w:rsid w:val="00945109"/>
    <w:rsid w:val="009452B6"/>
    <w:rsid w:val="00945559"/>
    <w:rsid w:val="00945671"/>
    <w:rsid w:val="0094584F"/>
    <w:rsid w:val="009459A5"/>
    <w:rsid w:val="00945ABA"/>
    <w:rsid w:val="00945E05"/>
    <w:rsid w:val="00946387"/>
    <w:rsid w:val="00946556"/>
    <w:rsid w:val="00946C0C"/>
    <w:rsid w:val="00946F79"/>
    <w:rsid w:val="0094734A"/>
    <w:rsid w:val="00950B4B"/>
    <w:rsid w:val="00950F09"/>
    <w:rsid w:val="00950F32"/>
    <w:rsid w:val="00950FB3"/>
    <w:rsid w:val="00951033"/>
    <w:rsid w:val="00951BC4"/>
    <w:rsid w:val="00953023"/>
    <w:rsid w:val="009530D6"/>
    <w:rsid w:val="00953204"/>
    <w:rsid w:val="0095377A"/>
    <w:rsid w:val="009537DF"/>
    <w:rsid w:val="0095524E"/>
    <w:rsid w:val="009553E2"/>
    <w:rsid w:val="00957017"/>
    <w:rsid w:val="00957254"/>
    <w:rsid w:val="0095725B"/>
    <w:rsid w:val="00957CD6"/>
    <w:rsid w:val="00957DFA"/>
    <w:rsid w:val="00957EF6"/>
    <w:rsid w:val="009601BA"/>
    <w:rsid w:val="009604AF"/>
    <w:rsid w:val="009605F4"/>
    <w:rsid w:val="00960BD8"/>
    <w:rsid w:val="00960D45"/>
    <w:rsid w:val="00960E59"/>
    <w:rsid w:val="00960EE4"/>
    <w:rsid w:val="0096164B"/>
    <w:rsid w:val="00961E96"/>
    <w:rsid w:val="00961F84"/>
    <w:rsid w:val="009620D7"/>
    <w:rsid w:val="009625CF"/>
    <w:rsid w:val="00962657"/>
    <w:rsid w:val="00962817"/>
    <w:rsid w:val="009628ED"/>
    <w:rsid w:val="00962997"/>
    <w:rsid w:val="00962B4E"/>
    <w:rsid w:val="009630B2"/>
    <w:rsid w:val="00963351"/>
    <w:rsid w:val="00963963"/>
    <w:rsid w:val="009639B0"/>
    <w:rsid w:val="00963C90"/>
    <w:rsid w:val="00963CD5"/>
    <w:rsid w:val="00964067"/>
    <w:rsid w:val="00964834"/>
    <w:rsid w:val="00964D2C"/>
    <w:rsid w:val="009652D1"/>
    <w:rsid w:val="00965664"/>
    <w:rsid w:val="0096599A"/>
    <w:rsid w:val="00965C77"/>
    <w:rsid w:val="00965C99"/>
    <w:rsid w:val="0096604B"/>
    <w:rsid w:val="009661B1"/>
    <w:rsid w:val="00966568"/>
    <w:rsid w:val="0096698D"/>
    <w:rsid w:val="009669A4"/>
    <w:rsid w:val="00966CF9"/>
    <w:rsid w:val="00966E3B"/>
    <w:rsid w:val="00966FEF"/>
    <w:rsid w:val="00967640"/>
    <w:rsid w:val="0096770A"/>
    <w:rsid w:val="009701E1"/>
    <w:rsid w:val="009702D9"/>
    <w:rsid w:val="009706E6"/>
    <w:rsid w:val="00970F5E"/>
    <w:rsid w:val="00971327"/>
    <w:rsid w:val="009716F0"/>
    <w:rsid w:val="00971B73"/>
    <w:rsid w:val="00971D9B"/>
    <w:rsid w:val="00971E0B"/>
    <w:rsid w:val="009723BC"/>
    <w:rsid w:val="00972762"/>
    <w:rsid w:val="00973035"/>
    <w:rsid w:val="009730C3"/>
    <w:rsid w:val="00973312"/>
    <w:rsid w:val="00973465"/>
    <w:rsid w:val="009735C1"/>
    <w:rsid w:val="00973DAB"/>
    <w:rsid w:val="00973E45"/>
    <w:rsid w:val="00973FF8"/>
    <w:rsid w:val="009740F7"/>
    <w:rsid w:val="009741A8"/>
    <w:rsid w:val="00974878"/>
    <w:rsid w:val="00974A00"/>
    <w:rsid w:val="00974F1B"/>
    <w:rsid w:val="009750B0"/>
    <w:rsid w:val="009754DD"/>
    <w:rsid w:val="009755A9"/>
    <w:rsid w:val="0097624D"/>
    <w:rsid w:val="009774FC"/>
    <w:rsid w:val="0097751B"/>
    <w:rsid w:val="009778E0"/>
    <w:rsid w:val="00977911"/>
    <w:rsid w:val="00977C11"/>
    <w:rsid w:val="00977CA1"/>
    <w:rsid w:val="00977CEF"/>
    <w:rsid w:val="009803F4"/>
    <w:rsid w:val="00980A4E"/>
    <w:rsid w:val="00980AA9"/>
    <w:rsid w:val="00980B4A"/>
    <w:rsid w:val="00980C45"/>
    <w:rsid w:val="009823E2"/>
    <w:rsid w:val="00983362"/>
    <w:rsid w:val="0098390E"/>
    <w:rsid w:val="00983B74"/>
    <w:rsid w:val="00983F75"/>
    <w:rsid w:val="009842D8"/>
    <w:rsid w:val="00984B22"/>
    <w:rsid w:val="00984BA3"/>
    <w:rsid w:val="00984E9A"/>
    <w:rsid w:val="00985232"/>
    <w:rsid w:val="009852BE"/>
    <w:rsid w:val="00985632"/>
    <w:rsid w:val="0098576D"/>
    <w:rsid w:val="009857BC"/>
    <w:rsid w:val="00986048"/>
    <w:rsid w:val="009863C3"/>
    <w:rsid w:val="009869BB"/>
    <w:rsid w:val="00986F02"/>
    <w:rsid w:val="009870C4"/>
    <w:rsid w:val="0098714A"/>
    <w:rsid w:val="009873DE"/>
    <w:rsid w:val="009873E6"/>
    <w:rsid w:val="00987421"/>
    <w:rsid w:val="009904BD"/>
    <w:rsid w:val="00990BB3"/>
    <w:rsid w:val="00990C28"/>
    <w:rsid w:val="00990FA3"/>
    <w:rsid w:val="00991658"/>
    <w:rsid w:val="00991774"/>
    <w:rsid w:val="0099179D"/>
    <w:rsid w:val="009917DA"/>
    <w:rsid w:val="00993689"/>
    <w:rsid w:val="00993CBE"/>
    <w:rsid w:val="00993DC0"/>
    <w:rsid w:val="00993FA5"/>
    <w:rsid w:val="009944D5"/>
    <w:rsid w:val="009945F0"/>
    <w:rsid w:val="009949FF"/>
    <w:rsid w:val="0099561C"/>
    <w:rsid w:val="00995C08"/>
    <w:rsid w:val="00996625"/>
    <w:rsid w:val="00996A5D"/>
    <w:rsid w:val="0099742B"/>
    <w:rsid w:val="0099745F"/>
    <w:rsid w:val="00997A58"/>
    <w:rsid w:val="00997F67"/>
    <w:rsid w:val="009A00FB"/>
    <w:rsid w:val="009A0EF7"/>
    <w:rsid w:val="009A147B"/>
    <w:rsid w:val="009A14FF"/>
    <w:rsid w:val="009A1711"/>
    <w:rsid w:val="009A17D8"/>
    <w:rsid w:val="009A1CC4"/>
    <w:rsid w:val="009A25D1"/>
    <w:rsid w:val="009A2675"/>
    <w:rsid w:val="009A29B5"/>
    <w:rsid w:val="009A30CE"/>
    <w:rsid w:val="009A34C7"/>
    <w:rsid w:val="009A3C6C"/>
    <w:rsid w:val="009A3F29"/>
    <w:rsid w:val="009A4DCB"/>
    <w:rsid w:val="009A5029"/>
    <w:rsid w:val="009A59F5"/>
    <w:rsid w:val="009A5A44"/>
    <w:rsid w:val="009A61E5"/>
    <w:rsid w:val="009A6279"/>
    <w:rsid w:val="009A63FD"/>
    <w:rsid w:val="009A65A3"/>
    <w:rsid w:val="009A66F2"/>
    <w:rsid w:val="009A684D"/>
    <w:rsid w:val="009A6D2A"/>
    <w:rsid w:val="009A70FE"/>
    <w:rsid w:val="009A7AB9"/>
    <w:rsid w:val="009A7B18"/>
    <w:rsid w:val="009A7CE4"/>
    <w:rsid w:val="009A7DE2"/>
    <w:rsid w:val="009A7F65"/>
    <w:rsid w:val="009AE4CA"/>
    <w:rsid w:val="009B0AAE"/>
    <w:rsid w:val="009B0C7A"/>
    <w:rsid w:val="009B1314"/>
    <w:rsid w:val="009B1316"/>
    <w:rsid w:val="009B1960"/>
    <w:rsid w:val="009B1BF7"/>
    <w:rsid w:val="009B1C76"/>
    <w:rsid w:val="009B1D6F"/>
    <w:rsid w:val="009B21CD"/>
    <w:rsid w:val="009B2306"/>
    <w:rsid w:val="009B2DB0"/>
    <w:rsid w:val="009B2E16"/>
    <w:rsid w:val="009B2F41"/>
    <w:rsid w:val="009B30FC"/>
    <w:rsid w:val="009B3B84"/>
    <w:rsid w:val="009B4083"/>
    <w:rsid w:val="009B40F0"/>
    <w:rsid w:val="009B43B1"/>
    <w:rsid w:val="009B4849"/>
    <w:rsid w:val="009B493B"/>
    <w:rsid w:val="009B4952"/>
    <w:rsid w:val="009B4974"/>
    <w:rsid w:val="009B49C2"/>
    <w:rsid w:val="009B4BBB"/>
    <w:rsid w:val="009B504F"/>
    <w:rsid w:val="009B5635"/>
    <w:rsid w:val="009B5D19"/>
    <w:rsid w:val="009B5F31"/>
    <w:rsid w:val="009B66DE"/>
    <w:rsid w:val="009B6C1E"/>
    <w:rsid w:val="009B71D1"/>
    <w:rsid w:val="009B729C"/>
    <w:rsid w:val="009B73B2"/>
    <w:rsid w:val="009B7F28"/>
    <w:rsid w:val="009C01B7"/>
    <w:rsid w:val="009C0BDD"/>
    <w:rsid w:val="009C0D03"/>
    <w:rsid w:val="009C1AF6"/>
    <w:rsid w:val="009C2655"/>
    <w:rsid w:val="009C29A6"/>
    <w:rsid w:val="009C2A09"/>
    <w:rsid w:val="009C2A5E"/>
    <w:rsid w:val="009C2A9F"/>
    <w:rsid w:val="009C33AC"/>
    <w:rsid w:val="009C33C3"/>
    <w:rsid w:val="009C3E79"/>
    <w:rsid w:val="009C3E9D"/>
    <w:rsid w:val="009C437E"/>
    <w:rsid w:val="009C4923"/>
    <w:rsid w:val="009C4C9A"/>
    <w:rsid w:val="009C4EAB"/>
    <w:rsid w:val="009C523A"/>
    <w:rsid w:val="009C5301"/>
    <w:rsid w:val="009C6154"/>
    <w:rsid w:val="009C630A"/>
    <w:rsid w:val="009C6662"/>
    <w:rsid w:val="009C6A9F"/>
    <w:rsid w:val="009C6E2C"/>
    <w:rsid w:val="009C7172"/>
    <w:rsid w:val="009C7714"/>
    <w:rsid w:val="009C7771"/>
    <w:rsid w:val="009C7780"/>
    <w:rsid w:val="009D019B"/>
    <w:rsid w:val="009D0813"/>
    <w:rsid w:val="009D1215"/>
    <w:rsid w:val="009D26DC"/>
    <w:rsid w:val="009D2A5F"/>
    <w:rsid w:val="009D2B91"/>
    <w:rsid w:val="009D2F87"/>
    <w:rsid w:val="009D30CF"/>
    <w:rsid w:val="009D31CD"/>
    <w:rsid w:val="009D326F"/>
    <w:rsid w:val="009D3481"/>
    <w:rsid w:val="009D3A09"/>
    <w:rsid w:val="009D3ECB"/>
    <w:rsid w:val="009D420E"/>
    <w:rsid w:val="009D4410"/>
    <w:rsid w:val="009D4737"/>
    <w:rsid w:val="009D4A35"/>
    <w:rsid w:val="009D4BF2"/>
    <w:rsid w:val="009D5546"/>
    <w:rsid w:val="009D5712"/>
    <w:rsid w:val="009D672C"/>
    <w:rsid w:val="009D6C9D"/>
    <w:rsid w:val="009D7145"/>
    <w:rsid w:val="009D7A69"/>
    <w:rsid w:val="009D7C18"/>
    <w:rsid w:val="009D7E11"/>
    <w:rsid w:val="009D7F1F"/>
    <w:rsid w:val="009E0187"/>
    <w:rsid w:val="009E024C"/>
    <w:rsid w:val="009E0288"/>
    <w:rsid w:val="009E0AEF"/>
    <w:rsid w:val="009E0EA3"/>
    <w:rsid w:val="009E1369"/>
    <w:rsid w:val="009E1823"/>
    <w:rsid w:val="009E1CAB"/>
    <w:rsid w:val="009E1D86"/>
    <w:rsid w:val="009E1FB1"/>
    <w:rsid w:val="009E236E"/>
    <w:rsid w:val="009E2DC2"/>
    <w:rsid w:val="009E3030"/>
    <w:rsid w:val="009E3263"/>
    <w:rsid w:val="009E3B70"/>
    <w:rsid w:val="009E412E"/>
    <w:rsid w:val="009E453E"/>
    <w:rsid w:val="009E46FC"/>
    <w:rsid w:val="009E4B57"/>
    <w:rsid w:val="009E4B63"/>
    <w:rsid w:val="009E4D8E"/>
    <w:rsid w:val="009E4EE6"/>
    <w:rsid w:val="009E5A66"/>
    <w:rsid w:val="009E5B18"/>
    <w:rsid w:val="009E60F3"/>
    <w:rsid w:val="009E6149"/>
    <w:rsid w:val="009E6226"/>
    <w:rsid w:val="009E64DC"/>
    <w:rsid w:val="009E6537"/>
    <w:rsid w:val="009E6700"/>
    <w:rsid w:val="009E6748"/>
    <w:rsid w:val="009E6777"/>
    <w:rsid w:val="009E6CAE"/>
    <w:rsid w:val="009E7043"/>
    <w:rsid w:val="009E7A8C"/>
    <w:rsid w:val="009E7AD5"/>
    <w:rsid w:val="009E7BBA"/>
    <w:rsid w:val="009F00F8"/>
    <w:rsid w:val="009F05F2"/>
    <w:rsid w:val="009F070E"/>
    <w:rsid w:val="009F0835"/>
    <w:rsid w:val="009F0F0B"/>
    <w:rsid w:val="009F0F67"/>
    <w:rsid w:val="009F110A"/>
    <w:rsid w:val="009F1260"/>
    <w:rsid w:val="009F14B2"/>
    <w:rsid w:val="009F151D"/>
    <w:rsid w:val="009F15EF"/>
    <w:rsid w:val="009F16BE"/>
    <w:rsid w:val="009F1DCB"/>
    <w:rsid w:val="009F1F85"/>
    <w:rsid w:val="009F2022"/>
    <w:rsid w:val="009F2491"/>
    <w:rsid w:val="009F2CD8"/>
    <w:rsid w:val="009F2CDA"/>
    <w:rsid w:val="009F2CFE"/>
    <w:rsid w:val="009F2DE8"/>
    <w:rsid w:val="009F3152"/>
    <w:rsid w:val="009F389D"/>
    <w:rsid w:val="009F3CC5"/>
    <w:rsid w:val="009F4055"/>
    <w:rsid w:val="009F45CF"/>
    <w:rsid w:val="009F499F"/>
    <w:rsid w:val="009F4BF7"/>
    <w:rsid w:val="009F4C27"/>
    <w:rsid w:val="009F6FA4"/>
    <w:rsid w:val="009F7169"/>
    <w:rsid w:val="009F726A"/>
    <w:rsid w:val="009F7E77"/>
    <w:rsid w:val="00A00096"/>
    <w:rsid w:val="00A002E0"/>
    <w:rsid w:val="00A005F8"/>
    <w:rsid w:val="00A00B60"/>
    <w:rsid w:val="00A00EFD"/>
    <w:rsid w:val="00A011A6"/>
    <w:rsid w:val="00A01515"/>
    <w:rsid w:val="00A018B8"/>
    <w:rsid w:val="00A01950"/>
    <w:rsid w:val="00A0246C"/>
    <w:rsid w:val="00A02941"/>
    <w:rsid w:val="00A02AD3"/>
    <w:rsid w:val="00A02C10"/>
    <w:rsid w:val="00A03040"/>
    <w:rsid w:val="00A0358B"/>
    <w:rsid w:val="00A03721"/>
    <w:rsid w:val="00A03A3C"/>
    <w:rsid w:val="00A03B72"/>
    <w:rsid w:val="00A04000"/>
    <w:rsid w:val="00A045FB"/>
    <w:rsid w:val="00A048A1"/>
    <w:rsid w:val="00A05496"/>
    <w:rsid w:val="00A0562A"/>
    <w:rsid w:val="00A0575B"/>
    <w:rsid w:val="00A0637D"/>
    <w:rsid w:val="00A06833"/>
    <w:rsid w:val="00A06AC1"/>
    <w:rsid w:val="00A06E0E"/>
    <w:rsid w:val="00A07173"/>
    <w:rsid w:val="00A072CA"/>
    <w:rsid w:val="00A072D0"/>
    <w:rsid w:val="00A072FC"/>
    <w:rsid w:val="00A07BC3"/>
    <w:rsid w:val="00A100B4"/>
    <w:rsid w:val="00A1019D"/>
    <w:rsid w:val="00A10420"/>
    <w:rsid w:val="00A105CC"/>
    <w:rsid w:val="00A10B49"/>
    <w:rsid w:val="00A10F32"/>
    <w:rsid w:val="00A110F7"/>
    <w:rsid w:val="00A11288"/>
    <w:rsid w:val="00A112B7"/>
    <w:rsid w:val="00A1142E"/>
    <w:rsid w:val="00A124EE"/>
    <w:rsid w:val="00A13010"/>
    <w:rsid w:val="00A133ED"/>
    <w:rsid w:val="00A136C4"/>
    <w:rsid w:val="00A13E3F"/>
    <w:rsid w:val="00A13F59"/>
    <w:rsid w:val="00A14051"/>
    <w:rsid w:val="00A140C9"/>
    <w:rsid w:val="00A1454E"/>
    <w:rsid w:val="00A1499E"/>
    <w:rsid w:val="00A15078"/>
    <w:rsid w:val="00A15194"/>
    <w:rsid w:val="00A15347"/>
    <w:rsid w:val="00A15451"/>
    <w:rsid w:val="00A1588C"/>
    <w:rsid w:val="00A15C58"/>
    <w:rsid w:val="00A15DF5"/>
    <w:rsid w:val="00A16632"/>
    <w:rsid w:val="00A16664"/>
    <w:rsid w:val="00A1668F"/>
    <w:rsid w:val="00A167BA"/>
    <w:rsid w:val="00A16A27"/>
    <w:rsid w:val="00A16B7A"/>
    <w:rsid w:val="00A16C69"/>
    <w:rsid w:val="00A16F05"/>
    <w:rsid w:val="00A17118"/>
    <w:rsid w:val="00A17120"/>
    <w:rsid w:val="00A21159"/>
    <w:rsid w:val="00A212BA"/>
    <w:rsid w:val="00A218E0"/>
    <w:rsid w:val="00A21A4B"/>
    <w:rsid w:val="00A2237B"/>
    <w:rsid w:val="00A229BF"/>
    <w:rsid w:val="00A22C9B"/>
    <w:rsid w:val="00A234D4"/>
    <w:rsid w:val="00A23AFF"/>
    <w:rsid w:val="00A23FC8"/>
    <w:rsid w:val="00A24295"/>
    <w:rsid w:val="00A24559"/>
    <w:rsid w:val="00A250E0"/>
    <w:rsid w:val="00A25AE2"/>
    <w:rsid w:val="00A25B5B"/>
    <w:rsid w:val="00A25C2C"/>
    <w:rsid w:val="00A26230"/>
    <w:rsid w:val="00A2634E"/>
    <w:rsid w:val="00A2674F"/>
    <w:rsid w:val="00A272A0"/>
    <w:rsid w:val="00A275F9"/>
    <w:rsid w:val="00A27724"/>
    <w:rsid w:val="00A27F16"/>
    <w:rsid w:val="00A300BD"/>
    <w:rsid w:val="00A30523"/>
    <w:rsid w:val="00A30A5B"/>
    <w:rsid w:val="00A30CB2"/>
    <w:rsid w:val="00A31B9B"/>
    <w:rsid w:val="00A31EDF"/>
    <w:rsid w:val="00A31FBD"/>
    <w:rsid w:val="00A322F2"/>
    <w:rsid w:val="00A32BF3"/>
    <w:rsid w:val="00A32DA2"/>
    <w:rsid w:val="00A33BC3"/>
    <w:rsid w:val="00A33BF6"/>
    <w:rsid w:val="00A33EAD"/>
    <w:rsid w:val="00A344C6"/>
    <w:rsid w:val="00A34633"/>
    <w:rsid w:val="00A34767"/>
    <w:rsid w:val="00A3495B"/>
    <w:rsid w:val="00A34B13"/>
    <w:rsid w:val="00A35949"/>
    <w:rsid w:val="00A35C08"/>
    <w:rsid w:val="00A35F3E"/>
    <w:rsid w:val="00A361B1"/>
    <w:rsid w:val="00A36D4B"/>
    <w:rsid w:val="00A379B0"/>
    <w:rsid w:val="00A4026E"/>
    <w:rsid w:val="00A407E3"/>
    <w:rsid w:val="00A40C51"/>
    <w:rsid w:val="00A418B1"/>
    <w:rsid w:val="00A42092"/>
    <w:rsid w:val="00A420EC"/>
    <w:rsid w:val="00A42357"/>
    <w:rsid w:val="00A42473"/>
    <w:rsid w:val="00A42AB5"/>
    <w:rsid w:val="00A42C02"/>
    <w:rsid w:val="00A43504"/>
    <w:rsid w:val="00A43EC9"/>
    <w:rsid w:val="00A4432B"/>
    <w:rsid w:val="00A443FF"/>
    <w:rsid w:val="00A445D0"/>
    <w:rsid w:val="00A44C18"/>
    <w:rsid w:val="00A44C57"/>
    <w:rsid w:val="00A44F47"/>
    <w:rsid w:val="00A45203"/>
    <w:rsid w:val="00A456FA"/>
    <w:rsid w:val="00A4594D"/>
    <w:rsid w:val="00A45A24"/>
    <w:rsid w:val="00A45EFC"/>
    <w:rsid w:val="00A46170"/>
    <w:rsid w:val="00A466ED"/>
    <w:rsid w:val="00A468BC"/>
    <w:rsid w:val="00A46B45"/>
    <w:rsid w:val="00A46B7C"/>
    <w:rsid w:val="00A47514"/>
    <w:rsid w:val="00A4753B"/>
    <w:rsid w:val="00A5020C"/>
    <w:rsid w:val="00A50296"/>
    <w:rsid w:val="00A504B0"/>
    <w:rsid w:val="00A50787"/>
    <w:rsid w:val="00A511A3"/>
    <w:rsid w:val="00A51AA0"/>
    <w:rsid w:val="00A51FC4"/>
    <w:rsid w:val="00A5211A"/>
    <w:rsid w:val="00A5259D"/>
    <w:rsid w:val="00A52E34"/>
    <w:rsid w:val="00A53666"/>
    <w:rsid w:val="00A5379F"/>
    <w:rsid w:val="00A541DC"/>
    <w:rsid w:val="00A54212"/>
    <w:rsid w:val="00A5429D"/>
    <w:rsid w:val="00A548C2"/>
    <w:rsid w:val="00A54DCC"/>
    <w:rsid w:val="00A552D0"/>
    <w:rsid w:val="00A554B2"/>
    <w:rsid w:val="00A5623E"/>
    <w:rsid w:val="00A563CB"/>
    <w:rsid w:val="00A5697A"/>
    <w:rsid w:val="00A57055"/>
    <w:rsid w:val="00A576A6"/>
    <w:rsid w:val="00A57B34"/>
    <w:rsid w:val="00A57C2E"/>
    <w:rsid w:val="00A60F5E"/>
    <w:rsid w:val="00A6103D"/>
    <w:rsid w:val="00A6157D"/>
    <w:rsid w:val="00A61DAF"/>
    <w:rsid w:val="00A62802"/>
    <w:rsid w:val="00A62B6F"/>
    <w:rsid w:val="00A62E67"/>
    <w:rsid w:val="00A6398B"/>
    <w:rsid w:val="00A643EE"/>
    <w:rsid w:val="00A6451F"/>
    <w:rsid w:val="00A64BE7"/>
    <w:rsid w:val="00A656E9"/>
    <w:rsid w:val="00A657F0"/>
    <w:rsid w:val="00A65F28"/>
    <w:rsid w:val="00A66566"/>
    <w:rsid w:val="00A6660A"/>
    <w:rsid w:val="00A66652"/>
    <w:rsid w:val="00A66978"/>
    <w:rsid w:val="00A66F7A"/>
    <w:rsid w:val="00A67111"/>
    <w:rsid w:val="00A672F0"/>
    <w:rsid w:val="00A674A1"/>
    <w:rsid w:val="00A701DE"/>
    <w:rsid w:val="00A70296"/>
    <w:rsid w:val="00A70AA4"/>
    <w:rsid w:val="00A70B9F"/>
    <w:rsid w:val="00A70E9A"/>
    <w:rsid w:val="00A71483"/>
    <w:rsid w:val="00A71D51"/>
    <w:rsid w:val="00A71DCC"/>
    <w:rsid w:val="00A72EEA"/>
    <w:rsid w:val="00A7301D"/>
    <w:rsid w:val="00A73039"/>
    <w:rsid w:val="00A730E5"/>
    <w:rsid w:val="00A73AB1"/>
    <w:rsid w:val="00A74B23"/>
    <w:rsid w:val="00A7585C"/>
    <w:rsid w:val="00A75C18"/>
    <w:rsid w:val="00A75C45"/>
    <w:rsid w:val="00A762EF"/>
    <w:rsid w:val="00A76A4D"/>
    <w:rsid w:val="00A76DD4"/>
    <w:rsid w:val="00A77164"/>
    <w:rsid w:val="00A77202"/>
    <w:rsid w:val="00A774B1"/>
    <w:rsid w:val="00A8013D"/>
    <w:rsid w:val="00A80D5D"/>
    <w:rsid w:val="00A8105E"/>
    <w:rsid w:val="00A813F5"/>
    <w:rsid w:val="00A813F8"/>
    <w:rsid w:val="00A814C4"/>
    <w:rsid w:val="00A81A37"/>
    <w:rsid w:val="00A81F5A"/>
    <w:rsid w:val="00A82682"/>
    <w:rsid w:val="00A828A4"/>
    <w:rsid w:val="00A830D4"/>
    <w:rsid w:val="00A831DD"/>
    <w:rsid w:val="00A83232"/>
    <w:rsid w:val="00A83402"/>
    <w:rsid w:val="00A83954"/>
    <w:rsid w:val="00A842A4"/>
    <w:rsid w:val="00A843C3"/>
    <w:rsid w:val="00A84540"/>
    <w:rsid w:val="00A84C54"/>
    <w:rsid w:val="00A84D0F"/>
    <w:rsid w:val="00A85183"/>
    <w:rsid w:val="00A8534F"/>
    <w:rsid w:val="00A86BC0"/>
    <w:rsid w:val="00A87282"/>
    <w:rsid w:val="00A879AF"/>
    <w:rsid w:val="00A87E42"/>
    <w:rsid w:val="00A87E65"/>
    <w:rsid w:val="00A87EA1"/>
    <w:rsid w:val="00A903BB"/>
    <w:rsid w:val="00A90F60"/>
    <w:rsid w:val="00A910DD"/>
    <w:rsid w:val="00A9119B"/>
    <w:rsid w:val="00A91AAF"/>
    <w:rsid w:val="00A92100"/>
    <w:rsid w:val="00A923EF"/>
    <w:rsid w:val="00A93536"/>
    <w:rsid w:val="00A939AA"/>
    <w:rsid w:val="00A93E10"/>
    <w:rsid w:val="00A93FF0"/>
    <w:rsid w:val="00A94324"/>
    <w:rsid w:val="00A94448"/>
    <w:rsid w:val="00A948FB"/>
    <w:rsid w:val="00A95254"/>
    <w:rsid w:val="00A95299"/>
    <w:rsid w:val="00A95498"/>
    <w:rsid w:val="00A954B8"/>
    <w:rsid w:val="00A955CC"/>
    <w:rsid w:val="00A95670"/>
    <w:rsid w:val="00A95DC5"/>
    <w:rsid w:val="00A9610C"/>
    <w:rsid w:val="00A96675"/>
    <w:rsid w:val="00A9739D"/>
    <w:rsid w:val="00A9750C"/>
    <w:rsid w:val="00A9797B"/>
    <w:rsid w:val="00A97E6E"/>
    <w:rsid w:val="00A97E73"/>
    <w:rsid w:val="00AA01D8"/>
    <w:rsid w:val="00AA071D"/>
    <w:rsid w:val="00AA13B7"/>
    <w:rsid w:val="00AA1591"/>
    <w:rsid w:val="00AA1A38"/>
    <w:rsid w:val="00AA1B20"/>
    <w:rsid w:val="00AA1D7F"/>
    <w:rsid w:val="00AA20AA"/>
    <w:rsid w:val="00AA2551"/>
    <w:rsid w:val="00AA2DEA"/>
    <w:rsid w:val="00AA3361"/>
    <w:rsid w:val="00AA3BE8"/>
    <w:rsid w:val="00AA3EEB"/>
    <w:rsid w:val="00AA4179"/>
    <w:rsid w:val="00AA48FB"/>
    <w:rsid w:val="00AA4EB7"/>
    <w:rsid w:val="00AA5026"/>
    <w:rsid w:val="00AA542F"/>
    <w:rsid w:val="00AA57EA"/>
    <w:rsid w:val="00AA5832"/>
    <w:rsid w:val="00AA6024"/>
    <w:rsid w:val="00AA6207"/>
    <w:rsid w:val="00AA6A00"/>
    <w:rsid w:val="00AA6B2F"/>
    <w:rsid w:val="00AA73FF"/>
    <w:rsid w:val="00AB0074"/>
    <w:rsid w:val="00AB066D"/>
    <w:rsid w:val="00AB0DF6"/>
    <w:rsid w:val="00AB1E01"/>
    <w:rsid w:val="00AB1F99"/>
    <w:rsid w:val="00AB21DE"/>
    <w:rsid w:val="00AB2956"/>
    <w:rsid w:val="00AB2AAB"/>
    <w:rsid w:val="00AB2FC6"/>
    <w:rsid w:val="00AB3321"/>
    <w:rsid w:val="00AB44FA"/>
    <w:rsid w:val="00AB4B01"/>
    <w:rsid w:val="00AB569F"/>
    <w:rsid w:val="00AB591E"/>
    <w:rsid w:val="00AB5A4C"/>
    <w:rsid w:val="00AB5CC0"/>
    <w:rsid w:val="00AB60FF"/>
    <w:rsid w:val="00AB6161"/>
    <w:rsid w:val="00AB619A"/>
    <w:rsid w:val="00AB67D0"/>
    <w:rsid w:val="00AB6A1D"/>
    <w:rsid w:val="00AB6BC4"/>
    <w:rsid w:val="00AB6C41"/>
    <w:rsid w:val="00AB701D"/>
    <w:rsid w:val="00AB7183"/>
    <w:rsid w:val="00AB7723"/>
    <w:rsid w:val="00AC07D6"/>
    <w:rsid w:val="00AC07F8"/>
    <w:rsid w:val="00AC08D6"/>
    <w:rsid w:val="00AC0A07"/>
    <w:rsid w:val="00AC0F39"/>
    <w:rsid w:val="00AC0FB6"/>
    <w:rsid w:val="00AC1048"/>
    <w:rsid w:val="00AC118B"/>
    <w:rsid w:val="00AC127A"/>
    <w:rsid w:val="00AC137B"/>
    <w:rsid w:val="00AC1C45"/>
    <w:rsid w:val="00AC1E86"/>
    <w:rsid w:val="00AC2199"/>
    <w:rsid w:val="00AC2C0F"/>
    <w:rsid w:val="00AC2E13"/>
    <w:rsid w:val="00AC309C"/>
    <w:rsid w:val="00AC33EC"/>
    <w:rsid w:val="00AC43A7"/>
    <w:rsid w:val="00AC4951"/>
    <w:rsid w:val="00AC52DC"/>
    <w:rsid w:val="00AC52F7"/>
    <w:rsid w:val="00AC5594"/>
    <w:rsid w:val="00AC5738"/>
    <w:rsid w:val="00AC58E1"/>
    <w:rsid w:val="00AC5D14"/>
    <w:rsid w:val="00AC5DAD"/>
    <w:rsid w:val="00AC6213"/>
    <w:rsid w:val="00AC66E2"/>
    <w:rsid w:val="00AC6724"/>
    <w:rsid w:val="00AC69C5"/>
    <w:rsid w:val="00AC6E5C"/>
    <w:rsid w:val="00AC7842"/>
    <w:rsid w:val="00AC79BE"/>
    <w:rsid w:val="00AC7A60"/>
    <w:rsid w:val="00AD0062"/>
    <w:rsid w:val="00AD0187"/>
    <w:rsid w:val="00AD0C94"/>
    <w:rsid w:val="00AD0DE1"/>
    <w:rsid w:val="00AD0E4E"/>
    <w:rsid w:val="00AD10F9"/>
    <w:rsid w:val="00AD10FD"/>
    <w:rsid w:val="00AD18F9"/>
    <w:rsid w:val="00AD19E8"/>
    <w:rsid w:val="00AD1A60"/>
    <w:rsid w:val="00AD1BBA"/>
    <w:rsid w:val="00AD27F5"/>
    <w:rsid w:val="00AD3227"/>
    <w:rsid w:val="00AD3754"/>
    <w:rsid w:val="00AD39B5"/>
    <w:rsid w:val="00AD3D4F"/>
    <w:rsid w:val="00AD5644"/>
    <w:rsid w:val="00AD56F9"/>
    <w:rsid w:val="00AD58B4"/>
    <w:rsid w:val="00AD5960"/>
    <w:rsid w:val="00AD59DA"/>
    <w:rsid w:val="00AD5B76"/>
    <w:rsid w:val="00AD6017"/>
    <w:rsid w:val="00AD6049"/>
    <w:rsid w:val="00AD62AF"/>
    <w:rsid w:val="00AD6668"/>
    <w:rsid w:val="00AD677A"/>
    <w:rsid w:val="00AD6901"/>
    <w:rsid w:val="00AD6C1A"/>
    <w:rsid w:val="00AD7C00"/>
    <w:rsid w:val="00AD7F75"/>
    <w:rsid w:val="00AE0625"/>
    <w:rsid w:val="00AE0B7B"/>
    <w:rsid w:val="00AE0DF7"/>
    <w:rsid w:val="00AE0E3E"/>
    <w:rsid w:val="00AE102C"/>
    <w:rsid w:val="00AE14D2"/>
    <w:rsid w:val="00AE1834"/>
    <w:rsid w:val="00AE2259"/>
    <w:rsid w:val="00AE2AE1"/>
    <w:rsid w:val="00AE2BD6"/>
    <w:rsid w:val="00AE2DF3"/>
    <w:rsid w:val="00AE4266"/>
    <w:rsid w:val="00AE431B"/>
    <w:rsid w:val="00AE4352"/>
    <w:rsid w:val="00AE44BD"/>
    <w:rsid w:val="00AE455E"/>
    <w:rsid w:val="00AE490A"/>
    <w:rsid w:val="00AE52E3"/>
    <w:rsid w:val="00AE5408"/>
    <w:rsid w:val="00AE562F"/>
    <w:rsid w:val="00AE5AC4"/>
    <w:rsid w:val="00AE5BD2"/>
    <w:rsid w:val="00AE5DC4"/>
    <w:rsid w:val="00AE5EE3"/>
    <w:rsid w:val="00AE66BE"/>
    <w:rsid w:val="00AE7052"/>
    <w:rsid w:val="00AE7316"/>
    <w:rsid w:val="00AE7DAA"/>
    <w:rsid w:val="00AF10FC"/>
    <w:rsid w:val="00AF13DB"/>
    <w:rsid w:val="00AF1D19"/>
    <w:rsid w:val="00AF2148"/>
    <w:rsid w:val="00AF2519"/>
    <w:rsid w:val="00AF27E0"/>
    <w:rsid w:val="00AF2F95"/>
    <w:rsid w:val="00AF3269"/>
    <w:rsid w:val="00AF3D89"/>
    <w:rsid w:val="00AF3D95"/>
    <w:rsid w:val="00AF3DB2"/>
    <w:rsid w:val="00AF5362"/>
    <w:rsid w:val="00AF5388"/>
    <w:rsid w:val="00AF5FD9"/>
    <w:rsid w:val="00AF60DA"/>
    <w:rsid w:val="00AF6504"/>
    <w:rsid w:val="00AF683D"/>
    <w:rsid w:val="00AF6B38"/>
    <w:rsid w:val="00B00F9C"/>
    <w:rsid w:val="00B00FCD"/>
    <w:rsid w:val="00B01607"/>
    <w:rsid w:val="00B0171F"/>
    <w:rsid w:val="00B017F9"/>
    <w:rsid w:val="00B01BA3"/>
    <w:rsid w:val="00B01BB3"/>
    <w:rsid w:val="00B027F5"/>
    <w:rsid w:val="00B02B29"/>
    <w:rsid w:val="00B03011"/>
    <w:rsid w:val="00B030CD"/>
    <w:rsid w:val="00B03942"/>
    <w:rsid w:val="00B03D78"/>
    <w:rsid w:val="00B048D8"/>
    <w:rsid w:val="00B04ED5"/>
    <w:rsid w:val="00B05AA3"/>
    <w:rsid w:val="00B06E2F"/>
    <w:rsid w:val="00B071E2"/>
    <w:rsid w:val="00B07240"/>
    <w:rsid w:val="00B072F7"/>
    <w:rsid w:val="00B073A4"/>
    <w:rsid w:val="00B073D3"/>
    <w:rsid w:val="00B0764F"/>
    <w:rsid w:val="00B07F20"/>
    <w:rsid w:val="00B101EA"/>
    <w:rsid w:val="00B101EF"/>
    <w:rsid w:val="00B104AA"/>
    <w:rsid w:val="00B104EB"/>
    <w:rsid w:val="00B10847"/>
    <w:rsid w:val="00B10B3E"/>
    <w:rsid w:val="00B10F36"/>
    <w:rsid w:val="00B11513"/>
    <w:rsid w:val="00B1184E"/>
    <w:rsid w:val="00B11C68"/>
    <w:rsid w:val="00B11E29"/>
    <w:rsid w:val="00B120FB"/>
    <w:rsid w:val="00B12377"/>
    <w:rsid w:val="00B12DDD"/>
    <w:rsid w:val="00B12EEB"/>
    <w:rsid w:val="00B1324A"/>
    <w:rsid w:val="00B133C1"/>
    <w:rsid w:val="00B145D7"/>
    <w:rsid w:val="00B1475E"/>
    <w:rsid w:val="00B14918"/>
    <w:rsid w:val="00B14B10"/>
    <w:rsid w:val="00B151FE"/>
    <w:rsid w:val="00B15EA2"/>
    <w:rsid w:val="00B163FF"/>
    <w:rsid w:val="00B16628"/>
    <w:rsid w:val="00B166D8"/>
    <w:rsid w:val="00B16CCD"/>
    <w:rsid w:val="00B16DE3"/>
    <w:rsid w:val="00B1796C"/>
    <w:rsid w:val="00B17A19"/>
    <w:rsid w:val="00B17BE3"/>
    <w:rsid w:val="00B2030F"/>
    <w:rsid w:val="00B20BC6"/>
    <w:rsid w:val="00B20C43"/>
    <w:rsid w:val="00B20D1F"/>
    <w:rsid w:val="00B20FC4"/>
    <w:rsid w:val="00B20FF4"/>
    <w:rsid w:val="00B2115E"/>
    <w:rsid w:val="00B211AE"/>
    <w:rsid w:val="00B22217"/>
    <w:rsid w:val="00B222E7"/>
    <w:rsid w:val="00B22727"/>
    <w:rsid w:val="00B2279B"/>
    <w:rsid w:val="00B2284D"/>
    <w:rsid w:val="00B22C0E"/>
    <w:rsid w:val="00B238DA"/>
    <w:rsid w:val="00B23DC6"/>
    <w:rsid w:val="00B24064"/>
    <w:rsid w:val="00B242AB"/>
    <w:rsid w:val="00B2446F"/>
    <w:rsid w:val="00B24F44"/>
    <w:rsid w:val="00B2528D"/>
    <w:rsid w:val="00B25557"/>
    <w:rsid w:val="00B256B6"/>
    <w:rsid w:val="00B26571"/>
    <w:rsid w:val="00B26A6D"/>
    <w:rsid w:val="00B26AE6"/>
    <w:rsid w:val="00B26EE9"/>
    <w:rsid w:val="00B300F4"/>
    <w:rsid w:val="00B3015C"/>
    <w:rsid w:val="00B3046C"/>
    <w:rsid w:val="00B30A8A"/>
    <w:rsid w:val="00B30BC7"/>
    <w:rsid w:val="00B30D56"/>
    <w:rsid w:val="00B3117D"/>
    <w:rsid w:val="00B313B2"/>
    <w:rsid w:val="00B31C8F"/>
    <w:rsid w:val="00B320D4"/>
    <w:rsid w:val="00B3227A"/>
    <w:rsid w:val="00B32397"/>
    <w:rsid w:val="00B32885"/>
    <w:rsid w:val="00B3296E"/>
    <w:rsid w:val="00B32B40"/>
    <w:rsid w:val="00B33511"/>
    <w:rsid w:val="00B33A53"/>
    <w:rsid w:val="00B33AEA"/>
    <w:rsid w:val="00B33C4C"/>
    <w:rsid w:val="00B3450C"/>
    <w:rsid w:val="00B34681"/>
    <w:rsid w:val="00B34C8B"/>
    <w:rsid w:val="00B34E89"/>
    <w:rsid w:val="00B34EE9"/>
    <w:rsid w:val="00B35030"/>
    <w:rsid w:val="00B35475"/>
    <w:rsid w:val="00B35699"/>
    <w:rsid w:val="00B35B83"/>
    <w:rsid w:val="00B368D8"/>
    <w:rsid w:val="00B36BCB"/>
    <w:rsid w:val="00B36D2D"/>
    <w:rsid w:val="00B36F1E"/>
    <w:rsid w:val="00B36FA6"/>
    <w:rsid w:val="00B37134"/>
    <w:rsid w:val="00B3719B"/>
    <w:rsid w:val="00B37240"/>
    <w:rsid w:val="00B373D1"/>
    <w:rsid w:val="00B37926"/>
    <w:rsid w:val="00B37DFC"/>
    <w:rsid w:val="00B37F00"/>
    <w:rsid w:val="00B40ECD"/>
    <w:rsid w:val="00B40FDB"/>
    <w:rsid w:val="00B410E3"/>
    <w:rsid w:val="00B41799"/>
    <w:rsid w:val="00B41914"/>
    <w:rsid w:val="00B41AD3"/>
    <w:rsid w:val="00B4206D"/>
    <w:rsid w:val="00B4216B"/>
    <w:rsid w:val="00B4270F"/>
    <w:rsid w:val="00B428EC"/>
    <w:rsid w:val="00B4292A"/>
    <w:rsid w:val="00B42C9E"/>
    <w:rsid w:val="00B431EF"/>
    <w:rsid w:val="00B436C8"/>
    <w:rsid w:val="00B438AD"/>
    <w:rsid w:val="00B43A0F"/>
    <w:rsid w:val="00B43ED0"/>
    <w:rsid w:val="00B43F92"/>
    <w:rsid w:val="00B446D6"/>
    <w:rsid w:val="00B45294"/>
    <w:rsid w:val="00B46A7C"/>
    <w:rsid w:val="00B46D36"/>
    <w:rsid w:val="00B46E28"/>
    <w:rsid w:val="00B473A8"/>
    <w:rsid w:val="00B473E4"/>
    <w:rsid w:val="00B47478"/>
    <w:rsid w:val="00B479FD"/>
    <w:rsid w:val="00B47A6B"/>
    <w:rsid w:val="00B50F34"/>
    <w:rsid w:val="00B51065"/>
    <w:rsid w:val="00B5142A"/>
    <w:rsid w:val="00B51D6F"/>
    <w:rsid w:val="00B51E49"/>
    <w:rsid w:val="00B51ED8"/>
    <w:rsid w:val="00B52286"/>
    <w:rsid w:val="00B538AB"/>
    <w:rsid w:val="00B53A9F"/>
    <w:rsid w:val="00B53B3C"/>
    <w:rsid w:val="00B54A42"/>
    <w:rsid w:val="00B5509A"/>
    <w:rsid w:val="00B55663"/>
    <w:rsid w:val="00B55F7A"/>
    <w:rsid w:val="00B561EC"/>
    <w:rsid w:val="00B56200"/>
    <w:rsid w:val="00B566D1"/>
    <w:rsid w:val="00B56B62"/>
    <w:rsid w:val="00B56CDB"/>
    <w:rsid w:val="00B56FB9"/>
    <w:rsid w:val="00B575F3"/>
    <w:rsid w:val="00B57CD3"/>
    <w:rsid w:val="00B60824"/>
    <w:rsid w:val="00B60F9F"/>
    <w:rsid w:val="00B61012"/>
    <w:rsid w:val="00B61352"/>
    <w:rsid w:val="00B61530"/>
    <w:rsid w:val="00B61AED"/>
    <w:rsid w:val="00B62793"/>
    <w:rsid w:val="00B62CAC"/>
    <w:rsid w:val="00B63B22"/>
    <w:rsid w:val="00B656A9"/>
    <w:rsid w:val="00B65A88"/>
    <w:rsid w:val="00B65DAF"/>
    <w:rsid w:val="00B6618E"/>
    <w:rsid w:val="00B6672E"/>
    <w:rsid w:val="00B67173"/>
    <w:rsid w:val="00B673B1"/>
    <w:rsid w:val="00B67CF6"/>
    <w:rsid w:val="00B67D3B"/>
    <w:rsid w:val="00B67EC8"/>
    <w:rsid w:val="00B707B8"/>
    <w:rsid w:val="00B712D1"/>
    <w:rsid w:val="00B71DE4"/>
    <w:rsid w:val="00B71FAB"/>
    <w:rsid w:val="00B721B0"/>
    <w:rsid w:val="00B722BC"/>
    <w:rsid w:val="00B72F8A"/>
    <w:rsid w:val="00B73356"/>
    <w:rsid w:val="00B73CF6"/>
    <w:rsid w:val="00B74D25"/>
    <w:rsid w:val="00B74E06"/>
    <w:rsid w:val="00B74E2F"/>
    <w:rsid w:val="00B750CF"/>
    <w:rsid w:val="00B75624"/>
    <w:rsid w:val="00B75944"/>
    <w:rsid w:val="00B759B9"/>
    <w:rsid w:val="00B76176"/>
    <w:rsid w:val="00B76C9D"/>
    <w:rsid w:val="00B76E45"/>
    <w:rsid w:val="00B76E82"/>
    <w:rsid w:val="00B76E8A"/>
    <w:rsid w:val="00B7710C"/>
    <w:rsid w:val="00B77113"/>
    <w:rsid w:val="00B771FC"/>
    <w:rsid w:val="00B7735F"/>
    <w:rsid w:val="00B77513"/>
    <w:rsid w:val="00B776BB"/>
    <w:rsid w:val="00B778B1"/>
    <w:rsid w:val="00B77EA8"/>
    <w:rsid w:val="00B805B7"/>
    <w:rsid w:val="00B8083E"/>
    <w:rsid w:val="00B80F9E"/>
    <w:rsid w:val="00B816BD"/>
    <w:rsid w:val="00B81D9F"/>
    <w:rsid w:val="00B825A4"/>
    <w:rsid w:val="00B8267C"/>
    <w:rsid w:val="00B82A55"/>
    <w:rsid w:val="00B82F12"/>
    <w:rsid w:val="00B835D8"/>
    <w:rsid w:val="00B839E4"/>
    <w:rsid w:val="00B84030"/>
    <w:rsid w:val="00B840D8"/>
    <w:rsid w:val="00B8426B"/>
    <w:rsid w:val="00B8464B"/>
    <w:rsid w:val="00B8483F"/>
    <w:rsid w:val="00B84CA2"/>
    <w:rsid w:val="00B85CA9"/>
    <w:rsid w:val="00B85D57"/>
    <w:rsid w:val="00B86010"/>
    <w:rsid w:val="00B86666"/>
    <w:rsid w:val="00B86B42"/>
    <w:rsid w:val="00B8725C"/>
    <w:rsid w:val="00B87DD9"/>
    <w:rsid w:val="00B87F8D"/>
    <w:rsid w:val="00B87FD4"/>
    <w:rsid w:val="00B90305"/>
    <w:rsid w:val="00B90328"/>
    <w:rsid w:val="00B907A7"/>
    <w:rsid w:val="00B90916"/>
    <w:rsid w:val="00B90A1B"/>
    <w:rsid w:val="00B90AB2"/>
    <w:rsid w:val="00B90EFD"/>
    <w:rsid w:val="00B91673"/>
    <w:rsid w:val="00B92125"/>
    <w:rsid w:val="00B92F1F"/>
    <w:rsid w:val="00B930DA"/>
    <w:rsid w:val="00B93274"/>
    <w:rsid w:val="00B93569"/>
    <w:rsid w:val="00B93C34"/>
    <w:rsid w:val="00B942A8"/>
    <w:rsid w:val="00B9431E"/>
    <w:rsid w:val="00B9489D"/>
    <w:rsid w:val="00B94D1E"/>
    <w:rsid w:val="00B94D77"/>
    <w:rsid w:val="00B9511E"/>
    <w:rsid w:val="00B96061"/>
    <w:rsid w:val="00B960FF"/>
    <w:rsid w:val="00B9661B"/>
    <w:rsid w:val="00B96AAC"/>
    <w:rsid w:val="00B9798A"/>
    <w:rsid w:val="00B97C9E"/>
    <w:rsid w:val="00B97DE7"/>
    <w:rsid w:val="00BA00D5"/>
    <w:rsid w:val="00BA10A4"/>
    <w:rsid w:val="00BA180B"/>
    <w:rsid w:val="00BA1A42"/>
    <w:rsid w:val="00BA1A53"/>
    <w:rsid w:val="00BA1E80"/>
    <w:rsid w:val="00BA2226"/>
    <w:rsid w:val="00BA23C9"/>
    <w:rsid w:val="00BA26EC"/>
    <w:rsid w:val="00BA2F48"/>
    <w:rsid w:val="00BA329F"/>
    <w:rsid w:val="00BA3392"/>
    <w:rsid w:val="00BA36C7"/>
    <w:rsid w:val="00BA36E5"/>
    <w:rsid w:val="00BA3D2F"/>
    <w:rsid w:val="00BA42D8"/>
    <w:rsid w:val="00BA4C4C"/>
    <w:rsid w:val="00BA4ED0"/>
    <w:rsid w:val="00BA5182"/>
    <w:rsid w:val="00BA52B7"/>
    <w:rsid w:val="00BA5683"/>
    <w:rsid w:val="00BA5C48"/>
    <w:rsid w:val="00BA5CBD"/>
    <w:rsid w:val="00BA6062"/>
    <w:rsid w:val="00BA68B0"/>
    <w:rsid w:val="00BA7567"/>
    <w:rsid w:val="00BA7B30"/>
    <w:rsid w:val="00BB006F"/>
    <w:rsid w:val="00BB01AA"/>
    <w:rsid w:val="00BB034B"/>
    <w:rsid w:val="00BB06A9"/>
    <w:rsid w:val="00BB0823"/>
    <w:rsid w:val="00BB0C27"/>
    <w:rsid w:val="00BB10FE"/>
    <w:rsid w:val="00BB12B9"/>
    <w:rsid w:val="00BB133A"/>
    <w:rsid w:val="00BB13D7"/>
    <w:rsid w:val="00BB182F"/>
    <w:rsid w:val="00BB1851"/>
    <w:rsid w:val="00BB1AB0"/>
    <w:rsid w:val="00BB216C"/>
    <w:rsid w:val="00BB222C"/>
    <w:rsid w:val="00BB22C2"/>
    <w:rsid w:val="00BB287C"/>
    <w:rsid w:val="00BB2B33"/>
    <w:rsid w:val="00BB338F"/>
    <w:rsid w:val="00BB35AB"/>
    <w:rsid w:val="00BB3686"/>
    <w:rsid w:val="00BB37EE"/>
    <w:rsid w:val="00BB421C"/>
    <w:rsid w:val="00BB460F"/>
    <w:rsid w:val="00BB5169"/>
    <w:rsid w:val="00BB5440"/>
    <w:rsid w:val="00BB5BD8"/>
    <w:rsid w:val="00BB66CD"/>
    <w:rsid w:val="00BB7134"/>
    <w:rsid w:val="00BB72FF"/>
    <w:rsid w:val="00BB741C"/>
    <w:rsid w:val="00BB7D74"/>
    <w:rsid w:val="00BB7DDA"/>
    <w:rsid w:val="00BC0006"/>
    <w:rsid w:val="00BC001D"/>
    <w:rsid w:val="00BC017B"/>
    <w:rsid w:val="00BC01DF"/>
    <w:rsid w:val="00BC08CC"/>
    <w:rsid w:val="00BC0DD2"/>
    <w:rsid w:val="00BC1029"/>
    <w:rsid w:val="00BC1700"/>
    <w:rsid w:val="00BC1A9C"/>
    <w:rsid w:val="00BC1E41"/>
    <w:rsid w:val="00BC1EBB"/>
    <w:rsid w:val="00BC29CE"/>
    <w:rsid w:val="00BC2B32"/>
    <w:rsid w:val="00BC2D8F"/>
    <w:rsid w:val="00BC346C"/>
    <w:rsid w:val="00BC360B"/>
    <w:rsid w:val="00BC3D70"/>
    <w:rsid w:val="00BC421B"/>
    <w:rsid w:val="00BC4597"/>
    <w:rsid w:val="00BC47E9"/>
    <w:rsid w:val="00BC4854"/>
    <w:rsid w:val="00BC4A2C"/>
    <w:rsid w:val="00BC4A4A"/>
    <w:rsid w:val="00BC4B91"/>
    <w:rsid w:val="00BC518D"/>
    <w:rsid w:val="00BC57B3"/>
    <w:rsid w:val="00BC5EDA"/>
    <w:rsid w:val="00BC5EDB"/>
    <w:rsid w:val="00BC6065"/>
    <w:rsid w:val="00BC6708"/>
    <w:rsid w:val="00BC776D"/>
    <w:rsid w:val="00BD005A"/>
    <w:rsid w:val="00BD092D"/>
    <w:rsid w:val="00BD099F"/>
    <w:rsid w:val="00BD0B6F"/>
    <w:rsid w:val="00BD1445"/>
    <w:rsid w:val="00BD1804"/>
    <w:rsid w:val="00BD182D"/>
    <w:rsid w:val="00BD280C"/>
    <w:rsid w:val="00BD2B70"/>
    <w:rsid w:val="00BD2C1C"/>
    <w:rsid w:val="00BD2EE0"/>
    <w:rsid w:val="00BD3479"/>
    <w:rsid w:val="00BD3B57"/>
    <w:rsid w:val="00BD3BF6"/>
    <w:rsid w:val="00BD400D"/>
    <w:rsid w:val="00BD401C"/>
    <w:rsid w:val="00BD4029"/>
    <w:rsid w:val="00BD4143"/>
    <w:rsid w:val="00BD4398"/>
    <w:rsid w:val="00BD481C"/>
    <w:rsid w:val="00BD498A"/>
    <w:rsid w:val="00BD4BE5"/>
    <w:rsid w:val="00BD4CA1"/>
    <w:rsid w:val="00BD4CDA"/>
    <w:rsid w:val="00BD4F6A"/>
    <w:rsid w:val="00BD511B"/>
    <w:rsid w:val="00BD58E5"/>
    <w:rsid w:val="00BD5977"/>
    <w:rsid w:val="00BD59A7"/>
    <w:rsid w:val="00BD5B9E"/>
    <w:rsid w:val="00BD67AA"/>
    <w:rsid w:val="00BD72EF"/>
    <w:rsid w:val="00BD72F8"/>
    <w:rsid w:val="00BD74D9"/>
    <w:rsid w:val="00BD768C"/>
    <w:rsid w:val="00BD775D"/>
    <w:rsid w:val="00BD78D2"/>
    <w:rsid w:val="00BD7A11"/>
    <w:rsid w:val="00BD7B1D"/>
    <w:rsid w:val="00BE0002"/>
    <w:rsid w:val="00BE0129"/>
    <w:rsid w:val="00BE024D"/>
    <w:rsid w:val="00BE0AC2"/>
    <w:rsid w:val="00BE0B6E"/>
    <w:rsid w:val="00BE0CB7"/>
    <w:rsid w:val="00BE14DB"/>
    <w:rsid w:val="00BE1B1C"/>
    <w:rsid w:val="00BE1D72"/>
    <w:rsid w:val="00BE1F69"/>
    <w:rsid w:val="00BE2109"/>
    <w:rsid w:val="00BE24AF"/>
    <w:rsid w:val="00BE27B9"/>
    <w:rsid w:val="00BE2E70"/>
    <w:rsid w:val="00BE354D"/>
    <w:rsid w:val="00BE368D"/>
    <w:rsid w:val="00BE36F7"/>
    <w:rsid w:val="00BE37C7"/>
    <w:rsid w:val="00BE388F"/>
    <w:rsid w:val="00BE42CB"/>
    <w:rsid w:val="00BE4473"/>
    <w:rsid w:val="00BE454F"/>
    <w:rsid w:val="00BE4AC7"/>
    <w:rsid w:val="00BE57DC"/>
    <w:rsid w:val="00BE584B"/>
    <w:rsid w:val="00BE5895"/>
    <w:rsid w:val="00BE5F7C"/>
    <w:rsid w:val="00BE6255"/>
    <w:rsid w:val="00BE6886"/>
    <w:rsid w:val="00BE68A3"/>
    <w:rsid w:val="00BE6E49"/>
    <w:rsid w:val="00BE7769"/>
    <w:rsid w:val="00BE785C"/>
    <w:rsid w:val="00BE79B3"/>
    <w:rsid w:val="00BE7A4D"/>
    <w:rsid w:val="00BE7AD7"/>
    <w:rsid w:val="00BE7ADB"/>
    <w:rsid w:val="00BE7C77"/>
    <w:rsid w:val="00BF0242"/>
    <w:rsid w:val="00BF0243"/>
    <w:rsid w:val="00BF054C"/>
    <w:rsid w:val="00BF0E7D"/>
    <w:rsid w:val="00BF1741"/>
    <w:rsid w:val="00BF1745"/>
    <w:rsid w:val="00BF1F68"/>
    <w:rsid w:val="00BF26D3"/>
    <w:rsid w:val="00BF284E"/>
    <w:rsid w:val="00BF2875"/>
    <w:rsid w:val="00BF3172"/>
    <w:rsid w:val="00BF3776"/>
    <w:rsid w:val="00BF3938"/>
    <w:rsid w:val="00BF3A31"/>
    <w:rsid w:val="00BF4066"/>
    <w:rsid w:val="00BF48DA"/>
    <w:rsid w:val="00BF4B87"/>
    <w:rsid w:val="00BF4D08"/>
    <w:rsid w:val="00BF5C44"/>
    <w:rsid w:val="00BF5DC2"/>
    <w:rsid w:val="00BF603D"/>
    <w:rsid w:val="00BF651C"/>
    <w:rsid w:val="00BF679E"/>
    <w:rsid w:val="00BF6A04"/>
    <w:rsid w:val="00BF7215"/>
    <w:rsid w:val="00BF72D9"/>
    <w:rsid w:val="00BF7D89"/>
    <w:rsid w:val="00C008FE"/>
    <w:rsid w:val="00C009E1"/>
    <w:rsid w:val="00C013AA"/>
    <w:rsid w:val="00C013FA"/>
    <w:rsid w:val="00C019F1"/>
    <w:rsid w:val="00C01ACE"/>
    <w:rsid w:val="00C01E3A"/>
    <w:rsid w:val="00C01EE1"/>
    <w:rsid w:val="00C02D01"/>
    <w:rsid w:val="00C033DD"/>
    <w:rsid w:val="00C037A6"/>
    <w:rsid w:val="00C03A89"/>
    <w:rsid w:val="00C03AE2"/>
    <w:rsid w:val="00C04E61"/>
    <w:rsid w:val="00C0520C"/>
    <w:rsid w:val="00C05342"/>
    <w:rsid w:val="00C05346"/>
    <w:rsid w:val="00C055FE"/>
    <w:rsid w:val="00C059EF"/>
    <w:rsid w:val="00C05AD3"/>
    <w:rsid w:val="00C05CFF"/>
    <w:rsid w:val="00C05E85"/>
    <w:rsid w:val="00C067FF"/>
    <w:rsid w:val="00C06C40"/>
    <w:rsid w:val="00C06CEF"/>
    <w:rsid w:val="00C07178"/>
    <w:rsid w:val="00C07A41"/>
    <w:rsid w:val="00C10A28"/>
    <w:rsid w:val="00C10AC5"/>
    <w:rsid w:val="00C1122A"/>
    <w:rsid w:val="00C118AE"/>
    <w:rsid w:val="00C122C7"/>
    <w:rsid w:val="00C123D7"/>
    <w:rsid w:val="00C1243B"/>
    <w:rsid w:val="00C12516"/>
    <w:rsid w:val="00C1262C"/>
    <w:rsid w:val="00C126DE"/>
    <w:rsid w:val="00C12772"/>
    <w:rsid w:val="00C128E0"/>
    <w:rsid w:val="00C12A0C"/>
    <w:rsid w:val="00C12B10"/>
    <w:rsid w:val="00C12B9F"/>
    <w:rsid w:val="00C12D50"/>
    <w:rsid w:val="00C1328F"/>
    <w:rsid w:val="00C13301"/>
    <w:rsid w:val="00C1492F"/>
    <w:rsid w:val="00C15725"/>
    <w:rsid w:val="00C15809"/>
    <w:rsid w:val="00C15AE2"/>
    <w:rsid w:val="00C15E4C"/>
    <w:rsid w:val="00C168A2"/>
    <w:rsid w:val="00C1695E"/>
    <w:rsid w:val="00C16E6C"/>
    <w:rsid w:val="00C1769C"/>
    <w:rsid w:val="00C20106"/>
    <w:rsid w:val="00C201E5"/>
    <w:rsid w:val="00C202FC"/>
    <w:rsid w:val="00C2095D"/>
    <w:rsid w:val="00C20A2A"/>
    <w:rsid w:val="00C20D7A"/>
    <w:rsid w:val="00C21123"/>
    <w:rsid w:val="00C21226"/>
    <w:rsid w:val="00C215FC"/>
    <w:rsid w:val="00C221F6"/>
    <w:rsid w:val="00C2256D"/>
    <w:rsid w:val="00C225ED"/>
    <w:rsid w:val="00C22B57"/>
    <w:rsid w:val="00C23138"/>
    <w:rsid w:val="00C23483"/>
    <w:rsid w:val="00C234F0"/>
    <w:rsid w:val="00C235B1"/>
    <w:rsid w:val="00C235F8"/>
    <w:rsid w:val="00C24FEC"/>
    <w:rsid w:val="00C25DC4"/>
    <w:rsid w:val="00C25E71"/>
    <w:rsid w:val="00C25F94"/>
    <w:rsid w:val="00C2609F"/>
    <w:rsid w:val="00C26885"/>
    <w:rsid w:val="00C268DD"/>
    <w:rsid w:val="00C269B0"/>
    <w:rsid w:val="00C26D16"/>
    <w:rsid w:val="00C26FA7"/>
    <w:rsid w:val="00C2716C"/>
    <w:rsid w:val="00C27268"/>
    <w:rsid w:val="00C272BF"/>
    <w:rsid w:val="00C27BE6"/>
    <w:rsid w:val="00C27D75"/>
    <w:rsid w:val="00C30095"/>
    <w:rsid w:val="00C300C5"/>
    <w:rsid w:val="00C30A07"/>
    <w:rsid w:val="00C30AB7"/>
    <w:rsid w:val="00C30DDE"/>
    <w:rsid w:val="00C30F0C"/>
    <w:rsid w:val="00C31142"/>
    <w:rsid w:val="00C312FC"/>
    <w:rsid w:val="00C31C65"/>
    <w:rsid w:val="00C31EF5"/>
    <w:rsid w:val="00C31F18"/>
    <w:rsid w:val="00C323F1"/>
    <w:rsid w:val="00C32610"/>
    <w:rsid w:val="00C32963"/>
    <w:rsid w:val="00C32A33"/>
    <w:rsid w:val="00C32C72"/>
    <w:rsid w:val="00C33A5B"/>
    <w:rsid w:val="00C33F43"/>
    <w:rsid w:val="00C341E6"/>
    <w:rsid w:val="00C346EB"/>
    <w:rsid w:val="00C347CF"/>
    <w:rsid w:val="00C354B5"/>
    <w:rsid w:val="00C359D2"/>
    <w:rsid w:val="00C362F0"/>
    <w:rsid w:val="00C369CD"/>
    <w:rsid w:val="00C36BC5"/>
    <w:rsid w:val="00C36FA9"/>
    <w:rsid w:val="00C3764B"/>
    <w:rsid w:val="00C37EED"/>
    <w:rsid w:val="00C37FD3"/>
    <w:rsid w:val="00C40344"/>
    <w:rsid w:val="00C403E6"/>
    <w:rsid w:val="00C40497"/>
    <w:rsid w:val="00C40AEB"/>
    <w:rsid w:val="00C4121F"/>
    <w:rsid w:val="00C413BA"/>
    <w:rsid w:val="00C4149D"/>
    <w:rsid w:val="00C41D2D"/>
    <w:rsid w:val="00C42019"/>
    <w:rsid w:val="00C42094"/>
    <w:rsid w:val="00C422C4"/>
    <w:rsid w:val="00C4326D"/>
    <w:rsid w:val="00C43646"/>
    <w:rsid w:val="00C438A2"/>
    <w:rsid w:val="00C43E3E"/>
    <w:rsid w:val="00C43FCA"/>
    <w:rsid w:val="00C44DEF"/>
    <w:rsid w:val="00C451D2"/>
    <w:rsid w:val="00C458E7"/>
    <w:rsid w:val="00C45908"/>
    <w:rsid w:val="00C45F2D"/>
    <w:rsid w:val="00C462E7"/>
    <w:rsid w:val="00C47B25"/>
    <w:rsid w:val="00C47CB8"/>
    <w:rsid w:val="00C47ED7"/>
    <w:rsid w:val="00C47F00"/>
    <w:rsid w:val="00C47F86"/>
    <w:rsid w:val="00C50499"/>
    <w:rsid w:val="00C5077A"/>
    <w:rsid w:val="00C51408"/>
    <w:rsid w:val="00C51767"/>
    <w:rsid w:val="00C5181E"/>
    <w:rsid w:val="00C519FB"/>
    <w:rsid w:val="00C51DC9"/>
    <w:rsid w:val="00C51F7E"/>
    <w:rsid w:val="00C5215D"/>
    <w:rsid w:val="00C524BB"/>
    <w:rsid w:val="00C5277E"/>
    <w:rsid w:val="00C52D47"/>
    <w:rsid w:val="00C52FB9"/>
    <w:rsid w:val="00C53215"/>
    <w:rsid w:val="00C53488"/>
    <w:rsid w:val="00C5350C"/>
    <w:rsid w:val="00C53F86"/>
    <w:rsid w:val="00C5438E"/>
    <w:rsid w:val="00C54532"/>
    <w:rsid w:val="00C5454E"/>
    <w:rsid w:val="00C54AEE"/>
    <w:rsid w:val="00C5500F"/>
    <w:rsid w:val="00C5541D"/>
    <w:rsid w:val="00C556E9"/>
    <w:rsid w:val="00C56065"/>
    <w:rsid w:val="00C5647C"/>
    <w:rsid w:val="00C569BE"/>
    <w:rsid w:val="00C56AB1"/>
    <w:rsid w:val="00C56B92"/>
    <w:rsid w:val="00C56C20"/>
    <w:rsid w:val="00C56D94"/>
    <w:rsid w:val="00C57037"/>
    <w:rsid w:val="00C57885"/>
    <w:rsid w:val="00C57DCB"/>
    <w:rsid w:val="00C610B5"/>
    <w:rsid w:val="00C61739"/>
    <w:rsid w:val="00C61C68"/>
    <w:rsid w:val="00C620C9"/>
    <w:rsid w:val="00C62411"/>
    <w:rsid w:val="00C624B1"/>
    <w:rsid w:val="00C62AF9"/>
    <w:rsid w:val="00C632B2"/>
    <w:rsid w:val="00C63979"/>
    <w:rsid w:val="00C64872"/>
    <w:rsid w:val="00C652A8"/>
    <w:rsid w:val="00C65391"/>
    <w:rsid w:val="00C65BD9"/>
    <w:rsid w:val="00C65FCB"/>
    <w:rsid w:val="00C669F0"/>
    <w:rsid w:val="00C66AB5"/>
    <w:rsid w:val="00C66EA3"/>
    <w:rsid w:val="00C6721A"/>
    <w:rsid w:val="00C672AA"/>
    <w:rsid w:val="00C672C8"/>
    <w:rsid w:val="00C67C31"/>
    <w:rsid w:val="00C67DA3"/>
    <w:rsid w:val="00C67FFB"/>
    <w:rsid w:val="00C70066"/>
    <w:rsid w:val="00C70682"/>
    <w:rsid w:val="00C70B59"/>
    <w:rsid w:val="00C71927"/>
    <w:rsid w:val="00C719FC"/>
    <w:rsid w:val="00C71B48"/>
    <w:rsid w:val="00C72056"/>
    <w:rsid w:val="00C7218E"/>
    <w:rsid w:val="00C72218"/>
    <w:rsid w:val="00C72848"/>
    <w:rsid w:val="00C72A85"/>
    <w:rsid w:val="00C72C4F"/>
    <w:rsid w:val="00C72CF4"/>
    <w:rsid w:val="00C73315"/>
    <w:rsid w:val="00C73A69"/>
    <w:rsid w:val="00C73BCF"/>
    <w:rsid w:val="00C73CB4"/>
    <w:rsid w:val="00C73E5C"/>
    <w:rsid w:val="00C7415A"/>
    <w:rsid w:val="00C745BF"/>
    <w:rsid w:val="00C746D6"/>
    <w:rsid w:val="00C74B48"/>
    <w:rsid w:val="00C74C2C"/>
    <w:rsid w:val="00C74D77"/>
    <w:rsid w:val="00C750C3"/>
    <w:rsid w:val="00C75108"/>
    <w:rsid w:val="00C7514B"/>
    <w:rsid w:val="00C751B9"/>
    <w:rsid w:val="00C75281"/>
    <w:rsid w:val="00C756C6"/>
    <w:rsid w:val="00C759B5"/>
    <w:rsid w:val="00C75B25"/>
    <w:rsid w:val="00C75CCA"/>
    <w:rsid w:val="00C75D2D"/>
    <w:rsid w:val="00C75F2F"/>
    <w:rsid w:val="00C76ABF"/>
    <w:rsid w:val="00C776E6"/>
    <w:rsid w:val="00C7795E"/>
    <w:rsid w:val="00C77AB3"/>
    <w:rsid w:val="00C77DE7"/>
    <w:rsid w:val="00C78F9F"/>
    <w:rsid w:val="00C80032"/>
    <w:rsid w:val="00C805E5"/>
    <w:rsid w:val="00C80851"/>
    <w:rsid w:val="00C80BCF"/>
    <w:rsid w:val="00C80D94"/>
    <w:rsid w:val="00C81B38"/>
    <w:rsid w:val="00C81EF6"/>
    <w:rsid w:val="00C82399"/>
    <w:rsid w:val="00C82B86"/>
    <w:rsid w:val="00C83097"/>
    <w:rsid w:val="00C8315E"/>
    <w:rsid w:val="00C83B61"/>
    <w:rsid w:val="00C84502"/>
    <w:rsid w:val="00C8469A"/>
    <w:rsid w:val="00C8472B"/>
    <w:rsid w:val="00C849B9"/>
    <w:rsid w:val="00C84CF3"/>
    <w:rsid w:val="00C84ED7"/>
    <w:rsid w:val="00C8556F"/>
    <w:rsid w:val="00C8593B"/>
    <w:rsid w:val="00C860BC"/>
    <w:rsid w:val="00C8658F"/>
    <w:rsid w:val="00C869A0"/>
    <w:rsid w:val="00C869FE"/>
    <w:rsid w:val="00C86C1F"/>
    <w:rsid w:val="00C87195"/>
    <w:rsid w:val="00C8744C"/>
    <w:rsid w:val="00C87909"/>
    <w:rsid w:val="00C87ACD"/>
    <w:rsid w:val="00C87BAD"/>
    <w:rsid w:val="00C87BC7"/>
    <w:rsid w:val="00C9028A"/>
    <w:rsid w:val="00C90A15"/>
    <w:rsid w:val="00C90BF3"/>
    <w:rsid w:val="00C90F10"/>
    <w:rsid w:val="00C91BC4"/>
    <w:rsid w:val="00C92A98"/>
    <w:rsid w:val="00C92CEC"/>
    <w:rsid w:val="00C94298"/>
    <w:rsid w:val="00C95546"/>
    <w:rsid w:val="00C95978"/>
    <w:rsid w:val="00C95DF7"/>
    <w:rsid w:val="00C95FCA"/>
    <w:rsid w:val="00C97109"/>
    <w:rsid w:val="00C973FA"/>
    <w:rsid w:val="00C97AE5"/>
    <w:rsid w:val="00CA0685"/>
    <w:rsid w:val="00CA080F"/>
    <w:rsid w:val="00CA0990"/>
    <w:rsid w:val="00CA0FA8"/>
    <w:rsid w:val="00CA19A8"/>
    <w:rsid w:val="00CA22BB"/>
    <w:rsid w:val="00CA22C8"/>
    <w:rsid w:val="00CA237E"/>
    <w:rsid w:val="00CA3A5D"/>
    <w:rsid w:val="00CA3B73"/>
    <w:rsid w:val="00CA45F1"/>
    <w:rsid w:val="00CA470E"/>
    <w:rsid w:val="00CA47E4"/>
    <w:rsid w:val="00CA4B41"/>
    <w:rsid w:val="00CA4EFB"/>
    <w:rsid w:val="00CA585C"/>
    <w:rsid w:val="00CA66C8"/>
    <w:rsid w:val="00CA683E"/>
    <w:rsid w:val="00CA68B0"/>
    <w:rsid w:val="00CA70CC"/>
    <w:rsid w:val="00CA75E8"/>
    <w:rsid w:val="00CA7726"/>
    <w:rsid w:val="00CA77E5"/>
    <w:rsid w:val="00CA793D"/>
    <w:rsid w:val="00CB01D3"/>
    <w:rsid w:val="00CB03A7"/>
    <w:rsid w:val="00CB091F"/>
    <w:rsid w:val="00CB0A71"/>
    <w:rsid w:val="00CB104F"/>
    <w:rsid w:val="00CB16F6"/>
    <w:rsid w:val="00CB19B6"/>
    <w:rsid w:val="00CB1AD0"/>
    <w:rsid w:val="00CB1E7D"/>
    <w:rsid w:val="00CB1EC9"/>
    <w:rsid w:val="00CB2439"/>
    <w:rsid w:val="00CB2FDC"/>
    <w:rsid w:val="00CB30B2"/>
    <w:rsid w:val="00CB37AA"/>
    <w:rsid w:val="00CB386D"/>
    <w:rsid w:val="00CB3F91"/>
    <w:rsid w:val="00CB43B0"/>
    <w:rsid w:val="00CB464C"/>
    <w:rsid w:val="00CB4DE2"/>
    <w:rsid w:val="00CB5124"/>
    <w:rsid w:val="00CB56D9"/>
    <w:rsid w:val="00CB585A"/>
    <w:rsid w:val="00CB5A00"/>
    <w:rsid w:val="00CB5BCC"/>
    <w:rsid w:val="00CB5D77"/>
    <w:rsid w:val="00CB6267"/>
    <w:rsid w:val="00CB64A1"/>
    <w:rsid w:val="00CB6611"/>
    <w:rsid w:val="00CB66EC"/>
    <w:rsid w:val="00CB702B"/>
    <w:rsid w:val="00CB74A7"/>
    <w:rsid w:val="00CB765E"/>
    <w:rsid w:val="00CC02FA"/>
    <w:rsid w:val="00CC0668"/>
    <w:rsid w:val="00CC1D24"/>
    <w:rsid w:val="00CC1F3A"/>
    <w:rsid w:val="00CC2273"/>
    <w:rsid w:val="00CC27DC"/>
    <w:rsid w:val="00CC2B0B"/>
    <w:rsid w:val="00CC2F45"/>
    <w:rsid w:val="00CC3A27"/>
    <w:rsid w:val="00CC41BF"/>
    <w:rsid w:val="00CC459D"/>
    <w:rsid w:val="00CC45CE"/>
    <w:rsid w:val="00CC46A6"/>
    <w:rsid w:val="00CC5015"/>
    <w:rsid w:val="00CC5022"/>
    <w:rsid w:val="00CC5281"/>
    <w:rsid w:val="00CC5487"/>
    <w:rsid w:val="00CC54E9"/>
    <w:rsid w:val="00CC57AB"/>
    <w:rsid w:val="00CC5CDD"/>
    <w:rsid w:val="00CC5DB3"/>
    <w:rsid w:val="00CC6136"/>
    <w:rsid w:val="00CC6216"/>
    <w:rsid w:val="00CC6558"/>
    <w:rsid w:val="00CC69D7"/>
    <w:rsid w:val="00CC6BFB"/>
    <w:rsid w:val="00CC7153"/>
    <w:rsid w:val="00CC72D9"/>
    <w:rsid w:val="00CC74D8"/>
    <w:rsid w:val="00CC79B2"/>
    <w:rsid w:val="00CC7C15"/>
    <w:rsid w:val="00CC7C40"/>
    <w:rsid w:val="00CC7E93"/>
    <w:rsid w:val="00CD02CF"/>
    <w:rsid w:val="00CD093D"/>
    <w:rsid w:val="00CD130F"/>
    <w:rsid w:val="00CD1567"/>
    <w:rsid w:val="00CD18DC"/>
    <w:rsid w:val="00CD18F7"/>
    <w:rsid w:val="00CD196B"/>
    <w:rsid w:val="00CD1CFE"/>
    <w:rsid w:val="00CD2096"/>
    <w:rsid w:val="00CD2686"/>
    <w:rsid w:val="00CD2EB4"/>
    <w:rsid w:val="00CD2FCC"/>
    <w:rsid w:val="00CD3153"/>
    <w:rsid w:val="00CD328C"/>
    <w:rsid w:val="00CD35F7"/>
    <w:rsid w:val="00CD35FE"/>
    <w:rsid w:val="00CD3B3A"/>
    <w:rsid w:val="00CD404A"/>
    <w:rsid w:val="00CD44D6"/>
    <w:rsid w:val="00CD463A"/>
    <w:rsid w:val="00CD46D5"/>
    <w:rsid w:val="00CD4AB4"/>
    <w:rsid w:val="00CD4FA1"/>
    <w:rsid w:val="00CD520B"/>
    <w:rsid w:val="00CD5379"/>
    <w:rsid w:val="00CD5E3B"/>
    <w:rsid w:val="00CD6303"/>
    <w:rsid w:val="00CD65F8"/>
    <w:rsid w:val="00CD6F6A"/>
    <w:rsid w:val="00CD6F79"/>
    <w:rsid w:val="00CD700B"/>
    <w:rsid w:val="00CD75C6"/>
    <w:rsid w:val="00CE0082"/>
    <w:rsid w:val="00CE0655"/>
    <w:rsid w:val="00CE0812"/>
    <w:rsid w:val="00CE0918"/>
    <w:rsid w:val="00CE0AFB"/>
    <w:rsid w:val="00CE0BFE"/>
    <w:rsid w:val="00CE0FAF"/>
    <w:rsid w:val="00CE12F6"/>
    <w:rsid w:val="00CE14CA"/>
    <w:rsid w:val="00CE1750"/>
    <w:rsid w:val="00CE1FAC"/>
    <w:rsid w:val="00CE271F"/>
    <w:rsid w:val="00CE290B"/>
    <w:rsid w:val="00CE3066"/>
    <w:rsid w:val="00CE327A"/>
    <w:rsid w:val="00CE3C8C"/>
    <w:rsid w:val="00CE422B"/>
    <w:rsid w:val="00CE45D4"/>
    <w:rsid w:val="00CE4A40"/>
    <w:rsid w:val="00CE4ED2"/>
    <w:rsid w:val="00CE4EE6"/>
    <w:rsid w:val="00CE5043"/>
    <w:rsid w:val="00CE5324"/>
    <w:rsid w:val="00CE549F"/>
    <w:rsid w:val="00CE5726"/>
    <w:rsid w:val="00CE5E7B"/>
    <w:rsid w:val="00CE5F24"/>
    <w:rsid w:val="00CE6D90"/>
    <w:rsid w:val="00CE6E5B"/>
    <w:rsid w:val="00CE716E"/>
    <w:rsid w:val="00CE71CD"/>
    <w:rsid w:val="00CE72D7"/>
    <w:rsid w:val="00CE768C"/>
    <w:rsid w:val="00CF006C"/>
    <w:rsid w:val="00CF00D9"/>
    <w:rsid w:val="00CF0955"/>
    <w:rsid w:val="00CF0A44"/>
    <w:rsid w:val="00CF0CC3"/>
    <w:rsid w:val="00CF1055"/>
    <w:rsid w:val="00CF14CC"/>
    <w:rsid w:val="00CF1A93"/>
    <w:rsid w:val="00CF1BA9"/>
    <w:rsid w:val="00CF1C2B"/>
    <w:rsid w:val="00CF2517"/>
    <w:rsid w:val="00CF2A9C"/>
    <w:rsid w:val="00CF2EBD"/>
    <w:rsid w:val="00CF2F22"/>
    <w:rsid w:val="00CF318A"/>
    <w:rsid w:val="00CF31E0"/>
    <w:rsid w:val="00CF33A0"/>
    <w:rsid w:val="00CF360E"/>
    <w:rsid w:val="00CF3664"/>
    <w:rsid w:val="00CF3D10"/>
    <w:rsid w:val="00CF3D6B"/>
    <w:rsid w:val="00CF481A"/>
    <w:rsid w:val="00CF4B43"/>
    <w:rsid w:val="00CF4CE3"/>
    <w:rsid w:val="00CF4F99"/>
    <w:rsid w:val="00CF5191"/>
    <w:rsid w:val="00CF51B2"/>
    <w:rsid w:val="00CF54EF"/>
    <w:rsid w:val="00CF57A8"/>
    <w:rsid w:val="00CF63AF"/>
    <w:rsid w:val="00CF6FD3"/>
    <w:rsid w:val="00CF6FE2"/>
    <w:rsid w:val="00D00A70"/>
    <w:rsid w:val="00D011DB"/>
    <w:rsid w:val="00D01C6B"/>
    <w:rsid w:val="00D02185"/>
    <w:rsid w:val="00D02767"/>
    <w:rsid w:val="00D02812"/>
    <w:rsid w:val="00D02B41"/>
    <w:rsid w:val="00D02CD9"/>
    <w:rsid w:val="00D03176"/>
    <w:rsid w:val="00D0484F"/>
    <w:rsid w:val="00D048A8"/>
    <w:rsid w:val="00D04F98"/>
    <w:rsid w:val="00D04FD9"/>
    <w:rsid w:val="00D050D4"/>
    <w:rsid w:val="00D0519D"/>
    <w:rsid w:val="00D0522B"/>
    <w:rsid w:val="00D05258"/>
    <w:rsid w:val="00D05374"/>
    <w:rsid w:val="00D05501"/>
    <w:rsid w:val="00D05591"/>
    <w:rsid w:val="00D0562C"/>
    <w:rsid w:val="00D057B5"/>
    <w:rsid w:val="00D05F1A"/>
    <w:rsid w:val="00D061F1"/>
    <w:rsid w:val="00D06A1E"/>
    <w:rsid w:val="00D06CCE"/>
    <w:rsid w:val="00D06E5B"/>
    <w:rsid w:val="00D074D0"/>
    <w:rsid w:val="00D07578"/>
    <w:rsid w:val="00D076F1"/>
    <w:rsid w:val="00D106AA"/>
    <w:rsid w:val="00D10A95"/>
    <w:rsid w:val="00D10FC4"/>
    <w:rsid w:val="00D116C3"/>
    <w:rsid w:val="00D11961"/>
    <w:rsid w:val="00D11A8F"/>
    <w:rsid w:val="00D11E75"/>
    <w:rsid w:val="00D11F3C"/>
    <w:rsid w:val="00D12267"/>
    <w:rsid w:val="00D122B1"/>
    <w:rsid w:val="00D12A6B"/>
    <w:rsid w:val="00D12BA7"/>
    <w:rsid w:val="00D13264"/>
    <w:rsid w:val="00D133FE"/>
    <w:rsid w:val="00D135F4"/>
    <w:rsid w:val="00D1364A"/>
    <w:rsid w:val="00D1365F"/>
    <w:rsid w:val="00D13750"/>
    <w:rsid w:val="00D13ABC"/>
    <w:rsid w:val="00D1443B"/>
    <w:rsid w:val="00D14471"/>
    <w:rsid w:val="00D14541"/>
    <w:rsid w:val="00D145D3"/>
    <w:rsid w:val="00D146A1"/>
    <w:rsid w:val="00D14ACF"/>
    <w:rsid w:val="00D14C67"/>
    <w:rsid w:val="00D15343"/>
    <w:rsid w:val="00D158B3"/>
    <w:rsid w:val="00D159A8"/>
    <w:rsid w:val="00D15A35"/>
    <w:rsid w:val="00D15C36"/>
    <w:rsid w:val="00D15E89"/>
    <w:rsid w:val="00D161B3"/>
    <w:rsid w:val="00D167B0"/>
    <w:rsid w:val="00D16932"/>
    <w:rsid w:val="00D16B7F"/>
    <w:rsid w:val="00D16CD5"/>
    <w:rsid w:val="00D16CFF"/>
    <w:rsid w:val="00D16D86"/>
    <w:rsid w:val="00D17567"/>
    <w:rsid w:val="00D177B4"/>
    <w:rsid w:val="00D1797E"/>
    <w:rsid w:val="00D17C7F"/>
    <w:rsid w:val="00D202ED"/>
    <w:rsid w:val="00D203F8"/>
    <w:rsid w:val="00D207D2"/>
    <w:rsid w:val="00D20DAB"/>
    <w:rsid w:val="00D2107E"/>
    <w:rsid w:val="00D22763"/>
    <w:rsid w:val="00D234E3"/>
    <w:rsid w:val="00D23CFC"/>
    <w:rsid w:val="00D23EBF"/>
    <w:rsid w:val="00D24629"/>
    <w:rsid w:val="00D24CA1"/>
    <w:rsid w:val="00D24DED"/>
    <w:rsid w:val="00D24E70"/>
    <w:rsid w:val="00D2567E"/>
    <w:rsid w:val="00D25898"/>
    <w:rsid w:val="00D26036"/>
    <w:rsid w:val="00D265F8"/>
    <w:rsid w:val="00D26636"/>
    <w:rsid w:val="00D26668"/>
    <w:rsid w:val="00D266B7"/>
    <w:rsid w:val="00D26FB4"/>
    <w:rsid w:val="00D277D7"/>
    <w:rsid w:val="00D27810"/>
    <w:rsid w:val="00D27946"/>
    <w:rsid w:val="00D27A84"/>
    <w:rsid w:val="00D27DB5"/>
    <w:rsid w:val="00D27DD4"/>
    <w:rsid w:val="00D30365"/>
    <w:rsid w:val="00D30ABD"/>
    <w:rsid w:val="00D30D81"/>
    <w:rsid w:val="00D30F47"/>
    <w:rsid w:val="00D3105B"/>
    <w:rsid w:val="00D31920"/>
    <w:rsid w:val="00D321DF"/>
    <w:rsid w:val="00D32848"/>
    <w:rsid w:val="00D333F9"/>
    <w:rsid w:val="00D33740"/>
    <w:rsid w:val="00D33CC8"/>
    <w:rsid w:val="00D33D18"/>
    <w:rsid w:val="00D33D30"/>
    <w:rsid w:val="00D33E90"/>
    <w:rsid w:val="00D3424F"/>
    <w:rsid w:val="00D34DD8"/>
    <w:rsid w:val="00D34F7E"/>
    <w:rsid w:val="00D35772"/>
    <w:rsid w:val="00D3677C"/>
    <w:rsid w:val="00D368D1"/>
    <w:rsid w:val="00D36A23"/>
    <w:rsid w:val="00D36C62"/>
    <w:rsid w:val="00D36FBB"/>
    <w:rsid w:val="00D37295"/>
    <w:rsid w:val="00D37BA6"/>
    <w:rsid w:val="00D4002D"/>
    <w:rsid w:val="00D406CB"/>
    <w:rsid w:val="00D40D03"/>
    <w:rsid w:val="00D416C3"/>
    <w:rsid w:val="00D41C14"/>
    <w:rsid w:val="00D4296C"/>
    <w:rsid w:val="00D42D44"/>
    <w:rsid w:val="00D42E47"/>
    <w:rsid w:val="00D43AD7"/>
    <w:rsid w:val="00D43CC3"/>
    <w:rsid w:val="00D43EB4"/>
    <w:rsid w:val="00D4407C"/>
    <w:rsid w:val="00D4491E"/>
    <w:rsid w:val="00D44C26"/>
    <w:rsid w:val="00D44DCF"/>
    <w:rsid w:val="00D44FC3"/>
    <w:rsid w:val="00D4517A"/>
    <w:rsid w:val="00D4518A"/>
    <w:rsid w:val="00D451F8"/>
    <w:rsid w:val="00D45610"/>
    <w:rsid w:val="00D45AB2"/>
    <w:rsid w:val="00D4655C"/>
    <w:rsid w:val="00D46EAD"/>
    <w:rsid w:val="00D50808"/>
    <w:rsid w:val="00D50860"/>
    <w:rsid w:val="00D50F39"/>
    <w:rsid w:val="00D5161F"/>
    <w:rsid w:val="00D51782"/>
    <w:rsid w:val="00D51941"/>
    <w:rsid w:val="00D51EEA"/>
    <w:rsid w:val="00D52E8B"/>
    <w:rsid w:val="00D534E1"/>
    <w:rsid w:val="00D53537"/>
    <w:rsid w:val="00D53A49"/>
    <w:rsid w:val="00D53BEA"/>
    <w:rsid w:val="00D543A4"/>
    <w:rsid w:val="00D546AE"/>
    <w:rsid w:val="00D54AB4"/>
    <w:rsid w:val="00D54DAB"/>
    <w:rsid w:val="00D55B5D"/>
    <w:rsid w:val="00D56052"/>
    <w:rsid w:val="00D56099"/>
    <w:rsid w:val="00D56124"/>
    <w:rsid w:val="00D563A9"/>
    <w:rsid w:val="00D5643B"/>
    <w:rsid w:val="00D572D4"/>
    <w:rsid w:val="00D5779B"/>
    <w:rsid w:val="00D57D37"/>
    <w:rsid w:val="00D57E36"/>
    <w:rsid w:val="00D60040"/>
    <w:rsid w:val="00D6042C"/>
    <w:rsid w:val="00D6044E"/>
    <w:rsid w:val="00D606C7"/>
    <w:rsid w:val="00D60825"/>
    <w:rsid w:val="00D60D61"/>
    <w:rsid w:val="00D60D71"/>
    <w:rsid w:val="00D60FEB"/>
    <w:rsid w:val="00D61172"/>
    <w:rsid w:val="00D61996"/>
    <w:rsid w:val="00D61A00"/>
    <w:rsid w:val="00D61C6B"/>
    <w:rsid w:val="00D61D4F"/>
    <w:rsid w:val="00D62189"/>
    <w:rsid w:val="00D624CC"/>
    <w:rsid w:val="00D6263C"/>
    <w:rsid w:val="00D62F8D"/>
    <w:rsid w:val="00D62FFE"/>
    <w:rsid w:val="00D6348D"/>
    <w:rsid w:val="00D63B3A"/>
    <w:rsid w:val="00D63ED7"/>
    <w:rsid w:val="00D642BE"/>
    <w:rsid w:val="00D64893"/>
    <w:rsid w:val="00D64EC6"/>
    <w:rsid w:val="00D65C11"/>
    <w:rsid w:val="00D65DD2"/>
    <w:rsid w:val="00D65FF4"/>
    <w:rsid w:val="00D6638F"/>
    <w:rsid w:val="00D663F6"/>
    <w:rsid w:val="00D66988"/>
    <w:rsid w:val="00D66C9F"/>
    <w:rsid w:val="00D66E42"/>
    <w:rsid w:val="00D7024B"/>
    <w:rsid w:val="00D702D4"/>
    <w:rsid w:val="00D70CCE"/>
    <w:rsid w:val="00D70D3C"/>
    <w:rsid w:val="00D70E97"/>
    <w:rsid w:val="00D711FA"/>
    <w:rsid w:val="00D715B2"/>
    <w:rsid w:val="00D71D89"/>
    <w:rsid w:val="00D72388"/>
    <w:rsid w:val="00D72482"/>
    <w:rsid w:val="00D72A81"/>
    <w:rsid w:val="00D733F9"/>
    <w:rsid w:val="00D73491"/>
    <w:rsid w:val="00D735A1"/>
    <w:rsid w:val="00D73823"/>
    <w:rsid w:val="00D738A1"/>
    <w:rsid w:val="00D73A02"/>
    <w:rsid w:val="00D73A0F"/>
    <w:rsid w:val="00D73DCF"/>
    <w:rsid w:val="00D74855"/>
    <w:rsid w:val="00D74A45"/>
    <w:rsid w:val="00D74BD9"/>
    <w:rsid w:val="00D74C3C"/>
    <w:rsid w:val="00D74CC0"/>
    <w:rsid w:val="00D74E8E"/>
    <w:rsid w:val="00D7536E"/>
    <w:rsid w:val="00D7543A"/>
    <w:rsid w:val="00D755AC"/>
    <w:rsid w:val="00D75BCF"/>
    <w:rsid w:val="00D75E26"/>
    <w:rsid w:val="00D761B5"/>
    <w:rsid w:val="00D76543"/>
    <w:rsid w:val="00D76910"/>
    <w:rsid w:val="00D7696D"/>
    <w:rsid w:val="00D76976"/>
    <w:rsid w:val="00D76E6F"/>
    <w:rsid w:val="00D76F64"/>
    <w:rsid w:val="00D777B3"/>
    <w:rsid w:val="00D77B09"/>
    <w:rsid w:val="00D77F54"/>
    <w:rsid w:val="00D77FF8"/>
    <w:rsid w:val="00D800BD"/>
    <w:rsid w:val="00D80113"/>
    <w:rsid w:val="00D805DE"/>
    <w:rsid w:val="00D80AB3"/>
    <w:rsid w:val="00D80BC8"/>
    <w:rsid w:val="00D81033"/>
    <w:rsid w:val="00D813CC"/>
    <w:rsid w:val="00D818B9"/>
    <w:rsid w:val="00D81974"/>
    <w:rsid w:val="00D81C09"/>
    <w:rsid w:val="00D82974"/>
    <w:rsid w:val="00D8297C"/>
    <w:rsid w:val="00D82A77"/>
    <w:rsid w:val="00D82D93"/>
    <w:rsid w:val="00D8379A"/>
    <w:rsid w:val="00D8399A"/>
    <w:rsid w:val="00D83AE7"/>
    <w:rsid w:val="00D83E71"/>
    <w:rsid w:val="00D8472F"/>
    <w:rsid w:val="00D84CE9"/>
    <w:rsid w:val="00D84DEA"/>
    <w:rsid w:val="00D84F4A"/>
    <w:rsid w:val="00D85080"/>
    <w:rsid w:val="00D85214"/>
    <w:rsid w:val="00D85298"/>
    <w:rsid w:val="00D858CA"/>
    <w:rsid w:val="00D85AE4"/>
    <w:rsid w:val="00D85BD8"/>
    <w:rsid w:val="00D85DA1"/>
    <w:rsid w:val="00D86229"/>
    <w:rsid w:val="00D86524"/>
    <w:rsid w:val="00D86693"/>
    <w:rsid w:val="00D869CF"/>
    <w:rsid w:val="00D86C11"/>
    <w:rsid w:val="00D871F8"/>
    <w:rsid w:val="00D8735A"/>
    <w:rsid w:val="00D877B4"/>
    <w:rsid w:val="00D87D35"/>
    <w:rsid w:val="00D87D9E"/>
    <w:rsid w:val="00D90309"/>
    <w:rsid w:val="00D906DC"/>
    <w:rsid w:val="00D90C03"/>
    <w:rsid w:val="00D90D18"/>
    <w:rsid w:val="00D90ED1"/>
    <w:rsid w:val="00D92AC8"/>
    <w:rsid w:val="00D92BC5"/>
    <w:rsid w:val="00D937F9"/>
    <w:rsid w:val="00D94036"/>
    <w:rsid w:val="00D9491E"/>
    <w:rsid w:val="00D94C9E"/>
    <w:rsid w:val="00D94FC7"/>
    <w:rsid w:val="00D94FC9"/>
    <w:rsid w:val="00D950ED"/>
    <w:rsid w:val="00D953DD"/>
    <w:rsid w:val="00D957EF"/>
    <w:rsid w:val="00D96875"/>
    <w:rsid w:val="00D96D1D"/>
    <w:rsid w:val="00D96DEE"/>
    <w:rsid w:val="00D96EC0"/>
    <w:rsid w:val="00D97140"/>
    <w:rsid w:val="00D979C9"/>
    <w:rsid w:val="00D97B62"/>
    <w:rsid w:val="00DA000C"/>
    <w:rsid w:val="00DA0234"/>
    <w:rsid w:val="00DA03D2"/>
    <w:rsid w:val="00DA03EA"/>
    <w:rsid w:val="00DA040A"/>
    <w:rsid w:val="00DA0BC7"/>
    <w:rsid w:val="00DA0CA1"/>
    <w:rsid w:val="00DA1012"/>
    <w:rsid w:val="00DA1169"/>
    <w:rsid w:val="00DA1409"/>
    <w:rsid w:val="00DA17A4"/>
    <w:rsid w:val="00DA19AE"/>
    <w:rsid w:val="00DA1C4A"/>
    <w:rsid w:val="00DA1D0E"/>
    <w:rsid w:val="00DA1E09"/>
    <w:rsid w:val="00DA1E19"/>
    <w:rsid w:val="00DA216E"/>
    <w:rsid w:val="00DA237C"/>
    <w:rsid w:val="00DA3452"/>
    <w:rsid w:val="00DA37D9"/>
    <w:rsid w:val="00DA3B2C"/>
    <w:rsid w:val="00DA42A4"/>
    <w:rsid w:val="00DA434D"/>
    <w:rsid w:val="00DA4432"/>
    <w:rsid w:val="00DA4477"/>
    <w:rsid w:val="00DA46E2"/>
    <w:rsid w:val="00DA4BF7"/>
    <w:rsid w:val="00DA4ED9"/>
    <w:rsid w:val="00DA500E"/>
    <w:rsid w:val="00DA50C9"/>
    <w:rsid w:val="00DA5249"/>
    <w:rsid w:val="00DA67B5"/>
    <w:rsid w:val="00DA70C7"/>
    <w:rsid w:val="00DA7122"/>
    <w:rsid w:val="00DA72F5"/>
    <w:rsid w:val="00DA7400"/>
    <w:rsid w:val="00DA771F"/>
    <w:rsid w:val="00DA777F"/>
    <w:rsid w:val="00DA779B"/>
    <w:rsid w:val="00DA7AC0"/>
    <w:rsid w:val="00DA7CB1"/>
    <w:rsid w:val="00DB01EC"/>
    <w:rsid w:val="00DB0304"/>
    <w:rsid w:val="00DB058D"/>
    <w:rsid w:val="00DB0CBB"/>
    <w:rsid w:val="00DB0F46"/>
    <w:rsid w:val="00DB19F5"/>
    <w:rsid w:val="00DB1C4E"/>
    <w:rsid w:val="00DB1E61"/>
    <w:rsid w:val="00DB1F94"/>
    <w:rsid w:val="00DB207B"/>
    <w:rsid w:val="00DB2657"/>
    <w:rsid w:val="00DB2690"/>
    <w:rsid w:val="00DB2DAE"/>
    <w:rsid w:val="00DB3C49"/>
    <w:rsid w:val="00DB400B"/>
    <w:rsid w:val="00DB47FF"/>
    <w:rsid w:val="00DB4862"/>
    <w:rsid w:val="00DB48AD"/>
    <w:rsid w:val="00DB4F17"/>
    <w:rsid w:val="00DB4F46"/>
    <w:rsid w:val="00DB4FAD"/>
    <w:rsid w:val="00DB5642"/>
    <w:rsid w:val="00DB5800"/>
    <w:rsid w:val="00DB58B6"/>
    <w:rsid w:val="00DB594F"/>
    <w:rsid w:val="00DB5AE6"/>
    <w:rsid w:val="00DB5C6C"/>
    <w:rsid w:val="00DB5F47"/>
    <w:rsid w:val="00DB5F58"/>
    <w:rsid w:val="00DB62B8"/>
    <w:rsid w:val="00DB6B94"/>
    <w:rsid w:val="00DB6E8A"/>
    <w:rsid w:val="00DB7642"/>
    <w:rsid w:val="00DB77B0"/>
    <w:rsid w:val="00DB7A1F"/>
    <w:rsid w:val="00DB7BDF"/>
    <w:rsid w:val="00DB7E61"/>
    <w:rsid w:val="00DC06A4"/>
    <w:rsid w:val="00DC08EF"/>
    <w:rsid w:val="00DC0C7C"/>
    <w:rsid w:val="00DC0CD7"/>
    <w:rsid w:val="00DC0DB7"/>
    <w:rsid w:val="00DC11FA"/>
    <w:rsid w:val="00DC1BF5"/>
    <w:rsid w:val="00DC1D2B"/>
    <w:rsid w:val="00DC233D"/>
    <w:rsid w:val="00DC25C3"/>
    <w:rsid w:val="00DC2ABB"/>
    <w:rsid w:val="00DC2B69"/>
    <w:rsid w:val="00DC2CA3"/>
    <w:rsid w:val="00DC2D34"/>
    <w:rsid w:val="00DC30EB"/>
    <w:rsid w:val="00DC32A3"/>
    <w:rsid w:val="00DC3E46"/>
    <w:rsid w:val="00DC3ECF"/>
    <w:rsid w:val="00DC42C0"/>
    <w:rsid w:val="00DC46BB"/>
    <w:rsid w:val="00DC4D61"/>
    <w:rsid w:val="00DC4EFA"/>
    <w:rsid w:val="00DC50BB"/>
    <w:rsid w:val="00DC57F7"/>
    <w:rsid w:val="00DC639C"/>
    <w:rsid w:val="00DC63DF"/>
    <w:rsid w:val="00DC6908"/>
    <w:rsid w:val="00DC6A2B"/>
    <w:rsid w:val="00DC780B"/>
    <w:rsid w:val="00DD0700"/>
    <w:rsid w:val="00DD144A"/>
    <w:rsid w:val="00DD154E"/>
    <w:rsid w:val="00DD1626"/>
    <w:rsid w:val="00DD27B8"/>
    <w:rsid w:val="00DD2BD2"/>
    <w:rsid w:val="00DD2F96"/>
    <w:rsid w:val="00DD30E4"/>
    <w:rsid w:val="00DD33B8"/>
    <w:rsid w:val="00DD433D"/>
    <w:rsid w:val="00DD4ABE"/>
    <w:rsid w:val="00DD4B5C"/>
    <w:rsid w:val="00DD513B"/>
    <w:rsid w:val="00DD5150"/>
    <w:rsid w:val="00DD5217"/>
    <w:rsid w:val="00DD53D9"/>
    <w:rsid w:val="00DD65C6"/>
    <w:rsid w:val="00DD6858"/>
    <w:rsid w:val="00DD68CE"/>
    <w:rsid w:val="00DD6BAD"/>
    <w:rsid w:val="00DD7172"/>
    <w:rsid w:val="00DD771B"/>
    <w:rsid w:val="00DD7D13"/>
    <w:rsid w:val="00DE0459"/>
    <w:rsid w:val="00DE0609"/>
    <w:rsid w:val="00DE0C36"/>
    <w:rsid w:val="00DE1374"/>
    <w:rsid w:val="00DE19D4"/>
    <w:rsid w:val="00DE1A69"/>
    <w:rsid w:val="00DE1D41"/>
    <w:rsid w:val="00DE287E"/>
    <w:rsid w:val="00DE2BF7"/>
    <w:rsid w:val="00DE2E6E"/>
    <w:rsid w:val="00DE3155"/>
    <w:rsid w:val="00DE351A"/>
    <w:rsid w:val="00DE369E"/>
    <w:rsid w:val="00DE4094"/>
    <w:rsid w:val="00DE4524"/>
    <w:rsid w:val="00DE4575"/>
    <w:rsid w:val="00DE46BA"/>
    <w:rsid w:val="00DE4830"/>
    <w:rsid w:val="00DE48EA"/>
    <w:rsid w:val="00DE51FB"/>
    <w:rsid w:val="00DE5402"/>
    <w:rsid w:val="00DE5FEA"/>
    <w:rsid w:val="00DE61CC"/>
    <w:rsid w:val="00DE6451"/>
    <w:rsid w:val="00DE647E"/>
    <w:rsid w:val="00DE6669"/>
    <w:rsid w:val="00DE68E2"/>
    <w:rsid w:val="00DE6A05"/>
    <w:rsid w:val="00DE6A5E"/>
    <w:rsid w:val="00DE7136"/>
    <w:rsid w:val="00DE7AD5"/>
    <w:rsid w:val="00DE7C90"/>
    <w:rsid w:val="00DE7D26"/>
    <w:rsid w:val="00DF018A"/>
    <w:rsid w:val="00DF0613"/>
    <w:rsid w:val="00DF0824"/>
    <w:rsid w:val="00DF0FBC"/>
    <w:rsid w:val="00DF101D"/>
    <w:rsid w:val="00DF1333"/>
    <w:rsid w:val="00DF139D"/>
    <w:rsid w:val="00DF14BC"/>
    <w:rsid w:val="00DF159D"/>
    <w:rsid w:val="00DF1629"/>
    <w:rsid w:val="00DF1845"/>
    <w:rsid w:val="00DF18EC"/>
    <w:rsid w:val="00DF2263"/>
    <w:rsid w:val="00DF23C8"/>
    <w:rsid w:val="00DF2602"/>
    <w:rsid w:val="00DF2663"/>
    <w:rsid w:val="00DF2AF3"/>
    <w:rsid w:val="00DF2F7D"/>
    <w:rsid w:val="00DF3184"/>
    <w:rsid w:val="00DF322A"/>
    <w:rsid w:val="00DF342B"/>
    <w:rsid w:val="00DF3613"/>
    <w:rsid w:val="00DF3FAE"/>
    <w:rsid w:val="00DF48ED"/>
    <w:rsid w:val="00DF4AC7"/>
    <w:rsid w:val="00DF5132"/>
    <w:rsid w:val="00DF54DF"/>
    <w:rsid w:val="00DF56FD"/>
    <w:rsid w:val="00DF5F9B"/>
    <w:rsid w:val="00DF667E"/>
    <w:rsid w:val="00DF6742"/>
    <w:rsid w:val="00DF6746"/>
    <w:rsid w:val="00DF67F9"/>
    <w:rsid w:val="00DF6AB5"/>
    <w:rsid w:val="00DF726A"/>
    <w:rsid w:val="00DF732B"/>
    <w:rsid w:val="00DF76B6"/>
    <w:rsid w:val="00DF778C"/>
    <w:rsid w:val="00DF7B5C"/>
    <w:rsid w:val="00E001B1"/>
    <w:rsid w:val="00E00725"/>
    <w:rsid w:val="00E00C0E"/>
    <w:rsid w:val="00E00EE3"/>
    <w:rsid w:val="00E01273"/>
    <w:rsid w:val="00E01558"/>
    <w:rsid w:val="00E01731"/>
    <w:rsid w:val="00E018B1"/>
    <w:rsid w:val="00E023C2"/>
    <w:rsid w:val="00E0246A"/>
    <w:rsid w:val="00E0282A"/>
    <w:rsid w:val="00E02CC6"/>
    <w:rsid w:val="00E02E77"/>
    <w:rsid w:val="00E03138"/>
    <w:rsid w:val="00E0344B"/>
    <w:rsid w:val="00E0391E"/>
    <w:rsid w:val="00E03B7C"/>
    <w:rsid w:val="00E04425"/>
    <w:rsid w:val="00E0479C"/>
    <w:rsid w:val="00E04C1E"/>
    <w:rsid w:val="00E051DF"/>
    <w:rsid w:val="00E055B1"/>
    <w:rsid w:val="00E05627"/>
    <w:rsid w:val="00E06085"/>
    <w:rsid w:val="00E06792"/>
    <w:rsid w:val="00E06A3C"/>
    <w:rsid w:val="00E06BF8"/>
    <w:rsid w:val="00E06C75"/>
    <w:rsid w:val="00E06DA9"/>
    <w:rsid w:val="00E07033"/>
    <w:rsid w:val="00E0731C"/>
    <w:rsid w:val="00E07362"/>
    <w:rsid w:val="00E07411"/>
    <w:rsid w:val="00E07DCA"/>
    <w:rsid w:val="00E1015B"/>
    <w:rsid w:val="00E101A2"/>
    <w:rsid w:val="00E10255"/>
    <w:rsid w:val="00E105FD"/>
    <w:rsid w:val="00E10798"/>
    <w:rsid w:val="00E11052"/>
    <w:rsid w:val="00E1109E"/>
    <w:rsid w:val="00E111C8"/>
    <w:rsid w:val="00E1132E"/>
    <w:rsid w:val="00E11775"/>
    <w:rsid w:val="00E11A40"/>
    <w:rsid w:val="00E11A4B"/>
    <w:rsid w:val="00E12E87"/>
    <w:rsid w:val="00E13C4F"/>
    <w:rsid w:val="00E14042"/>
    <w:rsid w:val="00E144D5"/>
    <w:rsid w:val="00E14987"/>
    <w:rsid w:val="00E14B90"/>
    <w:rsid w:val="00E1556A"/>
    <w:rsid w:val="00E15F97"/>
    <w:rsid w:val="00E15FA0"/>
    <w:rsid w:val="00E164D4"/>
    <w:rsid w:val="00E16B4D"/>
    <w:rsid w:val="00E177BE"/>
    <w:rsid w:val="00E17C02"/>
    <w:rsid w:val="00E17E20"/>
    <w:rsid w:val="00E17ECB"/>
    <w:rsid w:val="00E17F48"/>
    <w:rsid w:val="00E203DD"/>
    <w:rsid w:val="00E2090B"/>
    <w:rsid w:val="00E20B26"/>
    <w:rsid w:val="00E20B9C"/>
    <w:rsid w:val="00E20C47"/>
    <w:rsid w:val="00E21701"/>
    <w:rsid w:val="00E21BF4"/>
    <w:rsid w:val="00E21D78"/>
    <w:rsid w:val="00E220C9"/>
    <w:rsid w:val="00E22529"/>
    <w:rsid w:val="00E22694"/>
    <w:rsid w:val="00E23480"/>
    <w:rsid w:val="00E238C9"/>
    <w:rsid w:val="00E23D15"/>
    <w:rsid w:val="00E23D35"/>
    <w:rsid w:val="00E2407A"/>
    <w:rsid w:val="00E24185"/>
    <w:rsid w:val="00E247B1"/>
    <w:rsid w:val="00E247C0"/>
    <w:rsid w:val="00E2511B"/>
    <w:rsid w:val="00E25510"/>
    <w:rsid w:val="00E2584D"/>
    <w:rsid w:val="00E259F3"/>
    <w:rsid w:val="00E25DF5"/>
    <w:rsid w:val="00E2617F"/>
    <w:rsid w:val="00E2669B"/>
    <w:rsid w:val="00E272FD"/>
    <w:rsid w:val="00E27561"/>
    <w:rsid w:val="00E27A1B"/>
    <w:rsid w:val="00E27BA6"/>
    <w:rsid w:val="00E27E4D"/>
    <w:rsid w:val="00E27F76"/>
    <w:rsid w:val="00E30297"/>
    <w:rsid w:val="00E3041A"/>
    <w:rsid w:val="00E30CB9"/>
    <w:rsid w:val="00E30CF0"/>
    <w:rsid w:val="00E320C7"/>
    <w:rsid w:val="00E321E1"/>
    <w:rsid w:val="00E327CA"/>
    <w:rsid w:val="00E32CE9"/>
    <w:rsid w:val="00E335A3"/>
    <w:rsid w:val="00E33960"/>
    <w:rsid w:val="00E33E28"/>
    <w:rsid w:val="00E33F2D"/>
    <w:rsid w:val="00E348FB"/>
    <w:rsid w:val="00E3548D"/>
    <w:rsid w:val="00E357CB"/>
    <w:rsid w:val="00E35B99"/>
    <w:rsid w:val="00E35BC1"/>
    <w:rsid w:val="00E35BE2"/>
    <w:rsid w:val="00E35EBC"/>
    <w:rsid w:val="00E35F40"/>
    <w:rsid w:val="00E36421"/>
    <w:rsid w:val="00E36C41"/>
    <w:rsid w:val="00E36DF6"/>
    <w:rsid w:val="00E36FE1"/>
    <w:rsid w:val="00E3727E"/>
    <w:rsid w:val="00E3746F"/>
    <w:rsid w:val="00E374A1"/>
    <w:rsid w:val="00E37AFF"/>
    <w:rsid w:val="00E37D25"/>
    <w:rsid w:val="00E37EA9"/>
    <w:rsid w:val="00E406A3"/>
    <w:rsid w:val="00E40869"/>
    <w:rsid w:val="00E408CD"/>
    <w:rsid w:val="00E409A2"/>
    <w:rsid w:val="00E40DAB"/>
    <w:rsid w:val="00E40F40"/>
    <w:rsid w:val="00E414E8"/>
    <w:rsid w:val="00E415E1"/>
    <w:rsid w:val="00E41983"/>
    <w:rsid w:val="00E41AA3"/>
    <w:rsid w:val="00E42192"/>
    <w:rsid w:val="00E422D6"/>
    <w:rsid w:val="00E4260E"/>
    <w:rsid w:val="00E42DF6"/>
    <w:rsid w:val="00E42F1F"/>
    <w:rsid w:val="00E43318"/>
    <w:rsid w:val="00E43413"/>
    <w:rsid w:val="00E43546"/>
    <w:rsid w:val="00E4355A"/>
    <w:rsid w:val="00E436F5"/>
    <w:rsid w:val="00E43760"/>
    <w:rsid w:val="00E43867"/>
    <w:rsid w:val="00E43F2A"/>
    <w:rsid w:val="00E443FB"/>
    <w:rsid w:val="00E44738"/>
    <w:rsid w:val="00E44974"/>
    <w:rsid w:val="00E45065"/>
    <w:rsid w:val="00E457AD"/>
    <w:rsid w:val="00E45A6F"/>
    <w:rsid w:val="00E45B90"/>
    <w:rsid w:val="00E45BBA"/>
    <w:rsid w:val="00E46025"/>
    <w:rsid w:val="00E470DD"/>
    <w:rsid w:val="00E47249"/>
    <w:rsid w:val="00E47CB7"/>
    <w:rsid w:val="00E47CBC"/>
    <w:rsid w:val="00E50434"/>
    <w:rsid w:val="00E50570"/>
    <w:rsid w:val="00E507E0"/>
    <w:rsid w:val="00E50902"/>
    <w:rsid w:val="00E50AF0"/>
    <w:rsid w:val="00E5110B"/>
    <w:rsid w:val="00E51EFF"/>
    <w:rsid w:val="00E521DA"/>
    <w:rsid w:val="00E52233"/>
    <w:rsid w:val="00E53039"/>
    <w:rsid w:val="00E5342C"/>
    <w:rsid w:val="00E53785"/>
    <w:rsid w:val="00E53D6F"/>
    <w:rsid w:val="00E54036"/>
    <w:rsid w:val="00E543C1"/>
    <w:rsid w:val="00E54448"/>
    <w:rsid w:val="00E551FF"/>
    <w:rsid w:val="00E55628"/>
    <w:rsid w:val="00E55824"/>
    <w:rsid w:val="00E559AC"/>
    <w:rsid w:val="00E55DA0"/>
    <w:rsid w:val="00E55DE3"/>
    <w:rsid w:val="00E56792"/>
    <w:rsid w:val="00E5696C"/>
    <w:rsid w:val="00E56B26"/>
    <w:rsid w:val="00E5710A"/>
    <w:rsid w:val="00E5726C"/>
    <w:rsid w:val="00E5773A"/>
    <w:rsid w:val="00E601DE"/>
    <w:rsid w:val="00E604B3"/>
    <w:rsid w:val="00E60531"/>
    <w:rsid w:val="00E61A3C"/>
    <w:rsid w:val="00E61BB2"/>
    <w:rsid w:val="00E61C50"/>
    <w:rsid w:val="00E626B0"/>
    <w:rsid w:val="00E62FAB"/>
    <w:rsid w:val="00E630A2"/>
    <w:rsid w:val="00E63801"/>
    <w:rsid w:val="00E63810"/>
    <w:rsid w:val="00E63867"/>
    <w:rsid w:val="00E639A6"/>
    <w:rsid w:val="00E63A9F"/>
    <w:rsid w:val="00E63D7A"/>
    <w:rsid w:val="00E63F86"/>
    <w:rsid w:val="00E64428"/>
    <w:rsid w:val="00E645A7"/>
    <w:rsid w:val="00E649AA"/>
    <w:rsid w:val="00E64C22"/>
    <w:rsid w:val="00E64E2B"/>
    <w:rsid w:val="00E6547A"/>
    <w:rsid w:val="00E659DA"/>
    <w:rsid w:val="00E65ACA"/>
    <w:rsid w:val="00E65DF7"/>
    <w:rsid w:val="00E65F5E"/>
    <w:rsid w:val="00E66332"/>
    <w:rsid w:val="00E66585"/>
    <w:rsid w:val="00E666F0"/>
    <w:rsid w:val="00E66715"/>
    <w:rsid w:val="00E66771"/>
    <w:rsid w:val="00E67814"/>
    <w:rsid w:val="00E67B2D"/>
    <w:rsid w:val="00E67FF8"/>
    <w:rsid w:val="00E70505"/>
    <w:rsid w:val="00E70523"/>
    <w:rsid w:val="00E7068C"/>
    <w:rsid w:val="00E716AD"/>
    <w:rsid w:val="00E717B3"/>
    <w:rsid w:val="00E7246E"/>
    <w:rsid w:val="00E731B4"/>
    <w:rsid w:val="00E73404"/>
    <w:rsid w:val="00E7371F"/>
    <w:rsid w:val="00E73989"/>
    <w:rsid w:val="00E73A5A"/>
    <w:rsid w:val="00E73BEE"/>
    <w:rsid w:val="00E73D0E"/>
    <w:rsid w:val="00E73EDF"/>
    <w:rsid w:val="00E741B0"/>
    <w:rsid w:val="00E74698"/>
    <w:rsid w:val="00E74776"/>
    <w:rsid w:val="00E749E3"/>
    <w:rsid w:val="00E749FE"/>
    <w:rsid w:val="00E74B6E"/>
    <w:rsid w:val="00E74E3B"/>
    <w:rsid w:val="00E75C73"/>
    <w:rsid w:val="00E7606B"/>
    <w:rsid w:val="00E76113"/>
    <w:rsid w:val="00E763D5"/>
    <w:rsid w:val="00E7659E"/>
    <w:rsid w:val="00E769E4"/>
    <w:rsid w:val="00E769FC"/>
    <w:rsid w:val="00E76A2D"/>
    <w:rsid w:val="00E775BC"/>
    <w:rsid w:val="00E77898"/>
    <w:rsid w:val="00E80720"/>
    <w:rsid w:val="00E80D48"/>
    <w:rsid w:val="00E8115C"/>
    <w:rsid w:val="00E817BA"/>
    <w:rsid w:val="00E828B8"/>
    <w:rsid w:val="00E8292A"/>
    <w:rsid w:val="00E82DCD"/>
    <w:rsid w:val="00E82F11"/>
    <w:rsid w:val="00E83255"/>
    <w:rsid w:val="00E8338E"/>
    <w:rsid w:val="00E8351F"/>
    <w:rsid w:val="00E83766"/>
    <w:rsid w:val="00E840EB"/>
    <w:rsid w:val="00E8412D"/>
    <w:rsid w:val="00E84605"/>
    <w:rsid w:val="00E84FD7"/>
    <w:rsid w:val="00E85037"/>
    <w:rsid w:val="00E85308"/>
    <w:rsid w:val="00E859FC"/>
    <w:rsid w:val="00E85D1C"/>
    <w:rsid w:val="00E85EB6"/>
    <w:rsid w:val="00E85F4A"/>
    <w:rsid w:val="00E86489"/>
    <w:rsid w:val="00E8681B"/>
    <w:rsid w:val="00E86E37"/>
    <w:rsid w:val="00E86EEC"/>
    <w:rsid w:val="00E870A7"/>
    <w:rsid w:val="00E8791D"/>
    <w:rsid w:val="00E87BFA"/>
    <w:rsid w:val="00E87D40"/>
    <w:rsid w:val="00E901C7"/>
    <w:rsid w:val="00E9071C"/>
    <w:rsid w:val="00E912F0"/>
    <w:rsid w:val="00E9137B"/>
    <w:rsid w:val="00E916F5"/>
    <w:rsid w:val="00E91B32"/>
    <w:rsid w:val="00E92221"/>
    <w:rsid w:val="00E9223A"/>
    <w:rsid w:val="00E92452"/>
    <w:rsid w:val="00E92557"/>
    <w:rsid w:val="00E92AC2"/>
    <w:rsid w:val="00E92B61"/>
    <w:rsid w:val="00E92E5B"/>
    <w:rsid w:val="00E935E6"/>
    <w:rsid w:val="00E93B74"/>
    <w:rsid w:val="00E93DB0"/>
    <w:rsid w:val="00E94473"/>
    <w:rsid w:val="00E9491F"/>
    <w:rsid w:val="00E94924"/>
    <w:rsid w:val="00E94EDD"/>
    <w:rsid w:val="00E95A0C"/>
    <w:rsid w:val="00E95C1D"/>
    <w:rsid w:val="00E962E2"/>
    <w:rsid w:val="00E978E2"/>
    <w:rsid w:val="00E97B6F"/>
    <w:rsid w:val="00EA0B9F"/>
    <w:rsid w:val="00EA11C7"/>
    <w:rsid w:val="00EA1AEA"/>
    <w:rsid w:val="00EA1F46"/>
    <w:rsid w:val="00EA2C91"/>
    <w:rsid w:val="00EA3463"/>
    <w:rsid w:val="00EA3B44"/>
    <w:rsid w:val="00EA3B87"/>
    <w:rsid w:val="00EA3F26"/>
    <w:rsid w:val="00EA4413"/>
    <w:rsid w:val="00EA4D8E"/>
    <w:rsid w:val="00EA5057"/>
    <w:rsid w:val="00EA54AD"/>
    <w:rsid w:val="00EA58E2"/>
    <w:rsid w:val="00EA5DD9"/>
    <w:rsid w:val="00EA6246"/>
    <w:rsid w:val="00EA6588"/>
    <w:rsid w:val="00EA6628"/>
    <w:rsid w:val="00EA686E"/>
    <w:rsid w:val="00EA6B57"/>
    <w:rsid w:val="00EA6B8E"/>
    <w:rsid w:val="00EA6F50"/>
    <w:rsid w:val="00EA7386"/>
    <w:rsid w:val="00EA79C7"/>
    <w:rsid w:val="00EA7B37"/>
    <w:rsid w:val="00EA7C8B"/>
    <w:rsid w:val="00EB085D"/>
    <w:rsid w:val="00EB1090"/>
    <w:rsid w:val="00EB10E5"/>
    <w:rsid w:val="00EB1246"/>
    <w:rsid w:val="00EB144F"/>
    <w:rsid w:val="00EB18D4"/>
    <w:rsid w:val="00EB23FC"/>
    <w:rsid w:val="00EB25B2"/>
    <w:rsid w:val="00EB2B56"/>
    <w:rsid w:val="00EB3562"/>
    <w:rsid w:val="00EB3CDD"/>
    <w:rsid w:val="00EB3FEB"/>
    <w:rsid w:val="00EB42B8"/>
    <w:rsid w:val="00EB4554"/>
    <w:rsid w:val="00EB4D80"/>
    <w:rsid w:val="00EB51ED"/>
    <w:rsid w:val="00EB53D1"/>
    <w:rsid w:val="00EB5747"/>
    <w:rsid w:val="00EB5875"/>
    <w:rsid w:val="00EB5C43"/>
    <w:rsid w:val="00EB5E2C"/>
    <w:rsid w:val="00EB6064"/>
    <w:rsid w:val="00EB607E"/>
    <w:rsid w:val="00EB62C0"/>
    <w:rsid w:val="00EB6513"/>
    <w:rsid w:val="00EB6C25"/>
    <w:rsid w:val="00EB718A"/>
    <w:rsid w:val="00EB7313"/>
    <w:rsid w:val="00EB7417"/>
    <w:rsid w:val="00EB7423"/>
    <w:rsid w:val="00EB7898"/>
    <w:rsid w:val="00EB7DC3"/>
    <w:rsid w:val="00EBE8DE"/>
    <w:rsid w:val="00EC014D"/>
    <w:rsid w:val="00EC066E"/>
    <w:rsid w:val="00EC0FB5"/>
    <w:rsid w:val="00EC10A7"/>
    <w:rsid w:val="00EC14AD"/>
    <w:rsid w:val="00EC16F3"/>
    <w:rsid w:val="00EC1A03"/>
    <w:rsid w:val="00EC2270"/>
    <w:rsid w:val="00EC2449"/>
    <w:rsid w:val="00EC255A"/>
    <w:rsid w:val="00EC2955"/>
    <w:rsid w:val="00EC2BFA"/>
    <w:rsid w:val="00EC2DD1"/>
    <w:rsid w:val="00EC2F8D"/>
    <w:rsid w:val="00EC36F8"/>
    <w:rsid w:val="00EC378E"/>
    <w:rsid w:val="00EC3A76"/>
    <w:rsid w:val="00EC3FAA"/>
    <w:rsid w:val="00EC4567"/>
    <w:rsid w:val="00EC45EF"/>
    <w:rsid w:val="00EC47A6"/>
    <w:rsid w:val="00EC4A57"/>
    <w:rsid w:val="00EC58E5"/>
    <w:rsid w:val="00EC5A17"/>
    <w:rsid w:val="00EC5C16"/>
    <w:rsid w:val="00EC626F"/>
    <w:rsid w:val="00EC650D"/>
    <w:rsid w:val="00EC65E3"/>
    <w:rsid w:val="00EC66A3"/>
    <w:rsid w:val="00EC68AB"/>
    <w:rsid w:val="00EC6912"/>
    <w:rsid w:val="00EC6C1F"/>
    <w:rsid w:val="00EC6D14"/>
    <w:rsid w:val="00EC6D27"/>
    <w:rsid w:val="00EC6F63"/>
    <w:rsid w:val="00EC744D"/>
    <w:rsid w:val="00EC758D"/>
    <w:rsid w:val="00EC7D30"/>
    <w:rsid w:val="00ED01D7"/>
    <w:rsid w:val="00ED0559"/>
    <w:rsid w:val="00ED06AC"/>
    <w:rsid w:val="00ED0A02"/>
    <w:rsid w:val="00ED0C3F"/>
    <w:rsid w:val="00ED0F7E"/>
    <w:rsid w:val="00ED108B"/>
    <w:rsid w:val="00ED18BC"/>
    <w:rsid w:val="00ED18EA"/>
    <w:rsid w:val="00ED21CA"/>
    <w:rsid w:val="00ED2214"/>
    <w:rsid w:val="00ED234E"/>
    <w:rsid w:val="00ED252A"/>
    <w:rsid w:val="00ED314F"/>
    <w:rsid w:val="00ED3AD4"/>
    <w:rsid w:val="00ED3B56"/>
    <w:rsid w:val="00ED3E8A"/>
    <w:rsid w:val="00ED59C0"/>
    <w:rsid w:val="00ED5BAF"/>
    <w:rsid w:val="00ED5DE0"/>
    <w:rsid w:val="00ED6684"/>
    <w:rsid w:val="00ED68B0"/>
    <w:rsid w:val="00ED6EC2"/>
    <w:rsid w:val="00ED731F"/>
    <w:rsid w:val="00ED734B"/>
    <w:rsid w:val="00ED73D3"/>
    <w:rsid w:val="00ED761E"/>
    <w:rsid w:val="00ED7CF4"/>
    <w:rsid w:val="00ED7E91"/>
    <w:rsid w:val="00EE0011"/>
    <w:rsid w:val="00EE0369"/>
    <w:rsid w:val="00EE11E1"/>
    <w:rsid w:val="00EE12B2"/>
    <w:rsid w:val="00EE130F"/>
    <w:rsid w:val="00EE1680"/>
    <w:rsid w:val="00EE1B85"/>
    <w:rsid w:val="00EE24BA"/>
    <w:rsid w:val="00EE262B"/>
    <w:rsid w:val="00EE2D35"/>
    <w:rsid w:val="00EE2F1B"/>
    <w:rsid w:val="00EE3384"/>
    <w:rsid w:val="00EE3DE9"/>
    <w:rsid w:val="00EE3F2F"/>
    <w:rsid w:val="00EE3F95"/>
    <w:rsid w:val="00EE4309"/>
    <w:rsid w:val="00EE4D2B"/>
    <w:rsid w:val="00EE5010"/>
    <w:rsid w:val="00EE5498"/>
    <w:rsid w:val="00EE572A"/>
    <w:rsid w:val="00EE576E"/>
    <w:rsid w:val="00EE5783"/>
    <w:rsid w:val="00EE59B2"/>
    <w:rsid w:val="00EE59DB"/>
    <w:rsid w:val="00EE6402"/>
    <w:rsid w:val="00EE648F"/>
    <w:rsid w:val="00EE6722"/>
    <w:rsid w:val="00EE6C28"/>
    <w:rsid w:val="00EE6C4B"/>
    <w:rsid w:val="00EE6CAE"/>
    <w:rsid w:val="00EE6D15"/>
    <w:rsid w:val="00EE6F04"/>
    <w:rsid w:val="00EE709B"/>
    <w:rsid w:val="00EE7391"/>
    <w:rsid w:val="00EE79EC"/>
    <w:rsid w:val="00EE7C7D"/>
    <w:rsid w:val="00EF0236"/>
    <w:rsid w:val="00EF04C2"/>
    <w:rsid w:val="00EF087B"/>
    <w:rsid w:val="00EF09A5"/>
    <w:rsid w:val="00EF09C5"/>
    <w:rsid w:val="00EF0DB8"/>
    <w:rsid w:val="00EF0F05"/>
    <w:rsid w:val="00EF1704"/>
    <w:rsid w:val="00EF1A28"/>
    <w:rsid w:val="00EF1AEB"/>
    <w:rsid w:val="00EF1D18"/>
    <w:rsid w:val="00EF22E8"/>
    <w:rsid w:val="00EF2622"/>
    <w:rsid w:val="00EF267F"/>
    <w:rsid w:val="00EF2861"/>
    <w:rsid w:val="00EF2955"/>
    <w:rsid w:val="00EF29D7"/>
    <w:rsid w:val="00EF361B"/>
    <w:rsid w:val="00EF3793"/>
    <w:rsid w:val="00EF3F20"/>
    <w:rsid w:val="00EF4012"/>
    <w:rsid w:val="00EF41A4"/>
    <w:rsid w:val="00EF4212"/>
    <w:rsid w:val="00EF44CA"/>
    <w:rsid w:val="00EF4557"/>
    <w:rsid w:val="00EF4962"/>
    <w:rsid w:val="00EF496D"/>
    <w:rsid w:val="00EF4FF9"/>
    <w:rsid w:val="00EF5B48"/>
    <w:rsid w:val="00EF5BB7"/>
    <w:rsid w:val="00EF5C03"/>
    <w:rsid w:val="00EF5EDE"/>
    <w:rsid w:val="00EF6084"/>
    <w:rsid w:val="00EF6116"/>
    <w:rsid w:val="00EF6275"/>
    <w:rsid w:val="00EF635F"/>
    <w:rsid w:val="00EF668A"/>
    <w:rsid w:val="00EF6C13"/>
    <w:rsid w:val="00EF6CCC"/>
    <w:rsid w:val="00F0007F"/>
    <w:rsid w:val="00F004B4"/>
    <w:rsid w:val="00F007AA"/>
    <w:rsid w:val="00F00E0F"/>
    <w:rsid w:val="00F014FC"/>
    <w:rsid w:val="00F01769"/>
    <w:rsid w:val="00F021E6"/>
    <w:rsid w:val="00F02411"/>
    <w:rsid w:val="00F037EC"/>
    <w:rsid w:val="00F03F59"/>
    <w:rsid w:val="00F04028"/>
    <w:rsid w:val="00F042A4"/>
    <w:rsid w:val="00F045D5"/>
    <w:rsid w:val="00F04828"/>
    <w:rsid w:val="00F049E1"/>
    <w:rsid w:val="00F05617"/>
    <w:rsid w:val="00F056C5"/>
    <w:rsid w:val="00F056FC"/>
    <w:rsid w:val="00F057E8"/>
    <w:rsid w:val="00F05F3F"/>
    <w:rsid w:val="00F06353"/>
    <w:rsid w:val="00F06BA3"/>
    <w:rsid w:val="00F06C28"/>
    <w:rsid w:val="00F07112"/>
    <w:rsid w:val="00F07A96"/>
    <w:rsid w:val="00F07E68"/>
    <w:rsid w:val="00F10029"/>
    <w:rsid w:val="00F10123"/>
    <w:rsid w:val="00F101A5"/>
    <w:rsid w:val="00F10366"/>
    <w:rsid w:val="00F10694"/>
    <w:rsid w:val="00F10716"/>
    <w:rsid w:val="00F10B56"/>
    <w:rsid w:val="00F11F9C"/>
    <w:rsid w:val="00F121F2"/>
    <w:rsid w:val="00F12656"/>
    <w:rsid w:val="00F12988"/>
    <w:rsid w:val="00F12A66"/>
    <w:rsid w:val="00F12A99"/>
    <w:rsid w:val="00F12D65"/>
    <w:rsid w:val="00F12D8D"/>
    <w:rsid w:val="00F12F72"/>
    <w:rsid w:val="00F132EA"/>
    <w:rsid w:val="00F13373"/>
    <w:rsid w:val="00F13693"/>
    <w:rsid w:val="00F139E0"/>
    <w:rsid w:val="00F13A0A"/>
    <w:rsid w:val="00F13B17"/>
    <w:rsid w:val="00F13B90"/>
    <w:rsid w:val="00F13C21"/>
    <w:rsid w:val="00F13DF5"/>
    <w:rsid w:val="00F140B7"/>
    <w:rsid w:val="00F14429"/>
    <w:rsid w:val="00F149FA"/>
    <w:rsid w:val="00F15106"/>
    <w:rsid w:val="00F151D0"/>
    <w:rsid w:val="00F1535E"/>
    <w:rsid w:val="00F1540C"/>
    <w:rsid w:val="00F154A4"/>
    <w:rsid w:val="00F15771"/>
    <w:rsid w:val="00F15A4A"/>
    <w:rsid w:val="00F15F23"/>
    <w:rsid w:val="00F16230"/>
    <w:rsid w:val="00F165C8"/>
    <w:rsid w:val="00F16BAF"/>
    <w:rsid w:val="00F16F56"/>
    <w:rsid w:val="00F17538"/>
    <w:rsid w:val="00F175B8"/>
    <w:rsid w:val="00F17885"/>
    <w:rsid w:val="00F17CD2"/>
    <w:rsid w:val="00F17DE7"/>
    <w:rsid w:val="00F17E86"/>
    <w:rsid w:val="00F2020D"/>
    <w:rsid w:val="00F205BC"/>
    <w:rsid w:val="00F20663"/>
    <w:rsid w:val="00F20976"/>
    <w:rsid w:val="00F2119B"/>
    <w:rsid w:val="00F21294"/>
    <w:rsid w:val="00F2169B"/>
    <w:rsid w:val="00F21AB1"/>
    <w:rsid w:val="00F21D2B"/>
    <w:rsid w:val="00F2231C"/>
    <w:rsid w:val="00F22903"/>
    <w:rsid w:val="00F22AE1"/>
    <w:rsid w:val="00F2320B"/>
    <w:rsid w:val="00F2334E"/>
    <w:rsid w:val="00F236D5"/>
    <w:rsid w:val="00F23DFF"/>
    <w:rsid w:val="00F23FBD"/>
    <w:rsid w:val="00F24074"/>
    <w:rsid w:val="00F24350"/>
    <w:rsid w:val="00F245A1"/>
    <w:rsid w:val="00F24697"/>
    <w:rsid w:val="00F248D2"/>
    <w:rsid w:val="00F248EA"/>
    <w:rsid w:val="00F24A06"/>
    <w:rsid w:val="00F24AAD"/>
    <w:rsid w:val="00F24D1B"/>
    <w:rsid w:val="00F24D8E"/>
    <w:rsid w:val="00F25D59"/>
    <w:rsid w:val="00F25EBF"/>
    <w:rsid w:val="00F25FEE"/>
    <w:rsid w:val="00F2622D"/>
    <w:rsid w:val="00F267BB"/>
    <w:rsid w:val="00F26905"/>
    <w:rsid w:val="00F26BFB"/>
    <w:rsid w:val="00F2776B"/>
    <w:rsid w:val="00F27A71"/>
    <w:rsid w:val="00F27C0D"/>
    <w:rsid w:val="00F300A2"/>
    <w:rsid w:val="00F301B4"/>
    <w:rsid w:val="00F301E9"/>
    <w:rsid w:val="00F30775"/>
    <w:rsid w:val="00F30832"/>
    <w:rsid w:val="00F31250"/>
    <w:rsid w:val="00F31264"/>
    <w:rsid w:val="00F312ED"/>
    <w:rsid w:val="00F3167D"/>
    <w:rsid w:val="00F31A1C"/>
    <w:rsid w:val="00F31B09"/>
    <w:rsid w:val="00F31DEF"/>
    <w:rsid w:val="00F31E46"/>
    <w:rsid w:val="00F31F22"/>
    <w:rsid w:val="00F32450"/>
    <w:rsid w:val="00F32618"/>
    <w:rsid w:val="00F32737"/>
    <w:rsid w:val="00F32ABA"/>
    <w:rsid w:val="00F3321F"/>
    <w:rsid w:val="00F33881"/>
    <w:rsid w:val="00F33A42"/>
    <w:rsid w:val="00F33D07"/>
    <w:rsid w:val="00F33FDD"/>
    <w:rsid w:val="00F34338"/>
    <w:rsid w:val="00F34378"/>
    <w:rsid w:val="00F34670"/>
    <w:rsid w:val="00F34825"/>
    <w:rsid w:val="00F34B97"/>
    <w:rsid w:val="00F34BA5"/>
    <w:rsid w:val="00F34FDD"/>
    <w:rsid w:val="00F35293"/>
    <w:rsid w:val="00F353EE"/>
    <w:rsid w:val="00F354DE"/>
    <w:rsid w:val="00F3574F"/>
    <w:rsid w:val="00F35C08"/>
    <w:rsid w:val="00F35E0A"/>
    <w:rsid w:val="00F35E72"/>
    <w:rsid w:val="00F35F59"/>
    <w:rsid w:val="00F361D7"/>
    <w:rsid w:val="00F36215"/>
    <w:rsid w:val="00F364F9"/>
    <w:rsid w:val="00F3666D"/>
    <w:rsid w:val="00F3682B"/>
    <w:rsid w:val="00F36BC5"/>
    <w:rsid w:val="00F36C26"/>
    <w:rsid w:val="00F36DC6"/>
    <w:rsid w:val="00F37019"/>
    <w:rsid w:val="00F37453"/>
    <w:rsid w:val="00F3774A"/>
    <w:rsid w:val="00F37A4C"/>
    <w:rsid w:val="00F37B35"/>
    <w:rsid w:val="00F402EB"/>
    <w:rsid w:val="00F40463"/>
    <w:rsid w:val="00F41CFE"/>
    <w:rsid w:val="00F41EA6"/>
    <w:rsid w:val="00F424B4"/>
    <w:rsid w:val="00F426EC"/>
    <w:rsid w:val="00F4278D"/>
    <w:rsid w:val="00F440F5"/>
    <w:rsid w:val="00F4425F"/>
    <w:rsid w:val="00F4450B"/>
    <w:rsid w:val="00F44750"/>
    <w:rsid w:val="00F44B85"/>
    <w:rsid w:val="00F44EF8"/>
    <w:rsid w:val="00F45717"/>
    <w:rsid w:val="00F463B1"/>
    <w:rsid w:val="00F469DA"/>
    <w:rsid w:val="00F47574"/>
    <w:rsid w:val="00F47789"/>
    <w:rsid w:val="00F477EC"/>
    <w:rsid w:val="00F47B4B"/>
    <w:rsid w:val="00F5011D"/>
    <w:rsid w:val="00F504A9"/>
    <w:rsid w:val="00F50657"/>
    <w:rsid w:val="00F50BAB"/>
    <w:rsid w:val="00F50DBC"/>
    <w:rsid w:val="00F50DC2"/>
    <w:rsid w:val="00F51455"/>
    <w:rsid w:val="00F516D7"/>
    <w:rsid w:val="00F520B9"/>
    <w:rsid w:val="00F52103"/>
    <w:rsid w:val="00F5270C"/>
    <w:rsid w:val="00F54187"/>
    <w:rsid w:val="00F55034"/>
    <w:rsid w:val="00F559E0"/>
    <w:rsid w:val="00F55C88"/>
    <w:rsid w:val="00F55E4A"/>
    <w:rsid w:val="00F55E7D"/>
    <w:rsid w:val="00F56161"/>
    <w:rsid w:val="00F56244"/>
    <w:rsid w:val="00F56C2C"/>
    <w:rsid w:val="00F56E2C"/>
    <w:rsid w:val="00F570CB"/>
    <w:rsid w:val="00F571E0"/>
    <w:rsid w:val="00F576EF"/>
    <w:rsid w:val="00F578D9"/>
    <w:rsid w:val="00F579A1"/>
    <w:rsid w:val="00F57EB8"/>
    <w:rsid w:val="00F57F62"/>
    <w:rsid w:val="00F6007C"/>
    <w:rsid w:val="00F602E1"/>
    <w:rsid w:val="00F60502"/>
    <w:rsid w:val="00F612EB"/>
    <w:rsid w:val="00F6165C"/>
    <w:rsid w:val="00F619F3"/>
    <w:rsid w:val="00F61AC2"/>
    <w:rsid w:val="00F62008"/>
    <w:rsid w:val="00F62550"/>
    <w:rsid w:val="00F62653"/>
    <w:rsid w:val="00F62869"/>
    <w:rsid w:val="00F62DD0"/>
    <w:rsid w:val="00F62E69"/>
    <w:rsid w:val="00F62E88"/>
    <w:rsid w:val="00F62F5C"/>
    <w:rsid w:val="00F6375D"/>
    <w:rsid w:val="00F63958"/>
    <w:rsid w:val="00F63CB4"/>
    <w:rsid w:val="00F63D4F"/>
    <w:rsid w:val="00F63EAC"/>
    <w:rsid w:val="00F6419A"/>
    <w:rsid w:val="00F6445A"/>
    <w:rsid w:val="00F64EE4"/>
    <w:rsid w:val="00F64F17"/>
    <w:rsid w:val="00F6543E"/>
    <w:rsid w:val="00F65D91"/>
    <w:rsid w:val="00F6658F"/>
    <w:rsid w:val="00F6661F"/>
    <w:rsid w:val="00F66CCA"/>
    <w:rsid w:val="00F66D26"/>
    <w:rsid w:val="00F67270"/>
    <w:rsid w:val="00F67501"/>
    <w:rsid w:val="00F67BC6"/>
    <w:rsid w:val="00F7039C"/>
    <w:rsid w:val="00F70756"/>
    <w:rsid w:val="00F70C92"/>
    <w:rsid w:val="00F71012"/>
    <w:rsid w:val="00F71266"/>
    <w:rsid w:val="00F71699"/>
    <w:rsid w:val="00F717B3"/>
    <w:rsid w:val="00F71A97"/>
    <w:rsid w:val="00F7217A"/>
    <w:rsid w:val="00F72237"/>
    <w:rsid w:val="00F7257F"/>
    <w:rsid w:val="00F72826"/>
    <w:rsid w:val="00F72B22"/>
    <w:rsid w:val="00F7301D"/>
    <w:rsid w:val="00F738D9"/>
    <w:rsid w:val="00F73979"/>
    <w:rsid w:val="00F748EA"/>
    <w:rsid w:val="00F74AD0"/>
    <w:rsid w:val="00F754E0"/>
    <w:rsid w:val="00F756E2"/>
    <w:rsid w:val="00F758CF"/>
    <w:rsid w:val="00F75A42"/>
    <w:rsid w:val="00F75AC2"/>
    <w:rsid w:val="00F75EE0"/>
    <w:rsid w:val="00F760E3"/>
    <w:rsid w:val="00F760FC"/>
    <w:rsid w:val="00F76176"/>
    <w:rsid w:val="00F763EC"/>
    <w:rsid w:val="00F76605"/>
    <w:rsid w:val="00F7674E"/>
    <w:rsid w:val="00F7691E"/>
    <w:rsid w:val="00F76D06"/>
    <w:rsid w:val="00F7702F"/>
    <w:rsid w:val="00F772E1"/>
    <w:rsid w:val="00F77751"/>
    <w:rsid w:val="00F77CBD"/>
    <w:rsid w:val="00F77E87"/>
    <w:rsid w:val="00F8088B"/>
    <w:rsid w:val="00F80A6B"/>
    <w:rsid w:val="00F80B73"/>
    <w:rsid w:val="00F80CD3"/>
    <w:rsid w:val="00F80D57"/>
    <w:rsid w:val="00F813AE"/>
    <w:rsid w:val="00F81BC7"/>
    <w:rsid w:val="00F81DD2"/>
    <w:rsid w:val="00F825E9"/>
    <w:rsid w:val="00F8306D"/>
    <w:rsid w:val="00F83765"/>
    <w:rsid w:val="00F83C30"/>
    <w:rsid w:val="00F84068"/>
    <w:rsid w:val="00F843A5"/>
    <w:rsid w:val="00F844FD"/>
    <w:rsid w:val="00F84A96"/>
    <w:rsid w:val="00F84DE3"/>
    <w:rsid w:val="00F84E20"/>
    <w:rsid w:val="00F85262"/>
    <w:rsid w:val="00F855D9"/>
    <w:rsid w:val="00F861A5"/>
    <w:rsid w:val="00F863B8"/>
    <w:rsid w:val="00F86885"/>
    <w:rsid w:val="00F86A38"/>
    <w:rsid w:val="00F8710E"/>
    <w:rsid w:val="00F87236"/>
    <w:rsid w:val="00F87622"/>
    <w:rsid w:val="00F87673"/>
    <w:rsid w:val="00F87DDC"/>
    <w:rsid w:val="00F903A4"/>
    <w:rsid w:val="00F90F97"/>
    <w:rsid w:val="00F910C1"/>
    <w:rsid w:val="00F91287"/>
    <w:rsid w:val="00F918C0"/>
    <w:rsid w:val="00F91D9C"/>
    <w:rsid w:val="00F91F86"/>
    <w:rsid w:val="00F9210D"/>
    <w:rsid w:val="00F92672"/>
    <w:rsid w:val="00F927B5"/>
    <w:rsid w:val="00F9296B"/>
    <w:rsid w:val="00F92A4F"/>
    <w:rsid w:val="00F92ADE"/>
    <w:rsid w:val="00F93027"/>
    <w:rsid w:val="00F932F3"/>
    <w:rsid w:val="00F93510"/>
    <w:rsid w:val="00F937C2"/>
    <w:rsid w:val="00F93BD9"/>
    <w:rsid w:val="00F93C20"/>
    <w:rsid w:val="00F93DFD"/>
    <w:rsid w:val="00F9406E"/>
    <w:rsid w:val="00F9429C"/>
    <w:rsid w:val="00F94676"/>
    <w:rsid w:val="00F94853"/>
    <w:rsid w:val="00F95724"/>
    <w:rsid w:val="00F957F3"/>
    <w:rsid w:val="00F958E8"/>
    <w:rsid w:val="00F959F2"/>
    <w:rsid w:val="00F95B45"/>
    <w:rsid w:val="00F95C80"/>
    <w:rsid w:val="00F95D27"/>
    <w:rsid w:val="00F95F70"/>
    <w:rsid w:val="00F95FEC"/>
    <w:rsid w:val="00F96126"/>
    <w:rsid w:val="00F97248"/>
    <w:rsid w:val="00F97317"/>
    <w:rsid w:val="00F97881"/>
    <w:rsid w:val="00F97B9D"/>
    <w:rsid w:val="00F97F27"/>
    <w:rsid w:val="00FA0497"/>
    <w:rsid w:val="00FA0B62"/>
    <w:rsid w:val="00FA0BA4"/>
    <w:rsid w:val="00FA0E25"/>
    <w:rsid w:val="00FA12D9"/>
    <w:rsid w:val="00FA14D0"/>
    <w:rsid w:val="00FA17BB"/>
    <w:rsid w:val="00FA1939"/>
    <w:rsid w:val="00FA2007"/>
    <w:rsid w:val="00FA24A9"/>
    <w:rsid w:val="00FA24ED"/>
    <w:rsid w:val="00FA27EE"/>
    <w:rsid w:val="00FA2C36"/>
    <w:rsid w:val="00FA2D9B"/>
    <w:rsid w:val="00FA31FB"/>
    <w:rsid w:val="00FA33DE"/>
    <w:rsid w:val="00FA4199"/>
    <w:rsid w:val="00FA4F9F"/>
    <w:rsid w:val="00FA5574"/>
    <w:rsid w:val="00FA6953"/>
    <w:rsid w:val="00FA7103"/>
    <w:rsid w:val="00FA7432"/>
    <w:rsid w:val="00FA7614"/>
    <w:rsid w:val="00FA769B"/>
    <w:rsid w:val="00FA7723"/>
    <w:rsid w:val="00FA7740"/>
    <w:rsid w:val="00FA7AD4"/>
    <w:rsid w:val="00FB0386"/>
    <w:rsid w:val="00FB0457"/>
    <w:rsid w:val="00FB0470"/>
    <w:rsid w:val="00FB0898"/>
    <w:rsid w:val="00FB0C50"/>
    <w:rsid w:val="00FB0CB8"/>
    <w:rsid w:val="00FB152A"/>
    <w:rsid w:val="00FB15EF"/>
    <w:rsid w:val="00FB1C8B"/>
    <w:rsid w:val="00FB1F69"/>
    <w:rsid w:val="00FB1FF9"/>
    <w:rsid w:val="00FB23C7"/>
    <w:rsid w:val="00FB2784"/>
    <w:rsid w:val="00FB2946"/>
    <w:rsid w:val="00FB3267"/>
    <w:rsid w:val="00FB346D"/>
    <w:rsid w:val="00FB3CF3"/>
    <w:rsid w:val="00FB3D13"/>
    <w:rsid w:val="00FB40C3"/>
    <w:rsid w:val="00FB413C"/>
    <w:rsid w:val="00FB448D"/>
    <w:rsid w:val="00FB49FA"/>
    <w:rsid w:val="00FB4AD6"/>
    <w:rsid w:val="00FB4C26"/>
    <w:rsid w:val="00FB4CEF"/>
    <w:rsid w:val="00FB50E7"/>
    <w:rsid w:val="00FB54D5"/>
    <w:rsid w:val="00FB5903"/>
    <w:rsid w:val="00FB5EDD"/>
    <w:rsid w:val="00FB65F2"/>
    <w:rsid w:val="00FB66F4"/>
    <w:rsid w:val="00FB6CE8"/>
    <w:rsid w:val="00FB6CF1"/>
    <w:rsid w:val="00FB6E21"/>
    <w:rsid w:val="00FB7D31"/>
    <w:rsid w:val="00FB7D60"/>
    <w:rsid w:val="00FB7D7E"/>
    <w:rsid w:val="00FB7E1A"/>
    <w:rsid w:val="00FB7F11"/>
    <w:rsid w:val="00FC00BA"/>
    <w:rsid w:val="00FC035B"/>
    <w:rsid w:val="00FC055F"/>
    <w:rsid w:val="00FC0A12"/>
    <w:rsid w:val="00FC152E"/>
    <w:rsid w:val="00FC1872"/>
    <w:rsid w:val="00FC1B0E"/>
    <w:rsid w:val="00FC1F5F"/>
    <w:rsid w:val="00FC22E9"/>
    <w:rsid w:val="00FC25B5"/>
    <w:rsid w:val="00FC2702"/>
    <w:rsid w:val="00FC274E"/>
    <w:rsid w:val="00FC2976"/>
    <w:rsid w:val="00FC29C1"/>
    <w:rsid w:val="00FC2FE2"/>
    <w:rsid w:val="00FC30DA"/>
    <w:rsid w:val="00FC38CF"/>
    <w:rsid w:val="00FC3BA3"/>
    <w:rsid w:val="00FC4026"/>
    <w:rsid w:val="00FC478E"/>
    <w:rsid w:val="00FC48C5"/>
    <w:rsid w:val="00FC48DE"/>
    <w:rsid w:val="00FC49EA"/>
    <w:rsid w:val="00FC4E14"/>
    <w:rsid w:val="00FC4FA3"/>
    <w:rsid w:val="00FC5100"/>
    <w:rsid w:val="00FC559F"/>
    <w:rsid w:val="00FC58CD"/>
    <w:rsid w:val="00FC59DD"/>
    <w:rsid w:val="00FC5B71"/>
    <w:rsid w:val="00FC60DA"/>
    <w:rsid w:val="00FC619B"/>
    <w:rsid w:val="00FC6283"/>
    <w:rsid w:val="00FC663F"/>
    <w:rsid w:val="00FC66D7"/>
    <w:rsid w:val="00FC7721"/>
    <w:rsid w:val="00FC7C6F"/>
    <w:rsid w:val="00FC7E95"/>
    <w:rsid w:val="00FC7ECF"/>
    <w:rsid w:val="00FD064C"/>
    <w:rsid w:val="00FD06C8"/>
    <w:rsid w:val="00FD08E9"/>
    <w:rsid w:val="00FD0C63"/>
    <w:rsid w:val="00FD1416"/>
    <w:rsid w:val="00FD191E"/>
    <w:rsid w:val="00FD2168"/>
    <w:rsid w:val="00FD2378"/>
    <w:rsid w:val="00FD2698"/>
    <w:rsid w:val="00FD2C61"/>
    <w:rsid w:val="00FD2FCD"/>
    <w:rsid w:val="00FD371E"/>
    <w:rsid w:val="00FD37C5"/>
    <w:rsid w:val="00FD3E65"/>
    <w:rsid w:val="00FD4021"/>
    <w:rsid w:val="00FD4025"/>
    <w:rsid w:val="00FD4155"/>
    <w:rsid w:val="00FD44E5"/>
    <w:rsid w:val="00FD4539"/>
    <w:rsid w:val="00FD4611"/>
    <w:rsid w:val="00FD4BCF"/>
    <w:rsid w:val="00FD5E74"/>
    <w:rsid w:val="00FD5FC5"/>
    <w:rsid w:val="00FD68D5"/>
    <w:rsid w:val="00FD735E"/>
    <w:rsid w:val="00FD73D5"/>
    <w:rsid w:val="00FE0228"/>
    <w:rsid w:val="00FE09F3"/>
    <w:rsid w:val="00FE179B"/>
    <w:rsid w:val="00FE1822"/>
    <w:rsid w:val="00FE18F7"/>
    <w:rsid w:val="00FE1CAD"/>
    <w:rsid w:val="00FE1F00"/>
    <w:rsid w:val="00FE291C"/>
    <w:rsid w:val="00FE2ACC"/>
    <w:rsid w:val="00FE2F1A"/>
    <w:rsid w:val="00FE37C2"/>
    <w:rsid w:val="00FE3A74"/>
    <w:rsid w:val="00FE3D2D"/>
    <w:rsid w:val="00FE3E5E"/>
    <w:rsid w:val="00FE43B6"/>
    <w:rsid w:val="00FE44E6"/>
    <w:rsid w:val="00FE4C08"/>
    <w:rsid w:val="00FE4E47"/>
    <w:rsid w:val="00FE4E59"/>
    <w:rsid w:val="00FE4EC2"/>
    <w:rsid w:val="00FE5B54"/>
    <w:rsid w:val="00FE5C70"/>
    <w:rsid w:val="00FE5E05"/>
    <w:rsid w:val="00FE62B5"/>
    <w:rsid w:val="00FE6303"/>
    <w:rsid w:val="00FE6AA3"/>
    <w:rsid w:val="00FE6ABD"/>
    <w:rsid w:val="00FE70DC"/>
    <w:rsid w:val="00FE733D"/>
    <w:rsid w:val="00FE76BB"/>
    <w:rsid w:val="00FE7840"/>
    <w:rsid w:val="00FF0A5F"/>
    <w:rsid w:val="00FF1763"/>
    <w:rsid w:val="00FF17EE"/>
    <w:rsid w:val="00FF18EB"/>
    <w:rsid w:val="00FF1B7B"/>
    <w:rsid w:val="00FF22FD"/>
    <w:rsid w:val="00FF23DD"/>
    <w:rsid w:val="00FF24F7"/>
    <w:rsid w:val="00FF25D3"/>
    <w:rsid w:val="00FF2816"/>
    <w:rsid w:val="00FF2902"/>
    <w:rsid w:val="00FF30BA"/>
    <w:rsid w:val="00FF3326"/>
    <w:rsid w:val="00FF419F"/>
    <w:rsid w:val="00FF4254"/>
    <w:rsid w:val="00FF43C5"/>
    <w:rsid w:val="00FF4563"/>
    <w:rsid w:val="00FF46A2"/>
    <w:rsid w:val="00FF47E2"/>
    <w:rsid w:val="00FF4921"/>
    <w:rsid w:val="00FF4C14"/>
    <w:rsid w:val="00FF55B4"/>
    <w:rsid w:val="00FF5DAF"/>
    <w:rsid w:val="00FF5E8F"/>
    <w:rsid w:val="00FF5F3E"/>
    <w:rsid w:val="00FF5F42"/>
    <w:rsid w:val="00FF60CF"/>
    <w:rsid w:val="00FF62BA"/>
    <w:rsid w:val="00FF658F"/>
    <w:rsid w:val="00FF6B94"/>
    <w:rsid w:val="00FF7346"/>
    <w:rsid w:val="00FF745F"/>
    <w:rsid w:val="00FF76A1"/>
    <w:rsid w:val="00FF78D9"/>
    <w:rsid w:val="00FF7D0E"/>
    <w:rsid w:val="00FF7E92"/>
    <w:rsid w:val="01085253"/>
    <w:rsid w:val="01118373"/>
    <w:rsid w:val="011B7931"/>
    <w:rsid w:val="011E7177"/>
    <w:rsid w:val="012B609B"/>
    <w:rsid w:val="01302221"/>
    <w:rsid w:val="01448D1F"/>
    <w:rsid w:val="014552B1"/>
    <w:rsid w:val="01466E7B"/>
    <w:rsid w:val="0148B766"/>
    <w:rsid w:val="01596F79"/>
    <w:rsid w:val="0168FEE3"/>
    <w:rsid w:val="016E73CF"/>
    <w:rsid w:val="01713E20"/>
    <w:rsid w:val="0171C533"/>
    <w:rsid w:val="017B3C0D"/>
    <w:rsid w:val="01867CBA"/>
    <w:rsid w:val="019BF29E"/>
    <w:rsid w:val="01A69B32"/>
    <w:rsid w:val="01A7F163"/>
    <w:rsid w:val="01A8140A"/>
    <w:rsid w:val="01AAD090"/>
    <w:rsid w:val="01ADA663"/>
    <w:rsid w:val="01B1E5E8"/>
    <w:rsid w:val="01E5FAEC"/>
    <w:rsid w:val="02015EA7"/>
    <w:rsid w:val="02045D2F"/>
    <w:rsid w:val="0205A0FB"/>
    <w:rsid w:val="020658C3"/>
    <w:rsid w:val="02229F00"/>
    <w:rsid w:val="0230001C"/>
    <w:rsid w:val="023259D1"/>
    <w:rsid w:val="0236E29C"/>
    <w:rsid w:val="023CAC2F"/>
    <w:rsid w:val="0244D43C"/>
    <w:rsid w:val="0258DC01"/>
    <w:rsid w:val="02637530"/>
    <w:rsid w:val="026FBFE0"/>
    <w:rsid w:val="0271F011"/>
    <w:rsid w:val="027DC093"/>
    <w:rsid w:val="02866424"/>
    <w:rsid w:val="0288C585"/>
    <w:rsid w:val="029139A6"/>
    <w:rsid w:val="02999C8B"/>
    <w:rsid w:val="02B285FE"/>
    <w:rsid w:val="02DF7243"/>
    <w:rsid w:val="02EA9B38"/>
    <w:rsid w:val="02ECCB96"/>
    <w:rsid w:val="02ED3675"/>
    <w:rsid w:val="02FE08CD"/>
    <w:rsid w:val="0307C159"/>
    <w:rsid w:val="0313A9D8"/>
    <w:rsid w:val="031E3F94"/>
    <w:rsid w:val="03206D23"/>
    <w:rsid w:val="032ABC5F"/>
    <w:rsid w:val="0332272C"/>
    <w:rsid w:val="033B6F97"/>
    <w:rsid w:val="034A754D"/>
    <w:rsid w:val="034BA43D"/>
    <w:rsid w:val="0353C399"/>
    <w:rsid w:val="03580FCF"/>
    <w:rsid w:val="03751564"/>
    <w:rsid w:val="03764253"/>
    <w:rsid w:val="038C43C6"/>
    <w:rsid w:val="038FB63C"/>
    <w:rsid w:val="0399AC0F"/>
    <w:rsid w:val="03A9FE26"/>
    <w:rsid w:val="03B934F3"/>
    <w:rsid w:val="03BA1BD1"/>
    <w:rsid w:val="03C56905"/>
    <w:rsid w:val="03E7149B"/>
    <w:rsid w:val="03E77139"/>
    <w:rsid w:val="03E8CA61"/>
    <w:rsid w:val="03F23C65"/>
    <w:rsid w:val="0413CF23"/>
    <w:rsid w:val="0441418A"/>
    <w:rsid w:val="0445B705"/>
    <w:rsid w:val="0464C3B0"/>
    <w:rsid w:val="04677696"/>
    <w:rsid w:val="049AE577"/>
    <w:rsid w:val="049F74D2"/>
    <w:rsid w:val="04A9FAFB"/>
    <w:rsid w:val="04AADFF8"/>
    <w:rsid w:val="04ACDD3D"/>
    <w:rsid w:val="04B88360"/>
    <w:rsid w:val="04B96EE4"/>
    <w:rsid w:val="04C05C79"/>
    <w:rsid w:val="04CE012B"/>
    <w:rsid w:val="04DF8EFB"/>
    <w:rsid w:val="04E2DCEB"/>
    <w:rsid w:val="04F1B8CC"/>
    <w:rsid w:val="04F61941"/>
    <w:rsid w:val="0510CF9A"/>
    <w:rsid w:val="0511B263"/>
    <w:rsid w:val="051336E5"/>
    <w:rsid w:val="051605B7"/>
    <w:rsid w:val="051ADA92"/>
    <w:rsid w:val="0532E79B"/>
    <w:rsid w:val="05331B95"/>
    <w:rsid w:val="053D1329"/>
    <w:rsid w:val="05525A56"/>
    <w:rsid w:val="055AC023"/>
    <w:rsid w:val="055CC30E"/>
    <w:rsid w:val="05620D20"/>
    <w:rsid w:val="057B10DC"/>
    <w:rsid w:val="058BAEE6"/>
    <w:rsid w:val="05926466"/>
    <w:rsid w:val="05985279"/>
    <w:rsid w:val="05B607AB"/>
    <w:rsid w:val="05CB05EC"/>
    <w:rsid w:val="05CD888F"/>
    <w:rsid w:val="05DFD2C2"/>
    <w:rsid w:val="05E4D83B"/>
    <w:rsid w:val="05EB48BA"/>
    <w:rsid w:val="05FA423F"/>
    <w:rsid w:val="060EEAF1"/>
    <w:rsid w:val="0614A0A5"/>
    <w:rsid w:val="06246C58"/>
    <w:rsid w:val="063093F0"/>
    <w:rsid w:val="0636C4EB"/>
    <w:rsid w:val="065B62E6"/>
    <w:rsid w:val="0669413B"/>
    <w:rsid w:val="066F54F5"/>
    <w:rsid w:val="06702019"/>
    <w:rsid w:val="0680926B"/>
    <w:rsid w:val="068325C5"/>
    <w:rsid w:val="068CAD5C"/>
    <w:rsid w:val="06A04CC5"/>
    <w:rsid w:val="06BCBDE5"/>
    <w:rsid w:val="06C31BFC"/>
    <w:rsid w:val="06CFC6A8"/>
    <w:rsid w:val="06D313E9"/>
    <w:rsid w:val="06D8BB44"/>
    <w:rsid w:val="06E13511"/>
    <w:rsid w:val="06E36993"/>
    <w:rsid w:val="06F1093D"/>
    <w:rsid w:val="06F292A2"/>
    <w:rsid w:val="06F9F914"/>
    <w:rsid w:val="071B861E"/>
    <w:rsid w:val="07352355"/>
    <w:rsid w:val="07486442"/>
    <w:rsid w:val="07551D2C"/>
    <w:rsid w:val="0760260C"/>
    <w:rsid w:val="07606F4B"/>
    <w:rsid w:val="07693D62"/>
    <w:rsid w:val="07793301"/>
    <w:rsid w:val="07861E15"/>
    <w:rsid w:val="078E22E0"/>
    <w:rsid w:val="0791872D"/>
    <w:rsid w:val="07A1BAF1"/>
    <w:rsid w:val="07B7A8C3"/>
    <w:rsid w:val="07C27CA1"/>
    <w:rsid w:val="07C52EE3"/>
    <w:rsid w:val="07C708B2"/>
    <w:rsid w:val="07E1BBC0"/>
    <w:rsid w:val="07E66295"/>
    <w:rsid w:val="07E7954C"/>
    <w:rsid w:val="07EBE396"/>
    <w:rsid w:val="07ECDFD5"/>
    <w:rsid w:val="07FA552F"/>
    <w:rsid w:val="07FB6276"/>
    <w:rsid w:val="07FD4139"/>
    <w:rsid w:val="0811482E"/>
    <w:rsid w:val="0815AE18"/>
    <w:rsid w:val="0816BEFD"/>
    <w:rsid w:val="0816BF54"/>
    <w:rsid w:val="0818E626"/>
    <w:rsid w:val="081C3E59"/>
    <w:rsid w:val="084A701A"/>
    <w:rsid w:val="084B8259"/>
    <w:rsid w:val="0851498D"/>
    <w:rsid w:val="0859F211"/>
    <w:rsid w:val="085AB827"/>
    <w:rsid w:val="088F21F2"/>
    <w:rsid w:val="0892FBF3"/>
    <w:rsid w:val="08A53018"/>
    <w:rsid w:val="08BA073D"/>
    <w:rsid w:val="08D3ADEA"/>
    <w:rsid w:val="08E2F56C"/>
    <w:rsid w:val="08E46E78"/>
    <w:rsid w:val="08F6CDFB"/>
    <w:rsid w:val="09181992"/>
    <w:rsid w:val="091FEF94"/>
    <w:rsid w:val="0942B651"/>
    <w:rsid w:val="0960D5E1"/>
    <w:rsid w:val="097C51A6"/>
    <w:rsid w:val="097C98E8"/>
    <w:rsid w:val="097E072A"/>
    <w:rsid w:val="09825EEA"/>
    <w:rsid w:val="0986F9C5"/>
    <w:rsid w:val="098B9C87"/>
    <w:rsid w:val="099924E1"/>
    <w:rsid w:val="099CC872"/>
    <w:rsid w:val="099E4A35"/>
    <w:rsid w:val="09A65E3F"/>
    <w:rsid w:val="09C4D34F"/>
    <w:rsid w:val="09C94FD8"/>
    <w:rsid w:val="09CB0F9D"/>
    <w:rsid w:val="09D5C37A"/>
    <w:rsid w:val="09D925CA"/>
    <w:rsid w:val="09E725B2"/>
    <w:rsid w:val="09EF377D"/>
    <w:rsid w:val="0A15C603"/>
    <w:rsid w:val="0A1A6C7A"/>
    <w:rsid w:val="0A1AD512"/>
    <w:rsid w:val="0A1FDA94"/>
    <w:rsid w:val="0A279549"/>
    <w:rsid w:val="0A2E224B"/>
    <w:rsid w:val="0A348253"/>
    <w:rsid w:val="0A353DB4"/>
    <w:rsid w:val="0A3B0C2C"/>
    <w:rsid w:val="0A467085"/>
    <w:rsid w:val="0A60CCAC"/>
    <w:rsid w:val="0A6C8E0E"/>
    <w:rsid w:val="0A7E4533"/>
    <w:rsid w:val="0A81AD42"/>
    <w:rsid w:val="0A839988"/>
    <w:rsid w:val="0AA449C9"/>
    <w:rsid w:val="0AAD7299"/>
    <w:rsid w:val="0AB48881"/>
    <w:rsid w:val="0AB5B186"/>
    <w:rsid w:val="0AB7947A"/>
    <w:rsid w:val="0AB91114"/>
    <w:rsid w:val="0AB91B0D"/>
    <w:rsid w:val="0ACB5AF3"/>
    <w:rsid w:val="0ADCED20"/>
    <w:rsid w:val="0AE9CC17"/>
    <w:rsid w:val="0AEEC826"/>
    <w:rsid w:val="0AF6B8CC"/>
    <w:rsid w:val="0AFB595D"/>
    <w:rsid w:val="0AFD5296"/>
    <w:rsid w:val="0B02991E"/>
    <w:rsid w:val="0B0E50B4"/>
    <w:rsid w:val="0B10CC1E"/>
    <w:rsid w:val="0B14BDA2"/>
    <w:rsid w:val="0B223BB4"/>
    <w:rsid w:val="0B411A95"/>
    <w:rsid w:val="0B416044"/>
    <w:rsid w:val="0B41BC96"/>
    <w:rsid w:val="0B5B5C0B"/>
    <w:rsid w:val="0B72254D"/>
    <w:rsid w:val="0B7571BC"/>
    <w:rsid w:val="0B87258F"/>
    <w:rsid w:val="0B90F467"/>
    <w:rsid w:val="0B91CBDF"/>
    <w:rsid w:val="0B9789C4"/>
    <w:rsid w:val="0BA334F5"/>
    <w:rsid w:val="0BA41C38"/>
    <w:rsid w:val="0BBFDC1D"/>
    <w:rsid w:val="0BD47EAD"/>
    <w:rsid w:val="0BD5D848"/>
    <w:rsid w:val="0BD61BA6"/>
    <w:rsid w:val="0BD68E4D"/>
    <w:rsid w:val="0BE404B7"/>
    <w:rsid w:val="0BE59C2E"/>
    <w:rsid w:val="0BE60999"/>
    <w:rsid w:val="0BF885D6"/>
    <w:rsid w:val="0BF8C55B"/>
    <w:rsid w:val="0BFCDEBB"/>
    <w:rsid w:val="0C0E66C2"/>
    <w:rsid w:val="0C15AA7D"/>
    <w:rsid w:val="0C16408C"/>
    <w:rsid w:val="0C2D8D67"/>
    <w:rsid w:val="0C388019"/>
    <w:rsid w:val="0C4DEBDB"/>
    <w:rsid w:val="0C4F5D86"/>
    <w:rsid w:val="0C53B4C4"/>
    <w:rsid w:val="0C5910F0"/>
    <w:rsid w:val="0C5A470D"/>
    <w:rsid w:val="0C5B956D"/>
    <w:rsid w:val="0C62DAC0"/>
    <w:rsid w:val="0C7525C1"/>
    <w:rsid w:val="0C8B373C"/>
    <w:rsid w:val="0CAD4255"/>
    <w:rsid w:val="0CAF1621"/>
    <w:rsid w:val="0CB5AEF0"/>
    <w:rsid w:val="0CBDE1A9"/>
    <w:rsid w:val="0CC241DA"/>
    <w:rsid w:val="0CCE4324"/>
    <w:rsid w:val="0CD02E2B"/>
    <w:rsid w:val="0D02CD05"/>
    <w:rsid w:val="0D03BA32"/>
    <w:rsid w:val="0D12983C"/>
    <w:rsid w:val="0D157703"/>
    <w:rsid w:val="0D1B9D2C"/>
    <w:rsid w:val="0D1BE3B0"/>
    <w:rsid w:val="0D247C6C"/>
    <w:rsid w:val="0D2D1E87"/>
    <w:rsid w:val="0D43DE82"/>
    <w:rsid w:val="0D640C8E"/>
    <w:rsid w:val="0D65555C"/>
    <w:rsid w:val="0D68F3B3"/>
    <w:rsid w:val="0D6C239B"/>
    <w:rsid w:val="0D6E0D4E"/>
    <w:rsid w:val="0D74B8CD"/>
    <w:rsid w:val="0D76E634"/>
    <w:rsid w:val="0D7CC0C8"/>
    <w:rsid w:val="0D7DAB59"/>
    <w:rsid w:val="0D81D168"/>
    <w:rsid w:val="0D8C7DBB"/>
    <w:rsid w:val="0DBAD742"/>
    <w:rsid w:val="0DC79C67"/>
    <w:rsid w:val="0DC9B9B4"/>
    <w:rsid w:val="0DCC94AB"/>
    <w:rsid w:val="0DEB68F8"/>
    <w:rsid w:val="0E0754BF"/>
    <w:rsid w:val="0E081DC4"/>
    <w:rsid w:val="0E08C8FC"/>
    <w:rsid w:val="0E126D10"/>
    <w:rsid w:val="0E1D21CC"/>
    <w:rsid w:val="0E240364"/>
    <w:rsid w:val="0E31BE25"/>
    <w:rsid w:val="0E7231EF"/>
    <w:rsid w:val="0E74C9E0"/>
    <w:rsid w:val="0E7EEE8C"/>
    <w:rsid w:val="0E82D6DF"/>
    <w:rsid w:val="0EA516C9"/>
    <w:rsid w:val="0EAD6198"/>
    <w:rsid w:val="0EB33781"/>
    <w:rsid w:val="0EB9C0CF"/>
    <w:rsid w:val="0EC7532B"/>
    <w:rsid w:val="0EF328AD"/>
    <w:rsid w:val="0EF4BE0B"/>
    <w:rsid w:val="0EFF019D"/>
    <w:rsid w:val="0F038D0E"/>
    <w:rsid w:val="0F090229"/>
    <w:rsid w:val="0F0A7D7A"/>
    <w:rsid w:val="0F0E43DC"/>
    <w:rsid w:val="0F33746D"/>
    <w:rsid w:val="0F6317C2"/>
    <w:rsid w:val="0F833EA4"/>
    <w:rsid w:val="0F85CF7A"/>
    <w:rsid w:val="0F8662C7"/>
    <w:rsid w:val="0FA33957"/>
    <w:rsid w:val="0FA767BB"/>
    <w:rsid w:val="0FB2FCB7"/>
    <w:rsid w:val="0FC484C0"/>
    <w:rsid w:val="0FC6794E"/>
    <w:rsid w:val="0FCD8E86"/>
    <w:rsid w:val="0FCEAB76"/>
    <w:rsid w:val="0FCEBF62"/>
    <w:rsid w:val="0FDF30EB"/>
    <w:rsid w:val="0FDF461B"/>
    <w:rsid w:val="0FECC354"/>
    <w:rsid w:val="0FFBD07D"/>
    <w:rsid w:val="100C6802"/>
    <w:rsid w:val="10154646"/>
    <w:rsid w:val="10166BB0"/>
    <w:rsid w:val="101BE0E8"/>
    <w:rsid w:val="1021982D"/>
    <w:rsid w:val="10271A4B"/>
    <w:rsid w:val="102E9E26"/>
    <w:rsid w:val="104F07E2"/>
    <w:rsid w:val="1083DE71"/>
    <w:rsid w:val="1087712A"/>
    <w:rsid w:val="109ABAF0"/>
    <w:rsid w:val="10A8731E"/>
    <w:rsid w:val="10B4D91C"/>
    <w:rsid w:val="10BA8307"/>
    <w:rsid w:val="10C93F3D"/>
    <w:rsid w:val="10D28C50"/>
    <w:rsid w:val="10DD3759"/>
    <w:rsid w:val="10E35BE8"/>
    <w:rsid w:val="10E4B905"/>
    <w:rsid w:val="10E94E0D"/>
    <w:rsid w:val="10E96200"/>
    <w:rsid w:val="1102004F"/>
    <w:rsid w:val="110DC122"/>
    <w:rsid w:val="111AC025"/>
    <w:rsid w:val="1128A3E2"/>
    <w:rsid w:val="112E21EC"/>
    <w:rsid w:val="11349FD9"/>
    <w:rsid w:val="113FEFDD"/>
    <w:rsid w:val="11439D3F"/>
    <w:rsid w:val="1143C1B2"/>
    <w:rsid w:val="114899CD"/>
    <w:rsid w:val="114F2BCA"/>
    <w:rsid w:val="11645A4B"/>
    <w:rsid w:val="117D5E93"/>
    <w:rsid w:val="117F22AD"/>
    <w:rsid w:val="118321DE"/>
    <w:rsid w:val="11990E30"/>
    <w:rsid w:val="119BB408"/>
    <w:rsid w:val="119C6724"/>
    <w:rsid w:val="119F984B"/>
    <w:rsid w:val="11C0A569"/>
    <w:rsid w:val="11CE3365"/>
    <w:rsid w:val="11D60B51"/>
    <w:rsid w:val="11DCD59D"/>
    <w:rsid w:val="11DD1C32"/>
    <w:rsid w:val="11E78CA2"/>
    <w:rsid w:val="11E80D80"/>
    <w:rsid w:val="11FA8819"/>
    <w:rsid w:val="1202C4A1"/>
    <w:rsid w:val="12034156"/>
    <w:rsid w:val="1204A872"/>
    <w:rsid w:val="1210B011"/>
    <w:rsid w:val="12217F2E"/>
    <w:rsid w:val="122D3955"/>
    <w:rsid w:val="12403137"/>
    <w:rsid w:val="124899AC"/>
    <w:rsid w:val="1263D162"/>
    <w:rsid w:val="1265B3E2"/>
    <w:rsid w:val="1267518B"/>
    <w:rsid w:val="126F1BBE"/>
    <w:rsid w:val="127202A2"/>
    <w:rsid w:val="12920DE2"/>
    <w:rsid w:val="12A48BE0"/>
    <w:rsid w:val="12A89EBC"/>
    <w:rsid w:val="12AA6EB7"/>
    <w:rsid w:val="12B7DA26"/>
    <w:rsid w:val="12C78D6D"/>
    <w:rsid w:val="12E4B3C4"/>
    <w:rsid w:val="12E5E600"/>
    <w:rsid w:val="12FA524B"/>
    <w:rsid w:val="12FDCC5A"/>
    <w:rsid w:val="12FE7EB7"/>
    <w:rsid w:val="13000866"/>
    <w:rsid w:val="131AF30E"/>
    <w:rsid w:val="131AFF37"/>
    <w:rsid w:val="133D44A0"/>
    <w:rsid w:val="13444A87"/>
    <w:rsid w:val="1367CE8C"/>
    <w:rsid w:val="1367DAB1"/>
    <w:rsid w:val="136A4B5C"/>
    <w:rsid w:val="136D8047"/>
    <w:rsid w:val="136D96C0"/>
    <w:rsid w:val="138E66E2"/>
    <w:rsid w:val="13952A0B"/>
    <w:rsid w:val="1399347D"/>
    <w:rsid w:val="139D7128"/>
    <w:rsid w:val="13A4BD78"/>
    <w:rsid w:val="13B1ED78"/>
    <w:rsid w:val="13B53732"/>
    <w:rsid w:val="13BADC8E"/>
    <w:rsid w:val="13C5DBA0"/>
    <w:rsid w:val="13E0128B"/>
    <w:rsid w:val="13EDDDE0"/>
    <w:rsid w:val="13EEB7E1"/>
    <w:rsid w:val="13F0169B"/>
    <w:rsid w:val="13F85F89"/>
    <w:rsid w:val="13FC6745"/>
    <w:rsid w:val="1409C440"/>
    <w:rsid w:val="144932D6"/>
    <w:rsid w:val="144DA907"/>
    <w:rsid w:val="145691B1"/>
    <w:rsid w:val="146034FF"/>
    <w:rsid w:val="146ADFED"/>
    <w:rsid w:val="147A7ADA"/>
    <w:rsid w:val="14809845"/>
    <w:rsid w:val="1483EB76"/>
    <w:rsid w:val="14AA4DD4"/>
    <w:rsid w:val="14B65A1B"/>
    <w:rsid w:val="14CAE402"/>
    <w:rsid w:val="14D9DF4A"/>
    <w:rsid w:val="14F0EBB5"/>
    <w:rsid w:val="150950A8"/>
    <w:rsid w:val="15111C43"/>
    <w:rsid w:val="15238ABE"/>
    <w:rsid w:val="152B09BB"/>
    <w:rsid w:val="152F3D49"/>
    <w:rsid w:val="1557D0D5"/>
    <w:rsid w:val="1566336F"/>
    <w:rsid w:val="156E29DF"/>
    <w:rsid w:val="15740BE0"/>
    <w:rsid w:val="15761A26"/>
    <w:rsid w:val="157A8F7F"/>
    <w:rsid w:val="157DC73A"/>
    <w:rsid w:val="15847858"/>
    <w:rsid w:val="158EF0A5"/>
    <w:rsid w:val="159BD7C7"/>
    <w:rsid w:val="15A25955"/>
    <w:rsid w:val="15A3798E"/>
    <w:rsid w:val="15A64280"/>
    <w:rsid w:val="15A96B96"/>
    <w:rsid w:val="15CE5C64"/>
    <w:rsid w:val="15DCCCA9"/>
    <w:rsid w:val="15DEFD89"/>
    <w:rsid w:val="15E331B1"/>
    <w:rsid w:val="15E62B2F"/>
    <w:rsid w:val="15EB18D7"/>
    <w:rsid w:val="15FF98B6"/>
    <w:rsid w:val="1614D41D"/>
    <w:rsid w:val="161A5EEE"/>
    <w:rsid w:val="16300659"/>
    <w:rsid w:val="1634D5A4"/>
    <w:rsid w:val="16396B73"/>
    <w:rsid w:val="163CD00A"/>
    <w:rsid w:val="164435C7"/>
    <w:rsid w:val="164BBB06"/>
    <w:rsid w:val="1655F867"/>
    <w:rsid w:val="16585F85"/>
    <w:rsid w:val="165C1081"/>
    <w:rsid w:val="16613744"/>
    <w:rsid w:val="1664E174"/>
    <w:rsid w:val="1665EE85"/>
    <w:rsid w:val="166FC5E7"/>
    <w:rsid w:val="1681523D"/>
    <w:rsid w:val="168B9203"/>
    <w:rsid w:val="1691B94F"/>
    <w:rsid w:val="169CD5D7"/>
    <w:rsid w:val="169DBB17"/>
    <w:rsid w:val="16A909D1"/>
    <w:rsid w:val="16B2D8F2"/>
    <w:rsid w:val="16B7F893"/>
    <w:rsid w:val="16CABED9"/>
    <w:rsid w:val="16CCA8E2"/>
    <w:rsid w:val="16CE53D1"/>
    <w:rsid w:val="16D72F0C"/>
    <w:rsid w:val="16DCCC21"/>
    <w:rsid w:val="16E7C398"/>
    <w:rsid w:val="16F0F268"/>
    <w:rsid w:val="16F48DBB"/>
    <w:rsid w:val="1704840F"/>
    <w:rsid w:val="17052EE6"/>
    <w:rsid w:val="17064CC6"/>
    <w:rsid w:val="17103C83"/>
    <w:rsid w:val="17375EAB"/>
    <w:rsid w:val="173FA448"/>
    <w:rsid w:val="17732591"/>
    <w:rsid w:val="178146B3"/>
    <w:rsid w:val="17850289"/>
    <w:rsid w:val="1795C819"/>
    <w:rsid w:val="179B6917"/>
    <w:rsid w:val="17D23844"/>
    <w:rsid w:val="17D33CBF"/>
    <w:rsid w:val="17DD2C7C"/>
    <w:rsid w:val="17DD60DE"/>
    <w:rsid w:val="17E41BB2"/>
    <w:rsid w:val="17F7FC40"/>
    <w:rsid w:val="1803A94B"/>
    <w:rsid w:val="1807604C"/>
    <w:rsid w:val="1808C707"/>
    <w:rsid w:val="18107F6B"/>
    <w:rsid w:val="18252D43"/>
    <w:rsid w:val="182E7A94"/>
    <w:rsid w:val="18404BB7"/>
    <w:rsid w:val="18549CE3"/>
    <w:rsid w:val="18661E3B"/>
    <w:rsid w:val="1873CD47"/>
    <w:rsid w:val="1876E977"/>
    <w:rsid w:val="187AF6C2"/>
    <w:rsid w:val="188928C6"/>
    <w:rsid w:val="188A64E9"/>
    <w:rsid w:val="18961C61"/>
    <w:rsid w:val="1897C8DE"/>
    <w:rsid w:val="189E6C2F"/>
    <w:rsid w:val="18A32EA8"/>
    <w:rsid w:val="18A7C0DD"/>
    <w:rsid w:val="18AD379E"/>
    <w:rsid w:val="18BA21EA"/>
    <w:rsid w:val="18C1C5B9"/>
    <w:rsid w:val="18DD9E35"/>
    <w:rsid w:val="18DEA4B8"/>
    <w:rsid w:val="18F501D0"/>
    <w:rsid w:val="18F8BA3E"/>
    <w:rsid w:val="190134D5"/>
    <w:rsid w:val="1908CAFE"/>
    <w:rsid w:val="190C9F2C"/>
    <w:rsid w:val="190CC6C6"/>
    <w:rsid w:val="19127813"/>
    <w:rsid w:val="1913FA0C"/>
    <w:rsid w:val="1916FA94"/>
    <w:rsid w:val="1918C436"/>
    <w:rsid w:val="1931AEA2"/>
    <w:rsid w:val="193DD7FE"/>
    <w:rsid w:val="1940CA83"/>
    <w:rsid w:val="1947ECDE"/>
    <w:rsid w:val="1949011A"/>
    <w:rsid w:val="195FE527"/>
    <w:rsid w:val="1960BEB5"/>
    <w:rsid w:val="197470CC"/>
    <w:rsid w:val="197E9FA9"/>
    <w:rsid w:val="19800CD3"/>
    <w:rsid w:val="1998B9FD"/>
    <w:rsid w:val="19AED1F6"/>
    <w:rsid w:val="19B70360"/>
    <w:rsid w:val="19BC0F88"/>
    <w:rsid w:val="19DEDF5E"/>
    <w:rsid w:val="19E4BC04"/>
    <w:rsid w:val="19EA7E49"/>
    <w:rsid w:val="19EABBC8"/>
    <w:rsid w:val="19F24BD6"/>
    <w:rsid w:val="19FBFA4F"/>
    <w:rsid w:val="1A05C1C2"/>
    <w:rsid w:val="1A188648"/>
    <w:rsid w:val="1A1A42E0"/>
    <w:rsid w:val="1A3C19CE"/>
    <w:rsid w:val="1A489804"/>
    <w:rsid w:val="1A53C90E"/>
    <w:rsid w:val="1A9BE63A"/>
    <w:rsid w:val="1AA6F6B0"/>
    <w:rsid w:val="1AAB1EF7"/>
    <w:rsid w:val="1AB54BF6"/>
    <w:rsid w:val="1ABE910C"/>
    <w:rsid w:val="1AC3E341"/>
    <w:rsid w:val="1AC7B5BD"/>
    <w:rsid w:val="1ACC9DF5"/>
    <w:rsid w:val="1ACF3ED7"/>
    <w:rsid w:val="1ACFADFB"/>
    <w:rsid w:val="1AD66F0A"/>
    <w:rsid w:val="1AEBD5B3"/>
    <w:rsid w:val="1AF13538"/>
    <w:rsid w:val="1AF8F263"/>
    <w:rsid w:val="1B07FD05"/>
    <w:rsid w:val="1B10412D"/>
    <w:rsid w:val="1B1150B4"/>
    <w:rsid w:val="1B1763F6"/>
    <w:rsid w:val="1B182EB3"/>
    <w:rsid w:val="1B33E139"/>
    <w:rsid w:val="1B3BA49D"/>
    <w:rsid w:val="1B46FFA7"/>
    <w:rsid w:val="1B4AF3B2"/>
    <w:rsid w:val="1B70456F"/>
    <w:rsid w:val="1B73EAEE"/>
    <w:rsid w:val="1B7854C0"/>
    <w:rsid w:val="1B7AB833"/>
    <w:rsid w:val="1B7C7744"/>
    <w:rsid w:val="1B7E8CC7"/>
    <w:rsid w:val="1B8047B5"/>
    <w:rsid w:val="1B82EFF3"/>
    <w:rsid w:val="1B8B36B3"/>
    <w:rsid w:val="1B8C03A8"/>
    <w:rsid w:val="1B8E4B9C"/>
    <w:rsid w:val="1BA49128"/>
    <w:rsid w:val="1BAAAC65"/>
    <w:rsid w:val="1BAE669D"/>
    <w:rsid w:val="1BB5B31D"/>
    <w:rsid w:val="1BC042C9"/>
    <w:rsid w:val="1BC94177"/>
    <w:rsid w:val="1BC9B56C"/>
    <w:rsid w:val="1BD2E73C"/>
    <w:rsid w:val="1BF25D2C"/>
    <w:rsid w:val="1C0B2974"/>
    <w:rsid w:val="1C18FD2B"/>
    <w:rsid w:val="1C19A190"/>
    <w:rsid w:val="1C1F6F2E"/>
    <w:rsid w:val="1C317DF0"/>
    <w:rsid w:val="1C3267F9"/>
    <w:rsid w:val="1C3DD0B9"/>
    <w:rsid w:val="1C4AF539"/>
    <w:rsid w:val="1C594170"/>
    <w:rsid w:val="1C63AF31"/>
    <w:rsid w:val="1C6953B3"/>
    <w:rsid w:val="1C783DAC"/>
    <w:rsid w:val="1C9A4628"/>
    <w:rsid w:val="1C9DC382"/>
    <w:rsid w:val="1CA05456"/>
    <w:rsid w:val="1CAA1B55"/>
    <w:rsid w:val="1CAC3F09"/>
    <w:rsid w:val="1CAE2EB5"/>
    <w:rsid w:val="1CB0D070"/>
    <w:rsid w:val="1CB58EA2"/>
    <w:rsid w:val="1CC38188"/>
    <w:rsid w:val="1CC38381"/>
    <w:rsid w:val="1CE546AF"/>
    <w:rsid w:val="1CF2C969"/>
    <w:rsid w:val="1CF8E504"/>
    <w:rsid w:val="1CFFAF24"/>
    <w:rsid w:val="1D01FAE0"/>
    <w:rsid w:val="1D0E34D7"/>
    <w:rsid w:val="1D2F064E"/>
    <w:rsid w:val="1D33901F"/>
    <w:rsid w:val="1D4E020F"/>
    <w:rsid w:val="1D5F2955"/>
    <w:rsid w:val="1D6F43B4"/>
    <w:rsid w:val="1D7289FA"/>
    <w:rsid w:val="1D76FE69"/>
    <w:rsid w:val="1D80FDE0"/>
    <w:rsid w:val="1D86327E"/>
    <w:rsid w:val="1D8E830D"/>
    <w:rsid w:val="1DA11E6F"/>
    <w:rsid w:val="1DB14415"/>
    <w:rsid w:val="1DB8D3C3"/>
    <w:rsid w:val="1DBD29DC"/>
    <w:rsid w:val="1DEDAD43"/>
    <w:rsid w:val="1DF18FA1"/>
    <w:rsid w:val="1DF58F36"/>
    <w:rsid w:val="1DF6B5D6"/>
    <w:rsid w:val="1DF9A33F"/>
    <w:rsid w:val="1DF9DD8A"/>
    <w:rsid w:val="1E0AE0B2"/>
    <w:rsid w:val="1E1C8741"/>
    <w:rsid w:val="1E2776A1"/>
    <w:rsid w:val="1E2DB6F8"/>
    <w:rsid w:val="1E2F8AE6"/>
    <w:rsid w:val="1E37BF4D"/>
    <w:rsid w:val="1E4C470A"/>
    <w:rsid w:val="1E503608"/>
    <w:rsid w:val="1E57FBBB"/>
    <w:rsid w:val="1E68B726"/>
    <w:rsid w:val="1E7905A5"/>
    <w:rsid w:val="1E7F35DE"/>
    <w:rsid w:val="1E8D87F9"/>
    <w:rsid w:val="1EAEBCDE"/>
    <w:rsid w:val="1EB032EE"/>
    <w:rsid w:val="1EB65EC5"/>
    <w:rsid w:val="1EC28CED"/>
    <w:rsid w:val="1F0CD862"/>
    <w:rsid w:val="1F416255"/>
    <w:rsid w:val="1F436CA1"/>
    <w:rsid w:val="1F45EE38"/>
    <w:rsid w:val="1F499DED"/>
    <w:rsid w:val="1F4FF7E6"/>
    <w:rsid w:val="1F59E142"/>
    <w:rsid w:val="1F675E92"/>
    <w:rsid w:val="1F6A93CB"/>
    <w:rsid w:val="1F79EB40"/>
    <w:rsid w:val="1F9400DE"/>
    <w:rsid w:val="1F96FEE8"/>
    <w:rsid w:val="1F97FCF3"/>
    <w:rsid w:val="1F9951AC"/>
    <w:rsid w:val="1FA415FD"/>
    <w:rsid w:val="1FB2AE7E"/>
    <w:rsid w:val="1FBD8318"/>
    <w:rsid w:val="1FC1B2E5"/>
    <w:rsid w:val="1FCC7784"/>
    <w:rsid w:val="1FDA1594"/>
    <w:rsid w:val="1FF71251"/>
    <w:rsid w:val="1FF7C84B"/>
    <w:rsid w:val="1FFF88E6"/>
    <w:rsid w:val="20170F1A"/>
    <w:rsid w:val="201BBE54"/>
    <w:rsid w:val="201C2256"/>
    <w:rsid w:val="20393560"/>
    <w:rsid w:val="20472B47"/>
    <w:rsid w:val="204AD219"/>
    <w:rsid w:val="20585F07"/>
    <w:rsid w:val="20612D9A"/>
    <w:rsid w:val="206782CD"/>
    <w:rsid w:val="206910C4"/>
    <w:rsid w:val="208220E3"/>
    <w:rsid w:val="208B037A"/>
    <w:rsid w:val="20932E2E"/>
    <w:rsid w:val="20A098D1"/>
    <w:rsid w:val="20BE466B"/>
    <w:rsid w:val="20C24E95"/>
    <w:rsid w:val="20CB7275"/>
    <w:rsid w:val="20D8801D"/>
    <w:rsid w:val="20DD38C4"/>
    <w:rsid w:val="20E71381"/>
    <w:rsid w:val="20EB9DA0"/>
    <w:rsid w:val="20F2CBC2"/>
    <w:rsid w:val="20F5C0CD"/>
    <w:rsid w:val="20F7BC3B"/>
    <w:rsid w:val="20FC1499"/>
    <w:rsid w:val="2105404A"/>
    <w:rsid w:val="2108E180"/>
    <w:rsid w:val="21239C79"/>
    <w:rsid w:val="21280C59"/>
    <w:rsid w:val="213D0254"/>
    <w:rsid w:val="213DDAFA"/>
    <w:rsid w:val="213E40E0"/>
    <w:rsid w:val="214B4E94"/>
    <w:rsid w:val="215691C7"/>
    <w:rsid w:val="215FFCB1"/>
    <w:rsid w:val="21656AEA"/>
    <w:rsid w:val="21712CCF"/>
    <w:rsid w:val="21737466"/>
    <w:rsid w:val="21815EEC"/>
    <w:rsid w:val="218266D4"/>
    <w:rsid w:val="2183D2AF"/>
    <w:rsid w:val="218CB4BB"/>
    <w:rsid w:val="21A8BB12"/>
    <w:rsid w:val="21BEBF9F"/>
    <w:rsid w:val="21CD9A01"/>
    <w:rsid w:val="21DA2332"/>
    <w:rsid w:val="21DE3C97"/>
    <w:rsid w:val="21F714CD"/>
    <w:rsid w:val="2212208C"/>
    <w:rsid w:val="221A13AB"/>
    <w:rsid w:val="22255E39"/>
    <w:rsid w:val="223B02A2"/>
    <w:rsid w:val="223B2CF3"/>
    <w:rsid w:val="223FF11A"/>
    <w:rsid w:val="22471F75"/>
    <w:rsid w:val="225CDF10"/>
    <w:rsid w:val="22617AE8"/>
    <w:rsid w:val="22635F1C"/>
    <w:rsid w:val="2263C4A6"/>
    <w:rsid w:val="226F5269"/>
    <w:rsid w:val="22715714"/>
    <w:rsid w:val="228D0300"/>
    <w:rsid w:val="22A27D79"/>
    <w:rsid w:val="22B17A7D"/>
    <w:rsid w:val="22C65D46"/>
    <w:rsid w:val="22CD128B"/>
    <w:rsid w:val="22D60C4D"/>
    <w:rsid w:val="22DF9D8F"/>
    <w:rsid w:val="22E1FB9B"/>
    <w:rsid w:val="22E82E78"/>
    <w:rsid w:val="22E8F28A"/>
    <w:rsid w:val="22E97A1C"/>
    <w:rsid w:val="22EBCA0A"/>
    <w:rsid w:val="22EE94E8"/>
    <w:rsid w:val="22F1B9B5"/>
    <w:rsid w:val="22F79172"/>
    <w:rsid w:val="22F79B0D"/>
    <w:rsid w:val="22FE645E"/>
    <w:rsid w:val="230099B6"/>
    <w:rsid w:val="230CBCB1"/>
    <w:rsid w:val="23161B20"/>
    <w:rsid w:val="231CA997"/>
    <w:rsid w:val="231DE6E5"/>
    <w:rsid w:val="23237B6E"/>
    <w:rsid w:val="23271878"/>
    <w:rsid w:val="2334724B"/>
    <w:rsid w:val="233A72DE"/>
    <w:rsid w:val="23440D63"/>
    <w:rsid w:val="23473ED3"/>
    <w:rsid w:val="2347AA81"/>
    <w:rsid w:val="2359472B"/>
    <w:rsid w:val="236A5D92"/>
    <w:rsid w:val="2372B7B7"/>
    <w:rsid w:val="2390C9A9"/>
    <w:rsid w:val="23BD4F37"/>
    <w:rsid w:val="23C3D503"/>
    <w:rsid w:val="23C5F4CD"/>
    <w:rsid w:val="23C7752C"/>
    <w:rsid w:val="23D65295"/>
    <w:rsid w:val="23DDBF7D"/>
    <w:rsid w:val="23E414DE"/>
    <w:rsid w:val="23F5735F"/>
    <w:rsid w:val="24045FFD"/>
    <w:rsid w:val="240B9803"/>
    <w:rsid w:val="2410E77B"/>
    <w:rsid w:val="242BE2D4"/>
    <w:rsid w:val="244F1D66"/>
    <w:rsid w:val="245CF78A"/>
    <w:rsid w:val="2465B84A"/>
    <w:rsid w:val="246ECC0A"/>
    <w:rsid w:val="24938B45"/>
    <w:rsid w:val="24A62877"/>
    <w:rsid w:val="24AD185D"/>
    <w:rsid w:val="24B72CC6"/>
    <w:rsid w:val="24BD016A"/>
    <w:rsid w:val="24C1908A"/>
    <w:rsid w:val="24E45638"/>
    <w:rsid w:val="24F314A3"/>
    <w:rsid w:val="250A297C"/>
    <w:rsid w:val="25159D25"/>
    <w:rsid w:val="251703B2"/>
    <w:rsid w:val="2518FE22"/>
    <w:rsid w:val="252D3F4E"/>
    <w:rsid w:val="2532944C"/>
    <w:rsid w:val="25331E0F"/>
    <w:rsid w:val="253FB522"/>
    <w:rsid w:val="25589CD7"/>
    <w:rsid w:val="2561B1F6"/>
    <w:rsid w:val="25621BF8"/>
    <w:rsid w:val="25628409"/>
    <w:rsid w:val="256B5A51"/>
    <w:rsid w:val="256DCA93"/>
    <w:rsid w:val="2572127E"/>
    <w:rsid w:val="2572363D"/>
    <w:rsid w:val="257475DE"/>
    <w:rsid w:val="25755A6E"/>
    <w:rsid w:val="257AB3E0"/>
    <w:rsid w:val="257F3FAA"/>
    <w:rsid w:val="258009B2"/>
    <w:rsid w:val="258041C0"/>
    <w:rsid w:val="258BD1BB"/>
    <w:rsid w:val="25B4F3BF"/>
    <w:rsid w:val="25C143CE"/>
    <w:rsid w:val="25C4D479"/>
    <w:rsid w:val="25CF0123"/>
    <w:rsid w:val="25DDB432"/>
    <w:rsid w:val="25DF9D5F"/>
    <w:rsid w:val="25E3EB24"/>
    <w:rsid w:val="25E77D98"/>
    <w:rsid w:val="25EFA9E6"/>
    <w:rsid w:val="25F8BFF5"/>
    <w:rsid w:val="25FEFC0F"/>
    <w:rsid w:val="25FF50A6"/>
    <w:rsid w:val="260FF940"/>
    <w:rsid w:val="2610384D"/>
    <w:rsid w:val="26130318"/>
    <w:rsid w:val="261334EE"/>
    <w:rsid w:val="2617233A"/>
    <w:rsid w:val="26185C3D"/>
    <w:rsid w:val="262101F7"/>
    <w:rsid w:val="2624FC1F"/>
    <w:rsid w:val="263F4E52"/>
    <w:rsid w:val="26416160"/>
    <w:rsid w:val="26498A0D"/>
    <w:rsid w:val="264D810F"/>
    <w:rsid w:val="2650CC35"/>
    <w:rsid w:val="2652446A"/>
    <w:rsid w:val="2653A22A"/>
    <w:rsid w:val="26568290"/>
    <w:rsid w:val="265AE15A"/>
    <w:rsid w:val="2661A0E1"/>
    <w:rsid w:val="26669A30"/>
    <w:rsid w:val="26799A4E"/>
    <w:rsid w:val="2679A29E"/>
    <w:rsid w:val="26A59D73"/>
    <w:rsid w:val="26A765C4"/>
    <w:rsid w:val="26AA25D6"/>
    <w:rsid w:val="26AEEF59"/>
    <w:rsid w:val="26B083A6"/>
    <w:rsid w:val="26B52E9B"/>
    <w:rsid w:val="26D1FB3D"/>
    <w:rsid w:val="26DB46FF"/>
    <w:rsid w:val="26DCAE9E"/>
    <w:rsid w:val="26E2CF60"/>
    <w:rsid w:val="26EAB5B0"/>
    <w:rsid w:val="26EFCCDA"/>
    <w:rsid w:val="26F5260D"/>
    <w:rsid w:val="26FF3D2C"/>
    <w:rsid w:val="2702179F"/>
    <w:rsid w:val="271D3B2A"/>
    <w:rsid w:val="27307FF1"/>
    <w:rsid w:val="27331795"/>
    <w:rsid w:val="273FD055"/>
    <w:rsid w:val="274C7286"/>
    <w:rsid w:val="2779FB25"/>
    <w:rsid w:val="277F4D30"/>
    <w:rsid w:val="278D4339"/>
    <w:rsid w:val="2795883E"/>
    <w:rsid w:val="27A49ACB"/>
    <w:rsid w:val="27C8950D"/>
    <w:rsid w:val="27CB5454"/>
    <w:rsid w:val="27D0FE2D"/>
    <w:rsid w:val="27DE7D7C"/>
    <w:rsid w:val="27F21CBC"/>
    <w:rsid w:val="2805ABB1"/>
    <w:rsid w:val="280E820D"/>
    <w:rsid w:val="2815B2B0"/>
    <w:rsid w:val="28161911"/>
    <w:rsid w:val="281E3834"/>
    <w:rsid w:val="281F51A9"/>
    <w:rsid w:val="28243457"/>
    <w:rsid w:val="285249FB"/>
    <w:rsid w:val="2853DDA3"/>
    <w:rsid w:val="285D44E5"/>
    <w:rsid w:val="285ED6DA"/>
    <w:rsid w:val="2865E62D"/>
    <w:rsid w:val="2872E492"/>
    <w:rsid w:val="287A4B8E"/>
    <w:rsid w:val="2887AC39"/>
    <w:rsid w:val="28922AE0"/>
    <w:rsid w:val="289FFBCC"/>
    <w:rsid w:val="28A21919"/>
    <w:rsid w:val="28A63FD5"/>
    <w:rsid w:val="28AEFFCD"/>
    <w:rsid w:val="28C715A8"/>
    <w:rsid w:val="28D25F69"/>
    <w:rsid w:val="28D981D5"/>
    <w:rsid w:val="28DA6349"/>
    <w:rsid w:val="28F17224"/>
    <w:rsid w:val="28F5E905"/>
    <w:rsid w:val="28FA7C8C"/>
    <w:rsid w:val="28FB3FA2"/>
    <w:rsid w:val="28FF9B09"/>
    <w:rsid w:val="2907FF38"/>
    <w:rsid w:val="29143B1A"/>
    <w:rsid w:val="291BC7B9"/>
    <w:rsid w:val="291FAB1B"/>
    <w:rsid w:val="29269444"/>
    <w:rsid w:val="293D2380"/>
    <w:rsid w:val="294882DA"/>
    <w:rsid w:val="2966B6AC"/>
    <w:rsid w:val="297FAC38"/>
    <w:rsid w:val="2990FD6B"/>
    <w:rsid w:val="29927CF6"/>
    <w:rsid w:val="2993667F"/>
    <w:rsid w:val="29954995"/>
    <w:rsid w:val="299BDB60"/>
    <w:rsid w:val="299C3831"/>
    <w:rsid w:val="29B1F831"/>
    <w:rsid w:val="29BFCA7A"/>
    <w:rsid w:val="29C4365A"/>
    <w:rsid w:val="29CC338B"/>
    <w:rsid w:val="29CD38D5"/>
    <w:rsid w:val="29CFAA3B"/>
    <w:rsid w:val="29E6EF66"/>
    <w:rsid w:val="29E7E005"/>
    <w:rsid w:val="29E89C93"/>
    <w:rsid w:val="29F530F2"/>
    <w:rsid w:val="2A05BA97"/>
    <w:rsid w:val="2A05DA8E"/>
    <w:rsid w:val="2A0A6E9B"/>
    <w:rsid w:val="2A2529F0"/>
    <w:rsid w:val="2A2ED1E1"/>
    <w:rsid w:val="2A32ECEC"/>
    <w:rsid w:val="2A43DFC2"/>
    <w:rsid w:val="2A697EAD"/>
    <w:rsid w:val="2A814F7E"/>
    <w:rsid w:val="2A840584"/>
    <w:rsid w:val="2A9FA264"/>
    <w:rsid w:val="2AAC4A53"/>
    <w:rsid w:val="2AC27D58"/>
    <w:rsid w:val="2ACD0766"/>
    <w:rsid w:val="2ACD802B"/>
    <w:rsid w:val="2AD612A3"/>
    <w:rsid w:val="2AE16128"/>
    <w:rsid w:val="2AE1F207"/>
    <w:rsid w:val="2AE39D34"/>
    <w:rsid w:val="2B013012"/>
    <w:rsid w:val="2B08209B"/>
    <w:rsid w:val="2B0DCDBA"/>
    <w:rsid w:val="2B191EB9"/>
    <w:rsid w:val="2B1FC1CB"/>
    <w:rsid w:val="2B2DE581"/>
    <w:rsid w:val="2B2EFB1C"/>
    <w:rsid w:val="2B2F14D4"/>
    <w:rsid w:val="2B4996E4"/>
    <w:rsid w:val="2B4BFAFC"/>
    <w:rsid w:val="2B5080D0"/>
    <w:rsid w:val="2B5871C2"/>
    <w:rsid w:val="2B6C6EA7"/>
    <w:rsid w:val="2B6E5460"/>
    <w:rsid w:val="2B8041AF"/>
    <w:rsid w:val="2B86951E"/>
    <w:rsid w:val="2B909F3F"/>
    <w:rsid w:val="2B97F9A7"/>
    <w:rsid w:val="2BA2B1D8"/>
    <w:rsid w:val="2BB22153"/>
    <w:rsid w:val="2BC1431E"/>
    <w:rsid w:val="2BCD8B3A"/>
    <w:rsid w:val="2BD0BE71"/>
    <w:rsid w:val="2BDE0F64"/>
    <w:rsid w:val="2BDF9E95"/>
    <w:rsid w:val="2BDFDC04"/>
    <w:rsid w:val="2C005BC3"/>
    <w:rsid w:val="2C05AF48"/>
    <w:rsid w:val="2C1BF3A1"/>
    <w:rsid w:val="2C1D83D5"/>
    <w:rsid w:val="2C2CC7A4"/>
    <w:rsid w:val="2C2D3547"/>
    <w:rsid w:val="2C335047"/>
    <w:rsid w:val="2C4916D3"/>
    <w:rsid w:val="2C4C6C9F"/>
    <w:rsid w:val="2C60A32C"/>
    <w:rsid w:val="2C6A821D"/>
    <w:rsid w:val="2C7151C6"/>
    <w:rsid w:val="2C797948"/>
    <w:rsid w:val="2C8E4A8C"/>
    <w:rsid w:val="2C986BA1"/>
    <w:rsid w:val="2CAD64F8"/>
    <w:rsid w:val="2CB5B963"/>
    <w:rsid w:val="2CB607B1"/>
    <w:rsid w:val="2CC447A8"/>
    <w:rsid w:val="2CD8B5A1"/>
    <w:rsid w:val="2CE2A49B"/>
    <w:rsid w:val="2CE362DD"/>
    <w:rsid w:val="2CF6408C"/>
    <w:rsid w:val="2CF8761C"/>
    <w:rsid w:val="2CFD6D4B"/>
    <w:rsid w:val="2CFDB92F"/>
    <w:rsid w:val="2CFDE68E"/>
    <w:rsid w:val="2D131F4B"/>
    <w:rsid w:val="2D173C4B"/>
    <w:rsid w:val="2D37EC8C"/>
    <w:rsid w:val="2D43EA73"/>
    <w:rsid w:val="2D4DEC35"/>
    <w:rsid w:val="2D4F80B6"/>
    <w:rsid w:val="2D547E28"/>
    <w:rsid w:val="2D7CB2A1"/>
    <w:rsid w:val="2D8D130C"/>
    <w:rsid w:val="2D8F4AE4"/>
    <w:rsid w:val="2D92AD14"/>
    <w:rsid w:val="2D934191"/>
    <w:rsid w:val="2D94EF67"/>
    <w:rsid w:val="2D9AF97F"/>
    <w:rsid w:val="2DA8574E"/>
    <w:rsid w:val="2DAB5048"/>
    <w:rsid w:val="2DB483D1"/>
    <w:rsid w:val="2DB78E41"/>
    <w:rsid w:val="2DB8A435"/>
    <w:rsid w:val="2DC57452"/>
    <w:rsid w:val="2DDEF3B1"/>
    <w:rsid w:val="2E0914AD"/>
    <w:rsid w:val="2E25C45A"/>
    <w:rsid w:val="2E2811B2"/>
    <w:rsid w:val="2E282F7C"/>
    <w:rsid w:val="2E31023D"/>
    <w:rsid w:val="2E40FAA8"/>
    <w:rsid w:val="2E4B9C7B"/>
    <w:rsid w:val="2E4C412F"/>
    <w:rsid w:val="2E4D984E"/>
    <w:rsid w:val="2E5A1426"/>
    <w:rsid w:val="2E5A9753"/>
    <w:rsid w:val="2E628EA8"/>
    <w:rsid w:val="2E675947"/>
    <w:rsid w:val="2E6CF4A1"/>
    <w:rsid w:val="2E6DBAFE"/>
    <w:rsid w:val="2E6F4775"/>
    <w:rsid w:val="2E70653F"/>
    <w:rsid w:val="2E72D598"/>
    <w:rsid w:val="2E757C9B"/>
    <w:rsid w:val="2EA45E56"/>
    <w:rsid w:val="2EA51D76"/>
    <w:rsid w:val="2EACD19E"/>
    <w:rsid w:val="2EAD69BF"/>
    <w:rsid w:val="2EADB8DA"/>
    <w:rsid w:val="2EB0671C"/>
    <w:rsid w:val="2EC15CAE"/>
    <w:rsid w:val="2EE8ECF3"/>
    <w:rsid w:val="2EE9587A"/>
    <w:rsid w:val="2EEFB31D"/>
    <w:rsid w:val="2EF38AE0"/>
    <w:rsid w:val="2EFE0817"/>
    <w:rsid w:val="2F026C28"/>
    <w:rsid w:val="2F06B229"/>
    <w:rsid w:val="2F13D812"/>
    <w:rsid w:val="2F151FE1"/>
    <w:rsid w:val="2F26C591"/>
    <w:rsid w:val="2F3E950F"/>
    <w:rsid w:val="2F456A9C"/>
    <w:rsid w:val="2F481A02"/>
    <w:rsid w:val="2F4A50B4"/>
    <w:rsid w:val="2F4ABD86"/>
    <w:rsid w:val="2F506DFE"/>
    <w:rsid w:val="2F509BA8"/>
    <w:rsid w:val="2F6A2CE9"/>
    <w:rsid w:val="2F6BAB2A"/>
    <w:rsid w:val="2F7775E9"/>
    <w:rsid w:val="2F7DD719"/>
    <w:rsid w:val="2F827C91"/>
    <w:rsid w:val="2F8568BB"/>
    <w:rsid w:val="2F9D1486"/>
    <w:rsid w:val="2FB7717E"/>
    <w:rsid w:val="2FCDFC1E"/>
    <w:rsid w:val="2FCE3837"/>
    <w:rsid w:val="2FD48562"/>
    <w:rsid w:val="2FDD4D43"/>
    <w:rsid w:val="2FDEA410"/>
    <w:rsid w:val="2FE1C374"/>
    <w:rsid w:val="2FEAA79E"/>
    <w:rsid w:val="2FEE79EE"/>
    <w:rsid w:val="2FF85088"/>
    <w:rsid w:val="2FF9D61A"/>
    <w:rsid w:val="30094EA6"/>
    <w:rsid w:val="300B3981"/>
    <w:rsid w:val="300F386A"/>
    <w:rsid w:val="301FBE64"/>
    <w:rsid w:val="3020C072"/>
    <w:rsid w:val="3027F5AC"/>
    <w:rsid w:val="30444185"/>
    <w:rsid w:val="304B77CF"/>
    <w:rsid w:val="3057561C"/>
    <w:rsid w:val="3058E742"/>
    <w:rsid w:val="30606F28"/>
    <w:rsid w:val="30609F45"/>
    <w:rsid w:val="30730665"/>
    <w:rsid w:val="3079C884"/>
    <w:rsid w:val="307F348E"/>
    <w:rsid w:val="309AF605"/>
    <w:rsid w:val="30A68C37"/>
    <w:rsid w:val="30AAFE5B"/>
    <w:rsid w:val="30B04836"/>
    <w:rsid w:val="30BB40A2"/>
    <w:rsid w:val="30D43781"/>
    <w:rsid w:val="30D71E58"/>
    <w:rsid w:val="30DEC001"/>
    <w:rsid w:val="310429E2"/>
    <w:rsid w:val="310F0EC9"/>
    <w:rsid w:val="311C8F3A"/>
    <w:rsid w:val="31287A4E"/>
    <w:rsid w:val="312BB9D4"/>
    <w:rsid w:val="3133C0D6"/>
    <w:rsid w:val="313A98A5"/>
    <w:rsid w:val="313CC1AF"/>
    <w:rsid w:val="3145B3EB"/>
    <w:rsid w:val="314BC35F"/>
    <w:rsid w:val="31502619"/>
    <w:rsid w:val="315D31A3"/>
    <w:rsid w:val="3166B32D"/>
    <w:rsid w:val="31778038"/>
    <w:rsid w:val="31977005"/>
    <w:rsid w:val="319896BF"/>
    <w:rsid w:val="31AA9921"/>
    <w:rsid w:val="31B683C8"/>
    <w:rsid w:val="31BB5AAA"/>
    <w:rsid w:val="31DC316E"/>
    <w:rsid w:val="31E48062"/>
    <w:rsid w:val="31EC35E7"/>
    <w:rsid w:val="31EF8846"/>
    <w:rsid w:val="3219CAE1"/>
    <w:rsid w:val="32308C30"/>
    <w:rsid w:val="32353D69"/>
    <w:rsid w:val="3244A872"/>
    <w:rsid w:val="326D050A"/>
    <w:rsid w:val="327BBB98"/>
    <w:rsid w:val="327DDEA4"/>
    <w:rsid w:val="327F4A02"/>
    <w:rsid w:val="3284896A"/>
    <w:rsid w:val="3289696E"/>
    <w:rsid w:val="3294E269"/>
    <w:rsid w:val="329D5FF5"/>
    <w:rsid w:val="329E29F7"/>
    <w:rsid w:val="32A20306"/>
    <w:rsid w:val="32A7CABD"/>
    <w:rsid w:val="32B327F4"/>
    <w:rsid w:val="32B34383"/>
    <w:rsid w:val="32BD3C32"/>
    <w:rsid w:val="32C2490F"/>
    <w:rsid w:val="32C67294"/>
    <w:rsid w:val="32C7D7A6"/>
    <w:rsid w:val="32E837D4"/>
    <w:rsid w:val="32EC0847"/>
    <w:rsid w:val="3306B73D"/>
    <w:rsid w:val="3325E076"/>
    <w:rsid w:val="33261B79"/>
    <w:rsid w:val="333F0D56"/>
    <w:rsid w:val="3363036E"/>
    <w:rsid w:val="3364FE23"/>
    <w:rsid w:val="336FFAA3"/>
    <w:rsid w:val="33915266"/>
    <w:rsid w:val="33958D97"/>
    <w:rsid w:val="3397EC5E"/>
    <w:rsid w:val="33AB7DC9"/>
    <w:rsid w:val="33BE94DE"/>
    <w:rsid w:val="33C8C09E"/>
    <w:rsid w:val="33D6E5CE"/>
    <w:rsid w:val="33DB40C2"/>
    <w:rsid w:val="33EA2EAA"/>
    <w:rsid w:val="33EE9A06"/>
    <w:rsid w:val="33F26F95"/>
    <w:rsid w:val="34156974"/>
    <w:rsid w:val="341C434A"/>
    <w:rsid w:val="3421CD6F"/>
    <w:rsid w:val="342539CF"/>
    <w:rsid w:val="3431F9BC"/>
    <w:rsid w:val="34422398"/>
    <w:rsid w:val="344932A2"/>
    <w:rsid w:val="344AB182"/>
    <w:rsid w:val="3473B4FD"/>
    <w:rsid w:val="347717E9"/>
    <w:rsid w:val="347CCA6B"/>
    <w:rsid w:val="34833E97"/>
    <w:rsid w:val="3492676A"/>
    <w:rsid w:val="34A35BCD"/>
    <w:rsid w:val="34B8ACC6"/>
    <w:rsid w:val="34BEE7B1"/>
    <w:rsid w:val="34D51A09"/>
    <w:rsid w:val="34F7BA6B"/>
    <w:rsid w:val="34FCC3D3"/>
    <w:rsid w:val="34FD5254"/>
    <w:rsid w:val="35010F26"/>
    <w:rsid w:val="35136943"/>
    <w:rsid w:val="3513B16D"/>
    <w:rsid w:val="351F752B"/>
    <w:rsid w:val="35235ED5"/>
    <w:rsid w:val="3557B3AF"/>
    <w:rsid w:val="356646F2"/>
    <w:rsid w:val="356696E3"/>
    <w:rsid w:val="3574045C"/>
    <w:rsid w:val="357F63AF"/>
    <w:rsid w:val="3593335E"/>
    <w:rsid w:val="3593AB29"/>
    <w:rsid w:val="3593DDB7"/>
    <w:rsid w:val="35A4E600"/>
    <w:rsid w:val="35D3E4D7"/>
    <w:rsid w:val="35D83A8D"/>
    <w:rsid w:val="35EC4F4F"/>
    <w:rsid w:val="35F18898"/>
    <w:rsid w:val="35F1A7B1"/>
    <w:rsid w:val="35F86B23"/>
    <w:rsid w:val="360E477A"/>
    <w:rsid w:val="361032D2"/>
    <w:rsid w:val="36115DDD"/>
    <w:rsid w:val="3618A561"/>
    <w:rsid w:val="3625E040"/>
    <w:rsid w:val="362BAC00"/>
    <w:rsid w:val="362F1911"/>
    <w:rsid w:val="363D0A3C"/>
    <w:rsid w:val="364335FC"/>
    <w:rsid w:val="3643DCD4"/>
    <w:rsid w:val="36521E6D"/>
    <w:rsid w:val="36626717"/>
    <w:rsid w:val="366631E4"/>
    <w:rsid w:val="3668BF43"/>
    <w:rsid w:val="367ABA03"/>
    <w:rsid w:val="36855C35"/>
    <w:rsid w:val="3686B4B1"/>
    <w:rsid w:val="36890ADF"/>
    <w:rsid w:val="368B2ADF"/>
    <w:rsid w:val="3690A960"/>
    <w:rsid w:val="369E9583"/>
    <w:rsid w:val="36A72CE0"/>
    <w:rsid w:val="36AEBBD4"/>
    <w:rsid w:val="36B404C6"/>
    <w:rsid w:val="36C6E9E5"/>
    <w:rsid w:val="36C80455"/>
    <w:rsid w:val="36C9FCD7"/>
    <w:rsid w:val="36DBFDED"/>
    <w:rsid w:val="36E4E1B1"/>
    <w:rsid w:val="36EF54DB"/>
    <w:rsid w:val="3700FC3C"/>
    <w:rsid w:val="37013757"/>
    <w:rsid w:val="3702CF68"/>
    <w:rsid w:val="37062045"/>
    <w:rsid w:val="3708860B"/>
    <w:rsid w:val="370A8E3D"/>
    <w:rsid w:val="370CF295"/>
    <w:rsid w:val="372A7868"/>
    <w:rsid w:val="37361901"/>
    <w:rsid w:val="3740CB56"/>
    <w:rsid w:val="374B9FBA"/>
    <w:rsid w:val="374EACB4"/>
    <w:rsid w:val="37521915"/>
    <w:rsid w:val="375844C6"/>
    <w:rsid w:val="3765C758"/>
    <w:rsid w:val="37694BA8"/>
    <w:rsid w:val="376CA294"/>
    <w:rsid w:val="3781975B"/>
    <w:rsid w:val="3781B480"/>
    <w:rsid w:val="37834C7A"/>
    <w:rsid w:val="3794B1DE"/>
    <w:rsid w:val="379A940F"/>
    <w:rsid w:val="379B48DD"/>
    <w:rsid w:val="379C35A5"/>
    <w:rsid w:val="37A1946E"/>
    <w:rsid w:val="37A2810F"/>
    <w:rsid w:val="37B0C714"/>
    <w:rsid w:val="37B511C9"/>
    <w:rsid w:val="37BB20A9"/>
    <w:rsid w:val="37C5F362"/>
    <w:rsid w:val="37C69081"/>
    <w:rsid w:val="37D4657A"/>
    <w:rsid w:val="37D55281"/>
    <w:rsid w:val="37D8FF39"/>
    <w:rsid w:val="37E17FAF"/>
    <w:rsid w:val="37ED87F6"/>
    <w:rsid w:val="37F0C5B8"/>
    <w:rsid w:val="3813FBE4"/>
    <w:rsid w:val="381BDE76"/>
    <w:rsid w:val="382BDE03"/>
    <w:rsid w:val="382C82CC"/>
    <w:rsid w:val="383C04BE"/>
    <w:rsid w:val="3844EADD"/>
    <w:rsid w:val="384B308A"/>
    <w:rsid w:val="38771856"/>
    <w:rsid w:val="3885BD84"/>
    <w:rsid w:val="3887D299"/>
    <w:rsid w:val="38896902"/>
    <w:rsid w:val="38A278FB"/>
    <w:rsid w:val="38A3B0A9"/>
    <w:rsid w:val="38ADA225"/>
    <w:rsid w:val="38B49D61"/>
    <w:rsid w:val="38BD8B69"/>
    <w:rsid w:val="38D0A989"/>
    <w:rsid w:val="38D42DEB"/>
    <w:rsid w:val="38D51A3A"/>
    <w:rsid w:val="38DC8EF1"/>
    <w:rsid w:val="38E63C99"/>
    <w:rsid w:val="38E82C89"/>
    <w:rsid w:val="38FD70A8"/>
    <w:rsid w:val="3909B5DF"/>
    <w:rsid w:val="390D0F14"/>
    <w:rsid w:val="39108A2B"/>
    <w:rsid w:val="391DDA35"/>
    <w:rsid w:val="39253748"/>
    <w:rsid w:val="392A896C"/>
    <w:rsid w:val="392C3625"/>
    <w:rsid w:val="39366F35"/>
    <w:rsid w:val="393895C4"/>
    <w:rsid w:val="3939EED7"/>
    <w:rsid w:val="393CD89B"/>
    <w:rsid w:val="393D2280"/>
    <w:rsid w:val="394E7D2D"/>
    <w:rsid w:val="39699471"/>
    <w:rsid w:val="397282F1"/>
    <w:rsid w:val="3988FFC9"/>
    <w:rsid w:val="398FD550"/>
    <w:rsid w:val="39A01408"/>
    <w:rsid w:val="39B40FA5"/>
    <w:rsid w:val="39B52166"/>
    <w:rsid w:val="39C460D2"/>
    <w:rsid w:val="39C50AF5"/>
    <w:rsid w:val="39D9E36F"/>
    <w:rsid w:val="39E3DC07"/>
    <w:rsid w:val="39F40028"/>
    <w:rsid w:val="39F50E23"/>
    <w:rsid w:val="39FA29EE"/>
    <w:rsid w:val="3A2A1752"/>
    <w:rsid w:val="3A317366"/>
    <w:rsid w:val="3A32469A"/>
    <w:rsid w:val="3A36914A"/>
    <w:rsid w:val="3A37EF5B"/>
    <w:rsid w:val="3A43086F"/>
    <w:rsid w:val="3A4E816E"/>
    <w:rsid w:val="3A506ACC"/>
    <w:rsid w:val="3A58792C"/>
    <w:rsid w:val="3A58EB4D"/>
    <w:rsid w:val="3A6521DD"/>
    <w:rsid w:val="3A65C56E"/>
    <w:rsid w:val="3A7A7A1D"/>
    <w:rsid w:val="3A7E761B"/>
    <w:rsid w:val="3A9AA877"/>
    <w:rsid w:val="3ACB7DE1"/>
    <w:rsid w:val="3ACE9E64"/>
    <w:rsid w:val="3AD2769A"/>
    <w:rsid w:val="3AD7E11D"/>
    <w:rsid w:val="3ADF4388"/>
    <w:rsid w:val="3ADF8B85"/>
    <w:rsid w:val="3AEB917B"/>
    <w:rsid w:val="3AF3C6A5"/>
    <w:rsid w:val="3AF42A3E"/>
    <w:rsid w:val="3B10DA96"/>
    <w:rsid w:val="3B2454D2"/>
    <w:rsid w:val="3B24F0ED"/>
    <w:rsid w:val="3B2A5ED5"/>
    <w:rsid w:val="3B2E7F81"/>
    <w:rsid w:val="3B2F4283"/>
    <w:rsid w:val="3B30E138"/>
    <w:rsid w:val="3B3CF832"/>
    <w:rsid w:val="3B48E513"/>
    <w:rsid w:val="3B54EB62"/>
    <w:rsid w:val="3B57DFEE"/>
    <w:rsid w:val="3B606CB4"/>
    <w:rsid w:val="3B716E61"/>
    <w:rsid w:val="3B7222E3"/>
    <w:rsid w:val="3B7484E0"/>
    <w:rsid w:val="3B7BC379"/>
    <w:rsid w:val="3B83FDF7"/>
    <w:rsid w:val="3B85A8D9"/>
    <w:rsid w:val="3BB491E6"/>
    <w:rsid w:val="3BB6FDB1"/>
    <w:rsid w:val="3BC31A3A"/>
    <w:rsid w:val="3BC9047F"/>
    <w:rsid w:val="3BCE169A"/>
    <w:rsid w:val="3BD2842F"/>
    <w:rsid w:val="3BDC7AF0"/>
    <w:rsid w:val="3BEC865D"/>
    <w:rsid w:val="3BEDB5C7"/>
    <w:rsid w:val="3BF25FDC"/>
    <w:rsid w:val="3BFEA077"/>
    <w:rsid w:val="3BFEAAEB"/>
    <w:rsid w:val="3C048960"/>
    <w:rsid w:val="3C082194"/>
    <w:rsid w:val="3C0A8986"/>
    <w:rsid w:val="3C0D9494"/>
    <w:rsid w:val="3C152D40"/>
    <w:rsid w:val="3C336189"/>
    <w:rsid w:val="3C3AB8CB"/>
    <w:rsid w:val="3C4044F4"/>
    <w:rsid w:val="3C459D54"/>
    <w:rsid w:val="3C49444E"/>
    <w:rsid w:val="3C7271EC"/>
    <w:rsid w:val="3C728B7F"/>
    <w:rsid w:val="3C7410E9"/>
    <w:rsid w:val="3C83C244"/>
    <w:rsid w:val="3C83F857"/>
    <w:rsid w:val="3C8761DC"/>
    <w:rsid w:val="3C98557B"/>
    <w:rsid w:val="3C9D94B6"/>
    <w:rsid w:val="3C9EB8F6"/>
    <w:rsid w:val="3CA80AE3"/>
    <w:rsid w:val="3CC90035"/>
    <w:rsid w:val="3CDC389E"/>
    <w:rsid w:val="3CDD17A8"/>
    <w:rsid w:val="3CE54AEC"/>
    <w:rsid w:val="3CEF3FEF"/>
    <w:rsid w:val="3CF35FDC"/>
    <w:rsid w:val="3CF86B14"/>
    <w:rsid w:val="3D10989C"/>
    <w:rsid w:val="3D1A3808"/>
    <w:rsid w:val="3D2D54CE"/>
    <w:rsid w:val="3D360B09"/>
    <w:rsid w:val="3D39E8C8"/>
    <w:rsid w:val="3D44A4B4"/>
    <w:rsid w:val="3D47CF79"/>
    <w:rsid w:val="3D5DD43F"/>
    <w:rsid w:val="3D63954F"/>
    <w:rsid w:val="3D7CD217"/>
    <w:rsid w:val="3D85D0F0"/>
    <w:rsid w:val="3D9C8D0C"/>
    <w:rsid w:val="3DA772AC"/>
    <w:rsid w:val="3DA93D4B"/>
    <w:rsid w:val="3DAA1818"/>
    <w:rsid w:val="3DB1BBEF"/>
    <w:rsid w:val="3DBF1128"/>
    <w:rsid w:val="3DC24456"/>
    <w:rsid w:val="3DD13B13"/>
    <w:rsid w:val="3DE2880F"/>
    <w:rsid w:val="3DE7F51E"/>
    <w:rsid w:val="3DF90CB7"/>
    <w:rsid w:val="3E0018BE"/>
    <w:rsid w:val="3E2CFDCB"/>
    <w:rsid w:val="3E30CA48"/>
    <w:rsid w:val="3E3884FD"/>
    <w:rsid w:val="3E45739E"/>
    <w:rsid w:val="3E6F59E5"/>
    <w:rsid w:val="3E752A41"/>
    <w:rsid w:val="3E7B4EAC"/>
    <w:rsid w:val="3E8DAC46"/>
    <w:rsid w:val="3E957DD9"/>
    <w:rsid w:val="3E9D8C28"/>
    <w:rsid w:val="3EA0AF2D"/>
    <w:rsid w:val="3EA180A2"/>
    <w:rsid w:val="3EB44B79"/>
    <w:rsid w:val="3EB9552F"/>
    <w:rsid w:val="3EBB6EB6"/>
    <w:rsid w:val="3EC68701"/>
    <w:rsid w:val="3EC85E87"/>
    <w:rsid w:val="3ECE8D4B"/>
    <w:rsid w:val="3ED8477D"/>
    <w:rsid w:val="3EDF0318"/>
    <w:rsid w:val="3EE1E505"/>
    <w:rsid w:val="3EEB1894"/>
    <w:rsid w:val="3EF2157C"/>
    <w:rsid w:val="3EF945DA"/>
    <w:rsid w:val="3EFC3805"/>
    <w:rsid w:val="3EFD762F"/>
    <w:rsid w:val="3EFF4235"/>
    <w:rsid w:val="3F008A2E"/>
    <w:rsid w:val="3F07D75E"/>
    <w:rsid w:val="3F1437B3"/>
    <w:rsid w:val="3F1CE9D4"/>
    <w:rsid w:val="3F3B0B14"/>
    <w:rsid w:val="3F3DC192"/>
    <w:rsid w:val="3F447333"/>
    <w:rsid w:val="3F4EDCFD"/>
    <w:rsid w:val="3F4FCC55"/>
    <w:rsid w:val="3F5D3FD6"/>
    <w:rsid w:val="3F663E25"/>
    <w:rsid w:val="3F6CC46B"/>
    <w:rsid w:val="3F8F423F"/>
    <w:rsid w:val="3F980E14"/>
    <w:rsid w:val="3FA08E54"/>
    <w:rsid w:val="3FA53183"/>
    <w:rsid w:val="3FACF33E"/>
    <w:rsid w:val="3FBE4326"/>
    <w:rsid w:val="3FC71F83"/>
    <w:rsid w:val="3FDDFCA5"/>
    <w:rsid w:val="3FDECEF9"/>
    <w:rsid w:val="3FE17ADF"/>
    <w:rsid w:val="3FE23636"/>
    <w:rsid w:val="3FE31122"/>
    <w:rsid w:val="3FF37104"/>
    <w:rsid w:val="3FFE0190"/>
    <w:rsid w:val="4002E677"/>
    <w:rsid w:val="4007ED2B"/>
    <w:rsid w:val="4009310D"/>
    <w:rsid w:val="401E1C79"/>
    <w:rsid w:val="4031C461"/>
    <w:rsid w:val="403B3DCA"/>
    <w:rsid w:val="404D521F"/>
    <w:rsid w:val="4069C810"/>
    <w:rsid w:val="4072BF8F"/>
    <w:rsid w:val="407C5523"/>
    <w:rsid w:val="408496A8"/>
    <w:rsid w:val="408B9707"/>
    <w:rsid w:val="40A3CE4A"/>
    <w:rsid w:val="40AF4FF1"/>
    <w:rsid w:val="40B5D296"/>
    <w:rsid w:val="40B5D7E7"/>
    <w:rsid w:val="40BCDAB4"/>
    <w:rsid w:val="40D28AF3"/>
    <w:rsid w:val="40F106CC"/>
    <w:rsid w:val="40F52A0C"/>
    <w:rsid w:val="40FB34CB"/>
    <w:rsid w:val="4110C52C"/>
    <w:rsid w:val="411154EF"/>
    <w:rsid w:val="4114DD7A"/>
    <w:rsid w:val="4114F3A5"/>
    <w:rsid w:val="4122DCA3"/>
    <w:rsid w:val="4127362E"/>
    <w:rsid w:val="4150999E"/>
    <w:rsid w:val="4168B678"/>
    <w:rsid w:val="418737C5"/>
    <w:rsid w:val="418FB9F5"/>
    <w:rsid w:val="419626BC"/>
    <w:rsid w:val="4196485F"/>
    <w:rsid w:val="41A2FC92"/>
    <w:rsid w:val="41A5FE88"/>
    <w:rsid w:val="41AC577C"/>
    <w:rsid w:val="41B2A942"/>
    <w:rsid w:val="41CB53EE"/>
    <w:rsid w:val="41D9BFDD"/>
    <w:rsid w:val="41F9CB40"/>
    <w:rsid w:val="41FDDAAA"/>
    <w:rsid w:val="42042F4E"/>
    <w:rsid w:val="4204AEDB"/>
    <w:rsid w:val="42064EEB"/>
    <w:rsid w:val="4206CB8C"/>
    <w:rsid w:val="420999C0"/>
    <w:rsid w:val="4211871F"/>
    <w:rsid w:val="422699E6"/>
    <w:rsid w:val="424E1C3C"/>
    <w:rsid w:val="426C3688"/>
    <w:rsid w:val="42718E91"/>
    <w:rsid w:val="427247E8"/>
    <w:rsid w:val="428A404E"/>
    <w:rsid w:val="4295453F"/>
    <w:rsid w:val="42A77ABE"/>
    <w:rsid w:val="42C24A3D"/>
    <w:rsid w:val="42DBD608"/>
    <w:rsid w:val="42E5B503"/>
    <w:rsid w:val="42E78770"/>
    <w:rsid w:val="42FE0E9B"/>
    <w:rsid w:val="43011923"/>
    <w:rsid w:val="43022456"/>
    <w:rsid w:val="430B8FD4"/>
    <w:rsid w:val="431B7175"/>
    <w:rsid w:val="431CC848"/>
    <w:rsid w:val="4334F12E"/>
    <w:rsid w:val="43365824"/>
    <w:rsid w:val="4347EA8D"/>
    <w:rsid w:val="435801EE"/>
    <w:rsid w:val="43657EEC"/>
    <w:rsid w:val="436A3C4E"/>
    <w:rsid w:val="436DEAED"/>
    <w:rsid w:val="4383693A"/>
    <w:rsid w:val="43A1D3B7"/>
    <w:rsid w:val="43A42847"/>
    <w:rsid w:val="43BE4316"/>
    <w:rsid w:val="43D34D0D"/>
    <w:rsid w:val="43D78B92"/>
    <w:rsid w:val="43FDF07A"/>
    <w:rsid w:val="44105C72"/>
    <w:rsid w:val="443382A6"/>
    <w:rsid w:val="4454FF8A"/>
    <w:rsid w:val="4456E808"/>
    <w:rsid w:val="445FCFEB"/>
    <w:rsid w:val="4460C657"/>
    <w:rsid w:val="44627696"/>
    <w:rsid w:val="44631995"/>
    <w:rsid w:val="447F956E"/>
    <w:rsid w:val="4485DDE1"/>
    <w:rsid w:val="448F9892"/>
    <w:rsid w:val="449273C1"/>
    <w:rsid w:val="44988A12"/>
    <w:rsid w:val="44B44462"/>
    <w:rsid w:val="44DBDB68"/>
    <w:rsid w:val="44EB4D51"/>
    <w:rsid w:val="4517B7E2"/>
    <w:rsid w:val="451810C5"/>
    <w:rsid w:val="452EBE94"/>
    <w:rsid w:val="45308373"/>
    <w:rsid w:val="4546DBCC"/>
    <w:rsid w:val="4559D5D0"/>
    <w:rsid w:val="455C5401"/>
    <w:rsid w:val="457EB34F"/>
    <w:rsid w:val="45833F84"/>
    <w:rsid w:val="45841921"/>
    <w:rsid w:val="458AD1C4"/>
    <w:rsid w:val="45A2617E"/>
    <w:rsid w:val="45BAA837"/>
    <w:rsid w:val="45BDE0D1"/>
    <w:rsid w:val="45CEA225"/>
    <w:rsid w:val="45EEE618"/>
    <w:rsid w:val="46055088"/>
    <w:rsid w:val="46112D64"/>
    <w:rsid w:val="461DB1A9"/>
    <w:rsid w:val="4621DF8E"/>
    <w:rsid w:val="4628C9F1"/>
    <w:rsid w:val="462A3612"/>
    <w:rsid w:val="462F9A4D"/>
    <w:rsid w:val="463B1FB9"/>
    <w:rsid w:val="464EFC84"/>
    <w:rsid w:val="4658A5C3"/>
    <w:rsid w:val="465BFD76"/>
    <w:rsid w:val="466ACB12"/>
    <w:rsid w:val="467F32CC"/>
    <w:rsid w:val="46866CAA"/>
    <w:rsid w:val="46907236"/>
    <w:rsid w:val="46969458"/>
    <w:rsid w:val="469B703A"/>
    <w:rsid w:val="469E7FA7"/>
    <w:rsid w:val="469F4E7E"/>
    <w:rsid w:val="46BD879F"/>
    <w:rsid w:val="46C5B7F2"/>
    <w:rsid w:val="46E5871A"/>
    <w:rsid w:val="46FF7BB2"/>
    <w:rsid w:val="470A2982"/>
    <w:rsid w:val="471602F5"/>
    <w:rsid w:val="4719DB16"/>
    <w:rsid w:val="4726B57B"/>
    <w:rsid w:val="473D8713"/>
    <w:rsid w:val="473DB7C8"/>
    <w:rsid w:val="473F3802"/>
    <w:rsid w:val="4746F8EF"/>
    <w:rsid w:val="475121CC"/>
    <w:rsid w:val="475CCEC5"/>
    <w:rsid w:val="475CF62B"/>
    <w:rsid w:val="476B96B0"/>
    <w:rsid w:val="476E3ADD"/>
    <w:rsid w:val="4772FE5B"/>
    <w:rsid w:val="477FA363"/>
    <w:rsid w:val="4798F0B7"/>
    <w:rsid w:val="47998E9F"/>
    <w:rsid w:val="47A7F54B"/>
    <w:rsid w:val="47AF19AA"/>
    <w:rsid w:val="47B6DE71"/>
    <w:rsid w:val="47C2E6BD"/>
    <w:rsid w:val="47C35233"/>
    <w:rsid w:val="47C5E427"/>
    <w:rsid w:val="47C5ECE5"/>
    <w:rsid w:val="47FA2663"/>
    <w:rsid w:val="4811C064"/>
    <w:rsid w:val="481FA824"/>
    <w:rsid w:val="483010D0"/>
    <w:rsid w:val="483A82D9"/>
    <w:rsid w:val="4844E4A2"/>
    <w:rsid w:val="48470655"/>
    <w:rsid w:val="48489682"/>
    <w:rsid w:val="484CAE6E"/>
    <w:rsid w:val="485AF056"/>
    <w:rsid w:val="486A60D6"/>
    <w:rsid w:val="4874D145"/>
    <w:rsid w:val="487BCF9F"/>
    <w:rsid w:val="487F5555"/>
    <w:rsid w:val="4883A01C"/>
    <w:rsid w:val="48900CC1"/>
    <w:rsid w:val="48904B0F"/>
    <w:rsid w:val="48927526"/>
    <w:rsid w:val="48933FF5"/>
    <w:rsid w:val="48AAC9B2"/>
    <w:rsid w:val="48D9A602"/>
    <w:rsid w:val="48F140AD"/>
    <w:rsid w:val="48F5721F"/>
    <w:rsid w:val="48FCE76F"/>
    <w:rsid w:val="49081560"/>
    <w:rsid w:val="49203D28"/>
    <w:rsid w:val="493DA8E1"/>
    <w:rsid w:val="4944A46D"/>
    <w:rsid w:val="495D314C"/>
    <w:rsid w:val="49678DF0"/>
    <w:rsid w:val="498219B2"/>
    <w:rsid w:val="499CBF4B"/>
    <w:rsid w:val="49B42FB8"/>
    <w:rsid w:val="49C4A019"/>
    <w:rsid w:val="49D3AE48"/>
    <w:rsid w:val="49D54B0A"/>
    <w:rsid w:val="49F0231E"/>
    <w:rsid w:val="4A0ABE77"/>
    <w:rsid w:val="4A0CE8B7"/>
    <w:rsid w:val="4A1340FC"/>
    <w:rsid w:val="4A3D0D4E"/>
    <w:rsid w:val="4A533A1D"/>
    <w:rsid w:val="4A561503"/>
    <w:rsid w:val="4A597E98"/>
    <w:rsid w:val="4A664487"/>
    <w:rsid w:val="4A7A47DE"/>
    <w:rsid w:val="4A867B1B"/>
    <w:rsid w:val="4A876AF7"/>
    <w:rsid w:val="4A8A8B3A"/>
    <w:rsid w:val="4A992495"/>
    <w:rsid w:val="4A996446"/>
    <w:rsid w:val="4AA6AA3E"/>
    <w:rsid w:val="4AB7211B"/>
    <w:rsid w:val="4AD7C79E"/>
    <w:rsid w:val="4AF8D5F8"/>
    <w:rsid w:val="4AFA140C"/>
    <w:rsid w:val="4AFDDE72"/>
    <w:rsid w:val="4B0FA86B"/>
    <w:rsid w:val="4B11F186"/>
    <w:rsid w:val="4B126071"/>
    <w:rsid w:val="4B1C5C2E"/>
    <w:rsid w:val="4B1D005C"/>
    <w:rsid w:val="4B287E14"/>
    <w:rsid w:val="4B32FD40"/>
    <w:rsid w:val="4B3982D7"/>
    <w:rsid w:val="4B3B721F"/>
    <w:rsid w:val="4B3E4F6C"/>
    <w:rsid w:val="4B401DF8"/>
    <w:rsid w:val="4B4A0282"/>
    <w:rsid w:val="4B4FA5C4"/>
    <w:rsid w:val="4B526F79"/>
    <w:rsid w:val="4B6579E0"/>
    <w:rsid w:val="4B6D20CD"/>
    <w:rsid w:val="4B7167B0"/>
    <w:rsid w:val="4B7DFEA0"/>
    <w:rsid w:val="4B852396"/>
    <w:rsid w:val="4B972C69"/>
    <w:rsid w:val="4BD02761"/>
    <w:rsid w:val="4BE24E31"/>
    <w:rsid w:val="4BF09B88"/>
    <w:rsid w:val="4BF683A9"/>
    <w:rsid w:val="4BF81D63"/>
    <w:rsid w:val="4BFE94CC"/>
    <w:rsid w:val="4C0024D3"/>
    <w:rsid w:val="4C04DF17"/>
    <w:rsid w:val="4C0A3BAA"/>
    <w:rsid w:val="4C0F54CF"/>
    <w:rsid w:val="4C13E40F"/>
    <w:rsid w:val="4C1EB98C"/>
    <w:rsid w:val="4C331853"/>
    <w:rsid w:val="4C44DE86"/>
    <w:rsid w:val="4C44F3FE"/>
    <w:rsid w:val="4C5BDC57"/>
    <w:rsid w:val="4C60E905"/>
    <w:rsid w:val="4C671BD6"/>
    <w:rsid w:val="4C6941BF"/>
    <w:rsid w:val="4C6BE6EC"/>
    <w:rsid w:val="4C724C15"/>
    <w:rsid w:val="4C746248"/>
    <w:rsid w:val="4C812D52"/>
    <w:rsid w:val="4CA53DE4"/>
    <w:rsid w:val="4CAE2C96"/>
    <w:rsid w:val="4CBEA508"/>
    <w:rsid w:val="4CE3A342"/>
    <w:rsid w:val="4CEE4E38"/>
    <w:rsid w:val="4D23108E"/>
    <w:rsid w:val="4D3AE18B"/>
    <w:rsid w:val="4D3C63AA"/>
    <w:rsid w:val="4D44CB72"/>
    <w:rsid w:val="4D44FB32"/>
    <w:rsid w:val="4D480E6A"/>
    <w:rsid w:val="4D49B48B"/>
    <w:rsid w:val="4D4B58EB"/>
    <w:rsid w:val="4D4DA561"/>
    <w:rsid w:val="4D6CB7C7"/>
    <w:rsid w:val="4D6FA954"/>
    <w:rsid w:val="4D7D4EF3"/>
    <w:rsid w:val="4DA7ABF8"/>
    <w:rsid w:val="4DB4842E"/>
    <w:rsid w:val="4DB9696B"/>
    <w:rsid w:val="4DBE8001"/>
    <w:rsid w:val="4DC0F674"/>
    <w:rsid w:val="4DD1082A"/>
    <w:rsid w:val="4DE2A2F1"/>
    <w:rsid w:val="4DE9B925"/>
    <w:rsid w:val="4DEB3EC1"/>
    <w:rsid w:val="4DF03607"/>
    <w:rsid w:val="4DF28B34"/>
    <w:rsid w:val="4E35B33B"/>
    <w:rsid w:val="4E398A02"/>
    <w:rsid w:val="4E46D0BC"/>
    <w:rsid w:val="4E532DFC"/>
    <w:rsid w:val="4E545BE5"/>
    <w:rsid w:val="4E60B318"/>
    <w:rsid w:val="4E659CE1"/>
    <w:rsid w:val="4E6D61EF"/>
    <w:rsid w:val="4E7C3E70"/>
    <w:rsid w:val="4E7D0B82"/>
    <w:rsid w:val="4E83EDE7"/>
    <w:rsid w:val="4E86E36D"/>
    <w:rsid w:val="4E8D9E35"/>
    <w:rsid w:val="4E906AAE"/>
    <w:rsid w:val="4E9FDDD0"/>
    <w:rsid w:val="4EB2011A"/>
    <w:rsid w:val="4EBC096F"/>
    <w:rsid w:val="4ECB11C5"/>
    <w:rsid w:val="4EE90EF2"/>
    <w:rsid w:val="4EF6C278"/>
    <w:rsid w:val="4EFE07A6"/>
    <w:rsid w:val="4F00E745"/>
    <w:rsid w:val="4F02E143"/>
    <w:rsid w:val="4F0B057C"/>
    <w:rsid w:val="4F1B13CD"/>
    <w:rsid w:val="4F1E3D0F"/>
    <w:rsid w:val="4F23CCB8"/>
    <w:rsid w:val="4F27AD95"/>
    <w:rsid w:val="4F28020D"/>
    <w:rsid w:val="4F29A804"/>
    <w:rsid w:val="4F30256B"/>
    <w:rsid w:val="4F32B688"/>
    <w:rsid w:val="4F35F40F"/>
    <w:rsid w:val="4F468EAB"/>
    <w:rsid w:val="4F495C26"/>
    <w:rsid w:val="4F4BA5C7"/>
    <w:rsid w:val="4F4DB2FB"/>
    <w:rsid w:val="4F584EC8"/>
    <w:rsid w:val="4F645E70"/>
    <w:rsid w:val="4F6EB373"/>
    <w:rsid w:val="4F702874"/>
    <w:rsid w:val="4F73CD83"/>
    <w:rsid w:val="4F7EDDAB"/>
    <w:rsid w:val="4F802ABD"/>
    <w:rsid w:val="4FA8A302"/>
    <w:rsid w:val="4FAC8D15"/>
    <w:rsid w:val="4FB722D9"/>
    <w:rsid w:val="4FC4CAA5"/>
    <w:rsid w:val="4FCDC2C5"/>
    <w:rsid w:val="4FDE5758"/>
    <w:rsid w:val="4FE67225"/>
    <w:rsid w:val="4FEF53E3"/>
    <w:rsid w:val="4FF790B2"/>
    <w:rsid w:val="5005EB26"/>
    <w:rsid w:val="502196BC"/>
    <w:rsid w:val="5022394E"/>
    <w:rsid w:val="502BC5F1"/>
    <w:rsid w:val="5032DD94"/>
    <w:rsid w:val="50500207"/>
    <w:rsid w:val="5065A3A1"/>
    <w:rsid w:val="5070FB23"/>
    <w:rsid w:val="507BA5D3"/>
    <w:rsid w:val="50814F4D"/>
    <w:rsid w:val="5081D843"/>
    <w:rsid w:val="5088213C"/>
    <w:rsid w:val="508D848E"/>
    <w:rsid w:val="5097E411"/>
    <w:rsid w:val="509D3FFD"/>
    <w:rsid w:val="50ADE73D"/>
    <w:rsid w:val="50AFC0FE"/>
    <w:rsid w:val="50B10E99"/>
    <w:rsid w:val="50BE1F90"/>
    <w:rsid w:val="50C05606"/>
    <w:rsid w:val="50CEDA8C"/>
    <w:rsid w:val="50D8B4DC"/>
    <w:rsid w:val="50DFC68D"/>
    <w:rsid w:val="50E39C50"/>
    <w:rsid w:val="50FB8769"/>
    <w:rsid w:val="50FC959A"/>
    <w:rsid w:val="5100E43E"/>
    <w:rsid w:val="51079C34"/>
    <w:rsid w:val="510EE404"/>
    <w:rsid w:val="5119E995"/>
    <w:rsid w:val="511A9630"/>
    <w:rsid w:val="5122F112"/>
    <w:rsid w:val="512957F7"/>
    <w:rsid w:val="51424E5D"/>
    <w:rsid w:val="51641EC3"/>
    <w:rsid w:val="516A5F24"/>
    <w:rsid w:val="5189ABEF"/>
    <w:rsid w:val="5196B65A"/>
    <w:rsid w:val="51BC0145"/>
    <w:rsid w:val="51C41E67"/>
    <w:rsid w:val="51CBB430"/>
    <w:rsid w:val="51D153DD"/>
    <w:rsid w:val="51DE7E25"/>
    <w:rsid w:val="51E4DB9F"/>
    <w:rsid w:val="51F0341E"/>
    <w:rsid w:val="52016B50"/>
    <w:rsid w:val="520776DE"/>
    <w:rsid w:val="52160770"/>
    <w:rsid w:val="5221D98B"/>
    <w:rsid w:val="5229A61A"/>
    <w:rsid w:val="52319508"/>
    <w:rsid w:val="52355565"/>
    <w:rsid w:val="52364CFD"/>
    <w:rsid w:val="523B6E81"/>
    <w:rsid w:val="523FB9AB"/>
    <w:rsid w:val="524042DD"/>
    <w:rsid w:val="524C793A"/>
    <w:rsid w:val="525B0DF4"/>
    <w:rsid w:val="5261DF08"/>
    <w:rsid w:val="5264B331"/>
    <w:rsid w:val="5270F006"/>
    <w:rsid w:val="5275B679"/>
    <w:rsid w:val="52882025"/>
    <w:rsid w:val="52A1E342"/>
    <w:rsid w:val="52B30E60"/>
    <w:rsid w:val="52B6EDE2"/>
    <w:rsid w:val="52BE2CE5"/>
    <w:rsid w:val="52D5A397"/>
    <w:rsid w:val="52E2E802"/>
    <w:rsid w:val="52E79E91"/>
    <w:rsid w:val="52EDA9A1"/>
    <w:rsid w:val="52EF3E96"/>
    <w:rsid w:val="52F00EA0"/>
    <w:rsid w:val="52F218B2"/>
    <w:rsid w:val="52F21C1C"/>
    <w:rsid w:val="53048AE9"/>
    <w:rsid w:val="531ACC0A"/>
    <w:rsid w:val="532C9D17"/>
    <w:rsid w:val="532FEAE8"/>
    <w:rsid w:val="53403E8D"/>
    <w:rsid w:val="534725D2"/>
    <w:rsid w:val="53486847"/>
    <w:rsid w:val="534EC0B1"/>
    <w:rsid w:val="536311B8"/>
    <w:rsid w:val="53686B3A"/>
    <w:rsid w:val="536DC356"/>
    <w:rsid w:val="53757B83"/>
    <w:rsid w:val="537C14EE"/>
    <w:rsid w:val="5387921A"/>
    <w:rsid w:val="539F04BE"/>
    <w:rsid w:val="53A973F5"/>
    <w:rsid w:val="53B2852F"/>
    <w:rsid w:val="53BC70A2"/>
    <w:rsid w:val="53C55EFE"/>
    <w:rsid w:val="53D14A95"/>
    <w:rsid w:val="53E6C626"/>
    <w:rsid w:val="53EDD68E"/>
    <w:rsid w:val="53F4B6F8"/>
    <w:rsid w:val="53FB072C"/>
    <w:rsid w:val="53FECC48"/>
    <w:rsid w:val="5404DBB8"/>
    <w:rsid w:val="5406838B"/>
    <w:rsid w:val="540C539A"/>
    <w:rsid w:val="54106CC0"/>
    <w:rsid w:val="5415E7FE"/>
    <w:rsid w:val="541DE7FA"/>
    <w:rsid w:val="541FD765"/>
    <w:rsid w:val="542A7476"/>
    <w:rsid w:val="543380AE"/>
    <w:rsid w:val="543A8832"/>
    <w:rsid w:val="543C80BC"/>
    <w:rsid w:val="543FF987"/>
    <w:rsid w:val="54441146"/>
    <w:rsid w:val="54467AB4"/>
    <w:rsid w:val="544F1CAC"/>
    <w:rsid w:val="545B4CF3"/>
    <w:rsid w:val="5463C11E"/>
    <w:rsid w:val="5467C091"/>
    <w:rsid w:val="546BBD81"/>
    <w:rsid w:val="547810B3"/>
    <w:rsid w:val="547D164D"/>
    <w:rsid w:val="54815413"/>
    <w:rsid w:val="54963B40"/>
    <w:rsid w:val="54A10D30"/>
    <w:rsid w:val="54C682A4"/>
    <w:rsid w:val="54C8869F"/>
    <w:rsid w:val="54CB41A2"/>
    <w:rsid w:val="54DEC9EE"/>
    <w:rsid w:val="54F0D126"/>
    <w:rsid w:val="54F513E7"/>
    <w:rsid w:val="54F8AF93"/>
    <w:rsid w:val="54FD780F"/>
    <w:rsid w:val="54FD98E5"/>
    <w:rsid w:val="54FE49ED"/>
    <w:rsid w:val="54FF5B68"/>
    <w:rsid w:val="550369A2"/>
    <w:rsid w:val="55043C74"/>
    <w:rsid w:val="55177C8B"/>
    <w:rsid w:val="5526EA21"/>
    <w:rsid w:val="552C1BF9"/>
    <w:rsid w:val="553BF970"/>
    <w:rsid w:val="554710F0"/>
    <w:rsid w:val="5548DB8F"/>
    <w:rsid w:val="5549E7E6"/>
    <w:rsid w:val="556CF627"/>
    <w:rsid w:val="556E965A"/>
    <w:rsid w:val="557A3280"/>
    <w:rsid w:val="55BF296F"/>
    <w:rsid w:val="55C3EDD9"/>
    <w:rsid w:val="55C84742"/>
    <w:rsid w:val="55CE03DE"/>
    <w:rsid w:val="55E5FEC6"/>
    <w:rsid w:val="55E83A86"/>
    <w:rsid w:val="55ED05BA"/>
    <w:rsid w:val="55ED1CDB"/>
    <w:rsid w:val="55EF2673"/>
    <w:rsid w:val="55EF8094"/>
    <w:rsid w:val="55F347FD"/>
    <w:rsid w:val="560D5059"/>
    <w:rsid w:val="5616B596"/>
    <w:rsid w:val="562729BE"/>
    <w:rsid w:val="564AC9E6"/>
    <w:rsid w:val="5674A0CC"/>
    <w:rsid w:val="567FB8F2"/>
    <w:rsid w:val="568D72CF"/>
    <w:rsid w:val="568E0223"/>
    <w:rsid w:val="569199B5"/>
    <w:rsid w:val="569A5A3A"/>
    <w:rsid w:val="569E6591"/>
    <w:rsid w:val="56ADDFC0"/>
    <w:rsid w:val="56B23699"/>
    <w:rsid w:val="56C100D4"/>
    <w:rsid w:val="56CB17A5"/>
    <w:rsid w:val="56D24911"/>
    <w:rsid w:val="56D843AF"/>
    <w:rsid w:val="56F07EE5"/>
    <w:rsid w:val="56F4E193"/>
    <w:rsid w:val="5702FC6B"/>
    <w:rsid w:val="57074F9A"/>
    <w:rsid w:val="571F0282"/>
    <w:rsid w:val="572BC042"/>
    <w:rsid w:val="574B637C"/>
    <w:rsid w:val="57592874"/>
    <w:rsid w:val="575AE235"/>
    <w:rsid w:val="5768E41D"/>
    <w:rsid w:val="57778523"/>
    <w:rsid w:val="577AF920"/>
    <w:rsid w:val="57886526"/>
    <w:rsid w:val="57899369"/>
    <w:rsid w:val="578B50F5"/>
    <w:rsid w:val="5796D462"/>
    <w:rsid w:val="579C6DD7"/>
    <w:rsid w:val="57A6F0DC"/>
    <w:rsid w:val="57ADA828"/>
    <w:rsid w:val="57B16050"/>
    <w:rsid w:val="57B1ED30"/>
    <w:rsid w:val="57C08A79"/>
    <w:rsid w:val="57C5CB04"/>
    <w:rsid w:val="57D63A37"/>
    <w:rsid w:val="57FB820D"/>
    <w:rsid w:val="57FBD857"/>
    <w:rsid w:val="58155F2F"/>
    <w:rsid w:val="581D22E6"/>
    <w:rsid w:val="58230F0A"/>
    <w:rsid w:val="5825F2BF"/>
    <w:rsid w:val="5836A505"/>
    <w:rsid w:val="583AA31A"/>
    <w:rsid w:val="583AC852"/>
    <w:rsid w:val="5841A659"/>
    <w:rsid w:val="5844EAF9"/>
    <w:rsid w:val="5848DCF6"/>
    <w:rsid w:val="5849788B"/>
    <w:rsid w:val="584B070A"/>
    <w:rsid w:val="584F1D4D"/>
    <w:rsid w:val="585C0499"/>
    <w:rsid w:val="586A000D"/>
    <w:rsid w:val="587A07D7"/>
    <w:rsid w:val="587F970D"/>
    <w:rsid w:val="5887A134"/>
    <w:rsid w:val="58B4FD69"/>
    <w:rsid w:val="58C6EBD7"/>
    <w:rsid w:val="58D3439B"/>
    <w:rsid w:val="58DDAF8E"/>
    <w:rsid w:val="58EAAF98"/>
    <w:rsid w:val="58F6FC07"/>
    <w:rsid w:val="5902414E"/>
    <w:rsid w:val="59298CC1"/>
    <w:rsid w:val="592CE00C"/>
    <w:rsid w:val="5932E4B2"/>
    <w:rsid w:val="593CA9F8"/>
    <w:rsid w:val="59445660"/>
    <w:rsid w:val="594DD9C5"/>
    <w:rsid w:val="59636AD0"/>
    <w:rsid w:val="59791C76"/>
    <w:rsid w:val="59896DD7"/>
    <w:rsid w:val="59920766"/>
    <w:rsid w:val="59969D3A"/>
    <w:rsid w:val="59A9A63E"/>
    <w:rsid w:val="59B644F5"/>
    <w:rsid w:val="59C34478"/>
    <w:rsid w:val="59C7F198"/>
    <w:rsid w:val="59D4D794"/>
    <w:rsid w:val="59E65DE8"/>
    <w:rsid w:val="59EAB09C"/>
    <w:rsid w:val="59EC7CDF"/>
    <w:rsid w:val="59F8A196"/>
    <w:rsid w:val="5A029D9A"/>
    <w:rsid w:val="5A3F6BDC"/>
    <w:rsid w:val="5A4E1CCA"/>
    <w:rsid w:val="5A4F6563"/>
    <w:rsid w:val="5A50C615"/>
    <w:rsid w:val="5A551221"/>
    <w:rsid w:val="5A62C98C"/>
    <w:rsid w:val="5A640574"/>
    <w:rsid w:val="5A650E18"/>
    <w:rsid w:val="5A993520"/>
    <w:rsid w:val="5ABD7DD5"/>
    <w:rsid w:val="5AC272B2"/>
    <w:rsid w:val="5AC54BF4"/>
    <w:rsid w:val="5AD0094E"/>
    <w:rsid w:val="5ADAA32B"/>
    <w:rsid w:val="5ADC8AC2"/>
    <w:rsid w:val="5AF5D895"/>
    <w:rsid w:val="5AFACB13"/>
    <w:rsid w:val="5AFB57A0"/>
    <w:rsid w:val="5B00D9E0"/>
    <w:rsid w:val="5B09B7D1"/>
    <w:rsid w:val="5B0E9FBD"/>
    <w:rsid w:val="5B196047"/>
    <w:rsid w:val="5B2DB9CA"/>
    <w:rsid w:val="5B3320B1"/>
    <w:rsid w:val="5B33A936"/>
    <w:rsid w:val="5B56C0F4"/>
    <w:rsid w:val="5B6611EB"/>
    <w:rsid w:val="5B7F1CBA"/>
    <w:rsid w:val="5B9700E4"/>
    <w:rsid w:val="5B992B97"/>
    <w:rsid w:val="5BA0ABAF"/>
    <w:rsid w:val="5BAAF6D0"/>
    <w:rsid w:val="5BC62DA2"/>
    <w:rsid w:val="5BCBE211"/>
    <w:rsid w:val="5BCD7DCA"/>
    <w:rsid w:val="5BD38A0D"/>
    <w:rsid w:val="5BD7D38B"/>
    <w:rsid w:val="5BD90145"/>
    <w:rsid w:val="5BE1B819"/>
    <w:rsid w:val="5BE9BB55"/>
    <w:rsid w:val="5BF883CC"/>
    <w:rsid w:val="5C06FAE6"/>
    <w:rsid w:val="5C0ACC77"/>
    <w:rsid w:val="5C0FD763"/>
    <w:rsid w:val="5C166860"/>
    <w:rsid w:val="5C2A1E37"/>
    <w:rsid w:val="5C3EBE2B"/>
    <w:rsid w:val="5C430830"/>
    <w:rsid w:val="5C5251EC"/>
    <w:rsid w:val="5C557428"/>
    <w:rsid w:val="5C733B18"/>
    <w:rsid w:val="5C73743E"/>
    <w:rsid w:val="5C81CBD4"/>
    <w:rsid w:val="5C86949B"/>
    <w:rsid w:val="5C879B3C"/>
    <w:rsid w:val="5C9232CC"/>
    <w:rsid w:val="5C934BB2"/>
    <w:rsid w:val="5C93FDE4"/>
    <w:rsid w:val="5C96CD84"/>
    <w:rsid w:val="5C9AC1F9"/>
    <w:rsid w:val="5C9FC040"/>
    <w:rsid w:val="5CA55CB5"/>
    <w:rsid w:val="5CAB8479"/>
    <w:rsid w:val="5CB05212"/>
    <w:rsid w:val="5CB84F0E"/>
    <w:rsid w:val="5CCAB3C9"/>
    <w:rsid w:val="5CDF37B5"/>
    <w:rsid w:val="5CE0668C"/>
    <w:rsid w:val="5CE2E0C2"/>
    <w:rsid w:val="5CF17A1C"/>
    <w:rsid w:val="5CF95749"/>
    <w:rsid w:val="5D0F1406"/>
    <w:rsid w:val="5D14B2E1"/>
    <w:rsid w:val="5D15667C"/>
    <w:rsid w:val="5D289614"/>
    <w:rsid w:val="5D2932D2"/>
    <w:rsid w:val="5D3151BD"/>
    <w:rsid w:val="5D367114"/>
    <w:rsid w:val="5D3D4732"/>
    <w:rsid w:val="5D3FE8CF"/>
    <w:rsid w:val="5D45C56E"/>
    <w:rsid w:val="5D4E20DE"/>
    <w:rsid w:val="5D78AB1A"/>
    <w:rsid w:val="5D8C1B53"/>
    <w:rsid w:val="5D8D0D49"/>
    <w:rsid w:val="5D9D6F23"/>
    <w:rsid w:val="5D9DA943"/>
    <w:rsid w:val="5DA44B08"/>
    <w:rsid w:val="5DA9AAE7"/>
    <w:rsid w:val="5DBE9910"/>
    <w:rsid w:val="5DCBF5E1"/>
    <w:rsid w:val="5DDD5113"/>
    <w:rsid w:val="5DE547B0"/>
    <w:rsid w:val="5DEEE6A9"/>
    <w:rsid w:val="5E1AFC8C"/>
    <w:rsid w:val="5E23A78F"/>
    <w:rsid w:val="5E289C3A"/>
    <w:rsid w:val="5E3A85A7"/>
    <w:rsid w:val="5E3FD82A"/>
    <w:rsid w:val="5E411CFF"/>
    <w:rsid w:val="5E456FB3"/>
    <w:rsid w:val="5E50A92C"/>
    <w:rsid w:val="5E5AA29B"/>
    <w:rsid w:val="5E7308E2"/>
    <w:rsid w:val="5E7F7446"/>
    <w:rsid w:val="5E81588A"/>
    <w:rsid w:val="5E8A1A62"/>
    <w:rsid w:val="5E8E44DD"/>
    <w:rsid w:val="5E903D18"/>
    <w:rsid w:val="5E9B05A1"/>
    <w:rsid w:val="5E9BB249"/>
    <w:rsid w:val="5EA60EC2"/>
    <w:rsid w:val="5EB47BF4"/>
    <w:rsid w:val="5EC46BBB"/>
    <w:rsid w:val="5ECB9C36"/>
    <w:rsid w:val="5ED1130B"/>
    <w:rsid w:val="5ED2040C"/>
    <w:rsid w:val="5ED7E6E6"/>
    <w:rsid w:val="5EDCF763"/>
    <w:rsid w:val="5F0A4A49"/>
    <w:rsid w:val="5F0FAF6D"/>
    <w:rsid w:val="5F1AC61A"/>
    <w:rsid w:val="5F47D7E3"/>
    <w:rsid w:val="5F50843A"/>
    <w:rsid w:val="5F56BABE"/>
    <w:rsid w:val="5F5EAAB3"/>
    <w:rsid w:val="5F61AF2E"/>
    <w:rsid w:val="5F6A9716"/>
    <w:rsid w:val="5F9046B2"/>
    <w:rsid w:val="5F99EE29"/>
    <w:rsid w:val="5FA8D27C"/>
    <w:rsid w:val="5FAC6B81"/>
    <w:rsid w:val="5FB06F48"/>
    <w:rsid w:val="5FB24470"/>
    <w:rsid w:val="5FC6A6FE"/>
    <w:rsid w:val="5FCB3AF8"/>
    <w:rsid w:val="5FD00818"/>
    <w:rsid w:val="5FE62899"/>
    <w:rsid w:val="5FF619F5"/>
    <w:rsid w:val="5FFCB495"/>
    <w:rsid w:val="6015E9D4"/>
    <w:rsid w:val="60193AFA"/>
    <w:rsid w:val="601BA674"/>
    <w:rsid w:val="602438E1"/>
    <w:rsid w:val="6030E97F"/>
    <w:rsid w:val="603DA93A"/>
    <w:rsid w:val="60447BF8"/>
    <w:rsid w:val="60459CCE"/>
    <w:rsid w:val="604EBABD"/>
    <w:rsid w:val="606AEB57"/>
    <w:rsid w:val="6070162D"/>
    <w:rsid w:val="607185B7"/>
    <w:rsid w:val="607F00A7"/>
    <w:rsid w:val="6080B98C"/>
    <w:rsid w:val="60854102"/>
    <w:rsid w:val="60911907"/>
    <w:rsid w:val="609DC730"/>
    <w:rsid w:val="60A0FE6B"/>
    <w:rsid w:val="60B21DD6"/>
    <w:rsid w:val="60BD316F"/>
    <w:rsid w:val="60DB738A"/>
    <w:rsid w:val="60E4FBC2"/>
    <w:rsid w:val="60FBFB5B"/>
    <w:rsid w:val="6103D1F6"/>
    <w:rsid w:val="61469785"/>
    <w:rsid w:val="61736AE5"/>
    <w:rsid w:val="6189ADA1"/>
    <w:rsid w:val="618E4D87"/>
    <w:rsid w:val="619826EB"/>
    <w:rsid w:val="619DEDA6"/>
    <w:rsid w:val="61A36BC1"/>
    <w:rsid w:val="61A95563"/>
    <w:rsid w:val="61D9F475"/>
    <w:rsid w:val="61E317B4"/>
    <w:rsid w:val="61E54200"/>
    <w:rsid w:val="61EAC70E"/>
    <w:rsid w:val="61F0BB5B"/>
    <w:rsid w:val="61F461BB"/>
    <w:rsid w:val="61F5FF93"/>
    <w:rsid w:val="61F8AEC9"/>
    <w:rsid w:val="61FDED19"/>
    <w:rsid w:val="62148306"/>
    <w:rsid w:val="6220A352"/>
    <w:rsid w:val="62316B24"/>
    <w:rsid w:val="624B04CD"/>
    <w:rsid w:val="625643D4"/>
    <w:rsid w:val="626A7253"/>
    <w:rsid w:val="626BD1F9"/>
    <w:rsid w:val="628E4B8D"/>
    <w:rsid w:val="62970CCC"/>
    <w:rsid w:val="62B2B7A6"/>
    <w:rsid w:val="62B50D06"/>
    <w:rsid w:val="62C25E94"/>
    <w:rsid w:val="62D25650"/>
    <w:rsid w:val="62DA0AA2"/>
    <w:rsid w:val="62E3CBEB"/>
    <w:rsid w:val="62EA04D2"/>
    <w:rsid w:val="62FFDEE3"/>
    <w:rsid w:val="63085455"/>
    <w:rsid w:val="63295A93"/>
    <w:rsid w:val="634B9FD4"/>
    <w:rsid w:val="6355CA73"/>
    <w:rsid w:val="63623A55"/>
    <w:rsid w:val="63878546"/>
    <w:rsid w:val="639A3618"/>
    <w:rsid w:val="639D30FC"/>
    <w:rsid w:val="63A1676B"/>
    <w:rsid w:val="63AD042A"/>
    <w:rsid w:val="63BC7D9B"/>
    <w:rsid w:val="63E5BD58"/>
    <w:rsid w:val="63F53F15"/>
    <w:rsid w:val="63F8AFCA"/>
    <w:rsid w:val="63FA65B3"/>
    <w:rsid w:val="64009F23"/>
    <w:rsid w:val="6407E56A"/>
    <w:rsid w:val="6412940F"/>
    <w:rsid w:val="6431E696"/>
    <w:rsid w:val="643FFDA9"/>
    <w:rsid w:val="6446EA1A"/>
    <w:rsid w:val="644BA4A7"/>
    <w:rsid w:val="646B30AD"/>
    <w:rsid w:val="646F9BF3"/>
    <w:rsid w:val="64768143"/>
    <w:rsid w:val="64793131"/>
    <w:rsid w:val="647D81D2"/>
    <w:rsid w:val="64870FE1"/>
    <w:rsid w:val="64898E6F"/>
    <w:rsid w:val="649148D4"/>
    <w:rsid w:val="64A2CB45"/>
    <w:rsid w:val="64B9AC86"/>
    <w:rsid w:val="64BC5E12"/>
    <w:rsid w:val="64BCC277"/>
    <w:rsid w:val="64C6E217"/>
    <w:rsid w:val="64E527CD"/>
    <w:rsid w:val="64F9338C"/>
    <w:rsid w:val="651700BC"/>
    <w:rsid w:val="652BAB39"/>
    <w:rsid w:val="65455E8A"/>
    <w:rsid w:val="6559FEB6"/>
    <w:rsid w:val="6566933D"/>
    <w:rsid w:val="65675005"/>
    <w:rsid w:val="65698BA9"/>
    <w:rsid w:val="656C45EA"/>
    <w:rsid w:val="657D6905"/>
    <w:rsid w:val="6590DF64"/>
    <w:rsid w:val="6595D4F3"/>
    <w:rsid w:val="65A8A8B3"/>
    <w:rsid w:val="65AC1466"/>
    <w:rsid w:val="65BAA9FD"/>
    <w:rsid w:val="65BE12A5"/>
    <w:rsid w:val="65D4BBCC"/>
    <w:rsid w:val="65DA7EFD"/>
    <w:rsid w:val="65E981D1"/>
    <w:rsid w:val="65F3315F"/>
    <w:rsid w:val="663F4FC4"/>
    <w:rsid w:val="664FDA48"/>
    <w:rsid w:val="667FC0EE"/>
    <w:rsid w:val="669039F0"/>
    <w:rsid w:val="66999F3E"/>
    <w:rsid w:val="66A491E4"/>
    <w:rsid w:val="66A7DA25"/>
    <w:rsid w:val="66C75E44"/>
    <w:rsid w:val="66CB8191"/>
    <w:rsid w:val="66D3E620"/>
    <w:rsid w:val="66DA3E86"/>
    <w:rsid w:val="66E23283"/>
    <w:rsid w:val="66E34CBF"/>
    <w:rsid w:val="66E3D50D"/>
    <w:rsid w:val="66ED60C2"/>
    <w:rsid w:val="66FDBA1B"/>
    <w:rsid w:val="6702BBCB"/>
    <w:rsid w:val="67058921"/>
    <w:rsid w:val="670DAED4"/>
    <w:rsid w:val="671EF0D0"/>
    <w:rsid w:val="672378FC"/>
    <w:rsid w:val="6742A97D"/>
    <w:rsid w:val="6749A734"/>
    <w:rsid w:val="675A186A"/>
    <w:rsid w:val="67638318"/>
    <w:rsid w:val="679804A1"/>
    <w:rsid w:val="67AB1133"/>
    <w:rsid w:val="67BAA6F6"/>
    <w:rsid w:val="67BAFB75"/>
    <w:rsid w:val="67C0ACEA"/>
    <w:rsid w:val="67C2174C"/>
    <w:rsid w:val="67C5FCC7"/>
    <w:rsid w:val="67C6BF81"/>
    <w:rsid w:val="67C9F401"/>
    <w:rsid w:val="67CE1A65"/>
    <w:rsid w:val="67DB76B3"/>
    <w:rsid w:val="67E1EA2D"/>
    <w:rsid w:val="67E61AE8"/>
    <w:rsid w:val="680370A4"/>
    <w:rsid w:val="6811301F"/>
    <w:rsid w:val="68314E97"/>
    <w:rsid w:val="683CAA31"/>
    <w:rsid w:val="684315DC"/>
    <w:rsid w:val="68477BED"/>
    <w:rsid w:val="68505696"/>
    <w:rsid w:val="68671248"/>
    <w:rsid w:val="687CD6A1"/>
    <w:rsid w:val="688268A5"/>
    <w:rsid w:val="688683DA"/>
    <w:rsid w:val="68969878"/>
    <w:rsid w:val="68AE6A08"/>
    <w:rsid w:val="68B12E62"/>
    <w:rsid w:val="68E47811"/>
    <w:rsid w:val="68F1A324"/>
    <w:rsid w:val="691216C9"/>
    <w:rsid w:val="692A0245"/>
    <w:rsid w:val="693526EB"/>
    <w:rsid w:val="69392134"/>
    <w:rsid w:val="693F5ED7"/>
    <w:rsid w:val="69476228"/>
    <w:rsid w:val="694C3EEA"/>
    <w:rsid w:val="694E84E8"/>
    <w:rsid w:val="695626C9"/>
    <w:rsid w:val="6957FB2F"/>
    <w:rsid w:val="695C1AE0"/>
    <w:rsid w:val="6966F17F"/>
    <w:rsid w:val="6969AA5E"/>
    <w:rsid w:val="698E1AE6"/>
    <w:rsid w:val="69A5348D"/>
    <w:rsid w:val="69A63D8A"/>
    <w:rsid w:val="69A9B07F"/>
    <w:rsid w:val="69B97DF3"/>
    <w:rsid w:val="69BE2067"/>
    <w:rsid w:val="69C9DF0A"/>
    <w:rsid w:val="69D07935"/>
    <w:rsid w:val="69D4098C"/>
    <w:rsid w:val="69D4F5E1"/>
    <w:rsid w:val="69DA3B1E"/>
    <w:rsid w:val="69DAE014"/>
    <w:rsid w:val="69DD5B6E"/>
    <w:rsid w:val="69E6A8BC"/>
    <w:rsid w:val="69EFD6A1"/>
    <w:rsid w:val="69FA1602"/>
    <w:rsid w:val="69FCC95F"/>
    <w:rsid w:val="69FD82DE"/>
    <w:rsid w:val="69FF4F2D"/>
    <w:rsid w:val="69FF6E08"/>
    <w:rsid w:val="6A028043"/>
    <w:rsid w:val="6A045B55"/>
    <w:rsid w:val="6A116C64"/>
    <w:rsid w:val="6A4566AE"/>
    <w:rsid w:val="6A4EAB63"/>
    <w:rsid w:val="6A4F4EE3"/>
    <w:rsid w:val="6A59FEEE"/>
    <w:rsid w:val="6A5B2519"/>
    <w:rsid w:val="6A66BCE7"/>
    <w:rsid w:val="6A72B182"/>
    <w:rsid w:val="6A79A98A"/>
    <w:rsid w:val="6A7E4A2B"/>
    <w:rsid w:val="6AA6CECA"/>
    <w:rsid w:val="6AA70D7A"/>
    <w:rsid w:val="6AB607BC"/>
    <w:rsid w:val="6ABF7A7B"/>
    <w:rsid w:val="6AC402A5"/>
    <w:rsid w:val="6AC43F2A"/>
    <w:rsid w:val="6ACEE40F"/>
    <w:rsid w:val="6AD20760"/>
    <w:rsid w:val="6AE30F91"/>
    <w:rsid w:val="6AE82891"/>
    <w:rsid w:val="6AF11AAB"/>
    <w:rsid w:val="6B04A46B"/>
    <w:rsid w:val="6B11200F"/>
    <w:rsid w:val="6B12BA53"/>
    <w:rsid w:val="6B271537"/>
    <w:rsid w:val="6B3E84C4"/>
    <w:rsid w:val="6B50980E"/>
    <w:rsid w:val="6B53758A"/>
    <w:rsid w:val="6B5F031D"/>
    <w:rsid w:val="6B6D7EDD"/>
    <w:rsid w:val="6B8498B2"/>
    <w:rsid w:val="6B8C98E0"/>
    <w:rsid w:val="6B8E1C84"/>
    <w:rsid w:val="6B92BF28"/>
    <w:rsid w:val="6B9AAC89"/>
    <w:rsid w:val="6BA07C63"/>
    <w:rsid w:val="6BACEA13"/>
    <w:rsid w:val="6BAEA904"/>
    <w:rsid w:val="6BB1479F"/>
    <w:rsid w:val="6BB483A9"/>
    <w:rsid w:val="6BB79B85"/>
    <w:rsid w:val="6BC47955"/>
    <w:rsid w:val="6BC8367E"/>
    <w:rsid w:val="6BD4C4FF"/>
    <w:rsid w:val="6BE74A8A"/>
    <w:rsid w:val="6BE8975E"/>
    <w:rsid w:val="6BE90E6F"/>
    <w:rsid w:val="6BE967DC"/>
    <w:rsid w:val="6C09D16F"/>
    <w:rsid w:val="6C09FF74"/>
    <w:rsid w:val="6C130747"/>
    <w:rsid w:val="6C36E91D"/>
    <w:rsid w:val="6C39AAA9"/>
    <w:rsid w:val="6C4AE654"/>
    <w:rsid w:val="6C4B772E"/>
    <w:rsid w:val="6C5458F9"/>
    <w:rsid w:val="6C6B24ED"/>
    <w:rsid w:val="6C6CF584"/>
    <w:rsid w:val="6C74BAE3"/>
    <w:rsid w:val="6C8BC53B"/>
    <w:rsid w:val="6C979955"/>
    <w:rsid w:val="6C98127C"/>
    <w:rsid w:val="6C9D464E"/>
    <w:rsid w:val="6C9E24A1"/>
    <w:rsid w:val="6CA745CF"/>
    <w:rsid w:val="6CAB0573"/>
    <w:rsid w:val="6CB74A1E"/>
    <w:rsid w:val="6CC455A8"/>
    <w:rsid w:val="6CD9F2E4"/>
    <w:rsid w:val="6CE1DB44"/>
    <w:rsid w:val="6CED8D7A"/>
    <w:rsid w:val="6CF16188"/>
    <w:rsid w:val="6CF5BDDE"/>
    <w:rsid w:val="6CF6325F"/>
    <w:rsid w:val="6CFFEBA3"/>
    <w:rsid w:val="6D035BB4"/>
    <w:rsid w:val="6D3D9B33"/>
    <w:rsid w:val="6D58A859"/>
    <w:rsid w:val="6D6675FC"/>
    <w:rsid w:val="6D6ADDDD"/>
    <w:rsid w:val="6D72F60E"/>
    <w:rsid w:val="6D76274B"/>
    <w:rsid w:val="6D7834AE"/>
    <w:rsid w:val="6D7C8988"/>
    <w:rsid w:val="6DA034EC"/>
    <w:rsid w:val="6DB6E9AB"/>
    <w:rsid w:val="6DC3744B"/>
    <w:rsid w:val="6DCE38CD"/>
    <w:rsid w:val="6DCED499"/>
    <w:rsid w:val="6DD724FA"/>
    <w:rsid w:val="6DDD4AD4"/>
    <w:rsid w:val="6DEB6257"/>
    <w:rsid w:val="6DF5D4BE"/>
    <w:rsid w:val="6DF895B2"/>
    <w:rsid w:val="6E0829ED"/>
    <w:rsid w:val="6E12694E"/>
    <w:rsid w:val="6E1539E8"/>
    <w:rsid w:val="6E18CA07"/>
    <w:rsid w:val="6E1D9064"/>
    <w:rsid w:val="6E2ECFCA"/>
    <w:rsid w:val="6E310BD6"/>
    <w:rsid w:val="6E3F0786"/>
    <w:rsid w:val="6E5719C2"/>
    <w:rsid w:val="6E66C746"/>
    <w:rsid w:val="6E697A04"/>
    <w:rsid w:val="6E6D4B8C"/>
    <w:rsid w:val="6E733E29"/>
    <w:rsid w:val="6E74F5A9"/>
    <w:rsid w:val="6E934BB0"/>
    <w:rsid w:val="6E9491DF"/>
    <w:rsid w:val="6E9F8B17"/>
    <w:rsid w:val="6EA48580"/>
    <w:rsid w:val="6EA56318"/>
    <w:rsid w:val="6EBBD4CD"/>
    <w:rsid w:val="6EBFBDED"/>
    <w:rsid w:val="6EC347C4"/>
    <w:rsid w:val="6ED1361B"/>
    <w:rsid w:val="6ED4D8A3"/>
    <w:rsid w:val="6EDC7021"/>
    <w:rsid w:val="6EDFD4B8"/>
    <w:rsid w:val="6EE68E4A"/>
    <w:rsid w:val="6EF6D7C4"/>
    <w:rsid w:val="6EF9F04E"/>
    <w:rsid w:val="6EFD756D"/>
    <w:rsid w:val="6F0689D5"/>
    <w:rsid w:val="6F1391C1"/>
    <w:rsid w:val="6F141D82"/>
    <w:rsid w:val="6F200146"/>
    <w:rsid w:val="6F28A55A"/>
    <w:rsid w:val="6F2A61B1"/>
    <w:rsid w:val="6F327646"/>
    <w:rsid w:val="6F3BECF0"/>
    <w:rsid w:val="6F43E4F2"/>
    <w:rsid w:val="6F4840CA"/>
    <w:rsid w:val="6F48650C"/>
    <w:rsid w:val="6F4FFE2F"/>
    <w:rsid w:val="6F526DAB"/>
    <w:rsid w:val="6F65A559"/>
    <w:rsid w:val="6F7132DA"/>
    <w:rsid w:val="6F7206A4"/>
    <w:rsid w:val="6F7D1953"/>
    <w:rsid w:val="6F8DB1A7"/>
    <w:rsid w:val="6F9CD3D1"/>
    <w:rsid w:val="6FB59EBF"/>
    <w:rsid w:val="6FB64D65"/>
    <w:rsid w:val="6FB889E3"/>
    <w:rsid w:val="6FBA4C5F"/>
    <w:rsid w:val="6FC2F5C3"/>
    <w:rsid w:val="6FEB2E98"/>
    <w:rsid w:val="6FF2CB71"/>
    <w:rsid w:val="6FFCBFEA"/>
    <w:rsid w:val="70000469"/>
    <w:rsid w:val="7010AC40"/>
    <w:rsid w:val="7016E6C4"/>
    <w:rsid w:val="701E0B15"/>
    <w:rsid w:val="7028DA5C"/>
    <w:rsid w:val="70302933"/>
    <w:rsid w:val="703B0448"/>
    <w:rsid w:val="7041C506"/>
    <w:rsid w:val="70425722"/>
    <w:rsid w:val="7044CEDD"/>
    <w:rsid w:val="70462C4F"/>
    <w:rsid w:val="7050A9F0"/>
    <w:rsid w:val="70517B91"/>
    <w:rsid w:val="70594AE7"/>
    <w:rsid w:val="705E2939"/>
    <w:rsid w:val="706B3602"/>
    <w:rsid w:val="707BA519"/>
    <w:rsid w:val="707E524B"/>
    <w:rsid w:val="708EC904"/>
    <w:rsid w:val="7098A3BE"/>
    <w:rsid w:val="70AC852E"/>
    <w:rsid w:val="70BBCB6F"/>
    <w:rsid w:val="70C3EACB"/>
    <w:rsid w:val="70CD5270"/>
    <w:rsid w:val="70D21766"/>
    <w:rsid w:val="70D8AC91"/>
    <w:rsid w:val="70E1EE62"/>
    <w:rsid w:val="70E7EFB0"/>
    <w:rsid w:val="70EB478A"/>
    <w:rsid w:val="70F71CCE"/>
    <w:rsid w:val="70FBBA3D"/>
    <w:rsid w:val="70FECC8F"/>
    <w:rsid w:val="710932C3"/>
    <w:rsid w:val="710C53CD"/>
    <w:rsid w:val="710D3FEF"/>
    <w:rsid w:val="711CF9F8"/>
    <w:rsid w:val="71298208"/>
    <w:rsid w:val="7145DFA6"/>
    <w:rsid w:val="7148063F"/>
    <w:rsid w:val="715488C0"/>
    <w:rsid w:val="715B8A1A"/>
    <w:rsid w:val="71753217"/>
    <w:rsid w:val="7187D388"/>
    <w:rsid w:val="718B3EF5"/>
    <w:rsid w:val="7194EFEC"/>
    <w:rsid w:val="7198C62A"/>
    <w:rsid w:val="71B101B8"/>
    <w:rsid w:val="71B59012"/>
    <w:rsid w:val="71B96CC4"/>
    <w:rsid w:val="71BC7CF8"/>
    <w:rsid w:val="71CDAD29"/>
    <w:rsid w:val="71F58B24"/>
    <w:rsid w:val="71F741F7"/>
    <w:rsid w:val="71FA78D2"/>
    <w:rsid w:val="71FE4D1D"/>
    <w:rsid w:val="721BC2A5"/>
    <w:rsid w:val="721E6308"/>
    <w:rsid w:val="7221F5D8"/>
    <w:rsid w:val="722207FD"/>
    <w:rsid w:val="722F3D52"/>
    <w:rsid w:val="7237ABEB"/>
    <w:rsid w:val="7245177E"/>
    <w:rsid w:val="72473489"/>
    <w:rsid w:val="725FEA3F"/>
    <w:rsid w:val="726CC976"/>
    <w:rsid w:val="7276152C"/>
    <w:rsid w:val="727F95EA"/>
    <w:rsid w:val="72921A67"/>
    <w:rsid w:val="72926438"/>
    <w:rsid w:val="729B722D"/>
    <w:rsid w:val="72A14641"/>
    <w:rsid w:val="72A28152"/>
    <w:rsid w:val="72AD6C1F"/>
    <w:rsid w:val="72B172D6"/>
    <w:rsid w:val="72B3B01A"/>
    <w:rsid w:val="72C1F22E"/>
    <w:rsid w:val="72D48324"/>
    <w:rsid w:val="72DC4424"/>
    <w:rsid w:val="72E82338"/>
    <w:rsid w:val="73163B59"/>
    <w:rsid w:val="7329352B"/>
    <w:rsid w:val="733965D0"/>
    <w:rsid w:val="734A8487"/>
    <w:rsid w:val="735A8B5A"/>
    <w:rsid w:val="7367570B"/>
    <w:rsid w:val="7394690C"/>
    <w:rsid w:val="73951870"/>
    <w:rsid w:val="739817F9"/>
    <w:rsid w:val="739A1D7E"/>
    <w:rsid w:val="73AB5855"/>
    <w:rsid w:val="73AFE144"/>
    <w:rsid w:val="73BA03C0"/>
    <w:rsid w:val="73D605FC"/>
    <w:rsid w:val="73D695EE"/>
    <w:rsid w:val="73DC189A"/>
    <w:rsid w:val="73E45AB9"/>
    <w:rsid w:val="73F118FF"/>
    <w:rsid w:val="73F3A147"/>
    <w:rsid w:val="73F65196"/>
    <w:rsid w:val="73FA80F7"/>
    <w:rsid w:val="74099F6F"/>
    <w:rsid w:val="7414F6A5"/>
    <w:rsid w:val="741ADD98"/>
    <w:rsid w:val="741DBDBF"/>
    <w:rsid w:val="7426C3B6"/>
    <w:rsid w:val="74406198"/>
    <w:rsid w:val="7444A4AC"/>
    <w:rsid w:val="744758D3"/>
    <w:rsid w:val="7459403C"/>
    <w:rsid w:val="749FFD33"/>
    <w:rsid w:val="74A04C24"/>
    <w:rsid w:val="74ACCB06"/>
    <w:rsid w:val="74AF5329"/>
    <w:rsid w:val="74B6BD18"/>
    <w:rsid w:val="74CA54D4"/>
    <w:rsid w:val="74CCF92B"/>
    <w:rsid w:val="74D7F2C3"/>
    <w:rsid w:val="74DD7408"/>
    <w:rsid w:val="74EF9816"/>
    <w:rsid w:val="74F879B7"/>
    <w:rsid w:val="7503AF4E"/>
    <w:rsid w:val="751614F1"/>
    <w:rsid w:val="751CB0A9"/>
    <w:rsid w:val="7523E325"/>
    <w:rsid w:val="75384EE1"/>
    <w:rsid w:val="753CFE16"/>
    <w:rsid w:val="753E4E34"/>
    <w:rsid w:val="755B201F"/>
    <w:rsid w:val="7567F194"/>
    <w:rsid w:val="75700AA5"/>
    <w:rsid w:val="757087A6"/>
    <w:rsid w:val="757E1FEB"/>
    <w:rsid w:val="7587B041"/>
    <w:rsid w:val="758868B3"/>
    <w:rsid w:val="75932624"/>
    <w:rsid w:val="75965158"/>
    <w:rsid w:val="75A4929D"/>
    <w:rsid w:val="75A56603"/>
    <w:rsid w:val="75AE34C9"/>
    <w:rsid w:val="75AE43F6"/>
    <w:rsid w:val="75AFBF37"/>
    <w:rsid w:val="75AFD0C7"/>
    <w:rsid w:val="75BCF9DB"/>
    <w:rsid w:val="75D30CE1"/>
    <w:rsid w:val="75D8477C"/>
    <w:rsid w:val="75EA65BD"/>
    <w:rsid w:val="75EDFA54"/>
    <w:rsid w:val="760FB7B1"/>
    <w:rsid w:val="76177AE6"/>
    <w:rsid w:val="761A6DD3"/>
    <w:rsid w:val="7630CC3D"/>
    <w:rsid w:val="763F4936"/>
    <w:rsid w:val="7647E809"/>
    <w:rsid w:val="764C80E6"/>
    <w:rsid w:val="76520223"/>
    <w:rsid w:val="7658086F"/>
    <w:rsid w:val="7659ED99"/>
    <w:rsid w:val="7662678A"/>
    <w:rsid w:val="766CF37B"/>
    <w:rsid w:val="767AA7DE"/>
    <w:rsid w:val="767C46D2"/>
    <w:rsid w:val="7685EF82"/>
    <w:rsid w:val="76A14610"/>
    <w:rsid w:val="76A7A874"/>
    <w:rsid w:val="76BB7C47"/>
    <w:rsid w:val="76CAA2A1"/>
    <w:rsid w:val="76CB0F38"/>
    <w:rsid w:val="76CB3467"/>
    <w:rsid w:val="76CF7AAD"/>
    <w:rsid w:val="76D709A6"/>
    <w:rsid w:val="76E0E528"/>
    <w:rsid w:val="76E3A609"/>
    <w:rsid w:val="76E6B0E6"/>
    <w:rsid w:val="76EEDDA8"/>
    <w:rsid w:val="76F02E2D"/>
    <w:rsid w:val="76FF48A9"/>
    <w:rsid w:val="770015B1"/>
    <w:rsid w:val="77040502"/>
    <w:rsid w:val="771775BF"/>
    <w:rsid w:val="771907D3"/>
    <w:rsid w:val="771D8424"/>
    <w:rsid w:val="77237CE6"/>
    <w:rsid w:val="773794A7"/>
    <w:rsid w:val="7740E3A6"/>
    <w:rsid w:val="776CF590"/>
    <w:rsid w:val="77877C78"/>
    <w:rsid w:val="778EB953"/>
    <w:rsid w:val="7794E840"/>
    <w:rsid w:val="779DB027"/>
    <w:rsid w:val="77A8DDF1"/>
    <w:rsid w:val="77B0E3B1"/>
    <w:rsid w:val="77BF5F6B"/>
    <w:rsid w:val="77D218A1"/>
    <w:rsid w:val="77D99633"/>
    <w:rsid w:val="77E94027"/>
    <w:rsid w:val="77E98E95"/>
    <w:rsid w:val="77FFEBC7"/>
    <w:rsid w:val="780502C8"/>
    <w:rsid w:val="780BDF90"/>
    <w:rsid w:val="781353EC"/>
    <w:rsid w:val="781661C6"/>
    <w:rsid w:val="7819CB4C"/>
    <w:rsid w:val="781C43DD"/>
    <w:rsid w:val="78223D80"/>
    <w:rsid w:val="78282530"/>
    <w:rsid w:val="78284020"/>
    <w:rsid w:val="782AD7DB"/>
    <w:rsid w:val="7838B1D3"/>
    <w:rsid w:val="7841A555"/>
    <w:rsid w:val="78667799"/>
    <w:rsid w:val="786E8982"/>
    <w:rsid w:val="787DE2CC"/>
    <w:rsid w:val="787EC978"/>
    <w:rsid w:val="7881B3C0"/>
    <w:rsid w:val="789C0760"/>
    <w:rsid w:val="78BB21AA"/>
    <w:rsid w:val="78C4A95F"/>
    <w:rsid w:val="78CC4887"/>
    <w:rsid w:val="78E49774"/>
    <w:rsid w:val="78E8EA23"/>
    <w:rsid w:val="78F1BC0A"/>
    <w:rsid w:val="78F9CF23"/>
    <w:rsid w:val="7906B746"/>
    <w:rsid w:val="790824B5"/>
    <w:rsid w:val="7918F365"/>
    <w:rsid w:val="7919A79F"/>
    <w:rsid w:val="791D4748"/>
    <w:rsid w:val="791E81AB"/>
    <w:rsid w:val="792C0EEF"/>
    <w:rsid w:val="792EA3F3"/>
    <w:rsid w:val="7930726D"/>
    <w:rsid w:val="7936C90E"/>
    <w:rsid w:val="795368EA"/>
    <w:rsid w:val="7966751D"/>
    <w:rsid w:val="796E04E9"/>
    <w:rsid w:val="796E9B84"/>
    <w:rsid w:val="7970C801"/>
    <w:rsid w:val="797D0F43"/>
    <w:rsid w:val="798048D2"/>
    <w:rsid w:val="7985F612"/>
    <w:rsid w:val="799AC509"/>
    <w:rsid w:val="79A9B179"/>
    <w:rsid w:val="79C4A105"/>
    <w:rsid w:val="79DB3502"/>
    <w:rsid w:val="79E5F9B9"/>
    <w:rsid w:val="79EC6D24"/>
    <w:rsid w:val="7A1050E5"/>
    <w:rsid w:val="7A11F290"/>
    <w:rsid w:val="7A20C369"/>
    <w:rsid w:val="7A22875F"/>
    <w:rsid w:val="7A3B3A7E"/>
    <w:rsid w:val="7A44E3C9"/>
    <w:rsid w:val="7A5A7A73"/>
    <w:rsid w:val="7A644D4C"/>
    <w:rsid w:val="7A6B137D"/>
    <w:rsid w:val="7A6FE797"/>
    <w:rsid w:val="7A7EC48E"/>
    <w:rsid w:val="7A866B49"/>
    <w:rsid w:val="7A9F8548"/>
    <w:rsid w:val="7AA62B59"/>
    <w:rsid w:val="7AA86992"/>
    <w:rsid w:val="7AC148F3"/>
    <w:rsid w:val="7AC4EAF3"/>
    <w:rsid w:val="7ADC52E3"/>
    <w:rsid w:val="7AE72611"/>
    <w:rsid w:val="7AEDE6A5"/>
    <w:rsid w:val="7AF160F0"/>
    <w:rsid w:val="7AF82CE9"/>
    <w:rsid w:val="7AFC8805"/>
    <w:rsid w:val="7B01D279"/>
    <w:rsid w:val="7B06D3AA"/>
    <w:rsid w:val="7B144A75"/>
    <w:rsid w:val="7B1ED9F7"/>
    <w:rsid w:val="7B2D3FCE"/>
    <w:rsid w:val="7B49DFEC"/>
    <w:rsid w:val="7B5B5F13"/>
    <w:rsid w:val="7B65B5B0"/>
    <w:rsid w:val="7B8550A6"/>
    <w:rsid w:val="7BA8A104"/>
    <w:rsid w:val="7BAA392D"/>
    <w:rsid w:val="7BAB89C5"/>
    <w:rsid w:val="7BB1F0E5"/>
    <w:rsid w:val="7BB1FE7A"/>
    <w:rsid w:val="7BB49F31"/>
    <w:rsid w:val="7BB66A3A"/>
    <w:rsid w:val="7BD89DF0"/>
    <w:rsid w:val="7BE337D2"/>
    <w:rsid w:val="7BF0642E"/>
    <w:rsid w:val="7BF1B022"/>
    <w:rsid w:val="7BF61CC8"/>
    <w:rsid w:val="7C03E4E9"/>
    <w:rsid w:val="7C0AE435"/>
    <w:rsid w:val="7C0EC420"/>
    <w:rsid w:val="7C15AC31"/>
    <w:rsid w:val="7C15BFE7"/>
    <w:rsid w:val="7C317450"/>
    <w:rsid w:val="7C33265A"/>
    <w:rsid w:val="7C3EFD9B"/>
    <w:rsid w:val="7C521D9E"/>
    <w:rsid w:val="7C586A02"/>
    <w:rsid w:val="7C588778"/>
    <w:rsid w:val="7C64B155"/>
    <w:rsid w:val="7C6DFB4B"/>
    <w:rsid w:val="7C70C1B8"/>
    <w:rsid w:val="7C76E293"/>
    <w:rsid w:val="7C7716E6"/>
    <w:rsid w:val="7C78D9F2"/>
    <w:rsid w:val="7C82693F"/>
    <w:rsid w:val="7C889523"/>
    <w:rsid w:val="7C937AC7"/>
    <w:rsid w:val="7C9AFB5E"/>
    <w:rsid w:val="7CAA2D2D"/>
    <w:rsid w:val="7CADBD1F"/>
    <w:rsid w:val="7CB7B763"/>
    <w:rsid w:val="7CC89FBF"/>
    <w:rsid w:val="7CD2FF45"/>
    <w:rsid w:val="7CDA377E"/>
    <w:rsid w:val="7CE9E401"/>
    <w:rsid w:val="7CF4C0CC"/>
    <w:rsid w:val="7CFE118D"/>
    <w:rsid w:val="7D014355"/>
    <w:rsid w:val="7D060241"/>
    <w:rsid w:val="7D0C244A"/>
    <w:rsid w:val="7D1950D4"/>
    <w:rsid w:val="7D1C8E20"/>
    <w:rsid w:val="7D27BF6D"/>
    <w:rsid w:val="7D350705"/>
    <w:rsid w:val="7D54E2EE"/>
    <w:rsid w:val="7D5BE284"/>
    <w:rsid w:val="7D66EBA7"/>
    <w:rsid w:val="7D6D344B"/>
    <w:rsid w:val="7D81FD7E"/>
    <w:rsid w:val="7D82AAB9"/>
    <w:rsid w:val="7D8577C0"/>
    <w:rsid w:val="7D9A7BED"/>
    <w:rsid w:val="7D9EADDD"/>
    <w:rsid w:val="7D9EE10B"/>
    <w:rsid w:val="7DA67E49"/>
    <w:rsid w:val="7DADD77A"/>
    <w:rsid w:val="7DCAF0C4"/>
    <w:rsid w:val="7DDBDB74"/>
    <w:rsid w:val="7DE1A5B5"/>
    <w:rsid w:val="7DE22194"/>
    <w:rsid w:val="7DE2DBD3"/>
    <w:rsid w:val="7DE4FF87"/>
    <w:rsid w:val="7DE991EC"/>
    <w:rsid w:val="7DE9C33A"/>
    <w:rsid w:val="7E17E933"/>
    <w:rsid w:val="7E24750C"/>
    <w:rsid w:val="7E3E662F"/>
    <w:rsid w:val="7E47EEC9"/>
    <w:rsid w:val="7E53D4C0"/>
    <w:rsid w:val="7E56A50A"/>
    <w:rsid w:val="7E6B764E"/>
    <w:rsid w:val="7E6BB307"/>
    <w:rsid w:val="7E72C40D"/>
    <w:rsid w:val="7E76478A"/>
    <w:rsid w:val="7E8829B2"/>
    <w:rsid w:val="7E88C202"/>
    <w:rsid w:val="7E893C1A"/>
    <w:rsid w:val="7E9A920A"/>
    <w:rsid w:val="7EA24391"/>
    <w:rsid w:val="7EB12E4F"/>
    <w:rsid w:val="7EB1A347"/>
    <w:rsid w:val="7EB44FEA"/>
    <w:rsid w:val="7EB827F2"/>
    <w:rsid w:val="7EDE5A6B"/>
    <w:rsid w:val="7EE916EB"/>
    <w:rsid w:val="7EEB3598"/>
    <w:rsid w:val="7EEF5C98"/>
    <w:rsid w:val="7EF166A2"/>
    <w:rsid w:val="7F072B6B"/>
    <w:rsid w:val="7F07313E"/>
    <w:rsid w:val="7F088768"/>
    <w:rsid w:val="7F15E556"/>
    <w:rsid w:val="7F247E5F"/>
    <w:rsid w:val="7F299041"/>
    <w:rsid w:val="7F2E5430"/>
    <w:rsid w:val="7F3549B4"/>
    <w:rsid w:val="7F36D2B0"/>
    <w:rsid w:val="7F3DCA7F"/>
    <w:rsid w:val="7F40E630"/>
    <w:rsid w:val="7F4B2EAA"/>
    <w:rsid w:val="7F5BB6C3"/>
    <w:rsid w:val="7F6FC0C6"/>
    <w:rsid w:val="7F7104EF"/>
    <w:rsid w:val="7F849DE2"/>
    <w:rsid w:val="7F8AF587"/>
    <w:rsid w:val="7F8BA7F8"/>
    <w:rsid w:val="7F9ECEDE"/>
    <w:rsid w:val="7FD38929"/>
    <w:rsid w:val="7FE06BEB"/>
    <w:rsid w:val="7FEFD927"/>
    <w:rsid w:val="7FF0EC11"/>
    <w:rsid w:val="7FF68B2C"/>
    <w:rsid w:val="7FFECC9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9619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F3E"/>
    <w:rPr>
      <w:rFonts w:ascii="Times New Roman" w:hAnsi="Times New Roman"/>
      <w:sz w:val="24"/>
    </w:rPr>
  </w:style>
  <w:style w:type="paragraph" w:styleId="Heading1">
    <w:name w:val="heading 1"/>
    <w:basedOn w:val="Normal"/>
    <w:next w:val="Normal"/>
    <w:link w:val="Heading1Char"/>
    <w:uiPriority w:val="9"/>
    <w:qFormat/>
    <w:rsid w:val="0024490B"/>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4490B"/>
    <w:pPr>
      <w:keepNext/>
      <w:keepLines/>
      <w:spacing w:before="40" w:after="0"/>
      <w:outlineLvl w:val="1"/>
    </w:pPr>
    <w:rPr>
      <w:rFonts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F0F67"/>
    <w:pPr>
      <w:keepNext/>
      <w:keepLines/>
      <w:spacing w:before="40" w:after="0"/>
      <w:outlineLvl w:val="2"/>
    </w:pPr>
    <w:rPr>
      <w:rFonts w:eastAsiaTheme="majorEastAsia"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E3E5E"/>
    <w:rPr>
      <w:color w:val="0000FF"/>
      <w:shd w:val="clear" w:color="auto" w:fill="auto"/>
    </w:rPr>
  </w:style>
  <w:style w:type="paragraph" w:styleId="Header">
    <w:name w:val="header"/>
    <w:basedOn w:val="Normal"/>
    <w:link w:val="HeaderChar"/>
    <w:uiPriority w:val="99"/>
    <w:unhideWhenUsed/>
    <w:rsid w:val="00FE3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E5E"/>
  </w:style>
  <w:style w:type="paragraph" w:styleId="Footer">
    <w:name w:val="footer"/>
    <w:basedOn w:val="Normal"/>
    <w:link w:val="FooterChar"/>
    <w:uiPriority w:val="99"/>
    <w:unhideWhenUsed/>
    <w:rsid w:val="00FE3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E5E"/>
  </w:style>
  <w:style w:type="paragraph" w:customStyle="1" w:styleId="Pagedecouverture">
    <w:name w:val="Page de couverture"/>
    <w:basedOn w:val="Normal"/>
    <w:next w:val="Normal"/>
    <w:rsid w:val="00FE3E5E"/>
    <w:pPr>
      <w:spacing w:after="0" w:line="240" w:lineRule="auto"/>
      <w:jc w:val="both"/>
    </w:pPr>
    <w:rPr>
      <w:rFonts w:cs="Times New Roman"/>
    </w:rPr>
  </w:style>
  <w:style w:type="paragraph" w:customStyle="1" w:styleId="FooterCoverPage">
    <w:name w:val="Footer Cover Page"/>
    <w:basedOn w:val="Normal"/>
    <w:link w:val="FooterCoverPageChar"/>
    <w:rsid w:val="00FE3E5E"/>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FE3E5E"/>
    <w:rPr>
      <w:rFonts w:ascii="Times New Roman" w:hAnsi="Times New Roman"/>
      <w:sz w:val="24"/>
    </w:rPr>
  </w:style>
  <w:style w:type="paragraph" w:customStyle="1" w:styleId="FooterSensitivity">
    <w:name w:val="Footer Sensitivity"/>
    <w:basedOn w:val="Normal"/>
    <w:link w:val="FooterSensitivityChar"/>
    <w:rsid w:val="00FE3E5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FE3E5E"/>
    <w:rPr>
      <w:rFonts w:ascii="Times New Roman" w:hAnsi="Times New Roman"/>
      <w:b/>
      <w:sz w:val="32"/>
    </w:rPr>
  </w:style>
  <w:style w:type="paragraph" w:customStyle="1" w:styleId="HeaderCoverPage">
    <w:name w:val="Header Cover Page"/>
    <w:basedOn w:val="Normal"/>
    <w:link w:val="HeaderCoverPageChar"/>
    <w:rsid w:val="00FE3E5E"/>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FE3E5E"/>
    <w:rPr>
      <w:rFonts w:ascii="Times New Roman" w:hAnsi="Times New Roman"/>
      <w:sz w:val="24"/>
    </w:rPr>
  </w:style>
  <w:style w:type="paragraph" w:customStyle="1" w:styleId="HeaderSensitivity">
    <w:name w:val="Header Sensitivity"/>
    <w:basedOn w:val="Normal"/>
    <w:link w:val="HeaderSensitivityChar"/>
    <w:rsid w:val="00FE3E5E"/>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FE3E5E"/>
    <w:rPr>
      <w:rFonts w:ascii="Times New Roman" w:hAnsi="Times New Roman"/>
      <w:b/>
      <w:sz w:val="32"/>
    </w:rPr>
  </w:style>
  <w:style w:type="paragraph" w:customStyle="1" w:styleId="HeaderSensitivityRight">
    <w:name w:val="Header Sensitivity Right"/>
    <w:basedOn w:val="Normal"/>
    <w:link w:val="HeaderSensitivityRightChar"/>
    <w:rsid w:val="00B446D6"/>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FE3E5E"/>
    <w:rPr>
      <w:rFonts w:ascii="Times New Roman" w:hAnsi="Times New Roman"/>
      <w:sz w:val="28"/>
    </w:rPr>
  </w:style>
  <w:style w:type="character" w:customStyle="1" w:styleId="Heading1Char">
    <w:name w:val="Heading 1 Char"/>
    <w:basedOn w:val="DefaultParagraphFont"/>
    <w:link w:val="Heading1"/>
    <w:uiPriority w:val="9"/>
    <w:rsid w:val="0024490B"/>
    <w:rPr>
      <w:rFonts w:ascii="Times New Roman" w:eastAsiaTheme="majorEastAsia" w:hAnsi="Times New Roman" w:cstheme="majorBidi"/>
      <w:color w:val="2E74B5" w:themeColor="accent1" w:themeShade="BF"/>
      <w:sz w:val="32"/>
      <w:szCs w:val="32"/>
    </w:rPr>
  </w:style>
  <w:style w:type="character" w:customStyle="1" w:styleId="Heading2Char">
    <w:name w:val="Heading 2 Char"/>
    <w:basedOn w:val="DefaultParagraphFont"/>
    <w:link w:val="Heading2"/>
    <w:uiPriority w:val="9"/>
    <w:rsid w:val="0024490B"/>
    <w:rPr>
      <w:rFonts w:ascii="Times New Roman" w:eastAsiaTheme="majorEastAsia" w:hAnsi="Times New Roman" w:cstheme="majorBidi"/>
      <w:color w:val="2E74B5" w:themeColor="accent1" w:themeShade="BF"/>
      <w:sz w:val="26"/>
      <w:szCs w:val="26"/>
    </w:rPr>
  </w:style>
  <w:style w:type="character" w:customStyle="1" w:styleId="Heading3Char">
    <w:name w:val="Heading 3 Char"/>
    <w:basedOn w:val="DefaultParagraphFont"/>
    <w:link w:val="Heading3"/>
    <w:uiPriority w:val="9"/>
    <w:rsid w:val="009F0F67"/>
    <w:rPr>
      <w:rFonts w:ascii="Times New Roman" w:eastAsiaTheme="majorEastAsia" w:hAnsi="Times New Roman" w:cstheme="majorBidi"/>
      <w:color w:val="1F4D78" w:themeColor="accent1" w:themeShade="7F"/>
      <w:szCs w:val="24"/>
    </w:rPr>
  </w:style>
  <w:style w:type="character" w:styleId="CommentReference">
    <w:name w:val="annotation reference"/>
    <w:basedOn w:val="DefaultParagraphFont"/>
    <w:uiPriority w:val="99"/>
    <w:semiHidden/>
    <w:unhideWhenUsed/>
    <w:rsid w:val="00A2237B"/>
    <w:rPr>
      <w:sz w:val="16"/>
      <w:szCs w:val="16"/>
    </w:rPr>
  </w:style>
  <w:style w:type="paragraph" w:styleId="CommentText">
    <w:name w:val="annotation text"/>
    <w:basedOn w:val="Normal"/>
    <w:link w:val="CommentTextChar"/>
    <w:uiPriority w:val="99"/>
    <w:unhideWhenUsed/>
    <w:rsid w:val="00A2237B"/>
    <w:pPr>
      <w:spacing w:line="240" w:lineRule="auto"/>
    </w:pPr>
    <w:rPr>
      <w:sz w:val="20"/>
      <w:szCs w:val="20"/>
    </w:rPr>
  </w:style>
  <w:style w:type="character" w:customStyle="1" w:styleId="CommentTextChar">
    <w:name w:val="Comment Text Char"/>
    <w:basedOn w:val="DefaultParagraphFont"/>
    <w:link w:val="CommentText"/>
    <w:uiPriority w:val="99"/>
    <w:rsid w:val="00A2237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2237B"/>
    <w:rPr>
      <w:b/>
      <w:bCs/>
    </w:rPr>
  </w:style>
  <w:style w:type="character" w:customStyle="1" w:styleId="CommentSubjectChar">
    <w:name w:val="Comment Subject Char"/>
    <w:basedOn w:val="CommentTextChar"/>
    <w:link w:val="CommentSubject"/>
    <w:uiPriority w:val="99"/>
    <w:semiHidden/>
    <w:rsid w:val="00A2237B"/>
    <w:rPr>
      <w:rFonts w:ascii="Times New Roman" w:hAnsi="Times New Roman"/>
      <w:b/>
      <w:bCs/>
      <w:sz w:val="20"/>
      <w:szCs w:val="20"/>
    </w:rPr>
  </w:style>
  <w:style w:type="paragraph" w:styleId="BalloonText">
    <w:name w:val="Balloon Text"/>
    <w:basedOn w:val="Normal"/>
    <w:link w:val="BalloonTextChar"/>
    <w:uiPriority w:val="99"/>
    <w:semiHidden/>
    <w:unhideWhenUsed/>
    <w:rsid w:val="00CF00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06C"/>
    <w:rPr>
      <w:rFonts w:ascii="Segoe UI" w:hAnsi="Segoe UI" w:cs="Segoe UI"/>
      <w:sz w:val="18"/>
      <w:szCs w:val="18"/>
    </w:rPr>
  </w:style>
  <w:style w:type="paragraph" w:styleId="NormalWeb">
    <w:name w:val="Normal (Web)"/>
    <w:basedOn w:val="Normal"/>
    <w:uiPriority w:val="99"/>
    <w:semiHidden/>
    <w:unhideWhenUsed/>
    <w:rsid w:val="00FB1FF9"/>
    <w:rPr>
      <w:rFonts w:cs="Times New Roman"/>
      <w:szCs w:val="24"/>
    </w:rPr>
  </w:style>
  <w:style w:type="paragraph" w:customStyle="1" w:styleId="Default">
    <w:name w:val="Default"/>
    <w:rsid w:val="004F6D42"/>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Normal bullet 2,Bullet list,List Paragraph1,Numbered List,1st level - Bullet List Paragraph,Lettre d'introduction,Paragrafo elenco,GSA List,Dot pt,F5 List Paragraph,List Paragraph Char Char Char,Indicator Text,Numbered Para 1,Bullet 1,3,L"/>
    <w:basedOn w:val="Normal"/>
    <w:link w:val="ListParagraphChar"/>
    <w:uiPriority w:val="34"/>
    <w:qFormat/>
    <w:rsid w:val="002C0859"/>
    <w:pPr>
      <w:ind w:left="720"/>
      <w:contextualSpacing/>
    </w:pPr>
  </w:style>
  <w:style w:type="paragraph" w:styleId="FootnoteText">
    <w:name w:val="footnote text"/>
    <w:aliases w:val="ALTS FOOTNOTE,Footnote Text Char3,Footnote Text Char2 Char,Footnote Text Char Char Char1 Char,Footnote Text Char1 Char1 Char,Footnote Text Char Char Char2,footnote text,Schriftart: 9 pt,Schriftart: 10 pt,Schriftart: 8 pt,Podrozdział,fn,Car"/>
    <w:basedOn w:val="Normal"/>
    <w:link w:val="FootnoteTextChar"/>
    <w:uiPriority w:val="99"/>
    <w:unhideWhenUsed/>
    <w:qFormat/>
    <w:rsid w:val="003D04EF"/>
    <w:pPr>
      <w:spacing w:after="0" w:line="240" w:lineRule="auto"/>
    </w:pPr>
    <w:rPr>
      <w:rFonts w:asciiTheme="minorHAnsi" w:hAnsiTheme="minorHAnsi"/>
      <w:sz w:val="20"/>
      <w:szCs w:val="20"/>
    </w:rPr>
  </w:style>
  <w:style w:type="character" w:customStyle="1" w:styleId="FootnoteTextChar">
    <w:name w:val="Footnote Text Char"/>
    <w:aliases w:val="ALTS FOOTNOTE Char,Footnote Text Char3 Char,Footnote Text Char2 Char Char,Footnote Text Char Char Char1 Char Char,Footnote Text Char1 Char1 Char Char,Footnote Text Char Char Char2 Char,footnote text Char,Schriftart: 9 pt Char,fn Char"/>
    <w:basedOn w:val="DefaultParagraphFont"/>
    <w:link w:val="FootnoteText"/>
    <w:uiPriority w:val="99"/>
    <w:qFormat/>
    <w:rsid w:val="003D04EF"/>
    <w:rPr>
      <w:sz w:val="20"/>
      <w:szCs w:val="20"/>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unhideWhenUsed/>
    <w:qFormat/>
    <w:rsid w:val="003D04EF"/>
    <w:rPr>
      <w:vertAlign w:val="superscript"/>
    </w:rPr>
  </w:style>
  <w:style w:type="character" w:styleId="Hyperlink">
    <w:name w:val="Hyperlink"/>
    <w:aliases w:val=" Znak Znak Znak,Znak Znak Znak"/>
    <w:basedOn w:val="DefaultParagraphFont"/>
    <w:uiPriority w:val="99"/>
    <w:unhideWhenUsed/>
    <w:qFormat/>
    <w:rPr>
      <w:color w:val="0563C1" w:themeColor="hyperlink"/>
      <w:u w:val="single"/>
    </w:rPr>
  </w:style>
  <w:style w:type="character" w:styleId="FollowedHyperlink">
    <w:name w:val="FollowedHyperlink"/>
    <w:basedOn w:val="DefaultParagraphFont"/>
    <w:uiPriority w:val="99"/>
    <w:semiHidden/>
    <w:unhideWhenUsed/>
    <w:rsid w:val="00345C72"/>
    <w:rPr>
      <w:color w:val="954F72" w:themeColor="followedHyperlink"/>
      <w:u w:val="single"/>
    </w:rPr>
  </w:style>
  <w:style w:type="paragraph" w:customStyle="1" w:styleId="Footnote">
    <w:name w:val="Footnote"/>
    <w:basedOn w:val="FootnoteText"/>
    <w:qFormat/>
    <w:rsid w:val="001B11AC"/>
    <w:rPr>
      <w:rFonts w:ascii="Times New Roman" w:hAnsi="Times New Roman"/>
      <w:lang w:val="de-DE"/>
    </w:rPr>
  </w:style>
  <w:style w:type="paragraph" w:styleId="Revision">
    <w:name w:val="Revision"/>
    <w:hidden/>
    <w:uiPriority w:val="99"/>
    <w:semiHidden/>
    <w:rsid w:val="007A6B91"/>
    <w:pPr>
      <w:spacing w:after="0" w:line="240" w:lineRule="auto"/>
    </w:pPr>
    <w:rPr>
      <w:rFonts w:ascii="Times New Roman" w:hAnsi="Times New Roman"/>
    </w:rPr>
  </w:style>
  <w:style w:type="table" w:styleId="TableGrid">
    <w:name w:val="Table Grid"/>
    <w:aliases w:val="Document Table"/>
    <w:basedOn w:val="TableNormal"/>
    <w:uiPriority w:val="39"/>
    <w:rsid w:val="00D34DD8"/>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D1C0C"/>
    <w:pPr>
      <w:spacing w:after="200" w:line="240" w:lineRule="auto"/>
    </w:pPr>
    <w:rPr>
      <w:i/>
      <w:iCs/>
      <w:color w:val="44546A" w:themeColor="text2"/>
      <w:sz w:val="18"/>
      <w:szCs w:val="18"/>
    </w:rPr>
  </w:style>
  <w:style w:type="paragraph" w:styleId="EndnoteText">
    <w:name w:val="endnote text"/>
    <w:basedOn w:val="Normal"/>
    <w:link w:val="EndnoteTextChar"/>
    <w:uiPriority w:val="99"/>
    <w:semiHidden/>
    <w:unhideWhenUsed/>
    <w:rsid w:val="00484B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4B82"/>
    <w:rPr>
      <w:rFonts w:ascii="Times New Roman" w:hAnsi="Times New Roman"/>
      <w:sz w:val="20"/>
      <w:szCs w:val="20"/>
    </w:rPr>
  </w:style>
  <w:style w:type="character" w:styleId="EndnoteReference">
    <w:name w:val="endnote reference"/>
    <w:basedOn w:val="DefaultParagraphFont"/>
    <w:uiPriority w:val="99"/>
    <w:semiHidden/>
    <w:unhideWhenUsed/>
    <w:rsid w:val="00484B82"/>
    <w:rPr>
      <w:vertAlign w:val="superscript"/>
    </w:rPr>
  </w:style>
  <w:style w:type="character" w:customStyle="1" w:styleId="ListParagraphChar">
    <w:name w:val="List Paragraph Char"/>
    <w:aliases w:val="Normal bullet 2 Char,Bullet list Char,List Paragraph1 Char,Numbered List Char,1st level - Bullet List Paragraph Char,Lettre d'introduction Char,Paragrafo elenco Char,GSA List Char,Dot pt Char,F5 List Paragraph Char,Bullet 1 Char"/>
    <w:basedOn w:val="DefaultParagraphFont"/>
    <w:link w:val="ListParagraph"/>
    <w:uiPriority w:val="34"/>
    <w:locked/>
    <w:rsid w:val="00F12988"/>
    <w:rPr>
      <w:rFonts w:ascii="Times New Roman" w:hAnsi="Times New Roman"/>
    </w:rPr>
  </w:style>
  <w:style w:type="character" w:customStyle="1" w:styleId="UnresolvedMention1">
    <w:name w:val="Unresolved Mention1"/>
    <w:basedOn w:val="DefaultParagraphFont"/>
    <w:uiPriority w:val="99"/>
    <w:semiHidden/>
    <w:unhideWhenUsed/>
    <w:rsid w:val="00C458E7"/>
    <w:rPr>
      <w:color w:val="605E5C"/>
      <w:shd w:val="clear" w:color="auto" w:fill="E1DFDD"/>
    </w:rPr>
  </w:style>
  <w:style w:type="paragraph" w:customStyle="1" w:styleId="ep-wysiwigparagraph">
    <w:name w:val="ep-wysiwig_paragraph"/>
    <w:basedOn w:val="Normal"/>
    <w:rsid w:val="00DA777F"/>
    <w:pPr>
      <w:spacing w:before="100" w:beforeAutospacing="1" w:after="100" w:afterAutospacing="1" w:line="240" w:lineRule="auto"/>
    </w:pPr>
    <w:rPr>
      <w:rFonts w:ascii="Calibri" w:hAnsi="Calibri" w:cs="Calibri"/>
      <w:lang w:eastAsia="en-IE"/>
    </w:rPr>
  </w:style>
  <w:style w:type="character" w:customStyle="1" w:styleId="Mention1">
    <w:name w:val="Mention1"/>
    <w:basedOn w:val="DefaultParagraphFont"/>
    <w:uiPriority w:val="99"/>
    <w:unhideWhenUsed/>
    <w:rsid w:val="00154422"/>
    <w:rPr>
      <w:color w:val="2B579A"/>
      <w:shd w:val="clear" w:color="auto" w:fill="E6E6E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456A31"/>
    <w:pPr>
      <w:spacing w:line="240" w:lineRule="exact"/>
      <w:jc w:val="both"/>
    </w:pPr>
    <w:rPr>
      <w:rFonts w:asciiTheme="minorHAnsi" w:hAnsiTheme="minorHAnsi"/>
      <w:sz w:val="22"/>
      <w:vertAlign w:val="superscript"/>
    </w:rPr>
  </w:style>
  <w:style w:type="paragraph" w:customStyle="1" w:styleId="paragraph">
    <w:name w:val="paragraph"/>
    <w:basedOn w:val="Normal"/>
    <w:rsid w:val="00456A31"/>
    <w:pPr>
      <w:spacing w:before="100" w:beforeAutospacing="1" w:after="100" w:afterAutospacing="1" w:line="240" w:lineRule="auto"/>
    </w:pPr>
    <w:rPr>
      <w:rFonts w:eastAsia="Times New Roman" w:cs="Times New Roman"/>
      <w:szCs w:val="24"/>
      <w:lang w:eastAsia="en-IE"/>
    </w:rPr>
  </w:style>
  <w:style w:type="character" w:customStyle="1" w:styleId="normaltextrun">
    <w:name w:val="normaltextrun"/>
    <w:basedOn w:val="DefaultParagraphFont"/>
    <w:rsid w:val="00456A31"/>
  </w:style>
  <w:style w:type="character" w:customStyle="1" w:styleId="eop">
    <w:name w:val="eop"/>
    <w:basedOn w:val="DefaultParagraphFont"/>
    <w:rsid w:val="000422D1"/>
  </w:style>
  <w:style w:type="character" w:customStyle="1" w:styleId="Mention10">
    <w:name w:val="Mention10"/>
    <w:basedOn w:val="DefaultParagraphFont"/>
    <w:uiPriority w:val="99"/>
    <w:unhideWhenUsed/>
    <w:rsid w:val="00BE57DC"/>
    <w:rPr>
      <w:color w:val="2B579A"/>
      <w:shd w:val="clear" w:color="auto" w:fill="E6E6E6"/>
    </w:rPr>
  </w:style>
  <w:style w:type="character" w:customStyle="1" w:styleId="UnresolvedMention2">
    <w:name w:val="Unresolved Mention2"/>
    <w:basedOn w:val="DefaultParagraphFont"/>
    <w:uiPriority w:val="99"/>
    <w:semiHidden/>
    <w:unhideWhenUsed/>
    <w:rsid w:val="00BE57DC"/>
    <w:rPr>
      <w:color w:val="605E5C"/>
      <w:shd w:val="clear" w:color="auto" w:fill="E1DFDD"/>
    </w:rPr>
  </w:style>
  <w:style w:type="character" w:customStyle="1" w:styleId="UnresolvedMention3">
    <w:name w:val="Unresolved Mention3"/>
    <w:basedOn w:val="DefaultParagraphFont"/>
    <w:uiPriority w:val="99"/>
    <w:unhideWhenUsed/>
    <w:rsid w:val="00D75BCF"/>
    <w:rPr>
      <w:color w:val="605E5C"/>
      <w:shd w:val="clear" w:color="auto" w:fill="E1DFDD"/>
    </w:rPr>
  </w:style>
  <w:style w:type="character" w:customStyle="1" w:styleId="Mention2">
    <w:name w:val="Mention2"/>
    <w:basedOn w:val="DefaultParagraphFont"/>
    <w:uiPriority w:val="99"/>
    <w:unhideWhenUsed/>
    <w:rsid w:val="00D75BCF"/>
    <w:rPr>
      <w:color w:val="2B579A"/>
      <w:shd w:val="clear" w:color="auto" w:fill="E1DFDD"/>
    </w:rPr>
  </w:style>
  <w:style w:type="character" w:customStyle="1" w:styleId="UnresolvedMention4">
    <w:name w:val="Unresolved Mention4"/>
    <w:basedOn w:val="DefaultParagraphFont"/>
    <w:uiPriority w:val="99"/>
    <w:semiHidden/>
    <w:unhideWhenUsed/>
    <w:rsid w:val="009366E0"/>
    <w:rPr>
      <w:color w:val="605E5C"/>
      <w:shd w:val="clear" w:color="auto" w:fill="E1DFDD"/>
    </w:rPr>
  </w:style>
  <w:style w:type="character" w:customStyle="1" w:styleId="Mention3">
    <w:name w:val="Mention3"/>
    <w:basedOn w:val="DefaultParagraphFont"/>
    <w:uiPriority w:val="99"/>
    <w:unhideWhenUsed/>
    <w:rsid w:val="00DC6A2B"/>
    <w:rPr>
      <w:color w:val="2B579A"/>
      <w:shd w:val="clear" w:color="auto" w:fill="E1DFDD"/>
    </w:rPr>
  </w:style>
  <w:style w:type="character" w:customStyle="1" w:styleId="UnresolvedMention5">
    <w:name w:val="Unresolved Mention5"/>
    <w:basedOn w:val="DefaultParagraphFont"/>
    <w:uiPriority w:val="99"/>
    <w:semiHidden/>
    <w:unhideWhenUsed/>
    <w:rsid w:val="009B73B2"/>
    <w:rPr>
      <w:color w:val="605E5C"/>
      <w:shd w:val="clear" w:color="auto" w:fill="E1DFDD"/>
    </w:rPr>
  </w:style>
  <w:style w:type="character" w:customStyle="1" w:styleId="UnresolvedMention6">
    <w:name w:val="Unresolved Mention6"/>
    <w:basedOn w:val="DefaultParagraphFont"/>
    <w:uiPriority w:val="99"/>
    <w:semiHidden/>
    <w:unhideWhenUsed/>
    <w:rsid w:val="001D01E6"/>
    <w:rPr>
      <w:color w:val="605E5C"/>
      <w:shd w:val="clear" w:color="auto" w:fill="E1DFDD"/>
    </w:rPr>
  </w:style>
  <w:style w:type="character" w:customStyle="1" w:styleId="markedcontent">
    <w:name w:val="markedcontent"/>
    <w:basedOn w:val="DefaultParagraphFont"/>
    <w:rsid w:val="009C2A5E"/>
  </w:style>
  <w:style w:type="character" w:customStyle="1" w:styleId="highlight">
    <w:name w:val="highlight"/>
    <w:basedOn w:val="DefaultParagraphFont"/>
    <w:rsid w:val="009C2A5E"/>
  </w:style>
  <w:style w:type="character" w:customStyle="1" w:styleId="UnresolvedMention7">
    <w:name w:val="Unresolved Mention7"/>
    <w:basedOn w:val="DefaultParagraphFont"/>
    <w:uiPriority w:val="99"/>
    <w:semiHidden/>
    <w:unhideWhenUsed/>
    <w:rsid w:val="003533AB"/>
    <w:rPr>
      <w:color w:val="605E5C"/>
      <w:shd w:val="clear" w:color="auto" w:fill="E1DFDD"/>
    </w:rPr>
  </w:style>
  <w:style w:type="character" w:customStyle="1" w:styleId="UnresolvedMention8">
    <w:name w:val="Unresolved Mention8"/>
    <w:basedOn w:val="DefaultParagraphFont"/>
    <w:uiPriority w:val="99"/>
    <w:semiHidden/>
    <w:unhideWhenUsed/>
    <w:rsid w:val="00AC52DC"/>
    <w:rPr>
      <w:color w:val="605E5C"/>
      <w:shd w:val="clear" w:color="auto" w:fill="E1DFDD"/>
    </w:rPr>
  </w:style>
  <w:style w:type="paragraph" w:customStyle="1" w:styleId="Disclaimer">
    <w:name w:val="Disclaimer"/>
    <w:basedOn w:val="Normal"/>
    <w:rsid w:val="00B446D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rsid w:val="00B446D6"/>
    <w:pPr>
      <w:spacing w:after="0" w:line="276" w:lineRule="auto"/>
      <w:ind w:left="5103"/>
    </w:pPr>
    <w:rPr>
      <w:rFonts w:cs="Times New Roman"/>
      <w:sz w:val="28"/>
    </w:rPr>
  </w:style>
  <w:style w:type="paragraph" w:customStyle="1" w:styleId="DateMarking">
    <w:name w:val="DateMarking"/>
    <w:basedOn w:val="Normal"/>
    <w:rsid w:val="00B446D6"/>
    <w:pPr>
      <w:spacing w:after="0" w:line="276" w:lineRule="auto"/>
      <w:ind w:left="5103"/>
    </w:pPr>
    <w:rPr>
      <w:rFonts w:cs="Times New Roman"/>
      <w:i/>
      <w:sz w:val="28"/>
    </w:rPr>
  </w:style>
  <w:style w:type="paragraph" w:customStyle="1" w:styleId="ReleasableTo">
    <w:name w:val="ReleasableTo"/>
    <w:basedOn w:val="Normal"/>
    <w:rsid w:val="00B446D6"/>
    <w:pPr>
      <w:spacing w:after="0" w:line="276" w:lineRule="auto"/>
      <w:ind w:left="5103"/>
    </w:pPr>
    <w:rPr>
      <w:rFonts w:cs="Times New Roman"/>
      <w:i/>
      <w:sz w:val="28"/>
    </w:rPr>
  </w:style>
  <w:style w:type="character" w:customStyle="1" w:styleId="UnresolvedMention9">
    <w:name w:val="Unresolved Mention9"/>
    <w:basedOn w:val="DefaultParagraphFont"/>
    <w:uiPriority w:val="99"/>
    <w:semiHidden/>
    <w:unhideWhenUsed/>
    <w:rsid w:val="00A06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0065">
      <w:bodyDiv w:val="1"/>
      <w:marLeft w:val="0"/>
      <w:marRight w:val="0"/>
      <w:marTop w:val="0"/>
      <w:marBottom w:val="0"/>
      <w:divBdr>
        <w:top w:val="none" w:sz="0" w:space="0" w:color="auto"/>
        <w:left w:val="none" w:sz="0" w:space="0" w:color="auto"/>
        <w:bottom w:val="none" w:sz="0" w:space="0" w:color="auto"/>
        <w:right w:val="none" w:sz="0" w:space="0" w:color="auto"/>
      </w:divBdr>
    </w:div>
    <w:div w:id="17243492">
      <w:bodyDiv w:val="1"/>
      <w:marLeft w:val="0"/>
      <w:marRight w:val="0"/>
      <w:marTop w:val="0"/>
      <w:marBottom w:val="0"/>
      <w:divBdr>
        <w:top w:val="none" w:sz="0" w:space="0" w:color="auto"/>
        <w:left w:val="none" w:sz="0" w:space="0" w:color="auto"/>
        <w:bottom w:val="none" w:sz="0" w:space="0" w:color="auto"/>
        <w:right w:val="none" w:sz="0" w:space="0" w:color="auto"/>
      </w:divBdr>
    </w:div>
    <w:div w:id="39091511">
      <w:bodyDiv w:val="1"/>
      <w:marLeft w:val="0"/>
      <w:marRight w:val="0"/>
      <w:marTop w:val="0"/>
      <w:marBottom w:val="0"/>
      <w:divBdr>
        <w:top w:val="none" w:sz="0" w:space="0" w:color="auto"/>
        <w:left w:val="none" w:sz="0" w:space="0" w:color="auto"/>
        <w:bottom w:val="none" w:sz="0" w:space="0" w:color="auto"/>
        <w:right w:val="none" w:sz="0" w:space="0" w:color="auto"/>
      </w:divBdr>
    </w:div>
    <w:div w:id="87123530">
      <w:bodyDiv w:val="1"/>
      <w:marLeft w:val="0"/>
      <w:marRight w:val="0"/>
      <w:marTop w:val="0"/>
      <w:marBottom w:val="0"/>
      <w:divBdr>
        <w:top w:val="none" w:sz="0" w:space="0" w:color="auto"/>
        <w:left w:val="none" w:sz="0" w:space="0" w:color="auto"/>
        <w:bottom w:val="none" w:sz="0" w:space="0" w:color="auto"/>
        <w:right w:val="none" w:sz="0" w:space="0" w:color="auto"/>
      </w:divBdr>
    </w:div>
    <w:div w:id="121506860">
      <w:bodyDiv w:val="1"/>
      <w:marLeft w:val="0"/>
      <w:marRight w:val="0"/>
      <w:marTop w:val="0"/>
      <w:marBottom w:val="0"/>
      <w:divBdr>
        <w:top w:val="none" w:sz="0" w:space="0" w:color="auto"/>
        <w:left w:val="none" w:sz="0" w:space="0" w:color="auto"/>
        <w:bottom w:val="none" w:sz="0" w:space="0" w:color="auto"/>
        <w:right w:val="none" w:sz="0" w:space="0" w:color="auto"/>
      </w:divBdr>
    </w:div>
    <w:div w:id="148450873">
      <w:bodyDiv w:val="1"/>
      <w:marLeft w:val="0"/>
      <w:marRight w:val="0"/>
      <w:marTop w:val="0"/>
      <w:marBottom w:val="0"/>
      <w:divBdr>
        <w:top w:val="none" w:sz="0" w:space="0" w:color="auto"/>
        <w:left w:val="none" w:sz="0" w:space="0" w:color="auto"/>
        <w:bottom w:val="none" w:sz="0" w:space="0" w:color="auto"/>
        <w:right w:val="none" w:sz="0" w:space="0" w:color="auto"/>
      </w:divBdr>
    </w:div>
    <w:div w:id="203979356">
      <w:bodyDiv w:val="1"/>
      <w:marLeft w:val="0"/>
      <w:marRight w:val="0"/>
      <w:marTop w:val="0"/>
      <w:marBottom w:val="0"/>
      <w:divBdr>
        <w:top w:val="none" w:sz="0" w:space="0" w:color="auto"/>
        <w:left w:val="none" w:sz="0" w:space="0" w:color="auto"/>
        <w:bottom w:val="none" w:sz="0" w:space="0" w:color="auto"/>
        <w:right w:val="none" w:sz="0" w:space="0" w:color="auto"/>
      </w:divBdr>
    </w:div>
    <w:div w:id="238489375">
      <w:bodyDiv w:val="1"/>
      <w:marLeft w:val="0"/>
      <w:marRight w:val="0"/>
      <w:marTop w:val="0"/>
      <w:marBottom w:val="0"/>
      <w:divBdr>
        <w:top w:val="none" w:sz="0" w:space="0" w:color="auto"/>
        <w:left w:val="none" w:sz="0" w:space="0" w:color="auto"/>
        <w:bottom w:val="none" w:sz="0" w:space="0" w:color="auto"/>
        <w:right w:val="none" w:sz="0" w:space="0" w:color="auto"/>
      </w:divBdr>
    </w:div>
    <w:div w:id="251471455">
      <w:bodyDiv w:val="1"/>
      <w:marLeft w:val="0"/>
      <w:marRight w:val="0"/>
      <w:marTop w:val="0"/>
      <w:marBottom w:val="0"/>
      <w:divBdr>
        <w:top w:val="none" w:sz="0" w:space="0" w:color="auto"/>
        <w:left w:val="none" w:sz="0" w:space="0" w:color="auto"/>
        <w:bottom w:val="none" w:sz="0" w:space="0" w:color="auto"/>
        <w:right w:val="none" w:sz="0" w:space="0" w:color="auto"/>
      </w:divBdr>
    </w:div>
    <w:div w:id="274949544">
      <w:bodyDiv w:val="1"/>
      <w:marLeft w:val="0"/>
      <w:marRight w:val="0"/>
      <w:marTop w:val="0"/>
      <w:marBottom w:val="0"/>
      <w:divBdr>
        <w:top w:val="none" w:sz="0" w:space="0" w:color="auto"/>
        <w:left w:val="none" w:sz="0" w:space="0" w:color="auto"/>
        <w:bottom w:val="none" w:sz="0" w:space="0" w:color="auto"/>
        <w:right w:val="none" w:sz="0" w:space="0" w:color="auto"/>
      </w:divBdr>
    </w:div>
    <w:div w:id="283657753">
      <w:bodyDiv w:val="1"/>
      <w:marLeft w:val="0"/>
      <w:marRight w:val="0"/>
      <w:marTop w:val="0"/>
      <w:marBottom w:val="0"/>
      <w:divBdr>
        <w:top w:val="none" w:sz="0" w:space="0" w:color="auto"/>
        <w:left w:val="none" w:sz="0" w:space="0" w:color="auto"/>
        <w:bottom w:val="none" w:sz="0" w:space="0" w:color="auto"/>
        <w:right w:val="none" w:sz="0" w:space="0" w:color="auto"/>
      </w:divBdr>
    </w:div>
    <w:div w:id="310139020">
      <w:bodyDiv w:val="1"/>
      <w:marLeft w:val="0"/>
      <w:marRight w:val="0"/>
      <w:marTop w:val="0"/>
      <w:marBottom w:val="0"/>
      <w:divBdr>
        <w:top w:val="none" w:sz="0" w:space="0" w:color="auto"/>
        <w:left w:val="none" w:sz="0" w:space="0" w:color="auto"/>
        <w:bottom w:val="none" w:sz="0" w:space="0" w:color="auto"/>
        <w:right w:val="none" w:sz="0" w:space="0" w:color="auto"/>
      </w:divBdr>
    </w:div>
    <w:div w:id="348143410">
      <w:bodyDiv w:val="1"/>
      <w:marLeft w:val="0"/>
      <w:marRight w:val="0"/>
      <w:marTop w:val="0"/>
      <w:marBottom w:val="0"/>
      <w:divBdr>
        <w:top w:val="none" w:sz="0" w:space="0" w:color="auto"/>
        <w:left w:val="none" w:sz="0" w:space="0" w:color="auto"/>
        <w:bottom w:val="none" w:sz="0" w:space="0" w:color="auto"/>
        <w:right w:val="none" w:sz="0" w:space="0" w:color="auto"/>
      </w:divBdr>
    </w:div>
    <w:div w:id="357319660">
      <w:bodyDiv w:val="1"/>
      <w:marLeft w:val="0"/>
      <w:marRight w:val="0"/>
      <w:marTop w:val="0"/>
      <w:marBottom w:val="0"/>
      <w:divBdr>
        <w:top w:val="none" w:sz="0" w:space="0" w:color="auto"/>
        <w:left w:val="none" w:sz="0" w:space="0" w:color="auto"/>
        <w:bottom w:val="none" w:sz="0" w:space="0" w:color="auto"/>
        <w:right w:val="none" w:sz="0" w:space="0" w:color="auto"/>
      </w:divBdr>
    </w:div>
    <w:div w:id="362438019">
      <w:bodyDiv w:val="1"/>
      <w:marLeft w:val="0"/>
      <w:marRight w:val="0"/>
      <w:marTop w:val="0"/>
      <w:marBottom w:val="0"/>
      <w:divBdr>
        <w:top w:val="none" w:sz="0" w:space="0" w:color="auto"/>
        <w:left w:val="none" w:sz="0" w:space="0" w:color="auto"/>
        <w:bottom w:val="none" w:sz="0" w:space="0" w:color="auto"/>
        <w:right w:val="none" w:sz="0" w:space="0" w:color="auto"/>
      </w:divBdr>
    </w:div>
    <w:div w:id="386489156">
      <w:bodyDiv w:val="1"/>
      <w:marLeft w:val="0"/>
      <w:marRight w:val="0"/>
      <w:marTop w:val="0"/>
      <w:marBottom w:val="0"/>
      <w:divBdr>
        <w:top w:val="none" w:sz="0" w:space="0" w:color="auto"/>
        <w:left w:val="none" w:sz="0" w:space="0" w:color="auto"/>
        <w:bottom w:val="none" w:sz="0" w:space="0" w:color="auto"/>
        <w:right w:val="none" w:sz="0" w:space="0" w:color="auto"/>
      </w:divBdr>
    </w:div>
    <w:div w:id="392849391">
      <w:bodyDiv w:val="1"/>
      <w:marLeft w:val="0"/>
      <w:marRight w:val="0"/>
      <w:marTop w:val="0"/>
      <w:marBottom w:val="0"/>
      <w:divBdr>
        <w:top w:val="none" w:sz="0" w:space="0" w:color="auto"/>
        <w:left w:val="none" w:sz="0" w:space="0" w:color="auto"/>
        <w:bottom w:val="none" w:sz="0" w:space="0" w:color="auto"/>
        <w:right w:val="none" w:sz="0" w:space="0" w:color="auto"/>
      </w:divBdr>
    </w:div>
    <w:div w:id="465977576">
      <w:bodyDiv w:val="1"/>
      <w:marLeft w:val="0"/>
      <w:marRight w:val="0"/>
      <w:marTop w:val="0"/>
      <w:marBottom w:val="0"/>
      <w:divBdr>
        <w:top w:val="none" w:sz="0" w:space="0" w:color="auto"/>
        <w:left w:val="none" w:sz="0" w:space="0" w:color="auto"/>
        <w:bottom w:val="none" w:sz="0" w:space="0" w:color="auto"/>
        <w:right w:val="none" w:sz="0" w:space="0" w:color="auto"/>
      </w:divBdr>
      <w:divsChild>
        <w:div w:id="34741450">
          <w:marLeft w:val="446"/>
          <w:marRight w:val="0"/>
          <w:marTop w:val="100"/>
          <w:marBottom w:val="0"/>
          <w:divBdr>
            <w:top w:val="none" w:sz="0" w:space="0" w:color="auto"/>
            <w:left w:val="none" w:sz="0" w:space="0" w:color="auto"/>
            <w:bottom w:val="none" w:sz="0" w:space="0" w:color="auto"/>
            <w:right w:val="none" w:sz="0" w:space="0" w:color="auto"/>
          </w:divBdr>
        </w:div>
        <w:div w:id="81993050">
          <w:marLeft w:val="446"/>
          <w:marRight w:val="0"/>
          <w:marTop w:val="100"/>
          <w:marBottom w:val="0"/>
          <w:divBdr>
            <w:top w:val="none" w:sz="0" w:space="0" w:color="auto"/>
            <w:left w:val="none" w:sz="0" w:space="0" w:color="auto"/>
            <w:bottom w:val="none" w:sz="0" w:space="0" w:color="auto"/>
            <w:right w:val="none" w:sz="0" w:space="0" w:color="auto"/>
          </w:divBdr>
        </w:div>
        <w:div w:id="422266949">
          <w:marLeft w:val="446"/>
          <w:marRight w:val="0"/>
          <w:marTop w:val="100"/>
          <w:marBottom w:val="0"/>
          <w:divBdr>
            <w:top w:val="none" w:sz="0" w:space="0" w:color="auto"/>
            <w:left w:val="none" w:sz="0" w:space="0" w:color="auto"/>
            <w:bottom w:val="none" w:sz="0" w:space="0" w:color="auto"/>
            <w:right w:val="none" w:sz="0" w:space="0" w:color="auto"/>
          </w:divBdr>
        </w:div>
        <w:div w:id="648362964">
          <w:marLeft w:val="446"/>
          <w:marRight w:val="0"/>
          <w:marTop w:val="100"/>
          <w:marBottom w:val="0"/>
          <w:divBdr>
            <w:top w:val="none" w:sz="0" w:space="0" w:color="auto"/>
            <w:left w:val="none" w:sz="0" w:space="0" w:color="auto"/>
            <w:bottom w:val="none" w:sz="0" w:space="0" w:color="auto"/>
            <w:right w:val="none" w:sz="0" w:space="0" w:color="auto"/>
          </w:divBdr>
        </w:div>
        <w:div w:id="733435430">
          <w:marLeft w:val="446"/>
          <w:marRight w:val="0"/>
          <w:marTop w:val="100"/>
          <w:marBottom w:val="0"/>
          <w:divBdr>
            <w:top w:val="none" w:sz="0" w:space="0" w:color="auto"/>
            <w:left w:val="none" w:sz="0" w:space="0" w:color="auto"/>
            <w:bottom w:val="none" w:sz="0" w:space="0" w:color="auto"/>
            <w:right w:val="none" w:sz="0" w:space="0" w:color="auto"/>
          </w:divBdr>
        </w:div>
        <w:div w:id="776557298">
          <w:marLeft w:val="446"/>
          <w:marRight w:val="0"/>
          <w:marTop w:val="100"/>
          <w:marBottom w:val="0"/>
          <w:divBdr>
            <w:top w:val="none" w:sz="0" w:space="0" w:color="auto"/>
            <w:left w:val="none" w:sz="0" w:space="0" w:color="auto"/>
            <w:bottom w:val="none" w:sz="0" w:space="0" w:color="auto"/>
            <w:right w:val="none" w:sz="0" w:space="0" w:color="auto"/>
          </w:divBdr>
        </w:div>
        <w:div w:id="1266503631">
          <w:marLeft w:val="446"/>
          <w:marRight w:val="0"/>
          <w:marTop w:val="100"/>
          <w:marBottom w:val="0"/>
          <w:divBdr>
            <w:top w:val="none" w:sz="0" w:space="0" w:color="auto"/>
            <w:left w:val="none" w:sz="0" w:space="0" w:color="auto"/>
            <w:bottom w:val="none" w:sz="0" w:space="0" w:color="auto"/>
            <w:right w:val="none" w:sz="0" w:space="0" w:color="auto"/>
          </w:divBdr>
        </w:div>
        <w:div w:id="1564565538">
          <w:marLeft w:val="446"/>
          <w:marRight w:val="0"/>
          <w:marTop w:val="100"/>
          <w:marBottom w:val="0"/>
          <w:divBdr>
            <w:top w:val="none" w:sz="0" w:space="0" w:color="auto"/>
            <w:left w:val="none" w:sz="0" w:space="0" w:color="auto"/>
            <w:bottom w:val="none" w:sz="0" w:space="0" w:color="auto"/>
            <w:right w:val="none" w:sz="0" w:space="0" w:color="auto"/>
          </w:divBdr>
        </w:div>
      </w:divsChild>
    </w:div>
    <w:div w:id="491678387">
      <w:bodyDiv w:val="1"/>
      <w:marLeft w:val="0"/>
      <w:marRight w:val="0"/>
      <w:marTop w:val="0"/>
      <w:marBottom w:val="0"/>
      <w:divBdr>
        <w:top w:val="none" w:sz="0" w:space="0" w:color="auto"/>
        <w:left w:val="none" w:sz="0" w:space="0" w:color="auto"/>
        <w:bottom w:val="none" w:sz="0" w:space="0" w:color="auto"/>
        <w:right w:val="none" w:sz="0" w:space="0" w:color="auto"/>
      </w:divBdr>
    </w:div>
    <w:div w:id="496649230">
      <w:bodyDiv w:val="1"/>
      <w:marLeft w:val="0"/>
      <w:marRight w:val="0"/>
      <w:marTop w:val="0"/>
      <w:marBottom w:val="0"/>
      <w:divBdr>
        <w:top w:val="none" w:sz="0" w:space="0" w:color="auto"/>
        <w:left w:val="none" w:sz="0" w:space="0" w:color="auto"/>
        <w:bottom w:val="none" w:sz="0" w:space="0" w:color="auto"/>
        <w:right w:val="none" w:sz="0" w:space="0" w:color="auto"/>
      </w:divBdr>
    </w:div>
    <w:div w:id="511917673">
      <w:bodyDiv w:val="1"/>
      <w:marLeft w:val="0"/>
      <w:marRight w:val="0"/>
      <w:marTop w:val="0"/>
      <w:marBottom w:val="0"/>
      <w:divBdr>
        <w:top w:val="none" w:sz="0" w:space="0" w:color="auto"/>
        <w:left w:val="none" w:sz="0" w:space="0" w:color="auto"/>
        <w:bottom w:val="none" w:sz="0" w:space="0" w:color="auto"/>
        <w:right w:val="none" w:sz="0" w:space="0" w:color="auto"/>
      </w:divBdr>
    </w:div>
    <w:div w:id="542401762">
      <w:bodyDiv w:val="1"/>
      <w:marLeft w:val="0"/>
      <w:marRight w:val="0"/>
      <w:marTop w:val="0"/>
      <w:marBottom w:val="0"/>
      <w:divBdr>
        <w:top w:val="none" w:sz="0" w:space="0" w:color="auto"/>
        <w:left w:val="none" w:sz="0" w:space="0" w:color="auto"/>
        <w:bottom w:val="none" w:sz="0" w:space="0" w:color="auto"/>
        <w:right w:val="none" w:sz="0" w:space="0" w:color="auto"/>
      </w:divBdr>
    </w:div>
    <w:div w:id="573465685">
      <w:bodyDiv w:val="1"/>
      <w:marLeft w:val="0"/>
      <w:marRight w:val="0"/>
      <w:marTop w:val="0"/>
      <w:marBottom w:val="0"/>
      <w:divBdr>
        <w:top w:val="none" w:sz="0" w:space="0" w:color="auto"/>
        <w:left w:val="none" w:sz="0" w:space="0" w:color="auto"/>
        <w:bottom w:val="none" w:sz="0" w:space="0" w:color="auto"/>
        <w:right w:val="none" w:sz="0" w:space="0" w:color="auto"/>
      </w:divBdr>
    </w:div>
    <w:div w:id="607204413">
      <w:bodyDiv w:val="1"/>
      <w:marLeft w:val="0"/>
      <w:marRight w:val="0"/>
      <w:marTop w:val="0"/>
      <w:marBottom w:val="0"/>
      <w:divBdr>
        <w:top w:val="none" w:sz="0" w:space="0" w:color="auto"/>
        <w:left w:val="none" w:sz="0" w:space="0" w:color="auto"/>
        <w:bottom w:val="none" w:sz="0" w:space="0" w:color="auto"/>
        <w:right w:val="none" w:sz="0" w:space="0" w:color="auto"/>
      </w:divBdr>
    </w:div>
    <w:div w:id="607472615">
      <w:bodyDiv w:val="1"/>
      <w:marLeft w:val="0"/>
      <w:marRight w:val="0"/>
      <w:marTop w:val="0"/>
      <w:marBottom w:val="0"/>
      <w:divBdr>
        <w:top w:val="none" w:sz="0" w:space="0" w:color="auto"/>
        <w:left w:val="none" w:sz="0" w:space="0" w:color="auto"/>
        <w:bottom w:val="none" w:sz="0" w:space="0" w:color="auto"/>
        <w:right w:val="none" w:sz="0" w:space="0" w:color="auto"/>
      </w:divBdr>
    </w:div>
    <w:div w:id="622226536">
      <w:bodyDiv w:val="1"/>
      <w:marLeft w:val="0"/>
      <w:marRight w:val="0"/>
      <w:marTop w:val="0"/>
      <w:marBottom w:val="0"/>
      <w:divBdr>
        <w:top w:val="none" w:sz="0" w:space="0" w:color="auto"/>
        <w:left w:val="none" w:sz="0" w:space="0" w:color="auto"/>
        <w:bottom w:val="none" w:sz="0" w:space="0" w:color="auto"/>
        <w:right w:val="none" w:sz="0" w:space="0" w:color="auto"/>
      </w:divBdr>
    </w:div>
    <w:div w:id="626592264">
      <w:bodyDiv w:val="1"/>
      <w:marLeft w:val="0"/>
      <w:marRight w:val="0"/>
      <w:marTop w:val="0"/>
      <w:marBottom w:val="0"/>
      <w:divBdr>
        <w:top w:val="none" w:sz="0" w:space="0" w:color="auto"/>
        <w:left w:val="none" w:sz="0" w:space="0" w:color="auto"/>
        <w:bottom w:val="none" w:sz="0" w:space="0" w:color="auto"/>
        <w:right w:val="none" w:sz="0" w:space="0" w:color="auto"/>
      </w:divBdr>
    </w:div>
    <w:div w:id="675546527">
      <w:bodyDiv w:val="1"/>
      <w:marLeft w:val="0"/>
      <w:marRight w:val="0"/>
      <w:marTop w:val="0"/>
      <w:marBottom w:val="0"/>
      <w:divBdr>
        <w:top w:val="none" w:sz="0" w:space="0" w:color="auto"/>
        <w:left w:val="none" w:sz="0" w:space="0" w:color="auto"/>
        <w:bottom w:val="none" w:sz="0" w:space="0" w:color="auto"/>
        <w:right w:val="none" w:sz="0" w:space="0" w:color="auto"/>
      </w:divBdr>
    </w:div>
    <w:div w:id="764888101">
      <w:bodyDiv w:val="1"/>
      <w:marLeft w:val="0"/>
      <w:marRight w:val="0"/>
      <w:marTop w:val="0"/>
      <w:marBottom w:val="0"/>
      <w:divBdr>
        <w:top w:val="none" w:sz="0" w:space="0" w:color="auto"/>
        <w:left w:val="none" w:sz="0" w:space="0" w:color="auto"/>
        <w:bottom w:val="none" w:sz="0" w:space="0" w:color="auto"/>
        <w:right w:val="none" w:sz="0" w:space="0" w:color="auto"/>
      </w:divBdr>
    </w:div>
    <w:div w:id="829447159">
      <w:bodyDiv w:val="1"/>
      <w:marLeft w:val="0"/>
      <w:marRight w:val="0"/>
      <w:marTop w:val="0"/>
      <w:marBottom w:val="0"/>
      <w:divBdr>
        <w:top w:val="none" w:sz="0" w:space="0" w:color="auto"/>
        <w:left w:val="none" w:sz="0" w:space="0" w:color="auto"/>
        <w:bottom w:val="none" w:sz="0" w:space="0" w:color="auto"/>
        <w:right w:val="none" w:sz="0" w:space="0" w:color="auto"/>
      </w:divBdr>
    </w:div>
    <w:div w:id="832719205">
      <w:bodyDiv w:val="1"/>
      <w:marLeft w:val="0"/>
      <w:marRight w:val="0"/>
      <w:marTop w:val="0"/>
      <w:marBottom w:val="0"/>
      <w:divBdr>
        <w:top w:val="none" w:sz="0" w:space="0" w:color="auto"/>
        <w:left w:val="none" w:sz="0" w:space="0" w:color="auto"/>
        <w:bottom w:val="none" w:sz="0" w:space="0" w:color="auto"/>
        <w:right w:val="none" w:sz="0" w:space="0" w:color="auto"/>
      </w:divBdr>
    </w:div>
    <w:div w:id="890532949">
      <w:bodyDiv w:val="1"/>
      <w:marLeft w:val="0"/>
      <w:marRight w:val="0"/>
      <w:marTop w:val="0"/>
      <w:marBottom w:val="0"/>
      <w:divBdr>
        <w:top w:val="none" w:sz="0" w:space="0" w:color="auto"/>
        <w:left w:val="none" w:sz="0" w:space="0" w:color="auto"/>
        <w:bottom w:val="none" w:sz="0" w:space="0" w:color="auto"/>
        <w:right w:val="none" w:sz="0" w:space="0" w:color="auto"/>
      </w:divBdr>
    </w:div>
    <w:div w:id="920990983">
      <w:bodyDiv w:val="1"/>
      <w:marLeft w:val="0"/>
      <w:marRight w:val="0"/>
      <w:marTop w:val="0"/>
      <w:marBottom w:val="0"/>
      <w:divBdr>
        <w:top w:val="none" w:sz="0" w:space="0" w:color="auto"/>
        <w:left w:val="none" w:sz="0" w:space="0" w:color="auto"/>
        <w:bottom w:val="none" w:sz="0" w:space="0" w:color="auto"/>
        <w:right w:val="none" w:sz="0" w:space="0" w:color="auto"/>
      </w:divBdr>
    </w:div>
    <w:div w:id="921375154">
      <w:bodyDiv w:val="1"/>
      <w:marLeft w:val="0"/>
      <w:marRight w:val="0"/>
      <w:marTop w:val="0"/>
      <w:marBottom w:val="0"/>
      <w:divBdr>
        <w:top w:val="none" w:sz="0" w:space="0" w:color="auto"/>
        <w:left w:val="none" w:sz="0" w:space="0" w:color="auto"/>
        <w:bottom w:val="none" w:sz="0" w:space="0" w:color="auto"/>
        <w:right w:val="none" w:sz="0" w:space="0" w:color="auto"/>
      </w:divBdr>
    </w:div>
    <w:div w:id="926618944">
      <w:bodyDiv w:val="1"/>
      <w:marLeft w:val="0"/>
      <w:marRight w:val="0"/>
      <w:marTop w:val="0"/>
      <w:marBottom w:val="0"/>
      <w:divBdr>
        <w:top w:val="none" w:sz="0" w:space="0" w:color="auto"/>
        <w:left w:val="none" w:sz="0" w:space="0" w:color="auto"/>
        <w:bottom w:val="none" w:sz="0" w:space="0" w:color="auto"/>
        <w:right w:val="none" w:sz="0" w:space="0" w:color="auto"/>
      </w:divBdr>
    </w:div>
    <w:div w:id="929200771">
      <w:bodyDiv w:val="1"/>
      <w:marLeft w:val="0"/>
      <w:marRight w:val="0"/>
      <w:marTop w:val="0"/>
      <w:marBottom w:val="0"/>
      <w:divBdr>
        <w:top w:val="none" w:sz="0" w:space="0" w:color="auto"/>
        <w:left w:val="none" w:sz="0" w:space="0" w:color="auto"/>
        <w:bottom w:val="none" w:sz="0" w:space="0" w:color="auto"/>
        <w:right w:val="none" w:sz="0" w:space="0" w:color="auto"/>
      </w:divBdr>
    </w:div>
    <w:div w:id="946086204">
      <w:bodyDiv w:val="1"/>
      <w:marLeft w:val="0"/>
      <w:marRight w:val="0"/>
      <w:marTop w:val="0"/>
      <w:marBottom w:val="0"/>
      <w:divBdr>
        <w:top w:val="none" w:sz="0" w:space="0" w:color="auto"/>
        <w:left w:val="none" w:sz="0" w:space="0" w:color="auto"/>
        <w:bottom w:val="none" w:sz="0" w:space="0" w:color="auto"/>
        <w:right w:val="none" w:sz="0" w:space="0" w:color="auto"/>
      </w:divBdr>
    </w:div>
    <w:div w:id="1018578327">
      <w:bodyDiv w:val="1"/>
      <w:marLeft w:val="0"/>
      <w:marRight w:val="0"/>
      <w:marTop w:val="0"/>
      <w:marBottom w:val="0"/>
      <w:divBdr>
        <w:top w:val="none" w:sz="0" w:space="0" w:color="auto"/>
        <w:left w:val="none" w:sz="0" w:space="0" w:color="auto"/>
        <w:bottom w:val="none" w:sz="0" w:space="0" w:color="auto"/>
        <w:right w:val="none" w:sz="0" w:space="0" w:color="auto"/>
      </w:divBdr>
    </w:div>
    <w:div w:id="1027604540">
      <w:bodyDiv w:val="1"/>
      <w:marLeft w:val="0"/>
      <w:marRight w:val="0"/>
      <w:marTop w:val="0"/>
      <w:marBottom w:val="0"/>
      <w:divBdr>
        <w:top w:val="none" w:sz="0" w:space="0" w:color="auto"/>
        <w:left w:val="none" w:sz="0" w:space="0" w:color="auto"/>
        <w:bottom w:val="none" w:sz="0" w:space="0" w:color="auto"/>
        <w:right w:val="none" w:sz="0" w:space="0" w:color="auto"/>
      </w:divBdr>
    </w:div>
    <w:div w:id="1082525715">
      <w:bodyDiv w:val="1"/>
      <w:marLeft w:val="0"/>
      <w:marRight w:val="0"/>
      <w:marTop w:val="0"/>
      <w:marBottom w:val="0"/>
      <w:divBdr>
        <w:top w:val="none" w:sz="0" w:space="0" w:color="auto"/>
        <w:left w:val="none" w:sz="0" w:space="0" w:color="auto"/>
        <w:bottom w:val="none" w:sz="0" w:space="0" w:color="auto"/>
        <w:right w:val="none" w:sz="0" w:space="0" w:color="auto"/>
      </w:divBdr>
    </w:div>
    <w:div w:id="1105341070">
      <w:bodyDiv w:val="1"/>
      <w:marLeft w:val="0"/>
      <w:marRight w:val="0"/>
      <w:marTop w:val="0"/>
      <w:marBottom w:val="0"/>
      <w:divBdr>
        <w:top w:val="none" w:sz="0" w:space="0" w:color="auto"/>
        <w:left w:val="none" w:sz="0" w:space="0" w:color="auto"/>
        <w:bottom w:val="none" w:sz="0" w:space="0" w:color="auto"/>
        <w:right w:val="none" w:sz="0" w:space="0" w:color="auto"/>
      </w:divBdr>
    </w:div>
    <w:div w:id="1144736744">
      <w:bodyDiv w:val="1"/>
      <w:marLeft w:val="0"/>
      <w:marRight w:val="0"/>
      <w:marTop w:val="0"/>
      <w:marBottom w:val="0"/>
      <w:divBdr>
        <w:top w:val="none" w:sz="0" w:space="0" w:color="auto"/>
        <w:left w:val="none" w:sz="0" w:space="0" w:color="auto"/>
        <w:bottom w:val="none" w:sz="0" w:space="0" w:color="auto"/>
        <w:right w:val="none" w:sz="0" w:space="0" w:color="auto"/>
      </w:divBdr>
    </w:div>
    <w:div w:id="1157652666">
      <w:bodyDiv w:val="1"/>
      <w:marLeft w:val="0"/>
      <w:marRight w:val="0"/>
      <w:marTop w:val="0"/>
      <w:marBottom w:val="0"/>
      <w:divBdr>
        <w:top w:val="none" w:sz="0" w:space="0" w:color="auto"/>
        <w:left w:val="none" w:sz="0" w:space="0" w:color="auto"/>
        <w:bottom w:val="none" w:sz="0" w:space="0" w:color="auto"/>
        <w:right w:val="none" w:sz="0" w:space="0" w:color="auto"/>
      </w:divBdr>
    </w:div>
    <w:div w:id="1161656417">
      <w:bodyDiv w:val="1"/>
      <w:marLeft w:val="0"/>
      <w:marRight w:val="0"/>
      <w:marTop w:val="0"/>
      <w:marBottom w:val="0"/>
      <w:divBdr>
        <w:top w:val="none" w:sz="0" w:space="0" w:color="auto"/>
        <w:left w:val="none" w:sz="0" w:space="0" w:color="auto"/>
        <w:bottom w:val="none" w:sz="0" w:space="0" w:color="auto"/>
        <w:right w:val="none" w:sz="0" w:space="0" w:color="auto"/>
      </w:divBdr>
    </w:div>
    <w:div w:id="1172717358">
      <w:bodyDiv w:val="1"/>
      <w:marLeft w:val="0"/>
      <w:marRight w:val="0"/>
      <w:marTop w:val="0"/>
      <w:marBottom w:val="0"/>
      <w:divBdr>
        <w:top w:val="none" w:sz="0" w:space="0" w:color="auto"/>
        <w:left w:val="none" w:sz="0" w:space="0" w:color="auto"/>
        <w:bottom w:val="none" w:sz="0" w:space="0" w:color="auto"/>
        <w:right w:val="none" w:sz="0" w:space="0" w:color="auto"/>
      </w:divBdr>
    </w:div>
    <w:div w:id="1180200174">
      <w:bodyDiv w:val="1"/>
      <w:marLeft w:val="0"/>
      <w:marRight w:val="0"/>
      <w:marTop w:val="0"/>
      <w:marBottom w:val="0"/>
      <w:divBdr>
        <w:top w:val="none" w:sz="0" w:space="0" w:color="auto"/>
        <w:left w:val="none" w:sz="0" w:space="0" w:color="auto"/>
        <w:bottom w:val="none" w:sz="0" w:space="0" w:color="auto"/>
        <w:right w:val="none" w:sz="0" w:space="0" w:color="auto"/>
      </w:divBdr>
    </w:div>
    <w:div w:id="1194197368">
      <w:bodyDiv w:val="1"/>
      <w:marLeft w:val="0"/>
      <w:marRight w:val="0"/>
      <w:marTop w:val="0"/>
      <w:marBottom w:val="0"/>
      <w:divBdr>
        <w:top w:val="none" w:sz="0" w:space="0" w:color="auto"/>
        <w:left w:val="none" w:sz="0" w:space="0" w:color="auto"/>
        <w:bottom w:val="none" w:sz="0" w:space="0" w:color="auto"/>
        <w:right w:val="none" w:sz="0" w:space="0" w:color="auto"/>
      </w:divBdr>
    </w:div>
    <w:div w:id="1217349973">
      <w:bodyDiv w:val="1"/>
      <w:marLeft w:val="0"/>
      <w:marRight w:val="0"/>
      <w:marTop w:val="0"/>
      <w:marBottom w:val="0"/>
      <w:divBdr>
        <w:top w:val="none" w:sz="0" w:space="0" w:color="auto"/>
        <w:left w:val="none" w:sz="0" w:space="0" w:color="auto"/>
        <w:bottom w:val="none" w:sz="0" w:space="0" w:color="auto"/>
        <w:right w:val="none" w:sz="0" w:space="0" w:color="auto"/>
      </w:divBdr>
    </w:div>
    <w:div w:id="1232689733">
      <w:bodyDiv w:val="1"/>
      <w:marLeft w:val="0"/>
      <w:marRight w:val="0"/>
      <w:marTop w:val="0"/>
      <w:marBottom w:val="0"/>
      <w:divBdr>
        <w:top w:val="none" w:sz="0" w:space="0" w:color="auto"/>
        <w:left w:val="none" w:sz="0" w:space="0" w:color="auto"/>
        <w:bottom w:val="none" w:sz="0" w:space="0" w:color="auto"/>
        <w:right w:val="none" w:sz="0" w:space="0" w:color="auto"/>
      </w:divBdr>
    </w:div>
    <w:div w:id="1244216363">
      <w:bodyDiv w:val="1"/>
      <w:marLeft w:val="0"/>
      <w:marRight w:val="0"/>
      <w:marTop w:val="0"/>
      <w:marBottom w:val="0"/>
      <w:divBdr>
        <w:top w:val="none" w:sz="0" w:space="0" w:color="auto"/>
        <w:left w:val="none" w:sz="0" w:space="0" w:color="auto"/>
        <w:bottom w:val="none" w:sz="0" w:space="0" w:color="auto"/>
        <w:right w:val="none" w:sz="0" w:space="0" w:color="auto"/>
      </w:divBdr>
    </w:div>
    <w:div w:id="1287348395">
      <w:bodyDiv w:val="1"/>
      <w:marLeft w:val="0"/>
      <w:marRight w:val="0"/>
      <w:marTop w:val="0"/>
      <w:marBottom w:val="0"/>
      <w:divBdr>
        <w:top w:val="none" w:sz="0" w:space="0" w:color="auto"/>
        <w:left w:val="none" w:sz="0" w:space="0" w:color="auto"/>
        <w:bottom w:val="none" w:sz="0" w:space="0" w:color="auto"/>
        <w:right w:val="none" w:sz="0" w:space="0" w:color="auto"/>
      </w:divBdr>
    </w:div>
    <w:div w:id="1295940977">
      <w:bodyDiv w:val="1"/>
      <w:marLeft w:val="0"/>
      <w:marRight w:val="0"/>
      <w:marTop w:val="0"/>
      <w:marBottom w:val="0"/>
      <w:divBdr>
        <w:top w:val="none" w:sz="0" w:space="0" w:color="auto"/>
        <w:left w:val="none" w:sz="0" w:space="0" w:color="auto"/>
        <w:bottom w:val="none" w:sz="0" w:space="0" w:color="auto"/>
        <w:right w:val="none" w:sz="0" w:space="0" w:color="auto"/>
      </w:divBdr>
    </w:div>
    <w:div w:id="1310937845">
      <w:bodyDiv w:val="1"/>
      <w:marLeft w:val="0"/>
      <w:marRight w:val="0"/>
      <w:marTop w:val="0"/>
      <w:marBottom w:val="0"/>
      <w:divBdr>
        <w:top w:val="none" w:sz="0" w:space="0" w:color="auto"/>
        <w:left w:val="none" w:sz="0" w:space="0" w:color="auto"/>
        <w:bottom w:val="none" w:sz="0" w:space="0" w:color="auto"/>
        <w:right w:val="none" w:sz="0" w:space="0" w:color="auto"/>
      </w:divBdr>
    </w:div>
    <w:div w:id="1334988414">
      <w:bodyDiv w:val="1"/>
      <w:marLeft w:val="0"/>
      <w:marRight w:val="0"/>
      <w:marTop w:val="0"/>
      <w:marBottom w:val="0"/>
      <w:divBdr>
        <w:top w:val="none" w:sz="0" w:space="0" w:color="auto"/>
        <w:left w:val="none" w:sz="0" w:space="0" w:color="auto"/>
        <w:bottom w:val="none" w:sz="0" w:space="0" w:color="auto"/>
        <w:right w:val="none" w:sz="0" w:space="0" w:color="auto"/>
      </w:divBdr>
    </w:div>
    <w:div w:id="1392077723">
      <w:bodyDiv w:val="1"/>
      <w:marLeft w:val="0"/>
      <w:marRight w:val="0"/>
      <w:marTop w:val="0"/>
      <w:marBottom w:val="0"/>
      <w:divBdr>
        <w:top w:val="none" w:sz="0" w:space="0" w:color="auto"/>
        <w:left w:val="none" w:sz="0" w:space="0" w:color="auto"/>
        <w:bottom w:val="none" w:sz="0" w:space="0" w:color="auto"/>
        <w:right w:val="none" w:sz="0" w:space="0" w:color="auto"/>
      </w:divBdr>
    </w:div>
    <w:div w:id="1403060414">
      <w:bodyDiv w:val="1"/>
      <w:marLeft w:val="0"/>
      <w:marRight w:val="0"/>
      <w:marTop w:val="0"/>
      <w:marBottom w:val="0"/>
      <w:divBdr>
        <w:top w:val="none" w:sz="0" w:space="0" w:color="auto"/>
        <w:left w:val="none" w:sz="0" w:space="0" w:color="auto"/>
        <w:bottom w:val="none" w:sz="0" w:space="0" w:color="auto"/>
        <w:right w:val="none" w:sz="0" w:space="0" w:color="auto"/>
      </w:divBdr>
    </w:div>
    <w:div w:id="1408500997">
      <w:bodyDiv w:val="1"/>
      <w:marLeft w:val="0"/>
      <w:marRight w:val="0"/>
      <w:marTop w:val="0"/>
      <w:marBottom w:val="0"/>
      <w:divBdr>
        <w:top w:val="none" w:sz="0" w:space="0" w:color="auto"/>
        <w:left w:val="none" w:sz="0" w:space="0" w:color="auto"/>
        <w:bottom w:val="none" w:sz="0" w:space="0" w:color="auto"/>
        <w:right w:val="none" w:sz="0" w:space="0" w:color="auto"/>
      </w:divBdr>
    </w:div>
    <w:div w:id="1410077314">
      <w:bodyDiv w:val="1"/>
      <w:marLeft w:val="0"/>
      <w:marRight w:val="0"/>
      <w:marTop w:val="0"/>
      <w:marBottom w:val="0"/>
      <w:divBdr>
        <w:top w:val="none" w:sz="0" w:space="0" w:color="auto"/>
        <w:left w:val="none" w:sz="0" w:space="0" w:color="auto"/>
        <w:bottom w:val="none" w:sz="0" w:space="0" w:color="auto"/>
        <w:right w:val="none" w:sz="0" w:space="0" w:color="auto"/>
      </w:divBdr>
    </w:div>
    <w:div w:id="1427114571">
      <w:bodyDiv w:val="1"/>
      <w:marLeft w:val="0"/>
      <w:marRight w:val="0"/>
      <w:marTop w:val="0"/>
      <w:marBottom w:val="0"/>
      <w:divBdr>
        <w:top w:val="none" w:sz="0" w:space="0" w:color="auto"/>
        <w:left w:val="none" w:sz="0" w:space="0" w:color="auto"/>
        <w:bottom w:val="none" w:sz="0" w:space="0" w:color="auto"/>
        <w:right w:val="none" w:sz="0" w:space="0" w:color="auto"/>
      </w:divBdr>
    </w:div>
    <w:div w:id="1447700252">
      <w:bodyDiv w:val="1"/>
      <w:marLeft w:val="0"/>
      <w:marRight w:val="0"/>
      <w:marTop w:val="0"/>
      <w:marBottom w:val="0"/>
      <w:divBdr>
        <w:top w:val="none" w:sz="0" w:space="0" w:color="auto"/>
        <w:left w:val="none" w:sz="0" w:space="0" w:color="auto"/>
        <w:bottom w:val="none" w:sz="0" w:space="0" w:color="auto"/>
        <w:right w:val="none" w:sz="0" w:space="0" w:color="auto"/>
      </w:divBdr>
    </w:div>
    <w:div w:id="1449592385">
      <w:bodyDiv w:val="1"/>
      <w:marLeft w:val="0"/>
      <w:marRight w:val="0"/>
      <w:marTop w:val="0"/>
      <w:marBottom w:val="0"/>
      <w:divBdr>
        <w:top w:val="none" w:sz="0" w:space="0" w:color="auto"/>
        <w:left w:val="none" w:sz="0" w:space="0" w:color="auto"/>
        <w:bottom w:val="none" w:sz="0" w:space="0" w:color="auto"/>
        <w:right w:val="none" w:sz="0" w:space="0" w:color="auto"/>
      </w:divBdr>
    </w:div>
    <w:div w:id="1459684349">
      <w:bodyDiv w:val="1"/>
      <w:marLeft w:val="0"/>
      <w:marRight w:val="0"/>
      <w:marTop w:val="0"/>
      <w:marBottom w:val="0"/>
      <w:divBdr>
        <w:top w:val="none" w:sz="0" w:space="0" w:color="auto"/>
        <w:left w:val="none" w:sz="0" w:space="0" w:color="auto"/>
        <w:bottom w:val="none" w:sz="0" w:space="0" w:color="auto"/>
        <w:right w:val="none" w:sz="0" w:space="0" w:color="auto"/>
      </w:divBdr>
    </w:div>
    <w:div w:id="1460997423">
      <w:bodyDiv w:val="1"/>
      <w:marLeft w:val="0"/>
      <w:marRight w:val="0"/>
      <w:marTop w:val="0"/>
      <w:marBottom w:val="0"/>
      <w:divBdr>
        <w:top w:val="none" w:sz="0" w:space="0" w:color="auto"/>
        <w:left w:val="none" w:sz="0" w:space="0" w:color="auto"/>
        <w:bottom w:val="none" w:sz="0" w:space="0" w:color="auto"/>
        <w:right w:val="none" w:sz="0" w:space="0" w:color="auto"/>
      </w:divBdr>
    </w:div>
    <w:div w:id="1465199124">
      <w:bodyDiv w:val="1"/>
      <w:marLeft w:val="0"/>
      <w:marRight w:val="0"/>
      <w:marTop w:val="0"/>
      <w:marBottom w:val="0"/>
      <w:divBdr>
        <w:top w:val="none" w:sz="0" w:space="0" w:color="auto"/>
        <w:left w:val="none" w:sz="0" w:space="0" w:color="auto"/>
        <w:bottom w:val="none" w:sz="0" w:space="0" w:color="auto"/>
        <w:right w:val="none" w:sz="0" w:space="0" w:color="auto"/>
      </w:divBdr>
    </w:div>
    <w:div w:id="1473518743">
      <w:bodyDiv w:val="1"/>
      <w:marLeft w:val="0"/>
      <w:marRight w:val="0"/>
      <w:marTop w:val="0"/>
      <w:marBottom w:val="0"/>
      <w:divBdr>
        <w:top w:val="none" w:sz="0" w:space="0" w:color="auto"/>
        <w:left w:val="none" w:sz="0" w:space="0" w:color="auto"/>
        <w:bottom w:val="none" w:sz="0" w:space="0" w:color="auto"/>
        <w:right w:val="none" w:sz="0" w:space="0" w:color="auto"/>
      </w:divBdr>
    </w:div>
    <w:div w:id="1485124258">
      <w:bodyDiv w:val="1"/>
      <w:marLeft w:val="0"/>
      <w:marRight w:val="0"/>
      <w:marTop w:val="0"/>
      <w:marBottom w:val="0"/>
      <w:divBdr>
        <w:top w:val="none" w:sz="0" w:space="0" w:color="auto"/>
        <w:left w:val="none" w:sz="0" w:space="0" w:color="auto"/>
        <w:bottom w:val="none" w:sz="0" w:space="0" w:color="auto"/>
        <w:right w:val="none" w:sz="0" w:space="0" w:color="auto"/>
      </w:divBdr>
    </w:div>
    <w:div w:id="1507864072">
      <w:bodyDiv w:val="1"/>
      <w:marLeft w:val="0"/>
      <w:marRight w:val="0"/>
      <w:marTop w:val="0"/>
      <w:marBottom w:val="0"/>
      <w:divBdr>
        <w:top w:val="none" w:sz="0" w:space="0" w:color="auto"/>
        <w:left w:val="none" w:sz="0" w:space="0" w:color="auto"/>
        <w:bottom w:val="none" w:sz="0" w:space="0" w:color="auto"/>
        <w:right w:val="none" w:sz="0" w:space="0" w:color="auto"/>
      </w:divBdr>
    </w:div>
    <w:div w:id="1514413652">
      <w:bodyDiv w:val="1"/>
      <w:marLeft w:val="0"/>
      <w:marRight w:val="0"/>
      <w:marTop w:val="0"/>
      <w:marBottom w:val="0"/>
      <w:divBdr>
        <w:top w:val="none" w:sz="0" w:space="0" w:color="auto"/>
        <w:left w:val="none" w:sz="0" w:space="0" w:color="auto"/>
        <w:bottom w:val="none" w:sz="0" w:space="0" w:color="auto"/>
        <w:right w:val="none" w:sz="0" w:space="0" w:color="auto"/>
      </w:divBdr>
    </w:div>
    <w:div w:id="1542593968">
      <w:bodyDiv w:val="1"/>
      <w:marLeft w:val="0"/>
      <w:marRight w:val="0"/>
      <w:marTop w:val="0"/>
      <w:marBottom w:val="0"/>
      <w:divBdr>
        <w:top w:val="none" w:sz="0" w:space="0" w:color="auto"/>
        <w:left w:val="none" w:sz="0" w:space="0" w:color="auto"/>
        <w:bottom w:val="none" w:sz="0" w:space="0" w:color="auto"/>
        <w:right w:val="none" w:sz="0" w:space="0" w:color="auto"/>
      </w:divBdr>
    </w:div>
    <w:div w:id="1565334560">
      <w:bodyDiv w:val="1"/>
      <w:marLeft w:val="0"/>
      <w:marRight w:val="0"/>
      <w:marTop w:val="0"/>
      <w:marBottom w:val="0"/>
      <w:divBdr>
        <w:top w:val="none" w:sz="0" w:space="0" w:color="auto"/>
        <w:left w:val="none" w:sz="0" w:space="0" w:color="auto"/>
        <w:bottom w:val="none" w:sz="0" w:space="0" w:color="auto"/>
        <w:right w:val="none" w:sz="0" w:space="0" w:color="auto"/>
      </w:divBdr>
    </w:div>
    <w:div w:id="1591694342">
      <w:bodyDiv w:val="1"/>
      <w:marLeft w:val="0"/>
      <w:marRight w:val="0"/>
      <w:marTop w:val="0"/>
      <w:marBottom w:val="0"/>
      <w:divBdr>
        <w:top w:val="none" w:sz="0" w:space="0" w:color="auto"/>
        <w:left w:val="none" w:sz="0" w:space="0" w:color="auto"/>
        <w:bottom w:val="none" w:sz="0" w:space="0" w:color="auto"/>
        <w:right w:val="none" w:sz="0" w:space="0" w:color="auto"/>
      </w:divBdr>
    </w:div>
    <w:div w:id="1603493882">
      <w:bodyDiv w:val="1"/>
      <w:marLeft w:val="0"/>
      <w:marRight w:val="0"/>
      <w:marTop w:val="0"/>
      <w:marBottom w:val="0"/>
      <w:divBdr>
        <w:top w:val="none" w:sz="0" w:space="0" w:color="auto"/>
        <w:left w:val="none" w:sz="0" w:space="0" w:color="auto"/>
        <w:bottom w:val="none" w:sz="0" w:space="0" w:color="auto"/>
        <w:right w:val="none" w:sz="0" w:space="0" w:color="auto"/>
      </w:divBdr>
    </w:div>
    <w:div w:id="1608122498">
      <w:bodyDiv w:val="1"/>
      <w:marLeft w:val="0"/>
      <w:marRight w:val="0"/>
      <w:marTop w:val="0"/>
      <w:marBottom w:val="0"/>
      <w:divBdr>
        <w:top w:val="none" w:sz="0" w:space="0" w:color="auto"/>
        <w:left w:val="none" w:sz="0" w:space="0" w:color="auto"/>
        <w:bottom w:val="none" w:sz="0" w:space="0" w:color="auto"/>
        <w:right w:val="none" w:sz="0" w:space="0" w:color="auto"/>
      </w:divBdr>
    </w:div>
    <w:div w:id="1623029499">
      <w:bodyDiv w:val="1"/>
      <w:marLeft w:val="0"/>
      <w:marRight w:val="0"/>
      <w:marTop w:val="0"/>
      <w:marBottom w:val="0"/>
      <w:divBdr>
        <w:top w:val="none" w:sz="0" w:space="0" w:color="auto"/>
        <w:left w:val="none" w:sz="0" w:space="0" w:color="auto"/>
        <w:bottom w:val="none" w:sz="0" w:space="0" w:color="auto"/>
        <w:right w:val="none" w:sz="0" w:space="0" w:color="auto"/>
      </w:divBdr>
    </w:div>
    <w:div w:id="1698696120">
      <w:bodyDiv w:val="1"/>
      <w:marLeft w:val="0"/>
      <w:marRight w:val="0"/>
      <w:marTop w:val="0"/>
      <w:marBottom w:val="0"/>
      <w:divBdr>
        <w:top w:val="none" w:sz="0" w:space="0" w:color="auto"/>
        <w:left w:val="none" w:sz="0" w:space="0" w:color="auto"/>
        <w:bottom w:val="none" w:sz="0" w:space="0" w:color="auto"/>
        <w:right w:val="none" w:sz="0" w:space="0" w:color="auto"/>
      </w:divBdr>
    </w:div>
    <w:div w:id="1765372428">
      <w:bodyDiv w:val="1"/>
      <w:marLeft w:val="0"/>
      <w:marRight w:val="0"/>
      <w:marTop w:val="0"/>
      <w:marBottom w:val="0"/>
      <w:divBdr>
        <w:top w:val="none" w:sz="0" w:space="0" w:color="auto"/>
        <w:left w:val="none" w:sz="0" w:space="0" w:color="auto"/>
        <w:bottom w:val="none" w:sz="0" w:space="0" w:color="auto"/>
        <w:right w:val="none" w:sz="0" w:space="0" w:color="auto"/>
      </w:divBdr>
    </w:div>
    <w:div w:id="1847355921">
      <w:bodyDiv w:val="1"/>
      <w:marLeft w:val="0"/>
      <w:marRight w:val="0"/>
      <w:marTop w:val="0"/>
      <w:marBottom w:val="0"/>
      <w:divBdr>
        <w:top w:val="none" w:sz="0" w:space="0" w:color="auto"/>
        <w:left w:val="none" w:sz="0" w:space="0" w:color="auto"/>
        <w:bottom w:val="none" w:sz="0" w:space="0" w:color="auto"/>
        <w:right w:val="none" w:sz="0" w:space="0" w:color="auto"/>
      </w:divBdr>
    </w:div>
    <w:div w:id="1966621920">
      <w:bodyDiv w:val="1"/>
      <w:marLeft w:val="0"/>
      <w:marRight w:val="0"/>
      <w:marTop w:val="0"/>
      <w:marBottom w:val="0"/>
      <w:divBdr>
        <w:top w:val="none" w:sz="0" w:space="0" w:color="auto"/>
        <w:left w:val="none" w:sz="0" w:space="0" w:color="auto"/>
        <w:bottom w:val="none" w:sz="0" w:space="0" w:color="auto"/>
        <w:right w:val="none" w:sz="0" w:space="0" w:color="auto"/>
      </w:divBdr>
    </w:div>
    <w:div w:id="1975258949">
      <w:bodyDiv w:val="1"/>
      <w:marLeft w:val="0"/>
      <w:marRight w:val="0"/>
      <w:marTop w:val="0"/>
      <w:marBottom w:val="0"/>
      <w:divBdr>
        <w:top w:val="none" w:sz="0" w:space="0" w:color="auto"/>
        <w:left w:val="none" w:sz="0" w:space="0" w:color="auto"/>
        <w:bottom w:val="none" w:sz="0" w:space="0" w:color="auto"/>
        <w:right w:val="none" w:sz="0" w:space="0" w:color="auto"/>
      </w:divBdr>
    </w:div>
    <w:div w:id="1976138032">
      <w:bodyDiv w:val="1"/>
      <w:marLeft w:val="0"/>
      <w:marRight w:val="0"/>
      <w:marTop w:val="0"/>
      <w:marBottom w:val="0"/>
      <w:divBdr>
        <w:top w:val="none" w:sz="0" w:space="0" w:color="auto"/>
        <w:left w:val="none" w:sz="0" w:space="0" w:color="auto"/>
        <w:bottom w:val="none" w:sz="0" w:space="0" w:color="auto"/>
        <w:right w:val="none" w:sz="0" w:space="0" w:color="auto"/>
      </w:divBdr>
    </w:div>
    <w:div w:id="2029021292">
      <w:bodyDiv w:val="1"/>
      <w:marLeft w:val="0"/>
      <w:marRight w:val="0"/>
      <w:marTop w:val="0"/>
      <w:marBottom w:val="0"/>
      <w:divBdr>
        <w:top w:val="none" w:sz="0" w:space="0" w:color="auto"/>
        <w:left w:val="none" w:sz="0" w:space="0" w:color="auto"/>
        <w:bottom w:val="none" w:sz="0" w:space="0" w:color="auto"/>
        <w:right w:val="none" w:sz="0" w:space="0" w:color="auto"/>
      </w:divBdr>
    </w:div>
    <w:div w:id="2089187738">
      <w:bodyDiv w:val="1"/>
      <w:marLeft w:val="0"/>
      <w:marRight w:val="0"/>
      <w:marTop w:val="0"/>
      <w:marBottom w:val="0"/>
      <w:divBdr>
        <w:top w:val="none" w:sz="0" w:space="0" w:color="auto"/>
        <w:left w:val="none" w:sz="0" w:space="0" w:color="auto"/>
        <w:bottom w:val="none" w:sz="0" w:space="0" w:color="auto"/>
        <w:right w:val="none" w:sz="0" w:space="0" w:color="auto"/>
      </w:divBdr>
    </w:div>
    <w:div w:id="213424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cid:image001.png@01D955A1.C5836AC0"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ng.em.dk/news/2018/september/the-single-market-accounts-for-56-million-jobs-across-the-eu/" TargetMode="External"/><Relationship Id="rId13" Type="http://schemas.openxmlformats.org/officeDocument/2006/relationships/hyperlink" Target="https://civil-protection-humanitarian-aid.ec.europa.eu/what/civil-protection/eu-civil-protection-mechanism_en" TargetMode="External"/><Relationship Id="rId18" Type="http://schemas.openxmlformats.org/officeDocument/2006/relationships/hyperlink" Target="https://single-market-scoreboard.ec.europa.eu/" TargetMode="External"/><Relationship Id="rId26" Type="http://schemas.openxmlformats.org/officeDocument/2006/relationships/hyperlink" Target="https://ec.europa.eu/solvit/_docs/2022/anniversary_report_web_en.pdf" TargetMode="External"/><Relationship Id="rId3" Type="http://schemas.openxmlformats.org/officeDocument/2006/relationships/hyperlink" Target="https://single-market-scoreboard.ec.europa.eu/" TargetMode="External"/><Relationship Id="rId21" Type="http://schemas.openxmlformats.org/officeDocument/2006/relationships/hyperlink" Target="https://single-market-economy.ec.europa.eu/system/files/2023-01/ASMR%202023.pdf" TargetMode="External"/><Relationship Id="rId7" Type="http://schemas.openxmlformats.org/officeDocument/2006/relationships/hyperlink" Target="https://economy-finance.ec.europa.eu/publications/quantifying-economic-effects-single-market-structural-macromodel_en" TargetMode="External"/><Relationship Id="rId12" Type="http://schemas.openxmlformats.org/officeDocument/2006/relationships/hyperlink" Target="https://defence-industry-space.ec.europa.eu/action-plan-military-mobility-20_en" TargetMode="External"/><Relationship Id="rId17" Type="http://schemas.openxmlformats.org/officeDocument/2006/relationships/hyperlink" Target="https://www.ema.europa.eu/en/human-regulatory/overview/public-health-threats/coronavirus-disease-covid-19/treatments-vaccines/covid-19-vaccines" TargetMode="External"/><Relationship Id="rId25" Type="http://schemas.openxmlformats.org/officeDocument/2006/relationships/hyperlink" Target="https://ec.europa.eu/solvit/contact/index_en.htm" TargetMode="External"/><Relationship Id="rId2" Type="http://schemas.openxmlformats.org/officeDocument/2006/relationships/hyperlink" Target="https://www.acer.europa.eu/events-and-engagement/news/press-release-acer-publishes-its-final-assessment-eu-wholesale" TargetMode="External"/><Relationship Id="rId16" Type="http://schemas.openxmlformats.org/officeDocument/2006/relationships/hyperlink" Target="https://european-union.europa.eu/principles-countries-history/key-facts-and-figures/economy_en" TargetMode="External"/><Relationship Id="rId20" Type="http://schemas.openxmlformats.org/officeDocument/2006/relationships/hyperlink" Target="https://single-market-scoreboard.ec.europa.eu/enforcement-tools/transposition_en" TargetMode="External"/><Relationship Id="rId29" Type="http://schemas.openxmlformats.org/officeDocument/2006/relationships/hyperlink" Target="https://www.epo.org/service-support/publications.html?pubid=162%23tab3" TargetMode="External"/><Relationship Id="rId1" Type="http://schemas.openxmlformats.org/officeDocument/2006/relationships/hyperlink" Target="https://data.consilium.europa.eu/doc/document/ST-1-2023-INIT/en/pdf" TargetMode="External"/><Relationship Id="rId6" Type="http://schemas.openxmlformats.org/officeDocument/2006/relationships/hyperlink" Target="https://ec.europa.eu/eurostat/web/products-eurostat-news/w/edn-20221206-1" TargetMode="External"/><Relationship Id="rId11" Type="http://schemas.openxmlformats.org/officeDocument/2006/relationships/hyperlink" Target="https://ec.europa.eu/commission/presscorner/detail/en/ip_22_6374" TargetMode="External"/><Relationship Id="rId24" Type="http://schemas.openxmlformats.org/officeDocument/2006/relationships/hyperlink" Target="https://single-market-economy.ec.europa.eu/news/single-market-task-force-continues-tackle-barriers-single-market-2022-11-29_en" TargetMode="External"/><Relationship Id="rId5" Type="http://schemas.openxmlformats.org/officeDocument/2006/relationships/hyperlink" Target="https://data.consilium.europa.eu/doc/document/PE-50-2022-INIT/en/pdf" TargetMode="External"/><Relationship Id="rId15" Type="http://schemas.openxmlformats.org/officeDocument/2006/relationships/hyperlink" Target="https://ec.europa.eu/commission/presscorner/detail/en/ip_23_1563" TargetMode="External"/><Relationship Id="rId23" Type="http://schemas.openxmlformats.org/officeDocument/2006/relationships/hyperlink" Target="https://single-market-economy.ec.europa.eu/publications/30-years-single-market-taking-stock-and-looking-ahead_en" TargetMode="External"/><Relationship Id="rId28" Type="http://schemas.openxmlformats.org/officeDocument/2006/relationships/hyperlink" Target="https://health.ec.europa.eu/ehealth-digital-health-and-care/european-health-data-space_en" TargetMode="External"/><Relationship Id="rId10" Type="http://schemas.openxmlformats.org/officeDocument/2006/relationships/hyperlink" Target="https://eures.ec.europa.eu/index_en" TargetMode="External"/><Relationship Id="rId19" Type="http://schemas.openxmlformats.org/officeDocument/2006/relationships/hyperlink" Target="https://single-market-scoreboard.ec.europa.eu/enforcement-tools/transposition_en" TargetMode="External"/><Relationship Id="rId31" Type="http://schemas.openxmlformats.org/officeDocument/2006/relationships/hyperlink" Target="https://single-market-economy.ec.europa.eu/system/files/2023-01/ASMR%202023.pdf" TargetMode="External"/><Relationship Id="rId4" Type="http://schemas.openxmlformats.org/officeDocument/2006/relationships/hyperlink" Target="https://commission.europa.eu/strategy-and-policy/priorities-2019-2024/europe-fit-digital-age/european-digital-identity_en" TargetMode="External"/><Relationship Id="rId9" Type="http://schemas.openxmlformats.org/officeDocument/2006/relationships/hyperlink" Target="https://www.eesc.europa.eu/en/our-work/publications-other-work/publications/cross-border-services-internal-market-important-contribution-economic-and-social-cohesion" TargetMode="External"/><Relationship Id="rId14" Type="http://schemas.openxmlformats.org/officeDocument/2006/relationships/hyperlink" Target="https://single-market-economy.ec.europa.eu/publications/scan-supply-chain-alert-notification-monitoring-system_en" TargetMode="External"/><Relationship Id="rId22" Type="http://schemas.openxmlformats.org/officeDocument/2006/relationships/hyperlink" Target="https://ec.europa.eu/commission/presscorner/detail/en/ip_23_769" TargetMode="External"/><Relationship Id="rId27" Type="http://schemas.openxmlformats.org/officeDocument/2006/relationships/hyperlink" Target="https://eur-lex.europa.eu/summary/EN/310304_1" TargetMode="External"/><Relationship Id="rId30" Type="http://schemas.openxmlformats.org/officeDocument/2006/relationships/hyperlink" Target="https://taxation-customs.ec.europa.eu/taxation-1/value-added-tax-vat/vat-digital-ag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9AF3C-A107-43E9-97D7-A1021043C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8015</Words>
  <Characters>44725</Characters>
  <Application>Microsoft Office Word</Application>
  <DocSecurity>0</DocSecurity>
  <Lines>698</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52624</CharactersWithSpaces>
  <SharedDoc>false</SharedDoc>
  <HLinks>
    <vt:vector size="186" baseType="variant">
      <vt:variant>
        <vt:i4>131166</vt:i4>
      </vt:variant>
      <vt:variant>
        <vt:i4>90</vt:i4>
      </vt:variant>
      <vt:variant>
        <vt:i4>0</vt:i4>
      </vt:variant>
      <vt:variant>
        <vt:i4>5</vt:i4>
      </vt:variant>
      <vt:variant>
        <vt:lpwstr>https://single-market-economy.ec.europa.eu/system/files/2023-01/ASMR 2023.pdf</vt:lpwstr>
      </vt:variant>
      <vt:variant>
        <vt:lpwstr/>
      </vt:variant>
      <vt:variant>
        <vt:i4>4063325</vt:i4>
      </vt:variant>
      <vt:variant>
        <vt:i4>87</vt:i4>
      </vt:variant>
      <vt:variant>
        <vt:i4>0</vt:i4>
      </vt:variant>
      <vt:variant>
        <vt:i4>5</vt:i4>
      </vt:variant>
      <vt:variant>
        <vt:lpwstr>https://taxation-customs.ec.europa.eu/taxation-1/value-added-tax-vat/vat-digital-age_en</vt:lpwstr>
      </vt:variant>
      <vt:variant>
        <vt:lpwstr/>
      </vt:variant>
      <vt:variant>
        <vt:i4>3473453</vt:i4>
      </vt:variant>
      <vt:variant>
        <vt:i4>84</vt:i4>
      </vt:variant>
      <vt:variant>
        <vt:i4>0</vt:i4>
      </vt:variant>
      <vt:variant>
        <vt:i4>5</vt:i4>
      </vt:variant>
      <vt:variant>
        <vt:lpwstr>https://www.epo.org/service-support/publications.html?pubid=162%23tab3</vt:lpwstr>
      </vt:variant>
      <vt:variant>
        <vt:lpwstr/>
      </vt:variant>
      <vt:variant>
        <vt:i4>2031743</vt:i4>
      </vt:variant>
      <vt:variant>
        <vt:i4>81</vt:i4>
      </vt:variant>
      <vt:variant>
        <vt:i4>0</vt:i4>
      </vt:variant>
      <vt:variant>
        <vt:i4>5</vt:i4>
      </vt:variant>
      <vt:variant>
        <vt:lpwstr>https://health.ec.europa.eu/ehealth-digital-health-and-care/european-health-data-space_en</vt:lpwstr>
      </vt:variant>
      <vt:variant>
        <vt:lpwstr/>
      </vt:variant>
      <vt:variant>
        <vt:i4>7602181</vt:i4>
      </vt:variant>
      <vt:variant>
        <vt:i4>78</vt:i4>
      </vt:variant>
      <vt:variant>
        <vt:i4>0</vt:i4>
      </vt:variant>
      <vt:variant>
        <vt:i4>5</vt:i4>
      </vt:variant>
      <vt:variant>
        <vt:lpwstr>https://eur-lex.europa.eu/summary/EN/310304_1</vt:lpwstr>
      </vt:variant>
      <vt:variant>
        <vt:lpwstr/>
      </vt:variant>
      <vt:variant>
        <vt:i4>4390979</vt:i4>
      </vt:variant>
      <vt:variant>
        <vt:i4>75</vt:i4>
      </vt:variant>
      <vt:variant>
        <vt:i4>0</vt:i4>
      </vt:variant>
      <vt:variant>
        <vt:i4>5</vt:i4>
      </vt:variant>
      <vt:variant>
        <vt:lpwstr>https://ec.europa.eu/solvit/_docs/2022/anniversary_report_web_en.pdf</vt:lpwstr>
      </vt:variant>
      <vt:variant>
        <vt:lpwstr/>
      </vt:variant>
      <vt:variant>
        <vt:i4>8323077</vt:i4>
      </vt:variant>
      <vt:variant>
        <vt:i4>72</vt:i4>
      </vt:variant>
      <vt:variant>
        <vt:i4>0</vt:i4>
      </vt:variant>
      <vt:variant>
        <vt:i4>5</vt:i4>
      </vt:variant>
      <vt:variant>
        <vt:lpwstr>https://ec.europa.eu/solvit/contact/index_en.htm</vt:lpwstr>
      </vt:variant>
      <vt:variant>
        <vt:lpwstr/>
      </vt:variant>
      <vt:variant>
        <vt:i4>4259889</vt:i4>
      </vt:variant>
      <vt:variant>
        <vt:i4>69</vt:i4>
      </vt:variant>
      <vt:variant>
        <vt:i4>0</vt:i4>
      </vt:variant>
      <vt:variant>
        <vt:i4>5</vt:i4>
      </vt:variant>
      <vt:variant>
        <vt:lpwstr>https://single-market-economy.ec.europa.eu/news/single-market-task-force-continues-tackle-barriers-single-market-2022-11-29_en</vt:lpwstr>
      </vt:variant>
      <vt:variant>
        <vt:lpwstr/>
      </vt:variant>
      <vt:variant>
        <vt:i4>2949147</vt:i4>
      </vt:variant>
      <vt:variant>
        <vt:i4>66</vt:i4>
      </vt:variant>
      <vt:variant>
        <vt:i4>0</vt:i4>
      </vt:variant>
      <vt:variant>
        <vt:i4>5</vt:i4>
      </vt:variant>
      <vt:variant>
        <vt:lpwstr>https://single-market-economy.ec.europa.eu/publications/30-years-single-market-taking-stock-and-looking-ahead_en</vt:lpwstr>
      </vt:variant>
      <vt:variant>
        <vt:lpwstr/>
      </vt:variant>
      <vt:variant>
        <vt:i4>4784211</vt:i4>
      </vt:variant>
      <vt:variant>
        <vt:i4>63</vt:i4>
      </vt:variant>
      <vt:variant>
        <vt:i4>0</vt:i4>
      </vt:variant>
      <vt:variant>
        <vt:i4>5</vt:i4>
      </vt:variant>
      <vt:variant>
        <vt:lpwstr>https://ec.europa.eu/commission/presscorner/detail/en/ip_23_769</vt:lpwstr>
      </vt:variant>
      <vt:variant>
        <vt:lpwstr/>
      </vt:variant>
      <vt:variant>
        <vt:i4>131166</vt:i4>
      </vt:variant>
      <vt:variant>
        <vt:i4>60</vt:i4>
      </vt:variant>
      <vt:variant>
        <vt:i4>0</vt:i4>
      </vt:variant>
      <vt:variant>
        <vt:i4>5</vt:i4>
      </vt:variant>
      <vt:variant>
        <vt:lpwstr>https://single-market-economy.ec.europa.eu/system/files/2023-01/ASMR 2023.pdf</vt:lpwstr>
      </vt:variant>
      <vt:variant>
        <vt:lpwstr/>
      </vt:variant>
      <vt:variant>
        <vt:i4>7602200</vt:i4>
      </vt:variant>
      <vt:variant>
        <vt:i4>57</vt:i4>
      </vt:variant>
      <vt:variant>
        <vt:i4>0</vt:i4>
      </vt:variant>
      <vt:variant>
        <vt:i4>5</vt:i4>
      </vt:variant>
      <vt:variant>
        <vt:lpwstr>https://single-market-scoreboard.ec.europa.eu/enforcement-tools/transposition_en</vt:lpwstr>
      </vt:variant>
      <vt:variant>
        <vt:lpwstr/>
      </vt:variant>
      <vt:variant>
        <vt:i4>7602200</vt:i4>
      </vt:variant>
      <vt:variant>
        <vt:i4>54</vt:i4>
      </vt:variant>
      <vt:variant>
        <vt:i4>0</vt:i4>
      </vt:variant>
      <vt:variant>
        <vt:i4>5</vt:i4>
      </vt:variant>
      <vt:variant>
        <vt:lpwstr>https://single-market-scoreboard.ec.europa.eu/enforcement-tools/transposition_en</vt:lpwstr>
      </vt:variant>
      <vt:variant>
        <vt:lpwstr/>
      </vt:variant>
      <vt:variant>
        <vt:i4>2162807</vt:i4>
      </vt:variant>
      <vt:variant>
        <vt:i4>51</vt:i4>
      </vt:variant>
      <vt:variant>
        <vt:i4>0</vt:i4>
      </vt:variant>
      <vt:variant>
        <vt:i4>5</vt:i4>
      </vt:variant>
      <vt:variant>
        <vt:lpwstr>https://single-market-scoreboard.ec.europa.eu/</vt:lpwstr>
      </vt:variant>
      <vt:variant>
        <vt:lpwstr/>
      </vt:variant>
      <vt:variant>
        <vt:i4>8126577</vt:i4>
      </vt:variant>
      <vt:variant>
        <vt:i4>48</vt:i4>
      </vt:variant>
      <vt:variant>
        <vt:i4>0</vt:i4>
      </vt:variant>
      <vt:variant>
        <vt:i4>5</vt:i4>
      </vt:variant>
      <vt:variant>
        <vt:lpwstr>https://www.ema.europa.eu/en/human-regulatory/overview/public-health-threats/coronavirus-disease-covid-19/treatments-vaccines/covid-19-vaccines</vt:lpwstr>
      </vt:variant>
      <vt:variant>
        <vt:lpwstr/>
      </vt:variant>
      <vt:variant>
        <vt:i4>4391026</vt:i4>
      </vt:variant>
      <vt:variant>
        <vt:i4>45</vt:i4>
      </vt:variant>
      <vt:variant>
        <vt:i4>0</vt:i4>
      </vt:variant>
      <vt:variant>
        <vt:i4>5</vt:i4>
      </vt:variant>
      <vt:variant>
        <vt:lpwstr>https://european-union.europa.eu/principles-countries-history/key-facts-and-figures/economy_en</vt:lpwstr>
      </vt:variant>
      <vt:variant>
        <vt:lpwstr/>
      </vt:variant>
      <vt:variant>
        <vt:i4>7929955</vt:i4>
      </vt:variant>
      <vt:variant>
        <vt:i4>42</vt:i4>
      </vt:variant>
      <vt:variant>
        <vt:i4>0</vt:i4>
      </vt:variant>
      <vt:variant>
        <vt:i4>5</vt:i4>
      </vt:variant>
      <vt:variant>
        <vt:lpwstr>https://ec.europa.eu/commission/presscorner/detail/en/ip_23_1563</vt:lpwstr>
      </vt:variant>
      <vt:variant>
        <vt:lpwstr/>
      </vt:variant>
      <vt:variant>
        <vt:i4>1310781</vt:i4>
      </vt:variant>
      <vt:variant>
        <vt:i4>39</vt:i4>
      </vt:variant>
      <vt:variant>
        <vt:i4>0</vt:i4>
      </vt:variant>
      <vt:variant>
        <vt:i4>5</vt:i4>
      </vt:variant>
      <vt:variant>
        <vt:lpwstr>https://single-market-economy.ec.europa.eu/publications/scan-supply-chain-alert-notification-monitoring-system_en</vt:lpwstr>
      </vt:variant>
      <vt:variant>
        <vt:lpwstr/>
      </vt:variant>
      <vt:variant>
        <vt:i4>1572917</vt:i4>
      </vt:variant>
      <vt:variant>
        <vt:i4>36</vt:i4>
      </vt:variant>
      <vt:variant>
        <vt:i4>0</vt:i4>
      </vt:variant>
      <vt:variant>
        <vt:i4>5</vt:i4>
      </vt:variant>
      <vt:variant>
        <vt:lpwstr>https://civil-protection-humanitarian-aid.ec.europa.eu/what/civil-protection/eu-civil-protection-mechanism_en</vt:lpwstr>
      </vt:variant>
      <vt:variant>
        <vt:lpwstr/>
      </vt:variant>
      <vt:variant>
        <vt:i4>7012366</vt:i4>
      </vt:variant>
      <vt:variant>
        <vt:i4>33</vt:i4>
      </vt:variant>
      <vt:variant>
        <vt:i4>0</vt:i4>
      </vt:variant>
      <vt:variant>
        <vt:i4>5</vt:i4>
      </vt:variant>
      <vt:variant>
        <vt:lpwstr>https://defence-industry-space.ec.europa.eu/action-plan-military-mobility-20_en</vt:lpwstr>
      </vt:variant>
      <vt:variant>
        <vt:lpwstr/>
      </vt:variant>
      <vt:variant>
        <vt:i4>7864420</vt:i4>
      </vt:variant>
      <vt:variant>
        <vt:i4>30</vt:i4>
      </vt:variant>
      <vt:variant>
        <vt:i4>0</vt:i4>
      </vt:variant>
      <vt:variant>
        <vt:i4>5</vt:i4>
      </vt:variant>
      <vt:variant>
        <vt:lpwstr>https://ec.europa.eu/commission/presscorner/detail/en/ip_22_6374</vt:lpwstr>
      </vt:variant>
      <vt:variant>
        <vt:lpwstr/>
      </vt:variant>
      <vt:variant>
        <vt:i4>6291466</vt:i4>
      </vt:variant>
      <vt:variant>
        <vt:i4>27</vt:i4>
      </vt:variant>
      <vt:variant>
        <vt:i4>0</vt:i4>
      </vt:variant>
      <vt:variant>
        <vt:i4>5</vt:i4>
      </vt:variant>
      <vt:variant>
        <vt:lpwstr>https://eures.ec.europa.eu/index_en</vt:lpwstr>
      </vt:variant>
      <vt:variant>
        <vt:lpwstr/>
      </vt:variant>
      <vt:variant>
        <vt:i4>6226010</vt:i4>
      </vt:variant>
      <vt:variant>
        <vt:i4>24</vt:i4>
      </vt:variant>
      <vt:variant>
        <vt:i4>0</vt:i4>
      </vt:variant>
      <vt:variant>
        <vt:i4>5</vt:i4>
      </vt:variant>
      <vt:variant>
        <vt:lpwstr>https://www.eesc.europa.eu/en/our-work/publications-other-work/publications/cross-border-services-internal-market-important-contribution-economic-and-social-cohesion</vt:lpwstr>
      </vt:variant>
      <vt:variant>
        <vt:lpwstr/>
      </vt:variant>
      <vt:variant>
        <vt:i4>3735659</vt:i4>
      </vt:variant>
      <vt:variant>
        <vt:i4>21</vt:i4>
      </vt:variant>
      <vt:variant>
        <vt:i4>0</vt:i4>
      </vt:variant>
      <vt:variant>
        <vt:i4>5</vt:i4>
      </vt:variant>
      <vt:variant>
        <vt:lpwstr>https://eng.em.dk/news/2018/september/the-single-market-accounts-for-56-million-jobs-across-the-eu/</vt:lpwstr>
      </vt:variant>
      <vt:variant>
        <vt:lpwstr/>
      </vt:variant>
      <vt:variant>
        <vt:i4>4587555</vt:i4>
      </vt:variant>
      <vt:variant>
        <vt:i4>18</vt:i4>
      </vt:variant>
      <vt:variant>
        <vt:i4>0</vt:i4>
      </vt:variant>
      <vt:variant>
        <vt:i4>5</vt:i4>
      </vt:variant>
      <vt:variant>
        <vt:lpwstr>https://economy-finance.ec.europa.eu/publications/quantifying-economic-effects-single-market-structural-macromodel_en</vt:lpwstr>
      </vt:variant>
      <vt:variant>
        <vt:lpwstr/>
      </vt:variant>
      <vt:variant>
        <vt:i4>4587594</vt:i4>
      </vt:variant>
      <vt:variant>
        <vt:i4>15</vt:i4>
      </vt:variant>
      <vt:variant>
        <vt:i4>0</vt:i4>
      </vt:variant>
      <vt:variant>
        <vt:i4>5</vt:i4>
      </vt:variant>
      <vt:variant>
        <vt:lpwstr>https://ec.europa.eu/eurostat/web/products-eurostat-news/w/edn-20221206-1</vt:lpwstr>
      </vt:variant>
      <vt:variant>
        <vt:lpwstr/>
      </vt:variant>
      <vt:variant>
        <vt:i4>4784219</vt:i4>
      </vt:variant>
      <vt:variant>
        <vt:i4>12</vt:i4>
      </vt:variant>
      <vt:variant>
        <vt:i4>0</vt:i4>
      </vt:variant>
      <vt:variant>
        <vt:i4>5</vt:i4>
      </vt:variant>
      <vt:variant>
        <vt:lpwstr>https://data.consilium.europa.eu/doc/document/PE-50-2022-INIT/en/pdf</vt:lpwstr>
      </vt:variant>
      <vt:variant>
        <vt:lpwstr/>
      </vt:variant>
      <vt:variant>
        <vt:i4>4391023</vt:i4>
      </vt:variant>
      <vt:variant>
        <vt:i4>9</vt:i4>
      </vt:variant>
      <vt:variant>
        <vt:i4>0</vt:i4>
      </vt:variant>
      <vt:variant>
        <vt:i4>5</vt:i4>
      </vt:variant>
      <vt:variant>
        <vt:lpwstr>https://commission.europa.eu/strategy-and-policy/priorities-2019-2024/europe-fit-digital-age/european-digital-identity_en</vt:lpwstr>
      </vt:variant>
      <vt:variant>
        <vt:lpwstr/>
      </vt:variant>
      <vt:variant>
        <vt:i4>2162807</vt:i4>
      </vt:variant>
      <vt:variant>
        <vt:i4>6</vt:i4>
      </vt:variant>
      <vt:variant>
        <vt:i4>0</vt:i4>
      </vt:variant>
      <vt:variant>
        <vt:i4>5</vt:i4>
      </vt:variant>
      <vt:variant>
        <vt:lpwstr>https://single-market-scoreboard.ec.europa.eu/</vt:lpwstr>
      </vt:variant>
      <vt:variant>
        <vt:lpwstr/>
      </vt:variant>
      <vt:variant>
        <vt:i4>786502</vt:i4>
      </vt:variant>
      <vt:variant>
        <vt:i4>3</vt:i4>
      </vt:variant>
      <vt:variant>
        <vt:i4>0</vt:i4>
      </vt:variant>
      <vt:variant>
        <vt:i4>5</vt:i4>
      </vt:variant>
      <vt:variant>
        <vt:lpwstr>https://www.acer.europa.eu/events-and-engagement/news/press-release-acer-publishes-its-final-assessment-eu-wholesale</vt:lpwstr>
      </vt:variant>
      <vt:variant>
        <vt:lpwstr/>
      </vt:variant>
      <vt:variant>
        <vt:i4>3997806</vt:i4>
      </vt:variant>
      <vt:variant>
        <vt:i4>0</vt:i4>
      </vt:variant>
      <vt:variant>
        <vt:i4>0</vt:i4>
      </vt:variant>
      <vt:variant>
        <vt:i4>5</vt:i4>
      </vt:variant>
      <vt:variant>
        <vt:lpwstr>https://data.consilium.europa.eu/doc/document/ST-1-2023-INIT/en/pdf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2023-03-15T21:39:00Z</dcterms:created>
  <dcterms:modified xsi:type="dcterms:W3CDTF">2023-03-15T23:27:00Z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8.1, Build 20230124</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2023-03-15T15:30:03Z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c809abb2-56cd-4b85-b2ca-517e1e412cc0</vt:lpwstr>
  </property>
  <property fmtid="{D5CDD505-2E9C-101B-9397-08002B2CF9AE}" pid="14" name="MSIP_Label_6bd9ddd1-4d20-43f6-abfa-fc3c07406f94_ContentBits">
    <vt:lpwstr>0</vt:lpwstr>
  </property>
</Properties>
</file>