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7F6669" w14:textId="355A0D35" w:rsidR="00FE3E5E" w:rsidRPr="000F21D0" w:rsidRDefault="00905C33" w:rsidP="00905C33">
      <w:pPr>
        <w:pStyle w:val="Pagedecouverture"/>
        <w:rPr>
          <w:noProof/>
          <w:lang w:val="ro-RO"/>
        </w:rPr>
      </w:pPr>
      <w:bookmarkStart w:id="0" w:name="LW_BM_COVERPAGE"/>
      <w:r>
        <w:rPr>
          <w:noProof/>
          <w:lang w:val="ro-RO"/>
        </w:rPr>
        <w:pict w14:anchorId="5E7D90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58CA5B62-FAAE-42E0-B8FF-2D2D91F5AFC7" style="width:455.25pt;height:324pt">
            <v:imagedata r:id="rId8" o:title=""/>
          </v:shape>
        </w:pict>
      </w:r>
    </w:p>
    <w:bookmarkEnd w:id="0"/>
    <w:p w14:paraId="7D25073C" w14:textId="77777777" w:rsidR="00DC63DF" w:rsidRPr="000F21D0" w:rsidRDefault="00DC63DF" w:rsidP="00DC63DF">
      <w:pPr>
        <w:pStyle w:val="Pagedecouverture"/>
        <w:rPr>
          <w:noProof/>
          <w:lang w:val="ro-RO"/>
        </w:rPr>
        <w:sectPr w:rsidR="00DC63DF" w:rsidRPr="000F21D0" w:rsidSect="00905C3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F886AAB" w14:textId="2EFCF623" w:rsidR="00DD30E4" w:rsidRPr="00DE7CC2" w:rsidRDefault="00DD30E4" w:rsidP="00C33A5B">
      <w:pPr>
        <w:pStyle w:val="Heading1"/>
        <w:numPr>
          <w:ilvl w:val="0"/>
          <w:numId w:val="1"/>
        </w:numPr>
        <w:jc w:val="both"/>
        <w:rPr>
          <w:rFonts w:eastAsiaTheme="minorHAnsi" w:cstheme="minorBidi"/>
          <w:b/>
          <w:noProof/>
          <w:color w:val="auto"/>
          <w:sz w:val="24"/>
          <w:lang w:val="ro-RO"/>
        </w:rPr>
      </w:pPr>
      <w:bookmarkStart w:id="1" w:name="_GoBack"/>
      <w:bookmarkEnd w:id="1"/>
      <w:r w:rsidRPr="00DE7CC2">
        <w:rPr>
          <w:b/>
          <w:noProof/>
          <w:color w:val="auto"/>
          <w:sz w:val="24"/>
          <w:lang w:val="ro-RO"/>
        </w:rPr>
        <w:lastRenderedPageBreak/>
        <w:t>INTRODUCERE</w:t>
      </w:r>
    </w:p>
    <w:p w14:paraId="7F70CF27" w14:textId="77777777" w:rsidR="00DD30E4" w:rsidRPr="000F21D0" w:rsidRDefault="00DD30E4" w:rsidP="00DD30E4">
      <w:pPr>
        <w:rPr>
          <w:noProof/>
          <w:lang w:val="ro-RO"/>
        </w:rPr>
      </w:pPr>
    </w:p>
    <w:p w14:paraId="25C7F6E1" w14:textId="649F8236" w:rsidR="00DD30E4" w:rsidRPr="000F21D0" w:rsidRDefault="00DD30E4" w:rsidP="00DD30E4">
      <w:pPr>
        <w:jc w:val="both"/>
        <w:rPr>
          <w:noProof/>
          <w:lang w:val="ro-RO"/>
        </w:rPr>
      </w:pPr>
      <w:r w:rsidRPr="000F21D0">
        <w:rPr>
          <w:noProof/>
          <w:lang w:val="ro-RO"/>
        </w:rPr>
        <w:t xml:space="preserve">Anul acesta, piața unică își sărbătorește cea de a 30-a aniversare. Piața unică este una dintre cele mai mari realizări ale UE. De la crearea sa în 1993, cetățenii și întreprinderile beneficiază de libera circulație a persoanelor, a serviciilor, a bunurilor și a capitalurilor într-o măsură care depășește chiar și cele mai vizionare așteptări de acum trei decenii. </w:t>
      </w:r>
    </w:p>
    <w:p w14:paraId="0356E098" w14:textId="74F5DCCE" w:rsidR="00DD30E4" w:rsidRPr="000F21D0" w:rsidRDefault="2BC1431E" w:rsidP="00DD30E4">
      <w:pPr>
        <w:jc w:val="both"/>
        <w:rPr>
          <w:noProof/>
          <w:lang w:val="ro-RO"/>
        </w:rPr>
      </w:pPr>
      <w:r w:rsidRPr="000F21D0">
        <w:rPr>
          <w:noProof/>
          <w:lang w:val="ro-RO"/>
        </w:rPr>
        <w:t>Concepută inițial ca o zonă de liber schimb fără bariere tarifare sau netarifare între membrii săi, piața unică este acum mult mai mult decât atât. Ea a devenit cea mai mare piață unică integrată din lume</w:t>
      </w:r>
      <w:r w:rsidRPr="000F21D0">
        <w:rPr>
          <w:rStyle w:val="FootnoteReference"/>
          <w:noProof/>
          <w:lang w:val="ro-RO"/>
        </w:rPr>
        <w:footnoteReference w:id="2"/>
      </w:r>
      <w:r w:rsidRPr="000F21D0">
        <w:rPr>
          <w:noProof/>
          <w:lang w:val="ro-RO"/>
        </w:rPr>
        <w:t>, rămânând totodată una dintre cele mai orientate spre exterior. Piața unică este însă mult mai mult decât un simplu cadru juridic sau o piață: este un spațiu de libertate, progres, posibilități, creștere, prosperitate împărtășită, reziliență și un mijloc de proiecție geopolitică.</w:t>
      </w:r>
    </w:p>
    <w:p w14:paraId="36F2EC4E" w14:textId="42321913" w:rsidR="00DD30E4" w:rsidRPr="000F21D0" w:rsidRDefault="00DD30E4" w:rsidP="00DD30E4">
      <w:pPr>
        <w:jc w:val="both"/>
        <w:rPr>
          <w:noProof/>
          <w:lang w:val="ro-RO"/>
        </w:rPr>
      </w:pPr>
      <w:r w:rsidRPr="000F21D0">
        <w:rPr>
          <w:noProof/>
          <w:lang w:val="ro-RO"/>
        </w:rPr>
        <w:t>Pe lângă analiza retrospectivă a numeroaselor realizări pe care am ajuns să le considerăm ca fiind de la sine înțelese în viața noastră de zi cu zi, este important să recunoaștem că piața unică este un a</w:t>
      </w:r>
      <w:r w:rsidR="00D10413" w:rsidRPr="000F21D0">
        <w:rPr>
          <w:noProof/>
          <w:lang w:val="ro-RO"/>
        </w:rPr>
        <w:t>tu</w:t>
      </w:r>
      <w:r w:rsidRPr="000F21D0">
        <w:rPr>
          <w:noProof/>
          <w:lang w:val="ro-RO"/>
        </w:rPr>
        <w:t xml:space="preserve"> viu și valoros care trebuie conservat și îmbunătățit în permanență.</w:t>
      </w:r>
    </w:p>
    <w:p w14:paraId="46F26DE7" w14:textId="3EE47553" w:rsidR="0004749C" w:rsidRPr="000F21D0" w:rsidRDefault="00DD30E4" w:rsidP="00A814C4">
      <w:pPr>
        <w:jc w:val="both"/>
        <w:rPr>
          <w:noProof/>
          <w:lang w:val="ro-RO"/>
        </w:rPr>
      </w:pPr>
      <w:r w:rsidRPr="000F21D0">
        <w:rPr>
          <w:noProof/>
          <w:lang w:val="ro-RO"/>
        </w:rPr>
        <w:t>Piața unică trebuie să se adapteze în continuare la noile provocări</w:t>
      </w:r>
      <w:r w:rsidRPr="000F21D0">
        <w:rPr>
          <w:rStyle w:val="FootnoteReference"/>
          <w:noProof/>
          <w:lang w:val="ro-RO"/>
        </w:rPr>
        <w:footnoteReference w:id="3"/>
      </w:r>
      <w:r w:rsidRPr="000F21D0">
        <w:rPr>
          <w:noProof/>
          <w:lang w:val="ro-RO"/>
        </w:rPr>
        <w:t>, astfel cum a recunoscut, printre altele, Parlamentul European în Rezoluția sa referitoare la cea de a 30-a aniversare a pieței unice</w:t>
      </w:r>
      <w:r w:rsidRPr="000F21D0">
        <w:rPr>
          <w:rStyle w:val="FootnoteReference"/>
          <w:noProof/>
          <w:lang w:val="ro-RO"/>
        </w:rPr>
        <w:footnoteReference w:id="4"/>
      </w:r>
      <w:r w:rsidRPr="000F21D0">
        <w:rPr>
          <w:noProof/>
          <w:lang w:val="ro-RO"/>
        </w:rPr>
        <w:t>. Sunt necesare eforturi colective pentru a continua menținerea și aprofundarea sa, valorificarea întregului său potențial, menținerea unor condiții de concurență echitabile atât pe plan intern, cât și la nivel mondial, precum și asigurarea faptului că aceasta stă la baza prosperității UE prin competitivitate și productivitate pe termen lung, astfel cum a solicitat Consiliul European</w:t>
      </w:r>
      <w:r w:rsidRPr="000F21D0">
        <w:rPr>
          <w:rStyle w:val="FootnoteReference"/>
          <w:noProof/>
          <w:lang w:val="ro-RO"/>
        </w:rPr>
        <w:footnoteReference w:id="5"/>
      </w:r>
      <w:r w:rsidRPr="000F21D0">
        <w:rPr>
          <w:noProof/>
          <w:lang w:val="ro-RO"/>
        </w:rPr>
        <w:t>. Piața unică este un spațiu comun care atrage investiții din interiorul și din afara UE prin existența unui cadru de reglementare previzibil și simplu.</w:t>
      </w:r>
    </w:p>
    <w:p w14:paraId="206031F2" w14:textId="58DD287E" w:rsidR="00DD30E4" w:rsidRPr="000F21D0" w:rsidRDefault="000909B5" w:rsidP="00DD30E4">
      <w:pPr>
        <w:jc w:val="both"/>
        <w:rPr>
          <w:noProof/>
          <w:lang w:val="ro-RO"/>
        </w:rPr>
      </w:pPr>
      <w:r w:rsidRPr="000F21D0">
        <w:rPr>
          <w:noProof/>
          <w:lang w:val="ro-RO"/>
        </w:rPr>
        <w:t>Sunt necesare eforturi comune pentru a asigura respectarea normelor existente, a elimina barierele și a explora domeniile pentru o mai bună integrare a pieței unice. Beneficiile potențiale sunt extrem de semnificative: potrivit estimărilor, eliminarea barierelor de la nivelul statelor membre din calea pieței unice a bunurilor și serviciilor ar putea contribui cu 713 miliarde EUR la economie până la sfârșitul anului 2029</w:t>
      </w:r>
      <w:r w:rsidRPr="000F21D0">
        <w:rPr>
          <w:rStyle w:val="FootnoteReference"/>
          <w:noProof/>
          <w:lang w:val="ro-RO"/>
        </w:rPr>
        <w:footnoteReference w:id="6"/>
      </w:r>
      <w:r w:rsidRPr="000F21D0">
        <w:rPr>
          <w:noProof/>
          <w:lang w:val="ro-RO"/>
        </w:rPr>
        <w:t>.</w:t>
      </w:r>
    </w:p>
    <w:p w14:paraId="37674A95" w14:textId="318234EE" w:rsidR="00613067" w:rsidRPr="000F21D0" w:rsidRDefault="00613067" w:rsidP="00DD30E4">
      <w:pPr>
        <w:jc w:val="both"/>
        <w:rPr>
          <w:noProof/>
          <w:lang w:val="ro-RO"/>
        </w:rPr>
      </w:pPr>
    </w:p>
    <w:p w14:paraId="6B354C59" w14:textId="48D6E2C6" w:rsidR="00613067" w:rsidRPr="000F21D0" w:rsidRDefault="00613067" w:rsidP="00DD30E4">
      <w:pPr>
        <w:jc w:val="both"/>
        <w:rPr>
          <w:noProof/>
          <w:lang w:val="ro-RO"/>
        </w:rPr>
      </w:pPr>
    </w:p>
    <w:p w14:paraId="76C69460" w14:textId="4DEF6BEA" w:rsidR="00613067" w:rsidRPr="000F21D0" w:rsidRDefault="00613067" w:rsidP="00DD30E4">
      <w:pPr>
        <w:jc w:val="both"/>
        <w:rPr>
          <w:noProof/>
          <w:lang w:val="ro-RO"/>
        </w:rPr>
      </w:pPr>
    </w:p>
    <w:p w14:paraId="750BCFC3" w14:textId="77777777" w:rsidR="00613067" w:rsidRPr="000F21D0" w:rsidRDefault="00613067" w:rsidP="00DD30E4">
      <w:pPr>
        <w:jc w:val="both"/>
        <w:rPr>
          <w:noProof/>
          <w:lang w:val="ro-RO"/>
        </w:rPr>
      </w:pPr>
    </w:p>
    <w:p w14:paraId="2568E0F0" w14:textId="579BCC74" w:rsidR="00DD30E4" w:rsidRPr="000F21D0" w:rsidRDefault="00DD30E4" w:rsidP="00DD30E4">
      <w:pPr>
        <w:rPr>
          <w:noProof/>
          <w:lang w:val="ro-RO"/>
        </w:rPr>
      </w:pPr>
    </w:p>
    <w:p w14:paraId="438A30BA" w14:textId="77777777" w:rsidR="00DD30E4" w:rsidRPr="00DE7CC2" w:rsidRDefault="00DD30E4" w:rsidP="00C33A5B">
      <w:pPr>
        <w:pStyle w:val="Heading1"/>
        <w:numPr>
          <w:ilvl w:val="0"/>
          <w:numId w:val="1"/>
        </w:numPr>
        <w:jc w:val="both"/>
        <w:rPr>
          <w:rFonts w:eastAsiaTheme="minorHAnsi" w:cstheme="minorBidi"/>
          <w:b/>
          <w:noProof/>
          <w:color w:val="auto"/>
          <w:sz w:val="24"/>
          <w:lang w:val="ro-RO"/>
        </w:rPr>
      </w:pPr>
      <w:r w:rsidRPr="00DE7CC2">
        <w:rPr>
          <w:b/>
          <w:noProof/>
          <w:color w:val="auto"/>
          <w:sz w:val="24"/>
          <w:lang w:val="ro-RO"/>
        </w:rPr>
        <w:t>PIAȚA UNICĂ – PILON CENTRAL AL PROIECTULUI EUROPEAN TIMP DE 30 DE ANI</w:t>
      </w:r>
    </w:p>
    <w:p w14:paraId="277C2BBC" w14:textId="77777777" w:rsidR="00DD30E4" w:rsidRPr="000F21D0" w:rsidRDefault="00DD30E4" w:rsidP="00DD30E4">
      <w:pPr>
        <w:jc w:val="both"/>
        <w:rPr>
          <w:b/>
          <w:noProof/>
          <w:highlight w:val="yellow"/>
          <w:lang w:val="ro-RO"/>
        </w:rPr>
      </w:pPr>
    </w:p>
    <w:p w14:paraId="61A68ECE" w14:textId="7907DC5E" w:rsidR="00DD30E4" w:rsidRPr="000F21D0" w:rsidRDefault="00DD30E4" w:rsidP="00C33A5B">
      <w:pPr>
        <w:pStyle w:val="ListParagraph"/>
        <w:numPr>
          <w:ilvl w:val="1"/>
          <w:numId w:val="1"/>
        </w:numPr>
        <w:jc w:val="both"/>
        <w:rPr>
          <w:b/>
          <w:noProof/>
          <w:lang w:val="ro-RO"/>
        </w:rPr>
      </w:pPr>
      <w:r w:rsidRPr="000F21D0">
        <w:rPr>
          <w:b/>
          <w:noProof/>
          <w:lang w:val="ro-RO"/>
        </w:rPr>
        <w:t xml:space="preserve"> Îmbunătățirea vieții cetățenilor și a întreprinderilor, </w:t>
      </w:r>
      <w:bookmarkStart w:id="4" w:name="_Hlk128424781"/>
      <w:r w:rsidRPr="000F21D0">
        <w:rPr>
          <w:b/>
          <w:noProof/>
          <w:lang w:val="ro-RO"/>
        </w:rPr>
        <w:t>sprijinirea tranziției verzi și a celei digitale</w:t>
      </w:r>
      <w:bookmarkEnd w:id="4"/>
    </w:p>
    <w:p w14:paraId="30A8C827" w14:textId="0D0FEBE5" w:rsidR="00A272A0" w:rsidRPr="000F21D0" w:rsidRDefault="00DD30E4" w:rsidP="00DD30E4">
      <w:pPr>
        <w:jc w:val="both"/>
        <w:rPr>
          <w:noProof/>
          <w:lang w:val="ro-RO"/>
        </w:rPr>
      </w:pPr>
      <w:r w:rsidRPr="000F21D0">
        <w:rPr>
          <w:noProof/>
          <w:lang w:val="ro-RO"/>
        </w:rPr>
        <w:t>Libera circulație a persoanelor, a bunurilor, a serviciilor și a capitalurilor le oferă europenilor acces la cea mai largă gamă posibilă de produse, servicii, experiențe, idei, culturi și limbi. În fiecare zi, un număr de peste 440 de milioane de cetățeni de pe întregul continent beneficiază de acestea. Piața unică</w:t>
      </w:r>
      <w:r w:rsidRPr="000F21D0">
        <w:rPr>
          <w:b/>
          <w:noProof/>
          <w:lang w:val="ro-RO"/>
        </w:rPr>
        <w:t xml:space="preserve"> </w:t>
      </w:r>
      <w:r w:rsidRPr="000F21D0">
        <w:rPr>
          <w:noProof/>
          <w:lang w:val="ro-RO"/>
        </w:rPr>
        <w:t xml:space="preserve">este, mai presus de toate, un mijloc de sporire a bunăstării cetățenilor. </w:t>
      </w:r>
    </w:p>
    <w:p w14:paraId="0FBCC8F1" w14:textId="5B086EB6" w:rsidR="00DD30E4" w:rsidRPr="000F21D0" w:rsidRDefault="00DD30E4" w:rsidP="00DD30E4">
      <w:pPr>
        <w:jc w:val="both"/>
        <w:rPr>
          <w:noProof/>
          <w:lang w:val="ro-RO"/>
        </w:rPr>
      </w:pPr>
      <w:bookmarkStart w:id="5" w:name="_Hlk127781594"/>
      <w:r w:rsidRPr="000F21D0">
        <w:rPr>
          <w:noProof/>
          <w:lang w:val="ro-RO"/>
        </w:rPr>
        <w:t xml:space="preserve">Eliminarea suprataxelor de </w:t>
      </w:r>
      <w:r w:rsidRPr="000F21D0">
        <w:rPr>
          <w:b/>
          <w:noProof/>
          <w:lang w:val="ro-RO"/>
        </w:rPr>
        <w:t>roaming</w:t>
      </w:r>
      <w:r w:rsidRPr="000F21D0">
        <w:rPr>
          <w:noProof/>
          <w:lang w:val="ro-RO"/>
        </w:rPr>
        <w:t xml:space="preserve"> ne permite să păstrăm legătura cu familia și prietenii atunci când călătorim în Europa. </w:t>
      </w:r>
      <w:r w:rsidRPr="000F21D0">
        <w:rPr>
          <w:b/>
          <w:noProof/>
          <w:lang w:val="ro-RO"/>
        </w:rPr>
        <w:t>Bunurile de consum și alimentele</w:t>
      </w:r>
      <w:r w:rsidRPr="000F21D0">
        <w:rPr>
          <w:noProof/>
          <w:lang w:val="ro-RO"/>
        </w:rPr>
        <w:t xml:space="preserve"> care circulă pe piața unică, indiferent dacă sunt cumpărate online sau offline, au devenit mai sigure, iar produsele periculoase sunt retrase de pe piață.</w:t>
      </w:r>
      <w:r w:rsidRPr="000F21D0">
        <w:rPr>
          <w:b/>
          <w:noProof/>
          <w:lang w:val="ro-RO"/>
        </w:rPr>
        <w:t xml:space="preserve"> Încărcătorul comun</w:t>
      </w:r>
      <w:r w:rsidRPr="000F21D0">
        <w:rPr>
          <w:noProof/>
          <w:lang w:val="ro-RO"/>
        </w:rPr>
        <w:t xml:space="preserve"> pentru dispozitivele electronice va reduce volumul deșeurilor electronice și inconvenientele pentru consumatori, care vor putea face astfel economii de 250 de milioane EUR în fiecare an. Spațiul european unic al transporturilor permite transportul de persoane și de mărfuri în interiorul UE la prețuri accesibile. Existența unor </w:t>
      </w:r>
      <w:r w:rsidRPr="000F21D0">
        <w:rPr>
          <w:b/>
          <w:noProof/>
          <w:lang w:val="ro-RO"/>
        </w:rPr>
        <w:t>drepturi solide ale pasagerilor</w:t>
      </w:r>
      <w:r w:rsidRPr="000F21D0">
        <w:rPr>
          <w:noProof/>
          <w:lang w:val="ro-RO"/>
        </w:rPr>
        <w:t xml:space="preserve"> înseamnă că putem beneficia de o compensație atunci când planurile noastre de călătorie sunt perturbate. Întreprinderile și cetățenii pot efectua plăți la nivel transfrontalier la fel de ușor ca pe plan intern. Consumatorii care solicită </w:t>
      </w:r>
      <w:r w:rsidRPr="000F21D0">
        <w:rPr>
          <w:b/>
          <w:noProof/>
          <w:lang w:val="ro-RO"/>
        </w:rPr>
        <w:t>credite</w:t>
      </w:r>
      <w:r w:rsidRPr="000F21D0">
        <w:rPr>
          <w:noProof/>
          <w:lang w:val="ro-RO"/>
        </w:rPr>
        <w:t xml:space="preserve"> pot conta pe o mai bună protecție.</w:t>
      </w:r>
    </w:p>
    <w:bookmarkEnd w:id="5"/>
    <w:p w14:paraId="587570DC" w14:textId="48114432" w:rsidR="00DD30E4" w:rsidRPr="000F21D0" w:rsidRDefault="00DD30E4" w:rsidP="00DD30E4">
      <w:pPr>
        <w:jc w:val="both"/>
        <w:rPr>
          <w:noProof/>
          <w:lang w:val="ro-RO"/>
        </w:rPr>
      </w:pPr>
      <w:r w:rsidRPr="000F21D0">
        <w:rPr>
          <w:noProof/>
          <w:lang w:val="ro-RO"/>
        </w:rPr>
        <w:t xml:space="preserve">Piața unică facilitează, de asemenea, traiul, studiile, munca și pensionarea într-un alt stat membru. Programul </w:t>
      </w:r>
      <w:r w:rsidRPr="000F21D0">
        <w:rPr>
          <w:b/>
          <w:noProof/>
          <w:lang w:val="ro-RO"/>
        </w:rPr>
        <w:t>Erasmus</w:t>
      </w:r>
      <w:r w:rsidRPr="000F21D0">
        <w:rPr>
          <w:noProof/>
          <w:lang w:val="ro-RO"/>
        </w:rPr>
        <w:t xml:space="preserve"> a permis unui număr de aproape 13 milioane de tineri să studieze și să lucreze în străinătate. Piața unică a lărgit orizonturile și oportunitățile specialiștilor europeni, ale căror </w:t>
      </w:r>
      <w:r w:rsidRPr="000F21D0">
        <w:rPr>
          <w:b/>
          <w:noProof/>
          <w:lang w:val="ro-RO"/>
        </w:rPr>
        <w:t>calificări profesionale</w:t>
      </w:r>
      <w:r w:rsidRPr="000F21D0">
        <w:rPr>
          <w:noProof/>
          <w:lang w:val="ro-RO"/>
        </w:rPr>
        <w:t xml:space="preserve"> sunt recunoscute mai ușor. Datorită coordonării normelor de </w:t>
      </w:r>
      <w:r w:rsidRPr="000F21D0">
        <w:rPr>
          <w:b/>
          <w:noProof/>
          <w:lang w:val="ro-RO"/>
        </w:rPr>
        <w:t>securitate socială</w:t>
      </w:r>
      <w:r w:rsidRPr="000F21D0">
        <w:rPr>
          <w:noProof/>
          <w:lang w:val="ro-RO"/>
        </w:rPr>
        <w:t>, milioane de europeni se pot bucura în continuare de drepturile lor la pensie și la asistență medicală atunci când locuiesc în străinătate, iar normele privind sănătatea și siguranța la locul de muncă asigură o concurență loială și standarde ridicate pentru toți cetățenii, indiferent de locul în care muncesc</w:t>
      </w:r>
      <w:r w:rsidRPr="000F21D0">
        <w:rPr>
          <w:rStyle w:val="FootnoteReference"/>
          <w:noProof/>
          <w:lang w:val="ro-RO"/>
        </w:rPr>
        <w:footnoteReference w:id="7"/>
      </w:r>
      <w:r w:rsidRPr="000F21D0">
        <w:rPr>
          <w:noProof/>
          <w:lang w:val="ro-RO"/>
        </w:rPr>
        <w:t>.</w:t>
      </w:r>
    </w:p>
    <w:p w14:paraId="1CB88595" w14:textId="3578DB5F" w:rsidR="00C524BB" w:rsidRPr="000F21D0" w:rsidRDefault="00C524BB" w:rsidP="00DE369E">
      <w:pPr>
        <w:jc w:val="both"/>
        <w:rPr>
          <w:rFonts w:eastAsia="Times New Roman" w:cs="Times New Roman"/>
          <w:noProof/>
          <w:lang w:val="ro-RO"/>
        </w:rPr>
      </w:pPr>
      <w:r w:rsidRPr="000F21D0">
        <w:rPr>
          <w:noProof/>
          <w:lang w:val="ro-RO"/>
        </w:rPr>
        <w:t xml:space="preserve">Piața unică este un motor puternic pentru accelerarea </w:t>
      </w:r>
      <w:r w:rsidRPr="000F21D0">
        <w:rPr>
          <w:b/>
          <w:noProof/>
          <w:lang w:val="ro-RO"/>
        </w:rPr>
        <w:t>tranziției verzi</w:t>
      </w:r>
      <w:r w:rsidRPr="000F21D0">
        <w:rPr>
          <w:noProof/>
          <w:lang w:val="ro-RO"/>
        </w:rPr>
        <w:t>, în conformitate cu Pactul verde european.</w:t>
      </w:r>
      <w:r w:rsidR="000F21D0" w:rsidRPr="000F21D0">
        <w:rPr>
          <w:noProof/>
          <w:lang w:val="ro-RO"/>
        </w:rPr>
        <w:t xml:space="preserve"> </w:t>
      </w:r>
      <w:r w:rsidRPr="000F21D0">
        <w:rPr>
          <w:noProof/>
          <w:lang w:val="ro-RO"/>
        </w:rPr>
        <w:t xml:space="preserve">Standardele pentru produse stabilite în mod uniform la nivelul UE asigură conformitatea în materie de mediu și siguranță, precum și respectarea cerințelor în materie de eficiență energetică. Abordarea bazată pe piață a sistemului UE de comercializare a certificatelor de emisii (ETS) reduce emisiile într-un mod eficient din punctul de vedere al costurilor, în timp ce veniturile pe care le generează pot sprijini tranziția către o producție mai puțin poluantă și pot stimula inovarea. </w:t>
      </w:r>
    </w:p>
    <w:p w14:paraId="31A027C7" w14:textId="4CDCE846" w:rsidR="00C524BB" w:rsidRPr="000F21D0" w:rsidRDefault="00C524BB" w:rsidP="00C524BB">
      <w:pPr>
        <w:jc w:val="both"/>
        <w:rPr>
          <w:rFonts w:eastAsia="Times New Roman" w:cs="Times New Roman"/>
          <w:noProof/>
          <w:lang w:val="ro-RO"/>
        </w:rPr>
      </w:pPr>
      <w:r w:rsidRPr="000F21D0">
        <w:rPr>
          <w:noProof/>
          <w:lang w:val="ro-RO"/>
        </w:rPr>
        <w:t xml:space="preserve">O </w:t>
      </w:r>
      <w:r w:rsidRPr="000F21D0">
        <w:rPr>
          <w:b/>
          <w:noProof/>
          <w:lang w:val="ro-RO"/>
        </w:rPr>
        <w:t>piață integrată a energiei UE</w:t>
      </w:r>
      <w:r w:rsidRPr="000F21D0">
        <w:rPr>
          <w:noProof/>
          <w:lang w:val="ro-RO"/>
        </w:rPr>
        <w:t xml:space="preserve"> este cea mai rentabilă modalitate de a garanta aprovizionarea cu energie sustenabilă, sigură și la prețuri accesibile pentru toți cetățenii. În ultimul deceniu, eforturile majore întreprinse pentru a continua integrarea piețelor energiei electrice din Europa au adus beneficii semnificative pentru consumatori, estimate la aproximativ 34 de miliarde EUR pe an, datorită comerțului transfrontalier între statele membre și îmbunătățirii securității aprovizionării într-o zonă geografică mai vastă</w:t>
      </w:r>
      <w:r w:rsidRPr="000F21D0">
        <w:rPr>
          <w:rStyle w:val="FootnoteReference"/>
          <w:rFonts w:eastAsia="Times New Roman" w:cs="Times New Roman"/>
          <w:noProof/>
          <w:lang w:val="ro-RO"/>
        </w:rPr>
        <w:footnoteReference w:id="8"/>
      </w:r>
      <w:r w:rsidRPr="000F21D0">
        <w:rPr>
          <w:noProof/>
          <w:lang w:val="ro-RO"/>
        </w:rPr>
        <w:t>. În contextul întreruperilor frecvente ale aprovizionării, piața unică a contribuit la asigurarea faptului că energia, în special gazul, ajunge acolo unde este cea mai mare nevoie. Cooperarea și solidaritatea regională au avut un rol esențial în garantarea rezilienței sistemului energetic al UE. Regulamentul TEN-E a contribuit în mod semnificativ la această securitate solidă a aprovizionării prin interconectarea sistemelor energetice ale statelor membre prin proiecte de interes comun (PIC). În același timp, recenta criză energetică a evidențiat o serie de deficiențe pe care UE a trebuit să le abordeze.</w:t>
      </w:r>
    </w:p>
    <w:p w14:paraId="13A14E2C" w14:textId="4C4BD7C7" w:rsidR="00C524BB" w:rsidRPr="000F21D0" w:rsidRDefault="00A272A0" w:rsidP="00C524BB">
      <w:pPr>
        <w:jc w:val="both"/>
        <w:rPr>
          <w:noProof/>
          <w:lang w:val="ro-RO"/>
        </w:rPr>
      </w:pPr>
      <w:r w:rsidRPr="000F21D0">
        <w:rPr>
          <w:noProof/>
          <w:lang w:val="ro-RO"/>
        </w:rPr>
        <w:t xml:space="preserve">În următorii ani, piața unică trebuie să evolueze pentru a răspunde așteptărilor cetățenilor în ceea ce privește o </w:t>
      </w:r>
      <w:r w:rsidRPr="000F21D0">
        <w:rPr>
          <w:b/>
          <w:noProof/>
          <w:lang w:val="ro-RO"/>
        </w:rPr>
        <w:t>tranziție digitală</w:t>
      </w:r>
      <w:r w:rsidRPr="000F21D0">
        <w:rPr>
          <w:noProof/>
          <w:lang w:val="ro-RO"/>
        </w:rPr>
        <w:t xml:space="preserve"> centrată pe factorul uman și piețe care fac ca alegerile sustenabile să fie accesibile și atractive. </w:t>
      </w:r>
      <w:r w:rsidRPr="000F21D0">
        <w:rPr>
          <w:b/>
          <w:noProof/>
          <w:lang w:val="ro-RO"/>
        </w:rPr>
        <w:t>Actul legislativ privind serviciile digitale</w:t>
      </w:r>
      <w:r w:rsidRPr="000F21D0">
        <w:rPr>
          <w:noProof/>
          <w:lang w:val="ro-RO"/>
        </w:rPr>
        <w:t xml:space="preserve"> va asigura faptul că întreprinderile online își pot desfășura activitatea în întreaga Europă pe baza unui set unic de norme direct aplicabile și că cetățenii pot utiliza în condiții de siguranță platformele online și serviciile de comerț electronic, indiferent de locul în care se află în UE, protejați împotriva conținutului ilegal, a dezinformării și a hărțuirii cibernetice. </w:t>
      </w:r>
      <w:r w:rsidRPr="000F21D0">
        <w:rPr>
          <w:b/>
          <w:noProof/>
          <w:lang w:val="ro-RO"/>
        </w:rPr>
        <w:t>Regulamentul privind piețele digitale</w:t>
      </w:r>
      <w:r w:rsidRPr="000F21D0">
        <w:rPr>
          <w:noProof/>
          <w:lang w:val="ro-RO"/>
        </w:rPr>
        <w:t xml:space="preserve"> va asigura piețe echitabile și contestabile în sectorul digital, astfel încât platformele să nu își poată utiliza în mod abuziv puterea de controlor de acces (</w:t>
      </w:r>
      <w:r w:rsidRPr="000F21D0">
        <w:rPr>
          <w:i/>
          <w:iCs/>
          <w:noProof/>
          <w:lang w:val="ro-RO"/>
        </w:rPr>
        <w:t>gatekeeper</w:t>
      </w:r>
      <w:r w:rsidRPr="000F21D0">
        <w:rPr>
          <w:noProof/>
          <w:lang w:val="ro-RO"/>
        </w:rPr>
        <w:t xml:space="preserve">) pe piața unică. Existența unor norme armonizate în domenii precum mass-media audiovizuală și drepturile de autor sprijină diversitatea culturală și pluralismul mass-mediei în contextul digital. Prin Actul privind guvernanța datelor, deja adoptat, și Actul privind datele, într-o fază avansată de negociere, UE construiește o veritabilă </w:t>
      </w:r>
      <w:r w:rsidRPr="000F21D0">
        <w:rPr>
          <w:b/>
          <w:noProof/>
          <w:lang w:val="ro-RO"/>
        </w:rPr>
        <w:t>piață unică a datelor</w:t>
      </w:r>
      <w:r w:rsidRPr="000F21D0">
        <w:rPr>
          <w:noProof/>
          <w:lang w:val="ro-RO"/>
        </w:rPr>
        <w:t xml:space="preserve">, deschizând oportunități pentru toți actorii economici și transformând Europa într-un lider mondial în economia dinamică bazată pe date. De asemenea, este creată o piață unică a </w:t>
      </w:r>
      <w:r w:rsidRPr="000F21D0">
        <w:rPr>
          <w:b/>
          <w:noProof/>
          <w:lang w:val="ro-RO"/>
        </w:rPr>
        <w:t>securității cibernetice</w:t>
      </w:r>
      <w:r w:rsidRPr="000F21D0">
        <w:rPr>
          <w:noProof/>
          <w:lang w:val="ro-RO"/>
        </w:rPr>
        <w:t>, care prevede cerințe de securitate cibernetică pentru orice produs, software sau hardware conectabil.</w:t>
      </w:r>
    </w:p>
    <w:p w14:paraId="044CEAA4" w14:textId="5AC505F5" w:rsidR="00DD30E4" w:rsidRPr="000F21D0" w:rsidRDefault="00DD30E4" w:rsidP="00DD30E4">
      <w:pPr>
        <w:jc w:val="both"/>
        <w:rPr>
          <w:noProof/>
          <w:lang w:val="ro-RO"/>
        </w:rPr>
      </w:pPr>
      <w:r w:rsidRPr="000F21D0">
        <w:rPr>
          <w:b/>
          <w:noProof/>
          <w:lang w:val="ro-RO"/>
        </w:rPr>
        <w:t xml:space="preserve">UE a dezvoltat instrumente digitale pentru îmbunătățirea funcționării pieței unice. </w:t>
      </w:r>
      <w:r w:rsidRPr="000F21D0">
        <w:rPr>
          <w:noProof/>
          <w:lang w:val="ro-RO"/>
        </w:rPr>
        <w:t xml:space="preserve">În timpul pandemiei, Comisia a elaborat rapid un </w:t>
      </w:r>
      <w:r w:rsidRPr="000F21D0">
        <w:rPr>
          <w:b/>
          <w:noProof/>
          <w:lang w:val="ro-RO"/>
        </w:rPr>
        <w:t>certificat digital privind COVID</w:t>
      </w:r>
      <w:r w:rsidRPr="000F21D0">
        <w:rPr>
          <w:noProof/>
          <w:lang w:val="ro-RO"/>
        </w:rPr>
        <w:t xml:space="preserve"> pentru a facilita libertatea de circulație, permițând cetățenilor și rezidenților UE să furnizeze cu ușurință dovada digitală a vaccinării împotriva COVID-19, a unui rezultat negativ la un test de depistare sau a vindecării.</w:t>
      </w:r>
    </w:p>
    <w:p w14:paraId="673063AB" w14:textId="23AE352C" w:rsidR="00E03138" w:rsidRPr="000F21D0" w:rsidRDefault="00C524BB">
      <w:pPr>
        <w:jc w:val="both"/>
        <w:rPr>
          <w:noProof/>
          <w:lang w:val="ro-RO"/>
        </w:rPr>
      </w:pPr>
      <w:r w:rsidRPr="000F21D0">
        <w:rPr>
          <w:noProof/>
          <w:lang w:val="ro-RO"/>
        </w:rPr>
        <w:t xml:space="preserve">Instrumentele digitale </w:t>
      </w:r>
      <w:r w:rsidRPr="000F21D0">
        <w:rPr>
          <w:b/>
          <w:noProof/>
          <w:lang w:val="ro-RO"/>
        </w:rPr>
        <w:t>reduc sarcinile administrative și creează transparență</w:t>
      </w:r>
      <w:r w:rsidRPr="000F21D0">
        <w:rPr>
          <w:noProof/>
          <w:lang w:val="ro-RO"/>
        </w:rPr>
        <w:t xml:space="preserve"> pentru cetățeni și întreprinderi</w:t>
      </w:r>
      <w:r w:rsidRPr="000F21D0">
        <w:rPr>
          <w:b/>
          <w:noProof/>
          <w:lang w:val="ro-RO"/>
        </w:rPr>
        <w:t xml:space="preserve">. </w:t>
      </w:r>
      <w:r w:rsidRPr="000F21D0">
        <w:rPr>
          <w:noProof/>
          <w:lang w:val="ro-RO"/>
        </w:rPr>
        <w:t>Atunci când doresc să afle mai multe despre drepturile și oportunitățile lor, ei pot accesa portalul „</w:t>
      </w:r>
      <w:r w:rsidRPr="000F21D0">
        <w:rPr>
          <w:b/>
          <w:noProof/>
          <w:lang w:val="ro-RO"/>
        </w:rPr>
        <w:t>Your Europe</w:t>
      </w:r>
      <w:r w:rsidRPr="000F21D0">
        <w:rPr>
          <w:noProof/>
          <w:lang w:val="ro-RO"/>
        </w:rPr>
        <w:t>”, un ghișeu unic pentru informare. Cei care solicită consiliere atunci când apar probleme legate de piața unică pot utiliza serviciul „</w:t>
      </w:r>
      <w:r w:rsidRPr="000F21D0">
        <w:rPr>
          <w:b/>
          <w:noProof/>
          <w:lang w:val="ro-RO"/>
        </w:rPr>
        <w:t>Europa ta – Consiliere</w:t>
      </w:r>
      <w:r w:rsidRPr="000F21D0">
        <w:rPr>
          <w:noProof/>
          <w:lang w:val="ro-RO"/>
        </w:rPr>
        <w:t xml:space="preserve">” și </w:t>
      </w:r>
      <w:r w:rsidRPr="000F21D0">
        <w:rPr>
          <w:b/>
          <w:noProof/>
          <w:lang w:val="ro-RO"/>
        </w:rPr>
        <w:t>SOLVIT</w:t>
      </w:r>
      <w:r w:rsidRPr="000F21D0">
        <w:rPr>
          <w:noProof/>
          <w:lang w:val="ro-RO"/>
        </w:rPr>
        <w:t>, care ajută întreprinderile sau persoanele</w:t>
      </w:r>
      <w:r w:rsidRPr="000F21D0">
        <w:rPr>
          <w:b/>
          <w:noProof/>
          <w:lang w:val="ro-RO"/>
        </w:rPr>
        <w:t xml:space="preserve"> </w:t>
      </w:r>
      <w:r w:rsidRPr="000F21D0">
        <w:rPr>
          <w:noProof/>
          <w:lang w:val="ro-RO"/>
        </w:rPr>
        <w:t xml:space="preserve">afectate de încălcări ale dreptului Uniunii să soluționeze litigiile prin mecanisme extrajudiciare, permițându-le să depășească obstacolele. Pentru a îmbunătăți mediul de afaceri, SOLVIT își va concentra eforturile asupra sprijinirii întreprinderilor mici și mijlocii (IMM-uri) pentru a valorifica la maximum oportunitățile oferite de piața unică. </w:t>
      </w:r>
      <w:r w:rsidRPr="000F21D0">
        <w:rPr>
          <w:b/>
          <w:noProof/>
          <w:lang w:val="ro-RO"/>
        </w:rPr>
        <w:t>Sistemul de informare al pieței interne (IMI)</w:t>
      </w:r>
      <w:r w:rsidRPr="000F21D0">
        <w:rPr>
          <w:rStyle w:val="FootnoteReference"/>
          <w:noProof/>
          <w:lang w:val="ro-RO"/>
        </w:rPr>
        <w:footnoteReference w:id="9"/>
      </w:r>
      <w:r w:rsidRPr="000F21D0">
        <w:rPr>
          <w:noProof/>
          <w:lang w:val="ro-RO"/>
        </w:rPr>
        <w:t>, care conectează mii de administrații publice, facilitează schimburile administrative transfrontaliere între acestea și soluționează problemele. Acesta a cunoscut o creștere constantă de-a lungul anilor, acoperind în prezent 19 domenii de politică</w:t>
      </w:r>
      <w:r w:rsidRPr="000F21D0">
        <w:rPr>
          <w:rStyle w:val="FootnoteReference"/>
          <w:noProof/>
          <w:lang w:val="ro-RO"/>
        </w:rPr>
        <w:footnoteReference w:id="10"/>
      </w:r>
      <w:r w:rsidRPr="000F21D0">
        <w:rPr>
          <w:noProof/>
          <w:lang w:val="ro-RO"/>
        </w:rPr>
        <w:t>. În ansamblu, toate acestea creează un adevărat „serviciu administrativ pentru piața unică”, în beneficiul întreprinderilor și al administrațiilor.</w:t>
      </w:r>
    </w:p>
    <w:p w14:paraId="6D647B47" w14:textId="08409CFC" w:rsidR="00A60F5E" w:rsidRPr="000F21D0" w:rsidRDefault="00A60F5E">
      <w:pPr>
        <w:jc w:val="both"/>
        <w:rPr>
          <w:noProof/>
          <w:lang w:val="ro-RO"/>
        </w:rPr>
      </w:pPr>
    </w:p>
    <w:p w14:paraId="3D38878E" w14:textId="5821DF86" w:rsidR="00DD30E4" w:rsidRPr="000F21D0" w:rsidRDefault="00A60F5E" w:rsidP="00DD30E4">
      <w:pPr>
        <w:jc w:val="both"/>
        <w:rPr>
          <w:rFonts w:eastAsiaTheme="minorEastAsia"/>
          <w:noProof/>
          <w:highlight w:val="green"/>
          <w:lang w:val="ro-RO"/>
        </w:rPr>
      </w:pPr>
      <w:r w:rsidRPr="000F21D0">
        <w:rPr>
          <w:b/>
          <w:noProof/>
          <w:lang w:val="ro-RO"/>
        </w:rPr>
        <w:t>Sistemul tehnic „doar o singură dată” (</w:t>
      </w:r>
      <w:r w:rsidRPr="000F21D0">
        <w:rPr>
          <w:b/>
          <w:i/>
          <w:iCs/>
          <w:noProof/>
          <w:lang w:val="ro-RO"/>
        </w:rPr>
        <w:t>Once Only Technical System</w:t>
      </w:r>
      <w:r w:rsidRPr="000F21D0">
        <w:rPr>
          <w:b/>
          <w:noProof/>
          <w:lang w:val="ro-RO"/>
        </w:rPr>
        <w:t xml:space="preserve"> – OOTS)</w:t>
      </w:r>
      <w:r w:rsidRPr="000F21D0">
        <w:rPr>
          <w:noProof/>
          <w:lang w:val="ro-RO"/>
        </w:rPr>
        <w:t xml:space="preserve"> va asigura faptul că, atunci când o întreprindere sau un cetățean prezintă un document unei administrații publice, documentul poate fi transferat în condiții de siguranță către alte administrații publice, astfel încât întreprinderea sau persoana fizică să poată îndeplini alte proceduri fără a fi nevoită să îl retransmită. Toate aceste instrumente sunt accesibile prin intermediul </w:t>
      </w:r>
      <w:r w:rsidRPr="000F21D0">
        <w:rPr>
          <w:b/>
          <w:noProof/>
          <w:lang w:val="ro-RO"/>
        </w:rPr>
        <w:t>portalului digital unic</w:t>
      </w:r>
      <w:r w:rsidRPr="000F21D0">
        <w:rPr>
          <w:noProof/>
          <w:lang w:val="ro-RO"/>
        </w:rPr>
        <w:t xml:space="preserve"> al UE. În plus, </w:t>
      </w:r>
      <w:r w:rsidRPr="000F21D0">
        <w:rPr>
          <w:b/>
          <w:noProof/>
          <w:lang w:val="ro-RO"/>
        </w:rPr>
        <w:t>portofelul european pentru identitatea digitală</w:t>
      </w:r>
      <w:r w:rsidRPr="000F21D0">
        <w:rPr>
          <w:rStyle w:val="FootnoteReference"/>
          <w:noProof/>
          <w:lang w:val="ro-RO"/>
        </w:rPr>
        <w:footnoteReference w:id="11"/>
      </w:r>
      <w:r w:rsidRPr="000F21D0">
        <w:rPr>
          <w:noProof/>
          <w:lang w:val="ro-RO"/>
        </w:rPr>
        <w:t xml:space="preserve"> va oferi cetățenilor și întreprinderilor documente standardizate pe care le pot utiliza în condiții de siguranță pentru a se identifica și a comunica informații esențiale oriunde în UE, de exemplu diplome care atestă calificările profesionale sau documente legate de asistența medicală și securitatea socială. În plus, în vederea atingerii obiectivului ambițios al deceniului digital al Europei</w:t>
      </w:r>
      <w:r w:rsidRPr="000F21D0">
        <w:rPr>
          <w:rStyle w:val="FootnoteReference"/>
          <w:rFonts w:eastAsiaTheme="minorEastAsia"/>
          <w:noProof/>
          <w:lang w:val="ro-RO"/>
        </w:rPr>
        <w:footnoteReference w:id="12"/>
      </w:r>
      <w:r w:rsidRPr="000F21D0">
        <w:rPr>
          <w:noProof/>
          <w:lang w:val="ro-RO"/>
        </w:rPr>
        <w:t xml:space="preserve">, UE urmărește să furnizeze toate serviciile publice </w:t>
      </w:r>
      <w:r w:rsidR="000F21D0" w:rsidRPr="000F21D0">
        <w:rPr>
          <w:noProof/>
          <w:lang w:val="ro-RO"/>
        </w:rPr>
        <w:t>esențiale online până în 2030.</w:t>
      </w:r>
    </w:p>
    <w:p w14:paraId="44D2678A" w14:textId="5FE4FB4D" w:rsidR="00FC2FE2" w:rsidRPr="000F21D0" w:rsidRDefault="00FC2FE2" w:rsidP="006D3C02">
      <w:pPr>
        <w:jc w:val="both"/>
        <w:rPr>
          <w:noProof/>
          <w:highlight w:val="yellow"/>
          <w:lang w:val="ro-RO"/>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242"/>
      </w:tblGrid>
      <w:tr w:rsidR="00DD30E4" w:rsidRPr="000F21D0" w14:paraId="418BC93C" w14:textId="77777777" w:rsidTr="53C55EFE">
        <w:trPr>
          <w:cantSplit/>
          <w:trHeight w:val="274"/>
        </w:trPr>
        <w:tc>
          <w:tcPr>
            <w:tcW w:w="9576" w:type="dxa"/>
          </w:tcPr>
          <w:p w14:paraId="0C0BF391" w14:textId="6E899595" w:rsidR="00277D08" w:rsidRPr="000F21D0" w:rsidRDefault="00863F85" w:rsidP="001B531C">
            <w:pPr>
              <w:rPr>
                <w:b/>
                <w:noProof/>
                <w:lang w:val="ro-RO"/>
              </w:rPr>
            </w:pPr>
            <w:r w:rsidRPr="000F21D0">
              <w:rPr>
                <w:b/>
                <w:noProof/>
                <w:lang w:val="ro-RO"/>
              </w:rPr>
              <w:t>Graficul 1: Instrumente ale pieței unice</w:t>
            </w:r>
          </w:p>
        </w:tc>
      </w:tr>
      <w:tr w:rsidR="00DD30E4" w:rsidRPr="000F21D0" w14:paraId="774B5908" w14:textId="77777777" w:rsidTr="53C55EFE">
        <w:trPr>
          <w:cantSplit/>
        </w:trPr>
        <w:tc>
          <w:tcPr>
            <w:tcW w:w="9576" w:type="dxa"/>
          </w:tcPr>
          <w:p w14:paraId="444B28DA" w14:textId="41763F34" w:rsidR="00941BA5" w:rsidRPr="000F21D0" w:rsidRDefault="00941BA5" w:rsidP="00277D08">
            <w:pPr>
              <w:jc w:val="center"/>
              <w:rPr>
                <w:noProof/>
                <w:lang w:val="ro-RO"/>
              </w:rPr>
            </w:pPr>
          </w:p>
          <w:p w14:paraId="70637991" w14:textId="3A1A8737" w:rsidR="00DF2AF3" w:rsidRPr="000F21D0" w:rsidRDefault="00B7314C" w:rsidP="00277D08">
            <w:pPr>
              <w:jc w:val="center"/>
              <w:rPr>
                <w:noProof/>
                <w:lang w:val="ro-RO"/>
              </w:rPr>
            </w:pPr>
            <w:r w:rsidRPr="00B7314C">
              <w:rPr>
                <w:noProof/>
                <w:lang w:val="en-GB" w:eastAsia="en-GB"/>
              </w:rPr>
              <w:drawing>
                <wp:inline distT="0" distB="0" distL="0" distR="0" wp14:anchorId="7CE11E94" wp14:editId="2DAB934D">
                  <wp:extent cx="5268351" cy="3142884"/>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1503" cy="3144764"/>
                          </a:xfrm>
                          <a:prstGeom prst="rect">
                            <a:avLst/>
                          </a:prstGeom>
                          <a:noFill/>
                          <a:ln>
                            <a:noFill/>
                          </a:ln>
                        </pic:spPr>
                      </pic:pic>
                    </a:graphicData>
                  </a:graphic>
                </wp:inline>
              </w:drawing>
            </w:r>
          </w:p>
          <w:p w14:paraId="2A075B6E" w14:textId="77777777" w:rsidR="00277D08" w:rsidRPr="000F21D0" w:rsidRDefault="00277D08" w:rsidP="00DF2AF3">
            <w:pPr>
              <w:jc w:val="center"/>
              <w:rPr>
                <w:noProof/>
                <w:color w:val="2B579A"/>
                <w:shd w:val="clear" w:color="auto" w:fill="E6E6E6"/>
                <w:lang w:val="ro-RO"/>
              </w:rPr>
            </w:pPr>
          </w:p>
        </w:tc>
      </w:tr>
      <w:tr w:rsidR="00DD30E4" w:rsidRPr="000F21D0" w14:paraId="3E361A12" w14:textId="77777777" w:rsidTr="53C55EFE">
        <w:trPr>
          <w:cantSplit/>
          <w:trHeight w:val="280"/>
        </w:trPr>
        <w:tc>
          <w:tcPr>
            <w:tcW w:w="9576" w:type="dxa"/>
          </w:tcPr>
          <w:p w14:paraId="20A39273" w14:textId="17ADF2AA" w:rsidR="00277D08" w:rsidRPr="000F21D0" w:rsidRDefault="00277D08" w:rsidP="00277D08">
            <w:pPr>
              <w:rPr>
                <w:noProof/>
                <w:sz w:val="16"/>
                <w:lang w:val="ro-RO"/>
              </w:rPr>
            </w:pPr>
            <w:r w:rsidRPr="000F21D0">
              <w:rPr>
                <w:noProof/>
                <w:sz w:val="16"/>
                <w:lang w:val="ro-RO"/>
              </w:rPr>
              <w:t>Sursă: Comisia Europeană</w:t>
            </w:r>
          </w:p>
        </w:tc>
      </w:tr>
    </w:tbl>
    <w:p w14:paraId="2AB1D600" w14:textId="77777777" w:rsidR="00D135F4" w:rsidRPr="000F21D0" w:rsidRDefault="00D135F4" w:rsidP="009366E0">
      <w:pPr>
        <w:spacing w:before="120"/>
        <w:jc w:val="both"/>
        <w:rPr>
          <w:noProof/>
          <w:highlight w:val="yellow"/>
          <w:lang w:val="ro-RO"/>
        </w:rPr>
      </w:pPr>
    </w:p>
    <w:p w14:paraId="591A1AAE" w14:textId="2E793C4D" w:rsidR="00DD30E4" w:rsidRPr="000F21D0" w:rsidRDefault="000F21D0" w:rsidP="00C33A5B">
      <w:pPr>
        <w:pStyle w:val="ListParagraph"/>
        <w:numPr>
          <w:ilvl w:val="1"/>
          <w:numId w:val="1"/>
        </w:numPr>
        <w:shd w:val="clear" w:color="auto" w:fill="FFFFFF" w:themeFill="background1"/>
        <w:jc w:val="both"/>
        <w:rPr>
          <w:b/>
          <w:noProof/>
          <w:lang w:val="ro-RO"/>
        </w:rPr>
      </w:pPr>
      <w:r>
        <w:rPr>
          <w:b/>
          <w:noProof/>
          <w:lang w:val="ro-RO"/>
        </w:rPr>
        <w:t xml:space="preserve"> Stimularea economiei</w:t>
      </w:r>
    </w:p>
    <w:p w14:paraId="5E72B788" w14:textId="5C6A4B44" w:rsidR="00D57E36" w:rsidRPr="000F21D0" w:rsidRDefault="00DD30E4" w:rsidP="00DE369E">
      <w:pPr>
        <w:shd w:val="clear" w:color="auto" w:fill="FFFFFF" w:themeFill="background1"/>
        <w:jc w:val="both"/>
        <w:rPr>
          <w:noProof/>
          <w:lang w:val="ro-RO"/>
        </w:rPr>
      </w:pPr>
      <w:r w:rsidRPr="000F21D0">
        <w:rPr>
          <w:noProof/>
          <w:lang w:val="ro-RO"/>
        </w:rPr>
        <w:t>Fiind cea mai mare piață integrată din lume, piața unică a depășit toate așteptările în termeni macroeconomici. Reprezentând 18 % din PIB-ul mondial</w:t>
      </w:r>
      <w:r w:rsidRPr="000F21D0">
        <w:rPr>
          <w:rStyle w:val="FootnoteReference"/>
          <w:noProof/>
          <w:lang w:val="ro-RO"/>
        </w:rPr>
        <w:footnoteReference w:id="13"/>
      </w:r>
      <w:r w:rsidRPr="000F21D0">
        <w:rPr>
          <w:noProof/>
          <w:lang w:val="ro-RO"/>
        </w:rPr>
        <w:t>, ea servește drept rampă de lansare pentru întreprinderi, care își pot oferi bunurile și serviciile unui număr de peste 440 de milioane de cetățeni ai UE de pe întregul continent. Aceasta găzduiește 23 de milioane de întreprinderi</w:t>
      </w:r>
      <w:r w:rsidRPr="000F21D0">
        <w:rPr>
          <w:rStyle w:val="FootnoteReference"/>
          <w:noProof/>
          <w:lang w:val="ro-RO"/>
        </w:rPr>
        <w:footnoteReference w:id="14"/>
      </w:r>
      <w:r w:rsidRPr="000F21D0">
        <w:rPr>
          <w:noProof/>
          <w:lang w:val="ro-RO"/>
        </w:rPr>
        <w:t xml:space="preserve"> având aproape 128 de milioane de angajați</w:t>
      </w:r>
      <w:r w:rsidRPr="000F21D0">
        <w:rPr>
          <w:rStyle w:val="FootnoteReference"/>
          <w:noProof/>
          <w:lang w:val="ro-RO"/>
        </w:rPr>
        <w:footnoteReference w:id="15"/>
      </w:r>
      <w:r w:rsidRPr="000F21D0">
        <w:rPr>
          <w:noProof/>
          <w:lang w:val="ro-RO"/>
        </w:rPr>
        <w:t xml:space="preserve">. Piața unică a adus </w:t>
      </w:r>
      <w:r w:rsidRPr="000F21D0">
        <w:rPr>
          <w:b/>
          <w:noProof/>
          <w:lang w:val="ro-RO"/>
        </w:rPr>
        <w:t>beneficii economice semnificative</w:t>
      </w:r>
      <w:r w:rsidRPr="000F21D0">
        <w:rPr>
          <w:noProof/>
          <w:lang w:val="ro-RO"/>
        </w:rPr>
        <w:t>, permițând UE să realizeze un PIB cu până la 9 % mai mare pe termen lung decât dacă ea nu ar fi existat</w:t>
      </w:r>
      <w:r w:rsidRPr="000F21D0">
        <w:rPr>
          <w:rStyle w:val="FootnoteReference"/>
          <w:noProof/>
          <w:lang w:val="ro-RO"/>
        </w:rPr>
        <w:footnoteReference w:id="16"/>
      </w:r>
      <w:r w:rsidRPr="000F21D0">
        <w:rPr>
          <w:noProof/>
          <w:lang w:val="ro-RO"/>
        </w:rPr>
        <w:t xml:space="preserve">. Această integrare a fost și este în continuare o </w:t>
      </w:r>
      <w:r w:rsidRPr="000F21D0">
        <w:rPr>
          <w:b/>
          <w:noProof/>
          <w:lang w:val="ro-RO"/>
        </w:rPr>
        <w:t>sursă fundamentală de creștere economică și de creare de locuri de muncă</w:t>
      </w:r>
      <w:r w:rsidRPr="000F21D0">
        <w:rPr>
          <w:rStyle w:val="FootnoteReference"/>
          <w:noProof/>
          <w:lang w:val="ro-RO"/>
        </w:rPr>
        <w:footnoteReference w:id="17"/>
      </w:r>
      <w:r w:rsidRPr="000F21D0">
        <w:rPr>
          <w:noProof/>
          <w:lang w:val="ro-RO"/>
        </w:rPr>
        <w:t>.</w:t>
      </w:r>
      <w:bookmarkStart w:id="6" w:name="_Ref107325954"/>
      <w:r w:rsidRPr="000F21D0">
        <w:rPr>
          <w:noProof/>
          <w:lang w:val="ro-RO"/>
        </w:rPr>
        <w:t xml:space="preserve"> În timp ce ocuparea totală a forței de muncă în UE a crescut cu 5,5 % în perioada 2000-2014, numărul locurilor de muncă legate de servicii transfrontaliere</w:t>
      </w:r>
      <w:r w:rsidRPr="000F21D0">
        <w:rPr>
          <w:rStyle w:val="FootnoteReference"/>
          <w:noProof/>
          <w:lang w:val="ro-RO"/>
        </w:rPr>
        <w:footnoteReference w:id="18"/>
      </w:r>
      <w:r w:rsidRPr="000F21D0">
        <w:rPr>
          <w:noProof/>
          <w:lang w:val="ro-RO"/>
        </w:rPr>
        <w:t xml:space="preserve"> aproape s-a dublat în aceeași perioadă (de la 5,6 la 10,9 milioane)</w:t>
      </w:r>
      <w:r w:rsidRPr="000F21D0">
        <w:rPr>
          <w:rStyle w:val="FootnoteReference"/>
          <w:noProof/>
          <w:lang w:val="ro-RO"/>
        </w:rPr>
        <w:footnoteReference w:id="19"/>
      </w:r>
      <w:r w:rsidRPr="000F21D0">
        <w:rPr>
          <w:noProof/>
          <w:lang w:val="ro-RO"/>
        </w:rPr>
        <w:t>. Nivelul comerțului cu bunuri și servicii între statele membre în comparație cu dimensiunea economiei UE aproape s-a dublat în ultimii 30 de ani. Cercetătorii sugerează că integrarea economică în Europa este mai avansată din punct de vedere al reglementării decât, de exemplu, în Statele Unite</w:t>
      </w:r>
      <w:r w:rsidRPr="000F21D0">
        <w:rPr>
          <w:rStyle w:val="FootnoteReference"/>
          <w:noProof/>
          <w:lang w:val="ro-RO"/>
        </w:rPr>
        <w:footnoteReference w:id="20"/>
      </w:r>
      <w:r w:rsidRPr="000F21D0">
        <w:rPr>
          <w:noProof/>
          <w:lang w:val="ro-RO"/>
        </w:rPr>
        <w:t xml:space="preserve">. </w:t>
      </w:r>
    </w:p>
    <w:p w14:paraId="518D4633" w14:textId="77777777" w:rsidR="00D135F4" w:rsidRPr="000F21D0" w:rsidRDefault="00D135F4" w:rsidP="00F17E86">
      <w:pPr>
        <w:jc w:val="both"/>
        <w:rPr>
          <w:noProof/>
          <w:lang w:val="ro-RO"/>
        </w:rPr>
      </w:pPr>
    </w:p>
    <w:p w14:paraId="5F98DF95" w14:textId="77777777" w:rsidR="00DE369E" w:rsidRPr="000F21D0" w:rsidRDefault="00DE369E" w:rsidP="00F17E86">
      <w:pPr>
        <w:jc w:val="both"/>
        <w:rPr>
          <w:noProof/>
          <w:lang w:val="ro-RO"/>
        </w:rPr>
      </w:pPr>
    </w:p>
    <w:p w14:paraId="1628686F" w14:textId="77777777" w:rsidR="00D135F4" w:rsidRPr="000F21D0" w:rsidRDefault="00D135F4" w:rsidP="00F17E86">
      <w:pPr>
        <w:jc w:val="both"/>
        <w:rPr>
          <w:noProof/>
          <w:lang w:val="ro-RO"/>
        </w:rPr>
      </w:pPr>
    </w:p>
    <w:p w14:paraId="030D67A1" w14:textId="77777777" w:rsidR="00D135F4" w:rsidRPr="000F21D0" w:rsidRDefault="00D135F4" w:rsidP="00F17E86">
      <w:pPr>
        <w:jc w:val="both"/>
        <w:rPr>
          <w:noProof/>
          <w:lang w:val="ro-RO"/>
        </w:rPr>
      </w:pPr>
    </w:p>
    <w:p w14:paraId="6EFF64C8" w14:textId="77777777" w:rsidR="00D135F4" w:rsidRPr="000F21D0" w:rsidRDefault="00D135F4" w:rsidP="00F17E86">
      <w:pPr>
        <w:jc w:val="both"/>
        <w:rPr>
          <w:noProof/>
          <w:lang w:val="ro-RO"/>
        </w:rPr>
      </w:pPr>
    </w:p>
    <w:p w14:paraId="49B9085D" w14:textId="77777777" w:rsidR="00D135F4" w:rsidRPr="000F21D0" w:rsidRDefault="00D135F4" w:rsidP="00F17E86">
      <w:pPr>
        <w:jc w:val="both"/>
        <w:rPr>
          <w:noProof/>
          <w:lang w:val="ro-RO"/>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242"/>
      </w:tblGrid>
      <w:tr w:rsidR="007000E1" w:rsidRPr="000F21D0" w14:paraId="19332B77" w14:textId="77777777" w:rsidTr="00613067">
        <w:trPr>
          <w:cantSplit/>
        </w:trPr>
        <w:tc>
          <w:tcPr>
            <w:tcW w:w="9242" w:type="dxa"/>
          </w:tcPr>
          <w:bookmarkEnd w:id="6"/>
          <w:p w14:paraId="566FC707" w14:textId="49A2950D" w:rsidR="00B479FD" w:rsidRPr="000F21D0" w:rsidRDefault="002F2559" w:rsidP="00DD30E4">
            <w:pPr>
              <w:rPr>
                <w:rFonts w:eastAsia="Times New Roman" w:cs="Times New Roman"/>
                <w:noProof/>
                <w:lang w:val="ro-RO"/>
              </w:rPr>
            </w:pPr>
            <w:r w:rsidRPr="000F21D0">
              <w:rPr>
                <w:b/>
                <w:noProof/>
                <w:lang w:val="ro-RO"/>
              </w:rPr>
              <w:t>Graficul 2: Comerțul cu bunuri și servicii în cadrul pieței unice (1993-2021)</w:t>
            </w:r>
          </w:p>
        </w:tc>
      </w:tr>
      <w:tr w:rsidR="007000E1" w:rsidRPr="000F21D0" w14:paraId="4D9B978E" w14:textId="77777777" w:rsidTr="00613067">
        <w:trPr>
          <w:cantSplit/>
        </w:trPr>
        <w:tc>
          <w:tcPr>
            <w:tcW w:w="9242" w:type="dxa"/>
          </w:tcPr>
          <w:p w14:paraId="5B17387D" w14:textId="77777777" w:rsidR="00B479FD" w:rsidRPr="000F21D0" w:rsidRDefault="00B479FD" w:rsidP="00733A21">
            <w:pPr>
              <w:jc w:val="center"/>
              <w:rPr>
                <w:rFonts w:eastAsia="Times New Roman" w:cs="Times New Roman"/>
                <w:noProof/>
                <w:lang w:val="ro-RO"/>
              </w:rPr>
            </w:pPr>
          </w:p>
          <w:p w14:paraId="24DEFF75" w14:textId="5E235E7D" w:rsidR="00B479FD" w:rsidRPr="000F21D0" w:rsidRDefault="00A33906" w:rsidP="00733A21">
            <w:pPr>
              <w:jc w:val="center"/>
              <w:rPr>
                <w:rFonts w:eastAsia="Times New Roman" w:cs="Times New Roman"/>
                <w:noProof/>
                <w:lang w:val="ro-RO"/>
              </w:rPr>
            </w:pPr>
            <w:r w:rsidRPr="00A33906">
              <w:rPr>
                <w:rFonts w:eastAsia="Times New Roman" w:cs="Times New Roman"/>
                <w:noProof/>
                <w:lang w:val="en-GB" w:eastAsia="en-GB"/>
              </w:rPr>
              <w:drawing>
                <wp:inline distT="0" distB="0" distL="0" distR="0" wp14:anchorId="3E6F6837" wp14:editId="13B541C4">
                  <wp:extent cx="5637756" cy="2593818"/>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45591" cy="2597423"/>
                          </a:xfrm>
                          <a:prstGeom prst="rect">
                            <a:avLst/>
                          </a:prstGeom>
                          <a:noFill/>
                          <a:ln>
                            <a:noFill/>
                          </a:ln>
                        </pic:spPr>
                      </pic:pic>
                    </a:graphicData>
                  </a:graphic>
                </wp:inline>
              </w:drawing>
            </w:r>
          </w:p>
          <w:p w14:paraId="19FB0280" w14:textId="77777777" w:rsidR="00B479FD" w:rsidRPr="000F21D0" w:rsidRDefault="00B479FD" w:rsidP="00733A21">
            <w:pPr>
              <w:jc w:val="center"/>
              <w:rPr>
                <w:rFonts w:eastAsia="Times New Roman" w:cs="Times New Roman"/>
                <w:noProof/>
                <w:lang w:val="ro-RO"/>
              </w:rPr>
            </w:pPr>
          </w:p>
        </w:tc>
      </w:tr>
      <w:tr w:rsidR="007000E1" w:rsidRPr="000F21D0" w14:paraId="708A1B84" w14:textId="77777777" w:rsidTr="00613067">
        <w:trPr>
          <w:cantSplit/>
        </w:trPr>
        <w:tc>
          <w:tcPr>
            <w:tcW w:w="9242" w:type="dxa"/>
          </w:tcPr>
          <w:p w14:paraId="7E752E9C" w14:textId="5E84D62A" w:rsidR="00B479FD" w:rsidRPr="000F21D0" w:rsidRDefault="00B479FD" w:rsidP="00DD30E4">
            <w:pPr>
              <w:rPr>
                <w:rFonts w:eastAsia="Times New Roman" w:cs="Times New Roman"/>
                <w:noProof/>
                <w:lang w:val="ro-RO"/>
              </w:rPr>
            </w:pPr>
            <w:r w:rsidRPr="000F21D0">
              <w:rPr>
                <w:noProof/>
                <w:sz w:val="16"/>
                <w:lang w:val="ro-RO"/>
              </w:rPr>
              <w:t>Sursă:</w:t>
            </w:r>
            <w:r w:rsidR="000F21D0">
              <w:rPr>
                <w:noProof/>
                <w:sz w:val="16"/>
                <w:lang w:val="ro-RO"/>
              </w:rPr>
              <w:t xml:space="preserve"> </w:t>
            </w:r>
            <w:r w:rsidRPr="000F21D0">
              <w:rPr>
                <w:noProof/>
                <w:sz w:val="16"/>
                <w:lang w:val="ro-RO"/>
              </w:rPr>
              <w:t>Serviciile Comisiei, pe baza datelor Eurostat. Notă: graficul prezintă fluxurile comerciale de bunuri și servicii în interiorul UE ca pondere din PIB-ul UE. Liniile verticale punctate din grafic evidențiază modificări ale sferei de aplicare a datelor privind comerțul și PIB-ul analizate, având în vedere numărul statelor membre (de exemplu, perioada 2007-2012</w:t>
            </w:r>
            <w:r w:rsidRPr="000F21D0">
              <w:rPr>
                <w:noProof/>
                <w:lang w:val="ro-RO"/>
              </w:rPr>
              <w:t xml:space="preserve"> </w:t>
            </w:r>
            <w:r w:rsidRPr="000F21D0">
              <w:rPr>
                <w:noProof/>
                <w:sz w:val="16"/>
                <w:lang w:val="ro-RO"/>
              </w:rPr>
              <w:t>ia în considerare comerțul și PIB-ul pentru UE-27, în timp ce perioada 2013-2019 ia în considerare comerțul și PIB-ul pentru UE-28). Comerțul se măsoară prin media importurilor și exporturilor.</w:t>
            </w:r>
          </w:p>
        </w:tc>
      </w:tr>
    </w:tbl>
    <w:p w14:paraId="24297EBA" w14:textId="77777777" w:rsidR="00A93E10" w:rsidRPr="000F21D0" w:rsidRDefault="00A93E10" w:rsidP="00DD30E4">
      <w:pPr>
        <w:jc w:val="both"/>
        <w:rPr>
          <w:rFonts w:eastAsiaTheme="minorEastAsia"/>
          <w:noProof/>
          <w:lang w:val="ro-RO"/>
        </w:rPr>
      </w:pPr>
    </w:p>
    <w:p w14:paraId="062920B7" w14:textId="3C11E5DC" w:rsidR="00FE1822" w:rsidRPr="000F21D0" w:rsidRDefault="00A93E10">
      <w:pPr>
        <w:jc w:val="both"/>
        <w:rPr>
          <w:rFonts w:eastAsiaTheme="minorEastAsia"/>
          <w:noProof/>
          <w:lang w:val="ro-RO"/>
        </w:rPr>
      </w:pPr>
      <w:r w:rsidRPr="000F21D0">
        <w:rPr>
          <w:noProof/>
          <w:lang w:val="ro-RO"/>
        </w:rPr>
        <w:t xml:space="preserve">Mai mult decât atât, piața unică este un vehicul important pentru </w:t>
      </w:r>
      <w:r w:rsidRPr="000F21D0">
        <w:rPr>
          <w:b/>
          <w:noProof/>
          <w:lang w:val="ro-RO"/>
        </w:rPr>
        <w:t>integrarea financiară</w:t>
      </w:r>
      <w:r w:rsidRPr="000F21D0">
        <w:rPr>
          <w:noProof/>
          <w:lang w:val="ro-RO"/>
        </w:rPr>
        <w:t xml:space="preserve"> în Europa, având un caracter esențial pentru uniunea economică și monetară. Aceasta facilitează accesul întreprinderilor la finanțare și transformă Europa într-un loc mai atractiv pentru investiții</w:t>
      </w:r>
      <w:r w:rsidRPr="000F21D0">
        <w:rPr>
          <w:rStyle w:val="FootnoteReference"/>
          <w:rFonts w:eastAsiaTheme="minorEastAsia"/>
          <w:noProof/>
          <w:lang w:val="ro-RO"/>
        </w:rPr>
        <w:footnoteReference w:id="21"/>
      </w:r>
      <w:r w:rsidRPr="000F21D0">
        <w:rPr>
          <w:noProof/>
          <w:lang w:val="ro-RO"/>
        </w:rPr>
        <w:t xml:space="preserve">. Participațiile în interiorul UE la investiții străine directe și investiții de portofoliu au continuat să crească în ultimele decenii, fiind de aproape 5 ori mai mari și, respectiv, de 4 ori mai mari în al doilea trimestru al anului 2021 comparativ cu începutul anului 2002. </w:t>
      </w:r>
      <w:r w:rsidRPr="000F21D0">
        <w:rPr>
          <w:noProof/>
          <w:color w:val="000000" w:themeColor="text1"/>
          <w:lang w:val="ro-RO"/>
        </w:rPr>
        <w:t xml:space="preserve">În contextul Planului de acțiune privind uniunea piețelor de capital, o serie de inițiative sunt în curs de elaborare în vederea realizării pieței unice de capital. </w:t>
      </w:r>
      <w:r w:rsidRPr="000F21D0">
        <w:rPr>
          <w:noProof/>
          <w:lang w:val="ro-RO"/>
        </w:rPr>
        <w:t xml:space="preserve">Cel mai recent, în decembrie 2022, în cadrul uniunii piețelor de capital, Comisia a prezentat o propunere de simplificare a procedurilor administrative pentru întreprinderile, în special IMM-uri, care intenționează să se finanțeze prin bursele de valori, precum și o propunere care vizează eliminarea barierelor structurale prin armonizarea unor aspecte-cheie ale legislației privind insolvența întreprinderilor. Cu toate acestea, integrarea piețelor naționale de capital necesită eforturi suplimentare. Sistemele de plată integrate și fiabile sprijină funcționarea pieței unice și contribuie astfel la competitivitatea UE. </w:t>
      </w:r>
    </w:p>
    <w:p w14:paraId="04777FF0" w14:textId="260DB801" w:rsidR="002D76B8" w:rsidRPr="000F21D0" w:rsidRDefault="00C57DCB" w:rsidP="00DD30E4">
      <w:pPr>
        <w:jc w:val="both"/>
        <w:rPr>
          <w:noProof/>
          <w:lang w:val="ro-RO"/>
        </w:rPr>
      </w:pPr>
      <w:bookmarkStart w:id="7" w:name="_Hlk127808217"/>
      <w:r w:rsidRPr="000F21D0">
        <w:rPr>
          <w:noProof/>
          <w:lang w:val="ro-RO"/>
        </w:rPr>
        <w:t>Beneficiile sociale ale pieței unice în ceea ce privește ocuparea forței de muncă sunt, de asemenea, semnificative, până la 56 de milioane de locuri de muncă din UE depinzând de comerțul intra-UE. Numărul lucrătorilor mobili din UE a crescut constant în ultimii 30 de ani inclusiv datorită unor programe precum EURES</w:t>
      </w:r>
      <w:r w:rsidRPr="000F21D0">
        <w:rPr>
          <w:rStyle w:val="FootnoteReference"/>
          <w:rFonts w:eastAsiaTheme="minorEastAsia"/>
          <w:noProof/>
          <w:lang w:val="ro-RO"/>
        </w:rPr>
        <w:footnoteReference w:id="22"/>
      </w:r>
      <w:r w:rsidRPr="000F21D0">
        <w:rPr>
          <w:noProof/>
          <w:lang w:val="ro-RO"/>
        </w:rPr>
        <w:t xml:space="preserve"> și politicilor care vizează îmbunătățirea recunoașterii calificărilor și a competențelor. Modelul UE de economie socială de piață se bazează pe standarde sociale ridicate, promovate de </w:t>
      </w:r>
      <w:r w:rsidRPr="000F21D0">
        <w:rPr>
          <w:b/>
          <w:noProof/>
          <w:lang w:val="ro-RO"/>
        </w:rPr>
        <w:t>Pilonul european al drepturilor sociale.</w:t>
      </w:r>
      <w:r w:rsidRPr="000F21D0">
        <w:rPr>
          <w:noProof/>
          <w:lang w:val="ro-RO"/>
        </w:rPr>
        <w:t xml:space="preserve"> Acesta promovează egalitatea de șanse și de acces pe piața forței de muncă, condițiile de muncă echitabile, precum și protecția socială, incluziunea și diversitatea (de exemplu, în ceea ce privește detașarea lucrătorilor</w:t>
      </w:r>
      <w:r w:rsidRPr="000F21D0">
        <w:rPr>
          <w:rStyle w:val="FootnoteReference"/>
          <w:noProof/>
          <w:lang w:val="ro-RO"/>
        </w:rPr>
        <w:footnoteReference w:id="23"/>
      </w:r>
      <w:r w:rsidRPr="000F21D0">
        <w:rPr>
          <w:noProof/>
          <w:lang w:val="ro-RO"/>
        </w:rPr>
        <w:t>, echilibrul dintre viața profesională și cea privată</w:t>
      </w:r>
      <w:r w:rsidRPr="000F21D0">
        <w:rPr>
          <w:rStyle w:val="FootnoteReference"/>
          <w:noProof/>
          <w:lang w:val="ro-RO"/>
        </w:rPr>
        <w:footnoteReference w:id="24"/>
      </w:r>
      <w:r w:rsidRPr="000F21D0">
        <w:rPr>
          <w:noProof/>
          <w:lang w:val="ro-RO"/>
        </w:rPr>
        <w:t>, salariile minime adecvate</w:t>
      </w:r>
      <w:r w:rsidRPr="000F21D0">
        <w:rPr>
          <w:rStyle w:val="FootnoteReference"/>
          <w:noProof/>
          <w:lang w:val="ro-RO"/>
        </w:rPr>
        <w:footnoteReference w:id="25"/>
      </w:r>
      <w:r w:rsidRPr="000F21D0">
        <w:rPr>
          <w:noProof/>
          <w:lang w:val="ro-RO"/>
        </w:rPr>
        <w:t xml:space="preserve"> și transparența salarială). În schimb, acest cadru social contribuie la crearea unor condiții de concurență echitabile pe piața unică.</w:t>
      </w:r>
    </w:p>
    <w:p w14:paraId="1967FBC4" w14:textId="5BEF3B9F" w:rsidR="00D572D4" w:rsidRPr="000F21D0" w:rsidRDefault="00D572D4" w:rsidP="004F6503">
      <w:pPr>
        <w:jc w:val="both"/>
        <w:rPr>
          <w:noProof/>
          <w:sz w:val="22"/>
          <w:lang w:val="ro-RO"/>
        </w:rPr>
      </w:pPr>
      <w:r w:rsidRPr="000F21D0">
        <w:rPr>
          <w:noProof/>
          <w:lang w:val="ro-RO"/>
        </w:rPr>
        <w:t xml:space="preserve">Piața unică a permis, de asemenea, dezvoltarea în continuare a </w:t>
      </w:r>
      <w:r w:rsidRPr="000F21D0">
        <w:rPr>
          <w:b/>
          <w:noProof/>
          <w:lang w:val="ro-RO"/>
        </w:rPr>
        <w:t>economiei sociale</w:t>
      </w:r>
      <w:r w:rsidRPr="000F21D0">
        <w:rPr>
          <w:noProof/>
          <w:lang w:val="ro-RO"/>
        </w:rPr>
        <w:t>: aproximativ 2,8 milioane de entități din sectorul economiei sociale din Europa angajează aproximativ 13,6 milioane de persoane</w:t>
      </w:r>
      <w:r w:rsidRPr="000F21D0">
        <w:rPr>
          <w:noProof/>
          <w:vertAlign w:val="superscript"/>
          <w:lang w:val="ro-RO"/>
        </w:rPr>
        <w:footnoteReference w:id="26"/>
      </w:r>
      <w:r w:rsidRPr="000F21D0">
        <w:rPr>
          <w:noProof/>
          <w:lang w:val="ro-RO"/>
        </w:rPr>
        <w:t>.</w:t>
      </w:r>
      <w:r w:rsidR="000F21D0">
        <w:rPr>
          <w:noProof/>
          <w:lang w:val="ro-RO"/>
        </w:rPr>
        <w:t xml:space="preserve"> </w:t>
      </w:r>
      <w:r w:rsidRPr="000F21D0">
        <w:rPr>
          <w:noProof/>
          <w:lang w:val="ro-RO"/>
        </w:rPr>
        <w:t>În decembrie 2021, Comisia a adoptat un plan de acțiune pentru economia socială</w:t>
      </w:r>
      <w:r w:rsidRPr="000F21D0">
        <w:rPr>
          <w:noProof/>
          <w:vertAlign w:val="superscript"/>
          <w:lang w:val="ro-RO"/>
        </w:rPr>
        <w:footnoteReference w:id="27"/>
      </w:r>
      <w:r w:rsidRPr="000F21D0">
        <w:rPr>
          <w:noProof/>
          <w:lang w:val="ro-RO"/>
        </w:rPr>
        <w:t xml:space="preserve">, </w:t>
      </w:r>
      <w:r w:rsidRPr="000F21D0">
        <w:rPr>
          <w:noProof/>
          <w:bdr w:val="none" w:sz="0" w:space="0" w:color="auto" w:frame="1"/>
          <w:lang w:val="ro-RO"/>
        </w:rPr>
        <w:t>propunând</w:t>
      </w:r>
      <w:r w:rsidRPr="000F21D0">
        <w:rPr>
          <w:noProof/>
          <w:lang w:val="ro-RO"/>
        </w:rPr>
        <w:t xml:space="preserve"> </w:t>
      </w:r>
      <w:r w:rsidRPr="000F21D0">
        <w:rPr>
          <w:noProof/>
          <w:bdr w:val="none" w:sz="0" w:space="0" w:color="auto" w:frame="1"/>
          <w:lang w:val="ro-RO"/>
        </w:rPr>
        <w:t>acțiuni concrete care să fie puse în aplicare până în 2030. Anul acesta va fi adoptat</w:t>
      </w:r>
      <w:r w:rsidRPr="000F21D0">
        <w:rPr>
          <w:noProof/>
          <w:lang w:val="ro-RO"/>
        </w:rPr>
        <w:t xml:space="preserve"> un pachet de măsuri privind </w:t>
      </w:r>
      <w:r w:rsidRPr="000F21D0">
        <w:rPr>
          <w:noProof/>
          <w:bdr w:val="none" w:sz="0" w:space="0" w:color="auto" w:frame="1"/>
          <w:lang w:val="ro-RO"/>
        </w:rPr>
        <w:t>economia socială, care va include o inițiativă legislativă privind activitățile transfrontaliere ale asociațiilor pe piața unică.</w:t>
      </w:r>
    </w:p>
    <w:bookmarkEnd w:id="7"/>
    <w:p w14:paraId="296853F7" w14:textId="14382FFC" w:rsidR="00926D38" w:rsidRPr="000F21D0" w:rsidRDefault="00DD30E4" w:rsidP="009366E0">
      <w:pPr>
        <w:jc w:val="both"/>
        <w:rPr>
          <w:noProof/>
          <w:lang w:val="ro-RO"/>
        </w:rPr>
      </w:pPr>
      <w:r w:rsidRPr="000F21D0">
        <w:rPr>
          <w:noProof/>
          <w:lang w:val="ro-RO"/>
        </w:rPr>
        <w:t xml:space="preserve">Piața unică a jucat un rol major în facilitarea unei </w:t>
      </w:r>
      <w:r w:rsidRPr="000F21D0">
        <w:rPr>
          <w:b/>
          <w:noProof/>
          <w:lang w:val="ro-RO"/>
        </w:rPr>
        <w:t>convergențe economice</w:t>
      </w:r>
      <w:r w:rsidRPr="000F21D0">
        <w:rPr>
          <w:noProof/>
          <w:lang w:val="ro-RO"/>
        </w:rPr>
        <w:t xml:space="preserve"> ascendente progresive în cadrul UE în urma extinderilor succesive. Acest aspect se datorează faptului că piața unică a creat condiții de concurență echitabile pentru întreprinderile din întreaga UE, facilitând activitatea transfrontalieră a întreprinderilor și concurența pe poziții de egalitate. A fost încurajată astfel intensificarea comerțului și a investițiilor transfrontaliere, ceea ce, la rândul său, a contribuit la stimularea creșterii economice și la crearea de locuri de muncă</w:t>
      </w:r>
      <w:r w:rsidRPr="000F21D0">
        <w:rPr>
          <w:rStyle w:val="FootnoteReference"/>
          <w:noProof/>
          <w:lang w:val="ro-RO"/>
        </w:rPr>
        <w:footnoteReference w:id="28"/>
      </w:r>
      <w:r w:rsidRPr="000F21D0">
        <w:rPr>
          <w:noProof/>
          <w:lang w:val="ro-RO"/>
        </w:rPr>
        <w:t xml:space="preserve">. Coeziunea socială și economică sunt aspecte vitale pentru funcționarea pieței unice, astfel cum a fost recunoscut în actul său fondator în urmă cu 30 de ani. Politica de coeziune sprijină o dezvoltare armonioasă a regiunilor europene, permițându-le să contribuie la piața unică și să profite de beneficiile participării lor la aceasta. Prin creșterea oportunităților de activitate economică, piața unică a permis țărilor cu venituri mai mici să conveargă către cele cu venituri mai mari și a contribuit la crearea unui număr mai mare de locuri de muncă, reducând astfel șomajul. </w:t>
      </w:r>
      <w:bookmarkStart w:id="8" w:name="_Hlk129013999"/>
      <w:r w:rsidRPr="000F21D0">
        <w:rPr>
          <w:noProof/>
          <w:lang w:val="ro-RO"/>
        </w:rPr>
        <w:t xml:space="preserve">Piața unică a </w:t>
      </w:r>
      <w:r w:rsidRPr="000F21D0">
        <w:rPr>
          <w:b/>
          <w:noProof/>
          <w:lang w:val="ro-RO"/>
        </w:rPr>
        <w:t>sprijinit competitivitatea întreprinderilor europene</w:t>
      </w:r>
      <w:r w:rsidRPr="000F21D0">
        <w:rPr>
          <w:rStyle w:val="FootnoteReference"/>
          <w:noProof/>
          <w:lang w:val="ro-RO"/>
        </w:rPr>
        <w:footnoteReference w:id="29"/>
      </w:r>
      <w:r w:rsidRPr="000F21D0">
        <w:rPr>
          <w:noProof/>
          <w:lang w:val="ro-RO"/>
        </w:rPr>
        <w:t>, având drept rezultat produse mai bune și prețuri mai mici pentru consumatori</w:t>
      </w:r>
      <w:r w:rsidRPr="000F21D0">
        <w:rPr>
          <w:rStyle w:val="FootnoteReference"/>
          <w:noProof/>
          <w:lang w:val="ro-RO"/>
        </w:rPr>
        <w:footnoteReference w:id="30"/>
      </w:r>
      <w:r w:rsidRPr="000F21D0">
        <w:rPr>
          <w:noProof/>
          <w:lang w:val="ro-RO"/>
        </w:rPr>
        <w:t>.</w:t>
      </w:r>
      <w:r w:rsidR="000F21D0">
        <w:rPr>
          <w:noProof/>
          <w:lang w:val="ro-RO"/>
        </w:rPr>
        <w:t xml:space="preserve"> </w:t>
      </w:r>
      <w:r w:rsidRPr="000F21D0">
        <w:rPr>
          <w:noProof/>
          <w:lang w:val="ro-RO"/>
        </w:rPr>
        <w:t xml:space="preserve">De asemenea, a contribuit la sporirea integrării și interconectării lanțurilor valorice din UE. De exemplu, ecosistemul mobilității și al autovehiculelor nu este alcătuit doar din mari corporații de renume mondial, ci, cel mai important, din furnizori de componente, rețele de vânzări și reparații, și reprezintă în total 1,8 milioane de întreprinderi, dintre care 99,7 % sunt IMM-uri. </w:t>
      </w:r>
      <w:bookmarkStart w:id="9" w:name="_Hlk129007741"/>
    </w:p>
    <w:bookmarkEnd w:id="8"/>
    <w:bookmarkEnd w:id="9"/>
    <w:p w14:paraId="540AA288" w14:textId="77811AFE" w:rsidR="005B303C" w:rsidRPr="000F21D0" w:rsidRDefault="005B303C" w:rsidP="005B303C">
      <w:pPr>
        <w:shd w:val="clear" w:color="auto" w:fill="FFFFFF" w:themeFill="background1"/>
        <w:jc w:val="both"/>
        <w:rPr>
          <w:noProof/>
          <w:lang w:val="ro-RO"/>
        </w:rPr>
      </w:pPr>
      <w:r w:rsidRPr="000F21D0">
        <w:rPr>
          <w:noProof/>
          <w:lang w:val="ro-RO"/>
        </w:rPr>
        <w:t>Politica în domeniul concurenței joacă un rol central în menținerea bunei funcționări a piețelor și în soluționarea disfuncționalităților piețelor din Europa. De la crearea Uniunii, politica în domeniul concurenței a ajutat industriile să devină mai puternice și mai competitive la nivel mondial și a asigurat faptul că cetățenii UE sunt beneficiarii finali ai unei economii sociale de piață cu grad ridicat de competitivitate. Asigurarea respectării legislației în materie de concurență bazată pe norme oferă totodată securitate juridică și predictibilitate tuturor întreprinderilor care caută să valorifice la maximum bene</w:t>
      </w:r>
      <w:r w:rsidR="000F21D0">
        <w:rPr>
          <w:noProof/>
          <w:lang w:val="ro-RO"/>
        </w:rPr>
        <w:t>ficiile pieței unice europene.</w:t>
      </w:r>
    </w:p>
    <w:p w14:paraId="7DD4B56D" w14:textId="59FA8EBE" w:rsidR="00926D38" w:rsidRPr="000F21D0" w:rsidRDefault="00926D38" w:rsidP="009366E0">
      <w:pPr>
        <w:jc w:val="both"/>
        <w:rPr>
          <w:b/>
          <w:noProof/>
          <w:highlight w:val="yellow"/>
          <w:lang w:val="ro-RO"/>
        </w:rPr>
      </w:pPr>
    </w:p>
    <w:p w14:paraId="6337680B" w14:textId="1DBC1F3C" w:rsidR="00DD30E4" w:rsidRPr="000F21D0" w:rsidRDefault="2BC1431E" w:rsidP="00C33A5B">
      <w:pPr>
        <w:pStyle w:val="ListParagraph"/>
        <w:numPr>
          <w:ilvl w:val="1"/>
          <w:numId w:val="1"/>
        </w:numPr>
        <w:jc w:val="both"/>
        <w:rPr>
          <w:b/>
          <w:noProof/>
          <w:lang w:val="ro-RO"/>
        </w:rPr>
      </w:pPr>
      <w:r w:rsidRPr="000F21D0">
        <w:rPr>
          <w:b/>
          <w:noProof/>
          <w:lang w:val="ro-RO"/>
        </w:rPr>
        <w:t xml:space="preserve"> Consolidarea rezistenței și a rezilienței în situații de criză</w:t>
      </w:r>
    </w:p>
    <w:p w14:paraId="5F9F468F" w14:textId="1290FD52" w:rsidR="00DD30E4" w:rsidRPr="000F21D0" w:rsidRDefault="00DD30E4" w:rsidP="00DD30E4">
      <w:pPr>
        <w:jc w:val="both"/>
        <w:rPr>
          <w:noProof/>
          <w:lang w:val="ro-RO"/>
        </w:rPr>
      </w:pPr>
      <w:r w:rsidRPr="000F21D0">
        <w:rPr>
          <w:noProof/>
          <w:lang w:val="ro-RO"/>
        </w:rPr>
        <w:t>Succesiunea recentă a situațiilor de criză a demonstrat importanța crucială a bunei funcționări a pieței unice. Serviciile de bază, cum ar fi furnizarea de energie, apă și asistență medicală, transporturile</w:t>
      </w:r>
      <w:r w:rsidRPr="000F21D0">
        <w:rPr>
          <w:rStyle w:val="FootnoteReference"/>
          <w:rFonts w:eastAsia="Times New Roman" w:cs="Times New Roman"/>
          <w:noProof/>
          <w:lang w:val="ro-RO"/>
        </w:rPr>
        <w:footnoteReference w:id="31"/>
      </w:r>
      <w:r w:rsidRPr="000F21D0">
        <w:rPr>
          <w:noProof/>
          <w:lang w:val="ro-RO"/>
        </w:rPr>
        <w:t xml:space="preserve"> și telecomunicațiile au un rol esențial în asigurarea bunăstării oamenilor, precum și în cazul acțiunilor de răspuns în situații de urgență în sine. Aceste servicii trebuie să își păstreze caracterul operațional în timpul unei situații de calamitate sau de criză și ulterior acestora. </w:t>
      </w:r>
    </w:p>
    <w:p w14:paraId="7C62D09C" w14:textId="21632C37" w:rsidR="00DD30E4" w:rsidRPr="000F21D0" w:rsidRDefault="00DD30E4" w:rsidP="00DD30E4">
      <w:pPr>
        <w:jc w:val="both"/>
        <w:rPr>
          <w:noProof/>
          <w:lang w:val="ro-RO"/>
        </w:rPr>
      </w:pPr>
      <w:r w:rsidRPr="000F21D0">
        <w:rPr>
          <w:noProof/>
          <w:lang w:val="ro-RO"/>
        </w:rPr>
        <w:t>Atunci când statele membre acționează în mod individual, prin închiderea frontierelor lor sau prin introducerea unor interdicții la exportul de echipamente medicale, cereale sau materii prime în interiorul UE, întreaga funcționare a pieței unice este supusă presiunilor, constituind o amenințare la adresa industriei, a serviciilor și a profesioniștilor și, în cele din urmă, a cetățenilor. Deși pandemia de COVID-19 a generat deficite inițiale de produse esențiale și ambuteiaje masive la frontiere, împiedicând libera circulație a lucrătorilor care asigură servicii esențiale, piața unică a prevalat. Atunci când cererea de măști și vaccinuri la nivel mondial a crescut vertiginos, piața unică ne-a ajutat să depășim lipsa unor surse diverse de aprovizionare și a capacității de a produce ceea ce deveniseră bunuri de o importanță vitală.</w:t>
      </w:r>
    </w:p>
    <w:p w14:paraId="75E9E9C1" w14:textId="0D36E5C9" w:rsidR="00DD30E4" w:rsidRPr="000F21D0" w:rsidRDefault="001046E3" w:rsidP="00DD30E4">
      <w:pPr>
        <w:jc w:val="both"/>
        <w:rPr>
          <w:noProof/>
          <w:highlight w:val="yellow"/>
          <w:lang w:val="ro-RO"/>
        </w:rPr>
      </w:pPr>
      <w:r w:rsidRPr="000F21D0">
        <w:rPr>
          <w:noProof/>
          <w:lang w:val="ro-RO"/>
        </w:rPr>
        <w:t>După o perioadă inițială în care autoritățile naționale au ridicat bariere în calea liberei circulații a mărfurilor, serviciilor și persoanelor într-un mod unilateral și necoordonat, care a afectat profund activitatea economică, Comisia a intervenit – cu sprijinul statelor membre – pentru a le elimina prin inițiative precum „culoarele verzi”. UE a menținut lanțuri de aprovizionare complet deschise către lume, bazându-se pe o industrie prosperă care a beneficiat de pe urma pieței unice timp de decenii și unind forțele și capacitățile în întreaga Europă, de la întreprinderi mari la IMM-uri foarte inovatoare și competitive.</w:t>
      </w:r>
    </w:p>
    <w:p w14:paraId="1EF2FC7B" w14:textId="0E1A04EC" w:rsidR="005079DC" w:rsidRPr="000F21D0" w:rsidRDefault="001046E3" w:rsidP="00DD30E4">
      <w:pPr>
        <w:jc w:val="both"/>
        <w:rPr>
          <w:b/>
          <w:noProof/>
          <w:lang w:val="ro-RO"/>
        </w:rPr>
      </w:pPr>
      <w:r w:rsidRPr="000F21D0">
        <w:rPr>
          <w:noProof/>
          <w:lang w:val="ro-RO"/>
        </w:rPr>
        <w:t>Am tras învățămintele necesare în materie de politici în urma acestor crize, pe baza acestor realizări.</w:t>
      </w:r>
      <w:r w:rsidRPr="000F21D0">
        <w:rPr>
          <w:b/>
          <w:noProof/>
          <w:lang w:val="ro-RO"/>
        </w:rPr>
        <w:t xml:space="preserve"> </w:t>
      </w:r>
      <w:r w:rsidRPr="000F21D0">
        <w:rPr>
          <w:noProof/>
          <w:lang w:val="ro-RO"/>
        </w:rPr>
        <w:t xml:space="preserve">Comisia a înființat </w:t>
      </w:r>
      <w:r w:rsidRPr="000F21D0">
        <w:rPr>
          <w:b/>
          <w:noProof/>
          <w:lang w:val="ro-RO"/>
        </w:rPr>
        <w:t>Autoritatea pentru Pregătire și Răspuns în caz de Urgență Sanitară (HERA)</w:t>
      </w:r>
      <w:r w:rsidRPr="000F21D0">
        <w:rPr>
          <w:noProof/>
          <w:lang w:val="ro-RO"/>
        </w:rPr>
        <w:t xml:space="preserve"> pentru a îmbunătăți procesul de depistare, prevenire și răspuns la viitoarele situații de urgență sanitară la nivel transfrontalier. Comisia a propus, de asemenea, un nou </w:t>
      </w:r>
      <w:r w:rsidRPr="000F21D0">
        <w:rPr>
          <w:b/>
          <w:noProof/>
          <w:lang w:val="ro-RO"/>
        </w:rPr>
        <w:t>instrument pentru situații de urgență pe piața unică</w:t>
      </w:r>
      <w:r w:rsidRPr="000F21D0">
        <w:rPr>
          <w:noProof/>
          <w:lang w:val="ro-RO"/>
        </w:rPr>
        <w:t xml:space="preserve"> pentru a se asigura că, într-o viitoare situație de criză, piața unică rămâne deschisă și echitabilă și continuă să asigure disponibilitatea bunurilor și a serviciilor de maximă necesitate pentru cetățeni și întreprinderi.</w:t>
      </w:r>
      <w:r w:rsidRPr="000F21D0">
        <w:rPr>
          <w:i/>
          <w:noProof/>
          <w:lang w:val="ro-RO"/>
        </w:rPr>
        <w:t xml:space="preserve"> </w:t>
      </w:r>
      <w:r w:rsidRPr="000F21D0">
        <w:rPr>
          <w:noProof/>
          <w:lang w:val="ro-RO"/>
        </w:rPr>
        <w:t>La un nivel mai general, UE și-a întărit gradul de pregătire pentru situații de urgență la toate nivelurile prin intermediul mecanismului de protecție civilă al Uniunii</w:t>
      </w:r>
      <w:r w:rsidRPr="000F21D0">
        <w:rPr>
          <w:rStyle w:val="FootnoteReference"/>
          <w:noProof/>
          <w:lang w:val="ro-RO"/>
        </w:rPr>
        <w:footnoteReference w:id="32"/>
      </w:r>
      <w:r w:rsidRPr="000F21D0">
        <w:rPr>
          <w:noProof/>
          <w:lang w:val="ro-RO"/>
        </w:rPr>
        <w:t>. În fine, asigurarea rezilienței pieței unice necesită o abordare coordonată la nivelul UE în ceea ce privește amenințările transfrontaliere în creștere, în special la adresa sectoarelor și a infrastructurii critice, abordare dezvoltată și pusă în aplicare în contextul uniunii securității</w:t>
      </w:r>
      <w:r w:rsidRPr="000F21D0">
        <w:rPr>
          <w:rStyle w:val="FootnoteReference"/>
          <w:noProof/>
          <w:lang w:val="ro-RO"/>
        </w:rPr>
        <w:footnoteReference w:id="33"/>
      </w:r>
      <w:r w:rsidRPr="000F21D0">
        <w:rPr>
          <w:noProof/>
          <w:lang w:val="ro-RO"/>
        </w:rPr>
        <w:t xml:space="preserve">. </w:t>
      </w:r>
    </w:p>
    <w:p w14:paraId="373F0C95" w14:textId="30493E65" w:rsidR="00DD30E4" w:rsidRPr="000F21D0" w:rsidRDefault="00E03138" w:rsidP="00DD30E4">
      <w:pPr>
        <w:jc w:val="both"/>
        <w:rPr>
          <w:noProof/>
          <w:lang w:val="ro-RO"/>
        </w:rPr>
      </w:pPr>
      <w:r w:rsidRPr="000F21D0">
        <w:rPr>
          <w:b/>
          <w:noProof/>
          <w:lang w:val="ro-RO"/>
        </w:rPr>
        <w:t xml:space="preserve">Reziliența este, de asemenea, îmbunătățită printr-o mai bună pregătire. </w:t>
      </w:r>
      <w:r w:rsidRPr="000F21D0">
        <w:rPr>
          <w:noProof/>
          <w:lang w:val="ro-RO"/>
        </w:rPr>
        <w:t xml:space="preserve">Comisia a conceput un </w:t>
      </w:r>
      <w:r w:rsidRPr="000F21D0">
        <w:rPr>
          <w:b/>
          <w:noProof/>
          <w:lang w:val="ro-RO"/>
        </w:rPr>
        <w:t>sistem de alertă timpurie (sistemul de monitorizare SCAN)</w:t>
      </w:r>
      <w:r w:rsidRPr="000F21D0">
        <w:rPr>
          <w:rStyle w:val="FootnoteReference"/>
          <w:b/>
          <w:noProof/>
          <w:lang w:val="ro-RO"/>
        </w:rPr>
        <w:footnoteReference w:id="34"/>
      </w:r>
      <w:r w:rsidRPr="000F21D0">
        <w:rPr>
          <w:noProof/>
          <w:lang w:val="ro-RO"/>
        </w:rPr>
        <w:t xml:space="preserve"> cu scopul de a furniza dovezi pentru elaborarea politicilor. Acesta utilizează date vamale în timp aproape real și examinează variațiile anormale ale cantităților și prețurilor pentru a dezvălui semne premature de perturbare a lanțului de aprovizionare. Printre alți factori posibili se numără concentrarea excesivă a anumitor importuri din surse străine limitate, existența la nivel mondial a unor puncte unice de vulnerabilitate pentru factorii de producție critici cauzate de dependențe strategice sau indicii privind o capacitate de producție industrială limitată a UE. </w:t>
      </w:r>
      <w:r w:rsidRPr="000F21D0">
        <w:rPr>
          <w:b/>
          <w:noProof/>
          <w:lang w:val="ro-RO"/>
        </w:rPr>
        <w:t>Actul privind cipurile</w:t>
      </w:r>
      <w:r w:rsidRPr="000F21D0">
        <w:rPr>
          <w:rStyle w:val="FootnoteReference"/>
          <w:noProof/>
          <w:lang w:val="ro-RO"/>
        </w:rPr>
        <w:footnoteReference w:id="35"/>
      </w:r>
      <w:r w:rsidRPr="000F21D0">
        <w:rPr>
          <w:b/>
          <w:noProof/>
          <w:lang w:val="ro-RO"/>
        </w:rPr>
        <w:t xml:space="preserve"> propus în 2022</w:t>
      </w:r>
      <w:r w:rsidRPr="000F21D0">
        <w:rPr>
          <w:noProof/>
          <w:lang w:val="ro-RO"/>
        </w:rPr>
        <w:t xml:space="preserve"> și propunerea de </w:t>
      </w:r>
      <w:r w:rsidRPr="000F21D0">
        <w:rPr>
          <w:b/>
          <w:noProof/>
          <w:lang w:val="ro-RO"/>
        </w:rPr>
        <w:t>Act</w:t>
      </w:r>
      <w:r w:rsidRPr="000F21D0">
        <w:rPr>
          <w:noProof/>
          <w:lang w:val="ro-RO"/>
        </w:rPr>
        <w:t xml:space="preserve"> </w:t>
      </w:r>
      <w:r w:rsidRPr="000F21D0">
        <w:rPr>
          <w:b/>
          <w:noProof/>
          <w:lang w:val="ro-RO"/>
        </w:rPr>
        <w:t>european privind materiile prime critice</w:t>
      </w:r>
      <w:r w:rsidRPr="000F21D0">
        <w:rPr>
          <w:rStyle w:val="FootnoteReference"/>
          <w:b/>
          <w:noProof/>
          <w:lang w:val="ro-RO"/>
        </w:rPr>
        <w:footnoteReference w:id="36"/>
      </w:r>
      <w:r w:rsidRPr="000F21D0">
        <w:rPr>
          <w:b/>
          <w:noProof/>
          <w:lang w:val="ro-RO"/>
        </w:rPr>
        <w:t xml:space="preserve">, </w:t>
      </w:r>
      <w:r w:rsidRPr="000F21D0">
        <w:rPr>
          <w:noProof/>
          <w:lang w:val="ro-RO"/>
        </w:rPr>
        <w:t xml:space="preserve">adoptată în paralel cu prezenta comunicare, vor permite transformarea cercetării de talie mondială a UE în poziția de lider în sectorul industrial, prin investiții în industria europeană și promovarea parteneriatelor internaționale, și, respectiv, stabilirea unui cadru pentru îmbunătățirea accesului la materii prime în cadrul pieței unice, creșterea capacității europene și diversificarea surselor externe de materii prime. </w:t>
      </w:r>
    </w:p>
    <w:p w14:paraId="15F47399" w14:textId="77777777" w:rsidR="00B92F1F" w:rsidRPr="000F21D0" w:rsidRDefault="007303CF" w:rsidP="00F01769">
      <w:pPr>
        <w:jc w:val="both"/>
        <w:rPr>
          <w:noProof/>
          <w:lang w:val="ro-RO"/>
        </w:rPr>
      </w:pPr>
      <w:r w:rsidRPr="000F21D0">
        <w:rPr>
          <w:b/>
          <w:noProof/>
          <w:lang w:val="ro-RO"/>
        </w:rPr>
        <w:t>Planul industrial al Pactului verde pentru era cu zero emisii nete</w:t>
      </w:r>
      <w:r w:rsidRPr="000F21D0">
        <w:rPr>
          <w:rStyle w:val="FootnoteReference"/>
          <w:b/>
          <w:noProof/>
          <w:lang w:val="ro-RO"/>
        </w:rPr>
        <w:footnoteReference w:id="37"/>
      </w:r>
      <w:r w:rsidRPr="000F21D0">
        <w:rPr>
          <w:noProof/>
          <w:lang w:val="ro-RO"/>
        </w:rPr>
        <w:t xml:space="preserve"> stabilește provocările cu care se confruntă în prezent industria europeană și propune măsuri suplimentare de promovare a industriei cu zero emisii nete. În cadrul acestui plan, Comisia a propus un </w:t>
      </w:r>
      <w:r w:rsidRPr="000F21D0">
        <w:rPr>
          <w:b/>
          <w:noProof/>
          <w:lang w:val="ro-RO"/>
        </w:rPr>
        <w:t>Act privind industria cu zero emisii nete</w:t>
      </w:r>
      <w:r w:rsidRPr="000F21D0">
        <w:rPr>
          <w:rStyle w:val="FootnoteReference"/>
          <w:noProof/>
          <w:lang w:val="ro-RO"/>
        </w:rPr>
        <w:footnoteReference w:id="38"/>
      </w:r>
      <w:r w:rsidRPr="000F21D0">
        <w:rPr>
          <w:noProof/>
          <w:lang w:val="ro-RO"/>
        </w:rPr>
        <w:t xml:space="preserve"> și a adoptat un </w:t>
      </w:r>
      <w:bookmarkStart w:id="10" w:name="_Hlk129010050"/>
      <w:r w:rsidRPr="000F21D0">
        <w:rPr>
          <w:b/>
          <w:noProof/>
          <w:lang w:val="ro-RO"/>
        </w:rPr>
        <w:t>cadru temporar de criză și de tranziție pentru ajutoarele de stat</w:t>
      </w:r>
      <w:r w:rsidRPr="000F21D0">
        <w:rPr>
          <w:rStyle w:val="FootnoteReference"/>
          <w:b/>
          <w:noProof/>
          <w:lang w:val="ro-RO"/>
        </w:rPr>
        <w:footnoteReference w:id="39"/>
      </w:r>
      <w:bookmarkEnd w:id="10"/>
      <w:r w:rsidRPr="000F21D0">
        <w:rPr>
          <w:noProof/>
          <w:lang w:val="ro-RO"/>
        </w:rPr>
        <w:t xml:space="preserve">, stabilind măsuri specifice, temporare și proporționale pentru a accelera tranziția competitivă a Europei către o economie cu zero emisii nete, evitând în același timp fragmentarea pieței unice. În plus, astfel cum s-a anunțat în Planul industrial al Pactului verde, Comisia intenționează să propună un Fond european pentru suveranitate înainte de vara anului 2023 cu obiectivul de a menține un avans european în ceea ce privește tehnologiile critice și emergente relevante pentru tranziția verde și cea digitală, precum și pentru a proteja coeziunea și a menține integritatea pieței unice. </w:t>
      </w:r>
    </w:p>
    <w:p w14:paraId="42F2A22D" w14:textId="77777777" w:rsidR="00B92F1F" w:rsidRPr="000F21D0" w:rsidRDefault="00B92F1F" w:rsidP="00F01769">
      <w:pPr>
        <w:jc w:val="both"/>
        <w:rPr>
          <w:noProof/>
          <w:lang w:val="ro-RO"/>
        </w:rPr>
      </w:pPr>
    </w:p>
    <w:p w14:paraId="1BBE7901" w14:textId="04EB6CCE" w:rsidR="0019136D" w:rsidRPr="000F21D0" w:rsidRDefault="0019136D" w:rsidP="00886AC7">
      <w:pPr>
        <w:pStyle w:val="ListParagraph"/>
        <w:numPr>
          <w:ilvl w:val="1"/>
          <w:numId w:val="1"/>
        </w:numPr>
        <w:jc w:val="both"/>
        <w:rPr>
          <w:b/>
          <w:noProof/>
          <w:lang w:val="ro-RO"/>
        </w:rPr>
      </w:pPr>
      <w:r w:rsidRPr="000F21D0">
        <w:rPr>
          <w:b/>
          <w:noProof/>
          <w:lang w:val="ro-RO"/>
        </w:rPr>
        <w:t xml:space="preserve"> Piața unică – factor de atracție și atu geopolitic pe scena mondială </w:t>
      </w:r>
    </w:p>
    <w:p w14:paraId="2C1CCE9A" w14:textId="56B9D295" w:rsidR="00E40DAB" w:rsidRPr="000F21D0" w:rsidRDefault="00E40DAB" w:rsidP="00E40DAB">
      <w:pPr>
        <w:jc w:val="both"/>
        <w:rPr>
          <w:noProof/>
          <w:lang w:val="ro-RO"/>
        </w:rPr>
      </w:pPr>
      <w:r w:rsidRPr="000F21D0">
        <w:rPr>
          <w:noProof/>
          <w:lang w:val="ro-RO"/>
        </w:rPr>
        <w:t xml:space="preserve">Beneficiile pe care le aduce piața unică constituie o componentă majoră a </w:t>
      </w:r>
      <w:r w:rsidRPr="000F21D0">
        <w:rPr>
          <w:b/>
          <w:noProof/>
          <w:lang w:val="ro-RO"/>
        </w:rPr>
        <w:t>atractivității globale a UE ca pol de securitate, stabilitate și valori deschise</w:t>
      </w:r>
      <w:r w:rsidRPr="000F21D0">
        <w:rPr>
          <w:noProof/>
          <w:lang w:val="ro-RO"/>
        </w:rPr>
        <w:t>. UE reprezintă aproximativ 14 % din comerțul mondial cu mărfuri</w:t>
      </w:r>
      <w:r w:rsidRPr="000F21D0">
        <w:rPr>
          <w:rStyle w:val="FootnoteReference"/>
          <w:noProof/>
          <w:lang w:val="ro-RO"/>
        </w:rPr>
        <w:footnoteReference w:id="40"/>
      </w:r>
      <w:r w:rsidRPr="000F21D0">
        <w:rPr>
          <w:noProof/>
          <w:lang w:val="ro-RO"/>
        </w:rPr>
        <w:t xml:space="preserve">. Pe lângă extinderile succesive din perioada 1973-2007, în anii 1990, membrii AELS Islanda, Liechtenstein și Norvegia au decis să instituie Spațiul Economic European împreună cu UE, extinzând astfel cele patru libertăți ale pieței unice la țările lor. Numeroase țări din Balcanii de Vest și din vecinătatea estică doresc să dobândească în viitor statutul de membri ai Uniunii și ai pieței sale unice. UE se angajează ferm să sprijine Balcanii de Vest pe drumul către UE. </w:t>
      </w:r>
    </w:p>
    <w:p w14:paraId="416CDC03" w14:textId="30975BA9" w:rsidR="001459F8" w:rsidRPr="000F21D0" w:rsidRDefault="00E40DAB" w:rsidP="00E40DAB">
      <w:pPr>
        <w:jc w:val="both"/>
        <w:rPr>
          <w:noProof/>
          <w:lang w:val="ro-RO"/>
        </w:rPr>
      </w:pPr>
      <w:r w:rsidRPr="000F21D0">
        <w:rPr>
          <w:noProof/>
          <w:lang w:val="ro-RO"/>
        </w:rPr>
        <w:t>De asemenea, UE profită de orice ocazie de a continua integrarea Ucrainei pe piața unică, de exemplu prin conectarea acesteia la rețeaua de energie electrică a UE, prin suspendarea taxelor la import pentru exporturile ucrainene către UE, prin crearea culoarelor de solidaritate pentru a îmbunătăți circulația mărfurilor și a persoanelor și prin introducerea Ucrainei în zona europeană de roaming la prețurile de pe piața națională. Comisia se va concentra, împreună cu Ucraina, asupra acțiunilor prioritare convenite</w:t>
      </w:r>
      <w:r w:rsidRPr="000F21D0">
        <w:rPr>
          <w:rStyle w:val="FootnoteReference"/>
          <w:noProof/>
          <w:lang w:val="ro-RO"/>
        </w:rPr>
        <w:footnoteReference w:id="41"/>
      </w:r>
      <w:r w:rsidRPr="000F21D0">
        <w:rPr>
          <w:noProof/>
          <w:lang w:val="ro-RO"/>
        </w:rPr>
        <w:t>, inclusiv în domeniul achizițiilor publice, al standardizării, al cooperării industriale, al barierelor tehnice în calea comerțului și al evaluării conformității</w:t>
      </w:r>
      <w:r w:rsidRPr="000F21D0">
        <w:rPr>
          <w:rStyle w:val="FootnoteReference"/>
          <w:noProof/>
          <w:lang w:val="ro-RO"/>
        </w:rPr>
        <w:footnoteReference w:id="42"/>
      </w:r>
      <w:r w:rsidRPr="000F21D0">
        <w:rPr>
          <w:noProof/>
          <w:lang w:val="ro-RO"/>
        </w:rPr>
        <w:t>, în vederea unei mai bune integrări a Ucrainei pe piața unică. Eforturi asemănătoare sunt în curs pentru integrarea în mod similar a Moldovei. De asemenea, UE include Ucraina și alte țări ale Parteneriatului estic într-o serie de programe-cheie ale UE, cum ar fi Programul privind piața unică</w:t>
      </w:r>
      <w:r w:rsidRPr="000F21D0">
        <w:rPr>
          <w:rStyle w:val="FootnoteReference"/>
          <w:noProof/>
          <w:lang w:val="ro-RO"/>
        </w:rPr>
        <w:footnoteReference w:id="43"/>
      </w:r>
      <w:r w:rsidRPr="000F21D0">
        <w:rPr>
          <w:noProof/>
          <w:lang w:val="ro-RO"/>
        </w:rPr>
        <w:t>.</w:t>
      </w:r>
    </w:p>
    <w:p w14:paraId="6564A645" w14:textId="48E2C846" w:rsidR="001459F8" w:rsidRPr="000F21D0" w:rsidRDefault="00E40DAB" w:rsidP="00E40DAB">
      <w:pPr>
        <w:jc w:val="both"/>
        <w:rPr>
          <w:noProof/>
          <w:lang w:val="ro-RO"/>
        </w:rPr>
      </w:pPr>
      <w:r w:rsidRPr="000F21D0">
        <w:rPr>
          <w:noProof/>
          <w:lang w:val="ro-RO"/>
        </w:rPr>
        <w:t xml:space="preserve">Piața unică este, de asemenea, o forță de proiecție, o </w:t>
      </w:r>
      <w:r w:rsidRPr="000F21D0">
        <w:rPr>
          <w:b/>
          <w:noProof/>
          <w:lang w:val="ro-RO"/>
        </w:rPr>
        <w:t>pârghie geopolitică</w:t>
      </w:r>
      <w:r w:rsidRPr="000F21D0">
        <w:rPr>
          <w:noProof/>
          <w:lang w:val="ro-RO"/>
        </w:rPr>
        <w:t xml:space="preserve"> ce întărește poziția și influența UE în lume. Este coloana vertebrală economică a diplomației internaționale a UE. Această influență globală este esențială în lumina evoluțiilor geopolitice din ultimii 30 de ani și a concurenței mondiale intensificate cu alte economii de dimensiune continentală. De exemplu, în timpul pandemiei, dezvoltarea și autorizarea rapidă a vaccinurilor în cadrul regimului riguros al UE privind medicamentele</w:t>
      </w:r>
      <w:r w:rsidRPr="000F21D0">
        <w:rPr>
          <w:rStyle w:val="FootnoteReference"/>
          <w:noProof/>
          <w:lang w:val="ro-RO"/>
        </w:rPr>
        <w:footnoteReference w:id="44"/>
      </w:r>
      <w:r w:rsidRPr="000F21D0">
        <w:rPr>
          <w:noProof/>
          <w:lang w:val="ro-RO"/>
        </w:rPr>
        <w:t xml:space="preserve"> a oferit UE o platformă puternică pentru a facilita combaterea COVID-19 la scară mondială. </w:t>
      </w:r>
    </w:p>
    <w:p w14:paraId="0996DA24" w14:textId="77777777" w:rsidR="00A13F59" w:rsidRPr="000F21D0" w:rsidRDefault="001459F8" w:rsidP="00E40DAB">
      <w:pPr>
        <w:jc w:val="both"/>
        <w:rPr>
          <w:noProof/>
          <w:lang w:val="ro-RO"/>
        </w:rPr>
      </w:pPr>
      <w:r w:rsidRPr="000F21D0">
        <w:rPr>
          <w:noProof/>
          <w:lang w:val="ro-RO"/>
        </w:rPr>
        <w:t>Dimensiunea și atractivitatea pieței unice a UE determină adesea întreprinderile să opteze pentru aplicarea legislației și a standardelor UE în raport cu operațiunile lor la nivel mondial. Acest aspect a permis UE să contribuie la prosperitatea globală și la obiectivele de dezvoltare durabilă – prin creștere durabilă, un nivel ridicat de protecție socială, respectarea vieții private și a drepturilor fundamentale</w:t>
      </w:r>
      <w:r w:rsidRPr="000F21D0">
        <w:rPr>
          <w:rStyle w:val="FootnoteReference"/>
          <w:noProof/>
          <w:lang w:val="ro-RO"/>
        </w:rPr>
        <w:footnoteReference w:id="45"/>
      </w:r>
      <w:r w:rsidRPr="000F21D0">
        <w:rPr>
          <w:noProof/>
          <w:lang w:val="ro-RO"/>
        </w:rPr>
        <w:t xml:space="preserve"> și o protecție solidă a mediului și a drepturilor omului.</w:t>
      </w:r>
    </w:p>
    <w:p w14:paraId="77F2E396" w14:textId="77777777" w:rsidR="009F4055" w:rsidRPr="000F21D0" w:rsidRDefault="00E40DAB" w:rsidP="75965158">
      <w:pPr>
        <w:jc w:val="both"/>
        <w:rPr>
          <w:noProof/>
          <w:lang w:val="ro-RO"/>
        </w:rPr>
      </w:pPr>
      <w:bookmarkStart w:id="11" w:name="_Hlk129006532"/>
      <w:r w:rsidRPr="000F21D0">
        <w:rPr>
          <w:b/>
          <w:noProof/>
          <w:lang w:val="ro-RO"/>
        </w:rPr>
        <w:t>Sistemul european de standardizare</w:t>
      </w:r>
      <w:r w:rsidRPr="000F21D0">
        <w:rPr>
          <w:noProof/>
          <w:lang w:val="ro-RO"/>
        </w:rPr>
        <w:t xml:space="preserve"> reprezintă o poveste cu un succes deosebit în această privință, având în vedere rolul special al standardelor europene armonizate care permit operatorilor economici să demonstreze conformitatea cu dreptul Uniunii cu un singur standard în cadrul pieței unice. După cum se subliniază în recenta strategie a UE privind standardizarea</w:t>
      </w:r>
      <w:r w:rsidRPr="000F21D0">
        <w:rPr>
          <w:rStyle w:val="FootnoteReference"/>
          <w:noProof/>
          <w:lang w:val="ro-RO"/>
        </w:rPr>
        <w:footnoteReference w:id="46"/>
      </w:r>
      <w:r w:rsidRPr="000F21D0">
        <w:rPr>
          <w:noProof/>
          <w:lang w:val="ro-RO"/>
        </w:rPr>
        <w:t>, standardele joacă un rol important pentru tranziția digitală și tranziția verde și pot conferi UE un rol de lider mondial, în special în ceea ce privește tehnologiile strategice. Standardele pot contribui, de asemenea, la o societate mai favorabilă incluziunii prin asigurarea accesibilității unei game de produse și servicii esențiale. Standardele internaționale joacă, de asemenea, un rol important nu numai pentru eliminarea barierelor tehnice din calea comerțului, ci și pentru facilitarea accesului pe piața internațională pentru întreprinderile din UE. Având în vedere rolul geopolitic din ce în ce mai important al standardelor, implicarea sporită a UE în procesele de elaborare a standardelor internaționale este, de asemenea, esențială pentru păstrarea valorilor și intereselor UE. În acest scop, Comisia poartă dialoguri strategice cu principalii parteneri comerciali, cum ar fi SUA, Japonia sau India.</w:t>
      </w:r>
      <w:bookmarkEnd w:id="11"/>
      <w:r w:rsidRPr="000F21D0">
        <w:rPr>
          <w:noProof/>
          <w:lang w:val="ro-RO"/>
        </w:rPr>
        <w:t xml:space="preserve"> </w:t>
      </w:r>
    </w:p>
    <w:p w14:paraId="4D4397D0" w14:textId="06048F1C" w:rsidR="7459403C" w:rsidRPr="000F21D0" w:rsidRDefault="00A13F59" w:rsidP="75965158">
      <w:pPr>
        <w:jc w:val="both"/>
        <w:rPr>
          <w:noProof/>
          <w:lang w:val="ro-RO"/>
        </w:rPr>
      </w:pPr>
      <w:r w:rsidRPr="000F21D0">
        <w:rPr>
          <w:noProof/>
          <w:lang w:val="ro-RO"/>
        </w:rPr>
        <w:t xml:space="preserve">Piața unică a permis UE să devină o putere comercială, creând oportunități pentru întreprinderile din UE în străinătate, proiectând normele și valorile noastre, conectând UE la polii de creștere din întreaga lume, asigurând factorii de producție de care avem nevoie și sprijinindu-i pe ceilalți în atingerea obiectivelor în materie de durabilitate. UE este cel mai important partener comercial pentru 53 de țări din întreaga lume, care reprezintă împreună 48 % din PIB-ul mondial. </w:t>
      </w:r>
      <w:r w:rsidRPr="000F21D0">
        <w:rPr>
          <w:b/>
          <w:noProof/>
          <w:lang w:val="ro-RO"/>
        </w:rPr>
        <w:t>Piața unică oferă un efect de levier pentru a garanta că deschiderea UE merge mână în mână cu respectarea normelor UE</w:t>
      </w:r>
      <w:r w:rsidRPr="000F21D0">
        <w:rPr>
          <w:noProof/>
          <w:lang w:val="ro-RO"/>
        </w:rPr>
        <w:t>, de exemplu prin abordarea denaturărilor cauzate de subvențiile străine</w:t>
      </w:r>
      <w:r w:rsidRPr="000F21D0">
        <w:rPr>
          <w:rStyle w:val="FootnoteReference"/>
          <w:noProof/>
          <w:lang w:val="ro-RO"/>
        </w:rPr>
        <w:footnoteReference w:id="47"/>
      </w:r>
      <w:r w:rsidRPr="000F21D0">
        <w:rPr>
          <w:noProof/>
          <w:lang w:val="ro-RO"/>
        </w:rPr>
        <w:t>, prin prevenirea fabricării produselor prin muncă forțată</w:t>
      </w:r>
      <w:r w:rsidRPr="000F21D0">
        <w:rPr>
          <w:rStyle w:val="FootnoteReference"/>
          <w:noProof/>
          <w:lang w:val="ro-RO"/>
        </w:rPr>
        <w:footnoteReference w:id="48"/>
      </w:r>
      <w:r w:rsidRPr="000F21D0">
        <w:rPr>
          <w:noProof/>
          <w:lang w:val="ro-RO"/>
        </w:rPr>
        <w:t xml:space="preserve"> sau prin practici nesustenabile din punct de vedere ecologic/social. În plus, capacitatea UE de a utiliza instrumente economice, cum ar fi sancțiunile și măsurile restrictive, pentru a menține ordinea internațională bazată pe norme se bazează pe o piață unică funcțională, având un rol central în economia mondială.</w:t>
      </w:r>
    </w:p>
    <w:p w14:paraId="4899C51C" w14:textId="77777777" w:rsidR="00966CF9" w:rsidRPr="000F21D0" w:rsidRDefault="00966CF9" w:rsidP="75965158">
      <w:pPr>
        <w:jc w:val="both"/>
        <w:rPr>
          <w:noProof/>
          <w:lang w:val="ro-RO"/>
        </w:rPr>
      </w:pPr>
    </w:p>
    <w:p w14:paraId="42B37917" w14:textId="4254E590" w:rsidR="00613067" w:rsidRPr="000F21D0" w:rsidRDefault="00613067" w:rsidP="75965158">
      <w:pPr>
        <w:jc w:val="both"/>
        <w:rPr>
          <w:noProof/>
          <w:lang w:val="ro-RO"/>
        </w:rPr>
      </w:pPr>
    </w:p>
    <w:p w14:paraId="067CBDE4" w14:textId="1B251926" w:rsidR="00770C1D" w:rsidRPr="00DE7CC2" w:rsidRDefault="00770C1D" w:rsidP="00BE68A3">
      <w:pPr>
        <w:pStyle w:val="Heading1"/>
        <w:numPr>
          <w:ilvl w:val="0"/>
          <w:numId w:val="1"/>
        </w:numPr>
        <w:jc w:val="both"/>
        <w:rPr>
          <w:rFonts w:eastAsiaTheme="minorHAnsi" w:cstheme="minorBidi"/>
          <w:b/>
          <w:noProof/>
          <w:color w:val="auto"/>
          <w:sz w:val="24"/>
          <w:lang w:val="ro-RO"/>
        </w:rPr>
      </w:pPr>
      <w:r w:rsidRPr="00DE7CC2">
        <w:rPr>
          <w:b/>
          <w:noProof/>
          <w:color w:val="auto"/>
          <w:sz w:val="24"/>
          <w:lang w:val="ro-RO"/>
        </w:rPr>
        <w:t>CALEA DE URMAT – CĂTRE O MAI BUNĂ INTEGRARE A PIEȚEI UNICE</w:t>
      </w:r>
    </w:p>
    <w:p w14:paraId="56E49BF3" w14:textId="77777777" w:rsidR="00097D69" w:rsidRPr="000F21D0" w:rsidRDefault="00097D69" w:rsidP="001A5EC5">
      <w:pPr>
        <w:jc w:val="both"/>
        <w:rPr>
          <w:noProof/>
          <w:lang w:val="ro-RO"/>
        </w:rPr>
      </w:pPr>
    </w:p>
    <w:p w14:paraId="3EC2DFAC" w14:textId="1486F249" w:rsidR="00205BF5" w:rsidRPr="000F21D0" w:rsidRDefault="37A1946E" w:rsidP="00FC2FE2">
      <w:pPr>
        <w:jc w:val="both"/>
        <w:rPr>
          <w:noProof/>
          <w:lang w:val="ro-RO"/>
        </w:rPr>
      </w:pPr>
      <w:r w:rsidRPr="000F21D0">
        <w:rPr>
          <w:noProof/>
          <w:lang w:val="ro-RO"/>
        </w:rPr>
        <w:t xml:space="preserve">Aniversările reprezintă o oportunitate nu numai de a privi retrospectiv la realizările din trecut, ci și de a stabili așteptările și obiectivele pentru viitor. Într-un mediu aflat în schimbare rapidă, trebuie continuate eforturile de îmbunătățire a aplicării normelor privind piața unică și de stimulare a unei responsabilități comune pentru piața unică la nivelul UE și la nivel național. De asemenea, dacă situația o impune, normele trebuie adaptate în continuare la noi produse, servicii și modele de afaceri care vor contribui la stimularea tranziției verzi și a celei digitale. </w:t>
      </w:r>
    </w:p>
    <w:p w14:paraId="43E33876" w14:textId="70316F9B" w:rsidR="00FE70DC" w:rsidRPr="000F21D0" w:rsidRDefault="00753EB9" w:rsidP="0090239A">
      <w:pPr>
        <w:jc w:val="both"/>
        <w:rPr>
          <w:noProof/>
          <w:lang w:val="ro-RO"/>
        </w:rPr>
      </w:pPr>
      <w:r w:rsidRPr="000F21D0">
        <w:rPr>
          <w:noProof/>
          <w:lang w:val="ro-RO"/>
        </w:rPr>
        <w:t>O piață unică pe deplin funcțională reprezintă fundamentul esențial al competitivității pe termen lung a UE. Comunicarea Comisiei privind competitivitatea, publicată împreună cu prezenta comunicare</w:t>
      </w:r>
      <w:r w:rsidRPr="000F21D0">
        <w:rPr>
          <w:rStyle w:val="FootnoteReference"/>
          <w:noProof/>
          <w:lang w:val="ro-RO"/>
        </w:rPr>
        <w:footnoteReference w:id="49"/>
      </w:r>
      <w:r w:rsidRPr="000F21D0">
        <w:rPr>
          <w:noProof/>
          <w:lang w:val="ro-RO"/>
        </w:rPr>
        <w:t xml:space="preserve">, stabilește acțiuni menite să asigure un </w:t>
      </w:r>
      <w:r w:rsidRPr="000F21D0">
        <w:rPr>
          <w:b/>
          <w:noProof/>
          <w:lang w:val="ro-RO"/>
        </w:rPr>
        <w:t xml:space="preserve">cadru de reglementare </w:t>
      </w:r>
      <w:r w:rsidRPr="001D0D7F">
        <w:rPr>
          <w:noProof/>
          <w:lang w:val="ro-RO"/>
        </w:rPr>
        <w:t>previzibil, coerent și simplificat,</w:t>
      </w:r>
      <w:r w:rsidRPr="000F21D0">
        <w:rPr>
          <w:b/>
          <w:noProof/>
          <w:lang w:val="ro-RO"/>
        </w:rPr>
        <w:t xml:space="preserve"> favorabil </w:t>
      </w:r>
      <w:r w:rsidRPr="001D0D7F">
        <w:rPr>
          <w:noProof/>
          <w:lang w:val="ro-RO"/>
        </w:rPr>
        <w:t>competitivității</w:t>
      </w:r>
      <w:r w:rsidRPr="000F21D0">
        <w:rPr>
          <w:noProof/>
          <w:lang w:val="ro-RO"/>
        </w:rPr>
        <w:t xml:space="preserve"> pe termen lung, să asigure disponibilitatea competențelor necesare pentru tranziția verde și cea digitală și pentru creșterea economică, precum și să accelereze și să îmbunătățească accesul la finanțare.</w:t>
      </w:r>
    </w:p>
    <w:p w14:paraId="7A8D74CB" w14:textId="1C85CADC" w:rsidR="00C347CF" w:rsidRPr="000F21D0" w:rsidRDefault="00097D69" w:rsidP="0090239A">
      <w:pPr>
        <w:jc w:val="both"/>
        <w:rPr>
          <w:noProof/>
          <w:lang w:val="ro-RO"/>
        </w:rPr>
      </w:pPr>
      <w:r w:rsidRPr="000F21D0">
        <w:rPr>
          <w:noProof/>
          <w:lang w:val="ro-RO"/>
        </w:rPr>
        <w:t>În viitor, Comisia va colabora cu toate nivelurile de guvernanță și cu toate părțile interesate pentru a valorifica pe deplin potențialul pieței unice, astfel încât aceasta să ofere o bază solidă pentru o competitivitate sustenabilă pe termen lung. În acest context, prezenta comunicare se axează pe două domenii-cheie în care sunt necesare acțiuni suplimentare:</w:t>
      </w:r>
    </w:p>
    <w:p w14:paraId="1FC68CF4" w14:textId="5460FE32" w:rsidR="00C347CF" w:rsidRPr="000F21D0" w:rsidRDefault="00612287" w:rsidP="00C33A5B">
      <w:pPr>
        <w:pStyle w:val="ListParagraph"/>
        <w:numPr>
          <w:ilvl w:val="0"/>
          <w:numId w:val="3"/>
        </w:numPr>
        <w:spacing w:after="0"/>
        <w:jc w:val="both"/>
        <w:rPr>
          <w:noProof/>
          <w:lang w:val="ro-RO"/>
        </w:rPr>
      </w:pPr>
      <w:r w:rsidRPr="000F21D0">
        <w:rPr>
          <w:b/>
          <w:noProof/>
          <w:lang w:val="ro-RO"/>
        </w:rPr>
        <w:t>asigurarea respectării normelor existente privind piața unică și eliminarea barierelor de la nivelul statelor membre</w:t>
      </w:r>
      <w:r w:rsidRPr="000F21D0">
        <w:rPr>
          <w:noProof/>
          <w:lang w:val="ro-RO"/>
        </w:rPr>
        <w:t>, în special a barierelor din calea furnizării de servicii la nivel transfrontalier, precum și în cadrul ecosistemelor industriale având cel mai mare potențial de integrare economică (comerțul cu amănuntul, construcțiile, turismul, serviciile pentru întreprinderi și sectorul ene</w:t>
      </w:r>
      <w:r w:rsidR="000F21D0">
        <w:rPr>
          <w:noProof/>
          <w:lang w:val="ro-RO"/>
        </w:rPr>
        <w:t>rgiei din surse regenerabile);</w:t>
      </w:r>
    </w:p>
    <w:p w14:paraId="1F1A3433" w14:textId="62447BA5" w:rsidR="00C347CF" w:rsidRPr="000F21D0" w:rsidRDefault="00097D69" w:rsidP="00C33A5B">
      <w:pPr>
        <w:pStyle w:val="ListParagraph"/>
        <w:numPr>
          <w:ilvl w:val="0"/>
          <w:numId w:val="3"/>
        </w:numPr>
        <w:spacing w:after="0"/>
        <w:jc w:val="both"/>
        <w:rPr>
          <w:noProof/>
          <w:lang w:val="ro-RO"/>
        </w:rPr>
      </w:pPr>
      <w:r w:rsidRPr="000F21D0">
        <w:rPr>
          <w:b/>
          <w:noProof/>
          <w:lang w:val="ro-RO"/>
        </w:rPr>
        <w:t xml:space="preserve">promovarea </w:t>
      </w:r>
      <w:r w:rsidRPr="001D0D7F">
        <w:rPr>
          <w:noProof/>
          <w:lang w:val="ro-RO"/>
        </w:rPr>
        <w:t>în continuare</w:t>
      </w:r>
      <w:r w:rsidRPr="000F21D0">
        <w:rPr>
          <w:b/>
          <w:noProof/>
          <w:lang w:val="ro-RO"/>
        </w:rPr>
        <w:t xml:space="preserve"> a dimensiunii verzi și digitale</w:t>
      </w:r>
      <w:r w:rsidRPr="000F21D0">
        <w:rPr>
          <w:noProof/>
          <w:lang w:val="ro-RO"/>
        </w:rPr>
        <w:t xml:space="preserve"> a pieței unice ca sursă de inovare, creștere economică și competitivitate.</w:t>
      </w:r>
    </w:p>
    <w:p w14:paraId="02D3DEF1" w14:textId="77777777" w:rsidR="00AB6A1D" w:rsidRPr="000F21D0" w:rsidRDefault="00AB6A1D" w:rsidP="00AB6A1D">
      <w:pPr>
        <w:spacing w:after="0"/>
        <w:jc w:val="both"/>
        <w:rPr>
          <w:noProof/>
          <w:lang w:val="ro-RO"/>
        </w:rPr>
      </w:pPr>
    </w:p>
    <w:p w14:paraId="5AB61014" w14:textId="3048A137" w:rsidR="00E92452" w:rsidRPr="000F21D0" w:rsidRDefault="00FB6E21" w:rsidP="00E91B32">
      <w:pPr>
        <w:pStyle w:val="ListParagraph"/>
        <w:numPr>
          <w:ilvl w:val="1"/>
          <w:numId w:val="1"/>
        </w:numPr>
        <w:spacing w:before="120"/>
        <w:rPr>
          <w:b/>
          <w:noProof/>
          <w:lang w:val="ro-RO"/>
        </w:rPr>
      </w:pPr>
      <w:r w:rsidRPr="000F21D0">
        <w:rPr>
          <w:b/>
          <w:noProof/>
          <w:lang w:val="ro-RO"/>
        </w:rPr>
        <w:t xml:space="preserve"> Asigurarea respectării normelor privind piața unică și eliminarea barierelor de la nivelul statelor membre</w:t>
      </w:r>
    </w:p>
    <w:p w14:paraId="606BE13F" w14:textId="2A560D53" w:rsidR="00A06E0E" w:rsidRPr="000F21D0" w:rsidRDefault="0636C4EB" w:rsidP="00A06E0E">
      <w:pPr>
        <w:spacing w:line="252" w:lineRule="auto"/>
        <w:jc w:val="both"/>
        <w:rPr>
          <w:noProof/>
          <w:lang w:val="ro-RO"/>
        </w:rPr>
      </w:pPr>
      <w:r w:rsidRPr="000F21D0">
        <w:rPr>
          <w:noProof/>
          <w:lang w:val="ro-RO"/>
        </w:rPr>
        <w:t>Cetățenii și întreprinderile pot beneficia pe deplin de piața unică numai atunci când normele UE sunt implementate și puse în aplicare în mod corect</w:t>
      </w:r>
      <w:r w:rsidRPr="000F21D0">
        <w:rPr>
          <w:rStyle w:val="FootnoteReference"/>
          <w:noProof/>
          <w:lang w:val="ro-RO"/>
        </w:rPr>
        <w:footnoteReference w:id="50"/>
      </w:r>
      <w:r w:rsidRPr="000F21D0">
        <w:rPr>
          <w:noProof/>
          <w:lang w:val="ro-RO"/>
        </w:rPr>
        <w:t xml:space="preserve">. Asigurarea punerii în aplicare corecte și cotidiene a normelor privind piața unică este responsabilitatea colectivă a Comisiei și a statelor membre. În special, o transpunere corectă în practică a reglementărilor se bazează pe activitatea autorităților naționale pentru a le garanta efectul deplin. </w:t>
      </w:r>
    </w:p>
    <w:p w14:paraId="3D9DCCCC" w14:textId="4DADAF8B" w:rsidR="00900770" w:rsidRPr="000F21D0" w:rsidRDefault="00585F4B" w:rsidP="0075190F">
      <w:pPr>
        <w:spacing w:line="252" w:lineRule="auto"/>
        <w:jc w:val="both"/>
        <w:rPr>
          <w:noProof/>
          <w:lang w:val="ro-RO"/>
        </w:rPr>
      </w:pPr>
      <w:r w:rsidRPr="000F21D0">
        <w:rPr>
          <w:b/>
          <w:noProof/>
          <w:lang w:val="ro-RO"/>
        </w:rPr>
        <w:t>Transpunerea corectă și la timp a dreptului Uniunii</w:t>
      </w:r>
      <w:r w:rsidRPr="000F21D0">
        <w:rPr>
          <w:noProof/>
          <w:lang w:val="ro-RO"/>
        </w:rPr>
        <w:t xml:space="preserve"> este de o importanță crucială pentru a se asigura că legislația privind piața unică generează efectele scontate. Deficitul mediu de transpunere a directivelor privind piața unică</w:t>
      </w:r>
      <w:r w:rsidRPr="000F21D0">
        <w:rPr>
          <w:noProof/>
          <w:vertAlign w:val="superscript"/>
          <w:lang w:val="ro-RO"/>
        </w:rPr>
        <w:footnoteReference w:id="51"/>
      </w:r>
      <w:r w:rsidRPr="000F21D0">
        <w:rPr>
          <w:noProof/>
          <w:lang w:val="ro-RO"/>
        </w:rPr>
        <w:t xml:space="preserve"> depășește în prezent pragul de 1 % stabilit de Consiliul European în martie 2007. Numai cinci state membre au îndeplinit obiectivul convenit (a se vedea graficul 3). De asemenea, se impune ca directivele să fie transpuse și aplicate în mod corect pe teren, acordându-se o atenție deosebită aspectelor legate de suprareglementarea nejustificată. În acest sens, statele membre trebuie să îmbunătățească în mod considerabil situația (a se vedea graficul 4).</w:t>
      </w:r>
    </w:p>
    <w:p w14:paraId="1B3435A6" w14:textId="59D96447" w:rsidR="00900770" w:rsidRDefault="00900770" w:rsidP="0075190F">
      <w:pPr>
        <w:spacing w:line="252" w:lineRule="auto"/>
        <w:jc w:val="both"/>
        <w:rPr>
          <w:noProof/>
          <w:lang w:val="ro-RO"/>
        </w:rPr>
      </w:pPr>
    </w:p>
    <w:p w14:paraId="03E8D695" w14:textId="0643EE8E" w:rsidR="001D0D7F" w:rsidRDefault="001D0D7F" w:rsidP="0075190F">
      <w:pPr>
        <w:spacing w:line="252" w:lineRule="auto"/>
        <w:jc w:val="both"/>
        <w:rPr>
          <w:noProof/>
          <w:lang w:val="ro-RO"/>
        </w:rPr>
      </w:pPr>
    </w:p>
    <w:p w14:paraId="77236D63" w14:textId="5BB7C9FA" w:rsidR="001D0D7F" w:rsidRDefault="001D0D7F" w:rsidP="0075190F">
      <w:pPr>
        <w:spacing w:line="252" w:lineRule="auto"/>
        <w:jc w:val="both"/>
        <w:rPr>
          <w:noProof/>
          <w:lang w:val="ro-RO"/>
        </w:rPr>
      </w:pPr>
    </w:p>
    <w:p w14:paraId="34CC568F" w14:textId="743C6189" w:rsidR="001D0D7F" w:rsidRDefault="001D0D7F" w:rsidP="0075190F">
      <w:pPr>
        <w:spacing w:line="252" w:lineRule="auto"/>
        <w:jc w:val="both"/>
        <w:rPr>
          <w:noProof/>
          <w:lang w:val="ro-RO"/>
        </w:rPr>
      </w:pPr>
    </w:p>
    <w:p w14:paraId="4B76B829" w14:textId="6AA309CA" w:rsidR="001D0D7F" w:rsidRDefault="001D0D7F" w:rsidP="0075190F">
      <w:pPr>
        <w:spacing w:line="252" w:lineRule="auto"/>
        <w:jc w:val="both"/>
        <w:rPr>
          <w:noProof/>
          <w:lang w:val="ro-RO"/>
        </w:rPr>
      </w:pPr>
    </w:p>
    <w:p w14:paraId="0BBB70F7" w14:textId="03181EE0" w:rsidR="001D0D7F" w:rsidRDefault="001D0D7F" w:rsidP="0075190F">
      <w:pPr>
        <w:spacing w:line="252" w:lineRule="auto"/>
        <w:jc w:val="both"/>
        <w:rPr>
          <w:noProof/>
          <w:lang w:val="ro-RO"/>
        </w:rPr>
      </w:pPr>
    </w:p>
    <w:p w14:paraId="4F653471" w14:textId="4B4E5B19" w:rsidR="001D0D7F" w:rsidRDefault="001D0D7F" w:rsidP="0075190F">
      <w:pPr>
        <w:spacing w:line="252" w:lineRule="auto"/>
        <w:jc w:val="both"/>
        <w:rPr>
          <w:noProof/>
          <w:lang w:val="ro-RO"/>
        </w:rPr>
      </w:pPr>
    </w:p>
    <w:p w14:paraId="1809B1AA" w14:textId="07F3B468" w:rsidR="001D0D7F" w:rsidRDefault="001D0D7F" w:rsidP="0075190F">
      <w:pPr>
        <w:spacing w:line="252" w:lineRule="auto"/>
        <w:jc w:val="both"/>
        <w:rPr>
          <w:noProof/>
          <w:lang w:val="ro-RO"/>
        </w:rPr>
      </w:pPr>
    </w:p>
    <w:p w14:paraId="2B5CA23E" w14:textId="038867DD" w:rsidR="001D0D7F" w:rsidRDefault="001D0D7F" w:rsidP="0075190F">
      <w:pPr>
        <w:spacing w:line="252" w:lineRule="auto"/>
        <w:jc w:val="both"/>
        <w:rPr>
          <w:noProof/>
          <w:lang w:val="ro-RO"/>
        </w:rPr>
      </w:pPr>
    </w:p>
    <w:p w14:paraId="23053D10" w14:textId="12F77529" w:rsidR="001D0D7F" w:rsidRDefault="001D0D7F" w:rsidP="0075190F">
      <w:pPr>
        <w:spacing w:line="252" w:lineRule="auto"/>
        <w:jc w:val="both"/>
        <w:rPr>
          <w:noProof/>
          <w:lang w:val="ro-RO"/>
        </w:rPr>
      </w:pPr>
    </w:p>
    <w:p w14:paraId="3A5667E8" w14:textId="1D486A70" w:rsidR="001D0D7F" w:rsidRDefault="001D0D7F" w:rsidP="0075190F">
      <w:pPr>
        <w:spacing w:line="252" w:lineRule="auto"/>
        <w:jc w:val="both"/>
        <w:rPr>
          <w:noProof/>
          <w:lang w:val="ro-RO"/>
        </w:rPr>
      </w:pPr>
    </w:p>
    <w:p w14:paraId="7E281A55" w14:textId="5713884C" w:rsidR="001D0D7F" w:rsidRDefault="001D0D7F" w:rsidP="0075190F">
      <w:pPr>
        <w:spacing w:line="252" w:lineRule="auto"/>
        <w:jc w:val="both"/>
        <w:rPr>
          <w:noProof/>
          <w:lang w:val="ro-RO"/>
        </w:rPr>
      </w:pPr>
    </w:p>
    <w:p w14:paraId="2360AAFF" w14:textId="73DC8D5A" w:rsidR="001D0D7F" w:rsidRDefault="001D0D7F" w:rsidP="0075190F">
      <w:pPr>
        <w:spacing w:line="252" w:lineRule="auto"/>
        <w:jc w:val="both"/>
        <w:rPr>
          <w:noProof/>
          <w:lang w:val="ro-RO"/>
        </w:rPr>
      </w:pPr>
    </w:p>
    <w:p w14:paraId="6F27B3B9" w14:textId="3F82C17E" w:rsidR="001D0D7F" w:rsidRDefault="001D0D7F" w:rsidP="0075190F">
      <w:pPr>
        <w:spacing w:line="252" w:lineRule="auto"/>
        <w:jc w:val="both"/>
        <w:rPr>
          <w:noProof/>
          <w:lang w:val="ro-RO"/>
        </w:rPr>
      </w:pPr>
    </w:p>
    <w:p w14:paraId="1645E7C0" w14:textId="38379E79" w:rsidR="001D0D7F" w:rsidRDefault="001D0D7F" w:rsidP="0075190F">
      <w:pPr>
        <w:spacing w:line="252" w:lineRule="auto"/>
        <w:jc w:val="both"/>
        <w:rPr>
          <w:noProof/>
          <w:lang w:val="ro-RO"/>
        </w:rPr>
      </w:pPr>
    </w:p>
    <w:p w14:paraId="48C74A45" w14:textId="7E40418D" w:rsidR="001D0D7F" w:rsidRDefault="001D0D7F" w:rsidP="0075190F">
      <w:pPr>
        <w:spacing w:line="252" w:lineRule="auto"/>
        <w:jc w:val="both"/>
        <w:rPr>
          <w:noProof/>
          <w:lang w:val="ro-RO"/>
        </w:rPr>
      </w:pPr>
    </w:p>
    <w:p w14:paraId="021FA807" w14:textId="22BF94FD" w:rsidR="001D0D7F" w:rsidRDefault="001D0D7F" w:rsidP="0075190F">
      <w:pPr>
        <w:spacing w:line="252" w:lineRule="auto"/>
        <w:jc w:val="both"/>
        <w:rPr>
          <w:noProof/>
          <w:lang w:val="ro-RO"/>
        </w:rPr>
      </w:pPr>
    </w:p>
    <w:p w14:paraId="2AC3601D" w14:textId="7C41BC60" w:rsidR="001D0D7F" w:rsidRDefault="001D0D7F" w:rsidP="0075190F">
      <w:pPr>
        <w:spacing w:line="252" w:lineRule="auto"/>
        <w:jc w:val="both"/>
        <w:rPr>
          <w:noProof/>
          <w:lang w:val="ro-RO"/>
        </w:rPr>
      </w:pPr>
    </w:p>
    <w:p w14:paraId="00E4996D" w14:textId="190F88F0" w:rsidR="001D0D7F" w:rsidRDefault="001D0D7F" w:rsidP="0075190F">
      <w:pPr>
        <w:spacing w:line="252" w:lineRule="auto"/>
        <w:jc w:val="both"/>
        <w:rPr>
          <w:noProof/>
          <w:lang w:val="ro-RO"/>
        </w:rPr>
      </w:pPr>
    </w:p>
    <w:p w14:paraId="04051690" w14:textId="77777777" w:rsidR="001D0D7F" w:rsidRPr="000F21D0" w:rsidRDefault="001D0D7F" w:rsidP="0075190F">
      <w:pPr>
        <w:spacing w:line="252" w:lineRule="auto"/>
        <w:jc w:val="both"/>
        <w:rPr>
          <w:noProof/>
          <w:lang w:val="ro-RO"/>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242"/>
      </w:tblGrid>
      <w:tr w:rsidR="000A3C20" w:rsidRPr="001D0D7F" w14:paraId="6AB0BB65" w14:textId="77777777" w:rsidTr="00613067">
        <w:trPr>
          <w:cantSplit/>
        </w:trPr>
        <w:tc>
          <w:tcPr>
            <w:tcW w:w="9242" w:type="dxa"/>
          </w:tcPr>
          <w:p w14:paraId="6914EA9E" w14:textId="2DE3DC9A" w:rsidR="00941BA5" w:rsidRPr="000F21D0" w:rsidRDefault="00941BA5" w:rsidP="00047A71">
            <w:pPr>
              <w:spacing w:line="252" w:lineRule="auto"/>
              <w:jc w:val="both"/>
              <w:rPr>
                <w:b/>
                <w:noProof/>
                <w:lang w:val="ro-RO"/>
              </w:rPr>
            </w:pPr>
            <w:r w:rsidRPr="000F21D0">
              <w:rPr>
                <w:b/>
                <w:noProof/>
                <w:lang w:val="ro-RO"/>
              </w:rPr>
              <w:t>Graficul 3: Deficitul de transpunere al statelor membre la 10 decembrie 2021</w:t>
            </w:r>
            <w:r w:rsidRPr="000F21D0">
              <w:rPr>
                <w:rStyle w:val="FootnoteReference"/>
                <w:b/>
                <w:noProof/>
                <w:lang w:val="ro-RO"/>
              </w:rPr>
              <w:footnoteReference w:id="52"/>
            </w:r>
          </w:p>
        </w:tc>
      </w:tr>
      <w:tr w:rsidR="000A3C20" w:rsidRPr="000F21D0" w14:paraId="54ADF52C" w14:textId="77777777" w:rsidTr="00613067">
        <w:trPr>
          <w:cantSplit/>
        </w:trPr>
        <w:tc>
          <w:tcPr>
            <w:tcW w:w="9242" w:type="dxa"/>
          </w:tcPr>
          <w:p w14:paraId="15BA597A" w14:textId="5DA5439C" w:rsidR="00941BA5" w:rsidRPr="000F21D0" w:rsidRDefault="00A33906" w:rsidP="00772E9D">
            <w:pPr>
              <w:spacing w:line="252" w:lineRule="auto"/>
              <w:jc w:val="center"/>
              <w:rPr>
                <w:noProof/>
                <w:lang w:val="ro-RO"/>
              </w:rPr>
            </w:pPr>
            <w:r w:rsidRPr="00A33906">
              <w:rPr>
                <w:noProof/>
                <w:lang w:val="en-GB" w:eastAsia="en-GB"/>
              </w:rPr>
              <w:drawing>
                <wp:inline distT="0" distB="0" distL="0" distR="0" wp14:anchorId="525913DA" wp14:editId="00F565D9">
                  <wp:extent cx="5721985" cy="257111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21985" cy="2571115"/>
                          </a:xfrm>
                          <a:prstGeom prst="rect">
                            <a:avLst/>
                          </a:prstGeom>
                          <a:noFill/>
                          <a:ln>
                            <a:noFill/>
                          </a:ln>
                        </pic:spPr>
                      </pic:pic>
                    </a:graphicData>
                  </a:graphic>
                </wp:inline>
              </w:drawing>
            </w:r>
          </w:p>
          <w:p w14:paraId="6BF7564E" w14:textId="74C025DC" w:rsidR="00941BA5" w:rsidRPr="000F21D0" w:rsidRDefault="00941BA5" w:rsidP="475CF62B">
            <w:pPr>
              <w:spacing w:line="252" w:lineRule="auto"/>
              <w:jc w:val="center"/>
              <w:rPr>
                <w:noProof/>
                <w:lang w:val="ro-RO"/>
              </w:rPr>
            </w:pPr>
          </w:p>
        </w:tc>
      </w:tr>
      <w:tr w:rsidR="000A3C20" w:rsidRPr="000F21D0" w14:paraId="08174A3C" w14:textId="77777777" w:rsidTr="00613067">
        <w:trPr>
          <w:cantSplit/>
        </w:trPr>
        <w:tc>
          <w:tcPr>
            <w:tcW w:w="9242" w:type="dxa"/>
          </w:tcPr>
          <w:p w14:paraId="227A88E4" w14:textId="47A5605B" w:rsidR="00941BA5" w:rsidRPr="000F21D0" w:rsidRDefault="00941BA5" w:rsidP="003D0F5C">
            <w:pPr>
              <w:spacing w:line="252" w:lineRule="auto"/>
              <w:jc w:val="both"/>
              <w:rPr>
                <w:noProof/>
                <w:sz w:val="16"/>
                <w:lang w:val="ro-RO"/>
              </w:rPr>
            </w:pPr>
            <w:r w:rsidRPr="000F21D0">
              <w:rPr>
                <w:noProof/>
                <w:sz w:val="16"/>
                <w:lang w:val="ro-RO"/>
              </w:rPr>
              <w:t>Sursă: Tabloul de bord al pieței unice</w:t>
            </w:r>
            <w:r w:rsidRPr="000F21D0">
              <w:rPr>
                <w:rStyle w:val="FootnoteReference"/>
                <w:noProof/>
                <w:sz w:val="16"/>
                <w:lang w:val="ro-RO"/>
              </w:rPr>
              <w:footnoteReference w:id="53"/>
            </w:r>
          </w:p>
        </w:tc>
      </w:tr>
      <w:tr w:rsidR="000E7F20" w:rsidRPr="000F21D0" w14:paraId="0A849784" w14:textId="77777777" w:rsidTr="00613067">
        <w:trPr>
          <w:cantSplit/>
        </w:trPr>
        <w:tc>
          <w:tcPr>
            <w:tcW w:w="9242" w:type="dxa"/>
          </w:tcPr>
          <w:p w14:paraId="5BDCFB66" w14:textId="77777777" w:rsidR="000E7F20" w:rsidRPr="000F21D0" w:rsidRDefault="000E7F20" w:rsidP="00DE7CC2">
            <w:pPr>
              <w:spacing w:line="252" w:lineRule="auto"/>
              <w:jc w:val="both"/>
              <w:rPr>
                <w:noProof/>
                <w:sz w:val="16"/>
                <w:lang w:val="ro-RO"/>
              </w:rPr>
            </w:pPr>
          </w:p>
          <w:p w14:paraId="6C5EC3A6" w14:textId="0B51CAC7" w:rsidR="000E7F20" w:rsidRPr="000F21D0" w:rsidRDefault="000E7F20" w:rsidP="003D0F5C">
            <w:pPr>
              <w:spacing w:line="252" w:lineRule="auto"/>
              <w:jc w:val="both"/>
              <w:rPr>
                <w:noProof/>
                <w:sz w:val="16"/>
                <w:lang w:val="ro-RO"/>
              </w:rPr>
            </w:pPr>
          </w:p>
        </w:tc>
      </w:tr>
      <w:tr w:rsidR="000A3C20" w:rsidRPr="001D0D7F" w14:paraId="7884B08F" w14:textId="77777777" w:rsidTr="00D572D4">
        <w:trPr>
          <w:cantSplit/>
        </w:trPr>
        <w:tc>
          <w:tcPr>
            <w:tcW w:w="9242" w:type="dxa"/>
          </w:tcPr>
          <w:p w14:paraId="0D4D14DA" w14:textId="7C35D53B" w:rsidR="00941BA5" w:rsidRPr="000F21D0" w:rsidRDefault="00941BA5" w:rsidP="00DE7CC2">
            <w:pPr>
              <w:keepNext/>
              <w:spacing w:line="252" w:lineRule="auto"/>
              <w:jc w:val="both"/>
              <w:rPr>
                <w:noProof/>
                <w:lang w:val="ro-RO"/>
              </w:rPr>
            </w:pPr>
            <w:r w:rsidRPr="000F21D0">
              <w:rPr>
                <w:b/>
                <w:noProof/>
                <w:lang w:val="ro-RO"/>
              </w:rPr>
              <w:t xml:space="preserve">Graficul 4: Deficitul de conformitate al statelor membre la 10 decembrie 2021 </w:t>
            </w:r>
          </w:p>
        </w:tc>
      </w:tr>
      <w:tr w:rsidR="000A3C20" w:rsidRPr="000F21D0" w14:paraId="7860176A" w14:textId="77777777" w:rsidTr="00D572D4">
        <w:trPr>
          <w:cantSplit/>
        </w:trPr>
        <w:tc>
          <w:tcPr>
            <w:tcW w:w="9242" w:type="dxa"/>
          </w:tcPr>
          <w:p w14:paraId="7C710B8F" w14:textId="0B892B5A" w:rsidR="00941BA5" w:rsidRPr="000F21D0" w:rsidRDefault="00B7314C" w:rsidP="475CF62B">
            <w:pPr>
              <w:spacing w:line="252" w:lineRule="auto"/>
              <w:jc w:val="center"/>
              <w:rPr>
                <w:noProof/>
                <w:lang w:val="ro-RO"/>
              </w:rPr>
            </w:pPr>
            <w:r w:rsidRPr="00B7314C">
              <w:rPr>
                <w:noProof/>
                <w:lang w:val="en-GB" w:eastAsia="en-GB"/>
              </w:rPr>
              <w:drawing>
                <wp:inline distT="0" distB="0" distL="0" distR="0" wp14:anchorId="6A18F36F" wp14:editId="3A312C9C">
                  <wp:extent cx="5726430" cy="287909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26430" cy="2879090"/>
                          </a:xfrm>
                          <a:prstGeom prst="rect">
                            <a:avLst/>
                          </a:prstGeom>
                          <a:noFill/>
                          <a:ln>
                            <a:noFill/>
                          </a:ln>
                        </pic:spPr>
                      </pic:pic>
                    </a:graphicData>
                  </a:graphic>
                </wp:inline>
              </w:drawing>
            </w:r>
          </w:p>
        </w:tc>
      </w:tr>
      <w:tr w:rsidR="000A3C20" w:rsidRPr="000F21D0" w14:paraId="582CC87E" w14:textId="77777777" w:rsidTr="00D572D4">
        <w:trPr>
          <w:cantSplit/>
        </w:trPr>
        <w:tc>
          <w:tcPr>
            <w:tcW w:w="9242" w:type="dxa"/>
          </w:tcPr>
          <w:p w14:paraId="6EF7C34C" w14:textId="42A5B2ED" w:rsidR="00941BA5" w:rsidRPr="000F21D0" w:rsidRDefault="00941BA5" w:rsidP="0075190F">
            <w:pPr>
              <w:spacing w:line="252" w:lineRule="auto"/>
              <w:jc w:val="both"/>
              <w:rPr>
                <w:noProof/>
                <w:lang w:val="ro-RO"/>
              </w:rPr>
            </w:pPr>
            <w:r w:rsidRPr="000F21D0">
              <w:rPr>
                <w:noProof/>
                <w:sz w:val="16"/>
                <w:lang w:val="ro-RO"/>
              </w:rPr>
              <w:t>Sursă: Tabloul de bord al pieței unice</w:t>
            </w:r>
            <w:r w:rsidRPr="000F21D0">
              <w:rPr>
                <w:rStyle w:val="FootnoteReference"/>
                <w:noProof/>
                <w:sz w:val="16"/>
                <w:lang w:val="ro-RO"/>
              </w:rPr>
              <w:footnoteReference w:id="54"/>
            </w:r>
          </w:p>
        </w:tc>
      </w:tr>
    </w:tbl>
    <w:p w14:paraId="2C78F0F3" w14:textId="7E3A9970" w:rsidR="00863F85" w:rsidRPr="000F21D0" w:rsidRDefault="00CE0812" w:rsidP="00863F85">
      <w:pPr>
        <w:spacing w:line="252" w:lineRule="auto"/>
        <w:jc w:val="both"/>
        <w:rPr>
          <w:noProof/>
          <w:lang w:val="ro-RO"/>
        </w:rPr>
      </w:pPr>
      <w:r w:rsidRPr="000F21D0">
        <w:rPr>
          <w:noProof/>
          <w:lang w:val="ro-RO"/>
        </w:rPr>
        <w:t xml:space="preserve"> </w:t>
      </w:r>
      <w:r w:rsidRPr="000F21D0">
        <w:rPr>
          <w:noProof/>
          <w:lang w:val="ro-RO"/>
        </w:rPr>
        <w:cr/>
      </w:r>
      <w:r w:rsidRPr="000F21D0">
        <w:rPr>
          <w:noProof/>
          <w:lang w:val="ro-RO"/>
        </w:rPr>
        <w:br/>
        <w:t xml:space="preserve">Nu există o </w:t>
      </w:r>
      <w:r w:rsidRPr="000F21D0">
        <w:rPr>
          <w:b/>
          <w:noProof/>
          <w:lang w:val="ro-RO"/>
        </w:rPr>
        <w:t>abordare universală</w:t>
      </w:r>
      <w:r w:rsidRPr="000F21D0">
        <w:rPr>
          <w:noProof/>
          <w:lang w:val="ro-RO"/>
        </w:rPr>
        <w:t xml:space="preserve"> pentru ca normele privind piața unică să își atingă întregul potențial, dar, în toate cazurile, o cultură solidă a conformității și un spirit de parteneriat sunt necesare pentru a gestiona cu succes piața unică. Comisia se angajează să colaboreze cu statele membre la nivelul corespunzător din cadrul administrației lor pentru a sprijini și a promova punerea în aplicare ambițioasă a normelor privind piața unică. În completarea cooperării, Comisia va aplica în continuare o politică riguroasă de asigurare a respectării normelor pentru a se asigura că normele UE convenite sunt, de asemenea, aplicate în mod corect și la nivel colectiv de către toate statele membre.</w:t>
      </w:r>
    </w:p>
    <w:p w14:paraId="1593C3B5" w14:textId="48D1024D" w:rsidR="00CF2517" w:rsidRPr="000F21D0" w:rsidRDefault="00863F85" w:rsidP="00690AFB">
      <w:pPr>
        <w:jc w:val="both"/>
        <w:rPr>
          <w:noProof/>
          <w:lang w:val="ro-RO"/>
        </w:rPr>
      </w:pPr>
      <w:r w:rsidRPr="000F21D0">
        <w:rPr>
          <w:noProof/>
          <w:lang w:val="ro-RO"/>
        </w:rPr>
        <w:t xml:space="preserve">Comisia urmează o </w:t>
      </w:r>
      <w:r w:rsidRPr="000F21D0">
        <w:rPr>
          <w:b/>
          <w:noProof/>
          <w:lang w:val="ro-RO"/>
        </w:rPr>
        <w:t>abordare strategică a asigurării respectării normelor</w:t>
      </w:r>
      <w:r w:rsidRPr="000F21D0">
        <w:rPr>
          <w:noProof/>
          <w:lang w:val="ro-RO"/>
        </w:rPr>
        <w:t xml:space="preserve"> și pune în aplicare cu succes Planul său de acțiune privind asigurarea respectării normelor referitoare la piața unică din 2020</w:t>
      </w:r>
      <w:r w:rsidRPr="000F21D0">
        <w:rPr>
          <w:noProof/>
          <w:vertAlign w:val="superscript"/>
          <w:lang w:val="ro-RO"/>
        </w:rPr>
        <w:footnoteReference w:id="55"/>
      </w:r>
      <w:r w:rsidRPr="000F21D0">
        <w:rPr>
          <w:noProof/>
          <w:lang w:val="ro-RO"/>
        </w:rPr>
        <w:t>, concentrându-se asupra aspectelor critice. Aceasta include asigurarea libertății de stabilire, a liberei circulații a bunurilor și serviciilor, inclusiv mobilitatea profesioniștilor pentru a elimina lacunele în materie de competențe, asigurarea faptului că normele privind achizițiile publice permit întreprinderilor să concureze pe piața unică, iar fondurile publice sunt utilizate în mod eficient, abordarea practicilor de plată neloiale și a întârzierilor în efectuarea plăților, precum și asigurarea respectării standardelor europene în beneficiul cetățenilor și al întreprinderilor.</w:t>
      </w:r>
    </w:p>
    <w:p w14:paraId="3A793A4D" w14:textId="58076717" w:rsidR="00335842" w:rsidRPr="000F21D0" w:rsidRDefault="00106A95" w:rsidP="00124D74">
      <w:pPr>
        <w:jc w:val="both"/>
        <w:rPr>
          <w:rStyle w:val="normaltextrun"/>
          <w:noProof/>
          <w:lang w:val="ro-RO"/>
        </w:rPr>
      </w:pPr>
      <w:r w:rsidRPr="000F21D0">
        <w:rPr>
          <w:noProof/>
          <w:lang w:val="ro-RO"/>
        </w:rPr>
        <w:t>În februarie 2023, Comisia a adoptat 24 de decizii de constatare a neîndeplinirii obligațiilor pentru a elimina barierele de pe piața unică a serviciilor și pentru a facilita desfășurarea activităților întreprinderilor din UE</w:t>
      </w:r>
      <w:r w:rsidRPr="000F21D0">
        <w:rPr>
          <w:rStyle w:val="FootnoteReference"/>
          <w:noProof/>
          <w:lang w:val="ro-RO"/>
        </w:rPr>
        <w:footnoteReference w:id="56"/>
      </w:r>
      <w:r w:rsidRPr="000F21D0">
        <w:rPr>
          <w:noProof/>
          <w:lang w:val="ro-RO"/>
        </w:rPr>
        <w:t>.</w:t>
      </w:r>
      <w:r w:rsidR="000F21D0">
        <w:rPr>
          <w:noProof/>
          <w:lang w:val="ro-RO"/>
        </w:rPr>
        <w:t xml:space="preserve"> </w:t>
      </w:r>
      <w:r w:rsidRPr="000F21D0">
        <w:rPr>
          <w:noProof/>
          <w:lang w:val="ro-RO"/>
        </w:rPr>
        <w:t>În același timp, adoptarea de către Comisie a unor măsuri ferme de asigurare a respectării legislației a permis închiderea a 18 cazuri de constatare a neîndeplinirii obligațiilor pe fondul îmbunătățirilor concrete de pe piața unică a serviciilor.</w:t>
      </w:r>
    </w:p>
    <w:p w14:paraId="3C11DDF3" w14:textId="43768CFE" w:rsidR="00335842" w:rsidRPr="000F21D0" w:rsidRDefault="00335842" w:rsidP="00124D74">
      <w:pPr>
        <w:jc w:val="both"/>
        <w:rPr>
          <w:rFonts w:eastAsia="Times New Roman" w:cs="Times New Roman"/>
          <w:noProof/>
          <w:lang w:val="ro-RO"/>
        </w:rPr>
      </w:pPr>
      <w:r w:rsidRPr="000F21D0">
        <w:rPr>
          <w:noProof/>
          <w:lang w:val="ro-RO"/>
        </w:rPr>
        <w:t xml:space="preserve">Barierele nejustificate apar atunci când dreptul intern contravine normelor privind piața unică sau atunci când normele respective sunt implementate sau puse în aplicare în mod incomplet sau insuficient la nivel național, inclusiv din cauza practicilor administrative ale autorităților naționale. Acestea îngreunează capacitatea întreprinderilor de a prospera, de a-și menține caracterul competitiv și de a valorifica tranziția verde și digitală. </w:t>
      </w:r>
    </w:p>
    <w:p w14:paraId="3383D3BB" w14:textId="155218DF" w:rsidR="00222C1C" w:rsidRPr="000F21D0" w:rsidRDefault="00222C1C" w:rsidP="00222C1C">
      <w:pPr>
        <w:jc w:val="both"/>
        <w:rPr>
          <w:rFonts w:eastAsia="Times New Roman" w:cs="Times New Roman"/>
          <w:noProof/>
          <w:lang w:val="ro-RO"/>
        </w:rPr>
      </w:pPr>
      <w:r w:rsidRPr="000F21D0">
        <w:rPr>
          <w:noProof/>
          <w:lang w:val="ro-RO"/>
        </w:rPr>
        <w:t>Unele tipuri de bariere s-au dovedit a avea un caracter persistent: 60 % dintre barierele din calea întreprinderilor raportate în prezent sunt de același tip cu cele raportate în urmă cu 20 de ani</w:t>
      </w:r>
      <w:r w:rsidRPr="000F21D0">
        <w:rPr>
          <w:rStyle w:val="FootnoteReference"/>
          <w:rFonts w:eastAsia="Times New Roman" w:cs="Times New Roman"/>
          <w:noProof/>
          <w:lang w:val="ro-RO"/>
        </w:rPr>
        <w:footnoteReference w:id="57"/>
      </w:r>
      <w:r w:rsidRPr="000F21D0">
        <w:rPr>
          <w:noProof/>
          <w:lang w:val="ro-RO"/>
        </w:rPr>
        <w:t xml:space="preserve">. Multe dintre acestea se referă la </w:t>
      </w:r>
      <w:r w:rsidRPr="000F21D0">
        <w:rPr>
          <w:b/>
          <w:noProof/>
          <w:lang w:val="ro-RO"/>
        </w:rPr>
        <w:t>reglementările naționale, precum și la practicile administrative</w:t>
      </w:r>
      <w:r w:rsidRPr="000F21D0">
        <w:rPr>
          <w:noProof/>
          <w:lang w:val="ro-RO"/>
        </w:rPr>
        <w:t xml:space="preserve">, care, în primul rând, trebuie să fie abordate în mod direct de statele membre. Printre barierele confirmate de părțile interesate se numără complexitatea procedurilor naționale și lipsa de informații cu privire la acestea, cerințele naționale disproporționate în domeniul serviciilor, inclusiv privind mobilitatea profesioniștilor, cerințele administrative împovărătoare pentru detașarea lucrătorilor și dificultățile legate de impozitare în context transfrontalier. </w:t>
      </w:r>
      <w:bookmarkStart w:id="12" w:name="_Hlk128426182"/>
      <w:r w:rsidRPr="000F21D0">
        <w:rPr>
          <w:noProof/>
          <w:lang w:val="ro-RO"/>
        </w:rPr>
        <w:t>Multe dintre aceste bariere nu pot face obiectul armonizării legislative și, prin urmare, reducerea obstacolelor la nivel național rămâne obiectivul principal.</w:t>
      </w:r>
      <w:bookmarkEnd w:id="12"/>
      <w:r w:rsidRPr="000F21D0">
        <w:rPr>
          <w:noProof/>
          <w:lang w:val="ro-RO"/>
        </w:rPr>
        <w:t xml:space="preserve"> Instrumentul de sprijin tehnic vine în sprijinul statelor membre în sensul îmbunătățirii administrației publice și al creării unui mediu de afaceri favorabil. </w:t>
      </w:r>
    </w:p>
    <w:p w14:paraId="609DAA7A" w14:textId="5F718D3D" w:rsidR="00335842" w:rsidRPr="000F21D0" w:rsidRDefault="001B5AE8" w:rsidP="00335842">
      <w:pPr>
        <w:jc w:val="both"/>
        <w:rPr>
          <w:noProof/>
          <w:lang w:val="ro-RO"/>
        </w:rPr>
      </w:pPr>
      <w:r w:rsidRPr="000F21D0">
        <w:rPr>
          <w:b/>
          <w:noProof/>
          <w:lang w:val="ro-RO"/>
        </w:rPr>
        <w:t>Serviciile au un rol deosebit de important în economia UE.</w:t>
      </w:r>
      <w:r w:rsidRPr="000F21D0">
        <w:rPr>
          <w:noProof/>
          <w:sz w:val="27"/>
          <w:lang w:val="ro-RO"/>
        </w:rPr>
        <w:t xml:space="preserve"> </w:t>
      </w:r>
      <w:r w:rsidRPr="000F21D0">
        <w:rPr>
          <w:noProof/>
          <w:lang w:val="ro-RO"/>
        </w:rPr>
        <w:t>Acestea reprezintă aproximativ 70 % din PIB-ul UE și 73 % din totalul locurilor de muncă.</w:t>
      </w:r>
      <w:r w:rsidRPr="000F21D0">
        <w:rPr>
          <w:noProof/>
          <w:sz w:val="27"/>
          <w:lang w:val="ro-RO"/>
        </w:rPr>
        <w:t xml:space="preserve"> </w:t>
      </w:r>
      <w:r w:rsidRPr="000F21D0">
        <w:rPr>
          <w:noProof/>
          <w:lang w:val="ro-RO"/>
        </w:rPr>
        <w:t xml:space="preserve">Serviciile acoperă o gamă largă de sectoare și numeroase activități diferite. În unele sectoare, libera circulație a serviciilor funcționează bine, fiind facilitată de </w:t>
      </w:r>
      <w:r w:rsidRPr="000F21D0">
        <w:rPr>
          <w:noProof/>
          <w:shd w:val="clear" w:color="auto" w:fill="FFFFFF" w:themeFill="background1"/>
          <w:lang w:val="ro-RO"/>
        </w:rPr>
        <w:t xml:space="preserve">tehnologiile digitale și de normele armonizate. Alte sectoare sunt încă limitate în principal la piețele naționale, uneori din cauza unor factori intrinseci ai serviciului specific (de exemplu, preferințele pieței regionale sau naționale). </w:t>
      </w:r>
      <w:r w:rsidR="001B55FF" w:rsidRPr="000F21D0">
        <w:rPr>
          <w:noProof/>
          <w:shd w:val="clear" w:color="auto" w:fill="FFFFFF"/>
          <w:lang w:val="ro-RO"/>
        </w:rPr>
        <w:t xml:space="preserve">Există posibilitatea unei mai mari integrări a serviciilor în cazul barierelor legate în mod tipic </w:t>
      </w:r>
      <w:r w:rsidRPr="000F21D0">
        <w:rPr>
          <w:noProof/>
          <w:lang w:val="ro-RO"/>
        </w:rPr>
        <w:t xml:space="preserve">de </w:t>
      </w:r>
      <w:r w:rsidRPr="000F21D0">
        <w:rPr>
          <w:b/>
          <w:noProof/>
          <w:lang w:val="ro-RO"/>
        </w:rPr>
        <w:t>reglementările naționale</w:t>
      </w:r>
      <w:r w:rsidRPr="000F21D0">
        <w:rPr>
          <w:noProof/>
          <w:lang w:val="ro-RO"/>
        </w:rPr>
        <w:t xml:space="preserve"> în domeniul serviciilor pentru întreprinderi, </w:t>
      </w:r>
      <w:r w:rsidR="00CA3721" w:rsidRPr="000F21D0">
        <w:rPr>
          <w:noProof/>
          <w:lang w:val="ro-RO"/>
        </w:rPr>
        <w:t xml:space="preserve">de </w:t>
      </w:r>
      <w:r w:rsidRPr="000F21D0">
        <w:rPr>
          <w:noProof/>
          <w:lang w:val="ro-RO"/>
        </w:rPr>
        <w:t xml:space="preserve">cerințele restrictive de autorizare în domeniul comerțului cu amănuntul, </w:t>
      </w:r>
      <w:r w:rsidR="00CA3721" w:rsidRPr="000F21D0">
        <w:rPr>
          <w:noProof/>
          <w:lang w:val="ro-RO"/>
        </w:rPr>
        <w:t xml:space="preserve">de </w:t>
      </w:r>
      <w:r w:rsidRPr="000F21D0">
        <w:rPr>
          <w:noProof/>
          <w:lang w:val="ro-RO"/>
        </w:rPr>
        <w:t xml:space="preserve">cerințele de reglementare și administrative care complică furnizarea la nivel transfrontalier de servicii în domeniul construcțiilor și </w:t>
      </w:r>
      <w:r w:rsidR="00CA3721" w:rsidRPr="000F21D0">
        <w:rPr>
          <w:noProof/>
          <w:lang w:val="ro-RO"/>
        </w:rPr>
        <w:t>de restricțiile di</w:t>
      </w:r>
      <w:r w:rsidRPr="000F21D0">
        <w:rPr>
          <w:noProof/>
          <w:lang w:val="ro-RO"/>
        </w:rPr>
        <w:t xml:space="preserve">n sectorul turismului atât în ceea ce privește furnizarea de servicii transfrontaliere, cât și cerințele în materie de servicii de cazare. </w:t>
      </w:r>
    </w:p>
    <w:p w14:paraId="3893AA5B" w14:textId="6DF03277" w:rsidR="00024281" w:rsidRPr="000F21D0" w:rsidRDefault="00024281" w:rsidP="001375DA">
      <w:pPr>
        <w:jc w:val="both"/>
        <w:rPr>
          <w:rFonts w:eastAsia="Times New Roman" w:cs="Times New Roman"/>
          <w:noProof/>
          <w:lang w:val="ro-RO"/>
        </w:rPr>
      </w:pPr>
      <w:r w:rsidRPr="000F21D0">
        <w:rPr>
          <w:noProof/>
          <w:lang w:val="ro-RO"/>
        </w:rPr>
        <w:t>Colaborarea consolidată între statele membre și cu Comisia și schimburile de informații, precum și schimburile de opinii, în special în cadrul Consiliului Competitivitate, joacă un rol important în punerea în aplicare eficace a normelor privind piața unică, prevenind încălcările dreptului Uniunii încă de la început și evitând abaterile de la dreptul Uniunii.</w:t>
      </w:r>
    </w:p>
    <w:p w14:paraId="2704F6E5" w14:textId="56917326" w:rsidR="00AD0062" w:rsidRPr="000F21D0" w:rsidRDefault="2347AA81" w:rsidP="001375DA">
      <w:pPr>
        <w:jc w:val="both"/>
        <w:rPr>
          <w:rFonts w:eastAsia="Times New Roman" w:cs="Times New Roman"/>
          <w:noProof/>
          <w:lang w:val="ro-RO"/>
        </w:rPr>
      </w:pPr>
      <w:r w:rsidRPr="000F21D0">
        <w:rPr>
          <w:noProof/>
          <w:lang w:val="ro-RO"/>
        </w:rPr>
        <w:t xml:space="preserve">Activitatea </w:t>
      </w:r>
      <w:r w:rsidRPr="000F21D0">
        <w:rPr>
          <w:b/>
          <w:noProof/>
          <w:lang w:val="ro-RO"/>
        </w:rPr>
        <w:t>Grupului operativ pentru asigurarea respectării normelor privind piața unică (SMET)</w:t>
      </w:r>
      <w:r w:rsidRPr="000F21D0">
        <w:rPr>
          <w:rStyle w:val="FootnoteReference"/>
          <w:rFonts w:eastAsia="Times New Roman" w:cs="Times New Roman"/>
          <w:noProof/>
          <w:lang w:val="ro-RO"/>
        </w:rPr>
        <w:footnoteReference w:id="58"/>
      </w:r>
      <w:r w:rsidRPr="000F21D0">
        <w:rPr>
          <w:noProof/>
          <w:lang w:val="ro-RO"/>
        </w:rPr>
        <w:t xml:space="preserve">, înființat în 2020, a demonstrat valoarea semnificativă a colaborării dintre statele membre și Comisie în ceea ce privește eliminarea barierelor concrete cu care se confruntă întreprinderile din UE pe piața unică. Activitatea comună și intensă din cadrul acestui forum inovator se axează pe simplificarea cadrului de reglementare și pe reducerea barierelor administrative în domenii specifice. De exemplu, în cadrul SMET, statele membre au convenit să simplifice constrângerile pentru profesioniștii și întreprinderile care furnizează servicii transfrontaliere temporare și, pe baza bunelor practici, să elimine verificările prealabile ale calificărilor pentru 247 de profesii, precum și să revizuiască și să reducă cerințele de natură administrativă și documentară. </w:t>
      </w:r>
    </w:p>
    <w:p w14:paraId="1FC9EB14" w14:textId="13593868" w:rsidR="00275E19" w:rsidRPr="000F21D0" w:rsidRDefault="2347AA81" w:rsidP="00C123D7">
      <w:pPr>
        <w:jc w:val="both"/>
        <w:rPr>
          <w:noProof/>
          <w:color w:val="00B0F0"/>
          <w:lang w:val="ro-RO"/>
        </w:rPr>
      </w:pPr>
      <w:r w:rsidRPr="000F21D0">
        <w:rPr>
          <w:noProof/>
          <w:lang w:val="ro-RO"/>
        </w:rPr>
        <w:t xml:space="preserve">SMET a identificat, de asemenea, peste 80 dintre cele mai presante bariere în calea acordării fără probleme și rapide a autorizațiilor pentru implementarea instalațiilor de energie eoliană și solară. Având în vedere că există 50 000 de IMM-uri active în producția de energie din surse regenerabile, eliminarea acestor bariere va facilita creșterea sustenabilă. Aceasta va spori, de asemenea, atractivitatea UE ca spațiu de investiții și va completa în mod adecvat propunerea referitoare la Actul privind industria cu zero emisii nete, care urmărește să faciliteze și să accelereze investițiile în proiecte de producție tehnologică cu zero emisii nete, în vederea unei creșteri semnificative a producției de panouri solare, turbine eoliene și alte tehnologii energetice curate în Europa. Cadrul juridic existent privind autorizarea implementării instalațiilor de energie din surse regenerabile (pe baza Directivei privind energia din surse regenerabile) va fi completat în curând prin această legislație de un cadru juridic armonizat pentru a simplifica, de asemenea, procedura de autorizare a noilor instalații industriale care produc astfel de tehnologii, inclusiv a proiectelor de dimensiunea unei gigafabrici. Comisia reiterează valoarea semnificativă a SMET ca instrument de cooperare cu statele membre pentru a rezolva problema barierelor de pe piața unică, bazându-se așadar pe eforturi comune permanente care vizează obținerea de rezultate concrete în acest cadru. </w:t>
      </w:r>
    </w:p>
    <w:p w14:paraId="39105F3E" w14:textId="5A29033F" w:rsidR="00C36BC5" w:rsidRPr="000F21D0" w:rsidRDefault="00870607" w:rsidP="00C36BC5">
      <w:pPr>
        <w:jc w:val="both"/>
        <w:rPr>
          <w:noProof/>
          <w:lang w:val="ro-RO"/>
        </w:rPr>
      </w:pPr>
      <w:bookmarkStart w:id="13" w:name="_Hlk129360486"/>
      <w:bookmarkStart w:id="14" w:name="_Hlk129188713"/>
      <w:r w:rsidRPr="000F21D0">
        <w:rPr>
          <w:noProof/>
          <w:color w:val="000000" w:themeColor="text1"/>
          <w:lang w:val="ro-RO"/>
        </w:rPr>
        <w:t xml:space="preserve">Continuarea </w:t>
      </w:r>
      <w:r w:rsidRPr="000F21D0">
        <w:rPr>
          <w:b/>
          <w:noProof/>
          <w:color w:val="000000" w:themeColor="text1"/>
          <w:lang w:val="ro-RO"/>
        </w:rPr>
        <w:t>colaborării structurate existente cu părțile interesate din mediul de afaceri</w:t>
      </w:r>
      <w:r w:rsidRPr="000F21D0">
        <w:rPr>
          <w:noProof/>
          <w:color w:val="000000" w:themeColor="text1"/>
          <w:lang w:val="ro-RO"/>
        </w:rPr>
        <w:t>, inclusiv în contextul Forumului industrial</w:t>
      </w:r>
      <w:r w:rsidRPr="000F21D0">
        <w:rPr>
          <w:rStyle w:val="FootnoteReference"/>
          <w:rFonts w:eastAsia="Times New Roman" w:cs="Times New Roman"/>
          <w:noProof/>
          <w:color w:val="000000" w:themeColor="text1"/>
          <w:lang w:val="ro-RO"/>
        </w:rPr>
        <w:footnoteReference w:id="59"/>
      </w:r>
      <w:r w:rsidRPr="000F21D0">
        <w:rPr>
          <w:noProof/>
          <w:color w:val="000000" w:themeColor="text1"/>
          <w:lang w:val="ro-RO"/>
        </w:rPr>
        <w:t xml:space="preserve">, al Rețelei întreprinderilor europene (EEN), al rețelei reprezentanților pentru IMM-uri și al rețelei de clustere, </w:t>
      </w:r>
      <w:r w:rsidRPr="000F21D0">
        <w:rPr>
          <w:noProof/>
          <w:lang w:val="ro-RO"/>
        </w:rPr>
        <w:t>are</w:t>
      </w:r>
      <w:r w:rsidRPr="000F21D0">
        <w:rPr>
          <w:noProof/>
          <w:color w:val="000000" w:themeColor="text1"/>
          <w:lang w:val="ro-RO"/>
        </w:rPr>
        <w:t xml:space="preserve">, de asemenea, un rol esențial pentru o mai bună înțelegere a barierelor cu care se confruntă aceștia. Aceste lucrări vor fi alimentate de activități de analiză, cum ar fi Raportul anual privind piața unică și Raportul anual al SMET. </w:t>
      </w:r>
      <w:bookmarkStart w:id="18" w:name="_Hlk129357481"/>
      <w:bookmarkEnd w:id="13"/>
      <w:bookmarkEnd w:id="14"/>
      <w:r w:rsidRPr="000F21D0">
        <w:rPr>
          <w:b/>
          <w:noProof/>
          <w:lang w:val="ro-RO"/>
        </w:rPr>
        <w:t>Tabloul de bord al pieței unice</w:t>
      </w:r>
      <w:r w:rsidRPr="000F21D0">
        <w:rPr>
          <w:noProof/>
          <w:lang w:val="ro-RO"/>
        </w:rPr>
        <w:t xml:space="preserve"> este un instrument util pentru ca toate părțile interesate să înțeleagă barierele încă existente și să conceapă acțiuni de eliminare a acestora. </w:t>
      </w:r>
      <w:bookmarkEnd w:id="18"/>
      <w:r w:rsidRPr="000F21D0">
        <w:rPr>
          <w:b/>
          <w:noProof/>
          <w:lang w:val="ro-RO"/>
        </w:rPr>
        <w:t>Comisia va monitoriza cu atenție</w:t>
      </w:r>
      <w:r w:rsidRPr="000F21D0">
        <w:rPr>
          <w:noProof/>
          <w:lang w:val="ro-RO"/>
        </w:rPr>
        <w:t xml:space="preserve"> o serie de indicatori selectați din </w:t>
      </w:r>
      <w:r w:rsidRPr="000F21D0">
        <w:rPr>
          <w:b/>
          <w:noProof/>
          <w:lang w:val="ro-RO"/>
        </w:rPr>
        <w:t>Tabloul de bord al pieței unice și din alte surse relevante legate de asigurarea respectării normelor și mediul de afaceri</w:t>
      </w:r>
      <w:r w:rsidRPr="000F21D0">
        <w:rPr>
          <w:noProof/>
          <w:lang w:val="ro-RO"/>
        </w:rPr>
        <w:t>, cum ar fi deficitele de transpunere și de conformitate, achizițiile publice, întârzierile în efectuarea plăților de către autoritățile publice și disponibilitatea serviciilor publice digitale, precum și indicatorii elaborați în recomandările de reformă în do</w:t>
      </w:r>
      <w:r w:rsidR="000B3417">
        <w:rPr>
          <w:noProof/>
          <w:lang w:val="ro-RO"/>
        </w:rPr>
        <w:t>meniul serviciilor profesionale</w:t>
      </w:r>
      <w:r w:rsidRPr="000F21D0">
        <w:rPr>
          <w:rStyle w:val="FootnoteReference"/>
          <w:rFonts w:eastAsia="Times New Roman" w:cs="Times New Roman"/>
          <w:noProof/>
          <w:lang w:val="ro-RO"/>
        </w:rPr>
        <w:footnoteReference w:id="60"/>
      </w:r>
      <w:r w:rsidR="000B3417">
        <w:rPr>
          <w:noProof/>
          <w:lang w:val="ro-RO"/>
        </w:rPr>
        <w:t>.</w:t>
      </w:r>
    </w:p>
    <w:p w14:paraId="21876400" w14:textId="1200858E" w:rsidR="00A643EE" w:rsidRPr="000F21D0" w:rsidRDefault="00E716AD" w:rsidP="00C36BC5">
      <w:pPr>
        <w:jc w:val="both"/>
        <w:rPr>
          <w:noProof/>
          <w:lang w:val="ro-RO"/>
        </w:rPr>
      </w:pPr>
      <w:r w:rsidRPr="000F21D0">
        <w:rPr>
          <w:b/>
          <w:noProof/>
          <w:color w:val="000000" w:themeColor="text1"/>
          <w:lang w:val="ro-RO"/>
        </w:rPr>
        <w:t>Instrumentele de colaborare existente ar trebui exploatate pe deplin</w:t>
      </w:r>
      <w:r w:rsidRPr="000F21D0">
        <w:rPr>
          <w:noProof/>
          <w:color w:val="000000" w:themeColor="text1"/>
          <w:lang w:val="ro-RO"/>
        </w:rPr>
        <w:t xml:space="preserve"> pentru a îmbunătăți în continuare soluționarea proactivă și practică a problemelor pieței unice pentru cetățeni și întreprinderi, inclusiv prin </w:t>
      </w:r>
      <w:r w:rsidRPr="000F21D0">
        <w:rPr>
          <w:b/>
          <w:noProof/>
          <w:color w:val="000000" w:themeColor="text1"/>
          <w:lang w:val="ro-RO"/>
        </w:rPr>
        <w:t>luarea de măsuri urgente de către statele membre pentru a se asigura că centrele naționale SOLVIT</w:t>
      </w:r>
      <w:r w:rsidRPr="000F21D0">
        <w:rPr>
          <w:rStyle w:val="FootnoteReference"/>
          <w:rFonts w:eastAsia="Times New Roman" w:cs="Times New Roman"/>
          <w:noProof/>
          <w:lang w:val="ro-RO"/>
        </w:rPr>
        <w:footnoteReference w:id="61"/>
      </w:r>
      <w:r w:rsidRPr="000F21D0">
        <w:rPr>
          <w:noProof/>
          <w:color w:val="000000" w:themeColor="text1"/>
          <w:lang w:val="ro-RO"/>
        </w:rPr>
        <w:t xml:space="preserve"> dispun de resurse umane suficiente și adecvate</w:t>
      </w:r>
      <w:r w:rsidRPr="000F21D0">
        <w:rPr>
          <w:noProof/>
          <w:lang w:val="ro-RO"/>
        </w:rPr>
        <w:t>.</w:t>
      </w:r>
      <w:r w:rsidRPr="000F21D0">
        <w:rPr>
          <w:noProof/>
          <w:color w:val="000000" w:themeColor="text1"/>
          <w:lang w:val="ro-RO"/>
        </w:rPr>
        <w:t xml:space="preserve"> </w:t>
      </w:r>
      <w:r w:rsidRPr="000F21D0">
        <w:rPr>
          <w:noProof/>
          <w:lang w:val="ro-RO"/>
        </w:rPr>
        <w:t xml:space="preserve">Examinarea măsurilor naționale înainte de adoptarea lor s-a dovedit a fi deosebit de eficace pentru a preveni conflictele cu normele pieței unice. </w:t>
      </w:r>
      <w:bookmarkStart w:id="19" w:name="_Hlk129457721"/>
      <w:r w:rsidRPr="000F21D0">
        <w:rPr>
          <w:noProof/>
          <w:lang w:val="ro-RO"/>
        </w:rPr>
        <w:t>SOLVIT a reușit să soluționeze peste 2 000 de cazuri în 2021</w:t>
      </w:r>
      <w:r w:rsidRPr="000F21D0">
        <w:rPr>
          <w:rStyle w:val="FootnoteReference"/>
          <w:noProof/>
          <w:lang w:val="ro-RO"/>
        </w:rPr>
        <w:footnoteReference w:id="62"/>
      </w:r>
      <w:r w:rsidRPr="000F21D0">
        <w:rPr>
          <w:noProof/>
          <w:lang w:val="ro-RO"/>
        </w:rPr>
        <w:t xml:space="preserve">, cu o rată medie de soluționare de 87 %. </w:t>
      </w:r>
    </w:p>
    <w:bookmarkEnd w:id="19"/>
    <w:p w14:paraId="22FE413E" w14:textId="6C19F32C" w:rsidR="00523B90" w:rsidRPr="000F21D0" w:rsidRDefault="00523B90" w:rsidP="00523B90">
      <w:pPr>
        <w:shd w:val="clear" w:color="auto" w:fill="FFFFFF" w:themeFill="background1"/>
        <w:jc w:val="both"/>
        <w:rPr>
          <w:rFonts w:eastAsia="Times New Roman" w:cs="Times New Roman"/>
          <w:noProof/>
          <w:lang w:val="ro-RO"/>
        </w:rPr>
      </w:pPr>
      <w:r w:rsidRPr="000F21D0">
        <w:rPr>
          <w:noProof/>
          <w:lang w:val="ro-RO"/>
        </w:rPr>
        <w:t>Mecanismul de notificare</w:t>
      </w:r>
      <w:r w:rsidRPr="000F21D0">
        <w:rPr>
          <w:noProof/>
          <w:sz w:val="22"/>
          <w:lang w:val="ro-RO"/>
        </w:rPr>
        <w:t xml:space="preserve"> </w:t>
      </w:r>
      <w:r w:rsidRPr="000F21D0">
        <w:rPr>
          <w:noProof/>
          <w:lang w:val="ro-RO"/>
        </w:rPr>
        <w:t xml:space="preserve">prevăzut de </w:t>
      </w:r>
      <w:r w:rsidRPr="000F21D0">
        <w:rPr>
          <w:b/>
          <w:noProof/>
          <w:lang w:val="ro-RO"/>
        </w:rPr>
        <w:t>Directiva privind transparența pieței unice</w:t>
      </w:r>
      <w:r w:rsidRPr="000F21D0">
        <w:rPr>
          <w:rStyle w:val="FootnoteReference"/>
          <w:noProof/>
          <w:sz w:val="22"/>
          <w:lang w:val="ro-RO"/>
        </w:rPr>
        <w:footnoteReference w:id="63"/>
      </w:r>
      <w:r w:rsidRPr="000F21D0">
        <w:rPr>
          <w:noProof/>
          <w:lang w:val="ro-RO"/>
        </w:rPr>
        <w:t xml:space="preserve"> a devenit un instrument cu adevărat preventiv, consolidând dialogul și cooperarea dintre statele membre și Comisie într-un stadiu incipient, de exemplu în ceea ce privește transportul cu emisii scăzute sau reciclarea și reducerea deșeurilor. </w:t>
      </w:r>
    </w:p>
    <w:p w14:paraId="0D9AA680" w14:textId="6E6212E0" w:rsidR="004B44E7" w:rsidRPr="000F21D0" w:rsidRDefault="004B44E7" w:rsidP="25755A6E">
      <w:pPr>
        <w:shd w:val="clear" w:color="auto" w:fill="FFFFFF" w:themeFill="background1"/>
        <w:jc w:val="both"/>
        <w:rPr>
          <w:noProof/>
          <w:lang w:val="ro-RO"/>
        </w:rPr>
      </w:pPr>
      <w:r w:rsidRPr="000F21D0">
        <w:rPr>
          <w:noProof/>
          <w:lang w:val="ro-RO"/>
        </w:rPr>
        <w:t xml:space="preserve">Pentru a îmbunătăți respectarea normelor privind piața unică, Comisia intenționează să </w:t>
      </w:r>
      <w:r w:rsidRPr="000F21D0">
        <w:rPr>
          <w:b/>
          <w:noProof/>
          <w:lang w:val="ro-RO"/>
        </w:rPr>
        <w:t>simplifice obligațiile de notificare ale statelor membre prin instituirea unui ghișeu unic</w:t>
      </w:r>
      <w:r w:rsidRPr="000F21D0">
        <w:rPr>
          <w:noProof/>
          <w:lang w:val="ro-RO"/>
        </w:rPr>
        <w:t xml:space="preserve"> pentru notificările privind piața unică. În condițiile în care statele membre trebuie să utilizeze în prezent o varietate de instrumente de notificare, instituite în temeiul diferitelor acte legislative privind piața unică, un ghișeu unic de notificare va permite statelor membre să efectueze toate notificările într-un singur loc. </w:t>
      </w:r>
    </w:p>
    <w:p w14:paraId="4DB00142" w14:textId="147A6744" w:rsidR="00A15347" w:rsidRPr="000F21D0" w:rsidRDefault="00F10366" w:rsidP="00A15347">
      <w:pPr>
        <w:shd w:val="clear" w:color="auto" w:fill="FFFFFF" w:themeFill="background1"/>
        <w:jc w:val="both"/>
        <w:rPr>
          <w:noProof/>
          <w:lang w:val="ro-RO"/>
        </w:rPr>
      </w:pPr>
      <w:r w:rsidRPr="000F21D0">
        <w:rPr>
          <w:noProof/>
          <w:lang w:val="ro-RO"/>
        </w:rPr>
        <w:t xml:space="preserve">În domeniul serviciilor, Comisia lansează, de asemenea, un proces prioritar pentru a aborda, împreună cu </w:t>
      </w:r>
      <w:r w:rsidRPr="000F21D0">
        <w:rPr>
          <w:b/>
          <w:noProof/>
          <w:lang w:val="ro-RO"/>
        </w:rPr>
        <w:t>statele membre, barierele din calea liberei circulații a serviciilor în ecosistemele industriale cu un conținut ridicat de servicii</w:t>
      </w:r>
      <w:r w:rsidRPr="000F21D0">
        <w:rPr>
          <w:noProof/>
          <w:lang w:val="ro-RO"/>
        </w:rPr>
        <w:t xml:space="preserve"> care nu și-au atins potențialul de comerț transfrontalier. Aceste ecosisteme sunt în special construcțiile, comerțul cu amănuntul, turismul și serviciile pentru întreprinderi. </w:t>
      </w:r>
    </w:p>
    <w:p w14:paraId="743C3493" w14:textId="1E02EB84" w:rsidR="00EA1F46" w:rsidRPr="000F21D0" w:rsidRDefault="00C33A5B" w:rsidP="00EA1F46">
      <w:pPr>
        <w:jc w:val="both"/>
        <w:rPr>
          <w:rFonts w:ascii="Arial" w:hAnsi="Arial" w:cs="Arial"/>
          <w:noProof/>
          <w:color w:val="000080"/>
          <w:sz w:val="22"/>
          <w:lang w:val="ro-RO"/>
        </w:rPr>
      </w:pPr>
      <w:bookmarkStart w:id="20" w:name="_Hlk129458174"/>
      <w:r w:rsidRPr="000F21D0">
        <w:rPr>
          <w:noProof/>
          <w:lang w:val="ro-RO"/>
        </w:rPr>
        <w:t xml:space="preserve">Numeroase bariere nu sunt destinate ca atare – ele sunt adesea doar rezultatul unor moduri diferite de acțiune, concepute în diferite momente în diferite state membre, axate pe considerente naționale sau locale. Acestea pot să nu contravină în mod clar tratatului sau normelor armonizate. Cu toate acestea, ele pot împiedica în mod semnificativ activitățile transfrontaliere. În plus, în pofida beneficiilor pe care le putem obține cu toții din schimburi mai line, interese puternice, alte priorități mai vizibile din punct de vedere politic și/sau simpla forță de inerție pot sta în calea unor soluții practice. Comisia nu poate fi singura voce a interesului pieței unice, acționând prin intermediul competențelor sale de executare și de convocare. Piața unică are nevoie, de asemenea, de o voce specifică în cadrul administrațiilor naționale. Prin urmare, Comisia propune fiecărui stat membru să înființeze un </w:t>
      </w:r>
      <w:r w:rsidRPr="000F21D0">
        <w:rPr>
          <w:b/>
          <w:noProof/>
          <w:lang w:val="ro-RO"/>
        </w:rPr>
        <w:t>birou dedicat pieței unice pentru a aborda barierele de pe piața unică</w:t>
      </w:r>
      <w:r w:rsidRPr="000F21D0">
        <w:rPr>
          <w:noProof/>
          <w:lang w:val="ro-RO"/>
        </w:rPr>
        <w:t>.</w:t>
      </w:r>
      <w:r w:rsidR="000F21D0">
        <w:rPr>
          <w:b/>
          <w:noProof/>
          <w:lang w:val="ro-RO"/>
        </w:rPr>
        <w:t xml:space="preserve"> </w:t>
      </w:r>
      <w:r w:rsidRPr="000F21D0">
        <w:rPr>
          <w:noProof/>
          <w:lang w:val="ro-RO"/>
        </w:rPr>
        <w:t>Un astfel de birou ar trebui să aibă o conducere de nivel superior și resurse</w:t>
      </w:r>
      <w:r w:rsidRPr="000F21D0">
        <w:rPr>
          <w:b/>
          <w:noProof/>
          <w:lang w:val="ro-RO"/>
        </w:rPr>
        <w:t xml:space="preserve"> </w:t>
      </w:r>
      <w:r w:rsidRPr="000F21D0">
        <w:rPr>
          <w:noProof/>
          <w:lang w:val="ro-RO"/>
        </w:rPr>
        <w:t>adecvate, precum și un mandat permanent pentru a aborda în mod proactiv probleme și a propune soluții în cadrul sistemului decizional național</w:t>
      </w:r>
      <w:r w:rsidRPr="000F21D0">
        <w:rPr>
          <w:rStyle w:val="FootnoteReference"/>
          <w:noProof/>
          <w:lang w:val="ro-RO"/>
        </w:rPr>
        <w:footnoteReference w:id="64"/>
      </w:r>
      <w:r w:rsidRPr="000F21D0">
        <w:rPr>
          <w:noProof/>
          <w:lang w:val="ro-RO"/>
        </w:rPr>
        <w:t>. Această activitate ar fi complementară instrumentelor de colaborare, cum sunt SOLVIT și SMET, și ar putea contribui în special la eliminarea barierelor rămase în calea serviciilor.</w:t>
      </w:r>
    </w:p>
    <w:bookmarkEnd w:id="20"/>
    <w:p w14:paraId="26085639" w14:textId="77777777" w:rsidR="00EF2622" w:rsidRPr="000F21D0" w:rsidRDefault="00EF2622" w:rsidP="00EF2622">
      <w:pPr>
        <w:shd w:val="clear" w:color="auto" w:fill="FFFFFF" w:themeFill="background1"/>
        <w:jc w:val="both"/>
        <w:rPr>
          <w:rStyle w:val="CommentReference"/>
          <w:noProof/>
          <w:lang w:val="ro-RO"/>
        </w:rPr>
      </w:pPr>
      <w:r w:rsidRPr="000F21D0">
        <w:rPr>
          <w:b/>
          <w:noProof/>
          <w:lang w:val="ro-RO"/>
        </w:rPr>
        <w:t>Prevenirea apariției unor noi bariere în calea comerțului</w:t>
      </w:r>
      <w:r w:rsidRPr="000F21D0">
        <w:rPr>
          <w:noProof/>
          <w:lang w:val="ro-RO"/>
        </w:rPr>
        <w:t xml:space="preserve"> este extrem de importantă și deosebit de relevantă în sectorul serviciilor, unde diversitatea reglementărilor naționale și puternicele interese au limitat capacitatea de a realiza o mai bună integrare pe piața unică. </w:t>
      </w:r>
      <w:r w:rsidRPr="000F21D0">
        <w:rPr>
          <w:b/>
          <w:noProof/>
          <w:lang w:val="ro-RO"/>
        </w:rPr>
        <w:t>Directiva privind serviciile</w:t>
      </w:r>
      <w:r w:rsidRPr="000F21D0">
        <w:rPr>
          <w:noProof/>
          <w:lang w:val="ro-RO"/>
        </w:rPr>
        <w:t xml:space="preserve"> impune statelor membre să se asigure că noile reglementări pe care le introduc sunt justificate și proporționale, în special în ceea ce privește restricțiile precum limitările teritoriale, normele privind structura de proprietate a întreprinderilor sau tarifele fixe. Directiva privind serviciile obligă, de asemenea, statele membre să notifice aceste noi cerințe Comisiei și celorlalte state membre. </w:t>
      </w:r>
    </w:p>
    <w:p w14:paraId="38AAAD35" w14:textId="0869CF26" w:rsidR="004B4CE1" w:rsidRPr="000F21D0" w:rsidRDefault="1BAAAC65" w:rsidP="00A15347">
      <w:pPr>
        <w:shd w:val="clear" w:color="auto" w:fill="FFFFFF" w:themeFill="background1"/>
        <w:jc w:val="both"/>
        <w:rPr>
          <w:noProof/>
          <w:lang w:val="ro-RO"/>
        </w:rPr>
      </w:pPr>
      <w:r w:rsidRPr="000F21D0">
        <w:rPr>
          <w:noProof/>
          <w:lang w:val="ro-RO"/>
        </w:rPr>
        <w:t xml:space="preserve">În plus, începând din 2020, </w:t>
      </w:r>
      <w:r w:rsidRPr="000F21D0">
        <w:rPr>
          <w:b/>
          <w:noProof/>
          <w:lang w:val="ro-RO"/>
        </w:rPr>
        <w:t>Directiva privind testul de proporționalitate</w:t>
      </w:r>
      <w:r w:rsidRPr="000F21D0">
        <w:rPr>
          <w:noProof/>
          <w:lang w:val="ro-RO"/>
        </w:rPr>
        <w:t xml:space="preserve"> oferă statelor membre un cadru pentru a evalua și a explica de ce noile norme naționale sunt nediscriminatorii și proporționale, înainte de a intra în vigoare. Cu toate acestea, ea se aplică numai unei părți a economiei serviciilor, și anume serviciilor profesionale reglementate. Comisia intenționează să analizeze, împreună cu statele membre, modalitățile optime de utilizare a acestui cadru pentru servicii în general și nu doar pentru profesii. Comisia va realiza acest lucru prin adaptarea instrumentului de notificare al Directivei privind serviciile și prin furnizarea de orientări specifice suplimentare statelor membre pentru aplicarea acestor criterii de proporționalitate. Aceasta va contribui în mod semnificativ la o legiferare mai bună și mai puțin restrictivă și va evita recurgerea la măsuri de executare </w:t>
      </w:r>
      <w:r w:rsidRPr="000F21D0">
        <w:rPr>
          <w:i/>
          <w:iCs/>
          <w:noProof/>
          <w:lang w:val="ro-RO"/>
        </w:rPr>
        <w:t>ex post</w:t>
      </w:r>
      <w:r w:rsidRPr="000F21D0">
        <w:rPr>
          <w:noProof/>
          <w:lang w:val="ro-RO"/>
        </w:rPr>
        <w:t xml:space="preserve"> costisitoare și inutil de conflictuale.</w:t>
      </w:r>
    </w:p>
    <w:p w14:paraId="5196A142" w14:textId="06647862" w:rsidR="007A1851" w:rsidRPr="000F21D0" w:rsidRDefault="004F6C28">
      <w:pPr>
        <w:jc w:val="both"/>
        <w:rPr>
          <w:noProof/>
          <w:sz w:val="22"/>
          <w:lang w:val="ro-RO"/>
        </w:rPr>
      </w:pPr>
      <w:bookmarkStart w:id="21" w:name="_Hlk129276626"/>
      <w:r w:rsidRPr="000F21D0">
        <w:rPr>
          <w:noProof/>
          <w:lang w:val="ro-RO"/>
        </w:rPr>
        <w:t xml:space="preserve">Un număr mare de state membre au început să colaboreze cu Comisia în vederea introducerii voluntare a unei </w:t>
      </w:r>
      <w:r w:rsidRPr="000F21D0">
        <w:rPr>
          <w:b/>
          <w:noProof/>
          <w:lang w:val="ro-RO"/>
        </w:rPr>
        <w:t>declarații electronice comune pentru lucrătorii detașați</w:t>
      </w:r>
      <w:r w:rsidRPr="000F21D0">
        <w:rPr>
          <w:rStyle w:val="FootnoteReference"/>
          <w:noProof/>
          <w:lang w:val="ro-RO"/>
        </w:rPr>
        <w:footnoteReference w:id="65"/>
      </w:r>
      <w:r w:rsidRPr="000F21D0">
        <w:rPr>
          <w:noProof/>
          <w:lang w:val="ro-RO"/>
        </w:rPr>
        <w:t xml:space="preserve">. Comisia îndeamnă toate statele membre să depună eforturi în vederea finalizării lucrărilor lor până la sfârșitul anului 2023. </w:t>
      </w:r>
    </w:p>
    <w:bookmarkEnd w:id="21"/>
    <w:p w14:paraId="6D800F9D" w14:textId="77777777" w:rsidR="00B575F3" w:rsidRPr="000F21D0" w:rsidRDefault="009B493B" w:rsidP="00B575F3">
      <w:pPr>
        <w:jc w:val="both"/>
        <w:rPr>
          <w:noProof/>
          <w:lang w:val="ro-RO"/>
        </w:rPr>
      </w:pPr>
      <w:r w:rsidRPr="000F21D0">
        <w:rPr>
          <w:noProof/>
          <w:lang w:val="ro-RO"/>
        </w:rPr>
        <w:t xml:space="preserve">Este necesar un </w:t>
      </w:r>
      <w:r w:rsidRPr="000F21D0">
        <w:rPr>
          <w:b/>
          <w:noProof/>
          <w:lang w:val="ro-RO"/>
        </w:rPr>
        <w:t>angajament politic reînnoit</w:t>
      </w:r>
      <w:r w:rsidRPr="000F21D0">
        <w:rPr>
          <w:noProof/>
          <w:lang w:val="ro-RO"/>
        </w:rPr>
        <w:t xml:space="preserve"> la toate nivelurile pentru a îmbunătăți transpunerea în practică și asigurarea respectării normelor privind piața unică și pentru a îndeplini angajamentele anterioare</w:t>
      </w:r>
      <w:r w:rsidRPr="000F21D0">
        <w:rPr>
          <w:rStyle w:val="FootnoteReference"/>
          <w:noProof/>
          <w:lang w:val="ro-RO"/>
        </w:rPr>
        <w:footnoteReference w:id="66"/>
      </w:r>
      <w:r w:rsidRPr="000F21D0">
        <w:rPr>
          <w:noProof/>
          <w:lang w:val="ro-RO"/>
        </w:rPr>
        <w:t xml:space="preserve">. Comisia va aduce periodic </w:t>
      </w:r>
      <w:r w:rsidRPr="000F21D0">
        <w:rPr>
          <w:b/>
          <w:noProof/>
          <w:lang w:val="ro-RO"/>
        </w:rPr>
        <w:t>rezultatele tabloului de bord al pieței unice în atenția autorităților naționale responsabile de piața unică</w:t>
      </w:r>
      <w:r w:rsidRPr="000F21D0">
        <w:rPr>
          <w:noProof/>
          <w:lang w:val="ro-RO"/>
        </w:rPr>
        <w:t>, în special în cadrul Consiliului Competitivitate. Discuția ar trebui să evalueze progresele înregistrate în ceea ce privește atingerea obiectivelor și să identifice posibile acțiuni suplimentare pentru a îmbunătăți performanța statelor membre în ceea ce privește asigurarea respectării normelor privind piața unică și reducerea barierelor inutile și disproporționate.</w:t>
      </w:r>
    </w:p>
    <w:p w14:paraId="701DF0CD" w14:textId="1E5AFD06" w:rsidR="009B493B" w:rsidRPr="000F21D0" w:rsidRDefault="009B493B" w:rsidP="007A1851">
      <w:pPr>
        <w:jc w:val="both"/>
        <w:rPr>
          <w:noProof/>
          <w:lang w:val="ro-RO"/>
        </w:rPr>
      </w:pPr>
      <w:r w:rsidRPr="000F21D0">
        <w:rPr>
          <w:b/>
          <w:noProof/>
          <w:lang w:val="ro-RO"/>
        </w:rPr>
        <w:t>Comisia face referire la solicitarea sa anterioară adresată statelor membre</w:t>
      </w:r>
      <w:r w:rsidRPr="000F21D0">
        <w:rPr>
          <w:noProof/>
          <w:lang w:val="ro-RO"/>
        </w:rPr>
        <w:t xml:space="preserve"> de a se angaja să limiteze deficitul de transpunere la 0,5 % pentru toate directivele</w:t>
      </w:r>
      <w:r w:rsidRPr="000F21D0">
        <w:rPr>
          <w:rStyle w:val="FootnoteReference"/>
          <w:noProof/>
          <w:lang w:val="ro-RO"/>
        </w:rPr>
        <w:footnoteReference w:id="67"/>
      </w:r>
      <w:r w:rsidRPr="000F21D0">
        <w:rPr>
          <w:noProof/>
          <w:lang w:val="ro-RO"/>
        </w:rPr>
        <w:t xml:space="preserve"> și la 0 % în cazul directivelor al căror termen de punere în aplicare a expirat de peste doi ani</w:t>
      </w:r>
      <w:r w:rsidRPr="000F21D0">
        <w:rPr>
          <w:rStyle w:val="FootnoteReference"/>
          <w:noProof/>
          <w:lang w:val="ro-RO"/>
        </w:rPr>
        <w:footnoteReference w:id="68"/>
      </w:r>
      <w:r w:rsidRPr="000F21D0">
        <w:rPr>
          <w:noProof/>
          <w:lang w:val="ro-RO"/>
        </w:rPr>
        <w:t>. De asemenea, Comisia face trimitere la propunerea sa anterioară de limitare a deficitului de conformitate la 0,5 % pentru toate directivele</w:t>
      </w:r>
      <w:r w:rsidRPr="000F21D0">
        <w:rPr>
          <w:rStyle w:val="FootnoteReference"/>
          <w:noProof/>
          <w:lang w:val="ro-RO"/>
        </w:rPr>
        <w:footnoteReference w:id="69"/>
      </w:r>
      <w:r w:rsidRPr="000F21D0">
        <w:rPr>
          <w:noProof/>
          <w:lang w:val="ro-RO"/>
        </w:rPr>
        <w:t>. În plus, pentru cazurile referitoare la necomunicarea măsurilor de transpunere, Comisia a propus obiectivul de 12 luni de la trimiterea scrisorii de punere în întârziere până la soluționarea cazului sau la sesizarea Curții de Justiție cu privire la cazurile de constatare a neîndeplinirii obligațiilor</w:t>
      </w:r>
      <w:r w:rsidRPr="000F21D0">
        <w:rPr>
          <w:rStyle w:val="FootnoteReference"/>
          <w:noProof/>
          <w:lang w:val="ro-RO"/>
        </w:rPr>
        <w:footnoteReference w:id="70"/>
      </w:r>
      <w:r w:rsidRPr="000F21D0">
        <w:rPr>
          <w:noProof/>
          <w:lang w:val="ro-RO"/>
        </w:rPr>
        <w:t xml:space="preserve">. </w:t>
      </w:r>
    </w:p>
    <w:p w14:paraId="47E1D066" w14:textId="72C54CF5" w:rsidR="00A011A6" w:rsidRPr="000F21D0" w:rsidRDefault="00A011A6" w:rsidP="00A011A6">
      <w:pPr>
        <w:jc w:val="both"/>
        <w:rPr>
          <w:noProof/>
          <w:lang w:val="ro-RO"/>
        </w:rPr>
      </w:pPr>
      <w:r w:rsidRPr="000F21D0">
        <w:rPr>
          <w:noProof/>
          <w:lang w:val="ro-RO"/>
        </w:rPr>
        <w:t xml:space="preserve">Pe baza elementelor de mai sus, </w:t>
      </w:r>
      <w:r w:rsidRPr="000F21D0">
        <w:rPr>
          <w:b/>
          <w:noProof/>
          <w:lang w:val="ro-RO"/>
        </w:rPr>
        <w:t>Comisia propune stabilirea unor obiective concrete în materie de aplicare a normelor</w:t>
      </w:r>
      <w:r w:rsidRPr="000F21D0">
        <w:rPr>
          <w:noProof/>
          <w:lang w:val="ro-RO"/>
        </w:rPr>
        <w:t xml:space="preserve">, cu scopul de a </w:t>
      </w:r>
      <w:r w:rsidRPr="000F21D0">
        <w:rPr>
          <w:b/>
          <w:noProof/>
          <w:lang w:val="ro-RO"/>
        </w:rPr>
        <w:t>limita atât deficitul de transpunere, cât și deficitul de conformitate la 0,5 %.</w:t>
      </w:r>
      <w:r w:rsidRPr="000F21D0">
        <w:rPr>
          <w:noProof/>
          <w:lang w:val="ro-RO"/>
        </w:rPr>
        <w:t xml:space="preserve"> De asemenea, Comisia propune stabilirea unui </w:t>
      </w:r>
      <w:r w:rsidRPr="000F21D0">
        <w:rPr>
          <w:b/>
          <w:noProof/>
          <w:lang w:val="ro-RO"/>
        </w:rPr>
        <w:t>criteriu de referință privind SOLVIT</w:t>
      </w:r>
      <w:r w:rsidRPr="000F21D0">
        <w:rPr>
          <w:noProof/>
          <w:lang w:val="ro-RO"/>
        </w:rPr>
        <w:t xml:space="preserve">, cu scopul de a soluționa cel puțin 90 % din cazuri în termen de 12 luni în fiecare stat membru. Comisia va comunica, de asemenea, observațiile sale cu privire la progresele înregistrate în ceea ce privește eliminarea barierelor de pe piața unică în contextul instrumentelor de cooperare, cum ar fi SMET. </w:t>
      </w:r>
    </w:p>
    <w:p w14:paraId="41BFFE9D" w14:textId="77777777" w:rsidR="00D266B7" w:rsidRPr="000F21D0" w:rsidRDefault="00D266B7" w:rsidP="007A1851">
      <w:pPr>
        <w:jc w:val="both"/>
        <w:rPr>
          <w:noProof/>
          <w:lang w:val="ro-RO"/>
        </w:rPr>
      </w:pPr>
    </w:p>
    <w:p w14:paraId="1757897C" w14:textId="7334C81E" w:rsidR="00E92452" w:rsidRPr="000F21D0" w:rsidRDefault="002249A6" w:rsidP="00C33A5B">
      <w:pPr>
        <w:pStyle w:val="ListParagraph"/>
        <w:numPr>
          <w:ilvl w:val="1"/>
          <w:numId w:val="2"/>
        </w:numPr>
        <w:rPr>
          <w:b/>
          <w:noProof/>
          <w:lang w:val="ro-RO"/>
        </w:rPr>
      </w:pPr>
      <w:bookmarkStart w:id="22" w:name="_Hlk127262074"/>
      <w:r w:rsidRPr="000F21D0">
        <w:rPr>
          <w:b/>
          <w:noProof/>
          <w:lang w:val="ro-RO"/>
        </w:rPr>
        <w:t xml:space="preserve"> Promovarea în continuare a dimensiunii verzi și digitale a pieței unice</w:t>
      </w:r>
    </w:p>
    <w:p w14:paraId="29335635" w14:textId="087FA7FA" w:rsidR="00D60825" w:rsidRPr="000F21D0" w:rsidRDefault="002E5F82" w:rsidP="00CC27DC">
      <w:pPr>
        <w:shd w:val="clear" w:color="auto" w:fill="FFFFFF" w:themeFill="background1"/>
        <w:jc w:val="both"/>
        <w:rPr>
          <w:noProof/>
          <w:lang w:val="ro-RO"/>
        </w:rPr>
      </w:pPr>
      <w:bookmarkStart w:id="23" w:name="_Hlk127801878"/>
      <w:r w:rsidRPr="000F21D0">
        <w:rPr>
          <w:noProof/>
          <w:lang w:val="ro-RO"/>
        </w:rPr>
        <w:t xml:space="preserve">Piața unică va avea un caracter esențial pentru </w:t>
      </w:r>
      <w:r w:rsidRPr="000F21D0">
        <w:rPr>
          <w:b/>
          <w:noProof/>
          <w:lang w:val="ro-RO"/>
        </w:rPr>
        <w:t>tranziția verde a UE și pentru</w:t>
      </w:r>
      <w:r w:rsidRPr="000F21D0">
        <w:rPr>
          <w:noProof/>
          <w:lang w:val="ro-RO"/>
        </w:rPr>
        <w:t xml:space="preserve"> </w:t>
      </w:r>
      <w:r w:rsidRPr="000F21D0">
        <w:rPr>
          <w:b/>
          <w:noProof/>
          <w:lang w:val="ro-RO"/>
        </w:rPr>
        <w:t>economia circulară</w:t>
      </w:r>
      <w:r w:rsidRPr="000F21D0">
        <w:rPr>
          <w:noProof/>
          <w:lang w:val="ro-RO"/>
        </w:rPr>
        <w:t>. UE trebuie să își mențină poziția de lider în domeniul tehnologiilor curate și avantajul său competitiv în ceea ce privește decarbonizarea pentru a putea realiza o economie cu emisii zero. Trebuie să utilizăm materialele și alte resurse într-un mod mai eficient și să trecem la o economie circulară care să păstreze valoarea materialelor din produse și să reducă la minimum deșeurile. Planul de acțiune privind economia circulară este pus în aplicare cu obiective ambițioase de promovare a tranziției verzi și digitale.</w:t>
      </w:r>
    </w:p>
    <w:bookmarkEnd w:id="23"/>
    <w:p w14:paraId="5090C589" w14:textId="52C30714" w:rsidR="002745ED" w:rsidRPr="000F21D0" w:rsidRDefault="002F5411" w:rsidP="25755A6E">
      <w:pPr>
        <w:shd w:val="clear" w:color="auto" w:fill="FFFFFF" w:themeFill="background1"/>
        <w:jc w:val="both"/>
        <w:rPr>
          <w:noProof/>
          <w:lang w:val="ro-RO"/>
        </w:rPr>
      </w:pPr>
      <w:r w:rsidRPr="000F21D0">
        <w:rPr>
          <w:noProof/>
          <w:lang w:val="ro-RO"/>
        </w:rPr>
        <w:t xml:space="preserve">Normele comune aplicabile în întreaga UE vor permite întreprinderilor să facă față mai ușor provocării și, astfel, să ne atingem obiectivele – eventual și la nivel mondial. </w:t>
      </w:r>
      <w:r w:rsidRPr="000F21D0">
        <w:rPr>
          <w:b/>
          <w:noProof/>
          <w:lang w:val="ro-RO"/>
        </w:rPr>
        <w:t>Normele privind proiectarea ecologică pentru produse durabile</w:t>
      </w:r>
      <w:r w:rsidRPr="000F21D0">
        <w:rPr>
          <w:noProof/>
          <w:lang w:val="ro-RO"/>
        </w:rPr>
        <w:t xml:space="preserve"> facilitează și sporesc recuperarea și reciclarea materialelor din produse la sfârșitul ciclului lor de viață, reducând la minimum producția de deșeuri. </w:t>
      </w:r>
      <w:r w:rsidRPr="000F21D0">
        <w:rPr>
          <w:b/>
          <w:noProof/>
          <w:lang w:val="ro-RO"/>
        </w:rPr>
        <w:t>Inițiativa privind pașapoartele produselor</w:t>
      </w:r>
      <w:r w:rsidRPr="000F21D0">
        <w:rPr>
          <w:noProof/>
          <w:lang w:val="ro-RO"/>
        </w:rPr>
        <w:t xml:space="preserve"> le va permite consumatorilor și operatorilor să acceseze cu ușurință informații privind conformitatea produselor, precum și conținutul reciclat și reciclabil al acestora. </w:t>
      </w:r>
    </w:p>
    <w:p w14:paraId="1EF36A8D" w14:textId="2CFB7464" w:rsidR="00FE1822" w:rsidRPr="000F21D0" w:rsidRDefault="00FE1822" w:rsidP="25755A6E">
      <w:pPr>
        <w:shd w:val="clear" w:color="auto" w:fill="FFFFFF" w:themeFill="background1"/>
        <w:jc w:val="both"/>
        <w:rPr>
          <w:noProof/>
          <w:lang w:val="ro-RO"/>
        </w:rPr>
      </w:pPr>
      <w:r w:rsidRPr="000F21D0">
        <w:rPr>
          <w:noProof/>
          <w:lang w:val="ro-RO"/>
        </w:rPr>
        <w:t xml:space="preserve">Cadrul UE privind finanțarea durabilă oferă instrumente care facilitează investițiile capitalului privat în activități ecologice și finanțarea tranziției. Taxonomia UE oferă o listă de activități economice durabile adaptate investitorilor interesați de tehnologii curate și investiții durabile. </w:t>
      </w:r>
    </w:p>
    <w:p w14:paraId="0B05D13B" w14:textId="594157F5" w:rsidR="002F5411" w:rsidRPr="000F21D0" w:rsidRDefault="003A209E" w:rsidP="00771FAD">
      <w:pPr>
        <w:shd w:val="clear" w:color="auto" w:fill="FFFFFF" w:themeFill="background1"/>
        <w:jc w:val="both"/>
        <w:rPr>
          <w:rFonts w:eastAsia="Times New Roman" w:cs="Times New Roman"/>
          <w:noProof/>
          <w:lang w:val="ro-RO"/>
        </w:rPr>
      </w:pPr>
      <w:r w:rsidRPr="000F21D0">
        <w:rPr>
          <w:noProof/>
          <w:lang w:val="ro-RO"/>
        </w:rPr>
        <w:t>Deși structura actuală a pieței energiei electrice din UE a asigurat, de-a lungul multor ani, o piață eficientă și bine integrată, care a stimulat utilizarea energiei din surse regenerabile și cu emisii scăzute de dioxid de carbon și a tehnologiilor curate flexibile, recenta criză energetică a evidențiat o serie de deficiențe, care au expus gospodăriile și întreprinderile la creșteri semnificative ale prețurilor, cu efecte asupra facturilor lor la energie electrică. Pentru a răspunde crizei, UE a adoptat un set de instrumente privind prețurile energiei care conține măsuri pentru a face față prețurilor ridicate (inclusiv sprijin pentru venit, facilități fiscale și măsuri de economisire și de stocare a gazelor), precum și planul REPowerEU, care prevede măsuri și fonduri suplimentare pentru a stimula eficiența energetică și energia din surse regenerabile, cu scopul de a reduce dependența de combustibili fosili din Rusia. Comisia a propus o reformă a organizării pieței energiei electrice</w:t>
      </w:r>
      <w:r w:rsidRPr="000F21D0">
        <w:rPr>
          <w:rStyle w:val="FootnoteReference"/>
          <w:rFonts w:eastAsia="Times New Roman" w:cs="Times New Roman"/>
          <w:noProof/>
          <w:lang w:val="ro-RO"/>
        </w:rPr>
        <w:footnoteReference w:id="71"/>
      </w:r>
      <w:r w:rsidRPr="000F21D0">
        <w:rPr>
          <w:noProof/>
          <w:lang w:val="ro-RO"/>
        </w:rPr>
        <w:t xml:space="preserve">. </w:t>
      </w:r>
    </w:p>
    <w:p w14:paraId="33BFC8F5" w14:textId="69B66A89" w:rsidR="00EA58E2" w:rsidRPr="000F21D0" w:rsidRDefault="002249A6" w:rsidP="00EC4567">
      <w:pPr>
        <w:spacing w:line="257" w:lineRule="auto"/>
        <w:jc w:val="both"/>
        <w:rPr>
          <w:noProof/>
          <w:lang w:val="ro-RO"/>
        </w:rPr>
      </w:pPr>
      <w:r w:rsidRPr="000F21D0">
        <w:rPr>
          <w:b/>
          <w:noProof/>
          <w:lang w:val="ro-RO"/>
        </w:rPr>
        <w:t>Digitalizarea</w:t>
      </w:r>
      <w:r w:rsidRPr="000F21D0">
        <w:rPr>
          <w:noProof/>
          <w:lang w:val="ro-RO"/>
        </w:rPr>
        <w:t xml:space="preserve"> este omniprezentă și face parte din viața noastră de zi cu zi. Ea este un factor-cheie al competitivității Uniunii și al prosperității și bunăstării societăților noastre. </w:t>
      </w:r>
      <w:r w:rsidRPr="000F21D0">
        <w:rPr>
          <w:b/>
          <w:noProof/>
          <w:lang w:val="ro-RO"/>
        </w:rPr>
        <w:t>Regulamentul privind serviciile digitale</w:t>
      </w:r>
      <w:r w:rsidRPr="000F21D0">
        <w:rPr>
          <w:noProof/>
          <w:lang w:val="ro-RO"/>
        </w:rPr>
        <w:t xml:space="preserve"> și </w:t>
      </w:r>
      <w:r w:rsidRPr="000F21D0">
        <w:rPr>
          <w:b/>
          <w:noProof/>
          <w:lang w:val="ro-RO"/>
        </w:rPr>
        <w:t>Regulamentul privind piețele digitale</w:t>
      </w:r>
      <w:r w:rsidRPr="000F21D0">
        <w:rPr>
          <w:noProof/>
          <w:lang w:val="ro-RO"/>
        </w:rPr>
        <w:t xml:space="preserve"> conferă Comisiei noi competențe directe de investigare și de asigurare a respectării normelor care sunt deja cunoscute în alte domenii, cum ar fi dreptul concurenței sau reglementarea financiară. Comisia s-a angajat să ia toate măsurile de investigare și de asigurare a respectării normelor care se impun și să își utilizeze competențele de supraveghere în raport cu platformele online foarte mari și motoarele de căutare online foarte mari, precum și în ceea ce privește controlorii de acces, în cazul în care aceștia nu își respectă obligațiile care le revin în temeiul Regulamentului privind serviciile digitale sau al Regulamentului privind piețele digitale. </w:t>
      </w:r>
    </w:p>
    <w:p w14:paraId="66EE4BB2" w14:textId="31D07D5D" w:rsidR="002249A6" w:rsidRPr="000F21D0" w:rsidRDefault="00C462E7" w:rsidP="0098576D">
      <w:pPr>
        <w:jc w:val="both"/>
        <w:rPr>
          <w:noProof/>
          <w:lang w:val="ro-RO"/>
        </w:rPr>
      </w:pPr>
      <w:r w:rsidRPr="000F21D0">
        <w:rPr>
          <w:noProof/>
          <w:lang w:val="ro-RO"/>
        </w:rPr>
        <w:t xml:space="preserve">Europenii din întreaga piață unică au nevoie de acces la o </w:t>
      </w:r>
      <w:r w:rsidRPr="000F21D0">
        <w:rPr>
          <w:b/>
          <w:noProof/>
          <w:lang w:val="ro-RO"/>
        </w:rPr>
        <w:t>conectivitate fiabilă, rapidă și securizată</w:t>
      </w:r>
      <w:r w:rsidRPr="000F21D0">
        <w:rPr>
          <w:noProof/>
          <w:lang w:val="ro-RO"/>
        </w:rPr>
        <w:t xml:space="preserve"> în întreaga Uniune și de garanția că toate infrastructurile critice din UE, inclusiv comunicațiile electronice și infrastructurile digitale, sunt extrem de sigure. În paralel cu propunerea de </w:t>
      </w:r>
      <w:r w:rsidRPr="000F21D0">
        <w:rPr>
          <w:b/>
          <w:noProof/>
          <w:lang w:val="ro-RO"/>
        </w:rPr>
        <w:t>Act privind infrastructura gigabit</w:t>
      </w:r>
      <w:r w:rsidRPr="000F21D0">
        <w:rPr>
          <w:noProof/>
          <w:lang w:val="ro-RO"/>
        </w:rPr>
        <w:t>,</w:t>
      </w:r>
      <w:r w:rsidRPr="000F21D0">
        <w:rPr>
          <w:b/>
          <w:noProof/>
          <w:lang w:val="ro-RO"/>
        </w:rPr>
        <w:t xml:space="preserve"> </w:t>
      </w:r>
      <w:r w:rsidRPr="000F21D0">
        <w:rPr>
          <w:noProof/>
          <w:lang w:val="ro-RO"/>
        </w:rPr>
        <w:t xml:space="preserve">adoptată la 23 februarie, </w:t>
      </w:r>
      <w:bookmarkStart w:id="24" w:name="_Hlk128041951"/>
      <w:r w:rsidRPr="000F21D0">
        <w:rPr>
          <w:noProof/>
          <w:lang w:val="ro-RO"/>
        </w:rPr>
        <w:t xml:space="preserve">Comisia a lansat o amplă consultare exploratorie privind viitorul sectorului conectivității. Consultarea analizează, de asemenea, modul în care se pot </w:t>
      </w:r>
      <w:r w:rsidRPr="000F21D0">
        <w:rPr>
          <w:b/>
          <w:noProof/>
          <w:lang w:val="ro-RO"/>
        </w:rPr>
        <w:t>realiza progrese în direcția unei veritabile piețe unice a comunicațiilor electronice</w:t>
      </w:r>
      <w:bookmarkEnd w:id="24"/>
      <w:r w:rsidRPr="000F21D0">
        <w:rPr>
          <w:noProof/>
          <w:lang w:val="ro-RO"/>
        </w:rPr>
        <w:t>. Aceasta ar aduce beneficii, în ultimă instanță, cetățenilor, oferindu-le servicii de telecomunicații mai bune și mai accesibile din punctul de vedere al prețului.</w:t>
      </w:r>
    </w:p>
    <w:p w14:paraId="0D42B957" w14:textId="5463F3C8" w:rsidR="00B0764F" w:rsidRPr="000F21D0" w:rsidRDefault="00420F05" w:rsidP="00815E4A">
      <w:pPr>
        <w:jc w:val="both"/>
        <w:rPr>
          <w:noProof/>
          <w:lang w:val="ro-RO"/>
        </w:rPr>
      </w:pPr>
      <w:r w:rsidRPr="000F21D0">
        <w:rPr>
          <w:noProof/>
          <w:lang w:val="ro-RO"/>
        </w:rPr>
        <w:t xml:space="preserve">Strategia europeană privind datele din 2020 vizează crearea unei veritabile piețe unice a datelor, în care normele europene privind viața privată și protecția datelor să fie pe deplin respectate și să existe claritate juridică cu privire la cine poate accesa și utiliza datele și în ce condiții. În februarie 2022, Comisia a propus Actul privind datele pentru a stabili cadrul de bază cu scopul de a asigura echitatea în mediul digital, a stimula o piață competitivă a datelor, a deschide oportunități pentru inovarea bazată pe date și a spori accesibilitatea datelor pentru toți. Cadrul general va fi sprijinit prin crearea și interconectarea unor </w:t>
      </w:r>
      <w:r w:rsidRPr="000F21D0">
        <w:rPr>
          <w:b/>
          <w:noProof/>
          <w:lang w:val="ro-RO"/>
        </w:rPr>
        <w:t>spații europene comune ale datelor</w:t>
      </w:r>
      <w:r w:rsidRPr="000F21D0">
        <w:rPr>
          <w:noProof/>
          <w:lang w:val="ro-RO"/>
        </w:rPr>
        <w:t xml:space="preserve"> în sectoare strategice și domenii de interes public. </w:t>
      </w:r>
    </w:p>
    <w:p w14:paraId="0CCD1172" w14:textId="534E3038" w:rsidR="002D26C1" w:rsidRPr="000F21D0" w:rsidRDefault="00575514" w:rsidP="00815E4A">
      <w:pPr>
        <w:jc w:val="both"/>
        <w:rPr>
          <w:noProof/>
          <w:lang w:val="ro-RO"/>
        </w:rPr>
      </w:pPr>
      <w:r w:rsidRPr="000F21D0">
        <w:rPr>
          <w:noProof/>
          <w:lang w:val="ro-RO"/>
        </w:rPr>
        <w:t xml:space="preserve">În paralel cu publicarea prezentei comunicări, </w:t>
      </w:r>
      <w:r w:rsidRPr="000F21D0">
        <w:rPr>
          <w:b/>
          <w:noProof/>
          <w:lang w:val="ro-RO"/>
        </w:rPr>
        <w:t>Comisia lansează un spațiu al datelor privind achizițiile publice</w:t>
      </w:r>
      <w:r w:rsidRPr="000F21D0">
        <w:rPr>
          <w:rStyle w:val="FootnoteReference"/>
          <w:b/>
          <w:noProof/>
          <w:lang w:val="ro-RO"/>
        </w:rPr>
        <w:footnoteReference w:id="72"/>
      </w:r>
      <w:r w:rsidRPr="000F21D0">
        <w:rPr>
          <w:noProof/>
          <w:lang w:val="ro-RO"/>
        </w:rPr>
        <w:t>, care va îmbunătăți caracterul accesibil și calitatea datelor pentru contractele de achiziții publice, care reprezintă aproximativ 2 mii de miliarde EUR (aproape 13,6 % din PIB-ul UE)</w:t>
      </w:r>
      <w:r w:rsidRPr="000F21D0">
        <w:rPr>
          <w:rStyle w:val="FootnoteReference"/>
          <w:noProof/>
          <w:lang w:val="ro-RO"/>
        </w:rPr>
        <w:footnoteReference w:id="73"/>
      </w:r>
      <w:r w:rsidRPr="000F21D0">
        <w:rPr>
          <w:noProof/>
          <w:lang w:val="ro-RO"/>
        </w:rPr>
        <w:t xml:space="preserve">. Acest spațiu al datelor va crea condiții de concurență echitabile pentru întreprinderile care depun oferte pentru proiecte de achiziții publice oriunde în UE. Acesta va fi un instrument deosebit de util pentru IMM-uri. Spațiul va ajuta achizitorii publici și întreprinderile să își îmbunătățească strategiile de investiții și de ofertare și va oferi tuturor părților interesate un nivel sporit de transparență și un raport calitate-preț mai bun. </w:t>
      </w:r>
    </w:p>
    <w:p w14:paraId="221ACA08" w14:textId="6BE17B0D" w:rsidR="00815E4A" w:rsidRPr="000F21D0" w:rsidRDefault="54F8AF93" w:rsidP="00815E4A">
      <w:pPr>
        <w:jc w:val="both"/>
        <w:rPr>
          <w:noProof/>
          <w:lang w:val="ro-RO"/>
        </w:rPr>
      </w:pPr>
      <w:r w:rsidRPr="000F21D0">
        <w:rPr>
          <w:b/>
          <w:noProof/>
          <w:lang w:val="ro-RO"/>
        </w:rPr>
        <w:t>Spațiul european al datelor privind sănătatea</w:t>
      </w:r>
      <w:r w:rsidRPr="000F21D0">
        <w:rPr>
          <w:noProof/>
          <w:lang w:val="ro-RO"/>
        </w:rPr>
        <w:t xml:space="preserve"> propus nu numai că va capacita pacienții individuali, ci va permite, de asemenea, cercetarea și inovarea în domeniul sănătății la scară europeană</w:t>
      </w:r>
      <w:r w:rsidRPr="000F21D0">
        <w:rPr>
          <w:rStyle w:val="FootnoteReference"/>
          <w:rFonts w:eastAsia="Times New Roman" w:cs="Times New Roman"/>
          <w:noProof/>
          <w:lang w:val="ro-RO"/>
        </w:rPr>
        <w:footnoteReference w:id="74"/>
      </w:r>
      <w:r w:rsidRPr="000F21D0">
        <w:rPr>
          <w:noProof/>
          <w:lang w:val="ro-RO"/>
        </w:rPr>
        <w:t>. Trebuie de asemenea abordată problema fragmentării excesive a pieței unice a produselor farmaceutice, pentru a facilita circulația medicamentelor în beneficiul pacienților din UE.</w:t>
      </w:r>
    </w:p>
    <w:p w14:paraId="78C569F2" w14:textId="598E1720" w:rsidR="39C460D2" w:rsidRPr="000F21D0" w:rsidRDefault="649148D4" w:rsidP="6E1D9064">
      <w:pPr>
        <w:jc w:val="both"/>
        <w:rPr>
          <w:rFonts w:ascii="Calibri" w:eastAsia="Calibri" w:hAnsi="Calibri" w:cs="Calibri"/>
          <w:i/>
          <w:noProof/>
          <w:lang w:val="ro-RO"/>
        </w:rPr>
      </w:pPr>
      <w:r w:rsidRPr="000F21D0">
        <w:rPr>
          <w:noProof/>
          <w:color w:val="000000" w:themeColor="text1"/>
          <w:lang w:val="ro-RO"/>
        </w:rPr>
        <w:t>După</w:t>
      </w:r>
      <w:r w:rsidRPr="000F21D0">
        <w:rPr>
          <w:noProof/>
          <w:lang w:val="ro-RO"/>
        </w:rPr>
        <w:t xml:space="preserve"> decenii de discuții, brevetul unitar va deveni în cele din urmă realitate în iunie 2023. Acest eveniment marchează o </w:t>
      </w:r>
      <w:r w:rsidRPr="000F21D0">
        <w:rPr>
          <w:b/>
          <w:noProof/>
          <w:lang w:val="ro-RO"/>
        </w:rPr>
        <w:t>aprofundare îndelung așteptată a pieței unice a tehnologiei</w:t>
      </w:r>
      <w:r w:rsidRPr="000F21D0">
        <w:rPr>
          <w:noProof/>
          <w:lang w:val="ro-RO"/>
        </w:rPr>
        <w:t>. Brevetele sunt cele mai puternice drepturi de proprietate intelectuală, esențiale pentru investiții în tranziția digitală. Simulările sugerează că brevetul unitar ar putea genera o creștere cu 1,8 miliarde EUR a investițiilor străine directe anuale în UE</w:t>
      </w:r>
      <w:r w:rsidRPr="000F21D0">
        <w:rPr>
          <w:rStyle w:val="FootnoteReference"/>
          <w:rFonts w:eastAsia="Times New Roman" w:cs="Times New Roman"/>
          <w:noProof/>
          <w:lang w:val="ro-RO"/>
        </w:rPr>
        <w:footnoteReference w:id="75"/>
      </w:r>
      <w:r w:rsidRPr="000F21D0">
        <w:rPr>
          <w:noProof/>
          <w:lang w:val="ro-RO"/>
        </w:rPr>
        <w:t xml:space="preserve">. Brevetul unitar va fi însoțit de o reformă a brevetelor esențiale pentru standarde </w:t>
      </w:r>
      <w:r w:rsidRPr="000F21D0">
        <w:rPr>
          <w:b/>
          <w:noProof/>
          <w:lang w:val="ro-RO"/>
        </w:rPr>
        <w:t>care va stabili standardele globale de acordare a licențelor</w:t>
      </w:r>
      <w:r w:rsidRPr="000F21D0">
        <w:rPr>
          <w:noProof/>
          <w:lang w:val="ro-RO"/>
        </w:rPr>
        <w:t xml:space="preserve"> într-un mod care să maximizeze investițiile în C&amp;D ale titularilor și ale entităților care implementează brevete esențiale pentru standarde ale UE. </w:t>
      </w:r>
    </w:p>
    <w:p w14:paraId="3B45DB8F" w14:textId="37F4EDC8" w:rsidR="00EF6C13" w:rsidRPr="000F21D0" w:rsidRDefault="00EF6C13" w:rsidP="00EF6C13">
      <w:pPr>
        <w:spacing w:line="257" w:lineRule="auto"/>
        <w:jc w:val="both"/>
        <w:rPr>
          <w:noProof/>
          <w:lang w:val="ro-RO"/>
        </w:rPr>
      </w:pPr>
      <w:r w:rsidRPr="000F21D0">
        <w:rPr>
          <w:noProof/>
          <w:lang w:val="ro-RO"/>
        </w:rPr>
        <w:t xml:space="preserve">Digitalizarea facilitează din ce în ce mai mult exercitarea de către cetățeni a drepturilor lor de securitate socială la nivel transfrontalier. În cursul anului 2023, Comisia va prezenta o inițiativă privind </w:t>
      </w:r>
      <w:r w:rsidRPr="000F21D0">
        <w:rPr>
          <w:b/>
          <w:noProof/>
          <w:lang w:val="ro-RO"/>
        </w:rPr>
        <w:t>digitalizarea coordonării securității sociale</w:t>
      </w:r>
      <w:r w:rsidRPr="000F21D0">
        <w:rPr>
          <w:noProof/>
          <w:lang w:val="ro-RO"/>
        </w:rPr>
        <w:t>, în legătură cu lucrările la un proiect-pilot privind Pașaportul european de securitate socială</w:t>
      </w:r>
      <w:r w:rsidRPr="000F21D0">
        <w:rPr>
          <w:rStyle w:val="FootnoteReference"/>
          <w:rFonts w:eastAsiaTheme="minorEastAsia"/>
          <w:noProof/>
          <w:lang w:val="ro-RO"/>
        </w:rPr>
        <w:footnoteReference w:id="76"/>
      </w:r>
      <w:r w:rsidRPr="000F21D0">
        <w:rPr>
          <w:noProof/>
          <w:lang w:val="ro-RO"/>
        </w:rPr>
        <w:t>. Inițiativa va prezenta modul în care digitalizarea în acest domeniu facilitează exercitarea drepturilor de securitate socială ale cetățenilor în întreaga Europă și, prin urmare, sprijină libera circulație a persoanelor și mobilitatea forței de muncă. Aceasta va descrie progresele înregistrate în ceea ce privește digitalizarea securității sociale, principalele provocări și oportunități, legăturile cu alte inițiative digitale și va stabili obiective intermediare clare până în 2030, sprijinind viziunea pe termen lung a Comisiei referitoare la sisteme de securitate socială mai interoperabile și mai interconectate.</w:t>
      </w:r>
    </w:p>
    <w:p w14:paraId="0204D13F" w14:textId="0D58A198" w:rsidR="00EF6C13" w:rsidRPr="000F21D0" w:rsidRDefault="004158A6" w:rsidP="00EF6C13">
      <w:pPr>
        <w:jc w:val="both"/>
        <w:rPr>
          <w:rFonts w:eastAsia="Times New Roman" w:cs="Times New Roman"/>
          <w:noProof/>
          <w:lang w:val="ro-RO"/>
        </w:rPr>
      </w:pPr>
      <w:r w:rsidRPr="000F21D0">
        <w:rPr>
          <w:noProof/>
          <w:lang w:val="ro-RO"/>
        </w:rPr>
        <w:t xml:space="preserve">UE joacă un rol activ și în domeniul politicilor fiscale pentru a combate denaturările și a asigura buna funcționare a pieței unice. De exemplu, propunerea privind </w:t>
      </w:r>
      <w:r w:rsidRPr="000F21D0">
        <w:rPr>
          <w:b/>
          <w:noProof/>
          <w:lang w:val="ro-RO"/>
        </w:rPr>
        <w:t>TVA în era digitală</w:t>
      </w:r>
      <w:r w:rsidRPr="000F21D0">
        <w:rPr>
          <w:rStyle w:val="FootnoteReference"/>
          <w:rFonts w:ascii="Calibri" w:eastAsia="Calibri" w:hAnsi="Calibri" w:cs="Calibri"/>
          <w:noProof/>
          <w:color w:val="1F497D"/>
          <w:lang w:val="ro-RO"/>
        </w:rPr>
        <w:footnoteReference w:id="77"/>
      </w:r>
      <w:r w:rsidRPr="000F21D0">
        <w:rPr>
          <w:noProof/>
          <w:lang w:val="ro-RO"/>
        </w:rPr>
        <w:t xml:space="preserve"> va contribui în mare măsură la consolidarea pieței unice prin simplificarea în continuare a obligațiilor în materie de TVA ale comercianților, în special ale IMM-urilor, și prin propunerea unei cerințe de raportare digitală care va preveni o fragmentare suplimentară în UE. Inițiativa „Întreprinderile din Europa: cadru de impozitare a profitului” (BEFIT), în curs de elaborare, va introduce un cadru unic de reglementare privind impozitul pe profit pentru UE, creând o abordare coerentă a impozitării întreprinderilor în întreaga UE.</w:t>
      </w:r>
    </w:p>
    <w:p w14:paraId="72C277AE" w14:textId="35BD4C16" w:rsidR="000A3C20" w:rsidRPr="000F21D0" w:rsidRDefault="00EF6C13" w:rsidP="0044211C">
      <w:pPr>
        <w:spacing w:line="257" w:lineRule="auto"/>
        <w:jc w:val="both"/>
        <w:rPr>
          <w:noProof/>
          <w:lang w:val="ro-RO"/>
        </w:rPr>
      </w:pPr>
      <w:r w:rsidRPr="000F21D0">
        <w:rPr>
          <w:noProof/>
          <w:lang w:val="ro-RO"/>
        </w:rPr>
        <w:t xml:space="preserve">În plus, Comisia pregătește o </w:t>
      </w:r>
      <w:r w:rsidRPr="000F21D0">
        <w:rPr>
          <w:b/>
          <w:noProof/>
          <w:lang w:val="ro-RO"/>
        </w:rPr>
        <w:t>reformă ambițioasă a Uniunii vamale</w:t>
      </w:r>
      <w:r w:rsidRPr="000F21D0">
        <w:rPr>
          <w:noProof/>
          <w:lang w:val="ro-RO"/>
        </w:rPr>
        <w:t>, care va consolida și mai mult cooperarea dintre autoritățile vamale și autoritățile de supraveghere a pieței, incluzând analiza centralizată a datelor privind gestionarea riscurilor, precum și un schimb mai cuprinzător și mai structurat de date din surse multiple. Pentru ca întreprinderile din UE să prospere în fața noilor provocări geopolitice și să își mențină unitățile de producție în cadrul pieței unice, menținerea integrității acesteia și a unor condiții de concurență echitabile în raport cu producătorii din țări terțe este extrem de importantă. Un obiectiv-cheie al reformei vamale este, prin urmare, aplicarea mai eficientă și mai eficace a normelor UE la frontierele externe, inclusiv a interdicțiilor și a restricțiilor</w:t>
      </w:r>
      <w:r w:rsidRPr="000F21D0">
        <w:rPr>
          <w:rStyle w:val="FootnoteReference"/>
          <w:noProof/>
          <w:lang w:val="ro-RO"/>
        </w:rPr>
        <w:footnoteReference w:id="78"/>
      </w:r>
      <w:r w:rsidRPr="000F21D0">
        <w:rPr>
          <w:noProof/>
          <w:lang w:val="ro-RO"/>
        </w:rPr>
        <w:t>.</w:t>
      </w:r>
      <w:r w:rsidRPr="000F21D0">
        <w:rPr>
          <w:noProof/>
          <w:shd w:val="clear" w:color="auto" w:fill="FFF2CC" w:themeFill="accent4" w:themeFillTint="33"/>
          <w:lang w:val="ro-RO"/>
        </w:rPr>
        <w:t xml:space="preserve"> </w:t>
      </w:r>
    </w:p>
    <w:p w14:paraId="6DA13908" w14:textId="50D42BE2" w:rsidR="003E304C" w:rsidRPr="000F21D0" w:rsidRDefault="00A762EF" w:rsidP="003E304C">
      <w:pPr>
        <w:spacing w:line="257" w:lineRule="auto"/>
        <w:jc w:val="both"/>
        <w:rPr>
          <w:rFonts w:eastAsia="Times New Roman" w:cs="Times New Roman"/>
          <w:noProof/>
          <w:lang w:val="ro-RO"/>
        </w:rPr>
      </w:pPr>
      <w:r w:rsidRPr="000F21D0">
        <w:rPr>
          <w:noProof/>
          <w:lang w:val="ro-RO"/>
        </w:rPr>
        <w:t>Tranziția reușită către o economie verde și digitală necesită o forță de muncă dotată cu competențele necesare. În prezent, 77 % dintre întreprinderi declară deja că întâmpină dificultăți în a găsi angajați cu competențele necesare</w:t>
      </w:r>
      <w:r w:rsidRPr="000F21D0">
        <w:rPr>
          <w:rStyle w:val="FootnoteReference"/>
          <w:noProof/>
          <w:lang w:val="ro-RO"/>
        </w:rPr>
        <w:footnoteReference w:id="79"/>
      </w:r>
      <w:r w:rsidRPr="000F21D0">
        <w:rPr>
          <w:noProof/>
          <w:lang w:val="ro-RO"/>
        </w:rPr>
        <w:t xml:space="preserve">. Un instrument esențial pentru a asigura accesul întreprinderilor la competențe atunci când și acolo unde au nevoie de ele este </w:t>
      </w:r>
      <w:r w:rsidRPr="000F21D0">
        <w:rPr>
          <w:b/>
          <w:noProof/>
          <w:lang w:val="ro-RO"/>
        </w:rPr>
        <w:t>sistemul de mobilitate profesională al UE</w:t>
      </w:r>
      <w:r w:rsidRPr="000F21D0">
        <w:rPr>
          <w:noProof/>
          <w:lang w:val="ro-RO"/>
        </w:rPr>
        <w:t xml:space="preserve">, care a permis deja unui număr de 800 000 de persoane să își exercite profesia într-un alt stat membru începând din 1997. Începând din 2013, introducerea </w:t>
      </w:r>
      <w:r w:rsidRPr="000F21D0">
        <w:rPr>
          <w:b/>
          <w:noProof/>
          <w:lang w:val="ro-RO"/>
        </w:rPr>
        <w:t>cardului profesional european și a unui test comun de formare</w:t>
      </w:r>
      <w:r w:rsidRPr="000F21D0">
        <w:rPr>
          <w:noProof/>
          <w:lang w:val="ro-RO"/>
        </w:rPr>
        <w:t xml:space="preserve"> facilitează mobilitatea, dar numai în cazul unui număr limitat de profesii. Pentru a valorifica acest potențial și pentru a accelera și facilita procesul de recunoaștere a calificărilor profesionale în alte state membre pentru mai multe persoane, Comisia va analiza împreună cu statele membre posibilitatea de a utiliza pe scară mai largă aceste instrumente, precum și instrumente similare. În plus, Comisia va prezenta în 2023 o </w:t>
      </w:r>
      <w:r w:rsidRPr="000F21D0">
        <w:rPr>
          <w:b/>
          <w:noProof/>
          <w:lang w:val="ro-RO"/>
        </w:rPr>
        <w:t>propunere de facilitare a recunoașterii calificărilor profesionale ale resortisanților țărilor terțe</w:t>
      </w:r>
      <w:r w:rsidRPr="000F21D0">
        <w:rPr>
          <w:noProof/>
          <w:lang w:val="ro-RO"/>
        </w:rPr>
        <w:t>, astfel încât piața unică să devină mai atractivă pentru talentele și lucrătorii calificați din afara UE. De asemenea, Comisia va testa certificatul european de competențe digitale pentru a asigura un nivel minim de calitate în materie de dobândire și perfecționare a competențelor digitale și recunoașterea acestora în întreaga UE. În paralel, vom desăvârși Spațiul european al educației până în 2025, îmbogățind și mai mult dimensiunea digitală și verde a sistemelor educaționale ale statelor membre, facilitând activitatea cursanților și a profesorilor în întreaga piață unică și înlesnind colaborarea cercetătorilor și a universităților.</w:t>
      </w:r>
    </w:p>
    <w:p w14:paraId="78AFEA34" w14:textId="5D15CD22" w:rsidR="00A762EF" w:rsidRPr="000F21D0" w:rsidRDefault="00A762EF" w:rsidP="00A30CB2">
      <w:pPr>
        <w:spacing w:line="257" w:lineRule="auto"/>
        <w:jc w:val="both"/>
        <w:rPr>
          <w:rFonts w:eastAsia="Times New Roman" w:cs="Times New Roman"/>
          <w:noProof/>
          <w:lang w:val="ro-RO"/>
        </w:rPr>
      </w:pPr>
    </w:p>
    <w:bookmarkEnd w:id="22"/>
    <w:p w14:paraId="5B7F3E5B" w14:textId="1AC1A8E2" w:rsidR="00CE0812" w:rsidRPr="000F21D0" w:rsidRDefault="76FF48A9" w:rsidP="00A30CB2">
      <w:pPr>
        <w:pStyle w:val="ListParagraph"/>
        <w:spacing w:before="480"/>
        <w:jc w:val="center"/>
        <w:rPr>
          <w:noProof/>
          <w:lang w:val="ro-RO"/>
        </w:rPr>
      </w:pPr>
      <w:r w:rsidRPr="000F21D0">
        <w:rPr>
          <w:noProof/>
          <w:lang w:val="ro-RO"/>
        </w:rPr>
        <w:t>* * *</w:t>
      </w:r>
    </w:p>
    <w:p w14:paraId="1278A4F8" w14:textId="77777777" w:rsidR="00613067" w:rsidRPr="000F21D0" w:rsidRDefault="00613067" w:rsidP="00A30CB2">
      <w:pPr>
        <w:pStyle w:val="ListParagraph"/>
        <w:spacing w:before="480"/>
        <w:jc w:val="center"/>
        <w:rPr>
          <w:noProof/>
          <w:lang w:val="ro-RO"/>
        </w:rPr>
      </w:pPr>
    </w:p>
    <w:p w14:paraId="0F34B7DC" w14:textId="77777777" w:rsidR="00A30CB2" w:rsidRPr="000F21D0" w:rsidRDefault="00A30CB2" w:rsidP="00A30CB2">
      <w:pPr>
        <w:pStyle w:val="ListParagraph"/>
        <w:spacing w:before="480"/>
        <w:jc w:val="center"/>
        <w:rPr>
          <w:noProof/>
          <w:lang w:val="ro-RO"/>
        </w:rPr>
      </w:pPr>
    </w:p>
    <w:p w14:paraId="4BF42E44" w14:textId="7BF89157" w:rsidR="00D161B3" w:rsidRPr="00DE7CC2" w:rsidRDefault="00E15FA0" w:rsidP="00F93C20">
      <w:pPr>
        <w:pStyle w:val="Heading1"/>
        <w:numPr>
          <w:ilvl w:val="0"/>
          <w:numId w:val="1"/>
        </w:numPr>
        <w:rPr>
          <w:b/>
          <w:caps/>
          <w:noProof/>
          <w:color w:val="auto"/>
          <w:sz w:val="24"/>
          <w:lang w:val="ro-RO"/>
        </w:rPr>
      </w:pPr>
      <w:r w:rsidRPr="00DE7CC2">
        <w:rPr>
          <w:b/>
          <w:caps/>
          <w:noProof/>
          <w:color w:val="auto"/>
          <w:sz w:val="24"/>
          <w:lang w:val="ro-RO"/>
        </w:rPr>
        <w:t>Concluzii</w:t>
      </w:r>
    </w:p>
    <w:p w14:paraId="27B0A9C1" w14:textId="77777777" w:rsidR="00E15FA0" w:rsidRPr="000F21D0" w:rsidRDefault="00E15FA0" w:rsidP="009E6CAE">
      <w:pPr>
        <w:jc w:val="both"/>
        <w:rPr>
          <w:noProof/>
          <w:lang w:val="ro-RO"/>
        </w:rPr>
      </w:pPr>
      <w:bookmarkStart w:id="25" w:name="_Hlk127190304"/>
    </w:p>
    <w:p w14:paraId="36AF44DA" w14:textId="4D0AF926" w:rsidR="00904500" w:rsidRPr="000F21D0" w:rsidRDefault="00904500" w:rsidP="008A2294">
      <w:pPr>
        <w:spacing w:line="257" w:lineRule="auto"/>
        <w:jc w:val="both"/>
        <w:rPr>
          <w:rFonts w:cs="Times New Roman"/>
          <w:noProof/>
          <w:lang w:val="ro-RO"/>
        </w:rPr>
      </w:pPr>
      <w:r w:rsidRPr="000F21D0">
        <w:rPr>
          <w:noProof/>
          <w:lang w:val="ro-RO"/>
        </w:rPr>
        <w:t xml:space="preserve">Piața unică aduce beneficii cetățenilor, întreprinderilor și UE în ansamblu în plan economic, social și geopolitic. Deși aceste beneficii sunt de necontestat, trebuie depuse în continuare eforturi comune suplimentare pentru a </w:t>
      </w:r>
      <w:r w:rsidRPr="000F21D0">
        <w:rPr>
          <w:b/>
          <w:noProof/>
          <w:lang w:val="ro-RO"/>
        </w:rPr>
        <w:t>explora și a găsi soluții</w:t>
      </w:r>
      <w:r w:rsidRPr="000F21D0">
        <w:rPr>
          <w:noProof/>
          <w:lang w:val="ro-RO"/>
        </w:rPr>
        <w:t xml:space="preserve"> pentru a valorifica în continuare potențialul încă neexploatat. Piața unică va trebui, de asemenea, să se </w:t>
      </w:r>
      <w:r w:rsidRPr="000F21D0">
        <w:rPr>
          <w:b/>
          <w:noProof/>
          <w:lang w:val="ro-RO"/>
        </w:rPr>
        <w:t>adapteze în continuare la noile realități</w:t>
      </w:r>
      <w:r w:rsidRPr="000F21D0">
        <w:rPr>
          <w:noProof/>
          <w:lang w:val="ro-RO"/>
        </w:rPr>
        <w:t xml:space="preserve"> ale mediului geopolitic, la evoluțiile tehnologice, la tranziția verde și la cea digitală, precum și la necesitatea de a spori competitivitatea și productivitatea pe termen lung a UE. </w:t>
      </w:r>
    </w:p>
    <w:p w14:paraId="1E61F80C" w14:textId="4C4C4B39" w:rsidR="009420C2" w:rsidRPr="000F21D0" w:rsidRDefault="00904500" w:rsidP="008A2294">
      <w:pPr>
        <w:spacing w:line="257" w:lineRule="auto"/>
        <w:jc w:val="both"/>
        <w:rPr>
          <w:rFonts w:cs="Times New Roman"/>
          <w:noProof/>
          <w:lang w:val="ro-RO"/>
        </w:rPr>
      </w:pPr>
      <w:r w:rsidRPr="000F21D0">
        <w:rPr>
          <w:noProof/>
          <w:lang w:val="ro-RO"/>
        </w:rPr>
        <w:t xml:space="preserve">Crearea pieței unice în urmă cu treizeci de ani a fost rezultatul unui demers comun. </w:t>
      </w:r>
      <w:r w:rsidRPr="000F21D0">
        <w:rPr>
          <w:b/>
          <w:noProof/>
          <w:lang w:val="ro-RO"/>
        </w:rPr>
        <w:t>Privind în perspectivă</w:t>
      </w:r>
      <w:r w:rsidRPr="000F21D0">
        <w:rPr>
          <w:noProof/>
          <w:lang w:val="ro-RO"/>
        </w:rPr>
        <w:t>, trebuie să continuăm să</w:t>
      </w:r>
      <w:r w:rsidRPr="000F21D0">
        <w:rPr>
          <w:b/>
          <w:noProof/>
          <w:lang w:val="ro-RO"/>
        </w:rPr>
        <w:t xml:space="preserve"> </w:t>
      </w:r>
      <w:r w:rsidRPr="000F21D0">
        <w:rPr>
          <w:noProof/>
          <w:lang w:val="ro-RO"/>
        </w:rPr>
        <w:t xml:space="preserve">maximizăm beneficiile pieței unice în contextul acestor noi realități. În primul rând, este necesar să se pună din nou accentul pe eliminarea barierelor din domeniile cele mai relevante pentru întreaga economie, cum ar fi serviciile, piețele de capital, piețele energiei, piețele digitale și de date. În al doilea rând, activitățile de asigurare a respectării normelor trebuie să se concentreze asupra domeniilor cu cel mai mare potențial neexploatat, cum ar fi serviciile pentru întreprinderi, comerțul cu amănuntul, construcțiile și turismul. În al treilea rând, sunt necesare criterii de referință clare pentru a remedia deficitele legate de transpunerea și punerea în aplicare a normelor UE, pentru reducerea barierelor administrative și îmbunătățirea mediului de afaceri. </w:t>
      </w:r>
    </w:p>
    <w:p w14:paraId="7CF121E1" w14:textId="0F38A13D" w:rsidR="00904500" w:rsidRPr="000F21D0" w:rsidRDefault="00904500" w:rsidP="008A2294">
      <w:pPr>
        <w:spacing w:line="257" w:lineRule="auto"/>
        <w:jc w:val="both"/>
        <w:rPr>
          <w:rFonts w:cs="Times New Roman"/>
          <w:noProof/>
          <w:lang w:val="ro-RO"/>
        </w:rPr>
      </w:pPr>
      <w:r w:rsidRPr="000F21D0">
        <w:rPr>
          <w:noProof/>
          <w:lang w:val="ro-RO"/>
        </w:rPr>
        <w:t xml:space="preserve">Comisia va monitoriza progresele pe baza Tabloului de bord al pieței unice și a altor surse relevante legate de asigurarea respectării normelor și mediul de afaceri, precum și progresele înregistrate în cadrul SOLVIT și al instrumentelor de cooperare, cum ar fi SMET. </w:t>
      </w:r>
    </w:p>
    <w:p w14:paraId="49ADA7E7" w14:textId="77777777" w:rsidR="00904500" w:rsidRPr="000F21D0" w:rsidRDefault="00904500" w:rsidP="008A2294">
      <w:pPr>
        <w:spacing w:line="257" w:lineRule="auto"/>
        <w:jc w:val="both"/>
        <w:rPr>
          <w:rFonts w:cs="Times New Roman"/>
          <w:noProof/>
          <w:lang w:val="ro-RO"/>
        </w:rPr>
      </w:pPr>
      <w:r w:rsidRPr="000F21D0">
        <w:rPr>
          <w:noProof/>
          <w:lang w:val="ro-RO"/>
        </w:rPr>
        <w:t>Pe baza elementelor prezentate mai sus, rapoartele Comisiei referitoare la</w:t>
      </w:r>
      <w:r w:rsidRPr="000F21D0">
        <w:rPr>
          <w:b/>
          <w:noProof/>
          <w:lang w:val="ro-RO"/>
        </w:rPr>
        <w:t xml:space="preserve"> </w:t>
      </w:r>
      <w:r w:rsidRPr="000F21D0">
        <w:rPr>
          <w:noProof/>
          <w:lang w:val="ro-RO"/>
        </w:rPr>
        <w:t xml:space="preserve">progresele înregistrate în ceea ce privește </w:t>
      </w:r>
      <w:r w:rsidRPr="000F21D0">
        <w:rPr>
          <w:b/>
          <w:noProof/>
          <w:lang w:val="ro-RO"/>
        </w:rPr>
        <w:t>aplicarea și asigurarea respectării normelor privind piața unică</w:t>
      </w:r>
      <w:r w:rsidRPr="000F21D0">
        <w:rPr>
          <w:noProof/>
          <w:lang w:val="ro-RO"/>
        </w:rPr>
        <w:t xml:space="preserve"> și la </w:t>
      </w:r>
      <w:r w:rsidRPr="000F21D0">
        <w:rPr>
          <w:b/>
          <w:noProof/>
          <w:lang w:val="ro-RO"/>
        </w:rPr>
        <w:t>eliminarea barierelor din calea pieței unice</w:t>
      </w:r>
      <w:r w:rsidRPr="000F21D0">
        <w:rPr>
          <w:noProof/>
          <w:lang w:val="ro-RO"/>
        </w:rPr>
        <w:t xml:space="preserve"> vor sta la baza </w:t>
      </w:r>
      <w:r w:rsidRPr="000F21D0">
        <w:rPr>
          <w:b/>
          <w:noProof/>
          <w:lang w:val="ro-RO"/>
        </w:rPr>
        <w:t xml:space="preserve">discuțiilor din cadrul Consiliului și al Consiliului European. </w:t>
      </w:r>
      <w:r w:rsidRPr="000F21D0">
        <w:rPr>
          <w:noProof/>
          <w:lang w:val="ro-RO"/>
        </w:rPr>
        <w:t>Șefii de stat și de guvern sunt invitați să dezbată anual evoluțiile respective în contextul Consiliului European de primăvară.</w:t>
      </w:r>
    </w:p>
    <w:p w14:paraId="260F29CD" w14:textId="04EB356F" w:rsidR="00DC63DF" w:rsidRPr="000F21D0" w:rsidRDefault="00904500" w:rsidP="008A2294">
      <w:pPr>
        <w:spacing w:line="257" w:lineRule="auto"/>
        <w:jc w:val="both"/>
        <w:rPr>
          <w:rFonts w:cs="Times New Roman"/>
          <w:noProof/>
          <w:lang w:val="ro-RO"/>
        </w:rPr>
      </w:pPr>
      <w:r w:rsidRPr="000F21D0">
        <w:rPr>
          <w:noProof/>
          <w:lang w:val="ro-RO"/>
        </w:rPr>
        <w:t xml:space="preserve">Toate acestea vor necesita </w:t>
      </w:r>
      <w:r w:rsidRPr="000F21D0">
        <w:rPr>
          <w:b/>
          <w:noProof/>
          <w:lang w:val="ro-RO"/>
        </w:rPr>
        <w:t>un efort comun, împreună cu toți actorii</w:t>
      </w:r>
      <w:r w:rsidRPr="000F21D0">
        <w:rPr>
          <w:noProof/>
          <w:lang w:val="ro-RO"/>
        </w:rPr>
        <w:t xml:space="preserve"> – Parlamentul European, statele membre, Comisia, precum și întreprinderile, IMM-urile și organizațiile societății civile – fiecare dintre aceștia îndeplinindu-și funcția specifică. </w:t>
      </w:r>
    </w:p>
    <w:p w14:paraId="2F503346" w14:textId="4804225B" w:rsidR="00612CC4" w:rsidRPr="000F21D0" w:rsidRDefault="00904500" w:rsidP="008A2294">
      <w:pPr>
        <w:spacing w:line="257" w:lineRule="auto"/>
        <w:jc w:val="both"/>
        <w:rPr>
          <w:rFonts w:cs="Times New Roman"/>
          <w:noProof/>
          <w:lang w:val="ro-RO"/>
        </w:rPr>
      </w:pPr>
      <w:r w:rsidRPr="000F21D0">
        <w:rPr>
          <w:noProof/>
          <w:lang w:val="ro-RO"/>
        </w:rPr>
        <w:t xml:space="preserve">Comisia invită liderii, guvernele, legiuitorii și partenerii sociali să privească aniversarea pieței unice de anul acesta ca pe </w:t>
      </w:r>
      <w:r w:rsidRPr="000F21D0">
        <w:rPr>
          <w:b/>
          <w:noProof/>
          <w:lang w:val="ro-RO"/>
        </w:rPr>
        <w:t>o oportunitate de a-și intensifica eforturile pentru ca piața unică să producă rezultate mai bune</w:t>
      </w:r>
      <w:r w:rsidRPr="000F21D0">
        <w:rPr>
          <w:noProof/>
          <w:lang w:val="ro-RO"/>
        </w:rPr>
        <w:t xml:space="preserve"> pentru cetățeni și întreprinderi. Reflecția asupra modului în care piața unică poate progresa în următorii 30 de ani trebuie să continue.</w:t>
      </w:r>
      <w:bookmarkEnd w:id="25"/>
    </w:p>
    <w:sectPr w:rsidR="00612CC4" w:rsidRPr="000F21D0" w:rsidSect="00DE647E">
      <w:headerReference w:type="even" r:id="rId19"/>
      <w:headerReference w:type="default" r:id="rId20"/>
      <w:footerReference w:type="even" r:id="rId21"/>
      <w:footerReference w:type="default" r:id="rId22"/>
      <w:headerReference w:type="first" r:id="rId23"/>
      <w:footerReference w:type="first" r:id="rId24"/>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F04AED" w14:textId="77777777" w:rsidR="00746219" w:rsidRDefault="00746219" w:rsidP="00FE3E5E">
      <w:pPr>
        <w:spacing w:after="0" w:line="240" w:lineRule="auto"/>
      </w:pPr>
      <w:r>
        <w:separator/>
      </w:r>
    </w:p>
  </w:endnote>
  <w:endnote w:type="continuationSeparator" w:id="0">
    <w:p w14:paraId="1FD79A29" w14:textId="77777777" w:rsidR="00746219" w:rsidRDefault="00746219" w:rsidP="00FE3E5E">
      <w:pPr>
        <w:spacing w:after="0" w:line="240" w:lineRule="auto"/>
      </w:pPr>
      <w:r>
        <w:continuationSeparator/>
      </w:r>
    </w:p>
  </w:endnote>
  <w:endnote w:type="continuationNotice" w:id="1">
    <w:p w14:paraId="528CD2B2" w14:textId="77777777" w:rsidR="00746219" w:rsidRDefault="007462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80D7E" w14:textId="77777777" w:rsidR="00905C33" w:rsidRPr="00905C33" w:rsidRDefault="00905C33" w:rsidP="00905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6A79D" w14:textId="1953F984" w:rsidR="00B73D64" w:rsidRPr="00905C33" w:rsidRDefault="00905C33" w:rsidP="00905C33">
    <w:pPr>
      <w:pStyle w:val="FooterCoverPage"/>
      <w:rPr>
        <w:rFonts w:ascii="Arial" w:hAnsi="Arial" w:cs="Arial"/>
        <w:b/>
        <w:sz w:val="48"/>
      </w:rPr>
    </w:pPr>
    <w:r w:rsidRPr="00905C33">
      <w:rPr>
        <w:rFonts w:ascii="Arial" w:hAnsi="Arial" w:cs="Arial"/>
        <w:b/>
        <w:sz w:val="48"/>
      </w:rPr>
      <w:t>RO</w:t>
    </w:r>
    <w:r w:rsidRPr="00905C33">
      <w:rPr>
        <w:rFonts w:ascii="Arial" w:hAnsi="Arial" w:cs="Arial"/>
        <w:b/>
        <w:sz w:val="48"/>
      </w:rPr>
      <w:tab/>
    </w:r>
    <w:r w:rsidRPr="00905C33">
      <w:rPr>
        <w:rFonts w:ascii="Arial" w:hAnsi="Arial" w:cs="Arial"/>
        <w:b/>
        <w:sz w:val="48"/>
      </w:rPr>
      <w:tab/>
    </w:r>
    <w:r w:rsidRPr="00905C33">
      <w:tab/>
    </w:r>
    <w:r w:rsidRPr="00905C3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525E9" w14:textId="77777777" w:rsidR="00905C33" w:rsidRPr="00905C33" w:rsidRDefault="00905C33" w:rsidP="00905C3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3901C" w14:textId="77777777" w:rsidR="000A3A79" w:rsidRDefault="000A3A7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6037561"/>
      <w:docPartObj>
        <w:docPartGallery w:val="Page Numbers (Bottom of Page)"/>
        <w:docPartUnique/>
      </w:docPartObj>
    </w:sdtPr>
    <w:sdtEndPr/>
    <w:sdtContent>
      <w:p w14:paraId="5148854F" w14:textId="26E66A0E" w:rsidR="000A3A79" w:rsidRDefault="000A3A79" w:rsidP="006C6E01">
        <w:pPr>
          <w:pStyle w:val="Footer"/>
          <w:shd w:val="clear" w:color="auto" w:fill="FFFFFF" w:themeFill="background1"/>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905C33">
          <w:rPr>
            <w:noProof/>
          </w:rPr>
          <w:t>1</w:t>
        </w:r>
        <w:r>
          <w:rPr>
            <w:color w:val="2B579A"/>
            <w:shd w:val="clear" w:color="auto" w:fill="E6E6E6"/>
          </w:rPr>
          <w:fldChar w:fldCharType="end"/>
        </w:r>
      </w:p>
    </w:sdtContent>
  </w:sdt>
  <w:p w14:paraId="662EFD7D" w14:textId="77777777" w:rsidR="000A3A79" w:rsidRDefault="000A3A7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5A86F" w14:textId="77777777" w:rsidR="000A3A79" w:rsidRDefault="000A3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764708" w14:textId="77777777" w:rsidR="00746219" w:rsidRDefault="00746219" w:rsidP="00FE3E5E">
      <w:pPr>
        <w:spacing w:after="0" w:line="240" w:lineRule="auto"/>
      </w:pPr>
      <w:r>
        <w:separator/>
      </w:r>
    </w:p>
  </w:footnote>
  <w:footnote w:type="continuationSeparator" w:id="0">
    <w:p w14:paraId="10FF8083" w14:textId="77777777" w:rsidR="00746219" w:rsidRDefault="00746219" w:rsidP="00FE3E5E">
      <w:pPr>
        <w:spacing w:after="0" w:line="240" w:lineRule="auto"/>
      </w:pPr>
      <w:r>
        <w:continuationSeparator/>
      </w:r>
    </w:p>
  </w:footnote>
  <w:footnote w:type="continuationNotice" w:id="1">
    <w:p w14:paraId="3D4E15ED" w14:textId="77777777" w:rsidR="00746219" w:rsidRDefault="00746219">
      <w:pPr>
        <w:spacing w:after="0" w:line="240" w:lineRule="auto"/>
      </w:pPr>
    </w:p>
  </w:footnote>
  <w:footnote w:id="2">
    <w:p w14:paraId="1AE5C618" w14:textId="230E22DE" w:rsidR="000A3A79" w:rsidRPr="000F21D0" w:rsidRDefault="000A3A79" w:rsidP="007A61E3">
      <w:pPr>
        <w:pStyle w:val="FootnoteText"/>
        <w:jc w:val="both"/>
        <w:rPr>
          <w:rFonts w:ascii="Times New Roman" w:hAnsi="Times New Roman" w:cs="Times New Roman"/>
          <w:lang w:val="ro-RO"/>
        </w:rPr>
      </w:pPr>
      <w:r w:rsidRPr="000F21D0">
        <w:rPr>
          <w:rStyle w:val="FootnoteReference"/>
          <w:lang w:val="ro-RO"/>
        </w:rPr>
        <w:footnoteRef/>
      </w:r>
      <w:r w:rsidR="00FB662A">
        <w:rPr>
          <w:lang w:val="ro-RO"/>
        </w:rPr>
        <w:t xml:space="preserve"> </w:t>
      </w:r>
      <w:r w:rsidRPr="000F21D0">
        <w:rPr>
          <w:rFonts w:ascii="Times New Roman" w:hAnsi="Times New Roman"/>
          <w:lang w:val="ro-RO"/>
        </w:rPr>
        <w:t>Măsurată în termeni de paritate a puterii de cumpărare, perspectiva economică globală a FMI (</w:t>
      </w:r>
      <w:r w:rsidRPr="000F21D0">
        <w:rPr>
          <w:rFonts w:ascii="Times New Roman" w:hAnsi="Times New Roman"/>
          <w:i/>
          <w:iCs/>
          <w:lang w:val="ro-RO"/>
        </w:rPr>
        <w:t>IMF World Economic Outlook</w:t>
      </w:r>
      <w:r w:rsidRPr="000F21D0">
        <w:rPr>
          <w:rFonts w:ascii="Times New Roman" w:hAnsi="Times New Roman"/>
          <w:lang w:val="ro-RO"/>
        </w:rPr>
        <w:t>).</w:t>
      </w:r>
    </w:p>
  </w:footnote>
  <w:footnote w:id="3">
    <w:p w14:paraId="12AD60F1" w14:textId="12B4A239" w:rsidR="000A3A79" w:rsidRPr="000F21D0" w:rsidRDefault="000A3A79">
      <w:pPr>
        <w:pStyle w:val="FootnoteText"/>
        <w:rPr>
          <w:lang w:val="ro-RO"/>
        </w:rPr>
      </w:pPr>
      <w:r w:rsidRPr="000F21D0">
        <w:rPr>
          <w:rStyle w:val="FootnoteReference"/>
          <w:lang w:val="ro-RO"/>
        </w:rPr>
        <w:footnoteRef/>
      </w:r>
      <w:r w:rsidR="00FB662A">
        <w:rPr>
          <w:lang w:val="ro-RO"/>
        </w:rPr>
        <w:t xml:space="preserve"> </w:t>
      </w:r>
      <w:r w:rsidRPr="000F21D0">
        <w:rPr>
          <w:rFonts w:ascii="Times New Roman" w:hAnsi="Times New Roman"/>
          <w:lang w:val="ro-RO"/>
        </w:rPr>
        <w:t>Inclusiv cele demografice.</w:t>
      </w:r>
    </w:p>
  </w:footnote>
  <w:footnote w:id="4">
    <w:p w14:paraId="46F669E1" w14:textId="261BB245" w:rsidR="000A3A79" w:rsidRPr="000F21D0" w:rsidRDefault="000A3A79" w:rsidP="007A61E3">
      <w:pPr>
        <w:pStyle w:val="Footnote"/>
        <w:jc w:val="both"/>
        <w:rPr>
          <w:rFonts w:cs="Times New Roman"/>
          <w:lang w:val="ro-RO"/>
        </w:rPr>
      </w:pPr>
      <w:r w:rsidRPr="000F21D0">
        <w:rPr>
          <w:rStyle w:val="FootnoteReference"/>
          <w:rFonts w:cs="Times New Roman"/>
          <w:lang w:val="ro-RO"/>
        </w:rPr>
        <w:footnoteRef/>
      </w:r>
      <w:r w:rsidR="00FB662A">
        <w:rPr>
          <w:lang w:val="ro-RO"/>
        </w:rPr>
        <w:t xml:space="preserve"> </w:t>
      </w:r>
      <w:r w:rsidRPr="000F21D0">
        <w:rPr>
          <w:lang w:val="ro-RO"/>
        </w:rPr>
        <w:t>Rezoluția Parlamentului European din 18 ianuarie 2023 referitoare la cea de a 30-a aniversare a pieței unice: sărbătorirea realizărilor și perspective pentru evoluții viitoare, P9_TA(2023)0007.</w:t>
      </w:r>
    </w:p>
  </w:footnote>
  <w:footnote w:id="5">
    <w:p w14:paraId="7648B321" w14:textId="4330A76A" w:rsidR="000A3A79" w:rsidRPr="00DE7CC2" w:rsidRDefault="000A3A79" w:rsidP="007A61E3">
      <w:pPr>
        <w:pStyle w:val="FootnoteText"/>
        <w:jc w:val="both"/>
        <w:rPr>
          <w:rFonts w:ascii="Times New Roman" w:hAnsi="Times New Roman" w:cs="Times New Roman"/>
          <w:lang w:val="ro-RO"/>
        </w:rPr>
      </w:pPr>
      <w:r w:rsidRPr="000F21D0">
        <w:rPr>
          <w:rStyle w:val="FootnoteReference"/>
          <w:rFonts w:ascii="Times New Roman" w:hAnsi="Times New Roman" w:cs="Times New Roman"/>
          <w:lang w:val="ro-RO"/>
        </w:rPr>
        <w:footnoteRef/>
      </w:r>
      <w:r w:rsidR="00FB662A">
        <w:rPr>
          <w:rFonts w:ascii="Times New Roman" w:hAnsi="Times New Roman"/>
          <w:lang w:val="ro-RO"/>
        </w:rPr>
        <w:t xml:space="preserve"> </w:t>
      </w:r>
      <w:hyperlink r:id="rId1" w:history="1">
        <w:r w:rsidRPr="00DE7CC2">
          <w:rPr>
            <w:rStyle w:val="Hyperlink"/>
            <w:rFonts w:ascii="Times New Roman" w:hAnsi="Times New Roman"/>
            <w:color w:val="auto"/>
            <w:u w:val="none"/>
            <w:lang w:val="ro-RO"/>
          </w:rPr>
          <w:t>Concluziile</w:t>
        </w:r>
        <w:bookmarkStart w:id="2" w:name="_Hlt127732507"/>
        <w:bookmarkStart w:id="3" w:name="_Hlt127732508"/>
        <w:bookmarkEnd w:id="2"/>
        <w:bookmarkEnd w:id="3"/>
        <w:r w:rsidR="00FB662A" w:rsidRPr="00DE7CC2">
          <w:rPr>
            <w:rStyle w:val="Hyperlink"/>
            <w:rFonts w:ascii="Times New Roman" w:hAnsi="Times New Roman"/>
            <w:color w:val="auto"/>
            <w:u w:val="none"/>
            <w:lang w:val="ro-RO"/>
          </w:rPr>
          <w:t xml:space="preserve"> </w:t>
        </w:r>
        <w:r w:rsidRPr="00DE7CC2">
          <w:rPr>
            <w:rStyle w:val="Hyperlink"/>
            <w:rFonts w:ascii="Times New Roman" w:hAnsi="Times New Roman"/>
            <w:color w:val="auto"/>
            <w:u w:val="none"/>
            <w:lang w:val="ro-RO"/>
          </w:rPr>
          <w:t>Consiliului European, 9 februarie 2023</w:t>
        </w:r>
      </w:hyperlink>
      <w:r w:rsidRPr="00DE7CC2">
        <w:rPr>
          <w:rFonts w:ascii="Times New Roman" w:hAnsi="Times New Roman"/>
          <w:lang w:val="ro-RO"/>
        </w:rPr>
        <w:t>.</w:t>
      </w:r>
    </w:p>
  </w:footnote>
  <w:footnote w:id="6">
    <w:p w14:paraId="12ED97AF" w14:textId="69642D74" w:rsidR="000A3A79" w:rsidRPr="000F21D0" w:rsidRDefault="000A3A79" w:rsidP="007A61E3">
      <w:pPr>
        <w:pStyle w:val="Footnote"/>
        <w:jc w:val="both"/>
        <w:rPr>
          <w:rFonts w:cs="Times New Roman"/>
          <w:lang w:val="ro-RO"/>
        </w:rPr>
      </w:pPr>
      <w:r w:rsidRPr="000F21D0">
        <w:rPr>
          <w:rStyle w:val="FootnoteReference"/>
          <w:rFonts w:cs="Times New Roman"/>
          <w:lang w:val="ro-RO"/>
        </w:rPr>
        <w:footnoteRef/>
      </w:r>
      <w:r w:rsidR="00FB662A">
        <w:rPr>
          <w:lang w:val="ro-RO"/>
        </w:rPr>
        <w:t xml:space="preserve"> </w:t>
      </w:r>
      <w:r w:rsidRPr="000F21D0">
        <w:rPr>
          <w:i/>
          <w:iCs/>
          <w:lang w:val="ro-RO"/>
        </w:rPr>
        <w:t>Mapping the Cost of Non-Europe 2019-24</w:t>
      </w:r>
      <w:r w:rsidRPr="000F21D0">
        <w:rPr>
          <w:lang w:val="ro-RO"/>
        </w:rPr>
        <w:t xml:space="preserve"> (Reprezentarea costului „non-Europei”), Studiu al Serviciului de Cercetare al Parlamentului European, 2019.</w:t>
      </w:r>
    </w:p>
  </w:footnote>
  <w:footnote w:id="7">
    <w:p w14:paraId="5E0CE363" w14:textId="77777777" w:rsidR="000A3A79" w:rsidRPr="000F21D0" w:rsidRDefault="000A3A79" w:rsidP="00DD30E4">
      <w:pPr>
        <w:pStyle w:val="Footnote"/>
        <w:rPr>
          <w:rFonts w:cs="Times New Roman"/>
          <w:lang w:val="ro-RO"/>
        </w:rPr>
      </w:pPr>
      <w:r w:rsidRPr="000F21D0">
        <w:rPr>
          <w:rStyle w:val="FootnoteReference"/>
          <w:lang w:val="ro-RO"/>
        </w:rPr>
        <w:footnoteRef/>
      </w:r>
      <w:r w:rsidRPr="000F21D0">
        <w:rPr>
          <w:lang w:val="ro-RO"/>
        </w:rPr>
        <w:t xml:space="preserve"> Acest rol global al pieței unice este recunoscut în rezoluția PE (a se vedea punctul 9).</w:t>
      </w:r>
    </w:p>
  </w:footnote>
  <w:footnote w:id="8">
    <w:p w14:paraId="696F2862" w14:textId="54BA4E62" w:rsidR="000A3A79" w:rsidRPr="000F21D0" w:rsidRDefault="000A3A79" w:rsidP="00FF62BA">
      <w:pPr>
        <w:pStyle w:val="Footnote"/>
        <w:rPr>
          <w:lang w:val="ro-RO"/>
        </w:rPr>
      </w:pPr>
      <w:r w:rsidRPr="000F21D0">
        <w:rPr>
          <w:rStyle w:val="FootnoteReference"/>
          <w:rFonts w:cs="Times New Roman"/>
          <w:lang w:val="ro-RO"/>
        </w:rPr>
        <w:footnoteRef/>
      </w:r>
      <w:r w:rsidR="00FB662A">
        <w:rPr>
          <w:lang w:val="ro-RO"/>
        </w:rPr>
        <w:t xml:space="preserve"> </w:t>
      </w:r>
      <w:r w:rsidRPr="000F21D0">
        <w:rPr>
          <w:lang w:val="ro-RO"/>
        </w:rPr>
        <w:t xml:space="preserve">Agenția pentru Cooperarea Autorităților de Reglementare din Domeniul Energiei: </w:t>
      </w:r>
      <w:hyperlink r:id="rId2" w:history="1">
        <w:r w:rsidRPr="000F21D0">
          <w:rPr>
            <w:rStyle w:val="Hyperlink"/>
            <w:lang w:val="ro-RO"/>
          </w:rPr>
          <w:t>https://www.acer.europa.eu/events-and-engagement/news/press-release-acer-publishes-its-final-assessment-eu-wholesale</w:t>
        </w:r>
      </w:hyperlink>
      <w:r w:rsidRPr="000F21D0">
        <w:rPr>
          <w:lang w:val="ro-RO"/>
        </w:rPr>
        <w:t>.</w:t>
      </w:r>
      <w:r w:rsidRPr="000F21D0">
        <w:rPr>
          <w:rStyle w:val="Hyperlink"/>
          <w:lang w:val="ro-RO"/>
        </w:rPr>
        <w:t xml:space="preserve"> </w:t>
      </w:r>
    </w:p>
  </w:footnote>
  <w:footnote w:id="9">
    <w:p w14:paraId="24BF5AA3" w14:textId="4181FE89" w:rsidR="000A3A79" w:rsidRPr="000F21D0" w:rsidRDefault="000A3A79" w:rsidP="005E7410">
      <w:pPr>
        <w:pStyle w:val="Footnote"/>
        <w:rPr>
          <w:lang w:val="ro-RO"/>
        </w:rPr>
      </w:pPr>
      <w:r w:rsidRPr="000F21D0">
        <w:rPr>
          <w:rStyle w:val="FootnoteReference"/>
          <w:lang w:val="ro-RO"/>
        </w:rPr>
        <w:footnoteRef/>
      </w:r>
      <w:r w:rsidR="00FB662A">
        <w:rPr>
          <w:lang w:val="ro-RO"/>
        </w:rPr>
        <w:t xml:space="preserve"> </w:t>
      </w:r>
      <w:r w:rsidRPr="000F21D0">
        <w:rPr>
          <w:lang w:val="ro-RO"/>
        </w:rPr>
        <w:t>Sistemul de informare al pieței interne https://ec.europa.eu/internal_market/imi-net/index_ro.htm.</w:t>
      </w:r>
    </w:p>
  </w:footnote>
  <w:footnote w:id="10">
    <w:p w14:paraId="5C04E1F9" w14:textId="61581DFF" w:rsidR="000A3A79" w:rsidRPr="000F21D0" w:rsidRDefault="000A3A79" w:rsidP="005E7410">
      <w:pPr>
        <w:pStyle w:val="Footnote"/>
        <w:rPr>
          <w:lang w:val="ro-RO"/>
        </w:rPr>
      </w:pPr>
      <w:r w:rsidRPr="000F21D0">
        <w:rPr>
          <w:rStyle w:val="FootnoteReference"/>
          <w:lang w:val="ro-RO"/>
        </w:rPr>
        <w:footnoteRef/>
      </w:r>
      <w:r w:rsidR="00FB662A">
        <w:rPr>
          <w:lang w:val="ro-RO"/>
        </w:rPr>
        <w:t xml:space="preserve"> </w:t>
      </w:r>
      <w:hyperlink r:id="rId3" w:history="1">
        <w:r w:rsidRPr="000F21D0">
          <w:rPr>
            <w:rStyle w:val="Hyperlink"/>
            <w:lang w:val="ro-RO"/>
          </w:rPr>
          <w:t>Tabloul de bord al pieței unice pentru 2022</w:t>
        </w:r>
      </w:hyperlink>
      <w:r w:rsidRPr="000F21D0">
        <w:rPr>
          <w:rStyle w:val="normaltextrun"/>
          <w:sz w:val="22"/>
          <w:lang w:val="ro-RO"/>
        </w:rPr>
        <w:t xml:space="preserve">, </w:t>
      </w:r>
      <w:r w:rsidRPr="000F21D0">
        <w:rPr>
          <w:rStyle w:val="normaltextrun"/>
          <w:lang w:val="ro-RO"/>
        </w:rPr>
        <w:t>Performanța globală a IMI.</w:t>
      </w:r>
    </w:p>
  </w:footnote>
  <w:footnote w:id="11">
    <w:p w14:paraId="4882032A" w14:textId="2F0DC4D5" w:rsidR="000A3A79" w:rsidRPr="000F21D0" w:rsidRDefault="000A3A79" w:rsidP="00DD30E4">
      <w:pPr>
        <w:pStyle w:val="Footnote"/>
        <w:rPr>
          <w:lang w:val="ro-RO"/>
        </w:rPr>
      </w:pPr>
      <w:r w:rsidRPr="000F21D0">
        <w:rPr>
          <w:rStyle w:val="FootnoteReference"/>
          <w:lang w:val="ro-RO"/>
        </w:rPr>
        <w:footnoteRef/>
      </w:r>
      <w:r w:rsidR="00FB662A">
        <w:rPr>
          <w:lang w:val="ro-RO"/>
        </w:rPr>
        <w:t xml:space="preserve"> </w:t>
      </w:r>
      <w:r w:rsidRPr="000F21D0">
        <w:rPr>
          <w:lang w:val="ro-RO"/>
        </w:rPr>
        <w:t xml:space="preserve">Pentru mai multe informații, a se vedea </w:t>
      </w:r>
      <w:hyperlink r:id="rId4" w:history="1">
        <w:r w:rsidRPr="000F21D0">
          <w:rPr>
            <w:rStyle w:val="Hyperlink"/>
            <w:lang w:val="ro-RO"/>
          </w:rPr>
          <w:t>Identitatea digitală europeană (europa.eu)</w:t>
        </w:r>
      </w:hyperlink>
      <w:r w:rsidRPr="000F21D0">
        <w:rPr>
          <w:lang w:val="ro-RO"/>
        </w:rPr>
        <w:t>.</w:t>
      </w:r>
    </w:p>
  </w:footnote>
  <w:footnote w:id="12">
    <w:p w14:paraId="3CBE20A5" w14:textId="23785691" w:rsidR="000A3A79" w:rsidRPr="000F21D0" w:rsidRDefault="000A3A79" w:rsidP="00413D85">
      <w:pPr>
        <w:pStyle w:val="FootnoteText"/>
        <w:rPr>
          <w:rFonts w:ascii="Times New Roman" w:hAnsi="Times New Roman" w:cs="Times New Roman"/>
          <w:lang w:val="ro-RO"/>
        </w:rPr>
      </w:pPr>
      <w:r w:rsidRPr="000F21D0">
        <w:rPr>
          <w:rStyle w:val="FootnoteReference"/>
          <w:rFonts w:ascii="Times New Roman" w:hAnsi="Times New Roman" w:cs="Times New Roman"/>
          <w:lang w:val="ro-RO"/>
        </w:rPr>
        <w:footnoteRef/>
      </w:r>
      <w:r w:rsidR="00FB662A">
        <w:rPr>
          <w:rFonts w:ascii="Times New Roman" w:hAnsi="Times New Roman"/>
          <w:lang w:val="ro-RO"/>
        </w:rPr>
        <w:t xml:space="preserve"> </w:t>
      </w:r>
      <w:r w:rsidRPr="000F21D0">
        <w:rPr>
          <w:rFonts w:ascii="Times New Roman" w:hAnsi="Times New Roman"/>
          <w:lang w:val="ro-RO"/>
        </w:rPr>
        <w:t xml:space="preserve">Pentru mai multe informații, a se vedea </w:t>
      </w:r>
      <w:hyperlink r:id="rId5" w:history="1">
        <w:r w:rsidRPr="000F21D0">
          <w:rPr>
            <w:rStyle w:val="Hyperlink"/>
            <w:rFonts w:ascii="Times New Roman" w:hAnsi="Times New Roman"/>
            <w:lang w:val="ro-RO"/>
          </w:rPr>
          <w:t>Decizia privind programul de politică pentru 2030 „Calea către deceniul digital”</w:t>
        </w:r>
      </w:hyperlink>
      <w:r w:rsidRPr="000F21D0">
        <w:rPr>
          <w:rStyle w:val="Hyperlink"/>
          <w:rFonts w:ascii="Times New Roman" w:hAnsi="Times New Roman"/>
          <w:lang w:val="ro-RO"/>
        </w:rPr>
        <w:t>.</w:t>
      </w:r>
    </w:p>
  </w:footnote>
  <w:footnote w:id="13">
    <w:p w14:paraId="7A6E9597" w14:textId="4E0C5D23" w:rsidR="000A3A79" w:rsidRPr="000F21D0" w:rsidRDefault="000A3A79" w:rsidP="00DD30E4">
      <w:pPr>
        <w:pStyle w:val="Footnote"/>
        <w:rPr>
          <w:lang w:val="ro-RO"/>
        </w:rPr>
      </w:pPr>
      <w:r w:rsidRPr="000F21D0">
        <w:rPr>
          <w:rStyle w:val="FootnoteReference"/>
          <w:lang w:val="ro-RO"/>
        </w:rPr>
        <w:footnoteRef/>
      </w:r>
      <w:r w:rsidR="00FB662A">
        <w:rPr>
          <w:lang w:val="ro-RO"/>
        </w:rPr>
        <w:t xml:space="preserve"> </w:t>
      </w:r>
      <w:r w:rsidRPr="000F21D0">
        <w:rPr>
          <w:lang w:val="ro-RO"/>
        </w:rPr>
        <w:t>PIB la prețuri curente.</w:t>
      </w:r>
    </w:p>
  </w:footnote>
  <w:footnote w:id="14">
    <w:p w14:paraId="7F6DC128" w14:textId="6678ED58" w:rsidR="000A3A79" w:rsidRPr="000F21D0" w:rsidRDefault="000A3A79" w:rsidP="00F17E86">
      <w:pPr>
        <w:pStyle w:val="Footnote"/>
        <w:jc w:val="both"/>
        <w:rPr>
          <w:lang w:val="ro-RO"/>
        </w:rPr>
      </w:pPr>
      <w:r w:rsidRPr="000F21D0">
        <w:rPr>
          <w:rStyle w:val="FootnoteReference"/>
          <w:lang w:val="ro-RO"/>
        </w:rPr>
        <w:footnoteRef/>
      </w:r>
      <w:r w:rsidR="00FB662A">
        <w:rPr>
          <w:lang w:val="ro-RO"/>
        </w:rPr>
        <w:t xml:space="preserve"> </w:t>
      </w:r>
      <w:r w:rsidRPr="000F21D0">
        <w:rPr>
          <w:lang w:val="ro-RO"/>
        </w:rPr>
        <w:t>Cu excepția sectorului financiar.</w:t>
      </w:r>
    </w:p>
  </w:footnote>
  <w:footnote w:id="15">
    <w:p w14:paraId="35DA4C1E" w14:textId="2EC6AB17" w:rsidR="000A3A79" w:rsidRPr="000F21D0" w:rsidRDefault="000A3A79" w:rsidP="00F17E86">
      <w:pPr>
        <w:pStyle w:val="Footnote"/>
        <w:jc w:val="both"/>
        <w:rPr>
          <w:rFonts w:ascii="Segoe UI" w:hAnsi="Segoe UI" w:cs="Segoe UI"/>
          <w:color w:val="333333"/>
          <w:lang w:val="ro-RO"/>
        </w:rPr>
      </w:pPr>
      <w:r w:rsidRPr="000F21D0">
        <w:rPr>
          <w:rStyle w:val="FootnoteReference"/>
          <w:lang w:val="ro-RO"/>
        </w:rPr>
        <w:footnoteRef/>
      </w:r>
      <w:r w:rsidR="00FB662A">
        <w:rPr>
          <w:lang w:val="ro-RO"/>
        </w:rPr>
        <w:t xml:space="preserve"> </w:t>
      </w:r>
      <w:r w:rsidRPr="001948FB">
        <w:rPr>
          <w:i/>
          <w:lang w:val="ro-RO"/>
        </w:rPr>
        <w:t>Celebrating 30 years of EU Single Market 1993-2023</w:t>
      </w:r>
      <w:r w:rsidRPr="000F21D0">
        <w:rPr>
          <w:lang w:val="ro-RO"/>
        </w:rPr>
        <w:t xml:space="preserve"> (Cea de a 30-a aniversare a pieței unice a UE 1993-2023), Eurostat: </w:t>
      </w:r>
      <w:hyperlink r:id="rId6" w:tgtFrame="_blank" w:tooltip="https://ec.europa.eu/eurostat/web/products-eurostat-news/w/edn-20221206-1" w:history="1">
        <w:r w:rsidRPr="000F21D0">
          <w:rPr>
            <w:rStyle w:val="Hyperlink"/>
            <w:color w:val="0000EE"/>
            <w:lang w:val="ro-RO"/>
          </w:rPr>
          <w:t>https://ec.europa.eu/eurostat/web/products-eurostat-news/w/edn-20221206-1</w:t>
        </w:r>
      </w:hyperlink>
      <w:r w:rsidRPr="000F21D0">
        <w:rPr>
          <w:rFonts w:ascii="Segoe UI" w:hAnsi="Segoe UI"/>
          <w:color w:val="333333"/>
          <w:lang w:val="ro-RO"/>
        </w:rPr>
        <w:t>.</w:t>
      </w:r>
    </w:p>
    <w:p w14:paraId="30980CC0" w14:textId="066FF926" w:rsidR="000A3A79" w:rsidRPr="000F21D0" w:rsidRDefault="000A3A79" w:rsidP="00F17E86">
      <w:pPr>
        <w:pStyle w:val="Footnote"/>
        <w:jc w:val="both"/>
        <w:rPr>
          <w:lang w:val="ro-RO"/>
        </w:rPr>
      </w:pPr>
      <w:r w:rsidRPr="000F21D0">
        <w:rPr>
          <w:lang w:val="ro-RO"/>
        </w:rPr>
        <w:t>Această cifră acoperă „sectorul întreprinderilor nefinanciare” (secțiunile B-N și diviziunea 95 din NACE Rev. 2, cu excepția secțiunii K), care include: industrie, construcții, comerț distributiv, servicii nefinanciare.</w:t>
      </w:r>
    </w:p>
  </w:footnote>
  <w:footnote w:id="16">
    <w:p w14:paraId="542DE6E8" w14:textId="15875586" w:rsidR="000A3A79" w:rsidRPr="000F21D0" w:rsidRDefault="000A3A79" w:rsidP="00F17E86">
      <w:pPr>
        <w:pStyle w:val="Footnote"/>
        <w:jc w:val="both"/>
        <w:rPr>
          <w:lang w:val="ro-RO"/>
        </w:rPr>
      </w:pPr>
      <w:r w:rsidRPr="000F21D0">
        <w:rPr>
          <w:rStyle w:val="FootnoteReference"/>
          <w:lang w:val="ro-RO"/>
        </w:rPr>
        <w:footnoteRef/>
      </w:r>
      <w:r w:rsidR="00FB662A">
        <w:rPr>
          <w:lang w:val="ro-RO"/>
        </w:rPr>
        <w:t xml:space="preserve"> </w:t>
      </w:r>
      <w:r w:rsidRPr="000F21D0">
        <w:rPr>
          <w:lang w:val="ro-RO"/>
        </w:rPr>
        <w:t>Documentul de dezbatere nr. 094:</w:t>
      </w:r>
      <w:r w:rsidRPr="000F21D0">
        <w:rPr>
          <w:sz w:val="16"/>
          <w:lang w:val="ro-RO"/>
        </w:rPr>
        <w:t xml:space="preserve"> </w:t>
      </w:r>
      <w:hyperlink r:id="rId7" w:history="1">
        <w:r w:rsidRPr="000F21D0">
          <w:rPr>
            <w:rStyle w:val="Hyperlink"/>
            <w:i/>
            <w:iCs/>
            <w:lang w:val="ro-RO"/>
          </w:rPr>
          <w:t>Quantifying the Economic Effects of the Single Market in a Structural Macromodel</w:t>
        </w:r>
        <w:r w:rsidRPr="000F21D0">
          <w:rPr>
            <w:rStyle w:val="Hyperlink"/>
            <w:lang w:val="ro-RO"/>
          </w:rPr>
          <w:t xml:space="preserve"> (europa.eu)</w:t>
        </w:r>
      </w:hyperlink>
      <w:r w:rsidRPr="000F21D0">
        <w:rPr>
          <w:rStyle w:val="Hyperlink"/>
          <w:lang w:val="ro-RO"/>
        </w:rPr>
        <w:t>,</w:t>
      </w:r>
      <w:r w:rsidRPr="000F21D0">
        <w:rPr>
          <w:lang w:val="ro-RO"/>
        </w:rPr>
        <w:t xml:space="preserve"> (Cuantificarea efectelor economice ale pieței unice într-un macromodel structural) Jan in’t Veld, 2019.</w:t>
      </w:r>
    </w:p>
  </w:footnote>
  <w:footnote w:id="17">
    <w:p w14:paraId="0000453A" w14:textId="0C7DE23C" w:rsidR="000A3A79" w:rsidRPr="000F21D0" w:rsidRDefault="000A3A79" w:rsidP="00F17E86">
      <w:pPr>
        <w:pStyle w:val="Footnote"/>
        <w:jc w:val="both"/>
        <w:rPr>
          <w:lang w:val="ro-RO"/>
        </w:rPr>
      </w:pPr>
      <w:r w:rsidRPr="000F21D0">
        <w:rPr>
          <w:rStyle w:val="FootnoteReference"/>
          <w:lang w:val="ro-RO"/>
        </w:rPr>
        <w:footnoteRef/>
      </w:r>
      <w:r w:rsidR="00FB662A">
        <w:rPr>
          <w:lang w:val="ro-RO"/>
        </w:rPr>
        <w:t xml:space="preserve"> </w:t>
      </w:r>
      <w:r w:rsidRPr="000F21D0">
        <w:rPr>
          <w:lang w:val="ro-RO"/>
        </w:rPr>
        <w:t xml:space="preserve">Sursă: Ministerul Industriei, Întreprinderilor și Afacerilor Financiare din Danemarca: </w:t>
      </w:r>
      <w:hyperlink r:id="rId8" w:history="1">
        <w:r w:rsidR="004B1359">
          <w:rPr>
            <w:rStyle w:val="Hyperlink"/>
            <w:lang w:val="ro-RO"/>
          </w:rPr>
          <w:t>The Single Market accounts for 56 million jobs across the EU</w:t>
        </w:r>
      </w:hyperlink>
      <w:r w:rsidRPr="000F21D0">
        <w:rPr>
          <w:lang w:val="ro-RO"/>
        </w:rPr>
        <w:t xml:space="preserve"> (Piața unică reprezintă 56 de milioane de locuri de muncă în întreaga UE)</w:t>
      </w:r>
      <w:r w:rsidR="004B1359">
        <w:rPr>
          <w:lang w:val="ro-RO"/>
        </w:rPr>
        <w:t>.</w:t>
      </w:r>
      <w:r w:rsidRPr="000F21D0">
        <w:rPr>
          <w:lang w:val="ro-RO"/>
        </w:rPr>
        <w:t xml:space="preserve"> </w:t>
      </w:r>
    </w:p>
  </w:footnote>
  <w:footnote w:id="18">
    <w:p w14:paraId="556B4974" w14:textId="1A071827" w:rsidR="000A3A79" w:rsidRPr="000F21D0" w:rsidRDefault="000A3A79" w:rsidP="001D58DF">
      <w:pPr>
        <w:pStyle w:val="FootnoteText"/>
        <w:rPr>
          <w:lang w:val="ro-RO"/>
        </w:rPr>
      </w:pPr>
      <w:r w:rsidRPr="000F21D0">
        <w:rPr>
          <w:rStyle w:val="FootnoteReference"/>
          <w:lang w:val="ro-RO"/>
        </w:rPr>
        <w:footnoteRef/>
      </w:r>
      <w:r w:rsidR="00FB662A">
        <w:rPr>
          <w:lang w:val="ro-RO"/>
        </w:rPr>
        <w:t xml:space="preserve"> </w:t>
      </w:r>
      <w:r w:rsidRPr="000F21D0">
        <w:rPr>
          <w:rFonts w:ascii="Times New Roman" w:hAnsi="Times New Roman"/>
          <w:lang w:val="ro-RO"/>
        </w:rPr>
        <w:t>Angajați în cadrul societăților care exportă servicii sau furnizează sectorului exportator bunuri și servicii intermediare.</w:t>
      </w:r>
    </w:p>
  </w:footnote>
  <w:footnote w:id="19">
    <w:p w14:paraId="15ACDBA3" w14:textId="21794AA4" w:rsidR="000A3A79" w:rsidRPr="000F21D0" w:rsidRDefault="000A3A79" w:rsidP="00093757">
      <w:pPr>
        <w:pStyle w:val="FootnoteText"/>
        <w:jc w:val="both"/>
        <w:rPr>
          <w:rFonts w:ascii="Times New Roman" w:hAnsi="Times New Roman" w:cs="Times New Roman"/>
          <w:lang w:val="ro-RO"/>
        </w:rPr>
      </w:pPr>
      <w:r w:rsidRPr="000F21D0">
        <w:rPr>
          <w:rStyle w:val="FootnoteReference"/>
          <w:rFonts w:ascii="Times New Roman" w:hAnsi="Times New Roman" w:cs="Times New Roman"/>
          <w:lang w:val="ro-RO"/>
        </w:rPr>
        <w:footnoteRef/>
      </w:r>
      <w:r w:rsidR="00FB662A">
        <w:rPr>
          <w:lang w:val="ro-RO"/>
        </w:rPr>
        <w:t xml:space="preserve"> </w:t>
      </w:r>
      <w:r w:rsidRPr="000F21D0">
        <w:rPr>
          <w:rFonts w:ascii="Times New Roman" w:hAnsi="Times New Roman"/>
          <w:lang w:val="ro-RO"/>
        </w:rPr>
        <w:t xml:space="preserve">Sursă: „Cross border services in the internal market: an important contribution to economic and social cohesion” (Serviciile transfrontaliere în cadrul pieței interne: o contribuție importantă la coeziunea economică și socială), studiu realizat de Manuel Fritsch și Dr. Roman Bertenrath (2019); </w:t>
      </w:r>
      <w:hyperlink r:id="rId9" w:history="1">
        <w:r w:rsidRPr="000F21D0">
          <w:rPr>
            <w:rStyle w:val="Hyperlink"/>
            <w:rFonts w:ascii="Times New Roman" w:hAnsi="Times New Roman"/>
            <w:lang w:val="ro-RO"/>
          </w:rPr>
          <w:t>https://www.eesc.europa.eu/en/our-work/publications-other-work/publications/cross-border-services-internal-market-important-contribution-economic-and-social-cohesion</w:t>
        </w:r>
      </w:hyperlink>
      <w:r w:rsidRPr="000F21D0">
        <w:rPr>
          <w:rFonts w:ascii="Times New Roman" w:hAnsi="Times New Roman"/>
          <w:lang w:val="ro-RO"/>
        </w:rPr>
        <w:t>.</w:t>
      </w:r>
    </w:p>
  </w:footnote>
  <w:footnote w:id="20">
    <w:p w14:paraId="7DDF3758" w14:textId="04DA82DA" w:rsidR="000A3A79" w:rsidRPr="000F21D0" w:rsidRDefault="000A3A79" w:rsidP="00F17E86">
      <w:pPr>
        <w:pStyle w:val="Footnote"/>
        <w:jc w:val="both"/>
        <w:rPr>
          <w:lang w:val="ro-RO"/>
        </w:rPr>
      </w:pPr>
      <w:r w:rsidRPr="000F21D0">
        <w:rPr>
          <w:rStyle w:val="FootnoteReference"/>
          <w:rFonts w:cs="Times New Roman"/>
          <w:lang w:val="ro-RO"/>
        </w:rPr>
        <w:footnoteRef/>
      </w:r>
      <w:r w:rsidR="00FB662A">
        <w:rPr>
          <w:lang w:val="ro-RO"/>
        </w:rPr>
        <w:t xml:space="preserve"> </w:t>
      </w:r>
      <w:r w:rsidRPr="000F21D0">
        <w:rPr>
          <w:lang w:val="ro-RO"/>
        </w:rPr>
        <w:t>Sursă: Parson, C. și Smith, A. (2022) „The «completeness» of the EU Single Market in comparison to the United States” („Exhaustivitatea pieței unice a UE în comparație cu Statele Unite”), Single Market Economy Papers, WP7, Oficiul pentru Publicații al Comisiei Europene. A se vedea, de asemenea, secțiunea 2.4 cu privire la modul în care barierele fără caracter de reglementare sunt abordate în UE prin intermediul cooperării administrative și al instrumentelor digitale.</w:t>
      </w:r>
    </w:p>
  </w:footnote>
  <w:footnote w:id="21">
    <w:p w14:paraId="5C069406" w14:textId="7DBCE6B8" w:rsidR="000A3A79" w:rsidRPr="000F21D0" w:rsidRDefault="000A3A79" w:rsidP="00FC2FE2">
      <w:pPr>
        <w:pStyle w:val="FootnoteText"/>
        <w:jc w:val="both"/>
        <w:rPr>
          <w:lang w:val="ro-RO"/>
        </w:rPr>
      </w:pPr>
      <w:r w:rsidRPr="000F21D0">
        <w:rPr>
          <w:rStyle w:val="FootnoteReference"/>
          <w:lang w:val="ro-RO"/>
        </w:rPr>
        <w:footnoteRef/>
      </w:r>
      <w:r w:rsidR="00FB662A">
        <w:rPr>
          <w:lang w:val="ro-RO"/>
        </w:rPr>
        <w:t xml:space="preserve"> </w:t>
      </w:r>
      <w:r w:rsidRPr="000F21D0">
        <w:rPr>
          <w:rFonts w:ascii="Times New Roman" w:hAnsi="Times New Roman"/>
          <w:lang w:val="ro-RO"/>
        </w:rPr>
        <w:t xml:space="preserve">Sursă: Banca Centrală Europeană (2022), </w:t>
      </w:r>
      <w:r w:rsidRPr="000F21D0">
        <w:rPr>
          <w:rFonts w:ascii="Times New Roman" w:hAnsi="Times New Roman"/>
          <w:i/>
          <w:iCs/>
          <w:lang w:val="ro-RO"/>
        </w:rPr>
        <w:t>Financial Integration and Structure in the Euro Area</w:t>
      </w:r>
      <w:r w:rsidRPr="000F21D0">
        <w:rPr>
          <w:rFonts w:ascii="Times New Roman" w:hAnsi="Times New Roman"/>
          <w:lang w:val="ro-RO"/>
        </w:rPr>
        <w:t xml:space="preserve"> (Integrarea și structura financiară în zona euro), Raport tehnic, Banca Centrală Europeană, Frankfurt. Comisia Europeană (2022), Analiza stabilității și integrării financiare europene, document de lucru al serviciilor Comisiei, SWD(2022) 93 final, Comisia Europeană, Bruxelles.</w:t>
      </w:r>
    </w:p>
  </w:footnote>
  <w:footnote w:id="22">
    <w:p w14:paraId="209BA604" w14:textId="1867C773" w:rsidR="000A3A79" w:rsidRPr="000F21D0" w:rsidRDefault="000A3A79" w:rsidP="00FC2FE2">
      <w:pPr>
        <w:pStyle w:val="FootnoteText"/>
        <w:jc w:val="both"/>
        <w:rPr>
          <w:rFonts w:ascii="Times New Roman" w:hAnsi="Times New Roman" w:cs="Times New Roman"/>
          <w:lang w:val="ro-RO"/>
        </w:rPr>
      </w:pPr>
      <w:r w:rsidRPr="000F21D0">
        <w:rPr>
          <w:rStyle w:val="FootnoteReference"/>
          <w:rFonts w:ascii="Times New Roman" w:hAnsi="Times New Roman" w:cs="Times New Roman"/>
          <w:lang w:val="ro-RO"/>
        </w:rPr>
        <w:footnoteRef/>
      </w:r>
      <w:r w:rsidR="00FB662A">
        <w:rPr>
          <w:rFonts w:ascii="Times New Roman" w:hAnsi="Times New Roman"/>
          <w:lang w:val="ro-RO"/>
        </w:rPr>
        <w:t xml:space="preserve"> </w:t>
      </w:r>
      <w:r w:rsidRPr="000F21D0">
        <w:rPr>
          <w:rFonts w:ascii="Times New Roman" w:hAnsi="Times New Roman"/>
          <w:lang w:val="ro-RO"/>
        </w:rPr>
        <w:t xml:space="preserve">EURES este o rețea europeană de cooperare a serviciilor de ocupare a forței de muncă, menită să faciliteze libera circulație a lucrătorilor </w:t>
      </w:r>
      <w:hyperlink r:id="rId10" w:history="1">
        <w:r w:rsidRPr="000F21D0">
          <w:rPr>
            <w:rStyle w:val="Hyperlink"/>
            <w:rFonts w:ascii="Times New Roman" w:hAnsi="Times New Roman"/>
            <w:lang w:val="ro-RO"/>
          </w:rPr>
          <w:t>EURES (europa.eu)</w:t>
        </w:r>
      </w:hyperlink>
      <w:r w:rsidRPr="000F21D0">
        <w:rPr>
          <w:rStyle w:val="Hyperlink"/>
          <w:rFonts w:ascii="Times New Roman" w:hAnsi="Times New Roman"/>
          <w:lang w:val="ro-RO"/>
        </w:rPr>
        <w:t>.</w:t>
      </w:r>
    </w:p>
  </w:footnote>
  <w:footnote w:id="23">
    <w:p w14:paraId="373D6C5C" w14:textId="147FD3A8" w:rsidR="000A3A79" w:rsidRPr="00291DC3" w:rsidRDefault="000A3A79" w:rsidP="00611059">
      <w:pPr>
        <w:pStyle w:val="FootnoteText"/>
        <w:jc w:val="both"/>
        <w:rPr>
          <w:rFonts w:ascii="Times New Roman" w:hAnsi="Times New Roman" w:cs="Times New Roman"/>
          <w:lang w:val="ro-RO"/>
        </w:rPr>
      </w:pPr>
      <w:r w:rsidRPr="000F21D0">
        <w:rPr>
          <w:rStyle w:val="FootnoteReference"/>
          <w:lang w:val="ro-RO"/>
        </w:rPr>
        <w:footnoteRef/>
      </w:r>
      <w:r w:rsidR="00FB662A">
        <w:rPr>
          <w:lang w:val="ro-RO"/>
        </w:rPr>
        <w:t xml:space="preserve"> </w:t>
      </w:r>
      <w:r w:rsidRPr="00291DC3">
        <w:rPr>
          <w:rFonts w:ascii="Times New Roman" w:hAnsi="Times New Roman" w:cs="Times New Roman"/>
          <w:lang w:val="ro-RO"/>
        </w:rPr>
        <w:t xml:space="preserve">Directiva (UE) 2018/957 a Parlamentului European și a Consiliului din 28 iunie 2018 de modificare a Directivei 96/71/CE privind detașarea lucrătorilor în cadrul prestării de servicii (Text cu relevanță pentru SEE). </w:t>
      </w:r>
    </w:p>
  </w:footnote>
  <w:footnote w:id="24">
    <w:p w14:paraId="1D20E28B" w14:textId="7E0CFE91" w:rsidR="000A3A79" w:rsidRPr="00291DC3" w:rsidRDefault="000A3A79" w:rsidP="00611059">
      <w:pPr>
        <w:pStyle w:val="FootnoteText"/>
        <w:rPr>
          <w:rFonts w:ascii="Times New Roman" w:hAnsi="Times New Roman" w:cs="Times New Roman"/>
          <w:lang w:val="ro-RO"/>
        </w:rPr>
      </w:pPr>
      <w:r w:rsidRPr="000F21D0">
        <w:rPr>
          <w:rStyle w:val="FootnoteReference"/>
          <w:lang w:val="ro-RO"/>
        </w:rPr>
        <w:footnoteRef/>
      </w:r>
      <w:r w:rsidR="00FB662A">
        <w:rPr>
          <w:lang w:val="ro-RO"/>
        </w:rPr>
        <w:t xml:space="preserve"> </w:t>
      </w:r>
      <w:r w:rsidRPr="00291DC3">
        <w:rPr>
          <w:rFonts w:ascii="Times New Roman" w:hAnsi="Times New Roman" w:cs="Times New Roman"/>
          <w:lang w:val="ro-RO"/>
        </w:rPr>
        <w:t xml:space="preserve">Directiva (UE) 2019/1158 a Parlamentului European și a Consiliului din 20 iunie 2019 privind echilibrul dintre viața profesională și cea privată a părinților și îngrijitorilor și de abrogare a Directivei 2010/18/UE a Consiliului. </w:t>
      </w:r>
    </w:p>
  </w:footnote>
  <w:footnote w:id="25">
    <w:p w14:paraId="5F34E8EC" w14:textId="0A46E45E" w:rsidR="000A3A79" w:rsidRPr="000F21D0" w:rsidRDefault="000A3A79" w:rsidP="00611059">
      <w:pPr>
        <w:pStyle w:val="FootnoteText"/>
        <w:rPr>
          <w:lang w:val="ro-RO"/>
        </w:rPr>
      </w:pPr>
      <w:r w:rsidRPr="000F21D0">
        <w:rPr>
          <w:rStyle w:val="FootnoteReference"/>
          <w:lang w:val="ro-RO"/>
        </w:rPr>
        <w:footnoteRef/>
      </w:r>
      <w:r w:rsidR="00FB662A">
        <w:rPr>
          <w:lang w:val="ro-RO"/>
        </w:rPr>
        <w:t xml:space="preserve"> </w:t>
      </w:r>
      <w:r w:rsidRPr="000F21D0">
        <w:rPr>
          <w:rFonts w:ascii="Times New Roman" w:hAnsi="Times New Roman"/>
          <w:lang w:val="ro-RO"/>
        </w:rPr>
        <w:t xml:space="preserve">Directiva (UE) 2022/2041 a Parlamentului European și a Consiliului din 19 octombrie 2022 privind salariile minime adecvate în Uniunea Europeană. </w:t>
      </w:r>
    </w:p>
  </w:footnote>
  <w:footnote w:id="26">
    <w:p w14:paraId="453242E1" w14:textId="00803C50" w:rsidR="00D572D4" w:rsidRPr="000F21D0" w:rsidRDefault="00D572D4" w:rsidP="00D572D4">
      <w:pPr>
        <w:pStyle w:val="FootnoteText"/>
        <w:jc w:val="both"/>
        <w:rPr>
          <w:rFonts w:ascii="Times New Roman" w:hAnsi="Times New Roman" w:cs="Times New Roman"/>
          <w:lang w:val="ro-RO"/>
        </w:rPr>
      </w:pPr>
      <w:r w:rsidRPr="000F21D0">
        <w:rPr>
          <w:rStyle w:val="FootnoteReference"/>
          <w:rFonts w:ascii="Times New Roman" w:hAnsi="Times New Roman" w:cs="Times New Roman"/>
          <w:lang w:val="ro-RO"/>
        </w:rPr>
        <w:footnoteRef/>
      </w:r>
      <w:r w:rsidR="00FB662A">
        <w:rPr>
          <w:rFonts w:ascii="Times New Roman" w:hAnsi="Times New Roman"/>
          <w:lang w:val="ro-RO"/>
        </w:rPr>
        <w:t xml:space="preserve"> </w:t>
      </w:r>
      <w:r w:rsidRPr="000F21D0">
        <w:rPr>
          <w:rFonts w:ascii="Times New Roman" w:hAnsi="Times New Roman"/>
          <w:lang w:val="ro-RO"/>
        </w:rPr>
        <w:t>Cifră referitoare la UE-28. A se vedea Comitetul Economic și Social European, „Recent evolutions of the Social Economy in the European Union” (Evoluțiile recente ale economiei sociale în Uniunea Europeană), Monzon J. L. și Chaves R., 2017.</w:t>
      </w:r>
    </w:p>
  </w:footnote>
  <w:footnote w:id="27">
    <w:p w14:paraId="343C7FD1" w14:textId="56D9579A" w:rsidR="00D572D4" w:rsidRPr="000F21D0" w:rsidRDefault="00D572D4" w:rsidP="00D572D4">
      <w:pPr>
        <w:pStyle w:val="FootnoteText"/>
        <w:jc w:val="both"/>
        <w:rPr>
          <w:rFonts w:ascii="Times New Roman" w:hAnsi="Times New Roman" w:cs="Times New Roman"/>
          <w:lang w:val="ro-RO"/>
        </w:rPr>
      </w:pPr>
      <w:r w:rsidRPr="000F21D0">
        <w:rPr>
          <w:rStyle w:val="FootnoteReference"/>
          <w:rFonts w:ascii="Times New Roman" w:hAnsi="Times New Roman" w:cs="Times New Roman"/>
          <w:lang w:val="ro-RO"/>
        </w:rPr>
        <w:footnoteRef/>
      </w:r>
      <w:r w:rsidR="00FB662A">
        <w:rPr>
          <w:rFonts w:ascii="Times New Roman" w:hAnsi="Times New Roman"/>
          <w:lang w:val="ro-RO"/>
        </w:rPr>
        <w:t xml:space="preserve"> </w:t>
      </w:r>
      <w:r w:rsidRPr="000F21D0">
        <w:rPr>
          <w:rFonts w:ascii="Times New Roman" w:hAnsi="Times New Roman"/>
          <w:lang w:val="ro-RO"/>
        </w:rPr>
        <w:t>Comunicarea Comisiei „Construirea unei economii în serviciul cetățenilor: un plan de acțiune pentru economia socială”, COM(2021) 778.</w:t>
      </w:r>
    </w:p>
  </w:footnote>
  <w:footnote w:id="28">
    <w:p w14:paraId="4ACFA596" w14:textId="05AA9907" w:rsidR="000A3A79" w:rsidRPr="000F21D0" w:rsidRDefault="000A3A79" w:rsidP="00FC2FE2">
      <w:pPr>
        <w:pStyle w:val="Footnote"/>
        <w:jc w:val="both"/>
        <w:rPr>
          <w:lang w:val="ro-RO"/>
        </w:rPr>
      </w:pPr>
      <w:r w:rsidRPr="000F21D0">
        <w:rPr>
          <w:rStyle w:val="FootnoteReference"/>
          <w:lang w:val="ro-RO"/>
        </w:rPr>
        <w:footnoteRef/>
      </w:r>
      <w:r w:rsidR="00FB662A">
        <w:rPr>
          <w:lang w:val="ro-RO"/>
        </w:rPr>
        <w:t xml:space="preserve"> </w:t>
      </w:r>
      <w:r w:rsidRPr="000F21D0">
        <w:rPr>
          <w:lang w:val="ro-RO"/>
        </w:rPr>
        <w:t xml:space="preserve">Sursă: Parson, C. și Smith, A. (2022) „The «completeness» of the EU Single Market in comparison to the United States” („Exhaustivitatea pieței unice a UE în comparație cu Statele Unite”), Single Market Economy Papers, WP7, </w:t>
      </w:r>
      <w:r w:rsidRPr="000F21D0">
        <w:rPr>
          <w:i/>
          <w:iCs/>
          <w:lang w:val="ro-RO"/>
        </w:rPr>
        <w:t>Oficiul pentru Publicații al Comisiei Europene</w:t>
      </w:r>
      <w:r w:rsidRPr="000F21D0">
        <w:rPr>
          <w:lang w:val="ro-RO"/>
        </w:rPr>
        <w:t>. A se vedea, de asemenea, secțiunea 2.4 cu privire la modul în care astfel de bariere fără caracter de reglementare sunt abordate în UE prin intermediul cooperării administrative și al instrumentelor digitale.</w:t>
      </w:r>
    </w:p>
  </w:footnote>
  <w:footnote w:id="29">
    <w:p w14:paraId="64BFC850" w14:textId="11D0DF6E" w:rsidR="000A3A79" w:rsidRPr="000F21D0" w:rsidRDefault="000A3A79" w:rsidP="00B71FAB">
      <w:pPr>
        <w:pStyle w:val="Footnote"/>
        <w:jc w:val="both"/>
        <w:rPr>
          <w:lang w:val="ro-RO"/>
        </w:rPr>
      </w:pPr>
      <w:r w:rsidRPr="000F21D0">
        <w:rPr>
          <w:rStyle w:val="FootnoteReference"/>
          <w:lang w:val="ro-RO"/>
        </w:rPr>
        <w:footnoteRef/>
      </w:r>
      <w:r w:rsidR="00FB662A">
        <w:rPr>
          <w:lang w:val="ro-RO"/>
        </w:rPr>
        <w:t xml:space="preserve"> </w:t>
      </w:r>
      <w:r w:rsidRPr="000F21D0">
        <w:rPr>
          <w:lang w:val="ro-RO"/>
        </w:rPr>
        <w:t>În ultimul deceniu, cercetarea și inovarea în sens larg au contribuit la două treimi din creșterea productivității UE. Orizont Europa și programele care l-au precedat au contribuit la crearea unor cunoștințe și tehnologii de excelență la nivelul întregii piețe unice și la o mai bună diseminare a acestora. A se vedea Raportul privind Performanța UE în domeniul științei, al cercetării și al inovării (</w:t>
      </w:r>
      <w:r w:rsidRPr="000F21D0">
        <w:rPr>
          <w:i/>
          <w:iCs/>
          <w:lang w:val="ro-RO"/>
        </w:rPr>
        <w:t>Science, Research and Innovation Performance</w:t>
      </w:r>
      <w:r w:rsidRPr="000F21D0">
        <w:rPr>
          <w:lang w:val="ro-RO"/>
        </w:rPr>
        <w:t xml:space="preserve"> – SRIP) din 2020. Sondajul Eurobarometru din octombrie 2022 privind politica în domeniul concurenței, axat pe cetățeni și IMM-uri, arată că, în opinia marii majorități a respondenților, concurența încurajează inovarea, asigură o gamă mai largă de opțiuni și oferă prețuri mai bune. A se vedea </w:t>
      </w:r>
      <w:hyperlink r:id="rId11" w:history="1">
        <w:r w:rsidRPr="000F21D0">
          <w:rPr>
            <w:rStyle w:val="Hyperlink"/>
            <w:lang w:val="ro-RO"/>
          </w:rPr>
          <w:t>https://ec.europa.eu/commission/presscorner/detail/ro/ip_22_6374</w:t>
        </w:r>
      </w:hyperlink>
      <w:r w:rsidRPr="000F21D0">
        <w:rPr>
          <w:lang w:val="ro-RO"/>
        </w:rPr>
        <w:t xml:space="preserve">. </w:t>
      </w:r>
    </w:p>
  </w:footnote>
  <w:footnote w:id="30">
    <w:p w14:paraId="2C7483B3" w14:textId="77777777" w:rsidR="000A3A79" w:rsidRPr="000F21D0" w:rsidRDefault="000A3A79" w:rsidP="00B71FAB">
      <w:pPr>
        <w:pStyle w:val="Footnote"/>
        <w:jc w:val="both"/>
        <w:rPr>
          <w:lang w:val="ro-RO"/>
        </w:rPr>
      </w:pPr>
      <w:r w:rsidRPr="000F21D0">
        <w:rPr>
          <w:rStyle w:val="FootnoteReference"/>
          <w:lang w:val="ro-RO"/>
        </w:rPr>
        <w:footnoteRef/>
      </w:r>
      <w:r w:rsidRPr="000F21D0">
        <w:rPr>
          <w:lang w:val="ro-RO"/>
        </w:rPr>
        <w:t xml:space="preserve"> În mod concret, se estimează că intervențiile privind fuziunile, cartelurile și practicile antitrust au generat economii directe pentru consumatori de 12-21 de miliarde EUR pe an în perioada 2012-2021 (Raportul anual privind piața unică pentru 2023, pagina 18).</w:t>
      </w:r>
    </w:p>
  </w:footnote>
  <w:footnote w:id="31">
    <w:p w14:paraId="71088D20" w14:textId="77777777" w:rsidR="000A3A79" w:rsidRPr="000F21D0" w:rsidRDefault="000A3A79" w:rsidP="007A2512">
      <w:pPr>
        <w:pStyle w:val="FootnoteText"/>
        <w:rPr>
          <w:rFonts w:ascii="Times New Roman" w:hAnsi="Times New Roman" w:cs="Times New Roman"/>
          <w:lang w:val="ro-RO"/>
        </w:rPr>
      </w:pPr>
      <w:r w:rsidRPr="000F21D0">
        <w:rPr>
          <w:rStyle w:val="FootnoteReference"/>
          <w:rFonts w:ascii="Times New Roman" w:hAnsi="Times New Roman" w:cs="Times New Roman"/>
          <w:lang w:val="ro-RO"/>
        </w:rPr>
        <w:footnoteRef/>
      </w:r>
      <w:r w:rsidRPr="000F21D0">
        <w:rPr>
          <w:rFonts w:ascii="Times New Roman" w:hAnsi="Times New Roman"/>
          <w:lang w:val="ro-RO"/>
        </w:rPr>
        <w:t xml:space="preserve"> Pentru a consolida reziliența transporturilor în UE în perioade de criză, Comisia a adoptat o comunicare privind Planul de urgență pentru sectorul transporturilor (COM/2022/211 final). A se vedea, de asemenea, Planul de acțiune vizând mobilitatea militară 2.0: </w:t>
      </w:r>
      <w:hyperlink r:id="rId12" w:history="1">
        <w:r w:rsidRPr="000F21D0">
          <w:rPr>
            <w:rStyle w:val="Hyperlink"/>
            <w:rFonts w:ascii="Times New Roman" w:hAnsi="Times New Roman"/>
            <w:lang w:val="ro-RO"/>
          </w:rPr>
          <w:t>https://defence-industry-space.ec.europa.eu/action-plan-military-mobility-20_en</w:t>
        </w:r>
      </w:hyperlink>
      <w:r w:rsidRPr="000F21D0">
        <w:rPr>
          <w:lang w:val="ro-RO"/>
        </w:rPr>
        <w:t>.</w:t>
      </w:r>
    </w:p>
  </w:footnote>
  <w:footnote w:id="32">
    <w:p w14:paraId="5FD166DF" w14:textId="3DE7CC54" w:rsidR="00A06833" w:rsidRPr="000F21D0" w:rsidRDefault="000A3A79" w:rsidP="00413D85">
      <w:pPr>
        <w:pStyle w:val="Footnote"/>
        <w:rPr>
          <w:lang w:val="ro-RO"/>
        </w:rPr>
      </w:pPr>
      <w:r w:rsidRPr="000F21D0">
        <w:rPr>
          <w:rStyle w:val="FootnoteReference"/>
          <w:lang w:val="ro-RO"/>
        </w:rPr>
        <w:footnoteRef/>
      </w:r>
      <w:r w:rsidR="00FB662A">
        <w:rPr>
          <w:lang w:val="ro-RO"/>
        </w:rPr>
        <w:t xml:space="preserve"> </w:t>
      </w:r>
      <w:hyperlink r:id="rId13" w:history="1">
        <w:r w:rsidRPr="000F21D0">
          <w:rPr>
            <w:rStyle w:val="Hyperlink"/>
            <w:lang w:val="ro-RO"/>
          </w:rPr>
          <w:t>https://civil-protection-humanitarian-aid.ec.europa.eu/what/civil-protection/eu-civil-protection-mechanism_en</w:t>
        </w:r>
      </w:hyperlink>
      <w:r w:rsidRPr="000F21D0">
        <w:rPr>
          <w:lang w:val="ro-RO"/>
        </w:rPr>
        <w:t xml:space="preserve">. </w:t>
      </w:r>
    </w:p>
  </w:footnote>
  <w:footnote w:id="33">
    <w:p w14:paraId="740FB526" w14:textId="23F61E65" w:rsidR="0025662F" w:rsidRPr="000F21D0" w:rsidRDefault="0025662F" w:rsidP="0025662F">
      <w:pPr>
        <w:pStyle w:val="FootnoteText"/>
        <w:rPr>
          <w:rStyle w:val="Hyperlink"/>
          <w:rFonts w:ascii="Times New Roman" w:hAnsi="Times New Roman" w:cs="Times New Roman"/>
          <w:lang w:val="ro-RO"/>
        </w:rPr>
      </w:pPr>
      <w:r w:rsidRPr="000F21D0">
        <w:rPr>
          <w:rStyle w:val="FootnoteReference"/>
          <w:rFonts w:ascii="Times New Roman" w:hAnsi="Times New Roman"/>
          <w:lang w:val="ro-RO"/>
        </w:rPr>
        <w:footnoteRef/>
      </w:r>
      <w:r w:rsidRPr="00FB662A">
        <w:rPr>
          <w:rStyle w:val="FootnoteReference"/>
          <w:rFonts w:ascii="Times New Roman" w:hAnsi="Times New Roman"/>
          <w:vertAlign w:val="baseline"/>
          <w:lang w:val="ro-RO"/>
        </w:rPr>
        <w:t xml:space="preserve"> </w:t>
      </w:r>
      <w:r w:rsidRPr="000F21D0">
        <w:rPr>
          <w:rStyle w:val="Hyperlink"/>
          <w:rFonts w:ascii="Times New Roman" w:hAnsi="Times New Roman"/>
          <w:lang w:val="ro-RO"/>
        </w:rPr>
        <w:t>De exemplu, Directiva privind reziliența entităților critice [Directiva (UE) 2022/2557].</w:t>
      </w:r>
    </w:p>
  </w:footnote>
  <w:footnote w:id="34">
    <w:p w14:paraId="6B2F7215" w14:textId="7A4D9DDB" w:rsidR="000A3A79" w:rsidRPr="000F21D0" w:rsidRDefault="000A3A79" w:rsidP="00DD30E4">
      <w:pPr>
        <w:pStyle w:val="Footnote"/>
        <w:rPr>
          <w:lang w:val="ro-RO"/>
        </w:rPr>
      </w:pPr>
      <w:r w:rsidRPr="000F21D0">
        <w:rPr>
          <w:rStyle w:val="FootnoteReference"/>
          <w:lang w:val="ro-RO"/>
        </w:rPr>
        <w:footnoteRef/>
      </w:r>
      <w:r w:rsidR="00FB662A">
        <w:rPr>
          <w:lang w:val="ro-RO"/>
        </w:rPr>
        <w:t xml:space="preserve"> </w:t>
      </w:r>
      <w:r w:rsidRPr="000F21D0">
        <w:rPr>
          <w:lang w:val="ro-RO"/>
        </w:rPr>
        <w:t>A se vedea sistemul de monitorizare SCAN (</w:t>
      </w:r>
      <w:r w:rsidRPr="000F21D0">
        <w:rPr>
          <w:i/>
          <w:iCs/>
          <w:lang w:val="ro-RO"/>
        </w:rPr>
        <w:t>Supply Chain Alert Notification</w:t>
      </w:r>
      <w:r w:rsidRPr="000F21D0">
        <w:rPr>
          <w:lang w:val="ro-RO"/>
        </w:rPr>
        <w:t xml:space="preserve"> – Notificare de alertă privind lanțul de aprovizionare), care introduce această abordare însoțită de o aplicație-pilot pentru energia fotovoltaică solară: </w:t>
      </w:r>
      <w:hyperlink r:id="rId14" w:history="1">
        <w:r w:rsidRPr="000F21D0">
          <w:rPr>
            <w:rStyle w:val="Hyperlink"/>
            <w:lang w:val="ro-RO"/>
          </w:rPr>
          <w:t>https://single-market-economy.ec.europa.eu/publications/scan-supply-chain-alert-notification-monitoring-system_en</w:t>
        </w:r>
      </w:hyperlink>
      <w:r w:rsidRPr="000F21D0">
        <w:rPr>
          <w:lang w:val="ro-RO"/>
        </w:rPr>
        <w:t>.</w:t>
      </w:r>
    </w:p>
  </w:footnote>
  <w:footnote w:id="35">
    <w:p w14:paraId="163878FB" w14:textId="3BDBB8BA" w:rsidR="000A3A79" w:rsidRPr="000F21D0" w:rsidRDefault="000A3A79" w:rsidP="00DD30E4">
      <w:pPr>
        <w:pStyle w:val="Footnote"/>
        <w:rPr>
          <w:rFonts w:cs="Times New Roman"/>
          <w:lang w:val="ro-RO"/>
        </w:rPr>
      </w:pPr>
      <w:r w:rsidRPr="000F21D0">
        <w:rPr>
          <w:rStyle w:val="FootnoteReference"/>
          <w:lang w:val="ro-RO"/>
        </w:rPr>
        <w:footnoteRef/>
      </w:r>
      <w:r w:rsidR="00FB662A">
        <w:rPr>
          <w:lang w:val="ro-RO"/>
        </w:rPr>
        <w:t xml:space="preserve"> </w:t>
      </w:r>
      <w:r w:rsidRPr="000F21D0">
        <w:rPr>
          <w:lang w:val="ro-RO"/>
        </w:rPr>
        <w:t>Propunere de Regulament al Parlamentului European și al Consiliului de stabilire a unui cadru de măsuri pentru consolidarea ecosistemului european al semiconductorilor (Actul privind cipurile), COM(2022) 46 final.</w:t>
      </w:r>
    </w:p>
  </w:footnote>
  <w:footnote w:id="36">
    <w:p w14:paraId="3C8C5CEB" w14:textId="528F3D85" w:rsidR="000A3A79" w:rsidRPr="000F21D0" w:rsidRDefault="000A3A79" w:rsidP="00644C7E">
      <w:pPr>
        <w:pStyle w:val="FootnoteText"/>
        <w:contextualSpacing/>
        <w:rPr>
          <w:rFonts w:ascii="Times New Roman" w:hAnsi="Times New Roman" w:cs="Times New Roman"/>
          <w:highlight w:val="yellow"/>
          <w:lang w:val="ro-RO"/>
        </w:rPr>
      </w:pPr>
      <w:r w:rsidRPr="000F21D0">
        <w:rPr>
          <w:rStyle w:val="FootnoteReference"/>
          <w:lang w:val="ro-RO"/>
        </w:rPr>
        <w:footnoteRef/>
      </w:r>
      <w:r w:rsidR="00FB662A">
        <w:rPr>
          <w:lang w:val="ro-RO"/>
        </w:rPr>
        <w:t xml:space="preserve"> </w:t>
      </w:r>
      <w:r w:rsidRPr="000F21D0">
        <w:rPr>
          <w:rFonts w:ascii="Times New Roman" w:hAnsi="Times New Roman"/>
          <w:lang w:val="ro-RO"/>
        </w:rPr>
        <w:t>COM(2023) 160 final.</w:t>
      </w:r>
    </w:p>
  </w:footnote>
  <w:footnote w:id="37">
    <w:p w14:paraId="5FD4AE48" w14:textId="5F6AB75E" w:rsidR="000A3A79" w:rsidRPr="000F21D0" w:rsidRDefault="000A3A79" w:rsidP="00644C7E">
      <w:pPr>
        <w:pStyle w:val="CommentText"/>
        <w:spacing w:after="0"/>
        <w:contextualSpacing/>
        <w:rPr>
          <w:rFonts w:cs="Times New Roman"/>
          <w:lang w:val="ro-RO"/>
        </w:rPr>
      </w:pPr>
      <w:r w:rsidRPr="000F21D0">
        <w:rPr>
          <w:rStyle w:val="FootnoteReference"/>
          <w:rFonts w:cs="Times New Roman"/>
          <w:lang w:val="ro-RO"/>
        </w:rPr>
        <w:footnoteRef/>
      </w:r>
      <w:r w:rsidR="00FB662A">
        <w:rPr>
          <w:lang w:val="ro-RO"/>
        </w:rPr>
        <w:t xml:space="preserve"> </w:t>
      </w:r>
      <w:r w:rsidRPr="000F21D0">
        <w:rPr>
          <w:lang w:val="ro-RO"/>
        </w:rPr>
        <w:t xml:space="preserve">COM(2023) 62. </w:t>
      </w:r>
    </w:p>
  </w:footnote>
  <w:footnote w:id="38">
    <w:p w14:paraId="2A212A71" w14:textId="22175B18" w:rsidR="000A3A79" w:rsidRPr="000F21D0" w:rsidRDefault="000A3A79" w:rsidP="00644C7E">
      <w:pPr>
        <w:pStyle w:val="Footnote"/>
        <w:contextualSpacing/>
        <w:rPr>
          <w:rFonts w:cs="Times New Roman"/>
          <w:lang w:val="ro-RO"/>
        </w:rPr>
      </w:pPr>
      <w:r w:rsidRPr="000F21D0">
        <w:rPr>
          <w:rStyle w:val="FootnoteReference"/>
          <w:rFonts w:cs="Times New Roman"/>
          <w:lang w:val="ro-RO"/>
        </w:rPr>
        <w:footnoteRef/>
      </w:r>
      <w:r w:rsidR="00FB662A">
        <w:rPr>
          <w:lang w:val="ro-RO"/>
        </w:rPr>
        <w:t xml:space="preserve"> </w:t>
      </w:r>
      <w:r w:rsidRPr="000F21D0">
        <w:rPr>
          <w:lang w:val="ro-RO"/>
        </w:rPr>
        <w:t>COM(2023) 161.</w:t>
      </w:r>
    </w:p>
  </w:footnote>
  <w:footnote w:id="39">
    <w:p w14:paraId="553EB055" w14:textId="53087AFD" w:rsidR="000A3A79" w:rsidRPr="000F21D0" w:rsidRDefault="000A3A79" w:rsidP="005E2843">
      <w:pPr>
        <w:pStyle w:val="Footnote"/>
        <w:rPr>
          <w:lang w:val="ro-RO"/>
        </w:rPr>
      </w:pPr>
      <w:r w:rsidRPr="000F21D0">
        <w:rPr>
          <w:rStyle w:val="FootnoteReference"/>
          <w:rFonts w:cs="Times New Roman"/>
          <w:lang w:val="ro-RO"/>
        </w:rPr>
        <w:footnoteRef/>
      </w:r>
      <w:r w:rsidR="00FB662A">
        <w:rPr>
          <w:lang w:val="ro-RO"/>
        </w:rPr>
        <w:t xml:space="preserve"> </w:t>
      </w:r>
      <w:hyperlink r:id="rId15" w:history="1">
        <w:r w:rsidRPr="000F21D0">
          <w:rPr>
            <w:rStyle w:val="Hyperlink"/>
            <w:lang w:val="ro-RO"/>
          </w:rPr>
          <w:t>Cadrul temporar de criză și de tranziție (europa.eu)</w:t>
        </w:r>
      </w:hyperlink>
      <w:r w:rsidRPr="000F21D0">
        <w:rPr>
          <w:rStyle w:val="Hyperlink"/>
          <w:lang w:val="ro-RO"/>
        </w:rPr>
        <w:t>.</w:t>
      </w:r>
    </w:p>
  </w:footnote>
  <w:footnote w:id="40">
    <w:p w14:paraId="554B0319" w14:textId="3010AC3D" w:rsidR="000A3A79" w:rsidRPr="000F21D0" w:rsidRDefault="000A3A79" w:rsidP="00E32CE9">
      <w:pPr>
        <w:pStyle w:val="FootnoteText"/>
        <w:contextualSpacing/>
        <w:rPr>
          <w:rFonts w:ascii="Times New Roman" w:hAnsi="Times New Roman" w:cs="Times New Roman"/>
          <w:lang w:val="ro-RO"/>
        </w:rPr>
      </w:pPr>
      <w:r w:rsidRPr="000F21D0">
        <w:rPr>
          <w:rStyle w:val="FootnoteReference"/>
          <w:lang w:val="ro-RO"/>
        </w:rPr>
        <w:footnoteRef/>
      </w:r>
      <w:r w:rsidR="00FB662A">
        <w:rPr>
          <w:lang w:val="ro-RO"/>
        </w:rPr>
        <w:t xml:space="preserve"> </w:t>
      </w:r>
      <w:hyperlink r:id="rId16" w:history="1">
        <w:r w:rsidRPr="000F21D0">
          <w:rPr>
            <w:rStyle w:val="Hyperlink"/>
            <w:rFonts w:ascii="Times New Roman" w:hAnsi="Times New Roman"/>
            <w:lang w:val="ro-RO"/>
          </w:rPr>
          <w:t>https://european-union.europa.eu/principles-countries-history/key-facts-and-figures/economy_ro</w:t>
        </w:r>
      </w:hyperlink>
      <w:r w:rsidRPr="000F21D0">
        <w:rPr>
          <w:rFonts w:ascii="Times New Roman" w:hAnsi="Times New Roman"/>
          <w:lang w:val="ro-RO"/>
        </w:rPr>
        <w:t>.</w:t>
      </w:r>
    </w:p>
  </w:footnote>
  <w:footnote w:id="41">
    <w:p w14:paraId="374639D7" w14:textId="60AAD309" w:rsidR="000A3A79" w:rsidRPr="000F21D0" w:rsidRDefault="000A3A79" w:rsidP="00E32CE9">
      <w:pPr>
        <w:pStyle w:val="FootnoteText"/>
        <w:contextualSpacing/>
        <w:jc w:val="both"/>
        <w:rPr>
          <w:rFonts w:ascii="Times New Roman" w:hAnsi="Times New Roman" w:cs="Times New Roman"/>
          <w:lang w:val="ro-RO"/>
        </w:rPr>
      </w:pPr>
      <w:r w:rsidRPr="000F21D0">
        <w:rPr>
          <w:rStyle w:val="FootnoteReference"/>
          <w:rFonts w:ascii="Times New Roman" w:hAnsi="Times New Roman" w:cs="Times New Roman"/>
          <w:lang w:val="ro-RO"/>
        </w:rPr>
        <w:footnoteRef/>
      </w:r>
      <w:r w:rsidR="00FB662A">
        <w:rPr>
          <w:rFonts w:ascii="Times New Roman" w:hAnsi="Times New Roman"/>
          <w:lang w:val="ro-RO"/>
        </w:rPr>
        <w:t xml:space="preserve"> </w:t>
      </w:r>
      <w:r w:rsidRPr="000F21D0">
        <w:rPr>
          <w:rFonts w:ascii="Times New Roman" w:hAnsi="Times New Roman"/>
          <w:lang w:val="ro-RO"/>
        </w:rPr>
        <w:t>Planul de acțiune prioritar pentru intensificarea punerii în aplicare a acordului de liber schimb aprofundat și cuprinzător UE-Ucraina</w:t>
      </w:r>
      <w:r w:rsidRPr="000F21D0">
        <w:rPr>
          <w:lang w:val="ro-RO"/>
        </w:rPr>
        <w:t>.</w:t>
      </w:r>
      <w:r w:rsidRPr="000F21D0">
        <w:rPr>
          <w:rFonts w:ascii="Times New Roman" w:hAnsi="Times New Roman"/>
          <w:lang w:val="ro-RO"/>
        </w:rPr>
        <w:t xml:space="preserve"> </w:t>
      </w:r>
    </w:p>
  </w:footnote>
  <w:footnote w:id="42">
    <w:p w14:paraId="66FB4632" w14:textId="00903FD2" w:rsidR="000A3A79" w:rsidRPr="000F21D0" w:rsidRDefault="000A3A79" w:rsidP="00E32CE9">
      <w:pPr>
        <w:pStyle w:val="FootnoteText"/>
        <w:contextualSpacing/>
        <w:jc w:val="both"/>
        <w:rPr>
          <w:lang w:val="ro-RO"/>
        </w:rPr>
      </w:pPr>
      <w:r w:rsidRPr="000F21D0">
        <w:rPr>
          <w:rStyle w:val="FootnoteReference"/>
          <w:lang w:val="ro-RO"/>
        </w:rPr>
        <w:footnoteRef/>
      </w:r>
      <w:r w:rsidR="00FB662A">
        <w:rPr>
          <w:lang w:val="ro-RO"/>
        </w:rPr>
        <w:t xml:space="preserve"> </w:t>
      </w:r>
      <w:r w:rsidRPr="000F21D0">
        <w:rPr>
          <w:rFonts w:ascii="Times New Roman" w:hAnsi="Times New Roman"/>
          <w:lang w:val="ro-RO"/>
        </w:rPr>
        <w:t>Comisia pregătește terenul pentru un acord cu Ucraina privind evaluarea conformității și acceptarea produselor industriale (ACAA). De asemenea, Comisia este implicată în activități pregătitoare cu Moldova, cu intenția de a începe negocierile pentru un ACAA.</w:t>
      </w:r>
    </w:p>
  </w:footnote>
  <w:footnote w:id="43">
    <w:p w14:paraId="0FAA6417" w14:textId="7815B5B8" w:rsidR="000A3A79" w:rsidRPr="000F21D0" w:rsidRDefault="000A3A79" w:rsidP="00482656">
      <w:pPr>
        <w:pStyle w:val="FootnoteText"/>
        <w:jc w:val="both"/>
        <w:rPr>
          <w:lang w:val="ro-RO"/>
        </w:rPr>
      </w:pPr>
      <w:r w:rsidRPr="000F21D0">
        <w:rPr>
          <w:rStyle w:val="FootnoteReference"/>
          <w:lang w:val="ro-RO"/>
        </w:rPr>
        <w:footnoteRef/>
      </w:r>
      <w:r w:rsidR="00FB662A">
        <w:rPr>
          <w:lang w:val="ro-RO"/>
        </w:rPr>
        <w:t xml:space="preserve"> </w:t>
      </w:r>
      <w:r w:rsidRPr="000F21D0">
        <w:rPr>
          <w:rFonts w:ascii="Times New Roman" w:hAnsi="Times New Roman"/>
          <w:lang w:val="ro-RO"/>
        </w:rPr>
        <w:t>Pentru a consolida piața unică pe teren, a fost adoptat un pachet semnificativ de finanțare în valoare de 4,2 miliarde EUR – Programul privind piața unică – pentru a sprijini o varietate de acțiuni, de la îmbunătățirea supravegherii pieței la furnizarea de sprijin cetățenilor și întreprinderilor pentru soluționarea problemelor, sprijinirea competitivității IMM-urilor și îmbunătățirea siguranței alimentare.</w:t>
      </w:r>
    </w:p>
  </w:footnote>
  <w:footnote w:id="44">
    <w:p w14:paraId="1469DC57" w14:textId="0A24622E" w:rsidR="000A3A79" w:rsidRPr="000F21D0" w:rsidRDefault="000A3A79" w:rsidP="001459F8">
      <w:pPr>
        <w:pStyle w:val="FootnoteText"/>
        <w:jc w:val="both"/>
        <w:rPr>
          <w:rFonts w:ascii="Times New Roman" w:hAnsi="Times New Roman" w:cs="Times New Roman"/>
          <w:lang w:val="ro-RO"/>
        </w:rPr>
      </w:pPr>
      <w:r w:rsidRPr="000F21D0">
        <w:rPr>
          <w:rStyle w:val="FootnoteReference"/>
          <w:lang w:val="ro-RO"/>
        </w:rPr>
        <w:footnoteRef/>
      </w:r>
      <w:r w:rsidR="00FB662A">
        <w:rPr>
          <w:lang w:val="ro-RO"/>
        </w:rPr>
        <w:t xml:space="preserve"> </w:t>
      </w:r>
      <w:hyperlink r:id="rId17" w:history="1">
        <w:r w:rsidRPr="000F21D0">
          <w:rPr>
            <w:rStyle w:val="Hyperlink"/>
            <w:rFonts w:ascii="Times New Roman" w:hAnsi="Times New Roman"/>
            <w:lang w:val="ro-RO"/>
          </w:rPr>
          <w:t>Vaccinurile împotriva COVID-19 |</w:t>
        </w:r>
      </w:hyperlink>
      <w:hyperlink r:id="rId18" w:history="1">
        <w:r w:rsidRPr="000F21D0">
          <w:rPr>
            <w:rStyle w:val="Hyperlink"/>
            <w:rFonts w:ascii="Times New Roman" w:hAnsi="Times New Roman"/>
            <w:lang w:val="ro-RO"/>
          </w:rPr>
          <w:t>Agenția Europeană pentru Medicamente (europa.eu)</w:t>
        </w:r>
      </w:hyperlink>
      <w:r w:rsidRPr="000F21D0">
        <w:rPr>
          <w:rFonts w:ascii="Times New Roman" w:hAnsi="Times New Roman"/>
          <w:lang w:val="ro-RO"/>
        </w:rPr>
        <w:t>.</w:t>
      </w:r>
    </w:p>
  </w:footnote>
  <w:footnote w:id="45">
    <w:p w14:paraId="7BF52D23" w14:textId="0DCB530F" w:rsidR="000A3A79" w:rsidRPr="000F21D0" w:rsidRDefault="000A3A79" w:rsidP="00482656">
      <w:pPr>
        <w:pStyle w:val="Footnote"/>
        <w:jc w:val="both"/>
        <w:rPr>
          <w:lang w:val="ro-RO"/>
        </w:rPr>
      </w:pPr>
      <w:r w:rsidRPr="000F21D0">
        <w:rPr>
          <w:rStyle w:val="FootnoteReference"/>
          <w:lang w:val="ro-RO"/>
        </w:rPr>
        <w:footnoteRef/>
      </w:r>
      <w:r w:rsidR="00FB662A">
        <w:rPr>
          <w:lang w:val="ro-RO"/>
        </w:rPr>
        <w:t xml:space="preserve"> </w:t>
      </w:r>
      <w:r w:rsidRPr="000F21D0">
        <w:rPr>
          <w:lang w:val="ro-RO"/>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p>
  </w:footnote>
  <w:footnote w:id="46">
    <w:p w14:paraId="0E310A88" w14:textId="37F2DC54" w:rsidR="000A3A79" w:rsidRPr="000F21D0" w:rsidRDefault="000A3A79" w:rsidP="00482656">
      <w:pPr>
        <w:pStyle w:val="Footnote"/>
        <w:jc w:val="both"/>
        <w:rPr>
          <w:lang w:val="ro-RO"/>
        </w:rPr>
      </w:pPr>
      <w:r w:rsidRPr="000F21D0">
        <w:rPr>
          <w:rStyle w:val="FootnoteReference"/>
          <w:lang w:val="ro-RO"/>
        </w:rPr>
        <w:footnoteRef/>
      </w:r>
      <w:r w:rsidR="00FB662A">
        <w:rPr>
          <w:lang w:val="ro-RO"/>
        </w:rPr>
        <w:t xml:space="preserve"> </w:t>
      </w:r>
      <w:r w:rsidRPr="000F21D0">
        <w:rPr>
          <w:lang w:val="ro-RO"/>
        </w:rPr>
        <w:t>O strategie a UE privind standardizarea – Stabilirea unor standarde globale în sprijinul unei piețe unice a UE reziliente, verzi și digitale, COM(2022) 31.</w:t>
      </w:r>
    </w:p>
  </w:footnote>
  <w:footnote w:id="47">
    <w:p w14:paraId="6CD6B8B2" w14:textId="706ED338" w:rsidR="000A3A79" w:rsidRPr="000F21D0" w:rsidRDefault="000A3A79" w:rsidP="00C40497">
      <w:pPr>
        <w:pStyle w:val="Footnote"/>
        <w:jc w:val="both"/>
        <w:rPr>
          <w:lang w:val="ro-RO"/>
        </w:rPr>
      </w:pPr>
      <w:r w:rsidRPr="000F21D0">
        <w:rPr>
          <w:rStyle w:val="FootnoteReference"/>
          <w:lang w:val="ro-RO"/>
        </w:rPr>
        <w:footnoteRef/>
      </w:r>
      <w:r w:rsidR="00FB662A">
        <w:rPr>
          <w:lang w:val="ro-RO"/>
        </w:rPr>
        <w:t xml:space="preserve"> </w:t>
      </w:r>
      <w:r w:rsidRPr="000F21D0">
        <w:rPr>
          <w:lang w:val="ro-RO"/>
        </w:rPr>
        <w:t>Regulamentul (UE) 2022/2560 al Parlamentului European și al Consiliului din 14 decembrie 2022 privind subvențiile străine care denaturează piața internă.</w:t>
      </w:r>
    </w:p>
  </w:footnote>
  <w:footnote w:id="48">
    <w:p w14:paraId="04787775" w14:textId="1AF2BF73" w:rsidR="000A3A79" w:rsidRPr="000F21D0" w:rsidRDefault="000A3A79" w:rsidP="00C40497">
      <w:pPr>
        <w:pStyle w:val="Footnote"/>
        <w:jc w:val="both"/>
        <w:rPr>
          <w:lang w:val="ro-RO"/>
        </w:rPr>
      </w:pPr>
      <w:r w:rsidRPr="000F21D0">
        <w:rPr>
          <w:rStyle w:val="FootnoteReference"/>
          <w:lang w:val="ro-RO"/>
        </w:rPr>
        <w:footnoteRef/>
      </w:r>
      <w:r w:rsidR="00FB662A">
        <w:rPr>
          <w:lang w:val="ro-RO"/>
        </w:rPr>
        <w:t xml:space="preserve"> </w:t>
      </w:r>
      <w:r w:rsidRPr="000F21D0">
        <w:rPr>
          <w:lang w:val="ro-RO"/>
        </w:rPr>
        <w:t>Propunere de Regulament al Parlamentului European și al Consiliului privind interzicerea produselor fabricate prin muncă forțată pe piața Uniunii, COM(2022) 453 final.</w:t>
      </w:r>
    </w:p>
  </w:footnote>
  <w:footnote w:id="49">
    <w:p w14:paraId="26E28568" w14:textId="01DFBF81" w:rsidR="000A3A79" w:rsidRPr="000F21D0" w:rsidRDefault="000A3A79">
      <w:pPr>
        <w:pStyle w:val="FootnoteText"/>
        <w:rPr>
          <w:lang w:val="ro-RO"/>
        </w:rPr>
      </w:pPr>
      <w:r w:rsidRPr="000F21D0">
        <w:rPr>
          <w:rStyle w:val="FootnoteReference"/>
          <w:lang w:val="ro-RO"/>
        </w:rPr>
        <w:footnoteRef/>
      </w:r>
      <w:r w:rsidR="00FB662A">
        <w:rPr>
          <w:lang w:val="ro-RO"/>
        </w:rPr>
        <w:t xml:space="preserve"> </w:t>
      </w:r>
      <w:r w:rsidRPr="000F21D0">
        <w:rPr>
          <w:rFonts w:ascii="Times New Roman" w:hAnsi="Times New Roman"/>
          <w:lang w:val="ro-RO"/>
        </w:rPr>
        <w:t>COM(2023) 168</w:t>
      </w:r>
      <w:r w:rsidRPr="000F21D0">
        <w:rPr>
          <w:lang w:val="ro-RO"/>
        </w:rPr>
        <w:t>.</w:t>
      </w:r>
    </w:p>
  </w:footnote>
  <w:footnote w:id="50">
    <w:p w14:paraId="2EF2BAC0" w14:textId="4A11F41D" w:rsidR="000A3A79" w:rsidRPr="000F21D0" w:rsidRDefault="000A3A79" w:rsidP="00C40497">
      <w:pPr>
        <w:pStyle w:val="FootnoteText"/>
        <w:jc w:val="both"/>
        <w:rPr>
          <w:lang w:val="ro-RO"/>
        </w:rPr>
      </w:pPr>
      <w:r w:rsidRPr="000F21D0">
        <w:rPr>
          <w:rStyle w:val="FootnoteReference"/>
          <w:lang w:val="ro-RO"/>
        </w:rPr>
        <w:footnoteRef/>
      </w:r>
      <w:r w:rsidR="00FB662A">
        <w:rPr>
          <w:lang w:val="ro-RO"/>
        </w:rPr>
        <w:t xml:space="preserve"> </w:t>
      </w:r>
      <w:r w:rsidRPr="000F21D0">
        <w:rPr>
          <w:rFonts w:ascii="Times New Roman" w:hAnsi="Times New Roman"/>
          <w:lang w:val="ro-RO"/>
        </w:rPr>
        <w:t>A se vedea, de asemenea, Comunicarea recentă a Comisiei privind asigurarea respectării dreptului Uniunii pentru o Europă care răspunde așteptărilor [COM(2022) 518 final].</w:t>
      </w:r>
    </w:p>
  </w:footnote>
  <w:footnote w:id="51">
    <w:p w14:paraId="5D2F642D" w14:textId="7E8BD20A" w:rsidR="000A3A79" w:rsidRPr="000F21D0" w:rsidRDefault="000A3A79" w:rsidP="00A06E0E">
      <w:pPr>
        <w:pStyle w:val="FootnoteText"/>
        <w:rPr>
          <w:rFonts w:ascii="Times New Roman" w:hAnsi="Times New Roman" w:cs="Times New Roman"/>
          <w:lang w:val="ro-RO"/>
        </w:rPr>
      </w:pPr>
      <w:r w:rsidRPr="000F21D0">
        <w:rPr>
          <w:rStyle w:val="FootnoteReference"/>
          <w:lang w:val="ro-RO"/>
        </w:rPr>
        <w:footnoteRef/>
      </w:r>
      <w:r w:rsidR="00FB662A">
        <w:rPr>
          <w:lang w:val="ro-RO"/>
        </w:rPr>
        <w:t xml:space="preserve"> </w:t>
      </w:r>
      <w:hyperlink r:id="rId19" w:history="1">
        <w:r w:rsidRPr="000F21D0">
          <w:rPr>
            <w:rStyle w:val="Hyperlink"/>
            <w:rFonts w:ascii="Times New Roman" w:hAnsi="Times New Roman"/>
            <w:lang w:val="ro-RO"/>
          </w:rPr>
          <w:t>Tabloul de bord al pieței unice pentru 2022</w:t>
        </w:r>
      </w:hyperlink>
      <w:r w:rsidRPr="000F21D0">
        <w:rPr>
          <w:rFonts w:ascii="Times New Roman" w:hAnsi="Times New Roman"/>
          <w:lang w:val="ro-RO"/>
        </w:rPr>
        <w:t xml:space="preserve">. </w:t>
      </w:r>
    </w:p>
    <w:p w14:paraId="7E230369" w14:textId="77777777" w:rsidR="000A3A79" w:rsidRPr="000F21D0" w:rsidRDefault="000A3A79" w:rsidP="00A407E3">
      <w:pPr>
        <w:pStyle w:val="FootnoteText"/>
        <w:jc w:val="both"/>
        <w:rPr>
          <w:lang w:val="ro-RO"/>
        </w:rPr>
      </w:pPr>
      <w:r w:rsidRPr="000F21D0">
        <w:rPr>
          <w:rFonts w:ascii="Times New Roman" w:hAnsi="Times New Roman"/>
          <w:lang w:val="ro-RO"/>
        </w:rPr>
        <w:t>Această analiză vizează 997 de directive și 5 669 de regulamente menite să asigure funcționarea pieței unice, în vigoare la 1 decembrie 2021.</w:t>
      </w:r>
    </w:p>
  </w:footnote>
  <w:footnote w:id="52">
    <w:p w14:paraId="1992CD20" w14:textId="435DF1B6" w:rsidR="000A3A79" w:rsidRPr="000F21D0" w:rsidRDefault="000A3A79" w:rsidP="00E20B26">
      <w:pPr>
        <w:pStyle w:val="FootnoteText"/>
        <w:rPr>
          <w:rFonts w:ascii="Times New Roman" w:hAnsi="Times New Roman" w:cs="Times New Roman"/>
          <w:lang w:val="ro-RO"/>
        </w:rPr>
      </w:pPr>
      <w:r w:rsidRPr="000F21D0">
        <w:rPr>
          <w:rStyle w:val="FootnoteReference"/>
          <w:lang w:val="ro-RO"/>
        </w:rPr>
        <w:footnoteRef/>
      </w:r>
      <w:r w:rsidR="00FB662A">
        <w:rPr>
          <w:lang w:val="ro-RO"/>
        </w:rPr>
        <w:t xml:space="preserve"> </w:t>
      </w:r>
      <w:r w:rsidRPr="000F21D0">
        <w:rPr>
          <w:rFonts w:ascii="Times New Roman" w:hAnsi="Times New Roman"/>
          <w:lang w:val="ro-RO"/>
        </w:rPr>
        <w:t>A se vedea notele de subsol 65-68 pentru detalii privind obiectivele în materie de deficit de aplicare a normelor.</w:t>
      </w:r>
    </w:p>
  </w:footnote>
  <w:footnote w:id="53">
    <w:p w14:paraId="06813367" w14:textId="1931C906" w:rsidR="000A3A79" w:rsidRPr="000F21D0" w:rsidRDefault="000A3A79">
      <w:pPr>
        <w:pStyle w:val="FootnoteText"/>
        <w:rPr>
          <w:lang w:val="ro-RO"/>
        </w:rPr>
      </w:pPr>
      <w:r w:rsidRPr="000F21D0">
        <w:rPr>
          <w:rStyle w:val="FootnoteReference"/>
          <w:lang w:val="ro-RO"/>
        </w:rPr>
        <w:footnoteRef/>
      </w:r>
      <w:r w:rsidR="00FB662A">
        <w:rPr>
          <w:lang w:val="ro-RO"/>
        </w:rPr>
        <w:t xml:space="preserve"> </w:t>
      </w:r>
      <w:hyperlink r:id="rId20" w:history="1">
        <w:r w:rsidR="007D02A2" w:rsidRPr="000F21D0">
          <w:rPr>
            <w:rStyle w:val="Hyperlink"/>
            <w:rFonts w:ascii="Times New Roman" w:hAnsi="Times New Roman"/>
            <w:lang w:val="ro-RO"/>
          </w:rPr>
          <w:t>Tabloul de bord al pieței unice pentru 2022</w:t>
        </w:r>
      </w:hyperlink>
      <w:r w:rsidRPr="000F21D0">
        <w:rPr>
          <w:lang w:val="ro-RO"/>
        </w:rPr>
        <w:t>.</w:t>
      </w:r>
    </w:p>
  </w:footnote>
  <w:footnote w:id="54">
    <w:p w14:paraId="69CE0B3B" w14:textId="5919F039" w:rsidR="000A3A79" w:rsidRPr="000F21D0" w:rsidRDefault="000A3A79">
      <w:pPr>
        <w:pStyle w:val="FootnoteText"/>
        <w:rPr>
          <w:lang w:val="ro-RO"/>
        </w:rPr>
      </w:pPr>
      <w:r w:rsidRPr="000F21D0">
        <w:rPr>
          <w:rStyle w:val="FootnoteReference"/>
          <w:lang w:val="ro-RO"/>
        </w:rPr>
        <w:footnoteRef/>
      </w:r>
      <w:r w:rsidR="00FB662A">
        <w:rPr>
          <w:lang w:val="ro-RO"/>
        </w:rPr>
        <w:t xml:space="preserve"> </w:t>
      </w:r>
      <w:hyperlink r:id="rId21" w:history="1">
        <w:r w:rsidRPr="000F21D0">
          <w:rPr>
            <w:rStyle w:val="Hyperlink"/>
            <w:rFonts w:ascii="Times New Roman" w:hAnsi="Times New Roman"/>
            <w:lang w:val="ro-RO"/>
          </w:rPr>
          <w:t>Tabloul de bord al pieței unice pentru 2022</w:t>
        </w:r>
      </w:hyperlink>
      <w:r w:rsidRPr="000F21D0">
        <w:rPr>
          <w:lang w:val="ro-RO"/>
        </w:rPr>
        <w:t>.</w:t>
      </w:r>
    </w:p>
  </w:footnote>
  <w:footnote w:id="55">
    <w:p w14:paraId="0E78C87D" w14:textId="44B45662" w:rsidR="000A3A79" w:rsidRPr="000F21D0" w:rsidRDefault="000A3A79" w:rsidP="00A407E3">
      <w:pPr>
        <w:pStyle w:val="FootnoteText"/>
        <w:jc w:val="both"/>
        <w:rPr>
          <w:rFonts w:ascii="Times New Roman" w:hAnsi="Times New Roman"/>
          <w:lang w:val="ro-RO"/>
        </w:rPr>
      </w:pPr>
      <w:r w:rsidRPr="000F21D0">
        <w:rPr>
          <w:rStyle w:val="FootnoteReference"/>
          <w:lang w:val="ro-RO"/>
        </w:rPr>
        <w:footnoteRef/>
      </w:r>
      <w:r w:rsidR="00FB662A">
        <w:rPr>
          <w:lang w:val="ro-RO"/>
        </w:rPr>
        <w:t xml:space="preserve"> </w:t>
      </w:r>
      <w:r w:rsidRPr="000F21D0">
        <w:rPr>
          <w:rFonts w:ascii="Times New Roman" w:hAnsi="Times New Roman"/>
          <w:lang w:val="ro-RO"/>
        </w:rPr>
        <w:t xml:space="preserve">Conform descrierii din anexa 1: Bilanțul punerii în aplicare a Planului de acțiune privind asigurarea respectării normelor referitoare la piața unică din 2020, </w:t>
      </w:r>
      <w:hyperlink r:id="rId22" w:history="1">
        <w:r w:rsidRPr="000F21D0">
          <w:rPr>
            <w:rStyle w:val="Hyperlink"/>
            <w:rFonts w:ascii="Times New Roman" w:hAnsi="Times New Roman"/>
            <w:lang w:val="ro-RO"/>
          </w:rPr>
          <w:t>Raportul anual privind piața unică pentru 2023</w:t>
        </w:r>
      </w:hyperlink>
      <w:r w:rsidRPr="000F21D0">
        <w:rPr>
          <w:rStyle w:val="Hyperlink"/>
          <w:rFonts w:ascii="Times New Roman" w:hAnsi="Times New Roman"/>
          <w:lang w:val="ro-RO"/>
        </w:rPr>
        <w:t>.</w:t>
      </w:r>
      <w:r w:rsidRPr="000F21D0">
        <w:rPr>
          <w:rFonts w:ascii="Times New Roman" w:hAnsi="Times New Roman"/>
          <w:lang w:val="ro-RO"/>
        </w:rPr>
        <w:t xml:space="preserve"> Toate acțiunile prevăzute în Planul de acțiune pe termen lung pentru o mai bună implementare și asigurare a respectării normelor privind piața unică au fost puse în aplicare sau lansate. </w:t>
      </w:r>
    </w:p>
  </w:footnote>
  <w:footnote w:id="56">
    <w:p w14:paraId="30F32FA4" w14:textId="78CF0507" w:rsidR="000A3A79" w:rsidRPr="000F21D0" w:rsidRDefault="000A3A79" w:rsidP="00C1262C">
      <w:pPr>
        <w:pStyle w:val="Footnote"/>
        <w:rPr>
          <w:highlight w:val="yellow"/>
          <w:lang w:val="ro-RO"/>
        </w:rPr>
      </w:pPr>
      <w:r w:rsidRPr="000F21D0">
        <w:rPr>
          <w:rStyle w:val="FootnoteReference"/>
          <w:lang w:val="ro-RO"/>
        </w:rPr>
        <w:footnoteRef/>
      </w:r>
      <w:r w:rsidRPr="000F21D0">
        <w:rPr>
          <w:color w:val="2B579A"/>
          <w:shd w:val="clear" w:color="auto" w:fill="E6E6E6"/>
          <w:lang w:val="ro-RO"/>
        </w:rPr>
        <w:t xml:space="preserve"> </w:t>
      </w:r>
      <w:hyperlink r:id="rId23" w:history="1">
        <w:r w:rsidRPr="000F21D0">
          <w:rPr>
            <w:rStyle w:val="Hyperlink"/>
            <w:lang w:val="ro-RO"/>
          </w:rPr>
          <w:t>Libera circulație a serviciilor:</w:t>
        </w:r>
      </w:hyperlink>
      <w:hyperlink r:id="rId24" w:history="1">
        <w:r w:rsidRPr="000F21D0">
          <w:rPr>
            <w:rStyle w:val="Hyperlink"/>
            <w:lang w:val="ro-RO"/>
          </w:rPr>
          <w:t> Comisia ia măsuri (europa.eu)</w:t>
        </w:r>
      </w:hyperlink>
      <w:r w:rsidRPr="000F21D0">
        <w:rPr>
          <w:lang w:val="ro-RO"/>
        </w:rPr>
        <w:t>.</w:t>
      </w:r>
    </w:p>
  </w:footnote>
  <w:footnote w:id="57">
    <w:p w14:paraId="6CFE3F41" w14:textId="77777777" w:rsidR="000A3A79" w:rsidRPr="000F21D0" w:rsidRDefault="000A3A79" w:rsidP="00222C1C">
      <w:pPr>
        <w:pStyle w:val="Footnote"/>
        <w:rPr>
          <w:lang w:val="ro-RO"/>
        </w:rPr>
      </w:pPr>
      <w:r w:rsidRPr="000F21D0">
        <w:rPr>
          <w:rStyle w:val="FootnoteReference"/>
          <w:lang w:val="ro-RO"/>
        </w:rPr>
        <w:footnoteRef/>
      </w:r>
      <w:r w:rsidRPr="000F21D0">
        <w:rPr>
          <w:lang w:val="ro-RO"/>
        </w:rPr>
        <w:t xml:space="preserve"> A se vedea „</w:t>
      </w:r>
      <w:hyperlink r:id="rId25" w:history="1">
        <w:r w:rsidRPr="000F21D0">
          <w:rPr>
            <w:rStyle w:val="Hyperlink"/>
            <w:lang w:val="ro-RO"/>
          </w:rPr>
          <w:t>30 years of single market – taking stock and looking ahead” (30 de ani de piață unică – bilanț și perspective), Comisia Europeană, 2022</w:t>
        </w:r>
      </w:hyperlink>
      <w:r w:rsidRPr="000F21D0">
        <w:rPr>
          <w:lang w:val="ro-RO"/>
        </w:rPr>
        <w:t>.</w:t>
      </w:r>
    </w:p>
  </w:footnote>
  <w:footnote w:id="58">
    <w:p w14:paraId="722AD7EA" w14:textId="7994DE6E" w:rsidR="000A3A79" w:rsidRPr="000F21D0" w:rsidRDefault="000A3A79" w:rsidP="00AC0FB6">
      <w:pPr>
        <w:pStyle w:val="Footnote"/>
        <w:rPr>
          <w:lang w:val="ro-RO"/>
        </w:rPr>
      </w:pPr>
      <w:r w:rsidRPr="000F21D0">
        <w:rPr>
          <w:rStyle w:val="FootnoteReference"/>
          <w:lang w:val="ro-RO"/>
        </w:rPr>
        <w:footnoteRef/>
      </w:r>
      <w:r w:rsidR="00FB662A">
        <w:rPr>
          <w:lang w:val="ro-RO"/>
        </w:rPr>
        <w:t xml:space="preserve"> </w:t>
      </w:r>
      <w:hyperlink r:id="rId26" w:history="1">
        <w:r w:rsidRPr="000F21D0">
          <w:rPr>
            <w:rStyle w:val="Hyperlink"/>
            <w:lang w:val="ro-RO"/>
          </w:rPr>
          <w:t>https://single-market-economy.ec.europa.eu/news/single-market-task-force-continues-tackle-barriers-single-market-2022-11-29_en</w:t>
        </w:r>
      </w:hyperlink>
      <w:r w:rsidRPr="000F21D0">
        <w:rPr>
          <w:lang w:val="ro-RO"/>
        </w:rPr>
        <w:t>.</w:t>
      </w:r>
    </w:p>
  </w:footnote>
  <w:footnote w:id="59">
    <w:p w14:paraId="6BFA1C92" w14:textId="22ED692F" w:rsidR="000A3A79" w:rsidRPr="000F21D0" w:rsidRDefault="000A3A79" w:rsidP="00566FA4">
      <w:pPr>
        <w:pStyle w:val="FootnoteText"/>
        <w:jc w:val="both"/>
        <w:rPr>
          <w:rFonts w:ascii="Times New Roman" w:hAnsi="Times New Roman" w:cs="Times New Roman"/>
          <w:lang w:val="ro-RO"/>
        </w:rPr>
      </w:pPr>
      <w:bookmarkStart w:id="15" w:name="_Hlk129009629"/>
      <w:bookmarkStart w:id="16" w:name="_Hlk129012768"/>
      <w:r w:rsidRPr="000F21D0">
        <w:rPr>
          <w:rStyle w:val="FootnoteReference"/>
          <w:lang w:val="ro-RO"/>
        </w:rPr>
        <w:footnoteRef/>
      </w:r>
      <w:r w:rsidRPr="000F21D0">
        <w:rPr>
          <w:lang w:val="ro-RO"/>
        </w:rPr>
        <w:t xml:space="preserve"> </w:t>
      </w:r>
      <w:bookmarkStart w:id="17" w:name="_Hlk129188733"/>
      <w:r w:rsidRPr="000F21D0">
        <w:rPr>
          <w:rFonts w:ascii="Times New Roman" w:hAnsi="Times New Roman"/>
          <w:lang w:val="ro-RO"/>
        </w:rPr>
        <w:t>Forumul industrial reunește statele membre, întreprinderi de toate dimensiunile, sindicate și societatea civilă și are rolul unei cutii de rezonanță pentru părțile interesate, prezentând situația competitivității europene. Forumul se bazează, de asemenea, pe un grup operativ dedicat, însărcinat cu evaluarea situației pieței unice</w:t>
      </w:r>
      <w:bookmarkEnd w:id="15"/>
      <w:r w:rsidRPr="000F21D0">
        <w:rPr>
          <w:rFonts w:ascii="Times New Roman" w:hAnsi="Times New Roman"/>
          <w:lang w:val="ro-RO"/>
        </w:rPr>
        <w:t>. De asemenea, acesta contribuie în mod activ la căile de tranziție, care iau în considerare în egală măsură provocările în materie de reglementare pentru dubla tranziție și reziliența industriei Europei.</w:t>
      </w:r>
      <w:bookmarkEnd w:id="16"/>
      <w:r w:rsidRPr="000F21D0">
        <w:rPr>
          <w:lang w:val="ro-RO"/>
        </w:rPr>
        <w:t xml:space="preserve"> </w:t>
      </w:r>
      <w:r w:rsidRPr="000F21D0">
        <w:rPr>
          <w:rFonts w:ascii="Times New Roman" w:hAnsi="Times New Roman"/>
          <w:lang w:val="ro-RO"/>
        </w:rPr>
        <w:t>Forumul are rol de cutie de rezonanță, dar și de sursă de informații cu privire la problemele cu care se confruntă industria și modul de abordare a acestora. Forumul se reunește în plen de 2-3 ori pe an, cea mai recentă sesiune având loc la 7 martie 2023.</w:t>
      </w:r>
      <w:bookmarkEnd w:id="17"/>
    </w:p>
  </w:footnote>
  <w:footnote w:id="60">
    <w:p w14:paraId="537A1B22" w14:textId="5E263A70" w:rsidR="000A3A79" w:rsidRPr="00DE7CC2" w:rsidRDefault="000A3A79" w:rsidP="003E79B5">
      <w:pPr>
        <w:pStyle w:val="Footnote"/>
        <w:jc w:val="both"/>
        <w:rPr>
          <w:rStyle w:val="Hyperlink"/>
          <w:color w:val="auto"/>
          <w:u w:val="none"/>
          <w:lang w:val="ro-RO"/>
        </w:rPr>
      </w:pPr>
      <w:r w:rsidRPr="000F21D0">
        <w:rPr>
          <w:rStyle w:val="FootnoteReference"/>
          <w:lang w:val="ro-RO"/>
        </w:rPr>
        <w:footnoteRef/>
      </w:r>
      <w:r w:rsidRPr="000F21D0">
        <w:rPr>
          <w:lang w:val="ro-RO"/>
        </w:rPr>
        <w:t xml:space="preserve"> </w:t>
      </w:r>
      <w:r w:rsidRPr="00DE7CC2">
        <w:rPr>
          <w:rStyle w:val="Hyperlink"/>
          <w:color w:val="auto"/>
          <w:u w:val="none"/>
          <w:lang w:val="ro-RO"/>
        </w:rPr>
        <w:t>Potrivit Tabloului de bord al pieței unice, cel mai recent punctaj privind furnizarea de servicii publice digitale pentru întreprinderi a fost foarte ridicat (aproximativ 80 sau mai mult) pentru două treimi din statele membre. În schimb, în 2022, 19 din cele 27 de state membre au înregistrat întârzieri ale plăților publice din partea autorităților publice mai mari decât în 2019. În ansamblu, indicatorii privind achizițiile publice sugerează o situație stabilă, cu o ușoară îmbunătățire. Cu toate acestea, se pot înregistra progrese suplimentare în mai multe state membre, în domenii precum ponderea procedurilor de achiziții publice cu un singur ofertant și</w:t>
      </w:r>
      <w:r w:rsidR="000F21D0" w:rsidRPr="00DE7CC2">
        <w:rPr>
          <w:rStyle w:val="Hyperlink"/>
          <w:color w:val="auto"/>
          <w:u w:val="none"/>
          <w:lang w:val="ro-RO"/>
        </w:rPr>
        <w:t xml:space="preserve"> ponderea atribuirilor directe. </w:t>
      </w:r>
      <w:r w:rsidRPr="00DE7CC2">
        <w:rPr>
          <w:rStyle w:val="Hyperlink"/>
          <w:color w:val="auto"/>
          <w:u w:val="none"/>
          <w:lang w:val="ro-RO"/>
        </w:rPr>
        <w:t>În sectorul serviciilor profesionale, tabloul de bord arată că, în perioada 2007-2021, s-au înregistrat prea puține progrese sau chiar deloc în ceea ce privește reducerea barierelor de reglementare în materie de acces la profesii și exercitare a acestora. Serviciile juridice reprezintă în continuare cea mai protejată profesie pe piața unică.</w:t>
      </w:r>
    </w:p>
  </w:footnote>
  <w:footnote w:id="61">
    <w:p w14:paraId="25597D29" w14:textId="074102ED" w:rsidR="000A3A79" w:rsidRPr="00DE7CC2" w:rsidRDefault="000A3A79" w:rsidP="00E716AD">
      <w:pPr>
        <w:pStyle w:val="Footnote"/>
        <w:rPr>
          <w:rStyle w:val="Hyperlink"/>
          <w:color w:val="auto"/>
          <w:sz w:val="24"/>
          <w:u w:val="none"/>
          <w:lang w:val="ro-RO"/>
        </w:rPr>
      </w:pPr>
      <w:r w:rsidRPr="000F21D0">
        <w:rPr>
          <w:rStyle w:val="FootnoteReference"/>
          <w:lang w:val="ro-RO"/>
        </w:rPr>
        <w:footnoteRef/>
      </w:r>
      <w:r w:rsidR="00FB662A">
        <w:rPr>
          <w:lang w:val="ro-RO"/>
        </w:rPr>
        <w:t xml:space="preserve"> </w:t>
      </w:r>
      <w:hyperlink r:id="rId27" w:history="1">
        <w:r w:rsidRPr="00DE7CC2">
          <w:rPr>
            <w:rStyle w:val="Hyperlink"/>
            <w:color w:val="auto"/>
            <w:u w:val="none"/>
            <w:lang w:val="ro-RO"/>
          </w:rPr>
          <w:t>Centrele naționale SOLVIT – Comisia Europeană (europa.eu)</w:t>
        </w:r>
      </w:hyperlink>
      <w:r w:rsidRPr="00DE7CC2">
        <w:rPr>
          <w:rStyle w:val="Hyperlink"/>
          <w:color w:val="auto"/>
          <w:u w:val="none"/>
          <w:lang w:val="ro-RO"/>
        </w:rPr>
        <w:t>.</w:t>
      </w:r>
    </w:p>
  </w:footnote>
  <w:footnote w:id="62">
    <w:p w14:paraId="647B7E2D" w14:textId="67AE25D7" w:rsidR="000A3A79" w:rsidRPr="000F21D0" w:rsidRDefault="000A3A79" w:rsidP="00CF63AF">
      <w:pPr>
        <w:pStyle w:val="FootnoteText"/>
        <w:rPr>
          <w:lang w:val="ro-RO"/>
        </w:rPr>
      </w:pPr>
      <w:r w:rsidRPr="000F21D0">
        <w:rPr>
          <w:rStyle w:val="FootnoteReference"/>
          <w:lang w:val="ro-RO"/>
        </w:rPr>
        <w:footnoteRef/>
      </w:r>
      <w:r w:rsidR="00FB662A">
        <w:rPr>
          <w:lang w:val="ro-RO"/>
        </w:rPr>
        <w:t xml:space="preserve"> </w:t>
      </w:r>
      <w:r w:rsidRPr="000F21D0">
        <w:rPr>
          <w:rFonts w:ascii="Times New Roman" w:hAnsi="Times New Roman"/>
          <w:lang w:val="ro-RO"/>
        </w:rPr>
        <w:t xml:space="preserve">SOLVIT’s Helping Hand in the Single Market: celebrating 20 years (Ajutorul oferit de SOLVIT pe piața unică: aniversarea a 20 de ani), </w:t>
      </w:r>
      <w:hyperlink r:id="rId28" w:history="1">
        <w:r w:rsidRPr="000F21D0">
          <w:rPr>
            <w:rStyle w:val="Hyperlink"/>
            <w:rFonts w:ascii="Times New Roman" w:hAnsi="Times New Roman"/>
            <w:lang w:val="ro-RO"/>
          </w:rPr>
          <w:t>https://ec.europa.eu/solvit/_docs/2022/anniversary_report_web_en.pdf</w:t>
        </w:r>
      </w:hyperlink>
      <w:r w:rsidRPr="000F21D0">
        <w:rPr>
          <w:rFonts w:ascii="Times New Roman" w:hAnsi="Times New Roman"/>
          <w:lang w:val="ro-RO"/>
        </w:rPr>
        <w:t>.</w:t>
      </w:r>
    </w:p>
  </w:footnote>
  <w:footnote w:id="63">
    <w:p w14:paraId="643F61F7" w14:textId="36223DC8" w:rsidR="000A3A79" w:rsidRPr="000F21D0" w:rsidRDefault="000A3A79" w:rsidP="00523B90">
      <w:pPr>
        <w:pStyle w:val="Footnote"/>
        <w:rPr>
          <w:rStyle w:val="normaltextrun"/>
          <w:sz w:val="22"/>
          <w:lang w:val="ro-RO"/>
        </w:rPr>
      </w:pPr>
      <w:r w:rsidRPr="000F21D0">
        <w:rPr>
          <w:rStyle w:val="FootnoteReference"/>
          <w:lang w:val="ro-RO"/>
        </w:rPr>
        <w:footnoteRef/>
      </w:r>
      <w:r w:rsidRPr="000F21D0">
        <w:rPr>
          <w:sz w:val="18"/>
          <w:lang w:val="ro-RO"/>
        </w:rPr>
        <w:t xml:space="preserve"> </w:t>
      </w:r>
      <w:hyperlink r:id="rId29" w:history="1">
        <w:r w:rsidRPr="000F21D0">
          <w:rPr>
            <w:rStyle w:val="Hyperlink"/>
            <w:lang w:val="ro-RO"/>
          </w:rPr>
          <w:t>Directiva privind transparența pieței unice – EUR-Lex (europa.eu).</w:t>
        </w:r>
      </w:hyperlink>
    </w:p>
  </w:footnote>
  <w:footnote w:id="64">
    <w:p w14:paraId="1829667E" w14:textId="3C5DD879" w:rsidR="000A3A79" w:rsidRPr="000F21D0" w:rsidRDefault="000A3A79" w:rsidP="00C36BC5">
      <w:pPr>
        <w:pStyle w:val="FootnoteText"/>
        <w:jc w:val="both"/>
        <w:rPr>
          <w:rFonts w:ascii="Times New Roman" w:hAnsi="Times New Roman" w:cs="Times New Roman"/>
          <w:lang w:val="ro-RO"/>
        </w:rPr>
      </w:pPr>
      <w:r w:rsidRPr="000F21D0">
        <w:rPr>
          <w:rStyle w:val="FootnoteReference"/>
          <w:rFonts w:ascii="Times New Roman" w:hAnsi="Times New Roman" w:cs="Times New Roman"/>
          <w:lang w:val="ro-RO"/>
        </w:rPr>
        <w:footnoteRef/>
      </w:r>
      <w:r w:rsidR="00FB662A">
        <w:rPr>
          <w:rFonts w:ascii="Times New Roman" w:hAnsi="Times New Roman"/>
          <w:lang w:val="ro-RO"/>
        </w:rPr>
        <w:t xml:space="preserve"> </w:t>
      </w:r>
      <w:r w:rsidRPr="000F21D0">
        <w:rPr>
          <w:rFonts w:ascii="Times New Roman" w:hAnsi="Times New Roman"/>
          <w:lang w:val="ro-RO"/>
        </w:rPr>
        <w:t>Rolul său ar trebui adaptat la diferitele sisteme de guvernanță, de exemplu în sistemele federale sau acolo unde există o descentralizare semnificativă.</w:t>
      </w:r>
    </w:p>
  </w:footnote>
  <w:footnote w:id="65">
    <w:p w14:paraId="107DFA61" w14:textId="060829CC" w:rsidR="000A3A79" w:rsidRPr="000F21D0" w:rsidRDefault="000A3A79" w:rsidP="00F4278D">
      <w:pPr>
        <w:pStyle w:val="Footnote"/>
        <w:jc w:val="both"/>
        <w:rPr>
          <w:rFonts w:cs="Times New Roman"/>
          <w:lang w:val="ro-RO"/>
        </w:rPr>
      </w:pPr>
      <w:r w:rsidRPr="000F21D0">
        <w:rPr>
          <w:rStyle w:val="FootnoteReference"/>
          <w:lang w:val="ro-RO"/>
        </w:rPr>
        <w:footnoteRef/>
      </w:r>
      <w:r w:rsidRPr="000F21D0">
        <w:rPr>
          <w:lang w:val="ro-RO"/>
        </w:rPr>
        <w:t xml:space="preserve"> Până la începutul anului 2023, în urma consultărilor și a unui studiu de fezabilitate, 20 de state membre au convenit să depună eforturi în vederea creării unui formular comun, astfel cum s-a anunțat în actualizarea strategiei industriale din 2021.</w:t>
      </w:r>
    </w:p>
  </w:footnote>
  <w:footnote w:id="66">
    <w:p w14:paraId="6FE0A0F7" w14:textId="376508B7" w:rsidR="000A3A79" w:rsidRPr="000F21D0" w:rsidRDefault="000A3A79" w:rsidP="009B493B">
      <w:pPr>
        <w:pStyle w:val="FootnoteText"/>
        <w:jc w:val="both"/>
        <w:rPr>
          <w:rFonts w:ascii="Times New Roman" w:hAnsi="Times New Roman" w:cs="Times New Roman"/>
          <w:lang w:val="ro-RO"/>
        </w:rPr>
      </w:pPr>
      <w:r w:rsidRPr="000F21D0">
        <w:rPr>
          <w:rStyle w:val="FootnoteReference"/>
          <w:rFonts w:ascii="Times New Roman" w:hAnsi="Times New Roman" w:cs="Times New Roman"/>
          <w:lang w:val="ro-RO"/>
        </w:rPr>
        <w:footnoteRef/>
      </w:r>
      <w:r w:rsidR="000F21D0" w:rsidRPr="000F21D0">
        <w:rPr>
          <w:rFonts w:ascii="Times New Roman" w:hAnsi="Times New Roman"/>
          <w:lang w:val="ro-RO"/>
        </w:rPr>
        <w:t xml:space="preserve"> </w:t>
      </w:r>
      <w:r w:rsidRPr="000F21D0">
        <w:rPr>
          <w:rFonts w:ascii="Times New Roman" w:hAnsi="Times New Roman"/>
          <w:lang w:val="ro-RO"/>
        </w:rPr>
        <w:t>Un obiectiv în materie de deficit de transpunere (procentul directivelor privind piața unică a căror transpunere completă nu a fost încă notificată Comisiei) de 1 % stabilit de Consiliul European de la Bruxelles, 8-9 martie 2007, și de 0 % pentru directivele al căror termen de punere în aplicare a expirat de peste doi ani, stabilit de Consiliul European de la Barcelona, 15-16 martie 2002.</w:t>
      </w:r>
    </w:p>
  </w:footnote>
  <w:footnote w:id="67">
    <w:p w14:paraId="178C1FBE" w14:textId="77777777" w:rsidR="000A3A79" w:rsidRPr="000F21D0" w:rsidRDefault="000A3A79" w:rsidP="009B493B">
      <w:pPr>
        <w:pStyle w:val="FootnoteText"/>
        <w:jc w:val="both"/>
        <w:rPr>
          <w:rFonts w:ascii="Times New Roman" w:hAnsi="Times New Roman" w:cs="Times New Roman"/>
          <w:lang w:val="ro-RO"/>
        </w:rPr>
      </w:pPr>
      <w:r w:rsidRPr="000F21D0">
        <w:rPr>
          <w:rStyle w:val="FootnoteReference"/>
          <w:rFonts w:ascii="Times New Roman" w:hAnsi="Times New Roman" w:cs="Times New Roman"/>
          <w:lang w:val="ro-RO"/>
        </w:rPr>
        <w:footnoteRef/>
      </w:r>
      <w:r w:rsidRPr="000F21D0">
        <w:rPr>
          <w:rFonts w:ascii="Times New Roman" w:hAnsi="Times New Roman"/>
          <w:lang w:val="ro-RO"/>
        </w:rPr>
        <w:t xml:space="preserve"> Obiectiv de deficit de transpunere de 0,5 % propus de Comisie în Actul privind piața unică COM/2011/0206</w:t>
      </w:r>
      <w:r w:rsidRPr="000F21D0">
        <w:rPr>
          <w:lang w:val="ro-RO"/>
        </w:rPr>
        <w:t>.</w:t>
      </w:r>
    </w:p>
  </w:footnote>
  <w:footnote w:id="68">
    <w:p w14:paraId="75AA6F32" w14:textId="77777777" w:rsidR="000A3A79" w:rsidRPr="000F21D0" w:rsidRDefault="000A3A79" w:rsidP="009B493B">
      <w:pPr>
        <w:pStyle w:val="FootnoteText"/>
        <w:jc w:val="both"/>
        <w:rPr>
          <w:rFonts w:ascii="Times New Roman" w:hAnsi="Times New Roman" w:cs="Times New Roman"/>
          <w:lang w:val="ro-RO"/>
        </w:rPr>
      </w:pPr>
      <w:r w:rsidRPr="000F21D0">
        <w:rPr>
          <w:rStyle w:val="FootnoteReference"/>
          <w:rFonts w:ascii="Times New Roman" w:hAnsi="Times New Roman" w:cs="Times New Roman"/>
          <w:lang w:val="ro-RO"/>
        </w:rPr>
        <w:footnoteRef/>
      </w:r>
      <w:r w:rsidRPr="000F21D0">
        <w:rPr>
          <w:rFonts w:ascii="Times New Roman" w:hAnsi="Times New Roman"/>
          <w:lang w:val="ro-RO"/>
        </w:rPr>
        <w:t xml:space="preserve"> Obiectiv de deficit de transpunere de 0 % pentru directivele al căror termen de punere în aplicare a expirat de peste doi ani, stabilit de Consiliul European de la Barcelona, 15-16 martie 2002</w:t>
      </w:r>
      <w:r w:rsidRPr="000F21D0">
        <w:rPr>
          <w:lang w:val="ro-RO"/>
        </w:rPr>
        <w:t>.</w:t>
      </w:r>
    </w:p>
  </w:footnote>
  <w:footnote w:id="69">
    <w:p w14:paraId="2678D3B1" w14:textId="77777777" w:rsidR="000A3A79" w:rsidRPr="000F21D0" w:rsidRDefault="000A3A79" w:rsidP="009B493B">
      <w:pPr>
        <w:pStyle w:val="FootnoteText"/>
        <w:jc w:val="both"/>
        <w:rPr>
          <w:rFonts w:ascii="Times New Roman" w:hAnsi="Times New Roman" w:cs="Times New Roman"/>
          <w:lang w:val="ro-RO"/>
        </w:rPr>
      </w:pPr>
      <w:r w:rsidRPr="000F21D0">
        <w:rPr>
          <w:rStyle w:val="FootnoteReference"/>
          <w:rFonts w:ascii="Times New Roman" w:hAnsi="Times New Roman" w:cs="Times New Roman"/>
          <w:lang w:val="ro-RO"/>
        </w:rPr>
        <w:footnoteRef/>
      </w:r>
      <w:r w:rsidRPr="000F21D0">
        <w:rPr>
          <w:rFonts w:ascii="Times New Roman" w:hAnsi="Times New Roman"/>
          <w:lang w:val="ro-RO"/>
        </w:rPr>
        <w:t xml:space="preserve"> Obiective de deficit de conformitate de 0,5 propuse de Comisie în Actul privind piața unică COM/2011/0206</w:t>
      </w:r>
      <w:r w:rsidRPr="000F21D0">
        <w:rPr>
          <w:lang w:val="ro-RO"/>
        </w:rPr>
        <w:t>.</w:t>
      </w:r>
    </w:p>
  </w:footnote>
  <w:footnote w:id="70">
    <w:p w14:paraId="045DF0F7" w14:textId="533F0639" w:rsidR="000A3A79" w:rsidRPr="000F21D0" w:rsidRDefault="000A3A79" w:rsidP="009B493B">
      <w:pPr>
        <w:pStyle w:val="FootnoteText"/>
        <w:jc w:val="both"/>
        <w:rPr>
          <w:lang w:val="ro-RO"/>
        </w:rPr>
      </w:pPr>
      <w:r w:rsidRPr="000F21D0">
        <w:rPr>
          <w:rStyle w:val="FootnoteReference"/>
          <w:rFonts w:ascii="Times New Roman" w:hAnsi="Times New Roman" w:cs="Times New Roman"/>
          <w:lang w:val="ro-RO"/>
        </w:rPr>
        <w:footnoteRef/>
      </w:r>
      <w:r w:rsidR="00FB662A">
        <w:rPr>
          <w:rFonts w:ascii="Times New Roman" w:hAnsi="Times New Roman"/>
          <w:lang w:val="ro-RO"/>
        </w:rPr>
        <w:t xml:space="preserve"> </w:t>
      </w:r>
      <w:r w:rsidRPr="000F21D0">
        <w:rPr>
          <w:rFonts w:ascii="Times New Roman" w:hAnsi="Times New Roman"/>
          <w:lang w:val="ro-RO"/>
        </w:rPr>
        <w:t>Comunicarea Comisiei intitulată „Legislația UE: o mai bună aplicare pentru obținerea unor rezultate mai bune”, C/2016/8600.</w:t>
      </w:r>
    </w:p>
  </w:footnote>
  <w:footnote w:id="71">
    <w:p w14:paraId="7AF2A765" w14:textId="20E781BF" w:rsidR="000A3A79" w:rsidRPr="000F21D0" w:rsidRDefault="000A3A79">
      <w:pPr>
        <w:pStyle w:val="FootnoteText"/>
        <w:rPr>
          <w:lang w:val="ro-RO"/>
        </w:rPr>
      </w:pPr>
      <w:r w:rsidRPr="000F21D0">
        <w:rPr>
          <w:rStyle w:val="FootnoteReference"/>
          <w:lang w:val="ro-RO"/>
        </w:rPr>
        <w:footnoteRef/>
      </w:r>
      <w:r w:rsidR="00FB662A">
        <w:rPr>
          <w:lang w:val="ro-RO"/>
        </w:rPr>
        <w:t xml:space="preserve"> </w:t>
      </w:r>
      <w:r w:rsidRPr="000F21D0">
        <w:rPr>
          <w:rFonts w:ascii="Times New Roman" w:hAnsi="Times New Roman"/>
          <w:lang w:val="ro-RO"/>
        </w:rPr>
        <w:t>COM(2023) 148 final</w:t>
      </w:r>
      <w:r w:rsidRPr="000F21D0">
        <w:rPr>
          <w:lang w:val="ro-RO"/>
        </w:rPr>
        <w:t>.</w:t>
      </w:r>
    </w:p>
  </w:footnote>
  <w:footnote w:id="72">
    <w:p w14:paraId="29D6CF68" w14:textId="10470944" w:rsidR="000A3A79" w:rsidRPr="000F21D0" w:rsidRDefault="000A3A79">
      <w:pPr>
        <w:pStyle w:val="FootnoteText"/>
        <w:rPr>
          <w:lang w:val="ro-RO"/>
        </w:rPr>
      </w:pPr>
      <w:r w:rsidRPr="000F21D0">
        <w:rPr>
          <w:rStyle w:val="FootnoteReference"/>
          <w:lang w:val="ro-RO"/>
        </w:rPr>
        <w:footnoteRef/>
      </w:r>
      <w:r w:rsidR="00FB662A">
        <w:rPr>
          <w:lang w:val="ro-RO"/>
        </w:rPr>
        <w:t xml:space="preserve"> </w:t>
      </w:r>
      <w:r w:rsidRPr="000F21D0">
        <w:rPr>
          <w:rFonts w:ascii="Times New Roman" w:hAnsi="Times New Roman"/>
          <w:lang w:val="ro-RO"/>
        </w:rPr>
        <w:t>C(2023) 1696</w:t>
      </w:r>
      <w:r w:rsidRPr="000F21D0">
        <w:rPr>
          <w:lang w:val="ro-RO"/>
        </w:rPr>
        <w:t>.</w:t>
      </w:r>
    </w:p>
  </w:footnote>
  <w:footnote w:id="73">
    <w:p w14:paraId="3BCEEBB4" w14:textId="77777777" w:rsidR="000A3A79" w:rsidRPr="000F21D0" w:rsidRDefault="000A3A79" w:rsidP="003D1341">
      <w:pPr>
        <w:pStyle w:val="Footnote"/>
        <w:jc w:val="both"/>
        <w:rPr>
          <w:rFonts w:cs="Times New Roman"/>
          <w:lang w:val="ro-RO"/>
        </w:rPr>
      </w:pPr>
      <w:r w:rsidRPr="000F21D0">
        <w:rPr>
          <w:rStyle w:val="FootnoteReference"/>
          <w:rFonts w:cs="Times New Roman"/>
          <w:lang w:val="ro-RO"/>
        </w:rPr>
        <w:footnoteRef/>
      </w:r>
      <w:r w:rsidRPr="000F21D0">
        <w:rPr>
          <w:lang w:val="ro-RO"/>
        </w:rPr>
        <w:t xml:space="preserve"> În prezent, doar o mică parte din date, provenind de la doar 20 % din totalul procedurilor de achiziții, sunt disponibile și pot fi consultate într-un singur loc, baza de date a UE Tenders Electronic Daily (TED). În schimb, 80 % dintre date sunt repartizate, în formate diferite și sisteme multiple, la nivelul statelor membre.</w:t>
      </w:r>
    </w:p>
  </w:footnote>
  <w:footnote w:id="74">
    <w:p w14:paraId="3FBCEF4F" w14:textId="2D15D62D" w:rsidR="000A3A79" w:rsidRPr="000F21D0" w:rsidRDefault="000A3A79" w:rsidP="00B42C9E">
      <w:pPr>
        <w:pStyle w:val="FootnoteText"/>
        <w:rPr>
          <w:rFonts w:ascii="Times New Roman" w:hAnsi="Times New Roman" w:cs="Times New Roman"/>
          <w:lang w:val="ro-RO"/>
        </w:rPr>
      </w:pPr>
      <w:r w:rsidRPr="000F21D0">
        <w:rPr>
          <w:rStyle w:val="FootnoteReference"/>
          <w:rFonts w:ascii="Times New Roman" w:hAnsi="Times New Roman" w:cs="Times New Roman"/>
          <w:lang w:val="ro-RO"/>
        </w:rPr>
        <w:footnoteRef/>
      </w:r>
      <w:r w:rsidRPr="000F21D0">
        <w:rPr>
          <w:rFonts w:ascii="Times New Roman" w:hAnsi="Times New Roman"/>
          <w:lang w:val="ro-RO"/>
        </w:rPr>
        <w:t xml:space="preserve"> </w:t>
      </w:r>
      <w:hyperlink r:id="rId30" w:history="1">
        <w:r w:rsidRPr="000F21D0">
          <w:rPr>
            <w:rStyle w:val="Hyperlink"/>
            <w:rFonts w:ascii="Times New Roman" w:hAnsi="Times New Roman"/>
            <w:lang w:val="ro-RO"/>
          </w:rPr>
          <w:t>Spațiul european al datelor privind sănătatea (europa.eu).</w:t>
        </w:r>
      </w:hyperlink>
    </w:p>
  </w:footnote>
  <w:footnote w:id="75">
    <w:p w14:paraId="0C351DC7" w14:textId="22F917FA" w:rsidR="000A3A79" w:rsidRPr="000F21D0" w:rsidRDefault="000A3A79">
      <w:pPr>
        <w:pStyle w:val="FootnoteText"/>
        <w:rPr>
          <w:lang w:val="ro-RO"/>
        </w:rPr>
      </w:pPr>
      <w:r w:rsidRPr="000F21D0">
        <w:rPr>
          <w:rStyle w:val="FootnoteReference"/>
          <w:rFonts w:ascii="Times New Roman" w:hAnsi="Times New Roman" w:cs="Times New Roman"/>
          <w:lang w:val="ro-RO"/>
        </w:rPr>
        <w:footnoteRef/>
      </w:r>
      <w:r w:rsidRPr="000F21D0">
        <w:rPr>
          <w:rFonts w:ascii="Times New Roman" w:hAnsi="Times New Roman"/>
          <w:lang w:val="ro-RO"/>
        </w:rPr>
        <w:t xml:space="preserve"> </w:t>
      </w:r>
      <w:hyperlink r:id="rId31" w:history="1">
        <w:r w:rsidRPr="000F21D0">
          <w:rPr>
            <w:rStyle w:val="Hyperlink"/>
            <w:rFonts w:ascii="Times New Roman" w:hAnsi="Times New Roman"/>
            <w:lang w:val="ro-RO"/>
          </w:rPr>
          <w:t>https://www.epo.org/service-support/publications.html?pubid=162#tab3</w:t>
        </w:r>
      </w:hyperlink>
      <w:r w:rsidRPr="000F21D0">
        <w:rPr>
          <w:rStyle w:val="Hyperlink"/>
          <w:rFonts w:ascii="Times New Roman" w:hAnsi="Times New Roman"/>
          <w:lang w:val="ro-RO"/>
        </w:rPr>
        <w:t>.</w:t>
      </w:r>
    </w:p>
  </w:footnote>
  <w:footnote w:id="76">
    <w:p w14:paraId="3482258B" w14:textId="77777777" w:rsidR="000A3A79" w:rsidRPr="000F21D0" w:rsidRDefault="000A3A79" w:rsidP="001D01E6">
      <w:pPr>
        <w:pStyle w:val="FootnoteText"/>
        <w:jc w:val="both"/>
        <w:rPr>
          <w:rFonts w:ascii="Times New Roman" w:hAnsi="Times New Roman" w:cs="Times New Roman"/>
          <w:lang w:val="ro-RO"/>
        </w:rPr>
      </w:pPr>
      <w:r w:rsidRPr="000F21D0">
        <w:rPr>
          <w:rStyle w:val="FootnoteReference"/>
          <w:rFonts w:ascii="Times New Roman" w:hAnsi="Times New Roman" w:cs="Times New Roman"/>
          <w:lang w:val="ro-RO"/>
        </w:rPr>
        <w:footnoteRef/>
      </w:r>
      <w:r w:rsidRPr="000F21D0">
        <w:rPr>
          <w:rFonts w:ascii="Times New Roman" w:hAnsi="Times New Roman"/>
          <w:lang w:val="ro-RO"/>
        </w:rPr>
        <w:t xml:space="preserve"> Acest pașaport vine în completarea sistemului de Schimb electronic de informații privind securitatea socială (EESSI), care permite schimburile între autorități,</w:t>
      </w:r>
      <w:r w:rsidRPr="000F21D0">
        <w:rPr>
          <w:rFonts w:ascii="Times New Roman" w:hAnsi="Times New Roman"/>
          <w:b/>
          <w:lang w:val="ro-RO"/>
        </w:rPr>
        <w:t xml:space="preserve"> </w:t>
      </w:r>
      <w:r w:rsidRPr="000F21D0">
        <w:rPr>
          <w:rFonts w:ascii="Times New Roman" w:hAnsi="Times New Roman"/>
          <w:lang w:val="ro-RO"/>
        </w:rPr>
        <w:t>prin facilitarea interacțiunilor și a schimburilor de informații între cetățenii mobili, instituțiile de securitate socială și alte administrații publice relevante (de exemplu, inspectoratele de muncă și furnizorii de asistență medicală), făcând posibilă verificarea în timp real a drepturilor de securitate socială, inclusiv de către actorii care nu au acces la sistemul EESSI.</w:t>
      </w:r>
    </w:p>
  </w:footnote>
  <w:footnote w:id="77">
    <w:p w14:paraId="7FE72699" w14:textId="0C8D3866" w:rsidR="000A3A79" w:rsidRPr="000F21D0" w:rsidRDefault="000A3A79" w:rsidP="001D01E6">
      <w:pPr>
        <w:pStyle w:val="FootnoteText"/>
        <w:jc w:val="both"/>
        <w:rPr>
          <w:rFonts w:ascii="Times New Roman" w:hAnsi="Times New Roman" w:cs="Times New Roman"/>
          <w:lang w:val="ro-RO"/>
        </w:rPr>
      </w:pPr>
      <w:r w:rsidRPr="000F21D0">
        <w:rPr>
          <w:rStyle w:val="FootnoteReference"/>
          <w:rFonts w:ascii="Times New Roman" w:hAnsi="Times New Roman" w:cs="Times New Roman"/>
          <w:lang w:val="ro-RO"/>
        </w:rPr>
        <w:footnoteRef/>
      </w:r>
      <w:r w:rsidR="00FB662A">
        <w:rPr>
          <w:rFonts w:ascii="Times New Roman" w:hAnsi="Times New Roman"/>
          <w:lang w:val="ro-RO"/>
        </w:rPr>
        <w:t xml:space="preserve"> </w:t>
      </w:r>
      <w:r w:rsidRPr="000F21D0">
        <w:rPr>
          <w:rFonts w:ascii="Times New Roman" w:hAnsi="Times New Roman"/>
          <w:lang w:val="ro-RO"/>
        </w:rPr>
        <w:t>A se vedea COM(2022) 701 final</w:t>
      </w:r>
      <w:r w:rsidRPr="000F21D0">
        <w:rPr>
          <w:lang w:val="ro-RO"/>
        </w:rPr>
        <w:t>.</w:t>
      </w:r>
      <w:r w:rsidRPr="000F21D0">
        <w:rPr>
          <w:rFonts w:ascii="Times New Roman" w:hAnsi="Times New Roman"/>
          <w:lang w:val="ro-RO"/>
        </w:rPr>
        <w:t xml:space="preserve"> </w:t>
      </w:r>
    </w:p>
    <w:p w14:paraId="61C0CB5E" w14:textId="090DDF70" w:rsidR="000A3A79" w:rsidRPr="000F21D0" w:rsidRDefault="00905C33" w:rsidP="001D01E6">
      <w:pPr>
        <w:pStyle w:val="FootnoteText"/>
        <w:jc w:val="both"/>
        <w:rPr>
          <w:rFonts w:ascii="Times New Roman" w:hAnsi="Times New Roman" w:cs="Times New Roman"/>
          <w:lang w:val="ro-RO"/>
        </w:rPr>
      </w:pPr>
      <w:hyperlink r:id="rId32" w:history="1">
        <w:r w:rsidR="00080C6B" w:rsidRPr="000F21D0">
          <w:rPr>
            <w:rStyle w:val="Hyperlink"/>
            <w:rFonts w:ascii="Times New Roman" w:hAnsi="Times New Roman"/>
            <w:lang w:val="ro-RO"/>
          </w:rPr>
          <w:t>https://taxation-customs.ec.europa.eu/taxation-1/value-added-tax-vat/vat-digital-age_en</w:t>
        </w:r>
      </w:hyperlink>
      <w:r w:rsidR="00080C6B" w:rsidRPr="000F21D0">
        <w:rPr>
          <w:rFonts w:ascii="Times New Roman" w:hAnsi="Times New Roman"/>
          <w:lang w:val="ro-RO"/>
        </w:rPr>
        <w:t xml:space="preserve">. </w:t>
      </w:r>
    </w:p>
  </w:footnote>
  <w:footnote w:id="78">
    <w:p w14:paraId="3C46C4DE" w14:textId="201BB69F" w:rsidR="000A3A79" w:rsidRPr="000F21D0" w:rsidRDefault="000A3A79" w:rsidP="001D01E6">
      <w:pPr>
        <w:pStyle w:val="Footnote"/>
        <w:jc w:val="both"/>
        <w:rPr>
          <w:lang w:val="ro-RO"/>
        </w:rPr>
      </w:pPr>
      <w:r w:rsidRPr="000F21D0">
        <w:rPr>
          <w:rStyle w:val="FootnoteReference"/>
          <w:rFonts w:cs="Times New Roman"/>
          <w:lang w:val="ro-RO"/>
        </w:rPr>
        <w:footnoteRef/>
      </w:r>
      <w:r w:rsidR="000F21D0" w:rsidRPr="000F21D0">
        <w:rPr>
          <w:lang w:val="ro-RO"/>
        </w:rPr>
        <w:t xml:space="preserve"> </w:t>
      </w:r>
      <w:r w:rsidRPr="000F21D0">
        <w:rPr>
          <w:lang w:val="ro-RO"/>
        </w:rPr>
        <w:t>Un alt exemplu de cooperare consolidată între autoritățile vamale și autoritățile de supraveghere a pieței este adoptarea recentă a Regulamentului privind mediul aferent ghișeului unic al UE pentru vămi, care asigură interconectarea sistemelor vamale naționale: Regulamentul (UE) 2022/2399 al Parlamentului European și al Consiliului din 23 noiembrie 2022 de instituire a mediului aferent ghișeului unic al Uniunii Europene pentru vămi și de modificare a Regulamentului (UE) nr. 952/2013, JO L 317, 9.12.2022, p. 1).</w:t>
      </w:r>
    </w:p>
  </w:footnote>
  <w:footnote w:id="79">
    <w:p w14:paraId="4D15348B" w14:textId="19A5551A" w:rsidR="000A3A79" w:rsidRPr="000F21D0" w:rsidRDefault="000A3A79" w:rsidP="00A762EF">
      <w:pPr>
        <w:pStyle w:val="Footnote"/>
        <w:rPr>
          <w:lang w:val="ro-RO"/>
        </w:rPr>
      </w:pPr>
      <w:r w:rsidRPr="000F21D0">
        <w:rPr>
          <w:rStyle w:val="FootnoteReference"/>
          <w:lang w:val="ro-RO"/>
        </w:rPr>
        <w:footnoteRef/>
      </w:r>
      <w:r w:rsidR="00FB662A">
        <w:rPr>
          <w:lang w:val="ro-RO"/>
        </w:rPr>
        <w:t xml:space="preserve"> </w:t>
      </w:r>
      <w:hyperlink r:id="rId33" w:history="1">
        <w:r w:rsidRPr="000F21D0">
          <w:rPr>
            <w:rStyle w:val="Hyperlink"/>
            <w:lang w:val="ro-RO"/>
          </w:rPr>
          <w:t>Raportul anual privind piața unică din 2023</w:t>
        </w:r>
      </w:hyperlink>
      <w:r w:rsidRPr="000F21D0">
        <w:rPr>
          <w:lang w:val="ro-RO"/>
        </w:rPr>
        <w:t>, p. 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850F1" w14:textId="77777777" w:rsidR="00905C33" w:rsidRPr="00905C33" w:rsidRDefault="00905C33" w:rsidP="00905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82528" w14:textId="77777777" w:rsidR="00905C33" w:rsidRPr="00905C33" w:rsidRDefault="00905C33" w:rsidP="00905C3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9AB60" w14:textId="77777777" w:rsidR="00905C33" w:rsidRPr="00905C33" w:rsidRDefault="00905C33" w:rsidP="00905C3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09E37" w14:textId="77777777" w:rsidR="000A3A79" w:rsidRDefault="000A3A7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C2921" w14:textId="77777777" w:rsidR="000A3A79" w:rsidRDefault="000A3A7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B4E21" w14:textId="77777777" w:rsidR="000A3A79" w:rsidRDefault="000A3A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6ECB"/>
    <w:multiLevelType w:val="hybridMultilevel"/>
    <w:tmpl w:val="6F627B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DA0547A"/>
    <w:multiLevelType w:val="multilevel"/>
    <w:tmpl w:val="3AE6DE4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9E067FA"/>
    <w:multiLevelType w:val="multilevel"/>
    <w:tmpl w:val="241A83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6737117"/>
    <w:multiLevelType w:val="hybridMultilevel"/>
    <w:tmpl w:val="A4060454"/>
    <w:lvl w:ilvl="0" w:tplc="9B6AB7B8">
      <w:start w:val="20"/>
      <w:numFmt w:val="bullet"/>
      <w:lvlText w:val="-"/>
      <w:lvlJc w:val="left"/>
      <w:pPr>
        <w:ind w:left="720" w:hanging="360"/>
      </w:pPr>
      <w:rPr>
        <w:rFonts w:ascii="Calibri" w:eastAsia="Calibr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 w15:restartNumberingAfterBreak="0">
    <w:nsid w:val="5FA75485"/>
    <w:multiLevelType w:val="multilevel"/>
    <w:tmpl w:val="241A83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1"/>
  </w:num>
  <w:num w:numId="3">
    <w:abstractNumId w:val="0"/>
  </w:num>
  <w:num w:numId="4">
    <w:abstractNumId w:val="3"/>
  </w:num>
  <w:num w:numId="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pt-PT"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en-GB" w:vendorID="64" w:dllVersion="0" w:nlCheck="1" w:checkStyle="0"/>
  <w:activeWritingStyle w:appName="MSWord" w:lang="en-IE" w:vendorID="64" w:dllVersion="6" w:nlCheck="1" w:checkStyle="1"/>
  <w:activeWritingStyle w:appName="MSWord" w:lang="fr-BE" w:vendorID="64" w:dllVersion="6" w:nlCheck="1" w:checkStyle="0"/>
  <w:activeWritingStyle w:appName="MSWord" w:lang="en-GB" w:vendorID="64" w:dllVersion="6" w:nlCheck="1" w:checkStyle="1"/>
  <w:activeWritingStyle w:appName="MSWord" w:lang="pt-PT" w:vendorID="64" w:dllVersion="6" w:nlCheck="1" w:checkStyle="0"/>
  <w:activeWritingStyle w:appName="MSWord" w:lang="en-US" w:vendorID="64" w:dllVersion="6" w:nlCheck="1" w:checkStyle="1"/>
  <w:activeWritingStyle w:appName="MSWord" w:lang="fr-FR" w:vendorID="64" w:dllVersion="6" w:nlCheck="1" w:checkStyle="0"/>
  <w:activeWritingStyle w:appName="MSWord" w:lang="de-DE" w:vendorID="64" w:dllVersion="0" w:nlCheck="1" w:checkStyle="0"/>
  <w:activeWritingStyle w:appName="MSWord" w:lang="de-DE" w:vendorID="64" w:dllVersion="6" w:nlCheck="1" w:checkStyle="0"/>
  <w:activeWritingStyle w:appName="MSWord" w:lang="sv-FI" w:vendorID="64" w:dllVersion="0" w:nlCheck="1" w:checkStyle="0"/>
  <w:activeWritingStyle w:appName="MSWord" w:lang="en-US" w:vendorID="64" w:dllVersion="131078" w:nlCheck="1" w:checkStyle="1"/>
  <w:activeWritingStyle w:appName="MSWord" w:lang="fr-BE" w:vendorID="64" w:dllVersion="131078" w:nlCheck="1" w:checkStyle="0"/>
  <w:activeWritingStyle w:appName="MSWord" w:lang="es-ES" w:vendorID="64" w:dllVersion="131078"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8CA5B62-FAAE-42E0-B8FF-2D2D91F5AFC7"/>
    <w:docVar w:name="LW_COVERPAGE_TYPE" w:val="1"/>
    <w:docVar w:name="LW_CROSSREFERENCE" w:val="&lt;UNUSED&gt;"/>
    <w:docVar w:name="LW_DocType" w:val="NORMAL"/>
    <w:docVar w:name="LW_EMISSION" w:val="16.3.2023"/>
    <w:docVar w:name="LW_EMISSION_ISODATE" w:val="2023-03-16"/>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1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iața unică la 30 de ani"/>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FE3E5E"/>
    <w:rsid w:val="000000D6"/>
    <w:rsid w:val="00000251"/>
    <w:rsid w:val="0000032F"/>
    <w:rsid w:val="000004E5"/>
    <w:rsid w:val="00000740"/>
    <w:rsid w:val="00000D59"/>
    <w:rsid w:val="00000FAB"/>
    <w:rsid w:val="0000145E"/>
    <w:rsid w:val="00001741"/>
    <w:rsid w:val="00001BE0"/>
    <w:rsid w:val="00001EB3"/>
    <w:rsid w:val="00002024"/>
    <w:rsid w:val="0000283A"/>
    <w:rsid w:val="000028CE"/>
    <w:rsid w:val="00002B3D"/>
    <w:rsid w:val="00003C59"/>
    <w:rsid w:val="00003FED"/>
    <w:rsid w:val="000041C9"/>
    <w:rsid w:val="00004242"/>
    <w:rsid w:val="0000453D"/>
    <w:rsid w:val="00004967"/>
    <w:rsid w:val="00004FF4"/>
    <w:rsid w:val="0000546E"/>
    <w:rsid w:val="000059C0"/>
    <w:rsid w:val="000061CC"/>
    <w:rsid w:val="000067C5"/>
    <w:rsid w:val="000068A5"/>
    <w:rsid w:val="000069C5"/>
    <w:rsid w:val="00006AAE"/>
    <w:rsid w:val="00006ADA"/>
    <w:rsid w:val="000072F5"/>
    <w:rsid w:val="0000759C"/>
    <w:rsid w:val="00007651"/>
    <w:rsid w:val="00007A5C"/>
    <w:rsid w:val="00010147"/>
    <w:rsid w:val="00010478"/>
    <w:rsid w:val="00010E57"/>
    <w:rsid w:val="00010F43"/>
    <w:rsid w:val="000110AF"/>
    <w:rsid w:val="00011209"/>
    <w:rsid w:val="000115AD"/>
    <w:rsid w:val="000118D4"/>
    <w:rsid w:val="000118E7"/>
    <w:rsid w:val="00011A4E"/>
    <w:rsid w:val="0001288B"/>
    <w:rsid w:val="00012961"/>
    <w:rsid w:val="000129F3"/>
    <w:rsid w:val="0001332C"/>
    <w:rsid w:val="00013A05"/>
    <w:rsid w:val="00014061"/>
    <w:rsid w:val="00014190"/>
    <w:rsid w:val="000143F6"/>
    <w:rsid w:val="00014451"/>
    <w:rsid w:val="00014911"/>
    <w:rsid w:val="00014996"/>
    <w:rsid w:val="000149C6"/>
    <w:rsid w:val="00014F8A"/>
    <w:rsid w:val="00015AF5"/>
    <w:rsid w:val="00015E7D"/>
    <w:rsid w:val="00016058"/>
    <w:rsid w:val="0001614B"/>
    <w:rsid w:val="000161F4"/>
    <w:rsid w:val="000165C1"/>
    <w:rsid w:val="0001693A"/>
    <w:rsid w:val="00016B3A"/>
    <w:rsid w:val="00016E72"/>
    <w:rsid w:val="00017720"/>
    <w:rsid w:val="00017A2B"/>
    <w:rsid w:val="00017AEB"/>
    <w:rsid w:val="0002066F"/>
    <w:rsid w:val="00020D68"/>
    <w:rsid w:val="00020D7D"/>
    <w:rsid w:val="00020F6F"/>
    <w:rsid w:val="00020FB9"/>
    <w:rsid w:val="000211CD"/>
    <w:rsid w:val="0002174D"/>
    <w:rsid w:val="00021998"/>
    <w:rsid w:val="000222F2"/>
    <w:rsid w:val="00022909"/>
    <w:rsid w:val="00022984"/>
    <w:rsid w:val="00022EAB"/>
    <w:rsid w:val="00023D3E"/>
    <w:rsid w:val="0002401C"/>
    <w:rsid w:val="00024281"/>
    <w:rsid w:val="00024305"/>
    <w:rsid w:val="0002459D"/>
    <w:rsid w:val="00024CF1"/>
    <w:rsid w:val="000254D4"/>
    <w:rsid w:val="00025780"/>
    <w:rsid w:val="000257E0"/>
    <w:rsid w:val="0002583C"/>
    <w:rsid w:val="00026134"/>
    <w:rsid w:val="00026AB0"/>
    <w:rsid w:val="00026B0C"/>
    <w:rsid w:val="00026CC5"/>
    <w:rsid w:val="00027D7C"/>
    <w:rsid w:val="0003002D"/>
    <w:rsid w:val="00030073"/>
    <w:rsid w:val="0003049B"/>
    <w:rsid w:val="000304C9"/>
    <w:rsid w:val="00030AAB"/>
    <w:rsid w:val="00030E21"/>
    <w:rsid w:val="00031649"/>
    <w:rsid w:val="00031A38"/>
    <w:rsid w:val="00031BE2"/>
    <w:rsid w:val="00031D2A"/>
    <w:rsid w:val="00031E7A"/>
    <w:rsid w:val="00032141"/>
    <w:rsid w:val="00032375"/>
    <w:rsid w:val="00032E74"/>
    <w:rsid w:val="0003339E"/>
    <w:rsid w:val="00033502"/>
    <w:rsid w:val="000335A9"/>
    <w:rsid w:val="000337C4"/>
    <w:rsid w:val="00033E62"/>
    <w:rsid w:val="0003501E"/>
    <w:rsid w:val="000350DD"/>
    <w:rsid w:val="00035D37"/>
    <w:rsid w:val="000361FB"/>
    <w:rsid w:val="00036339"/>
    <w:rsid w:val="000364E7"/>
    <w:rsid w:val="0003681E"/>
    <w:rsid w:val="00036ED7"/>
    <w:rsid w:val="000375FA"/>
    <w:rsid w:val="000379C9"/>
    <w:rsid w:val="00037CAF"/>
    <w:rsid w:val="00037E2B"/>
    <w:rsid w:val="000401E2"/>
    <w:rsid w:val="00040262"/>
    <w:rsid w:val="000402F9"/>
    <w:rsid w:val="0004051F"/>
    <w:rsid w:val="000405A6"/>
    <w:rsid w:val="00040D3D"/>
    <w:rsid w:val="000414B6"/>
    <w:rsid w:val="00041577"/>
    <w:rsid w:val="000415AA"/>
    <w:rsid w:val="00041B40"/>
    <w:rsid w:val="00041EF7"/>
    <w:rsid w:val="00041F3E"/>
    <w:rsid w:val="00042175"/>
    <w:rsid w:val="000422D1"/>
    <w:rsid w:val="00042BE9"/>
    <w:rsid w:val="00042D7C"/>
    <w:rsid w:val="000439AA"/>
    <w:rsid w:val="00043BD6"/>
    <w:rsid w:val="00043D6E"/>
    <w:rsid w:val="000452A4"/>
    <w:rsid w:val="00045436"/>
    <w:rsid w:val="00045DB6"/>
    <w:rsid w:val="000460C0"/>
    <w:rsid w:val="0004626E"/>
    <w:rsid w:val="00046795"/>
    <w:rsid w:val="00046C64"/>
    <w:rsid w:val="00046FE3"/>
    <w:rsid w:val="000470D8"/>
    <w:rsid w:val="0004749C"/>
    <w:rsid w:val="00047A71"/>
    <w:rsid w:val="00050401"/>
    <w:rsid w:val="00050757"/>
    <w:rsid w:val="00050B3E"/>
    <w:rsid w:val="00051190"/>
    <w:rsid w:val="000511DD"/>
    <w:rsid w:val="000514F6"/>
    <w:rsid w:val="000517DA"/>
    <w:rsid w:val="00051C21"/>
    <w:rsid w:val="00051FEB"/>
    <w:rsid w:val="00052510"/>
    <w:rsid w:val="00052B20"/>
    <w:rsid w:val="00052DC2"/>
    <w:rsid w:val="000531B5"/>
    <w:rsid w:val="000531D3"/>
    <w:rsid w:val="000537C5"/>
    <w:rsid w:val="00053819"/>
    <w:rsid w:val="00053A36"/>
    <w:rsid w:val="00053DDC"/>
    <w:rsid w:val="0005457D"/>
    <w:rsid w:val="00054DA6"/>
    <w:rsid w:val="00055042"/>
    <w:rsid w:val="00055EA7"/>
    <w:rsid w:val="00055F70"/>
    <w:rsid w:val="00055F95"/>
    <w:rsid w:val="0005614E"/>
    <w:rsid w:val="00056344"/>
    <w:rsid w:val="0005663D"/>
    <w:rsid w:val="00056E8E"/>
    <w:rsid w:val="00056FAA"/>
    <w:rsid w:val="00057098"/>
    <w:rsid w:val="000575EE"/>
    <w:rsid w:val="00057E05"/>
    <w:rsid w:val="00060348"/>
    <w:rsid w:val="000603D8"/>
    <w:rsid w:val="000604B3"/>
    <w:rsid w:val="0006098E"/>
    <w:rsid w:val="00060A4D"/>
    <w:rsid w:val="00060A80"/>
    <w:rsid w:val="0006100B"/>
    <w:rsid w:val="00061056"/>
    <w:rsid w:val="00061114"/>
    <w:rsid w:val="00061413"/>
    <w:rsid w:val="00061A12"/>
    <w:rsid w:val="00062492"/>
    <w:rsid w:val="00062876"/>
    <w:rsid w:val="00062935"/>
    <w:rsid w:val="000629FC"/>
    <w:rsid w:val="0006314F"/>
    <w:rsid w:val="00063344"/>
    <w:rsid w:val="0006345F"/>
    <w:rsid w:val="000638F9"/>
    <w:rsid w:val="00063BCD"/>
    <w:rsid w:val="000640E6"/>
    <w:rsid w:val="000640EC"/>
    <w:rsid w:val="00064181"/>
    <w:rsid w:val="000647C7"/>
    <w:rsid w:val="00064888"/>
    <w:rsid w:val="00064D8A"/>
    <w:rsid w:val="00065088"/>
    <w:rsid w:val="00065585"/>
    <w:rsid w:val="00065AEF"/>
    <w:rsid w:val="000662BB"/>
    <w:rsid w:val="00066ADF"/>
    <w:rsid w:val="00066E75"/>
    <w:rsid w:val="00067565"/>
    <w:rsid w:val="00067A3D"/>
    <w:rsid w:val="0007047A"/>
    <w:rsid w:val="00070790"/>
    <w:rsid w:val="00071D86"/>
    <w:rsid w:val="00071E13"/>
    <w:rsid w:val="00072017"/>
    <w:rsid w:val="00072699"/>
    <w:rsid w:val="000728CA"/>
    <w:rsid w:val="00072AC0"/>
    <w:rsid w:val="00072B73"/>
    <w:rsid w:val="0007336D"/>
    <w:rsid w:val="00073543"/>
    <w:rsid w:val="00074F63"/>
    <w:rsid w:val="000750B0"/>
    <w:rsid w:val="000752DF"/>
    <w:rsid w:val="0007596F"/>
    <w:rsid w:val="00075C85"/>
    <w:rsid w:val="00075D3E"/>
    <w:rsid w:val="00076B01"/>
    <w:rsid w:val="00076C20"/>
    <w:rsid w:val="00076DCC"/>
    <w:rsid w:val="00076DE9"/>
    <w:rsid w:val="0007749A"/>
    <w:rsid w:val="00077F49"/>
    <w:rsid w:val="000804F7"/>
    <w:rsid w:val="0008050E"/>
    <w:rsid w:val="00080BD2"/>
    <w:rsid w:val="00080C6B"/>
    <w:rsid w:val="00081EB9"/>
    <w:rsid w:val="000821BB"/>
    <w:rsid w:val="000828D5"/>
    <w:rsid w:val="00082B4A"/>
    <w:rsid w:val="00082C0A"/>
    <w:rsid w:val="00083746"/>
    <w:rsid w:val="00083CD6"/>
    <w:rsid w:val="00084062"/>
    <w:rsid w:val="000841F8"/>
    <w:rsid w:val="000846FC"/>
    <w:rsid w:val="000849C8"/>
    <w:rsid w:val="00085119"/>
    <w:rsid w:val="0008535E"/>
    <w:rsid w:val="00085400"/>
    <w:rsid w:val="00085432"/>
    <w:rsid w:val="0008544E"/>
    <w:rsid w:val="0008576D"/>
    <w:rsid w:val="00086630"/>
    <w:rsid w:val="00086827"/>
    <w:rsid w:val="000868EE"/>
    <w:rsid w:val="00086F45"/>
    <w:rsid w:val="000871D5"/>
    <w:rsid w:val="00087521"/>
    <w:rsid w:val="0008757F"/>
    <w:rsid w:val="000877A6"/>
    <w:rsid w:val="0009037F"/>
    <w:rsid w:val="00090657"/>
    <w:rsid w:val="00090786"/>
    <w:rsid w:val="000909B5"/>
    <w:rsid w:val="00090C2B"/>
    <w:rsid w:val="00091069"/>
    <w:rsid w:val="0009158B"/>
    <w:rsid w:val="00092802"/>
    <w:rsid w:val="000928FA"/>
    <w:rsid w:val="000929A3"/>
    <w:rsid w:val="00092EAD"/>
    <w:rsid w:val="000936BD"/>
    <w:rsid w:val="000936D1"/>
    <w:rsid w:val="00093757"/>
    <w:rsid w:val="000940A4"/>
    <w:rsid w:val="000940D9"/>
    <w:rsid w:val="000940DE"/>
    <w:rsid w:val="00094234"/>
    <w:rsid w:val="00094834"/>
    <w:rsid w:val="00095DC7"/>
    <w:rsid w:val="0009615A"/>
    <w:rsid w:val="0009625E"/>
    <w:rsid w:val="00096548"/>
    <w:rsid w:val="00096643"/>
    <w:rsid w:val="00096C7C"/>
    <w:rsid w:val="0009708D"/>
    <w:rsid w:val="000970CF"/>
    <w:rsid w:val="0009713B"/>
    <w:rsid w:val="000974F7"/>
    <w:rsid w:val="00097CB0"/>
    <w:rsid w:val="00097D69"/>
    <w:rsid w:val="00097E58"/>
    <w:rsid w:val="000A0205"/>
    <w:rsid w:val="000A0BD6"/>
    <w:rsid w:val="000A13C7"/>
    <w:rsid w:val="000A18D6"/>
    <w:rsid w:val="000A205A"/>
    <w:rsid w:val="000A2060"/>
    <w:rsid w:val="000A222E"/>
    <w:rsid w:val="000A2552"/>
    <w:rsid w:val="000A2796"/>
    <w:rsid w:val="000A29B2"/>
    <w:rsid w:val="000A3097"/>
    <w:rsid w:val="000A33BD"/>
    <w:rsid w:val="000A3877"/>
    <w:rsid w:val="000A3A68"/>
    <w:rsid w:val="000A3A79"/>
    <w:rsid w:val="000A3AE8"/>
    <w:rsid w:val="000A3C01"/>
    <w:rsid w:val="000A3C20"/>
    <w:rsid w:val="000A3E52"/>
    <w:rsid w:val="000A3EC2"/>
    <w:rsid w:val="000A3FDE"/>
    <w:rsid w:val="000A496C"/>
    <w:rsid w:val="000A56C7"/>
    <w:rsid w:val="000A590D"/>
    <w:rsid w:val="000A5F01"/>
    <w:rsid w:val="000A5F4B"/>
    <w:rsid w:val="000A677C"/>
    <w:rsid w:val="000A6954"/>
    <w:rsid w:val="000A71CE"/>
    <w:rsid w:val="000A7558"/>
    <w:rsid w:val="000A799A"/>
    <w:rsid w:val="000B0013"/>
    <w:rsid w:val="000B02C0"/>
    <w:rsid w:val="000B0437"/>
    <w:rsid w:val="000B050A"/>
    <w:rsid w:val="000B0536"/>
    <w:rsid w:val="000B0C75"/>
    <w:rsid w:val="000B0DE4"/>
    <w:rsid w:val="000B0E6B"/>
    <w:rsid w:val="000B1062"/>
    <w:rsid w:val="000B19DA"/>
    <w:rsid w:val="000B1DDB"/>
    <w:rsid w:val="000B213C"/>
    <w:rsid w:val="000B2440"/>
    <w:rsid w:val="000B246D"/>
    <w:rsid w:val="000B271C"/>
    <w:rsid w:val="000B2999"/>
    <w:rsid w:val="000B2AC9"/>
    <w:rsid w:val="000B2ACE"/>
    <w:rsid w:val="000B333E"/>
    <w:rsid w:val="000B3417"/>
    <w:rsid w:val="000B3461"/>
    <w:rsid w:val="000B35BD"/>
    <w:rsid w:val="000B35C1"/>
    <w:rsid w:val="000B37E8"/>
    <w:rsid w:val="000B4150"/>
    <w:rsid w:val="000B4B9E"/>
    <w:rsid w:val="000B4D04"/>
    <w:rsid w:val="000B4D90"/>
    <w:rsid w:val="000B4DF6"/>
    <w:rsid w:val="000B4E86"/>
    <w:rsid w:val="000B4F02"/>
    <w:rsid w:val="000B5651"/>
    <w:rsid w:val="000B5C9F"/>
    <w:rsid w:val="000B5EF5"/>
    <w:rsid w:val="000B5F47"/>
    <w:rsid w:val="000B6138"/>
    <w:rsid w:val="000B6741"/>
    <w:rsid w:val="000B6948"/>
    <w:rsid w:val="000B6AB2"/>
    <w:rsid w:val="000B6C0F"/>
    <w:rsid w:val="000B6F93"/>
    <w:rsid w:val="000B7401"/>
    <w:rsid w:val="000B7527"/>
    <w:rsid w:val="000B787E"/>
    <w:rsid w:val="000B78C6"/>
    <w:rsid w:val="000B7DCA"/>
    <w:rsid w:val="000C0E5A"/>
    <w:rsid w:val="000C0FB2"/>
    <w:rsid w:val="000C143C"/>
    <w:rsid w:val="000C1829"/>
    <w:rsid w:val="000C1AA5"/>
    <w:rsid w:val="000C2230"/>
    <w:rsid w:val="000C2E65"/>
    <w:rsid w:val="000C306F"/>
    <w:rsid w:val="000C3842"/>
    <w:rsid w:val="000C3893"/>
    <w:rsid w:val="000C3C1A"/>
    <w:rsid w:val="000C4904"/>
    <w:rsid w:val="000C4CC1"/>
    <w:rsid w:val="000C4D5A"/>
    <w:rsid w:val="000C52BF"/>
    <w:rsid w:val="000C5FBC"/>
    <w:rsid w:val="000C63A4"/>
    <w:rsid w:val="000C6B91"/>
    <w:rsid w:val="000C6BEB"/>
    <w:rsid w:val="000C7318"/>
    <w:rsid w:val="000C790C"/>
    <w:rsid w:val="000C7BB3"/>
    <w:rsid w:val="000C7C47"/>
    <w:rsid w:val="000C7D2D"/>
    <w:rsid w:val="000C7D51"/>
    <w:rsid w:val="000C7D89"/>
    <w:rsid w:val="000D0538"/>
    <w:rsid w:val="000D09F8"/>
    <w:rsid w:val="000D120A"/>
    <w:rsid w:val="000D1484"/>
    <w:rsid w:val="000D1514"/>
    <w:rsid w:val="000D17DB"/>
    <w:rsid w:val="000D1B40"/>
    <w:rsid w:val="000D1C0C"/>
    <w:rsid w:val="000D209B"/>
    <w:rsid w:val="000D233F"/>
    <w:rsid w:val="000D2C65"/>
    <w:rsid w:val="000D2FDF"/>
    <w:rsid w:val="000D3B04"/>
    <w:rsid w:val="000D4027"/>
    <w:rsid w:val="000D44D0"/>
    <w:rsid w:val="000D474E"/>
    <w:rsid w:val="000D4875"/>
    <w:rsid w:val="000D537B"/>
    <w:rsid w:val="000D5459"/>
    <w:rsid w:val="000D562C"/>
    <w:rsid w:val="000D5887"/>
    <w:rsid w:val="000D5D8C"/>
    <w:rsid w:val="000D5E22"/>
    <w:rsid w:val="000D5F76"/>
    <w:rsid w:val="000D6067"/>
    <w:rsid w:val="000D6677"/>
    <w:rsid w:val="000D68D8"/>
    <w:rsid w:val="000D6D04"/>
    <w:rsid w:val="000D7213"/>
    <w:rsid w:val="000D7C9F"/>
    <w:rsid w:val="000D7CC7"/>
    <w:rsid w:val="000E017F"/>
    <w:rsid w:val="000E039E"/>
    <w:rsid w:val="000E05AC"/>
    <w:rsid w:val="000E1435"/>
    <w:rsid w:val="000E183A"/>
    <w:rsid w:val="000E1B94"/>
    <w:rsid w:val="000E223A"/>
    <w:rsid w:val="000E24D5"/>
    <w:rsid w:val="000E2E52"/>
    <w:rsid w:val="000E3A1F"/>
    <w:rsid w:val="000E45B3"/>
    <w:rsid w:val="000E473A"/>
    <w:rsid w:val="000E4886"/>
    <w:rsid w:val="000E4A1F"/>
    <w:rsid w:val="000E4B88"/>
    <w:rsid w:val="000E4E1C"/>
    <w:rsid w:val="000E4E20"/>
    <w:rsid w:val="000E518E"/>
    <w:rsid w:val="000E5349"/>
    <w:rsid w:val="000E5512"/>
    <w:rsid w:val="000E56AB"/>
    <w:rsid w:val="000E5BB0"/>
    <w:rsid w:val="000E5ED8"/>
    <w:rsid w:val="000E6702"/>
    <w:rsid w:val="000E6733"/>
    <w:rsid w:val="000E6BB3"/>
    <w:rsid w:val="000E700F"/>
    <w:rsid w:val="000E757D"/>
    <w:rsid w:val="000E7B9A"/>
    <w:rsid w:val="000E7DFB"/>
    <w:rsid w:val="000E7E8A"/>
    <w:rsid w:val="000E7F20"/>
    <w:rsid w:val="000F072C"/>
    <w:rsid w:val="000F08F2"/>
    <w:rsid w:val="000F119C"/>
    <w:rsid w:val="000F136D"/>
    <w:rsid w:val="000F1B20"/>
    <w:rsid w:val="000F21D0"/>
    <w:rsid w:val="000F21EE"/>
    <w:rsid w:val="000F2506"/>
    <w:rsid w:val="000F2875"/>
    <w:rsid w:val="000F2E6F"/>
    <w:rsid w:val="000F429A"/>
    <w:rsid w:val="000F4468"/>
    <w:rsid w:val="000F451D"/>
    <w:rsid w:val="000F4B5E"/>
    <w:rsid w:val="000F4F30"/>
    <w:rsid w:val="000F55CA"/>
    <w:rsid w:val="000F5639"/>
    <w:rsid w:val="000F5C3E"/>
    <w:rsid w:val="000F6346"/>
    <w:rsid w:val="000F6649"/>
    <w:rsid w:val="000F6673"/>
    <w:rsid w:val="000F6B47"/>
    <w:rsid w:val="000F6DE5"/>
    <w:rsid w:val="000F7032"/>
    <w:rsid w:val="000F7423"/>
    <w:rsid w:val="000F754C"/>
    <w:rsid w:val="000F782E"/>
    <w:rsid w:val="000F7A9B"/>
    <w:rsid w:val="000F7AB2"/>
    <w:rsid w:val="00100074"/>
    <w:rsid w:val="00100240"/>
    <w:rsid w:val="001003C2"/>
    <w:rsid w:val="00101370"/>
    <w:rsid w:val="00102332"/>
    <w:rsid w:val="0010259B"/>
    <w:rsid w:val="001033D4"/>
    <w:rsid w:val="0010362B"/>
    <w:rsid w:val="0010386A"/>
    <w:rsid w:val="00103D21"/>
    <w:rsid w:val="001045F7"/>
    <w:rsid w:val="001046E3"/>
    <w:rsid w:val="001047B5"/>
    <w:rsid w:val="001049F7"/>
    <w:rsid w:val="0010534C"/>
    <w:rsid w:val="00105446"/>
    <w:rsid w:val="001057CF"/>
    <w:rsid w:val="00105EE6"/>
    <w:rsid w:val="001064B1"/>
    <w:rsid w:val="001064D9"/>
    <w:rsid w:val="00106730"/>
    <w:rsid w:val="00106A95"/>
    <w:rsid w:val="00106B23"/>
    <w:rsid w:val="00106C85"/>
    <w:rsid w:val="00106EFE"/>
    <w:rsid w:val="001074B2"/>
    <w:rsid w:val="0010770A"/>
    <w:rsid w:val="00107A74"/>
    <w:rsid w:val="0010869E"/>
    <w:rsid w:val="00110319"/>
    <w:rsid w:val="001106A6"/>
    <w:rsid w:val="00110BEF"/>
    <w:rsid w:val="00110C42"/>
    <w:rsid w:val="00111115"/>
    <w:rsid w:val="00111499"/>
    <w:rsid w:val="001114B0"/>
    <w:rsid w:val="00111514"/>
    <w:rsid w:val="0011152A"/>
    <w:rsid w:val="00111C10"/>
    <w:rsid w:val="00111DBE"/>
    <w:rsid w:val="0011250E"/>
    <w:rsid w:val="001128F6"/>
    <w:rsid w:val="00112961"/>
    <w:rsid w:val="00112FEC"/>
    <w:rsid w:val="00113336"/>
    <w:rsid w:val="00114204"/>
    <w:rsid w:val="00114413"/>
    <w:rsid w:val="001148B0"/>
    <w:rsid w:val="00114A6F"/>
    <w:rsid w:val="00114FC9"/>
    <w:rsid w:val="00115333"/>
    <w:rsid w:val="001156A3"/>
    <w:rsid w:val="0011597D"/>
    <w:rsid w:val="00115CB2"/>
    <w:rsid w:val="001163CF"/>
    <w:rsid w:val="00116689"/>
    <w:rsid w:val="00117400"/>
    <w:rsid w:val="00117476"/>
    <w:rsid w:val="001177E4"/>
    <w:rsid w:val="0012069B"/>
    <w:rsid w:val="00120B81"/>
    <w:rsid w:val="00120C06"/>
    <w:rsid w:val="00120C2F"/>
    <w:rsid w:val="00120CF8"/>
    <w:rsid w:val="00120D00"/>
    <w:rsid w:val="0012146F"/>
    <w:rsid w:val="00121606"/>
    <w:rsid w:val="001216A7"/>
    <w:rsid w:val="00121FCD"/>
    <w:rsid w:val="00122565"/>
    <w:rsid w:val="0012277F"/>
    <w:rsid w:val="00123287"/>
    <w:rsid w:val="00123467"/>
    <w:rsid w:val="001239F7"/>
    <w:rsid w:val="00123AE3"/>
    <w:rsid w:val="00123D4C"/>
    <w:rsid w:val="00124576"/>
    <w:rsid w:val="00124A00"/>
    <w:rsid w:val="00124D74"/>
    <w:rsid w:val="00125678"/>
    <w:rsid w:val="00125A5E"/>
    <w:rsid w:val="00126134"/>
    <w:rsid w:val="0012613F"/>
    <w:rsid w:val="0012663C"/>
    <w:rsid w:val="00126C5C"/>
    <w:rsid w:val="00126FC3"/>
    <w:rsid w:val="00127705"/>
    <w:rsid w:val="00127C37"/>
    <w:rsid w:val="00127C51"/>
    <w:rsid w:val="00127EFC"/>
    <w:rsid w:val="00127F57"/>
    <w:rsid w:val="0013064F"/>
    <w:rsid w:val="001306B9"/>
    <w:rsid w:val="001306DA"/>
    <w:rsid w:val="00130FCC"/>
    <w:rsid w:val="0013107E"/>
    <w:rsid w:val="001315F9"/>
    <w:rsid w:val="00131AE9"/>
    <w:rsid w:val="001323D9"/>
    <w:rsid w:val="00132A3D"/>
    <w:rsid w:val="00132B36"/>
    <w:rsid w:val="00132EFA"/>
    <w:rsid w:val="0013301F"/>
    <w:rsid w:val="001330A3"/>
    <w:rsid w:val="00133607"/>
    <w:rsid w:val="001339BC"/>
    <w:rsid w:val="00133CAF"/>
    <w:rsid w:val="00134408"/>
    <w:rsid w:val="0013491E"/>
    <w:rsid w:val="00134A38"/>
    <w:rsid w:val="001354AA"/>
    <w:rsid w:val="001354C9"/>
    <w:rsid w:val="00135BF3"/>
    <w:rsid w:val="00135C7D"/>
    <w:rsid w:val="00135EAE"/>
    <w:rsid w:val="001366EA"/>
    <w:rsid w:val="0013725A"/>
    <w:rsid w:val="001375DA"/>
    <w:rsid w:val="00137CB1"/>
    <w:rsid w:val="00137CDF"/>
    <w:rsid w:val="0013D0AA"/>
    <w:rsid w:val="00140320"/>
    <w:rsid w:val="0014076B"/>
    <w:rsid w:val="00140CAD"/>
    <w:rsid w:val="00140F50"/>
    <w:rsid w:val="00141852"/>
    <w:rsid w:val="00141D51"/>
    <w:rsid w:val="00141DDD"/>
    <w:rsid w:val="00141FB4"/>
    <w:rsid w:val="001423C1"/>
    <w:rsid w:val="001437AA"/>
    <w:rsid w:val="00144054"/>
    <w:rsid w:val="00144343"/>
    <w:rsid w:val="00144B46"/>
    <w:rsid w:val="0014580C"/>
    <w:rsid w:val="001459F8"/>
    <w:rsid w:val="0014648B"/>
    <w:rsid w:val="00146490"/>
    <w:rsid w:val="001470AA"/>
    <w:rsid w:val="001471B4"/>
    <w:rsid w:val="001471DD"/>
    <w:rsid w:val="00147564"/>
    <w:rsid w:val="00147AFD"/>
    <w:rsid w:val="00147E2A"/>
    <w:rsid w:val="00149985"/>
    <w:rsid w:val="001502EE"/>
    <w:rsid w:val="00150799"/>
    <w:rsid w:val="00150B17"/>
    <w:rsid w:val="00151984"/>
    <w:rsid w:val="00151EED"/>
    <w:rsid w:val="00151F9E"/>
    <w:rsid w:val="00152019"/>
    <w:rsid w:val="001526F1"/>
    <w:rsid w:val="00152AA4"/>
    <w:rsid w:val="00152CD1"/>
    <w:rsid w:val="00152D2D"/>
    <w:rsid w:val="001538F4"/>
    <w:rsid w:val="00153BAD"/>
    <w:rsid w:val="00153F25"/>
    <w:rsid w:val="00153F5A"/>
    <w:rsid w:val="00154409"/>
    <w:rsid w:val="00154422"/>
    <w:rsid w:val="001544EF"/>
    <w:rsid w:val="00154973"/>
    <w:rsid w:val="00154CA8"/>
    <w:rsid w:val="00154CBA"/>
    <w:rsid w:val="00155298"/>
    <w:rsid w:val="001553AC"/>
    <w:rsid w:val="00155E3E"/>
    <w:rsid w:val="00156088"/>
    <w:rsid w:val="00156121"/>
    <w:rsid w:val="00156441"/>
    <w:rsid w:val="001564B8"/>
    <w:rsid w:val="00156871"/>
    <w:rsid w:val="00156E36"/>
    <w:rsid w:val="00156EDA"/>
    <w:rsid w:val="00156F91"/>
    <w:rsid w:val="001576BE"/>
    <w:rsid w:val="00157D1F"/>
    <w:rsid w:val="00160024"/>
    <w:rsid w:val="0016060A"/>
    <w:rsid w:val="00160693"/>
    <w:rsid w:val="00160AC6"/>
    <w:rsid w:val="00160FB8"/>
    <w:rsid w:val="00161213"/>
    <w:rsid w:val="00161977"/>
    <w:rsid w:val="0016198C"/>
    <w:rsid w:val="00161AC9"/>
    <w:rsid w:val="00161D90"/>
    <w:rsid w:val="00161DEC"/>
    <w:rsid w:val="0016202C"/>
    <w:rsid w:val="0016305F"/>
    <w:rsid w:val="00163482"/>
    <w:rsid w:val="00163847"/>
    <w:rsid w:val="00164731"/>
    <w:rsid w:val="001648DC"/>
    <w:rsid w:val="00164BAB"/>
    <w:rsid w:val="00164BB0"/>
    <w:rsid w:val="00164C57"/>
    <w:rsid w:val="001650CF"/>
    <w:rsid w:val="00165457"/>
    <w:rsid w:val="0016553B"/>
    <w:rsid w:val="0016587B"/>
    <w:rsid w:val="00165C0F"/>
    <w:rsid w:val="00165D85"/>
    <w:rsid w:val="00166030"/>
    <w:rsid w:val="00166045"/>
    <w:rsid w:val="001664CE"/>
    <w:rsid w:val="00166F5A"/>
    <w:rsid w:val="001675FC"/>
    <w:rsid w:val="001700FD"/>
    <w:rsid w:val="00170377"/>
    <w:rsid w:val="00170712"/>
    <w:rsid w:val="0017081A"/>
    <w:rsid w:val="00170B16"/>
    <w:rsid w:val="001711AB"/>
    <w:rsid w:val="00171D83"/>
    <w:rsid w:val="001727E6"/>
    <w:rsid w:val="00172A85"/>
    <w:rsid w:val="00172C4A"/>
    <w:rsid w:val="00172F22"/>
    <w:rsid w:val="001730F2"/>
    <w:rsid w:val="001738EC"/>
    <w:rsid w:val="00173A73"/>
    <w:rsid w:val="00173E56"/>
    <w:rsid w:val="0017439D"/>
    <w:rsid w:val="001747B3"/>
    <w:rsid w:val="001749A3"/>
    <w:rsid w:val="00174A98"/>
    <w:rsid w:val="00174D00"/>
    <w:rsid w:val="00174D17"/>
    <w:rsid w:val="00175CB5"/>
    <w:rsid w:val="00175F61"/>
    <w:rsid w:val="00175FE4"/>
    <w:rsid w:val="00176324"/>
    <w:rsid w:val="00176361"/>
    <w:rsid w:val="00176702"/>
    <w:rsid w:val="001769BF"/>
    <w:rsid w:val="00177576"/>
    <w:rsid w:val="001775ED"/>
    <w:rsid w:val="00177EF5"/>
    <w:rsid w:val="00180279"/>
    <w:rsid w:val="001809F9"/>
    <w:rsid w:val="00180F1E"/>
    <w:rsid w:val="001811FC"/>
    <w:rsid w:val="001814FB"/>
    <w:rsid w:val="001816CB"/>
    <w:rsid w:val="00181EC5"/>
    <w:rsid w:val="00182287"/>
    <w:rsid w:val="00182707"/>
    <w:rsid w:val="00182FB5"/>
    <w:rsid w:val="00183862"/>
    <w:rsid w:val="00183AAC"/>
    <w:rsid w:val="00183ED6"/>
    <w:rsid w:val="0018440C"/>
    <w:rsid w:val="00184736"/>
    <w:rsid w:val="00184BAE"/>
    <w:rsid w:val="001853FF"/>
    <w:rsid w:val="00186039"/>
    <w:rsid w:val="001860CB"/>
    <w:rsid w:val="0018612E"/>
    <w:rsid w:val="001863F0"/>
    <w:rsid w:val="001866A6"/>
    <w:rsid w:val="00186800"/>
    <w:rsid w:val="00186ACA"/>
    <w:rsid w:val="00186EDF"/>
    <w:rsid w:val="0018720A"/>
    <w:rsid w:val="001879B1"/>
    <w:rsid w:val="00187B88"/>
    <w:rsid w:val="00187B99"/>
    <w:rsid w:val="00187C9A"/>
    <w:rsid w:val="00187FD8"/>
    <w:rsid w:val="00190449"/>
    <w:rsid w:val="001909DD"/>
    <w:rsid w:val="00190DF7"/>
    <w:rsid w:val="00190F02"/>
    <w:rsid w:val="001910FF"/>
    <w:rsid w:val="0019136D"/>
    <w:rsid w:val="00191486"/>
    <w:rsid w:val="0019229C"/>
    <w:rsid w:val="00192447"/>
    <w:rsid w:val="00193678"/>
    <w:rsid w:val="00193B90"/>
    <w:rsid w:val="00193C95"/>
    <w:rsid w:val="001941CF"/>
    <w:rsid w:val="001948FB"/>
    <w:rsid w:val="00194DC5"/>
    <w:rsid w:val="00194F64"/>
    <w:rsid w:val="001950D9"/>
    <w:rsid w:val="0019540A"/>
    <w:rsid w:val="0019545A"/>
    <w:rsid w:val="00195750"/>
    <w:rsid w:val="00195D22"/>
    <w:rsid w:val="00195DA2"/>
    <w:rsid w:val="00195F0D"/>
    <w:rsid w:val="001965B8"/>
    <w:rsid w:val="0019669B"/>
    <w:rsid w:val="00196828"/>
    <w:rsid w:val="001969FC"/>
    <w:rsid w:val="00196B5E"/>
    <w:rsid w:val="00196D12"/>
    <w:rsid w:val="00196E00"/>
    <w:rsid w:val="001972F6"/>
    <w:rsid w:val="00197790"/>
    <w:rsid w:val="00197802"/>
    <w:rsid w:val="00197E9F"/>
    <w:rsid w:val="001A02A7"/>
    <w:rsid w:val="001A067D"/>
    <w:rsid w:val="001A0A3C"/>
    <w:rsid w:val="001A0D5B"/>
    <w:rsid w:val="001A118D"/>
    <w:rsid w:val="001A12AC"/>
    <w:rsid w:val="001A161A"/>
    <w:rsid w:val="001A2048"/>
    <w:rsid w:val="001A20EC"/>
    <w:rsid w:val="001A21D6"/>
    <w:rsid w:val="001A26BA"/>
    <w:rsid w:val="001A29CF"/>
    <w:rsid w:val="001A2A6D"/>
    <w:rsid w:val="001A380A"/>
    <w:rsid w:val="001A3810"/>
    <w:rsid w:val="001A3D26"/>
    <w:rsid w:val="001A4A19"/>
    <w:rsid w:val="001A51E6"/>
    <w:rsid w:val="001A581F"/>
    <w:rsid w:val="001A5DE7"/>
    <w:rsid w:val="001A5EC5"/>
    <w:rsid w:val="001A6534"/>
    <w:rsid w:val="001A6936"/>
    <w:rsid w:val="001A721E"/>
    <w:rsid w:val="001A725C"/>
    <w:rsid w:val="001B00A5"/>
    <w:rsid w:val="001B0533"/>
    <w:rsid w:val="001B0733"/>
    <w:rsid w:val="001B11AC"/>
    <w:rsid w:val="001B1553"/>
    <w:rsid w:val="001B15D2"/>
    <w:rsid w:val="001B1676"/>
    <w:rsid w:val="001B1940"/>
    <w:rsid w:val="001B1A5B"/>
    <w:rsid w:val="001B1AF4"/>
    <w:rsid w:val="001B2113"/>
    <w:rsid w:val="001B2169"/>
    <w:rsid w:val="001B2908"/>
    <w:rsid w:val="001B2C5B"/>
    <w:rsid w:val="001B2E5B"/>
    <w:rsid w:val="001B3034"/>
    <w:rsid w:val="001B30DA"/>
    <w:rsid w:val="001B33DD"/>
    <w:rsid w:val="001B36A5"/>
    <w:rsid w:val="001B3B37"/>
    <w:rsid w:val="001B3CEE"/>
    <w:rsid w:val="001B3DDC"/>
    <w:rsid w:val="001B3F11"/>
    <w:rsid w:val="001B4C95"/>
    <w:rsid w:val="001B531C"/>
    <w:rsid w:val="001B55FF"/>
    <w:rsid w:val="001B5641"/>
    <w:rsid w:val="001B5AE8"/>
    <w:rsid w:val="001B5B0E"/>
    <w:rsid w:val="001B5C6F"/>
    <w:rsid w:val="001B640A"/>
    <w:rsid w:val="001B64BA"/>
    <w:rsid w:val="001B72F7"/>
    <w:rsid w:val="001B77A5"/>
    <w:rsid w:val="001B77B0"/>
    <w:rsid w:val="001B78A0"/>
    <w:rsid w:val="001B7A13"/>
    <w:rsid w:val="001C0239"/>
    <w:rsid w:val="001C07C2"/>
    <w:rsid w:val="001C0D58"/>
    <w:rsid w:val="001C0E5C"/>
    <w:rsid w:val="001C193C"/>
    <w:rsid w:val="001C1F5B"/>
    <w:rsid w:val="001C2000"/>
    <w:rsid w:val="001C2642"/>
    <w:rsid w:val="001C2664"/>
    <w:rsid w:val="001C2665"/>
    <w:rsid w:val="001C2DAB"/>
    <w:rsid w:val="001C2EDC"/>
    <w:rsid w:val="001C3306"/>
    <w:rsid w:val="001C363E"/>
    <w:rsid w:val="001C378C"/>
    <w:rsid w:val="001C3A42"/>
    <w:rsid w:val="001C3F39"/>
    <w:rsid w:val="001C4232"/>
    <w:rsid w:val="001C46B1"/>
    <w:rsid w:val="001C515E"/>
    <w:rsid w:val="001C52E1"/>
    <w:rsid w:val="001C5537"/>
    <w:rsid w:val="001C6623"/>
    <w:rsid w:val="001C6F82"/>
    <w:rsid w:val="001C71FA"/>
    <w:rsid w:val="001C7292"/>
    <w:rsid w:val="001C73A9"/>
    <w:rsid w:val="001C7A0A"/>
    <w:rsid w:val="001D01E6"/>
    <w:rsid w:val="001D0B9E"/>
    <w:rsid w:val="001D0D54"/>
    <w:rsid w:val="001D0D7F"/>
    <w:rsid w:val="001D133C"/>
    <w:rsid w:val="001D13F7"/>
    <w:rsid w:val="001D18F2"/>
    <w:rsid w:val="001D1BF9"/>
    <w:rsid w:val="001D1EEB"/>
    <w:rsid w:val="001D222F"/>
    <w:rsid w:val="001D22EE"/>
    <w:rsid w:val="001D2350"/>
    <w:rsid w:val="001D2A36"/>
    <w:rsid w:val="001D2ABB"/>
    <w:rsid w:val="001D2D9B"/>
    <w:rsid w:val="001D3111"/>
    <w:rsid w:val="001D41CB"/>
    <w:rsid w:val="001D4912"/>
    <w:rsid w:val="001D49AC"/>
    <w:rsid w:val="001D58DF"/>
    <w:rsid w:val="001D5B3A"/>
    <w:rsid w:val="001D5FE2"/>
    <w:rsid w:val="001D67B7"/>
    <w:rsid w:val="001D76A1"/>
    <w:rsid w:val="001D77AF"/>
    <w:rsid w:val="001D7C66"/>
    <w:rsid w:val="001D7D49"/>
    <w:rsid w:val="001D7D6E"/>
    <w:rsid w:val="001D7E5E"/>
    <w:rsid w:val="001E0265"/>
    <w:rsid w:val="001E0356"/>
    <w:rsid w:val="001E0B53"/>
    <w:rsid w:val="001E0E8E"/>
    <w:rsid w:val="001E105B"/>
    <w:rsid w:val="001E10FB"/>
    <w:rsid w:val="001E1D86"/>
    <w:rsid w:val="001E2273"/>
    <w:rsid w:val="001E2429"/>
    <w:rsid w:val="001E2699"/>
    <w:rsid w:val="001E2E2D"/>
    <w:rsid w:val="001E3D9F"/>
    <w:rsid w:val="001E47BC"/>
    <w:rsid w:val="001E5247"/>
    <w:rsid w:val="001E548C"/>
    <w:rsid w:val="001E54C7"/>
    <w:rsid w:val="001E62A0"/>
    <w:rsid w:val="001E652E"/>
    <w:rsid w:val="001E6F91"/>
    <w:rsid w:val="001E7E41"/>
    <w:rsid w:val="001F0819"/>
    <w:rsid w:val="001F137C"/>
    <w:rsid w:val="001F1DFA"/>
    <w:rsid w:val="001F1F38"/>
    <w:rsid w:val="001F212C"/>
    <w:rsid w:val="001F216A"/>
    <w:rsid w:val="001F2902"/>
    <w:rsid w:val="001F2B23"/>
    <w:rsid w:val="001F2D46"/>
    <w:rsid w:val="001F3185"/>
    <w:rsid w:val="001F3A21"/>
    <w:rsid w:val="001F454B"/>
    <w:rsid w:val="001F45B7"/>
    <w:rsid w:val="001F47CA"/>
    <w:rsid w:val="001F4E01"/>
    <w:rsid w:val="001F4E7D"/>
    <w:rsid w:val="001F5209"/>
    <w:rsid w:val="001F52CD"/>
    <w:rsid w:val="001F5DFE"/>
    <w:rsid w:val="001F5EE5"/>
    <w:rsid w:val="001F61F1"/>
    <w:rsid w:val="001F637E"/>
    <w:rsid w:val="001F6F3B"/>
    <w:rsid w:val="001F7514"/>
    <w:rsid w:val="001F76B2"/>
    <w:rsid w:val="001F7830"/>
    <w:rsid w:val="001F78A1"/>
    <w:rsid w:val="001F79A5"/>
    <w:rsid w:val="001F7BAF"/>
    <w:rsid w:val="001F7D19"/>
    <w:rsid w:val="001F7F2C"/>
    <w:rsid w:val="00201840"/>
    <w:rsid w:val="00201F86"/>
    <w:rsid w:val="002021BC"/>
    <w:rsid w:val="00202EE5"/>
    <w:rsid w:val="00202F26"/>
    <w:rsid w:val="002030B0"/>
    <w:rsid w:val="00203119"/>
    <w:rsid w:val="00203B1F"/>
    <w:rsid w:val="00203D68"/>
    <w:rsid w:val="00204039"/>
    <w:rsid w:val="00204350"/>
    <w:rsid w:val="00204752"/>
    <w:rsid w:val="002050BF"/>
    <w:rsid w:val="0020517D"/>
    <w:rsid w:val="00205567"/>
    <w:rsid w:val="002057F6"/>
    <w:rsid w:val="00205A54"/>
    <w:rsid w:val="00205BF5"/>
    <w:rsid w:val="00205C9F"/>
    <w:rsid w:val="00205EDD"/>
    <w:rsid w:val="00205F76"/>
    <w:rsid w:val="002060F4"/>
    <w:rsid w:val="0020613A"/>
    <w:rsid w:val="00206B59"/>
    <w:rsid w:val="00206B8C"/>
    <w:rsid w:val="0020701F"/>
    <w:rsid w:val="0020705D"/>
    <w:rsid w:val="00207510"/>
    <w:rsid w:val="00207DE1"/>
    <w:rsid w:val="00207FEF"/>
    <w:rsid w:val="002103E1"/>
    <w:rsid w:val="002104F7"/>
    <w:rsid w:val="002107CE"/>
    <w:rsid w:val="00210F28"/>
    <w:rsid w:val="00211250"/>
    <w:rsid w:val="00211664"/>
    <w:rsid w:val="002116E5"/>
    <w:rsid w:val="00211AAA"/>
    <w:rsid w:val="00211F8B"/>
    <w:rsid w:val="00212255"/>
    <w:rsid w:val="002124DE"/>
    <w:rsid w:val="00212574"/>
    <w:rsid w:val="00212913"/>
    <w:rsid w:val="00212B7F"/>
    <w:rsid w:val="00212C29"/>
    <w:rsid w:val="002133A0"/>
    <w:rsid w:val="00213D01"/>
    <w:rsid w:val="00214226"/>
    <w:rsid w:val="0021453F"/>
    <w:rsid w:val="00214964"/>
    <w:rsid w:val="00214B30"/>
    <w:rsid w:val="002150B2"/>
    <w:rsid w:val="00215425"/>
    <w:rsid w:val="00215450"/>
    <w:rsid w:val="00215BFF"/>
    <w:rsid w:val="00215C40"/>
    <w:rsid w:val="002160C5"/>
    <w:rsid w:val="0021699E"/>
    <w:rsid w:val="00216C2E"/>
    <w:rsid w:val="00216E57"/>
    <w:rsid w:val="00216ED6"/>
    <w:rsid w:val="0021716A"/>
    <w:rsid w:val="002171A9"/>
    <w:rsid w:val="002173A0"/>
    <w:rsid w:val="002173BA"/>
    <w:rsid w:val="002173C4"/>
    <w:rsid w:val="0022044B"/>
    <w:rsid w:val="002207DC"/>
    <w:rsid w:val="002207E9"/>
    <w:rsid w:val="00220C31"/>
    <w:rsid w:val="00220E1D"/>
    <w:rsid w:val="00221122"/>
    <w:rsid w:val="00221420"/>
    <w:rsid w:val="002215E0"/>
    <w:rsid w:val="002217A6"/>
    <w:rsid w:val="00221DFB"/>
    <w:rsid w:val="00221FB0"/>
    <w:rsid w:val="00222033"/>
    <w:rsid w:val="002220A7"/>
    <w:rsid w:val="00222995"/>
    <w:rsid w:val="002229AB"/>
    <w:rsid w:val="002229E4"/>
    <w:rsid w:val="00222C1C"/>
    <w:rsid w:val="00222F34"/>
    <w:rsid w:val="002230BA"/>
    <w:rsid w:val="00223283"/>
    <w:rsid w:val="0022365A"/>
    <w:rsid w:val="002240D6"/>
    <w:rsid w:val="00224406"/>
    <w:rsid w:val="002244B1"/>
    <w:rsid w:val="0022478A"/>
    <w:rsid w:val="002248E0"/>
    <w:rsid w:val="002249A6"/>
    <w:rsid w:val="002249E1"/>
    <w:rsid w:val="002251CF"/>
    <w:rsid w:val="00225517"/>
    <w:rsid w:val="002258E4"/>
    <w:rsid w:val="00225B71"/>
    <w:rsid w:val="00225F28"/>
    <w:rsid w:val="002271B0"/>
    <w:rsid w:val="002271F1"/>
    <w:rsid w:val="002274A7"/>
    <w:rsid w:val="00227713"/>
    <w:rsid w:val="00227E6E"/>
    <w:rsid w:val="00230134"/>
    <w:rsid w:val="00230182"/>
    <w:rsid w:val="002304BC"/>
    <w:rsid w:val="00230E31"/>
    <w:rsid w:val="00230F48"/>
    <w:rsid w:val="0023100F"/>
    <w:rsid w:val="0023134C"/>
    <w:rsid w:val="00231877"/>
    <w:rsid w:val="0023187E"/>
    <w:rsid w:val="00232529"/>
    <w:rsid w:val="00232888"/>
    <w:rsid w:val="00232D77"/>
    <w:rsid w:val="00232DCC"/>
    <w:rsid w:val="00232FF1"/>
    <w:rsid w:val="0023305E"/>
    <w:rsid w:val="0023308D"/>
    <w:rsid w:val="002334DD"/>
    <w:rsid w:val="00234389"/>
    <w:rsid w:val="002345B7"/>
    <w:rsid w:val="00234775"/>
    <w:rsid w:val="00234B48"/>
    <w:rsid w:val="00235235"/>
    <w:rsid w:val="002356DF"/>
    <w:rsid w:val="00236A2A"/>
    <w:rsid w:val="00236A4C"/>
    <w:rsid w:val="00236DC3"/>
    <w:rsid w:val="00236FE4"/>
    <w:rsid w:val="002371CE"/>
    <w:rsid w:val="00237DF2"/>
    <w:rsid w:val="002409AB"/>
    <w:rsid w:val="00240D55"/>
    <w:rsid w:val="0024200C"/>
    <w:rsid w:val="0024204C"/>
    <w:rsid w:val="00242D13"/>
    <w:rsid w:val="00243635"/>
    <w:rsid w:val="00244269"/>
    <w:rsid w:val="002443B8"/>
    <w:rsid w:val="0024442B"/>
    <w:rsid w:val="0024490B"/>
    <w:rsid w:val="00244D67"/>
    <w:rsid w:val="00245415"/>
    <w:rsid w:val="0024553F"/>
    <w:rsid w:val="00245594"/>
    <w:rsid w:val="0024572A"/>
    <w:rsid w:val="00245B22"/>
    <w:rsid w:val="00246475"/>
    <w:rsid w:val="002467EA"/>
    <w:rsid w:val="00246B70"/>
    <w:rsid w:val="00247157"/>
    <w:rsid w:val="0024735E"/>
    <w:rsid w:val="00247565"/>
    <w:rsid w:val="00247C85"/>
    <w:rsid w:val="00247EEE"/>
    <w:rsid w:val="002508FB"/>
    <w:rsid w:val="00250EA0"/>
    <w:rsid w:val="00251535"/>
    <w:rsid w:val="00251617"/>
    <w:rsid w:val="0025161A"/>
    <w:rsid w:val="0025174E"/>
    <w:rsid w:val="00251CEB"/>
    <w:rsid w:val="00251E73"/>
    <w:rsid w:val="00251EFB"/>
    <w:rsid w:val="00251FA7"/>
    <w:rsid w:val="002523F3"/>
    <w:rsid w:val="00252621"/>
    <w:rsid w:val="00253A94"/>
    <w:rsid w:val="00253BA1"/>
    <w:rsid w:val="00253CC5"/>
    <w:rsid w:val="00253CEB"/>
    <w:rsid w:val="002541B3"/>
    <w:rsid w:val="002541BE"/>
    <w:rsid w:val="00254565"/>
    <w:rsid w:val="0025478F"/>
    <w:rsid w:val="00254981"/>
    <w:rsid w:val="00254E55"/>
    <w:rsid w:val="00254F49"/>
    <w:rsid w:val="002556C5"/>
    <w:rsid w:val="00256256"/>
    <w:rsid w:val="0025662F"/>
    <w:rsid w:val="00256763"/>
    <w:rsid w:val="00256CF9"/>
    <w:rsid w:val="0026000F"/>
    <w:rsid w:val="002600C1"/>
    <w:rsid w:val="00260109"/>
    <w:rsid w:val="002603AE"/>
    <w:rsid w:val="002607BC"/>
    <w:rsid w:val="00260816"/>
    <w:rsid w:val="00260DCC"/>
    <w:rsid w:val="00261093"/>
    <w:rsid w:val="002611B0"/>
    <w:rsid w:val="0026131D"/>
    <w:rsid w:val="0026137D"/>
    <w:rsid w:val="002614A6"/>
    <w:rsid w:val="002618A0"/>
    <w:rsid w:val="00261A83"/>
    <w:rsid w:val="00261D32"/>
    <w:rsid w:val="00261D48"/>
    <w:rsid w:val="00261D78"/>
    <w:rsid w:val="0026211C"/>
    <w:rsid w:val="00262235"/>
    <w:rsid w:val="00262309"/>
    <w:rsid w:val="002624DD"/>
    <w:rsid w:val="002629AE"/>
    <w:rsid w:val="00262FAD"/>
    <w:rsid w:val="00263022"/>
    <w:rsid w:val="00263187"/>
    <w:rsid w:val="00263269"/>
    <w:rsid w:val="00263C16"/>
    <w:rsid w:val="002642A6"/>
    <w:rsid w:val="00264B28"/>
    <w:rsid w:val="00264D15"/>
    <w:rsid w:val="00264E30"/>
    <w:rsid w:val="0026536C"/>
    <w:rsid w:val="002659FE"/>
    <w:rsid w:val="0026649F"/>
    <w:rsid w:val="00266871"/>
    <w:rsid w:val="0026702E"/>
    <w:rsid w:val="00267327"/>
    <w:rsid w:val="002679B9"/>
    <w:rsid w:val="00267A97"/>
    <w:rsid w:val="00267D7F"/>
    <w:rsid w:val="0027021A"/>
    <w:rsid w:val="002704F9"/>
    <w:rsid w:val="002706A2"/>
    <w:rsid w:val="0027087D"/>
    <w:rsid w:val="002711A9"/>
    <w:rsid w:val="0027154F"/>
    <w:rsid w:val="00271694"/>
    <w:rsid w:val="00271A08"/>
    <w:rsid w:val="00271A90"/>
    <w:rsid w:val="00272097"/>
    <w:rsid w:val="002722F5"/>
    <w:rsid w:val="00272827"/>
    <w:rsid w:val="0027292E"/>
    <w:rsid w:val="00272C87"/>
    <w:rsid w:val="002730DD"/>
    <w:rsid w:val="00273ADB"/>
    <w:rsid w:val="00273EE5"/>
    <w:rsid w:val="0027409B"/>
    <w:rsid w:val="00274181"/>
    <w:rsid w:val="002745CC"/>
    <w:rsid w:val="002745ED"/>
    <w:rsid w:val="0027468D"/>
    <w:rsid w:val="00274745"/>
    <w:rsid w:val="00274771"/>
    <w:rsid w:val="00274AA8"/>
    <w:rsid w:val="00274F96"/>
    <w:rsid w:val="0027508F"/>
    <w:rsid w:val="0027511C"/>
    <w:rsid w:val="0027536C"/>
    <w:rsid w:val="0027545C"/>
    <w:rsid w:val="00275836"/>
    <w:rsid w:val="00275BA5"/>
    <w:rsid w:val="00275BEC"/>
    <w:rsid w:val="00275CA3"/>
    <w:rsid w:val="00275E19"/>
    <w:rsid w:val="002760E1"/>
    <w:rsid w:val="00276364"/>
    <w:rsid w:val="0027639A"/>
    <w:rsid w:val="00276A40"/>
    <w:rsid w:val="00276C3D"/>
    <w:rsid w:val="0027713F"/>
    <w:rsid w:val="002777CD"/>
    <w:rsid w:val="00277876"/>
    <w:rsid w:val="00277D08"/>
    <w:rsid w:val="00277DC1"/>
    <w:rsid w:val="00277E3E"/>
    <w:rsid w:val="00277F71"/>
    <w:rsid w:val="002806F6"/>
    <w:rsid w:val="00280816"/>
    <w:rsid w:val="00280F9F"/>
    <w:rsid w:val="00281982"/>
    <w:rsid w:val="00281EA1"/>
    <w:rsid w:val="00282C0C"/>
    <w:rsid w:val="00282FE5"/>
    <w:rsid w:val="00283722"/>
    <w:rsid w:val="00283943"/>
    <w:rsid w:val="00283995"/>
    <w:rsid w:val="00283B7A"/>
    <w:rsid w:val="00283BA8"/>
    <w:rsid w:val="00283E2C"/>
    <w:rsid w:val="00283FCF"/>
    <w:rsid w:val="002846A0"/>
    <w:rsid w:val="00285283"/>
    <w:rsid w:val="002855CF"/>
    <w:rsid w:val="00285BB7"/>
    <w:rsid w:val="002864BA"/>
    <w:rsid w:val="002865CF"/>
    <w:rsid w:val="00286963"/>
    <w:rsid w:val="00286A93"/>
    <w:rsid w:val="00286F71"/>
    <w:rsid w:val="002871BF"/>
    <w:rsid w:val="002873A4"/>
    <w:rsid w:val="00287710"/>
    <w:rsid w:val="00287873"/>
    <w:rsid w:val="00287D26"/>
    <w:rsid w:val="00290010"/>
    <w:rsid w:val="00290481"/>
    <w:rsid w:val="002906C8"/>
    <w:rsid w:val="0029091E"/>
    <w:rsid w:val="00290949"/>
    <w:rsid w:val="00290A2F"/>
    <w:rsid w:val="00290E03"/>
    <w:rsid w:val="002912A5"/>
    <w:rsid w:val="002912DC"/>
    <w:rsid w:val="00291B49"/>
    <w:rsid w:val="00291D23"/>
    <w:rsid w:val="00291DC3"/>
    <w:rsid w:val="00292529"/>
    <w:rsid w:val="00292663"/>
    <w:rsid w:val="002929E8"/>
    <w:rsid w:val="00292C4D"/>
    <w:rsid w:val="002930C9"/>
    <w:rsid w:val="002934B3"/>
    <w:rsid w:val="002938A7"/>
    <w:rsid w:val="00293BDB"/>
    <w:rsid w:val="00293CC4"/>
    <w:rsid w:val="00293CC6"/>
    <w:rsid w:val="00294B3B"/>
    <w:rsid w:val="0029585B"/>
    <w:rsid w:val="0029589D"/>
    <w:rsid w:val="002960F9"/>
    <w:rsid w:val="00296C7C"/>
    <w:rsid w:val="00297188"/>
    <w:rsid w:val="002975BD"/>
    <w:rsid w:val="00297D1B"/>
    <w:rsid w:val="00297D57"/>
    <w:rsid w:val="002A0BC5"/>
    <w:rsid w:val="002A0D4B"/>
    <w:rsid w:val="002A0DCD"/>
    <w:rsid w:val="002A100A"/>
    <w:rsid w:val="002A1230"/>
    <w:rsid w:val="002A1728"/>
    <w:rsid w:val="002A19E5"/>
    <w:rsid w:val="002A1DAF"/>
    <w:rsid w:val="002A1E5C"/>
    <w:rsid w:val="002A1F37"/>
    <w:rsid w:val="002A2553"/>
    <w:rsid w:val="002A25FD"/>
    <w:rsid w:val="002A2906"/>
    <w:rsid w:val="002A2A88"/>
    <w:rsid w:val="002A2DCA"/>
    <w:rsid w:val="002A3294"/>
    <w:rsid w:val="002A392B"/>
    <w:rsid w:val="002A3A1F"/>
    <w:rsid w:val="002A41BD"/>
    <w:rsid w:val="002A4671"/>
    <w:rsid w:val="002A4843"/>
    <w:rsid w:val="002A4C6B"/>
    <w:rsid w:val="002A4EF8"/>
    <w:rsid w:val="002A4FE8"/>
    <w:rsid w:val="002A5414"/>
    <w:rsid w:val="002A54AA"/>
    <w:rsid w:val="002A569D"/>
    <w:rsid w:val="002A59B8"/>
    <w:rsid w:val="002A5F30"/>
    <w:rsid w:val="002A60C4"/>
    <w:rsid w:val="002A6883"/>
    <w:rsid w:val="002A68FB"/>
    <w:rsid w:val="002A694E"/>
    <w:rsid w:val="002A6C32"/>
    <w:rsid w:val="002A7400"/>
    <w:rsid w:val="002A74FE"/>
    <w:rsid w:val="002A7B6B"/>
    <w:rsid w:val="002A7BAB"/>
    <w:rsid w:val="002A7C0B"/>
    <w:rsid w:val="002A7D75"/>
    <w:rsid w:val="002A7F6C"/>
    <w:rsid w:val="002B0009"/>
    <w:rsid w:val="002B13F2"/>
    <w:rsid w:val="002B17E2"/>
    <w:rsid w:val="002B1DC5"/>
    <w:rsid w:val="002B2408"/>
    <w:rsid w:val="002B371D"/>
    <w:rsid w:val="002B38BA"/>
    <w:rsid w:val="002B3D0E"/>
    <w:rsid w:val="002B43A1"/>
    <w:rsid w:val="002B4E1E"/>
    <w:rsid w:val="002B515C"/>
    <w:rsid w:val="002B52BF"/>
    <w:rsid w:val="002B5FDB"/>
    <w:rsid w:val="002B6185"/>
    <w:rsid w:val="002B61D6"/>
    <w:rsid w:val="002B684B"/>
    <w:rsid w:val="002B6BC8"/>
    <w:rsid w:val="002B6CE4"/>
    <w:rsid w:val="002B7276"/>
    <w:rsid w:val="002B7742"/>
    <w:rsid w:val="002B7747"/>
    <w:rsid w:val="002C0009"/>
    <w:rsid w:val="002C0100"/>
    <w:rsid w:val="002C0859"/>
    <w:rsid w:val="002C0929"/>
    <w:rsid w:val="002C0A54"/>
    <w:rsid w:val="002C17E0"/>
    <w:rsid w:val="002C1F37"/>
    <w:rsid w:val="002C2212"/>
    <w:rsid w:val="002C2719"/>
    <w:rsid w:val="002C2774"/>
    <w:rsid w:val="002C3200"/>
    <w:rsid w:val="002C36F6"/>
    <w:rsid w:val="002C377C"/>
    <w:rsid w:val="002C379F"/>
    <w:rsid w:val="002C3886"/>
    <w:rsid w:val="002C38F6"/>
    <w:rsid w:val="002C3914"/>
    <w:rsid w:val="002C3B0B"/>
    <w:rsid w:val="002C41D6"/>
    <w:rsid w:val="002C439E"/>
    <w:rsid w:val="002C4747"/>
    <w:rsid w:val="002C480A"/>
    <w:rsid w:val="002C49A1"/>
    <w:rsid w:val="002C4D02"/>
    <w:rsid w:val="002C4F50"/>
    <w:rsid w:val="002C50DD"/>
    <w:rsid w:val="002C5F5B"/>
    <w:rsid w:val="002C5F61"/>
    <w:rsid w:val="002C6360"/>
    <w:rsid w:val="002C67F3"/>
    <w:rsid w:val="002C6813"/>
    <w:rsid w:val="002C6A79"/>
    <w:rsid w:val="002C7347"/>
    <w:rsid w:val="002C7570"/>
    <w:rsid w:val="002C7597"/>
    <w:rsid w:val="002D01D7"/>
    <w:rsid w:val="002D02B0"/>
    <w:rsid w:val="002D0532"/>
    <w:rsid w:val="002D075B"/>
    <w:rsid w:val="002D0F83"/>
    <w:rsid w:val="002D1195"/>
    <w:rsid w:val="002D1309"/>
    <w:rsid w:val="002D1A2F"/>
    <w:rsid w:val="002D1F85"/>
    <w:rsid w:val="002D26C1"/>
    <w:rsid w:val="002D27BA"/>
    <w:rsid w:val="002D2D11"/>
    <w:rsid w:val="002D2E5B"/>
    <w:rsid w:val="002D2F43"/>
    <w:rsid w:val="002D4DA9"/>
    <w:rsid w:val="002D4EB3"/>
    <w:rsid w:val="002D57C8"/>
    <w:rsid w:val="002D5DB8"/>
    <w:rsid w:val="002D5F4B"/>
    <w:rsid w:val="002D5F5D"/>
    <w:rsid w:val="002D6725"/>
    <w:rsid w:val="002D6B6B"/>
    <w:rsid w:val="002D6C68"/>
    <w:rsid w:val="002D6CD3"/>
    <w:rsid w:val="002D6DF5"/>
    <w:rsid w:val="002D7652"/>
    <w:rsid w:val="002D76B8"/>
    <w:rsid w:val="002D77B4"/>
    <w:rsid w:val="002D78E4"/>
    <w:rsid w:val="002D7926"/>
    <w:rsid w:val="002E002C"/>
    <w:rsid w:val="002E01EF"/>
    <w:rsid w:val="002E03CB"/>
    <w:rsid w:val="002E1599"/>
    <w:rsid w:val="002E1709"/>
    <w:rsid w:val="002E1915"/>
    <w:rsid w:val="002E198F"/>
    <w:rsid w:val="002E1A8C"/>
    <w:rsid w:val="002E1B9D"/>
    <w:rsid w:val="002E1E90"/>
    <w:rsid w:val="002E1ED4"/>
    <w:rsid w:val="002E2079"/>
    <w:rsid w:val="002E21A6"/>
    <w:rsid w:val="002E228A"/>
    <w:rsid w:val="002E25A0"/>
    <w:rsid w:val="002E264C"/>
    <w:rsid w:val="002E28A7"/>
    <w:rsid w:val="002E328A"/>
    <w:rsid w:val="002E37BD"/>
    <w:rsid w:val="002E39C6"/>
    <w:rsid w:val="002E3BDB"/>
    <w:rsid w:val="002E3D55"/>
    <w:rsid w:val="002E3D69"/>
    <w:rsid w:val="002E3F79"/>
    <w:rsid w:val="002E4536"/>
    <w:rsid w:val="002E482D"/>
    <w:rsid w:val="002E486F"/>
    <w:rsid w:val="002E4DC3"/>
    <w:rsid w:val="002E4E90"/>
    <w:rsid w:val="002E50CA"/>
    <w:rsid w:val="002E553B"/>
    <w:rsid w:val="002E56B8"/>
    <w:rsid w:val="002E578F"/>
    <w:rsid w:val="002E5A01"/>
    <w:rsid w:val="002E5F82"/>
    <w:rsid w:val="002E6267"/>
    <w:rsid w:val="002E64D9"/>
    <w:rsid w:val="002E6E25"/>
    <w:rsid w:val="002E7653"/>
    <w:rsid w:val="002E777D"/>
    <w:rsid w:val="002E7B88"/>
    <w:rsid w:val="002F0A38"/>
    <w:rsid w:val="002F0B73"/>
    <w:rsid w:val="002F0F8F"/>
    <w:rsid w:val="002F1091"/>
    <w:rsid w:val="002F155A"/>
    <w:rsid w:val="002F23FA"/>
    <w:rsid w:val="002F2559"/>
    <w:rsid w:val="002F26B6"/>
    <w:rsid w:val="002F2922"/>
    <w:rsid w:val="002F2E5C"/>
    <w:rsid w:val="002F3433"/>
    <w:rsid w:val="002F358D"/>
    <w:rsid w:val="002F3775"/>
    <w:rsid w:val="002F3ADA"/>
    <w:rsid w:val="002F3B6F"/>
    <w:rsid w:val="002F3F27"/>
    <w:rsid w:val="002F42D1"/>
    <w:rsid w:val="002F42D2"/>
    <w:rsid w:val="002F4603"/>
    <w:rsid w:val="002F49D4"/>
    <w:rsid w:val="002F4B28"/>
    <w:rsid w:val="002F4B29"/>
    <w:rsid w:val="002F4C52"/>
    <w:rsid w:val="002F4F44"/>
    <w:rsid w:val="002F5411"/>
    <w:rsid w:val="002F56C6"/>
    <w:rsid w:val="002F59D7"/>
    <w:rsid w:val="002F6BD9"/>
    <w:rsid w:val="002F77BE"/>
    <w:rsid w:val="002F7B79"/>
    <w:rsid w:val="003000B1"/>
    <w:rsid w:val="003007E7"/>
    <w:rsid w:val="003008F9"/>
    <w:rsid w:val="00300C28"/>
    <w:rsid w:val="00300DB4"/>
    <w:rsid w:val="00301022"/>
    <w:rsid w:val="00301259"/>
    <w:rsid w:val="00301322"/>
    <w:rsid w:val="00301429"/>
    <w:rsid w:val="00301CEF"/>
    <w:rsid w:val="00301D62"/>
    <w:rsid w:val="0030267E"/>
    <w:rsid w:val="003031A5"/>
    <w:rsid w:val="0030370F"/>
    <w:rsid w:val="00303BCC"/>
    <w:rsid w:val="00303CFA"/>
    <w:rsid w:val="0030423A"/>
    <w:rsid w:val="00304285"/>
    <w:rsid w:val="00304407"/>
    <w:rsid w:val="003049C2"/>
    <w:rsid w:val="00304CE3"/>
    <w:rsid w:val="00305131"/>
    <w:rsid w:val="00305EFE"/>
    <w:rsid w:val="00306013"/>
    <w:rsid w:val="00306A54"/>
    <w:rsid w:val="00306AF5"/>
    <w:rsid w:val="00306F94"/>
    <w:rsid w:val="003070A0"/>
    <w:rsid w:val="003072A7"/>
    <w:rsid w:val="0030743C"/>
    <w:rsid w:val="003078AD"/>
    <w:rsid w:val="00307B03"/>
    <w:rsid w:val="00307EB8"/>
    <w:rsid w:val="00307F6F"/>
    <w:rsid w:val="00310073"/>
    <w:rsid w:val="003105CD"/>
    <w:rsid w:val="00310BDA"/>
    <w:rsid w:val="00310C23"/>
    <w:rsid w:val="003115AB"/>
    <w:rsid w:val="0031170C"/>
    <w:rsid w:val="003118FB"/>
    <w:rsid w:val="00311A19"/>
    <w:rsid w:val="00311CDB"/>
    <w:rsid w:val="00311DE6"/>
    <w:rsid w:val="00311FA9"/>
    <w:rsid w:val="003120B6"/>
    <w:rsid w:val="00312391"/>
    <w:rsid w:val="0031253D"/>
    <w:rsid w:val="00312CEB"/>
    <w:rsid w:val="00312E7C"/>
    <w:rsid w:val="003133FD"/>
    <w:rsid w:val="00313DB6"/>
    <w:rsid w:val="00313F19"/>
    <w:rsid w:val="00314185"/>
    <w:rsid w:val="00314302"/>
    <w:rsid w:val="0031454A"/>
    <w:rsid w:val="00314870"/>
    <w:rsid w:val="003148C6"/>
    <w:rsid w:val="00314B67"/>
    <w:rsid w:val="00314D91"/>
    <w:rsid w:val="00314E7E"/>
    <w:rsid w:val="0031502D"/>
    <w:rsid w:val="00315170"/>
    <w:rsid w:val="00315B85"/>
    <w:rsid w:val="00315F40"/>
    <w:rsid w:val="00316017"/>
    <w:rsid w:val="00316293"/>
    <w:rsid w:val="003165A5"/>
    <w:rsid w:val="00316A02"/>
    <w:rsid w:val="00316F64"/>
    <w:rsid w:val="003177FB"/>
    <w:rsid w:val="003204A3"/>
    <w:rsid w:val="003204FE"/>
    <w:rsid w:val="0032064E"/>
    <w:rsid w:val="0032088F"/>
    <w:rsid w:val="00321116"/>
    <w:rsid w:val="003215D6"/>
    <w:rsid w:val="00321AF3"/>
    <w:rsid w:val="00321CE1"/>
    <w:rsid w:val="00322957"/>
    <w:rsid w:val="00322A06"/>
    <w:rsid w:val="00323762"/>
    <w:rsid w:val="00323EFB"/>
    <w:rsid w:val="0032450C"/>
    <w:rsid w:val="00324D27"/>
    <w:rsid w:val="00324D3A"/>
    <w:rsid w:val="0032547B"/>
    <w:rsid w:val="003265C7"/>
    <w:rsid w:val="0032696B"/>
    <w:rsid w:val="00326F9F"/>
    <w:rsid w:val="00326FC2"/>
    <w:rsid w:val="00327301"/>
    <w:rsid w:val="003274CE"/>
    <w:rsid w:val="003275B6"/>
    <w:rsid w:val="003278AF"/>
    <w:rsid w:val="00327D07"/>
    <w:rsid w:val="003300F0"/>
    <w:rsid w:val="003301F3"/>
    <w:rsid w:val="00330BE7"/>
    <w:rsid w:val="0033152B"/>
    <w:rsid w:val="00331641"/>
    <w:rsid w:val="003316A8"/>
    <w:rsid w:val="0033266D"/>
    <w:rsid w:val="0033272B"/>
    <w:rsid w:val="00332833"/>
    <w:rsid w:val="00332A41"/>
    <w:rsid w:val="00332C75"/>
    <w:rsid w:val="00333491"/>
    <w:rsid w:val="00333E95"/>
    <w:rsid w:val="00333EDC"/>
    <w:rsid w:val="003341AC"/>
    <w:rsid w:val="0033476F"/>
    <w:rsid w:val="003347B5"/>
    <w:rsid w:val="00334A1C"/>
    <w:rsid w:val="00334A52"/>
    <w:rsid w:val="00334AA9"/>
    <w:rsid w:val="00334AD6"/>
    <w:rsid w:val="00334C76"/>
    <w:rsid w:val="00335121"/>
    <w:rsid w:val="00335362"/>
    <w:rsid w:val="0033563E"/>
    <w:rsid w:val="003356AB"/>
    <w:rsid w:val="00335842"/>
    <w:rsid w:val="003358C6"/>
    <w:rsid w:val="00335AF7"/>
    <w:rsid w:val="00335FD8"/>
    <w:rsid w:val="0033600C"/>
    <w:rsid w:val="003363A8"/>
    <w:rsid w:val="00336407"/>
    <w:rsid w:val="003366B7"/>
    <w:rsid w:val="003367C4"/>
    <w:rsid w:val="00336869"/>
    <w:rsid w:val="003373C9"/>
    <w:rsid w:val="00337EAC"/>
    <w:rsid w:val="0034014B"/>
    <w:rsid w:val="0034018D"/>
    <w:rsid w:val="00340532"/>
    <w:rsid w:val="00340B0A"/>
    <w:rsid w:val="00340E5B"/>
    <w:rsid w:val="00341612"/>
    <w:rsid w:val="00341797"/>
    <w:rsid w:val="00341AFE"/>
    <w:rsid w:val="00341EC0"/>
    <w:rsid w:val="003422AE"/>
    <w:rsid w:val="003426A0"/>
    <w:rsid w:val="003436C5"/>
    <w:rsid w:val="00343AF4"/>
    <w:rsid w:val="00343C48"/>
    <w:rsid w:val="00343D28"/>
    <w:rsid w:val="003447ED"/>
    <w:rsid w:val="00344B42"/>
    <w:rsid w:val="00344BC4"/>
    <w:rsid w:val="0034521B"/>
    <w:rsid w:val="00345244"/>
    <w:rsid w:val="003456E8"/>
    <w:rsid w:val="00345C72"/>
    <w:rsid w:val="0034686B"/>
    <w:rsid w:val="00346884"/>
    <w:rsid w:val="00346C53"/>
    <w:rsid w:val="00347076"/>
    <w:rsid w:val="00347113"/>
    <w:rsid w:val="003476AB"/>
    <w:rsid w:val="003476C7"/>
    <w:rsid w:val="00347B24"/>
    <w:rsid w:val="00350027"/>
    <w:rsid w:val="00350295"/>
    <w:rsid w:val="00350298"/>
    <w:rsid w:val="003502CB"/>
    <w:rsid w:val="00350CBC"/>
    <w:rsid w:val="00350DBE"/>
    <w:rsid w:val="00351074"/>
    <w:rsid w:val="00351570"/>
    <w:rsid w:val="0035208D"/>
    <w:rsid w:val="0035257D"/>
    <w:rsid w:val="0035271E"/>
    <w:rsid w:val="0035287A"/>
    <w:rsid w:val="003528C4"/>
    <w:rsid w:val="003533AB"/>
    <w:rsid w:val="003536F0"/>
    <w:rsid w:val="00353BF5"/>
    <w:rsid w:val="003545DE"/>
    <w:rsid w:val="0035498D"/>
    <w:rsid w:val="00354C12"/>
    <w:rsid w:val="00355350"/>
    <w:rsid w:val="0035562C"/>
    <w:rsid w:val="00355BAB"/>
    <w:rsid w:val="00355D6A"/>
    <w:rsid w:val="00355DE3"/>
    <w:rsid w:val="00355E28"/>
    <w:rsid w:val="003560E4"/>
    <w:rsid w:val="00356299"/>
    <w:rsid w:val="00356918"/>
    <w:rsid w:val="0035713B"/>
    <w:rsid w:val="00357228"/>
    <w:rsid w:val="00357389"/>
    <w:rsid w:val="003575D8"/>
    <w:rsid w:val="00357F65"/>
    <w:rsid w:val="00360A52"/>
    <w:rsid w:val="00360A8F"/>
    <w:rsid w:val="00361776"/>
    <w:rsid w:val="00361855"/>
    <w:rsid w:val="00361C24"/>
    <w:rsid w:val="00362207"/>
    <w:rsid w:val="0036225D"/>
    <w:rsid w:val="00362B1D"/>
    <w:rsid w:val="003632D7"/>
    <w:rsid w:val="00363418"/>
    <w:rsid w:val="003635A7"/>
    <w:rsid w:val="00363AD6"/>
    <w:rsid w:val="00363E63"/>
    <w:rsid w:val="00364A72"/>
    <w:rsid w:val="00364FE1"/>
    <w:rsid w:val="0036509A"/>
    <w:rsid w:val="00365196"/>
    <w:rsid w:val="00365A69"/>
    <w:rsid w:val="00365EC2"/>
    <w:rsid w:val="00365EF4"/>
    <w:rsid w:val="00366154"/>
    <w:rsid w:val="003661AD"/>
    <w:rsid w:val="00366EC7"/>
    <w:rsid w:val="0036708F"/>
    <w:rsid w:val="0036788A"/>
    <w:rsid w:val="003707A2"/>
    <w:rsid w:val="00370A99"/>
    <w:rsid w:val="00370CB2"/>
    <w:rsid w:val="00370D52"/>
    <w:rsid w:val="00370DCF"/>
    <w:rsid w:val="00370E11"/>
    <w:rsid w:val="00370FE6"/>
    <w:rsid w:val="0037134F"/>
    <w:rsid w:val="00372653"/>
    <w:rsid w:val="003736BF"/>
    <w:rsid w:val="00373B6B"/>
    <w:rsid w:val="003741A9"/>
    <w:rsid w:val="003746B3"/>
    <w:rsid w:val="003748F7"/>
    <w:rsid w:val="00374E39"/>
    <w:rsid w:val="00374FCA"/>
    <w:rsid w:val="0037542E"/>
    <w:rsid w:val="00375604"/>
    <w:rsid w:val="0037612A"/>
    <w:rsid w:val="003762C5"/>
    <w:rsid w:val="00376723"/>
    <w:rsid w:val="0037680A"/>
    <w:rsid w:val="00376B6E"/>
    <w:rsid w:val="0037703C"/>
    <w:rsid w:val="00377403"/>
    <w:rsid w:val="0037779B"/>
    <w:rsid w:val="00377838"/>
    <w:rsid w:val="00377C23"/>
    <w:rsid w:val="003804DF"/>
    <w:rsid w:val="0038068E"/>
    <w:rsid w:val="0038082C"/>
    <w:rsid w:val="003809C3"/>
    <w:rsid w:val="0038107B"/>
    <w:rsid w:val="003815F2"/>
    <w:rsid w:val="003817C4"/>
    <w:rsid w:val="00381C73"/>
    <w:rsid w:val="00381D8B"/>
    <w:rsid w:val="00382117"/>
    <w:rsid w:val="003822B5"/>
    <w:rsid w:val="00382632"/>
    <w:rsid w:val="00382656"/>
    <w:rsid w:val="003836CD"/>
    <w:rsid w:val="003837BC"/>
    <w:rsid w:val="00383990"/>
    <w:rsid w:val="00383BA1"/>
    <w:rsid w:val="00384421"/>
    <w:rsid w:val="00384B55"/>
    <w:rsid w:val="00384DD3"/>
    <w:rsid w:val="00384E59"/>
    <w:rsid w:val="003853B9"/>
    <w:rsid w:val="003854ED"/>
    <w:rsid w:val="0038552D"/>
    <w:rsid w:val="0038574F"/>
    <w:rsid w:val="00385D47"/>
    <w:rsid w:val="00386497"/>
    <w:rsid w:val="003866BB"/>
    <w:rsid w:val="0038695B"/>
    <w:rsid w:val="00386AA3"/>
    <w:rsid w:val="00386D84"/>
    <w:rsid w:val="00387482"/>
    <w:rsid w:val="00387B15"/>
    <w:rsid w:val="00387D45"/>
    <w:rsid w:val="00387DF5"/>
    <w:rsid w:val="0039009E"/>
    <w:rsid w:val="00390811"/>
    <w:rsid w:val="003909A8"/>
    <w:rsid w:val="00391119"/>
    <w:rsid w:val="0039112F"/>
    <w:rsid w:val="0039122E"/>
    <w:rsid w:val="00391323"/>
    <w:rsid w:val="00391562"/>
    <w:rsid w:val="00391DFB"/>
    <w:rsid w:val="00392008"/>
    <w:rsid w:val="00392256"/>
    <w:rsid w:val="00392584"/>
    <w:rsid w:val="00392860"/>
    <w:rsid w:val="003928AF"/>
    <w:rsid w:val="0039290F"/>
    <w:rsid w:val="00392A6C"/>
    <w:rsid w:val="00392F61"/>
    <w:rsid w:val="00393009"/>
    <w:rsid w:val="0039371F"/>
    <w:rsid w:val="003939E6"/>
    <w:rsid w:val="00393AA3"/>
    <w:rsid w:val="00394739"/>
    <w:rsid w:val="00394AFF"/>
    <w:rsid w:val="00394B9C"/>
    <w:rsid w:val="00394DC8"/>
    <w:rsid w:val="00395BC9"/>
    <w:rsid w:val="00396567"/>
    <w:rsid w:val="0039684C"/>
    <w:rsid w:val="00396C3A"/>
    <w:rsid w:val="00396F36"/>
    <w:rsid w:val="00397096"/>
    <w:rsid w:val="003979C3"/>
    <w:rsid w:val="003979CF"/>
    <w:rsid w:val="00397A85"/>
    <w:rsid w:val="003A01EB"/>
    <w:rsid w:val="003A0694"/>
    <w:rsid w:val="003A1410"/>
    <w:rsid w:val="003A17DA"/>
    <w:rsid w:val="003A1B37"/>
    <w:rsid w:val="003A1ECE"/>
    <w:rsid w:val="003A209E"/>
    <w:rsid w:val="003A22AB"/>
    <w:rsid w:val="003A22F3"/>
    <w:rsid w:val="003A26B6"/>
    <w:rsid w:val="003A29B6"/>
    <w:rsid w:val="003A2CF0"/>
    <w:rsid w:val="003A2DFA"/>
    <w:rsid w:val="003A30BD"/>
    <w:rsid w:val="003A31FE"/>
    <w:rsid w:val="003A3796"/>
    <w:rsid w:val="003A3F45"/>
    <w:rsid w:val="003A4653"/>
    <w:rsid w:val="003A4732"/>
    <w:rsid w:val="003A4979"/>
    <w:rsid w:val="003A4BC1"/>
    <w:rsid w:val="003A4C0F"/>
    <w:rsid w:val="003A4EB1"/>
    <w:rsid w:val="003A51BF"/>
    <w:rsid w:val="003A521D"/>
    <w:rsid w:val="003A62CD"/>
    <w:rsid w:val="003A6346"/>
    <w:rsid w:val="003A6433"/>
    <w:rsid w:val="003A67CD"/>
    <w:rsid w:val="003A6C07"/>
    <w:rsid w:val="003A7262"/>
    <w:rsid w:val="003A748C"/>
    <w:rsid w:val="003A75D9"/>
    <w:rsid w:val="003A7DBB"/>
    <w:rsid w:val="003B05F9"/>
    <w:rsid w:val="003B0AEA"/>
    <w:rsid w:val="003B0C8A"/>
    <w:rsid w:val="003B1163"/>
    <w:rsid w:val="003B1355"/>
    <w:rsid w:val="003B18ED"/>
    <w:rsid w:val="003B1A83"/>
    <w:rsid w:val="003B2425"/>
    <w:rsid w:val="003B251C"/>
    <w:rsid w:val="003B29F0"/>
    <w:rsid w:val="003B367A"/>
    <w:rsid w:val="003B369D"/>
    <w:rsid w:val="003B3D88"/>
    <w:rsid w:val="003B3DA9"/>
    <w:rsid w:val="003B3DE0"/>
    <w:rsid w:val="003B44E6"/>
    <w:rsid w:val="003B45AD"/>
    <w:rsid w:val="003B52AE"/>
    <w:rsid w:val="003B538A"/>
    <w:rsid w:val="003B544C"/>
    <w:rsid w:val="003B5681"/>
    <w:rsid w:val="003B56A0"/>
    <w:rsid w:val="003B5884"/>
    <w:rsid w:val="003B5C76"/>
    <w:rsid w:val="003B5D0C"/>
    <w:rsid w:val="003B6886"/>
    <w:rsid w:val="003B68BD"/>
    <w:rsid w:val="003B6DC0"/>
    <w:rsid w:val="003B6F76"/>
    <w:rsid w:val="003B7111"/>
    <w:rsid w:val="003B76A0"/>
    <w:rsid w:val="003B78DB"/>
    <w:rsid w:val="003B7A6A"/>
    <w:rsid w:val="003B7B7A"/>
    <w:rsid w:val="003C02E8"/>
    <w:rsid w:val="003C053E"/>
    <w:rsid w:val="003C19B4"/>
    <w:rsid w:val="003C1F72"/>
    <w:rsid w:val="003C2021"/>
    <w:rsid w:val="003C23AC"/>
    <w:rsid w:val="003C248B"/>
    <w:rsid w:val="003C24B9"/>
    <w:rsid w:val="003C32D5"/>
    <w:rsid w:val="003C3309"/>
    <w:rsid w:val="003C3431"/>
    <w:rsid w:val="003C3707"/>
    <w:rsid w:val="003C3869"/>
    <w:rsid w:val="003C44FD"/>
    <w:rsid w:val="003C4783"/>
    <w:rsid w:val="003C4976"/>
    <w:rsid w:val="003C4B3D"/>
    <w:rsid w:val="003C5501"/>
    <w:rsid w:val="003C584B"/>
    <w:rsid w:val="003C5DB0"/>
    <w:rsid w:val="003C63E7"/>
    <w:rsid w:val="003C656D"/>
    <w:rsid w:val="003C6611"/>
    <w:rsid w:val="003C68F0"/>
    <w:rsid w:val="003C70DB"/>
    <w:rsid w:val="003D0337"/>
    <w:rsid w:val="003D04EF"/>
    <w:rsid w:val="003D099A"/>
    <w:rsid w:val="003D09DB"/>
    <w:rsid w:val="003D0F5C"/>
    <w:rsid w:val="003D1341"/>
    <w:rsid w:val="003D154A"/>
    <w:rsid w:val="003D2235"/>
    <w:rsid w:val="003D225F"/>
    <w:rsid w:val="003D2272"/>
    <w:rsid w:val="003D2401"/>
    <w:rsid w:val="003D24E7"/>
    <w:rsid w:val="003D317F"/>
    <w:rsid w:val="003D35B0"/>
    <w:rsid w:val="003D3715"/>
    <w:rsid w:val="003D3818"/>
    <w:rsid w:val="003D3F1A"/>
    <w:rsid w:val="003D4522"/>
    <w:rsid w:val="003D4906"/>
    <w:rsid w:val="003D4BF2"/>
    <w:rsid w:val="003D4C6F"/>
    <w:rsid w:val="003D50F7"/>
    <w:rsid w:val="003D548A"/>
    <w:rsid w:val="003D552F"/>
    <w:rsid w:val="003D5B91"/>
    <w:rsid w:val="003D5C08"/>
    <w:rsid w:val="003D5D13"/>
    <w:rsid w:val="003D61F6"/>
    <w:rsid w:val="003D6B66"/>
    <w:rsid w:val="003D7012"/>
    <w:rsid w:val="003D777E"/>
    <w:rsid w:val="003D78A9"/>
    <w:rsid w:val="003D7DF2"/>
    <w:rsid w:val="003D7F93"/>
    <w:rsid w:val="003E0024"/>
    <w:rsid w:val="003E0086"/>
    <w:rsid w:val="003E013C"/>
    <w:rsid w:val="003E0496"/>
    <w:rsid w:val="003E0913"/>
    <w:rsid w:val="003E14C2"/>
    <w:rsid w:val="003E1641"/>
    <w:rsid w:val="003E16B7"/>
    <w:rsid w:val="003E1FDA"/>
    <w:rsid w:val="003E2574"/>
    <w:rsid w:val="003E2697"/>
    <w:rsid w:val="003E285E"/>
    <w:rsid w:val="003E2DFA"/>
    <w:rsid w:val="003E304C"/>
    <w:rsid w:val="003E313F"/>
    <w:rsid w:val="003E39F4"/>
    <w:rsid w:val="003E3A67"/>
    <w:rsid w:val="003E3D5A"/>
    <w:rsid w:val="003E3FC4"/>
    <w:rsid w:val="003E42B8"/>
    <w:rsid w:val="003E42BC"/>
    <w:rsid w:val="003E4791"/>
    <w:rsid w:val="003E4E26"/>
    <w:rsid w:val="003E4F90"/>
    <w:rsid w:val="003E51B1"/>
    <w:rsid w:val="003E548D"/>
    <w:rsid w:val="003E557C"/>
    <w:rsid w:val="003E5859"/>
    <w:rsid w:val="003E5C7F"/>
    <w:rsid w:val="003E5CAA"/>
    <w:rsid w:val="003E62B7"/>
    <w:rsid w:val="003E6A48"/>
    <w:rsid w:val="003E6C16"/>
    <w:rsid w:val="003E6F78"/>
    <w:rsid w:val="003E70B5"/>
    <w:rsid w:val="003E726B"/>
    <w:rsid w:val="003E734F"/>
    <w:rsid w:val="003E7641"/>
    <w:rsid w:val="003E79B5"/>
    <w:rsid w:val="003F00C0"/>
    <w:rsid w:val="003F04EC"/>
    <w:rsid w:val="003F070B"/>
    <w:rsid w:val="003F0BB1"/>
    <w:rsid w:val="003F18F6"/>
    <w:rsid w:val="003F1A6A"/>
    <w:rsid w:val="003F1DBF"/>
    <w:rsid w:val="003F2344"/>
    <w:rsid w:val="003F23A0"/>
    <w:rsid w:val="003F2478"/>
    <w:rsid w:val="003F297A"/>
    <w:rsid w:val="003F2E00"/>
    <w:rsid w:val="003F32B5"/>
    <w:rsid w:val="003F3590"/>
    <w:rsid w:val="003F3876"/>
    <w:rsid w:val="003F38ED"/>
    <w:rsid w:val="003F3BB1"/>
    <w:rsid w:val="003F4183"/>
    <w:rsid w:val="003F4326"/>
    <w:rsid w:val="003F43D5"/>
    <w:rsid w:val="003F4825"/>
    <w:rsid w:val="003F4C10"/>
    <w:rsid w:val="003F51D5"/>
    <w:rsid w:val="003F526F"/>
    <w:rsid w:val="003F5411"/>
    <w:rsid w:val="003F5B4B"/>
    <w:rsid w:val="003F6048"/>
    <w:rsid w:val="003F6323"/>
    <w:rsid w:val="003F67CC"/>
    <w:rsid w:val="003F7CB6"/>
    <w:rsid w:val="003F7CE1"/>
    <w:rsid w:val="003F7D81"/>
    <w:rsid w:val="003F7DFD"/>
    <w:rsid w:val="004002CD"/>
    <w:rsid w:val="0040043D"/>
    <w:rsid w:val="00400455"/>
    <w:rsid w:val="00400C8A"/>
    <w:rsid w:val="00400D5B"/>
    <w:rsid w:val="00400F52"/>
    <w:rsid w:val="00401136"/>
    <w:rsid w:val="004016E8"/>
    <w:rsid w:val="00401903"/>
    <w:rsid w:val="00401A56"/>
    <w:rsid w:val="00401ABD"/>
    <w:rsid w:val="00401AF6"/>
    <w:rsid w:val="00402A4B"/>
    <w:rsid w:val="00402E8B"/>
    <w:rsid w:val="00403418"/>
    <w:rsid w:val="00403551"/>
    <w:rsid w:val="004035D9"/>
    <w:rsid w:val="0040365D"/>
    <w:rsid w:val="00403BCD"/>
    <w:rsid w:val="004043A8"/>
    <w:rsid w:val="00404A23"/>
    <w:rsid w:val="00404C24"/>
    <w:rsid w:val="0040539E"/>
    <w:rsid w:val="00405571"/>
    <w:rsid w:val="00405A66"/>
    <w:rsid w:val="00405CF3"/>
    <w:rsid w:val="004063D3"/>
    <w:rsid w:val="004073B8"/>
    <w:rsid w:val="004077D9"/>
    <w:rsid w:val="00407D4F"/>
    <w:rsid w:val="00410108"/>
    <w:rsid w:val="0041030E"/>
    <w:rsid w:val="00410456"/>
    <w:rsid w:val="004105CB"/>
    <w:rsid w:val="004107F6"/>
    <w:rsid w:val="004109EC"/>
    <w:rsid w:val="004109FB"/>
    <w:rsid w:val="00410BD3"/>
    <w:rsid w:val="00410D7D"/>
    <w:rsid w:val="0041113F"/>
    <w:rsid w:val="00411CD0"/>
    <w:rsid w:val="00412609"/>
    <w:rsid w:val="00412D76"/>
    <w:rsid w:val="00413A95"/>
    <w:rsid w:val="00413D85"/>
    <w:rsid w:val="00414182"/>
    <w:rsid w:val="004144BC"/>
    <w:rsid w:val="00414859"/>
    <w:rsid w:val="00414A90"/>
    <w:rsid w:val="00414F83"/>
    <w:rsid w:val="00415025"/>
    <w:rsid w:val="004157F6"/>
    <w:rsid w:val="004158A6"/>
    <w:rsid w:val="00415D97"/>
    <w:rsid w:val="00415E30"/>
    <w:rsid w:val="00416525"/>
    <w:rsid w:val="0041654B"/>
    <w:rsid w:val="00416C0D"/>
    <w:rsid w:val="00416D52"/>
    <w:rsid w:val="00416F7B"/>
    <w:rsid w:val="0041703E"/>
    <w:rsid w:val="004176C3"/>
    <w:rsid w:val="0042036C"/>
    <w:rsid w:val="00420373"/>
    <w:rsid w:val="00420384"/>
    <w:rsid w:val="00420C9E"/>
    <w:rsid w:val="00420D8F"/>
    <w:rsid w:val="00420F05"/>
    <w:rsid w:val="00421019"/>
    <w:rsid w:val="00421BF4"/>
    <w:rsid w:val="00421ECE"/>
    <w:rsid w:val="00421EE3"/>
    <w:rsid w:val="004221CD"/>
    <w:rsid w:val="0042222C"/>
    <w:rsid w:val="004234D5"/>
    <w:rsid w:val="004237F6"/>
    <w:rsid w:val="004238C9"/>
    <w:rsid w:val="00423B61"/>
    <w:rsid w:val="00423DF5"/>
    <w:rsid w:val="0042404A"/>
    <w:rsid w:val="004240E5"/>
    <w:rsid w:val="00424288"/>
    <w:rsid w:val="00424B7D"/>
    <w:rsid w:val="00424BF7"/>
    <w:rsid w:val="00424C22"/>
    <w:rsid w:val="00424F07"/>
    <w:rsid w:val="004250C3"/>
    <w:rsid w:val="0042550E"/>
    <w:rsid w:val="0042589D"/>
    <w:rsid w:val="00425999"/>
    <w:rsid w:val="00425A09"/>
    <w:rsid w:val="00425AC8"/>
    <w:rsid w:val="00425F4E"/>
    <w:rsid w:val="004262B7"/>
    <w:rsid w:val="0042638A"/>
    <w:rsid w:val="00426F0F"/>
    <w:rsid w:val="0042703F"/>
    <w:rsid w:val="00427966"/>
    <w:rsid w:val="00430363"/>
    <w:rsid w:val="00430595"/>
    <w:rsid w:val="00430CAA"/>
    <w:rsid w:val="00430E5F"/>
    <w:rsid w:val="004310E2"/>
    <w:rsid w:val="00431264"/>
    <w:rsid w:val="004314B2"/>
    <w:rsid w:val="00431DFC"/>
    <w:rsid w:val="00431E57"/>
    <w:rsid w:val="00431FA8"/>
    <w:rsid w:val="0043216E"/>
    <w:rsid w:val="0043240A"/>
    <w:rsid w:val="004325C6"/>
    <w:rsid w:val="00432A47"/>
    <w:rsid w:val="00432CCB"/>
    <w:rsid w:val="00432E6C"/>
    <w:rsid w:val="00432E74"/>
    <w:rsid w:val="00433312"/>
    <w:rsid w:val="004337D7"/>
    <w:rsid w:val="004337E2"/>
    <w:rsid w:val="00433865"/>
    <w:rsid w:val="0043399D"/>
    <w:rsid w:val="0043404B"/>
    <w:rsid w:val="00434127"/>
    <w:rsid w:val="00434624"/>
    <w:rsid w:val="0043472A"/>
    <w:rsid w:val="004351C9"/>
    <w:rsid w:val="00435E91"/>
    <w:rsid w:val="00435F34"/>
    <w:rsid w:val="00436144"/>
    <w:rsid w:val="00436536"/>
    <w:rsid w:val="004367C6"/>
    <w:rsid w:val="00436814"/>
    <w:rsid w:val="00436882"/>
    <w:rsid w:val="00440255"/>
    <w:rsid w:val="00440A12"/>
    <w:rsid w:val="00440C52"/>
    <w:rsid w:val="004418F8"/>
    <w:rsid w:val="00441971"/>
    <w:rsid w:val="0044211C"/>
    <w:rsid w:val="00442214"/>
    <w:rsid w:val="0044228C"/>
    <w:rsid w:val="004433D6"/>
    <w:rsid w:val="0044366D"/>
    <w:rsid w:val="0044464B"/>
    <w:rsid w:val="00444AAE"/>
    <w:rsid w:val="00444D12"/>
    <w:rsid w:val="00445313"/>
    <w:rsid w:val="00445829"/>
    <w:rsid w:val="004468B0"/>
    <w:rsid w:val="0044693F"/>
    <w:rsid w:val="00446DF7"/>
    <w:rsid w:val="00450024"/>
    <w:rsid w:val="00450174"/>
    <w:rsid w:val="00450232"/>
    <w:rsid w:val="004504E7"/>
    <w:rsid w:val="00450B24"/>
    <w:rsid w:val="00450C5C"/>
    <w:rsid w:val="00450F1C"/>
    <w:rsid w:val="00450FDD"/>
    <w:rsid w:val="00451794"/>
    <w:rsid w:val="00451E48"/>
    <w:rsid w:val="0045215F"/>
    <w:rsid w:val="00452560"/>
    <w:rsid w:val="00452778"/>
    <w:rsid w:val="00452912"/>
    <w:rsid w:val="004529D6"/>
    <w:rsid w:val="00452D71"/>
    <w:rsid w:val="0045337D"/>
    <w:rsid w:val="00453477"/>
    <w:rsid w:val="004536BA"/>
    <w:rsid w:val="00453CA9"/>
    <w:rsid w:val="00453CC3"/>
    <w:rsid w:val="00453D17"/>
    <w:rsid w:val="00453DB1"/>
    <w:rsid w:val="00454E61"/>
    <w:rsid w:val="00454EFB"/>
    <w:rsid w:val="00455283"/>
    <w:rsid w:val="0045529A"/>
    <w:rsid w:val="0045535C"/>
    <w:rsid w:val="0045537A"/>
    <w:rsid w:val="004554C1"/>
    <w:rsid w:val="004556FC"/>
    <w:rsid w:val="00455760"/>
    <w:rsid w:val="00455CA3"/>
    <w:rsid w:val="00456142"/>
    <w:rsid w:val="0045638B"/>
    <w:rsid w:val="00456A31"/>
    <w:rsid w:val="00456C85"/>
    <w:rsid w:val="00456CA2"/>
    <w:rsid w:val="00457081"/>
    <w:rsid w:val="004572F5"/>
    <w:rsid w:val="0045751C"/>
    <w:rsid w:val="00457D43"/>
    <w:rsid w:val="004606CE"/>
    <w:rsid w:val="004606F9"/>
    <w:rsid w:val="00460885"/>
    <w:rsid w:val="00460CC8"/>
    <w:rsid w:val="00460CDB"/>
    <w:rsid w:val="00460E22"/>
    <w:rsid w:val="00460E30"/>
    <w:rsid w:val="00461289"/>
    <w:rsid w:val="004612E1"/>
    <w:rsid w:val="00461341"/>
    <w:rsid w:val="0046175A"/>
    <w:rsid w:val="00462421"/>
    <w:rsid w:val="004625B8"/>
    <w:rsid w:val="00462903"/>
    <w:rsid w:val="00462B18"/>
    <w:rsid w:val="0046309A"/>
    <w:rsid w:val="0046320A"/>
    <w:rsid w:val="0046353F"/>
    <w:rsid w:val="004635F0"/>
    <w:rsid w:val="00463869"/>
    <w:rsid w:val="00464191"/>
    <w:rsid w:val="0046474B"/>
    <w:rsid w:val="00465055"/>
    <w:rsid w:val="004653FA"/>
    <w:rsid w:val="00465548"/>
    <w:rsid w:val="00465B3A"/>
    <w:rsid w:val="00465F5A"/>
    <w:rsid w:val="004661B9"/>
    <w:rsid w:val="004663E9"/>
    <w:rsid w:val="00466A9C"/>
    <w:rsid w:val="004675A4"/>
    <w:rsid w:val="00470059"/>
    <w:rsid w:val="00470309"/>
    <w:rsid w:val="00470891"/>
    <w:rsid w:val="00470ADD"/>
    <w:rsid w:val="00470F39"/>
    <w:rsid w:val="0047132E"/>
    <w:rsid w:val="00471375"/>
    <w:rsid w:val="004714D2"/>
    <w:rsid w:val="0047173A"/>
    <w:rsid w:val="004717AD"/>
    <w:rsid w:val="00471B0B"/>
    <w:rsid w:val="00471B40"/>
    <w:rsid w:val="00471CFD"/>
    <w:rsid w:val="004724BD"/>
    <w:rsid w:val="004729A3"/>
    <w:rsid w:val="00472E7C"/>
    <w:rsid w:val="004731F1"/>
    <w:rsid w:val="004731FC"/>
    <w:rsid w:val="00473351"/>
    <w:rsid w:val="00473C41"/>
    <w:rsid w:val="00475313"/>
    <w:rsid w:val="0047554B"/>
    <w:rsid w:val="0047558C"/>
    <w:rsid w:val="00475A36"/>
    <w:rsid w:val="00475A74"/>
    <w:rsid w:val="00475E7D"/>
    <w:rsid w:val="00475EB5"/>
    <w:rsid w:val="004760AC"/>
    <w:rsid w:val="00476493"/>
    <w:rsid w:val="00476A06"/>
    <w:rsid w:val="00476AEB"/>
    <w:rsid w:val="00476D4D"/>
    <w:rsid w:val="00476EFF"/>
    <w:rsid w:val="00476F46"/>
    <w:rsid w:val="004771F5"/>
    <w:rsid w:val="00477239"/>
    <w:rsid w:val="004772B2"/>
    <w:rsid w:val="0047741E"/>
    <w:rsid w:val="0047746D"/>
    <w:rsid w:val="00477505"/>
    <w:rsid w:val="00477627"/>
    <w:rsid w:val="00480069"/>
    <w:rsid w:val="0048074A"/>
    <w:rsid w:val="004808C6"/>
    <w:rsid w:val="004810A6"/>
    <w:rsid w:val="0048126B"/>
    <w:rsid w:val="004819FB"/>
    <w:rsid w:val="00481B72"/>
    <w:rsid w:val="004821DB"/>
    <w:rsid w:val="00482656"/>
    <w:rsid w:val="00482B11"/>
    <w:rsid w:val="00482E8B"/>
    <w:rsid w:val="0048314A"/>
    <w:rsid w:val="00483242"/>
    <w:rsid w:val="0048395B"/>
    <w:rsid w:val="00483A70"/>
    <w:rsid w:val="00483D75"/>
    <w:rsid w:val="0048465D"/>
    <w:rsid w:val="00484861"/>
    <w:rsid w:val="00484A0B"/>
    <w:rsid w:val="00484A65"/>
    <w:rsid w:val="00484B82"/>
    <w:rsid w:val="0048521A"/>
    <w:rsid w:val="004860E6"/>
    <w:rsid w:val="004861DF"/>
    <w:rsid w:val="00487046"/>
    <w:rsid w:val="00487447"/>
    <w:rsid w:val="004874CA"/>
    <w:rsid w:val="0048775C"/>
    <w:rsid w:val="00490083"/>
    <w:rsid w:val="00490391"/>
    <w:rsid w:val="00490502"/>
    <w:rsid w:val="004908EC"/>
    <w:rsid w:val="00490B2C"/>
    <w:rsid w:val="00490CDD"/>
    <w:rsid w:val="00490DD7"/>
    <w:rsid w:val="00491276"/>
    <w:rsid w:val="004914DB"/>
    <w:rsid w:val="0049184B"/>
    <w:rsid w:val="00491B74"/>
    <w:rsid w:val="004920BD"/>
    <w:rsid w:val="004923F0"/>
    <w:rsid w:val="004929AB"/>
    <w:rsid w:val="004932B9"/>
    <w:rsid w:val="00493417"/>
    <w:rsid w:val="00493481"/>
    <w:rsid w:val="0049362E"/>
    <w:rsid w:val="00493824"/>
    <w:rsid w:val="0049483B"/>
    <w:rsid w:val="00494A57"/>
    <w:rsid w:val="00494BB7"/>
    <w:rsid w:val="00495A1B"/>
    <w:rsid w:val="00495BC9"/>
    <w:rsid w:val="00495E62"/>
    <w:rsid w:val="00496278"/>
    <w:rsid w:val="004963EF"/>
    <w:rsid w:val="00496520"/>
    <w:rsid w:val="00496937"/>
    <w:rsid w:val="0049727A"/>
    <w:rsid w:val="00497AD8"/>
    <w:rsid w:val="00497C15"/>
    <w:rsid w:val="00497E2B"/>
    <w:rsid w:val="004A039E"/>
    <w:rsid w:val="004A0B62"/>
    <w:rsid w:val="004A0F33"/>
    <w:rsid w:val="004A0FE1"/>
    <w:rsid w:val="004A0FF7"/>
    <w:rsid w:val="004A11EF"/>
    <w:rsid w:val="004A121F"/>
    <w:rsid w:val="004A1312"/>
    <w:rsid w:val="004A1642"/>
    <w:rsid w:val="004A1A2E"/>
    <w:rsid w:val="004A1A4A"/>
    <w:rsid w:val="004A1F42"/>
    <w:rsid w:val="004A22D2"/>
    <w:rsid w:val="004A260D"/>
    <w:rsid w:val="004A28BE"/>
    <w:rsid w:val="004A2947"/>
    <w:rsid w:val="004A2A6B"/>
    <w:rsid w:val="004A391A"/>
    <w:rsid w:val="004A4136"/>
    <w:rsid w:val="004A4419"/>
    <w:rsid w:val="004A47F6"/>
    <w:rsid w:val="004A4A3B"/>
    <w:rsid w:val="004A4D88"/>
    <w:rsid w:val="004A582F"/>
    <w:rsid w:val="004A5EB8"/>
    <w:rsid w:val="004A69AC"/>
    <w:rsid w:val="004A6D56"/>
    <w:rsid w:val="004A6D5C"/>
    <w:rsid w:val="004A723F"/>
    <w:rsid w:val="004A7310"/>
    <w:rsid w:val="004A734C"/>
    <w:rsid w:val="004A79BE"/>
    <w:rsid w:val="004B1359"/>
    <w:rsid w:val="004B1427"/>
    <w:rsid w:val="004B14D9"/>
    <w:rsid w:val="004B1A8F"/>
    <w:rsid w:val="004B1DB9"/>
    <w:rsid w:val="004B1E87"/>
    <w:rsid w:val="004B23A2"/>
    <w:rsid w:val="004B2604"/>
    <w:rsid w:val="004B266E"/>
    <w:rsid w:val="004B2D06"/>
    <w:rsid w:val="004B2E37"/>
    <w:rsid w:val="004B2EA7"/>
    <w:rsid w:val="004B30F2"/>
    <w:rsid w:val="004B3616"/>
    <w:rsid w:val="004B3F1F"/>
    <w:rsid w:val="004B44E7"/>
    <w:rsid w:val="004B48FC"/>
    <w:rsid w:val="004B4CE1"/>
    <w:rsid w:val="004B4CE6"/>
    <w:rsid w:val="004B4D46"/>
    <w:rsid w:val="004B51AF"/>
    <w:rsid w:val="004B5AEC"/>
    <w:rsid w:val="004B5CE3"/>
    <w:rsid w:val="004B5E38"/>
    <w:rsid w:val="004B65D6"/>
    <w:rsid w:val="004B687C"/>
    <w:rsid w:val="004B6ACB"/>
    <w:rsid w:val="004B6F41"/>
    <w:rsid w:val="004B75C0"/>
    <w:rsid w:val="004B7C44"/>
    <w:rsid w:val="004B7DA6"/>
    <w:rsid w:val="004C0460"/>
    <w:rsid w:val="004C08FD"/>
    <w:rsid w:val="004C0D29"/>
    <w:rsid w:val="004C0F75"/>
    <w:rsid w:val="004C183E"/>
    <w:rsid w:val="004C1EA5"/>
    <w:rsid w:val="004C2403"/>
    <w:rsid w:val="004C2626"/>
    <w:rsid w:val="004C275F"/>
    <w:rsid w:val="004C2BC9"/>
    <w:rsid w:val="004C2DAD"/>
    <w:rsid w:val="004C31BC"/>
    <w:rsid w:val="004C324E"/>
    <w:rsid w:val="004C373A"/>
    <w:rsid w:val="004C4294"/>
    <w:rsid w:val="004C43E4"/>
    <w:rsid w:val="004C441E"/>
    <w:rsid w:val="004C459B"/>
    <w:rsid w:val="004C4985"/>
    <w:rsid w:val="004C49B3"/>
    <w:rsid w:val="004C5700"/>
    <w:rsid w:val="004C59FB"/>
    <w:rsid w:val="004C5D79"/>
    <w:rsid w:val="004C5F5C"/>
    <w:rsid w:val="004C6078"/>
    <w:rsid w:val="004C652B"/>
    <w:rsid w:val="004C67FF"/>
    <w:rsid w:val="004C6C7A"/>
    <w:rsid w:val="004C6EDB"/>
    <w:rsid w:val="004C7B33"/>
    <w:rsid w:val="004C7DFC"/>
    <w:rsid w:val="004D0265"/>
    <w:rsid w:val="004D04F9"/>
    <w:rsid w:val="004D0DA2"/>
    <w:rsid w:val="004D146E"/>
    <w:rsid w:val="004D1591"/>
    <w:rsid w:val="004D1BC6"/>
    <w:rsid w:val="004D1EA7"/>
    <w:rsid w:val="004D1FDC"/>
    <w:rsid w:val="004D2277"/>
    <w:rsid w:val="004D230A"/>
    <w:rsid w:val="004D2473"/>
    <w:rsid w:val="004D296F"/>
    <w:rsid w:val="004D2CF1"/>
    <w:rsid w:val="004D33AA"/>
    <w:rsid w:val="004D33FB"/>
    <w:rsid w:val="004D355E"/>
    <w:rsid w:val="004D378F"/>
    <w:rsid w:val="004D38CB"/>
    <w:rsid w:val="004D4A00"/>
    <w:rsid w:val="004D55D1"/>
    <w:rsid w:val="004D5C9D"/>
    <w:rsid w:val="004D60D2"/>
    <w:rsid w:val="004D6652"/>
    <w:rsid w:val="004D6A9C"/>
    <w:rsid w:val="004D6B89"/>
    <w:rsid w:val="004D6F21"/>
    <w:rsid w:val="004D707F"/>
    <w:rsid w:val="004D728D"/>
    <w:rsid w:val="004D7880"/>
    <w:rsid w:val="004E046B"/>
    <w:rsid w:val="004E051D"/>
    <w:rsid w:val="004E07F0"/>
    <w:rsid w:val="004E09B8"/>
    <w:rsid w:val="004E0A5C"/>
    <w:rsid w:val="004E0B91"/>
    <w:rsid w:val="004E1117"/>
    <w:rsid w:val="004E19B9"/>
    <w:rsid w:val="004E1FFE"/>
    <w:rsid w:val="004E201E"/>
    <w:rsid w:val="004E20C9"/>
    <w:rsid w:val="004E22B0"/>
    <w:rsid w:val="004E2477"/>
    <w:rsid w:val="004E2F22"/>
    <w:rsid w:val="004E2F9F"/>
    <w:rsid w:val="004E3123"/>
    <w:rsid w:val="004E32B1"/>
    <w:rsid w:val="004E3517"/>
    <w:rsid w:val="004E36C4"/>
    <w:rsid w:val="004E375B"/>
    <w:rsid w:val="004E3D67"/>
    <w:rsid w:val="004E3D99"/>
    <w:rsid w:val="004E4576"/>
    <w:rsid w:val="004E486E"/>
    <w:rsid w:val="004E4D0D"/>
    <w:rsid w:val="004E4F21"/>
    <w:rsid w:val="004E50BB"/>
    <w:rsid w:val="004E53C1"/>
    <w:rsid w:val="004E5B01"/>
    <w:rsid w:val="004E5E67"/>
    <w:rsid w:val="004E626E"/>
    <w:rsid w:val="004E635D"/>
    <w:rsid w:val="004E6F2C"/>
    <w:rsid w:val="004E7264"/>
    <w:rsid w:val="004E7746"/>
    <w:rsid w:val="004E79C4"/>
    <w:rsid w:val="004E7BF7"/>
    <w:rsid w:val="004E7D3F"/>
    <w:rsid w:val="004F0089"/>
    <w:rsid w:val="004F0452"/>
    <w:rsid w:val="004F0770"/>
    <w:rsid w:val="004F0CA3"/>
    <w:rsid w:val="004F10D4"/>
    <w:rsid w:val="004F1938"/>
    <w:rsid w:val="004F1968"/>
    <w:rsid w:val="004F1D49"/>
    <w:rsid w:val="004F31B1"/>
    <w:rsid w:val="004F3390"/>
    <w:rsid w:val="004F39D5"/>
    <w:rsid w:val="004F3EF6"/>
    <w:rsid w:val="004F42D5"/>
    <w:rsid w:val="004F44F2"/>
    <w:rsid w:val="004F4DAD"/>
    <w:rsid w:val="004F51DC"/>
    <w:rsid w:val="004F52AF"/>
    <w:rsid w:val="004F5578"/>
    <w:rsid w:val="004F561B"/>
    <w:rsid w:val="004F5786"/>
    <w:rsid w:val="004F5B33"/>
    <w:rsid w:val="004F5CB1"/>
    <w:rsid w:val="004F5F4A"/>
    <w:rsid w:val="004F60B5"/>
    <w:rsid w:val="004F6503"/>
    <w:rsid w:val="004F6AB2"/>
    <w:rsid w:val="004F6C28"/>
    <w:rsid w:val="004F6D42"/>
    <w:rsid w:val="004F7005"/>
    <w:rsid w:val="004F73AC"/>
    <w:rsid w:val="004F75FC"/>
    <w:rsid w:val="004F778C"/>
    <w:rsid w:val="004F785A"/>
    <w:rsid w:val="004F7AFC"/>
    <w:rsid w:val="004F7B69"/>
    <w:rsid w:val="004F7DFF"/>
    <w:rsid w:val="004F7EA1"/>
    <w:rsid w:val="004F7ECA"/>
    <w:rsid w:val="00500167"/>
    <w:rsid w:val="00500587"/>
    <w:rsid w:val="00500A60"/>
    <w:rsid w:val="00500C30"/>
    <w:rsid w:val="00501082"/>
    <w:rsid w:val="005012EA"/>
    <w:rsid w:val="005015CD"/>
    <w:rsid w:val="005017E5"/>
    <w:rsid w:val="00501B95"/>
    <w:rsid w:val="00501C4C"/>
    <w:rsid w:val="00502005"/>
    <w:rsid w:val="00502112"/>
    <w:rsid w:val="00502137"/>
    <w:rsid w:val="00502152"/>
    <w:rsid w:val="00502641"/>
    <w:rsid w:val="005037F0"/>
    <w:rsid w:val="0050385A"/>
    <w:rsid w:val="00503D91"/>
    <w:rsid w:val="00504005"/>
    <w:rsid w:val="0050434A"/>
    <w:rsid w:val="00504371"/>
    <w:rsid w:val="00504611"/>
    <w:rsid w:val="00505293"/>
    <w:rsid w:val="00505AC2"/>
    <w:rsid w:val="00506159"/>
    <w:rsid w:val="00506819"/>
    <w:rsid w:val="00506AF6"/>
    <w:rsid w:val="00506D7E"/>
    <w:rsid w:val="00507411"/>
    <w:rsid w:val="005077AE"/>
    <w:rsid w:val="005079DC"/>
    <w:rsid w:val="00507DF3"/>
    <w:rsid w:val="00507F1D"/>
    <w:rsid w:val="00507F1F"/>
    <w:rsid w:val="00510479"/>
    <w:rsid w:val="00510F4C"/>
    <w:rsid w:val="00511FF8"/>
    <w:rsid w:val="005121DD"/>
    <w:rsid w:val="005123E0"/>
    <w:rsid w:val="00512D23"/>
    <w:rsid w:val="00512FDE"/>
    <w:rsid w:val="005135F5"/>
    <w:rsid w:val="0051367A"/>
    <w:rsid w:val="005137DC"/>
    <w:rsid w:val="00513AB3"/>
    <w:rsid w:val="00514148"/>
    <w:rsid w:val="0051455D"/>
    <w:rsid w:val="00515339"/>
    <w:rsid w:val="005156F8"/>
    <w:rsid w:val="00515874"/>
    <w:rsid w:val="00515A0F"/>
    <w:rsid w:val="00515E71"/>
    <w:rsid w:val="00515FBC"/>
    <w:rsid w:val="005160E3"/>
    <w:rsid w:val="00516DAD"/>
    <w:rsid w:val="00516E6F"/>
    <w:rsid w:val="005205BA"/>
    <w:rsid w:val="00520FB1"/>
    <w:rsid w:val="005216BF"/>
    <w:rsid w:val="00521754"/>
    <w:rsid w:val="0052177F"/>
    <w:rsid w:val="00521A6D"/>
    <w:rsid w:val="00521B4F"/>
    <w:rsid w:val="00521B6E"/>
    <w:rsid w:val="00521F7B"/>
    <w:rsid w:val="00522AC7"/>
    <w:rsid w:val="00522E18"/>
    <w:rsid w:val="00522FB2"/>
    <w:rsid w:val="005231FB"/>
    <w:rsid w:val="0052340F"/>
    <w:rsid w:val="00523B90"/>
    <w:rsid w:val="00523F38"/>
    <w:rsid w:val="00524125"/>
    <w:rsid w:val="005242EF"/>
    <w:rsid w:val="00524464"/>
    <w:rsid w:val="00524576"/>
    <w:rsid w:val="00524DD4"/>
    <w:rsid w:val="00525924"/>
    <w:rsid w:val="00525AB2"/>
    <w:rsid w:val="00525D73"/>
    <w:rsid w:val="00525EA9"/>
    <w:rsid w:val="005261F9"/>
    <w:rsid w:val="005262E7"/>
    <w:rsid w:val="005265F8"/>
    <w:rsid w:val="00526706"/>
    <w:rsid w:val="005268E6"/>
    <w:rsid w:val="00526E51"/>
    <w:rsid w:val="00526FB2"/>
    <w:rsid w:val="00527312"/>
    <w:rsid w:val="005275CF"/>
    <w:rsid w:val="00527F71"/>
    <w:rsid w:val="005303DD"/>
    <w:rsid w:val="0053054B"/>
    <w:rsid w:val="0053076C"/>
    <w:rsid w:val="005308E7"/>
    <w:rsid w:val="00530A33"/>
    <w:rsid w:val="00530C96"/>
    <w:rsid w:val="0053137C"/>
    <w:rsid w:val="00531B2C"/>
    <w:rsid w:val="00531CC3"/>
    <w:rsid w:val="00531E37"/>
    <w:rsid w:val="005324C2"/>
    <w:rsid w:val="00532656"/>
    <w:rsid w:val="0053290D"/>
    <w:rsid w:val="0053333F"/>
    <w:rsid w:val="00533C06"/>
    <w:rsid w:val="00533C6B"/>
    <w:rsid w:val="00533DF2"/>
    <w:rsid w:val="0053418A"/>
    <w:rsid w:val="00534A19"/>
    <w:rsid w:val="00534CFD"/>
    <w:rsid w:val="00535058"/>
    <w:rsid w:val="005350FA"/>
    <w:rsid w:val="005355F2"/>
    <w:rsid w:val="0053568D"/>
    <w:rsid w:val="005359F4"/>
    <w:rsid w:val="00535A76"/>
    <w:rsid w:val="00535BC6"/>
    <w:rsid w:val="00535C7C"/>
    <w:rsid w:val="0053669E"/>
    <w:rsid w:val="00537143"/>
    <w:rsid w:val="00537223"/>
    <w:rsid w:val="00537495"/>
    <w:rsid w:val="00537610"/>
    <w:rsid w:val="005378ED"/>
    <w:rsid w:val="00537C71"/>
    <w:rsid w:val="005405FD"/>
    <w:rsid w:val="00540CBB"/>
    <w:rsid w:val="0054166A"/>
    <w:rsid w:val="00541912"/>
    <w:rsid w:val="00541913"/>
    <w:rsid w:val="0054261A"/>
    <w:rsid w:val="00542DDB"/>
    <w:rsid w:val="00542E04"/>
    <w:rsid w:val="0054308A"/>
    <w:rsid w:val="0054314C"/>
    <w:rsid w:val="00543810"/>
    <w:rsid w:val="0054382A"/>
    <w:rsid w:val="00543B3A"/>
    <w:rsid w:val="00543B8D"/>
    <w:rsid w:val="00543EA3"/>
    <w:rsid w:val="005441CE"/>
    <w:rsid w:val="005449EA"/>
    <w:rsid w:val="00544C2C"/>
    <w:rsid w:val="00544CE3"/>
    <w:rsid w:val="00544E84"/>
    <w:rsid w:val="0054509E"/>
    <w:rsid w:val="005451D3"/>
    <w:rsid w:val="00545D46"/>
    <w:rsid w:val="0054687C"/>
    <w:rsid w:val="00546CB6"/>
    <w:rsid w:val="0054702B"/>
    <w:rsid w:val="0054D786"/>
    <w:rsid w:val="00550023"/>
    <w:rsid w:val="005500E9"/>
    <w:rsid w:val="005501EF"/>
    <w:rsid w:val="00550398"/>
    <w:rsid w:val="005503A0"/>
    <w:rsid w:val="0055054B"/>
    <w:rsid w:val="00551255"/>
    <w:rsid w:val="00551870"/>
    <w:rsid w:val="0055253A"/>
    <w:rsid w:val="00552ACA"/>
    <w:rsid w:val="00552D4E"/>
    <w:rsid w:val="0055331F"/>
    <w:rsid w:val="00553CFB"/>
    <w:rsid w:val="00553FB1"/>
    <w:rsid w:val="00553FE0"/>
    <w:rsid w:val="005556F5"/>
    <w:rsid w:val="0055585A"/>
    <w:rsid w:val="00555A1B"/>
    <w:rsid w:val="005560B2"/>
    <w:rsid w:val="00556C4A"/>
    <w:rsid w:val="00556C4C"/>
    <w:rsid w:val="00557179"/>
    <w:rsid w:val="00557422"/>
    <w:rsid w:val="0055771D"/>
    <w:rsid w:val="00557B96"/>
    <w:rsid w:val="00557D27"/>
    <w:rsid w:val="00557EA0"/>
    <w:rsid w:val="00557F09"/>
    <w:rsid w:val="00560241"/>
    <w:rsid w:val="005603EA"/>
    <w:rsid w:val="005605B4"/>
    <w:rsid w:val="00560659"/>
    <w:rsid w:val="0056068D"/>
    <w:rsid w:val="00560914"/>
    <w:rsid w:val="00560BEB"/>
    <w:rsid w:val="00560D3F"/>
    <w:rsid w:val="00560F91"/>
    <w:rsid w:val="005612FB"/>
    <w:rsid w:val="00561664"/>
    <w:rsid w:val="00561718"/>
    <w:rsid w:val="0056172A"/>
    <w:rsid w:val="00561734"/>
    <w:rsid w:val="0056181D"/>
    <w:rsid w:val="00561F9B"/>
    <w:rsid w:val="005622D7"/>
    <w:rsid w:val="005625E4"/>
    <w:rsid w:val="00562AFD"/>
    <w:rsid w:val="005631A3"/>
    <w:rsid w:val="0056397E"/>
    <w:rsid w:val="005639B7"/>
    <w:rsid w:val="00564176"/>
    <w:rsid w:val="005641A7"/>
    <w:rsid w:val="0056427C"/>
    <w:rsid w:val="00564316"/>
    <w:rsid w:val="00564333"/>
    <w:rsid w:val="00564854"/>
    <w:rsid w:val="005648C4"/>
    <w:rsid w:val="005650B8"/>
    <w:rsid w:val="0056519F"/>
    <w:rsid w:val="0056525B"/>
    <w:rsid w:val="00565443"/>
    <w:rsid w:val="00565471"/>
    <w:rsid w:val="00565510"/>
    <w:rsid w:val="00565577"/>
    <w:rsid w:val="005655E8"/>
    <w:rsid w:val="005657D7"/>
    <w:rsid w:val="0056580A"/>
    <w:rsid w:val="00565C4C"/>
    <w:rsid w:val="00565D57"/>
    <w:rsid w:val="00565F40"/>
    <w:rsid w:val="005660F5"/>
    <w:rsid w:val="00566FA4"/>
    <w:rsid w:val="0056717A"/>
    <w:rsid w:val="00567384"/>
    <w:rsid w:val="005675E6"/>
    <w:rsid w:val="005676FB"/>
    <w:rsid w:val="00570147"/>
    <w:rsid w:val="005701AF"/>
    <w:rsid w:val="0057050F"/>
    <w:rsid w:val="005707F1"/>
    <w:rsid w:val="00570EE3"/>
    <w:rsid w:val="00570F89"/>
    <w:rsid w:val="00571315"/>
    <w:rsid w:val="00571360"/>
    <w:rsid w:val="0057177A"/>
    <w:rsid w:val="00571AA8"/>
    <w:rsid w:val="00571D20"/>
    <w:rsid w:val="00571D3D"/>
    <w:rsid w:val="00571D7F"/>
    <w:rsid w:val="005720B8"/>
    <w:rsid w:val="00572675"/>
    <w:rsid w:val="00572CEE"/>
    <w:rsid w:val="00572F10"/>
    <w:rsid w:val="00573596"/>
    <w:rsid w:val="005736A5"/>
    <w:rsid w:val="00573A5B"/>
    <w:rsid w:val="00573F6A"/>
    <w:rsid w:val="0057460C"/>
    <w:rsid w:val="00574884"/>
    <w:rsid w:val="00574EAD"/>
    <w:rsid w:val="00575514"/>
    <w:rsid w:val="005758AD"/>
    <w:rsid w:val="00576E97"/>
    <w:rsid w:val="00576F9C"/>
    <w:rsid w:val="00577031"/>
    <w:rsid w:val="005771C9"/>
    <w:rsid w:val="005773CC"/>
    <w:rsid w:val="00577A94"/>
    <w:rsid w:val="00577E93"/>
    <w:rsid w:val="0058044D"/>
    <w:rsid w:val="00580FA7"/>
    <w:rsid w:val="00580FF6"/>
    <w:rsid w:val="00581814"/>
    <w:rsid w:val="00581A3B"/>
    <w:rsid w:val="00581AFB"/>
    <w:rsid w:val="00581C0D"/>
    <w:rsid w:val="00581C22"/>
    <w:rsid w:val="0058228A"/>
    <w:rsid w:val="00582319"/>
    <w:rsid w:val="00582555"/>
    <w:rsid w:val="00582887"/>
    <w:rsid w:val="005830C3"/>
    <w:rsid w:val="00583251"/>
    <w:rsid w:val="00583B98"/>
    <w:rsid w:val="00583D92"/>
    <w:rsid w:val="005840AC"/>
    <w:rsid w:val="00584DEF"/>
    <w:rsid w:val="0058500F"/>
    <w:rsid w:val="0058503D"/>
    <w:rsid w:val="00585F4B"/>
    <w:rsid w:val="005860E6"/>
    <w:rsid w:val="0058627A"/>
    <w:rsid w:val="005864A4"/>
    <w:rsid w:val="00586527"/>
    <w:rsid w:val="005872A5"/>
    <w:rsid w:val="00587643"/>
    <w:rsid w:val="0058782B"/>
    <w:rsid w:val="005878EC"/>
    <w:rsid w:val="00587FF7"/>
    <w:rsid w:val="0058C799"/>
    <w:rsid w:val="005900A1"/>
    <w:rsid w:val="00590613"/>
    <w:rsid w:val="0059072C"/>
    <w:rsid w:val="00590C7D"/>
    <w:rsid w:val="00591433"/>
    <w:rsid w:val="00591645"/>
    <w:rsid w:val="005919C9"/>
    <w:rsid w:val="00591C69"/>
    <w:rsid w:val="00591D71"/>
    <w:rsid w:val="0059255C"/>
    <w:rsid w:val="0059272B"/>
    <w:rsid w:val="00592761"/>
    <w:rsid w:val="00592785"/>
    <w:rsid w:val="005928BB"/>
    <w:rsid w:val="00592997"/>
    <w:rsid w:val="00592D02"/>
    <w:rsid w:val="0059384D"/>
    <w:rsid w:val="005938B6"/>
    <w:rsid w:val="00593CA1"/>
    <w:rsid w:val="00593F45"/>
    <w:rsid w:val="005945B2"/>
    <w:rsid w:val="0059472C"/>
    <w:rsid w:val="00594829"/>
    <w:rsid w:val="00594E7A"/>
    <w:rsid w:val="00595098"/>
    <w:rsid w:val="005952D6"/>
    <w:rsid w:val="005952D8"/>
    <w:rsid w:val="005956C4"/>
    <w:rsid w:val="00595849"/>
    <w:rsid w:val="005964E6"/>
    <w:rsid w:val="00596914"/>
    <w:rsid w:val="00596B4A"/>
    <w:rsid w:val="00596C33"/>
    <w:rsid w:val="00596FA0"/>
    <w:rsid w:val="005973CE"/>
    <w:rsid w:val="005974D1"/>
    <w:rsid w:val="00597639"/>
    <w:rsid w:val="005978DF"/>
    <w:rsid w:val="00597AC3"/>
    <w:rsid w:val="00597C79"/>
    <w:rsid w:val="005A0128"/>
    <w:rsid w:val="005A0156"/>
    <w:rsid w:val="005A0287"/>
    <w:rsid w:val="005A1076"/>
    <w:rsid w:val="005A16D6"/>
    <w:rsid w:val="005A1C64"/>
    <w:rsid w:val="005A2107"/>
    <w:rsid w:val="005A2722"/>
    <w:rsid w:val="005A27D5"/>
    <w:rsid w:val="005A2907"/>
    <w:rsid w:val="005A2C27"/>
    <w:rsid w:val="005A2FD6"/>
    <w:rsid w:val="005A301A"/>
    <w:rsid w:val="005A34A0"/>
    <w:rsid w:val="005A3645"/>
    <w:rsid w:val="005A3A21"/>
    <w:rsid w:val="005A3DB0"/>
    <w:rsid w:val="005A4292"/>
    <w:rsid w:val="005A4366"/>
    <w:rsid w:val="005A43B8"/>
    <w:rsid w:val="005A4972"/>
    <w:rsid w:val="005A5121"/>
    <w:rsid w:val="005A5224"/>
    <w:rsid w:val="005A5473"/>
    <w:rsid w:val="005A5771"/>
    <w:rsid w:val="005A599F"/>
    <w:rsid w:val="005A695C"/>
    <w:rsid w:val="005A6C2C"/>
    <w:rsid w:val="005A6D1B"/>
    <w:rsid w:val="005A7F9B"/>
    <w:rsid w:val="005B01F2"/>
    <w:rsid w:val="005B036B"/>
    <w:rsid w:val="005B044F"/>
    <w:rsid w:val="005B04FF"/>
    <w:rsid w:val="005B0A2C"/>
    <w:rsid w:val="005B0C65"/>
    <w:rsid w:val="005B0D07"/>
    <w:rsid w:val="005B0DC1"/>
    <w:rsid w:val="005B11AD"/>
    <w:rsid w:val="005B16CA"/>
    <w:rsid w:val="005B2119"/>
    <w:rsid w:val="005B2178"/>
    <w:rsid w:val="005B2445"/>
    <w:rsid w:val="005B2606"/>
    <w:rsid w:val="005B2613"/>
    <w:rsid w:val="005B288B"/>
    <w:rsid w:val="005B2CA7"/>
    <w:rsid w:val="005B303C"/>
    <w:rsid w:val="005B30AB"/>
    <w:rsid w:val="005B3940"/>
    <w:rsid w:val="005B397D"/>
    <w:rsid w:val="005B3AB9"/>
    <w:rsid w:val="005B3E75"/>
    <w:rsid w:val="005B48E8"/>
    <w:rsid w:val="005B49DC"/>
    <w:rsid w:val="005B5117"/>
    <w:rsid w:val="005B62EB"/>
    <w:rsid w:val="005B6468"/>
    <w:rsid w:val="005B6B10"/>
    <w:rsid w:val="005B6C35"/>
    <w:rsid w:val="005B6D34"/>
    <w:rsid w:val="005B71B6"/>
    <w:rsid w:val="005B72D7"/>
    <w:rsid w:val="005B76A3"/>
    <w:rsid w:val="005B7E09"/>
    <w:rsid w:val="005B7E12"/>
    <w:rsid w:val="005B7EFA"/>
    <w:rsid w:val="005C018D"/>
    <w:rsid w:val="005C07F5"/>
    <w:rsid w:val="005C0B21"/>
    <w:rsid w:val="005C12B5"/>
    <w:rsid w:val="005C14A7"/>
    <w:rsid w:val="005C2158"/>
    <w:rsid w:val="005C23FD"/>
    <w:rsid w:val="005C24B3"/>
    <w:rsid w:val="005C33F0"/>
    <w:rsid w:val="005C34FF"/>
    <w:rsid w:val="005C36C4"/>
    <w:rsid w:val="005C45F7"/>
    <w:rsid w:val="005C4851"/>
    <w:rsid w:val="005C4AAC"/>
    <w:rsid w:val="005C4F1D"/>
    <w:rsid w:val="005C5482"/>
    <w:rsid w:val="005C56B2"/>
    <w:rsid w:val="005C5A85"/>
    <w:rsid w:val="005C5E06"/>
    <w:rsid w:val="005C6666"/>
    <w:rsid w:val="005C692B"/>
    <w:rsid w:val="005C6D3F"/>
    <w:rsid w:val="005C7466"/>
    <w:rsid w:val="005C7852"/>
    <w:rsid w:val="005C7D2E"/>
    <w:rsid w:val="005C7DA1"/>
    <w:rsid w:val="005D1457"/>
    <w:rsid w:val="005D1A80"/>
    <w:rsid w:val="005D1AE8"/>
    <w:rsid w:val="005D225E"/>
    <w:rsid w:val="005D233B"/>
    <w:rsid w:val="005D23E9"/>
    <w:rsid w:val="005D27EB"/>
    <w:rsid w:val="005D2D25"/>
    <w:rsid w:val="005D3422"/>
    <w:rsid w:val="005D343E"/>
    <w:rsid w:val="005D3772"/>
    <w:rsid w:val="005D3872"/>
    <w:rsid w:val="005D3AB7"/>
    <w:rsid w:val="005D427E"/>
    <w:rsid w:val="005D4772"/>
    <w:rsid w:val="005D49BA"/>
    <w:rsid w:val="005D4B87"/>
    <w:rsid w:val="005D4BD0"/>
    <w:rsid w:val="005D4E19"/>
    <w:rsid w:val="005D53E7"/>
    <w:rsid w:val="005D598D"/>
    <w:rsid w:val="005D5A45"/>
    <w:rsid w:val="005D5B1B"/>
    <w:rsid w:val="005D5C02"/>
    <w:rsid w:val="005D6471"/>
    <w:rsid w:val="005D654D"/>
    <w:rsid w:val="005D655A"/>
    <w:rsid w:val="005D6A46"/>
    <w:rsid w:val="005D74B3"/>
    <w:rsid w:val="005E04EA"/>
    <w:rsid w:val="005E0D4C"/>
    <w:rsid w:val="005E0EC1"/>
    <w:rsid w:val="005E0FC9"/>
    <w:rsid w:val="005E126D"/>
    <w:rsid w:val="005E1480"/>
    <w:rsid w:val="005E17BB"/>
    <w:rsid w:val="005E1B3E"/>
    <w:rsid w:val="005E1D5A"/>
    <w:rsid w:val="005E21A0"/>
    <w:rsid w:val="005E21B1"/>
    <w:rsid w:val="005E2843"/>
    <w:rsid w:val="005E2F9D"/>
    <w:rsid w:val="005E38AB"/>
    <w:rsid w:val="005E3AB8"/>
    <w:rsid w:val="005E46EF"/>
    <w:rsid w:val="005E4DEC"/>
    <w:rsid w:val="005E55F5"/>
    <w:rsid w:val="005E5EF3"/>
    <w:rsid w:val="005E656E"/>
    <w:rsid w:val="005E7410"/>
    <w:rsid w:val="005E76CF"/>
    <w:rsid w:val="005E77E1"/>
    <w:rsid w:val="005E7D8B"/>
    <w:rsid w:val="005E7F6B"/>
    <w:rsid w:val="005E7FF6"/>
    <w:rsid w:val="005F0133"/>
    <w:rsid w:val="005F028F"/>
    <w:rsid w:val="005F1F17"/>
    <w:rsid w:val="005F2156"/>
    <w:rsid w:val="005F21E0"/>
    <w:rsid w:val="005F2232"/>
    <w:rsid w:val="005F26F0"/>
    <w:rsid w:val="005F27C4"/>
    <w:rsid w:val="005F2A97"/>
    <w:rsid w:val="005F34D8"/>
    <w:rsid w:val="005F36C2"/>
    <w:rsid w:val="005F3BB0"/>
    <w:rsid w:val="005F3E4B"/>
    <w:rsid w:val="005F402E"/>
    <w:rsid w:val="005F418E"/>
    <w:rsid w:val="005F44D3"/>
    <w:rsid w:val="005F49A2"/>
    <w:rsid w:val="005F4C70"/>
    <w:rsid w:val="005F5BA0"/>
    <w:rsid w:val="005F5BDF"/>
    <w:rsid w:val="005F5EF7"/>
    <w:rsid w:val="005F5F23"/>
    <w:rsid w:val="005F6008"/>
    <w:rsid w:val="005F63A2"/>
    <w:rsid w:val="006000D4"/>
    <w:rsid w:val="00600D2F"/>
    <w:rsid w:val="00601CE4"/>
    <w:rsid w:val="00601DC8"/>
    <w:rsid w:val="006027BA"/>
    <w:rsid w:val="006029D8"/>
    <w:rsid w:val="00602C86"/>
    <w:rsid w:val="0060333C"/>
    <w:rsid w:val="0060335D"/>
    <w:rsid w:val="00603387"/>
    <w:rsid w:val="00603716"/>
    <w:rsid w:val="00603861"/>
    <w:rsid w:val="006041CD"/>
    <w:rsid w:val="0060430E"/>
    <w:rsid w:val="0060456D"/>
    <w:rsid w:val="00604AF7"/>
    <w:rsid w:val="00604EB3"/>
    <w:rsid w:val="006051CC"/>
    <w:rsid w:val="00605307"/>
    <w:rsid w:val="0060575F"/>
    <w:rsid w:val="00605A0B"/>
    <w:rsid w:val="00605E37"/>
    <w:rsid w:val="006061DE"/>
    <w:rsid w:val="00606459"/>
    <w:rsid w:val="00606A36"/>
    <w:rsid w:val="00606A92"/>
    <w:rsid w:val="00607006"/>
    <w:rsid w:val="006075BD"/>
    <w:rsid w:val="0060788B"/>
    <w:rsid w:val="00607B90"/>
    <w:rsid w:val="00607E45"/>
    <w:rsid w:val="00610774"/>
    <w:rsid w:val="00611059"/>
    <w:rsid w:val="0061120F"/>
    <w:rsid w:val="0061126F"/>
    <w:rsid w:val="00611473"/>
    <w:rsid w:val="0061148B"/>
    <w:rsid w:val="00611778"/>
    <w:rsid w:val="006118C7"/>
    <w:rsid w:val="0061204D"/>
    <w:rsid w:val="0061223D"/>
    <w:rsid w:val="00612287"/>
    <w:rsid w:val="00612753"/>
    <w:rsid w:val="006129CD"/>
    <w:rsid w:val="00612CC4"/>
    <w:rsid w:val="00612DDC"/>
    <w:rsid w:val="00613067"/>
    <w:rsid w:val="006132E4"/>
    <w:rsid w:val="006138F9"/>
    <w:rsid w:val="00613B46"/>
    <w:rsid w:val="006147DD"/>
    <w:rsid w:val="006149B8"/>
    <w:rsid w:val="00615D8B"/>
    <w:rsid w:val="00616BE4"/>
    <w:rsid w:val="00616F42"/>
    <w:rsid w:val="00616F68"/>
    <w:rsid w:val="00616FC5"/>
    <w:rsid w:val="006172F3"/>
    <w:rsid w:val="0061756E"/>
    <w:rsid w:val="00617D99"/>
    <w:rsid w:val="00617DC2"/>
    <w:rsid w:val="006205B6"/>
    <w:rsid w:val="00620770"/>
    <w:rsid w:val="0062090F"/>
    <w:rsid w:val="0062139B"/>
    <w:rsid w:val="006218A6"/>
    <w:rsid w:val="006219CA"/>
    <w:rsid w:val="00622147"/>
    <w:rsid w:val="0062281F"/>
    <w:rsid w:val="00623BBE"/>
    <w:rsid w:val="00623D41"/>
    <w:rsid w:val="00623F1B"/>
    <w:rsid w:val="00623FE4"/>
    <w:rsid w:val="00624151"/>
    <w:rsid w:val="006244C5"/>
    <w:rsid w:val="0062461D"/>
    <w:rsid w:val="0062491F"/>
    <w:rsid w:val="00625241"/>
    <w:rsid w:val="006255B1"/>
    <w:rsid w:val="0062575E"/>
    <w:rsid w:val="00625C5F"/>
    <w:rsid w:val="00625EDC"/>
    <w:rsid w:val="00625F7A"/>
    <w:rsid w:val="00626C6D"/>
    <w:rsid w:val="006270BF"/>
    <w:rsid w:val="006270D5"/>
    <w:rsid w:val="006276FF"/>
    <w:rsid w:val="006279E1"/>
    <w:rsid w:val="00627A7C"/>
    <w:rsid w:val="00630489"/>
    <w:rsid w:val="0063052E"/>
    <w:rsid w:val="00630D3D"/>
    <w:rsid w:val="00630E22"/>
    <w:rsid w:val="00630F6A"/>
    <w:rsid w:val="00631362"/>
    <w:rsid w:val="00631834"/>
    <w:rsid w:val="00631C69"/>
    <w:rsid w:val="0063237A"/>
    <w:rsid w:val="00632490"/>
    <w:rsid w:val="00632691"/>
    <w:rsid w:val="00632DBE"/>
    <w:rsid w:val="006332A3"/>
    <w:rsid w:val="00634321"/>
    <w:rsid w:val="00634340"/>
    <w:rsid w:val="0063457A"/>
    <w:rsid w:val="006346B1"/>
    <w:rsid w:val="006350C0"/>
    <w:rsid w:val="006357FD"/>
    <w:rsid w:val="00635937"/>
    <w:rsid w:val="00635950"/>
    <w:rsid w:val="0063673E"/>
    <w:rsid w:val="00636FC1"/>
    <w:rsid w:val="00637099"/>
    <w:rsid w:val="006372BF"/>
    <w:rsid w:val="00637981"/>
    <w:rsid w:val="00637D91"/>
    <w:rsid w:val="00637FB7"/>
    <w:rsid w:val="00640218"/>
    <w:rsid w:val="0064046E"/>
    <w:rsid w:val="00640620"/>
    <w:rsid w:val="006407A3"/>
    <w:rsid w:val="0064086A"/>
    <w:rsid w:val="006408C9"/>
    <w:rsid w:val="00640BFF"/>
    <w:rsid w:val="00640C2A"/>
    <w:rsid w:val="0064105B"/>
    <w:rsid w:val="006417E1"/>
    <w:rsid w:val="00641FB5"/>
    <w:rsid w:val="006420E5"/>
    <w:rsid w:val="00642609"/>
    <w:rsid w:val="00642B6B"/>
    <w:rsid w:val="00642E70"/>
    <w:rsid w:val="00643022"/>
    <w:rsid w:val="00643111"/>
    <w:rsid w:val="006442B0"/>
    <w:rsid w:val="0064465E"/>
    <w:rsid w:val="00644779"/>
    <w:rsid w:val="00644895"/>
    <w:rsid w:val="00644B83"/>
    <w:rsid w:val="00644C7E"/>
    <w:rsid w:val="00644FA3"/>
    <w:rsid w:val="00645043"/>
    <w:rsid w:val="006453BC"/>
    <w:rsid w:val="00645C1C"/>
    <w:rsid w:val="00645D56"/>
    <w:rsid w:val="00645EC7"/>
    <w:rsid w:val="0064656C"/>
    <w:rsid w:val="00647B06"/>
    <w:rsid w:val="00647CF1"/>
    <w:rsid w:val="0065053D"/>
    <w:rsid w:val="00650CA9"/>
    <w:rsid w:val="00650F14"/>
    <w:rsid w:val="00651291"/>
    <w:rsid w:val="00651AD7"/>
    <w:rsid w:val="00651B61"/>
    <w:rsid w:val="006524BA"/>
    <w:rsid w:val="006524C5"/>
    <w:rsid w:val="0065277D"/>
    <w:rsid w:val="00652BCA"/>
    <w:rsid w:val="006530B9"/>
    <w:rsid w:val="00653301"/>
    <w:rsid w:val="006535B5"/>
    <w:rsid w:val="006539F5"/>
    <w:rsid w:val="00653B16"/>
    <w:rsid w:val="00653E1B"/>
    <w:rsid w:val="00653F52"/>
    <w:rsid w:val="00654628"/>
    <w:rsid w:val="00654651"/>
    <w:rsid w:val="00654A61"/>
    <w:rsid w:val="00654F18"/>
    <w:rsid w:val="00655174"/>
    <w:rsid w:val="006566DC"/>
    <w:rsid w:val="006566DE"/>
    <w:rsid w:val="006567F4"/>
    <w:rsid w:val="00656A7F"/>
    <w:rsid w:val="00656E82"/>
    <w:rsid w:val="00656EC2"/>
    <w:rsid w:val="00656EFE"/>
    <w:rsid w:val="00656FAC"/>
    <w:rsid w:val="00657F99"/>
    <w:rsid w:val="00660A0B"/>
    <w:rsid w:val="006617B9"/>
    <w:rsid w:val="006619C8"/>
    <w:rsid w:val="00661A1E"/>
    <w:rsid w:val="00662012"/>
    <w:rsid w:val="0066216C"/>
    <w:rsid w:val="006625A1"/>
    <w:rsid w:val="00662666"/>
    <w:rsid w:val="00662AEA"/>
    <w:rsid w:val="00662FBD"/>
    <w:rsid w:val="006636EA"/>
    <w:rsid w:val="00664318"/>
    <w:rsid w:val="00664683"/>
    <w:rsid w:val="0066490E"/>
    <w:rsid w:val="00664C32"/>
    <w:rsid w:val="00664C5D"/>
    <w:rsid w:val="00665073"/>
    <w:rsid w:val="0066511C"/>
    <w:rsid w:val="006665DA"/>
    <w:rsid w:val="00666617"/>
    <w:rsid w:val="0066665A"/>
    <w:rsid w:val="00666876"/>
    <w:rsid w:val="006668BF"/>
    <w:rsid w:val="00666DE6"/>
    <w:rsid w:val="00667302"/>
    <w:rsid w:val="0066739C"/>
    <w:rsid w:val="00667AC6"/>
    <w:rsid w:val="00667F05"/>
    <w:rsid w:val="006704F9"/>
    <w:rsid w:val="006705B5"/>
    <w:rsid w:val="006709CD"/>
    <w:rsid w:val="00670C38"/>
    <w:rsid w:val="00670EA3"/>
    <w:rsid w:val="00670F36"/>
    <w:rsid w:val="006710B3"/>
    <w:rsid w:val="0067119D"/>
    <w:rsid w:val="006718B2"/>
    <w:rsid w:val="00671B88"/>
    <w:rsid w:val="00671D6E"/>
    <w:rsid w:val="00671FCB"/>
    <w:rsid w:val="006723D8"/>
    <w:rsid w:val="00672F9C"/>
    <w:rsid w:val="00673631"/>
    <w:rsid w:val="00673951"/>
    <w:rsid w:val="00673E47"/>
    <w:rsid w:val="00673EBE"/>
    <w:rsid w:val="006743E5"/>
    <w:rsid w:val="006746A1"/>
    <w:rsid w:val="00674916"/>
    <w:rsid w:val="0067564B"/>
    <w:rsid w:val="0067585E"/>
    <w:rsid w:val="00675DAF"/>
    <w:rsid w:val="00676E02"/>
    <w:rsid w:val="00676F25"/>
    <w:rsid w:val="006776CB"/>
    <w:rsid w:val="006778A4"/>
    <w:rsid w:val="00677A83"/>
    <w:rsid w:val="00680022"/>
    <w:rsid w:val="00680078"/>
    <w:rsid w:val="006802EF"/>
    <w:rsid w:val="0068053F"/>
    <w:rsid w:val="00681A78"/>
    <w:rsid w:val="00681AA0"/>
    <w:rsid w:val="00681CAC"/>
    <w:rsid w:val="00681FC0"/>
    <w:rsid w:val="00682596"/>
    <w:rsid w:val="00682718"/>
    <w:rsid w:val="00682BA2"/>
    <w:rsid w:val="006830D4"/>
    <w:rsid w:val="00683138"/>
    <w:rsid w:val="00683231"/>
    <w:rsid w:val="0068333F"/>
    <w:rsid w:val="0068357C"/>
    <w:rsid w:val="00683981"/>
    <w:rsid w:val="00683B73"/>
    <w:rsid w:val="00684167"/>
    <w:rsid w:val="0068461F"/>
    <w:rsid w:val="006849CD"/>
    <w:rsid w:val="00685559"/>
    <w:rsid w:val="00685C9E"/>
    <w:rsid w:val="006862A6"/>
    <w:rsid w:val="00686376"/>
    <w:rsid w:val="0068648D"/>
    <w:rsid w:val="0068740F"/>
    <w:rsid w:val="0068759B"/>
    <w:rsid w:val="006875F6"/>
    <w:rsid w:val="00687866"/>
    <w:rsid w:val="00687AF7"/>
    <w:rsid w:val="00690574"/>
    <w:rsid w:val="00690AFB"/>
    <w:rsid w:val="0069139A"/>
    <w:rsid w:val="0069169E"/>
    <w:rsid w:val="00691B3D"/>
    <w:rsid w:val="00691DFD"/>
    <w:rsid w:val="006923B5"/>
    <w:rsid w:val="006926DB"/>
    <w:rsid w:val="00692990"/>
    <w:rsid w:val="00692DED"/>
    <w:rsid w:val="00692ED2"/>
    <w:rsid w:val="006933FC"/>
    <w:rsid w:val="0069343B"/>
    <w:rsid w:val="00693682"/>
    <w:rsid w:val="00693E0E"/>
    <w:rsid w:val="00693FCC"/>
    <w:rsid w:val="00694C74"/>
    <w:rsid w:val="00695A32"/>
    <w:rsid w:val="00696177"/>
    <w:rsid w:val="00696512"/>
    <w:rsid w:val="0069666C"/>
    <w:rsid w:val="006967B6"/>
    <w:rsid w:val="00696823"/>
    <w:rsid w:val="00696A9D"/>
    <w:rsid w:val="00696C4E"/>
    <w:rsid w:val="00696FE4"/>
    <w:rsid w:val="006979F6"/>
    <w:rsid w:val="006A0290"/>
    <w:rsid w:val="006A0623"/>
    <w:rsid w:val="006A072A"/>
    <w:rsid w:val="006A0788"/>
    <w:rsid w:val="006A0840"/>
    <w:rsid w:val="006A0BDB"/>
    <w:rsid w:val="006A0F0F"/>
    <w:rsid w:val="006A179A"/>
    <w:rsid w:val="006A2037"/>
    <w:rsid w:val="006A222B"/>
    <w:rsid w:val="006A234E"/>
    <w:rsid w:val="006A24BA"/>
    <w:rsid w:val="006A25AF"/>
    <w:rsid w:val="006A2D63"/>
    <w:rsid w:val="006A3049"/>
    <w:rsid w:val="006A30A8"/>
    <w:rsid w:val="006A31D4"/>
    <w:rsid w:val="006A3D9B"/>
    <w:rsid w:val="006A4678"/>
    <w:rsid w:val="006A4857"/>
    <w:rsid w:val="006A4A01"/>
    <w:rsid w:val="006A4C6C"/>
    <w:rsid w:val="006A4C7B"/>
    <w:rsid w:val="006A5A4E"/>
    <w:rsid w:val="006A5E84"/>
    <w:rsid w:val="006A5F28"/>
    <w:rsid w:val="006A60E4"/>
    <w:rsid w:val="006A681C"/>
    <w:rsid w:val="006A68D8"/>
    <w:rsid w:val="006A6A49"/>
    <w:rsid w:val="006A6D1A"/>
    <w:rsid w:val="006A7019"/>
    <w:rsid w:val="006A711E"/>
    <w:rsid w:val="006A7A07"/>
    <w:rsid w:val="006B002E"/>
    <w:rsid w:val="006B04DB"/>
    <w:rsid w:val="006B10BE"/>
    <w:rsid w:val="006B15B1"/>
    <w:rsid w:val="006B17F1"/>
    <w:rsid w:val="006B2305"/>
    <w:rsid w:val="006B23F2"/>
    <w:rsid w:val="006B2431"/>
    <w:rsid w:val="006B2734"/>
    <w:rsid w:val="006B287E"/>
    <w:rsid w:val="006B28C0"/>
    <w:rsid w:val="006B3009"/>
    <w:rsid w:val="006B356D"/>
    <w:rsid w:val="006B3BE0"/>
    <w:rsid w:val="006B3F6F"/>
    <w:rsid w:val="006B423A"/>
    <w:rsid w:val="006B5789"/>
    <w:rsid w:val="006B5CB6"/>
    <w:rsid w:val="006B610E"/>
    <w:rsid w:val="006B6AE8"/>
    <w:rsid w:val="006B758A"/>
    <w:rsid w:val="006B7739"/>
    <w:rsid w:val="006C012C"/>
    <w:rsid w:val="006C0224"/>
    <w:rsid w:val="006C08E6"/>
    <w:rsid w:val="006C0AC1"/>
    <w:rsid w:val="006C0B66"/>
    <w:rsid w:val="006C0CC9"/>
    <w:rsid w:val="006C0E58"/>
    <w:rsid w:val="006C2426"/>
    <w:rsid w:val="006C25C3"/>
    <w:rsid w:val="006C2CBD"/>
    <w:rsid w:val="006C2DB9"/>
    <w:rsid w:val="006C3316"/>
    <w:rsid w:val="006C397F"/>
    <w:rsid w:val="006C3AC4"/>
    <w:rsid w:val="006C41C2"/>
    <w:rsid w:val="006C499F"/>
    <w:rsid w:val="006C4D8D"/>
    <w:rsid w:val="006C523E"/>
    <w:rsid w:val="006C57D4"/>
    <w:rsid w:val="006C58C0"/>
    <w:rsid w:val="006C5A38"/>
    <w:rsid w:val="006C5B6D"/>
    <w:rsid w:val="006C615B"/>
    <w:rsid w:val="006C677D"/>
    <w:rsid w:val="006C6853"/>
    <w:rsid w:val="006C693B"/>
    <w:rsid w:val="006C6C59"/>
    <w:rsid w:val="006C6DF7"/>
    <w:rsid w:val="006C6E01"/>
    <w:rsid w:val="006C71B7"/>
    <w:rsid w:val="006C74D1"/>
    <w:rsid w:val="006C77D3"/>
    <w:rsid w:val="006C7852"/>
    <w:rsid w:val="006D08D0"/>
    <w:rsid w:val="006D092B"/>
    <w:rsid w:val="006D0C83"/>
    <w:rsid w:val="006D118A"/>
    <w:rsid w:val="006D221C"/>
    <w:rsid w:val="006D22F0"/>
    <w:rsid w:val="006D2537"/>
    <w:rsid w:val="006D2595"/>
    <w:rsid w:val="006D2E6A"/>
    <w:rsid w:val="006D304E"/>
    <w:rsid w:val="006D33D3"/>
    <w:rsid w:val="006D3570"/>
    <w:rsid w:val="006D3A49"/>
    <w:rsid w:val="006D3C02"/>
    <w:rsid w:val="006D3CA4"/>
    <w:rsid w:val="006D403A"/>
    <w:rsid w:val="006D40F9"/>
    <w:rsid w:val="006D4E44"/>
    <w:rsid w:val="006D516C"/>
    <w:rsid w:val="006D5609"/>
    <w:rsid w:val="006D5753"/>
    <w:rsid w:val="006D5882"/>
    <w:rsid w:val="006D654F"/>
    <w:rsid w:val="006D69D0"/>
    <w:rsid w:val="006D6B76"/>
    <w:rsid w:val="006D6E0A"/>
    <w:rsid w:val="006D6E7E"/>
    <w:rsid w:val="006D73C0"/>
    <w:rsid w:val="006D7C7A"/>
    <w:rsid w:val="006D7EB1"/>
    <w:rsid w:val="006E04E5"/>
    <w:rsid w:val="006E09C2"/>
    <w:rsid w:val="006E0B7C"/>
    <w:rsid w:val="006E1545"/>
    <w:rsid w:val="006E157F"/>
    <w:rsid w:val="006E1BCA"/>
    <w:rsid w:val="006E1D38"/>
    <w:rsid w:val="006E3302"/>
    <w:rsid w:val="006E33B1"/>
    <w:rsid w:val="006E3494"/>
    <w:rsid w:val="006E351F"/>
    <w:rsid w:val="006E386E"/>
    <w:rsid w:val="006E3AD2"/>
    <w:rsid w:val="006E3C45"/>
    <w:rsid w:val="006E45FB"/>
    <w:rsid w:val="006E4C2F"/>
    <w:rsid w:val="006E4D99"/>
    <w:rsid w:val="006E51F1"/>
    <w:rsid w:val="006E5326"/>
    <w:rsid w:val="006E5655"/>
    <w:rsid w:val="006E574D"/>
    <w:rsid w:val="006E584E"/>
    <w:rsid w:val="006E5C38"/>
    <w:rsid w:val="006E6464"/>
    <w:rsid w:val="006E696A"/>
    <w:rsid w:val="006E6FA3"/>
    <w:rsid w:val="006E7148"/>
    <w:rsid w:val="006E7211"/>
    <w:rsid w:val="006E72D7"/>
    <w:rsid w:val="006E7617"/>
    <w:rsid w:val="006E78A7"/>
    <w:rsid w:val="006E7AD2"/>
    <w:rsid w:val="006E7D27"/>
    <w:rsid w:val="006F010E"/>
    <w:rsid w:val="006F050B"/>
    <w:rsid w:val="006F05E2"/>
    <w:rsid w:val="006F0BBF"/>
    <w:rsid w:val="006F1528"/>
    <w:rsid w:val="006F23E8"/>
    <w:rsid w:val="006F260C"/>
    <w:rsid w:val="006F27FF"/>
    <w:rsid w:val="006F3296"/>
    <w:rsid w:val="006F3690"/>
    <w:rsid w:val="006F36B3"/>
    <w:rsid w:val="006F3988"/>
    <w:rsid w:val="006F3C79"/>
    <w:rsid w:val="006F4EAC"/>
    <w:rsid w:val="006F52AB"/>
    <w:rsid w:val="006F53E5"/>
    <w:rsid w:val="006F55CE"/>
    <w:rsid w:val="006F60A0"/>
    <w:rsid w:val="006F689D"/>
    <w:rsid w:val="006F756E"/>
    <w:rsid w:val="006F7AAA"/>
    <w:rsid w:val="006F7CF9"/>
    <w:rsid w:val="006F7E99"/>
    <w:rsid w:val="007000E1"/>
    <w:rsid w:val="007002A9"/>
    <w:rsid w:val="00700649"/>
    <w:rsid w:val="0070075E"/>
    <w:rsid w:val="00700A6E"/>
    <w:rsid w:val="007012F7"/>
    <w:rsid w:val="007018E0"/>
    <w:rsid w:val="00701E0E"/>
    <w:rsid w:val="00702372"/>
    <w:rsid w:val="007024AE"/>
    <w:rsid w:val="0070285A"/>
    <w:rsid w:val="007028B3"/>
    <w:rsid w:val="00702B17"/>
    <w:rsid w:val="00702EBB"/>
    <w:rsid w:val="00702F2E"/>
    <w:rsid w:val="007035F3"/>
    <w:rsid w:val="00703A17"/>
    <w:rsid w:val="00703D47"/>
    <w:rsid w:val="00703E62"/>
    <w:rsid w:val="007046B7"/>
    <w:rsid w:val="00704B9D"/>
    <w:rsid w:val="00704C22"/>
    <w:rsid w:val="00704DF8"/>
    <w:rsid w:val="00705291"/>
    <w:rsid w:val="0070543E"/>
    <w:rsid w:val="007055B8"/>
    <w:rsid w:val="00705919"/>
    <w:rsid w:val="00705BE7"/>
    <w:rsid w:val="00705C6B"/>
    <w:rsid w:val="00705E0B"/>
    <w:rsid w:val="00705EE7"/>
    <w:rsid w:val="007060F6"/>
    <w:rsid w:val="007065C1"/>
    <w:rsid w:val="007068E6"/>
    <w:rsid w:val="00706B2B"/>
    <w:rsid w:val="00706DDF"/>
    <w:rsid w:val="00707846"/>
    <w:rsid w:val="007078E8"/>
    <w:rsid w:val="00707BB2"/>
    <w:rsid w:val="00707CFF"/>
    <w:rsid w:val="00707E84"/>
    <w:rsid w:val="00707EF6"/>
    <w:rsid w:val="007103A4"/>
    <w:rsid w:val="007106A3"/>
    <w:rsid w:val="0071077D"/>
    <w:rsid w:val="00710D71"/>
    <w:rsid w:val="00710F45"/>
    <w:rsid w:val="00710FD2"/>
    <w:rsid w:val="0071150E"/>
    <w:rsid w:val="0071224C"/>
    <w:rsid w:val="00712282"/>
    <w:rsid w:val="0071323D"/>
    <w:rsid w:val="007136A0"/>
    <w:rsid w:val="00713C65"/>
    <w:rsid w:val="00714207"/>
    <w:rsid w:val="00714A4E"/>
    <w:rsid w:val="00714A61"/>
    <w:rsid w:val="007151CA"/>
    <w:rsid w:val="00715786"/>
    <w:rsid w:val="007169A0"/>
    <w:rsid w:val="00716A04"/>
    <w:rsid w:val="0071742A"/>
    <w:rsid w:val="00717651"/>
    <w:rsid w:val="00717B57"/>
    <w:rsid w:val="00717B95"/>
    <w:rsid w:val="00717D7D"/>
    <w:rsid w:val="007206ED"/>
    <w:rsid w:val="0072113D"/>
    <w:rsid w:val="00721794"/>
    <w:rsid w:val="00721BBC"/>
    <w:rsid w:val="00721D67"/>
    <w:rsid w:val="00722C8C"/>
    <w:rsid w:val="00722D8A"/>
    <w:rsid w:val="00723174"/>
    <w:rsid w:val="007235EE"/>
    <w:rsid w:val="00723AC3"/>
    <w:rsid w:val="00723C3D"/>
    <w:rsid w:val="00723D6B"/>
    <w:rsid w:val="00724186"/>
    <w:rsid w:val="00724589"/>
    <w:rsid w:val="00724955"/>
    <w:rsid w:val="00724AF2"/>
    <w:rsid w:val="00724D1C"/>
    <w:rsid w:val="00724DBC"/>
    <w:rsid w:val="00724ECD"/>
    <w:rsid w:val="00725122"/>
    <w:rsid w:val="0072533B"/>
    <w:rsid w:val="00725889"/>
    <w:rsid w:val="0072599C"/>
    <w:rsid w:val="007259F7"/>
    <w:rsid w:val="00725A65"/>
    <w:rsid w:val="007261F2"/>
    <w:rsid w:val="00726509"/>
    <w:rsid w:val="007266E9"/>
    <w:rsid w:val="00726926"/>
    <w:rsid w:val="00727527"/>
    <w:rsid w:val="00727572"/>
    <w:rsid w:val="007275B4"/>
    <w:rsid w:val="00727A3E"/>
    <w:rsid w:val="00727BD9"/>
    <w:rsid w:val="00727D30"/>
    <w:rsid w:val="00727EF5"/>
    <w:rsid w:val="00727F5C"/>
    <w:rsid w:val="007303CF"/>
    <w:rsid w:val="007305F6"/>
    <w:rsid w:val="00730C3C"/>
    <w:rsid w:val="00730D48"/>
    <w:rsid w:val="00730DD4"/>
    <w:rsid w:val="00730E9C"/>
    <w:rsid w:val="00731548"/>
    <w:rsid w:val="00731BA2"/>
    <w:rsid w:val="00731EA0"/>
    <w:rsid w:val="00732355"/>
    <w:rsid w:val="00732B27"/>
    <w:rsid w:val="00732DF8"/>
    <w:rsid w:val="0073322F"/>
    <w:rsid w:val="00733307"/>
    <w:rsid w:val="00733342"/>
    <w:rsid w:val="007336A2"/>
    <w:rsid w:val="0073396F"/>
    <w:rsid w:val="00733A21"/>
    <w:rsid w:val="00734B55"/>
    <w:rsid w:val="00734C4B"/>
    <w:rsid w:val="00734E63"/>
    <w:rsid w:val="00735058"/>
    <w:rsid w:val="00735BF9"/>
    <w:rsid w:val="00735CFB"/>
    <w:rsid w:val="00735EDA"/>
    <w:rsid w:val="0073653E"/>
    <w:rsid w:val="00736690"/>
    <w:rsid w:val="0073731D"/>
    <w:rsid w:val="00737700"/>
    <w:rsid w:val="00737B60"/>
    <w:rsid w:val="00737FD3"/>
    <w:rsid w:val="007401E1"/>
    <w:rsid w:val="00740365"/>
    <w:rsid w:val="00740AB6"/>
    <w:rsid w:val="0074108B"/>
    <w:rsid w:val="007411EF"/>
    <w:rsid w:val="00741363"/>
    <w:rsid w:val="00741406"/>
    <w:rsid w:val="007414BF"/>
    <w:rsid w:val="00741686"/>
    <w:rsid w:val="0074203E"/>
    <w:rsid w:val="0074203F"/>
    <w:rsid w:val="0074211C"/>
    <w:rsid w:val="0074229E"/>
    <w:rsid w:val="00742520"/>
    <w:rsid w:val="007429AC"/>
    <w:rsid w:val="00742B06"/>
    <w:rsid w:val="00742D93"/>
    <w:rsid w:val="00743254"/>
    <w:rsid w:val="00743300"/>
    <w:rsid w:val="0074337A"/>
    <w:rsid w:val="00743F16"/>
    <w:rsid w:val="00743F56"/>
    <w:rsid w:val="00744393"/>
    <w:rsid w:val="00744913"/>
    <w:rsid w:val="00745303"/>
    <w:rsid w:val="00745965"/>
    <w:rsid w:val="00745A68"/>
    <w:rsid w:val="00745C32"/>
    <w:rsid w:val="00746093"/>
    <w:rsid w:val="00746219"/>
    <w:rsid w:val="0074638B"/>
    <w:rsid w:val="007463A2"/>
    <w:rsid w:val="0074772B"/>
    <w:rsid w:val="007479E5"/>
    <w:rsid w:val="007500A3"/>
    <w:rsid w:val="007503D9"/>
    <w:rsid w:val="007506E0"/>
    <w:rsid w:val="00750816"/>
    <w:rsid w:val="00750EB3"/>
    <w:rsid w:val="007517F3"/>
    <w:rsid w:val="0075190F"/>
    <w:rsid w:val="0075215C"/>
    <w:rsid w:val="007529F4"/>
    <w:rsid w:val="00752CDD"/>
    <w:rsid w:val="00753132"/>
    <w:rsid w:val="007532E7"/>
    <w:rsid w:val="00753EB6"/>
    <w:rsid w:val="00753EB9"/>
    <w:rsid w:val="00753ECA"/>
    <w:rsid w:val="007546FB"/>
    <w:rsid w:val="007553AC"/>
    <w:rsid w:val="007557B2"/>
    <w:rsid w:val="0075637E"/>
    <w:rsid w:val="007565DF"/>
    <w:rsid w:val="00756702"/>
    <w:rsid w:val="00756801"/>
    <w:rsid w:val="00756AC2"/>
    <w:rsid w:val="00757314"/>
    <w:rsid w:val="00757349"/>
    <w:rsid w:val="007575DD"/>
    <w:rsid w:val="0075798A"/>
    <w:rsid w:val="00757D4C"/>
    <w:rsid w:val="007601A1"/>
    <w:rsid w:val="00760421"/>
    <w:rsid w:val="0076096A"/>
    <w:rsid w:val="00761161"/>
    <w:rsid w:val="007612AC"/>
    <w:rsid w:val="007614D1"/>
    <w:rsid w:val="0076165F"/>
    <w:rsid w:val="007616FE"/>
    <w:rsid w:val="00761B15"/>
    <w:rsid w:val="00761BE2"/>
    <w:rsid w:val="00761EBF"/>
    <w:rsid w:val="0076219E"/>
    <w:rsid w:val="00762B24"/>
    <w:rsid w:val="00762C64"/>
    <w:rsid w:val="00763019"/>
    <w:rsid w:val="00763B36"/>
    <w:rsid w:val="00763DD4"/>
    <w:rsid w:val="0076469B"/>
    <w:rsid w:val="0076489F"/>
    <w:rsid w:val="0076498C"/>
    <w:rsid w:val="0076523B"/>
    <w:rsid w:val="00765962"/>
    <w:rsid w:val="0076598D"/>
    <w:rsid w:val="0076650E"/>
    <w:rsid w:val="00766C09"/>
    <w:rsid w:val="007676BB"/>
    <w:rsid w:val="0076793B"/>
    <w:rsid w:val="00767B2F"/>
    <w:rsid w:val="0076B155"/>
    <w:rsid w:val="0077057A"/>
    <w:rsid w:val="00770670"/>
    <w:rsid w:val="0077096A"/>
    <w:rsid w:val="00770C1D"/>
    <w:rsid w:val="00771F64"/>
    <w:rsid w:val="00771FAD"/>
    <w:rsid w:val="00771FF4"/>
    <w:rsid w:val="00772274"/>
    <w:rsid w:val="007724E2"/>
    <w:rsid w:val="007726E7"/>
    <w:rsid w:val="007727BE"/>
    <w:rsid w:val="00772913"/>
    <w:rsid w:val="00772C96"/>
    <w:rsid w:val="00772E9D"/>
    <w:rsid w:val="00772EC0"/>
    <w:rsid w:val="007731F0"/>
    <w:rsid w:val="0077348E"/>
    <w:rsid w:val="00773AB3"/>
    <w:rsid w:val="00773B24"/>
    <w:rsid w:val="00773EA5"/>
    <w:rsid w:val="00773F55"/>
    <w:rsid w:val="0077438C"/>
    <w:rsid w:val="007747E1"/>
    <w:rsid w:val="00774C79"/>
    <w:rsid w:val="007756AF"/>
    <w:rsid w:val="00775A11"/>
    <w:rsid w:val="00775A79"/>
    <w:rsid w:val="00775AF3"/>
    <w:rsid w:val="00776221"/>
    <w:rsid w:val="00776497"/>
    <w:rsid w:val="007764D5"/>
    <w:rsid w:val="00776DEF"/>
    <w:rsid w:val="00776EB8"/>
    <w:rsid w:val="0077740F"/>
    <w:rsid w:val="0077795D"/>
    <w:rsid w:val="007800D9"/>
    <w:rsid w:val="00780585"/>
    <w:rsid w:val="00780B33"/>
    <w:rsid w:val="00780E03"/>
    <w:rsid w:val="00780EC4"/>
    <w:rsid w:val="00781E6F"/>
    <w:rsid w:val="0078218F"/>
    <w:rsid w:val="00782223"/>
    <w:rsid w:val="00782347"/>
    <w:rsid w:val="00782948"/>
    <w:rsid w:val="00783192"/>
    <w:rsid w:val="00783319"/>
    <w:rsid w:val="00783649"/>
    <w:rsid w:val="0078386F"/>
    <w:rsid w:val="007839EA"/>
    <w:rsid w:val="00783BBB"/>
    <w:rsid w:val="00784200"/>
    <w:rsid w:val="00784AE5"/>
    <w:rsid w:val="00785460"/>
    <w:rsid w:val="00785488"/>
    <w:rsid w:val="00785622"/>
    <w:rsid w:val="0078563F"/>
    <w:rsid w:val="00785711"/>
    <w:rsid w:val="00785907"/>
    <w:rsid w:val="00785DE9"/>
    <w:rsid w:val="00786481"/>
    <w:rsid w:val="0078671A"/>
    <w:rsid w:val="00786FA3"/>
    <w:rsid w:val="007870B8"/>
    <w:rsid w:val="00787361"/>
    <w:rsid w:val="007873D3"/>
    <w:rsid w:val="0078787B"/>
    <w:rsid w:val="0078787E"/>
    <w:rsid w:val="007905BE"/>
    <w:rsid w:val="00791546"/>
    <w:rsid w:val="007917F0"/>
    <w:rsid w:val="00792440"/>
    <w:rsid w:val="007926CC"/>
    <w:rsid w:val="007926CF"/>
    <w:rsid w:val="007927B1"/>
    <w:rsid w:val="007929CF"/>
    <w:rsid w:val="00792D18"/>
    <w:rsid w:val="007930AD"/>
    <w:rsid w:val="00793194"/>
    <w:rsid w:val="00793417"/>
    <w:rsid w:val="00793A4F"/>
    <w:rsid w:val="00793ED1"/>
    <w:rsid w:val="00793F37"/>
    <w:rsid w:val="007941DF"/>
    <w:rsid w:val="0079511E"/>
    <w:rsid w:val="0079512C"/>
    <w:rsid w:val="0079518E"/>
    <w:rsid w:val="00795367"/>
    <w:rsid w:val="00796966"/>
    <w:rsid w:val="007976F7"/>
    <w:rsid w:val="00797F93"/>
    <w:rsid w:val="007A15C2"/>
    <w:rsid w:val="007A17A7"/>
    <w:rsid w:val="007A1820"/>
    <w:rsid w:val="007A1851"/>
    <w:rsid w:val="007A196F"/>
    <w:rsid w:val="007A1E67"/>
    <w:rsid w:val="007A2308"/>
    <w:rsid w:val="007A234A"/>
    <w:rsid w:val="007A2512"/>
    <w:rsid w:val="007A3560"/>
    <w:rsid w:val="007A3ACE"/>
    <w:rsid w:val="007A3F2A"/>
    <w:rsid w:val="007A3FD5"/>
    <w:rsid w:val="007A4021"/>
    <w:rsid w:val="007A40FD"/>
    <w:rsid w:val="007A41AA"/>
    <w:rsid w:val="007A442D"/>
    <w:rsid w:val="007A48CF"/>
    <w:rsid w:val="007A4D0D"/>
    <w:rsid w:val="007A5365"/>
    <w:rsid w:val="007A57E5"/>
    <w:rsid w:val="007A59FB"/>
    <w:rsid w:val="007A5B99"/>
    <w:rsid w:val="007A5E54"/>
    <w:rsid w:val="007A60F1"/>
    <w:rsid w:val="007A61E3"/>
    <w:rsid w:val="007A65F5"/>
    <w:rsid w:val="007A6667"/>
    <w:rsid w:val="007A6B41"/>
    <w:rsid w:val="007A6B91"/>
    <w:rsid w:val="007A7527"/>
    <w:rsid w:val="007A7B26"/>
    <w:rsid w:val="007A7B30"/>
    <w:rsid w:val="007A7BF7"/>
    <w:rsid w:val="007B0128"/>
    <w:rsid w:val="007B02AA"/>
    <w:rsid w:val="007B0D87"/>
    <w:rsid w:val="007B0DDB"/>
    <w:rsid w:val="007B0F25"/>
    <w:rsid w:val="007B0F27"/>
    <w:rsid w:val="007B1012"/>
    <w:rsid w:val="007B1406"/>
    <w:rsid w:val="007B148C"/>
    <w:rsid w:val="007B14F5"/>
    <w:rsid w:val="007B1D98"/>
    <w:rsid w:val="007B23A8"/>
    <w:rsid w:val="007B2536"/>
    <w:rsid w:val="007B3104"/>
    <w:rsid w:val="007B34CB"/>
    <w:rsid w:val="007B388C"/>
    <w:rsid w:val="007B3FCC"/>
    <w:rsid w:val="007B510E"/>
    <w:rsid w:val="007B56F1"/>
    <w:rsid w:val="007B5AB7"/>
    <w:rsid w:val="007B6298"/>
    <w:rsid w:val="007B6352"/>
    <w:rsid w:val="007B65CC"/>
    <w:rsid w:val="007B65F8"/>
    <w:rsid w:val="007B6E32"/>
    <w:rsid w:val="007B707E"/>
    <w:rsid w:val="007B73E1"/>
    <w:rsid w:val="007B7753"/>
    <w:rsid w:val="007B7779"/>
    <w:rsid w:val="007B7C2B"/>
    <w:rsid w:val="007B7D66"/>
    <w:rsid w:val="007B7EA2"/>
    <w:rsid w:val="007C0263"/>
    <w:rsid w:val="007C0AE9"/>
    <w:rsid w:val="007C0B90"/>
    <w:rsid w:val="007C1603"/>
    <w:rsid w:val="007C1825"/>
    <w:rsid w:val="007C1A0A"/>
    <w:rsid w:val="007C1A27"/>
    <w:rsid w:val="007C1C21"/>
    <w:rsid w:val="007C245E"/>
    <w:rsid w:val="007C26F1"/>
    <w:rsid w:val="007C27DD"/>
    <w:rsid w:val="007C2957"/>
    <w:rsid w:val="007C2D41"/>
    <w:rsid w:val="007C34E1"/>
    <w:rsid w:val="007C36CD"/>
    <w:rsid w:val="007C39E9"/>
    <w:rsid w:val="007C3C1C"/>
    <w:rsid w:val="007C436A"/>
    <w:rsid w:val="007C46E8"/>
    <w:rsid w:val="007C4744"/>
    <w:rsid w:val="007C47EC"/>
    <w:rsid w:val="007C4A30"/>
    <w:rsid w:val="007C4FED"/>
    <w:rsid w:val="007C5030"/>
    <w:rsid w:val="007C5036"/>
    <w:rsid w:val="007C505D"/>
    <w:rsid w:val="007C5091"/>
    <w:rsid w:val="007C54F5"/>
    <w:rsid w:val="007C55DD"/>
    <w:rsid w:val="007C563F"/>
    <w:rsid w:val="007C56C8"/>
    <w:rsid w:val="007C5AC3"/>
    <w:rsid w:val="007C5BAA"/>
    <w:rsid w:val="007C619F"/>
    <w:rsid w:val="007C63C4"/>
    <w:rsid w:val="007C6564"/>
    <w:rsid w:val="007C6826"/>
    <w:rsid w:val="007C6883"/>
    <w:rsid w:val="007C694E"/>
    <w:rsid w:val="007C69AE"/>
    <w:rsid w:val="007C6D0A"/>
    <w:rsid w:val="007C7282"/>
    <w:rsid w:val="007C7C12"/>
    <w:rsid w:val="007C7DBB"/>
    <w:rsid w:val="007D02A2"/>
    <w:rsid w:val="007D06AF"/>
    <w:rsid w:val="007D06D6"/>
    <w:rsid w:val="007D07D3"/>
    <w:rsid w:val="007D0E7B"/>
    <w:rsid w:val="007D1414"/>
    <w:rsid w:val="007D1D4E"/>
    <w:rsid w:val="007D20C2"/>
    <w:rsid w:val="007D2192"/>
    <w:rsid w:val="007D2405"/>
    <w:rsid w:val="007D27F0"/>
    <w:rsid w:val="007D2A77"/>
    <w:rsid w:val="007D2C9C"/>
    <w:rsid w:val="007D2CE5"/>
    <w:rsid w:val="007D3188"/>
    <w:rsid w:val="007D319A"/>
    <w:rsid w:val="007D3459"/>
    <w:rsid w:val="007D3544"/>
    <w:rsid w:val="007D3AE0"/>
    <w:rsid w:val="007D3DBA"/>
    <w:rsid w:val="007D3FBF"/>
    <w:rsid w:val="007D4147"/>
    <w:rsid w:val="007D4C90"/>
    <w:rsid w:val="007D5144"/>
    <w:rsid w:val="007D572F"/>
    <w:rsid w:val="007D5C9C"/>
    <w:rsid w:val="007D5CFD"/>
    <w:rsid w:val="007D5DB4"/>
    <w:rsid w:val="007D6090"/>
    <w:rsid w:val="007D61CF"/>
    <w:rsid w:val="007D68C2"/>
    <w:rsid w:val="007D6E33"/>
    <w:rsid w:val="007D7469"/>
    <w:rsid w:val="007D74E3"/>
    <w:rsid w:val="007D7B9B"/>
    <w:rsid w:val="007D7D69"/>
    <w:rsid w:val="007E064E"/>
    <w:rsid w:val="007E07A0"/>
    <w:rsid w:val="007E0C2E"/>
    <w:rsid w:val="007E0DC5"/>
    <w:rsid w:val="007E1145"/>
    <w:rsid w:val="007E1237"/>
    <w:rsid w:val="007E1272"/>
    <w:rsid w:val="007E12C2"/>
    <w:rsid w:val="007E1689"/>
    <w:rsid w:val="007E1C2E"/>
    <w:rsid w:val="007E20BE"/>
    <w:rsid w:val="007E2180"/>
    <w:rsid w:val="007E2212"/>
    <w:rsid w:val="007E29A0"/>
    <w:rsid w:val="007E29D7"/>
    <w:rsid w:val="007E2CE6"/>
    <w:rsid w:val="007E324F"/>
    <w:rsid w:val="007E328B"/>
    <w:rsid w:val="007E332F"/>
    <w:rsid w:val="007E38F6"/>
    <w:rsid w:val="007E3B18"/>
    <w:rsid w:val="007E3C7F"/>
    <w:rsid w:val="007E3F05"/>
    <w:rsid w:val="007E3F83"/>
    <w:rsid w:val="007E40EE"/>
    <w:rsid w:val="007E41B0"/>
    <w:rsid w:val="007E51C4"/>
    <w:rsid w:val="007E5284"/>
    <w:rsid w:val="007E5428"/>
    <w:rsid w:val="007E59C4"/>
    <w:rsid w:val="007E5ED4"/>
    <w:rsid w:val="007E6254"/>
    <w:rsid w:val="007E6278"/>
    <w:rsid w:val="007E63BD"/>
    <w:rsid w:val="007E642F"/>
    <w:rsid w:val="007E6523"/>
    <w:rsid w:val="007E658F"/>
    <w:rsid w:val="007E6B97"/>
    <w:rsid w:val="007E71C1"/>
    <w:rsid w:val="007E7352"/>
    <w:rsid w:val="007E7A5E"/>
    <w:rsid w:val="007E7ADE"/>
    <w:rsid w:val="007E7B5D"/>
    <w:rsid w:val="007E7E02"/>
    <w:rsid w:val="007F1369"/>
    <w:rsid w:val="007F13B3"/>
    <w:rsid w:val="007F165F"/>
    <w:rsid w:val="007F1B4D"/>
    <w:rsid w:val="007F1B70"/>
    <w:rsid w:val="007F1C6F"/>
    <w:rsid w:val="007F28FB"/>
    <w:rsid w:val="007F2A69"/>
    <w:rsid w:val="007F2AF7"/>
    <w:rsid w:val="007F2BC8"/>
    <w:rsid w:val="007F30E4"/>
    <w:rsid w:val="007F3748"/>
    <w:rsid w:val="007F3B37"/>
    <w:rsid w:val="007F3BA3"/>
    <w:rsid w:val="007F3C56"/>
    <w:rsid w:val="007F4151"/>
    <w:rsid w:val="007F4889"/>
    <w:rsid w:val="007F4BC2"/>
    <w:rsid w:val="007F4C75"/>
    <w:rsid w:val="007F4EFA"/>
    <w:rsid w:val="007F5789"/>
    <w:rsid w:val="007F5B97"/>
    <w:rsid w:val="007F5CAC"/>
    <w:rsid w:val="007F5D64"/>
    <w:rsid w:val="007F5ED6"/>
    <w:rsid w:val="007F620E"/>
    <w:rsid w:val="007F6242"/>
    <w:rsid w:val="007F64E1"/>
    <w:rsid w:val="007F6785"/>
    <w:rsid w:val="007F67C5"/>
    <w:rsid w:val="007F73B4"/>
    <w:rsid w:val="007F7697"/>
    <w:rsid w:val="007F7756"/>
    <w:rsid w:val="007F7E2A"/>
    <w:rsid w:val="00800887"/>
    <w:rsid w:val="00800E94"/>
    <w:rsid w:val="00801338"/>
    <w:rsid w:val="0080137A"/>
    <w:rsid w:val="0080194D"/>
    <w:rsid w:val="00802271"/>
    <w:rsid w:val="0080247D"/>
    <w:rsid w:val="0080256D"/>
    <w:rsid w:val="008026B3"/>
    <w:rsid w:val="00802C12"/>
    <w:rsid w:val="00802F06"/>
    <w:rsid w:val="00803365"/>
    <w:rsid w:val="00803792"/>
    <w:rsid w:val="0080417C"/>
    <w:rsid w:val="00804480"/>
    <w:rsid w:val="008051D4"/>
    <w:rsid w:val="0080557D"/>
    <w:rsid w:val="0080626F"/>
    <w:rsid w:val="0080664D"/>
    <w:rsid w:val="0080718E"/>
    <w:rsid w:val="00807709"/>
    <w:rsid w:val="008108FC"/>
    <w:rsid w:val="00810D73"/>
    <w:rsid w:val="00810DF2"/>
    <w:rsid w:val="008112B2"/>
    <w:rsid w:val="0081137A"/>
    <w:rsid w:val="00811662"/>
    <w:rsid w:val="00811865"/>
    <w:rsid w:val="0081193B"/>
    <w:rsid w:val="00811E89"/>
    <w:rsid w:val="00812359"/>
    <w:rsid w:val="00812CC3"/>
    <w:rsid w:val="00812F58"/>
    <w:rsid w:val="00813510"/>
    <w:rsid w:val="00813C66"/>
    <w:rsid w:val="00813E38"/>
    <w:rsid w:val="00813EBD"/>
    <w:rsid w:val="00814037"/>
    <w:rsid w:val="00814C1A"/>
    <w:rsid w:val="00814E0F"/>
    <w:rsid w:val="00814ECB"/>
    <w:rsid w:val="008154D6"/>
    <w:rsid w:val="00815D72"/>
    <w:rsid w:val="00815E4A"/>
    <w:rsid w:val="008163E7"/>
    <w:rsid w:val="0081649E"/>
    <w:rsid w:val="008169A1"/>
    <w:rsid w:val="00816D95"/>
    <w:rsid w:val="00816E46"/>
    <w:rsid w:val="00816F33"/>
    <w:rsid w:val="00817276"/>
    <w:rsid w:val="00817292"/>
    <w:rsid w:val="008172F0"/>
    <w:rsid w:val="00817A81"/>
    <w:rsid w:val="00817BBD"/>
    <w:rsid w:val="00817E78"/>
    <w:rsid w:val="00820360"/>
    <w:rsid w:val="008205AE"/>
    <w:rsid w:val="00820C74"/>
    <w:rsid w:val="00820D9B"/>
    <w:rsid w:val="00820DA2"/>
    <w:rsid w:val="00820E3E"/>
    <w:rsid w:val="008210B9"/>
    <w:rsid w:val="00821815"/>
    <w:rsid w:val="008218D8"/>
    <w:rsid w:val="00821B48"/>
    <w:rsid w:val="00821DA1"/>
    <w:rsid w:val="0082229A"/>
    <w:rsid w:val="00822517"/>
    <w:rsid w:val="00822728"/>
    <w:rsid w:val="00822CA8"/>
    <w:rsid w:val="008241A3"/>
    <w:rsid w:val="0082474F"/>
    <w:rsid w:val="0082477B"/>
    <w:rsid w:val="0082487E"/>
    <w:rsid w:val="00824ACA"/>
    <w:rsid w:val="00824E73"/>
    <w:rsid w:val="0082540D"/>
    <w:rsid w:val="00825458"/>
    <w:rsid w:val="008254D3"/>
    <w:rsid w:val="0082578B"/>
    <w:rsid w:val="008261A1"/>
    <w:rsid w:val="00826D44"/>
    <w:rsid w:val="00826F29"/>
    <w:rsid w:val="00826FC9"/>
    <w:rsid w:val="00826FFB"/>
    <w:rsid w:val="00827002"/>
    <w:rsid w:val="00827135"/>
    <w:rsid w:val="008275AE"/>
    <w:rsid w:val="00827A32"/>
    <w:rsid w:val="00827D9D"/>
    <w:rsid w:val="0082F2C8"/>
    <w:rsid w:val="00830450"/>
    <w:rsid w:val="0083093A"/>
    <w:rsid w:val="00830B68"/>
    <w:rsid w:val="00830D0D"/>
    <w:rsid w:val="00830FA6"/>
    <w:rsid w:val="00831158"/>
    <w:rsid w:val="008311A3"/>
    <w:rsid w:val="00831419"/>
    <w:rsid w:val="00831470"/>
    <w:rsid w:val="00831780"/>
    <w:rsid w:val="00831990"/>
    <w:rsid w:val="00831B42"/>
    <w:rsid w:val="008322F9"/>
    <w:rsid w:val="008327F1"/>
    <w:rsid w:val="00833197"/>
    <w:rsid w:val="00833418"/>
    <w:rsid w:val="0083373D"/>
    <w:rsid w:val="008350D7"/>
    <w:rsid w:val="00835427"/>
    <w:rsid w:val="0083566A"/>
    <w:rsid w:val="008356C4"/>
    <w:rsid w:val="00835881"/>
    <w:rsid w:val="00835BB0"/>
    <w:rsid w:val="00835C1F"/>
    <w:rsid w:val="00836316"/>
    <w:rsid w:val="0083666B"/>
    <w:rsid w:val="008366E3"/>
    <w:rsid w:val="0083675E"/>
    <w:rsid w:val="00836981"/>
    <w:rsid w:val="00836DE5"/>
    <w:rsid w:val="00836DEA"/>
    <w:rsid w:val="0083706E"/>
    <w:rsid w:val="008370FC"/>
    <w:rsid w:val="0083761A"/>
    <w:rsid w:val="00837E5D"/>
    <w:rsid w:val="00840475"/>
    <w:rsid w:val="00840B60"/>
    <w:rsid w:val="00840C3A"/>
    <w:rsid w:val="00841946"/>
    <w:rsid w:val="00841DA9"/>
    <w:rsid w:val="00841E50"/>
    <w:rsid w:val="00841F75"/>
    <w:rsid w:val="00842513"/>
    <w:rsid w:val="0084253B"/>
    <w:rsid w:val="008425E1"/>
    <w:rsid w:val="0084299B"/>
    <w:rsid w:val="0084364E"/>
    <w:rsid w:val="00843845"/>
    <w:rsid w:val="008438E6"/>
    <w:rsid w:val="008438EE"/>
    <w:rsid w:val="00843B3E"/>
    <w:rsid w:val="0084429D"/>
    <w:rsid w:val="0084461F"/>
    <w:rsid w:val="00844F54"/>
    <w:rsid w:val="00844F96"/>
    <w:rsid w:val="00844FCD"/>
    <w:rsid w:val="00845210"/>
    <w:rsid w:val="008454B5"/>
    <w:rsid w:val="008458F9"/>
    <w:rsid w:val="00846812"/>
    <w:rsid w:val="00846C67"/>
    <w:rsid w:val="0084798F"/>
    <w:rsid w:val="00847A69"/>
    <w:rsid w:val="00847C42"/>
    <w:rsid w:val="00847C78"/>
    <w:rsid w:val="008509C2"/>
    <w:rsid w:val="0085102E"/>
    <w:rsid w:val="0085109F"/>
    <w:rsid w:val="008512F8"/>
    <w:rsid w:val="008516C1"/>
    <w:rsid w:val="008519EE"/>
    <w:rsid w:val="00851BEE"/>
    <w:rsid w:val="00851BF1"/>
    <w:rsid w:val="00851CEE"/>
    <w:rsid w:val="0085205B"/>
    <w:rsid w:val="00852253"/>
    <w:rsid w:val="008528E2"/>
    <w:rsid w:val="00852A10"/>
    <w:rsid w:val="008531EC"/>
    <w:rsid w:val="0085330A"/>
    <w:rsid w:val="00853FB0"/>
    <w:rsid w:val="00854084"/>
    <w:rsid w:val="00854105"/>
    <w:rsid w:val="008541C1"/>
    <w:rsid w:val="00854414"/>
    <w:rsid w:val="0085454D"/>
    <w:rsid w:val="0085488D"/>
    <w:rsid w:val="0085491A"/>
    <w:rsid w:val="00854E8B"/>
    <w:rsid w:val="00855081"/>
    <w:rsid w:val="008554C8"/>
    <w:rsid w:val="008555B3"/>
    <w:rsid w:val="00855792"/>
    <w:rsid w:val="008557D1"/>
    <w:rsid w:val="0085581C"/>
    <w:rsid w:val="00855A6D"/>
    <w:rsid w:val="00855C51"/>
    <w:rsid w:val="00855D12"/>
    <w:rsid w:val="0085621F"/>
    <w:rsid w:val="0085687C"/>
    <w:rsid w:val="00856F1E"/>
    <w:rsid w:val="0085742D"/>
    <w:rsid w:val="008577CC"/>
    <w:rsid w:val="00857CFF"/>
    <w:rsid w:val="00857F94"/>
    <w:rsid w:val="008601B4"/>
    <w:rsid w:val="00860432"/>
    <w:rsid w:val="008606D7"/>
    <w:rsid w:val="0086075D"/>
    <w:rsid w:val="00860957"/>
    <w:rsid w:val="00860AAE"/>
    <w:rsid w:val="00861175"/>
    <w:rsid w:val="0086136B"/>
    <w:rsid w:val="008613A1"/>
    <w:rsid w:val="00861589"/>
    <w:rsid w:val="0086176C"/>
    <w:rsid w:val="008619EA"/>
    <w:rsid w:val="00861EE4"/>
    <w:rsid w:val="008623AC"/>
    <w:rsid w:val="008624C3"/>
    <w:rsid w:val="008626BD"/>
    <w:rsid w:val="00862984"/>
    <w:rsid w:val="00862A19"/>
    <w:rsid w:val="00862A9A"/>
    <w:rsid w:val="00863059"/>
    <w:rsid w:val="00863400"/>
    <w:rsid w:val="0086342A"/>
    <w:rsid w:val="008634FC"/>
    <w:rsid w:val="00863F85"/>
    <w:rsid w:val="00864734"/>
    <w:rsid w:val="00864F01"/>
    <w:rsid w:val="008650F0"/>
    <w:rsid w:val="008654C5"/>
    <w:rsid w:val="00865737"/>
    <w:rsid w:val="0086597C"/>
    <w:rsid w:val="00865ECA"/>
    <w:rsid w:val="0086603F"/>
    <w:rsid w:val="008661DB"/>
    <w:rsid w:val="0086638F"/>
    <w:rsid w:val="0086665A"/>
    <w:rsid w:val="00866685"/>
    <w:rsid w:val="00866DAE"/>
    <w:rsid w:val="00866DD4"/>
    <w:rsid w:val="0086703C"/>
    <w:rsid w:val="008676F7"/>
    <w:rsid w:val="008676FA"/>
    <w:rsid w:val="0086782C"/>
    <w:rsid w:val="00867C4B"/>
    <w:rsid w:val="00867F45"/>
    <w:rsid w:val="00870166"/>
    <w:rsid w:val="00870607"/>
    <w:rsid w:val="00870C2E"/>
    <w:rsid w:val="0087100C"/>
    <w:rsid w:val="008713F8"/>
    <w:rsid w:val="00871667"/>
    <w:rsid w:val="00871D3C"/>
    <w:rsid w:val="008720B4"/>
    <w:rsid w:val="00872EA9"/>
    <w:rsid w:val="0087347E"/>
    <w:rsid w:val="008739CD"/>
    <w:rsid w:val="0087501D"/>
    <w:rsid w:val="0087569C"/>
    <w:rsid w:val="00875F1F"/>
    <w:rsid w:val="00876D56"/>
    <w:rsid w:val="00877226"/>
    <w:rsid w:val="0087788B"/>
    <w:rsid w:val="00877AD5"/>
    <w:rsid w:val="00877C5B"/>
    <w:rsid w:val="00877D60"/>
    <w:rsid w:val="00877FD9"/>
    <w:rsid w:val="00880516"/>
    <w:rsid w:val="008805AE"/>
    <w:rsid w:val="00880768"/>
    <w:rsid w:val="0088082A"/>
    <w:rsid w:val="00880CD9"/>
    <w:rsid w:val="00880FE5"/>
    <w:rsid w:val="00881080"/>
    <w:rsid w:val="008811D0"/>
    <w:rsid w:val="00881868"/>
    <w:rsid w:val="00881AA1"/>
    <w:rsid w:val="00881B67"/>
    <w:rsid w:val="0088210E"/>
    <w:rsid w:val="00882459"/>
    <w:rsid w:val="008824E6"/>
    <w:rsid w:val="00882574"/>
    <w:rsid w:val="008825FE"/>
    <w:rsid w:val="0088265E"/>
    <w:rsid w:val="008828E2"/>
    <w:rsid w:val="00882978"/>
    <w:rsid w:val="008829FE"/>
    <w:rsid w:val="00882DF9"/>
    <w:rsid w:val="00884386"/>
    <w:rsid w:val="008843BF"/>
    <w:rsid w:val="0088471D"/>
    <w:rsid w:val="00884796"/>
    <w:rsid w:val="0088494C"/>
    <w:rsid w:val="00884C52"/>
    <w:rsid w:val="00885236"/>
    <w:rsid w:val="00885579"/>
    <w:rsid w:val="00885954"/>
    <w:rsid w:val="00885BB2"/>
    <w:rsid w:val="00886AC7"/>
    <w:rsid w:val="008872FA"/>
    <w:rsid w:val="00887625"/>
    <w:rsid w:val="00887647"/>
    <w:rsid w:val="0088776B"/>
    <w:rsid w:val="008877A2"/>
    <w:rsid w:val="00887BFF"/>
    <w:rsid w:val="00887D3C"/>
    <w:rsid w:val="00887DE4"/>
    <w:rsid w:val="00887E80"/>
    <w:rsid w:val="008904CA"/>
    <w:rsid w:val="008910B9"/>
    <w:rsid w:val="00891384"/>
    <w:rsid w:val="008918D8"/>
    <w:rsid w:val="00891C58"/>
    <w:rsid w:val="00891E2E"/>
    <w:rsid w:val="00891F40"/>
    <w:rsid w:val="00892006"/>
    <w:rsid w:val="00892A13"/>
    <w:rsid w:val="008938A6"/>
    <w:rsid w:val="00893B83"/>
    <w:rsid w:val="00893F08"/>
    <w:rsid w:val="00893F26"/>
    <w:rsid w:val="008940AF"/>
    <w:rsid w:val="00894225"/>
    <w:rsid w:val="008942C1"/>
    <w:rsid w:val="00894555"/>
    <w:rsid w:val="00894744"/>
    <w:rsid w:val="00894C42"/>
    <w:rsid w:val="00894F41"/>
    <w:rsid w:val="008951BE"/>
    <w:rsid w:val="0089567D"/>
    <w:rsid w:val="00895B74"/>
    <w:rsid w:val="00895B90"/>
    <w:rsid w:val="00895C5D"/>
    <w:rsid w:val="00895D58"/>
    <w:rsid w:val="00895F92"/>
    <w:rsid w:val="008961DB"/>
    <w:rsid w:val="0089663B"/>
    <w:rsid w:val="008966EE"/>
    <w:rsid w:val="008967D9"/>
    <w:rsid w:val="008968AE"/>
    <w:rsid w:val="0089724A"/>
    <w:rsid w:val="008974D5"/>
    <w:rsid w:val="00897615"/>
    <w:rsid w:val="0089792F"/>
    <w:rsid w:val="008979C7"/>
    <w:rsid w:val="00897F2B"/>
    <w:rsid w:val="008A0871"/>
    <w:rsid w:val="008A1D49"/>
    <w:rsid w:val="008A1DD0"/>
    <w:rsid w:val="008A1F20"/>
    <w:rsid w:val="008A21F8"/>
    <w:rsid w:val="008A2294"/>
    <w:rsid w:val="008A23FC"/>
    <w:rsid w:val="008A324E"/>
    <w:rsid w:val="008A3564"/>
    <w:rsid w:val="008A3AFB"/>
    <w:rsid w:val="008A4499"/>
    <w:rsid w:val="008A49D9"/>
    <w:rsid w:val="008A50EC"/>
    <w:rsid w:val="008A544E"/>
    <w:rsid w:val="008A5A1A"/>
    <w:rsid w:val="008A5A7E"/>
    <w:rsid w:val="008A5E31"/>
    <w:rsid w:val="008A6453"/>
    <w:rsid w:val="008A6F16"/>
    <w:rsid w:val="008A71FE"/>
    <w:rsid w:val="008A77CC"/>
    <w:rsid w:val="008A7B62"/>
    <w:rsid w:val="008A7E02"/>
    <w:rsid w:val="008B009B"/>
    <w:rsid w:val="008B0676"/>
    <w:rsid w:val="008B0D94"/>
    <w:rsid w:val="008B0EF5"/>
    <w:rsid w:val="008B0F0C"/>
    <w:rsid w:val="008B1002"/>
    <w:rsid w:val="008B15C1"/>
    <w:rsid w:val="008B1760"/>
    <w:rsid w:val="008B1B6E"/>
    <w:rsid w:val="008B1D30"/>
    <w:rsid w:val="008B200C"/>
    <w:rsid w:val="008B2361"/>
    <w:rsid w:val="008B2653"/>
    <w:rsid w:val="008B2F85"/>
    <w:rsid w:val="008B30D6"/>
    <w:rsid w:val="008B339E"/>
    <w:rsid w:val="008B37BF"/>
    <w:rsid w:val="008B3FE2"/>
    <w:rsid w:val="008B4E26"/>
    <w:rsid w:val="008B4EC3"/>
    <w:rsid w:val="008B4FAD"/>
    <w:rsid w:val="008B50C6"/>
    <w:rsid w:val="008B52EB"/>
    <w:rsid w:val="008B610C"/>
    <w:rsid w:val="008B673D"/>
    <w:rsid w:val="008B707C"/>
    <w:rsid w:val="008B7223"/>
    <w:rsid w:val="008B7535"/>
    <w:rsid w:val="008B7A4D"/>
    <w:rsid w:val="008B7AB8"/>
    <w:rsid w:val="008B7ACE"/>
    <w:rsid w:val="008C039D"/>
    <w:rsid w:val="008C03A3"/>
    <w:rsid w:val="008C04D5"/>
    <w:rsid w:val="008C09CC"/>
    <w:rsid w:val="008C09DF"/>
    <w:rsid w:val="008C0FD7"/>
    <w:rsid w:val="008C16F6"/>
    <w:rsid w:val="008C18CE"/>
    <w:rsid w:val="008C1A40"/>
    <w:rsid w:val="008C1F0E"/>
    <w:rsid w:val="008C1F62"/>
    <w:rsid w:val="008C2260"/>
    <w:rsid w:val="008C24F9"/>
    <w:rsid w:val="008C2E7B"/>
    <w:rsid w:val="008C310D"/>
    <w:rsid w:val="008C32FC"/>
    <w:rsid w:val="008C3466"/>
    <w:rsid w:val="008C3662"/>
    <w:rsid w:val="008C4A5E"/>
    <w:rsid w:val="008C4D45"/>
    <w:rsid w:val="008C5314"/>
    <w:rsid w:val="008C5480"/>
    <w:rsid w:val="008C55A5"/>
    <w:rsid w:val="008C64F2"/>
    <w:rsid w:val="008C65A9"/>
    <w:rsid w:val="008C6A83"/>
    <w:rsid w:val="008C6EE6"/>
    <w:rsid w:val="008C6FA0"/>
    <w:rsid w:val="008C72CF"/>
    <w:rsid w:val="008C7335"/>
    <w:rsid w:val="008C7B34"/>
    <w:rsid w:val="008C7D4F"/>
    <w:rsid w:val="008D049A"/>
    <w:rsid w:val="008D0A0B"/>
    <w:rsid w:val="008D0A8D"/>
    <w:rsid w:val="008D13CA"/>
    <w:rsid w:val="008D162D"/>
    <w:rsid w:val="008D1706"/>
    <w:rsid w:val="008D1B38"/>
    <w:rsid w:val="008D1B8A"/>
    <w:rsid w:val="008D23BF"/>
    <w:rsid w:val="008D2749"/>
    <w:rsid w:val="008D2829"/>
    <w:rsid w:val="008D2B87"/>
    <w:rsid w:val="008D2E37"/>
    <w:rsid w:val="008D2EAE"/>
    <w:rsid w:val="008D2FD1"/>
    <w:rsid w:val="008D3071"/>
    <w:rsid w:val="008D30D0"/>
    <w:rsid w:val="008D31FF"/>
    <w:rsid w:val="008D36F0"/>
    <w:rsid w:val="008D3C6D"/>
    <w:rsid w:val="008D3F7B"/>
    <w:rsid w:val="008D4207"/>
    <w:rsid w:val="008D4792"/>
    <w:rsid w:val="008D47CA"/>
    <w:rsid w:val="008D4A8E"/>
    <w:rsid w:val="008D4ACB"/>
    <w:rsid w:val="008D54AA"/>
    <w:rsid w:val="008D55D5"/>
    <w:rsid w:val="008D57E9"/>
    <w:rsid w:val="008D5CB4"/>
    <w:rsid w:val="008D60F9"/>
    <w:rsid w:val="008D6AD1"/>
    <w:rsid w:val="008D6D2D"/>
    <w:rsid w:val="008D6DF7"/>
    <w:rsid w:val="008D6E8F"/>
    <w:rsid w:val="008D74A1"/>
    <w:rsid w:val="008D7F01"/>
    <w:rsid w:val="008D7FF1"/>
    <w:rsid w:val="008E0102"/>
    <w:rsid w:val="008E0180"/>
    <w:rsid w:val="008E032A"/>
    <w:rsid w:val="008E0331"/>
    <w:rsid w:val="008E04CB"/>
    <w:rsid w:val="008E0959"/>
    <w:rsid w:val="008E1539"/>
    <w:rsid w:val="008E1A2D"/>
    <w:rsid w:val="008E2305"/>
    <w:rsid w:val="008E288A"/>
    <w:rsid w:val="008E347B"/>
    <w:rsid w:val="008E35DB"/>
    <w:rsid w:val="008E39F0"/>
    <w:rsid w:val="008E3E65"/>
    <w:rsid w:val="008E41F8"/>
    <w:rsid w:val="008E47EE"/>
    <w:rsid w:val="008E4843"/>
    <w:rsid w:val="008E4897"/>
    <w:rsid w:val="008E50F8"/>
    <w:rsid w:val="008E53E0"/>
    <w:rsid w:val="008E5C2F"/>
    <w:rsid w:val="008E637D"/>
    <w:rsid w:val="008E67BF"/>
    <w:rsid w:val="008E6F14"/>
    <w:rsid w:val="008E7250"/>
    <w:rsid w:val="008E740A"/>
    <w:rsid w:val="008E7919"/>
    <w:rsid w:val="008E7973"/>
    <w:rsid w:val="008E7C68"/>
    <w:rsid w:val="008F04C7"/>
    <w:rsid w:val="008F0EB7"/>
    <w:rsid w:val="008F1158"/>
    <w:rsid w:val="008F15E5"/>
    <w:rsid w:val="008F1C16"/>
    <w:rsid w:val="008F224D"/>
    <w:rsid w:val="008F4256"/>
    <w:rsid w:val="008F446B"/>
    <w:rsid w:val="008F4591"/>
    <w:rsid w:val="008F46DF"/>
    <w:rsid w:val="008F470F"/>
    <w:rsid w:val="008F4824"/>
    <w:rsid w:val="008F482B"/>
    <w:rsid w:val="008F55C2"/>
    <w:rsid w:val="008F58A8"/>
    <w:rsid w:val="008F5DFD"/>
    <w:rsid w:val="008F6053"/>
    <w:rsid w:val="008F67BC"/>
    <w:rsid w:val="008F7249"/>
    <w:rsid w:val="008F765F"/>
    <w:rsid w:val="008F79BF"/>
    <w:rsid w:val="008F7C93"/>
    <w:rsid w:val="00900770"/>
    <w:rsid w:val="00900CF4"/>
    <w:rsid w:val="00900E3B"/>
    <w:rsid w:val="00901106"/>
    <w:rsid w:val="00901358"/>
    <w:rsid w:val="00901871"/>
    <w:rsid w:val="0090198D"/>
    <w:rsid w:val="00901EA0"/>
    <w:rsid w:val="00901EF1"/>
    <w:rsid w:val="009022F9"/>
    <w:rsid w:val="0090235F"/>
    <w:rsid w:val="0090239A"/>
    <w:rsid w:val="00904097"/>
    <w:rsid w:val="0090437D"/>
    <w:rsid w:val="00904500"/>
    <w:rsid w:val="009046EF"/>
    <w:rsid w:val="00904BC5"/>
    <w:rsid w:val="0090513E"/>
    <w:rsid w:val="00905280"/>
    <w:rsid w:val="0090569A"/>
    <w:rsid w:val="009059EB"/>
    <w:rsid w:val="00905C33"/>
    <w:rsid w:val="00905FEE"/>
    <w:rsid w:val="009061BB"/>
    <w:rsid w:val="009066E8"/>
    <w:rsid w:val="00906B8B"/>
    <w:rsid w:val="009077D1"/>
    <w:rsid w:val="00907CA7"/>
    <w:rsid w:val="00907DA0"/>
    <w:rsid w:val="009100C5"/>
    <w:rsid w:val="00910807"/>
    <w:rsid w:val="00910B50"/>
    <w:rsid w:val="00910CEC"/>
    <w:rsid w:val="009114F9"/>
    <w:rsid w:val="0091152B"/>
    <w:rsid w:val="009116B3"/>
    <w:rsid w:val="00911953"/>
    <w:rsid w:val="00911BEE"/>
    <w:rsid w:val="00911E7E"/>
    <w:rsid w:val="00912025"/>
    <w:rsid w:val="009129C2"/>
    <w:rsid w:val="00912C38"/>
    <w:rsid w:val="00912E52"/>
    <w:rsid w:val="0091361C"/>
    <w:rsid w:val="009138E0"/>
    <w:rsid w:val="00913FB8"/>
    <w:rsid w:val="00913FBC"/>
    <w:rsid w:val="0091422D"/>
    <w:rsid w:val="00914AED"/>
    <w:rsid w:val="00914EC7"/>
    <w:rsid w:val="0091548E"/>
    <w:rsid w:val="009154AC"/>
    <w:rsid w:val="009157D7"/>
    <w:rsid w:val="00915F7E"/>
    <w:rsid w:val="0091673A"/>
    <w:rsid w:val="00916897"/>
    <w:rsid w:val="0091699F"/>
    <w:rsid w:val="00916B83"/>
    <w:rsid w:val="00916CE5"/>
    <w:rsid w:val="00916E9A"/>
    <w:rsid w:val="00917920"/>
    <w:rsid w:val="00917D7D"/>
    <w:rsid w:val="00920477"/>
    <w:rsid w:val="00920777"/>
    <w:rsid w:val="00921492"/>
    <w:rsid w:val="00921BAC"/>
    <w:rsid w:val="00921C0F"/>
    <w:rsid w:val="00922330"/>
    <w:rsid w:val="00922771"/>
    <w:rsid w:val="00922FD7"/>
    <w:rsid w:val="00923010"/>
    <w:rsid w:val="00923116"/>
    <w:rsid w:val="009232DA"/>
    <w:rsid w:val="009234C4"/>
    <w:rsid w:val="00923798"/>
    <w:rsid w:val="0092424A"/>
    <w:rsid w:val="00924B3F"/>
    <w:rsid w:val="00924FE1"/>
    <w:rsid w:val="00925014"/>
    <w:rsid w:val="0092501F"/>
    <w:rsid w:val="009250EA"/>
    <w:rsid w:val="009251AC"/>
    <w:rsid w:val="00925797"/>
    <w:rsid w:val="00926376"/>
    <w:rsid w:val="009264B3"/>
    <w:rsid w:val="00926D38"/>
    <w:rsid w:val="0092722C"/>
    <w:rsid w:val="009273AA"/>
    <w:rsid w:val="009275BA"/>
    <w:rsid w:val="00927760"/>
    <w:rsid w:val="009278BF"/>
    <w:rsid w:val="00927DBD"/>
    <w:rsid w:val="00930244"/>
    <w:rsid w:val="009303FF"/>
    <w:rsid w:val="009304E7"/>
    <w:rsid w:val="0093051D"/>
    <w:rsid w:val="00930C31"/>
    <w:rsid w:val="0093157E"/>
    <w:rsid w:val="0093185D"/>
    <w:rsid w:val="00931B12"/>
    <w:rsid w:val="00932437"/>
    <w:rsid w:val="00932549"/>
    <w:rsid w:val="00932A9A"/>
    <w:rsid w:val="00932C18"/>
    <w:rsid w:val="00933AC7"/>
    <w:rsid w:val="00934581"/>
    <w:rsid w:val="00934A39"/>
    <w:rsid w:val="009359C4"/>
    <w:rsid w:val="00935E32"/>
    <w:rsid w:val="009366A2"/>
    <w:rsid w:val="009366E0"/>
    <w:rsid w:val="00937056"/>
    <w:rsid w:val="009371B5"/>
    <w:rsid w:val="009375D7"/>
    <w:rsid w:val="00937633"/>
    <w:rsid w:val="00937BE7"/>
    <w:rsid w:val="00937D5A"/>
    <w:rsid w:val="00937F70"/>
    <w:rsid w:val="009403B5"/>
    <w:rsid w:val="009406DE"/>
    <w:rsid w:val="00940AF1"/>
    <w:rsid w:val="00940C11"/>
    <w:rsid w:val="00940DD2"/>
    <w:rsid w:val="00940E95"/>
    <w:rsid w:val="009413A0"/>
    <w:rsid w:val="009419F3"/>
    <w:rsid w:val="00941A7B"/>
    <w:rsid w:val="00941BA5"/>
    <w:rsid w:val="00941F4D"/>
    <w:rsid w:val="009420C2"/>
    <w:rsid w:val="00942881"/>
    <w:rsid w:val="00942F5A"/>
    <w:rsid w:val="009430D8"/>
    <w:rsid w:val="0094312E"/>
    <w:rsid w:val="00943848"/>
    <w:rsid w:val="00943BC7"/>
    <w:rsid w:val="00943C68"/>
    <w:rsid w:val="00943C69"/>
    <w:rsid w:val="00943FB4"/>
    <w:rsid w:val="009442A3"/>
    <w:rsid w:val="00944B12"/>
    <w:rsid w:val="009450C2"/>
    <w:rsid w:val="00945109"/>
    <w:rsid w:val="009452B6"/>
    <w:rsid w:val="00945559"/>
    <w:rsid w:val="00945671"/>
    <w:rsid w:val="0094584F"/>
    <w:rsid w:val="009459A5"/>
    <w:rsid w:val="00945ABA"/>
    <w:rsid w:val="00945E05"/>
    <w:rsid w:val="00946387"/>
    <w:rsid w:val="00946556"/>
    <w:rsid w:val="00946C0C"/>
    <w:rsid w:val="00946F79"/>
    <w:rsid w:val="0094734A"/>
    <w:rsid w:val="00950B4B"/>
    <w:rsid w:val="00950F09"/>
    <w:rsid w:val="00950F32"/>
    <w:rsid w:val="00950FB3"/>
    <w:rsid w:val="00951033"/>
    <w:rsid w:val="00951BC4"/>
    <w:rsid w:val="00953023"/>
    <w:rsid w:val="009530D6"/>
    <w:rsid w:val="00953204"/>
    <w:rsid w:val="0095377A"/>
    <w:rsid w:val="009537DF"/>
    <w:rsid w:val="0095524E"/>
    <w:rsid w:val="009553E2"/>
    <w:rsid w:val="00957017"/>
    <w:rsid w:val="00957254"/>
    <w:rsid w:val="0095725B"/>
    <w:rsid w:val="00957CD6"/>
    <w:rsid w:val="00957DFA"/>
    <w:rsid w:val="00957EF6"/>
    <w:rsid w:val="009601BA"/>
    <w:rsid w:val="009604AF"/>
    <w:rsid w:val="009605F4"/>
    <w:rsid w:val="00960BD8"/>
    <w:rsid w:val="00960D45"/>
    <w:rsid w:val="00960E59"/>
    <w:rsid w:val="00960EE4"/>
    <w:rsid w:val="0096164B"/>
    <w:rsid w:val="00961E96"/>
    <w:rsid w:val="00961F84"/>
    <w:rsid w:val="009620D7"/>
    <w:rsid w:val="0096215D"/>
    <w:rsid w:val="009625CF"/>
    <w:rsid w:val="00962657"/>
    <w:rsid w:val="00962817"/>
    <w:rsid w:val="009628ED"/>
    <w:rsid w:val="00962997"/>
    <w:rsid w:val="00962B4E"/>
    <w:rsid w:val="009630B2"/>
    <w:rsid w:val="00963351"/>
    <w:rsid w:val="00963963"/>
    <w:rsid w:val="009639B0"/>
    <w:rsid w:val="00963C90"/>
    <w:rsid w:val="00963CD5"/>
    <w:rsid w:val="00964067"/>
    <w:rsid w:val="00964834"/>
    <w:rsid w:val="00964D2C"/>
    <w:rsid w:val="009652D1"/>
    <w:rsid w:val="00965664"/>
    <w:rsid w:val="0096599A"/>
    <w:rsid w:val="00965C77"/>
    <w:rsid w:val="00965C99"/>
    <w:rsid w:val="0096604B"/>
    <w:rsid w:val="009661B1"/>
    <w:rsid w:val="00966568"/>
    <w:rsid w:val="0096698D"/>
    <w:rsid w:val="009669A4"/>
    <w:rsid w:val="00966CF9"/>
    <w:rsid w:val="00966E3B"/>
    <w:rsid w:val="00966FEF"/>
    <w:rsid w:val="00967640"/>
    <w:rsid w:val="0096770A"/>
    <w:rsid w:val="009701E1"/>
    <w:rsid w:val="009702D9"/>
    <w:rsid w:val="009706E6"/>
    <w:rsid w:val="00970F5E"/>
    <w:rsid w:val="00971327"/>
    <w:rsid w:val="009716F0"/>
    <w:rsid w:val="00971B73"/>
    <w:rsid w:val="00971D9B"/>
    <w:rsid w:val="00971E0B"/>
    <w:rsid w:val="009723BC"/>
    <w:rsid w:val="00972762"/>
    <w:rsid w:val="00973035"/>
    <w:rsid w:val="009730C3"/>
    <w:rsid w:val="00973312"/>
    <w:rsid w:val="00973465"/>
    <w:rsid w:val="009735C1"/>
    <w:rsid w:val="00973DAB"/>
    <w:rsid w:val="00973E45"/>
    <w:rsid w:val="00973FF8"/>
    <w:rsid w:val="009740F7"/>
    <w:rsid w:val="009741A8"/>
    <w:rsid w:val="00974878"/>
    <w:rsid w:val="00974A00"/>
    <w:rsid w:val="00974F1B"/>
    <w:rsid w:val="009750B0"/>
    <w:rsid w:val="009754DD"/>
    <w:rsid w:val="009755A9"/>
    <w:rsid w:val="0097624D"/>
    <w:rsid w:val="009774FC"/>
    <w:rsid w:val="0097751B"/>
    <w:rsid w:val="009778E0"/>
    <w:rsid w:val="00977911"/>
    <w:rsid w:val="00977C11"/>
    <w:rsid w:val="00977CA1"/>
    <w:rsid w:val="00977CEF"/>
    <w:rsid w:val="009803F4"/>
    <w:rsid w:val="00980A4E"/>
    <w:rsid w:val="00980AA9"/>
    <w:rsid w:val="00980B4A"/>
    <w:rsid w:val="00980C45"/>
    <w:rsid w:val="009823E2"/>
    <w:rsid w:val="00983362"/>
    <w:rsid w:val="0098390E"/>
    <w:rsid w:val="00983B74"/>
    <w:rsid w:val="00983F75"/>
    <w:rsid w:val="009842D8"/>
    <w:rsid w:val="00984B22"/>
    <w:rsid w:val="00984BA3"/>
    <w:rsid w:val="00984E9A"/>
    <w:rsid w:val="00985232"/>
    <w:rsid w:val="009852BE"/>
    <w:rsid w:val="00985632"/>
    <w:rsid w:val="0098576D"/>
    <w:rsid w:val="009857BC"/>
    <w:rsid w:val="00986048"/>
    <w:rsid w:val="009863C3"/>
    <w:rsid w:val="009869BB"/>
    <w:rsid w:val="00986F02"/>
    <w:rsid w:val="009870C4"/>
    <w:rsid w:val="0098714A"/>
    <w:rsid w:val="009873DE"/>
    <w:rsid w:val="009873E6"/>
    <w:rsid w:val="00987421"/>
    <w:rsid w:val="009904BD"/>
    <w:rsid w:val="00990BB3"/>
    <w:rsid w:val="00990C28"/>
    <w:rsid w:val="00990FA3"/>
    <w:rsid w:val="00991658"/>
    <w:rsid w:val="00991774"/>
    <w:rsid w:val="0099179D"/>
    <w:rsid w:val="009917DA"/>
    <w:rsid w:val="00993689"/>
    <w:rsid w:val="00993CBE"/>
    <w:rsid w:val="00993DC0"/>
    <w:rsid w:val="00993FA5"/>
    <w:rsid w:val="009944D5"/>
    <w:rsid w:val="009945F0"/>
    <w:rsid w:val="009949FF"/>
    <w:rsid w:val="0099561C"/>
    <w:rsid w:val="00995C08"/>
    <w:rsid w:val="00996625"/>
    <w:rsid w:val="00996A5D"/>
    <w:rsid w:val="0099742B"/>
    <w:rsid w:val="0099745F"/>
    <w:rsid w:val="00997F67"/>
    <w:rsid w:val="009A00FB"/>
    <w:rsid w:val="009A0EF7"/>
    <w:rsid w:val="009A147B"/>
    <w:rsid w:val="009A14FF"/>
    <w:rsid w:val="009A1711"/>
    <w:rsid w:val="009A17D8"/>
    <w:rsid w:val="009A1CC4"/>
    <w:rsid w:val="009A25D1"/>
    <w:rsid w:val="009A2675"/>
    <w:rsid w:val="009A29B5"/>
    <w:rsid w:val="009A30CE"/>
    <w:rsid w:val="009A34C7"/>
    <w:rsid w:val="009A3C6C"/>
    <w:rsid w:val="009A3F29"/>
    <w:rsid w:val="009A4DCB"/>
    <w:rsid w:val="009A5029"/>
    <w:rsid w:val="009A59F5"/>
    <w:rsid w:val="009A5A44"/>
    <w:rsid w:val="009A61E5"/>
    <w:rsid w:val="009A6279"/>
    <w:rsid w:val="009A63FD"/>
    <w:rsid w:val="009A65A3"/>
    <w:rsid w:val="009A66F2"/>
    <w:rsid w:val="009A684D"/>
    <w:rsid w:val="009A6D2A"/>
    <w:rsid w:val="009A70FE"/>
    <w:rsid w:val="009A7AB9"/>
    <w:rsid w:val="009A7B18"/>
    <w:rsid w:val="009A7CE4"/>
    <w:rsid w:val="009A7DE2"/>
    <w:rsid w:val="009A7F65"/>
    <w:rsid w:val="009AE4CA"/>
    <w:rsid w:val="009B0AAE"/>
    <w:rsid w:val="009B0C7A"/>
    <w:rsid w:val="009B1314"/>
    <w:rsid w:val="009B1316"/>
    <w:rsid w:val="009B1960"/>
    <w:rsid w:val="009B1BF7"/>
    <w:rsid w:val="009B1C76"/>
    <w:rsid w:val="009B1D6F"/>
    <w:rsid w:val="009B21CD"/>
    <w:rsid w:val="009B2306"/>
    <w:rsid w:val="009B2DB0"/>
    <w:rsid w:val="009B2E16"/>
    <w:rsid w:val="009B2F41"/>
    <w:rsid w:val="009B30FC"/>
    <w:rsid w:val="009B3B84"/>
    <w:rsid w:val="009B4083"/>
    <w:rsid w:val="009B40F0"/>
    <w:rsid w:val="009B43B1"/>
    <w:rsid w:val="009B4849"/>
    <w:rsid w:val="009B493B"/>
    <w:rsid w:val="009B4952"/>
    <w:rsid w:val="009B4974"/>
    <w:rsid w:val="009B49C2"/>
    <w:rsid w:val="009B4BBB"/>
    <w:rsid w:val="009B504F"/>
    <w:rsid w:val="009B5635"/>
    <w:rsid w:val="009B5D19"/>
    <w:rsid w:val="009B5F31"/>
    <w:rsid w:val="009B66DE"/>
    <w:rsid w:val="009B6C1E"/>
    <w:rsid w:val="009B71D1"/>
    <w:rsid w:val="009B729C"/>
    <w:rsid w:val="009B73B2"/>
    <w:rsid w:val="009B7F28"/>
    <w:rsid w:val="009C01B7"/>
    <w:rsid w:val="009C0BDD"/>
    <w:rsid w:val="009C0D03"/>
    <w:rsid w:val="009C1AF6"/>
    <w:rsid w:val="009C2655"/>
    <w:rsid w:val="009C29A6"/>
    <w:rsid w:val="009C2A09"/>
    <w:rsid w:val="009C2A5E"/>
    <w:rsid w:val="009C2A9F"/>
    <w:rsid w:val="009C33AC"/>
    <w:rsid w:val="009C33C3"/>
    <w:rsid w:val="009C3E79"/>
    <w:rsid w:val="009C3E9D"/>
    <w:rsid w:val="009C437E"/>
    <w:rsid w:val="009C4923"/>
    <w:rsid w:val="009C4C9A"/>
    <w:rsid w:val="009C4EAB"/>
    <w:rsid w:val="009C523A"/>
    <w:rsid w:val="009C5301"/>
    <w:rsid w:val="009C6154"/>
    <w:rsid w:val="009C630A"/>
    <w:rsid w:val="009C6662"/>
    <w:rsid w:val="009C6A9F"/>
    <w:rsid w:val="009C6E2C"/>
    <w:rsid w:val="009C7172"/>
    <w:rsid w:val="009C7714"/>
    <w:rsid w:val="009C7771"/>
    <w:rsid w:val="009C7780"/>
    <w:rsid w:val="009D019B"/>
    <w:rsid w:val="009D0813"/>
    <w:rsid w:val="009D1215"/>
    <w:rsid w:val="009D26DC"/>
    <w:rsid w:val="009D2A5F"/>
    <w:rsid w:val="009D2B91"/>
    <w:rsid w:val="009D2F87"/>
    <w:rsid w:val="009D30CF"/>
    <w:rsid w:val="009D31CD"/>
    <w:rsid w:val="009D326F"/>
    <w:rsid w:val="009D3481"/>
    <w:rsid w:val="009D3A09"/>
    <w:rsid w:val="009D3ECB"/>
    <w:rsid w:val="009D420E"/>
    <w:rsid w:val="009D4410"/>
    <w:rsid w:val="009D4737"/>
    <w:rsid w:val="009D4A35"/>
    <w:rsid w:val="009D4BF2"/>
    <w:rsid w:val="009D5546"/>
    <w:rsid w:val="009D5712"/>
    <w:rsid w:val="009D672C"/>
    <w:rsid w:val="009D6C9D"/>
    <w:rsid w:val="009D7145"/>
    <w:rsid w:val="009D7A69"/>
    <w:rsid w:val="009D7C18"/>
    <w:rsid w:val="009D7E11"/>
    <w:rsid w:val="009D7F1F"/>
    <w:rsid w:val="009E0187"/>
    <w:rsid w:val="009E024C"/>
    <w:rsid w:val="009E0288"/>
    <w:rsid w:val="009E0AEF"/>
    <w:rsid w:val="009E0EA3"/>
    <w:rsid w:val="009E1369"/>
    <w:rsid w:val="009E1823"/>
    <w:rsid w:val="009E1CAB"/>
    <w:rsid w:val="009E1D86"/>
    <w:rsid w:val="009E1FB1"/>
    <w:rsid w:val="009E236E"/>
    <w:rsid w:val="009E2DC2"/>
    <w:rsid w:val="009E3030"/>
    <w:rsid w:val="009E3263"/>
    <w:rsid w:val="009E3B70"/>
    <w:rsid w:val="009E412E"/>
    <w:rsid w:val="009E453E"/>
    <w:rsid w:val="009E46FC"/>
    <w:rsid w:val="009E4B57"/>
    <w:rsid w:val="009E4B63"/>
    <w:rsid w:val="009E4D8E"/>
    <w:rsid w:val="009E4EE6"/>
    <w:rsid w:val="009E5A66"/>
    <w:rsid w:val="009E5B18"/>
    <w:rsid w:val="009E60F3"/>
    <w:rsid w:val="009E6149"/>
    <w:rsid w:val="009E6226"/>
    <w:rsid w:val="009E64DC"/>
    <w:rsid w:val="009E6537"/>
    <w:rsid w:val="009E6700"/>
    <w:rsid w:val="009E6748"/>
    <w:rsid w:val="009E6777"/>
    <w:rsid w:val="009E6CAE"/>
    <w:rsid w:val="009E7043"/>
    <w:rsid w:val="009E7A8C"/>
    <w:rsid w:val="009E7AD5"/>
    <w:rsid w:val="009E7BBA"/>
    <w:rsid w:val="009F00F8"/>
    <w:rsid w:val="009F05F2"/>
    <w:rsid w:val="009F070E"/>
    <w:rsid w:val="009F0835"/>
    <w:rsid w:val="009F0F0B"/>
    <w:rsid w:val="009F0F67"/>
    <w:rsid w:val="009F110A"/>
    <w:rsid w:val="009F1260"/>
    <w:rsid w:val="009F14B2"/>
    <w:rsid w:val="009F151D"/>
    <w:rsid w:val="009F15EF"/>
    <w:rsid w:val="009F16BE"/>
    <w:rsid w:val="009F1DCB"/>
    <w:rsid w:val="009F1F85"/>
    <w:rsid w:val="009F2022"/>
    <w:rsid w:val="009F2491"/>
    <w:rsid w:val="009F2CD8"/>
    <w:rsid w:val="009F2CDA"/>
    <w:rsid w:val="009F2CFE"/>
    <w:rsid w:val="009F2DE8"/>
    <w:rsid w:val="009F3152"/>
    <w:rsid w:val="009F389D"/>
    <w:rsid w:val="009F3CC5"/>
    <w:rsid w:val="009F4055"/>
    <w:rsid w:val="009F45CF"/>
    <w:rsid w:val="009F499F"/>
    <w:rsid w:val="009F4BF7"/>
    <w:rsid w:val="009F4C27"/>
    <w:rsid w:val="009F6FA4"/>
    <w:rsid w:val="009F7169"/>
    <w:rsid w:val="009F726A"/>
    <w:rsid w:val="009F7E77"/>
    <w:rsid w:val="00A00096"/>
    <w:rsid w:val="00A002E0"/>
    <w:rsid w:val="00A005F8"/>
    <w:rsid w:val="00A00B60"/>
    <w:rsid w:val="00A00EFD"/>
    <w:rsid w:val="00A011A6"/>
    <w:rsid w:val="00A01515"/>
    <w:rsid w:val="00A018B8"/>
    <w:rsid w:val="00A01950"/>
    <w:rsid w:val="00A0246C"/>
    <w:rsid w:val="00A02941"/>
    <w:rsid w:val="00A02AD3"/>
    <w:rsid w:val="00A02C10"/>
    <w:rsid w:val="00A03040"/>
    <w:rsid w:val="00A0358B"/>
    <w:rsid w:val="00A03721"/>
    <w:rsid w:val="00A03A3C"/>
    <w:rsid w:val="00A03B72"/>
    <w:rsid w:val="00A04000"/>
    <w:rsid w:val="00A045FB"/>
    <w:rsid w:val="00A048A1"/>
    <w:rsid w:val="00A05496"/>
    <w:rsid w:val="00A0562A"/>
    <w:rsid w:val="00A0575B"/>
    <w:rsid w:val="00A0637D"/>
    <w:rsid w:val="00A06833"/>
    <w:rsid w:val="00A06AC1"/>
    <w:rsid w:val="00A06E0E"/>
    <w:rsid w:val="00A07173"/>
    <w:rsid w:val="00A072CA"/>
    <w:rsid w:val="00A072D0"/>
    <w:rsid w:val="00A072FC"/>
    <w:rsid w:val="00A07BC3"/>
    <w:rsid w:val="00A100B4"/>
    <w:rsid w:val="00A1019D"/>
    <w:rsid w:val="00A10420"/>
    <w:rsid w:val="00A105CC"/>
    <w:rsid w:val="00A10B49"/>
    <w:rsid w:val="00A10F32"/>
    <w:rsid w:val="00A110F7"/>
    <w:rsid w:val="00A11288"/>
    <w:rsid w:val="00A112B7"/>
    <w:rsid w:val="00A1142E"/>
    <w:rsid w:val="00A124EE"/>
    <w:rsid w:val="00A13010"/>
    <w:rsid w:val="00A133ED"/>
    <w:rsid w:val="00A136C4"/>
    <w:rsid w:val="00A13E3F"/>
    <w:rsid w:val="00A13F59"/>
    <w:rsid w:val="00A14051"/>
    <w:rsid w:val="00A140C9"/>
    <w:rsid w:val="00A1454E"/>
    <w:rsid w:val="00A1499E"/>
    <w:rsid w:val="00A15078"/>
    <w:rsid w:val="00A15194"/>
    <w:rsid w:val="00A15347"/>
    <w:rsid w:val="00A15451"/>
    <w:rsid w:val="00A1588C"/>
    <w:rsid w:val="00A15C58"/>
    <w:rsid w:val="00A15DF5"/>
    <w:rsid w:val="00A16632"/>
    <w:rsid w:val="00A16664"/>
    <w:rsid w:val="00A1668F"/>
    <w:rsid w:val="00A167BA"/>
    <w:rsid w:val="00A16A27"/>
    <w:rsid w:val="00A16B7A"/>
    <w:rsid w:val="00A16C69"/>
    <w:rsid w:val="00A16F05"/>
    <w:rsid w:val="00A17118"/>
    <w:rsid w:val="00A17120"/>
    <w:rsid w:val="00A21159"/>
    <w:rsid w:val="00A212BA"/>
    <w:rsid w:val="00A218E0"/>
    <w:rsid w:val="00A21A4B"/>
    <w:rsid w:val="00A2237B"/>
    <w:rsid w:val="00A229BF"/>
    <w:rsid w:val="00A22C9B"/>
    <w:rsid w:val="00A234D4"/>
    <w:rsid w:val="00A23AFF"/>
    <w:rsid w:val="00A23FC8"/>
    <w:rsid w:val="00A24295"/>
    <w:rsid w:val="00A24559"/>
    <w:rsid w:val="00A250E0"/>
    <w:rsid w:val="00A25AE2"/>
    <w:rsid w:val="00A25B5B"/>
    <w:rsid w:val="00A25C2C"/>
    <w:rsid w:val="00A26230"/>
    <w:rsid w:val="00A2634E"/>
    <w:rsid w:val="00A2674F"/>
    <w:rsid w:val="00A272A0"/>
    <w:rsid w:val="00A275F9"/>
    <w:rsid w:val="00A27724"/>
    <w:rsid w:val="00A27F16"/>
    <w:rsid w:val="00A300BD"/>
    <w:rsid w:val="00A30523"/>
    <w:rsid w:val="00A30A5B"/>
    <w:rsid w:val="00A30CB2"/>
    <w:rsid w:val="00A31B9B"/>
    <w:rsid w:val="00A31EDF"/>
    <w:rsid w:val="00A31FBD"/>
    <w:rsid w:val="00A322F2"/>
    <w:rsid w:val="00A32BF3"/>
    <w:rsid w:val="00A32DA2"/>
    <w:rsid w:val="00A33906"/>
    <w:rsid w:val="00A33BC3"/>
    <w:rsid w:val="00A33BF6"/>
    <w:rsid w:val="00A33EAD"/>
    <w:rsid w:val="00A344C6"/>
    <w:rsid w:val="00A34633"/>
    <w:rsid w:val="00A34767"/>
    <w:rsid w:val="00A3495B"/>
    <w:rsid w:val="00A34B13"/>
    <w:rsid w:val="00A35949"/>
    <w:rsid w:val="00A35C08"/>
    <w:rsid w:val="00A35F3E"/>
    <w:rsid w:val="00A361B1"/>
    <w:rsid w:val="00A36D4B"/>
    <w:rsid w:val="00A379B0"/>
    <w:rsid w:val="00A4026E"/>
    <w:rsid w:val="00A407E3"/>
    <w:rsid w:val="00A40C51"/>
    <w:rsid w:val="00A418B1"/>
    <w:rsid w:val="00A42092"/>
    <w:rsid w:val="00A420EC"/>
    <w:rsid w:val="00A42357"/>
    <w:rsid w:val="00A42473"/>
    <w:rsid w:val="00A42AB5"/>
    <w:rsid w:val="00A42C02"/>
    <w:rsid w:val="00A43504"/>
    <w:rsid w:val="00A43EC9"/>
    <w:rsid w:val="00A4432B"/>
    <w:rsid w:val="00A443FF"/>
    <w:rsid w:val="00A445D0"/>
    <w:rsid w:val="00A44C18"/>
    <w:rsid w:val="00A44C57"/>
    <w:rsid w:val="00A44F47"/>
    <w:rsid w:val="00A45203"/>
    <w:rsid w:val="00A456FA"/>
    <w:rsid w:val="00A4594D"/>
    <w:rsid w:val="00A45A24"/>
    <w:rsid w:val="00A45EFC"/>
    <w:rsid w:val="00A46170"/>
    <w:rsid w:val="00A466ED"/>
    <w:rsid w:val="00A468BC"/>
    <w:rsid w:val="00A46B45"/>
    <w:rsid w:val="00A46B7C"/>
    <w:rsid w:val="00A47514"/>
    <w:rsid w:val="00A4753B"/>
    <w:rsid w:val="00A5020C"/>
    <w:rsid w:val="00A50296"/>
    <w:rsid w:val="00A504B0"/>
    <w:rsid w:val="00A50787"/>
    <w:rsid w:val="00A511A3"/>
    <w:rsid w:val="00A51AA0"/>
    <w:rsid w:val="00A51FC4"/>
    <w:rsid w:val="00A5211A"/>
    <w:rsid w:val="00A5259D"/>
    <w:rsid w:val="00A52E34"/>
    <w:rsid w:val="00A53666"/>
    <w:rsid w:val="00A5379F"/>
    <w:rsid w:val="00A541DC"/>
    <w:rsid w:val="00A54212"/>
    <w:rsid w:val="00A5429D"/>
    <w:rsid w:val="00A548C2"/>
    <w:rsid w:val="00A54DCC"/>
    <w:rsid w:val="00A552D0"/>
    <w:rsid w:val="00A554B2"/>
    <w:rsid w:val="00A5623E"/>
    <w:rsid w:val="00A563CB"/>
    <w:rsid w:val="00A5697A"/>
    <w:rsid w:val="00A57055"/>
    <w:rsid w:val="00A576A6"/>
    <w:rsid w:val="00A57B34"/>
    <w:rsid w:val="00A57C2E"/>
    <w:rsid w:val="00A60F5E"/>
    <w:rsid w:val="00A6103D"/>
    <w:rsid w:val="00A6157D"/>
    <w:rsid w:val="00A61DAF"/>
    <w:rsid w:val="00A62802"/>
    <w:rsid w:val="00A62B6F"/>
    <w:rsid w:val="00A62E67"/>
    <w:rsid w:val="00A6398B"/>
    <w:rsid w:val="00A643EE"/>
    <w:rsid w:val="00A6451F"/>
    <w:rsid w:val="00A64BE7"/>
    <w:rsid w:val="00A656E9"/>
    <w:rsid w:val="00A657F0"/>
    <w:rsid w:val="00A65F28"/>
    <w:rsid w:val="00A66566"/>
    <w:rsid w:val="00A6660A"/>
    <w:rsid w:val="00A66652"/>
    <w:rsid w:val="00A66978"/>
    <w:rsid w:val="00A66F7A"/>
    <w:rsid w:val="00A67111"/>
    <w:rsid w:val="00A672F0"/>
    <w:rsid w:val="00A674A1"/>
    <w:rsid w:val="00A701DE"/>
    <w:rsid w:val="00A70296"/>
    <w:rsid w:val="00A70AA4"/>
    <w:rsid w:val="00A70B9F"/>
    <w:rsid w:val="00A70E9A"/>
    <w:rsid w:val="00A71483"/>
    <w:rsid w:val="00A71D51"/>
    <w:rsid w:val="00A71DCC"/>
    <w:rsid w:val="00A72EEA"/>
    <w:rsid w:val="00A7301D"/>
    <w:rsid w:val="00A73039"/>
    <w:rsid w:val="00A730E5"/>
    <w:rsid w:val="00A73AB1"/>
    <w:rsid w:val="00A74B23"/>
    <w:rsid w:val="00A7585C"/>
    <w:rsid w:val="00A75C18"/>
    <w:rsid w:val="00A75C45"/>
    <w:rsid w:val="00A762EF"/>
    <w:rsid w:val="00A76A4D"/>
    <w:rsid w:val="00A76DD4"/>
    <w:rsid w:val="00A77164"/>
    <w:rsid w:val="00A77202"/>
    <w:rsid w:val="00A774B1"/>
    <w:rsid w:val="00A8013D"/>
    <w:rsid w:val="00A80D5D"/>
    <w:rsid w:val="00A8105E"/>
    <w:rsid w:val="00A813F5"/>
    <w:rsid w:val="00A813F8"/>
    <w:rsid w:val="00A814C4"/>
    <w:rsid w:val="00A81A37"/>
    <w:rsid w:val="00A81F5A"/>
    <w:rsid w:val="00A82682"/>
    <w:rsid w:val="00A828A4"/>
    <w:rsid w:val="00A830D4"/>
    <w:rsid w:val="00A831DD"/>
    <w:rsid w:val="00A83232"/>
    <w:rsid w:val="00A83402"/>
    <w:rsid w:val="00A83954"/>
    <w:rsid w:val="00A842A4"/>
    <w:rsid w:val="00A843C3"/>
    <w:rsid w:val="00A84540"/>
    <w:rsid w:val="00A84C54"/>
    <w:rsid w:val="00A84D0F"/>
    <w:rsid w:val="00A85183"/>
    <w:rsid w:val="00A8534F"/>
    <w:rsid w:val="00A86BC0"/>
    <w:rsid w:val="00A87282"/>
    <w:rsid w:val="00A879AF"/>
    <w:rsid w:val="00A87E42"/>
    <w:rsid w:val="00A87E65"/>
    <w:rsid w:val="00A87EA1"/>
    <w:rsid w:val="00A903BB"/>
    <w:rsid w:val="00A90F60"/>
    <w:rsid w:val="00A910DD"/>
    <w:rsid w:val="00A9119B"/>
    <w:rsid w:val="00A91AAF"/>
    <w:rsid w:val="00A92100"/>
    <w:rsid w:val="00A923EF"/>
    <w:rsid w:val="00A93536"/>
    <w:rsid w:val="00A939AA"/>
    <w:rsid w:val="00A93E10"/>
    <w:rsid w:val="00A93FF0"/>
    <w:rsid w:val="00A94324"/>
    <w:rsid w:val="00A94448"/>
    <w:rsid w:val="00A948FB"/>
    <w:rsid w:val="00A95254"/>
    <w:rsid w:val="00A95299"/>
    <w:rsid w:val="00A95498"/>
    <w:rsid w:val="00A954B8"/>
    <w:rsid w:val="00A955CC"/>
    <w:rsid w:val="00A95670"/>
    <w:rsid w:val="00A95DC5"/>
    <w:rsid w:val="00A9610C"/>
    <w:rsid w:val="00A96675"/>
    <w:rsid w:val="00A9739D"/>
    <w:rsid w:val="00A9750C"/>
    <w:rsid w:val="00A9797B"/>
    <w:rsid w:val="00A97E6E"/>
    <w:rsid w:val="00A97E73"/>
    <w:rsid w:val="00AA01D8"/>
    <w:rsid w:val="00AA071D"/>
    <w:rsid w:val="00AA13B7"/>
    <w:rsid w:val="00AA1591"/>
    <w:rsid w:val="00AA1A38"/>
    <w:rsid w:val="00AA1B20"/>
    <w:rsid w:val="00AA1D7F"/>
    <w:rsid w:val="00AA20AA"/>
    <w:rsid w:val="00AA2551"/>
    <w:rsid w:val="00AA2DEA"/>
    <w:rsid w:val="00AA3361"/>
    <w:rsid w:val="00AA3BE8"/>
    <w:rsid w:val="00AA3EEB"/>
    <w:rsid w:val="00AA4179"/>
    <w:rsid w:val="00AA48FB"/>
    <w:rsid w:val="00AA4EB7"/>
    <w:rsid w:val="00AA5026"/>
    <w:rsid w:val="00AA542F"/>
    <w:rsid w:val="00AA57EA"/>
    <w:rsid w:val="00AA5832"/>
    <w:rsid w:val="00AA6024"/>
    <w:rsid w:val="00AA6207"/>
    <w:rsid w:val="00AA6A00"/>
    <w:rsid w:val="00AA6B2F"/>
    <w:rsid w:val="00AA73FF"/>
    <w:rsid w:val="00AB0074"/>
    <w:rsid w:val="00AB066D"/>
    <w:rsid w:val="00AB0DF6"/>
    <w:rsid w:val="00AB1E01"/>
    <w:rsid w:val="00AB1F99"/>
    <w:rsid w:val="00AB21DE"/>
    <w:rsid w:val="00AB2956"/>
    <w:rsid w:val="00AB2AAB"/>
    <w:rsid w:val="00AB2FC6"/>
    <w:rsid w:val="00AB3321"/>
    <w:rsid w:val="00AB44FA"/>
    <w:rsid w:val="00AB4B01"/>
    <w:rsid w:val="00AB569F"/>
    <w:rsid w:val="00AB591E"/>
    <w:rsid w:val="00AB5A4C"/>
    <w:rsid w:val="00AB5CC0"/>
    <w:rsid w:val="00AB60FF"/>
    <w:rsid w:val="00AB6161"/>
    <w:rsid w:val="00AB619A"/>
    <w:rsid w:val="00AB67D0"/>
    <w:rsid w:val="00AB6A1D"/>
    <w:rsid w:val="00AB6BC4"/>
    <w:rsid w:val="00AB6C41"/>
    <w:rsid w:val="00AB701D"/>
    <w:rsid w:val="00AB7183"/>
    <w:rsid w:val="00AB7723"/>
    <w:rsid w:val="00AC07D6"/>
    <w:rsid w:val="00AC07F8"/>
    <w:rsid w:val="00AC08D6"/>
    <w:rsid w:val="00AC0A07"/>
    <w:rsid w:val="00AC0F39"/>
    <w:rsid w:val="00AC0FB6"/>
    <w:rsid w:val="00AC1048"/>
    <w:rsid w:val="00AC118B"/>
    <w:rsid w:val="00AC127A"/>
    <w:rsid w:val="00AC137B"/>
    <w:rsid w:val="00AC1C45"/>
    <w:rsid w:val="00AC1E86"/>
    <w:rsid w:val="00AC2199"/>
    <w:rsid w:val="00AC2C0F"/>
    <w:rsid w:val="00AC2E13"/>
    <w:rsid w:val="00AC309C"/>
    <w:rsid w:val="00AC33EC"/>
    <w:rsid w:val="00AC43A7"/>
    <w:rsid w:val="00AC4951"/>
    <w:rsid w:val="00AC52DC"/>
    <w:rsid w:val="00AC52F7"/>
    <w:rsid w:val="00AC5594"/>
    <w:rsid w:val="00AC5738"/>
    <w:rsid w:val="00AC58E1"/>
    <w:rsid w:val="00AC5D14"/>
    <w:rsid w:val="00AC5DAD"/>
    <w:rsid w:val="00AC6213"/>
    <w:rsid w:val="00AC66E2"/>
    <w:rsid w:val="00AC6724"/>
    <w:rsid w:val="00AC69C5"/>
    <w:rsid w:val="00AC6E5C"/>
    <w:rsid w:val="00AC7842"/>
    <w:rsid w:val="00AC79BE"/>
    <w:rsid w:val="00AC7A60"/>
    <w:rsid w:val="00AD0062"/>
    <w:rsid w:val="00AD0187"/>
    <w:rsid w:val="00AD0C94"/>
    <w:rsid w:val="00AD0DE1"/>
    <w:rsid w:val="00AD0E4E"/>
    <w:rsid w:val="00AD10F9"/>
    <w:rsid w:val="00AD10FD"/>
    <w:rsid w:val="00AD18F9"/>
    <w:rsid w:val="00AD19E8"/>
    <w:rsid w:val="00AD1A60"/>
    <w:rsid w:val="00AD1BBA"/>
    <w:rsid w:val="00AD27F5"/>
    <w:rsid w:val="00AD3227"/>
    <w:rsid w:val="00AD3754"/>
    <w:rsid w:val="00AD39B5"/>
    <w:rsid w:val="00AD3D4F"/>
    <w:rsid w:val="00AD5644"/>
    <w:rsid w:val="00AD56F9"/>
    <w:rsid w:val="00AD58B4"/>
    <w:rsid w:val="00AD5960"/>
    <w:rsid w:val="00AD59DA"/>
    <w:rsid w:val="00AD5B76"/>
    <w:rsid w:val="00AD6017"/>
    <w:rsid w:val="00AD6049"/>
    <w:rsid w:val="00AD62AF"/>
    <w:rsid w:val="00AD6668"/>
    <w:rsid w:val="00AD677A"/>
    <w:rsid w:val="00AD6901"/>
    <w:rsid w:val="00AD6C1A"/>
    <w:rsid w:val="00AD7C00"/>
    <w:rsid w:val="00AD7F75"/>
    <w:rsid w:val="00AE0625"/>
    <w:rsid w:val="00AE0B7B"/>
    <w:rsid w:val="00AE0DF7"/>
    <w:rsid w:val="00AE0E3E"/>
    <w:rsid w:val="00AE102C"/>
    <w:rsid w:val="00AE14D2"/>
    <w:rsid w:val="00AE1834"/>
    <w:rsid w:val="00AE2259"/>
    <w:rsid w:val="00AE2AE1"/>
    <w:rsid w:val="00AE2BD6"/>
    <w:rsid w:val="00AE2DF3"/>
    <w:rsid w:val="00AE4266"/>
    <w:rsid w:val="00AE431B"/>
    <w:rsid w:val="00AE4352"/>
    <w:rsid w:val="00AE44BD"/>
    <w:rsid w:val="00AE455E"/>
    <w:rsid w:val="00AE490A"/>
    <w:rsid w:val="00AE52E3"/>
    <w:rsid w:val="00AE5408"/>
    <w:rsid w:val="00AE562F"/>
    <w:rsid w:val="00AE5AC4"/>
    <w:rsid w:val="00AE5BD2"/>
    <w:rsid w:val="00AE5DC4"/>
    <w:rsid w:val="00AE5EE3"/>
    <w:rsid w:val="00AE66BE"/>
    <w:rsid w:val="00AE7052"/>
    <w:rsid w:val="00AE7316"/>
    <w:rsid w:val="00AE7DAA"/>
    <w:rsid w:val="00AF10FC"/>
    <w:rsid w:val="00AF13DB"/>
    <w:rsid w:val="00AF1D19"/>
    <w:rsid w:val="00AF2148"/>
    <w:rsid w:val="00AF2519"/>
    <w:rsid w:val="00AF27E0"/>
    <w:rsid w:val="00AF2F95"/>
    <w:rsid w:val="00AF3269"/>
    <w:rsid w:val="00AF3D89"/>
    <w:rsid w:val="00AF3D95"/>
    <w:rsid w:val="00AF3DB2"/>
    <w:rsid w:val="00AF5362"/>
    <w:rsid w:val="00AF5388"/>
    <w:rsid w:val="00AF5FD9"/>
    <w:rsid w:val="00AF60DA"/>
    <w:rsid w:val="00AF6504"/>
    <w:rsid w:val="00AF683D"/>
    <w:rsid w:val="00AF6B38"/>
    <w:rsid w:val="00B00F9C"/>
    <w:rsid w:val="00B00FCD"/>
    <w:rsid w:val="00B01607"/>
    <w:rsid w:val="00B0171F"/>
    <w:rsid w:val="00B017F9"/>
    <w:rsid w:val="00B01BA3"/>
    <w:rsid w:val="00B01BB3"/>
    <w:rsid w:val="00B027F5"/>
    <w:rsid w:val="00B02B29"/>
    <w:rsid w:val="00B03011"/>
    <w:rsid w:val="00B030CD"/>
    <w:rsid w:val="00B03942"/>
    <w:rsid w:val="00B03D78"/>
    <w:rsid w:val="00B048D8"/>
    <w:rsid w:val="00B04ED5"/>
    <w:rsid w:val="00B05AA3"/>
    <w:rsid w:val="00B06E2F"/>
    <w:rsid w:val="00B071E2"/>
    <w:rsid w:val="00B07240"/>
    <w:rsid w:val="00B072F7"/>
    <w:rsid w:val="00B073A4"/>
    <w:rsid w:val="00B073D3"/>
    <w:rsid w:val="00B0764F"/>
    <w:rsid w:val="00B07F20"/>
    <w:rsid w:val="00B101EA"/>
    <w:rsid w:val="00B101EF"/>
    <w:rsid w:val="00B104AA"/>
    <w:rsid w:val="00B104EB"/>
    <w:rsid w:val="00B10847"/>
    <w:rsid w:val="00B10B3E"/>
    <w:rsid w:val="00B10F36"/>
    <w:rsid w:val="00B11513"/>
    <w:rsid w:val="00B1184E"/>
    <w:rsid w:val="00B11C68"/>
    <w:rsid w:val="00B11E29"/>
    <w:rsid w:val="00B120FB"/>
    <w:rsid w:val="00B12377"/>
    <w:rsid w:val="00B12DDD"/>
    <w:rsid w:val="00B12EEB"/>
    <w:rsid w:val="00B1324A"/>
    <w:rsid w:val="00B133C1"/>
    <w:rsid w:val="00B145D7"/>
    <w:rsid w:val="00B1475E"/>
    <w:rsid w:val="00B14918"/>
    <w:rsid w:val="00B14B10"/>
    <w:rsid w:val="00B151FE"/>
    <w:rsid w:val="00B15EA2"/>
    <w:rsid w:val="00B163FF"/>
    <w:rsid w:val="00B16628"/>
    <w:rsid w:val="00B166D8"/>
    <w:rsid w:val="00B16CCD"/>
    <w:rsid w:val="00B16DE3"/>
    <w:rsid w:val="00B1796C"/>
    <w:rsid w:val="00B17A19"/>
    <w:rsid w:val="00B17BE3"/>
    <w:rsid w:val="00B2030F"/>
    <w:rsid w:val="00B20BC6"/>
    <w:rsid w:val="00B20C43"/>
    <w:rsid w:val="00B20D1F"/>
    <w:rsid w:val="00B20FC4"/>
    <w:rsid w:val="00B20FF4"/>
    <w:rsid w:val="00B2115E"/>
    <w:rsid w:val="00B211AE"/>
    <w:rsid w:val="00B22217"/>
    <w:rsid w:val="00B222E7"/>
    <w:rsid w:val="00B22727"/>
    <w:rsid w:val="00B2279B"/>
    <w:rsid w:val="00B2284D"/>
    <w:rsid w:val="00B22C0E"/>
    <w:rsid w:val="00B238DA"/>
    <w:rsid w:val="00B23DC6"/>
    <w:rsid w:val="00B24064"/>
    <w:rsid w:val="00B242AB"/>
    <w:rsid w:val="00B2446F"/>
    <w:rsid w:val="00B24F44"/>
    <w:rsid w:val="00B2528D"/>
    <w:rsid w:val="00B25557"/>
    <w:rsid w:val="00B256B6"/>
    <w:rsid w:val="00B26571"/>
    <w:rsid w:val="00B26A6D"/>
    <w:rsid w:val="00B26AE6"/>
    <w:rsid w:val="00B26EE9"/>
    <w:rsid w:val="00B300F4"/>
    <w:rsid w:val="00B3015C"/>
    <w:rsid w:val="00B3046C"/>
    <w:rsid w:val="00B30A8A"/>
    <w:rsid w:val="00B30BC7"/>
    <w:rsid w:val="00B30D56"/>
    <w:rsid w:val="00B3117D"/>
    <w:rsid w:val="00B313B2"/>
    <w:rsid w:val="00B31C8F"/>
    <w:rsid w:val="00B320D4"/>
    <w:rsid w:val="00B3227A"/>
    <w:rsid w:val="00B32397"/>
    <w:rsid w:val="00B32885"/>
    <w:rsid w:val="00B3296E"/>
    <w:rsid w:val="00B32B40"/>
    <w:rsid w:val="00B33511"/>
    <w:rsid w:val="00B33A53"/>
    <w:rsid w:val="00B33AEA"/>
    <w:rsid w:val="00B33C4C"/>
    <w:rsid w:val="00B3450C"/>
    <w:rsid w:val="00B34681"/>
    <w:rsid w:val="00B34C8B"/>
    <w:rsid w:val="00B34E89"/>
    <w:rsid w:val="00B34EE9"/>
    <w:rsid w:val="00B35030"/>
    <w:rsid w:val="00B35475"/>
    <w:rsid w:val="00B35699"/>
    <w:rsid w:val="00B35B83"/>
    <w:rsid w:val="00B368D8"/>
    <w:rsid w:val="00B36BCB"/>
    <w:rsid w:val="00B36D2D"/>
    <w:rsid w:val="00B36F1E"/>
    <w:rsid w:val="00B36FA6"/>
    <w:rsid w:val="00B37134"/>
    <w:rsid w:val="00B3719B"/>
    <w:rsid w:val="00B37240"/>
    <w:rsid w:val="00B373D1"/>
    <w:rsid w:val="00B37926"/>
    <w:rsid w:val="00B37DFC"/>
    <w:rsid w:val="00B37F00"/>
    <w:rsid w:val="00B40ECD"/>
    <w:rsid w:val="00B40FDB"/>
    <w:rsid w:val="00B410E3"/>
    <w:rsid w:val="00B41799"/>
    <w:rsid w:val="00B41914"/>
    <w:rsid w:val="00B41AD3"/>
    <w:rsid w:val="00B4206D"/>
    <w:rsid w:val="00B4216B"/>
    <w:rsid w:val="00B4270F"/>
    <w:rsid w:val="00B428EC"/>
    <w:rsid w:val="00B4292A"/>
    <w:rsid w:val="00B42C9E"/>
    <w:rsid w:val="00B431EF"/>
    <w:rsid w:val="00B436C8"/>
    <w:rsid w:val="00B438AD"/>
    <w:rsid w:val="00B43A0F"/>
    <w:rsid w:val="00B43ED0"/>
    <w:rsid w:val="00B43F92"/>
    <w:rsid w:val="00B446D6"/>
    <w:rsid w:val="00B45294"/>
    <w:rsid w:val="00B46A7C"/>
    <w:rsid w:val="00B46D36"/>
    <w:rsid w:val="00B46E28"/>
    <w:rsid w:val="00B473A8"/>
    <w:rsid w:val="00B473E4"/>
    <w:rsid w:val="00B47478"/>
    <w:rsid w:val="00B479FD"/>
    <w:rsid w:val="00B47A6B"/>
    <w:rsid w:val="00B50F34"/>
    <w:rsid w:val="00B51065"/>
    <w:rsid w:val="00B5142A"/>
    <w:rsid w:val="00B51D6F"/>
    <w:rsid w:val="00B51E49"/>
    <w:rsid w:val="00B51ED8"/>
    <w:rsid w:val="00B52286"/>
    <w:rsid w:val="00B538AB"/>
    <w:rsid w:val="00B53A9F"/>
    <w:rsid w:val="00B53B3C"/>
    <w:rsid w:val="00B54A42"/>
    <w:rsid w:val="00B5509A"/>
    <w:rsid w:val="00B55663"/>
    <w:rsid w:val="00B55F7A"/>
    <w:rsid w:val="00B561EC"/>
    <w:rsid w:val="00B56200"/>
    <w:rsid w:val="00B566D1"/>
    <w:rsid w:val="00B56B62"/>
    <w:rsid w:val="00B56CDB"/>
    <w:rsid w:val="00B56FB9"/>
    <w:rsid w:val="00B575F3"/>
    <w:rsid w:val="00B57CD3"/>
    <w:rsid w:val="00B60824"/>
    <w:rsid w:val="00B60F9F"/>
    <w:rsid w:val="00B61012"/>
    <w:rsid w:val="00B61352"/>
    <w:rsid w:val="00B61530"/>
    <w:rsid w:val="00B61AED"/>
    <w:rsid w:val="00B62793"/>
    <w:rsid w:val="00B62CAC"/>
    <w:rsid w:val="00B63B22"/>
    <w:rsid w:val="00B656A9"/>
    <w:rsid w:val="00B65A88"/>
    <w:rsid w:val="00B65DAF"/>
    <w:rsid w:val="00B6618E"/>
    <w:rsid w:val="00B6672E"/>
    <w:rsid w:val="00B67173"/>
    <w:rsid w:val="00B673B1"/>
    <w:rsid w:val="00B67CF6"/>
    <w:rsid w:val="00B67D3B"/>
    <w:rsid w:val="00B67EC8"/>
    <w:rsid w:val="00B707B8"/>
    <w:rsid w:val="00B712D1"/>
    <w:rsid w:val="00B71DE4"/>
    <w:rsid w:val="00B71FAB"/>
    <w:rsid w:val="00B721B0"/>
    <w:rsid w:val="00B722BC"/>
    <w:rsid w:val="00B72F8A"/>
    <w:rsid w:val="00B7314C"/>
    <w:rsid w:val="00B73356"/>
    <w:rsid w:val="00B73CF6"/>
    <w:rsid w:val="00B73D64"/>
    <w:rsid w:val="00B74D25"/>
    <w:rsid w:val="00B74E06"/>
    <w:rsid w:val="00B74E2F"/>
    <w:rsid w:val="00B750CF"/>
    <w:rsid w:val="00B75624"/>
    <w:rsid w:val="00B75944"/>
    <w:rsid w:val="00B759B9"/>
    <w:rsid w:val="00B76176"/>
    <w:rsid w:val="00B76C9D"/>
    <w:rsid w:val="00B76E45"/>
    <w:rsid w:val="00B76E82"/>
    <w:rsid w:val="00B76E8A"/>
    <w:rsid w:val="00B7710C"/>
    <w:rsid w:val="00B77113"/>
    <w:rsid w:val="00B771FC"/>
    <w:rsid w:val="00B7735F"/>
    <w:rsid w:val="00B77513"/>
    <w:rsid w:val="00B776BB"/>
    <w:rsid w:val="00B778B1"/>
    <w:rsid w:val="00B77EA8"/>
    <w:rsid w:val="00B805B7"/>
    <w:rsid w:val="00B8083E"/>
    <w:rsid w:val="00B80F9E"/>
    <w:rsid w:val="00B816BD"/>
    <w:rsid w:val="00B81D9F"/>
    <w:rsid w:val="00B825A4"/>
    <w:rsid w:val="00B8267C"/>
    <w:rsid w:val="00B82A55"/>
    <w:rsid w:val="00B82F12"/>
    <w:rsid w:val="00B835D8"/>
    <w:rsid w:val="00B839E4"/>
    <w:rsid w:val="00B84030"/>
    <w:rsid w:val="00B840D8"/>
    <w:rsid w:val="00B8426B"/>
    <w:rsid w:val="00B8464B"/>
    <w:rsid w:val="00B8483F"/>
    <w:rsid w:val="00B84CA2"/>
    <w:rsid w:val="00B85CA9"/>
    <w:rsid w:val="00B85D57"/>
    <w:rsid w:val="00B86010"/>
    <w:rsid w:val="00B86666"/>
    <w:rsid w:val="00B86B42"/>
    <w:rsid w:val="00B8725C"/>
    <w:rsid w:val="00B87DD9"/>
    <w:rsid w:val="00B87F8D"/>
    <w:rsid w:val="00B87FD4"/>
    <w:rsid w:val="00B90305"/>
    <w:rsid w:val="00B90328"/>
    <w:rsid w:val="00B907A7"/>
    <w:rsid w:val="00B90916"/>
    <w:rsid w:val="00B90A1B"/>
    <w:rsid w:val="00B90AB2"/>
    <w:rsid w:val="00B90EFD"/>
    <w:rsid w:val="00B91673"/>
    <w:rsid w:val="00B92125"/>
    <w:rsid w:val="00B92F1F"/>
    <w:rsid w:val="00B930DA"/>
    <w:rsid w:val="00B93274"/>
    <w:rsid w:val="00B93569"/>
    <w:rsid w:val="00B93C34"/>
    <w:rsid w:val="00B9416B"/>
    <w:rsid w:val="00B942A8"/>
    <w:rsid w:val="00B9431E"/>
    <w:rsid w:val="00B9489D"/>
    <w:rsid w:val="00B94D1E"/>
    <w:rsid w:val="00B94D77"/>
    <w:rsid w:val="00B9511E"/>
    <w:rsid w:val="00B96061"/>
    <w:rsid w:val="00B960FF"/>
    <w:rsid w:val="00B9661B"/>
    <w:rsid w:val="00B96AAC"/>
    <w:rsid w:val="00B9798A"/>
    <w:rsid w:val="00B97C9E"/>
    <w:rsid w:val="00B97DE7"/>
    <w:rsid w:val="00BA00D5"/>
    <w:rsid w:val="00BA10A4"/>
    <w:rsid w:val="00BA180B"/>
    <w:rsid w:val="00BA1A42"/>
    <w:rsid w:val="00BA1A53"/>
    <w:rsid w:val="00BA1E80"/>
    <w:rsid w:val="00BA2226"/>
    <w:rsid w:val="00BA23C9"/>
    <w:rsid w:val="00BA26EC"/>
    <w:rsid w:val="00BA2F48"/>
    <w:rsid w:val="00BA329F"/>
    <w:rsid w:val="00BA3392"/>
    <w:rsid w:val="00BA36C7"/>
    <w:rsid w:val="00BA36E5"/>
    <w:rsid w:val="00BA3D2F"/>
    <w:rsid w:val="00BA42D8"/>
    <w:rsid w:val="00BA4C4C"/>
    <w:rsid w:val="00BA4ED0"/>
    <w:rsid w:val="00BA5182"/>
    <w:rsid w:val="00BA52B7"/>
    <w:rsid w:val="00BA5683"/>
    <w:rsid w:val="00BA5C48"/>
    <w:rsid w:val="00BA5CBD"/>
    <w:rsid w:val="00BA6062"/>
    <w:rsid w:val="00BA68B0"/>
    <w:rsid w:val="00BA7567"/>
    <w:rsid w:val="00BA7B30"/>
    <w:rsid w:val="00BB006F"/>
    <w:rsid w:val="00BB01AA"/>
    <w:rsid w:val="00BB034B"/>
    <w:rsid w:val="00BB06A9"/>
    <w:rsid w:val="00BB0823"/>
    <w:rsid w:val="00BB0C27"/>
    <w:rsid w:val="00BB10FE"/>
    <w:rsid w:val="00BB12B9"/>
    <w:rsid w:val="00BB133A"/>
    <w:rsid w:val="00BB13D7"/>
    <w:rsid w:val="00BB182F"/>
    <w:rsid w:val="00BB1851"/>
    <w:rsid w:val="00BB1AB0"/>
    <w:rsid w:val="00BB216C"/>
    <w:rsid w:val="00BB222C"/>
    <w:rsid w:val="00BB22C2"/>
    <w:rsid w:val="00BB287C"/>
    <w:rsid w:val="00BB2B33"/>
    <w:rsid w:val="00BB338F"/>
    <w:rsid w:val="00BB35AB"/>
    <w:rsid w:val="00BB3686"/>
    <w:rsid w:val="00BB37EE"/>
    <w:rsid w:val="00BB421C"/>
    <w:rsid w:val="00BB460F"/>
    <w:rsid w:val="00BB5169"/>
    <w:rsid w:val="00BB5440"/>
    <w:rsid w:val="00BB5BD8"/>
    <w:rsid w:val="00BB66CD"/>
    <w:rsid w:val="00BB7134"/>
    <w:rsid w:val="00BB72FF"/>
    <w:rsid w:val="00BB741C"/>
    <w:rsid w:val="00BB7D74"/>
    <w:rsid w:val="00BB7DDA"/>
    <w:rsid w:val="00BC0006"/>
    <w:rsid w:val="00BC001D"/>
    <w:rsid w:val="00BC017B"/>
    <w:rsid w:val="00BC01DF"/>
    <w:rsid w:val="00BC08CC"/>
    <w:rsid w:val="00BC0DD2"/>
    <w:rsid w:val="00BC1029"/>
    <w:rsid w:val="00BC1700"/>
    <w:rsid w:val="00BC1A9C"/>
    <w:rsid w:val="00BC1E41"/>
    <w:rsid w:val="00BC1EBB"/>
    <w:rsid w:val="00BC29CE"/>
    <w:rsid w:val="00BC2B32"/>
    <w:rsid w:val="00BC2D8F"/>
    <w:rsid w:val="00BC346C"/>
    <w:rsid w:val="00BC360B"/>
    <w:rsid w:val="00BC3D70"/>
    <w:rsid w:val="00BC421B"/>
    <w:rsid w:val="00BC4597"/>
    <w:rsid w:val="00BC47E9"/>
    <w:rsid w:val="00BC4854"/>
    <w:rsid w:val="00BC4A2C"/>
    <w:rsid w:val="00BC4A4A"/>
    <w:rsid w:val="00BC4B91"/>
    <w:rsid w:val="00BC518D"/>
    <w:rsid w:val="00BC57B3"/>
    <w:rsid w:val="00BC5EDA"/>
    <w:rsid w:val="00BC5EDB"/>
    <w:rsid w:val="00BC6065"/>
    <w:rsid w:val="00BC6708"/>
    <w:rsid w:val="00BC776D"/>
    <w:rsid w:val="00BD005A"/>
    <w:rsid w:val="00BD092D"/>
    <w:rsid w:val="00BD099F"/>
    <w:rsid w:val="00BD0B6F"/>
    <w:rsid w:val="00BD1445"/>
    <w:rsid w:val="00BD1804"/>
    <w:rsid w:val="00BD182D"/>
    <w:rsid w:val="00BD280C"/>
    <w:rsid w:val="00BD2B70"/>
    <w:rsid w:val="00BD2C1C"/>
    <w:rsid w:val="00BD2EE0"/>
    <w:rsid w:val="00BD3479"/>
    <w:rsid w:val="00BD3B57"/>
    <w:rsid w:val="00BD3BF6"/>
    <w:rsid w:val="00BD400D"/>
    <w:rsid w:val="00BD401C"/>
    <w:rsid w:val="00BD4029"/>
    <w:rsid w:val="00BD4143"/>
    <w:rsid w:val="00BD4398"/>
    <w:rsid w:val="00BD481C"/>
    <w:rsid w:val="00BD498A"/>
    <w:rsid w:val="00BD4BE5"/>
    <w:rsid w:val="00BD4CA1"/>
    <w:rsid w:val="00BD4CDA"/>
    <w:rsid w:val="00BD4F6A"/>
    <w:rsid w:val="00BD511B"/>
    <w:rsid w:val="00BD58E5"/>
    <w:rsid w:val="00BD5977"/>
    <w:rsid w:val="00BD59A7"/>
    <w:rsid w:val="00BD5B9E"/>
    <w:rsid w:val="00BD67AA"/>
    <w:rsid w:val="00BD72EF"/>
    <w:rsid w:val="00BD72F8"/>
    <w:rsid w:val="00BD74D9"/>
    <w:rsid w:val="00BD768C"/>
    <w:rsid w:val="00BD775D"/>
    <w:rsid w:val="00BD78D2"/>
    <w:rsid w:val="00BD7A11"/>
    <w:rsid w:val="00BD7B1D"/>
    <w:rsid w:val="00BE0002"/>
    <w:rsid w:val="00BE0129"/>
    <w:rsid w:val="00BE024D"/>
    <w:rsid w:val="00BE0AC2"/>
    <w:rsid w:val="00BE0B6E"/>
    <w:rsid w:val="00BE0CB7"/>
    <w:rsid w:val="00BE14DB"/>
    <w:rsid w:val="00BE1B1C"/>
    <w:rsid w:val="00BE1D72"/>
    <w:rsid w:val="00BE1F69"/>
    <w:rsid w:val="00BE2109"/>
    <w:rsid w:val="00BE24AF"/>
    <w:rsid w:val="00BE27B9"/>
    <w:rsid w:val="00BE2E70"/>
    <w:rsid w:val="00BE354D"/>
    <w:rsid w:val="00BE368D"/>
    <w:rsid w:val="00BE36F7"/>
    <w:rsid w:val="00BE37C7"/>
    <w:rsid w:val="00BE388F"/>
    <w:rsid w:val="00BE42CB"/>
    <w:rsid w:val="00BE4473"/>
    <w:rsid w:val="00BE454F"/>
    <w:rsid w:val="00BE4AC7"/>
    <w:rsid w:val="00BE57DC"/>
    <w:rsid w:val="00BE584B"/>
    <w:rsid w:val="00BE5895"/>
    <w:rsid w:val="00BE5F7C"/>
    <w:rsid w:val="00BE6255"/>
    <w:rsid w:val="00BE6886"/>
    <w:rsid w:val="00BE68A3"/>
    <w:rsid w:val="00BE6E49"/>
    <w:rsid w:val="00BE7769"/>
    <w:rsid w:val="00BE785C"/>
    <w:rsid w:val="00BE79B3"/>
    <w:rsid w:val="00BE7A4D"/>
    <w:rsid w:val="00BE7AD7"/>
    <w:rsid w:val="00BE7ADB"/>
    <w:rsid w:val="00BE7C77"/>
    <w:rsid w:val="00BF0242"/>
    <w:rsid w:val="00BF0243"/>
    <w:rsid w:val="00BF054C"/>
    <w:rsid w:val="00BF0E7D"/>
    <w:rsid w:val="00BF1741"/>
    <w:rsid w:val="00BF1745"/>
    <w:rsid w:val="00BF1F68"/>
    <w:rsid w:val="00BF26D3"/>
    <w:rsid w:val="00BF284E"/>
    <w:rsid w:val="00BF2875"/>
    <w:rsid w:val="00BF3172"/>
    <w:rsid w:val="00BF3776"/>
    <w:rsid w:val="00BF3938"/>
    <w:rsid w:val="00BF3A31"/>
    <w:rsid w:val="00BF4066"/>
    <w:rsid w:val="00BF45DF"/>
    <w:rsid w:val="00BF48DA"/>
    <w:rsid w:val="00BF4B87"/>
    <w:rsid w:val="00BF4D08"/>
    <w:rsid w:val="00BF5C44"/>
    <w:rsid w:val="00BF5DC2"/>
    <w:rsid w:val="00BF603D"/>
    <w:rsid w:val="00BF651C"/>
    <w:rsid w:val="00BF679E"/>
    <w:rsid w:val="00BF6A04"/>
    <w:rsid w:val="00BF7215"/>
    <w:rsid w:val="00BF72D9"/>
    <w:rsid w:val="00BF7D89"/>
    <w:rsid w:val="00C008FE"/>
    <w:rsid w:val="00C009E1"/>
    <w:rsid w:val="00C013AA"/>
    <w:rsid w:val="00C013FA"/>
    <w:rsid w:val="00C019F1"/>
    <w:rsid w:val="00C01ACE"/>
    <w:rsid w:val="00C01E3A"/>
    <w:rsid w:val="00C01EE1"/>
    <w:rsid w:val="00C02D01"/>
    <w:rsid w:val="00C033DD"/>
    <w:rsid w:val="00C037A6"/>
    <w:rsid w:val="00C03A89"/>
    <w:rsid w:val="00C03AE2"/>
    <w:rsid w:val="00C04E61"/>
    <w:rsid w:val="00C0520C"/>
    <w:rsid w:val="00C05342"/>
    <w:rsid w:val="00C05346"/>
    <w:rsid w:val="00C055FE"/>
    <w:rsid w:val="00C059EF"/>
    <w:rsid w:val="00C05AD3"/>
    <w:rsid w:val="00C05CFF"/>
    <w:rsid w:val="00C05E85"/>
    <w:rsid w:val="00C067FF"/>
    <w:rsid w:val="00C06C40"/>
    <w:rsid w:val="00C06CEF"/>
    <w:rsid w:val="00C07178"/>
    <w:rsid w:val="00C07A41"/>
    <w:rsid w:val="00C10A28"/>
    <w:rsid w:val="00C10AC5"/>
    <w:rsid w:val="00C1122A"/>
    <w:rsid w:val="00C118AE"/>
    <w:rsid w:val="00C122C7"/>
    <w:rsid w:val="00C123D7"/>
    <w:rsid w:val="00C1243B"/>
    <w:rsid w:val="00C12516"/>
    <w:rsid w:val="00C1262C"/>
    <w:rsid w:val="00C126DE"/>
    <w:rsid w:val="00C12772"/>
    <w:rsid w:val="00C128E0"/>
    <w:rsid w:val="00C12A0C"/>
    <w:rsid w:val="00C12B10"/>
    <w:rsid w:val="00C12B9F"/>
    <w:rsid w:val="00C12D50"/>
    <w:rsid w:val="00C1328F"/>
    <w:rsid w:val="00C13301"/>
    <w:rsid w:val="00C1492F"/>
    <w:rsid w:val="00C15725"/>
    <w:rsid w:val="00C15809"/>
    <w:rsid w:val="00C15AE2"/>
    <w:rsid w:val="00C15E4C"/>
    <w:rsid w:val="00C168A2"/>
    <w:rsid w:val="00C1695E"/>
    <w:rsid w:val="00C16E6C"/>
    <w:rsid w:val="00C1769C"/>
    <w:rsid w:val="00C20106"/>
    <w:rsid w:val="00C201E5"/>
    <w:rsid w:val="00C202FC"/>
    <w:rsid w:val="00C2095D"/>
    <w:rsid w:val="00C20A2A"/>
    <w:rsid w:val="00C20D7A"/>
    <w:rsid w:val="00C21123"/>
    <w:rsid w:val="00C21226"/>
    <w:rsid w:val="00C215FC"/>
    <w:rsid w:val="00C221F6"/>
    <w:rsid w:val="00C2256D"/>
    <w:rsid w:val="00C225ED"/>
    <w:rsid w:val="00C22B57"/>
    <w:rsid w:val="00C23138"/>
    <w:rsid w:val="00C23483"/>
    <w:rsid w:val="00C234F0"/>
    <w:rsid w:val="00C235B1"/>
    <w:rsid w:val="00C235F8"/>
    <w:rsid w:val="00C24FEC"/>
    <w:rsid w:val="00C25DC4"/>
    <w:rsid w:val="00C25E71"/>
    <w:rsid w:val="00C25F94"/>
    <w:rsid w:val="00C2609F"/>
    <w:rsid w:val="00C26885"/>
    <w:rsid w:val="00C268DD"/>
    <w:rsid w:val="00C269B0"/>
    <w:rsid w:val="00C26D16"/>
    <w:rsid w:val="00C26FA7"/>
    <w:rsid w:val="00C2716C"/>
    <w:rsid w:val="00C27268"/>
    <w:rsid w:val="00C272BF"/>
    <w:rsid w:val="00C27BE6"/>
    <w:rsid w:val="00C27D75"/>
    <w:rsid w:val="00C30095"/>
    <w:rsid w:val="00C300C5"/>
    <w:rsid w:val="00C30A07"/>
    <w:rsid w:val="00C30AB7"/>
    <w:rsid w:val="00C30DDE"/>
    <w:rsid w:val="00C30F0C"/>
    <w:rsid w:val="00C31142"/>
    <w:rsid w:val="00C312FC"/>
    <w:rsid w:val="00C31C65"/>
    <w:rsid w:val="00C31EF5"/>
    <w:rsid w:val="00C31F18"/>
    <w:rsid w:val="00C323F1"/>
    <w:rsid w:val="00C32610"/>
    <w:rsid w:val="00C32963"/>
    <w:rsid w:val="00C32A33"/>
    <w:rsid w:val="00C32C72"/>
    <w:rsid w:val="00C33A5B"/>
    <w:rsid w:val="00C33F43"/>
    <w:rsid w:val="00C341E6"/>
    <w:rsid w:val="00C346EB"/>
    <w:rsid w:val="00C347CF"/>
    <w:rsid w:val="00C354B5"/>
    <w:rsid w:val="00C359D2"/>
    <w:rsid w:val="00C362F0"/>
    <w:rsid w:val="00C36BC5"/>
    <w:rsid w:val="00C36FA9"/>
    <w:rsid w:val="00C3764B"/>
    <w:rsid w:val="00C37EED"/>
    <w:rsid w:val="00C37FD3"/>
    <w:rsid w:val="00C40344"/>
    <w:rsid w:val="00C403E6"/>
    <w:rsid w:val="00C40497"/>
    <w:rsid w:val="00C40AEB"/>
    <w:rsid w:val="00C4121F"/>
    <w:rsid w:val="00C413BA"/>
    <w:rsid w:val="00C4149D"/>
    <w:rsid w:val="00C41D2D"/>
    <w:rsid w:val="00C42019"/>
    <w:rsid w:val="00C42094"/>
    <w:rsid w:val="00C422C4"/>
    <w:rsid w:val="00C4326D"/>
    <w:rsid w:val="00C43646"/>
    <w:rsid w:val="00C438A2"/>
    <w:rsid w:val="00C43E3E"/>
    <w:rsid w:val="00C43FCA"/>
    <w:rsid w:val="00C44DEF"/>
    <w:rsid w:val="00C451D2"/>
    <w:rsid w:val="00C458E7"/>
    <w:rsid w:val="00C45908"/>
    <w:rsid w:val="00C45F2D"/>
    <w:rsid w:val="00C462E7"/>
    <w:rsid w:val="00C47B25"/>
    <w:rsid w:val="00C47CB8"/>
    <w:rsid w:val="00C47ED7"/>
    <w:rsid w:val="00C47F00"/>
    <w:rsid w:val="00C47F86"/>
    <w:rsid w:val="00C50499"/>
    <w:rsid w:val="00C5077A"/>
    <w:rsid w:val="00C51408"/>
    <w:rsid w:val="00C51767"/>
    <w:rsid w:val="00C5181E"/>
    <w:rsid w:val="00C519FB"/>
    <w:rsid w:val="00C51DC9"/>
    <w:rsid w:val="00C51F7E"/>
    <w:rsid w:val="00C5215D"/>
    <w:rsid w:val="00C524BB"/>
    <w:rsid w:val="00C5277E"/>
    <w:rsid w:val="00C52D47"/>
    <w:rsid w:val="00C52FB9"/>
    <w:rsid w:val="00C53215"/>
    <w:rsid w:val="00C53488"/>
    <w:rsid w:val="00C5350C"/>
    <w:rsid w:val="00C53F86"/>
    <w:rsid w:val="00C5438E"/>
    <w:rsid w:val="00C54532"/>
    <w:rsid w:val="00C5454E"/>
    <w:rsid w:val="00C54AEE"/>
    <w:rsid w:val="00C5500F"/>
    <w:rsid w:val="00C5541D"/>
    <w:rsid w:val="00C556E9"/>
    <w:rsid w:val="00C56065"/>
    <w:rsid w:val="00C5647C"/>
    <w:rsid w:val="00C569BE"/>
    <w:rsid w:val="00C56AB1"/>
    <w:rsid w:val="00C56B92"/>
    <w:rsid w:val="00C56C20"/>
    <w:rsid w:val="00C56D94"/>
    <w:rsid w:val="00C57037"/>
    <w:rsid w:val="00C57885"/>
    <w:rsid w:val="00C57DCB"/>
    <w:rsid w:val="00C610B5"/>
    <w:rsid w:val="00C61739"/>
    <w:rsid w:val="00C61C68"/>
    <w:rsid w:val="00C620C9"/>
    <w:rsid w:val="00C62411"/>
    <w:rsid w:val="00C624B1"/>
    <w:rsid w:val="00C62AF9"/>
    <w:rsid w:val="00C632B2"/>
    <w:rsid w:val="00C63979"/>
    <w:rsid w:val="00C64872"/>
    <w:rsid w:val="00C652A8"/>
    <w:rsid w:val="00C65391"/>
    <w:rsid w:val="00C65BD9"/>
    <w:rsid w:val="00C65FCB"/>
    <w:rsid w:val="00C669F0"/>
    <w:rsid w:val="00C66AB5"/>
    <w:rsid w:val="00C66EA3"/>
    <w:rsid w:val="00C6721A"/>
    <w:rsid w:val="00C672AA"/>
    <w:rsid w:val="00C672C8"/>
    <w:rsid w:val="00C67C31"/>
    <w:rsid w:val="00C67DA3"/>
    <w:rsid w:val="00C67FFB"/>
    <w:rsid w:val="00C70066"/>
    <w:rsid w:val="00C70682"/>
    <w:rsid w:val="00C70B59"/>
    <w:rsid w:val="00C71927"/>
    <w:rsid w:val="00C719FC"/>
    <w:rsid w:val="00C71B48"/>
    <w:rsid w:val="00C72056"/>
    <w:rsid w:val="00C7218E"/>
    <w:rsid w:val="00C72218"/>
    <w:rsid w:val="00C72848"/>
    <w:rsid w:val="00C72A85"/>
    <w:rsid w:val="00C72C4F"/>
    <w:rsid w:val="00C72CF4"/>
    <w:rsid w:val="00C73315"/>
    <w:rsid w:val="00C73A69"/>
    <w:rsid w:val="00C73BCF"/>
    <w:rsid w:val="00C73CB4"/>
    <w:rsid w:val="00C73E5C"/>
    <w:rsid w:val="00C7415A"/>
    <w:rsid w:val="00C745BF"/>
    <w:rsid w:val="00C746D6"/>
    <w:rsid w:val="00C74B48"/>
    <w:rsid w:val="00C74C2C"/>
    <w:rsid w:val="00C74D77"/>
    <w:rsid w:val="00C750C3"/>
    <w:rsid w:val="00C75108"/>
    <w:rsid w:val="00C7514B"/>
    <w:rsid w:val="00C751B9"/>
    <w:rsid w:val="00C75281"/>
    <w:rsid w:val="00C756C6"/>
    <w:rsid w:val="00C759B5"/>
    <w:rsid w:val="00C75B25"/>
    <w:rsid w:val="00C75CCA"/>
    <w:rsid w:val="00C75D2D"/>
    <w:rsid w:val="00C75F2F"/>
    <w:rsid w:val="00C76ABF"/>
    <w:rsid w:val="00C776E6"/>
    <w:rsid w:val="00C7795E"/>
    <w:rsid w:val="00C77AB3"/>
    <w:rsid w:val="00C77DE7"/>
    <w:rsid w:val="00C78F9F"/>
    <w:rsid w:val="00C80032"/>
    <w:rsid w:val="00C805E5"/>
    <w:rsid w:val="00C80851"/>
    <w:rsid w:val="00C80BCF"/>
    <w:rsid w:val="00C80D94"/>
    <w:rsid w:val="00C81B38"/>
    <w:rsid w:val="00C81EF6"/>
    <w:rsid w:val="00C82399"/>
    <w:rsid w:val="00C82B86"/>
    <w:rsid w:val="00C83097"/>
    <w:rsid w:val="00C8315E"/>
    <w:rsid w:val="00C83B61"/>
    <w:rsid w:val="00C84502"/>
    <w:rsid w:val="00C8469A"/>
    <w:rsid w:val="00C8472B"/>
    <w:rsid w:val="00C849B9"/>
    <w:rsid w:val="00C84CF3"/>
    <w:rsid w:val="00C84ED7"/>
    <w:rsid w:val="00C8556F"/>
    <w:rsid w:val="00C8593B"/>
    <w:rsid w:val="00C860BC"/>
    <w:rsid w:val="00C8658F"/>
    <w:rsid w:val="00C869A0"/>
    <w:rsid w:val="00C869FE"/>
    <w:rsid w:val="00C86C1F"/>
    <w:rsid w:val="00C87195"/>
    <w:rsid w:val="00C8744C"/>
    <w:rsid w:val="00C87909"/>
    <w:rsid w:val="00C87ACD"/>
    <w:rsid w:val="00C87BAD"/>
    <w:rsid w:val="00C87BC7"/>
    <w:rsid w:val="00C9028A"/>
    <w:rsid w:val="00C90A15"/>
    <w:rsid w:val="00C90BF3"/>
    <w:rsid w:val="00C90F10"/>
    <w:rsid w:val="00C91BC4"/>
    <w:rsid w:val="00C92A98"/>
    <w:rsid w:val="00C92CEC"/>
    <w:rsid w:val="00C94298"/>
    <w:rsid w:val="00C95546"/>
    <w:rsid w:val="00C95978"/>
    <w:rsid w:val="00C95DF7"/>
    <w:rsid w:val="00C95FCA"/>
    <w:rsid w:val="00C97109"/>
    <w:rsid w:val="00C973FA"/>
    <w:rsid w:val="00C97AE5"/>
    <w:rsid w:val="00CA0685"/>
    <w:rsid w:val="00CA080F"/>
    <w:rsid w:val="00CA0990"/>
    <w:rsid w:val="00CA0FA8"/>
    <w:rsid w:val="00CA19A8"/>
    <w:rsid w:val="00CA22BB"/>
    <w:rsid w:val="00CA22C8"/>
    <w:rsid w:val="00CA237E"/>
    <w:rsid w:val="00CA3721"/>
    <w:rsid w:val="00CA3A5D"/>
    <w:rsid w:val="00CA3B73"/>
    <w:rsid w:val="00CA45F1"/>
    <w:rsid w:val="00CA470E"/>
    <w:rsid w:val="00CA47E4"/>
    <w:rsid w:val="00CA4B41"/>
    <w:rsid w:val="00CA4EFB"/>
    <w:rsid w:val="00CA585C"/>
    <w:rsid w:val="00CA66C8"/>
    <w:rsid w:val="00CA683E"/>
    <w:rsid w:val="00CA68B0"/>
    <w:rsid w:val="00CA70CC"/>
    <w:rsid w:val="00CA75E8"/>
    <w:rsid w:val="00CA7726"/>
    <w:rsid w:val="00CA77E5"/>
    <w:rsid w:val="00CA793D"/>
    <w:rsid w:val="00CB01D3"/>
    <w:rsid w:val="00CB03A7"/>
    <w:rsid w:val="00CB091F"/>
    <w:rsid w:val="00CB0A71"/>
    <w:rsid w:val="00CB104F"/>
    <w:rsid w:val="00CB16F6"/>
    <w:rsid w:val="00CB19B6"/>
    <w:rsid w:val="00CB1AD0"/>
    <w:rsid w:val="00CB1E7D"/>
    <w:rsid w:val="00CB1EC9"/>
    <w:rsid w:val="00CB2439"/>
    <w:rsid w:val="00CB2FDC"/>
    <w:rsid w:val="00CB30B2"/>
    <w:rsid w:val="00CB37AA"/>
    <w:rsid w:val="00CB386D"/>
    <w:rsid w:val="00CB3F91"/>
    <w:rsid w:val="00CB43B0"/>
    <w:rsid w:val="00CB464C"/>
    <w:rsid w:val="00CB4DE2"/>
    <w:rsid w:val="00CB5124"/>
    <w:rsid w:val="00CB56D9"/>
    <w:rsid w:val="00CB585A"/>
    <w:rsid w:val="00CB5A00"/>
    <w:rsid w:val="00CB5BCC"/>
    <w:rsid w:val="00CB5D77"/>
    <w:rsid w:val="00CB6267"/>
    <w:rsid w:val="00CB64A1"/>
    <w:rsid w:val="00CB6611"/>
    <w:rsid w:val="00CB66EC"/>
    <w:rsid w:val="00CB702B"/>
    <w:rsid w:val="00CB74A7"/>
    <w:rsid w:val="00CB765E"/>
    <w:rsid w:val="00CC02FA"/>
    <w:rsid w:val="00CC0668"/>
    <w:rsid w:val="00CC1D24"/>
    <w:rsid w:val="00CC1F3A"/>
    <w:rsid w:val="00CC2273"/>
    <w:rsid w:val="00CC27DC"/>
    <w:rsid w:val="00CC2B0B"/>
    <w:rsid w:val="00CC2F45"/>
    <w:rsid w:val="00CC3A27"/>
    <w:rsid w:val="00CC41BF"/>
    <w:rsid w:val="00CC459D"/>
    <w:rsid w:val="00CC45CE"/>
    <w:rsid w:val="00CC46A6"/>
    <w:rsid w:val="00CC5015"/>
    <w:rsid w:val="00CC5022"/>
    <w:rsid w:val="00CC5281"/>
    <w:rsid w:val="00CC5487"/>
    <w:rsid w:val="00CC54E9"/>
    <w:rsid w:val="00CC57AB"/>
    <w:rsid w:val="00CC5CDD"/>
    <w:rsid w:val="00CC5DB3"/>
    <w:rsid w:val="00CC6136"/>
    <w:rsid w:val="00CC6216"/>
    <w:rsid w:val="00CC6558"/>
    <w:rsid w:val="00CC69D7"/>
    <w:rsid w:val="00CC6BFB"/>
    <w:rsid w:val="00CC7153"/>
    <w:rsid w:val="00CC72D9"/>
    <w:rsid w:val="00CC74D8"/>
    <w:rsid w:val="00CC79B2"/>
    <w:rsid w:val="00CC7C15"/>
    <w:rsid w:val="00CC7C40"/>
    <w:rsid w:val="00CC7E93"/>
    <w:rsid w:val="00CD02CF"/>
    <w:rsid w:val="00CD093D"/>
    <w:rsid w:val="00CD130F"/>
    <w:rsid w:val="00CD1567"/>
    <w:rsid w:val="00CD18DC"/>
    <w:rsid w:val="00CD18F7"/>
    <w:rsid w:val="00CD196B"/>
    <w:rsid w:val="00CD1CFE"/>
    <w:rsid w:val="00CD2096"/>
    <w:rsid w:val="00CD2686"/>
    <w:rsid w:val="00CD2EB4"/>
    <w:rsid w:val="00CD2FCC"/>
    <w:rsid w:val="00CD3153"/>
    <w:rsid w:val="00CD328C"/>
    <w:rsid w:val="00CD35F7"/>
    <w:rsid w:val="00CD35FE"/>
    <w:rsid w:val="00CD3B3A"/>
    <w:rsid w:val="00CD404A"/>
    <w:rsid w:val="00CD44D6"/>
    <w:rsid w:val="00CD463A"/>
    <w:rsid w:val="00CD46D5"/>
    <w:rsid w:val="00CD4AB4"/>
    <w:rsid w:val="00CD4FA1"/>
    <w:rsid w:val="00CD520B"/>
    <w:rsid w:val="00CD5379"/>
    <w:rsid w:val="00CD5E3B"/>
    <w:rsid w:val="00CD6303"/>
    <w:rsid w:val="00CD65F8"/>
    <w:rsid w:val="00CD6F6A"/>
    <w:rsid w:val="00CD6F79"/>
    <w:rsid w:val="00CD700B"/>
    <w:rsid w:val="00CD75C6"/>
    <w:rsid w:val="00CE0082"/>
    <w:rsid w:val="00CE0655"/>
    <w:rsid w:val="00CE0812"/>
    <w:rsid w:val="00CE0918"/>
    <w:rsid w:val="00CE0AFB"/>
    <w:rsid w:val="00CE0BFE"/>
    <w:rsid w:val="00CE0FAF"/>
    <w:rsid w:val="00CE12F6"/>
    <w:rsid w:val="00CE14CA"/>
    <w:rsid w:val="00CE1750"/>
    <w:rsid w:val="00CE1FAC"/>
    <w:rsid w:val="00CE271F"/>
    <w:rsid w:val="00CE290B"/>
    <w:rsid w:val="00CE3066"/>
    <w:rsid w:val="00CE327A"/>
    <w:rsid w:val="00CE3C8C"/>
    <w:rsid w:val="00CE422B"/>
    <w:rsid w:val="00CE45D4"/>
    <w:rsid w:val="00CE4A40"/>
    <w:rsid w:val="00CE4ED2"/>
    <w:rsid w:val="00CE4EE6"/>
    <w:rsid w:val="00CE5043"/>
    <w:rsid w:val="00CE5324"/>
    <w:rsid w:val="00CE549F"/>
    <w:rsid w:val="00CE5726"/>
    <w:rsid w:val="00CE5E7B"/>
    <w:rsid w:val="00CE5F24"/>
    <w:rsid w:val="00CE6D90"/>
    <w:rsid w:val="00CE6E5B"/>
    <w:rsid w:val="00CE716E"/>
    <w:rsid w:val="00CE71CD"/>
    <w:rsid w:val="00CE72D7"/>
    <w:rsid w:val="00CE768C"/>
    <w:rsid w:val="00CF006C"/>
    <w:rsid w:val="00CF00D9"/>
    <w:rsid w:val="00CF0955"/>
    <w:rsid w:val="00CF0A44"/>
    <w:rsid w:val="00CF0CC3"/>
    <w:rsid w:val="00CF1055"/>
    <w:rsid w:val="00CF14CC"/>
    <w:rsid w:val="00CF1A93"/>
    <w:rsid w:val="00CF1BA9"/>
    <w:rsid w:val="00CF1C2B"/>
    <w:rsid w:val="00CF20D5"/>
    <w:rsid w:val="00CF2517"/>
    <w:rsid w:val="00CF2A9C"/>
    <w:rsid w:val="00CF2EBD"/>
    <w:rsid w:val="00CF2F22"/>
    <w:rsid w:val="00CF318A"/>
    <w:rsid w:val="00CF31E0"/>
    <w:rsid w:val="00CF33A0"/>
    <w:rsid w:val="00CF360E"/>
    <w:rsid w:val="00CF3664"/>
    <w:rsid w:val="00CF3D10"/>
    <w:rsid w:val="00CF3D6B"/>
    <w:rsid w:val="00CF481A"/>
    <w:rsid w:val="00CF4B43"/>
    <w:rsid w:val="00CF4CE3"/>
    <w:rsid w:val="00CF4F99"/>
    <w:rsid w:val="00CF5191"/>
    <w:rsid w:val="00CF51B2"/>
    <w:rsid w:val="00CF54EF"/>
    <w:rsid w:val="00CF57A8"/>
    <w:rsid w:val="00CF63AF"/>
    <w:rsid w:val="00CF6FD3"/>
    <w:rsid w:val="00CF6FE2"/>
    <w:rsid w:val="00D00A70"/>
    <w:rsid w:val="00D011DB"/>
    <w:rsid w:val="00D01C6B"/>
    <w:rsid w:val="00D02185"/>
    <w:rsid w:val="00D02767"/>
    <w:rsid w:val="00D02812"/>
    <w:rsid w:val="00D02B41"/>
    <w:rsid w:val="00D03176"/>
    <w:rsid w:val="00D0484F"/>
    <w:rsid w:val="00D048A8"/>
    <w:rsid w:val="00D04F98"/>
    <w:rsid w:val="00D04FD9"/>
    <w:rsid w:val="00D050D4"/>
    <w:rsid w:val="00D0519D"/>
    <w:rsid w:val="00D0522B"/>
    <w:rsid w:val="00D05258"/>
    <w:rsid w:val="00D05374"/>
    <w:rsid w:val="00D05501"/>
    <w:rsid w:val="00D05591"/>
    <w:rsid w:val="00D0562C"/>
    <w:rsid w:val="00D057B5"/>
    <w:rsid w:val="00D05F1A"/>
    <w:rsid w:val="00D061F1"/>
    <w:rsid w:val="00D06A1E"/>
    <w:rsid w:val="00D06CCE"/>
    <w:rsid w:val="00D06E5B"/>
    <w:rsid w:val="00D074D0"/>
    <w:rsid w:val="00D07578"/>
    <w:rsid w:val="00D076F1"/>
    <w:rsid w:val="00D10413"/>
    <w:rsid w:val="00D106AA"/>
    <w:rsid w:val="00D10A95"/>
    <w:rsid w:val="00D10FC4"/>
    <w:rsid w:val="00D116C3"/>
    <w:rsid w:val="00D11961"/>
    <w:rsid w:val="00D11A8F"/>
    <w:rsid w:val="00D11E75"/>
    <w:rsid w:val="00D11F3C"/>
    <w:rsid w:val="00D12267"/>
    <w:rsid w:val="00D122B1"/>
    <w:rsid w:val="00D12A6B"/>
    <w:rsid w:val="00D12BA7"/>
    <w:rsid w:val="00D13264"/>
    <w:rsid w:val="00D133FE"/>
    <w:rsid w:val="00D135F4"/>
    <w:rsid w:val="00D1364A"/>
    <w:rsid w:val="00D1365F"/>
    <w:rsid w:val="00D13750"/>
    <w:rsid w:val="00D13ABC"/>
    <w:rsid w:val="00D1443B"/>
    <w:rsid w:val="00D14471"/>
    <w:rsid w:val="00D14541"/>
    <w:rsid w:val="00D145D3"/>
    <w:rsid w:val="00D146A1"/>
    <w:rsid w:val="00D14ACF"/>
    <w:rsid w:val="00D14C67"/>
    <w:rsid w:val="00D15343"/>
    <w:rsid w:val="00D158B3"/>
    <w:rsid w:val="00D159A8"/>
    <w:rsid w:val="00D15A35"/>
    <w:rsid w:val="00D15C36"/>
    <w:rsid w:val="00D15E89"/>
    <w:rsid w:val="00D161B3"/>
    <w:rsid w:val="00D167B0"/>
    <w:rsid w:val="00D16932"/>
    <w:rsid w:val="00D16B7F"/>
    <w:rsid w:val="00D16CD5"/>
    <w:rsid w:val="00D16CFF"/>
    <w:rsid w:val="00D16D86"/>
    <w:rsid w:val="00D17567"/>
    <w:rsid w:val="00D177B4"/>
    <w:rsid w:val="00D1797E"/>
    <w:rsid w:val="00D17C7F"/>
    <w:rsid w:val="00D202ED"/>
    <w:rsid w:val="00D203F8"/>
    <w:rsid w:val="00D207D2"/>
    <w:rsid w:val="00D20DAB"/>
    <w:rsid w:val="00D2107E"/>
    <w:rsid w:val="00D22763"/>
    <w:rsid w:val="00D234E3"/>
    <w:rsid w:val="00D23CFC"/>
    <w:rsid w:val="00D23EBF"/>
    <w:rsid w:val="00D24629"/>
    <w:rsid w:val="00D24CA1"/>
    <w:rsid w:val="00D24DED"/>
    <w:rsid w:val="00D24E70"/>
    <w:rsid w:val="00D2567E"/>
    <w:rsid w:val="00D25898"/>
    <w:rsid w:val="00D26036"/>
    <w:rsid w:val="00D265F8"/>
    <w:rsid w:val="00D26636"/>
    <w:rsid w:val="00D26668"/>
    <w:rsid w:val="00D266B7"/>
    <w:rsid w:val="00D26FB4"/>
    <w:rsid w:val="00D277D7"/>
    <w:rsid w:val="00D27810"/>
    <w:rsid w:val="00D27946"/>
    <w:rsid w:val="00D27A84"/>
    <w:rsid w:val="00D27DB5"/>
    <w:rsid w:val="00D27DD4"/>
    <w:rsid w:val="00D30365"/>
    <w:rsid w:val="00D30ABD"/>
    <w:rsid w:val="00D30D81"/>
    <w:rsid w:val="00D30F47"/>
    <w:rsid w:val="00D3105B"/>
    <w:rsid w:val="00D31920"/>
    <w:rsid w:val="00D321DF"/>
    <w:rsid w:val="00D32848"/>
    <w:rsid w:val="00D333F9"/>
    <w:rsid w:val="00D33740"/>
    <w:rsid w:val="00D33CC8"/>
    <w:rsid w:val="00D33D18"/>
    <w:rsid w:val="00D33D30"/>
    <w:rsid w:val="00D33E90"/>
    <w:rsid w:val="00D3424F"/>
    <w:rsid w:val="00D34DD8"/>
    <w:rsid w:val="00D34F7E"/>
    <w:rsid w:val="00D35772"/>
    <w:rsid w:val="00D3677C"/>
    <w:rsid w:val="00D368D1"/>
    <w:rsid w:val="00D36A23"/>
    <w:rsid w:val="00D36C62"/>
    <w:rsid w:val="00D36FBB"/>
    <w:rsid w:val="00D37295"/>
    <w:rsid w:val="00D37BA6"/>
    <w:rsid w:val="00D4002D"/>
    <w:rsid w:val="00D406CB"/>
    <w:rsid w:val="00D40D03"/>
    <w:rsid w:val="00D416C3"/>
    <w:rsid w:val="00D41C14"/>
    <w:rsid w:val="00D4296C"/>
    <w:rsid w:val="00D42D44"/>
    <w:rsid w:val="00D42E47"/>
    <w:rsid w:val="00D43AD7"/>
    <w:rsid w:val="00D43CC3"/>
    <w:rsid w:val="00D43EB4"/>
    <w:rsid w:val="00D4407C"/>
    <w:rsid w:val="00D4491E"/>
    <w:rsid w:val="00D44C26"/>
    <w:rsid w:val="00D44DCF"/>
    <w:rsid w:val="00D44FC3"/>
    <w:rsid w:val="00D4517A"/>
    <w:rsid w:val="00D4518A"/>
    <w:rsid w:val="00D451F8"/>
    <w:rsid w:val="00D45610"/>
    <w:rsid w:val="00D45AB2"/>
    <w:rsid w:val="00D4655C"/>
    <w:rsid w:val="00D46EAD"/>
    <w:rsid w:val="00D50808"/>
    <w:rsid w:val="00D50860"/>
    <w:rsid w:val="00D50F39"/>
    <w:rsid w:val="00D5161F"/>
    <w:rsid w:val="00D51782"/>
    <w:rsid w:val="00D51941"/>
    <w:rsid w:val="00D51EEA"/>
    <w:rsid w:val="00D52E8B"/>
    <w:rsid w:val="00D534E1"/>
    <w:rsid w:val="00D53537"/>
    <w:rsid w:val="00D53A49"/>
    <w:rsid w:val="00D53BEA"/>
    <w:rsid w:val="00D543A4"/>
    <w:rsid w:val="00D546AE"/>
    <w:rsid w:val="00D54AB4"/>
    <w:rsid w:val="00D54DAB"/>
    <w:rsid w:val="00D55B5D"/>
    <w:rsid w:val="00D56052"/>
    <w:rsid w:val="00D56099"/>
    <w:rsid w:val="00D56124"/>
    <w:rsid w:val="00D563A9"/>
    <w:rsid w:val="00D5643B"/>
    <w:rsid w:val="00D572D4"/>
    <w:rsid w:val="00D5779B"/>
    <w:rsid w:val="00D57D37"/>
    <w:rsid w:val="00D57E36"/>
    <w:rsid w:val="00D60040"/>
    <w:rsid w:val="00D6042C"/>
    <w:rsid w:val="00D6044E"/>
    <w:rsid w:val="00D606C7"/>
    <w:rsid w:val="00D60825"/>
    <w:rsid w:val="00D60D61"/>
    <w:rsid w:val="00D60D71"/>
    <w:rsid w:val="00D60FEB"/>
    <w:rsid w:val="00D61172"/>
    <w:rsid w:val="00D61996"/>
    <w:rsid w:val="00D61A00"/>
    <w:rsid w:val="00D61C6B"/>
    <w:rsid w:val="00D61D4F"/>
    <w:rsid w:val="00D62189"/>
    <w:rsid w:val="00D624CC"/>
    <w:rsid w:val="00D6263C"/>
    <w:rsid w:val="00D62F8D"/>
    <w:rsid w:val="00D62FFE"/>
    <w:rsid w:val="00D6348D"/>
    <w:rsid w:val="00D63B3A"/>
    <w:rsid w:val="00D63ED7"/>
    <w:rsid w:val="00D642BE"/>
    <w:rsid w:val="00D64893"/>
    <w:rsid w:val="00D64EC6"/>
    <w:rsid w:val="00D65C11"/>
    <w:rsid w:val="00D65DD2"/>
    <w:rsid w:val="00D65FF4"/>
    <w:rsid w:val="00D6638F"/>
    <w:rsid w:val="00D663F6"/>
    <w:rsid w:val="00D66988"/>
    <w:rsid w:val="00D66C9F"/>
    <w:rsid w:val="00D66E42"/>
    <w:rsid w:val="00D7024B"/>
    <w:rsid w:val="00D702D4"/>
    <w:rsid w:val="00D70CCE"/>
    <w:rsid w:val="00D70D3C"/>
    <w:rsid w:val="00D70E97"/>
    <w:rsid w:val="00D711FA"/>
    <w:rsid w:val="00D715B2"/>
    <w:rsid w:val="00D71D89"/>
    <w:rsid w:val="00D72388"/>
    <w:rsid w:val="00D72482"/>
    <w:rsid w:val="00D72A81"/>
    <w:rsid w:val="00D733F9"/>
    <w:rsid w:val="00D73491"/>
    <w:rsid w:val="00D735A1"/>
    <w:rsid w:val="00D73823"/>
    <w:rsid w:val="00D738A1"/>
    <w:rsid w:val="00D73A02"/>
    <w:rsid w:val="00D73A0F"/>
    <w:rsid w:val="00D73DCF"/>
    <w:rsid w:val="00D74855"/>
    <w:rsid w:val="00D74A45"/>
    <w:rsid w:val="00D74BD9"/>
    <w:rsid w:val="00D74C3C"/>
    <w:rsid w:val="00D74CC0"/>
    <w:rsid w:val="00D74E8E"/>
    <w:rsid w:val="00D7536E"/>
    <w:rsid w:val="00D7543A"/>
    <w:rsid w:val="00D755AC"/>
    <w:rsid w:val="00D75BCF"/>
    <w:rsid w:val="00D75E26"/>
    <w:rsid w:val="00D761B5"/>
    <w:rsid w:val="00D76543"/>
    <w:rsid w:val="00D76910"/>
    <w:rsid w:val="00D7696D"/>
    <w:rsid w:val="00D76976"/>
    <w:rsid w:val="00D76E6F"/>
    <w:rsid w:val="00D76F64"/>
    <w:rsid w:val="00D777B3"/>
    <w:rsid w:val="00D77B09"/>
    <w:rsid w:val="00D77F54"/>
    <w:rsid w:val="00D77FF8"/>
    <w:rsid w:val="00D800BD"/>
    <w:rsid w:val="00D80113"/>
    <w:rsid w:val="00D805DE"/>
    <w:rsid w:val="00D80AB3"/>
    <w:rsid w:val="00D80BC8"/>
    <w:rsid w:val="00D81033"/>
    <w:rsid w:val="00D813CC"/>
    <w:rsid w:val="00D818B9"/>
    <w:rsid w:val="00D81974"/>
    <w:rsid w:val="00D81C09"/>
    <w:rsid w:val="00D82974"/>
    <w:rsid w:val="00D8297C"/>
    <w:rsid w:val="00D82A77"/>
    <w:rsid w:val="00D82D93"/>
    <w:rsid w:val="00D8379A"/>
    <w:rsid w:val="00D8399A"/>
    <w:rsid w:val="00D83AE7"/>
    <w:rsid w:val="00D83E71"/>
    <w:rsid w:val="00D8472F"/>
    <w:rsid w:val="00D84CE9"/>
    <w:rsid w:val="00D84DEA"/>
    <w:rsid w:val="00D84F4A"/>
    <w:rsid w:val="00D85080"/>
    <w:rsid w:val="00D85214"/>
    <w:rsid w:val="00D85298"/>
    <w:rsid w:val="00D858CA"/>
    <w:rsid w:val="00D85AE4"/>
    <w:rsid w:val="00D85BD8"/>
    <w:rsid w:val="00D85DA1"/>
    <w:rsid w:val="00D86229"/>
    <w:rsid w:val="00D86524"/>
    <w:rsid w:val="00D86693"/>
    <w:rsid w:val="00D869CF"/>
    <w:rsid w:val="00D86C11"/>
    <w:rsid w:val="00D871F8"/>
    <w:rsid w:val="00D8735A"/>
    <w:rsid w:val="00D877B4"/>
    <w:rsid w:val="00D87D35"/>
    <w:rsid w:val="00D87D9E"/>
    <w:rsid w:val="00D90309"/>
    <w:rsid w:val="00D906DC"/>
    <w:rsid w:val="00D90C03"/>
    <w:rsid w:val="00D90D18"/>
    <w:rsid w:val="00D90ED1"/>
    <w:rsid w:val="00D92AC8"/>
    <w:rsid w:val="00D92BC5"/>
    <w:rsid w:val="00D937F9"/>
    <w:rsid w:val="00D94036"/>
    <w:rsid w:val="00D9491E"/>
    <w:rsid w:val="00D94C9E"/>
    <w:rsid w:val="00D94FC7"/>
    <w:rsid w:val="00D94FC9"/>
    <w:rsid w:val="00D950ED"/>
    <w:rsid w:val="00D953DD"/>
    <w:rsid w:val="00D957EF"/>
    <w:rsid w:val="00D96875"/>
    <w:rsid w:val="00D96D1D"/>
    <w:rsid w:val="00D96DEE"/>
    <w:rsid w:val="00D96EC0"/>
    <w:rsid w:val="00D97140"/>
    <w:rsid w:val="00D979C9"/>
    <w:rsid w:val="00D97B62"/>
    <w:rsid w:val="00DA000C"/>
    <w:rsid w:val="00DA0234"/>
    <w:rsid w:val="00DA03D2"/>
    <w:rsid w:val="00DA03EA"/>
    <w:rsid w:val="00DA040A"/>
    <w:rsid w:val="00DA0BC7"/>
    <w:rsid w:val="00DA0CA1"/>
    <w:rsid w:val="00DA1012"/>
    <w:rsid w:val="00DA1169"/>
    <w:rsid w:val="00DA1409"/>
    <w:rsid w:val="00DA17A4"/>
    <w:rsid w:val="00DA19AE"/>
    <w:rsid w:val="00DA1C4A"/>
    <w:rsid w:val="00DA1D0E"/>
    <w:rsid w:val="00DA1E09"/>
    <w:rsid w:val="00DA1E19"/>
    <w:rsid w:val="00DA216E"/>
    <w:rsid w:val="00DA237C"/>
    <w:rsid w:val="00DA3452"/>
    <w:rsid w:val="00DA37D9"/>
    <w:rsid w:val="00DA3B2C"/>
    <w:rsid w:val="00DA42A4"/>
    <w:rsid w:val="00DA434D"/>
    <w:rsid w:val="00DA4432"/>
    <w:rsid w:val="00DA4477"/>
    <w:rsid w:val="00DA46E2"/>
    <w:rsid w:val="00DA4BF7"/>
    <w:rsid w:val="00DA4ED9"/>
    <w:rsid w:val="00DA500E"/>
    <w:rsid w:val="00DA50C9"/>
    <w:rsid w:val="00DA5249"/>
    <w:rsid w:val="00DA67B5"/>
    <w:rsid w:val="00DA70C7"/>
    <w:rsid w:val="00DA7122"/>
    <w:rsid w:val="00DA72F5"/>
    <w:rsid w:val="00DA7400"/>
    <w:rsid w:val="00DA771F"/>
    <w:rsid w:val="00DA777F"/>
    <w:rsid w:val="00DA779B"/>
    <w:rsid w:val="00DA7AC0"/>
    <w:rsid w:val="00DA7CB1"/>
    <w:rsid w:val="00DB01EC"/>
    <w:rsid w:val="00DB0304"/>
    <w:rsid w:val="00DB058D"/>
    <w:rsid w:val="00DB0CBB"/>
    <w:rsid w:val="00DB0F46"/>
    <w:rsid w:val="00DB19F5"/>
    <w:rsid w:val="00DB1C4E"/>
    <w:rsid w:val="00DB1E61"/>
    <w:rsid w:val="00DB1F94"/>
    <w:rsid w:val="00DB207B"/>
    <w:rsid w:val="00DB2657"/>
    <w:rsid w:val="00DB2690"/>
    <w:rsid w:val="00DB2DAE"/>
    <w:rsid w:val="00DB3C49"/>
    <w:rsid w:val="00DB400B"/>
    <w:rsid w:val="00DB47FF"/>
    <w:rsid w:val="00DB4862"/>
    <w:rsid w:val="00DB48AD"/>
    <w:rsid w:val="00DB4F17"/>
    <w:rsid w:val="00DB4F46"/>
    <w:rsid w:val="00DB4FAD"/>
    <w:rsid w:val="00DB5642"/>
    <w:rsid w:val="00DB5800"/>
    <w:rsid w:val="00DB58B6"/>
    <w:rsid w:val="00DB594F"/>
    <w:rsid w:val="00DB5AE6"/>
    <w:rsid w:val="00DB5C6C"/>
    <w:rsid w:val="00DB5F47"/>
    <w:rsid w:val="00DB5F58"/>
    <w:rsid w:val="00DB62B8"/>
    <w:rsid w:val="00DB6B94"/>
    <w:rsid w:val="00DB6E8A"/>
    <w:rsid w:val="00DB7642"/>
    <w:rsid w:val="00DB77B0"/>
    <w:rsid w:val="00DB7A1F"/>
    <w:rsid w:val="00DB7BDF"/>
    <w:rsid w:val="00DB7E61"/>
    <w:rsid w:val="00DC06A4"/>
    <w:rsid w:val="00DC08EF"/>
    <w:rsid w:val="00DC0C7C"/>
    <w:rsid w:val="00DC0CD7"/>
    <w:rsid w:val="00DC0DB7"/>
    <w:rsid w:val="00DC11FA"/>
    <w:rsid w:val="00DC1BF5"/>
    <w:rsid w:val="00DC1D2B"/>
    <w:rsid w:val="00DC233D"/>
    <w:rsid w:val="00DC25C3"/>
    <w:rsid w:val="00DC2ABB"/>
    <w:rsid w:val="00DC2B69"/>
    <w:rsid w:val="00DC2CA3"/>
    <w:rsid w:val="00DC2D34"/>
    <w:rsid w:val="00DC30EB"/>
    <w:rsid w:val="00DC32A3"/>
    <w:rsid w:val="00DC3E46"/>
    <w:rsid w:val="00DC3ECF"/>
    <w:rsid w:val="00DC42C0"/>
    <w:rsid w:val="00DC46BB"/>
    <w:rsid w:val="00DC4D61"/>
    <w:rsid w:val="00DC4EFA"/>
    <w:rsid w:val="00DC50BB"/>
    <w:rsid w:val="00DC57F7"/>
    <w:rsid w:val="00DC639C"/>
    <w:rsid w:val="00DC63DF"/>
    <w:rsid w:val="00DC6908"/>
    <w:rsid w:val="00DC6A2B"/>
    <w:rsid w:val="00DC780B"/>
    <w:rsid w:val="00DD0700"/>
    <w:rsid w:val="00DD144A"/>
    <w:rsid w:val="00DD154E"/>
    <w:rsid w:val="00DD1626"/>
    <w:rsid w:val="00DD27B8"/>
    <w:rsid w:val="00DD2BD2"/>
    <w:rsid w:val="00DD2F96"/>
    <w:rsid w:val="00DD30E4"/>
    <w:rsid w:val="00DD33B8"/>
    <w:rsid w:val="00DD433D"/>
    <w:rsid w:val="00DD4ABE"/>
    <w:rsid w:val="00DD4B5C"/>
    <w:rsid w:val="00DD513B"/>
    <w:rsid w:val="00DD5150"/>
    <w:rsid w:val="00DD5217"/>
    <w:rsid w:val="00DD53D9"/>
    <w:rsid w:val="00DD65C6"/>
    <w:rsid w:val="00DD6858"/>
    <w:rsid w:val="00DD68CE"/>
    <w:rsid w:val="00DD6BAD"/>
    <w:rsid w:val="00DD7172"/>
    <w:rsid w:val="00DD771B"/>
    <w:rsid w:val="00DD7D13"/>
    <w:rsid w:val="00DE0459"/>
    <w:rsid w:val="00DE0609"/>
    <w:rsid w:val="00DE0C36"/>
    <w:rsid w:val="00DE1374"/>
    <w:rsid w:val="00DE19D4"/>
    <w:rsid w:val="00DE1A69"/>
    <w:rsid w:val="00DE1D41"/>
    <w:rsid w:val="00DE287E"/>
    <w:rsid w:val="00DE2BF7"/>
    <w:rsid w:val="00DE2E6E"/>
    <w:rsid w:val="00DE3155"/>
    <w:rsid w:val="00DE351A"/>
    <w:rsid w:val="00DE369E"/>
    <w:rsid w:val="00DE4094"/>
    <w:rsid w:val="00DE4524"/>
    <w:rsid w:val="00DE4575"/>
    <w:rsid w:val="00DE46BA"/>
    <w:rsid w:val="00DE4830"/>
    <w:rsid w:val="00DE48EA"/>
    <w:rsid w:val="00DE51FB"/>
    <w:rsid w:val="00DE5402"/>
    <w:rsid w:val="00DE5FEA"/>
    <w:rsid w:val="00DE61CC"/>
    <w:rsid w:val="00DE6451"/>
    <w:rsid w:val="00DE647E"/>
    <w:rsid w:val="00DE6669"/>
    <w:rsid w:val="00DE68E2"/>
    <w:rsid w:val="00DE6A05"/>
    <w:rsid w:val="00DE6A5E"/>
    <w:rsid w:val="00DE7136"/>
    <w:rsid w:val="00DE7AD5"/>
    <w:rsid w:val="00DE7C90"/>
    <w:rsid w:val="00DE7CC2"/>
    <w:rsid w:val="00DE7D26"/>
    <w:rsid w:val="00DF018A"/>
    <w:rsid w:val="00DF0613"/>
    <w:rsid w:val="00DF0824"/>
    <w:rsid w:val="00DF0FBC"/>
    <w:rsid w:val="00DF101D"/>
    <w:rsid w:val="00DF1333"/>
    <w:rsid w:val="00DF139D"/>
    <w:rsid w:val="00DF14BC"/>
    <w:rsid w:val="00DF159D"/>
    <w:rsid w:val="00DF1629"/>
    <w:rsid w:val="00DF1845"/>
    <w:rsid w:val="00DF18EC"/>
    <w:rsid w:val="00DF2263"/>
    <w:rsid w:val="00DF23C8"/>
    <w:rsid w:val="00DF2602"/>
    <w:rsid w:val="00DF2663"/>
    <w:rsid w:val="00DF2AF3"/>
    <w:rsid w:val="00DF2F7D"/>
    <w:rsid w:val="00DF3184"/>
    <w:rsid w:val="00DF322A"/>
    <w:rsid w:val="00DF342B"/>
    <w:rsid w:val="00DF3613"/>
    <w:rsid w:val="00DF3FAE"/>
    <w:rsid w:val="00DF48ED"/>
    <w:rsid w:val="00DF4AC7"/>
    <w:rsid w:val="00DF5132"/>
    <w:rsid w:val="00DF54DF"/>
    <w:rsid w:val="00DF56FD"/>
    <w:rsid w:val="00DF5F9B"/>
    <w:rsid w:val="00DF667E"/>
    <w:rsid w:val="00DF6742"/>
    <w:rsid w:val="00DF6746"/>
    <w:rsid w:val="00DF67F9"/>
    <w:rsid w:val="00DF6AB5"/>
    <w:rsid w:val="00DF726A"/>
    <w:rsid w:val="00DF732B"/>
    <w:rsid w:val="00DF76B6"/>
    <w:rsid w:val="00DF778C"/>
    <w:rsid w:val="00E001B1"/>
    <w:rsid w:val="00E00725"/>
    <w:rsid w:val="00E00C0E"/>
    <w:rsid w:val="00E00EE3"/>
    <w:rsid w:val="00E01273"/>
    <w:rsid w:val="00E01558"/>
    <w:rsid w:val="00E01731"/>
    <w:rsid w:val="00E018B1"/>
    <w:rsid w:val="00E023C2"/>
    <w:rsid w:val="00E0246A"/>
    <w:rsid w:val="00E0282A"/>
    <w:rsid w:val="00E02CC6"/>
    <w:rsid w:val="00E02E77"/>
    <w:rsid w:val="00E03138"/>
    <w:rsid w:val="00E0344B"/>
    <w:rsid w:val="00E0391E"/>
    <w:rsid w:val="00E03B7C"/>
    <w:rsid w:val="00E04425"/>
    <w:rsid w:val="00E0479C"/>
    <w:rsid w:val="00E04C1E"/>
    <w:rsid w:val="00E051DF"/>
    <w:rsid w:val="00E055B1"/>
    <w:rsid w:val="00E05627"/>
    <w:rsid w:val="00E06085"/>
    <w:rsid w:val="00E06792"/>
    <w:rsid w:val="00E06A3C"/>
    <w:rsid w:val="00E06BF8"/>
    <w:rsid w:val="00E06C75"/>
    <w:rsid w:val="00E06DA9"/>
    <w:rsid w:val="00E07033"/>
    <w:rsid w:val="00E0731C"/>
    <w:rsid w:val="00E07362"/>
    <w:rsid w:val="00E07411"/>
    <w:rsid w:val="00E07DCA"/>
    <w:rsid w:val="00E1015B"/>
    <w:rsid w:val="00E101A2"/>
    <w:rsid w:val="00E10255"/>
    <w:rsid w:val="00E105FD"/>
    <w:rsid w:val="00E10798"/>
    <w:rsid w:val="00E11052"/>
    <w:rsid w:val="00E1109E"/>
    <w:rsid w:val="00E111C8"/>
    <w:rsid w:val="00E1132E"/>
    <w:rsid w:val="00E11775"/>
    <w:rsid w:val="00E11A40"/>
    <w:rsid w:val="00E11A4B"/>
    <w:rsid w:val="00E12E87"/>
    <w:rsid w:val="00E13C4F"/>
    <w:rsid w:val="00E14042"/>
    <w:rsid w:val="00E144D5"/>
    <w:rsid w:val="00E14987"/>
    <w:rsid w:val="00E14B90"/>
    <w:rsid w:val="00E1556A"/>
    <w:rsid w:val="00E15F97"/>
    <w:rsid w:val="00E15FA0"/>
    <w:rsid w:val="00E164D4"/>
    <w:rsid w:val="00E16B4D"/>
    <w:rsid w:val="00E177BE"/>
    <w:rsid w:val="00E17C02"/>
    <w:rsid w:val="00E17E20"/>
    <w:rsid w:val="00E17ECB"/>
    <w:rsid w:val="00E17F48"/>
    <w:rsid w:val="00E203DD"/>
    <w:rsid w:val="00E2090B"/>
    <w:rsid w:val="00E20B26"/>
    <w:rsid w:val="00E20B9C"/>
    <w:rsid w:val="00E20C47"/>
    <w:rsid w:val="00E21701"/>
    <w:rsid w:val="00E21BF4"/>
    <w:rsid w:val="00E21D78"/>
    <w:rsid w:val="00E220C9"/>
    <w:rsid w:val="00E22529"/>
    <w:rsid w:val="00E22694"/>
    <w:rsid w:val="00E23480"/>
    <w:rsid w:val="00E238C9"/>
    <w:rsid w:val="00E23D15"/>
    <w:rsid w:val="00E23D35"/>
    <w:rsid w:val="00E2407A"/>
    <w:rsid w:val="00E24185"/>
    <w:rsid w:val="00E247B1"/>
    <w:rsid w:val="00E247C0"/>
    <w:rsid w:val="00E2511B"/>
    <w:rsid w:val="00E25510"/>
    <w:rsid w:val="00E2584D"/>
    <w:rsid w:val="00E259F3"/>
    <w:rsid w:val="00E25DF5"/>
    <w:rsid w:val="00E2617F"/>
    <w:rsid w:val="00E2669B"/>
    <w:rsid w:val="00E272FD"/>
    <w:rsid w:val="00E27561"/>
    <w:rsid w:val="00E27A1B"/>
    <w:rsid w:val="00E27BA6"/>
    <w:rsid w:val="00E27E4D"/>
    <w:rsid w:val="00E27F76"/>
    <w:rsid w:val="00E30297"/>
    <w:rsid w:val="00E3041A"/>
    <w:rsid w:val="00E30CB9"/>
    <w:rsid w:val="00E30CF0"/>
    <w:rsid w:val="00E320C7"/>
    <w:rsid w:val="00E321E1"/>
    <w:rsid w:val="00E327CA"/>
    <w:rsid w:val="00E32CE9"/>
    <w:rsid w:val="00E335A3"/>
    <w:rsid w:val="00E33960"/>
    <w:rsid w:val="00E33E28"/>
    <w:rsid w:val="00E33F2D"/>
    <w:rsid w:val="00E348FB"/>
    <w:rsid w:val="00E3548D"/>
    <w:rsid w:val="00E357CB"/>
    <w:rsid w:val="00E35B99"/>
    <w:rsid w:val="00E35BC1"/>
    <w:rsid w:val="00E35BE2"/>
    <w:rsid w:val="00E35EBC"/>
    <w:rsid w:val="00E35F40"/>
    <w:rsid w:val="00E36421"/>
    <w:rsid w:val="00E36C41"/>
    <w:rsid w:val="00E36DF6"/>
    <w:rsid w:val="00E36FE1"/>
    <w:rsid w:val="00E3727E"/>
    <w:rsid w:val="00E3746F"/>
    <w:rsid w:val="00E374A1"/>
    <w:rsid w:val="00E37AFF"/>
    <w:rsid w:val="00E37D25"/>
    <w:rsid w:val="00E37EA9"/>
    <w:rsid w:val="00E406A3"/>
    <w:rsid w:val="00E40869"/>
    <w:rsid w:val="00E408CD"/>
    <w:rsid w:val="00E409A2"/>
    <w:rsid w:val="00E40DAB"/>
    <w:rsid w:val="00E40F40"/>
    <w:rsid w:val="00E414E8"/>
    <w:rsid w:val="00E415E1"/>
    <w:rsid w:val="00E41983"/>
    <w:rsid w:val="00E41AA3"/>
    <w:rsid w:val="00E42192"/>
    <w:rsid w:val="00E422D6"/>
    <w:rsid w:val="00E4260E"/>
    <w:rsid w:val="00E42DF6"/>
    <w:rsid w:val="00E42F1F"/>
    <w:rsid w:val="00E43318"/>
    <w:rsid w:val="00E43413"/>
    <w:rsid w:val="00E43546"/>
    <w:rsid w:val="00E4355A"/>
    <w:rsid w:val="00E436F5"/>
    <w:rsid w:val="00E43760"/>
    <w:rsid w:val="00E43867"/>
    <w:rsid w:val="00E43F2A"/>
    <w:rsid w:val="00E443FB"/>
    <w:rsid w:val="00E44738"/>
    <w:rsid w:val="00E44974"/>
    <w:rsid w:val="00E45065"/>
    <w:rsid w:val="00E457AD"/>
    <w:rsid w:val="00E45A6F"/>
    <w:rsid w:val="00E45B90"/>
    <w:rsid w:val="00E45BBA"/>
    <w:rsid w:val="00E46025"/>
    <w:rsid w:val="00E470DD"/>
    <w:rsid w:val="00E47249"/>
    <w:rsid w:val="00E47CB7"/>
    <w:rsid w:val="00E47CBC"/>
    <w:rsid w:val="00E50434"/>
    <w:rsid w:val="00E50570"/>
    <w:rsid w:val="00E507E0"/>
    <w:rsid w:val="00E50902"/>
    <w:rsid w:val="00E50AF0"/>
    <w:rsid w:val="00E5110B"/>
    <w:rsid w:val="00E51EFF"/>
    <w:rsid w:val="00E521DA"/>
    <w:rsid w:val="00E52233"/>
    <w:rsid w:val="00E53039"/>
    <w:rsid w:val="00E5342C"/>
    <w:rsid w:val="00E53785"/>
    <w:rsid w:val="00E53D6F"/>
    <w:rsid w:val="00E54036"/>
    <w:rsid w:val="00E543C1"/>
    <w:rsid w:val="00E54448"/>
    <w:rsid w:val="00E551FF"/>
    <w:rsid w:val="00E55628"/>
    <w:rsid w:val="00E55824"/>
    <w:rsid w:val="00E559AC"/>
    <w:rsid w:val="00E55DA0"/>
    <w:rsid w:val="00E55DE3"/>
    <w:rsid w:val="00E56792"/>
    <w:rsid w:val="00E5696C"/>
    <w:rsid w:val="00E56B26"/>
    <w:rsid w:val="00E5710A"/>
    <w:rsid w:val="00E5726C"/>
    <w:rsid w:val="00E5773A"/>
    <w:rsid w:val="00E601DE"/>
    <w:rsid w:val="00E604B3"/>
    <w:rsid w:val="00E60531"/>
    <w:rsid w:val="00E61A3C"/>
    <w:rsid w:val="00E61BB2"/>
    <w:rsid w:val="00E61C50"/>
    <w:rsid w:val="00E626B0"/>
    <w:rsid w:val="00E62FAB"/>
    <w:rsid w:val="00E630A2"/>
    <w:rsid w:val="00E63801"/>
    <w:rsid w:val="00E63810"/>
    <w:rsid w:val="00E63867"/>
    <w:rsid w:val="00E639A6"/>
    <w:rsid w:val="00E63A9F"/>
    <w:rsid w:val="00E63D7A"/>
    <w:rsid w:val="00E63F86"/>
    <w:rsid w:val="00E64428"/>
    <w:rsid w:val="00E645A7"/>
    <w:rsid w:val="00E649AA"/>
    <w:rsid w:val="00E64C22"/>
    <w:rsid w:val="00E6547A"/>
    <w:rsid w:val="00E659DA"/>
    <w:rsid w:val="00E65ACA"/>
    <w:rsid w:val="00E65DF7"/>
    <w:rsid w:val="00E65F5E"/>
    <w:rsid w:val="00E66332"/>
    <w:rsid w:val="00E66585"/>
    <w:rsid w:val="00E666F0"/>
    <w:rsid w:val="00E66715"/>
    <w:rsid w:val="00E66771"/>
    <w:rsid w:val="00E67814"/>
    <w:rsid w:val="00E67B2D"/>
    <w:rsid w:val="00E67FF8"/>
    <w:rsid w:val="00E70505"/>
    <w:rsid w:val="00E70523"/>
    <w:rsid w:val="00E7068C"/>
    <w:rsid w:val="00E716AD"/>
    <w:rsid w:val="00E717B3"/>
    <w:rsid w:val="00E7246E"/>
    <w:rsid w:val="00E731B4"/>
    <w:rsid w:val="00E73404"/>
    <w:rsid w:val="00E7371F"/>
    <w:rsid w:val="00E73989"/>
    <w:rsid w:val="00E73A5A"/>
    <w:rsid w:val="00E73BEE"/>
    <w:rsid w:val="00E73D0E"/>
    <w:rsid w:val="00E73EDF"/>
    <w:rsid w:val="00E741B0"/>
    <w:rsid w:val="00E74698"/>
    <w:rsid w:val="00E74776"/>
    <w:rsid w:val="00E749E3"/>
    <w:rsid w:val="00E749FE"/>
    <w:rsid w:val="00E74B6E"/>
    <w:rsid w:val="00E74E3B"/>
    <w:rsid w:val="00E75C73"/>
    <w:rsid w:val="00E7606B"/>
    <w:rsid w:val="00E76113"/>
    <w:rsid w:val="00E763D5"/>
    <w:rsid w:val="00E7659E"/>
    <w:rsid w:val="00E769E4"/>
    <w:rsid w:val="00E769FC"/>
    <w:rsid w:val="00E76A2D"/>
    <w:rsid w:val="00E775BC"/>
    <w:rsid w:val="00E77898"/>
    <w:rsid w:val="00E80720"/>
    <w:rsid w:val="00E80D48"/>
    <w:rsid w:val="00E8115C"/>
    <w:rsid w:val="00E817BA"/>
    <w:rsid w:val="00E828B8"/>
    <w:rsid w:val="00E8292A"/>
    <w:rsid w:val="00E82DCD"/>
    <w:rsid w:val="00E82F11"/>
    <w:rsid w:val="00E83255"/>
    <w:rsid w:val="00E8338E"/>
    <w:rsid w:val="00E8351F"/>
    <w:rsid w:val="00E83766"/>
    <w:rsid w:val="00E840EB"/>
    <w:rsid w:val="00E8412D"/>
    <w:rsid w:val="00E84605"/>
    <w:rsid w:val="00E84FD7"/>
    <w:rsid w:val="00E85037"/>
    <w:rsid w:val="00E85308"/>
    <w:rsid w:val="00E859FC"/>
    <w:rsid w:val="00E85D1C"/>
    <w:rsid w:val="00E85EB6"/>
    <w:rsid w:val="00E85F4A"/>
    <w:rsid w:val="00E86489"/>
    <w:rsid w:val="00E8681B"/>
    <w:rsid w:val="00E86E37"/>
    <w:rsid w:val="00E86EEC"/>
    <w:rsid w:val="00E870A7"/>
    <w:rsid w:val="00E8791D"/>
    <w:rsid w:val="00E87BFA"/>
    <w:rsid w:val="00E87D40"/>
    <w:rsid w:val="00E901C7"/>
    <w:rsid w:val="00E9071C"/>
    <w:rsid w:val="00E912F0"/>
    <w:rsid w:val="00E9137B"/>
    <w:rsid w:val="00E916F5"/>
    <w:rsid w:val="00E91B32"/>
    <w:rsid w:val="00E92221"/>
    <w:rsid w:val="00E9223A"/>
    <w:rsid w:val="00E92452"/>
    <w:rsid w:val="00E92557"/>
    <w:rsid w:val="00E92B61"/>
    <w:rsid w:val="00E92E5B"/>
    <w:rsid w:val="00E935E6"/>
    <w:rsid w:val="00E93B74"/>
    <w:rsid w:val="00E93DB0"/>
    <w:rsid w:val="00E94473"/>
    <w:rsid w:val="00E9491F"/>
    <w:rsid w:val="00E94924"/>
    <w:rsid w:val="00E94EDD"/>
    <w:rsid w:val="00E95A0C"/>
    <w:rsid w:val="00E95C1D"/>
    <w:rsid w:val="00E962E2"/>
    <w:rsid w:val="00E978E2"/>
    <w:rsid w:val="00E97B6F"/>
    <w:rsid w:val="00EA0B9F"/>
    <w:rsid w:val="00EA11C7"/>
    <w:rsid w:val="00EA1AEA"/>
    <w:rsid w:val="00EA1F46"/>
    <w:rsid w:val="00EA2C91"/>
    <w:rsid w:val="00EA3463"/>
    <w:rsid w:val="00EA3B44"/>
    <w:rsid w:val="00EA3B87"/>
    <w:rsid w:val="00EA3F26"/>
    <w:rsid w:val="00EA4413"/>
    <w:rsid w:val="00EA4D8E"/>
    <w:rsid w:val="00EA5057"/>
    <w:rsid w:val="00EA54AD"/>
    <w:rsid w:val="00EA58E2"/>
    <w:rsid w:val="00EA5DD9"/>
    <w:rsid w:val="00EA6246"/>
    <w:rsid w:val="00EA6588"/>
    <w:rsid w:val="00EA6628"/>
    <w:rsid w:val="00EA686E"/>
    <w:rsid w:val="00EA6B57"/>
    <w:rsid w:val="00EA6B8E"/>
    <w:rsid w:val="00EA6F50"/>
    <w:rsid w:val="00EA7386"/>
    <w:rsid w:val="00EA79C7"/>
    <w:rsid w:val="00EA7B37"/>
    <w:rsid w:val="00EA7C8B"/>
    <w:rsid w:val="00EB085D"/>
    <w:rsid w:val="00EB1090"/>
    <w:rsid w:val="00EB10E5"/>
    <w:rsid w:val="00EB1246"/>
    <w:rsid w:val="00EB144F"/>
    <w:rsid w:val="00EB18D4"/>
    <w:rsid w:val="00EB23FC"/>
    <w:rsid w:val="00EB25B2"/>
    <w:rsid w:val="00EB2B56"/>
    <w:rsid w:val="00EB3562"/>
    <w:rsid w:val="00EB3CDD"/>
    <w:rsid w:val="00EB3FEB"/>
    <w:rsid w:val="00EB42B8"/>
    <w:rsid w:val="00EB4554"/>
    <w:rsid w:val="00EB4D80"/>
    <w:rsid w:val="00EB51ED"/>
    <w:rsid w:val="00EB53D1"/>
    <w:rsid w:val="00EB5747"/>
    <w:rsid w:val="00EB5875"/>
    <w:rsid w:val="00EB5C43"/>
    <w:rsid w:val="00EB5E2C"/>
    <w:rsid w:val="00EB6064"/>
    <w:rsid w:val="00EB607E"/>
    <w:rsid w:val="00EB62C0"/>
    <w:rsid w:val="00EB6513"/>
    <w:rsid w:val="00EB6C25"/>
    <w:rsid w:val="00EB718A"/>
    <w:rsid w:val="00EB7313"/>
    <w:rsid w:val="00EB7417"/>
    <w:rsid w:val="00EB7423"/>
    <w:rsid w:val="00EB7898"/>
    <w:rsid w:val="00EB7DC3"/>
    <w:rsid w:val="00EBE8DE"/>
    <w:rsid w:val="00EC014D"/>
    <w:rsid w:val="00EC066E"/>
    <w:rsid w:val="00EC0FB5"/>
    <w:rsid w:val="00EC10A7"/>
    <w:rsid w:val="00EC14AD"/>
    <w:rsid w:val="00EC16F3"/>
    <w:rsid w:val="00EC1A03"/>
    <w:rsid w:val="00EC2270"/>
    <w:rsid w:val="00EC2449"/>
    <w:rsid w:val="00EC255A"/>
    <w:rsid w:val="00EC2955"/>
    <w:rsid w:val="00EC2BFA"/>
    <w:rsid w:val="00EC2DD1"/>
    <w:rsid w:val="00EC2F8D"/>
    <w:rsid w:val="00EC36F8"/>
    <w:rsid w:val="00EC378E"/>
    <w:rsid w:val="00EC3A76"/>
    <w:rsid w:val="00EC3FAA"/>
    <w:rsid w:val="00EC4567"/>
    <w:rsid w:val="00EC45EF"/>
    <w:rsid w:val="00EC47A6"/>
    <w:rsid w:val="00EC4A57"/>
    <w:rsid w:val="00EC58E5"/>
    <w:rsid w:val="00EC5A17"/>
    <w:rsid w:val="00EC5C16"/>
    <w:rsid w:val="00EC626F"/>
    <w:rsid w:val="00EC650D"/>
    <w:rsid w:val="00EC65E3"/>
    <w:rsid w:val="00EC66A3"/>
    <w:rsid w:val="00EC68AB"/>
    <w:rsid w:val="00EC6912"/>
    <w:rsid w:val="00EC6C1F"/>
    <w:rsid w:val="00EC6D14"/>
    <w:rsid w:val="00EC6D27"/>
    <w:rsid w:val="00EC6F63"/>
    <w:rsid w:val="00EC744D"/>
    <w:rsid w:val="00EC758D"/>
    <w:rsid w:val="00EC7D30"/>
    <w:rsid w:val="00ED01D7"/>
    <w:rsid w:val="00ED0559"/>
    <w:rsid w:val="00ED06AC"/>
    <w:rsid w:val="00ED0A02"/>
    <w:rsid w:val="00ED0C3F"/>
    <w:rsid w:val="00ED0F7E"/>
    <w:rsid w:val="00ED108B"/>
    <w:rsid w:val="00ED18BC"/>
    <w:rsid w:val="00ED18EA"/>
    <w:rsid w:val="00ED21CA"/>
    <w:rsid w:val="00ED2214"/>
    <w:rsid w:val="00ED234E"/>
    <w:rsid w:val="00ED252A"/>
    <w:rsid w:val="00ED314F"/>
    <w:rsid w:val="00ED3AD4"/>
    <w:rsid w:val="00ED3B56"/>
    <w:rsid w:val="00ED3E8A"/>
    <w:rsid w:val="00ED59C0"/>
    <w:rsid w:val="00ED5BAF"/>
    <w:rsid w:val="00ED5DE0"/>
    <w:rsid w:val="00ED6684"/>
    <w:rsid w:val="00ED68B0"/>
    <w:rsid w:val="00ED6EC2"/>
    <w:rsid w:val="00ED731F"/>
    <w:rsid w:val="00ED734B"/>
    <w:rsid w:val="00ED73D3"/>
    <w:rsid w:val="00ED761E"/>
    <w:rsid w:val="00ED7CF4"/>
    <w:rsid w:val="00ED7E91"/>
    <w:rsid w:val="00EE0011"/>
    <w:rsid w:val="00EE0369"/>
    <w:rsid w:val="00EE11E1"/>
    <w:rsid w:val="00EE12B2"/>
    <w:rsid w:val="00EE130F"/>
    <w:rsid w:val="00EE1680"/>
    <w:rsid w:val="00EE1B85"/>
    <w:rsid w:val="00EE24BA"/>
    <w:rsid w:val="00EE262B"/>
    <w:rsid w:val="00EE2D35"/>
    <w:rsid w:val="00EE2F1B"/>
    <w:rsid w:val="00EE3384"/>
    <w:rsid w:val="00EE3DE9"/>
    <w:rsid w:val="00EE3F2F"/>
    <w:rsid w:val="00EE3F95"/>
    <w:rsid w:val="00EE4309"/>
    <w:rsid w:val="00EE4D2B"/>
    <w:rsid w:val="00EE5010"/>
    <w:rsid w:val="00EE5498"/>
    <w:rsid w:val="00EE572A"/>
    <w:rsid w:val="00EE576E"/>
    <w:rsid w:val="00EE5783"/>
    <w:rsid w:val="00EE59B2"/>
    <w:rsid w:val="00EE59DB"/>
    <w:rsid w:val="00EE6402"/>
    <w:rsid w:val="00EE648F"/>
    <w:rsid w:val="00EE6722"/>
    <w:rsid w:val="00EE6C28"/>
    <w:rsid w:val="00EE6C4B"/>
    <w:rsid w:val="00EE6CAE"/>
    <w:rsid w:val="00EE6D15"/>
    <w:rsid w:val="00EE6F04"/>
    <w:rsid w:val="00EE709B"/>
    <w:rsid w:val="00EE7391"/>
    <w:rsid w:val="00EE79EC"/>
    <w:rsid w:val="00EE7C7D"/>
    <w:rsid w:val="00EF0236"/>
    <w:rsid w:val="00EF04C2"/>
    <w:rsid w:val="00EF087B"/>
    <w:rsid w:val="00EF09A5"/>
    <w:rsid w:val="00EF09C5"/>
    <w:rsid w:val="00EF0DB8"/>
    <w:rsid w:val="00EF0F05"/>
    <w:rsid w:val="00EF1704"/>
    <w:rsid w:val="00EF1A28"/>
    <w:rsid w:val="00EF1AEB"/>
    <w:rsid w:val="00EF1D18"/>
    <w:rsid w:val="00EF22E8"/>
    <w:rsid w:val="00EF2622"/>
    <w:rsid w:val="00EF267F"/>
    <w:rsid w:val="00EF2861"/>
    <w:rsid w:val="00EF2955"/>
    <w:rsid w:val="00EF29D7"/>
    <w:rsid w:val="00EF361B"/>
    <w:rsid w:val="00EF3793"/>
    <w:rsid w:val="00EF3F20"/>
    <w:rsid w:val="00EF4012"/>
    <w:rsid w:val="00EF41A4"/>
    <w:rsid w:val="00EF4212"/>
    <w:rsid w:val="00EF44CA"/>
    <w:rsid w:val="00EF4557"/>
    <w:rsid w:val="00EF4962"/>
    <w:rsid w:val="00EF496D"/>
    <w:rsid w:val="00EF4FF9"/>
    <w:rsid w:val="00EF5B48"/>
    <w:rsid w:val="00EF5BB7"/>
    <w:rsid w:val="00EF5C03"/>
    <w:rsid w:val="00EF5EDE"/>
    <w:rsid w:val="00EF6084"/>
    <w:rsid w:val="00EF6116"/>
    <w:rsid w:val="00EF6275"/>
    <w:rsid w:val="00EF635F"/>
    <w:rsid w:val="00EF668A"/>
    <w:rsid w:val="00EF6C13"/>
    <w:rsid w:val="00EF6CCC"/>
    <w:rsid w:val="00F0007F"/>
    <w:rsid w:val="00F004B4"/>
    <w:rsid w:val="00F007AA"/>
    <w:rsid w:val="00F00E0F"/>
    <w:rsid w:val="00F014FC"/>
    <w:rsid w:val="00F01769"/>
    <w:rsid w:val="00F021E6"/>
    <w:rsid w:val="00F02411"/>
    <w:rsid w:val="00F037EC"/>
    <w:rsid w:val="00F03F59"/>
    <w:rsid w:val="00F04028"/>
    <w:rsid w:val="00F042A4"/>
    <w:rsid w:val="00F045D5"/>
    <w:rsid w:val="00F04828"/>
    <w:rsid w:val="00F049E1"/>
    <w:rsid w:val="00F05617"/>
    <w:rsid w:val="00F056C5"/>
    <w:rsid w:val="00F056FC"/>
    <w:rsid w:val="00F057E8"/>
    <w:rsid w:val="00F05F3F"/>
    <w:rsid w:val="00F06353"/>
    <w:rsid w:val="00F06BA3"/>
    <w:rsid w:val="00F06C28"/>
    <w:rsid w:val="00F07112"/>
    <w:rsid w:val="00F07A96"/>
    <w:rsid w:val="00F07E68"/>
    <w:rsid w:val="00F10029"/>
    <w:rsid w:val="00F10123"/>
    <w:rsid w:val="00F101A5"/>
    <w:rsid w:val="00F10366"/>
    <w:rsid w:val="00F10694"/>
    <w:rsid w:val="00F10716"/>
    <w:rsid w:val="00F10B56"/>
    <w:rsid w:val="00F11F9C"/>
    <w:rsid w:val="00F121F2"/>
    <w:rsid w:val="00F12656"/>
    <w:rsid w:val="00F12988"/>
    <w:rsid w:val="00F12A66"/>
    <w:rsid w:val="00F12A99"/>
    <w:rsid w:val="00F12D65"/>
    <w:rsid w:val="00F12D8D"/>
    <w:rsid w:val="00F12F72"/>
    <w:rsid w:val="00F132EA"/>
    <w:rsid w:val="00F13373"/>
    <w:rsid w:val="00F13693"/>
    <w:rsid w:val="00F139E0"/>
    <w:rsid w:val="00F13A0A"/>
    <w:rsid w:val="00F13B17"/>
    <w:rsid w:val="00F13B90"/>
    <w:rsid w:val="00F13C21"/>
    <w:rsid w:val="00F13DF5"/>
    <w:rsid w:val="00F140B7"/>
    <w:rsid w:val="00F14429"/>
    <w:rsid w:val="00F149FA"/>
    <w:rsid w:val="00F15106"/>
    <w:rsid w:val="00F151D0"/>
    <w:rsid w:val="00F1535E"/>
    <w:rsid w:val="00F1540C"/>
    <w:rsid w:val="00F154A4"/>
    <w:rsid w:val="00F15771"/>
    <w:rsid w:val="00F15A4A"/>
    <w:rsid w:val="00F15F23"/>
    <w:rsid w:val="00F16230"/>
    <w:rsid w:val="00F165C8"/>
    <w:rsid w:val="00F16BAF"/>
    <w:rsid w:val="00F16F56"/>
    <w:rsid w:val="00F17538"/>
    <w:rsid w:val="00F175B8"/>
    <w:rsid w:val="00F17885"/>
    <w:rsid w:val="00F17CD2"/>
    <w:rsid w:val="00F17DE7"/>
    <w:rsid w:val="00F17E86"/>
    <w:rsid w:val="00F2020D"/>
    <w:rsid w:val="00F205BC"/>
    <w:rsid w:val="00F20663"/>
    <w:rsid w:val="00F20976"/>
    <w:rsid w:val="00F2119B"/>
    <w:rsid w:val="00F21294"/>
    <w:rsid w:val="00F2169B"/>
    <w:rsid w:val="00F21AB1"/>
    <w:rsid w:val="00F21D2B"/>
    <w:rsid w:val="00F2231C"/>
    <w:rsid w:val="00F22903"/>
    <w:rsid w:val="00F22AE1"/>
    <w:rsid w:val="00F2320B"/>
    <w:rsid w:val="00F2334E"/>
    <w:rsid w:val="00F236D5"/>
    <w:rsid w:val="00F23DFF"/>
    <w:rsid w:val="00F23FBD"/>
    <w:rsid w:val="00F24074"/>
    <w:rsid w:val="00F24350"/>
    <w:rsid w:val="00F245A1"/>
    <w:rsid w:val="00F24697"/>
    <w:rsid w:val="00F248D2"/>
    <w:rsid w:val="00F248EA"/>
    <w:rsid w:val="00F24A06"/>
    <w:rsid w:val="00F24AAD"/>
    <w:rsid w:val="00F24D1B"/>
    <w:rsid w:val="00F24D8E"/>
    <w:rsid w:val="00F25D59"/>
    <w:rsid w:val="00F25EBF"/>
    <w:rsid w:val="00F25FEE"/>
    <w:rsid w:val="00F2622D"/>
    <w:rsid w:val="00F267BB"/>
    <w:rsid w:val="00F26905"/>
    <w:rsid w:val="00F26BFB"/>
    <w:rsid w:val="00F2776B"/>
    <w:rsid w:val="00F27A71"/>
    <w:rsid w:val="00F27C0D"/>
    <w:rsid w:val="00F300A2"/>
    <w:rsid w:val="00F301B4"/>
    <w:rsid w:val="00F301E9"/>
    <w:rsid w:val="00F30775"/>
    <w:rsid w:val="00F30832"/>
    <w:rsid w:val="00F31250"/>
    <w:rsid w:val="00F31264"/>
    <w:rsid w:val="00F312ED"/>
    <w:rsid w:val="00F3167D"/>
    <w:rsid w:val="00F31A1C"/>
    <w:rsid w:val="00F31B09"/>
    <w:rsid w:val="00F31DEF"/>
    <w:rsid w:val="00F31E46"/>
    <w:rsid w:val="00F31F22"/>
    <w:rsid w:val="00F32450"/>
    <w:rsid w:val="00F32618"/>
    <w:rsid w:val="00F32737"/>
    <w:rsid w:val="00F32ABA"/>
    <w:rsid w:val="00F3321F"/>
    <w:rsid w:val="00F33881"/>
    <w:rsid w:val="00F33A42"/>
    <w:rsid w:val="00F33D07"/>
    <w:rsid w:val="00F33FDD"/>
    <w:rsid w:val="00F34338"/>
    <w:rsid w:val="00F34378"/>
    <w:rsid w:val="00F34670"/>
    <w:rsid w:val="00F34825"/>
    <w:rsid w:val="00F34B97"/>
    <w:rsid w:val="00F34BA5"/>
    <w:rsid w:val="00F34FDD"/>
    <w:rsid w:val="00F35293"/>
    <w:rsid w:val="00F353EE"/>
    <w:rsid w:val="00F354DE"/>
    <w:rsid w:val="00F3574F"/>
    <w:rsid w:val="00F35C08"/>
    <w:rsid w:val="00F35E0A"/>
    <w:rsid w:val="00F35E72"/>
    <w:rsid w:val="00F35F59"/>
    <w:rsid w:val="00F361D7"/>
    <w:rsid w:val="00F36215"/>
    <w:rsid w:val="00F364F9"/>
    <w:rsid w:val="00F3666D"/>
    <w:rsid w:val="00F3682B"/>
    <w:rsid w:val="00F36BC5"/>
    <w:rsid w:val="00F36C26"/>
    <w:rsid w:val="00F36DC6"/>
    <w:rsid w:val="00F37019"/>
    <w:rsid w:val="00F37453"/>
    <w:rsid w:val="00F3774A"/>
    <w:rsid w:val="00F37A4C"/>
    <w:rsid w:val="00F37B35"/>
    <w:rsid w:val="00F402EB"/>
    <w:rsid w:val="00F40463"/>
    <w:rsid w:val="00F41CFE"/>
    <w:rsid w:val="00F41EA6"/>
    <w:rsid w:val="00F424B4"/>
    <w:rsid w:val="00F426EC"/>
    <w:rsid w:val="00F4278D"/>
    <w:rsid w:val="00F440F5"/>
    <w:rsid w:val="00F4425F"/>
    <w:rsid w:val="00F4450B"/>
    <w:rsid w:val="00F44750"/>
    <w:rsid w:val="00F44B85"/>
    <w:rsid w:val="00F44EF8"/>
    <w:rsid w:val="00F45717"/>
    <w:rsid w:val="00F463B1"/>
    <w:rsid w:val="00F469DA"/>
    <w:rsid w:val="00F47574"/>
    <w:rsid w:val="00F47789"/>
    <w:rsid w:val="00F477EC"/>
    <w:rsid w:val="00F47B4B"/>
    <w:rsid w:val="00F5011D"/>
    <w:rsid w:val="00F504A9"/>
    <w:rsid w:val="00F50657"/>
    <w:rsid w:val="00F50BAB"/>
    <w:rsid w:val="00F50DBC"/>
    <w:rsid w:val="00F50DC2"/>
    <w:rsid w:val="00F51455"/>
    <w:rsid w:val="00F516D7"/>
    <w:rsid w:val="00F520B9"/>
    <w:rsid w:val="00F52103"/>
    <w:rsid w:val="00F5270C"/>
    <w:rsid w:val="00F54187"/>
    <w:rsid w:val="00F55034"/>
    <w:rsid w:val="00F559E0"/>
    <w:rsid w:val="00F55C88"/>
    <w:rsid w:val="00F55E4A"/>
    <w:rsid w:val="00F55E7D"/>
    <w:rsid w:val="00F56161"/>
    <w:rsid w:val="00F56244"/>
    <w:rsid w:val="00F56C2C"/>
    <w:rsid w:val="00F56E2C"/>
    <w:rsid w:val="00F570CB"/>
    <w:rsid w:val="00F571E0"/>
    <w:rsid w:val="00F576EF"/>
    <w:rsid w:val="00F578D9"/>
    <w:rsid w:val="00F579A1"/>
    <w:rsid w:val="00F57EB8"/>
    <w:rsid w:val="00F57F62"/>
    <w:rsid w:val="00F6007C"/>
    <w:rsid w:val="00F602E1"/>
    <w:rsid w:val="00F60502"/>
    <w:rsid w:val="00F612EB"/>
    <w:rsid w:val="00F6165C"/>
    <w:rsid w:val="00F619F3"/>
    <w:rsid w:val="00F61AC2"/>
    <w:rsid w:val="00F62008"/>
    <w:rsid w:val="00F62550"/>
    <w:rsid w:val="00F62653"/>
    <w:rsid w:val="00F62869"/>
    <w:rsid w:val="00F62DD0"/>
    <w:rsid w:val="00F62E69"/>
    <w:rsid w:val="00F62E88"/>
    <w:rsid w:val="00F62F5C"/>
    <w:rsid w:val="00F6375D"/>
    <w:rsid w:val="00F63958"/>
    <w:rsid w:val="00F63CB4"/>
    <w:rsid w:val="00F63D4F"/>
    <w:rsid w:val="00F63EAC"/>
    <w:rsid w:val="00F6419A"/>
    <w:rsid w:val="00F6445A"/>
    <w:rsid w:val="00F64EE4"/>
    <w:rsid w:val="00F64F17"/>
    <w:rsid w:val="00F6543E"/>
    <w:rsid w:val="00F65D91"/>
    <w:rsid w:val="00F6658F"/>
    <w:rsid w:val="00F6661F"/>
    <w:rsid w:val="00F66CCA"/>
    <w:rsid w:val="00F66D26"/>
    <w:rsid w:val="00F67270"/>
    <w:rsid w:val="00F67501"/>
    <w:rsid w:val="00F67BC6"/>
    <w:rsid w:val="00F7039C"/>
    <w:rsid w:val="00F70756"/>
    <w:rsid w:val="00F70C92"/>
    <w:rsid w:val="00F71012"/>
    <w:rsid w:val="00F71266"/>
    <w:rsid w:val="00F71699"/>
    <w:rsid w:val="00F717B3"/>
    <w:rsid w:val="00F71A97"/>
    <w:rsid w:val="00F7217A"/>
    <w:rsid w:val="00F72237"/>
    <w:rsid w:val="00F7257F"/>
    <w:rsid w:val="00F72826"/>
    <w:rsid w:val="00F72B22"/>
    <w:rsid w:val="00F7301D"/>
    <w:rsid w:val="00F738D9"/>
    <w:rsid w:val="00F73979"/>
    <w:rsid w:val="00F748EA"/>
    <w:rsid w:val="00F74AD0"/>
    <w:rsid w:val="00F754E0"/>
    <w:rsid w:val="00F756E2"/>
    <w:rsid w:val="00F758CF"/>
    <w:rsid w:val="00F75A42"/>
    <w:rsid w:val="00F75AC2"/>
    <w:rsid w:val="00F75EE0"/>
    <w:rsid w:val="00F760E3"/>
    <w:rsid w:val="00F760FC"/>
    <w:rsid w:val="00F76176"/>
    <w:rsid w:val="00F763EC"/>
    <w:rsid w:val="00F76605"/>
    <w:rsid w:val="00F7674E"/>
    <w:rsid w:val="00F7691E"/>
    <w:rsid w:val="00F76D06"/>
    <w:rsid w:val="00F7702F"/>
    <w:rsid w:val="00F772E1"/>
    <w:rsid w:val="00F77751"/>
    <w:rsid w:val="00F77CBD"/>
    <w:rsid w:val="00F77E87"/>
    <w:rsid w:val="00F8088B"/>
    <w:rsid w:val="00F80A6B"/>
    <w:rsid w:val="00F80B73"/>
    <w:rsid w:val="00F80CD3"/>
    <w:rsid w:val="00F80D57"/>
    <w:rsid w:val="00F813AE"/>
    <w:rsid w:val="00F81BC7"/>
    <w:rsid w:val="00F81DD2"/>
    <w:rsid w:val="00F825E9"/>
    <w:rsid w:val="00F8306D"/>
    <w:rsid w:val="00F83765"/>
    <w:rsid w:val="00F83C30"/>
    <w:rsid w:val="00F84068"/>
    <w:rsid w:val="00F843A5"/>
    <w:rsid w:val="00F844FD"/>
    <w:rsid w:val="00F84A96"/>
    <w:rsid w:val="00F84DE3"/>
    <w:rsid w:val="00F84E20"/>
    <w:rsid w:val="00F85262"/>
    <w:rsid w:val="00F855D9"/>
    <w:rsid w:val="00F861A5"/>
    <w:rsid w:val="00F863B8"/>
    <w:rsid w:val="00F86885"/>
    <w:rsid w:val="00F86A38"/>
    <w:rsid w:val="00F8710E"/>
    <w:rsid w:val="00F87236"/>
    <w:rsid w:val="00F87622"/>
    <w:rsid w:val="00F87673"/>
    <w:rsid w:val="00F87DDC"/>
    <w:rsid w:val="00F903A4"/>
    <w:rsid w:val="00F90F97"/>
    <w:rsid w:val="00F910C1"/>
    <w:rsid w:val="00F91287"/>
    <w:rsid w:val="00F918C0"/>
    <w:rsid w:val="00F91D9C"/>
    <w:rsid w:val="00F91F86"/>
    <w:rsid w:val="00F9210D"/>
    <w:rsid w:val="00F92672"/>
    <w:rsid w:val="00F927B5"/>
    <w:rsid w:val="00F9296B"/>
    <w:rsid w:val="00F92A4F"/>
    <w:rsid w:val="00F92ADE"/>
    <w:rsid w:val="00F93027"/>
    <w:rsid w:val="00F932F3"/>
    <w:rsid w:val="00F93510"/>
    <w:rsid w:val="00F937C2"/>
    <w:rsid w:val="00F93BD9"/>
    <w:rsid w:val="00F93C20"/>
    <w:rsid w:val="00F93DFD"/>
    <w:rsid w:val="00F9406E"/>
    <w:rsid w:val="00F9429C"/>
    <w:rsid w:val="00F94676"/>
    <w:rsid w:val="00F94853"/>
    <w:rsid w:val="00F95724"/>
    <w:rsid w:val="00F957F3"/>
    <w:rsid w:val="00F958E8"/>
    <w:rsid w:val="00F959F2"/>
    <w:rsid w:val="00F95B45"/>
    <w:rsid w:val="00F95C80"/>
    <w:rsid w:val="00F95D27"/>
    <w:rsid w:val="00F95F70"/>
    <w:rsid w:val="00F95FEC"/>
    <w:rsid w:val="00F96126"/>
    <w:rsid w:val="00F97248"/>
    <w:rsid w:val="00F97317"/>
    <w:rsid w:val="00F97881"/>
    <w:rsid w:val="00F97B9D"/>
    <w:rsid w:val="00F97F27"/>
    <w:rsid w:val="00FA0497"/>
    <w:rsid w:val="00FA0B62"/>
    <w:rsid w:val="00FA0BA4"/>
    <w:rsid w:val="00FA0E25"/>
    <w:rsid w:val="00FA12D9"/>
    <w:rsid w:val="00FA14D0"/>
    <w:rsid w:val="00FA17BB"/>
    <w:rsid w:val="00FA1939"/>
    <w:rsid w:val="00FA2007"/>
    <w:rsid w:val="00FA24A9"/>
    <w:rsid w:val="00FA24ED"/>
    <w:rsid w:val="00FA27EE"/>
    <w:rsid w:val="00FA2C36"/>
    <w:rsid w:val="00FA2D9B"/>
    <w:rsid w:val="00FA31FB"/>
    <w:rsid w:val="00FA33DE"/>
    <w:rsid w:val="00FA4199"/>
    <w:rsid w:val="00FA4F9F"/>
    <w:rsid w:val="00FA5574"/>
    <w:rsid w:val="00FA6953"/>
    <w:rsid w:val="00FA7103"/>
    <w:rsid w:val="00FA7432"/>
    <w:rsid w:val="00FA7614"/>
    <w:rsid w:val="00FA769B"/>
    <w:rsid w:val="00FA7723"/>
    <w:rsid w:val="00FA7740"/>
    <w:rsid w:val="00FA7AD4"/>
    <w:rsid w:val="00FB0386"/>
    <w:rsid w:val="00FB0457"/>
    <w:rsid w:val="00FB0470"/>
    <w:rsid w:val="00FB0898"/>
    <w:rsid w:val="00FB0C50"/>
    <w:rsid w:val="00FB0CB8"/>
    <w:rsid w:val="00FB152A"/>
    <w:rsid w:val="00FB15EF"/>
    <w:rsid w:val="00FB1C8B"/>
    <w:rsid w:val="00FB1F69"/>
    <w:rsid w:val="00FB1FF9"/>
    <w:rsid w:val="00FB23C7"/>
    <w:rsid w:val="00FB2784"/>
    <w:rsid w:val="00FB2946"/>
    <w:rsid w:val="00FB3267"/>
    <w:rsid w:val="00FB346D"/>
    <w:rsid w:val="00FB3CF3"/>
    <w:rsid w:val="00FB3D13"/>
    <w:rsid w:val="00FB40C3"/>
    <w:rsid w:val="00FB413C"/>
    <w:rsid w:val="00FB448D"/>
    <w:rsid w:val="00FB49FA"/>
    <w:rsid w:val="00FB4AD6"/>
    <w:rsid w:val="00FB4C26"/>
    <w:rsid w:val="00FB4CEF"/>
    <w:rsid w:val="00FB50E7"/>
    <w:rsid w:val="00FB54D5"/>
    <w:rsid w:val="00FB5903"/>
    <w:rsid w:val="00FB5EDD"/>
    <w:rsid w:val="00FB65F2"/>
    <w:rsid w:val="00FB662A"/>
    <w:rsid w:val="00FB66F4"/>
    <w:rsid w:val="00FB6CE8"/>
    <w:rsid w:val="00FB6CF1"/>
    <w:rsid w:val="00FB6E21"/>
    <w:rsid w:val="00FB7D31"/>
    <w:rsid w:val="00FB7D60"/>
    <w:rsid w:val="00FB7D7E"/>
    <w:rsid w:val="00FB7E1A"/>
    <w:rsid w:val="00FB7F11"/>
    <w:rsid w:val="00FC00BA"/>
    <w:rsid w:val="00FC035B"/>
    <w:rsid w:val="00FC055F"/>
    <w:rsid w:val="00FC0A12"/>
    <w:rsid w:val="00FC152E"/>
    <w:rsid w:val="00FC1872"/>
    <w:rsid w:val="00FC1B0E"/>
    <w:rsid w:val="00FC1F5F"/>
    <w:rsid w:val="00FC25B5"/>
    <w:rsid w:val="00FC2702"/>
    <w:rsid w:val="00FC274E"/>
    <w:rsid w:val="00FC2976"/>
    <w:rsid w:val="00FC29C1"/>
    <w:rsid w:val="00FC2FE2"/>
    <w:rsid w:val="00FC30DA"/>
    <w:rsid w:val="00FC38CF"/>
    <w:rsid w:val="00FC3BA3"/>
    <w:rsid w:val="00FC4026"/>
    <w:rsid w:val="00FC478E"/>
    <w:rsid w:val="00FC48C5"/>
    <w:rsid w:val="00FC48DE"/>
    <w:rsid w:val="00FC49EA"/>
    <w:rsid w:val="00FC4E14"/>
    <w:rsid w:val="00FC4FA3"/>
    <w:rsid w:val="00FC5100"/>
    <w:rsid w:val="00FC559F"/>
    <w:rsid w:val="00FC58CD"/>
    <w:rsid w:val="00FC59DD"/>
    <w:rsid w:val="00FC5B71"/>
    <w:rsid w:val="00FC60DA"/>
    <w:rsid w:val="00FC619B"/>
    <w:rsid w:val="00FC6283"/>
    <w:rsid w:val="00FC663F"/>
    <w:rsid w:val="00FC66D7"/>
    <w:rsid w:val="00FC7721"/>
    <w:rsid w:val="00FC7C6F"/>
    <w:rsid w:val="00FC7E95"/>
    <w:rsid w:val="00FC7ECF"/>
    <w:rsid w:val="00FD064C"/>
    <w:rsid w:val="00FD06C8"/>
    <w:rsid w:val="00FD08E9"/>
    <w:rsid w:val="00FD0C63"/>
    <w:rsid w:val="00FD1416"/>
    <w:rsid w:val="00FD191E"/>
    <w:rsid w:val="00FD2168"/>
    <w:rsid w:val="00FD2378"/>
    <w:rsid w:val="00FD2698"/>
    <w:rsid w:val="00FD2C61"/>
    <w:rsid w:val="00FD2FCD"/>
    <w:rsid w:val="00FD371E"/>
    <w:rsid w:val="00FD37C5"/>
    <w:rsid w:val="00FD3E65"/>
    <w:rsid w:val="00FD4021"/>
    <w:rsid w:val="00FD4025"/>
    <w:rsid w:val="00FD4155"/>
    <w:rsid w:val="00FD44E5"/>
    <w:rsid w:val="00FD4539"/>
    <w:rsid w:val="00FD4611"/>
    <w:rsid w:val="00FD4BCF"/>
    <w:rsid w:val="00FD5E74"/>
    <w:rsid w:val="00FD5FC5"/>
    <w:rsid w:val="00FD68D5"/>
    <w:rsid w:val="00FD735E"/>
    <w:rsid w:val="00FD73D5"/>
    <w:rsid w:val="00FE0228"/>
    <w:rsid w:val="00FE09F3"/>
    <w:rsid w:val="00FE179B"/>
    <w:rsid w:val="00FE1822"/>
    <w:rsid w:val="00FE18F7"/>
    <w:rsid w:val="00FE1CAD"/>
    <w:rsid w:val="00FE1F00"/>
    <w:rsid w:val="00FE291C"/>
    <w:rsid w:val="00FE2ACC"/>
    <w:rsid w:val="00FE2F1A"/>
    <w:rsid w:val="00FE37C2"/>
    <w:rsid w:val="00FE3A74"/>
    <w:rsid w:val="00FE3D2D"/>
    <w:rsid w:val="00FE3E5E"/>
    <w:rsid w:val="00FE43B6"/>
    <w:rsid w:val="00FE44E6"/>
    <w:rsid w:val="00FE4C08"/>
    <w:rsid w:val="00FE4E47"/>
    <w:rsid w:val="00FE4E59"/>
    <w:rsid w:val="00FE4EC2"/>
    <w:rsid w:val="00FE5B54"/>
    <w:rsid w:val="00FE5C70"/>
    <w:rsid w:val="00FE5E05"/>
    <w:rsid w:val="00FE62B5"/>
    <w:rsid w:val="00FE6303"/>
    <w:rsid w:val="00FE6AA3"/>
    <w:rsid w:val="00FE6ABD"/>
    <w:rsid w:val="00FE70DC"/>
    <w:rsid w:val="00FE733D"/>
    <w:rsid w:val="00FE76BB"/>
    <w:rsid w:val="00FE7840"/>
    <w:rsid w:val="00FF0A5F"/>
    <w:rsid w:val="00FF1763"/>
    <w:rsid w:val="00FF17EE"/>
    <w:rsid w:val="00FF18EB"/>
    <w:rsid w:val="00FF1B7B"/>
    <w:rsid w:val="00FF22FD"/>
    <w:rsid w:val="00FF23DD"/>
    <w:rsid w:val="00FF24F7"/>
    <w:rsid w:val="00FF25D3"/>
    <w:rsid w:val="00FF2816"/>
    <w:rsid w:val="00FF2902"/>
    <w:rsid w:val="00FF30BA"/>
    <w:rsid w:val="00FF3326"/>
    <w:rsid w:val="00FF419F"/>
    <w:rsid w:val="00FF4254"/>
    <w:rsid w:val="00FF43C5"/>
    <w:rsid w:val="00FF4563"/>
    <w:rsid w:val="00FF46A2"/>
    <w:rsid w:val="00FF47E2"/>
    <w:rsid w:val="00FF4921"/>
    <w:rsid w:val="00FF4C14"/>
    <w:rsid w:val="00FF55B4"/>
    <w:rsid w:val="00FF5DAF"/>
    <w:rsid w:val="00FF5E8F"/>
    <w:rsid w:val="00FF5F3E"/>
    <w:rsid w:val="00FF5F42"/>
    <w:rsid w:val="00FF60CF"/>
    <w:rsid w:val="00FF62BA"/>
    <w:rsid w:val="00FF658F"/>
    <w:rsid w:val="00FF6B94"/>
    <w:rsid w:val="00FF7346"/>
    <w:rsid w:val="00FF745F"/>
    <w:rsid w:val="00FF76A1"/>
    <w:rsid w:val="00FF78D9"/>
    <w:rsid w:val="00FF7D0E"/>
    <w:rsid w:val="00FF7E92"/>
    <w:rsid w:val="01085253"/>
    <w:rsid w:val="01118373"/>
    <w:rsid w:val="011B7931"/>
    <w:rsid w:val="011E7177"/>
    <w:rsid w:val="012B609B"/>
    <w:rsid w:val="01302221"/>
    <w:rsid w:val="01448D1F"/>
    <w:rsid w:val="014552B1"/>
    <w:rsid w:val="01466E7B"/>
    <w:rsid w:val="0148B766"/>
    <w:rsid w:val="01596F79"/>
    <w:rsid w:val="0168FEE3"/>
    <w:rsid w:val="016E73CF"/>
    <w:rsid w:val="01713E20"/>
    <w:rsid w:val="0171C533"/>
    <w:rsid w:val="017B3C0D"/>
    <w:rsid w:val="01867CBA"/>
    <w:rsid w:val="019BF29E"/>
    <w:rsid w:val="01A69B32"/>
    <w:rsid w:val="01A7F163"/>
    <w:rsid w:val="01A8140A"/>
    <w:rsid w:val="01AAD090"/>
    <w:rsid w:val="01ADA663"/>
    <w:rsid w:val="01B1E5E8"/>
    <w:rsid w:val="01E5FAEC"/>
    <w:rsid w:val="02015EA7"/>
    <w:rsid w:val="02045D2F"/>
    <w:rsid w:val="0205A0FB"/>
    <w:rsid w:val="020658C3"/>
    <w:rsid w:val="02229F00"/>
    <w:rsid w:val="0230001C"/>
    <w:rsid w:val="023259D1"/>
    <w:rsid w:val="0236E29C"/>
    <w:rsid w:val="023CAC2F"/>
    <w:rsid w:val="0244D43C"/>
    <w:rsid w:val="0258DC01"/>
    <w:rsid w:val="02637530"/>
    <w:rsid w:val="026FBFE0"/>
    <w:rsid w:val="0271F011"/>
    <w:rsid w:val="027DC093"/>
    <w:rsid w:val="02866424"/>
    <w:rsid w:val="0288C585"/>
    <w:rsid w:val="029139A6"/>
    <w:rsid w:val="02999C8B"/>
    <w:rsid w:val="02B285FE"/>
    <w:rsid w:val="02DF7243"/>
    <w:rsid w:val="02EA9B38"/>
    <w:rsid w:val="02ECCB96"/>
    <w:rsid w:val="02ED3675"/>
    <w:rsid w:val="02FE08CD"/>
    <w:rsid w:val="0307C159"/>
    <w:rsid w:val="0313A9D8"/>
    <w:rsid w:val="031E3F94"/>
    <w:rsid w:val="03206D23"/>
    <w:rsid w:val="032ABC5F"/>
    <w:rsid w:val="0332272C"/>
    <w:rsid w:val="033B6F97"/>
    <w:rsid w:val="034A754D"/>
    <w:rsid w:val="034BA43D"/>
    <w:rsid w:val="0353C399"/>
    <w:rsid w:val="03580FCF"/>
    <w:rsid w:val="03751564"/>
    <w:rsid w:val="03764253"/>
    <w:rsid w:val="038C43C6"/>
    <w:rsid w:val="038FB63C"/>
    <w:rsid w:val="0399AC0F"/>
    <w:rsid w:val="03A9FE26"/>
    <w:rsid w:val="03B934F3"/>
    <w:rsid w:val="03BA1BD1"/>
    <w:rsid w:val="03C56905"/>
    <w:rsid w:val="03E7149B"/>
    <w:rsid w:val="03E77139"/>
    <w:rsid w:val="03E8CA61"/>
    <w:rsid w:val="03F23C65"/>
    <w:rsid w:val="0413CF23"/>
    <w:rsid w:val="0441418A"/>
    <w:rsid w:val="0445B705"/>
    <w:rsid w:val="0464C3B0"/>
    <w:rsid w:val="04677696"/>
    <w:rsid w:val="049AE577"/>
    <w:rsid w:val="049F74D2"/>
    <w:rsid w:val="04A9FAFB"/>
    <w:rsid w:val="04AADFF8"/>
    <w:rsid w:val="04ACDD3D"/>
    <w:rsid w:val="04B88360"/>
    <w:rsid w:val="04B96EE4"/>
    <w:rsid w:val="04C05C79"/>
    <w:rsid w:val="04CE012B"/>
    <w:rsid w:val="04DF8EFB"/>
    <w:rsid w:val="04E2DCEB"/>
    <w:rsid w:val="04F1B8CC"/>
    <w:rsid w:val="04F61941"/>
    <w:rsid w:val="0510CF9A"/>
    <w:rsid w:val="0511B263"/>
    <w:rsid w:val="051336E5"/>
    <w:rsid w:val="051605B7"/>
    <w:rsid w:val="051ADA92"/>
    <w:rsid w:val="0532E79B"/>
    <w:rsid w:val="05331B95"/>
    <w:rsid w:val="053D1329"/>
    <w:rsid w:val="05525A56"/>
    <w:rsid w:val="055AC023"/>
    <w:rsid w:val="055CC30E"/>
    <w:rsid w:val="05620D20"/>
    <w:rsid w:val="057B10DC"/>
    <w:rsid w:val="058BAEE6"/>
    <w:rsid w:val="05926466"/>
    <w:rsid w:val="05985279"/>
    <w:rsid w:val="05B607AB"/>
    <w:rsid w:val="05CB05EC"/>
    <w:rsid w:val="05CD888F"/>
    <w:rsid w:val="05DFD2C2"/>
    <w:rsid w:val="05E4D83B"/>
    <w:rsid w:val="05EB48BA"/>
    <w:rsid w:val="05FA423F"/>
    <w:rsid w:val="060EEAF1"/>
    <w:rsid w:val="0614A0A5"/>
    <w:rsid w:val="06246C58"/>
    <w:rsid w:val="063093F0"/>
    <w:rsid w:val="0636C4EB"/>
    <w:rsid w:val="065B62E6"/>
    <w:rsid w:val="0669413B"/>
    <w:rsid w:val="066F54F5"/>
    <w:rsid w:val="06702019"/>
    <w:rsid w:val="0680926B"/>
    <w:rsid w:val="068325C5"/>
    <w:rsid w:val="068CAD5C"/>
    <w:rsid w:val="06A04CC5"/>
    <w:rsid w:val="06BCBDE5"/>
    <w:rsid w:val="06C31BFC"/>
    <w:rsid w:val="06CFC6A8"/>
    <w:rsid w:val="06D313E9"/>
    <w:rsid w:val="06D8BB44"/>
    <w:rsid w:val="06E13511"/>
    <w:rsid w:val="06E36993"/>
    <w:rsid w:val="06F1093D"/>
    <w:rsid w:val="06F292A2"/>
    <w:rsid w:val="06F9F914"/>
    <w:rsid w:val="071B861E"/>
    <w:rsid w:val="07352355"/>
    <w:rsid w:val="07486442"/>
    <w:rsid w:val="07551D2C"/>
    <w:rsid w:val="0760260C"/>
    <w:rsid w:val="07606F4B"/>
    <w:rsid w:val="07693D62"/>
    <w:rsid w:val="07793301"/>
    <w:rsid w:val="07861E15"/>
    <w:rsid w:val="078E22E0"/>
    <w:rsid w:val="0791872D"/>
    <w:rsid w:val="07A1BAF1"/>
    <w:rsid w:val="07B7A8C3"/>
    <w:rsid w:val="07C27CA1"/>
    <w:rsid w:val="07C52EE3"/>
    <w:rsid w:val="07C708B2"/>
    <w:rsid w:val="07E1BBC0"/>
    <w:rsid w:val="07E66295"/>
    <w:rsid w:val="07E7954C"/>
    <w:rsid w:val="07EBE396"/>
    <w:rsid w:val="07ECDFD5"/>
    <w:rsid w:val="07FA552F"/>
    <w:rsid w:val="07FB6276"/>
    <w:rsid w:val="07FD4139"/>
    <w:rsid w:val="0811482E"/>
    <w:rsid w:val="0815AE18"/>
    <w:rsid w:val="0816BEFD"/>
    <w:rsid w:val="0816BF54"/>
    <w:rsid w:val="0818E626"/>
    <w:rsid w:val="081C3E59"/>
    <w:rsid w:val="084A701A"/>
    <w:rsid w:val="084B8259"/>
    <w:rsid w:val="0851498D"/>
    <w:rsid w:val="0859F211"/>
    <w:rsid w:val="085AB827"/>
    <w:rsid w:val="088F21F2"/>
    <w:rsid w:val="0892FBF3"/>
    <w:rsid w:val="08A53018"/>
    <w:rsid w:val="08BA073D"/>
    <w:rsid w:val="08D3ADEA"/>
    <w:rsid w:val="08E2F56C"/>
    <w:rsid w:val="08E46E78"/>
    <w:rsid w:val="08F6CDFB"/>
    <w:rsid w:val="09181992"/>
    <w:rsid w:val="091FEF94"/>
    <w:rsid w:val="0942B651"/>
    <w:rsid w:val="0960D5E1"/>
    <w:rsid w:val="097C51A6"/>
    <w:rsid w:val="097C98E8"/>
    <w:rsid w:val="097E072A"/>
    <w:rsid w:val="09825EEA"/>
    <w:rsid w:val="0986F9C5"/>
    <w:rsid w:val="098B9C87"/>
    <w:rsid w:val="099924E1"/>
    <w:rsid w:val="099CC872"/>
    <w:rsid w:val="099E4A35"/>
    <w:rsid w:val="09A65E3F"/>
    <w:rsid w:val="09C4D34F"/>
    <w:rsid w:val="09C94FD8"/>
    <w:rsid w:val="09CB0F9D"/>
    <w:rsid w:val="09D5C37A"/>
    <w:rsid w:val="09D925CA"/>
    <w:rsid w:val="09E725B2"/>
    <w:rsid w:val="09EF377D"/>
    <w:rsid w:val="0A15C603"/>
    <w:rsid w:val="0A1A6C7A"/>
    <w:rsid w:val="0A1AD512"/>
    <w:rsid w:val="0A1FDA94"/>
    <w:rsid w:val="0A279549"/>
    <w:rsid w:val="0A2E224B"/>
    <w:rsid w:val="0A348253"/>
    <w:rsid w:val="0A353DB4"/>
    <w:rsid w:val="0A3B0C2C"/>
    <w:rsid w:val="0A467085"/>
    <w:rsid w:val="0A60CCAC"/>
    <w:rsid w:val="0A6C8E0E"/>
    <w:rsid w:val="0A7E4533"/>
    <w:rsid w:val="0A81AD42"/>
    <w:rsid w:val="0A839988"/>
    <w:rsid w:val="0AA449C9"/>
    <w:rsid w:val="0AAD7299"/>
    <w:rsid w:val="0AB48881"/>
    <w:rsid w:val="0AB5B186"/>
    <w:rsid w:val="0AB7947A"/>
    <w:rsid w:val="0AB91114"/>
    <w:rsid w:val="0AB91B0D"/>
    <w:rsid w:val="0ACB5AF3"/>
    <w:rsid w:val="0ADCED20"/>
    <w:rsid w:val="0AE9CC17"/>
    <w:rsid w:val="0AEEC826"/>
    <w:rsid w:val="0AF6B8CC"/>
    <w:rsid w:val="0AFB595D"/>
    <w:rsid w:val="0AFD5296"/>
    <w:rsid w:val="0B02991E"/>
    <w:rsid w:val="0B0E50B4"/>
    <w:rsid w:val="0B10CC1E"/>
    <w:rsid w:val="0B14BDA2"/>
    <w:rsid w:val="0B223BB4"/>
    <w:rsid w:val="0B411A95"/>
    <w:rsid w:val="0B416044"/>
    <w:rsid w:val="0B41BC96"/>
    <w:rsid w:val="0B5B5C0B"/>
    <w:rsid w:val="0B72254D"/>
    <w:rsid w:val="0B7571BC"/>
    <w:rsid w:val="0B87258F"/>
    <w:rsid w:val="0B90F467"/>
    <w:rsid w:val="0B91CBDF"/>
    <w:rsid w:val="0B9789C4"/>
    <w:rsid w:val="0BA334F5"/>
    <w:rsid w:val="0BA41C38"/>
    <w:rsid w:val="0BBFDC1D"/>
    <w:rsid w:val="0BD47EAD"/>
    <w:rsid w:val="0BD5D848"/>
    <w:rsid w:val="0BD61BA6"/>
    <w:rsid w:val="0BD68E4D"/>
    <w:rsid w:val="0BE404B7"/>
    <w:rsid w:val="0BE59C2E"/>
    <w:rsid w:val="0BE60999"/>
    <w:rsid w:val="0BF885D6"/>
    <w:rsid w:val="0BF8C55B"/>
    <w:rsid w:val="0BFCDEBB"/>
    <w:rsid w:val="0C0E66C2"/>
    <w:rsid w:val="0C15AA7D"/>
    <w:rsid w:val="0C16408C"/>
    <w:rsid w:val="0C2D8D67"/>
    <w:rsid w:val="0C388019"/>
    <w:rsid w:val="0C4DEBDB"/>
    <w:rsid w:val="0C4F5D86"/>
    <w:rsid w:val="0C53B4C4"/>
    <w:rsid w:val="0C5910F0"/>
    <w:rsid w:val="0C5A470D"/>
    <w:rsid w:val="0C5B956D"/>
    <w:rsid w:val="0C62DAC0"/>
    <w:rsid w:val="0C7525C1"/>
    <w:rsid w:val="0C8B373C"/>
    <w:rsid w:val="0CAD4255"/>
    <w:rsid w:val="0CAF1621"/>
    <w:rsid w:val="0CB5AEF0"/>
    <w:rsid w:val="0CBDE1A9"/>
    <w:rsid w:val="0CC241DA"/>
    <w:rsid w:val="0CCE4324"/>
    <w:rsid w:val="0CD02E2B"/>
    <w:rsid w:val="0D02CD05"/>
    <w:rsid w:val="0D03BA32"/>
    <w:rsid w:val="0D12983C"/>
    <w:rsid w:val="0D157703"/>
    <w:rsid w:val="0D1B9D2C"/>
    <w:rsid w:val="0D1BE3B0"/>
    <w:rsid w:val="0D247C6C"/>
    <w:rsid w:val="0D2D1E87"/>
    <w:rsid w:val="0D43DE82"/>
    <w:rsid w:val="0D640C8E"/>
    <w:rsid w:val="0D65555C"/>
    <w:rsid w:val="0D68F3B3"/>
    <w:rsid w:val="0D6C239B"/>
    <w:rsid w:val="0D6E0D4E"/>
    <w:rsid w:val="0D74B8CD"/>
    <w:rsid w:val="0D76E634"/>
    <w:rsid w:val="0D7CC0C8"/>
    <w:rsid w:val="0D7DAB59"/>
    <w:rsid w:val="0D81D168"/>
    <w:rsid w:val="0D8C7DBB"/>
    <w:rsid w:val="0DBAD742"/>
    <w:rsid w:val="0DC79C67"/>
    <w:rsid w:val="0DC9B9B4"/>
    <w:rsid w:val="0DCC94AB"/>
    <w:rsid w:val="0DEB68F8"/>
    <w:rsid w:val="0E0754BF"/>
    <w:rsid w:val="0E081DC4"/>
    <w:rsid w:val="0E08C8FC"/>
    <w:rsid w:val="0E126D10"/>
    <w:rsid w:val="0E1D21CC"/>
    <w:rsid w:val="0E240364"/>
    <w:rsid w:val="0E31BE25"/>
    <w:rsid w:val="0E7231EF"/>
    <w:rsid w:val="0E74C9E0"/>
    <w:rsid w:val="0E7EEE8C"/>
    <w:rsid w:val="0E82D6DF"/>
    <w:rsid w:val="0EA516C9"/>
    <w:rsid w:val="0EAD6198"/>
    <w:rsid w:val="0EB33781"/>
    <w:rsid w:val="0EB9C0CF"/>
    <w:rsid w:val="0EC7532B"/>
    <w:rsid w:val="0EF328AD"/>
    <w:rsid w:val="0EF4BE0B"/>
    <w:rsid w:val="0EFF019D"/>
    <w:rsid w:val="0F038D0E"/>
    <w:rsid w:val="0F090229"/>
    <w:rsid w:val="0F0A7D7A"/>
    <w:rsid w:val="0F0E43DC"/>
    <w:rsid w:val="0F33746D"/>
    <w:rsid w:val="0F6317C2"/>
    <w:rsid w:val="0F833EA4"/>
    <w:rsid w:val="0F85CF7A"/>
    <w:rsid w:val="0F8662C7"/>
    <w:rsid w:val="0FA33957"/>
    <w:rsid w:val="0FA767BB"/>
    <w:rsid w:val="0FB2FCB7"/>
    <w:rsid w:val="0FC484C0"/>
    <w:rsid w:val="0FC6794E"/>
    <w:rsid w:val="0FCD8E86"/>
    <w:rsid w:val="0FCEAB76"/>
    <w:rsid w:val="0FCEBF62"/>
    <w:rsid w:val="0FDF30EB"/>
    <w:rsid w:val="0FDF461B"/>
    <w:rsid w:val="0FECC354"/>
    <w:rsid w:val="0FFBD07D"/>
    <w:rsid w:val="100C6802"/>
    <w:rsid w:val="10154646"/>
    <w:rsid w:val="10166BB0"/>
    <w:rsid w:val="101BE0E8"/>
    <w:rsid w:val="1021982D"/>
    <w:rsid w:val="10271A4B"/>
    <w:rsid w:val="102E9E26"/>
    <w:rsid w:val="104F07E2"/>
    <w:rsid w:val="1083DE71"/>
    <w:rsid w:val="1087712A"/>
    <w:rsid w:val="109ABAF0"/>
    <w:rsid w:val="10A8731E"/>
    <w:rsid w:val="10B4D91C"/>
    <w:rsid w:val="10BA8307"/>
    <w:rsid w:val="10C93F3D"/>
    <w:rsid w:val="10D28C50"/>
    <w:rsid w:val="10DD3759"/>
    <w:rsid w:val="10E35BE8"/>
    <w:rsid w:val="10E4B905"/>
    <w:rsid w:val="10E94E0D"/>
    <w:rsid w:val="10E96200"/>
    <w:rsid w:val="1102004F"/>
    <w:rsid w:val="110DC122"/>
    <w:rsid w:val="111AC025"/>
    <w:rsid w:val="1128A3E2"/>
    <w:rsid w:val="112E21EC"/>
    <w:rsid w:val="11349FD9"/>
    <w:rsid w:val="113FEFDD"/>
    <w:rsid w:val="11439D3F"/>
    <w:rsid w:val="1143C1B2"/>
    <w:rsid w:val="114899CD"/>
    <w:rsid w:val="114F2BCA"/>
    <w:rsid w:val="11645A4B"/>
    <w:rsid w:val="117D5E93"/>
    <w:rsid w:val="117F22AD"/>
    <w:rsid w:val="118321DE"/>
    <w:rsid w:val="11990E30"/>
    <w:rsid w:val="119BB408"/>
    <w:rsid w:val="119C6724"/>
    <w:rsid w:val="119F984B"/>
    <w:rsid w:val="11C0A569"/>
    <w:rsid w:val="11CE3365"/>
    <w:rsid w:val="11D60B51"/>
    <w:rsid w:val="11DCD59D"/>
    <w:rsid w:val="11DD1C32"/>
    <w:rsid w:val="11E78CA2"/>
    <w:rsid w:val="11E80D80"/>
    <w:rsid w:val="11FA8819"/>
    <w:rsid w:val="1202C4A1"/>
    <w:rsid w:val="12034156"/>
    <w:rsid w:val="1204A872"/>
    <w:rsid w:val="1210B011"/>
    <w:rsid w:val="12217F2E"/>
    <w:rsid w:val="122D3955"/>
    <w:rsid w:val="12403137"/>
    <w:rsid w:val="124899AC"/>
    <w:rsid w:val="1263D162"/>
    <w:rsid w:val="1265B3E2"/>
    <w:rsid w:val="1267518B"/>
    <w:rsid w:val="126F1BBE"/>
    <w:rsid w:val="127202A2"/>
    <w:rsid w:val="12920DE2"/>
    <w:rsid w:val="12A48BE0"/>
    <w:rsid w:val="12A89EBC"/>
    <w:rsid w:val="12AA6EB7"/>
    <w:rsid w:val="12B7DA26"/>
    <w:rsid w:val="12C78D6D"/>
    <w:rsid w:val="12E4B3C4"/>
    <w:rsid w:val="12E5E600"/>
    <w:rsid w:val="12FA524B"/>
    <w:rsid w:val="12FDCC5A"/>
    <w:rsid w:val="12FE7EB7"/>
    <w:rsid w:val="13000866"/>
    <w:rsid w:val="131AF30E"/>
    <w:rsid w:val="131AFF37"/>
    <w:rsid w:val="133D44A0"/>
    <w:rsid w:val="13444A87"/>
    <w:rsid w:val="1367CE8C"/>
    <w:rsid w:val="1367DAB1"/>
    <w:rsid w:val="136A4B5C"/>
    <w:rsid w:val="136D8047"/>
    <w:rsid w:val="136D96C0"/>
    <w:rsid w:val="138E66E2"/>
    <w:rsid w:val="13952A0B"/>
    <w:rsid w:val="1399347D"/>
    <w:rsid w:val="139D7128"/>
    <w:rsid w:val="13A4BD78"/>
    <w:rsid w:val="13B1ED78"/>
    <w:rsid w:val="13B53732"/>
    <w:rsid w:val="13BADC8E"/>
    <w:rsid w:val="13C5DBA0"/>
    <w:rsid w:val="13E0128B"/>
    <w:rsid w:val="13EDDDE0"/>
    <w:rsid w:val="13EEB7E1"/>
    <w:rsid w:val="13F0169B"/>
    <w:rsid w:val="13F85F89"/>
    <w:rsid w:val="13FC6745"/>
    <w:rsid w:val="1409C440"/>
    <w:rsid w:val="144932D6"/>
    <w:rsid w:val="144DA907"/>
    <w:rsid w:val="145691B1"/>
    <w:rsid w:val="146034FF"/>
    <w:rsid w:val="146ADFED"/>
    <w:rsid w:val="147A7ADA"/>
    <w:rsid w:val="14809845"/>
    <w:rsid w:val="1483EB76"/>
    <w:rsid w:val="14AA4DD4"/>
    <w:rsid w:val="14B65A1B"/>
    <w:rsid w:val="14CAE402"/>
    <w:rsid w:val="14D9DF4A"/>
    <w:rsid w:val="14F0EBB5"/>
    <w:rsid w:val="150950A8"/>
    <w:rsid w:val="15111C43"/>
    <w:rsid w:val="15238ABE"/>
    <w:rsid w:val="152B09BB"/>
    <w:rsid w:val="152F3D49"/>
    <w:rsid w:val="1557D0D5"/>
    <w:rsid w:val="1566336F"/>
    <w:rsid w:val="156E29DF"/>
    <w:rsid w:val="15740BE0"/>
    <w:rsid w:val="15761A26"/>
    <w:rsid w:val="157A8F7F"/>
    <w:rsid w:val="157DC73A"/>
    <w:rsid w:val="15847858"/>
    <w:rsid w:val="158EF0A5"/>
    <w:rsid w:val="159BD7C7"/>
    <w:rsid w:val="15A25955"/>
    <w:rsid w:val="15A3798E"/>
    <w:rsid w:val="15A64280"/>
    <w:rsid w:val="15A96B96"/>
    <w:rsid w:val="15CE5C64"/>
    <w:rsid w:val="15DCCCA9"/>
    <w:rsid w:val="15DEFD89"/>
    <w:rsid w:val="15E331B1"/>
    <w:rsid w:val="15E62B2F"/>
    <w:rsid w:val="15EB18D7"/>
    <w:rsid w:val="15FF98B6"/>
    <w:rsid w:val="1614D41D"/>
    <w:rsid w:val="161A5EEE"/>
    <w:rsid w:val="16300659"/>
    <w:rsid w:val="1634D5A4"/>
    <w:rsid w:val="16396B73"/>
    <w:rsid w:val="163CD00A"/>
    <w:rsid w:val="164435C7"/>
    <w:rsid w:val="164BBB06"/>
    <w:rsid w:val="1655F867"/>
    <w:rsid w:val="16585F85"/>
    <w:rsid w:val="165C1081"/>
    <w:rsid w:val="16613744"/>
    <w:rsid w:val="1664E174"/>
    <w:rsid w:val="1665EE85"/>
    <w:rsid w:val="166FC5E7"/>
    <w:rsid w:val="1681523D"/>
    <w:rsid w:val="168B9203"/>
    <w:rsid w:val="1691B94F"/>
    <w:rsid w:val="169CD5D7"/>
    <w:rsid w:val="169DBB17"/>
    <w:rsid w:val="16A909D1"/>
    <w:rsid w:val="16B2D8F2"/>
    <w:rsid w:val="16B7F893"/>
    <w:rsid w:val="16CABED9"/>
    <w:rsid w:val="16CCA8E2"/>
    <w:rsid w:val="16CE53D1"/>
    <w:rsid w:val="16D72F0C"/>
    <w:rsid w:val="16DCCC21"/>
    <w:rsid w:val="16E7C398"/>
    <w:rsid w:val="16F0F268"/>
    <w:rsid w:val="16F48DBB"/>
    <w:rsid w:val="1704840F"/>
    <w:rsid w:val="17052EE6"/>
    <w:rsid w:val="17064CC6"/>
    <w:rsid w:val="17103C83"/>
    <w:rsid w:val="17375EAB"/>
    <w:rsid w:val="173FA448"/>
    <w:rsid w:val="17732591"/>
    <w:rsid w:val="178146B3"/>
    <w:rsid w:val="17850289"/>
    <w:rsid w:val="1795C819"/>
    <w:rsid w:val="179B6917"/>
    <w:rsid w:val="17D23844"/>
    <w:rsid w:val="17D33CBF"/>
    <w:rsid w:val="17DD2C7C"/>
    <w:rsid w:val="17DD60DE"/>
    <w:rsid w:val="17E41BB2"/>
    <w:rsid w:val="17F7FC40"/>
    <w:rsid w:val="1803A94B"/>
    <w:rsid w:val="1807604C"/>
    <w:rsid w:val="1808C707"/>
    <w:rsid w:val="18107F6B"/>
    <w:rsid w:val="18252D43"/>
    <w:rsid w:val="182E7A94"/>
    <w:rsid w:val="18404BB7"/>
    <w:rsid w:val="18549CE3"/>
    <w:rsid w:val="18661E3B"/>
    <w:rsid w:val="1873CD47"/>
    <w:rsid w:val="1876E977"/>
    <w:rsid w:val="187AF6C2"/>
    <w:rsid w:val="188928C6"/>
    <w:rsid w:val="188A64E9"/>
    <w:rsid w:val="18961C61"/>
    <w:rsid w:val="1897C8DE"/>
    <w:rsid w:val="189E6C2F"/>
    <w:rsid w:val="18A32EA8"/>
    <w:rsid w:val="18A7C0DD"/>
    <w:rsid w:val="18AD379E"/>
    <w:rsid w:val="18BA21EA"/>
    <w:rsid w:val="18C1C5B9"/>
    <w:rsid w:val="18DD9E35"/>
    <w:rsid w:val="18DEA4B8"/>
    <w:rsid w:val="18F501D0"/>
    <w:rsid w:val="18F8BA3E"/>
    <w:rsid w:val="190134D5"/>
    <w:rsid w:val="1908CAFE"/>
    <w:rsid w:val="190C9F2C"/>
    <w:rsid w:val="190CC6C6"/>
    <w:rsid w:val="19127813"/>
    <w:rsid w:val="1913FA0C"/>
    <w:rsid w:val="1916FA94"/>
    <w:rsid w:val="1918C436"/>
    <w:rsid w:val="1931AEA2"/>
    <w:rsid w:val="193DD7FE"/>
    <w:rsid w:val="1940CA83"/>
    <w:rsid w:val="1947ECDE"/>
    <w:rsid w:val="1949011A"/>
    <w:rsid w:val="195FE527"/>
    <w:rsid w:val="1960BEB5"/>
    <w:rsid w:val="197470CC"/>
    <w:rsid w:val="197E9FA9"/>
    <w:rsid w:val="19800CD3"/>
    <w:rsid w:val="1998B9FD"/>
    <w:rsid w:val="19AED1F6"/>
    <w:rsid w:val="19B70360"/>
    <w:rsid w:val="19BC0F88"/>
    <w:rsid w:val="19DEDF5E"/>
    <w:rsid w:val="19E4BC04"/>
    <w:rsid w:val="19EA7E49"/>
    <w:rsid w:val="19EABBC8"/>
    <w:rsid w:val="19F24BD6"/>
    <w:rsid w:val="19FBFA4F"/>
    <w:rsid w:val="1A05C1C2"/>
    <w:rsid w:val="1A188648"/>
    <w:rsid w:val="1A1A42E0"/>
    <w:rsid w:val="1A3C19CE"/>
    <w:rsid w:val="1A489804"/>
    <w:rsid w:val="1A53C90E"/>
    <w:rsid w:val="1A9BE63A"/>
    <w:rsid w:val="1AA6F6B0"/>
    <w:rsid w:val="1AAB1EF7"/>
    <w:rsid w:val="1AB54BF6"/>
    <w:rsid w:val="1ABE910C"/>
    <w:rsid w:val="1AC3E341"/>
    <w:rsid w:val="1AC7B5BD"/>
    <w:rsid w:val="1ACC9DF5"/>
    <w:rsid w:val="1ACF3ED7"/>
    <w:rsid w:val="1ACFADFB"/>
    <w:rsid w:val="1AD66F0A"/>
    <w:rsid w:val="1AEBD5B3"/>
    <w:rsid w:val="1AF13538"/>
    <w:rsid w:val="1AF8F263"/>
    <w:rsid w:val="1B07FD05"/>
    <w:rsid w:val="1B10412D"/>
    <w:rsid w:val="1B1150B4"/>
    <w:rsid w:val="1B1763F6"/>
    <w:rsid w:val="1B182EB3"/>
    <w:rsid w:val="1B33E139"/>
    <w:rsid w:val="1B3BA49D"/>
    <w:rsid w:val="1B46FFA7"/>
    <w:rsid w:val="1B4AF3B2"/>
    <w:rsid w:val="1B70456F"/>
    <w:rsid w:val="1B73EAEE"/>
    <w:rsid w:val="1B7854C0"/>
    <w:rsid w:val="1B7AB833"/>
    <w:rsid w:val="1B7C7744"/>
    <w:rsid w:val="1B7E8CC7"/>
    <w:rsid w:val="1B8047B5"/>
    <w:rsid w:val="1B82EFF3"/>
    <w:rsid w:val="1B8B36B3"/>
    <w:rsid w:val="1B8C03A8"/>
    <w:rsid w:val="1B8E4B9C"/>
    <w:rsid w:val="1BA49128"/>
    <w:rsid w:val="1BAAAC65"/>
    <w:rsid w:val="1BAE669D"/>
    <w:rsid w:val="1BB5B31D"/>
    <w:rsid w:val="1BC042C9"/>
    <w:rsid w:val="1BC94177"/>
    <w:rsid w:val="1BC9B56C"/>
    <w:rsid w:val="1BD2E73C"/>
    <w:rsid w:val="1BF25D2C"/>
    <w:rsid w:val="1C0B2974"/>
    <w:rsid w:val="1C18FD2B"/>
    <w:rsid w:val="1C19A190"/>
    <w:rsid w:val="1C1F6F2E"/>
    <w:rsid w:val="1C317DF0"/>
    <w:rsid w:val="1C3267F9"/>
    <w:rsid w:val="1C3DD0B9"/>
    <w:rsid w:val="1C4AF539"/>
    <w:rsid w:val="1C594170"/>
    <w:rsid w:val="1C63AF31"/>
    <w:rsid w:val="1C6953B3"/>
    <w:rsid w:val="1C783DAC"/>
    <w:rsid w:val="1C9A4628"/>
    <w:rsid w:val="1C9DC382"/>
    <w:rsid w:val="1CA05456"/>
    <w:rsid w:val="1CAA1B55"/>
    <w:rsid w:val="1CAC3F09"/>
    <w:rsid w:val="1CAE2EB5"/>
    <w:rsid w:val="1CB0D070"/>
    <w:rsid w:val="1CB58EA2"/>
    <w:rsid w:val="1CC38188"/>
    <w:rsid w:val="1CC38381"/>
    <w:rsid w:val="1CE546AF"/>
    <w:rsid w:val="1CF2C969"/>
    <w:rsid w:val="1CF8E504"/>
    <w:rsid w:val="1CFFAF24"/>
    <w:rsid w:val="1D01FAE0"/>
    <w:rsid w:val="1D0E34D7"/>
    <w:rsid w:val="1D2F064E"/>
    <w:rsid w:val="1D33901F"/>
    <w:rsid w:val="1D4E020F"/>
    <w:rsid w:val="1D5F2955"/>
    <w:rsid w:val="1D6F43B4"/>
    <w:rsid w:val="1D7289FA"/>
    <w:rsid w:val="1D76FE69"/>
    <w:rsid w:val="1D80FDE0"/>
    <w:rsid w:val="1D86327E"/>
    <w:rsid w:val="1D8E830D"/>
    <w:rsid w:val="1DA11E6F"/>
    <w:rsid w:val="1DB14415"/>
    <w:rsid w:val="1DB8D3C3"/>
    <w:rsid w:val="1DBD29DC"/>
    <w:rsid w:val="1DEDAD43"/>
    <w:rsid w:val="1DF18FA1"/>
    <w:rsid w:val="1DF58F36"/>
    <w:rsid w:val="1DF6B5D6"/>
    <w:rsid w:val="1DF9A33F"/>
    <w:rsid w:val="1DF9DD8A"/>
    <w:rsid w:val="1E0AE0B2"/>
    <w:rsid w:val="1E1C8741"/>
    <w:rsid w:val="1E2776A1"/>
    <w:rsid w:val="1E2DB6F8"/>
    <w:rsid w:val="1E2F8AE6"/>
    <w:rsid w:val="1E37BF4D"/>
    <w:rsid w:val="1E4C470A"/>
    <w:rsid w:val="1E503608"/>
    <w:rsid w:val="1E57FBBB"/>
    <w:rsid w:val="1E68B726"/>
    <w:rsid w:val="1E7905A5"/>
    <w:rsid w:val="1E7F35DE"/>
    <w:rsid w:val="1E8D87F9"/>
    <w:rsid w:val="1EAEBCDE"/>
    <w:rsid w:val="1EB032EE"/>
    <w:rsid w:val="1EB65EC5"/>
    <w:rsid w:val="1EC28CED"/>
    <w:rsid w:val="1F0CD862"/>
    <w:rsid w:val="1F416255"/>
    <w:rsid w:val="1F436CA1"/>
    <w:rsid w:val="1F45EE38"/>
    <w:rsid w:val="1F499DED"/>
    <w:rsid w:val="1F4FF7E6"/>
    <w:rsid w:val="1F59E142"/>
    <w:rsid w:val="1F675E92"/>
    <w:rsid w:val="1F6A93CB"/>
    <w:rsid w:val="1F79EB40"/>
    <w:rsid w:val="1F9400DE"/>
    <w:rsid w:val="1F96FEE8"/>
    <w:rsid w:val="1F97FCF3"/>
    <w:rsid w:val="1F9951AC"/>
    <w:rsid w:val="1FA415FD"/>
    <w:rsid w:val="1FB2AE7E"/>
    <w:rsid w:val="1FBD8318"/>
    <w:rsid w:val="1FC1B2E5"/>
    <w:rsid w:val="1FCC7784"/>
    <w:rsid w:val="1FDA1594"/>
    <w:rsid w:val="1FF71251"/>
    <w:rsid w:val="1FF7C84B"/>
    <w:rsid w:val="1FFF88E6"/>
    <w:rsid w:val="20170F1A"/>
    <w:rsid w:val="201BBE54"/>
    <w:rsid w:val="201C2256"/>
    <w:rsid w:val="20393560"/>
    <w:rsid w:val="20472B47"/>
    <w:rsid w:val="204AD219"/>
    <w:rsid w:val="20585F07"/>
    <w:rsid w:val="20612D9A"/>
    <w:rsid w:val="206782CD"/>
    <w:rsid w:val="206910C4"/>
    <w:rsid w:val="208220E3"/>
    <w:rsid w:val="208B037A"/>
    <w:rsid w:val="20932E2E"/>
    <w:rsid w:val="20A098D1"/>
    <w:rsid w:val="20BE466B"/>
    <w:rsid w:val="20C24E95"/>
    <w:rsid w:val="20CB7275"/>
    <w:rsid w:val="20D8801D"/>
    <w:rsid w:val="20DD38C4"/>
    <w:rsid w:val="20E71381"/>
    <w:rsid w:val="20EB9DA0"/>
    <w:rsid w:val="20F2CBC2"/>
    <w:rsid w:val="20F5C0CD"/>
    <w:rsid w:val="20F7BC3B"/>
    <w:rsid w:val="20FC1499"/>
    <w:rsid w:val="2105404A"/>
    <w:rsid w:val="2108E180"/>
    <w:rsid w:val="21239C79"/>
    <w:rsid w:val="21280C59"/>
    <w:rsid w:val="213D0254"/>
    <w:rsid w:val="213DDAFA"/>
    <w:rsid w:val="213E40E0"/>
    <w:rsid w:val="214B4E94"/>
    <w:rsid w:val="215691C7"/>
    <w:rsid w:val="215FFCB1"/>
    <w:rsid w:val="21656AEA"/>
    <w:rsid w:val="21712CCF"/>
    <w:rsid w:val="21737466"/>
    <w:rsid w:val="21815EEC"/>
    <w:rsid w:val="218266D4"/>
    <w:rsid w:val="2183D2AF"/>
    <w:rsid w:val="218CB4BB"/>
    <w:rsid w:val="21A8BB12"/>
    <w:rsid w:val="21BEBF9F"/>
    <w:rsid w:val="21CD9A01"/>
    <w:rsid w:val="21DA2332"/>
    <w:rsid w:val="21DE3C97"/>
    <w:rsid w:val="21F714CD"/>
    <w:rsid w:val="2212208C"/>
    <w:rsid w:val="221A13AB"/>
    <w:rsid w:val="22255E39"/>
    <w:rsid w:val="223B02A2"/>
    <w:rsid w:val="223B2CF3"/>
    <w:rsid w:val="223FF11A"/>
    <w:rsid w:val="22471F75"/>
    <w:rsid w:val="225CDF10"/>
    <w:rsid w:val="22617AE8"/>
    <w:rsid w:val="22635F1C"/>
    <w:rsid w:val="2263C4A6"/>
    <w:rsid w:val="226F5269"/>
    <w:rsid w:val="22715714"/>
    <w:rsid w:val="228D0300"/>
    <w:rsid w:val="22A27D79"/>
    <w:rsid w:val="22B17A7D"/>
    <w:rsid w:val="22C65D46"/>
    <w:rsid w:val="22CD128B"/>
    <w:rsid w:val="22D60C4D"/>
    <w:rsid w:val="22DF9D8F"/>
    <w:rsid w:val="22E1FB9B"/>
    <w:rsid w:val="22E82E78"/>
    <w:rsid w:val="22E8F28A"/>
    <w:rsid w:val="22E97A1C"/>
    <w:rsid w:val="22EBCA0A"/>
    <w:rsid w:val="22EE94E8"/>
    <w:rsid w:val="22F1B9B5"/>
    <w:rsid w:val="22F79172"/>
    <w:rsid w:val="22F79B0D"/>
    <w:rsid w:val="22FE645E"/>
    <w:rsid w:val="230099B6"/>
    <w:rsid w:val="230CBCB1"/>
    <w:rsid w:val="23161B20"/>
    <w:rsid w:val="231CA997"/>
    <w:rsid w:val="231DE6E5"/>
    <w:rsid w:val="23237B6E"/>
    <w:rsid w:val="23271878"/>
    <w:rsid w:val="2334724B"/>
    <w:rsid w:val="233A72DE"/>
    <w:rsid w:val="23440D63"/>
    <w:rsid w:val="23473ED3"/>
    <w:rsid w:val="2347AA81"/>
    <w:rsid w:val="2359472B"/>
    <w:rsid w:val="236A5D92"/>
    <w:rsid w:val="2372B7B7"/>
    <w:rsid w:val="2390C9A9"/>
    <w:rsid w:val="23BD4F37"/>
    <w:rsid w:val="23C3D503"/>
    <w:rsid w:val="23C5F4CD"/>
    <w:rsid w:val="23C7752C"/>
    <w:rsid w:val="23D65295"/>
    <w:rsid w:val="23DDBF7D"/>
    <w:rsid w:val="23E414DE"/>
    <w:rsid w:val="23F5735F"/>
    <w:rsid w:val="24045FFD"/>
    <w:rsid w:val="240B9803"/>
    <w:rsid w:val="2410E77B"/>
    <w:rsid w:val="242BE2D4"/>
    <w:rsid w:val="244F1D66"/>
    <w:rsid w:val="245CF78A"/>
    <w:rsid w:val="2465B84A"/>
    <w:rsid w:val="246ECC0A"/>
    <w:rsid w:val="24938B45"/>
    <w:rsid w:val="24A62877"/>
    <w:rsid w:val="24AD185D"/>
    <w:rsid w:val="24B72CC6"/>
    <w:rsid w:val="24BD016A"/>
    <w:rsid w:val="24C1908A"/>
    <w:rsid w:val="24E45638"/>
    <w:rsid w:val="24F314A3"/>
    <w:rsid w:val="250A297C"/>
    <w:rsid w:val="25159D25"/>
    <w:rsid w:val="251703B2"/>
    <w:rsid w:val="2518FE22"/>
    <w:rsid w:val="252D3F4E"/>
    <w:rsid w:val="2532944C"/>
    <w:rsid w:val="25331E0F"/>
    <w:rsid w:val="253FB522"/>
    <w:rsid w:val="25589CD7"/>
    <w:rsid w:val="2561B1F6"/>
    <w:rsid w:val="25621BF8"/>
    <w:rsid w:val="25628409"/>
    <w:rsid w:val="256B5A51"/>
    <w:rsid w:val="256DCA93"/>
    <w:rsid w:val="2572127E"/>
    <w:rsid w:val="2572363D"/>
    <w:rsid w:val="257475DE"/>
    <w:rsid w:val="25755A6E"/>
    <w:rsid w:val="257AB3E0"/>
    <w:rsid w:val="257F3FAA"/>
    <w:rsid w:val="258009B2"/>
    <w:rsid w:val="258041C0"/>
    <w:rsid w:val="258BD1BB"/>
    <w:rsid w:val="25B4F3BF"/>
    <w:rsid w:val="25C143CE"/>
    <w:rsid w:val="25C4D479"/>
    <w:rsid w:val="25CF0123"/>
    <w:rsid w:val="25DDB432"/>
    <w:rsid w:val="25DF9D5F"/>
    <w:rsid w:val="25E3EB24"/>
    <w:rsid w:val="25E77D98"/>
    <w:rsid w:val="25EFA9E6"/>
    <w:rsid w:val="25F8BFF5"/>
    <w:rsid w:val="25FEFC0F"/>
    <w:rsid w:val="25FF50A6"/>
    <w:rsid w:val="260FF940"/>
    <w:rsid w:val="2610384D"/>
    <w:rsid w:val="26130318"/>
    <w:rsid w:val="261334EE"/>
    <w:rsid w:val="2617233A"/>
    <w:rsid w:val="26185C3D"/>
    <w:rsid w:val="262101F7"/>
    <w:rsid w:val="2624FC1F"/>
    <w:rsid w:val="263F4E52"/>
    <w:rsid w:val="26416160"/>
    <w:rsid w:val="26498A0D"/>
    <w:rsid w:val="264D810F"/>
    <w:rsid w:val="2650CC35"/>
    <w:rsid w:val="2652446A"/>
    <w:rsid w:val="2653A22A"/>
    <w:rsid w:val="26568290"/>
    <w:rsid w:val="265AE15A"/>
    <w:rsid w:val="2661A0E1"/>
    <w:rsid w:val="26669A30"/>
    <w:rsid w:val="26799A4E"/>
    <w:rsid w:val="2679A29E"/>
    <w:rsid w:val="26A59D73"/>
    <w:rsid w:val="26A765C4"/>
    <w:rsid w:val="26AA25D6"/>
    <w:rsid w:val="26AEEF59"/>
    <w:rsid w:val="26B083A6"/>
    <w:rsid w:val="26B52E9B"/>
    <w:rsid w:val="26D1FB3D"/>
    <w:rsid w:val="26DB46FF"/>
    <w:rsid w:val="26DCAE9E"/>
    <w:rsid w:val="26E2CF60"/>
    <w:rsid w:val="26EAB5B0"/>
    <w:rsid w:val="26EFCCDA"/>
    <w:rsid w:val="26F5260D"/>
    <w:rsid w:val="26FF3D2C"/>
    <w:rsid w:val="2702179F"/>
    <w:rsid w:val="271D3B2A"/>
    <w:rsid w:val="27307FF1"/>
    <w:rsid w:val="27331795"/>
    <w:rsid w:val="273FD055"/>
    <w:rsid w:val="274C7286"/>
    <w:rsid w:val="2779FB25"/>
    <w:rsid w:val="277F4D30"/>
    <w:rsid w:val="278D4339"/>
    <w:rsid w:val="2795883E"/>
    <w:rsid w:val="27A49ACB"/>
    <w:rsid w:val="27C8950D"/>
    <w:rsid w:val="27CB5454"/>
    <w:rsid w:val="27D0FE2D"/>
    <w:rsid w:val="27DE7D7C"/>
    <w:rsid w:val="27F21CBC"/>
    <w:rsid w:val="2805ABB1"/>
    <w:rsid w:val="280E820D"/>
    <w:rsid w:val="2815B2B0"/>
    <w:rsid w:val="28161911"/>
    <w:rsid w:val="281E3834"/>
    <w:rsid w:val="281F51A9"/>
    <w:rsid w:val="28243457"/>
    <w:rsid w:val="285249FB"/>
    <w:rsid w:val="2853DDA3"/>
    <w:rsid w:val="285D44E5"/>
    <w:rsid w:val="285ED6DA"/>
    <w:rsid w:val="2865E62D"/>
    <w:rsid w:val="2872E492"/>
    <w:rsid w:val="287A4B8E"/>
    <w:rsid w:val="2887AC39"/>
    <w:rsid w:val="28922AE0"/>
    <w:rsid w:val="289FFBCC"/>
    <w:rsid w:val="28A21919"/>
    <w:rsid w:val="28A63FD5"/>
    <w:rsid w:val="28AEFFCD"/>
    <w:rsid w:val="28C715A8"/>
    <w:rsid w:val="28D25F69"/>
    <w:rsid w:val="28D981D5"/>
    <w:rsid w:val="28DA6349"/>
    <w:rsid w:val="28F17224"/>
    <w:rsid w:val="28F5E905"/>
    <w:rsid w:val="28FA7C8C"/>
    <w:rsid w:val="28FB3FA2"/>
    <w:rsid w:val="28FF9B09"/>
    <w:rsid w:val="2907FF38"/>
    <w:rsid w:val="29143B1A"/>
    <w:rsid w:val="291BC7B9"/>
    <w:rsid w:val="291FAB1B"/>
    <w:rsid w:val="29269444"/>
    <w:rsid w:val="293D2380"/>
    <w:rsid w:val="294882DA"/>
    <w:rsid w:val="2966B6AC"/>
    <w:rsid w:val="297FAC38"/>
    <w:rsid w:val="2990FD6B"/>
    <w:rsid w:val="29927CF6"/>
    <w:rsid w:val="2993667F"/>
    <w:rsid w:val="29954995"/>
    <w:rsid w:val="299BDB60"/>
    <w:rsid w:val="299C3831"/>
    <w:rsid w:val="29B1F831"/>
    <w:rsid w:val="29BFCA7A"/>
    <w:rsid w:val="29C4365A"/>
    <w:rsid w:val="29CC338B"/>
    <w:rsid w:val="29CD38D5"/>
    <w:rsid w:val="29CFAA3B"/>
    <w:rsid w:val="29E6EF66"/>
    <w:rsid w:val="29E7E005"/>
    <w:rsid w:val="29E89C93"/>
    <w:rsid w:val="29F530F2"/>
    <w:rsid w:val="2A05BA97"/>
    <w:rsid w:val="2A05DA8E"/>
    <w:rsid w:val="2A0A6E9B"/>
    <w:rsid w:val="2A2529F0"/>
    <w:rsid w:val="2A2ED1E1"/>
    <w:rsid w:val="2A32ECEC"/>
    <w:rsid w:val="2A43DFC2"/>
    <w:rsid w:val="2A697EAD"/>
    <w:rsid w:val="2A814F7E"/>
    <w:rsid w:val="2A840584"/>
    <w:rsid w:val="2A9FA264"/>
    <w:rsid w:val="2AAC4A53"/>
    <w:rsid w:val="2AC27D58"/>
    <w:rsid w:val="2ACD0766"/>
    <w:rsid w:val="2ACD802B"/>
    <w:rsid w:val="2AD612A3"/>
    <w:rsid w:val="2AE16128"/>
    <w:rsid w:val="2AE1F207"/>
    <w:rsid w:val="2AE39D34"/>
    <w:rsid w:val="2B013012"/>
    <w:rsid w:val="2B08209B"/>
    <w:rsid w:val="2B0DCDBA"/>
    <w:rsid w:val="2B191EB9"/>
    <w:rsid w:val="2B1FC1CB"/>
    <w:rsid w:val="2B2DE581"/>
    <w:rsid w:val="2B2EFB1C"/>
    <w:rsid w:val="2B2F14D4"/>
    <w:rsid w:val="2B4996E4"/>
    <w:rsid w:val="2B4BFAFC"/>
    <w:rsid w:val="2B5080D0"/>
    <w:rsid w:val="2B5871C2"/>
    <w:rsid w:val="2B6C6EA7"/>
    <w:rsid w:val="2B6E5460"/>
    <w:rsid w:val="2B8041AF"/>
    <w:rsid w:val="2B86951E"/>
    <w:rsid w:val="2B909F3F"/>
    <w:rsid w:val="2B97F9A7"/>
    <w:rsid w:val="2BA2B1D8"/>
    <w:rsid w:val="2BB22153"/>
    <w:rsid w:val="2BC1431E"/>
    <w:rsid w:val="2BCD8B3A"/>
    <w:rsid w:val="2BD0BE71"/>
    <w:rsid w:val="2BDE0F64"/>
    <w:rsid w:val="2BDF9E95"/>
    <w:rsid w:val="2BDFDC04"/>
    <w:rsid w:val="2C005BC3"/>
    <w:rsid w:val="2C05AF48"/>
    <w:rsid w:val="2C1BF3A1"/>
    <w:rsid w:val="2C1D83D5"/>
    <w:rsid w:val="2C2CC7A4"/>
    <w:rsid w:val="2C2D3547"/>
    <w:rsid w:val="2C335047"/>
    <w:rsid w:val="2C4916D3"/>
    <w:rsid w:val="2C4C6C9F"/>
    <w:rsid w:val="2C60A32C"/>
    <w:rsid w:val="2C6A821D"/>
    <w:rsid w:val="2C7151C6"/>
    <w:rsid w:val="2C797948"/>
    <w:rsid w:val="2C8E4A8C"/>
    <w:rsid w:val="2C986BA1"/>
    <w:rsid w:val="2CAD64F8"/>
    <w:rsid w:val="2CB5B963"/>
    <w:rsid w:val="2CB607B1"/>
    <w:rsid w:val="2CC447A8"/>
    <w:rsid w:val="2CD8B5A1"/>
    <w:rsid w:val="2CE2A49B"/>
    <w:rsid w:val="2CE362DD"/>
    <w:rsid w:val="2CF6408C"/>
    <w:rsid w:val="2CF8761C"/>
    <w:rsid w:val="2CFD6D4B"/>
    <w:rsid w:val="2CFDB92F"/>
    <w:rsid w:val="2CFDE68E"/>
    <w:rsid w:val="2D131F4B"/>
    <w:rsid w:val="2D173C4B"/>
    <w:rsid w:val="2D37EC8C"/>
    <w:rsid w:val="2D43EA73"/>
    <w:rsid w:val="2D4DEC35"/>
    <w:rsid w:val="2D4F80B6"/>
    <w:rsid w:val="2D547E28"/>
    <w:rsid w:val="2D7CB2A1"/>
    <w:rsid w:val="2D8D130C"/>
    <w:rsid w:val="2D8F4AE4"/>
    <w:rsid w:val="2D92AD14"/>
    <w:rsid w:val="2D934191"/>
    <w:rsid w:val="2D94EF67"/>
    <w:rsid w:val="2D9AF97F"/>
    <w:rsid w:val="2DA8574E"/>
    <w:rsid w:val="2DAB5048"/>
    <w:rsid w:val="2DB483D1"/>
    <w:rsid w:val="2DB78E41"/>
    <w:rsid w:val="2DB8A435"/>
    <w:rsid w:val="2DC57452"/>
    <w:rsid w:val="2DDEF3B1"/>
    <w:rsid w:val="2E0914AD"/>
    <w:rsid w:val="2E25C45A"/>
    <w:rsid w:val="2E2811B2"/>
    <w:rsid w:val="2E282F7C"/>
    <w:rsid w:val="2E31023D"/>
    <w:rsid w:val="2E40FAA8"/>
    <w:rsid w:val="2E4B9C7B"/>
    <w:rsid w:val="2E4C412F"/>
    <w:rsid w:val="2E4D984E"/>
    <w:rsid w:val="2E5A1426"/>
    <w:rsid w:val="2E5A9753"/>
    <w:rsid w:val="2E628EA8"/>
    <w:rsid w:val="2E675947"/>
    <w:rsid w:val="2E6CF4A1"/>
    <w:rsid w:val="2E6DBAFE"/>
    <w:rsid w:val="2E6F4775"/>
    <w:rsid w:val="2E70653F"/>
    <w:rsid w:val="2E72D598"/>
    <w:rsid w:val="2E757C9B"/>
    <w:rsid w:val="2EA45E56"/>
    <w:rsid w:val="2EA51D76"/>
    <w:rsid w:val="2EACD19E"/>
    <w:rsid w:val="2EAD69BF"/>
    <w:rsid w:val="2EADB8DA"/>
    <w:rsid w:val="2EB0671C"/>
    <w:rsid w:val="2EC15CAE"/>
    <w:rsid w:val="2EE8ECF3"/>
    <w:rsid w:val="2EE9587A"/>
    <w:rsid w:val="2EEFB31D"/>
    <w:rsid w:val="2EF38AE0"/>
    <w:rsid w:val="2EFE0817"/>
    <w:rsid w:val="2F026C28"/>
    <w:rsid w:val="2F06B229"/>
    <w:rsid w:val="2F13D812"/>
    <w:rsid w:val="2F151FE1"/>
    <w:rsid w:val="2F26C591"/>
    <w:rsid w:val="2F3E950F"/>
    <w:rsid w:val="2F456A9C"/>
    <w:rsid w:val="2F481A02"/>
    <w:rsid w:val="2F4A50B4"/>
    <w:rsid w:val="2F4ABD86"/>
    <w:rsid w:val="2F506DFE"/>
    <w:rsid w:val="2F509BA8"/>
    <w:rsid w:val="2F6A2CE9"/>
    <w:rsid w:val="2F6BAB2A"/>
    <w:rsid w:val="2F7775E9"/>
    <w:rsid w:val="2F7DD719"/>
    <w:rsid w:val="2F827C91"/>
    <w:rsid w:val="2F8568BB"/>
    <w:rsid w:val="2F9D1486"/>
    <w:rsid w:val="2FB7717E"/>
    <w:rsid w:val="2FCDFC1E"/>
    <w:rsid w:val="2FCE3837"/>
    <w:rsid w:val="2FD48562"/>
    <w:rsid w:val="2FDD4D43"/>
    <w:rsid w:val="2FDEA410"/>
    <w:rsid w:val="2FE1C374"/>
    <w:rsid w:val="2FEAA79E"/>
    <w:rsid w:val="2FEE79EE"/>
    <w:rsid w:val="2FF85088"/>
    <w:rsid w:val="2FF9D61A"/>
    <w:rsid w:val="30094EA6"/>
    <w:rsid w:val="300B3981"/>
    <w:rsid w:val="300F386A"/>
    <w:rsid w:val="301FBE64"/>
    <w:rsid w:val="3020C072"/>
    <w:rsid w:val="3027F5AC"/>
    <w:rsid w:val="30444185"/>
    <w:rsid w:val="304B77CF"/>
    <w:rsid w:val="3057561C"/>
    <w:rsid w:val="3058E742"/>
    <w:rsid w:val="30606F28"/>
    <w:rsid w:val="30609F45"/>
    <w:rsid w:val="30730665"/>
    <w:rsid w:val="3079C884"/>
    <w:rsid w:val="307F348E"/>
    <w:rsid w:val="309AF605"/>
    <w:rsid w:val="30A68C37"/>
    <w:rsid w:val="30AAFE5B"/>
    <w:rsid w:val="30B04836"/>
    <w:rsid w:val="30BB40A2"/>
    <w:rsid w:val="30D43781"/>
    <w:rsid w:val="30D71E58"/>
    <w:rsid w:val="30DEC001"/>
    <w:rsid w:val="310429E2"/>
    <w:rsid w:val="310F0EC9"/>
    <w:rsid w:val="311C8F3A"/>
    <w:rsid w:val="31287A4E"/>
    <w:rsid w:val="312BB9D4"/>
    <w:rsid w:val="3133C0D6"/>
    <w:rsid w:val="313A98A5"/>
    <w:rsid w:val="313CC1AF"/>
    <w:rsid w:val="3145B3EB"/>
    <w:rsid w:val="314BC35F"/>
    <w:rsid w:val="31502619"/>
    <w:rsid w:val="315D31A3"/>
    <w:rsid w:val="3166B32D"/>
    <w:rsid w:val="31778038"/>
    <w:rsid w:val="31977005"/>
    <w:rsid w:val="319896BF"/>
    <w:rsid w:val="31AA9921"/>
    <w:rsid w:val="31B683C8"/>
    <w:rsid w:val="31BB5AAA"/>
    <w:rsid w:val="31DC316E"/>
    <w:rsid w:val="31E48062"/>
    <w:rsid w:val="31EC35E7"/>
    <w:rsid w:val="31EF8846"/>
    <w:rsid w:val="3219CAE1"/>
    <w:rsid w:val="32308C30"/>
    <w:rsid w:val="32353D69"/>
    <w:rsid w:val="3244A872"/>
    <w:rsid w:val="326D050A"/>
    <w:rsid w:val="327BBB98"/>
    <w:rsid w:val="327DDEA4"/>
    <w:rsid w:val="327F4A02"/>
    <w:rsid w:val="3284896A"/>
    <w:rsid w:val="3289696E"/>
    <w:rsid w:val="3294E269"/>
    <w:rsid w:val="329D5FF5"/>
    <w:rsid w:val="329E29F7"/>
    <w:rsid w:val="32A20306"/>
    <w:rsid w:val="32A7CABD"/>
    <w:rsid w:val="32B327F4"/>
    <w:rsid w:val="32B34383"/>
    <w:rsid w:val="32BD3C32"/>
    <w:rsid w:val="32C2490F"/>
    <w:rsid w:val="32C67294"/>
    <w:rsid w:val="32C7D7A6"/>
    <w:rsid w:val="32E837D4"/>
    <w:rsid w:val="32EC0847"/>
    <w:rsid w:val="3306B73D"/>
    <w:rsid w:val="3325E076"/>
    <w:rsid w:val="33261B79"/>
    <w:rsid w:val="333F0D56"/>
    <w:rsid w:val="3363036E"/>
    <w:rsid w:val="3364FE23"/>
    <w:rsid w:val="336FFAA3"/>
    <w:rsid w:val="33915266"/>
    <w:rsid w:val="33958D97"/>
    <w:rsid w:val="3397EC5E"/>
    <w:rsid w:val="33AB7DC9"/>
    <w:rsid w:val="33BE94DE"/>
    <w:rsid w:val="33C8C09E"/>
    <w:rsid w:val="33D6E5CE"/>
    <w:rsid w:val="33DB40C2"/>
    <w:rsid w:val="33EA2EAA"/>
    <w:rsid w:val="33EE9A06"/>
    <w:rsid w:val="33F26F95"/>
    <w:rsid w:val="34156974"/>
    <w:rsid w:val="341C434A"/>
    <w:rsid w:val="3421CD6F"/>
    <w:rsid w:val="342539CF"/>
    <w:rsid w:val="3431F9BC"/>
    <w:rsid w:val="34422398"/>
    <w:rsid w:val="344932A2"/>
    <w:rsid w:val="344AB182"/>
    <w:rsid w:val="3473B4FD"/>
    <w:rsid w:val="347717E9"/>
    <w:rsid w:val="347CCA6B"/>
    <w:rsid w:val="34833E97"/>
    <w:rsid w:val="3492676A"/>
    <w:rsid w:val="34A35BCD"/>
    <w:rsid w:val="34B8ACC6"/>
    <w:rsid w:val="34BEE7B1"/>
    <w:rsid w:val="34D51A09"/>
    <w:rsid w:val="34F7BA6B"/>
    <w:rsid w:val="34FCC3D3"/>
    <w:rsid w:val="34FD5254"/>
    <w:rsid w:val="35010F26"/>
    <w:rsid w:val="35136943"/>
    <w:rsid w:val="3513B16D"/>
    <w:rsid w:val="351F752B"/>
    <w:rsid w:val="35235ED5"/>
    <w:rsid w:val="3557B3AF"/>
    <w:rsid w:val="356646F2"/>
    <w:rsid w:val="356696E3"/>
    <w:rsid w:val="3574045C"/>
    <w:rsid w:val="357F63AF"/>
    <w:rsid w:val="3593335E"/>
    <w:rsid w:val="3593AB29"/>
    <w:rsid w:val="3593DDB7"/>
    <w:rsid w:val="35A4E600"/>
    <w:rsid w:val="35D3E4D7"/>
    <w:rsid w:val="35D83A8D"/>
    <w:rsid w:val="35EC4F4F"/>
    <w:rsid w:val="35F18898"/>
    <w:rsid w:val="35F1A7B1"/>
    <w:rsid w:val="35F86B23"/>
    <w:rsid w:val="360E477A"/>
    <w:rsid w:val="361032D2"/>
    <w:rsid w:val="36115DDD"/>
    <w:rsid w:val="3618A561"/>
    <w:rsid w:val="3625E040"/>
    <w:rsid w:val="362BAC00"/>
    <w:rsid w:val="362F1911"/>
    <w:rsid w:val="363D0A3C"/>
    <w:rsid w:val="364335FC"/>
    <w:rsid w:val="3643DCD4"/>
    <w:rsid w:val="36521E6D"/>
    <w:rsid w:val="36626717"/>
    <w:rsid w:val="366631E4"/>
    <w:rsid w:val="3668BF43"/>
    <w:rsid w:val="367ABA03"/>
    <w:rsid w:val="36855C35"/>
    <w:rsid w:val="3686B4B1"/>
    <w:rsid w:val="36890ADF"/>
    <w:rsid w:val="368B2ADF"/>
    <w:rsid w:val="3690A960"/>
    <w:rsid w:val="369E9583"/>
    <w:rsid w:val="36A72CE0"/>
    <w:rsid w:val="36AEBBD4"/>
    <w:rsid w:val="36B404C6"/>
    <w:rsid w:val="36C6E9E5"/>
    <w:rsid w:val="36C80455"/>
    <w:rsid w:val="36C9FCD7"/>
    <w:rsid w:val="36DBFDED"/>
    <w:rsid w:val="36E4E1B1"/>
    <w:rsid w:val="36EF54DB"/>
    <w:rsid w:val="3700FC3C"/>
    <w:rsid w:val="37013757"/>
    <w:rsid w:val="3702CF68"/>
    <w:rsid w:val="37062045"/>
    <w:rsid w:val="3708860B"/>
    <w:rsid w:val="370A8E3D"/>
    <w:rsid w:val="370CF295"/>
    <w:rsid w:val="372A7868"/>
    <w:rsid w:val="37361901"/>
    <w:rsid w:val="3740CB56"/>
    <w:rsid w:val="374B9FBA"/>
    <w:rsid w:val="374EACB4"/>
    <w:rsid w:val="37521915"/>
    <w:rsid w:val="375844C6"/>
    <w:rsid w:val="3765C758"/>
    <w:rsid w:val="37694BA8"/>
    <w:rsid w:val="376CA294"/>
    <w:rsid w:val="3781975B"/>
    <w:rsid w:val="3781B480"/>
    <w:rsid w:val="37834C7A"/>
    <w:rsid w:val="3794B1DE"/>
    <w:rsid w:val="379A940F"/>
    <w:rsid w:val="379B48DD"/>
    <w:rsid w:val="379C35A5"/>
    <w:rsid w:val="37A1946E"/>
    <w:rsid w:val="37A2810F"/>
    <w:rsid w:val="37B0C714"/>
    <w:rsid w:val="37B511C9"/>
    <w:rsid w:val="37BB20A9"/>
    <w:rsid w:val="37C5F362"/>
    <w:rsid w:val="37C69081"/>
    <w:rsid w:val="37D4657A"/>
    <w:rsid w:val="37D55281"/>
    <w:rsid w:val="37D8FF39"/>
    <w:rsid w:val="37E17FAF"/>
    <w:rsid w:val="37ED87F6"/>
    <w:rsid w:val="37F0C5B8"/>
    <w:rsid w:val="3813FBE4"/>
    <w:rsid w:val="381BDE76"/>
    <w:rsid w:val="382BDE03"/>
    <w:rsid w:val="382C82CC"/>
    <w:rsid w:val="383C04BE"/>
    <w:rsid w:val="3844EADD"/>
    <w:rsid w:val="384B308A"/>
    <w:rsid w:val="38771856"/>
    <w:rsid w:val="3885BD84"/>
    <w:rsid w:val="3887D299"/>
    <w:rsid w:val="38896902"/>
    <w:rsid w:val="38A278FB"/>
    <w:rsid w:val="38A3B0A9"/>
    <w:rsid w:val="38ADA225"/>
    <w:rsid w:val="38B49D61"/>
    <w:rsid w:val="38BD8B69"/>
    <w:rsid w:val="38D0A989"/>
    <w:rsid w:val="38D42DEB"/>
    <w:rsid w:val="38D51A3A"/>
    <w:rsid w:val="38DC8EF1"/>
    <w:rsid w:val="38E63C99"/>
    <w:rsid w:val="38E82C89"/>
    <w:rsid w:val="38FD70A8"/>
    <w:rsid w:val="3909B5DF"/>
    <w:rsid w:val="390D0F14"/>
    <w:rsid w:val="39108A2B"/>
    <w:rsid w:val="391DDA35"/>
    <w:rsid w:val="39253748"/>
    <w:rsid w:val="392A896C"/>
    <w:rsid w:val="392C3625"/>
    <w:rsid w:val="39366F35"/>
    <w:rsid w:val="393895C4"/>
    <w:rsid w:val="3939EED7"/>
    <w:rsid w:val="393CD89B"/>
    <w:rsid w:val="393D2280"/>
    <w:rsid w:val="394E7D2D"/>
    <w:rsid w:val="39699471"/>
    <w:rsid w:val="397282F1"/>
    <w:rsid w:val="3988FFC9"/>
    <w:rsid w:val="398FD550"/>
    <w:rsid w:val="39A01408"/>
    <w:rsid w:val="39B40FA5"/>
    <w:rsid w:val="39B52166"/>
    <w:rsid w:val="39C460D2"/>
    <w:rsid w:val="39C50AF5"/>
    <w:rsid w:val="39D9E36F"/>
    <w:rsid w:val="39E3DC07"/>
    <w:rsid w:val="39F40028"/>
    <w:rsid w:val="39F50E23"/>
    <w:rsid w:val="39FA29EE"/>
    <w:rsid w:val="3A2A1752"/>
    <w:rsid w:val="3A317366"/>
    <w:rsid w:val="3A32469A"/>
    <w:rsid w:val="3A36914A"/>
    <w:rsid w:val="3A37EF5B"/>
    <w:rsid w:val="3A43086F"/>
    <w:rsid w:val="3A4E816E"/>
    <w:rsid w:val="3A506ACC"/>
    <w:rsid w:val="3A58792C"/>
    <w:rsid w:val="3A58EB4D"/>
    <w:rsid w:val="3A6521DD"/>
    <w:rsid w:val="3A65C56E"/>
    <w:rsid w:val="3A7A7A1D"/>
    <w:rsid w:val="3A7E761B"/>
    <w:rsid w:val="3A9AA877"/>
    <w:rsid w:val="3ACB7DE1"/>
    <w:rsid w:val="3ACE9E64"/>
    <w:rsid w:val="3AD2769A"/>
    <w:rsid w:val="3AD7E11D"/>
    <w:rsid w:val="3ADF4388"/>
    <w:rsid w:val="3ADF8B85"/>
    <w:rsid w:val="3AEB917B"/>
    <w:rsid w:val="3AF3C6A5"/>
    <w:rsid w:val="3AF42A3E"/>
    <w:rsid w:val="3B10DA96"/>
    <w:rsid w:val="3B2454D2"/>
    <w:rsid w:val="3B24F0ED"/>
    <w:rsid w:val="3B2A5ED5"/>
    <w:rsid w:val="3B2E7F81"/>
    <w:rsid w:val="3B2F4283"/>
    <w:rsid w:val="3B30E138"/>
    <w:rsid w:val="3B3CF832"/>
    <w:rsid w:val="3B48E513"/>
    <w:rsid w:val="3B54EB62"/>
    <w:rsid w:val="3B57DFEE"/>
    <w:rsid w:val="3B606CB4"/>
    <w:rsid w:val="3B716E61"/>
    <w:rsid w:val="3B7222E3"/>
    <w:rsid w:val="3B7484E0"/>
    <w:rsid w:val="3B7BC379"/>
    <w:rsid w:val="3B83FDF7"/>
    <w:rsid w:val="3B85A8D9"/>
    <w:rsid w:val="3BB491E6"/>
    <w:rsid w:val="3BB6FDB1"/>
    <w:rsid w:val="3BC31A3A"/>
    <w:rsid w:val="3BC9047F"/>
    <w:rsid w:val="3BCE169A"/>
    <w:rsid w:val="3BD2842F"/>
    <w:rsid w:val="3BDC7AF0"/>
    <w:rsid w:val="3BEC865D"/>
    <w:rsid w:val="3BEDB5C7"/>
    <w:rsid w:val="3BF25FDC"/>
    <w:rsid w:val="3BFEA077"/>
    <w:rsid w:val="3BFEAAEB"/>
    <w:rsid w:val="3C048960"/>
    <w:rsid w:val="3C082194"/>
    <w:rsid w:val="3C0A8986"/>
    <w:rsid w:val="3C0D9494"/>
    <w:rsid w:val="3C152D40"/>
    <w:rsid w:val="3C336189"/>
    <w:rsid w:val="3C3AB8CB"/>
    <w:rsid w:val="3C4044F4"/>
    <w:rsid w:val="3C459D54"/>
    <w:rsid w:val="3C49444E"/>
    <w:rsid w:val="3C7271EC"/>
    <w:rsid w:val="3C728B7F"/>
    <w:rsid w:val="3C7410E9"/>
    <w:rsid w:val="3C83C244"/>
    <w:rsid w:val="3C83F857"/>
    <w:rsid w:val="3C8761DC"/>
    <w:rsid w:val="3C98557B"/>
    <w:rsid w:val="3C9D94B6"/>
    <w:rsid w:val="3C9EB8F6"/>
    <w:rsid w:val="3CA80AE3"/>
    <w:rsid w:val="3CC90035"/>
    <w:rsid w:val="3CDC389E"/>
    <w:rsid w:val="3CDD17A8"/>
    <w:rsid w:val="3CE54AEC"/>
    <w:rsid w:val="3CEF3FEF"/>
    <w:rsid w:val="3CF35FDC"/>
    <w:rsid w:val="3CF86B14"/>
    <w:rsid w:val="3D10989C"/>
    <w:rsid w:val="3D1A3808"/>
    <w:rsid w:val="3D2D54CE"/>
    <w:rsid w:val="3D360B09"/>
    <w:rsid w:val="3D39E8C8"/>
    <w:rsid w:val="3D44A4B4"/>
    <w:rsid w:val="3D47CF79"/>
    <w:rsid w:val="3D5DD43F"/>
    <w:rsid w:val="3D63954F"/>
    <w:rsid w:val="3D7CD217"/>
    <w:rsid w:val="3D85D0F0"/>
    <w:rsid w:val="3D9C8D0C"/>
    <w:rsid w:val="3DA772AC"/>
    <w:rsid w:val="3DA93D4B"/>
    <w:rsid w:val="3DAA1818"/>
    <w:rsid w:val="3DB1BBEF"/>
    <w:rsid w:val="3DBF1128"/>
    <w:rsid w:val="3DC24456"/>
    <w:rsid w:val="3DD13B13"/>
    <w:rsid w:val="3DE2880F"/>
    <w:rsid w:val="3DE7F51E"/>
    <w:rsid w:val="3DF90CB7"/>
    <w:rsid w:val="3E0018BE"/>
    <w:rsid w:val="3E2CFDCB"/>
    <w:rsid w:val="3E30CA48"/>
    <w:rsid w:val="3E3884FD"/>
    <w:rsid w:val="3E45739E"/>
    <w:rsid w:val="3E6F59E5"/>
    <w:rsid w:val="3E752A41"/>
    <w:rsid w:val="3E7B4EAC"/>
    <w:rsid w:val="3E8DAC46"/>
    <w:rsid w:val="3E957DD9"/>
    <w:rsid w:val="3E9D8C28"/>
    <w:rsid w:val="3EA0AF2D"/>
    <w:rsid w:val="3EA180A2"/>
    <w:rsid w:val="3EB44B79"/>
    <w:rsid w:val="3EB9552F"/>
    <w:rsid w:val="3EBB6EB6"/>
    <w:rsid w:val="3EC68701"/>
    <w:rsid w:val="3EC85E87"/>
    <w:rsid w:val="3ECE8D4B"/>
    <w:rsid w:val="3ED8477D"/>
    <w:rsid w:val="3EDF0318"/>
    <w:rsid w:val="3EE1E505"/>
    <w:rsid w:val="3EEB1894"/>
    <w:rsid w:val="3EF2157C"/>
    <w:rsid w:val="3EF945DA"/>
    <w:rsid w:val="3EFC3805"/>
    <w:rsid w:val="3EFD762F"/>
    <w:rsid w:val="3EFF4235"/>
    <w:rsid w:val="3F008A2E"/>
    <w:rsid w:val="3F07D75E"/>
    <w:rsid w:val="3F1437B3"/>
    <w:rsid w:val="3F1CE9D4"/>
    <w:rsid w:val="3F3B0B14"/>
    <w:rsid w:val="3F3DC192"/>
    <w:rsid w:val="3F447333"/>
    <w:rsid w:val="3F4EDCFD"/>
    <w:rsid w:val="3F4FCC55"/>
    <w:rsid w:val="3F5D3FD6"/>
    <w:rsid w:val="3F663E25"/>
    <w:rsid w:val="3F6CC46B"/>
    <w:rsid w:val="3F8F423F"/>
    <w:rsid w:val="3F980E14"/>
    <w:rsid w:val="3FA08E54"/>
    <w:rsid w:val="3FA53183"/>
    <w:rsid w:val="3FACF33E"/>
    <w:rsid w:val="3FBE4326"/>
    <w:rsid w:val="3FC71F83"/>
    <w:rsid w:val="3FDDFCA5"/>
    <w:rsid w:val="3FDECEF9"/>
    <w:rsid w:val="3FE17ADF"/>
    <w:rsid w:val="3FE23636"/>
    <w:rsid w:val="3FE31122"/>
    <w:rsid w:val="3FF37104"/>
    <w:rsid w:val="3FFE0190"/>
    <w:rsid w:val="4002E677"/>
    <w:rsid w:val="4007ED2B"/>
    <w:rsid w:val="4009310D"/>
    <w:rsid w:val="401E1C79"/>
    <w:rsid w:val="4031C461"/>
    <w:rsid w:val="403B3DCA"/>
    <w:rsid w:val="404D521F"/>
    <w:rsid w:val="4069C810"/>
    <w:rsid w:val="4072BF8F"/>
    <w:rsid w:val="407C5523"/>
    <w:rsid w:val="408496A8"/>
    <w:rsid w:val="408B9707"/>
    <w:rsid w:val="40A3CE4A"/>
    <w:rsid w:val="40AF4FF1"/>
    <w:rsid w:val="40B5D296"/>
    <w:rsid w:val="40B5D7E7"/>
    <w:rsid w:val="40BCDAB4"/>
    <w:rsid w:val="40D28AF3"/>
    <w:rsid w:val="40F106CC"/>
    <w:rsid w:val="40F52A0C"/>
    <w:rsid w:val="40FB34CB"/>
    <w:rsid w:val="4110C52C"/>
    <w:rsid w:val="411154EF"/>
    <w:rsid w:val="4114DD7A"/>
    <w:rsid w:val="4114F3A5"/>
    <w:rsid w:val="4122DCA3"/>
    <w:rsid w:val="4127362E"/>
    <w:rsid w:val="4150999E"/>
    <w:rsid w:val="4168B678"/>
    <w:rsid w:val="418737C5"/>
    <w:rsid w:val="418FB9F5"/>
    <w:rsid w:val="419626BC"/>
    <w:rsid w:val="4196485F"/>
    <w:rsid w:val="41A2FC92"/>
    <w:rsid w:val="41A5FE88"/>
    <w:rsid w:val="41AC577C"/>
    <w:rsid w:val="41B2A942"/>
    <w:rsid w:val="41CB53EE"/>
    <w:rsid w:val="41D9BFDD"/>
    <w:rsid w:val="41F9CB40"/>
    <w:rsid w:val="41FDDAAA"/>
    <w:rsid w:val="42042F4E"/>
    <w:rsid w:val="4204AEDB"/>
    <w:rsid w:val="42064EEB"/>
    <w:rsid w:val="4206CB8C"/>
    <w:rsid w:val="420999C0"/>
    <w:rsid w:val="4211871F"/>
    <w:rsid w:val="422699E6"/>
    <w:rsid w:val="424E1C3C"/>
    <w:rsid w:val="426C3688"/>
    <w:rsid w:val="42718E91"/>
    <w:rsid w:val="427247E8"/>
    <w:rsid w:val="428A404E"/>
    <w:rsid w:val="4295453F"/>
    <w:rsid w:val="42A77ABE"/>
    <w:rsid w:val="42C24A3D"/>
    <w:rsid w:val="42DBD608"/>
    <w:rsid w:val="42E5B503"/>
    <w:rsid w:val="42E78770"/>
    <w:rsid w:val="42FE0E9B"/>
    <w:rsid w:val="43011923"/>
    <w:rsid w:val="43022456"/>
    <w:rsid w:val="430B8FD4"/>
    <w:rsid w:val="431B7175"/>
    <w:rsid w:val="431CC848"/>
    <w:rsid w:val="4334F12E"/>
    <w:rsid w:val="43365824"/>
    <w:rsid w:val="4347EA8D"/>
    <w:rsid w:val="435801EE"/>
    <w:rsid w:val="43657EEC"/>
    <w:rsid w:val="436A3C4E"/>
    <w:rsid w:val="436DEAED"/>
    <w:rsid w:val="4383693A"/>
    <w:rsid w:val="43A1D3B7"/>
    <w:rsid w:val="43A42847"/>
    <w:rsid w:val="43BE4316"/>
    <w:rsid w:val="43D34D0D"/>
    <w:rsid w:val="43D78B92"/>
    <w:rsid w:val="43FDF07A"/>
    <w:rsid w:val="44105C72"/>
    <w:rsid w:val="443382A6"/>
    <w:rsid w:val="4454FF8A"/>
    <w:rsid w:val="4456E808"/>
    <w:rsid w:val="445FCFEB"/>
    <w:rsid w:val="4460C657"/>
    <w:rsid w:val="44627696"/>
    <w:rsid w:val="44631995"/>
    <w:rsid w:val="447F956E"/>
    <w:rsid w:val="4485DDE1"/>
    <w:rsid w:val="448F9892"/>
    <w:rsid w:val="449273C1"/>
    <w:rsid w:val="44988A12"/>
    <w:rsid w:val="44B44462"/>
    <w:rsid w:val="44DBDB68"/>
    <w:rsid w:val="44EB4D51"/>
    <w:rsid w:val="4517B7E2"/>
    <w:rsid w:val="451810C5"/>
    <w:rsid w:val="452EBE94"/>
    <w:rsid w:val="45308373"/>
    <w:rsid w:val="4546DBCC"/>
    <w:rsid w:val="4559D5D0"/>
    <w:rsid w:val="455C5401"/>
    <w:rsid w:val="457EB34F"/>
    <w:rsid w:val="45833F84"/>
    <w:rsid w:val="45841921"/>
    <w:rsid w:val="458AD1C4"/>
    <w:rsid w:val="45A2617E"/>
    <w:rsid w:val="45BAA837"/>
    <w:rsid w:val="45BDE0D1"/>
    <w:rsid w:val="45CEA225"/>
    <w:rsid w:val="45EEE618"/>
    <w:rsid w:val="46055088"/>
    <w:rsid w:val="46112D64"/>
    <w:rsid w:val="461DB1A9"/>
    <w:rsid w:val="4621DF8E"/>
    <w:rsid w:val="4628C9F1"/>
    <w:rsid w:val="462A3612"/>
    <w:rsid w:val="462F9A4D"/>
    <w:rsid w:val="463B1FB9"/>
    <w:rsid w:val="464EFC84"/>
    <w:rsid w:val="4658A5C3"/>
    <w:rsid w:val="465BFD76"/>
    <w:rsid w:val="466ACB12"/>
    <w:rsid w:val="467F32CC"/>
    <w:rsid w:val="46866CAA"/>
    <w:rsid w:val="46907236"/>
    <w:rsid w:val="46969458"/>
    <w:rsid w:val="469B703A"/>
    <w:rsid w:val="469E7FA7"/>
    <w:rsid w:val="469F4E7E"/>
    <w:rsid w:val="46BD879F"/>
    <w:rsid w:val="46C5B7F2"/>
    <w:rsid w:val="46E5871A"/>
    <w:rsid w:val="46FF7BB2"/>
    <w:rsid w:val="470A2982"/>
    <w:rsid w:val="471602F5"/>
    <w:rsid w:val="4719DB16"/>
    <w:rsid w:val="4726B57B"/>
    <w:rsid w:val="473D8713"/>
    <w:rsid w:val="473DB7C8"/>
    <w:rsid w:val="473F3802"/>
    <w:rsid w:val="4746F8EF"/>
    <w:rsid w:val="475121CC"/>
    <w:rsid w:val="475CCEC5"/>
    <w:rsid w:val="475CF62B"/>
    <w:rsid w:val="476B96B0"/>
    <w:rsid w:val="476E3ADD"/>
    <w:rsid w:val="4772FE5B"/>
    <w:rsid w:val="477FA363"/>
    <w:rsid w:val="4798F0B7"/>
    <w:rsid w:val="47998E9F"/>
    <w:rsid w:val="47A7F54B"/>
    <w:rsid w:val="47AF19AA"/>
    <w:rsid w:val="47B6DE71"/>
    <w:rsid w:val="47C2E6BD"/>
    <w:rsid w:val="47C35233"/>
    <w:rsid w:val="47C5E427"/>
    <w:rsid w:val="47C5ECE5"/>
    <w:rsid w:val="47FA2663"/>
    <w:rsid w:val="4811C064"/>
    <w:rsid w:val="481FA824"/>
    <w:rsid w:val="483010D0"/>
    <w:rsid w:val="483A82D9"/>
    <w:rsid w:val="4844E4A2"/>
    <w:rsid w:val="48470655"/>
    <w:rsid w:val="48489682"/>
    <w:rsid w:val="484CAE6E"/>
    <w:rsid w:val="485AF056"/>
    <w:rsid w:val="486A60D6"/>
    <w:rsid w:val="4874D145"/>
    <w:rsid w:val="487BCF9F"/>
    <w:rsid w:val="487F5555"/>
    <w:rsid w:val="4883A01C"/>
    <w:rsid w:val="48900CC1"/>
    <w:rsid w:val="48904B0F"/>
    <w:rsid w:val="48927526"/>
    <w:rsid w:val="48933FF5"/>
    <w:rsid w:val="48AAC9B2"/>
    <w:rsid w:val="48D9A602"/>
    <w:rsid w:val="48F140AD"/>
    <w:rsid w:val="48F5721F"/>
    <w:rsid w:val="48FCE76F"/>
    <w:rsid w:val="49081560"/>
    <w:rsid w:val="49203D28"/>
    <w:rsid w:val="493DA8E1"/>
    <w:rsid w:val="4944A46D"/>
    <w:rsid w:val="495D314C"/>
    <w:rsid w:val="49678DF0"/>
    <w:rsid w:val="498219B2"/>
    <w:rsid w:val="499CBF4B"/>
    <w:rsid w:val="49B42FB8"/>
    <w:rsid w:val="49C4A019"/>
    <w:rsid w:val="49D3AE48"/>
    <w:rsid w:val="49D54B0A"/>
    <w:rsid w:val="49F0231E"/>
    <w:rsid w:val="4A0ABE77"/>
    <w:rsid w:val="4A0CE8B7"/>
    <w:rsid w:val="4A1340FC"/>
    <w:rsid w:val="4A3D0D4E"/>
    <w:rsid w:val="4A533A1D"/>
    <w:rsid w:val="4A561503"/>
    <w:rsid w:val="4A597E98"/>
    <w:rsid w:val="4A664487"/>
    <w:rsid w:val="4A7A47DE"/>
    <w:rsid w:val="4A867B1B"/>
    <w:rsid w:val="4A876AF7"/>
    <w:rsid w:val="4A8A8B3A"/>
    <w:rsid w:val="4A992495"/>
    <w:rsid w:val="4A996446"/>
    <w:rsid w:val="4AA6AA3E"/>
    <w:rsid w:val="4AB7211B"/>
    <w:rsid w:val="4AD7C79E"/>
    <w:rsid w:val="4AF8D5F8"/>
    <w:rsid w:val="4AFA140C"/>
    <w:rsid w:val="4AFDDE72"/>
    <w:rsid w:val="4B0FA86B"/>
    <w:rsid w:val="4B11F186"/>
    <w:rsid w:val="4B126071"/>
    <w:rsid w:val="4B1C5C2E"/>
    <w:rsid w:val="4B1D005C"/>
    <w:rsid w:val="4B287E14"/>
    <w:rsid w:val="4B32FD40"/>
    <w:rsid w:val="4B3982D7"/>
    <w:rsid w:val="4B3B721F"/>
    <w:rsid w:val="4B3E4F6C"/>
    <w:rsid w:val="4B401DF8"/>
    <w:rsid w:val="4B4A0282"/>
    <w:rsid w:val="4B4FA5C4"/>
    <w:rsid w:val="4B526F79"/>
    <w:rsid w:val="4B6579E0"/>
    <w:rsid w:val="4B6D20CD"/>
    <w:rsid w:val="4B7167B0"/>
    <w:rsid w:val="4B7DFEA0"/>
    <w:rsid w:val="4B852396"/>
    <w:rsid w:val="4B972C69"/>
    <w:rsid w:val="4BD02761"/>
    <w:rsid w:val="4BE24E31"/>
    <w:rsid w:val="4BF09B88"/>
    <w:rsid w:val="4BF683A9"/>
    <w:rsid w:val="4BF81D63"/>
    <w:rsid w:val="4BFE94CC"/>
    <w:rsid w:val="4C0024D3"/>
    <w:rsid w:val="4C04DF17"/>
    <w:rsid w:val="4C0A3BAA"/>
    <w:rsid w:val="4C0F54CF"/>
    <w:rsid w:val="4C13E40F"/>
    <w:rsid w:val="4C1EB98C"/>
    <w:rsid w:val="4C331853"/>
    <w:rsid w:val="4C44DE86"/>
    <w:rsid w:val="4C44F3FE"/>
    <w:rsid w:val="4C5BDC57"/>
    <w:rsid w:val="4C60E905"/>
    <w:rsid w:val="4C671BD6"/>
    <w:rsid w:val="4C6941BF"/>
    <w:rsid w:val="4C6BE6EC"/>
    <w:rsid w:val="4C724C15"/>
    <w:rsid w:val="4C746248"/>
    <w:rsid w:val="4C812D52"/>
    <w:rsid w:val="4CA53DE4"/>
    <w:rsid w:val="4CAE2C96"/>
    <w:rsid w:val="4CBEA508"/>
    <w:rsid w:val="4CE3A342"/>
    <w:rsid w:val="4CEE4E38"/>
    <w:rsid w:val="4D23108E"/>
    <w:rsid w:val="4D3AE18B"/>
    <w:rsid w:val="4D3C63AA"/>
    <w:rsid w:val="4D44CB72"/>
    <w:rsid w:val="4D44FB32"/>
    <w:rsid w:val="4D480E6A"/>
    <w:rsid w:val="4D49B48B"/>
    <w:rsid w:val="4D4B58EB"/>
    <w:rsid w:val="4D4DA561"/>
    <w:rsid w:val="4D6CB7C7"/>
    <w:rsid w:val="4D6FA954"/>
    <w:rsid w:val="4D7D4EF3"/>
    <w:rsid w:val="4DA7ABF8"/>
    <w:rsid w:val="4DB4842E"/>
    <w:rsid w:val="4DB9696B"/>
    <w:rsid w:val="4DBE8001"/>
    <w:rsid w:val="4DC0F674"/>
    <w:rsid w:val="4DD1082A"/>
    <w:rsid w:val="4DE2A2F1"/>
    <w:rsid w:val="4DE9B925"/>
    <w:rsid w:val="4DEB3EC1"/>
    <w:rsid w:val="4DF03607"/>
    <w:rsid w:val="4DF28B34"/>
    <w:rsid w:val="4E35B33B"/>
    <w:rsid w:val="4E398A02"/>
    <w:rsid w:val="4E46D0BC"/>
    <w:rsid w:val="4E532DFC"/>
    <w:rsid w:val="4E545BE5"/>
    <w:rsid w:val="4E60B318"/>
    <w:rsid w:val="4E659CE1"/>
    <w:rsid w:val="4E6D61EF"/>
    <w:rsid w:val="4E7C3E70"/>
    <w:rsid w:val="4E7D0B82"/>
    <w:rsid w:val="4E83EDE7"/>
    <w:rsid w:val="4E86E36D"/>
    <w:rsid w:val="4E8D9E35"/>
    <w:rsid w:val="4E906AAE"/>
    <w:rsid w:val="4E9FDDD0"/>
    <w:rsid w:val="4EB2011A"/>
    <w:rsid w:val="4EBC096F"/>
    <w:rsid w:val="4ECB11C5"/>
    <w:rsid w:val="4EE90EF2"/>
    <w:rsid w:val="4EF6C278"/>
    <w:rsid w:val="4EFE07A6"/>
    <w:rsid w:val="4F00E745"/>
    <w:rsid w:val="4F02E143"/>
    <w:rsid w:val="4F0B057C"/>
    <w:rsid w:val="4F1B13CD"/>
    <w:rsid w:val="4F1E3D0F"/>
    <w:rsid w:val="4F23CCB8"/>
    <w:rsid w:val="4F27AD95"/>
    <w:rsid w:val="4F28020D"/>
    <w:rsid w:val="4F29A804"/>
    <w:rsid w:val="4F30256B"/>
    <w:rsid w:val="4F32B688"/>
    <w:rsid w:val="4F35F40F"/>
    <w:rsid w:val="4F468EAB"/>
    <w:rsid w:val="4F495C26"/>
    <w:rsid w:val="4F4BA5C7"/>
    <w:rsid w:val="4F4DB2FB"/>
    <w:rsid w:val="4F584EC8"/>
    <w:rsid w:val="4F645E70"/>
    <w:rsid w:val="4F6EB373"/>
    <w:rsid w:val="4F702874"/>
    <w:rsid w:val="4F73CD83"/>
    <w:rsid w:val="4F7EDDAB"/>
    <w:rsid w:val="4F802ABD"/>
    <w:rsid w:val="4FA8A302"/>
    <w:rsid w:val="4FAC8D15"/>
    <w:rsid w:val="4FB722D9"/>
    <w:rsid w:val="4FC4CAA5"/>
    <w:rsid w:val="4FCDC2C5"/>
    <w:rsid w:val="4FDE5758"/>
    <w:rsid w:val="4FE67225"/>
    <w:rsid w:val="4FEF53E3"/>
    <w:rsid w:val="4FF790B2"/>
    <w:rsid w:val="5005EB26"/>
    <w:rsid w:val="502196BC"/>
    <w:rsid w:val="5022394E"/>
    <w:rsid w:val="502BC5F1"/>
    <w:rsid w:val="5032DD94"/>
    <w:rsid w:val="50500207"/>
    <w:rsid w:val="5065A3A1"/>
    <w:rsid w:val="5070FB23"/>
    <w:rsid w:val="507BA5D3"/>
    <w:rsid w:val="50814F4D"/>
    <w:rsid w:val="5081D843"/>
    <w:rsid w:val="5088213C"/>
    <w:rsid w:val="508D848E"/>
    <w:rsid w:val="5097E411"/>
    <w:rsid w:val="509D3FFD"/>
    <w:rsid w:val="50ADE73D"/>
    <w:rsid w:val="50AFC0FE"/>
    <w:rsid w:val="50B10E99"/>
    <w:rsid w:val="50BE1F90"/>
    <w:rsid w:val="50C05606"/>
    <w:rsid w:val="50CEDA8C"/>
    <w:rsid w:val="50D8B4DC"/>
    <w:rsid w:val="50DFC68D"/>
    <w:rsid w:val="50E39C50"/>
    <w:rsid w:val="50FB8769"/>
    <w:rsid w:val="50FC959A"/>
    <w:rsid w:val="5100E43E"/>
    <w:rsid w:val="51079C34"/>
    <w:rsid w:val="510EE404"/>
    <w:rsid w:val="5119E995"/>
    <w:rsid w:val="511A9630"/>
    <w:rsid w:val="5122F112"/>
    <w:rsid w:val="512957F7"/>
    <w:rsid w:val="51424E5D"/>
    <w:rsid w:val="51641EC3"/>
    <w:rsid w:val="516A5F24"/>
    <w:rsid w:val="5189ABEF"/>
    <w:rsid w:val="5196B65A"/>
    <w:rsid w:val="51BC0145"/>
    <w:rsid w:val="51C41E67"/>
    <w:rsid w:val="51CBB430"/>
    <w:rsid w:val="51D153DD"/>
    <w:rsid w:val="51DE7E25"/>
    <w:rsid w:val="51E4DB9F"/>
    <w:rsid w:val="51F0341E"/>
    <w:rsid w:val="52016B50"/>
    <w:rsid w:val="520776DE"/>
    <w:rsid w:val="52160770"/>
    <w:rsid w:val="5221D98B"/>
    <w:rsid w:val="5229A61A"/>
    <w:rsid w:val="52319508"/>
    <w:rsid w:val="52355565"/>
    <w:rsid w:val="52364CFD"/>
    <w:rsid w:val="523B6E81"/>
    <w:rsid w:val="523FB9AB"/>
    <w:rsid w:val="524042DD"/>
    <w:rsid w:val="524C793A"/>
    <w:rsid w:val="525B0DF4"/>
    <w:rsid w:val="5261DF08"/>
    <w:rsid w:val="5264B331"/>
    <w:rsid w:val="5270F006"/>
    <w:rsid w:val="5275B679"/>
    <w:rsid w:val="52882025"/>
    <w:rsid w:val="52A1E342"/>
    <w:rsid w:val="52B30E60"/>
    <w:rsid w:val="52B6EDE2"/>
    <w:rsid w:val="52BE2CE5"/>
    <w:rsid w:val="52D5A397"/>
    <w:rsid w:val="52E2E802"/>
    <w:rsid w:val="52E79E91"/>
    <w:rsid w:val="52EDA9A1"/>
    <w:rsid w:val="52EF3E96"/>
    <w:rsid w:val="52F00EA0"/>
    <w:rsid w:val="52F218B2"/>
    <w:rsid w:val="52F21C1C"/>
    <w:rsid w:val="53048AE9"/>
    <w:rsid w:val="531ACC0A"/>
    <w:rsid w:val="532C9D17"/>
    <w:rsid w:val="532FEAE8"/>
    <w:rsid w:val="53403E8D"/>
    <w:rsid w:val="534725D2"/>
    <w:rsid w:val="53486847"/>
    <w:rsid w:val="534EC0B1"/>
    <w:rsid w:val="536311B8"/>
    <w:rsid w:val="53686B3A"/>
    <w:rsid w:val="536DC356"/>
    <w:rsid w:val="53757B83"/>
    <w:rsid w:val="537C14EE"/>
    <w:rsid w:val="5387921A"/>
    <w:rsid w:val="539F04BE"/>
    <w:rsid w:val="53A973F5"/>
    <w:rsid w:val="53B2852F"/>
    <w:rsid w:val="53BC70A2"/>
    <w:rsid w:val="53C55EFE"/>
    <w:rsid w:val="53D14A95"/>
    <w:rsid w:val="53E6C626"/>
    <w:rsid w:val="53EDD68E"/>
    <w:rsid w:val="53F4B6F8"/>
    <w:rsid w:val="53FB072C"/>
    <w:rsid w:val="53FECC48"/>
    <w:rsid w:val="5404DBB8"/>
    <w:rsid w:val="5406838B"/>
    <w:rsid w:val="540C539A"/>
    <w:rsid w:val="54106CC0"/>
    <w:rsid w:val="5415E7FE"/>
    <w:rsid w:val="541DE7FA"/>
    <w:rsid w:val="541FD765"/>
    <w:rsid w:val="542A7476"/>
    <w:rsid w:val="543380AE"/>
    <w:rsid w:val="543A8832"/>
    <w:rsid w:val="543C80BC"/>
    <w:rsid w:val="543FF987"/>
    <w:rsid w:val="54441146"/>
    <w:rsid w:val="54467AB4"/>
    <w:rsid w:val="544F1CAC"/>
    <w:rsid w:val="545B4CF3"/>
    <w:rsid w:val="5463C11E"/>
    <w:rsid w:val="5467C091"/>
    <w:rsid w:val="546BBD81"/>
    <w:rsid w:val="547810B3"/>
    <w:rsid w:val="547D164D"/>
    <w:rsid w:val="54815413"/>
    <w:rsid w:val="54963B40"/>
    <w:rsid w:val="54A10D30"/>
    <w:rsid w:val="54C682A4"/>
    <w:rsid w:val="54C8869F"/>
    <w:rsid w:val="54CB41A2"/>
    <w:rsid w:val="54DEC9EE"/>
    <w:rsid w:val="54F0D126"/>
    <w:rsid w:val="54F513E7"/>
    <w:rsid w:val="54F8AF93"/>
    <w:rsid w:val="54FD780F"/>
    <w:rsid w:val="54FD98E5"/>
    <w:rsid w:val="54FE49ED"/>
    <w:rsid w:val="54FF5B68"/>
    <w:rsid w:val="550369A2"/>
    <w:rsid w:val="55043C74"/>
    <w:rsid w:val="55177C8B"/>
    <w:rsid w:val="5526EA21"/>
    <w:rsid w:val="552C1BF9"/>
    <w:rsid w:val="553BF970"/>
    <w:rsid w:val="554710F0"/>
    <w:rsid w:val="5548DB8F"/>
    <w:rsid w:val="5549E7E6"/>
    <w:rsid w:val="556CF627"/>
    <w:rsid w:val="556E965A"/>
    <w:rsid w:val="557A3280"/>
    <w:rsid w:val="55BF296F"/>
    <w:rsid w:val="55C3EDD9"/>
    <w:rsid w:val="55C84742"/>
    <w:rsid w:val="55CE03DE"/>
    <w:rsid w:val="55E5FEC6"/>
    <w:rsid w:val="55E83A86"/>
    <w:rsid w:val="55ED05BA"/>
    <w:rsid w:val="55ED1CDB"/>
    <w:rsid w:val="55EF2673"/>
    <w:rsid w:val="55EF8094"/>
    <w:rsid w:val="55F347FD"/>
    <w:rsid w:val="560D5059"/>
    <w:rsid w:val="5616B596"/>
    <w:rsid w:val="562729BE"/>
    <w:rsid w:val="564AC9E6"/>
    <w:rsid w:val="5674A0CC"/>
    <w:rsid w:val="567FB8F2"/>
    <w:rsid w:val="568D72CF"/>
    <w:rsid w:val="568E0223"/>
    <w:rsid w:val="569199B5"/>
    <w:rsid w:val="569A5A3A"/>
    <w:rsid w:val="569E6591"/>
    <w:rsid w:val="56ADDFC0"/>
    <w:rsid w:val="56B23699"/>
    <w:rsid w:val="56C100D4"/>
    <w:rsid w:val="56CB17A5"/>
    <w:rsid w:val="56D24911"/>
    <w:rsid w:val="56D843AF"/>
    <w:rsid w:val="56F07EE5"/>
    <w:rsid w:val="56F4E193"/>
    <w:rsid w:val="5702FC6B"/>
    <w:rsid w:val="57074F9A"/>
    <w:rsid w:val="571F0282"/>
    <w:rsid w:val="572BC042"/>
    <w:rsid w:val="574B637C"/>
    <w:rsid w:val="57592874"/>
    <w:rsid w:val="575AE235"/>
    <w:rsid w:val="5768E41D"/>
    <w:rsid w:val="57778523"/>
    <w:rsid w:val="577AF920"/>
    <w:rsid w:val="57886526"/>
    <w:rsid w:val="57899369"/>
    <w:rsid w:val="578B50F5"/>
    <w:rsid w:val="5796D462"/>
    <w:rsid w:val="579C6DD7"/>
    <w:rsid w:val="57A6F0DC"/>
    <w:rsid w:val="57ADA828"/>
    <w:rsid w:val="57B16050"/>
    <w:rsid w:val="57B1ED30"/>
    <w:rsid w:val="57C08A79"/>
    <w:rsid w:val="57C5CB04"/>
    <w:rsid w:val="57D63A37"/>
    <w:rsid w:val="57FB820D"/>
    <w:rsid w:val="57FBD857"/>
    <w:rsid w:val="58155F2F"/>
    <w:rsid w:val="581D22E6"/>
    <w:rsid w:val="58230F0A"/>
    <w:rsid w:val="5825F2BF"/>
    <w:rsid w:val="5836A505"/>
    <w:rsid w:val="583AA31A"/>
    <w:rsid w:val="583AC852"/>
    <w:rsid w:val="5841A659"/>
    <w:rsid w:val="5844EAF9"/>
    <w:rsid w:val="5848DCF6"/>
    <w:rsid w:val="5849788B"/>
    <w:rsid w:val="584B070A"/>
    <w:rsid w:val="584F1D4D"/>
    <w:rsid w:val="585C0499"/>
    <w:rsid w:val="586A000D"/>
    <w:rsid w:val="587A07D7"/>
    <w:rsid w:val="587F970D"/>
    <w:rsid w:val="5887A134"/>
    <w:rsid w:val="58B4FD69"/>
    <w:rsid w:val="58C6EBD7"/>
    <w:rsid w:val="58D3439B"/>
    <w:rsid w:val="58DDAF8E"/>
    <w:rsid w:val="58EAAF98"/>
    <w:rsid w:val="58F6FC07"/>
    <w:rsid w:val="5902414E"/>
    <w:rsid w:val="59298CC1"/>
    <w:rsid w:val="592CE00C"/>
    <w:rsid w:val="5932E4B2"/>
    <w:rsid w:val="593CA9F8"/>
    <w:rsid w:val="59445660"/>
    <w:rsid w:val="594DD9C5"/>
    <w:rsid w:val="59636AD0"/>
    <w:rsid w:val="59791C76"/>
    <w:rsid w:val="59896DD7"/>
    <w:rsid w:val="59920766"/>
    <w:rsid w:val="59969D3A"/>
    <w:rsid w:val="59A9A63E"/>
    <w:rsid w:val="59B644F5"/>
    <w:rsid w:val="59C34478"/>
    <w:rsid w:val="59C7F198"/>
    <w:rsid w:val="59D4D794"/>
    <w:rsid w:val="59E65DE8"/>
    <w:rsid w:val="59EAB09C"/>
    <w:rsid w:val="59EC7CDF"/>
    <w:rsid w:val="59F8A196"/>
    <w:rsid w:val="5A029D9A"/>
    <w:rsid w:val="5A3F6BDC"/>
    <w:rsid w:val="5A4E1CCA"/>
    <w:rsid w:val="5A4F6563"/>
    <w:rsid w:val="5A50C615"/>
    <w:rsid w:val="5A551221"/>
    <w:rsid w:val="5A62C98C"/>
    <w:rsid w:val="5A640574"/>
    <w:rsid w:val="5A650E18"/>
    <w:rsid w:val="5A993520"/>
    <w:rsid w:val="5ABD7DD5"/>
    <w:rsid w:val="5AC272B2"/>
    <w:rsid w:val="5AC54BF4"/>
    <w:rsid w:val="5AD0094E"/>
    <w:rsid w:val="5ADAA32B"/>
    <w:rsid w:val="5ADC8AC2"/>
    <w:rsid w:val="5AF5D895"/>
    <w:rsid w:val="5AFACB13"/>
    <w:rsid w:val="5AFB57A0"/>
    <w:rsid w:val="5B00D9E0"/>
    <w:rsid w:val="5B09B7D1"/>
    <w:rsid w:val="5B0E9FBD"/>
    <w:rsid w:val="5B196047"/>
    <w:rsid w:val="5B2DB9CA"/>
    <w:rsid w:val="5B3320B1"/>
    <w:rsid w:val="5B33A936"/>
    <w:rsid w:val="5B56C0F4"/>
    <w:rsid w:val="5B6611EB"/>
    <w:rsid w:val="5B7F1CBA"/>
    <w:rsid w:val="5B9700E4"/>
    <w:rsid w:val="5B992B97"/>
    <w:rsid w:val="5BA0ABAF"/>
    <w:rsid w:val="5BAAF6D0"/>
    <w:rsid w:val="5BC62DA2"/>
    <w:rsid w:val="5BCBE211"/>
    <w:rsid w:val="5BCD7DCA"/>
    <w:rsid w:val="5BD38A0D"/>
    <w:rsid w:val="5BD7D38B"/>
    <w:rsid w:val="5BD90145"/>
    <w:rsid w:val="5BE1B819"/>
    <w:rsid w:val="5BE9BB55"/>
    <w:rsid w:val="5BF883CC"/>
    <w:rsid w:val="5C06FAE6"/>
    <w:rsid w:val="5C0ACC77"/>
    <w:rsid w:val="5C0FD763"/>
    <w:rsid w:val="5C166860"/>
    <w:rsid w:val="5C2A1E37"/>
    <w:rsid w:val="5C3EBE2B"/>
    <w:rsid w:val="5C430830"/>
    <w:rsid w:val="5C5251EC"/>
    <w:rsid w:val="5C557428"/>
    <w:rsid w:val="5C733B18"/>
    <w:rsid w:val="5C73743E"/>
    <w:rsid w:val="5C81CBD4"/>
    <w:rsid w:val="5C86949B"/>
    <w:rsid w:val="5C879B3C"/>
    <w:rsid w:val="5C9232CC"/>
    <w:rsid w:val="5C934BB2"/>
    <w:rsid w:val="5C93FDE4"/>
    <w:rsid w:val="5C96CD84"/>
    <w:rsid w:val="5C9AC1F9"/>
    <w:rsid w:val="5C9FC040"/>
    <w:rsid w:val="5CA55CB5"/>
    <w:rsid w:val="5CAB8479"/>
    <w:rsid w:val="5CB05212"/>
    <w:rsid w:val="5CB84F0E"/>
    <w:rsid w:val="5CCAB3C9"/>
    <w:rsid w:val="5CDF37B5"/>
    <w:rsid w:val="5CE0668C"/>
    <w:rsid w:val="5CE2E0C2"/>
    <w:rsid w:val="5CF17A1C"/>
    <w:rsid w:val="5CF95749"/>
    <w:rsid w:val="5D0F1406"/>
    <w:rsid w:val="5D14B2E1"/>
    <w:rsid w:val="5D15667C"/>
    <w:rsid w:val="5D289614"/>
    <w:rsid w:val="5D2932D2"/>
    <w:rsid w:val="5D3151BD"/>
    <w:rsid w:val="5D367114"/>
    <w:rsid w:val="5D3D4732"/>
    <w:rsid w:val="5D3FE8CF"/>
    <w:rsid w:val="5D45C56E"/>
    <w:rsid w:val="5D4E20DE"/>
    <w:rsid w:val="5D78AB1A"/>
    <w:rsid w:val="5D8C1B53"/>
    <w:rsid w:val="5D8D0D49"/>
    <w:rsid w:val="5D9D6F23"/>
    <w:rsid w:val="5D9DA943"/>
    <w:rsid w:val="5DA44B08"/>
    <w:rsid w:val="5DA9AAE7"/>
    <w:rsid w:val="5DBE9910"/>
    <w:rsid w:val="5DCBF5E1"/>
    <w:rsid w:val="5DDD5113"/>
    <w:rsid w:val="5DE547B0"/>
    <w:rsid w:val="5DEEE6A9"/>
    <w:rsid w:val="5E1AFC8C"/>
    <w:rsid w:val="5E23A78F"/>
    <w:rsid w:val="5E289C3A"/>
    <w:rsid w:val="5E3A85A7"/>
    <w:rsid w:val="5E3FD82A"/>
    <w:rsid w:val="5E411CFF"/>
    <w:rsid w:val="5E456FB3"/>
    <w:rsid w:val="5E50A92C"/>
    <w:rsid w:val="5E5AA29B"/>
    <w:rsid w:val="5E7308E2"/>
    <w:rsid w:val="5E7F7446"/>
    <w:rsid w:val="5E81588A"/>
    <w:rsid w:val="5E8A1A62"/>
    <w:rsid w:val="5E8E44DD"/>
    <w:rsid w:val="5E903D18"/>
    <w:rsid w:val="5E9B05A1"/>
    <w:rsid w:val="5E9BB249"/>
    <w:rsid w:val="5EA60EC2"/>
    <w:rsid w:val="5EB47BF4"/>
    <w:rsid w:val="5EC46BBB"/>
    <w:rsid w:val="5ECB9C36"/>
    <w:rsid w:val="5ED1130B"/>
    <w:rsid w:val="5ED2040C"/>
    <w:rsid w:val="5ED7E6E6"/>
    <w:rsid w:val="5EDCF763"/>
    <w:rsid w:val="5F0A4A49"/>
    <w:rsid w:val="5F0FAF6D"/>
    <w:rsid w:val="5F1AC61A"/>
    <w:rsid w:val="5F47D7E3"/>
    <w:rsid w:val="5F50843A"/>
    <w:rsid w:val="5F56BABE"/>
    <w:rsid w:val="5F5EAAB3"/>
    <w:rsid w:val="5F61AF2E"/>
    <w:rsid w:val="5F6A9716"/>
    <w:rsid w:val="5F9046B2"/>
    <w:rsid w:val="5F99EE29"/>
    <w:rsid w:val="5FA8D27C"/>
    <w:rsid w:val="5FAC6B81"/>
    <w:rsid w:val="5FB06F48"/>
    <w:rsid w:val="5FB24470"/>
    <w:rsid w:val="5FC6A6FE"/>
    <w:rsid w:val="5FCB3AF8"/>
    <w:rsid w:val="5FD00818"/>
    <w:rsid w:val="5FE62899"/>
    <w:rsid w:val="5FF619F5"/>
    <w:rsid w:val="5FFCB495"/>
    <w:rsid w:val="6015E9D4"/>
    <w:rsid w:val="60193AFA"/>
    <w:rsid w:val="601BA674"/>
    <w:rsid w:val="602438E1"/>
    <w:rsid w:val="6030E97F"/>
    <w:rsid w:val="603DA93A"/>
    <w:rsid w:val="60447BF8"/>
    <w:rsid w:val="60459CCE"/>
    <w:rsid w:val="604EBABD"/>
    <w:rsid w:val="606AEB57"/>
    <w:rsid w:val="6070162D"/>
    <w:rsid w:val="607185B7"/>
    <w:rsid w:val="607F00A7"/>
    <w:rsid w:val="6080B98C"/>
    <w:rsid w:val="60854102"/>
    <w:rsid w:val="60911907"/>
    <w:rsid w:val="609DC730"/>
    <w:rsid w:val="60A0FE6B"/>
    <w:rsid w:val="60B21DD6"/>
    <w:rsid w:val="60BD316F"/>
    <w:rsid w:val="60DB738A"/>
    <w:rsid w:val="60E4FBC2"/>
    <w:rsid w:val="60FBFB5B"/>
    <w:rsid w:val="6103D1F6"/>
    <w:rsid w:val="61469785"/>
    <w:rsid w:val="61736AE5"/>
    <w:rsid w:val="6189ADA1"/>
    <w:rsid w:val="618E4D87"/>
    <w:rsid w:val="619826EB"/>
    <w:rsid w:val="619DEDA6"/>
    <w:rsid w:val="61A36BC1"/>
    <w:rsid w:val="61A95563"/>
    <w:rsid w:val="61D9F475"/>
    <w:rsid w:val="61E317B4"/>
    <w:rsid w:val="61E54200"/>
    <w:rsid w:val="61EAC70E"/>
    <w:rsid w:val="61F0BB5B"/>
    <w:rsid w:val="61F461BB"/>
    <w:rsid w:val="61F5FF93"/>
    <w:rsid w:val="61F8AEC9"/>
    <w:rsid w:val="61FDED19"/>
    <w:rsid w:val="62148306"/>
    <w:rsid w:val="6220A352"/>
    <w:rsid w:val="62316B24"/>
    <w:rsid w:val="624B04CD"/>
    <w:rsid w:val="625643D4"/>
    <w:rsid w:val="626A7253"/>
    <w:rsid w:val="626BD1F9"/>
    <w:rsid w:val="628E4B8D"/>
    <w:rsid w:val="62970CCC"/>
    <w:rsid w:val="62B2B7A6"/>
    <w:rsid w:val="62B50D06"/>
    <w:rsid w:val="62C25E94"/>
    <w:rsid w:val="62D25650"/>
    <w:rsid w:val="62DA0AA2"/>
    <w:rsid w:val="62E3CBEB"/>
    <w:rsid w:val="62EA04D2"/>
    <w:rsid w:val="62FFDEE3"/>
    <w:rsid w:val="63085455"/>
    <w:rsid w:val="63295A93"/>
    <w:rsid w:val="634B9FD4"/>
    <w:rsid w:val="6355CA73"/>
    <w:rsid w:val="63623A55"/>
    <w:rsid w:val="63878546"/>
    <w:rsid w:val="639A3618"/>
    <w:rsid w:val="639D30FC"/>
    <w:rsid w:val="63A1676B"/>
    <w:rsid w:val="63AD042A"/>
    <w:rsid w:val="63BC7D9B"/>
    <w:rsid w:val="63E5BD58"/>
    <w:rsid w:val="63F53F15"/>
    <w:rsid w:val="63F8AFCA"/>
    <w:rsid w:val="63FA65B3"/>
    <w:rsid w:val="64009F23"/>
    <w:rsid w:val="6407E56A"/>
    <w:rsid w:val="6412940F"/>
    <w:rsid w:val="6431E696"/>
    <w:rsid w:val="643FFDA9"/>
    <w:rsid w:val="6446EA1A"/>
    <w:rsid w:val="644BA4A7"/>
    <w:rsid w:val="646B30AD"/>
    <w:rsid w:val="646F9BF3"/>
    <w:rsid w:val="64768143"/>
    <w:rsid w:val="64793131"/>
    <w:rsid w:val="647D81D2"/>
    <w:rsid w:val="64870FE1"/>
    <w:rsid w:val="64898E6F"/>
    <w:rsid w:val="649148D4"/>
    <w:rsid w:val="64A2CB45"/>
    <w:rsid w:val="64B9AC86"/>
    <w:rsid w:val="64BC5E12"/>
    <w:rsid w:val="64BCC277"/>
    <w:rsid w:val="64C6E217"/>
    <w:rsid w:val="64E527CD"/>
    <w:rsid w:val="64F9338C"/>
    <w:rsid w:val="651700BC"/>
    <w:rsid w:val="652BAB39"/>
    <w:rsid w:val="65455E8A"/>
    <w:rsid w:val="6559FEB6"/>
    <w:rsid w:val="6566933D"/>
    <w:rsid w:val="65675005"/>
    <w:rsid w:val="65698BA9"/>
    <w:rsid w:val="656C45EA"/>
    <w:rsid w:val="657D6905"/>
    <w:rsid w:val="6590DF64"/>
    <w:rsid w:val="6595D4F3"/>
    <w:rsid w:val="65A8A8B3"/>
    <w:rsid w:val="65AC1466"/>
    <w:rsid w:val="65BAA9FD"/>
    <w:rsid w:val="65BE12A5"/>
    <w:rsid w:val="65D4BBCC"/>
    <w:rsid w:val="65DA7EFD"/>
    <w:rsid w:val="65E981D1"/>
    <w:rsid w:val="65F3315F"/>
    <w:rsid w:val="663F4FC4"/>
    <w:rsid w:val="664FDA48"/>
    <w:rsid w:val="667FC0EE"/>
    <w:rsid w:val="669039F0"/>
    <w:rsid w:val="66999F3E"/>
    <w:rsid w:val="66A491E4"/>
    <w:rsid w:val="66A7DA25"/>
    <w:rsid w:val="66C75E44"/>
    <w:rsid w:val="66CB8191"/>
    <w:rsid w:val="66D3E620"/>
    <w:rsid w:val="66DA3E86"/>
    <w:rsid w:val="66E23283"/>
    <w:rsid w:val="66E34CBF"/>
    <w:rsid w:val="66E3D50D"/>
    <w:rsid w:val="66ED60C2"/>
    <w:rsid w:val="66FDBA1B"/>
    <w:rsid w:val="6702BBCB"/>
    <w:rsid w:val="67058921"/>
    <w:rsid w:val="670DAED4"/>
    <w:rsid w:val="671EF0D0"/>
    <w:rsid w:val="672378FC"/>
    <w:rsid w:val="6742A97D"/>
    <w:rsid w:val="6749A734"/>
    <w:rsid w:val="675A186A"/>
    <w:rsid w:val="67638318"/>
    <w:rsid w:val="679804A1"/>
    <w:rsid w:val="67AB1133"/>
    <w:rsid w:val="67BAA6F6"/>
    <w:rsid w:val="67BAFB75"/>
    <w:rsid w:val="67C0ACEA"/>
    <w:rsid w:val="67C2174C"/>
    <w:rsid w:val="67C5FCC7"/>
    <w:rsid w:val="67C6BF81"/>
    <w:rsid w:val="67C9F401"/>
    <w:rsid w:val="67CE1A65"/>
    <w:rsid w:val="67DB76B3"/>
    <w:rsid w:val="67E1EA2D"/>
    <w:rsid w:val="67E61AE8"/>
    <w:rsid w:val="680370A4"/>
    <w:rsid w:val="6811301F"/>
    <w:rsid w:val="68314E97"/>
    <w:rsid w:val="683CAA31"/>
    <w:rsid w:val="684315DC"/>
    <w:rsid w:val="68477BED"/>
    <w:rsid w:val="68505696"/>
    <w:rsid w:val="68671248"/>
    <w:rsid w:val="687CD6A1"/>
    <w:rsid w:val="688268A5"/>
    <w:rsid w:val="688683DA"/>
    <w:rsid w:val="68969878"/>
    <w:rsid w:val="68AE6A08"/>
    <w:rsid w:val="68B12E62"/>
    <w:rsid w:val="68E47811"/>
    <w:rsid w:val="68F1A324"/>
    <w:rsid w:val="691216C9"/>
    <w:rsid w:val="692A0245"/>
    <w:rsid w:val="693526EB"/>
    <w:rsid w:val="69392134"/>
    <w:rsid w:val="693F5ED7"/>
    <w:rsid w:val="69476228"/>
    <w:rsid w:val="694C3EEA"/>
    <w:rsid w:val="694E84E8"/>
    <w:rsid w:val="695626C9"/>
    <w:rsid w:val="6957FB2F"/>
    <w:rsid w:val="695C1AE0"/>
    <w:rsid w:val="6966F17F"/>
    <w:rsid w:val="6969AA5E"/>
    <w:rsid w:val="698E1AE6"/>
    <w:rsid w:val="69A5348D"/>
    <w:rsid w:val="69A63D8A"/>
    <w:rsid w:val="69A9B07F"/>
    <w:rsid w:val="69B97DF3"/>
    <w:rsid w:val="69BE2067"/>
    <w:rsid w:val="69C9DF0A"/>
    <w:rsid w:val="69D07935"/>
    <w:rsid w:val="69D4098C"/>
    <w:rsid w:val="69D4F5E1"/>
    <w:rsid w:val="69DA3B1E"/>
    <w:rsid w:val="69DAE014"/>
    <w:rsid w:val="69DD5B6E"/>
    <w:rsid w:val="69E6A8BC"/>
    <w:rsid w:val="69EFD6A1"/>
    <w:rsid w:val="69FA1602"/>
    <w:rsid w:val="69FCC95F"/>
    <w:rsid w:val="69FD82DE"/>
    <w:rsid w:val="69FF4F2D"/>
    <w:rsid w:val="69FF6E08"/>
    <w:rsid w:val="6A028043"/>
    <w:rsid w:val="6A045B55"/>
    <w:rsid w:val="6A116C64"/>
    <w:rsid w:val="6A4566AE"/>
    <w:rsid w:val="6A4EAB63"/>
    <w:rsid w:val="6A4F4EE3"/>
    <w:rsid w:val="6A59FEEE"/>
    <w:rsid w:val="6A5B2519"/>
    <w:rsid w:val="6A66BCE7"/>
    <w:rsid w:val="6A72B182"/>
    <w:rsid w:val="6A79A98A"/>
    <w:rsid w:val="6A7E4A2B"/>
    <w:rsid w:val="6AA6CECA"/>
    <w:rsid w:val="6AA70D7A"/>
    <w:rsid w:val="6AB607BC"/>
    <w:rsid w:val="6ABF7A7B"/>
    <w:rsid w:val="6AC402A5"/>
    <w:rsid w:val="6AC43F2A"/>
    <w:rsid w:val="6ACEE40F"/>
    <w:rsid w:val="6AD20760"/>
    <w:rsid w:val="6AE30F91"/>
    <w:rsid w:val="6AE82891"/>
    <w:rsid w:val="6AF11AAB"/>
    <w:rsid w:val="6B04A46B"/>
    <w:rsid w:val="6B11200F"/>
    <w:rsid w:val="6B12BA53"/>
    <w:rsid w:val="6B271537"/>
    <w:rsid w:val="6B3E84C4"/>
    <w:rsid w:val="6B50980E"/>
    <w:rsid w:val="6B53758A"/>
    <w:rsid w:val="6B5F031D"/>
    <w:rsid w:val="6B6D7EDD"/>
    <w:rsid w:val="6B8498B2"/>
    <w:rsid w:val="6B8C98E0"/>
    <w:rsid w:val="6B8E1C84"/>
    <w:rsid w:val="6B92BF28"/>
    <w:rsid w:val="6B9AAC89"/>
    <w:rsid w:val="6BA07C63"/>
    <w:rsid w:val="6BACEA13"/>
    <w:rsid w:val="6BAEA904"/>
    <w:rsid w:val="6BB1479F"/>
    <w:rsid w:val="6BB483A9"/>
    <w:rsid w:val="6BB79B85"/>
    <w:rsid w:val="6BC47955"/>
    <w:rsid w:val="6BC8367E"/>
    <w:rsid w:val="6BD4C4FF"/>
    <w:rsid w:val="6BE74A8A"/>
    <w:rsid w:val="6BE8975E"/>
    <w:rsid w:val="6BE90E6F"/>
    <w:rsid w:val="6BE967DC"/>
    <w:rsid w:val="6C09D16F"/>
    <w:rsid w:val="6C09FF74"/>
    <w:rsid w:val="6C130747"/>
    <w:rsid w:val="6C36E91D"/>
    <w:rsid w:val="6C39AAA9"/>
    <w:rsid w:val="6C4AE654"/>
    <w:rsid w:val="6C4B772E"/>
    <w:rsid w:val="6C5458F9"/>
    <w:rsid w:val="6C6B24ED"/>
    <w:rsid w:val="6C6CF584"/>
    <w:rsid w:val="6C74BAE3"/>
    <w:rsid w:val="6C8BC53B"/>
    <w:rsid w:val="6C979955"/>
    <w:rsid w:val="6C98127C"/>
    <w:rsid w:val="6C9D464E"/>
    <w:rsid w:val="6C9E24A1"/>
    <w:rsid w:val="6CA745CF"/>
    <w:rsid w:val="6CAB0573"/>
    <w:rsid w:val="6CB74A1E"/>
    <w:rsid w:val="6CC455A8"/>
    <w:rsid w:val="6CD9F2E4"/>
    <w:rsid w:val="6CE1DB44"/>
    <w:rsid w:val="6CED8D7A"/>
    <w:rsid w:val="6CF16188"/>
    <w:rsid w:val="6CF5BDDE"/>
    <w:rsid w:val="6CF6325F"/>
    <w:rsid w:val="6CFFEBA3"/>
    <w:rsid w:val="6D035BB4"/>
    <w:rsid w:val="6D3D9B33"/>
    <w:rsid w:val="6D58A859"/>
    <w:rsid w:val="6D6675FC"/>
    <w:rsid w:val="6D6ADDDD"/>
    <w:rsid w:val="6D72F60E"/>
    <w:rsid w:val="6D76274B"/>
    <w:rsid w:val="6D7834AE"/>
    <w:rsid w:val="6D7C8988"/>
    <w:rsid w:val="6DA034EC"/>
    <w:rsid w:val="6DB6E9AB"/>
    <w:rsid w:val="6DC3744B"/>
    <w:rsid w:val="6DCE38CD"/>
    <w:rsid w:val="6DCED499"/>
    <w:rsid w:val="6DD724FA"/>
    <w:rsid w:val="6DDD4AD4"/>
    <w:rsid w:val="6DEB6257"/>
    <w:rsid w:val="6DF5D4BE"/>
    <w:rsid w:val="6DF895B2"/>
    <w:rsid w:val="6E0829ED"/>
    <w:rsid w:val="6E12694E"/>
    <w:rsid w:val="6E1539E8"/>
    <w:rsid w:val="6E18CA07"/>
    <w:rsid w:val="6E1D9064"/>
    <w:rsid w:val="6E2ECFCA"/>
    <w:rsid w:val="6E310BD6"/>
    <w:rsid w:val="6E3F0786"/>
    <w:rsid w:val="6E5719C2"/>
    <w:rsid w:val="6E66C746"/>
    <w:rsid w:val="6E697A04"/>
    <w:rsid w:val="6E6D4B8C"/>
    <w:rsid w:val="6E733E29"/>
    <w:rsid w:val="6E74F5A9"/>
    <w:rsid w:val="6E934BB0"/>
    <w:rsid w:val="6E9491DF"/>
    <w:rsid w:val="6E9F8B17"/>
    <w:rsid w:val="6EA48580"/>
    <w:rsid w:val="6EA56318"/>
    <w:rsid w:val="6EBBD4CD"/>
    <w:rsid w:val="6EBFBDED"/>
    <w:rsid w:val="6EC347C4"/>
    <w:rsid w:val="6ED1361B"/>
    <w:rsid w:val="6ED4D8A3"/>
    <w:rsid w:val="6EDC7021"/>
    <w:rsid w:val="6EDFD4B8"/>
    <w:rsid w:val="6EE68E4A"/>
    <w:rsid w:val="6EF6D7C4"/>
    <w:rsid w:val="6EF9F04E"/>
    <w:rsid w:val="6EFD756D"/>
    <w:rsid w:val="6F0689D5"/>
    <w:rsid w:val="6F1391C1"/>
    <w:rsid w:val="6F141D82"/>
    <w:rsid w:val="6F200146"/>
    <w:rsid w:val="6F28A55A"/>
    <w:rsid w:val="6F2A61B1"/>
    <w:rsid w:val="6F327646"/>
    <w:rsid w:val="6F3BECF0"/>
    <w:rsid w:val="6F43E4F2"/>
    <w:rsid w:val="6F4840CA"/>
    <w:rsid w:val="6F48650C"/>
    <w:rsid w:val="6F4FFE2F"/>
    <w:rsid w:val="6F526DAB"/>
    <w:rsid w:val="6F65A559"/>
    <w:rsid w:val="6F7132DA"/>
    <w:rsid w:val="6F7206A4"/>
    <w:rsid w:val="6F7D1953"/>
    <w:rsid w:val="6F8DB1A7"/>
    <w:rsid w:val="6F9CD3D1"/>
    <w:rsid w:val="6FB59EBF"/>
    <w:rsid w:val="6FB64D65"/>
    <w:rsid w:val="6FB889E3"/>
    <w:rsid w:val="6FBA4C5F"/>
    <w:rsid w:val="6FC2F5C3"/>
    <w:rsid w:val="6FEB2E98"/>
    <w:rsid w:val="6FF2CB71"/>
    <w:rsid w:val="6FFCBFEA"/>
    <w:rsid w:val="70000469"/>
    <w:rsid w:val="7010AC40"/>
    <w:rsid w:val="7016E6C4"/>
    <w:rsid w:val="701E0B15"/>
    <w:rsid w:val="7028DA5C"/>
    <w:rsid w:val="70302933"/>
    <w:rsid w:val="703B0448"/>
    <w:rsid w:val="7041C506"/>
    <w:rsid w:val="70425722"/>
    <w:rsid w:val="7044CEDD"/>
    <w:rsid w:val="70462C4F"/>
    <w:rsid w:val="7050A9F0"/>
    <w:rsid w:val="70517B91"/>
    <w:rsid w:val="70594AE7"/>
    <w:rsid w:val="705E2939"/>
    <w:rsid w:val="706B3602"/>
    <w:rsid w:val="707BA519"/>
    <w:rsid w:val="707E524B"/>
    <w:rsid w:val="708EC904"/>
    <w:rsid w:val="7098A3BE"/>
    <w:rsid w:val="70AC852E"/>
    <w:rsid w:val="70BBCB6F"/>
    <w:rsid w:val="70C3EACB"/>
    <w:rsid w:val="70CD5270"/>
    <w:rsid w:val="70D21766"/>
    <w:rsid w:val="70D8AC91"/>
    <w:rsid w:val="70E1EE62"/>
    <w:rsid w:val="70E7EFB0"/>
    <w:rsid w:val="70EB478A"/>
    <w:rsid w:val="70F71CCE"/>
    <w:rsid w:val="70FBBA3D"/>
    <w:rsid w:val="70FECC8F"/>
    <w:rsid w:val="710932C3"/>
    <w:rsid w:val="710C53CD"/>
    <w:rsid w:val="710D3FEF"/>
    <w:rsid w:val="711CF9F8"/>
    <w:rsid w:val="71298208"/>
    <w:rsid w:val="7145DFA6"/>
    <w:rsid w:val="7148063F"/>
    <w:rsid w:val="715488C0"/>
    <w:rsid w:val="715B8A1A"/>
    <w:rsid w:val="71753217"/>
    <w:rsid w:val="7187D388"/>
    <w:rsid w:val="718B3EF5"/>
    <w:rsid w:val="7194EFEC"/>
    <w:rsid w:val="7198C62A"/>
    <w:rsid w:val="71B101B8"/>
    <w:rsid w:val="71B59012"/>
    <w:rsid w:val="71B96CC4"/>
    <w:rsid w:val="71BC7CF8"/>
    <w:rsid w:val="71CDAD29"/>
    <w:rsid w:val="71F58B24"/>
    <w:rsid w:val="71F741F7"/>
    <w:rsid w:val="71FA78D2"/>
    <w:rsid w:val="71FE4D1D"/>
    <w:rsid w:val="721BC2A5"/>
    <w:rsid w:val="721E6308"/>
    <w:rsid w:val="7221F5D8"/>
    <w:rsid w:val="722207FD"/>
    <w:rsid w:val="722F3D52"/>
    <w:rsid w:val="7237ABEB"/>
    <w:rsid w:val="7245177E"/>
    <w:rsid w:val="72473489"/>
    <w:rsid w:val="725FEA3F"/>
    <w:rsid w:val="726CC976"/>
    <w:rsid w:val="7276152C"/>
    <w:rsid w:val="727F95EA"/>
    <w:rsid w:val="72921A67"/>
    <w:rsid w:val="72926438"/>
    <w:rsid w:val="729B722D"/>
    <w:rsid w:val="72A14641"/>
    <w:rsid w:val="72A28152"/>
    <w:rsid w:val="72AD6C1F"/>
    <w:rsid w:val="72B172D6"/>
    <w:rsid w:val="72B3B01A"/>
    <w:rsid w:val="72C1F22E"/>
    <w:rsid w:val="72D48324"/>
    <w:rsid w:val="72DC4424"/>
    <w:rsid w:val="72E82338"/>
    <w:rsid w:val="73163B59"/>
    <w:rsid w:val="7329352B"/>
    <w:rsid w:val="733965D0"/>
    <w:rsid w:val="734A8487"/>
    <w:rsid w:val="735A8B5A"/>
    <w:rsid w:val="7367570B"/>
    <w:rsid w:val="7394690C"/>
    <w:rsid w:val="73951870"/>
    <w:rsid w:val="739817F9"/>
    <w:rsid w:val="739A1D7E"/>
    <w:rsid w:val="73AB5855"/>
    <w:rsid w:val="73AFE144"/>
    <w:rsid w:val="73BA03C0"/>
    <w:rsid w:val="73D605FC"/>
    <w:rsid w:val="73D695EE"/>
    <w:rsid w:val="73DC189A"/>
    <w:rsid w:val="73E45AB9"/>
    <w:rsid w:val="73F118FF"/>
    <w:rsid w:val="73F3A147"/>
    <w:rsid w:val="73F65196"/>
    <w:rsid w:val="73FA80F7"/>
    <w:rsid w:val="74099F6F"/>
    <w:rsid w:val="7414F6A5"/>
    <w:rsid w:val="741ADD98"/>
    <w:rsid w:val="741DBDBF"/>
    <w:rsid w:val="7426C3B6"/>
    <w:rsid w:val="74406198"/>
    <w:rsid w:val="7444A4AC"/>
    <w:rsid w:val="744758D3"/>
    <w:rsid w:val="7459403C"/>
    <w:rsid w:val="749FFD33"/>
    <w:rsid w:val="74A04C24"/>
    <w:rsid w:val="74ACCB06"/>
    <w:rsid w:val="74AF5329"/>
    <w:rsid w:val="74B6BD18"/>
    <w:rsid w:val="74CA54D4"/>
    <w:rsid w:val="74CCF92B"/>
    <w:rsid w:val="74D7F2C3"/>
    <w:rsid w:val="74DD7408"/>
    <w:rsid w:val="74EF9816"/>
    <w:rsid w:val="74F879B7"/>
    <w:rsid w:val="7503AF4E"/>
    <w:rsid w:val="751614F1"/>
    <w:rsid w:val="751CB0A9"/>
    <w:rsid w:val="7523E325"/>
    <w:rsid w:val="75384EE1"/>
    <w:rsid w:val="753CFE16"/>
    <w:rsid w:val="753E4E34"/>
    <w:rsid w:val="755B201F"/>
    <w:rsid w:val="7567F194"/>
    <w:rsid w:val="75700AA5"/>
    <w:rsid w:val="757087A6"/>
    <w:rsid w:val="757E1FEB"/>
    <w:rsid w:val="7587B041"/>
    <w:rsid w:val="758868B3"/>
    <w:rsid w:val="75932624"/>
    <w:rsid w:val="75965158"/>
    <w:rsid w:val="75A4929D"/>
    <w:rsid w:val="75A56603"/>
    <w:rsid w:val="75AE34C9"/>
    <w:rsid w:val="75AE43F6"/>
    <w:rsid w:val="75AFBF37"/>
    <w:rsid w:val="75AFD0C7"/>
    <w:rsid w:val="75BCF9DB"/>
    <w:rsid w:val="75D30CE1"/>
    <w:rsid w:val="75D8477C"/>
    <w:rsid w:val="75EA65BD"/>
    <w:rsid w:val="75EDFA54"/>
    <w:rsid w:val="760FB7B1"/>
    <w:rsid w:val="76177AE6"/>
    <w:rsid w:val="761A6DD3"/>
    <w:rsid w:val="7630CC3D"/>
    <w:rsid w:val="763F4936"/>
    <w:rsid w:val="7647E809"/>
    <w:rsid w:val="764C80E6"/>
    <w:rsid w:val="76520223"/>
    <w:rsid w:val="7658086F"/>
    <w:rsid w:val="7659ED99"/>
    <w:rsid w:val="7662678A"/>
    <w:rsid w:val="766CF37B"/>
    <w:rsid w:val="767AA7DE"/>
    <w:rsid w:val="767C46D2"/>
    <w:rsid w:val="7685EF82"/>
    <w:rsid w:val="76A14610"/>
    <w:rsid w:val="76A7A874"/>
    <w:rsid w:val="76BB7C47"/>
    <w:rsid w:val="76CAA2A1"/>
    <w:rsid w:val="76CB0F38"/>
    <w:rsid w:val="76CB3467"/>
    <w:rsid w:val="76CF7AAD"/>
    <w:rsid w:val="76D709A6"/>
    <w:rsid w:val="76E0E528"/>
    <w:rsid w:val="76E3A609"/>
    <w:rsid w:val="76E6B0E6"/>
    <w:rsid w:val="76EEDDA8"/>
    <w:rsid w:val="76F02E2D"/>
    <w:rsid w:val="76FF48A9"/>
    <w:rsid w:val="770015B1"/>
    <w:rsid w:val="77040502"/>
    <w:rsid w:val="771775BF"/>
    <w:rsid w:val="771907D3"/>
    <w:rsid w:val="771D8424"/>
    <w:rsid w:val="77237CE6"/>
    <w:rsid w:val="773794A7"/>
    <w:rsid w:val="7740E3A6"/>
    <w:rsid w:val="776CF590"/>
    <w:rsid w:val="77877C78"/>
    <w:rsid w:val="778EB953"/>
    <w:rsid w:val="7794E840"/>
    <w:rsid w:val="779DB027"/>
    <w:rsid w:val="77A8DDF1"/>
    <w:rsid w:val="77B0E3B1"/>
    <w:rsid w:val="77BF5F6B"/>
    <w:rsid w:val="77D218A1"/>
    <w:rsid w:val="77D99633"/>
    <w:rsid w:val="77E94027"/>
    <w:rsid w:val="77E98E95"/>
    <w:rsid w:val="77FFEBC7"/>
    <w:rsid w:val="780502C8"/>
    <w:rsid w:val="780BDF90"/>
    <w:rsid w:val="781353EC"/>
    <w:rsid w:val="781661C6"/>
    <w:rsid w:val="7819CB4C"/>
    <w:rsid w:val="781C43DD"/>
    <w:rsid w:val="78223D80"/>
    <w:rsid w:val="78282530"/>
    <w:rsid w:val="78284020"/>
    <w:rsid w:val="782AD7DB"/>
    <w:rsid w:val="7838B1D3"/>
    <w:rsid w:val="7841A555"/>
    <w:rsid w:val="78667799"/>
    <w:rsid w:val="786E8982"/>
    <w:rsid w:val="787DE2CC"/>
    <w:rsid w:val="787EC978"/>
    <w:rsid w:val="7881B3C0"/>
    <w:rsid w:val="789C0760"/>
    <w:rsid w:val="78BB21AA"/>
    <w:rsid w:val="78C4A95F"/>
    <w:rsid w:val="78CC4887"/>
    <w:rsid w:val="78E49774"/>
    <w:rsid w:val="78E8EA23"/>
    <w:rsid w:val="78F1BC0A"/>
    <w:rsid w:val="78F9CF23"/>
    <w:rsid w:val="7906B746"/>
    <w:rsid w:val="790824B5"/>
    <w:rsid w:val="7918F365"/>
    <w:rsid w:val="7919A79F"/>
    <w:rsid w:val="791D4748"/>
    <w:rsid w:val="791E81AB"/>
    <w:rsid w:val="792C0EEF"/>
    <w:rsid w:val="792EA3F3"/>
    <w:rsid w:val="7930726D"/>
    <w:rsid w:val="7936C90E"/>
    <w:rsid w:val="795368EA"/>
    <w:rsid w:val="7966751D"/>
    <w:rsid w:val="796E04E9"/>
    <w:rsid w:val="796E9B84"/>
    <w:rsid w:val="7970C801"/>
    <w:rsid w:val="797D0F43"/>
    <w:rsid w:val="798048D2"/>
    <w:rsid w:val="7985F612"/>
    <w:rsid w:val="799AC509"/>
    <w:rsid w:val="79A9B179"/>
    <w:rsid w:val="79C4A105"/>
    <w:rsid w:val="79DB3502"/>
    <w:rsid w:val="79E5F9B9"/>
    <w:rsid w:val="79EC6D24"/>
    <w:rsid w:val="7A1050E5"/>
    <w:rsid w:val="7A11F290"/>
    <w:rsid w:val="7A20C369"/>
    <w:rsid w:val="7A22875F"/>
    <w:rsid w:val="7A3B3A7E"/>
    <w:rsid w:val="7A44E3C9"/>
    <w:rsid w:val="7A5A7A73"/>
    <w:rsid w:val="7A644D4C"/>
    <w:rsid w:val="7A6B137D"/>
    <w:rsid w:val="7A6FE797"/>
    <w:rsid w:val="7A7EC48E"/>
    <w:rsid w:val="7A866B49"/>
    <w:rsid w:val="7A9F8548"/>
    <w:rsid w:val="7AA62B59"/>
    <w:rsid w:val="7AA86992"/>
    <w:rsid w:val="7AC148F3"/>
    <w:rsid w:val="7AC4EAF3"/>
    <w:rsid w:val="7ADC52E3"/>
    <w:rsid w:val="7AE72611"/>
    <w:rsid w:val="7AEDE6A5"/>
    <w:rsid w:val="7AF160F0"/>
    <w:rsid w:val="7AF82CE9"/>
    <w:rsid w:val="7AFC8805"/>
    <w:rsid w:val="7B01D279"/>
    <w:rsid w:val="7B06D3AA"/>
    <w:rsid w:val="7B144A75"/>
    <w:rsid w:val="7B1ED9F7"/>
    <w:rsid w:val="7B2D3FCE"/>
    <w:rsid w:val="7B49DFEC"/>
    <w:rsid w:val="7B5B5F13"/>
    <w:rsid w:val="7B65B5B0"/>
    <w:rsid w:val="7B8550A6"/>
    <w:rsid w:val="7BA8A104"/>
    <w:rsid w:val="7BAA392D"/>
    <w:rsid w:val="7BAB89C5"/>
    <w:rsid w:val="7BB1F0E5"/>
    <w:rsid w:val="7BB1FE7A"/>
    <w:rsid w:val="7BB49F31"/>
    <w:rsid w:val="7BB66A3A"/>
    <w:rsid w:val="7BD89DF0"/>
    <w:rsid w:val="7BE337D2"/>
    <w:rsid w:val="7BF0642E"/>
    <w:rsid w:val="7BF1B022"/>
    <w:rsid w:val="7BF61CC8"/>
    <w:rsid w:val="7C03E4E9"/>
    <w:rsid w:val="7C0AE435"/>
    <w:rsid w:val="7C0EC420"/>
    <w:rsid w:val="7C15AC31"/>
    <w:rsid w:val="7C15BFE7"/>
    <w:rsid w:val="7C317450"/>
    <w:rsid w:val="7C33265A"/>
    <w:rsid w:val="7C3EFD9B"/>
    <w:rsid w:val="7C521D9E"/>
    <w:rsid w:val="7C586A02"/>
    <w:rsid w:val="7C588778"/>
    <w:rsid w:val="7C64B155"/>
    <w:rsid w:val="7C6DFB4B"/>
    <w:rsid w:val="7C70C1B8"/>
    <w:rsid w:val="7C76E293"/>
    <w:rsid w:val="7C7716E6"/>
    <w:rsid w:val="7C78D9F2"/>
    <w:rsid w:val="7C82693F"/>
    <w:rsid w:val="7C889523"/>
    <w:rsid w:val="7C937AC7"/>
    <w:rsid w:val="7C9AFB5E"/>
    <w:rsid w:val="7CAA2D2D"/>
    <w:rsid w:val="7CADBD1F"/>
    <w:rsid w:val="7CB7B763"/>
    <w:rsid w:val="7CC89FBF"/>
    <w:rsid w:val="7CD2FF45"/>
    <w:rsid w:val="7CDA377E"/>
    <w:rsid w:val="7CE9E401"/>
    <w:rsid w:val="7CF4C0CC"/>
    <w:rsid w:val="7CFE118D"/>
    <w:rsid w:val="7D014355"/>
    <w:rsid w:val="7D060241"/>
    <w:rsid w:val="7D0C244A"/>
    <w:rsid w:val="7D1950D4"/>
    <w:rsid w:val="7D1C8E20"/>
    <w:rsid w:val="7D27BF6D"/>
    <w:rsid w:val="7D350705"/>
    <w:rsid w:val="7D54E2EE"/>
    <w:rsid w:val="7D5BE284"/>
    <w:rsid w:val="7D66EBA7"/>
    <w:rsid w:val="7D6D344B"/>
    <w:rsid w:val="7D81FD7E"/>
    <w:rsid w:val="7D82AAB9"/>
    <w:rsid w:val="7D8577C0"/>
    <w:rsid w:val="7D9A7BED"/>
    <w:rsid w:val="7D9EADDD"/>
    <w:rsid w:val="7D9EE10B"/>
    <w:rsid w:val="7DA67E49"/>
    <w:rsid w:val="7DADD77A"/>
    <w:rsid w:val="7DCAF0C4"/>
    <w:rsid w:val="7DDBDB74"/>
    <w:rsid w:val="7DE1A5B5"/>
    <w:rsid w:val="7DE22194"/>
    <w:rsid w:val="7DE2DBD3"/>
    <w:rsid w:val="7DE4FF87"/>
    <w:rsid w:val="7DE991EC"/>
    <w:rsid w:val="7DE9C33A"/>
    <w:rsid w:val="7E17E933"/>
    <w:rsid w:val="7E24750C"/>
    <w:rsid w:val="7E3E662F"/>
    <w:rsid w:val="7E47EEC9"/>
    <w:rsid w:val="7E53D4C0"/>
    <w:rsid w:val="7E56A50A"/>
    <w:rsid w:val="7E6B764E"/>
    <w:rsid w:val="7E6BB307"/>
    <w:rsid w:val="7E72C40D"/>
    <w:rsid w:val="7E76478A"/>
    <w:rsid w:val="7E8829B2"/>
    <w:rsid w:val="7E88C202"/>
    <w:rsid w:val="7E893C1A"/>
    <w:rsid w:val="7E9A920A"/>
    <w:rsid w:val="7EA24391"/>
    <w:rsid w:val="7EB12E4F"/>
    <w:rsid w:val="7EB1A347"/>
    <w:rsid w:val="7EB44FEA"/>
    <w:rsid w:val="7EB827F2"/>
    <w:rsid w:val="7EDE5A6B"/>
    <w:rsid w:val="7EE916EB"/>
    <w:rsid w:val="7EEB3598"/>
    <w:rsid w:val="7EEF5C98"/>
    <w:rsid w:val="7EF166A2"/>
    <w:rsid w:val="7F072B6B"/>
    <w:rsid w:val="7F07313E"/>
    <w:rsid w:val="7F088768"/>
    <w:rsid w:val="7F15E556"/>
    <w:rsid w:val="7F247E5F"/>
    <w:rsid w:val="7F299041"/>
    <w:rsid w:val="7F2E5430"/>
    <w:rsid w:val="7F3549B4"/>
    <w:rsid w:val="7F36D2B0"/>
    <w:rsid w:val="7F3DCA7F"/>
    <w:rsid w:val="7F40E630"/>
    <w:rsid w:val="7F4B2EAA"/>
    <w:rsid w:val="7F5BB6C3"/>
    <w:rsid w:val="7F6FC0C6"/>
    <w:rsid w:val="7F7104EF"/>
    <w:rsid w:val="7F849DE2"/>
    <w:rsid w:val="7F8AF587"/>
    <w:rsid w:val="7F8BA7F8"/>
    <w:rsid w:val="7F9ECEDE"/>
    <w:rsid w:val="7FD38929"/>
    <w:rsid w:val="7FE06BEB"/>
    <w:rsid w:val="7FEFD927"/>
    <w:rsid w:val="7FF0EC11"/>
    <w:rsid w:val="7FF68B2C"/>
    <w:rsid w:val="7FFECC9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99619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5F3E"/>
    <w:rPr>
      <w:rFonts w:ascii="Times New Roman" w:hAnsi="Times New Roman"/>
      <w:sz w:val="24"/>
    </w:rPr>
  </w:style>
  <w:style w:type="paragraph" w:styleId="Heading1">
    <w:name w:val="heading 1"/>
    <w:basedOn w:val="Normal"/>
    <w:next w:val="Normal"/>
    <w:link w:val="Heading1Char"/>
    <w:uiPriority w:val="9"/>
    <w:qFormat/>
    <w:rsid w:val="0024490B"/>
    <w:pPr>
      <w:keepNext/>
      <w:keepLines/>
      <w:spacing w:before="240" w:after="0"/>
      <w:outlineLvl w:val="0"/>
    </w:pPr>
    <w:rPr>
      <w:rFonts w:eastAsiaTheme="majorEastAsia" w:cstheme="majorBidi"/>
      <w:color w:val="2E74B5" w:themeColor="accent1" w:themeShade="BF"/>
      <w:sz w:val="32"/>
    </w:rPr>
  </w:style>
  <w:style w:type="paragraph" w:styleId="Heading2">
    <w:name w:val="heading 2"/>
    <w:basedOn w:val="Normal"/>
    <w:next w:val="Normal"/>
    <w:link w:val="Heading2Char"/>
    <w:uiPriority w:val="9"/>
    <w:unhideWhenUsed/>
    <w:qFormat/>
    <w:rsid w:val="0024490B"/>
    <w:pPr>
      <w:keepNext/>
      <w:keepLines/>
      <w:spacing w:before="40" w:after="0"/>
      <w:outlineLvl w:val="1"/>
    </w:pPr>
    <w:rPr>
      <w:rFonts w:eastAsiaTheme="majorEastAsia" w:cstheme="majorBidi"/>
      <w:color w:val="2E74B5" w:themeColor="accent1" w:themeShade="BF"/>
      <w:sz w:val="26"/>
    </w:rPr>
  </w:style>
  <w:style w:type="paragraph" w:styleId="Heading3">
    <w:name w:val="heading 3"/>
    <w:basedOn w:val="Normal"/>
    <w:next w:val="Normal"/>
    <w:link w:val="Heading3Char"/>
    <w:uiPriority w:val="9"/>
    <w:unhideWhenUsed/>
    <w:qFormat/>
    <w:rsid w:val="009F0F67"/>
    <w:pPr>
      <w:keepNext/>
      <w:keepLines/>
      <w:spacing w:before="40" w:after="0"/>
      <w:outlineLvl w:val="2"/>
    </w:pPr>
    <w:rPr>
      <w:rFonts w:eastAsiaTheme="majorEastAsia"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FE3E5E"/>
    <w:rPr>
      <w:color w:val="0000FF"/>
      <w:shd w:val="clear" w:color="auto" w:fill="auto"/>
    </w:rPr>
  </w:style>
  <w:style w:type="paragraph" w:styleId="Header">
    <w:name w:val="header"/>
    <w:basedOn w:val="Normal"/>
    <w:link w:val="HeaderChar"/>
    <w:uiPriority w:val="99"/>
    <w:unhideWhenUsed/>
    <w:rsid w:val="00FE3E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E5E"/>
  </w:style>
  <w:style w:type="paragraph" w:styleId="Footer">
    <w:name w:val="footer"/>
    <w:basedOn w:val="Normal"/>
    <w:link w:val="FooterChar"/>
    <w:uiPriority w:val="99"/>
    <w:unhideWhenUsed/>
    <w:rsid w:val="00FE3E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E5E"/>
  </w:style>
  <w:style w:type="paragraph" w:customStyle="1" w:styleId="Pagedecouverture">
    <w:name w:val="Page de couverture"/>
    <w:basedOn w:val="Normal"/>
    <w:next w:val="Normal"/>
    <w:rsid w:val="00FE3E5E"/>
    <w:pPr>
      <w:spacing w:after="0" w:line="240" w:lineRule="auto"/>
      <w:jc w:val="both"/>
    </w:pPr>
    <w:rPr>
      <w:rFonts w:cs="Times New Roman"/>
    </w:rPr>
  </w:style>
  <w:style w:type="paragraph" w:customStyle="1" w:styleId="FooterCoverPage">
    <w:name w:val="Footer Cover Page"/>
    <w:basedOn w:val="Normal"/>
    <w:link w:val="FooterCoverPageChar"/>
    <w:rsid w:val="00FE3E5E"/>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rsid w:val="00FE3E5E"/>
    <w:rPr>
      <w:rFonts w:ascii="Times New Roman" w:hAnsi="Times New Roman"/>
      <w:sz w:val="24"/>
    </w:rPr>
  </w:style>
  <w:style w:type="paragraph" w:customStyle="1" w:styleId="FooterSensitivity">
    <w:name w:val="Footer Sensitivity"/>
    <w:basedOn w:val="Normal"/>
    <w:link w:val="FooterSensitivityChar"/>
    <w:rsid w:val="00FE3E5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FE3E5E"/>
    <w:rPr>
      <w:rFonts w:ascii="Times New Roman" w:hAnsi="Times New Roman"/>
      <w:b/>
      <w:sz w:val="32"/>
    </w:rPr>
  </w:style>
  <w:style w:type="paragraph" w:customStyle="1" w:styleId="HeaderCoverPage">
    <w:name w:val="Header Cover Page"/>
    <w:basedOn w:val="Normal"/>
    <w:link w:val="HeaderCoverPageChar"/>
    <w:rsid w:val="00FE3E5E"/>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FE3E5E"/>
    <w:rPr>
      <w:rFonts w:ascii="Times New Roman" w:hAnsi="Times New Roman"/>
      <w:sz w:val="24"/>
    </w:rPr>
  </w:style>
  <w:style w:type="paragraph" w:customStyle="1" w:styleId="HeaderSensitivity">
    <w:name w:val="Header Sensitivity"/>
    <w:basedOn w:val="Normal"/>
    <w:link w:val="HeaderSensitivityChar"/>
    <w:rsid w:val="00FE3E5E"/>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FE3E5E"/>
    <w:rPr>
      <w:rFonts w:ascii="Times New Roman" w:hAnsi="Times New Roman"/>
      <w:b/>
      <w:sz w:val="32"/>
    </w:rPr>
  </w:style>
  <w:style w:type="paragraph" w:customStyle="1" w:styleId="HeaderSensitivityRight">
    <w:name w:val="Header Sensitivity Right"/>
    <w:basedOn w:val="Normal"/>
    <w:link w:val="HeaderSensitivityRightChar"/>
    <w:rsid w:val="00B446D6"/>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FE3E5E"/>
    <w:rPr>
      <w:rFonts w:ascii="Times New Roman" w:hAnsi="Times New Roman"/>
      <w:sz w:val="28"/>
    </w:rPr>
  </w:style>
  <w:style w:type="character" w:customStyle="1" w:styleId="Heading1Char">
    <w:name w:val="Heading 1 Char"/>
    <w:basedOn w:val="DefaultParagraphFont"/>
    <w:link w:val="Heading1"/>
    <w:uiPriority w:val="9"/>
    <w:rsid w:val="0024490B"/>
    <w:rPr>
      <w:rFonts w:ascii="Times New Roman" w:eastAsiaTheme="majorEastAsia" w:hAnsi="Times New Roman" w:cstheme="majorBidi"/>
      <w:color w:val="2E74B5" w:themeColor="accent1" w:themeShade="BF"/>
      <w:sz w:val="32"/>
    </w:rPr>
  </w:style>
  <w:style w:type="character" w:customStyle="1" w:styleId="Heading2Char">
    <w:name w:val="Heading 2 Char"/>
    <w:basedOn w:val="DefaultParagraphFont"/>
    <w:link w:val="Heading2"/>
    <w:uiPriority w:val="9"/>
    <w:rsid w:val="0024490B"/>
    <w:rPr>
      <w:rFonts w:ascii="Times New Roman" w:eastAsiaTheme="majorEastAsia" w:hAnsi="Times New Roman" w:cstheme="majorBidi"/>
      <w:color w:val="2E74B5" w:themeColor="accent1" w:themeShade="BF"/>
      <w:sz w:val="26"/>
    </w:rPr>
  </w:style>
  <w:style w:type="character" w:customStyle="1" w:styleId="Heading3Char">
    <w:name w:val="Heading 3 Char"/>
    <w:basedOn w:val="DefaultParagraphFont"/>
    <w:link w:val="Heading3"/>
    <w:uiPriority w:val="9"/>
    <w:rsid w:val="009F0F67"/>
    <w:rPr>
      <w:rFonts w:ascii="Times New Roman" w:eastAsiaTheme="majorEastAsia" w:hAnsi="Times New Roman" w:cstheme="majorBidi"/>
      <w:color w:val="1F4D78" w:themeColor="accent1" w:themeShade="7F"/>
    </w:rPr>
  </w:style>
  <w:style w:type="character" w:styleId="CommentReference">
    <w:name w:val="annotation reference"/>
    <w:basedOn w:val="DefaultParagraphFont"/>
    <w:uiPriority w:val="99"/>
    <w:semiHidden/>
    <w:unhideWhenUsed/>
    <w:rsid w:val="00A2237B"/>
    <w:rPr>
      <w:sz w:val="16"/>
    </w:rPr>
  </w:style>
  <w:style w:type="paragraph" w:styleId="CommentText">
    <w:name w:val="annotation text"/>
    <w:basedOn w:val="Normal"/>
    <w:link w:val="CommentTextChar"/>
    <w:uiPriority w:val="99"/>
    <w:unhideWhenUsed/>
    <w:rsid w:val="00A2237B"/>
    <w:pPr>
      <w:spacing w:line="240" w:lineRule="auto"/>
    </w:pPr>
    <w:rPr>
      <w:sz w:val="20"/>
    </w:rPr>
  </w:style>
  <w:style w:type="character" w:customStyle="1" w:styleId="CommentTextChar">
    <w:name w:val="Comment Text Char"/>
    <w:basedOn w:val="DefaultParagraphFont"/>
    <w:link w:val="CommentText"/>
    <w:uiPriority w:val="99"/>
    <w:rsid w:val="00A2237B"/>
    <w:rPr>
      <w:rFonts w:ascii="Times New Roman" w:hAnsi="Times New Roman"/>
      <w:sz w:val="20"/>
    </w:rPr>
  </w:style>
  <w:style w:type="paragraph" w:styleId="CommentSubject">
    <w:name w:val="annotation subject"/>
    <w:basedOn w:val="CommentText"/>
    <w:next w:val="CommentText"/>
    <w:link w:val="CommentSubjectChar"/>
    <w:uiPriority w:val="99"/>
    <w:semiHidden/>
    <w:unhideWhenUsed/>
    <w:rsid w:val="00A2237B"/>
    <w:rPr>
      <w:b/>
    </w:rPr>
  </w:style>
  <w:style w:type="character" w:customStyle="1" w:styleId="CommentSubjectChar">
    <w:name w:val="Comment Subject Char"/>
    <w:basedOn w:val="CommentTextChar"/>
    <w:link w:val="CommentSubject"/>
    <w:uiPriority w:val="99"/>
    <w:semiHidden/>
    <w:rsid w:val="00A2237B"/>
    <w:rPr>
      <w:rFonts w:ascii="Times New Roman" w:hAnsi="Times New Roman"/>
      <w:b/>
      <w:sz w:val="20"/>
    </w:rPr>
  </w:style>
  <w:style w:type="paragraph" w:styleId="BalloonText">
    <w:name w:val="Balloon Text"/>
    <w:basedOn w:val="Normal"/>
    <w:link w:val="BalloonTextChar"/>
    <w:uiPriority w:val="99"/>
    <w:semiHidden/>
    <w:unhideWhenUsed/>
    <w:rsid w:val="00CF006C"/>
    <w:pPr>
      <w:spacing w:after="0" w:line="240" w:lineRule="auto"/>
    </w:pPr>
    <w:rPr>
      <w:rFonts w:ascii="Segoe UI" w:hAnsi="Segoe UI" w:cs="Segoe UI"/>
      <w:sz w:val="18"/>
    </w:rPr>
  </w:style>
  <w:style w:type="character" w:customStyle="1" w:styleId="BalloonTextChar">
    <w:name w:val="Balloon Text Char"/>
    <w:basedOn w:val="DefaultParagraphFont"/>
    <w:link w:val="BalloonText"/>
    <w:uiPriority w:val="99"/>
    <w:semiHidden/>
    <w:rsid w:val="00CF006C"/>
    <w:rPr>
      <w:rFonts w:ascii="Segoe UI" w:hAnsi="Segoe UI" w:cs="Segoe UI"/>
      <w:sz w:val="18"/>
    </w:rPr>
  </w:style>
  <w:style w:type="paragraph" w:styleId="NormalWeb">
    <w:name w:val="Normal (Web)"/>
    <w:basedOn w:val="Normal"/>
    <w:uiPriority w:val="99"/>
    <w:semiHidden/>
    <w:unhideWhenUsed/>
    <w:rsid w:val="00FB1FF9"/>
    <w:rPr>
      <w:rFonts w:cs="Times New Roman"/>
    </w:rPr>
  </w:style>
  <w:style w:type="paragraph" w:customStyle="1" w:styleId="Default">
    <w:name w:val="Default"/>
    <w:rsid w:val="004F6D42"/>
    <w:pPr>
      <w:autoSpaceDE w:val="0"/>
      <w:autoSpaceDN w:val="0"/>
      <w:adjustRightInd w:val="0"/>
      <w:spacing w:after="0" w:line="240" w:lineRule="auto"/>
    </w:pPr>
    <w:rPr>
      <w:rFonts w:ascii="Times New Roman" w:hAnsi="Times New Roman" w:cs="Times New Roman"/>
      <w:sz w:val="24"/>
    </w:rPr>
  </w:style>
  <w:style w:type="paragraph" w:styleId="ListParagraph">
    <w:name w:val="List Paragraph"/>
    <w:basedOn w:val="Normal"/>
    <w:link w:val="ListParagraphChar"/>
    <w:uiPriority w:val="34"/>
    <w:qFormat/>
    <w:rsid w:val="002C0859"/>
    <w:pPr>
      <w:ind w:left="720"/>
      <w:contextualSpacing/>
    </w:pPr>
  </w:style>
  <w:style w:type="paragraph" w:styleId="FootnoteText">
    <w:name w:val="footnote text"/>
    <w:basedOn w:val="Normal"/>
    <w:link w:val="FootnoteTextChar"/>
    <w:uiPriority w:val="99"/>
    <w:unhideWhenUsed/>
    <w:qFormat/>
    <w:rsid w:val="003D04EF"/>
    <w:pPr>
      <w:spacing w:after="0" w:line="240" w:lineRule="auto"/>
    </w:pPr>
    <w:rPr>
      <w:rFonts w:asciiTheme="minorHAnsi" w:hAnsiTheme="minorHAnsi"/>
      <w:sz w:val="20"/>
    </w:rPr>
  </w:style>
  <w:style w:type="character" w:customStyle="1" w:styleId="FootnoteTextChar">
    <w:name w:val="Footnote Text Char"/>
    <w:basedOn w:val="DefaultParagraphFont"/>
    <w:link w:val="FootnoteText"/>
    <w:uiPriority w:val="99"/>
    <w:qFormat/>
    <w:rsid w:val="003D04EF"/>
    <w:rPr>
      <w:sz w:val="20"/>
    </w:rPr>
  </w:style>
  <w:style w:type="character" w:styleId="FootnoteReference">
    <w:name w:val="footnote reference"/>
    <w:basedOn w:val="DefaultParagraphFont"/>
    <w:link w:val="FootnotesymbolCarZchn"/>
    <w:uiPriority w:val="99"/>
    <w:unhideWhenUsed/>
    <w:qFormat/>
    <w:rsid w:val="003D04EF"/>
    <w:rPr>
      <w:vertAlign w:val="superscript"/>
    </w:rPr>
  </w:style>
  <w:style w:type="character" w:styleId="Hyperlink">
    <w:name w:val="Hyperlink"/>
    <w:basedOn w:val="DefaultParagraphFont"/>
    <w:uiPriority w:val="99"/>
    <w:unhideWhenUsed/>
    <w:qFormat/>
    <w:rPr>
      <w:color w:val="0563C1" w:themeColor="hyperlink"/>
      <w:u w:val="single"/>
    </w:rPr>
  </w:style>
  <w:style w:type="character" w:styleId="FollowedHyperlink">
    <w:name w:val="FollowedHyperlink"/>
    <w:basedOn w:val="DefaultParagraphFont"/>
    <w:uiPriority w:val="99"/>
    <w:semiHidden/>
    <w:unhideWhenUsed/>
    <w:rsid w:val="00345C72"/>
    <w:rPr>
      <w:color w:val="954F72" w:themeColor="followedHyperlink"/>
      <w:u w:val="single"/>
    </w:rPr>
  </w:style>
  <w:style w:type="paragraph" w:customStyle="1" w:styleId="Footnote">
    <w:name w:val="Footnote"/>
    <w:basedOn w:val="FootnoteText"/>
    <w:qFormat/>
    <w:rsid w:val="001B11AC"/>
    <w:rPr>
      <w:rFonts w:ascii="Times New Roman" w:hAnsi="Times New Roman"/>
    </w:rPr>
  </w:style>
  <w:style w:type="paragraph" w:styleId="Revision">
    <w:name w:val="Revision"/>
    <w:hidden/>
    <w:uiPriority w:val="99"/>
    <w:semiHidden/>
    <w:rsid w:val="007A6B91"/>
    <w:pPr>
      <w:spacing w:after="0" w:line="240" w:lineRule="auto"/>
    </w:pPr>
    <w:rPr>
      <w:rFonts w:ascii="Times New Roman" w:hAnsi="Times New Roman"/>
    </w:rPr>
  </w:style>
  <w:style w:type="table" w:styleId="TableGrid">
    <w:name w:val="Table Grid"/>
    <w:basedOn w:val="TableNormal"/>
    <w:uiPriority w:val="39"/>
    <w:rsid w:val="00D34D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D1C0C"/>
    <w:pPr>
      <w:spacing w:after="200" w:line="240" w:lineRule="auto"/>
    </w:pPr>
    <w:rPr>
      <w:i/>
      <w:color w:val="44546A" w:themeColor="text2"/>
      <w:sz w:val="18"/>
    </w:rPr>
  </w:style>
  <w:style w:type="paragraph" w:styleId="EndnoteText">
    <w:name w:val="endnote text"/>
    <w:basedOn w:val="Normal"/>
    <w:link w:val="EndnoteTextChar"/>
    <w:uiPriority w:val="99"/>
    <w:semiHidden/>
    <w:unhideWhenUsed/>
    <w:rsid w:val="00484B82"/>
    <w:pPr>
      <w:spacing w:after="0" w:line="240" w:lineRule="auto"/>
    </w:pPr>
    <w:rPr>
      <w:sz w:val="20"/>
    </w:rPr>
  </w:style>
  <w:style w:type="character" w:customStyle="1" w:styleId="EndnoteTextChar">
    <w:name w:val="Endnote Text Char"/>
    <w:basedOn w:val="DefaultParagraphFont"/>
    <w:link w:val="EndnoteText"/>
    <w:uiPriority w:val="99"/>
    <w:semiHidden/>
    <w:rsid w:val="00484B82"/>
    <w:rPr>
      <w:rFonts w:ascii="Times New Roman" w:hAnsi="Times New Roman"/>
      <w:sz w:val="20"/>
    </w:rPr>
  </w:style>
  <w:style w:type="character" w:styleId="EndnoteReference">
    <w:name w:val="endnote reference"/>
    <w:basedOn w:val="DefaultParagraphFont"/>
    <w:uiPriority w:val="99"/>
    <w:semiHidden/>
    <w:unhideWhenUsed/>
    <w:rsid w:val="00484B82"/>
    <w:rPr>
      <w:vertAlign w:val="superscript"/>
    </w:rPr>
  </w:style>
  <w:style w:type="character" w:customStyle="1" w:styleId="ListParagraphChar">
    <w:name w:val="List Paragraph Char"/>
    <w:basedOn w:val="DefaultParagraphFont"/>
    <w:link w:val="ListParagraph"/>
    <w:uiPriority w:val="34"/>
    <w:locked/>
    <w:rsid w:val="00F12988"/>
    <w:rPr>
      <w:rFonts w:ascii="Times New Roman" w:hAnsi="Times New Roman"/>
    </w:rPr>
  </w:style>
  <w:style w:type="character" w:customStyle="1" w:styleId="UnresolvedMention1">
    <w:name w:val="Unresolved Mention1"/>
    <w:basedOn w:val="DefaultParagraphFont"/>
    <w:uiPriority w:val="99"/>
    <w:semiHidden/>
    <w:unhideWhenUsed/>
    <w:rsid w:val="00C458E7"/>
    <w:rPr>
      <w:color w:val="605E5C"/>
      <w:shd w:val="clear" w:color="auto" w:fill="E1DFDD"/>
    </w:rPr>
  </w:style>
  <w:style w:type="paragraph" w:customStyle="1" w:styleId="ep-wysiwigparagraph">
    <w:name w:val="ep-wysiwig_paragraph"/>
    <w:basedOn w:val="Normal"/>
    <w:rsid w:val="00DA777F"/>
    <w:pPr>
      <w:spacing w:before="100" w:beforeAutospacing="1" w:after="100" w:afterAutospacing="1" w:line="240" w:lineRule="auto"/>
    </w:pPr>
    <w:rPr>
      <w:rFonts w:ascii="Calibri" w:hAnsi="Calibri" w:cs="Calibri"/>
    </w:rPr>
  </w:style>
  <w:style w:type="character" w:customStyle="1" w:styleId="Mention1">
    <w:name w:val="Mention1"/>
    <w:basedOn w:val="DefaultParagraphFont"/>
    <w:uiPriority w:val="99"/>
    <w:unhideWhenUsed/>
    <w:rsid w:val="00154422"/>
    <w:rPr>
      <w:color w:val="2B579A"/>
      <w:shd w:val="clear" w:color="auto" w:fill="E6E6E6"/>
    </w:rPr>
  </w:style>
  <w:style w:type="paragraph" w:customStyle="1" w:styleId="FootnotesymbolCarZchn">
    <w:name w:val="Footnote symbol Car Zchn"/>
    <w:basedOn w:val="Normal"/>
    <w:link w:val="FootnoteReference"/>
    <w:uiPriority w:val="99"/>
    <w:qFormat/>
    <w:rsid w:val="00456A31"/>
    <w:pPr>
      <w:spacing w:line="240" w:lineRule="exact"/>
      <w:jc w:val="both"/>
    </w:pPr>
    <w:rPr>
      <w:rFonts w:asciiTheme="minorHAnsi" w:hAnsiTheme="minorHAnsi"/>
      <w:sz w:val="22"/>
      <w:vertAlign w:val="superscript"/>
    </w:rPr>
  </w:style>
  <w:style w:type="paragraph" w:customStyle="1" w:styleId="paragraph">
    <w:name w:val="paragraph"/>
    <w:basedOn w:val="Normal"/>
    <w:rsid w:val="00456A31"/>
    <w:pPr>
      <w:spacing w:before="100" w:beforeAutospacing="1" w:after="100" w:afterAutospacing="1" w:line="240" w:lineRule="auto"/>
    </w:pPr>
    <w:rPr>
      <w:rFonts w:eastAsia="Times New Roman" w:cs="Times New Roman"/>
    </w:rPr>
  </w:style>
  <w:style w:type="character" w:customStyle="1" w:styleId="normaltextrun">
    <w:name w:val="normaltextrun"/>
    <w:basedOn w:val="DefaultParagraphFont"/>
    <w:rsid w:val="00456A31"/>
  </w:style>
  <w:style w:type="character" w:customStyle="1" w:styleId="eop">
    <w:name w:val="eop"/>
    <w:basedOn w:val="DefaultParagraphFont"/>
    <w:rsid w:val="000422D1"/>
  </w:style>
  <w:style w:type="character" w:customStyle="1" w:styleId="Mention10">
    <w:name w:val="Mention10"/>
    <w:basedOn w:val="DefaultParagraphFont"/>
    <w:uiPriority w:val="99"/>
    <w:unhideWhenUsed/>
    <w:rsid w:val="00BE57DC"/>
    <w:rPr>
      <w:color w:val="2B579A"/>
      <w:shd w:val="clear" w:color="auto" w:fill="E6E6E6"/>
    </w:rPr>
  </w:style>
  <w:style w:type="character" w:customStyle="1" w:styleId="UnresolvedMention2">
    <w:name w:val="Unresolved Mention2"/>
    <w:basedOn w:val="DefaultParagraphFont"/>
    <w:uiPriority w:val="99"/>
    <w:semiHidden/>
    <w:unhideWhenUsed/>
    <w:rsid w:val="00BE57DC"/>
    <w:rPr>
      <w:color w:val="605E5C"/>
      <w:shd w:val="clear" w:color="auto" w:fill="E1DFDD"/>
    </w:rPr>
  </w:style>
  <w:style w:type="character" w:customStyle="1" w:styleId="UnresolvedMention3">
    <w:name w:val="Unresolved Mention3"/>
    <w:basedOn w:val="DefaultParagraphFont"/>
    <w:uiPriority w:val="99"/>
    <w:unhideWhenUsed/>
    <w:rsid w:val="00D75BCF"/>
    <w:rPr>
      <w:color w:val="605E5C"/>
      <w:shd w:val="clear" w:color="auto" w:fill="E1DFDD"/>
    </w:rPr>
  </w:style>
  <w:style w:type="character" w:customStyle="1" w:styleId="Mention2">
    <w:name w:val="Mention2"/>
    <w:basedOn w:val="DefaultParagraphFont"/>
    <w:uiPriority w:val="99"/>
    <w:unhideWhenUsed/>
    <w:rsid w:val="00D75BCF"/>
    <w:rPr>
      <w:color w:val="2B579A"/>
      <w:shd w:val="clear" w:color="auto" w:fill="E1DFDD"/>
    </w:rPr>
  </w:style>
  <w:style w:type="character" w:customStyle="1" w:styleId="UnresolvedMention4">
    <w:name w:val="Unresolved Mention4"/>
    <w:basedOn w:val="DefaultParagraphFont"/>
    <w:uiPriority w:val="99"/>
    <w:semiHidden/>
    <w:unhideWhenUsed/>
    <w:rsid w:val="009366E0"/>
    <w:rPr>
      <w:color w:val="605E5C"/>
      <w:shd w:val="clear" w:color="auto" w:fill="E1DFDD"/>
    </w:rPr>
  </w:style>
  <w:style w:type="character" w:customStyle="1" w:styleId="Mention3">
    <w:name w:val="Mention3"/>
    <w:basedOn w:val="DefaultParagraphFont"/>
    <w:uiPriority w:val="99"/>
    <w:unhideWhenUsed/>
    <w:rsid w:val="00DC6A2B"/>
    <w:rPr>
      <w:color w:val="2B579A"/>
      <w:shd w:val="clear" w:color="auto" w:fill="E1DFDD"/>
    </w:rPr>
  </w:style>
  <w:style w:type="character" w:customStyle="1" w:styleId="UnresolvedMention5">
    <w:name w:val="Unresolved Mention5"/>
    <w:basedOn w:val="DefaultParagraphFont"/>
    <w:uiPriority w:val="99"/>
    <w:semiHidden/>
    <w:unhideWhenUsed/>
    <w:rsid w:val="009B73B2"/>
    <w:rPr>
      <w:color w:val="605E5C"/>
      <w:shd w:val="clear" w:color="auto" w:fill="E1DFDD"/>
    </w:rPr>
  </w:style>
  <w:style w:type="character" w:customStyle="1" w:styleId="UnresolvedMention6">
    <w:name w:val="Unresolved Mention6"/>
    <w:basedOn w:val="DefaultParagraphFont"/>
    <w:uiPriority w:val="99"/>
    <w:semiHidden/>
    <w:unhideWhenUsed/>
    <w:rsid w:val="001D01E6"/>
    <w:rPr>
      <w:color w:val="605E5C"/>
      <w:shd w:val="clear" w:color="auto" w:fill="E1DFDD"/>
    </w:rPr>
  </w:style>
  <w:style w:type="character" w:customStyle="1" w:styleId="markedcontent">
    <w:name w:val="markedcontent"/>
    <w:basedOn w:val="DefaultParagraphFont"/>
    <w:rsid w:val="009C2A5E"/>
  </w:style>
  <w:style w:type="character" w:customStyle="1" w:styleId="highlight">
    <w:name w:val="highlight"/>
    <w:basedOn w:val="DefaultParagraphFont"/>
    <w:rsid w:val="009C2A5E"/>
  </w:style>
  <w:style w:type="character" w:customStyle="1" w:styleId="UnresolvedMention7">
    <w:name w:val="Unresolved Mention7"/>
    <w:basedOn w:val="DefaultParagraphFont"/>
    <w:uiPriority w:val="99"/>
    <w:semiHidden/>
    <w:unhideWhenUsed/>
    <w:rsid w:val="003533AB"/>
    <w:rPr>
      <w:color w:val="605E5C"/>
      <w:shd w:val="clear" w:color="auto" w:fill="E1DFDD"/>
    </w:rPr>
  </w:style>
  <w:style w:type="character" w:customStyle="1" w:styleId="UnresolvedMention8">
    <w:name w:val="Unresolved Mention8"/>
    <w:basedOn w:val="DefaultParagraphFont"/>
    <w:uiPriority w:val="99"/>
    <w:semiHidden/>
    <w:unhideWhenUsed/>
    <w:rsid w:val="00AC52DC"/>
    <w:rPr>
      <w:color w:val="605E5C"/>
      <w:shd w:val="clear" w:color="auto" w:fill="E1DFDD"/>
    </w:rPr>
  </w:style>
  <w:style w:type="paragraph" w:customStyle="1" w:styleId="Disclaimer">
    <w:name w:val="Disclaimer"/>
    <w:basedOn w:val="Normal"/>
    <w:rsid w:val="00B446D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rPr>
  </w:style>
  <w:style w:type="paragraph" w:customStyle="1" w:styleId="SecurityMarking">
    <w:name w:val="SecurityMarking"/>
    <w:basedOn w:val="Normal"/>
    <w:rsid w:val="00B446D6"/>
    <w:pPr>
      <w:spacing w:after="0" w:line="276" w:lineRule="auto"/>
      <w:ind w:left="5103"/>
    </w:pPr>
    <w:rPr>
      <w:rFonts w:cs="Times New Roman"/>
      <w:sz w:val="28"/>
    </w:rPr>
  </w:style>
  <w:style w:type="paragraph" w:customStyle="1" w:styleId="DateMarking">
    <w:name w:val="DateMarking"/>
    <w:basedOn w:val="Normal"/>
    <w:rsid w:val="00B446D6"/>
    <w:pPr>
      <w:spacing w:after="0" w:line="276" w:lineRule="auto"/>
      <w:ind w:left="5103"/>
    </w:pPr>
    <w:rPr>
      <w:rFonts w:cs="Times New Roman"/>
      <w:i/>
      <w:sz w:val="28"/>
    </w:rPr>
  </w:style>
  <w:style w:type="paragraph" w:customStyle="1" w:styleId="ReleasableTo">
    <w:name w:val="ReleasableTo"/>
    <w:basedOn w:val="Normal"/>
    <w:rsid w:val="00B446D6"/>
    <w:pPr>
      <w:spacing w:after="0" w:line="276" w:lineRule="auto"/>
      <w:ind w:left="5103"/>
    </w:pPr>
    <w:rPr>
      <w:rFonts w:cs="Times New Roman"/>
      <w:i/>
      <w:sz w:val="28"/>
    </w:rPr>
  </w:style>
  <w:style w:type="character" w:customStyle="1" w:styleId="UnresolvedMention9">
    <w:name w:val="Unresolved Mention9"/>
    <w:basedOn w:val="DefaultParagraphFont"/>
    <w:uiPriority w:val="99"/>
    <w:semiHidden/>
    <w:unhideWhenUsed/>
    <w:rsid w:val="00A068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40065">
      <w:bodyDiv w:val="1"/>
      <w:marLeft w:val="0"/>
      <w:marRight w:val="0"/>
      <w:marTop w:val="0"/>
      <w:marBottom w:val="0"/>
      <w:divBdr>
        <w:top w:val="none" w:sz="0" w:space="0" w:color="auto"/>
        <w:left w:val="none" w:sz="0" w:space="0" w:color="auto"/>
        <w:bottom w:val="none" w:sz="0" w:space="0" w:color="auto"/>
        <w:right w:val="none" w:sz="0" w:space="0" w:color="auto"/>
      </w:divBdr>
    </w:div>
    <w:div w:id="17243492">
      <w:bodyDiv w:val="1"/>
      <w:marLeft w:val="0"/>
      <w:marRight w:val="0"/>
      <w:marTop w:val="0"/>
      <w:marBottom w:val="0"/>
      <w:divBdr>
        <w:top w:val="none" w:sz="0" w:space="0" w:color="auto"/>
        <w:left w:val="none" w:sz="0" w:space="0" w:color="auto"/>
        <w:bottom w:val="none" w:sz="0" w:space="0" w:color="auto"/>
        <w:right w:val="none" w:sz="0" w:space="0" w:color="auto"/>
      </w:divBdr>
    </w:div>
    <w:div w:id="39091511">
      <w:bodyDiv w:val="1"/>
      <w:marLeft w:val="0"/>
      <w:marRight w:val="0"/>
      <w:marTop w:val="0"/>
      <w:marBottom w:val="0"/>
      <w:divBdr>
        <w:top w:val="none" w:sz="0" w:space="0" w:color="auto"/>
        <w:left w:val="none" w:sz="0" w:space="0" w:color="auto"/>
        <w:bottom w:val="none" w:sz="0" w:space="0" w:color="auto"/>
        <w:right w:val="none" w:sz="0" w:space="0" w:color="auto"/>
      </w:divBdr>
    </w:div>
    <w:div w:id="87123530">
      <w:bodyDiv w:val="1"/>
      <w:marLeft w:val="0"/>
      <w:marRight w:val="0"/>
      <w:marTop w:val="0"/>
      <w:marBottom w:val="0"/>
      <w:divBdr>
        <w:top w:val="none" w:sz="0" w:space="0" w:color="auto"/>
        <w:left w:val="none" w:sz="0" w:space="0" w:color="auto"/>
        <w:bottom w:val="none" w:sz="0" w:space="0" w:color="auto"/>
        <w:right w:val="none" w:sz="0" w:space="0" w:color="auto"/>
      </w:divBdr>
    </w:div>
    <w:div w:id="121506860">
      <w:bodyDiv w:val="1"/>
      <w:marLeft w:val="0"/>
      <w:marRight w:val="0"/>
      <w:marTop w:val="0"/>
      <w:marBottom w:val="0"/>
      <w:divBdr>
        <w:top w:val="none" w:sz="0" w:space="0" w:color="auto"/>
        <w:left w:val="none" w:sz="0" w:space="0" w:color="auto"/>
        <w:bottom w:val="none" w:sz="0" w:space="0" w:color="auto"/>
        <w:right w:val="none" w:sz="0" w:space="0" w:color="auto"/>
      </w:divBdr>
    </w:div>
    <w:div w:id="148450873">
      <w:bodyDiv w:val="1"/>
      <w:marLeft w:val="0"/>
      <w:marRight w:val="0"/>
      <w:marTop w:val="0"/>
      <w:marBottom w:val="0"/>
      <w:divBdr>
        <w:top w:val="none" w:sz="0" w:space="0" w:color="auto"/>
        <w:left w:val="none" w:sz="0" w:space="0" w:color="auto"/>
        <w:bottom w:val="none" w:sz="0" w:space="0" w:color="auto"/>
        <w:right w:val="none" w:sz="0" w:space="0" w:color="auto"/>
      </w:divBdr>
    </w:div>
    <w:div w:id="203979356">
      <w:bodyDiv w:val="1"/>
      <w:marLeft w:val="0"/>
      <w:marRight w:val="0"/>
      <w:marTop w:val="0"/>
      <w:marBottom w:val="0"/>
      <w:divBdr>
        <w:top w:val="none" w:sz="0" w:space="0" w:color="auto"/>
        <w:left w:val="none" w:sz="0" w:space="0" w:color="auto"/>
        <w:bottom w:val="none" w:sz="0" w:space="0" w:color="auto"/>
        <w:right w:val="none" w:sz="0" w:space="0" w:color="auto"/>
      </w:divBdr>
    </w:div>
    <w:div w:id="238489375">
      <w:bodyDiv w:val="1"/>
      <w:marLeft w:val="0"/>
      <w:marRight w:val="0"/>
      <w:marTop w:val="0"/>
      <w:marBottom w:val="0"/>
      <w:divBdr>
        <w:top w:val="none" w:sz="0" w:space="0" w:color="auto"/>
        <w:left w:val="none" w:sz="0" w:space="0" w:color="auto"/>
        <w:bottom w:val="none" w:sz="0" w:space="0" w:color="auto"/>
        <w:right w:val="none" w:sz="0" w:space="0" w:color="auto"/>
      </w:divBdr>
    </w:div>
    <w:div w:id="251471455">
      <w:bodyDiv w:val="1"/>
      <w:marLeft w:val="0"/>
      <w:marRight w:val="0"/>
      <w:marTop w:val="0"/>
      <w:marBottom w:val="0"/>
      <w:divBdr>
        <w:top w:val="none" w:sz="0" w:space="0" w:color="auto"/>
        <w:left w:val="none" w:sz="0" w:space="0" w:color="auto"/>
        <w:bottom w:val="none" w:sz="0" w:space="0" w:color="auto"/>
        <w:right w:val="none" w:sz="0" w:space="0" w:color="auto"/>
      </w:divBdr>
    </w:div>
    <w:div w:id="274949544">
      <w:bodyDiv w:val="1"/>
      <w:marLeft w:val="0"/>
      <w:marRight w:val="0"/>
      <w:marTop w:val="0"/>
      <w:marBottom w:val="0"/>
      <w:divBdr>
        <w:top w:val="none" w:sz="0" w:space="0" w:color="auto"/>
        <w:left w:val="none" w:sz="0" w:space="0" w:color="auto"/>
        <w:bottom w:val="none" w:sz="0" w:space="0" w:color="auto"/>
        <w:right w:val="none" w:sz="0" w:space="0" w:color="auto"/>
      </w:divBdr>
    </w:div>
    <w:div w:id="283657753">
      <w:bodyDiv w:val="1"/>
      <w:marLeft w:val="0"/>
      <w:marRight w:val="0"/>
      <w:marTop w:val="0"/>
      <w:marBottom w:val="0"/>
      <w:divBdr>
        <w:top w:val="none" w:sz="0" w:space="0" w:color="auto"/>
        <w:left w:val="none" w:sz="0" w:space="0" w:color="auto"/>
        <w:bottom w:val="none" w:sz="0" w:space="0" w:color="auto"/>
        <w:right w:val="none" w:sz="0" w:space="0" w:color="auto"/>
      </w:divBdr>
    </w:div>
    <w:div w:id="310139020">
      <w:bodyDiv w:val="1"/>
      <w:marLeft w:val="0"/>
      <w:marRight w:val="0"/>
      <w:marTop w:val="0"/>
      <w:marBottom w:val="0"/>
      <w:divBdr>
        <w:top w:val="none" w:sz="0" w:space="0" w:color="auto"/>
        <w:left w:val="none" w:sz="0" w:space="0" w:color="auto"/>
        <w:bottom w:val="none" w:sz="0" w:space="0" w:color="auto"/>
        <w:right w:val="none" w:sz="0" w:space="0" w:color="auto"/>
      </w:divBdr>
    </w:div>
    <w:div w:id="348143410">
      <w:bodyDiv w:val="1"/>
      <w:marLeft w:val="0"/>
      <w:marRight w:val="0"/>
      <w:marTop w:val="0"/>
      <w:marBottom w:val="0"/>
      <w:divBdr>
        <w:top w:val="none" w:sz="0" w:space="0" w:color="auto"/>
        <w:left w:val="none" w:sz="0" w:space="0" w:color="auto"/>
        <w:bottom w:val="none" w:sz="0" w:space="0" w:color="auto"/>
        <w:right w:val="none" w:sz="0" w:space="0" w:color="auto"/>
      </w:divBdr>
    </w:div>
    <w:div w:id="357319660">
      <w:bodyDiv w:val="1"/>
      <w:marLeft w:val="0"/>
      <w:marRight w:val="0"/>
      <w:marTop w:val="0"/>
      <w:marBottom w:val="0"/>
      <w:divBdr>
        <w:top w:val="none" w:sz="0" w:space="0" w:color="auto"/>
        <w:left w:val="none" w:sz="0" w:space="0" w:color="auto"/>
        <w:bottom w:val="none" w:sz="0" w:space="0" w:color="auto"/>
        <w:right w:val="none" w:sz="0" w:space="0" w:color="auto"/>
      </w:divBdr>
    </w:div>
    <w:div w:id="362438019">
      <w:bodyDiv w:val="1"/>
      <w:marLeft w:val="0"/>
      <w:marRight w:val="0"/>
      <w:marTop w:val="0"/>
      <w:marBottom w:val="0"/>
      <w:divBdr>
        <w:top w:val="none" w:sz="0" w:space="0" w:color="auto"/>
        <w:left w:val="none" w:sz="0" w:space="0" w:color="auto"/>
        <w:bottom w:val="none" w:sz="0" w:space="0" w:color="auto"/>
        <w:right w:val="none" w:sz="0" w:space="0" w:color="auto"/>
      </w:divBdr>
    </w:div>
    <w:div w:id="386489156">
      <w:bodyDiv w:val="1"/>
      <w:marLeft w:val="0"/>
      <w:marRight w:val="0"/>
      <w:marTop w:val="0"/>
      <w:marBottom w:val="0"/>
      <w:divBdr>
        <w:top w:val="none" w:sz="0" w:space="0" w:color="auto"/>
        <w:left w:val="none" w:sz="0" w:space="0" w:color="auto"/>
        <w:bottom w:val="none" w:sz="0" w:space="0" w:color="auto"/>
        <w:right w:val="none" w:sz="0" w:space="0" w:color="auto"/>
      </w:divBdr>
    </w:div>
    <w:div w:id="392849391">
      <w:bodyDiv w:val="1"/>
      <w:marLeft w:val="0"/>
      <w:marRight w:val="0"/>
      <w:marTop w:val="0"/>
      <w:marBottom w:val="0"/>
      <w:divBdr>
        <w:top w:val="none" w:sz="0" w:space="0" w:color="auto"/>
        <w:left w:val="none" w:sz="0" w:space="0" w:color="auto"/>
        <w:bottom w:val="none" w:sz="0" w:space="0" w:color="auto"/>
        <w:right w:val="none" w:sz="0" w:space="0" w:color="auto"/>
      </w:divBdr>
    </w:div>
    <w:div w:id="465977576">
      <w:bodyDiv w:val="1"/>
      <w:marLeft w:val="0"/>
      <w:marRight w:val="0"/>
      <w:marTop w:val="0"/>
      <w:marBottom w:val="0"/>
      <w:divBdr>
        <w:top w:val="none" w:sz="0" w:space="0" w:color="auto"/>
        <w:left w:val="none" w:sz="0" w:space="0" w:color="auto"/>
        <w:bottom w:val="none" w:sz="0" w:space="0" w:color="auto"/>
        <w:right w:val="none" w:sz="0" w:space="0" w:color="auto"/>
      </w:divBdr>
      <w:divsChild>
        <w:div w:id="34741450">
          <w:marLeft w:val="446"/>
          <w:marRight w:val="0"/>
          <w:marTop w:val="100"/>
          <w:marBottom w:val="0"/>
          <w:divBdr>
            <w:top w:val="none" w:sz="0" w:space="0" w:color="auto"/>
            <w:left w:val="none" w:sz="0" w:space="0" w:color="auto"/>
            <w:bottom w:val="none" w:sz="0" w:space="0" w:color="auto"/>
            <w:right w:val="none" w:sz="0" w:space="0" w:color="auto"/>
          </w:divBdr>
        </w:div>
        <w:div w:id="81993050">
          <w:marLeft w:val="446"/>
          <w:marRight w:val="0"/>
          <w:marTop w:val="100"/>
          <w:marBottom w:val="0"/>
          <w:divBdr>
            <w:top w:val="none" w:sz="0" w:space="0" w:color="auto"/>
            <w:left w:val="none" w:sz="0" w:space="0" w:color="auto"/>
            <w:bottom w:val="none" w:sz="0" w:space="0" w:color="auto"/>
            <w:right w:val="none" w:sz="0" w:space="0" w:color="auto"/>
          </w:divBdr>
        </w:div>
        <w:div w:id="422266949">
          <w:marLeft w:val="446"/>
          <w:marRight w:val="0"/>
          <w:marTop w:val="100"/>
          <w:marBottom w:val="0"/>
          <w:divBdr>
            <w:top w:val="none" w:sz="0" w:space="0" w:color="auto"/>
            <w:left w:val="none" w:sz="0" w:space="0" w:color="auto"/>
            <w:bottom w:val="none" w:sz="0" w:space="0" w:color="auto"/>
            <w:right w:val="none" w:sz="0" w:space="0" w:color="auto"/>
          </w:divBdr>
        </w:div>
        <w:div w:id="648362964">
          <w:marLeft w:val="446"/>
          <w:marRight w:val="0"/>
          <w:marTop w:val="100"/>
          <w:marBottom w:val="0"/>
          <w:divBdr>
            <w:top w:val="none" w:sz="0" w:space="0" w:color="auto"/>
            <w:left w:val="none" w:sz="0" w:space="0" w:color="auto"/>
            <w:bottom w:val="none" w:sz="0" w:space="0" w:color="auto"/>
            <w:right w:val="none" w:sz="0" w:space="0" w:color="auto"/>
          </w:divBdr>
        </w:div>
        <w:div w:id="733435430">
          <w:marLeft w:val="446"/>
          <w:marRight w:val="0"/>
          <w:marTop w:val="100"/>
          <w:marBottom w:val="0"/>
          <w:divBdr>
            <w:top w:val="none" w:sz="0" w:space="0" w:color="auto"/>
            <w:left w:val="none" w:sz="0" w:space="0" w:color="auto"/>
            <w:bottom w:val="none" w:sz="0" w:space="0" w:color="auto"/>
            <w:right w:val="none" w:sz="0" w:space="0" w:color="auto"/>
          </w:divBdr>
        </w:div>
        <w:div w:id="776557298">
          <w:marLeft w:val="446"/>
          <w:marRight w:val="0"/>
          <w:marTop w:val="100"/>
          <w:marBottom w:val="0"/>
          <w:divBdr>
            <w:top w:val="none" w:sz="0" w:space="0" w:color="auto"/>
            <w:left w:val="none" w:sz="0" w:space="0" w:color="auto"/>
            <w:bottom w:val="none" w:sz="0" w:space="0" w:color="auto"/>
            <w:right w:val="none" w:sz="0" w:space="0" w:color="auto"/>
          </w:divBdr>
        </w:div>
        <w:div w:id="1266503631">
          <w:marLeft w:val="446"/>
          <w:marRight w:val="0"/>
          <w:marTop w:val="100"/>
          <w:marBottom w:val="0"/>
          <w:divBdr>
            <w:top w:val="none" w:sz="0" w:space="0" w:color="auto"/>
            <w:left w:val="none" w:sz="0" w:space="0" w:color="auto"/>
            <w:bottom w:val="none" w:sz="0" w:space="0" w:color="auto"/>
            <w:right w:val="none" w:sz="0" w:space="0" w:color="auto"/>
          </w:divBdr>
        </w:div>
        <w:div w:id="1564565538">
          <w:marLeft w:val="446"/>
          <w:marRight w:val="0"/>
          <w:marTop w:val="100"/>
          <w:marBottom w:val="0"/>
          <w:divBdr>
            <w:top w:val="none" w:sz="0" w:space="0" w:color="auto"/>
            <w:left w:val="none" w:sz="0" w:space="0" w:color="auto"/>
            <w:bottom w:val="none" w:sz="0" w:space="0" w:color="auto"/>
            <w:right w:val="none" w:sz="0" w:space="0" w:color="auto"/>
          </w:divBdr>
        </w:div>
      </w:divsChild>
    </w:div>
    <w:div w:id="491678387">
      <w:bodyDiv w:val="1"/>
      <w:marLeft w:val="0"/>
      <w:marRight w:val="0"/>
      <w:marTop w:val="0"/>
      <w:marBottom w:val="0"/>
      <w:divBdr>
        <w:top w:val="none" w:sz="0" w:space="0" w:color="auto"/>
        <w:left w:val="none" w:sz="0" w:space="0" w:color="auto"/>
        <w:bottom w:val="none" w:sz="0" w:space="0" w:color="auto"/>
        <w:right w:val="none" w:sz="0" w:space="0" w:color="auto"/>
      </w:divBdr>
    </w:div>
    <w:div w:id="496649230">
      <w:bodyDiv w:val="1"/>
      <w:marLeft w:val="0"/>
      <w:marRight w:val="0"/>
      <w:marTop w:val="0"/>
      <w:marBottom w:val="0"/>
      <w:divBdr>
        <w:top w:val="none" w:sz="0" w:space="0" w:color="auto"/>
        <w:left w:val="none" w:sz="0" w:space="0" w:color="auto"/>
        <w:bottom w:val="none" w:sz="0" w:space="0" w:color="auto"/>
        <w:right w:val="none" w:sz="0" w:space="0" w:color="auto"/>
      </w:divBdr>
    </w:div>
    <w:div w:id="511917673">
      <w:bodyDiv w:val="1"/>
      <w:marLeft w:val="0"/>
      <w:marRight w:val="0"/>
      <w:marTop w:val="0"/>
      <w:marBottom w:val="0"/>
      <w:divBdr>
        <w:top w:val="none" w:sz="0" w:space="0" w:color="auto"/>
        <w:left w:val="none" w:sz="0" w:space="0" w:color="auto"/>
        <w:bottom w:val="none" w:sz="0" w:space="0" w:color="auto"/>
        <w:right w:val="none" w:sz="0" w:space="0" w:color="auto"/>
      </w:divBdr>
    </w:div>
    <w:div w:id="542401762">
      <w:bodyDiv w:val="1"/>
      <w:marLeft w:val="0"/>
      <w:marRight w:val="0"/>
      <w:marTop w:val="0"/>
      <w:marBottom w:val="0"/>
      <w:divBdr>
        <w:top w:val="none" w:sz="0" w:space="0" w:color="auto"/>
        <w:left w:val="none" w:sz="0" w:space="0" w:color="auto"/>
        <w:bottom w:val="none" w:sz="0" w:space="0" w:color="auto"/>
        <w:right w:val="none" w:sz="0" w:space="0" w:color="auto"/>
      </w:divBdr>
    </w:div>
    <w:div w:id="573465685">
      <w:bodyDiv w:val="1"/>
      <w:marLeft w:val="0"/>
      <w:marRight w:val="0"/>
      <w:marTop w:val="0"/>
      <w:marBottom w:val="0"/>
      <w:divBdr>
        <w:top w:val="none" w:sz="0" w:space="0" w:color="auto"/>
        <w:left w:val="none" w:sz="0" w:space="0" w:color="auto"/>
        <w:bottom w:val="none" w:sz="0" w:space="0" w:color="auto"/>
        <w:right w:val="none" w:sz="0" w:space="0" w:color="auto"/>
      </w:divBdr>
    </w:div>
    <w:div w:id="607204413">
      <w:bodyDiv w:val="1"/>
      <w:marLeft w:val="0"/>
      <w:marRight w:val="0"/>
      <w:marTop w:val="0"/>
      <w:marBottom w:val="0"/>
      <w:divBdr>
        <w:top w:val="none" w:sz="0" w:space="0" w:color="auto"/>
        <w:left w:val="none" w:sz="0" w:space="0" w:color="auto"/>
        <w:bottom w:val="none" w:sz="0" w:space="0" w:color="auto"/>
        <w:right w:val="none" w:sz="0" w:space="0" w:color="auto"/>
      </w:divBdr>
    </w:div>
    <w:div w:id="607472615">
      <w:bodyDiv w:val="1"/>
      <w:marLeft w:val="0"/>
      <w:marRight w:val="0"/>
      <w:marTop w:val="0"/>
      <w:marBottom w:val="0"/>
      <w:divBdr>
        <w:top w:val="none" w:sz="0" w:space="0" w:color="auto"/>
        <w:left w:val="none" w:sz="0" w:space="0" w:color="auto"/>
        <w:bottom w:val="none" w:sz="0" w:space="0" w:color="auto"/>
        <w:right w:val="none" w:sz="0" w:space="0" w:color="auto"/>
      </w:divBdr>
    </w:div>
    <w:div w:id="622226536">
      <w:bodyDiv w:val="1"/>
      <w:marLeft w:val="0"/>
      <w:marRight w:val="0"/>
      <w:marTop w:val="0"/>
      <w:marBottom w:val="0"/>
      <w:divBdr>
        <w:top w:val="none" w:sz="0" w:space="0" w:color="auto"/>
        <w:left w:val="none" w:sz="0" w:space="0" w:color="auto"/>
        <w:bottom w:val="none" w:sz="0" w:space="0" w:color="auto"/>
        <w:right w:val="none" w:sz="0" w:space="0" w:color="auto"/>
      </w:divBdr>
    </w:div>
    <w:div w:id="626592264">
      <w:bodyDiv w:val="1"/>
      <w:marLeft w:val="0"/>
      <w:marRight w:val="0"/>
      <w:marTop w:val="0"/>
      <w:marBottom w:val="0"/>
      <w:divBdr>
        <w:top w:val="none" w:sz="0" w:space="0" w:color="auto"/>
        <w:left w:val="none" w:sz="0" w:space="0" w:color="auto"/>
        <w:bottom w:val="none" w:sz="0" w:space="0" w:color="auto"/>
        <w:right w:val="none" w:sz="0" w:space="0" w:color="auto"/>
      </w:divBdr>
    </w:div>
    <w:div w:id="675546527">
      <w:bodyDiv w:val="1"/>
      <w:marLeft w:val="0"/>
      <w:marRight w:val="0"/>
      <w:marTop w:val="0"/>
      <w:marBottom w:val="0"/>
      <w:divBdr>
        <w:top w:val="none" w:sz="0" w:space="0" w:color="auto"/>
        <w:left w:val="none" w:sz="0" w:space="0" w:color="auto"/>
        <w:bottom w:val="none" w:sz="0" w:space="0" w:color="auto"/>
        <w:right w:val="none" w:sz="0" w:space="0" w:color="auto"/>
      </w:divBdr>
    </w:div>
    <w:div w:id="764888101">
      <w:bodyDiv w:val="1"/>
      <w:marLeft w:val="0"/>
      <w:marRight w:val="0"/>
      <w:marTop w:val="0"/>
      <w:marBottom w:val="0"/>
      <w:divBdr>
        <w:top w:val="none" w:sz="0" w:space="0" w:color="auto"/>
        <w:left w:val="none" w:sz="0" w:space="0" w:color="auto"/>
        <w:bottom w:val="none" w:sz="0" w:space="0" w:color="auto"/>
        <w:right w:val="none" w:sz="0" w:space="0" w:color="auto"/>
      </w:divBdr>
    </w:div>
    <w:div w:id="829447159">
      <w:bodyDiv w:val="1"/>
      <w:marLeft w:val="0"/>
      <w:marRight w:val="0"/>
      <w:marTop w:val="0"/>
      <w:marBottom w:val="0"/>
      <w:divBdr>
        <w:top w:val="none" w:sz="0" w:space="0" w:color="auto"/>
        <w:left w:val="none" w:sz="0" w:space="0" w:color="auto"/>
        <w:bottom w:val="none" w:sz="0" w:space="0" w:color="auto"/>
        <w:right w:val="none" w:sz="0" w:space="0" w:color="auto"/>
      </w:divBdr>
    </w:div>
    <w:div w:id="832719205">
      <w:bodyDiv w:val="1"/>
      <w:marLeft w:val="0"/>
      <w:marRight w:val="0"/>
      <w:marTop w:val="0"/>
      <w:marBottom w:val="0"/>
      <w:divBdr>
        <w:top w:val="none" w:sz="0" w:space="0" w:color="auto"/>
        <w:left w:val="none" w:sz="0" w:space="0" w:color="auto"/>
        <w:bottom w:val="none" w:sz="0" w:space="0" w:color="auto"/>
        <w:right w:val="none" w:sz="0" w:space="0" w:color="auto"/>
      </w:divBdr>
    </w:div>
    <w:div w:id="890532949">
      <w:bodyDiv w:val="1"/>
      <w:marLeft w:val="0"/>
      <w:marRight w:val="0"/>
      <w:marTop w:val="0"/>
      <w:marBottom w:val="0"/>
      <w:divBdr>
        <w:top w:val="none" w:sz="0" w:space="0" w:color="auto"/>
        <w:left w:val="none" w:sz="0" w:space="0" w:color="auto"/>
        <w:bottom w:val="none" w:sz="0" w:space="0" w:color="auto"/>
        <w:right w:val="none" w:sz="0" w:space="0" w:color="auto"/>
      </w:divBdr>
    </w:div>
    <w:div w:id="920990983">
      <w:bodyDiv w:val="1"/>
      <w:marLeft w:val="0"/>
      <w:marRight w:val="0"/>
      <w:marTop w:val="0"/>
      <w:marBottom w:val="0"/>
      <w:divBdr>
        <w:top w:val="none" w:sz="0" w:space="0" w:color="auto"/>
        <w:left w:val="none" w:sz="0" w:space="0" w:color="auto"/>
        <w:bottom w:val="none" w:sz="0" w:space="0" w:color="auto"/>
        <w:right w:val="none" w:sz="0" w:space="0" w:color="auto"/>
      </w:divBdr>
    </w:div>
    <w:div w:id="921375154">
      <w:bodyDiv w:val="1"/>
      <w:marLeft w:val="0"/>
      <w:marRight w:val="0"/>
      <w:marTop w:val="0"/>
      <w:marBottom w:val="0"/>
      <w:divBdr>
        <w:top w:val="none" w:sz="0" w:space="0" w:color="auto"/>
        <w:left w:val="none" w:sz="0" w:space="0" w:color="auto"/>
        <w:bottom w:val="none" w:sz="0" w:space="0" w:color="auto"/>
        <w:right w:val="none" w:sz="0" w:space="0" w:color="auto"/>
      </w:divBdr>
    </w:div>
    <w:div w:id="926618944">
      <w:bodyDiv w:val="1"/>
      <w:marLeft w:val="0"/>
      <w:marRight w:val="0"/>
      <w:marTop w:val="0"/>
      <w:marBottom w:val="0"/>
      <w:divBdr>
        <w:top w:val="none" w:sz="0" w:space="0" w:color="auto"/>
        <w:left w:val="none" w:sz="0" w:space="0" w:color="auto"/>
        <w:bottom w:val="none" w:sz="0" w:space="0" w:color="auto"/>
        <w:right w:val="none" w:sz="0" w:space="0" w:color="auto"/>
      </w:divBdr>
    </w:div>
    <w:div w:id="929200771">
      <w:bodyDiv w:val="1"/>
      <w:marLeft w:val="0"/>
      <w:marRight w:val="0"/>
      <w:marTop w:val="0"/>
      <w:marBottom w:val="0"/>
      <w:divBdr>
        <w:top w:val="none" w:sz="0" w:space="0" w:color="auto"/>
        <w:left w:val="none" w:sz="0" w:space="0" w:color="auto"/>
        <w:bottom w:val="none" w:sz="0" w:space="0" w:color="auto"/>
        <w:right w:val="none" w:sz="0" w:space="0" w:color="auto"/>
      </w:divBdr>
    </w:div>
    <w:div w:id="946086204">
      <w:bodyDiv w:val="1"/>
      <w:marLeft w:val="0"/>
      <w:marRight w:val="0"/>
      <w:marTop w:val="0"/>
      <w:marBottom w:val="0"/>
      <w:divBdr>
        <w:top w:val="none" w:sz="0" w:space="0" w:color="auto"/>
        <w:left w:val="none" w:sz="0" w:space="0" w:color="auto"/>
        <w:bottom w:val="none" w:sz="0" w:space="0" w:color="auto"/>
        <w:right w:val="none" w:sz="0" w:space="0" w:color="auto"/>
      </w:divBdr>
    </w:div>
    <w:div w:id="1018578327">
      <w:bodyDiv w:val="1"/>
      <w:marLeft w:val="0"/>
      <w:marRight w:val="0"/>
      <w:marTop w:val="0"/>
      <w:marBottom w:val="0"/>
      <w:divBdr>
        <w:top w:val="none" w:sz="0" w:space="0" w:color="auto"/>
        <w:left w:val="none" w:sz="0" w:space="0" w:color="auto"/>
        <w:bottom w:val="none" w:sz="0" w:space="0" w:color="auto"/>
        <w:right w:val="none" w:sz="0" w:space="0" w:color="auto"/>
      </w:divBdr>
    </w:div>
    <w:div w:id="1027604540">
      <w:bodyDiv w:val="1"/>
      <w:marLeft w:val="0"/>
      <w:marRight w:val="0"/>
      <w:marTop w:val="0"/>
      <w:marBottom w:val="0"/>
      <w:divBdr>
        <w:top w:val="none" w:sz="0" w:space="0" w:color="auto"/>
        <w:left w:val="none" w:sz="0" w:space="0" w:color="auto"/>
        <w:bottom w:val="none" w:sz="0" w:space="0" w:color="auto"/>
        <w:right w:val="none" w:sz="0" w:space="0" w:color="auto"/>
      </w:divBdr>
    </w:div>
    <w:div w:id="1082525715">
      <w:bodyDiv w:val="1"/>
      <w:marLeft w:val="0"/>
      <w:marRight w:val="0"/>
      <w:marTop w:val="0"/>
      <w:marBottom w:val="0"/>
      <w:divBdr>
        <w:top w:val="none" w:sz="0" w:space="0" w:color="auto"/>
        <w:left w:val="none" w:sz="0" w:space="0" w:color="auto"/>
        <w:bottom w:val="none" w:sz="0" w:space="0" w:color="auto"/>
        <w:right w:val="none" w:sz="0" w:space="0" w:color="auto"/>
      </w:divBdr>
    </w:div>
    <w:div w:id="1105341070">
      <w:bodyDiv w:val="1"/>
      <w:marLeft w:val="0"/>
      <w:marRight w:val="0"/>
      <w:marTop w:val="0"/>
      <w:marBottom w:val="0"/>
      <w:divBdr>
        <w:top w:val="none" w:sz="0" w:space="0" w:color="auto"/>
        <w:left w:val="none" w:sz="0" w:space="0" w:color="auto"/>
        <w:bottom w:val="none" w:sz="0" w:space="0" w:color="auto"/>
        <w:right w:val="none" w:sz="0" w:space="0" w:color="auto"/>
      </w:divBdr>
    </w:div>
    <w:div w:id="1144736744">
      <w:bodyDiv w:val="1"/>
      <w:marLeft w:val="0"/>
      <w:marRight w:val="0"/>
      <w:marTop w:val="0"/>
      <w:marBottom w:val="0"/>
      <w:divBdr>
        <w:top w:val="none" w:sz="0" w:space="0" w:color="auto"/>
        <w:left w:val="none" w:sz="0" w:space="0" w:color="auto"/>
        <w:bottom w:val="none" w:sz="0" w:space="0" w:color="auto"/>
        <w:right w:val="none" w:sz="0" w:space="0" w:color="auto"/>
      </w:divBdr>
    </w:div>
    <w:div w:id="1157652666">
      <w:bodyDiv w:val="1"/>
      <w:marLeft w:val="0"/>
      <w:marRight w:val="0"/>
      <w:marTop w:val="0"/>
      <w:marBottom w:val="0"/>
      <w:divBdr>
        <w:top w:val="none" w:sz="0" w:space="0" w:color="auto"/>
        <w:left w:val="none" w:sz="0" w:space="0" w:color="auto"/>
        <w:bottom w:val="none" w:sz="0" w:space="0" w:color="auto"/>
        <w:right w:val="none" w:sz="0" w:space="0" w:color="auto"/>
      </w:divBdr>
    </w:div>
    <w:div w:id="1161656417">
      <w:bodyDiv w:val="1"/>
      <w:marLeft w:val="0"/>
      <w:marRight w:val="0"/>
      <w:marTop w:val="0"/>
      <w:marBottom w:val="0"/>
      <w:divBdr>
        <w:top w:val="none" w:sz="0" w:space="0" w:color="auto"/>
        <w:left w:val="none" w:sz="0" w:space="0" w:color="auto"/>
        <w:bottom w:val="none" w:sz="0" w:space="0" w:color="auto"/>
        <w:right w:val="none" w:sz="0" w:space="0" w:color="auto"/>
      </w:divBdr>
    </w:div>
    <w:div w:id="1172717358">
      <w:bodyDiv w:val="1"/>
      <w:marLeft w:val="0"/>
      <w:marRight w:val="0"/>
      <w:marTop w:val="0"/>
      <w:marBottom w:val="0"/>
      <w:divBdr>
        <w:top w:val="none" w:sz="0" w:space="0" w:color="auto"/>
        <w:left w:val="none" w:sz="0" w:space="0" w:color="auto"/>
        <w:bottom w:val="none" w:sz="0" w:space="0" w:color="auto"/>
        <w:right w:val="none" w:sz="0" w:space="0" w:color="auto"/>
      </w:divBdr>
    </w:div>
    <w:div w:id="1180200174">
      <w:bodyDiv w:val="1"/>
      <w:marLeft w:val="0"/>
      <w:marRight w:val="0"/>
      <w:marTop w:val="0"/>
      <w:marBottom w:val="0"/>
      <w:divBdr>
        <w:top w:val="none" w:sz="0" w:space="0" w:color="auto"/>
        <w:left w:val="none" w:sz="0" w:space="0" w:color="auto"/>
        <w:bottom w:val="none" w:sz="0" w:space="0" w:color="auto"/>
        <w:right w:val="none" w:sz="0" w:space="0" w:color="auto"/>
      </w:divBdr>
    </w:div>
    <w:div w:id="1194197368">
      <w:bodyDiv w:val="1"/>
      <w:marLeft w:val="0"/>
      <w:marRight w:val="0"/>
      <w:marTop w:val="0"/>
      <w:marBottom w:val="0"/>
      <w:divBdr>
        <w:top w:val="none" w:sz="0" w:space="0" w:color="auto"/>
        <w:left w:val="none" w:sz="0" w:space="0" w:color="auto"/>
        <w:bottom w:val="none" w:sz="0" w:space="0" w:color="auto"/>
        <w:right w:val="none" w:sz="0" w:space="0" w:color="auto"/>
      </w:divBdr>
    </w:div>
    <w:div w:id="1217349973">
      <w:bodyDiv w:val="1"/>
      <w:marLeft w:val="0"/>
      <w:marRight w:val="0"/>
      <w:marTop w:val="0"/>
      <w:marBottom w:val="0"/>
      <w:divBdr>
        <w:top w:val="none" w:sz="0" w:space="0" w:color="auto"/>
        <w:left w:val="none" w:sz="0" w:space="0" w:color="auto"/>
        <w:bottom w:val="none" w:sz="0" w:space="0" w:color="auto"/>
        <w:right w:val="none" w:sz="0" w:space="0" w:color="auto"/>
      </w:divBdr>
    </w:div>
    <w:div w:id="1232689733">
      <w:bodyDiv w:val="1"/>
      <w:marLeft w:val="0"/>
      <w:marRight w:val="0"/>
      <w:marTop w:val="0"/>
      <w:marBottom w:val="0"/>
      <w:divBdr>
        <w:top w:val="none" w:sz="0" w:space="0" w:color="auto"/>
        <w:left w:val="none" w:sz="0" w:space="0" w:color="auto"/>
        <w:bottom w:val="none" w:sz="0" w:space="0" w:color="auto"/>
        <w:right w:val="none" w:sz="0" w:space="0" w:color="auto"/>
      </w:divBdr>
    </w:div>
    <w:div w:id="1244216363">
      <w:bodyDiv w:val="1"/>
      <w:marLeft w:val="0"/>
      <w:marRight w:val="0"/>
      <w:marTop w:val="0"/>
      <w:marBottom w:val="0"/>
      <w:divBdr>
        <w:top w:val="none" w:sz="0" w:space="0" w:color="auto"/>
        <w:left w:val="none" w:sz="0" w:space="0" w:color="auto"/>
        <w:bottom w:val="none" w:sz="0" w:space="0" w:color="auto"/>
        <w:right w:val="none" w:sz="0" w:space="0" w:color="auto"/>
      </w:divBdr>
    </w:div>
    <w:div w:id="1287348395">
      <w:bodyDiv w:val="1"/>
      <w:marLeft w:val="0"/>
      <w:marRight w:val="0"/>
      <w:marTop w:val="0"/>
      <w:marBottom w:val="0"/>
      <w:divBdr>
        <w:top w:val="none" w:sz="0" w:space="0" w:color="auto"/>
        <w:left w:val="none" w:sz="0" w:space="0" w:color="auto"/>
        <w:bottom w:val="none" w:sz="0" w:space="0" w:color="auto"/>
        <w:right w:val="none" w:sz="0" w:space="0" w:color="auto"/>
      </w:divBdr>
    </w:div>
    <w:div w:id="1295940977">
      <w:bodyDiv w:val="1"/>
      <w:marLeft w:val="0"/>
      <w:marRight w:val="0"/>
      <w:marTop w:val="0"/>
      <w:marBottom w:val="0"/>
      <w:divBdr>
        <w:top w:val="none" w:sz="0" w:space="0" w:color="auto"/>
        <w:left w:val="none" w:sz="0" w:space="0" w:color="auto"/>
        <w:bottom w:val="none" w:sz="0" w:space="0" w:color="auto"/>
        <w:right w:val="none" w:sz="0" w:space="0" w:color="auto"/>
      </w:divBdr>
    </w:div>
    <w:div w:id="1310937845">
      <w:bodyDiv w:val="1"/>
      <w:marLeft w:val="0"/>
      <w:marRight w:val="0"/>
      <w:marTop w:val="0"/>
      <w:marBottom w:val="0"/>
      <w:divBdr>
        <w:top w:val="none" w:sz="0" w:space="0" w:color="auto"/>
        <w:left w:val="none" w:sz="0" w:space="0" w:color="auto"/>
        <w:bottom w:val="none" w:sz="0" w:space="0" w:color="auto"/>
        <w:right w:val="none" w:sz="0" w:space="0" w:color="auto"/>
      </w:divBdr>
    </w:div>
    <w:div w:id="1334988414">
      <w:bodyDiv w:val="1"/>
      <w:marLeft w:val="0"/>
      <w:marRight w:val="0"/>
      <w:marTop w:val="0"/>
      <w:marBottom w:val="0"/>
      <w:divBdr>
        <w:top w:val="none" w:sz="0" w:space="0" w:color="auto"/>
        <w:left w:val="none" w:sz="0" w:space="0" w:color="auto"/>
        <w:bottom w:val="none" w:sz="0" w:space="0" w:color="auto"/>
        <w:right w:val="none" w:sz="0" w:space="0" w:color="auto"/>
      </w:divBdr>
    </w:div>
    <w:div w:id="1392077723">
      <w:bodyDiv w:val="1"/>
      <w:marLeft w:val="0"/>
      <w:marRight w:val="0"/>
      <w:marTop w:val="0"/>
      <w:marBottom w:val="0"/>
      <w:divBdr>
        <w:top w:val="none" w:sz="0" w:space="0" w:color="auto"/>
        <w:left w:val="none" w:sz="0" w:space="0" w:color="auto"/>
        <w:bottom w:val="none" w:sz="0" w:space="0" w:color="auto"/>
        <w:right w:val="none" w:sz="0" w:space="0" w:color="auto"/>
      </w:divBdr>
    </w:div>
    <w:div w:id="1403060414">
      <w:bodyDiv w:val="1"/>
      <w:marLeft w:val="0"/>
      <w:marRight w:val="0"/>
      <w:marTop w:val="0"/>
      <w:marBottom w:val="0"/>
      <w:divBdr>
        <w:top w:val="none" w:sz="0" w:space="0" w:color="auto"/>
        <w:left w:val="none" w:sz="0" w:space="0" w:color="auto"/>
        <w:bottom w:val="none" w:sz="0" w:space="0" w:color="auto"/>
        <w:right w:val="none" w:sz="0" w:space="0" w:color="auto"/>
      </w:divBdr>
    </w:div>
    <w:div w:id="1408500997">
      <w:bodyDiv w:val="1"/>
      <w:marLeft w:val="0"/>
      <w:marRight w:val="0"/>
      <w:marTop w:val="0"/>
      <w:marBottom w:val="0"/>
      <w:divBdr>
        <w:top w:val="none" w:sz="0" w:space="0" w:color="auto"/>
        <w:left w:val="none" w:sz="0" w:space="0" w:color="auto"/>
        <w:bottom w:val="none" w:sz="0" w:space="0" w:color="auto"/>
        <w:right w:val="none" w:sz="0" w:space="0" w:color="auto"/>
      </w:divBdr>
    </w:div>
    <w:div w:id="1410077314">
      <w:bodyDiv w:val="1"/>
      <w:marLeft w:val="0"/>
      <w:marRight w:val="0"/>
      <w:marTop w:val="0"/>
      <w:marBottom w:val="0"/>
      <w:divBdr>
        <w:top w:val="none" w:sz="0" w:space="0" w:color="auto"/>
        <w:left w:val="none" w:sz="0" w:space="0" w:color="auto"/>
        <w:bottom w:val="none" w:sz="0" w:space="0" w:color="auto"/>
        <w:right w:val="none" w:sz="0" w:space="0" w:color="auto"/>
      </w:divBdr>
    </w:div>
    <w:div w:id="1427114571">
      <w:bodyDiv w:val="1"/>
      <w:marLeft w:val="0"/>
      <w:marRight w:val="0"/>
      <w:marTop w:val="0"/>
      <w:marBottom w:val="0"/>
      <w:divBdr>
        <w:top w:val="none" w:sz="0" w:space="0" w:color="auto"/>
        <w:left w:val="none" w:sz="0" w:space="0" w:color="auto"/>
        <w:bottom w:val="none" w:sz="0" w:space="0" w:color="auto"/>
        <w:right w:val="none" w:sz="0" w:space="0" w:color="auto"/>
      </w:divBdr>
    </w:div>
    <w:div w:id="1447700252">
      <w:bodyDiv w:val="1"/>
      <w:marLeft w:val="0"/>
      <w:marRight w:val="0"/>
      <w:marTop w:val="0"/>
      <w:marBottom w:val="0"/>
      <w:divBdr>
        <w:top w:val="none" w:sz="0" w:space="0" w:color="auto"/>
        <w:left w:val="none" w:sz="0" w:space="0" w:color="auto"/>
        <w:bottom w:val="none" w:sz="0" w:space="0" w:color="auto"/>
        <w:right w:val="none" w:sz="0" w:space="0" w:color="auto"/>
      </w:divBdr>
    </w:div>
    <w:div w:id="1449592385">
      <w:bodyDiv w:val="1"/>
      <w:marLeft w:val="0"/>
      <w:marRight w:val="0"/>
      <w:marTop w:val="0"/>
      <w:marBottom w:val="0"/>
      <w:divBdr>
        <w:top w:val="none" w:sz="0" w:space="0" w:color="auto"/>
        <w:left w:val="none" w:sz="0" w:space="0" w:color="auto"/>
        <w:bottom w:val="none" w:sz="0" w:space="0" w:color="auto"/>
        <w:right w:val="none" w:sz="0" w:space="0" w:color="auto"/>
      </w:divBdr>
    </w:div>
    <w:div w:id="1459684349">
      <w:bodyDiv w:val="1"/>
      <w:marLeft w:val="0"/>
      <w:marRight w:val="0"/>
      <w:marTop w:val="0"/>
      <w:marBottom w:val="0"/>
      <w:divBdr>
        <w:top w:val="none" w:sz="0" w:space="0" w:color="auto"/>
        <w:left w:val="none" w:sz="0" w:space="0" w:color="auto"/>
        <w:bottom w:val="none" w:sz="0" w:space="0" w:color="auto"/>
        <w:right w:val="none" w:sz="0" w:space="0" w:color="auto"/>
      </w:divBdr>
    </w:div>
    <w:div w:id="1460997423">
      <w:bodyDiv w:val="1"/>
      <w:marLeft w:val="0"/>
      <w:marRight w:val="0"/>
      <w:marTop w:val="0"/>
      <w:marBottom w:val="0"/>
      <w:divBdr>
        <w:top w:val="none" w:sz="0" w:space="0" w:color="auto"/>
        <w:left w:val="none" w:sz="0" w:space="0" w:color="auto"/>
        <w:bottom w:val="none" w:sz="0" w:space="0" w:color="auto"/>
        <w:right w:val="none" w:sz="0" w:space="0" w:color="auto"/>
      </w:divBdr>
    </w:div>
    <w:div w:id="1465199124">
      <w:bodyDiv w:val="1"/>
      <w:marLeft w:val="0"/>
      <w:marRight w:val="0"/>
      <w:marTop w:val="0"/>
      <w:marBottom w:val="0"/>
      <w:divBdr>
        <w:top w:val="none" w:sz="0" w:space="0" w:color="auto"/>
        <w:left w:val="none" w:sz="0" w:space="0" w:color="auto"/>
        <w:bottom w:val="none" w:sz="0" w:space="0" w:color="auto"/>
        <w:right w:val="none" w:sz="0" w:space="0" w:color="auto"/>
      </w:divBdr>
    </w:div>
    <w:div w:id="1473518743">
      <w:bodyDiv w:val="1"/>
      <w:marLeft w:val="0"/>
      <w:marRight w:val="0"/>
      <w:marTop w:val="0"/>
      <w:marBottom w:val="0"/>
      <w:divBdr>
        <w:top w:val="none" w:sz="0" w:space="0" w:color="auto"/>
        <w:left w:val="none" w:sz="0" w:space="0" w:color="auto"/>
        <w:bottom w:val="none" w:sz="0" w:space="0" w:color="auto"/>
        <w:right w:val="none" w:sz="0" w:space="0" w:color="auto"/>
      </w:divBdr>
    </w:div>
    <w:div w:id="1485124258">
      <w:bodyDiv w:val="1"/>
      <w:marLeft w:val="0"/>
      <w:marRight w:val="0"/>
      <w:marTop w:val="0"/>
      <w:marBottom w:val="0"/>
      <w:divBdr>
        <w:top w:val="none" w:sz="0" w:space="0" w:color="auto"/>
        <w:left w:val="none" w:sz="0" w:space="0" w:color="auto"/>
        <w:bottom w:val="none" w:sz="0" w:space="0" w:color="auto"/>
        <w:right w:val="none" w:sz="0" w:space="0" w:color="auto"/>
      </w:divBdr>
    </w:div>
    <w:div w:id="1507864072">
      <w:bodyDiv w:val="1"/>
      <w:marLeft w:val="0"/>
      <w:marRight w:val="0"/>
      <w:marTop w:val="0"/>
      <w:marBottom w:val="0"/>
      <w:divBdr>
        <w:top w:val="none" w:sz="0" w:space="0" w:color="auto"/>
        <w:left w:val="none" w:sz="0" w:space="0" w:color="auto"/>
        <w:bottom w:val="none" w:sz="0" w:space="0" w:color="auto"/>
        <w:right w:val="none" w:sz="0" w:space="0" w:color="auto"/>
      </w:divBdr>
    </w:div>
    <w:div w:id="1514413652">
      <w:bodyDiv w:val="1"/>
      <w:marLeft w:val="0"/>
      <w:marRight w:val="0"/>
      <w:marTop w:val="0"/>
      <w:marBottom w:val="0"/>
      <w:divBdr>
        <w:top w:val="none" w:sz="0" w:space="0" w:color="auto"/>
        <w:left w:val="none" w:sz="0" w:space="0" w:color="auto"/>
        <w:bottom w:val="none" w:sz="0" w:space="0" w:color="auto"/>
        <w:right w:val="none" w:sz="0" w:space="0" w:color="auto"/>
      </w:divBdr>
    </w:div>
    <w:div w:id="1542593968">
      <w:bodyDiv w:val="1"/>
      <w:marLeft w:val="0"/>
      <w:marRight w:val="0"/>
      <w:marTop w:val="0"/>
      <w:marBottom w:val="0"/>
      <w:divBdr>
        <w:top w:val="none" w:sz="0" w:space="0" w:color="auto"/>
        <w:left w:val="none" w:sz="0" w:space="0" w:color="auto"/>
        <w:bottom w:val="none" w:sz="0" w:space="0" w:color="auto"/>
        <w:right w:val="none" w:sz="0" w:space="0" w:color="auto"/>
      </w:divBdr>
    </w:div>
    <w:div w:id="1565334560">
      <w:bodyDiv w:val="1"/>
      <w:marLeft w:val="0"/>
      <w:marRight w:val="0"/>
      <w:marTop w:val="0"/>
      <w:marBottom w:val="0"/>
      <w:divBdr>
        <w:top w:val="none" w:sz="0" w:space="0" w:color="auto"/>
        <w:left w:val="none" w:sz="0" w:space="0" w:color="auto"/>
        <w:bottom w:val="none" w:sz="0" w:space="0" w:color="auto"/>
        <w:right w:val="none" w:sz="0" w:space="0" w:color="auto"/>
      </w:divBdr>
    </w:div>
    <w:div w:id="1591694342">
      <w:bodyDiv w:val="1"/>
      <w:marLeft w:val="0"/>
      <w:marRight w:val="0"/>
      <w:marTop w:val="0"/>
      <w:marBottom w:val="0"/>
      <w:divBdr>
        <w:top w:val="none" w:sz="0" w:space="0" w:color="auto"/>
        <w:left w:val="none" w:sz="0" w:space="0" w:color="auto"/>
        <w:bottom w:val="none" w:sz="0" w:space="0" w:color="auto"/>
        <w:right w:val="none" w:sz="0" w:space="0" w:color="auto"/>
      </w:divBdr>
    </w:div>
    <w:div w:id="1603493882">
      <w:bodyDiv w:val="1"/>
      <w:marLeft w:val="0"/>
      <w:marRight w:val="0"/>
      <w:marTop w:val="0"/>
      <w:marBottom w:val="0"/>
      <w:divBdr>
        <w:top w:val="none" w:sz="0" w:space="0" w:color="auto"/>
        <w:left w:val="none" w:sz="0" w:space="0" w:color="auto"/>
        <w:bottom w:val="none" w:sz="0" w:space="0" w:color="auto"/>
        <w:right w:val="none" w:sz="0" w:space="0" w:color="auto"/>
      </w:divBdr>
    </w:div>
    <w:div w:id="1608122498">
      <w:bodyDiv w:val="1"/>
      <w:marLeft w:val="0"/>
      <w:marRight w:val="0"/>
      <w:marTop w:val="0"/>
      <w:marBottom w:val="0"/>
      <w:divBdr>
        <w:top w:val="none" w:sz="0" w:space="0" w:color="auto"/>
        <w:left w:val="none" w:sz="0" w:space="0" w:color="auto"/>
        <w:bottom w:val="none" w:sz="0" w:space="0" w:color="auto"/>
        <w:right w:val="none" w:sz="0" w:space="0" w:color="auto"/>
      </w:divBdr>
    </w:div>
    <w:div w:id="1623029499">
      <w:bodyDiv w:val="1"/>
      <w:marLeft w:val="0"/>
      <w:marRight w:val="0"/>
      <w:marTop w:val="0"/>
      <w:marBottom w:val="0"/>
      <w:divBdr>
        <w:top w:val="none" w:sz="0" w:space="0" w:color="auto"/>
        <w:left w:val="none" w:sz="0" w:space="0" w:color="auto"/>
        <w:bottom w:val="none" w:sz="0" w:space="0" w:color="auto"/>
        <w:right w:val="none" w:sz="0" w:space="0" w:color="auto"/>
      </w:divBdr>
    </w:div>
    <w:div w:id="1698696120">
      <w:bodyDiv w:val="1"/>
      <w:marLeft w:val="0"/>
      <w:marRight w:val="0"/>
      <w:marTop w:val="0"/>
      <w:marBottom w:val="0"/>
      <w:divBdr>
        <w:top w:val="none" w:sz="0" w:space="0" w:color="auto"/>
        <w:left w:val="none" w:sz="0" w:space="0" w:color="auto"/>
        <w:bottom w:val="none" w:sz="0" w:space="0" w:color="auto"/>
        <w:right w:val="none" w:sz="0" w:space="0" w:color="auto"/>
      </w:divBdr>
    </w:div>
    <w:div w:id="1765372428">
      <w:bodyDiv w:val="1"/>
      <w:marLeft w:val="0"/>
      <w:marRight w:val="0"/>
      <w:marTop w:val="0"/>
      <w:marBottom w:val="0"/>
      <w:divBdr>
        <w:top w:val="none" w:sz="0" w:space="0" w:color="auto"/>
        <w:left w:val="none" w:sz="0" w:space="0" w:color="auto"/>
        <w:bottom w:val="none" w:sz="0" w:space="0" w:color="auto"/>
        <w:right w:val="none" w:sz="0" w:space="0" w:color="auto"/>
      </w:divBdr>
    </w:div>
    <w:div w:id="1847355921">
      <w:bodyDiv w:val="1"/>
      <w:marLeft w:val="0"/>
      <w:marRight w:val="0"/>
      <w:marTop w:val="0"/>
      <w:marBottom w:val="0"/>
      <w:divBdr>
        <w:top w:val="none" w:sz="0" w:space="0" w:color="auto"/>
        <w:left w:val="none" w:sz="0" w:space="0" w:color="auto"/>
        <w:bottom w:val="none" w:sz="0" w:space="0" w:color="auto"/>
        <w:right w:val="none" w:sz="0" w:space="0" w:color="auto"/>
      </w:divBdr>
    </w:div>
    <w:div w:id="1966621920">
      <w:bodyDiv w:val="1"/>
      <w:marLeft w:val="0"/>
      <w:marRight w:val="0"/>
      <w:marTop w:val="0"/>
      <w:marBottom w:val="0"/>
      <w:divBdr>
        <w:top w:val="none" w:sz="0" w:space="0" w:color="auto"/>
        <w:left w:val="none" w:sz="0" w:space="0" w:color="auto"/>
        <w:bottom w:val="none" w:sz="0" w:space="0" w:color="auto"/>
        <w:right w:val="none" w:sz="0" w:space="0" w:color="auto"/>
      </w:divBdr>
    </w:div>
    <w:div w:id="1975258949">
      <w:bodyDiv w:val="1"/>
      <w:marLeft w:val="0"/>
      <w:marRight w:val="0"/>
      <w:marTop w:val="0"/>
      <w:marBottom w:val="0"/>
      <w:divBdr>
        <w:top w:val="none" w:sz="0" w:space="0" w:color="auto"/>
        <w:left w:val="none" w:sz="0" w:space="0" w:color="auto"/>
        <w:bottom w:val="none" w:sz="0" w:space="0" w:color="auto"/>
        <w:right w:val="none" w:sz="0" w:space="0" w:color="auto"/>
      </w:divBdr>
    </w:div>
    <w:div w:id="1976138032">
      <w:bodyDiv w:val="1"/>
      <w:marLeft w:val="0"/>
      <w:marRight w:val="0"/>
      <w:marTop w:val="0"/>
      <w:marBottom w:val="0"/>
      <w:divBdr>
        <w:top w:val="none" w:sz="0" w:space="0" w:color="auto"/>
        <w:left w:val="none" w:sz="0" w:space="0" w:color="auto"/>
        <w:bottom w:val="none" w:sz="0" w:space="0" w:color="auto"/>
        <w:right w:val="none" w:sz="0" w:space="0" w:color="auto"/>
      </w:divBdr>
    </w:div>
    <w:div w:id="2029021292">
      <w:bodyDiv w:val="1"/>
      <w:marLeft w:val="0"/>
      <w:marRight w:val="0"/>
      <w:marTop w:val="0"/>
      <w:marBottom w:val="0"/>
      <w:divBdr>
        <w:top w:val="none" w:sz="0" w:space="0" w:color="auto"/>
        <w:left w:val="none" w:sz="0" w:space="0" w:color="auto"/>
        <w:bottom w:val="none" w:sz="0" w:space="0" w:color="auto"/>
        <w:right w:val="none" w:sz="0" w:space="0" w:color="auto"/>
      </w:divBdr>
    </w:div>
    <w:div w:id="2089187738">
      <w:bodyDiv w:val="1"/>
      <w:marLeft w:val="0"/>
      <w:marRight w:val="0"/>
      <w:marTop w:val="0"/>
      <w:marBottom w:val="0"/>
      <w:divBdr>
        <w:top w:val="none" w:sz="0" w:space="0" w:color="auto"/>
        <w:left w:val="none" w:sz="0" w:space="0" w:color="auto"/>
        <w:bottom w:val="none" w:sz="0" w:space="0" w:color="auto"/>
        <w:right w:val="none" w:sz="0" w:space="0" w:color="auto"/>
      </w:divBdr>
    </w:div>
    <w:div w:id="213424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ng.em.dk/news/2018/september/the-single-market-accounts-for-56-million-jobs-across-the-eu/" TargetMode="External"/><Relationship Id="rId13" Type="http://schemas.openxmlformats.org/officeDocument/2006/relationships/hyperlink" Target="https://civil-protection-humanitarian-aid.ec.europa.eu/what/civil-protection/eu-civil-protection-mechanism_en" TargetMode="External"/><Relationship Id="rId18" Type="http://schemas.openxmlformats.org/officeDocument/2006/relationships/hyperlink" Target="https://www.ema.europa.eu/en/human-regulatory/overview/public-health-threats/coronavirus-disease-covid-19/treatments-vaccines/covid-19-vaccines" TargetMode="External"/><Relationship Id="rId26" Type="http://schemas.openxmlformats.org/officeDocument/2006/relationships/hyperlink" Target="https://single-market-economy.ec.europa.eu/news/single-market-task-force-continues-tackle-barriers-single-market-2022-11-29_en" TargetMode="External"/><Relationship Id="rId3" Type="http://schemas.openxmlformats.org/officeDocument/2006/relationships/hyperlink" Target="https://single-market-scoreboard.ec.europa.eu/" TargetMode="External"/><Relationship Id="rId21" Type="http://schemas.openxmlformats.org/officeDocument/2006/relationships/hyperlink" Target="https://single-market-scoreboard.ec.europa.eu/enforcement-tools/transposition_en" TargetMode="External"/><Relationship Id="rId7" Type="http://schemas.openxmlformats.org/officeDocument/2006/relationships/hyperlink" Target="https://economy-finance.ec.europa.eu/publications/quantifying-economic-effects-single-market-structural-macromodel_en" TargetMode="External"/><Relationship Id="rId12" Type="http://schemas.openxmlformats.org/officeDocument/2006/relationships/hyperlink" Target="https://defence-industry-space.ec.europa.eu/action-plan-military-mobility-20_en" TargetMode="External"/><Relationship Id="rId17" Type="http://schemas.openxmlformats.org/officeDocument/2006/relationships/hyperlink" Target="https://www.ema.europa.eu/en/human-regulatory/overview/public-health-threats/coronavirus-disease-covid-19/treatments-vaccines/covid-19-vaccines" TargetMode="External"/><Relationship Id="rId25" Type="http://schemas.openxmlformats.org/officeDocument/2006/relationships/hyperlink" Target="https://single-market-economy.ec.europa.eu/publications/30-years-single-market-taking-stock-and-looking-ahead_en" TargetMode="External"/><Relationship Id="rId33" Type="http://schemas.openxmlformats.org/officeDocument/2006/relationships/hyperlink" Target="https://single-market-economy.ec.europa.eu/system/files/2023-01/ASMR%202023.pdf" TargetMode="External"/><Relationship Id="rId2" Type="http://schemas.openxmlformats.org/officeDocument/2006/relationships/hyperlink" Target="https://www.acer.europa.eu/events-and-engagement/news/press-release-acer-publishes-its-final-assessment-eu-wholesale" TargetMode="External"/><Relationship Id="rId16" Type="http://schemas.openxmlformats.org/officeDocument/2006/relationships/hyperlink" Target="https://european-union.europa.eu/principles-countries-history/key-facts-and-figures/economy_ro" TargetMode="External"/><Relationship Id="rId20" Type="http://schemas.openxmlformats.org/officeDocument/2006/relationships/hyperlink" Target="https://single-market-scoreboard.ec.europa.eu/enforcement-tools/transposition_en" TargetMode="External"/><Relationship Id="rId29" Type="http://schemas.openxmlformats.org/officeDocument/2006/relationships/hyperlink" Target="https://eur-lex.europa.eu/summary/RO/310304_1" TargetMode="External"/><Relationship Id="rId1" Type="http://schemas.openxmlformats.org/officeDocument/2006/relationships/hyperlink" Target="https://data.consilium.europa.eu/doc/document/ST-1-2023-INIT/ro/pdf" TargetMode="External"/><Relationship Id="rId6" Type="http://schemas.openxmlformats.org/officeDocument/2006/relationships/hyperlink" Target="https://ec.europa.eu/eurostat/web/products-eurostat-news/w/edn-20221206-1" TargetMode="External"/><Relationship Id="rId11" Type="http://schemas.openxmlformats.org/officeDocument/2006/relationships/hyperlink" Target="https://ec.europa.eu/commission/presscorner/detail/ro/ip_22_6374" TargetMode="External"/><Relationship Id="rId24" Type="http://schemas.openxmlformats.org/officeDocument/2006/relationships/hyperlink" Target="https://ec.europa.eu/commission/presscorner/detail/ro/ip_23_769" TargetMode="External"/><Relationship Id="rId32" Type="http://schemas.openxmlformats.org/officeDocument/2006/relationships/hyperlink" Target="https://taxation-customs.ec.europa.eu/taxation-1/value-added-tax-vat/vat-digital-age_en" TargetMode="External"/><Relationship Id="rId5" Type="http://schemas.openxmlformats.org/officeDocument/2006/relationships/hyperlink" Target="https://data.consilium.europa.eu/doc/document/PE-50-2022-INIT/ro/pdf" TargetMode="External"/><Relationship Id="rId15" Type="http://schemas.openxmlformats.org/officeDocument/2006/relationships/hyperlink" Target="https://ec.europa.eu/commission/presscorner/detail/ro/ip_23_1563" TargetMode="External"/><Relationship Id="rId23" Type="http://schemas.openxmlformats.org/officeDocument/2006/relationships/hyperlink" Target="https://ec.europa.eu/commission/presscorner/detail/ro/ip_23_769" TargetMode="External"/><Relationship Id="rId28" Type="http://schemas.openxmlformats.org/officeDocument/2006/relationships/hyperlink" Target="https://ec.europa.eu/solvit/_docs/2022/anniversary_report_web_en.pdf" TargetMode="External"/><Relationship Id="rId10" Type="http://schemas.openxmlformats.org/officeDocument/2006/relationships/hyperlink" Target="https://eures.ec.europa.eu/index_ro" TargetMode="External"/><Relationship Id="rId19" Type="http://schemas.openxmlformats.org/officeDocument/2006/relationships/hyperlink" Target="https://single-market-scoreboard.ec.europa.eu/" TargetMode="External"/><Relationship Id="rId31" Type="http://schemas.openxmlformats.org/officeDocument/2006/relationships/hyperlink" Target="https://www.epo.org/service-support/publications.html?pubid=162%23tab3" TargetMode="External"/><Relationship Id="rId4" Type="http://schemas.openxmlformats.org/officeDocument/2006/relationships/hyperlink" Target="https://commission.europa.eu/strategy-and-policy/priorities-2019-2024/europe-fit-digital-age/european-digital-identity_ro" TargetMode="External"/><Relationship Id="rId9" Type="http://schemas.openxmlformats.org/officeDocument/2006/relationships/hyperlink" Target="https://www.eesc.europa.eu/en/our-work/publications-other-work/publications/cross-border-services-internal-market-important-contribution-economic-and-social-cohesion" TargetMode="External"/><Relationship Id="rId14" Type="http://schemas.openxmlformats.org/officeDocument/2006/relationships/hyperlink" Target="https://single-market-economy.ec.europa.eu/publications/scan-supply-chain-alert-notification-monitoring-system_en" TargetMode="External"/><Relationship Id="rId22" Type="http://schemas.openxmlformats.org/officeDocument/2006/relationships/hyperlink" Target="https://single-market-economy.ec.europa.eu/system/files/2023-01/ASMR%202023.pdf" TargetMode="External"/><Relationship Id="rId27" Type="http://schemas.openxmlformats.org/officeDocument/2006/relationships/hyperlink" Target="https://ec.europa.eu/solvit/contact/index_ro.htm" TargetMode="External"/><Relationship Id="rId30" Type="http://schemas.openxmlformats.org/officeDocument/2006/relationships/hyperlink" Target="https://health.ec.europa.eu/ehealth-digital-health-and-care/european-health-data-space_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DB293-4F7E-40DA-9982-13829DFE7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8965</Words>
  <Characters>52539</Characters>
  <Application>Microsoft Office Word</Application>
  <DocSecurity>0</DocSecurity>
  <Lines>772</Lines>
  <Paragraphs>115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61389</CharactersWithSpaces>
  <SharedDoc>false</SharedDoc>
  <HLinks>
    <vt:vector size="186" baseType="variant">
      <vt:variant>
        <vt:i4>131166</vt:i4>
      </vt:variant>
      <vt:variant>
        <vt:i4>90</vt:i4>
      </vt:variant>
      <vt:variant>
        <vt:i4>0</vt:i4>
      </vt:variant>
      <vt:variant>
        <vt:i4>5</vt:i4>
      </vt:variant>
      <vt:variant>
        <vt:lpwstr>https://single-market-economy.ec.europa.eu/system/files/2023-01/ASMR 2023.pdf</vt:lpwstr>
      </vt:variant>
      <vt:variant>
        <vt:lpwstr/>
      </vt:variant>
      <vt:variant>
        <vt:i4>4063325</vt:i4>
      </vt:variant>
      <vt:variant>
        <vt:i4>87</vt:i4>
      </vt:variant>
      <vt:variant>
        <vt:i4>0</vt:i4>
      </vt:variant>
      <vt:variant>
        <vt:i4>5</vt:i4>
      </vt:variant>
      <vt:variant>
        <vt:lpwstr>https://taxation-customs.ec.europa.eu/taxation-1/value-added-tax-vat/vat-digital-age_en</vt:lpwstr>
      </vt:variant>
      <vt:variant>
        <vt:lpwstr/>
      </vt:variant>
      <vt:variant>
        <vt:i4>3473453</vt:i4>
      </vt:variant>
      <vt:variant>
        <vt:i4>84</vt:i4>
      </vt:variant>
      <vt:variant>
        <vt:i4>0</vt:i4>
      </vt:variant>
      <vt:variant>
        <vt:i4>5</vt:i4>
      </vt:variant>
      <vt:variant>
        <vt:lpwstr>https://www.epo.org/service-support/publications.html?pubid=162%23tab3</vt:lpwstr>
      </vt:variant>
      <vt:variant>
        <vt:lpwstr/>
      </vt:variant>
      <vt:variant>
        <vt:i4>2031743</vt:i4>
      </vt:variant>
      <vt:variant>
        <vt:i4>81</vt:i4>
      </vt:variant>
      <vt:variant>
        <vt:i4>0</vt:i4>
      </vt:variant>
      <vt:variant>
        <vt:i4>5</vt:i4>
      </vt:variant>
      <vt:variant>
        <vt:lpwstr>https://health.ec.europa.eu/ehealth-digital-health-and-care/european-health-data-space_en</vt:lpwstr>
      </vt:variant>
      <vt:variant>
        <vt:lpwstr/>
      </vt:variant>
      <vt:variant>
        <vt:i4>7602181</vt:i4>
      </vt:variant>
      <vt:variant>
        <vt:i4>78</vt:i4>
      </vt:variant>
      <vt:variant>
        <vt:i4>0</vt:i4>
      </vt:variant>
      <vt:variant>
        <vt:i4>5</vt:i4>
      </vt:variant>
      <vt:variant>
        <vt:lpwstr>https://eur-lex.europa.eu/summary/EN/310304_1</vt:lpwstr>
      </vt:variant>
      <vt:variant>
        <vt:lpwstr/>
      </vt:variant>
      <vt:variant>
        <vt:i4>4390979</vt:i4>
      </vt:variant>
      <vt:variant>
        <vt:i4>75</vt:i4>
      </vt:variant>
      <vt:variant>
        <vt:i4>0</vt:i4>
      </vt:variant>
      <vt:variant>
        <vt:i4>5</vt:i4>
      </vt:variant>
      <vt:variant>
        <vt:lpwstr>https://ec.europa.eu/solvit/_docs/2022/anniversary_report_web_en.pdf</vt:lpwstr>
      </vt:variant>
      <vt:variant>
        <vt:lpwstr/>
      </vt:variant>
      <vt:variant>
        <vt:i4>8323077</vt:i4>
      </vt:variant>
      <vt:variant>
        <vt:i4>72</vt:i4>
      </vt:variant>
      <vt:variant>
        <vt:i4>0</vt:i4>
      </vt:variant>
      <vt:variant>
        <vt:i4>5</vt:i4>
      </vt:variant>
      <vt:variant>
        <vt:lpwstr>https://ec.europa.eu/solvit/contact/index_en.htm</vt:lpwstr>
      </vt:variant>
      <vt:variant>
        <vt:lpwstr/>
      </vt:variant>
      <vt:variant>
        <vt:i4>4259889</vt:i4>
      </vt:variant>
      <vt:variant>
        <vt:i4>69</vt:i4>
      </vt:variant>
      <vt:variant>
        <vt:i4>0</vt:i4>
      </vt:variant>
      <vt:variant>
        <vt:i4>5</vt:i4>
      </vt:variant>
      <vt:variant>
        <vt:lpwstr>https://single-market-economy.ec.europa.eu/news/single-market-task-force-continues-tackle-barriers-single-market-2022-11-29_en</vt:lpwstr>
      </vt:variant>
      <vt:variant>
        <vt:lpwstr/>
      </vt:variant>
      <vt:variant>
        <vt:i4>2949147</vt:i4>
      </vt:variant>
      <vt:variant>
        <vt:i4>66</vt:i4>
      </vt:variant>
      <vt:variant>
        <vt:i4>0</vt:i4>
      </vt:variant>
      <vt:variant>
        <vt:i4>5</vt:i4>
      </vt:variant>
      <vt:variant>
        <vt:lpwstr>https://single-market-economy.ec.europa.eu/publications/30-years-single-market-taking-stock-and-looking-ahead_en</vt:lpwstr>
      </vt:variant>
      <vt:variant>
        <vt:lpwstr/>
      </vt:variant>
      <vt:variant>
        <vt:i4>4784211</vt:i4>
      </vt:variant>
      <vt:variant>
        <vt:i4>63</vt:i4>
      </vt:variant>
      <vt:variant>
        <vt:i4>0</vt:i4>
      </vt:variant>
      <vt:variant>
        <vt:i4>5</vt:i4>
      </vt:variant>
      <vt:variant>
        <vt:lpwstr>https://ec.europa.eu/commission/presscorner/detail/en/ip_23_769</vt:lpwstr>
      </vt:variant>
      <vt:variant>
        <vt:lpwstr/>
      </vt:variant>
      <vt:variant>
        <vt:i4>131166</vt:i4>
      </vt:variant>
      <vt:variant>
        <vt:i4>60</vt:i4>
      </vt:variant>
      <vt:variant>
        <vt:i4>0</vt:i4>
      </vt:variant>
      <vt:variant>
        <vt:i4>5</vt:i4>
      </vt:variant>
      <vt:variant>
        <vt:lpwstr>https://single-market-economy.ec.europa.eu/system/files/2023-01/ASMR 2023.pdf</vt:lpwstr>
      </vt:variant>
      <vt:variant>
        <vt:lpwstr/>
      </vt:variant>
      <vt:variant>
        <vt:i4>7602200</vt:i4>
      </vt:variant>
      <vt:variant>
        <vt:i4>57</vt:i4>
      </vt:variant>
      <vt:variant>
        <vt:i4>0</vt:i4>
      </vt:variant>
      <vt:variant>
        <vt:i4>5</vt:i4>
      </vt:variant>
      <vt:variant>
        <vt:lpwstr>https://single-market-scoreboard.ec.europa.eu/enforcement-tools/transposition_en</vt:lpwstr>
      </vt:variant>
      <vt:variant>
        <vt:lpwstr/>
      </vt:variant>
      <vt:variant>
        <vt:i4>7602200</vt:i4>
      </vt:variant>
      <vt:variant>
        <vt:i4>54</vt:i4>
      </vt:variant>
      <vt:variant>
        <vt:i4>0</vt:i4>
      </vt:variant>
      <vt:variant>
        <vt:i4>5</vt:i4>
      </vt:variant>
      <vt:variant>
        <vt:lpwstr>https://single-market-scoreboard.ec.europa.eu/enforcement-tools/transposition_en</vt:lpwstr>
      </vt:variant>
      <vt:variant>
        <vt:lpwstr/>
      </vt:variant>
      <vt:variant>
        <vt:i4>2162807</vt:i4>
      </vt:variant>
      <vt:variant>
        <vt:i4>51</vt:i4>
      </vt:variant>
      <vt:variant>
        <vt:i4>0</vt:i4>
      </vt:variant>
      <vt:variant>
        <vt:i4>5</vt:i4>
      </vt:variant>
      <vt:variant>
        <vt:lpwstr>https://single-market-scoreboard.ec.europa.eu/</vt:lpwstr>
      </vt:variant>
      <vt:variant>
        <vt:lpwstr/>
      </vt:variant>
      <vt:variant>
        <vt:i4>8126577</vt:i4>
      </vt:variant>
      <vt:variant>
        <vt:i4>48</vt:i4>
      </vt:variant>
      <vt:variant>
        <vt:i4>0</vt:i4>
      </vt:variant>
      <vt:variant>
        <vt:i4>5</vt:i4>
      </vt:variant>
      <vt:variant>
        <vt:lpwstr>https://www.ema.europa.eu/en/human-regulatory/overview/public-health-threats/coronavirus-disease-covid-19/treatments-vaccines/covid-19-vaccines</vt:lpwstr>
      </vt:variant>
      <vt:variant>
        <vt:lpwstr/>
      </vt:variant>
      <vt:variant>
        <vt:i4>4391026</vt:i4>
      </vt:variant>
      <vt:variant>
        <vt:i4>45</vt:i4>
      </vt:variant>
      <vt:variant>
        <vt:i4>0</vt:i4>
      </vt:variant>
      <vt:variant>
        <vt:i4>5</vt:i4>
      </vt:variant>
      <vt:variant>
        <vt:lpwstr>https://european-union.europa.eu/principles-countries-history/key-facts-and-figures/economy_en</vt:lpwstr>
      </vt:variant>
      <vt:variant>
        <vt:lpwstr/>
      </vt:variant>
      <vt:variant>
        <vt:i4>7929955</vt:i4>
      </vt:variant>
      <vt:variant>
        <vt:i4>42</vt:i4>
      </vt:variant>
      <vt:variant>
        <vt:i4>0</vt:i4>
      </vt:variant>
      <vt:variant>
        <vt:i4>5</vt:i4>
      </vt:variant>
      <vt:variant>
        <vt:lpwstr>https://ec.europa.eu/commission/presscorner/detail/en/ip_23_1563</vt:lpwstr>
      </vt:variant>
      <vt:variant>
        <vt:lpwstr/>
      </vt:variant>
      <vt:variant>
        <vt:i4>1310781</vt:i4>
      </vt:variant>
      <vt:variant>
        <vt:i4>39</vt:i4>
      </vt:variant>
      <vt:variant>
        <vt:i4>0</vt:i4>
      </vt:variant>
      <vt:variant>
        <vt:i4>5</vt:i4>
      </vt:variant>
      <vt:variant>
        <vt:lpwstr>https://single-market-economy.ec.europa.eu/publications/scan-supply-chain-alert-notification-monitoring-system_en</vt:lpwstr>
      </vt:variant>
      <vt:variant>
        <vt:lpwstr/>
      </vt:variant>
      <vt:variant>
        <vt:i4>1572917</vt:i4>
      </vt:variant>
      <vt:variant>
        <vt:i4>36</vt:i4>
      </vt:variant>
      <vt:variant>
        <vt:i4>0</vt:i4>
      </vt:variant>
      <vt:variant>
        <vt:i4>5</vt:i4>
      </vt:variant>
      <vt:variant>
        <vt:lpwstr>https://civil-protection-humanitarian-aid.ec.europa.eu/what/civil-protection/eu-civil-protection-mechanism_en</vt:lpwstr>
      </vt:variant>
      <vt:variant>
        <vt:lpwstr/>
      </vt:variant>
      <vt:variant>
        <vt:i4>7012366</vt:i4>
      </vt:variant>
      <vt:variant>
        <vt:i4>33</vt:i4>
      </vt:variant>
      <vt:variant>
        <vt:i4>0</vt:i4>
      </vt:variant>
      <vt:variant>
        <vt:i4>5</vt:i4>
      </vt:variant>
      <vt:variant>
        <vt:lpwstr>https://defence-industry-space.ec.europa.eu/action-plan-military-mobility-20_en</vt:lpwstr>
      </vt:variant>
      <vt:variant>
        <vt:lpwstr/>
      </vt:variant>
      <vt:variant>
        <vt:i4>7864420</vt:i4>
      </vt:variant>
      <vt:variant>
        <vt:i4>30</vt:i4>
      </vt:variant>
      <vt:variant>
        <vt:i4>0</vt:i4>
      </vt:variant>
      <vt:variant>
        <vt:i4>5</vt:i4>
      </vt:variant>
      <vt:variant>
        <vt:lpwstr>https://ec.europa.eu/commission/presscorner/detail/en/ip_22_6374</vt:lpwstr>
      </vt:variant>
      <vt:variant>
        <vt:lpwstr/>
      </vt:variant>
      <vt:variant>
        <vt:i4>6291466</vt:i4>
      </vt:variant>
      <vt:variant>
        <vt:i4>27</vt:i4>
      </vt:variant>
      <vt:variant>
        <vt:i4>0</vt:i4>
      </vt:variant>
      <vt:variant>
        <vt:i4>5</vt:i4>
      </vt:variant>
      <vt:variant>
        <vt:lpwstr>https://eures.ec.europa.eu/index_en</vt:lpwstr>
      </vt:variant>
      <vt:variant>
        <vt:lpwstr/>
      </vt:variant>
      <vt:variant>
        <vt:i4>6226010</vt:i4>
      </vt:variant>
      <vt:variant>
        <vt:i4>24</vt:i4>
      </vt:variant>
      <vt:variant>
        <vt:i4>0</vt:i4>
      </vt:variant>
      <vt:variant>
        <vt:i4>5</vt:i4>
      </vt:variant>
      <vt:variant>
        <vt:lpwstr>https://www.eesc.europa.eu/en/our-work/publications-other-work/publications/cross-border-services-internal-market-important-contribution-economic-and-social-cohesion</vt:lpwstr>
      </vt:variant>
      <vt:variant>
        <vt:lpwstr/>
      </vt:variant>
      <vt:variant>
        <vt:i4>3735659</vt:i4>
      </vt:variant>
      <vt:variant>
        <vt:i4>21</vt:i4>
      </vt:variant>
      <vt:variant>
        <vt:i4>0</vt:i4>
      </vt:variant>
      <vt:variant>
        <vt:i4>5</vt:i4>
      </vt:variant>
      <vt:variant>
        <vt:lpwstr>https://eng.em.dk/news/2018/september/the-single-market-accounts-for-56-million-jobs-across-the-eu/</vt:lpwstr>
      </vt:variant>
      <vt:variant>
        <vt:lpwstr/>
      </vt:variant>
      <vt:variant>
        <vt:i4>4587555</vt:i4>
      </vt:variant>
      <vt:variant>
        <vt:i4>18</vt:i4>
      </vt:variant>
      <vt:variant>
        <vt:i4>0</vt:i4>
      </vt:variant>
      <vt:variant>
        <vt:i4>5</vt:i4>
      </vt:variant>
      <vt:variant>
        <vt:lpwstr>https://economy-finance.ec.europa.eu/publications/quantifying-economic-effects-single-market-structural-macromodel_en</vt:lpwstr>
      </vt:variant>
      <vt:variant>
        <vt:lpwstr/>
      </vt:variant>
      <vt:variant>
        <vt:i4>4587594</vt:i4>
      </vt:variant>
      <vt:variant>
        <vt:i4>15</vt:i4>
      </vt:variant>
      <vt:variant>
        <vt:i4>0</vt:i4>
      </vt:variant>
      <vt:variant>
        <vt:i4>5</vt:i4>
      </vt:variant>
      <vt:variant>
        <vt:lpwstr>https://ec.europa.eu/eurostat/web/products-eurostat-news/w/edn-20221206-1</vt:lpwstr>
      </vt:variant>
      <vt:variant>
        <vt:lpwstr/>
      </vt:variant>
      <vt:variant>
        <vt:i4>4784219</vt:i4>
      </vt:variant>
      <vt:variant>
        <vt:i4>12</vt:i4>
      </vt:variant>
      <vt:variant>
        <vt:i4>0</vt:i4>
      </vt:variant>
      <vt:variant>
        <vt:i4>5</vt:i4>
      </vt:variant>
      <vt:variant>
        <vt:lpwstr>https://data.consilium.europa.eu/doc/document/PE-50-2022-INIT/en/pdf</vt:lpwstr>
      </vt:variant>
      <vt:variant>
        <vt:lpwstr/>
      </vt:variant>
      <vt:variant>
        <vt:i4>4391023</vt:i4>
      </vt:variant>
      <vt:variant>
        <vt:i4>9</vt:i4>
      </vt:variant>
      <vt:variant>
        <vt:i4>0</vt:i4>
      </vt:variant>
      <vt:variant>
        <vt:i4>5</vt:i4>
      </vt:variant>
      <vt:variant>
        <vt:lpwstr>https://commission.europa.eu/strategy-and-policy/priorities-2019-2024/europe-fit-digital-age/european-digital-identity_en</vt:lpwstr>
      </vt:variant>
      <vt:variant>
        <vt:lpwstr/>
      </vt:variant>
      <vt:variant>
        <vt:i4>2162807</vt:i4>
      </vt:variant>
      <vt:variant>
        <vt:i4>6</vt:i4>
      </vt:variant>
      <vt:variant>
        <vt:i4>0</vt:i4>
      </vt:variant>
      <vt:variant>
        <vt:i4>5</vt:i4>
      </vt:variant>
      <vt:variant>
        <vt:lpwstr>https://single-market-scoreboard.ec.europa.eu/</vt:lpwstr>
      </vt:variant>
      <vt:variant>
        <vt:lpwstr/>
      </vt:variant>
      <vt:variant>
        <vt:i4>786502</vt:i4>
      </vt:variant>
      <vt:variant>
        <vt:i4>3</vt:i4>
      </vt:variant>
      <vt:variant>
        <vt:i4>0</vt:i4>
      </vt:variant>
      <vt:variant>
        <vt:i4>5</vt:i4>
      </vt:variant>
      <vt:variant>
        <vt:lpwstr>https://www.acer.europa.eu/events-and-engagement/news/press-release-acer-publishes-its-final-assessment-eu-wholesale</vt:lpwstr>
      </vt:variant>
      <vt:variant>
        <vt:lpwstr/>
      </vt:variant>
      <vt:variant>
        <vt:i4>3997806</vt:i4>
      </vt:variant>
      <vt:variant>
        <vt:i4>0</vt:i4>
      </vt:variant>
      <vt:variant>
        <vt:i4>0</vt:i4>
      </vt:variant>
      <vt:variant>
        <vt:i4>5</vt:i4>
      </vt:variant>
      <vt:variant>
        <vt:lpwstr>https://data.consilium.europa.eu/doc/document/ST-1-2023-INIT/en/pdf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2023-03-15T21:29:00Z</dcterms:created>
  <dcterms:modified xsi:type="dcterms:W3CDTF">2023-05-10T14:34:00Z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9.0, Build 20230317</vt:lpwstr>
  </property>
  <property fmtid="{D5CDD505-2E9C-101B-9397-08002B2CF9AE}" pid="4" name="DocStatus">
    <vt:lpwstr>Green</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MSIP_Label_6bd9ddd1-4d20-43f6-abfa-fc3c07406f94_Enabled">
    <vt:lpwstr>true</vt:lpwstr>
  </property>
  <property fmtid="{D5CDD505-2E9C-101B-9397-08002B2CF9AE}" pid="9" name="MSIP_Label_6bd9ddd1-4d20-43f6-abfa-fc3c07406f94_SetDate">
    <vt:lpwstr>2023-03-15T15:30:03Z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c809abb2-56cd-4b85-b2ca-517e1e412cc0</vt:lpwstr>
  </property>
  <property fmtid="{D5CDD505-2E9C-101B-9397-08002B2CF9AE}" pid="14" name="MSIP_Label_6bd9ddd1-4d20-43f6-abfa-fc3c07406f94_ContentBits">
    <vt:lpwstr>0</vt:lpwstr>
  </property>
</Properties>
</file>