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066ECE" w14:textId="51A9987D" w:rsidR="00AD7F39" w:rsidRPr="00581A4E" w:rsidRDefault="009E573C" w:rsidP="009E573C">
      <w:pPr>
        <w:pStyle w:val="Pagedecouverture"/>
        <w:rPr>
          <w:noProof/>
        </w:rPr>
      </w:pPr>
      <w:r>
        <w:rPr>
          <w:noProof/>
        </w:rPr>
        <w:pict w14:anchorId="719D8F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alt="56EC4559-7273-4163-9FC7-D4A0B4BF393E" style="width:455.25pt;height:355.5pt">
            <v:imagedata r:id="rId11" o:title=""/>
          </v:shape>
        </w:pict>
      </w:r>
    </w:p>
    <w:p w14:paraId="1AD5A516" w14:textId="77777777" w:rsidR="00AD7F39" w:rsidRPr="00581A4E" w:rsidRDefault="00AD7F39" w:rsidP="00AD7F39">
      <w:pPr>
        <w:rPr>
          <w:noProof/>
          <w:szCs w:val="24"/>
        </w:rPr>
        <w:sectPr w:rsidR="00AD7F39" w:rsidRPr="00581A4E" w:rsidSect="009E573C">
          <w:footerReference w:type="default" r:id="rId12"/>
          <w:pgSz w:w="11907" w:h="16839"/>
          <w:pgMar w:top="1134" w:right="1417" w:bottom="1134" w:left="1417" w:header="709" w:footer="709" w:gutter="0"/>
          <w:pgNumType w:start="0"/>
          <w:cols w:space="720"/>
          <w:docGrid w:linePitch="360"/>
        </w:sectPr>
      </w:pPr>
    </w:p>
    <w:p w14:paraId="112B0514" w14:textId="77777777" w:rsidR="00AD7F39" w:rsidRPr="00581A4E" w:rsidRDefault="00AD7F39" w:rsidP="0011512A">
      <w:pPr>
        <w:pStyle w:val="Exposdesmotifstitre"/>
        <w:rPr>
          <w:noProof/>
          <w:szCs w:val="24"/>
        </w:rPr>
      </w:pPr>
      <w:bookmarkStart w:id="0" w:name="_GoBack"/>
      <w:bookmarkEnd w:id="0"/>
      <w:r w:rsidRPr="00581A4E">
        <w:rPr>
          <w:noProof/>
        </w:rPr>
        <w:lastRenderedPageBreak/>
        <w:t>EXPUNERE DE MOTIVE</w:t>
      </w:r>
    </w:p>
    <w:p w14:paraId="3A6E79B4" w14:textId="77777777" w:rsidR="00AD7F39" w:rsidRPr="00581A4E" w:rsidRDefault="00AD7F39" w:rsidP="00AD7F39">
      <w:pPr>
        <w:pStyle w:val="ManualHeading1"/>
        <w:rPr>
          <w:noProof/>
          <w:szCs w:val="24"/>
        </w:rPr>
      </w:pPr>
      <w:r w:rsidRPr="00581A4E">
        <w:rPr>
          <w:noProof/>
        </w:rPr>
        <w:t>1.</w:t>
      </w:r>
      <w:r w:rsidRPr="00581A4E">
        <w:rPr>
          <w:noProof/>
        </w:rPr>
        <w:tab/>
        <w:t>CONTEXTUL PROPUNERII</w:t>
      </w:r>
    </w:p>
    <w:p w14:paraId="3B3FB307" w14:textId="77777777" w:rsidR="00AD7F39" w:rsidRPr="00581A4E" w:rsidRDefault="00AD7F39" w:rsidP="00AD7F39">
      <w:pPr>
        <w:spacing w:before="0" w:after="200" w:line="276" w:lineRule="auto"/>
        <w:rPr>
          <w:noProof/>
          <w:szCs w:val="24"/>
        </w:rPr>
      </w:pPr>
      <w:r w:rsidRPr="00581A4E">
        <w:rPr>
          <w:noProof/>
        </w:rPr>
        <w:t xml:space="preserve">Educația și formarea sunt esențiale pentru dezvoltarea personală, coeziunea socială, competitivitate și inovare. Acestea reprezintă, de asemenea, condiții fundamentale pentru o Europă mai echitabilă, mai rezilientă și mai sustenabilă. Importanța lor este reflectată în </w:t>
      </w:r>
      <w:r w:rsidRPr="00581A4E">
        <w:rPr>
          <w:b/>
          <w:noProof/>
        </w:rPr>
        <w:t>Rezoluția Consiliului privind un cadru strategic pentru cooperarea europeană în domeniul educației și formării în perspectiva realizării și dezvoltării în continuare a spațiului european al educației (2021-2030)</w:t>
      </w:r>
      <w:r w:rsidRPr="00581A4E">
        <w:rPr>
          <w:rStyle w:val="FootnoteReference"/>
          <w:noProof/>
          <w:szCs w:val="24"/>
        </w:rPr>
        <w:footnoteReference w:id="2"/>
      </w:r>
      <w:r w:rsidRPr="00581A4E">
        <w:rPr>
          <w:noProof/>
        </w:rPr>
        <w:t xml:space="preserve">, care include </w:t>
      </w:r>
      <w:r w:rsidRPr="00581A4E">
        <w:rPr>
          <w:b/>
          <w:noProof/>
        </w:rPr>
        <w:t>tranziția verde și cea digitală</w:t>
      </w:r>
      <w:r w:rsidRPr="00581A4E">
        <w:rPr>
          <w:noProof/>
        </w:rPr>
        <w:t xml:space="preserve"> printre prioritățile sale strategice.</w:t>
      </w:r>
    </w:p>
    <w:p w14:paraId="15C3D5B5" w14:textId="77777777" w:rsidR="00AD7F39" w:rsidRPr="00581A4E" w:rsidRDefault="00AD7F39" w:rsidP="00AD7F39">
      <w:pPr>
        <w:spacing w:before="0" w:after="200" w:line="276" w:lineRule="auto"/>
        <w:rPr>
          <w:noProof/>
          <w:szCs w:val="24"/>
        </w:rPr>
      </w:pPr>
      <w:r w:rsidRPr="00581A4E">
        <w:rPr>
          <w:noProof/>
        </w:rPr>
        <w:t xml:space="preserve">În prezent, educația digitală se află în centrul acestor eforturi. Pandemia de COVID-19 a evidențiat necesitatea de a îmbunătăți </w:t>
      </w:r>
      <w:r w:rsidRPr="00581A4E">
        <w:rPr>
          <w:b/>
          <w:noProof/>
        </w:rPr>
        <w:t>nivelul de pregătire digitală al sistemelor de educație și formare</w:t>
      </w:r>
      <w:r w:rsidRPr="00581A4E">
        <w:rPr>
          <w:noProof/>
        </w:rPr>
        <w:t xml:space="preserve"> în ceea ce privește reziliența, calitatea, caracterul favorabil incluziunii, accesibilitatea și securitatea. </w:t>
      </w:r>
      <w:r w:rsidRPr="00581A4E">
        <w:rPr>
          <w:b/>
          <w:noProof/>
        </w:rPr>
        <w:t>Planul de acțiune pentru educația digitală 2021-2027</w:t>
      </w:r>
      <w:r w:rsidRPr="00581A4E">
        <w:rPr>
          <w:rStyle w:val="FootnoteReference"/>
          <w:noProof/>
          <w:szCs w:val="24"/>
        </w:rPr>
        <w:footnoteReference w:id="3"/>
      </w:r>
      <w:r w:rsidRPr="00581A4E">
        <w:rPr>
          <w:noProof/>
        </w:rPr>
        <w:t xml:space="preserve"> al Comisiei Europene stabilește două priorități strategice în acest sens: </w:t>
      </w:r>
      <w:r w:rsidRPr="00581A4E">
        <w:rPr>
          <w:i/>
          <w:noProof/>
        </w:rPr>
        <w:t>încurajarea dezvoltării unui ecosistem de educație digitală de înaltă performanță</w:t>
      </w:r>
      <w:r w:rsidRPr="00581A4E">
        <w:rPr>
          <w:noProof/>
        </w:rPr>
        <w:t xml:space="preserve"> și </w:t>
      </w:r>
      <w:r w:rsidRPr="00581A4E">
        <w:rPr>
          <w:i/>
          <w:noProof/>
        </w:rPr>
        <w:t>îmbunătățirea aptitudinilor și competențelor digitale pentru transformarea digitală</w:t>
      </w:r>
      <w:r w:rsidRPr="00581A4E">
        <w:rPr>
          <w:noProof/>
        </w:rPr>
        <w:t xml:space="preserve">. </w:t>
      </w:r>
    </w:p>
    <w:p w14:paraId="14EA4325" w14:textId="77777777" w:rsidR="00AD7F39" w:rsidRPr="00581A4E" w:rsidRDefault="00AD7F39" w:rsidP="00AD7F39">
      <w:pPr>
        <w:spacing w:before="0" w:after="200" w:line="276" w:lineRule="auto"/>
        <w:rPr>
          <w:noProof/>
          <w:szCs w:val="24"/>
        </w:rPr>
      </w:pPr>
      <w:r w:rsidRPr="00581A4E">
        <w:rPr>
          <w:noProof/>
        </w:rPr>
        <w:t xml:space="preserve">În </w:t>
      </w:r>
      <w:r w:rsidRPr="00581A4E">
        <w:rPr>
          <w:b/>
          <w:noProof/>
        </w:rPr>
        <w:t>Concluziile Consiliului privind educația digitală în societățile cunoașterii din Europa</w:t>
      </w:r>
      <w:r w:rsidRPr="00581A4E">
        <w:rPr>
          <w:rStyle w:val="FootnoteReference"/>
          <w:noProof/>
          <w:szCs w:val="24"/>
        </w:rPr>
        <w:footnoteReference w:id="4"/>
      </w:r>
      <w:r w:rsidRPr="00581A4E">
        <w:rPr>
          <w:noProof/>
        </w:rPr>
        <w:t xml:space="preserve">, statele membre și-au exprimat susținerea pentru planul de acțiune. Acestea au recunoscut necesitatea unei cooperări mai strânse și au invitat Comisia să lanseze un proces de reflecție strategică asupra factorilor care favorizează o educație digitală de succes. În urma apelului lansat în 2021 de președinta von der Leyen în ceea ce privește „atenția liderilor” și „un dialog structurat la nivel înalt” privind educația și competențele digitale, Comisia a desfășurat, în 2022, un </w:t>
      </w:r>
      <w:r w:rsidRPr="00581A4E">
        <w:rPr>
          <w:b/>
          <w:noProof/>
        </w:rPr>
        <w:t>dialog structurat privind educația și competențele digitale</w:t>
      </w:r>
      <w:r w:rsidRPr="00581A4E">
        <w:rPr>
          <w:noProof/>
        </w:rPr>
        <w:t xml:space="preserve"> cu toate statele membre. </w:t>
      </w:r>
    </w:p>
    <w:p w14:paraId="7A1E935E" w14:textId="77777777" w:rsidR="007C3AE4" w:rsidRPr="00581A4E" w:rsidRDefault="007C3AE4" w:rsidP="00AD7F39">
      <w:pPr>
        <w:spacing w:before="0" w:after="200" w:line="276" w:lineRule="auto"/>
        <w:rPr>
          <w:noProof/>
          <w:szCs w:val="24"/>
        </w:rPr>
      </w:pPr>
      <w:r w:rsidRPr="00581A4E">
        <w:rPr>
          <w:noProof/>
        </w:rPr>
        <w:t>În planurile lor de redresare și reziliență, statele membre au alocat 130 de miliarde EUR pentru măsuri de sprijinire a transformării digitale – 26 % din alocarea totală a planurilor. Din această sumă, 16,5 miliarde EUR sunt dedicate îmbunătățirii conectivității, iar aproape 23 de miliarde EUR educației digitale și dezvoltării competențelor digitale</w:t>
      </w:r>
      <w:r w:rsidRPr="00581A4E">
        <w:rPr>
          <w:rStyle w:val="FootnoteReference"/>
          <w:noProof/>
          <w:szCs w:val="24"/>
        </w:rPr>
        <w:footnoteReference w:id="5"/>
      </w:r>
      <w:r w:rsidRPr="00581A4E">
        <w:rPr>
          <w:noProof/>
        </w:rPr>
        <w:t xml:space="preserve">. În prezent, este extrem de importantă punerea în aplicare. </w:t>
      </w:r>
    </w:p>
    <w:p w14:paraId="02086E72" w14:textId="77777777" w:rsidR="00AD7F39" w:rsidRPr="00581A4E" w:rsidRDefault="00AD7F39" w:rsidP="00AD7F39">
      <w:pPr>
        <w:spacing w:before="0" w:after="200" w:line="276" w:lineRule="auto"/>
        <w:rPr>
          <w:noProof/>
          <w:szCs w:val="24"/>
        </w:rPr>
      </w:pPr>
      <w:r w:rsidRPr="00581A4E">
        <w:rPr>
          <w:noProof/>
        </w:rPr>
        <w:t xml:space="preserve">Prezenta propunere reflectă necesitatea unui ecosistem de educație digitală de înaltă performanță (inclusiv în ceea ce privește infrastructura, conectivitatea, organizarea, capacitatea) și se bazează pe </w:t>
      </w:r>
      <w:r w:rsidRPr="00581A4E">
        <w:rPr>
          <w:b/>
          <w:noProof/>
        </w:rPr>
        <w:t>factorii favorizanți esențiali pentru o educație digitală de succes</w:t>
      </w:r>
      <w:r w:rsidRPr="00581A4E">
        <w:rPr>
          <w:noProof/>
        </w:rPr>
        <w:t xml:space="preserve"> identificați în planul de acțiune și în concluziile Consiliului, precum și pe constatările dialogului structurat. Propunerea prezintă recomandări către statele membre cu privire la modalitățile de realizare a unei </w:t>
      </w:r>
      <w:r w:rsidRPr="00581A4E">
        <w:rPr>
          <w:b/>
          <w:noProof/>
        </w:rPr>
        <w:t>educații digitale accesibile, de înaltă calitate și favorabile incluziunii pentru toți</w:t>
      </w:r>
      <w:r w:rsidRPr="00581A4E">
        <w:rPr>
          <w:noProof/>
        </w:rPr>
        <w:t xml:space="preserve">. Propunerea se axează pe </w:t>
      </w:r>
      <w:r w:rsidRPr="00581A4E">
        <w:rPr>
          <w:b/>
          <w:noProof/>
        </w:rPr>
        <w:t>activitățile formale de educație și formare</w:t>
      </w:r>
      <w:r w:rsidRPr="00581A4E">
        <w:rPr>
          <w:noProof/>
        </w:rPr>
        <w:t xml:space="preserve"> și pe investiții, consolidarea capacităților și cooperarea necesare pentru a beneficia de potențialul tehnologiilor digitale de a consolida predarea, învățarea și evaluarea și de a îmbunătăți rezultatele pentru toți participanții la activități de învățare. În acest sens, propunerea subliniază importanța unei integrări semnificative a tehnologiilor digitale în școli și universități în legătură cu metodele pedagogice și organizaționale în predarea tuturor materiilor. </w:t>
      </w:r>
    </w:p>
    <w:p w14:paraId="1881B11B" w14:textId="77777777" w:rsidR="00E22AEB" w:rsidRPr="00581A4E" w:rsidRDefault="00AD7F39" w:rsidP="00AD7F39">
      <w:pPr>
        <w:spacing w:before="0" w:after="200" w:line="276" w:lineRule="auto"/>
        <w:rPr>
          <w:noProof/>
          <w:szCs w:val="24"/>
        </w:rPr>
      </w:pPr>
      <w:r w:rsidRPr="00581A4E">
        <w:rPr>
          <w:noProof/>
        </w:rPr>
        <w:t xml:space="preserve">O educație digitală de succes înseamnă </w:t>
      </w:r>
      <w:r w:rsidRPr="00581A4E">
        <w:rPr>
          <w:b/>
          <w:noProof/>
        </w:rPr>
        <w:t>crearea unor oportunități sporite și mai bune de învățare și predare în era digitală, de care să beneficieze întreaga societate</w:t>
      </w:r>
      <w:r w:rsidRPr="00581A4E">
        <w:rPr>
          <w:noProof/>
        </w:rPr>
        <w:t xml:space="preserve">. Soluțiile digitale au făcut ca sistemele de educație și formare din UE să devină mai accesibile în ultimii ani. Cu toate acestea, într-o lume caracterizată de o dezvoltare rapidă și de mai multă nesiguranță, este necesar să se îmbunătățească în continuare eficacitatea și eficiența educației și să se sprijine diversificarea predării și a învățării, inclusiv prin soluțiile digitale existente și emergente. Deși societățile noastre se schimbă, educația rămâne un drept fundamental al omului, iar accesul universal la aceasta trebuie garantat și extins la lumea digitală. </w:t>
      </w:r>
    </w:p>
    <w:p w14:paraId="42741A4C" w14:textId="77777777" w:rsidR="00AD7F39" w:rsidRPr="00581A4E" w:rsidRDefault="00AD7F39" w:rsidP="00AD7F39">
      <w:pPr>
        <w:spacing w:before="0" w:after="200" w:line="276" w:lineRule="auto"/>
        <w:rPr>
          <w:noProof/>
          <w:szCs w:val="24"/>
        </w:rPr>
      </w:pPr>
      <w:r w:rsidRPr="00581A4E">
        <w:rPr>
          <w:noProof/>
        </w:rPr>
        <w:t xml:space="preserve">Instrumentele digitale axate pe utilizator pot aduce soluții inovatoare în educație și pot sprijini profesorii prin reducerea sarcinilor administrative. În plus, acestea ajută profesorii să își adapteze activitatea și sistemele de învățământ la tehnologiile disruptive, cum ar fi inteligența artificială generativă și alte tehnologii emergente care intră rapid în mediile cursanților, cu oportunitățile și riscurile potențiale pe care le implică. Instrumentele de inteligență artificială generativă creează noi oportunități de învățare și pot ajuta cursanții să-și optimizeze ritmul de învățare și eficacitatea, dar ridică și noi întrebări, de exemplu cu privire la evaluare sau la calitatea de autor. Prin urmare, o educație digitală de succes reprezintă o condiție prealabilă pentru a le permite cursanților să obțină competențele de care au nevoie pentru a prospera în lumea de astăzi. </w:t>
      </w:r>
    </w:p>
    <w:p w14:paraId="7B21BD02" w14:textId="40EFF5E3" w:rsidR="00AD7F39" w:rsidRPr="00581A4E" w:rsidRDefault="00AD7F39" w:rsidP="00AD7F39">
      <w:pPr>
        <w:spacing w:before="0" w:after="200" w:line="276" w:lineRule="auto"/>
        <w:rPr>
          <w:noProof/>
          <w:szCs w:val="24"/>
        </w:rPr>
      </w:pPr>
      <w:r w:rsidRPr="00581A4E">
        <w:rPr>
          <w:noProof/>
        </w:rPr>
        <w:t xml:space="preserve">Prezenta propunere </w:t>
      </w:r>
      <w:r w:rsidRPr="00581A4E">
        <w:rPr>
          <w:b/>
          <w:noProof/>
        </w:rPr>
        <w:t>face parte din inițiativele luate de Comisie și de statele membre în vederea unei transformări digitale centrate pe oameni</w:t>
      </w:r>
      <w:r w:rsidRPr="00581A4E">
        <w:rPr>
          <w:noProof/>
        </w:rPr>
        <w:t>. Aceasta este în concordanță cu obiectivele stabilite în Planul de acțiune pentru educația digitală, în Programul de politică privind deceniul digital</w:t>
      </w:r>
      <w:r w:rsidRPr="00581A4E">
        <w:rPr>
          <w:rStyle w:val="FootnoteReference"/>
          <w:noProof/>
          <w:szCs w:val="24"/>
        </w:rPr>
        <w:footnoteReference w:id="6"/>
      </w:r>
      <w:r w:rsidRPr="00581A4E">
        <w:rPr>
          <w:noProof/>
        </w:rPr>
        <w:t>, în Declarația europeană privind drepturile și principiile digitale pentru deceniul digital</w:t>
      </w:r>
      <w:r w:rsidRPr="00581A4E">
        <w:rPr>
          <w:rStyle w:val="FootnoteReference"/>
          <w:noProof/>
          <w:szCs w:val="24"/>
        </w:rPr>
        <w:footnoteReference w:id="7"/>
      </w:r>
      <w:r w:rsidRPr="00581A4E">
        <w:rPr>
          <w:noProof/>
        </w:rPr>
        <w:t xml:space="preserve"> și în Strategia europeană „Un internet mai bun pentru copii”</w:t>
      </w:r>
      <w:r w:rsidRPr="00581A4E">
        <w:rPr>
          <w:rStyle w:val="FootnoteReference"/>
          <w:noProof/>
          <w:szCs w:val="24"/>
        </w:rPr>
        <w:footnoteReference w:id="8"/>
      </w:r>
      <w:r w:rsidRPr="00581A4E">
        <w:rPr>
          <w:noProof/>
        </w:rPr>
        <w:t>. Planul de acțiune pentru educația digitală, Programul de politică privind deceniul digital, Agenda europeană pentru competențe</w:t>
      </w:r>
      <w:r w:rsidRPr="00581A4E">
        <w:rPr>
          <w:rStyle w:val="FootnoteReference"/>
          <w:noProof/>
          <w:szCs w:val="24"/>
        </w:rPr>
        <w:footnoteReference w:id="9"/>
      </w:r>
      <w:r w:rsidRPr="00581A4E">
        <w:rPr>
          <w:noProof/>
        </w:rPr>
        <w:t>, Planul de acțiune privind Pilonul european al drepturilor sociale</w:t>
      </w:r>
      <w:r w:rsidRPr="00581A4E">
        <w:rPr>
          <w:rStyle w:val="FootnoteReference"/>
          <w:noProof/>
          <w:szCs w:val="24"/>
        </w:rPr>
        <w:footnoteReference w:id="10"/>
      </w:r>
      <w:r w:rsidRPr="00581A4E">
        <w:rPr>
          <w:noProof/>
        </w:rPr>
        <w:t xml:space="preserve"> și strategiile pentru o Uniune a egalității stabilesc obiective ambițioase la nivelul UE pentru a încuraja acțiunea în direcția transformării digitale și pentru a asigura creșterea durabilă și inovarea în UE. De asemenea, propunerea ține seama de activitățile în desfășurare privind tranziția digitală din cadrul Mecanismului de redresare și reziliență și este aliniată la concluziile Raportului Conferinței privind viitorul Europei. </w:t>
      </w:r>
    </w:p>
    <w:p w14:paraId="7F651373" w14:textId="730FDD56" w:rsidR="00953EC1" w:rsidRPr="00581A4E" w:rsidRDefault="00AD7F39" w:rsidP="00AD7F39">
      <w:pPr>
        <w:spacing w:before="0" w:after="200" w:line="276" w:lineRule="auto"/>
        <w:rPr>
          <w:noProof/>
          <w:szCs w:val="24"/>
        </w:rPr>
      </w:pPr>
      <w:r w:rsidRPr="00581A4E">
        <w:rPr>
          <w:noProof/>
        </w:rPr>
        <w:t xml:space="preserve">Propunerea se bazează pe prima prioritate strategică (promovarea unui ecosistem de educație digitală de înaltă performanță) a Planului de acțiune pentru educația digitală și completează </w:t>
      </w:r>
      <w:r w:rsidRPr="008C149B">
        <w:rPr>
          <w:b/>
          <w:noProof/>
        </w:rPr>
        <w:t>Propunerea de recomandare a Consiliului privind îmbunătățirea ofertei de competențe digitale în educație și formare</w:t>
      </w:r>
      <w:r w:rsidRPr="00581A4E">
        <w:rPr>
          <w:noProof/>
        </w:rPr>
        <w:t xml:space="preserve">. </w:t>
      </w:r>
    </w:p>
    <w:p w14:paraId="63A8156A" w14:textId="77777777" w:rsidR="00AD7F39" w:rsidRPr="00581A4E" w:rsidRDefault="00AD7F39" w:rsidP="00AD7F39">
      <w:pPr>
        <w:pStyle w:val="ManualHeading2"/>
        <w:rPr>
          <w:noProof/>
          <w:szCs w:val="24"/>
        </w:rPr>
      </w:pPr>
      <w:r w:rsidRPr="00581A4E">
        <w:rPr>
          <w:noProof/>
          <w:bdr w:val="none" w:sz="0" w:space="0" w:color="auto" w:frame="1"/>
        </w:rPr>
        <w:t>•</w:t>
      </w:r>
      <w:r w:rsidRPr="00581A4E">
        <w:rPr>
          <w:noProof/>
        </w:rPr>
        <w:tab/>
        <w:t>Provocări principale care trebuie abordate de propunerea de recomandare a Consiliului</w:t>
      </w:r>
    </w:p>
    <w:p w14:paraId="424A806A" w14:textId="77777777" w:rsidR="00AD7F39" w:rsidRPr="00581A4E" w:rsidRDefault="00AD7F39" w:rsidP="00AD7F39">
      <w:pPr>
        <w:spacing w:before="0" w:after="200" w:line="276" w:lineRule="auto"/>
        <w:rPr>
          <w:noProof/>
          <w:szCs w:val="24"/>
        </w:rPr>
      </w:pPr>
      <w:r w:rsidRPr="00581A4E">
        <w:rPr>
          <w:noProof/>
        </w:rPr>
        <w:t xml:space="preserve">Experiențele în urma crizei provocate de pandemia de COVID-19 și dialogul structurat au pus în lumină bogăția investițiilor și a politicilor întreprinse de statele membre pentru a sprijini educația și competențele digitale. Cu toate acestea, deși majoritatea statelor membre au strategii legate de transformarea digitală a educației și formării și de predarea competențelor digitale, acestea nu sunt întotdeauna suficient de specifice, detaliate sau cuprinzătoare. Analiza politicilor din Uniune evidențiază lipsa unei imagini de ansamblu strategice care să facă legătura între diferitele niveluri sectoriale și teritoriale ale abordărilor de politică. Statele membre se confruntă cu mai multe provocări comune în legătură cu dezvoltarea unor ecosisteme de educație și formare digitală de înaltă performanță: </w:t>
      </w:r>
    </w:p>
    <w:p w14:paraId="3F2D347B" w14:textId="77777777" w:rsidR="00AA2CF1" w:rsidRPr="00581A4E" w:rsidRDefault="00AA2CF1" w:rsidP="00292DAB">
      <w:pPr>
        <w:pStyle w:val="Tiret0"/>
        <w:numPr>
          <w:ilvl w:val="0"/>
          <w:numId w:val="9"/>
        </w:numPr>
        <w:rPr>
          <w:noProof/>
          <w:szCs w:val="24"/>
        </w:rPr>
      </w:pPr>
      <w:r w:rsidRPr="00581A4E">
        <w:rPr>
          <w:noProof/>
        </w:rPr>
        <w:t xml:space="preserve">lipsa unei abordări sistemice pentru întreaga administrație în ceea ce privește politicile și provocările în materie de educație digitală, abordare care să asigure o coordonare eficace la diferitele niveluri de guvernare și între acestea; </w:t>
      </w:r>
    </w:p>
    <w:p w14:paraId="44432195" w14:textId="77777777" w:rsidR="00AD7F39" w:rsidRPr="00581A4E" w:rsidRDefault="00AD7F39" w:rsidP="00292DAB">
      <w:pPr>
        <w:pStyle w:val="Tiret0"/>
        <w:numPr>
          <w:ilvl w:val="0"/>
          <w:numId w:val="9"/>
        </w:numPr>
        <w:rPr>
          <w:noProof/>
          <w:szCs w:val="24"/>
        </w:rPr>
      </w:pPr>
      <w:r w:rsidRPr="00581A4E">
        <w:rPr>
          <w:noProof/>
        </w:rPr>
        <w:t xml:space="preserve">lipsa unei axări strategice a investițiilor pe infrastructura de educație și formare digitală, pe echipamente și conținut, precum și pe disparitățile socioeconomice și teritoriale; </w:t>
      </w:r>
    </w:p>
    <w:p w14:paraId="5E6C353B" w14:textId="77777777" w:rsidR="00AD7F39" w:rsidRPr="00581A4E" w:rsidRDefault="00AD7F39" w:rsidP="00B849C1">
      <w:pPr>
        <w:pStyle w:val="Tiret0"/>
        <w:rPr>
          <w:noProof/>
          <w:szCs w:val="24"/>
        </w:rPr>
      </w:pPr>
      <w:r w:rsidRPr="00581A4E">
        <w:rPr>
          <w:noProof/>
        </w:rPr>
        <w:t>o formare digitală insuficientă a profesorilor și a celorlalte categorii de personal în vederea adoptării și a utilizării optime a tehnologiei pentru predare și învățare;</w:t>
      </w:r>
    </w:p>
    <w:p w14:paraId="78430C0B" w14:textId="77777777" w:rsidR="00AD7F39" w:rsidRPr="00581A4E" w:rsidRDefault="00AD7F39" w:rsidP="00B849C1">
      <w:pPr>
        <w:pStyle w:val="Tiret0"/>
        <w:rPr>
          <w:noProof/>
          <w:szCs w:val="24"/>
        </w:rPr>
      </w:pPr>
      <w:r w:rsidRPr="00581A4E">
        <w:rPr>
          <w:noProof/>
        </w:rPr>
        <w:t xml:space="preserve">monitorizarea și evaluarea insuficientă a politicilor de educație și formare digitală și a impactului acestora. </w:t>
      </w:r>
    </w:p>
    <w:p w14:paraId="3F320C9D" w14:textId="77777777" w:rsidR="00950CCB" w:rsidRPr="00581A4E" w:rsidRDefault="00950CCB" w:rsidP="00F27AF3">
      <w:pPr>
        <w:spacing w:before="0" w:after="200" w:line="276" w:lineRule="auto"/>
        <w:rPr>
          <w:b/>
          <w:bCs/>
          <w:i/>
          <w:iCs/>
          <w:noProof/>
          <w:szCs w:val="24"/>
        </w:rPr>
      </w:pPr>
      <w:r w:rsidRPr="00581A4E">
        <w:rPr>
          <w:b/>
          <w:i/>
          <w:noProof/>
        </w:rPr>
        <w:t>Guvernanța politicilor de educație și formare digitală</w:t>
      </w:r>
    </w:p>
    <w:p w14:paraId="7E1ABE5F" w14:textId="77777777" w:rsidR="00950CCB" w:rsidRPr="00581A4E" w:rsidRDefault="00950CCB" w:rsidP="00B849C1">
      <w:pPr>
        <w:pStyle w:val="Tiret0"/>
        <w:rPr>
          <w:noProof/>
        </w:rPr>
      </w:pPr>
      <w:r w:rsidRPr="00581A4E">
        <w:rPr>
          <w:noProof/>
        </w:rPr>
        <w:t xml:space="preserve">În pofida progreselor și a exemplelor excelente de inovare, eforturile depuse nu au condus încă la o transformare digitală sistemică în educație și formare. În special, există două provocări-cheie. </w:t>
      </w:r>
    </w:p>
    <w:p w14:paraId="63062C75" w14:textId="77777777" w:rsidR="00950CCB" w:rsidRPr="00581A4E" w:rsidRDefault="00950CCB" w:rsidP="00B849C1">
      <w:pPr>
        <w:pStyle w:val="Tiret0"/>
        <w:rPr>
          <w:noProof/>
        </w:rPr>
      </w:pPr>
      <w:r w:rsidRPr="00581A4E">
        <w:rPr>
          <w:noProof/>
        </w:rPr>
        <w:t xml:space="preserve">În primul rând, pentru introducerea tehnologiilor digitale în cadrul sistemelor de educație și formare este nevoie de o abordare la nivelul întregii administrații care să asigure </w:t>
      </w:r>
      <w:r w:rsidRPr="00581A4E">
        <w:rPr>
          <w:b/>
          <w:noProof/>
        </w:rPr>
        <w:t>colaborarea și coordonarea diferitelor departamente ale administrației publice</w:t>
      </w:r>
      <w:r w:rsidRPr="00581A4E">
        <w:rPr>
          <w:noProof/>
        </w:rPr>
        <w:t xml:space="preserve">. De exemplu, digitalizarea eficace a unei școli necesită o aliniere strânsă între autoritățile responsabile de </w:t>
      </w:r>
      <w:r w:rsidRPr="00581A4E">
        <w:rPr>
          <w:b/>
          <w:noProof/>
        </w:rPr>
        <w:t>infrastructură</w:t>
      </w:r>
      <w:r w:rsidRPr="00581A4E">
        <w:rPr>
          <w:noProof/>
        </w:rPr>
        <w:t xml:space="preserve"> pentru a asigura conectivitatea, de </w:t>
      </w:r>
      <w:r w:rsidRPr="00581A4E">
        <w:rPr>
          <w:b/>
          <w:noProof/>
        </w:rPr>
        <w:t>finanțare</w:t>
      </w:r>
      <w:r w:rsidRPr="00581A4E">
        <w:rPr>
          <w:noProof/>
        </w:rPr>
        <w:t xml:space="preserve"> pentru asigura fonduri pentru investiții și de </w:t>
      </w:r>
      <w:r w:rsidRPr="00581A4E">
        <w:rPr>
          <w:b/>
          <w:noProof/>
        </w:rPr>
        <w:t>educație</w:t>
      </w:r>
      <w:r w:rsidRPr="00581A4E">
        <w:rPr>
          <w:noProof/>
        </w:rPr>
        <w:t xml:space="preserve"> pentru a alinia programele de învățământ și a susține profesorii. În plus, în statele membre cu un nivel ridicat de autonomie regională sau locală, este esențială coordonarea între diferitele niveluri de guvernare. Dialogul structurat a arătat că aceste eforturi de coordonare sunt complexe și dificile, ceea ce face ca multe state membre să aibă </w:t>
      </w:r>
      <w:r w:rsidRPr="00581A4E">
        <w:rPr>
          <w:b/>
          <w:noProof/>
        </w:rPr>
        <w:t>strategii sectoriale multiple care sunt puse în aplicare independent unele de altele</w:t>
      </w:r>
      <w:r w:rsidRPr="00581A4E">
        <w:rPr>
          <w:noProof/>
        </w:rPr>
        <w:t xml:space="preserve">. Acest lucru riscă să creeze fie structuri izolate, fie suprapuneri, iar astfel se pierd oportunități de valorificare a sinergiilor și de a obține un impact mai mare. </w:t>
      </w:r>
      <w:r w:rsidRPr="00581A4E">
        <w:rPr>
          <w:b/>
          <w:noProof/>
        </w:rPr>
        <w:t>Absența</w:t>
      </w:r>
      <w:r w:rsidRPr="00581A4E">
        <w:rPr>
          <w:noProof/>
        </w:rPr>
        <w:t xml:space="preserve"> unei astfel de </w:t>
      </w:r>
      <w:r w:rsidRPr="00581A4E">
        <w:rPr>
          <w:b/>
          <w:noProof/>
        </w:rPr>
        <w:t>abordări la nivelul întregii administrații</w:t>
      </w:r>
      <w:r w:rsidRPr="00581A4E">
        <w:rPr>
          <w:noProof/>
        </w:rPr>
        <w:t xml:space="preserve"> a fost identificată ca fiind </w:t>
      </w:r>
      <w:r w:rsidRPr="00581A4E">
        <w:rPr>
          <w:b/>
          <w:noProof/>
        </w:rPr>
        <w:t>principala provocare</w:t>
      </w:r>
      <w:r w:rsidRPr="00581A4E">
        <w:rPr>
          <w:noProof/>
        </w:rPr>
        <w:t xml:space="preserve"> în ceea ce privește dezvoltarea și punerea în aplicare a politicii în materie de educație și competențe digitale.</w:t>
      </w:r>
    </w:p>
    <w:p w14:paraId="2DACEAA8" w14:textId="2ED9D7D2" w:rsidR="00FD19EE" w:rsidRPr="00581A4E" w:rsidRDefault="00950CCB" w:rsidP="00B849C1">
      <w:pPr>
        <w:pStyle w:val="Tiret0"/>
        <w:rPr>
          <w:noProof/>
        </w:rPr>
      </w:pPr>
      <w:r w:rsidRPr="00581A4E">
        <w:rPr>
          <w:noProof/>
        </w:rPr>
        <w:t xml:space="preserve">În al doilea rând, dezvoltarea unor soluții digitale relevante și adoptarea lor pe scară largă depind în mare măsură de </w:t>
      </w:r>
      <w:r w:rsidRPr="00581A4E">
        <w:rPr>
          <w:b/>
          <w:noProof/>
        </w:rPr>
        <w:t>implicarea și responsabilizarea unui număr mare de părți interesate relevante</w:t>
      </w:r>
      <w:r w:rsidRPr="00581A4E">
        <w:rPr>
          <w:noProof/>
        </w:rPr>
        <w:t xml:space="preserve">. Pentru aceasta este necesar un dialog strâns între factorii de decizie, practicieni, furnizorii de soluții digitale, partenerii sociali, întreprinderi, părinți și cursanți. Dialogul structurat a arătat că, deși multe țări dispun de platforme oficiale pentru consultarea părților interesate, </w:t>
      </w:r>
      <w:r w:rsidRPr="00581A4E">
        <w:rPr>
          <w:b/>
          <w:noProof/>
        </w:rPr>
        <w:t>colaborarea mai strânsă încă se află în etapele incipiente</w:t>
      </w:r>
      <w:r w:rsidRPr="00581A4E">
        <w:rPr>
          <w:noProof/>
        </w:rPr>
        <w:t xml:space="preserve">, în special în ceea ce privește interacțiunea dintre instituțiile de învățământ, profesori și sectoarele relevante, inclusiv furnizorii de tehnologie și angajatori. Statele membre au manifestat un interes tot mai mare de a participa la parteneriate public-privat, inclusiv cu sectorul tehnologiei educației (EdTech), pentru a extinde și a consolida în continuare ecosistemul educației digitale, ținând seama, în același timp, de aspecte importante precum protecția datelor. </w:t>
      </w:r>
    </w:p>
    <w:p w14:paraId="5DB2FFBA" w14:textId="77777777" w:rsidR="00AD7F39" w:rsidRPr="00581A4E" w:rsidRDefault="00AD7F39" w:rsidP="00AD7F39">
      <w:pPr>
        <w:spacing w:before="0" w:after="200" w:line="276" w:lineRule="auto"/>
        <w:rPr>
          <w:b/>
          <w:i/>
          <w:noProof/>
          <w:szCs w:val="24"/>
        </w:rPr>
      </w:pPr>
      <w:r w:rsidRPr="00581A4E">
        <w:rPr>
          <w:b/>
          <w:i/>
          <w:noProof/>
        </w:rPr>
        <w:t xml:space="preserve">Investiții în infrastructura digitală pentru educație și formare </w:t>
      </w:r>
    </w:p>
    <w:p w14:paraId="37097476" w14:textId="77777777" w:rsidR="00AD7F39" w:rsidRPr="00581A4E" w:rsidRDefault="00AD7F39" w:rsidP="00AD7F39">
      <w:pPr>
        <w:spacing w:before="0" w:after="200" w:line="276" w:lineRule="auto"/>
        <w:rPr>
          <w:noProof/>
          <w:szCs w:val="24"/>
        </w:rPr>
      </w:pPr>
      <w:r w:rsidRPr="00581A4E">
        <w:rPr>
          <w:b/>
          <w:noProof/>
        </w:rPr>
        <w:t>Conectivitatea școlară rămâne inegală între țările UE și în interiorul acestora</w:t>
      </w:r>
      <w:r w:rsidRPr="00581A4E">
        <w:rPr>
          <w:noProof/>
        </w:rPr>
        <w:t>, iar conexiunile la internet de mare viteză din școli sunt încă rare</w:t>
      </w:r>
      <w:r w:rsidRPr="00581A4E">
        <w:rPr>
          <w:rStyle w:val="FootnoteReference"/>
          <w:noProof/>
          <w:szCs w:val="24"/>
        </w:rPr>
        <w:footnoteReference w:id="11"/>
      </w:r>
      <w:r w:rsidRPr="00581A4E">
        <w:rPr>
          <w:noProof/>
        </w:rPr>
        <w:t>, în special în zonele rurale și îndepărtate, în care conectivitatea a rămas în urmă</w:t>
      </w:r>
      <w:r w:rsidRPr="00581A4E">
        <w:rPr>
          <w:rStyle w:val="FootnoteReference"/>
          <w:noProof/>
        </w:rPr>
        <w:footnoteReference w:id="12"/>
      </w:r>
      <w:r w:rsidRPr="00581A4E">
        <w:rPr>
          <w:noProof/>
        </w:rPr>
        <w:t>. Potrivit celor mai recente date, doar 11 % dintre elevii din UE din învățământul primar, 17 % dintre cei din învățământul secundar inferior și 18 % dintre cei din învățământul secundar superior învață în școli cu o viteză a internetului de peste 100 Mbps, cifre care sunt departe de obiectivul UE pentru 2025 privind conectivitatea în bandă largă de mare viteză (cel puțin 1 Gbps) pentru toate școlile</w:t>
      </w:r>
      <w:r w:rsidRPr="00581A4E">
        <w:rPr>
          <w:rStyle w:val="FootnoteReference"/>
          <w:noProof/>
          <w:szCs w:val="24"/>
        </w:rPr>
        <w:footnoteReference w:id="13"/>
      </w:r>
      <w:r w:rsidRPr="00581A4E">
        <w:rPr>
          <w:noProof/>
        </w:rPr>
        <w:t xml:space="preserve">. </w:t>
      </w:r>
      <w:bookmarkStart w:id="1" w:name="_Hlk112683752"/>
      <w:r w:rsidRPr="00581A4E">
        <w:rPr>
          <w:noProof/>
        </w:rPr>
        <w:t xml:space="preserve">În ceea ce privește </w:t>
      </w:r>
      <w:r w:rsidRPr="00581A4E">
        <w:rPr>
          <w:b/>
          <w:noProof/>
        </w:rPr>
        <w:t>echipamentele școlare</w:t>
      </w:r>
      <w:r w:rsidRPr="00581A4E">
        <w:rPr>
          <w:noProof/>
        </w:rPr>
        <w:t>, ponderea elevilor care frecventează școli unde peste 90 % din echipamentele digitale erau operaționale a variat de la 61 % pentru școlile primare la 73 % pentru învățământul secundar superior</w:t>
      </w:r>
      <w:r w:rsidRPr="00581A4E">
        <w:rPr>
          <w:rStyle w:val="FootnoteReference"/>
          <w:noProof/>
          <w:szCs w:val="24"/>
        </w:rPr>
        <w:footnoteReference w:id="14"/>
      </w:r>
      <w:r w:rsidRPr="00581A4E">
        <w:rPr>
          <w:noProof/>
        </w:rPr>
        <w:t>. Furnizarea insuficientă a dispozitivelor digitale (în special tablete și laptopuri) a fost considerată de profesori ca fiind cel mai mare obstacol în calea utilizării tehnologiilor digitale pentru predare și învățare</w:t>
      </w:r>
      <w:r w:rsidRPr="00581A4E">
        <w:rPr>
          <w:rStyle w:val="FootnoteReference"/>
          <w:noProof/>
          <w:szCs w:val="24"/>
        </w:rPr>
        <w:footnoteReference w:id="15"/>
      </w:r>
      <w:r w:rsidRPr="00581A4E">
        <w:rPr>
          <w:noProof/>
        </w:rPr>
        <w:t xml:space="preserve">. </w:t>
      </w:r>
      <w:r w:rsidRPr="00581A4E">
        <w:rPr>
          <w:b/>
          <w:noProof/>
        </w:rPr>
        <w:t>Instituțiile de învățământ superior tind să fie mai bine conectate și echipate</w:t>
      </w:r>
      <w:r w:rsidRPr="00581A4E">
        <w:rPr>
          <w:noProof/>
        </w:rPr>
        <w:t xml:space="preserve">, dar integrarea și adoptarea unor practici eficace de educație digitală rămâne lentă. </w:t>
      </w:r>
    </w:p>
    <w:p w14:paraId="00C5B04F" w14:textId="77777777" w:rsidR="00AD7F39" w:rsidRPr="00581A4E" w:rsidRDefault="00AD7F39" w:rsidP="00AD7F39">
      <w:pPr>
        <w:spacing w:before="0" w:after="200" w:line="276" w:lineRule="auto"/>
        <w:rPr>
          <w:rFonts w:eastAsia="Times New Roman"/>
          <w:noProof/>
          <w:szCs w:val="24"/>
        </w:rPr>
      </w:pPr>
      <w:r w:rsidRPr="00581A4E">
        <w:rPr>
          <w:noProof/>
        </w:rPr>
        <w:t xml:space="preserve">Deși pandemia de COVID-19 a accelerat în mod semnificativ utilizarea tehnologiilor în procesul de predare și învățare, aceasta a evidențiat și chiar a agravat </w:t>
      </w:r>
      <w:r w:rsidRPr="00581A4E">
        <w:rPr>
          <w:b/>
          <w:noProof/>
        </w:rPr>
        <w:t>inegalitățile din educație și formare</w:t>
      </w:r>
      <w:r w:rsidRPr="00581A4E">
        <w:rPr>
          <w:noProof/>
        </w:rPr>
        <w:t xml:space="preserve">. Mediul socioeconomic al cursanților continuă să fie cel mai puternic factor determinant al rezultatelor educaționale. Acest lucru este reflectat, de asemenea, de furnizarea educației digitale: cursanții defavorizați, cum ar fi cei care provin din </w:t>
      </w:r>
      <w:r w:rsidRPr="00581A4E">
        <w:rPr>
          <w:b/>
          <w:noProof/>
        </w:rPr>
        <w:t>medii cu un nivel scăzut de educație, cu venituri mici, din familii de romi sau de migranți</w:t>
      </w:r>
      <w:r w:rsidRPr="00581A4E">
        <w:rPr>
          <w:noProof/>
        </w:rPr>
        <w:t>, au un acces redus la calculatoare acasă</w:t>
      </w:r>
      <w:r w:rsidRPr="00581A4E">
        <w:rPr>
          <w:rStyle w:val="FootnoteReference"/>
          <w:noProof/>
          <w:szCs w:val="24"/>
        </w:rPr>
        <w:footnoteReference w:id="16"/>
      </w:r>
      <w:r w:rsidRPr="00581A4E">
        <w:rPr>
          <w:noProof/>
        </w:rPr>
        <w:t xml:space="preserve"> și încep să utilizeze dispozitive digitale mai târziu comparativ cu colegii lor mai avantajați</w:t>
      </w:r>
      <w:r w:rsidRPr="00581A4E">
        <w:rPr>
          <w:rStyle w:val="FootnoteReference"/>
          <w:noProof/>
          <w:szCs w:val="24"/>
        </w:rPr>
        <w:footnoteReference w:id="17"/>
      </w:r>
      <w:r w:rsidRPr="00581A4E">
        <w:rPr>
          <w:noProof/>
        </w:rPr>
        <w:t xml:space="preserve">. </w:t>
      </w:r>
      <w:bookmarkStart w:id="2" w:name="_Hlk114479507"/>
      <w:bookmarkEnd w:id="1"/>
      <w:r w:rsidRPr="00581A4E">
        <w:rPr>
          <w:noProof/>
        </w:rPr>
        <w:t xml:space="preserve">Lipsa tehnologiilor digitale accesibile și asistive creează obstacole majore pentru </w:t>
      </w:r>
      <w:r w:rsidRPr="00581A4E">
        <w:rPr>
          <w:b/>
          <w:noProof/>
        </w:rPr>
        <w:t>persoanele cu handicap</w:t>
      </w:r>
      <w:r w:rsidRPr="00581A4E">
        <w:rPr>
          <w:noProof/>
        </w:rPr>
        <w:t>, împiedicându-le să studieze în contexte de educație formală în mod autonom și independent.</w:t>
      </w:r>
    </w:p>
    <w:p w14:paraId="72C9A2BD" w14:textId="76396CFA" w:rsidR="0073785C" w:rsidRPr="00581A4E" w:rsidRDefault="00AD7F39" w:rsidP="00AD7F39">
      <w:pPr>
        <w:spacing w:before="0" w:after="200" w:line="276" w:lineRule="auto"/>
        <w:rPr>
          <w:rFonts w:eastAsia="Times New Roman"/>
          <w:noProof/>
          <w:szCs w:val="24"/>
        </w:rPr>
      </w:pPr>
      <w:r w:rsidRPr="00581A4E">
        <w:rPr>
          <w:noProof/>
        </w:rPr>
        <w:t xml:space="preserve">Dialogul structurat privind educația și competențele digitale și planurile naționale de redresare și reziliență confirmă </w:t>
      </w:r>
      <w:r w:rsidRPr="00581A4E">
        <w:rPr>
          <w:b/>
          <w:noProof/>
        </w:rPr>
        <w:t>importanța pe care statele membre o acordă obiectivului ca instituțiile de învățământ să dispună de infrastructuri digitale eficace și echitabile</w:t>
      </w:r>
      <w:r w:rsidRPr="00581A4E">
        <w:rPr>
          <w:noProof/>
        </w:rPr>
        <w:t xml:space="preserve">. Reformele și investițiile în acest domeniu realizate de statele membre acordă prioritate conectivității, echipamentelor digitale, platformelor și conținutului. </w:t>
      </w:r>
    </w:p>
    <w:p w14:paraId="3C751855" w14:textId="5490B3E0" w:rsidR="00AD7F39" w:rsidRPr="00581A4E" w:rsidRDefault="0073785C" w:rsidP="00AD7F39">
      <w:pPr>
        <w:spacing w:before="0" w:after="200" w:line="276" w:lineRule="auto"/>
        <w:rPr>
          <w:rFonts w:eastAsia="Times New Roman"/>
          <w:noProof/>
          <w:szCs w:val="24"/>
        </w:rPr>
      </w:pPr>
      <w:r w:rsidRPr="00581A4E">
        <w:rPr>
          <w:noProof/>
        </w:rPr>
        <w:t xml:space="preserve">Un viitor raport special al </w:t>
      </w:r>
      <w:r w:rsidRPr="00581A4E">
        <w:rPr>
          <w:b/>
          <w:noProof/>
        </w:rPr>
        <w:t>Curții de Conturi Europene</w:t>
      </w:r>
      <w:r w:rsidRPr="00581A4E">
        <w:rPr>
          <w:noProof/>
        </w:rPr>
        <w:t xml:space="preserve"> va prezenta informații suplimentare privind eficacitatea sprijinului acordat de UE pentru digitalizarea școlilor</w:t>
      </w:r>
      <w:r w:rsidRPr="00581A4E">
        <w:rPr>
          <w:rStyle w:val="FootnoteReference"/>
          <w:rFonts w:eastAsia="Times New Roman"/>
          <w:bCs/>
          <w:noProof/>
          <w:szCs w:val="24"/>
          <w:lang w:eastAsia="en-GB"/>
        </w:rPr>
        <w:footnoteReference w:id="18"/>
      </w:r>
      <w:r w:rsidRPr="00581A4E">
        <w:rPr>
          <w:noProof/>
        </w:rPr>
        <w:t>.</w:t>
      </w:r>
    </w:p>
    <w:p w14:paraId="73334F77" w14:textId="77777777" w:rsidR="00AD7F39" w:rsidRPr="00581A4E" w:rsidRDefault="00AD7F39" w:rsidP="00AD7F39">
      <w:pPr>
        <w:spacing w:before="0" w:after="200" w:line="276" w:lineRule="auto"/>
        <w:rPr>
          <w:rFonts w:eastAsia="Times New Roman"/>
          <w:noProof/>
          <w:szCs w:val="24"/>
        </w:rPr>
      </w:pPr>
      <w:r w:rsidRPr="00581A4E">
        <w:rPr>
          <w:noProof/>
        </w:rPr>
        <w:t xml:space="preserve">Alte </w:t>
      </w:r>
      <w:r w:rsidRPr="00581A4E">
        <w:rPr>
          <w:b/>
          <w:noProof/>
        </w:rPr>
        <w:t>preocupări se referă la întreținerea echipamentelor și a dispozitivelor</w:t>
      </w:r>
      <w:r w:rsidRPr="00581A4E">
        <w:rPr>
          <w:noProof/>
        </w:rPr>
        <w:t xml:space="preserve"> și la provocarea de a face față ritmului rapid al schimbărilor tehnologice în ceea ce privește conținutul, abordările și instrumentele de predare și învățare. Țările care utilizează diferite instrumente și platforme digitale își exprimă din ce în ce mai mult îngrijorarea cu privire la </w:t>
      </w:r>
      <w:r w:rsidRPr="00581A4E">
        <w:rPr>
          <w:b/>
          <w:noProof/>
        </w:rPr>
        <w:t>interoperabilitatea</w:t>
      </w:r>
      <w:r w:rsidRPr="00581A4E">
        <w:rPr>
          <w:noProof/>
        </w:rPr>
        <w:t xml:space="preserve"> dintre sisteme și servicii. Statele membre caută, de asemenea, modalități de a îmbunătăți </w:t>
      </w:r>
      <w:r w:rsidRPr="00581A4E">
        <w:rPr>
          <w:b/>
          <w:noProof/>
        </w:rPr>
        <w:t>disponibilitatea și accesul la conținut educațional digital de înaltă calitate</w:t>
      </w:r>
      <w:r w:rsidRPr="00581A4E">
        <w:rPr>
          <w:noProof/>
        </w:rPr>
        <w:t xml:space="preserve"> în limbile lor. În plus, instituțiile de învățământ de la toate nivelurile sunt preocupate de îndeplinirea obligațiilor în materie de protecție a datelor, de </w:t>
      </w:r>
      <w:r w:rsidRPr="00581A4E">
        <w:rPr>
          <w:b/>
          <w:noProof/>
        </w:rPr>
        <w:t>protejarea vieții private a cursanților</w:t>
      </w:r>
      <w:r w:rsidRPr="00581A4E">
        <w:rPr>
          <w:noProof/>
        </w:rPr>
        <w:t xml:space="preserve"> și de prevenirea amenințărilor la adresa </w:t>
      </w:r>
      <w:r w:rsidRPr="00581A4E">
        <w:rPr>
          <w:b/>
          <w:noProof/>
        </w:rPr>
        <w:t>securității cibernetice</w:t>
      </w:r>
      <w:r w:rsidRPr="00581A4E">
        <w:rPr>
          <w:noProof/>
        </w:rPr>
        <w:t xml:space="preserve">. </w:t>
      </w:r>
    </w:p>
    <w:bookmarkEnd w:id="2"/>
    <w:p w14:paraId="127C793A" w14:textId="77777777" w:rsidR="00AD7F39" w:rsidRPr="00581A4E" w:rsidRDefault="00AD7F39" w:rsidP="00AD7F39">
      <w:pPr>
        <w:spacing w:before="0" w:after="200" w:line="276" w:lineRule="auto"/>
        <w:rPr>
          <w:b/>
          <w:i/>
          <w:noProof/>
          <w:szCs w:val="24"/>
        </w:rPr>
      </w:pPr>
      <w:r w:rsidRPr="00581A4E">
        <w:rPr>
          <w:b/>
          <w:i/>
          <w:noProof/>
        </w:rPr>
        <w:t>Formarea digitală a profesorilor și a celorlalte categorii de personal</w:t>
      </w:r>
    </w:p>
    <w:p w14:paraId="4C435640" w14:textId="77777777" w:rsidR="00AD7F39" w:rsidRPr="00581A4E" w:rsidRDefault="00AD7F39" w:rsidP="00AD7F39">
      <w:pPr>
        <w:spacing w:before="0" w:after="200" w:line="276" w:lineRule="auto"/>
        <w:rPr>
          <w:rFonts w:eastAsia="Times New Roman"/>
          <w:noProof/>
          <w:szCs w:val="24"/>
        </w:rPr>
      </w:pPr>
      <w:r w:rsidRPr="00581A4E">
        <w:rPr>
          <w:noProof/>
        </w:rPr>
        <w:t xml:space="preserve">Profesorii sunt </w:t>
      </w:r>
      <w:r w:rsidRPr="00581A4E">
        <w:rPr>
          <w:b/>
          <w:noProof/>
        </w:rPr>
        <w:t>parteneri-cheie</w:t>
      </w:r>
      <w:r w:rsidRPr="00581A4E">
        <w:rPr>
          <w:noProof/>
        </w:rPr>
        <w:t xml:space="preserve"> de care depinde adoptarea cu succes a tehnologiilor digitale în educație și formare și trebuie să fie implicați îndeaproape și consultați în procesul de integrare a acestor tehnologii. Numeroase studii sugerează că este mai probabil ca profesorii să utilizeze tehnologiile digitale în procesul de predare dacă școlile lor </w:t>
      </w:r>
      <w:r w:rsidRPr="00581A4E">
        <w:rPr>
          <w:b/>
          <w:noProof/>
        </w:rPr>
        <w:t>încurajează o planificare și o colaborare relevante în ceea ce privește utilizarea tehnologiilor în educație</w:t>
      </w:r>
      <w:r w:rsidRPr="00581A4E">
        <w:rPr>
          <w:rStyle w:val="FootnoteReference"/>
          <w:noProof/>
          <w:szCs w:val="24"/>
        </w:rPr>
        <w:footnoteReference w:id="19"/>
      </w:r>
      <w:r w:rsidRPr="00581A4E">
        <w:rPr>
          <w:noProof/>
        </w:rPr>
        <w:t xml:space="preserve">. Profesorii au un rol esențial pentru educarea generațiilor viitoare la cele mai înalte standarde. Aceștia au nevoie de sprijin specific pentru a integra digitalizarea în pedagogia lor cu încredere și în cel mai bun mod posibil, astfel încât aceasta să le poată fi utilă elevilor și să faciliteze învățarea favorabilă incluziunii și accesibilă. Unele școli au coordonatori TIC care sprijină profesorii în toate sarcinile administrative legate de TIC și le permit să se concentreze asupra sarcinilor lor principale. Cu toate acestea, o abordare sistemică și pe termen lung a integrării tehnologiei în activitățile școlare este deocamdată mai degrabă excepția decât regula. De exemplu, înainte de pandemia de COVID-19, </w:t>
      </w:r>
      <w:r w:rsidRPr="00581A4E">
        <w:rPr>
          <w:b/>
          <w:noProof/>
        </w:rPr>
        <w:t>doar aproximativ o treime dintre elevi frecventau școli care aveau declarații scrise cu privire la utilizarea tehnologiilor digitale în scopuri pedagogice</w:t>
      </w:r>
      <w:r w:rsidRPr="00581A4E">
        <w:rPr>
          <w:rStyle w:val="FootnoteReference"/>
          <w:noProof/>
          <w:szCs w:val="24"/>
        </w:rPr>
        <w:footnoteReference w:id="20"/>
      </w:r>
      <w:r w:rsidRPr="00581A4E">
        <w:rPr>
          <w:noProof/>
        </w:rPr>
        <w:t xml:space="preserve">. Pentru multe instituții de educație și formare, dezvoltarea și punerea în aplicare a unei strategii instituționale de educație digitală care să țină seama de nevoile cadrelor didactice și ale cursanților rămâne o provocare din cauza capacităților insuficiente. În unele state membre există inițiative care vizează îmbunătățirea </w:t>
      </w:r>
      <w:r w:rsidRPr="00581A4E">
        <w:rPr>
          <w:b/>
          <w:noProof/>
        </w:rPr>
        <w:t>capacităților directorilor instituțiilor de învățământ</w:t>
      </w:r>
      <w:r w:rsidRPr="00581A4E">
        <w:rPr>
          <w:noProof/>
        </w:rPr>
        <w:t xml:space="preserve"> de a conduce transformarea digitală, dar acestea nu sunt larg răspândite. </w:t>
      </w:r>
    </w:p>
    <w:p w14:paraId="4E50A739" w14:textId="49DD51B4" w:rsidR="00AD7F39" w:rsidRPr="00581A4E" w:rsidRDefault="00AD7F39" w:rsidP="00AD7F39">
      <w:pPr>
        <w:spacing w:before="0" w:after="200" w:line="276" w:lineRule="auto"/>
        <w:rPr>
          <w:noProof/>
          <w:szCs w:val="24"/>
        </w:rPr>
      </w:pPr>
      <w:r w:rsidRPr="00581A4E">
        <w:rPr>
          <w:noProof/>
        </w:rPr>
        <w:t>În timpul măsurilor de limitare a mișcării persoanelor în contextul pandemiei de COVID-19, unul dintre factorii-cheie care au influențat calitatea experienței de învățare a fost competența digitală a cadrelor didactice</w:t>
      </w:r>
      <w:r w:rsidRPr="00581A4E">
        <w:rPr>
          <w:rStyle w:val="FootnoteReference"/>
          <w:noProof/>
          <w:szCs w:val="24"/>
        </w:rPr>
        <w:footnoteReference w:id="21"/>
      </w:r>
      <w:r w:rsidRPr="00581A4E">
        <w:rPr>
          <w:noProof/>
        </w:rPr>
        <w:t>. Cu toate acestea, în medie, mai puțin de jumătate dintre profesorii din UE (49,1 %) au raportat că TIC au fost incluse în educația sau formarea lor formală</w:t>
      </w:r>
      <w:r w:rsidRPr="00581A4E">
        <w:rPr>
          <w:rStyle w:val="FootnoteReference"/>
          <w:noProof/>
          <w:szCs w:val="24"/>
        </w:rPr>
        <w:footnoteReference w:id="22"/>
      </w:r>
      <w:r w:rsidRPr="00581A4E">
        <w:rPr>
          <w:noProof/>
        </w:rPr>
        <w:t xml:space="preserve"> și doar 39 % dintre profesori se simțeau bine pregătiți să utilizeze tehnologiile digitale pentru predare</w:t>
      </w:r>
      <w:r w:rsidRPr="00581A4E">
        <w:rPr>
          <w:rStyle w:val="FootnoteReference"/>
          <w:noProof/>
          <w:szCs w:val="24"/>
        </w:rPr>
        <w:footnoteReference w:id="23"/>
      </w:r>
      <w:r w:rsidRPr="00581A4E">
        <w:rPr>
          <w:noProof/>
        </w:rPr>
        <w:t>. Pe de o parte, profesorii și pedagogii trebuie să dispună de competențele pedagogice digitale necesare</w:t>
      </w:r>
      <w:r w:rsidRPr="00581A4E">
        <w:rPr>
          <w:rStyle w:val="FootnoteReference"/>
          <w:noProof/>
          <w:szCs w:val="24"/>
        </w:rPr>
        <w:footnoteReference w:id="24"/>
      </w:r>
      <w:r w:rsidRPr="00581A4E">
        <w:rPr>
          <w:noProof/>
        </w:rPr>
        <w:t>, iar pe de altă parte este esențial să existe o abordare bazată pe încredere atât din partea autorităților, cât și a părților interesate, pentru a capacita cadrele didactice și a le susține în vederea unei utilizări optime a tehnologi</w:t>
      </w:r>
      <w:r w:rsidR="00581A4E" w:rsidRPr="00581A4E">
        <w:rPr>
          <w:noProof/>
        </w:rPr>
        <w:t>ei pentru predare și învățare.</w:t>
      </w:r>
    </w:p>
    <w:p w14:paraId="072C049C" w14:textId="77777777" w:rsidR="00AD7F39" w:rsidRPr="00581A4E" w:rsidRDefault="00AD7F39" w:rsidP="00AD7F39">
      <w:pPr>
        <w:spacing w:before="0" w:after="200" w:line="276" w:lineRule="auto"/>
        <w:rPr>
          <w:noProof/>
          <w:szCs w:val="24"/>
        </w:rPr>
      </w:pPr>
      <w:r w:rsidRPr="00581A4E">
        <w:rPr>
          <w:noProof/>
        </w:rPr>
        <w:t xml:space="preserve">Nivelul ridicat de autonomie al instituțiilor de învățământ superior care oferă în general </w:t>
      </w:r>
      <w:r w:rsidRPr="00581A4E">
        <w:rPr>
          <w:b/>
          <w:noProof/>
        </w:rPr>
        <w:t>programe de formare inițială a profesorilor</w:t>
      </w:r>
      <w:r w:rsidRPr="00581A4E">
        <w:rPr>
          <w:noProof/>
        </w:rPr>
        <w:t xml:space="preserve"> a condus la întârzieri în ceea ce privește introducerea competențelor pedagogice digitale în programele de formare a profesorilor din mai multe țări. În plus, faptul că populația de cadre didactice îmbătrânește în majoritatea țărilor din UE înseamnă că provocările legate de pedagogia digitală nu pot fi abordate doar prin formarea inițială. Dialogul structurat a arătat că multe state membre </w:t>
      </w:r>
      <w:r w:rsidRPr="00581A4E">
        <w:rPr>
          <w:b/>
          <w:noProof/>
        </w:rPr>
        <w:t>și-au extins recent oferta de oportunități de dezvoltare profesională continuă pentru profesori și pedagogi în ceea ce privește pedagogia digitală</w:t>
      </w:r>
      <w:r w:rsidRPr="00581A4E">
        <w:rPr>
          <w:noProof/>
        </w:rPr>
        <w:t>. Cu toate acestea, mai multe state membre indică dificultăți legate de participarea profesorilor, iar partenerii sociali subliniază că, adesea, profesorii nu dispun de suficient timp pentru dezvoltarea profesională continuă. Deși participarea la dezvoltarea profesională continuă este monitorizată în majoritatea statelor membre, se pune mai puțin accentul pe evaluarea impactului acesteia asupra competențelor profesorilor. Acest lucru poate duce la o posibilă neconcordanță între oferta de formare și nevoile cadrelor didactice.</w:t>
      </w:r>
    </w:p>
    <w:p w14:paraId="3EB9926A" w14:textId="77777777" w:rsidR="00AD7F39" w:rsidRPr="00581A4E" w:rsidRDefault="00AD7F39" w:rsidP="00AD7F39">
      <w:pPr>
        <w:spacing w:before="0" w:after="200" w:line="276" w:lineRule="auto"/>
        <w:rPr>
          <w:b/>
          <w:i/>
          <w:noProof/>
          <w:szCs w:val="24"/>
        </w:rPr>
      </w:pPr>
      <w:r w:rsidRPr="00581A4E">
        <w:rPr>
          <w:b/>
          <w:i/>
          <w:noProof/>
        </w:rPr>
        <w:t>Monitorizarea și evaluarea politicilor și a impactului</w:t>
      </w:r>
    </w:p>
    <w:p w14:paraId="7032B9C2" w14:textId="77777777" w:rsidR="00AD7F39" w:rsidRPr="00581A4E" w:rsidRDefault="00AD7F39" w:rsidP="00AD7F39">
      <w:pPr>
        <w:spacing w:before="0" w:after="200" w:line="276" w:lineRule="auto"/>
        <w:rPr>
          <w:noProof/>
          <w:szCs w:val="24"/>
        </w:rPr>
      </w:pPr>
      <w:r w:rsidRPr="00581A4E">
        <w:rPr>
          <w:noProof/>
        </w:rPr>
        <w:t xml:space="preserve">Deși </w:t>
      </w:r>
      <w:r w:rsidRPr="00581A4E">
        <w:rPr>
          <w:b/>
          <w:noProof/>
        </w:rPr>
        <w:t>majoritatea statelor membre au strategii</w:t>
      </w:r>
      <w:r w:rsidRPr="00581A4E">
        <w:rPr>
          <w:noProof/>
        </w:rPr>
        <w:t xml:space="preserve"> pentru a ajuta instituțiile de educație și formare să utilizeze tehnologiile digitale, acestea nu sunt întotdeauna suficient de specifice, detaliate sau cuprinzătoare. În plus, doar puține state membre monitorizează sau evaluează periodic punerea lor în aplicare sau efectuează revizuiri pentru a reflecta noile evoluții tehnologice și nevoile de învățare aferente</w:t>
      </w:r>
      <w:r w:rsidRPr="00581A4E">
        <w:rPr>
          <w:rStyle w:val="FootnoteReference"/>
          <w:noProof/>
          <w:szCs w:val="24"/>
        </w:rPr>
        <w:footnoteReference w:id="25"/>
      </w:r>
      <w:r w:rsidRPr="00581A4E">
        <w:rPr>
          <w:noProof/>
        </w:rPr>
        <w:t xml:space="preserve">. În plus, doar un număr mic de state membre dispun de cadre bine dezvoltate pentru a monitoriza situația actuală în ceea ce privește factorii care favorizează educația digitală. În multe cazuri, este aplicată o </w:t>
      </w:r>
      <w:r w:rsidRPr="00581A4E">
        <w:rPr>
          <w:b/>
          <w:noProof/>
        </w:rPr>
        <w:t>abordare fragmentată sau ad-hoc a monitorizării</w:t>
      </w:r>
      <w:r w:rsidRPr="00581A4E">
        <w:rPr>
          <w:noProof/>
        </w:rPr>
        <w:t xml:space="preserve">. O preocupare deosebită, care afectează evaluarea generală a impactului investițiilor, este lipsa de informații privind utilizarea dispozitivelor, precum și lipsa unor sisteme de monitorizare și urmărire a infrastructurii digitale a instituțiilor de învățământ. </w:t>
      </w:r>
    </w:p>
    <w:p w14:paraId="650D2BBB" w14:textId="1732430D" w:rsidR="00AD7F39" w:rsidRPr="00581A4E" w:rsidRDefault="00AD7F39" w:rsidP="00AD7F39">
      <w:pPr>
        <w:spacing w:before="0" w:after="200" w:line="276" w:lineRule="auto"/>
        <w:rPr>
          <w:noProof/>
          <w:szCs w:val="24"/>
        </w:rPr>
      </w:pPr>
      <w:r w:rsidRPr="00581A4E">
        <w:rPr>
          <w:noProof/>
        </w:rPr>
        <w:t xml:space="preserve">La nivelul UE, </w:t>
      </w:r>
      <w:r w:rsidRPr="008C149B">
        <w:rPr>
          <w:b/>
          <w:noProof/>
        </w:rPr>
        <w:t>disponibilitatea datelor și a dovezilor rămâne o provocare majoră</w:t>
      </w:r>
      <w:r w:rsidRPr="00581A4E">
        <w:rPr>
          <w:noProof/>
        </w:rPr>
        <w:t>. Studiile internaționale la scară largă sunt publicate doar la intervale foarte lungi, ceea ce face dificilă adaptarea la domeniul educației digitale, care evoluează rapid, și nu includ toate datele necesare pentru elaborarea politicilor ș</w:t>
      </w:r>
      <w:r w:rsidR="00581A4E" w:rsidRPr="00581A4E">
        <w:rPr>
          <w:noProof/>
        </w:rPr>
        <w:t>i a instrumentelor de sprijin.</w:t>
      </w:r>
    </w:p>
    <w:p w14:paraId="45538045" w14:textId="77777777" w:rsidR="00AD7F39" w:rsidRPr="00581A4E" w:rsidRDefault="00AD7F39" w:rsidP="00AD7F39">
      <w:pPr>
        <w:pStyle w:val="ManualHeading2"/>
        <w:rPr>
          <w:noProof/>
          <w:szCs w:val="24"/>
        </w:rPr>
      </w:pPr>
      <w:r w:rsidRPr="00581A4E">
        <w:rPr>
          <w:noProof/>
        </w:rPr>
        <w:t>•</w:t>
      </w:r>
      <w:r w:rsidRPr="00581A4E">
        <w:rPr>
          <w:noProof/>
        </w:rPr>
        <w:tab/>
        <w:t>Obiectivele propunerii de recomandare a Consiliului</w:t>
      </w:r>
    </w:p>
    <w:p w14:paraId="2F6CC104" w14:textId="77777777" w:rsidR="00AD7F39" w:rsidRPr="00581A4E" w:rsidRDefault="00AD7F39" w:rsidP="00FD633A">
      <w:pPr>
        <w:spacing w:before="0" w:after="200" w:line="276" w:lineRule="auto"/>
        <w:rPr>
          <w:noProof/>
          <w:szCs w:val="24"/>
        </w:rPr>
      </w:pPr>
      <w:r w:rsidRPr="00581A4E">
        <w:rPr>
          <w:noProof/>
        </w:rPr>
        <w:t>Prezenta propunere urmărește să promoveze reformele structurale și investițiile necesare în statele membre pentru a realiza o schimbare radicală în ceea ce privește transformarea digitală a educației și formării și pentru a asigura oferta de competențe, pe baza:</w:t>
      </w:r>
    </w:p>
    <w:p w14:paraId="7A358A25" w14:textId="77777777" w:rsidR="00AD7F39" w:rsidRPr="00581A4E" w:rsidRDefault="002240B1" w:rsidP="00292DAB">
      <w:pPr>
        <w:pStyle w:val="Tiret1"/>
        <w:numPr>
          <w:ilvl w:val="0"/>
          <w:numId w:val="10"/>
        </w:numPr>
        <w:rPr>
          <w:bCs/>
          <w:noProof/>
          <w:szCs w:val="24"/>
        </w:rPr>
      </w:pPr>
      <w:r w:rsidRPr="00581A4E">
        <w:rPr>
          <w:noProof/>
        </w:rPr>
        <w:t>unei strategii coerente care să abordeze în mod specific educația și competențele digitale și a îmbunătățirii feedbackului în materie de politici printr-o mai bună monitorizare și evaluare a politicilor de educație și formare digitală și printr-o integrare mai rapidă a acestor rezultate în vederea adaptării politicilor;</w:t>
      </w:r>
    </w:p>
    <w:p w14:paraId="7301A985" w14:textId="77777777" w:rsidR="00AD7F39" w:rsidRPr="00581A4E" w:rsidRDefault="002240B1" w:rsidP="00B849C1">
      <w:pPr>
        <w:pStyle w:val="Tiret1"/>
        <w:rPr>
          <w:noProof/>
          <w:szCs w:val="24"/>
        </w:rPr>
      </w:pPr>
      <w:r w:rsidRPr="00581A4E">
        <w:rPr>
          <w:noProof/>
        </w:rPr>
        <w:t xml:space="preserve">unei abordări la nivelul întregii administrații în ceea ce privește educația și formarea digitală și a unei cooperări și coordonări consolidate cu și între părțile interesate, inclusiv cu sectorul privat; </w:t>
      </w:r>
    </w:p>
    <w:p w14:paraId="21D14BBA" w14:textId="77777777" w:rsidR="00360628" w:rsidRPr="00581A4E" w:rsidRDefault="002240B1" w:rsidP="00B849C1">
      <w:pPr>
        <w:pStyle w:val="Tiret1"/>
        <w:rPr>
          <w:noProof/>
          <w:szCs w:val="24"/>
        </w:rPr>
      </w:pPr>
      <w:r w:rsidRPr="00581A4E">
        <w:rPr>
          <w:noProof/>
        </w:rPr>
        <w:t>construirii și consolidării parteneriatelor cu profesorii, asigurând, de asemenea, accesul la formare digitală al tuturor profesorilor, pedagogilor și celorlalte categorii de personal și a sprijinului pentru consolidarea capacităților digitale pentru toate instituțiile de educație și formare;</w:t>
      </w:r>
    </w:p>
    <w:p w14:paraId="7552F483" w14:textId="77777777" w:rsidR="008B1F71" w:rsidRPr="00581A4E" w:rsidRDefault="002240B1" w:rsidP="00B849C1">
      <w:pPr>
        <w:pStyle w:val="Tiret1"/>
        <w:rPr>
          <w:noProof/>
          <w:szCs w:val="24"/>
        </w:rPr>
      </w:pPr>
      <w:r w:rsidRPr="00581A4E">
        <w:rPr>
          <w:noProof/>
        </w:rPr>
        <w:t>investițiilor echitabile și axate pe impact într-o educație și formare digitală de înaltă calitate, accesibilă, sigură și favorabilă incluziunii.</w:t>
      </w:r>
    </w:p>
    <w:p w14:paraId="0A7B2C8C" w14:textId="77777777" w:rsidR="00AD7F39" w:rsidRPr="00581A4E" w:rsidRDefault="00AD7F39" w:rsidP="00AD7F39">
      <w:pPr>
        <w:pStyle w:val="ManualHeading2"/>
        <w:rPr>
          <w:noProof/>
          <w:szCs w:val="24"/>
          <w:bdr w:val="none" w:sz="0" w:space="0" w:color="auto" w:frame="1"/>
        </w:rPr>
      </w:pPr>
      <w:r w:rsidRPr="00581A4E">
        <w:rPr>
          <w:noProof/>
          <w:bdr w:val="none" w:sz="0" w:space="0" w:color="auto" w:frame="1"/>
        </w:rPr>
        <w:t>•</w:t>
      </w:r>
      <w:r w:rsidRPr="00581A4E">
        <w:rPr>
          <w:noProof/>
        </w:rPr>
        <w:tab/>
      </w:r>
      <w:r w:rsidRPr="00581A4E">
        <w:rPr>
          <w:noProof/>
          <w:bdr w:val="none" w:sz="0" w:space="0" w:color="auto" w:frame="1"/>
        </w:rPr>
        <w:t>Dimensiunea internațională</w:t>
      </w:r>
    </w:p>
    <w:p w14:paraId="32689A27" w14:textId="77777777" w:rsidR="004553B0" w:rsidRPr="00581A4E" w:rsidRDefault="00AD7F39" w:rsidP="004553B0">
      <w:pPr>
        <w:spacing w:before="0" w:after="200" w:line="276" w:lineRule="auto"/>
        <w:rPr>
          <w:noProof/>
          <w:szCs w:val="24"/>
          <w:shd w:val="clear" w:color="auto" w:fill="FFFFFF"/>
        </w:rPr>
      </w:pPr>
      <w:r w:rsidRPr="00581A4E">
        <w:rPr>
          <w:noProof/>
        </w:rPr>
        <w:t xml:space="preserve">Propunerea este fondată pe activitatea desfășurată la nivel internațional și o completează. Acesta contribuie la </w:t>
      </w:r>
      <w:r w:rsidRPr="00581A4E">
        <w:rPr>
          <w:b/>
          <w:noProof/>
        </w:rPr>
        <w:t>obiectivele de dezvoltare durabilă ale ONU pentru 2030</w:t>
      </w:r>
      <w:r w:rsidRPr="00581A4E">
        <w:rPr>
          <w:rStyle w:val="FootnoteReference"/>
          <w:noProof/>
          <w:szCs w:val="24"/>
        </w:rPr>
        <w:footnoteReference w:id="26"/>
      </w:r>
      <w:r w:rsidRPr="00581A4E">
        <w:rPr>
          <w:noProof/>
        </w:rPr>
        <w:t xml:space="preserve">, în special la ODD 4 privind educația de calitate. </w:t>
      </w:r>
    </w:p>
    <w:p w14:paraId="71EE92D8" w14:textId="77777777" w:rsidR="004553B0" w:rsidRPr="00581A4E" w:rsidRDefault="004553B0" w:rsidP="004553B0">
      <w:pPr>
        <w:spacing w:before="0" w:after="200" w:line="276" w:lineRule="auto"/>
        <w:rPr>
          <w:noProof/>
          <w:szCs w:val="24"/>
          <w:shd w:val="clear" w:color="auto" w:fill="FFFFFF"/>
        </w:rPr>
      </w:pPr>
      <w:r w:rsidRPr="00581A4E">
        <w:rPr>
          <w:noProof/>
          <w:shd w:val="clear" w:color="auto" w:fill="FFFFFF"/>
        </w:rPr>
        <w:t xml:space="preserve">Inițiativa este în concordanță cu lucrările în curs ale foii de parcurs a Secretarului General al </w:t>
      </w:r>
      <w:r w:rsidRPr="00581A4E">
        <w:rPr>
          <w:b/>
          <w:noProof/>
          <w:shd w:val="clear" w:color="auto" w:fill="FFFFFF"/>
        </w:rPr>
        <w:t>Organizației Națiunilor Unite</w:t>
      </w:r>
      <w:r w:rsidRPr="00581A4E">
        <w:rPr>
          <w:noProof/>
          <w:shd w:val="clear" w:color="auto" w:fill="FFFFFF"/>
        </w:rPr>
        <w:t xml:space="preserve"> pentru cooperarea digitală și este aliniată la Apelul la acțiune privind învățarea digitală al Summitului mondial privind transformarea educației.</w:t>
      </w:r>
    </w:p>
    <w:p w14:paraId="68847003" w14:textId="77777777" w:rsidR="00711DEF" w:rsidRPr="00581A4E" w:rsidRDefault="00711DEF" w:rsidP="00711DEF">
      <w:pPr>
        <w:spacing w:before="0" w:after="200" w:line="276" w:lineRule="auto"/>
        <w:rPr>
          <w:noProof/>
          <w:szCs w:val="24"/>
          <w:shd w:val="clear" w:color="auto" w:fill="FFFFFF"/>
        </w:rPr>
      </w:pPr>
      <w:r w:rsidRPr="00581A4E">
        <w:rPr>
          <w:noProof/>
          <w:shd w:val="clear" w:color="auto" w:fill="FFFFFF"/>
        </w:rPr>
        <w:t xml:space="preserve">Propunerea contribuie, de asemenea, la obiectivele strategiei UE </w:t>
      </w:r>
      <w:r w:rsidRPr="00581A4E">
        <w:rPr>
          <w:b/>
          <w:noProof/>
          <w:shd w:val="clear" w:color="auto" w:fill="FFFFFF"/>
        </w:rPr>
        <w:t>„Global Gateway”</w:t>
      </w:r>
      <w:r w:rsidRPr="00581A4E">
        <w:rPr>
          <w:noProof/>
          <w:shd w:val="clear" w:color="auto" w:fill="FFFFFF"/>
        </w:rPr>
        <w:t xml:space="preserve"> de a construi conexiuni durabile și de încredere care să funcționeze pentru oameni și pentru planetă.</w:t>
      </w:r>
    </w:p>
    <w:p w14:paraId="3BCA138F" w14:textId="0A164129" w:rsidR="00AD7F39" w:rsidRPr="00581A4E" w:rsidRDefault="00AD7F39" w:rsidP="00AD7F39">
      <w:pPr>
        <w:spacing w:before="0" w:after="200" w:line="276" w:lineRule="auto"/>
        <w:rPr>
          <w:noProof/>
          <w:szCs w:val="24"/>
        </w:rPr>
      </w:pPr>
      <w:r w:rsidRPr="00581A4E">
        <w:rPr>
          <w:noProof/>
        </w:rPr>
        <w:t>Inițiativa recunoaște importanța colaborării transfrontaliere, în special cu țările partenere vizate de politica de extindere și de politica de vecinătate a UE, inclusiv cu partenerii din Balcanii de Vest, pentru a se asigura că nimeni nu este lăsat în urmă și că oricine are dreptul la o educație de înaltă calitate și favorabilă incluziunii.</w:t>
      </w:r>
    </w:p>
    <w:p w14:paraId="525D2113" w14:textId="77777777" w:rsidR="00FF1FAA" w:rsidRPr="00581A4E" w:rsidRDefault="00AD7F39" w:rsidP="00AD7F39">
      <w:pPr>
        <w:pStyle w:val="ManualHeading2"/>
        <w:rPr>
          <w:noProof/>
          <w:szCs w:val="24"/>
        </w:rPr>
      </w:pPr>
      <w:r w:rsidRPr="00581A4E">
        <w:rPr>
          <w:noProof/>
          <w:bdr w:val="none" w:sz="0" w:space="0" w:color="auto" w:frame="1"/>
        </w:rPr>
        <w:t>•</w:t>
      </w:r>
      <w:r w:rsidRPr="00581A4E">
        <w:rPr>
          <w:noProof/>
        </w:rPr>
        <w:tab/>
      </w:r>
      <w:r w:rsidRPr="00581A4E">
        <w:rPr>
          <w:noProof/>
          <w:bdr w:val="none" w:sz="0" w:space="0" w:color="auto" w:frame="1"/>
        </w:rPr>
        <w:t>Instrumente de sprijinire a punerii în aplicare</w:t>
      </w:r>
    </w:p>
    <w:p w14:paraId="59CAC4B8" w14:textId="77777777" w:rsidR="00FF1FAA" w:rsidRPr="00581A4E" w:rsidRDefault="00FF1FAA" w:rsidP="00FF1FAA">
      <w:pPr>
        <w:spacing w:before="0" w:after="200" w:line="276" w:lineRule="auto"/>
        <w:rPr>
          <w:noProof/>
          <w:szCs w:val="24"/>
        </w:rPr>
      </w:pPr>
      <w:r w:rsidRPr="00581A4E">
        <w:rPr>
          <w:noProof/>
        </w:rPr>
        <w:t>Comisia intenționează să înființeze un Grup la nivel înalt pentru educația și competențele digitale, care să continue în mod oficial coordonarea informală dintre coordonatorii naționali în cadrul dialogului structurat. Acest grup ar reuni cunoștințele de specialitate din domeniul educației și cel digital și ar putea fi utilizat pentru elaborarea de orientări sau alte instrumente care să favorizeze evoluția educației digitale în viitor.  </w:t>
      </w:r>
    </w:p>
    <w:p w14:paraId="52E9B97C" w14:textId="77777777" w:rsidR="00AD7F39" w:rsidRPr="00581A4E" w:rsidRDefault="00AD7F39" w:rsidP="00AD7F39">
      <w:pPr>
        <w:spacing w:before="0" w:after="200" w:line="276" w:lineRule="auto"/>
        <w:rPr>
          <w:noProof/>
          <w:szCs w:val="24"/>
        </w:rPr>
      </w:pPr>
      <w:r w:rsidRPr="00581A4E">
        <w:rPr>
          <w:noProof/>
        </w:rPr>
        <w:t>De asemenea, propunerea va fi sprijinită de:</w:t>
      </w:r>
    </w:p>
    <w:p w14:paraId="6B7DA070" w14:textId="77777777" w:rsidR="00E65141" w:rsidRPr="00581A4E" w:rsidRDefault="00E65141" w:rsidP="00292DAB">
      <w:pPr>
        <w:pStyle w:val="Tiret0"/>
        <w:numPr>
          <w:ilvl w:val="0"/>
          <w:numId w:val="4"/>
        </w:numPr>
        <w:rPr>
          <w:noProof/>
          <w:szCs w:val="24"/>
        </w:rPr>
      </w:pPr>
      <w:r w:rsidRPr="00581A4E">
        <w:rPr>
          <w:noProof/>
        </w:rPr>
        <w:t>Grupul de lucru privind educația digitală: învățare, predare și evaluare;</w:t>
      </w:r>
    </w:p>
    <w:p w14:paraId="4D80D316" w14:textId="77777777" w:rsidR="00AD7F39" w:rsidRPr="00581A4E" w:rsidRDefault="00A22327" w:rsidP="00292DAB">
      <w:pPr>
        <w:pStyle w:val="Tiret0"/>
        <w:numPr>
          <w:ilvl w:val="0"/>
          <w:numId w:val="4"/>
        </w:numPr>
        <w:rPr>
          <w:noProof/>
          <w:szCs w:val="24"/>
        </w:rPr>
      </w:pPr>
      <w:r w:rsidRPr="00581A4E">
        <w:rPr>
          <w:noProof/>
        </w:rPr>
        <w:t>instrumente ale UE, cum ar fi Instrumentul de sprijin tehnic, și finanțare din partea UE, cum ar fi Erasmus+, Fondul social european Plus, Fondul pentru o tranziție justă, Fondul european de dezvoltare regională, Fondul de coeziune, programul „Europa digitală”, Orizont Europa și IVCDCI – Europa globală;</w:t>
      </w:r>
    </w:p>
    <w:p w14:paraId="622ECA22" w14:textId="77777777" w:rsidR="00AD7F39" w:rsidRPr="00581A4E" w:rsidRDefault="002240B1" w:rsidP="00292DAB">
      <w:pPr>
        <w:pStyle w:val="Tiret0"/>
        <w:numPr>
          <w:ilvl w:val="0"/>
          <w:numId w:val="4"/>
        </w:numPr>
        <w:rPr>
          <w:noProof/>
          <w:szCs w:val="24"/>
        </w:rPr>
      </w:pPr>
      <w:r w:rsidRPr="00581A4E">
        <w:rPr>
          <w:noProof/>
        </w:rPr>
        <w:t xml:space="preserve">instrumentele, platformele și comunitățile existente ale UE [Centrul european pentru educația digitală, Centrul european de resurse digitale SALTO, Platforma europeană pentru educația școlară, inclusiv eTwinning, SELFIE, SELFIEforTEACHERS, Platforma electronică pentru educația adulților în Europa (EPALE), platforma Un internet mai bun pentru copii (BIK), Spațiul învățării]; </w:t>
      </w:r>
    </w:p>
    <w:p w14:paraId="380D5DB5" w14:textId="77777777" w:rsidR="00AD7F39" w:rsidRPr="00581A4E" w:rsidRDefault="002240B1" w:rsidP="00292DAB">
      <w:pPr>
        <w:pStyle w:val="Tiret0"/>
        <w:numPr>
          <w:ilvl w:val="0"/>
          <w:numId w:val="6"/>
        </w:numPr>
        <w:rPr>
          <w:noProof/>
          <w:szCs w:val="24"/>
        </w:rPr>
      </w:pPr>
      <w:r w:rsidRPr="00581A4E">
        <w:rPr>
          <w:noProof/>
        </w:rPr>
        <w:t xml:space="preserve">colectarea de date comparative privind factorii favorizanți esențiali din întreaga UE; </w:t>
      </w:r>
    </w:p>
    <w:p w14:paraId="73D0BD0C" w14:textId="77777777" w:rsidR="00AD7F39" w:rsidRPr="00581A4E" w:rsidRDefault="002240B1" w:rsidP="00292DAB">
      <w:pPr>
        <w:pStyle w:val="Tiret0"/>
        <w:numPr>
          <w:ilvl w:val="0"/>
          <w:numId w:val="5"/>
        </w:numPr>
        <w:rPr>
          <w:noProof/>
          <w:szCs w:val="24"/>
        </w:rPr>
      </w:pPr>
      <w:r w:rsidRPr="00581A4E">
        <w:rPr>
          <w:noProof/>
        </w:rPr>
        <w:t>îmbunătățirea datelor și a analizelor prin intermediul Laboratorului de învățare privind investițiile în educație și formare de calitate;</w:t>
      </w:r>
    </w:p>
    <w:p w14:paraId="29F15C76" w14:textId="77777777" w:rsidR="00AD7F39" w:rsidRPr="00581A4E" w:rsidRDefault="002240B1" w:rsidP="00292DAB">
      <w:pPr>
        <w:pStyle w:val="Tiret0"/>
        <w:numPr>
          <w:ilvl w:val="0"/>
          <w:numId w:val="5"/>
        </w:numPr>
        <w:rPr>
          <w:noProof/>
          <w:szCs w:val="24"/>
        </w:rPr>
      </w:pPr>
      <w:r w:rsidRPr="00581A4E">
        <w:rPr>
          <w:noProof/>
        </w:rPr>
        <w:t xml:space="preserve">raportarea și monitorizarea în contextul cadrului strategic al Spațiului european al educației. </w:t>
      </w:r>
    </w:p>
    <w:p w14:paraId="2B74F24F" w14:textId="77777777" w:rsidR="00AD7F39" w:rsidRPr="00581A4E" w:rsidRDefault="00AD7F39" w:rsidP="00AD7F39">
      <w:pPr>
        <w:pStyle w:val="ManualHeading2"/>
        <w:rPr>
          <w:noProof/>
          <w:szCs w:val="24"/>
          <w:bdr w:val="none" w:sz="0" w:space="0" w:color="auto" w:frame="1"/>
        </w:rPr>
      </w:pPr>
      <w:r w:rsidRPr="00581A4E">
        <w:rPr>
          <w:noProof/>
          <w:bdr w:val="none" w:sz="0" w:space="0" w:color="auto" w:frame="1"/>
        </w:rPr>
        <w:t>•</w:t>
      </w:r>
      <w:r w:rsidRPr="00581A4E">
        <w:rPr>
          <w:noProof/>
        </w:rPr>
        <w:tab/>
      </w:r>
      <w:r w:rsidRPr="00581A4E">
        <w:rPr>
          <w:noProof/>
          <w:bdr w:val="none" w:sz="0" w:space="0" w:color="auto" w:frame="1"/>
        </w:rPr>
        <w:t>Complementaritatea cu alte inițiative</w:t>
      </w:r>
    </w:p>
    <w:p w14:paraId="40809991" w14:textId="77777777" w:rsidR="00AD7F39" w:rsidRPr="00581A4E" w:rsidRDefault="00AD7F39" w:rsidP="00AD7F39">
      <w:pPr>
        <w:spacing w:before="0" w:after="200" w:line="276" w:lineRule="auto"/>
        <w:rPr>
          <w:noProof/>
          <w:szCs w:val="24"/>
        </w:rPr>
      </w:pPr>
      <w:r w:rsidRPr="00581A4E">
        <w:rPr>
          <w:noProof/>
        </w:rPr>
        <w:t xml:space="preserve">Propunerea completează și contribuie la punerea în aplicare a altor inițiative ale Comisiei prezentate în cadrul: </w:t>
      </w:r>
    </w:p>
    <w:p w14:paraId="2090137D" w14:textId="77777777" w:rsidR="00AD7F39" w:rsidRPr="00581A4E" w:rsidRDefault="00AD7F39" w:rsidP="00292DAB">
      <w:pPr>
        <w:pStyle w:val="Tiret0"/>
        <w:numPr>
          <w:ilvl w:val="0"/>
          <w:numId w:val="7"/>
        </w:numPr>
        <w:rPr>
          <w:noProof/>
          <w:szCs w:val="24"/>
        </w:rPr>
      </w:pPr>
      <w:r w:rsidRPr="00581A4E">
        <w:rPr>
          <w:noProof/>
        </w:rPr>
        <w:t>Comunicării privind Spațiul european al educației</w:t>
      </w:r>
      <w:r w:rsidRPr="00581A4E">
        <w:rPr>
          <w:rStyle w:val="FootnoteReference"/>
          <w:noProof/>
          <w:szCs w:val="24"/>
        </w:rPr>
        <w:footnoteReference w:id="27"/>
      </w:r>
      <w:r w:rsidRPr="00581A4E">
        <w:rPr>
          <w:noProof/>
        </w:rPr>
        <w:t xml:space="preserve">; </w:t>
      </w:r>
    </w:p>
    <w:p w14:paraId="524864A5" w14:textId="77777777" w:rsidR="00AD7F39" w:rsidRPr="00581A4E" w:rsidRDefault="00AD7F39" w:rsidP="00292DAB">
      <w:pPr>
        <w:pStyle w:val="Tiret0"/>
        <w:numPr>
          <w:ilvl w:val="0"/>
          <w:numId w:val="7"/>
        </w:numPr>
        <w:rPr>
          <w:noProof/>
          <w:szCs w:val="24"/>
        </w:rPr>
      </w:pPr>
      <w:r w:rsidRPr="00581A4E">
        <w:rPr>
          <w:noProof/>
        </w:rPr>
        <w:t>Planului de acțiune pentru educația digitală 2021-2027</w:t>
      </w:r>
      <w:r w:rsidRPr="00581A4E">
        <w:rPr>
          <w:rStyle w:val="FootnoteReference"/>
          <w:noProof/>
          <w:szCs w:val="24"/>
        </w:rPr>
        <w:footnoteReference w:id="28"/>
      </w:r>
      <w:r w:rsidRPr="00581A4E">
        <w:rPr>
          <w:noProof/>
        </w:rPr>
        <w:t xml:space="preserve">; </w:t>
      </w:r>
    </w:p>
    <w:p w14:paraId="3E49FDA9" w14:textId="77777777" w:rsidR="00AD7F39" w:rsidRPr="00581A4E" w:rsidRDefault="00AD7F39" w:rsidP="00292DAB">
      <w:pPr>
        <w:pStyle w:val="Tiret0"/>
        <w:numPr>
          <w:ilvl w:val="0"/>
          <w:numId w:val="7"/>
        </w:numPr>
        <w:rPr>
          <w:noProof/>
          <w:szCs w:val="24"/>
        </w:rPr>
      </w:pPr>
      <w:r w:rsidRPr="00581A4E">
        <w:rPr>
          <w:noProof/>
        </w:rPr>
        <w:t>Agendei europene pentru competențe în scopul promovării competitivității durabile, a echității sociale și a rezilienței</w:t>
      </w:r>
      <w:r w:rsidRPr="00581A4E">
        <w:rPr>
          <w:rStyle w:val="FootnoteReference"/>
          <w:noProof/>
          <w:szCs w:val="24"/>
        </w:rPr>
        <w:footnoteReference w:id="29"/>
      </w:r>
      <w:r w:rsidRPr="00581A4E">
        <w:rPr>
          <w:noProof/>
        </w:rPr>
        <w:t xml:space="preserve">; </w:t>
      </w:r>
    </w:p>
    <w:p w14:paraId="37950F91" w14:textId="77777777" w:rsidR="007E5330" w:rsidRPr="00581A4E" w:rsidRDefault="00AD7F39" w:rsidP="00292DAB">
      <w:pPr>
        <w:pStyle w:val="Tiret0"/>
        <w:numPr>
          <w:ilvl w:val="0"/>
          <w:numId w:val="7"/>
        </w:numPr>
        <w:rPr>
          <w:noProof/>
          <w:szCs w:val="24"/>
        </w:rPr>
      </w:pPr>
      <w:r w:rsidRPr="00581A4E">
        <w:rPr>
          <w:noProof/>
        </w:rPr>
        <w:t>Programului de politică privind deceniul digital</w:t>
      </w:r>
      <w:r w:rsidRPr="00581A4E">
        <w:rPr>
          <w:rStyle w:val="FootnoteReference"/>
          <w:noProof/>
          <w:szCs w:val="24"/>
        </w:rPr>
        <w:footnoteReference w:id="30"/>
      </w:r>
      <w:r w:rsidRPr="00581A4E">
        <w:rPr>
          <w:noProof/>
        </w:rPr>
        <w:t>;</w:t>
      </w:r>
    </w:p>
    <w:p w14:paraId="6C82F8FA" w14:textId="77777777" w:rsidR="00711DEF" w:rsidRPr="00581A4E" w:rsidRDefault="007E5330" w:rsidP="00711DEF">
      <w:pPr>
        <w:pStyle w:val="Tiret0"/>
        <w:numPr>
          <w:ilvl w:val="0"/>
          <w:numId w:val="7"/>
        </w:numPr>
        <w:rPr>
          <w:noProof/>
        </w:rPr>
      </w:pPr>
      <w:r w:rsidRPr="00581A4E">
        <w:rPr>
          <w:noProof/>
        </w:rPr>
        <w:t xml:space="preserve">Academiei de competențe în materie de securitate cibernetică. </w:t>
      </w:r>
    </w:p>
    <w:p w14:paraId="77967DB6" w14:textId="77777777" w:rsidR="00AD7F39" w:rsidRPr="00581A4E" w:rsidRDefault="00AD7F39" w:rsidP="00AD7F39">
      <w:pPr>
        <w:pStyle w:val="ManualHeading1"/>
        <w:rPr>
          <w:noProof/>
          <w:szCs w:val="24"/>
        </w:rPr>
      </w:pPr>
      <w:r w:rsidRPr="00581A4E">
        <w:rPr>
          <w:noProof/>
        </w:rPr>
        <w:t>2.</w:t>
      </w:r>
      <w:r w:rsidRPr="00581A4E">
        <w:rPr>
          <w:noProof/>
        </w:rPr>
        <w:tab/>
        <w:t>TEMEI JURIDIC, SUBSIDIARITATE ȘI PROPORȚIONALITATE</w:t>
      </w:r>
    </w:p>
    <w:p w14:paraId="6361A8B9" w14:textId="77777777" w:rsidR="00AD7F39" w:rsidRPr="00581A4E" w:rsidRDefault="00AD7F39" w:rsidP="000A21B8">
      <w:pPr>
        <w:pStyle w:val="ManualHeading2"/>
        <w:rPr>
          <w:noProof/>
          <w:szCs w:val="24"/>
          <w:bdr w:val="none" w:sz="0" w:space="0" w:color="auto" w:frame="1"/>
        </w:rPr>
      </w:pPr>
      <w:r w:rsidRPr="00581A4E">
        <w:rPr>
          <w:noProof/>
          <w:bdr w:val="none" w:sz="0" w:space="0" w:color="auto" w:frame="1"/>
        </w:rPr>
        <w:t>•</w:t>
      </w:r>
      <w:r w:rsidRPr="00581A4E">
        <w:rPr>
          <w:noProof/>
        </w:rPr>
        <w:tab/>
      </w:r>
      <w:r w:rsidRPr="00581A4E">
        <w:rPr>
          <w:noProof/>
          <w:bdr w:val="none" w:sz="0" w:space="0" w:color="auto" w:frame="1"/>
        </w:rPr>
        <w:t>Temeiul juridic</w:t>
      </w:r>
    </w:p>
    <w:p w14:paraId="3492B9EB" w14:textId="77777777" w:rsidR="00AD7F39" w:rsidRPr="00581A4E" w:rsidRDefault="00AD7F39" w:rsidP="00AD7F39">
      <w:pPr>
        <w:spacing w:before="0" w:after="200" w:line="276" w:lineRule="auto"/>
        <w:rPr>
          <w:noProof/>
          <w:szCs w:val="24"/>
        </w:rPr>
      </w:pPr>
      <w:r w:rsidRPr="00581A4E">
        <w:rPr>
          <w:noProof/>
        </w:rPr>
        <w:t xml:space="preserve">Propunerea este conformă cu articolele 165 și 166 din Tratatul privind funcționarea Uniunii Europene (TFUE). </w:t>
      </w:r>
    </w:p>
    <w:p w14:paraId="7BF337BF" w14:textId="77777777" w:rsidR="00AD7F39" w:rsidRPr="00581A4E" w:rsidRDefault="00AD7F39" w:rsidP="000A21B8">
      <w:pPr>
        <w:pStyle w:val="ManualHeading2"/>
        <w:rPr>
          <w:noProof/>
          <w:szCs w:val="24"/>
          <w:bdr w:val="none" w:sz="0" w:space="0" w:color="auto" w:frame="1"/>
        </w:rPr>
      </w:pPr>
      <w:r w:rsidRPr="00581A4E">
        <w:rPr>
          <w:noProof/>
          <w:bdr w:val="none" w:sz="0" w:space="0" w:color="auto" w:frame="1"/>
        </w:rPr>
        <w:t>•</w:t>
      </w:r>
      <w:r w:rsidRPr="00581A4E">
        <w:rPr>
          <w:noProof/>
        </w:rPr>
        <w:tab/>
      </w:r>
      <w:r w:rsidRPr="00581A4E">
        <w:rPr>
          <w:noProof/>
          <w:bdr w:val="none" w:sz="0" w:space="0" w:color="auto" w:frame="1"/>
        </w:rPr>
        <w:t xml:space="preserve">Subsidiaritatea (în cazul competențelor neexclusive) </w:t>
      </w:r>
    </w:p>
    <w:p w14:paraId="3CAE9040" w14:textId="77777777" w:rsidR="00AD7F39" w:rsidRPr="00581A4E" w:rsidRDefault="00AD7F39" w:rsidP="00AD7F39">
      <w:pPr>
        <w:spacing w:before="0" w:after="200" w:line="276" w:lineRule="auto"/>
        <w:rPr>
          <w:noProof/>
          <w:szCs w:val="24"/>
        </w:rPr>
      </w:pPr>
      <w:r w:rsidRPr="00581A4E">
        <w:rPr>
          <w:noProof/>
        </w:rPr>
        <w:t xml:space="preserve">Propunerea este conformă cu principiul subsidiarității, astfel cum este prevăzut la articolul 5 alineatul (3) din Tratatul privind Uniunea Europeană (TUE). </w:t>
      </w:r>
    </w:p>
    <w:p w14:paraId="0FE0B674" w14:textId="77777777" w:rsidR="00AD7F39" w:rsidRPr="00581A4E" w:rsidRDefault="00AD7F39" w:rsidP="00AD7F39">
      <w:pPr>
        <w:spacing w:before="0" w:after="200" w:line="276" w:lineRule="auto"/>
        <w:rPr>
          <w:noProof/>
          <w:szCs w:val="24"/>
        </w:rPr>
      </w:pPr>
      <w:r w:rsidRPr="00581A4E">
        <w:rPr>
          <w:noProof/>
        </w:rPr>
        <w:t>Propunerea respectă pe deplin responsabilitatea statelor membre față de conținutul învățământului și de organizarea sistemului educațional, precum și diversitatea lor culturală și lingvistică, reflectând rolul de completare și de sprijin al UE, precum și caracterul voluntar al cooperării europene în cadrul educației și formării. În contextul Spațiului european al educației, inițiativa va sprijini eforturile statelor membre de a elabora și de a pune în aplicare politici și mecanisme, în funcție de sistemele și structurile lor naționale.</w:t>
      </w:r>
    </w:p>
    <w:p w14:paraId="3AC43364" w14:textId="77777777" w:rsidR="00AD7F39" w:rsidRPr="00581A4E" w:rsidRDefault="00AD7F39" w:rsidP="00AD7F39">
      <w:pPr>
        <w:spacing w:before="0" w:after="200" w:line="276" w:lineRule="auto"/>
        <w:rPr>
          <w:noProof/>
          <w:szCs w:val="24"/>
        </w:rPr>
      </w:pPr>
      <w:r w:rsidRPr="00581A4E">
        <w:rPr>
          <w:noProof/>
        </w:rPr>
        <w:t xml:space="preserve">Inițiativa nu propune nicio extindere a competenței de reglementare a UE sau a angajamentelor cu caracter obligatoriu care revin statelor membre. Valoarea sa adăugată europeană constă în capacitatea UE de a mobiliza angajamentul politic și de a sprijini sistemele de educație și formare prin orientări politice, mijloace și instrumente comune. </w:t>
      </w:r>
    </w:p>
    <w:p w14:paraId="13F46676" w14:textId="77777777" w:rsidR="00AD7F39" w:rsidRPr="00581A4E" w:rsidRDefault="00AD7F39" w:rsidP="000A21B8">
      <w:pPr>
        <w:pStyle w:val="ManualHeading2"/>
        <w:rPr>
          <w:noProof/>
          <w:szCs w:val="24"/>
        </w:rPr>
      </w:pPr>
      <w:r w:rsidRPr="00581A4E">
        <w:rPr>
          <w:noProof/>
          <w:bdr w:val="none" w:sz="0" w:space="0" w:color="auto" w:frame="1"/>
        </w:rPr>
        <w:t>•</w:t>
      </w:r>
      <w:r w:rsidRPr="00581A4E">
        <w:rPr>
          <w:noProof/>
        </w:rPr>
        <w:tab/>
      </w:r>
      <w:r w:rsidRPr="00581A4E">
        <w:rPr>
          <w:noProof/>
          <w:bdr w:val="none" w:sz="0" w:space="0" w:color="auto" w:frame="1"/>
        </w:rPr>
        <w:t>Proporționalitatea</w:t>
      </w:r>
    </w:p>
    <w:p w14:paraId="220B7C42" w14:textId="77777777" w:rsidR="00AD7F39" w:rsidRPr="00581A4E" w:rsidRDefault="00AD7F39" w:rsidP="00AD7F39">
      <w:pPr>
        <w:spacing w:before="0" w:after="200" w:line="276" w:lineRule="auto"/>
        <w:rPr>
          <w:noProof/>
          <w:szCs w:val="24"/>
        </w:rPr>
      </w:pPr>
      <w:r w:rsidRPr="00581A4E">
        <w:rPr>
          <w:noProof/>
        </w:rPr>
        <w:t>Propunerea respectă principiul proporționalității, astfel cum este prevăzut la articolul 5 alineatul (4) din TUE.</w:t>
      </w:r>
    </w:p>
    <w:p w14:paraId="2DAABD14" w14:textId="77777777" w:rsidR="00AD7F39" w:rsidRPr="00581A4E" w:rsidRDefault="00AD7F39" w:rsidP="00AD7F39">
      <w:pPr>
        <w:spacing w:before="0" w:after="200" w:line="276" w:lineRule="auto"/>
        <w:rPr>
          <w:noProof/>
          <w:szCs w:val="24"/>
        </w:rPr>
      </w:pPr>
      <w:r w:rsidRPr="00581A4E">
        <w:rPr>
          <w:noProof/>
        </w:rPr>
        <w:t xml:space="preserve">Nici conținutul, nici forma prezentei propuneri nu depășesc ceea ce este necesar pentru atingerea obiectivelor sale. Angajamentele pe care și le vor asuma statele membre au un caracter voluntar și fiecare stat membru rămâne liber să decidă cu privire la modalitățile de a pune în aplicare propunerea. </w:t>
      </w:r>
    </w:p>
    <w:p w14:paraId="0A247E96" w14:textId="77777777" w:rsidR="00AD7F39" w:rsidRPr="00581A4E" w:rsidRDefault="00AD7F39" w:rsidP="000A21B8">
      <w:pPr>
        <w:pStyle w:val="ManualHeading2"/>
        <w:rPr>
          <w:noProof/>
          <w:szCs w:val="24"/>
          <w:bdr w:val="none" w:sz="0" w:space="0" w:color="auto" w:frame="1"/>
        </w:rPr>
      </w:pPr>
      <w:r w:rsidRPr="00581A4E">
        <w:rPr>
          <w:noProof/>
          <w:bdr w:val="none" w:sz="0" w:space="0" w:color="auto" w:frame="1"/>
        </w:rPr>
        <w:t>•</w:t>
      </w:r>
      <w:r w:rsidRPr="00581A4E">
        <w:rPr>
          <w:noProof/>
        </w:rPr>
        <w:tab/>
      </w:r>
      <w:r w:rsidRPr="00581A4E">
        <w:rPr>
          <w:noProof/>
          <w:bdr w:val="none" w:sz="0" w:space="0" w:color="auto" w:frame="1"/>
        </w:rPr>
        <w:t>Alegerea instrumentului</w:t>
      </w:r>
    </w:p>
    <w:p w14:paraId="3518FD8F" w14:textId="77777777" w:rsidR="00AD7F39" w:rsidRPr="00581A4E" w:rsidRDefault="00AD7F39" w:rsidP="00AD7F39">
      <w:pPr>
        <w:spacing w:before="0" w:after="200" w:line="276" w:lineRule="auto"/>
        <w:rPr>
          <w:noProof/>
          <w:szCs w:val="24"/>
        </w:rPr>
      </w:pPr>
      <w:r w:rsidRPr="00581A4E">
        <w:rPr>
          <w:noProof/>
        </w:rPr>
        <w:t>Pentru a contribui la realizarea obiectivelor menționate la articolele 165 și 166 din TFUE, tratatul autorizează adoptarea de recomandări de către Consiliu, pe baza unei propuneri din partea Comisiei.</w:t>
      </w:r>
    </w:p>
    <w:p w14:paraId="1AC43237" w14:textId="77777777" w:rsidR="00AD7F39" w:rsidRPr="00581A4E" w:rsidRDefault="00AD7F39" w:rsidP="00AD7F39">
      <w:pPr>
        <w:spacing w:before="0" w:after="200" w:line="276" w:lineRule="auto"/>
        <w:rPr>
          <w:noProof/>
          <w:szCs w:val="24"/>
        </w:rPr>
      </w:pPr>
      <w:r w:rsidRPr="00581A4E">
        <w:rPr>
          <w:noProof/>
        </w:rPr>
        <w:t xml:space="preserve">O recomandare a Consiliului este un instrument adecvat în domeniul educației și formării, în cadrul căruia UE are o responsabilitate de susținere, și este un instrument care a fost utilizat în mod frecvent pentru acțiunile europene în domeniile respective. </w:t>
      </w:r>
    </w:p>
    <w:p w14:paraId="73C72498" w14:textId="77777777" w:rsidR="00AD7F39" w:rsidRPr="00581A4E" w:rsidRDefault="000A21B8" w:rsidP="000A21B8">
      <w:pPr>
        <w:pStyle w:val="ManualHeading1"/>
        <w:rPr>
          <w:noProof/>
          <w:szCs w:val="24"/>
        </w:rPr>
      </w:pPr>
      <w:r w:rsidRPr="00581A4E">
        <w:rPr>
          <w:noProof/>
        </w:rPr>
        <w:t>3.</w:t>
      </w:r>
      <w:r w:rsidRPr="00581A4E">
        <w:rPr>
          <w:noProof/>
        </w:rPr>
        <w:tab/>
        <w:t xml:space="preserve">REZULTATELE EVALUĂRILOR </w:t>
      </w:r>
      <w:r w:rsidRPr="00581A4E">
        <w:rPr>
          <w:i/>
          <w:noProof/>
        </w:rPr>
        <w:t>EX POST</w:t>
      </w:r>
      <w:r w:rsidRPr="00581A4E">
        <w:rPr>
          <w:noProof/>
        </w:rPr>
        <w:t>, ALE CONSULTĂRILOR CU PĂRȚILE INTERESATE ȘI ALE EVALUĂRILOR IMPACTULUI</w:t>
      </w:r>
    </w:p>
    <w:p w14:paraId="39D3D966" w14:textId="77777777" w:rsidR="00AD7F39" w:rsidRPr="00581A4E" w:rsidRDefault="00E37D48" w:rsidP="00E37D48">
      <w:pPr>
        <w:pStyle w:val="ManualHeading2"/>
        <w:rPr>
          <w:noProof/>
          <w:szCs w:val="24"/>
          <w:bdr w:val="none" w:sz="0" w:space="0" w:color="auto" w:frame="1"/>
        </w:rPr>
      </w:pPr>
      <w:r w:rsidRPr="00581A4E">
        <w:rPr>
          <w:noProof/>
          <w:bdr w:val="none" w:sz="0" w:space="0" w:color="auto" w:frame="1"/>
        </w:rPr>
        <w:t>•</w:t>
      </w:r>
      <w:r w:rsidRPr="00581A4E">
        <w:rPr>
          <w:noProof/>
        </w:rPr>
        <w:tab/>
      </w:r>
      <w:r w:rsidRPr="00581A4E">
        <w:rPr>
          <w:noProof/>
          <w:bdr w:val="none" w:sz="0" w:space="0" w:color="auto" w:frame="1"/>
        </w:rPr>
        <w:t xml:space="preserve">Evaluările </w:t>
      </w:r>
      <w:r w:rsidRPr="00581A4E">
        <w:rPr>
          <w:i/>
          <w:noProof/>
          <w:bdr w:val="none" w:sz="0" w:space="0" w:color="auto" w:frame="1"/>
        </w:rPr>
        <w:t>ex post</w:t>
      </w:r>
      <w:r w:rsidRPr="00581A4E">
        <w:rPr>
          <w:noProof/>
          <w:bdr w:val="none" w:sz="0" w:space="0" w:color="auto" w:frame="1"/>
        </w:rPr>
        <w:t>/verificarea adecvării legislației existente</w:t>
      </w:r>
    </w:p>
    <w:p w14:paraId="0F47F367" w14:textId="77777777" w:rsidR="00AD7F39" w:rsidRPr="00581A4E" w:rsidRDefault="00AD7F39" w:rsidP="007E5330">
      <w:pPr>
        <w:spacing w:before="0" w:after="200" w:line="276" w:lineRule="auto"/>
        <w:rPr>
          <w:noProof/>
          <w:sz w:val="22"/>
        </w:rPr>
      </w:pPr>
      <w:r w:rsidRPr="00581A4E">
        <w:rPr>
          <w:noProof/>
        </w:rPr>
        <w:t>În documentul de lucru al serviciilor Comisiei care însoțește Comunicarea privind Planul de acțiune pentru educația digitală 2021-2027</w:t>
      </w:r>
      <w:r w:rsidRPr="00581A4E">
        <w:rPr>
          <w:rStyle w:val="FootnoteReference"/>
          <w:noProof/>
          <w:szCs w:val="24"/>
        </w:rPr>
        <w:footnoteReference w:id="31"/>
      </w:r>
      <w:r w:rsidRPr="00581A4E">
        <w:rPr>
          <w:noProof/>
        </w:rPr>
        <w:t xml:space="preserve"> a fost efectuată o evaluare a oportunităților și a provocărilor pe care transformarea digitală le aduce educației și formării. </w:t>
      </w:r>
    </w:p>
    <w:p w14:paraId="5651659F" w14:textId="77777777" w:rsidR="00A32936" w:rsidRPr="00581A4E" w:rsidRDefault="00A32936" w:rsidP="00A32936">
      <w:pPr>
        <w:spacing w:before="0" w:after="200" w:line="276" w:lineRule="auto"/>
        <w:rPr>
          <w:noProof/>
          <w:sz w:val="22"/>
        </w:rPr>
      </w:pPr>
      <w:r w:rsidRPr="00581A4E">
        <w:rPr>
          <w:noProof/>
        </w:rPr>
        <w:t>Comisia va realiza o revizuire cuprinzătoare a planului de acțiune în 2024, pentru a evalua activitățile de informare și impactul acestuia.</w:t>
      </w:r>
    </w:p>
    <w:p w14:paraId="0BB46F3D" w14:textId="77777777" w:rsidR="00AD7F39" w:rsidRPr="00581A4E" w:rsidRDefault="00AD7F39" w:rsidP="00AD7F39">
      <w:pPr>
        <w:spacing w:before="0" w:after="200" w:line="276" w:lineRule="auto"/>
        <w:rPr>
          <w:noProof/>
          <w:szCs w:val="24"/>
        </w:rPr>
      </w:pPr>
      <w:r w:rsidRPr="00581A4E">
        <w:rPr>
          <w:noProof/>
        </w:rPr>
        <w:t>Prezenta propunere reunește constatările respective și rezultatele dialogului structurat cu statele membre, care au discutat gradul de pregătire a cadrelor și a legislației naționale existente pentru a răspunde nevoilor legate de educația și competențele digitale.</w:t>
      </w:r>
    </w:p>
    <w:p w14:paraId="241C2EE9" w14:textId="77777777" w:rsidR="00AD7F39" w:rsidRPr="00581A4E" w:rsidRDefault="00AD7F39" w:rsidP="0011512A">
      <w:pPr>
        <w:pStyle w:val="ManualHeading2"/>
        <w:rPr>
          <w:noProof/>
          <w:szCs w:val="24"/>
          <w:bdr w:val="none" w:sz="0" w:space="0" w:color="auto" w:frame="1"/>
        </w:rPr>
      </w:pPr>
      <w:r w:rsidRPr="00581A4E">
        <w:rPr>
          <w:noProof/>
          <w:bdr w:val="none" w:sz="0" w:space="0" w:color="auto" w:frame="1"/>
        </w:rPr>
        <w:t>•</w:t>
      </w:r>
      <w:r w:rsidRPr="00581A4E">
        <w:rPr>
          <w:noProof/>
        </w:rPr>
        <w:tab/>
      </w:r>
      <w:r w:rsidRPr="00581A4E">
        <w:rPr>
          <w:noProof/>
          <w:bdr w:val="none" w:sz="0" w:space="0" w:color="auto" w:frame="1"/>
        </w:rPr>
        <w:t>Consultările cu părțile interesate</w:t>
      </w:r>
    </w:p>
    <w:p w14:paraId="68405983" w14:textId="77777777" w:rsidR="00AD7F39" w:rsidRPr="00581A4E" w:rsidRDefault="00AD7F39" w:rsidP="00AD7F39">
      <w:pPr>
        <w:spacing w:before="0" w:after="200" w:line="276" w:lineRule="auto"/>
        <w:rPr>
          <w:noProof/>
          <w:szCs w:val="24"/>
        </w:rPr>
      </w:pPr>
      <w:r w:rsidRPr="00581A4E">
        <w:rPr>
          <w:noProof/>
        </w:rPr>
        <w:t>Propunerea se bazează pe rezultatele consultării publice privind Planul de acțiune pentru educația digitală 2021-2027</w:t>
      </w:r>
      <w:r w:rsidRPr="00581A4E">
        <w:rPr>
          <w:rStyle w:val="FootnoteReference"/>
          <w:noProof/>
          <w:szCs w:val="24"/>
        </w:rPr>
        <w:footnoteReference w:id="32"/>
      </w:r>
      <w:r w:rsidRPr="00581A4E">
        <w:rPr>
          <w:noProof/>
        </w:rPr>
        <w:t xml:space="preserve"> și pe contribuțiile colectate în cursul unui amplu proces de consultare</w:t>
      </w:r>
      <w:r w:rsidRPr="00581A4E">
        <w:rPr>
          <w:rStyle w:val="FootnoteReference"/>
          <w:noProof/>
          <w:szCs w:val="24"/>
        </w:rPr>
        <w:footnoteReference w:id="33"/>
      </w:r>
      <w:r w:rsidRPr="00581A4E">
        <w:rPr>
          <w:noProof/>
        </w:rPr>
        <w:t xml:space="preserve">. </w:t>
      </w:r>
    </w:p>
    <w:p w14:paraId="07B6F1A0" w14:textId="77777777" w:rsidR="00AD7F39" w:rsidRPr="00581A4E" w:rsidRDefault="00AD7F39" w:rsidP="0011512A">
      <w:pPr>
        <w:pStyle w:val="ManualHeading2"/>
        <w:rPr>
          <w:noProof/>
          <w:szCs w:val="24"/>
          <w:bdr w:val="none" w:sz="0" w:space="0" w:color="auto" w:frame="1"/>
        </w:rPr>
      </w:pPr>
      <w:r w:rsidRPr="00581A4E">
        <w:rPr>
          <w:noProof/>
          <w:bdr w:val="none" w:sz="0" w:space="0" w:color="auto" w:frame="1"/>
        </w:rPr>
        <w:t>•</w:t>
      </w:r>
      <w:r w:rsidRPr="00581A4E">
        <w:rPr>
          <w:noProof/>
        </w:rPr>
        <w:tab/>
      </w:r>
      <w:r w:rsidRPr="00581A4E">
        <w:rPr>
          <w:noProof/>
          <w:bdr w:val="none" w:sz="0" w:space="0" w:color="auto" w:frame="1"/>
        </w:rPr>
        <w:t>Obținerea și utilizarea cunoștințelor de specialitate</w:t>
      </w:r>
    </w:p>
    <w:p w14:paraId="10604458" w14:textId="77777777" w:rsidR="00AD7F39" w:rsidRPr="00581A4E" w:rsidRDefault="00AD7F39" w:rsidP="00AD7F39">
      <w:pPr>
        <w:spacing w:before="0" w:after="200" w:line="276" w:lineRule="auto"/>
        <w:jc w:val="left"/>
        <w:rPr>
          <w:noProof/>
          <w:szCs w:val="24"/>
        </w:rPr>
      </w:pPr>
      <w:r w:rsidRPr="00581A4E">
        <w:rPr>
          <w:noProof/>
        </w:rPr>
        <w:t xml:space="preserve">Propunerea se bazează pe: </w:t>
      </w:r>
    </w:p>
    <w:p w14:paraId="582AA6CE" w14:textId="77777777" w:rsidR="00AD7F39" w:rsidRPr="00581A4E" w:rsidRDefault="002240B1" w:rsidP="00292DAB">
      <w:pPr>
        <w:pStyle w:val="Tiret0"/>
        <w:numPr>
          <w:ilvl w:val="0"/>
          <w:numId w:val="8"/>
        </w:numPr>
        <w:rPr>
          <w:noProof/>
          <w:szCs w:val="24"/>
        </w:rPr>
      </w:pPr>
      <w:r w:rsidRPr="00581A4E">
        <w:rPr>
          <w:noProof/>
        </w:rPr>
        <w:t>rezultatele dialogului structurat cu statele membre privind educația și competențele digitale;</w:t>
      </w:r>
    </w:p>
    <w:p w14:paraId="774E0792" w14:textId="77777777" w:rsidR="00AD7F39" w:rsidRPr="00581A4E" w:rsidRDefault="002240B1" w:rsidP="00292DAB">
      <w:pPr>
        <w:pStyle w:val="Tiret0"/>
        <w:numPr>
          <w:ilvl w:val="0"/>
          <w:numId w:val="8"/>
        </w:numPr>
        <w:rPr>
          <w:noProof/>
          <w:szCs w:val="24"/>
        </w:rPr>
      </w:pPr>
      <w:r w:rsidRPr="00581A4E">
        <w:rPr>
          <w:noProof/>
        </w:rPr>
        <w:t>lecțiile învățate din punerea în aplicare a cadrului strategic al Spațiului european al educației, a Monitorului educației și formării și a contribuțiilor Grupului de lucru privind educația digitală: învățare, predare și evaluare (DELTA);</w:t>
      </w:r>
    </w:p>
    <w:p w14:paraId="07856AF9" w14:textId="77777777" w:rsidR="00AD7F39" w:rsidRPr="00581A4E" w:rsidRDefault="002240B1" w:rsidP="00292DAB">
      <w:pPr>
        <w:pStyle w:val="Tiret0"/>
        <w:numPr>
          <w:ilvl w:val="0"/>
          <w:numId w:val="8"/>
        </w:numPr>
        <w:rPr>
          <w:noProof/>
          <w:szCs w:val="24"/>
        </w:rPr>
      </w:pPr>
      <w:r w:rsidRPr="00581A4E">
        <w:rPr>
          <w:noProof/>
        </w:rPr>
        <w:t xml:space="preserve">o gamă largă de rapoarte și studii privind impactul crizei provocate de pandemia de COVID-19, echitatea în educație, sistemele favorabile incluziunii etc.; </w:t>
      </w:r>
    </w:p>
    <w:p w14:paraId="24657A8C" w14:textId="77777777" w:rsidR="00AD7F39" w:rsidRPr="00581A4E" w:rsidRDefault="00AD7F39" w:rsidP="00292DAB">
      <w:pPr>
        <w:pStyle w:val="Tiret0"/>
        <w:numPr>
          <w:ilvl w:val="0"/>
          <w:numId w:val="8"/>
        </w:numPr>
        <w:rPr>
          <w:noProof/>
          <w:szCs w:val="24"/>
        </w:rPr>
      </w:pPr>
      <w:r w:rsidRPr="00581A4E">
        <w:rPr>
          <w:noProof/>
        </w:rPr>
        <w:t>rapoartele privind indicele economiei și societății digitale (DESI);</w:t>
      </w:r>
    </w:p>
    <w:p w14:paraId="641B0727" w14:textId="29DEC2B9" w:rsidR="00AD7F39" w:rsidRPr="00581A4E" w:rsidRDefault="00AD7F39" w:rsidP="00292DAB">
      <w:pPr>
        <w:pStyle w:val="Tiret0"/>
        <w:numPr>
          <w:ilvl w:val="0"/>
          <w:numId w:val="8"/>
        </w:numPr>
        <w:rPr>
          <w:noProof/>
          <w:szCs w:val="24"/>
        </w:rPr>
      </w:pPr>
      <w:r w:rsidRPr="00581A4E">
        <w:rPr>
          <w:noProof/>
        </w:rPr>
        <w:t xml:space="preserve">raportul OCDE intitulat </w:t>
      </w:r>
      <w:r w:rsidRPr="00581A4E">
        <w:rPr>
          <w:i/>
          <w:noProof/>
        </w:rPr>
        <w:t>Enabling factors for effective and fair digital education:</w:t>
      </w:r>
      <w:r w:rsidRPr="00581A4E">
        <w:rPr>
          <w:noProof/>
        </w:rPr>
        <w:t xml:space="preserve"> </w:t>
      </w:r>
      <w:r w:rsidRPr="00581A4E">
        <w:rPr>
          <w:i/>
          <w:noProof/>
        </w:rPr>
        <w:t>state of play and promising policies</w:t>
      </w:r>
      <w:r w:rsidRPr="00581A4E">
        <w:rPr>
          <w:noProof/>
        </w:rPr>
        <w:t xml:space="preserve"> (Factori care favorizează o educație digitală eficace și echitabilă: situația ac</w:t>
      </w:r>
      <w:r w:rsidR="0000618A">
        <w:rPr>
          <w:noProof/>
        </w:rPr>
        <w:t>tuală și politici promițătoare).</w:t>
      </w:r>
    </w:p>
    <w:p w14:paraId="7BEE4924" w14:textId="77777777" w:rsidR="00AD7F39" w:rsidRPr="00581A4E" w:rsidRDefault="00AD7F39" w:rsidP="0011512A">
      <w:pPr>
        <w:pStyle w:val="ManualHeading2"/>
        <w:rPr>
          <w:noProof/>
          <w:szCs w:val="24"/>
          <w:bdr w:val="none" w:sz="0" w:space="0" w:color="auto" w:frame="1"/>
        </w:rPr>
      </w:pPr>
      <w:r w:rsidRPr="00581A4E">
        <w:rPr>
          <w:noProof/>
          <w:bdr w:val="none" w:sz="0" w:space="0" w:color="auto" w:frame="1"/>
        </w:rPr>
        <w:t>•</w:t>
      </w:r>
      <w:r w:rsidRPr="00581A4E">
        <w:rPr>
          <w:noProof/>
        </w:rPr>
        <w:tab/>
      </w:r>
      <w:r w:rsidRPr="00581A4E">
        <w:rPr>
          <w:noProof/>
          <w:bdr w:val="none" w:sz="0" w:space="0" w:color="auto" w:frame="1"/>
        </w:rPr>
        <w:t>Evaluarea impactului</w:t>
      </w:r>
    </w:p>
    <w:p w14:paraId="7F78F272" w14:textId="77777777" w:rsidR="00AD7F39" w:rsidRPr="00581A4E" w:rsidRDefault="00AD7F39" w:rsidP="00AD7F39">
      <w:pPr>
        <w:spacing w:before="0" w:after="200" w:line="276" w:lineRule="auto"/>
        <w:rPr>
          <w:noProof/>
          <w:szCs w:val="24"/>
        </w:rPr>
      </w:pPr>
      <w:r w:rsidRPr="00581A4E">
        <w:rPr>
          <w:noProof/>
        </w:rPr>
        <w:t>Dată fiind abordarea complementară a activităților față de inițiativele statelor membre, caracterul voluntar al activităților propuse și amploarea efectelor preconizate, nu a fost efectuată o evaluare a impactului. Elaborarea propunerii s-a bazat pe studii anterioare, pe consultarea cu statele membre și pe o consultare publică</w:t>
      </w:r>
      <w:r w:rsidRPr="00581A4E">
        <w:rPr>
          <w:rStyle w:val="FootnoteReference"/>
          <w:noProof/>
          <w:szCs w:val="24"/>
        </w:rPr>
        <w:footnoteReference w:id="34"/>
      </w:r>
      <w:r w:rsidRPr="00581A4E">
        <w:rPr>
          <w:noProof/>
        </w:rPr>
        <w:t>.</w:t>
      </w:r>
    </w:p>
    <w:p w14:paraId="5DF9EFBB" w14:textId="77777777" w:rsidR="00AD7F39" w:rsidRPr="00581A4E" w:rsidRDefault="00AD7F39" w:rsidP="0011512A">
      <w:pPr>
        <w:pStyle w:val="ManualHeading2"/>
        <w:rPr>
          <w:noProof/>
          <w:szCs w:val="24"/>
          <w:bdr w:val="none" w:sz="0" w:space="0" w:color="auto" w:frame="1"/>
        </w:rPr>
      </w:pPr>
      <w:r w:rsidRPr="00581A4E">
        <w:rPr>
          <w:noProof/>
          <w:bdr w:val="none" w:sz="0" w:space="0" w:color="auto" w:frame="1"/>
        </w:rPr>
        <w:t>•</w:t>
      </w:r>
      <w:r w:rsidRPr="00581A4E">
        <w:rPr>
          <w:noProof/>
        </w:rPr>
        <w:tab/>
      </w:r>
      <w:r w:rsidRPr="00581A4E">
        <w:rPr>
          <w:noProof/>
          <w:bdr w:val="none" w:sz="0" w:space="0" w:color="auto" w:frame="1"/>
        </w:rPr>
        <w:t>Adecvarea reglementărilor și simplificarea</w:t>
      </w:r>
    </w:p>
    <w:p w14:paraId="586EBD90" w14:textId="77777777" w:rsidR="00AD7F39" w:rsidRPr="00581A4E" w:rsidRDefault="00AD7F39" w:rsidP="00AD7F39">
      <w:pPr>
        <w:spacing w:before="0" w:after="200" w:line="276" w:lineRule="auto"/>
        <w:jc w:val="left"/>
        <w:rPr>
          <w:noProof/>
          <w:szCs w:val="24"/>
        </w:rPr>
      </w:pPr>
      <w:r w:rsidRPr="00581A4E">
        <w:rPr>
          <w:noProof/>
        </w:rPr>
        <w:t>Nu se aplică.</w:t>
      </w:r>
    </w:p>
    <w:p w14:paraId="2B6B14FB" w14:textId="77777777" w:rsidR="00AD7F39" w:rsidRPr="00581A4E" w:rsidRDefault="00AD7F39" w:rsidP="0011512A">
      <w:pPr>
        <w:pStyle w:val="ManualHeading2"/>
        <w:rPr>
          <w:noProof/>
          <w:szCs w:val="24"/>
          <w:bdr w:val="none" w:sz="0" w:space="0" w:color="auto" w:frame="1"/>
        </w:rPr>
      </w:pPr>
      <w:r w:rsidRPr="00581A4E">
        <w:rPr>
          <w:noProof/>
          <w:bdr w:val="none" w:sz="0" w:space="0" w:color="auto" w:frame="1"/>
        </w:rPr>
        <w:t>•</w:t>
      </w:r>
      <w:r w:rsidRPr="00581A4E">
        <w:rPr>
          <w:noProof/>
        </w:rPr>
        <w:tab/>
      </w:r>
      <w:r w:rsidRPr="00581A4E">
        <w:rPr>
          <w:noProof/>
          <w:bdr w:val="none" w:sz="0" w:space="0" w:color="auto" w:frame="1"/>
        </w:rPr>
        <w:t>Drepturile fundamentale</w:t>
      </w:r>
    </w:p>
    <w:p w14:paraId="4610A897" w14:textId="77777777" w:rsidR="00AD7F39" w:rsidRPr="00581A4E" w:rsidRDefault="00AD7F39" w:rsidP="00AD7F39">
      <w:pPr>
        <w:spacing w:before="0" w:after="200" w:line="276" w:lineRule="auto"/>
        <w:rPr>
          <w:noProof/>
          <w:szCs w:val="24"/>
        </w:rPr>
      </w:pPr>
      <w:r w:rsidRPr="00581A4E">
        <w:rPr>
          <w:noProof/>
        </w:rPr>
        <w:t xml:space="preserve">Propunerea este conformă cu drepturile și principiile fundamentale recunoscute de Carta drepturilor fundamentale a Uniunii Europene, în special cu cele privind dreptul la protecția datelor cu caracter personal, prevăzut la articolul 8, libertatea academică, consacrată la articolul 13, dreptul la educație, prevăzut la articolul 14, dreptul la nediscriminare, prevăzut la articolul 21 și dreptul la integrare al persoanelor cu handicap, de la articolul 26. </w:t>
      </w:r>
    </w:p>
    <w:p w14:paraId="082086AB" w14:textId="77777777" w:rsidR="00AD7F39" w:rsidRPr="00581A4E" w:rsidRDefault="00AD7F39" w:rsidP="00AD7F39">
      <w:pPr>
        <w:spacing w:before="0" w:after="200" w:line="276" w:lineRule="auto"/>
        <w:rPr>
          <w:noProof/>
          <w:szCs w:val="24"/>
        </w:rPr>
      </w:pPr>
      <w:r w:rsidRPr="00581A4E">
        <w:rPr>
          <w:noProof/>
        </w:rPr>
        <w:t>Măsurile vor fi puse în aplicare în conformitate cu legislația UE privind protecția datelor cu caracter personal, în special cu Regulamentul (UE) 2016/679 al Parlamentului European și al Consiliului privind protecția persoanelor fizice în ceea ce privește prelucrarea datelor cu caracter personal și privind libera circulație a acestor date (Regulamentul general privind protecția datelor).</w:t>
      </w:r>
    </w:p>
    <w:p w14:paraId="62DB117B" w14:textId="77777777" w:rsidR="00AD7F39" w:rsidRPr="00581A4E" w:rsidRDefault="00AD7F39" w:rsidP="0011512A">
      <w:pPr>
        <w:pStyle w:val="ManualHeading1"/>
        <w:rPr>
          <w:noProof/>
          <w:szCs w:val="24"/>
        </w:rPr>
      </w:pPr>
      <w:r w:rsidRPr="00581A4E">
        <w:rPr>
          <w:noProof/>
        </w:rPr>
        <w:t>4.</w:t>
      </w:r>
      <w:r w:rsidRPr="00581A4E">
        <w:rPr>
          <w:noProof/>
        </w:rPr>
        <w:tab/>
        <w:t>IMPLICAȚII BUGETARE</w:t>
      </w:r>
    </w:p>
    <w:p w14:paraId="093A80D7" w14:textId="77777777" w:rsidR="00AD7F39" w:rsidRPr="00581A4E" w:rsidRDefault="00AD7F39" w:rsidP="00AD7F39">
      <w:pPr>
        <w:spacing w:before="0" w:after="200" w:line="276" w:lineRule="auto"/>
        <w:rPr>
          <w:noProof/>
          <w:szCs w:val="24"/>
        </w:rPr>
      </w:pPr>
      <w:r w:rsidRPr="00581A4E">
        <w:rPr>
          <w:noProof/>
        </w:rPr>
        <w:t xml:space="preserve">Această inițiativă nu va necesita resurse suplimentare din bugetul UE, iar punerea sa în aplicare va fi sprijinită de instrumentele de finanțare existente ale UE. </w:t>
      </w:r>
    </w:p>
    <w:p w14:paraId="246D73D3" w14:textId="77777777" w:rsidR="00AD7F39" w:rsidRPr="00581A4E" w:rsidRDefault="00AD7F39" w:rsidP="0011512A">
      <w:pPr>
        <w:pStyle w:val="ManualHeading1"/>
        <w:rPr>
          <w:noProof/>
          <w:szCs w:val="24"/>
        </w:rPr>
      </w:pPr>
      <w:r w:rsidRPr="00581A4E">
        <w:rPr>
          <w:noProof/>
        </w:rPr>
        <w:t>5.</w:t>
      </w:r>
      <w:r w:rsidRPr="00581A4E">
        <w:rPr>
          <w:noProof/>
        </w:rPr>
        <w:tab/>
        <w:t>ALTE ELEMENTE</w:t>
      </w:r>
    </w:p>
    <w:p w14:paraId="16013694" w14:textId="77777777" w:rsidR="00AD7F39" w:rsidRPr="00581A4E" w:rsidRDefault="00AD7F39" w:rsidP="0011512A">
      <w:pPr>
        <w:pStyle w:val="ManualHeading2"/>
        <w:rPr>
          <w:noProof/>
          <w:szCs w:val="24"/>
          <w:bdr w:val="none" w:sz="0" w:space="0" w:color="auto" w:frame="1"/>
        </w:rPr>
      </w:pPr>
      <w:r w:rsidRPr="00581A4E">
        <w:rPr>
          <w:noProof/>
          <w:bdr w:val="none" w:sz="0" w:space="0" w:color="auto" w:frame="1"/>
        </w:rPr>
        <w:t>•</w:t>
      </w:r>
      <w:r w:rsidRPr="00581A4E">
        <w:rPr>
          <w:noProof/>
        </w:rPr>
        <w:tab/>
      </w:r>
      <w:r w:rsidRPr="00581A4E">
        <w:rPr>
          <w:noProof/>
          <w:bdr w:val="none" w:sz="0" w:space="0" w:color="auto" w:frame="1"/>
        </w:rPr>
        <w:t>Planurile de punere în aplicare și măsurile de monitorizare, evaluare și raportare</w:t>
      </w:r>
    </w:p>
    <w:p w14:paraId="479785D6" w14:textId="77777777" w:rsidR="00AD7F39" w:rsidRPr="00581A4E" w:rsidRDefault="00AD7F39" w:rsidP="00AD7F39">
      <w:pPr>
        <w:spacing w:before="0" w:after="200" w:line="276" w:lineRule="auto"/>
        <w:rPr>
          <w:noProof/>
          <w:szCs w:val="24"/>
        </w:rPr>
      </w:pPr>
      <w:r w:rsidRPr="00581A4E">
        <w:rPr>
          <w:noProof/>
        </w:rPr>
        <w:t xml:space="preserve">Pentru a sprijini punerea în aplicare, Comisia propune să dezvolte, în cooperare cu statele membre, activități de învățare reciprocă și să identifice bune practici, precum și să furnizeze studii, materiale de orientare, manuale și alte elemente concrete bazate pe dovezi. </w:t>
      </w:r>
    </w:p>
    <w:p w14:paraId="1AF633D1" w14:textId="77777777" w:rsidR="00AD7F39" w:rsidRPr="00581A4E" w:rsidRDefault="00AD7F39" w:rsidP="00AD7F39">
      <w:pPr>
        <w:spacing w:before="0" w:after="200" w:line="276" w:lineRule="auto"/>
        <w:rPr>
          <w:noProof/>
          <w:szCs w:val="24"/>
        </w:rPr>
      </w:pPr>
      <w:r w:rsidRPr="00581A4E">
        <w:rPr>
          <w:noProof/>
        </w:rPr>
        <w:t>Comisia va contribui, de asemenea, la elaborarea de date comparative cu privire la factorii favorizanți esențiali pentru educația digitală în întreaga UE, prin desfășurarea unei anchete în statele membre privind educația digitală în Europa.</w:t>
      </w:r>
    </w:p>
    <w:p w14:paraId="722EA0EE" w14:textId="77777777" w:rsidR="00AD7F39" w:rsidRPr="00581A4E" w:rsidRDefault="00AD7F39" w:rsidP="00AD7F39">
      <w:pPr>
        <w:spacing w:before="0" w:after="200" w:line="276" w:lineRule="auto"/>
        <w:rPr>
          <w:noProof/>
          <w:szCs w:val="24"/>
        </w:rPr>
      </w:pPr>
      <w:r w:rsidRPr="00581A4E">
        <w:rPr>
          <w:noProof/>
        </w:rPr>
        <w:t>Comisia intenționează să raporteze cu privire la utilizarea recomandării Consiliului în cadrul strategic al Spațiului european al educației.</w:t>
      </w:r>
    </w:p>
    <w:p w14:paraId="01E0B9A9" w14:textId="77777777" w:rsidR="00AD7F39" w:rsidRPr="00581A4E" w:rsidRDefault="00AD7F39" w:rsidP="0011512A">
      <w:pPr>
        <w:pStyle w:val="ManualHeading2"/>
        <w:rPr>
          <w:noProof/>
          <w:szCs w:val="24"/>
          <w:bdr w:val="none" w:sz="0" w:space="0" w:color="auto" w:frame="1"/>
        </w:rPr>
      </w:pPr>
      <w:r w:rsidRPr="00581A4E">
        <w:rPr>
          <w:noProof/>
          <w:bdr w:val="none" w:sz="0" w:space="0" w:color="auto" w:frame="1"/>
        </w:rPr>
        <w:t>•</w:t>
      </w:r>
      <w:r w:rsidRPr="00581A4E">
        <w:rPr>
          <w:noProof/>
        </w:rPr>
        <w:tab/>
      </w:r>
      <w:r w:rsidRPr="00581A4E">
        <w:rPr>
          <w:noProof/>
          <w:bdr w:val="none" w:sz="0" w:space="0" w:color="auto" w:frame="1"/>
        </w:rPr>
        <w:t>Documentele explicative (în cazul directivelor)</w:t>
      </w:r>
    </w:p>
    <w:p w14:paraId="253F2ACA" w14:textId="77777777" w:rsidR="00AD7F39" w:rsidRPr="00581A4E" w:rsidRDefault="00AD7F39" w:rsidP="00AD7F39">
      <w:pPr>
        <w:spacing w:before="0" w:after="200" w:line="276" w:lineRule="auto"/>
        <w:rPr>
          <w:noProof/>
          <w:szCs w:val="24"/>
        </w:rPr>
      </w:pPr>
      <w:r w:rsidRPr="00581A4E">
        <w:rPr>
          <w:noProof/>
        </w:rPr>
        <w:t>Nu se aplică.</w:t>
      </w:r>
    </w:p>
    <w:p w14:paraId="0359492D" w14:textId="77777777" w:rsidR="00AD7F39" w:rsidRPr="00581A4E" w:rsidRDefault="00AD7F39" w:rsidP="0011512A">
      <w:pPr>
        <w:pStyle w:val="ManualHeading2"/>
        <w:rPr>
          <w:noProof/>
          <w:szCs w:val="24"/>
          <w:bdr w:val="none" w:sz="0" w:space="0" w:color="auto" w:frame="1"/>
        </w:rPr>
      </w:pPr>
      <w:r w:rsidRPr="00581A4E">
        <w:rPr>
          <w:noProof/>
          <w:bdr w:val="none" w:sz="0" w:space="0" w:color="auto" w:frame="1"/>
        </w:rPr>
        <w:t>•</w:t>
      </w:r>
      <w:r w:rsidRPr="00581A4E">
        <w:rPr>
          <w:noProof/>
        </w:rPr>
        <w:tab/>
      </w:r>
      <w:r w:rsidRPr="00581A4E">
        <w:rPr>
          <w:noProof/>
          <w:bdr w:val="none" w:sz="0" w:space="0" w:color="auto" w:frame="1"/>
        </w:rPr>
        <w:t xml:space="preserve">Prezentare generală a propunerii de recomandare a Consiliului și a documentului de lucru al serviciilor Comisiei </w:t>
      </w:r>
    </w:p>
    <w:p w14:paraId="1358F9E6" w14:textId="77777777" w:rsidR="00AD7F39" w:rsidRPr="00581A4E" w:rsidRDefault="00AD7F39" w:rsidP="00AD7F39">
      <w:pPr>
        <w:spacing w:before="0" w:after="200" w:line="276" w:lineRule="auto"/>
        <w:rPr>
          <w:noProof/>
          <w:szCs w:val="24"/>
        </w:rPr>
      </w:pPr>
      <w:r w:rsidRPr="00581A4E">
        <w:rPr>
          <w:noProof/>
        </w:rPr>
        <w:t xml:space="preserve">Propunerea de recomandare a Consiliului recunoaște rolul educației și formării digitale în ceea ce privește sprijinirea rezilienței, a accesibilității, a calității și a caracterului favorabil incluziunii al sistemelor de educație și formare, precum și crearea condițiilor necesare astfel încât cursanții să prospere în lumea digitală de astăzi. </w:t>
      </w:r>
    </w:p>
    <w:p w14:paraId="5777A905" w14:textId="77777777" w:rsidR="00AD7F39" w:rsidRPr="00581A4E" w:rsidRDefault="00AD7F39" w:rsidP="00AD7F39">
      <w:pPr>
        <w:spacing w:before="0" w:after="200" w:line="276" w:lineRule="auto"/>
        <w:rPr>
          <w:noProof/>
          <w:szCs w:val="24"/>
        </w:rPr>
      </w:pPr>
      <w:r w:rsidRPr="00581A4E">
        <w:rPr>
          <w:noProof/>
        </w:rPr>
        <w:t>Pe baza rezultatelor dialogului structurat cu statele membre, propunerea prezintă factorii favorizanți esențiali pentru accesul universal la o educație și formare digitală de înaltă calitate, accesibilă și favorabilă incluziunii. Printre acești factori se numără remedierea decalajului digital dintre grupuri și teritorii, care a devenit și mai evident în contextul crizei provocate de pandemia de COVID-19.</w:t>
      </w:r>
    </w:p>
    <w:p w14:paraId="249C1510" w14:textId="22B07131" w:rsidR="00AD7F39" w:rsidRPr="00581A4E" w:rsidRDefault="00AD7F39" w:rsidP="00AD7F39">
      <w:pPr>
        <w:spacing w:before="0" w:after="200" w:line="276" w:lineRule="auto"/>
        <w:rPr>
          <w:noProof/>
          <w:szCs w:val="24"/>
        </w:rPr>
      </w:pPr>
      <w:r w:rsidRPr="00581A4E">
        <w:rPr>
          <w:noProof/>
        </w:rPr>
        <w:t>Propunerea prezintă orientări și acțiuni care pot fi întreprinse de statele membre pentru a aplica o abordare la nivelul întregii administrații, cu participarea diferitor părți interesate, în vederea elaborării, a punerii în aplicare și a monitorizării politicilor de educație și formare digitală, alături de investiții specifice și cu impact. În plus, aceasta promovează o cultură a inovării și a digitalizării ascendente, condusă de personalul din do</w:t>
      </w:r>
      <w:r w:rsidR="00581A4E" w:rsidRPr="00581A4E">
        <w:rPr>
          <w:noProof/>
        </w:rPr>
        <w:t>meniul educației și formării.</w:t>
      </w:r>
    </w:p>
    <w:p w14:paraId="12E0BE0A" w14:textId="77777777" w:rsidR="0011512A" w:rsidRPr="00581A4E" w:rsidRDefault="00AD7F39" w:rsidP="0011512A">
      <w:pPr>
        <w:spacing w:before="0" w:after="200" w:line="276" w:lineRule="auto"/>
        <w:rPr>
          <w:i/>
          <w:iCs/>
          <w:noProof/>
          <w:szCs w:val="24"/>
        </w:rPr>
        <w:sectPr w:rsidR="0011512A" w:rsidRPr="00581A4E" w:rsidSect="009E573C">
          <w:footerReference w:type="default" r:id="rId13"/>
          <w:footerReference w:type="first" r:id="rId14"/>
          <w:pgSz w:w="11907" w:h="16839"/>
          <w:pgMar w:top="1134" w:right="1417" w:bottom="1134" w:left="1417" w:header="709" w:footer="709" w:gutter="0"/>
          <w:cols w:space="708"/>
          <w:docGrid w:linePitch="360"/>
        </w:sectPr>
      </w:pPr>
      <w:r w:rsidRPr="00581A4E">
        <w:rPr>
          <w:noProof/>
        </w:rPr>
        <w:t>Documentul de lucru însoțitor al serviciilor Comisiei prezintă punctele de vedere ale părților interesate și oferă exemple de dovezi, politici și practici care stau la baza propunerii.</w:t>
      </w:r>
      <w:r w:rsidRPr="00581A4E">
        <w:rPr>
          <w:i/>
          <w:noProof/>
        </w:rPr>
        <w:t xml:space="preserve"> </w:t>
      </w:r>
    </w:p>
    <w:p w14:paraId="52E73416" w14:textId="1006FD21" w:rsidR="0067375C" w:rsidRPr="00581A4E" w:rsidRDefault="00FE68DD" w:rsidP="00FE68DD">
      <w:pPr>
        <w:pStyle w:val="Rfrenceinterinstitutionnelle"/>
        <w:rPr>
          <w:noProof/>
        </w:rPr>
      </w:pPr>
      <w:r w:rsidRPr="00FE68DD">
        <w:t>2023/0099 (NLE)</w:t>
      </w:r>
    </w:p>
    <w:p w14:paraId="0AC62183" w14:textId="22DB4C8E" w:rsidR="0011512A" w:rsidRPr="00581A4E" w:rsidRDefault="000B1A75" w:rsidP="000B1A75">
      <w:pPr>
        <w:pStyle w:val="Statut"/>
        <w:rPr>
          <w:noProof/>
        </w:rPr>
      </w:pPr>
      <w:r w:rsidRPr="00581A4E">
        <w:rPr>
          <w:noProof/>
        </w:rPr>
        <w:t>Propunere de</w:t>
      </w:r>
    </w:p>
    <w:p w14:paraId="6E00592E" w14:textId="5E57642B" w:rsidR="00AD7F39" w:rsidRPr="00581A4E" w:rsidRDefault="000B1A75" w:rsidP="000B1A75">
      <w:pPr>
        <w:pStyle w:val="Typedudocument"/>
        <w:rPr>
          <w:noProof/>
        </w:rPr>
      </w:pPr>
      <w:r w:rsidRPr="00581A4E">
        <w:rPr>
          <w:noProof/>
        </w:rPr>
        <w:t>RECOMANDARE A CONSILIULUI</w:t>
      </w:r>
    </w:p>
    <w:p w14:paraId="1E6A3B90" w14:textId="1C003B20" w:rsidR="00AD7F39" w:rsidRPr="00581A4E" w:rsidRDefault="000B1A75" w:rsidP="000B1A75">
      <w:pPr>
        <w:pStyle w:val="Titreobjet"/>
        <w:rPr>
          <w:noProof/>
        </w:rPr>
      </w:pPr>
      <w:r w:rsidRPr="00581A4E">
        <w:rPr>
          <w:noProof/>
        </w:rPr>
        <w:t>privind factorii favorizanți esențiali pentru succesul educației și formării digitale</w:t>
      </w:r>
    </w:p>
    <w:p w14:paraId="6C7BD4E8" w14:textId="77777777" w:rsidR="00AD7F39" w:rsidRPr="00581A4E" w:rsidRDefault="00AD7F39" w:rsidP="0011512A">
      <w:pPr>
        <w:pStyle w:val="Institutionquiagit"/>
        <w:rPr>
          <w:noProof/>
          <w:szCs w:val="24"/>
        </w:rPr>
      </w:pPr>
      <w:r w:rsidRPr="00581A4E">
        <w:rPr>
          <w:noProof/>
        </w:rPr>
        <w:t>CONSILIUL UNIUNII EUROPENE,</w:t>
      </w:r>
    </w:p>
    <w:p w14:paraId="65A3C110" w14:textId="77777777" w:rsidR="00AD7F39" w:rsidRPr="00581A4E" w:rsidRDefault="00AD7F39" w:rsidP="00AD7F39">
      <w:pPr>
        <w:spacing w:before="0" w:after="200" w:line="276" w:lineRule="auto"/>
        <w:rPr>
          <w:noProof/>
          <w:szCs w:val="24"/>
        </w:rPr>
      </w:pPr>
      <w:r w:rsidRPr="00581A4E">
        <w:rPr>
          <w:noProof/>
        </w:rPr>
        <w:t>având în vedere Tratatul privind funcționarea Uniunii Europene, în special articolul 165 alineatul (4) și articolul 166 alineatul (4),</w:t>
      </w:r>
    </w:p>
    <w:p w14:paraId="56327B85" w14:textId="77777777" w:rsidR="00AD7F39" w:rsidRPr="00581A4E" w:rsidRDefault="00AD7F39" w:rsidP="00AD7F39">
      <w:pPr>
        <w:spacing w:before="0" w:after="200" w:line="276" w:lineRule="auto"/>
        <w:rPr>
          <w:noProof/>
          <w:szCs w:val="24"/>
        </w:rPr>
      </w:pPr>
      <w:r w:rsidRPr="00581A4E">
        <w:rPr>
          <w:noProof/>
        </w:rPr>
        <w:t>având în vedere propunerea Comisiei Europene,</w:t>
      </w:r>
    </w:p>
    <w:p w14:paraId="69B98F0E" w14:textId="77777777" w:rsidR="00AD7F39" w:rsidRPr="00581A4E" w:rsidRDefault="00AD7F39" w:rsidP="0011512A">
      <w:pPr>
        <w:spacing w:before="0" w:after="200" w:line="276" w:lineRule="auto"/>
        <w:rPr>
          <w:noProof/>
          <w:szCs w:val="24"/>
        </w:rPr>
      </w:pPr>
      <w:r w:rsidRPr="00581A4E">
        <w:rPr>
          <w:noProof/>
        </w:rPr>
        <w:t>ÎNTRUCÂT:</w:t>
      </w:r>
    </w:p>
    <w:p w14:paraId="0EB201F4" w14:textId="71A16ADB" w:rsidR="00950CCB" w:rsidRPr="00581A4E" w:rsidRDefault="00C45211" w:rsidP="00C45211">
      <w:pPr>
        <w:pStyle w:val="ManualConsidrant"/>
        <w:rPr>
          <w:noProof/>
          <w:szCs w:val="24"/>
        </w:rPr>
      </w:pPr>
      <w:r w:rsidRPr="00581A4E">
        <w:rPr>
          <w:noProof/>
        </w:rPr>
        <w:t>(1)</w:t>
      </w:r>
      <w:r w:rsidRPr="00581A4E">
        <w:rPr>
          <w:noProof/>
        </w:rPr>
        <w:tab/>
      </w:r>
      <w:r w:rsidRPr="00581A4E">
        <w:rPr>
          <w:b/>
          <w:noProof/>
        </w:rPr>
        <w:t>Concluziile Consiliului European</w:t>
      </w:r>
      <w:r w:rsidRPr="00581A4E">
        <w:rPr>
          <w:noProof/>
        </w:rPr>
        <w:t xml:space="preserve"> din 9 februarie 2023 au subliniat necesitatea unor acțiuni mai îndrăznețe și mai ambițioase vizând să dezvolte în continuare competențele necesare pentru tranziția verde și cea digitală prin educație, formare, perfecționare și recalificare, pentru a face față provocărilor reprezentate de deficitul de forță de muncă și de transformarea locurilor de muncă, inclusiv în contextul provocărilor demografice. </w:t>
      </w:r>
    </w:p>
    <w:p w14:paraId="5E019666" w14:textId="6435739E" w:rsidR="00BD6722" w:rsidRPr="00581A4E" w:rsidRDefault="00C45211" w:rsidP="00C45211">
      <w:pPr>
        <w:pStyle w:val="ManualConsidrant"/>
        <w:rPr>
          <w:noProof/>
          <w:szCs w:val="24"/>
        </w:rPr>
      </w:pPr>
      <w:r w:rsidRPr="00581A4E">
        <w:rPr>
          <w:noProof/>
        </w:rPr>
        <w:t>(2)</w:t>
      </w:r>
      <w:r w:rsidRPr="00581A4E">
        <w:rPr>
          <w:noProof/>
        </w:rPr>
        <w:tab/>
        <w:t xml:space="preserve">Educația și formarea sunt esențiale pentru dezvoltarea personală, coeziunea socială, competitivitate și inovare și reprezintă condiții fundamentale pentru o Europă mai echitabilă, mai rezilientă și mai sustenabilă. În acest context, Comunicarea privind </w:t>
      </w:r>
      <w:r w:rsidRPr="00581A4E">
        <w:rPr>
          <w:b/>
          <w:noProof/>
        </w:rPr>
        <w:t>Spațiul european al educației</w:t>
      </w:r>
      <w:r w:rsidRPr="00581A4E">
        <w:rPr>
          <w:rStyle w:val="FootnoteReference"/>
          <w:noProof/>
        </w:rPr>
        <w:footnoteReference w:id="35"/>
      </w:r>
      <w:r w:rsidRPr="00581A4E">
        <w:rPr>
          <w:noProof/>
        </w:rPr>
        <w:t xml:space="preserve"> a preconizat ca politicile și investițiile din domeniul educației și formării să fie orientate către o tranziție verde și o tranziție digitală favorabile incluziunii, pentru o societate și o economie sustenabile și eficiente din punctul de vedere al utilizării resurselor.</w:t>
      </w:r>
    </w:p>
    <w:p w14:paraId="7DF3C00F" w14:textId="2EF410CE" w:rsidR="008C5C32" w:rsidRPr="00581A4E" w:rsidRDefault="00C45211" w:rsidP="00C45211">
      <w:pPr>
        <w:pStyle w:val="ManualConsidrant"/>
        <w:rPr>
          <w:noProof/>
          <w:szCs w:val="24"/>
        </w:rPr>
      </w:pPr>
      <w:r w:rsidRPr="00581A4E">
        <w:rPr>
          <w:noProof/>
        </w:rPr>
        <w:t>(3)</w:t>
      </w:r>
      <w:r w:rsidRPr="00581A4E">
        <w:rPr>
          <w:noProof/>
        </w:rPr>
        <w:tab/>
        <w:t xml:space="preserve">Pandemia de COVID-19 a evidențiat necesitatea de a îmbunătăți nivelul de pregătire digitală al sistemelor de educație și formare în ceea ce privește reziliența, calitatea, caracterul favorabil incluziunii, accesibilitatea și securitatea. Schimbările tehnologice rapide impun o transformare digitală centrată pe oameni și sisteme de educație și formare adecvate pentru era digitală. Pentru a aborda aceste provocări, Comisia a adoptat </w:t>
      </w:r>
      <w:r w:rsidRPr="00581A4E">
        <w:rPr>
          <w:b/>
          <w:noProof/>
        </w:rPr>
        <w:t>Planul de acțiune pentru educația digitală 2021-2027</w:t>
      </w:r>
      <w:r w:rsidRPr="00581A4E">
        <w:rPr>
          <w:rStyle w:val="FootnoteReference"/>
          <w:noProof/>
        </w:rPr>
        <w:footnoteReference w:id="36"/>
      </w:r>
      <w:r w:rsidRPr="00581A4E">
        <w:rPr>
          <w:noProof/>
        </w:rPr>
        <w:t xml:space="preserve">. Planul de acțiune urmărește să abordeze decalajul digital și inegalitățile din domeniul educației și formării și subliniază potențialul tehnologiei de a favoriza o predare și o învățare mai accesibile, mai flexibile, mai personalizate și mai centrate pe cursanți. </w:t>
      </w:r>
    </w:p>
    <w:p w14:paraId="0B1C0D11" w14:textId="6692F5FE" w:rsidR="008C5C32" w:rsidRPr="00581A4E" w:rsidRDefault="00C45211" w:rsidP="00C45211">
      <w:pPr>
        <w:pStyle w:val="ManualConsidrant"/>
        <w:rPr>
          <w:noProof/>
        </w:rPr>
      </w:pPr>
      <w:r w:rsidRPr="00581A4E">
        <w:rPr>
          <w:noProof/>
        </w:rPr>
        <w:t>(4)</w:t>
      </w:r>
      <w:r w:rsidRPr="00581A4E">
        <w:rPr>
          <w:noProof/>
        </w:rPr>
        <w:tab/>
        <w:t xml:space="preserve">Prima prioritate strategică a planului de acțiune – încurajarea dezvoltării unui ecosistem de educație digitală de înaltă performanță – subliniază necesitatea de a consolida capacitatea digitală și reziliența sistemelor de educație și formare într-un mod coerent și durabil. În acest scop, planul de acțiune identifică factori favorizanți precum infrastructura relevantă, conectivitatea și capacitatea digitală, care au fost completați în cadrul </w:t>
      </w:r>
      <w:r w:rsidRPr="00581A4E">
        <w:rPr>
          <w:b/>
          <w:noProof/>
        </w:rPr>
        <w:t>Concluziilor Consiliului privind educația digitală în societățile cunoașterii din Europa</w:t>
      </w:r>
      <w:r w:rsidRPr="00581A4E">
        <w:rPr>
          <w:rStyle w:val="FootnoteReference"/>
          <w:noProof/>
        </w:rPr>
        <w:footnoteReference w:id="37"/>
      </w:r>
      <w:r w:rsidRPr="00581A4E">
        <w:rPr>
          <w:noProof/>
        </w:rPr>
        <w:t xml:space="preserve">. </w:t>
      </w:r>
    </w:p>
    <w:p w14:paraId="4E2E0457" w14:textId="013197A3" w:rsidR="00AD7F39" w:rsidRPr="00581A4E" w:rsidRDefault="00C45211" w:rsidP="00C45211">
      <w:pPr>
        <w:pStyle w:val="ManualConsidrant"/>
        <w:rPr>
          <w:noProof/>
        </w:rPr>
      </w:pPr>
      <w:r w:rsidRPr="00581A4E">
        <w:rPr>
          <w:noProof/>
        </w:rPr>
        <w:t>(5)</w:t>
      </w:r>
      <w:r w:rsidRPr="00581A4E">
        <w:rPr>
          <w:noProof/>
        </w:rPr>
        <w:tab/>
        <w:t xml:space="preserve">Răspunzând necesității de a asigura o educație și o formare digitală accesibile, de înaltă calitate și favorabile incluziunii, prezenta recomandare ar trebui să abordeze următorii </w:t>
      </w:r>
      <w:r w:rsidRPr="00581A4E">
        <w:rPr>
          <w:b/>
          <w:noProof/>
        </w:rPr>
        <w:t>factori favorizanți esențiali</w:t>
      </w:r>
      <w:r w:rsidRPr="00581A4E">
        <w:rPr>
          <w:noProof/>
        </w:rPr>
        <w:t xml:space="preserve">: (i) o abordare strategică privind educația și competențele digitale; (ii) coordonarea la nivelul întregii administrații și implicarea diferitor părți interesate; (iii) consolidarea capacităților instituțiilor de educație și formare și ale profesorilor și (iv) investiții axate pe impact. </w:t>
      </w:r>
    </w:p>
    <w:p w14:paraId="56695C2A" w14:textId="21D4F116" w:rsidR="00AD7F39" w:rsidRPr="00581A4E" w:rsidRDefault="00C45211" w:rsidP="00C45211">
      <w:pPr>
        <w:pStyle w:val="ManualConsidrant"/>
        <w:rPr>
          <w:noProof/>
          <w:szCs w:val="24"/>
        </w:rPr>
      </w:pPr>
      <w:bookmarkStart w:id="3" w:name="_Hlk120022199"/>
      <w:r w:rsidRPr="00581A4E">
        <w:rPr>
          <w:noProof/>
        </w:rPr>
        <w:t>(6)</w:t>
      </w:r>
      <w:r w:rsidRPr="00581A4E">
        <w:rPr>
          <w:noProof/>
        </w:rPr>
        <w:tab/>
        <w:t xml:space="preserve">Pentru implementarea eficace a acestor factori favorizanți sunt necesare acțiuni la cel mai înalt nivel, și nu numai la nivelul ministerelor educației și formării. </w:t>
      </w:r>
      <w:bookmarkStart w:id="4" w:name="_Hlk126178806"/>
      <w:r w:rsidRPr="00581A4E">
        <w:rPr>
          <w:noProof/>
        </w:rPr>
        <w:t xml:space="preserve">În discursul său din 2021 privind starea Uniunii Europene, președinta Comisiei a invitat liderii să se concentreze asupra educației și a competențelor digitale. Acest îndemn a condus la lansarea unui </w:t>
      </w:r>
      <w:r w:rsidRPr="00581A4E">
        <w:rPr>
          <w:b/>
          <w:noProof/>
        </w:rPr>
        <w:t>dialog structurat cu statele membre privind educația și competențele digitale</w:t>
      </w:r>
      <w:r w:rsidRPr="00581A4E">
        <w:rPr>
          <w:rStyle w:val="FootnoteReference"/>
          <w:noProof/>
        </w:rPr>
        <w:footnoteReference w:id="38"/>
      </w:r>
      <w:r w:rsidRPr="00581A4E">
        <w:rPr>
          <w:noProof/>
        </w:rPr>
        <w:t>. Rezultatele dialogului structurat au evidențiat o serie de provocări comune cu care se confruntă statele membre în ceea ce privește transformarea digitală a sistemelor lor de educație și formare, demonstrând necesitatea de a face schimb de bune practici la nivelul Uniunii.</w:t>
      </w:r>
      <w:bookmarkEnd w:id="4"/>
      <w:r w:rsidRPr="00581A4E">
        <w:rPr>
          <w:noProof/>
        </w:rPr>
        <w:t xml:space="preserve"> </w:t>
      </w:r>
    </w:p>
    <w:p w14:paraId="230199F1" w14:textId="3151952F" w:rsidR="00D978DC" w:rsidRPr="00581A4E" w:rsidRDefault="00C45211" w:rsidP="00C45211">
      <w:pPr>
        <w:pStyle w:val="ManualConsidrant"/>
        <w:rPr>
          <w:noProof/>
          <w:szCs w:val="24"/>
        </w:rPr>
      </w:pPr>
      <w:r w:rsidRPr="00581A4E">
        <w:rPr>
          <w:noProof/>
        </w:rPr>
        <w:t>(7)</w:t>
      </w:r>
      <w:r w:rsidRPr="00581A4E">
        <w:rPr>
          <w:noProof/>
        </w:rPr>
        <w:tab/>
        <w:t xml:space="preserve">În acest context, Rezoluția Consiliului privind un </w:t>
      </w:r>
      <w:r w:rsidRPr="00581A4E">
        <w:rPr>
          <w:b/>
          <w:noProof/>
        </w:rPr>
        <w:t>cadru strategic pentru cooperarea europeană în domeniul educației și formării în perspectiva realizării și dezvoltării în continuare a spațiului european al educației (2021-2030)</w:t>
      </w:r>
      <w:r w:rsidRPr="00581A4E">
        <w:rPr>
          <w:noProof/>
        </w:rPr>
        <w:t xml:space="preserve"> promovează cooperarea europeană în domeniul educației și formării pentru a sprijini suplimentar dezvoltarea sistemelor de educație și formare din statele membre. Aceste sisteme au scopul de a asigura împlinirea personală, socială și profesională a tuturor cetățenilor, promovând în același timp valorile democratice, egalitatea, coeziunea socială, cetățenia activă și dialogul intercultural, precum și dezvoltarea socială și economică durabilă, tranziția verde și cea digitală și capacitatea de inserție profesională.</w:t>
      </w:r>
    </w:p>
    <w:p w14:paraId="0F7B6E7F" w14:textId="1F2A3575" w:rsidR="00AD7F39" w:rsidRPr="00581A4E" w:rsidRDefault="00C45211" w:rsidP="00C45211">
      <w:pPr>
        <w:pStyle w:val="ManualConsidrant"/>
        <w:rPr>
          <w:noProof/>
        </w:rPr>
      </w:pPr>
      <w:r w:rsidRPr="00581A4E">
        <w:rPr>
          <w:noProof/>
        </w:rPr>
        <w:t>(8)</w:t>
      </w:r>
      <w:r w:rsidRPr="00581A4E">
        <w:rPr>
          <w:noProof/>
        </w:rPr>
        <w:tab/>
        <w:t xml:space="preserve">Ținând seama de necesitatea unei abordări la nivelul întregii administrații în ceea ce privește transformarea digitală a educației și a formării, în 2022, statele membre au desemnat reprezentanți în cadrul </w:t>
      </w:r>
      <w:r w:rsidRPr="00581A4E">
        <w:rPr>
          <w:b/>
          <w:noProof/>
        </w:rPr>
        <w:t>grupului la nivel înalt al coordonatorilor naționali pentru dialogul structurat privind educația și competențele digitale</w:t>
      </w:r>
      <w:r w:rsidRPr="00581A4E">
        <w:rPr>
          <w:noProof/>
        </w:rPr>
        <w:t xml:space="preserve">. Mandatul acestora constă în reprezentarea departamentelor relevante din țările lor care sunt responsabile pentru diferite aspecte ale educației, formării și competențelor digitale (educația, munca, sectorul digital, industria, finanțele etc.). Această abordare, care s-a dovedit utilă și necesară pentru a reuni în mod eficace cunoștințele de specialitate din diferite sectoare, ar trebui continuată. </w:t>
      </w:r>
    </w:p>
    <w:p w14:paraId="0D4ABD9B" w14:textId="0AF2C989" w:rsidR="00AD7F39" w:rsidRPr="00581A4E" w:rsidRDefault="00C45211" w:rsidP="00C45211">
      <w:pPr>
        <w:pStyle w:val="ManualConsidrant"/>
        <w:rPr>
          <w:noProof/>
          <w:szCs w:val="24"/>
        </w:rPr>
      </w:pPr>
      <w:r w:rsidRPr="00581A4E">
        <w:rPr>
          <w:noProof/>
        </w:rPr>
        <w:t>(9)</w:t>
      </w:r>
      <w:r w:rsidRPr="00581A4E">
        <w:rPr>
          <w:noProof/>
        </w:rPr>
        <w:tab/>
        <w:t>În discursul său din 2022 privind starea Uniunii Europene</w:t>
      </w:r>
      <w:r w:rsidRPr="00581A4E">
        <w:rPr>
          <w:rStyle w:val="FootnoteReference"/>
          <w:noProof/>
        </w:rPr>
        <w:footnoteReference w:id="39"/>
      </w:r>
      <w:r w:rsidRPr="00581A4E">
        <w:rPr>
          <w:noProof/>
        </w:rPr>
        <w:t xml:space="preserve">, președinta Comisiei a declarat anul 2023 drept </w:t>
      </w:r>
      <w:r w:rsidRPr="00581A4E">
        <w:rPr>
          <w:b/>
          <w:noProof/>
        </w:rPr>
        <w:t>Anul european al competențelor</w:t>
      </w:r>
      <w:r w:rsidRPr="00581A4E">
        <w:rPr>
          <w:rStyle w:val="FootnoteReference"/>
          <w:noProof/>
        </w:rPr>
        <w:footnoteReference w:id="40"/>
      </w:r>
      <w:r w:rsidRPr="00581A4E">
        <w:rPr>
          <w:noProof/>
        </w:rPr>
        <w:t xml:space="preserve">. Aceasta implică, printre altele, intensificarea eforturilor în curs în vederea îmbunătățirii competențelor necesare pentru tranziția digitală, care depind acum mai mult ca niciodată de implicarea și contribuția coordonată a părților interesate din toate sectoarele societății, ale economiei și ale educației și formării. </w:t>
      </w:r>
    </w:p>
    <w:bookmarkEnd w:id="3"/>
    <w:p w14:paraId="07589105" w14:textId="0C2EACC2" w:rsidR="00AD7F39" w:rsidRPr="00581A4E" w:rsidRDefault="00C45211" w:rsidP="00C45211">
      <w:pPr>
        <w:pStyle w:val="ManualConsidrant"/>
        <w:rPr>
          <w:noProof/>
          <w:szCs w:val="24"/>
        </w:rPr>
      </w:pPr>
      <w:r w:rsidRPr="00581A4E">
        <w:rPr>
          <w:noProof/>
        </w:rPr>
        <w:t>(10)</w:t>
      </w:r>
      <w:r w:rsidRPr="00581A4E">
        <w:rPr>
          <w:noProof/>
        </w:rPr>
        <w:tab/>
        <w:t xml:space="preserve">Primul principiu al </w:t>
      </w:r>
      <w:r w:rsidRPr="00581A4E">
        <w:rPr>
          <w:b/>
          <w:noProof/>
        </w:rPr>
        <w:t>Pilonului european al drepturilor sociale</w:t>
      </w:r>
      <w:r w:rsidRPr="00581A4E">
        <w:rPr>
          <w:rStyle w:val="FootnoteReference"/>
          <w:noProof/>
        </w:rPr>
        <w:footnoteReference w:id="41"/>
      </w:r>
      <w:r w:rsidRPr="00581A4E">
        <w:rPr>
          <w:noProof/>
        </w:rPr>
        <w:t xml:space="preserve"> prevede: „Orice persoană are dreptul la educație, formare profesională și învățare pe tot parcursul vieții favorabile incluziunii și de înaltă calitate pentru a dobândi și a menține competențe care îi permit să participe deplin în societate și să gestioneze cu succes tranz</w:t>
      </w:r>
      <w:r w:rsidR="0000618A">
        <w:rPr>
          <w:noProof/>
        </w:rPr>
        <w:t>ițiile pe piața forței de muncă</w:t>
      </w:r>
      <w:r w:rsidRPr="00581A4E">
        <w:rPr>
          <w:noProof/>
        </w:rPr>
        <w:t>”</w:t>
      </w:r>
      <w:r w:rsidR="0000618A">
        <w:rPr>
          <w:noProof/>
        </w:rPr>
        <w:t>.</w:t>
      </w:r>
      <w:r w:rsidRPr="00581A4E">
        <w:rPr>
          <w:noProof/>
        </w:rPr>
        <w:t xml:space="preserve"> Toți cetățenii europeni ar trebui să aibă acces la educația digitală, care le permite să obțină cunoștințele, competențele și aptitudinile necesare pentru a avea un rol activ în cadrul unor societăți din ce în ce mai digitale. Ar trebui garantat în permanență dreptul oamenilor la o educație, o formare și o învățare pe tot parcursul vieții de calitate și favorabile incluziunii, drept prevăzut și protejat de </w:t>
      </w:r>
      <w:r w:rsidRPr="00581A4E">
        <w:rPr>
          <w:b/>
          <w:noProof/>
        </w:rPr>
        <w:t>Carta drepturilor fundamentale a Uniunii Europene</w:t>
      </w:r>
      <w:r w:rsidRPr="00581A4E">
        <w:rPr>
          <w:noProof/>
        </w:rPr>
        <w:t xml:space="preserve">. Toți cetățenii europeni trebuie să beneficieze de medii de învățare adecvate, accesibile și sigure, inclusiv de medii digitale. </w:t>
      </w:r>
    </w:p>
    <w:p w14:paraId="6BC018A6" w14:textId="488C9F7C" w:rsidR="00C21D19" w:rsidRPr="00581A4E" w:rsidRDefault="00C45211" w:rsidP="00C45211">
      <w:pPr>
        <w:pStyle w:val="ManualConsidrant"/>
        <w:rPr>
          <w:noProof/>
        </w:rPr>
      </w:pPr>
      <w:r w:rsidRPr="00581A4E">
        <w:rPr>
          <w:noProof/>
        </w:rPr>
        <w:t>(11)</w:t>
      </w:r>
      <w:r w:rsidRPr="00581A4E">
        <w:rPr>
          <w:noProof/>
        </w:rPr>
        <w:tab/>
      </w:r>
      <w:r w:rsidRPr="00581A4E">
        <w:rPr>
          <w:b/>
          <w:noProof/>
        </w:rPr>
        <w:t>Strategiile Uniunii egalității</w:t>
      </w:r>
      <w:r w:rsidRPr="00581A4E">
        <w:rPr>
          <w:rStyle w:val="FootnoteReference"/>
          <w:rFonts w:eastAsia="Times New Roman"/>
          <w:b/>
          <w:bCs/>
          <w:noProof/>
        </w:rPr>
        <w:footnoteReference w:id="42"/>
      </w:r>
      <w:r w:rsidRPr="00581A4E">
        <w:rPr>
          <w:noProof/>
        </w:rPr>
        <w:t xml:space="preserve"> adoptate de Comisie subliniază rolul important al educației și formării de calitate și favorabile incluziunii pentru realizarea de progrese în direcția unei Uniuni a egalității pentru toți, indiferent de gen, origine rasială sau etnică, religie sau convingeri, handicap, vârstă sau orientare sexuală. </w:t>
      </w:r>
    </w:p>
    <w:p w14:paraId="437E7C1C" w14:textId="39388680" w:rsidR="00AD7F39" w:rsidRPr="00581A4E" w:rsidRDefault="00C45211" w:rsidP="00C45211">
      <w:pPr>
        <w:pStyle w:val="ManualConsidrant"/>
        <w:rPr>
          <w:noProof/>
          <w:szCs w:val="24"/>
        </w:rPr>
      </w:pPr>
      <w:r w:rsidRPr="00581A4E">
        <w:rPr>
          <w:noProof/>
        </w:rPr>
        <w:t>(12)</w:t>
      </w:r>
      <w:r w:rsidRPr="00581A4E">
        <w:rPr>
          <w:noProof/>
        </w:rPr>
        <w:tab/>
        <w:t xml:space="preserve">Criza provocată de pandemia de COVID-19 a exacerbat și mai mult inegalitățile socioeconomice în domeniul educației și formării, adâncind decalajul digital. </w:t>
      </w:r>
      <w:r w:rsidRPr="00581A4E">
        <w:rPr>
          <w:b/>
          <w:noProof/>
        </w:rPr>
        <w:t>Recomandarea Consiliului de instituire a unei Garanții europene pentru copii</w:t>
      </w:r>
      <w:r w:rsidRPr="00581A4E">
        <w:rPr>
          <w:rStyle w:val="FootnoteReference"/>
          <w:noProof/>
        </w:rPr>
        <w:footnoteReference w:id="43"/>
      </w:r>
      <w:r w:rsidRPr="00581A4E">
        <w:rPr>
          <w:noProof/>
        </w:rPr>
        <w:t xml:space="preserve"> invită statele membre să garanteze accesul efectiv și gratuit la educație și la activități școlare pentru copiii aflați în dificultate, adică expuși riscului de sărăcie sau de excluziune socială. De asemenea, Strategia UE privind drepturile copilului</w:t>
      </w:r>
      <w:r w:rsidRPr="00581A4E">
        <w:rPr>
          <w:rStyle w:val="FootnoteReference"/>
          <w:noProof/>
        </w:rPr>
        <w:footnoteReference w:id="44"/>
      </w:r>
      <w:r w:rsidRPr="00581A4E">
        <w:rPr>
          <w:noProof/>
        </w:rPr>
        <w:t xml:space="preserve"> și </w:t>
      </w:r>
      <w:r w:rsidRPr="00581A4E">
        <w:rPr>
          <w:b/>
          <w:noProof/>
        </w:rPr>
        <w:t>Strategia privind drepturile persoanelor cu handicap 2021-2030</w:t>
      </w:r>
      <w:r w:rsidRPr="00581A4E">
        <w:rPr>
          <w:noProof/>
        </w:rPr>
        <w:t xml:space="preserve"> solicită construirea unei educații de calitate, favorabile incluziunii și accesibile tuturor.</w:t>
      </w:r>
    </w:p>
    <w:p w14:paraId="666C15E9" w14:textId="3346ABC5" w:rsidR="00AD7F39" w:rsidRPr="00581A4E" w:rsidRDefault="00C45211" w:rsidP="00C45211">
      <w:pPr>
        <w:pStyle w:val="ManualConsidrant"/>
        <w:rPr>
          <w:noProof/>
          <w:szCs w:val="24"/>
        </w:rPr>
      </w:pPr>
      <w:r w:rsidRPr="00581A4E">
        <w:rPr>
          <w:noProof/>
        </w:rPr>
        <w:t>(13)</w:t>
      </w:r>
      <w:r w:rsidRPr="00581A4E">
        <w:rPr>
          <w:noProof/>
        </w:rPr>
        <w:tab/>
      </w:r>
      <w:r w:rsidRPr="00581A4E">
        <w:rPr>
          <w:b/>
          <w:noProof/>
        </w:rPr>
        <w:t>Agenda pentru competențe în Europa</w:t>
      </w:r>
      <w:r w:rsidRPr="00581A4E">
        <w:rPr>
          <w:rStyle w:val="FootnoteReference"/>
          <w:noProof/>
        </w:rPr>
        <w:footnoteReference w:id="45"/>
      </w:r>
      <w:r w:rsidRPr="00581A4E">
        <w:rPr>
          <w:noProof/>
        </w:rPr>
        <w:t xml:space="preserve"> definește acțiuni menite să ajute persoanele și întreprinderile să dezvolte competențe mai multe și mai bune și să le utilizeze, prin consolidarea competitivității sustenabile și a rezilienței pentru a reacționa la crize, pe baza lecțiilor învățate în timpul pandemiei de COVID-19. </w:t>
      </w:r>
    </w:p>
    <w:p w14:paraId="5B918062" w14:textId="144B9959" w:rsidR="00AD7F39" w:rsidRPr="00581A4E" w:rsidRDefault="00C45211" w:rsidP="00C45211">
      <w:pPr>
        <w:pStyle w:val="ManualConsidrant"/>
        <w:rPr>
          <w:noProof/>
          <w:szCs w:val="24"/>
        </w:rPr>
      </w:pPr>
      <w:r w:rsidRPr="00581A4E">
        <w:rPr>
          <w:noProof/>
        </w:rPr>
        <w:t>(14)</w:t>
      </w:r>
      <w:r w:rsidRPr="00581A4E">
        <w:rPr>
          <w:noProof/>
        </w:rPr>
        <w:tab/>
      </w:r>
      <w:r w:rsidRPr="00581A4E">
        <w:rPr>
          <w:b/>
          <w:noProof/>
        </w:rPr>
        <w:t>Programul de politică pentru 2030 privind deceniul digital</w:t>
      </w:r>
      <w:r w:rsidRPr="00581A4E">
        <w:rPr>
          <w:rStyle w:val="FootnoteReference"/>
          <w:noProof/>
        </w:rPr>
        <w:footnoteReference w:id="46"/>
      </w:r>
      <w:r w:rsidRPr="00581A4E">
        <w:rPr>
          <w:noProof/>
        </w:rPr>
        <w:t xml:space="preserve"> și </w:t>
      </w:r>
      <w:r w:rsidRPr="00581A4E">
        <w:rPr>
          <w:b/>
          <w:noProof/>
        </w:rPr>
        <w:t>Declarația europeană privind drepturile și principiile digitale pentru deceniul digital</w:t>
      </w:r>
      <w:r w:rsidRPr="00581A4E">
        <w:rPr>
          <w:rStyle w:val="FootnoteReference"/>
          <w:b/>
          <w:bCs/>
          <w:noProof/>
        </w:rPr>
        <w:footnoteReference w:id="47"/>
      </w:r>
      <w:r w:rsidRPr="00581A4E">
        <w:rPr>
          <w:noProof/>
        </w:rPr>
        <w:t xml:space="preserve"> au prezentat un plan pentru realizarea unei transformări digitale favorabile incluziunii și centrate pe oameni a societății și economiei UE până în 2030. Aceasta include un cadru de guvernanță și de raportare ca parte a programului de politică privind deceniul digital, în vederea atingerii obiectivelor relevante la nivelul Uniunii pentru </w:t>
      </w:r>
      <w:r w:rsidRPr="00581A4E">
        <w:rPr>
          <w:b/>
          <w:noProof/>
        </w:rPr>
        <w:t>deceniul digital</w:t>
      </w:r>
      <w:r w:rsidRPr="00581A4E">
        <w:rPr>
          <w:noProof/>
        </w:rPr>
        <w:t xml:space="preserve">, inclusiv realizarea conectivității universale (bandă largă la nivel de gigabit pentru toți și 5G pretutindeni, inclusiv în zonele rurale). Aceste inițiative urmăresc să remedieze decalajele digitale existente în ceea ce privește conectivitatea și competențele prin promovarea acțiunilor și instituirea măsurilor de atenuare necesare. </w:t>
      </w:r>
    </w:p>
    <w:p w14:paraId="77F7094A" w14:textId="13F40AB6" w:rsidR="00D978DC" w:rsidRPr="00581A4E" w:rsidRDefault="00C45211" w:rsidP="00C45211">
      <w:pPr>
        <w:pStyle w:val="ManualConsidrant"/>
        <w:rPr>
          <w:noProof/>
          <w:szCs w:val="24"/>
        </w:rPr>
      </w:pPr>
      <w:r w:rsidRPr="00581A4E">
        <w:rPr>
          <w:noProof/>
        </w:rPr>
        <w:t>(15)</w:t>
      </w:r>
      <w:r w:rsidRPr="00581A4E">
        <w:rPr>
          <w:noProof/>
        </w:rPr>
        <w:tab/>
        <w:t>Aceste inițiative evidențiază faptul că o educație și formare digitală de succes înseamnă crearea unor oportunități sporite și mai bune de învățare și predare în era digitală, de care să beneficieze întreaga societate. Soluțiile digitale au făcut ca sistemele de educație și formare din Uniune să devină mai accesibile în ultimii ani. Cu toate acestea, într-o lume caracterizată de o dezvoltare rapidă, este vital să se îmbunătățească în permanență eficacitatea și eficiența educației și să se ofere sprijin pentru noi abordări ale predării și învățării, inclusiv prin utilizarea soluțiilor digitale existente și emergente.</w:t>
      </w:r>
    </w:p>
    <w:p w14:paraId="5B2C45FB" w14:textId="6E56D346" w:rsidR="00AD7F39" w:rsidRPr="00581A4E" w:rsidRDefault="00C45211" w:rsidP="00C45211">
      <w:pPr>
        <w:pStyle w:val="ManualConsidrant"/>
        <w:rPr>
          <w:noProof/>
          <w:szCs w:val="24"/>
        </w:rPr>
      </w:pPr>
      <w:r w:rsidRPr="00581A4E">
        <w:rPr>
          <w:noProof/>
        </w:rPr>
        <w:t>(16)</w:t>
      </w:r>
      <w:r w:rsidRPr="00581A4E">
        <w:rPr>
          <w:noProof/>
        </w:rPr>
        <w:tab/>
      </w:r>
      <w:r w:rsidRPr="00581A4E">
        <w:rPr>
          <w:b/>
          <w:noProof/>
        </w:rPr>
        <w:t>Concluziile Consiliului privind educația digitală în societățile cunoașterii din Europa</w:t>
      </w:r>
      <w:r w:rsidRPr="00581A4E">
        <w:rPr>
          <w:rStyle w:val="FootnoteReference"/>
          <w:noProof/>
        </w:rPr>
        <w:footnoteReference w:id="48"/>
      </w:r>
      <w:r w:rsidRPr="00581A4E">
        <w:rPr>
          <w:noProof/>
        </w:rPr>
        <w:t xml:space="preserve"> subliniază că răspândirea pe scară largă a tehnologiilor digitale și a accesului la internet creează noi posibilități pentru o educație și o formare de înaltă calitate și favorabile incluziunii în Europa. Educația digitală, ca parte integrantă a educației și formării de înaltă calitate și favorabile incluziunii, poate completa predarea față în față și poate contribui la îmbunătățirea accesibilității conținutului educațional și a metodelor pedagogice, la o mai mare incluziune socială, precum și la procese mai eficace de dobândire a competențelor, promovând succesul educațional pentru toți. </w:t>
      </w:r>
    </w:p>
    <w:p w14:paraId="4C858FD1" w14:textId="6C936A03" w:rsidR="000A3A97" w:rsidRPr="00581A4E" w:rsidRDefault="00C45211" w:rsidP="00C45211">
      <w:pPr>
        <w:pStyle w:val="ManualConsidrant"/>
        <w:rPr>
          <w:rFonts w:eastAsia="Times New Roman"/>
          <w:noProof/>
          <w:szCs w:val="24"/>
        </w:rPr>
      </w:pPr>
      <w:r w:rsidRPr="00581A4E">
        <w:rPr>
          <w:noProof/>
        </w:rPr>
        <w:t>(17)</w:t>
      </w:r>
      <w:r w:rsidRPr="00581A4E">
        <w:rPr>
          <w:noProof/>
        </w:rPr>
        <w:tab/>
        <w:t xml:space="preserve">În același timp, tehnologiile noi și emergente, cum ar fi inteligența artificială, intră rapid în mediile cursanților, ceea ce generează oportunități potențiale, dar și riscuri, cum ar fi cele legate de securitatea cibernetică. Prin urmare, este esențial ca instituțiile de educație și formare și profesorii să beneficieze de sprijin în vederea unei înțelegeri mai bune a acestor instrumente și a modului în care pot fi utilizate cu încredere și în condiții de siguranță, în beneficiul predării și al învățării. </w:t>
      </w:r>
      <w:r w:rsidRPr="00581A4E">
        <w:rPr>
          <w:b/>
          <w:noProof/>
        </w:rPr>
        <w:t>Strategia privind inteligența artificială</w:t>
      </w:r>
      <w:r w:rsidRPr="00581A4E">
        <w:rPr>
          <w:rStyle w:val="FootnoteReference"/>
          <w:noProof/>
        </w:rPr>
        <w:footnoteReference w:id="49"/>
      </w:r>
      <w:r w:rsidRPr="00581A4E">
        <w:rPr>
          <w:noProof/>
        </w:rPr>
        <w:t xml:space="preserve">, </w:t>
      </w:r>
      <w:r w:rsidRPr="00581A4E">
        <w:rPr>
          <w:b/>
          <w:noProof/>
        </w:rPr>
        <w:t>Strategia europeană privind datele</w:t>
      </w:r>
      <w:r w:rsidRPr="00581A4E">
        <w:rPr>
          <w:rStyle w:val="FootnoteReference"/>
          <w:noProof/>
        </w:rPr>
        <w:footnoteReference w:id="50"/>
      </w:r>
      <w:r w:rsidRPr="00581A4E">
        <w:rPr>
          <w:noProof/>
        </w:rPr>
        <w:t xml:space="preserve">, </w:t>
      </w:r>
      <w:r w:rsidRPr="00581A4E">
        <w:rPr>
          <w:b/>
          <w:noProof/>
        </w:rPr>
        <w:t>Propunerea de regulament privind inteligența artificială</w:t>
      </w:r>
      <w:r w:rsidRPr="00581A4E">
        <w:rPr>
          <w:rStyle w:val="FootnoteReference"/>
          <w:noProof/>
        </w:rPr>
        <w:footnoteReference w:id="51"/>
      </w:r>
      <w:r w:rsidRPr="00581A4E">
        <w:rPr>
          <w:noProof/>
        </w:rPr>
        <w:t xml:space="preserve">, </w:t>
      </w:r>
      <w:r w:rsidRPr="00581A4E">
        <w:rPr>
          <w:b/>
          <w:noProof/>
        </w:rPr>
        <w:t>Regulamentul privind serviciile digitale</w:t>
      </w:r>
      <w:r w:rsidRPr="00581A4E">
        <w:rPr>
          <w:rStyle w:val="FootnoteReference"/>
          <w:noProof/>
        </w:rPr>
        <w:footnoteReference w:id="52"/>
      </w:r>
      <w:r w:rsidRPr="00581A4E">
        <w:rPr>
          <w:noProof/>
        </w:rPr>
        <w:t xml:space="preserve"> și </w:t>
      </w:r>
      <w:r w:rsidRPr="00581A4E">
        <w:rPr>
          <w:b/>
          <w:noProof/>
        </w:rPr>
        <w:t>Orientările în materie de etică privind utilizarea inteligenței artificiale (IA) și a datelor în procesul de predare și învățare pentru cadrele didactice</w:t>
      </w:r>
      <w:r w:rsidRPr="00581A4E">
        <w:rPr>
          <w:rStyle w:val="FootnoteReference"/>
          <w:noProof/>
        </w:rPr>
        <w:footnoteReference w:id="53"/>
      </w:r>
      <w:r w:rsidRPr="00581A4E">
        <w:rPr>
          <w:noProof/>
        </w:rPr>
        <w:t>, precum și cadrul propus pentru identitatea digitală europeană</w:t>
      </w:r>
      <w:r w:rsidRPr="00581A4E">
        <w:rPr>
          <w:rStyle w:val="FootnoteReference"/>
          <w:noProof/>
        </w:rPr>
        <w:footnoteReference w:id="54"/>
      </w:r>
      <w:r w:rsidRPr="00581A4E">
        <w:rPr>
          <w:noProof/>
        </w:rPr>
        <w:t xml:space="preserve"> sunt relevante pentru sectorul educației și formării și pentru utilizarea în practică a tehnologiilor digitale în acest sector. În același timp, Planul de acțiune revizuit pentru educația digitală are rolul de a îmbunătăți cunoștințele despre securitatea cibernetică ale persoanelor, în special ale copiilor și tinerilor, precum și ale organizațiilor, mai ales ale IMM-urilor. Educația și sensibilizarea nu numai că vor proteja împotriva amenințărilor cibernetice, ci vor contribui, de asemenea, la dezvoltarea și diversificarea forței de muncă din domeniul securității cibernetice, completând astfel eforturile Academiei de competențe în materie de securitate cibernetică.</w:t>
      </w:r>
    </w:p>
    <w:p w14:paraId="3AEB1267" w14:textId="132969D4" w:rsidR="00153CA9" w:rsidRPr="00581A4E" w:rsidRDefault="00C45211" w:rsidP="00C45211">
      <w:pPr>
        <w:pStyle w:val="ManualConsidrant"/>
        <w:rPr>
          <w:noProof/>
          <w:szCs w:val="24"/>
        </w:rPr>
      </w:pPr>
      <w:r w:rsidRPr="00581A4E">
        <w:rPr>
          <w:noProof/>
        </w:rPr>
        <w:t>(18)</w:t>
      </w:r>
      <w:r w:rsidRPr="00581A4E">
        <w:rPr>
          <w:noProof/>
        </w:rPr>
        <w:tab/>
        <w:t>Din perspectiva învățării pe tot parcursul vieții, utilizarea tehnologiilor digitale pentru a îmbunătăți accesibilitatea și calitatea predării și învățării este esențială pentru toate sectoarele și nivelurile de educație și formare, de la primii ani de școală până la învățarea în rândul adulților, inclusiv al cetățenilor în vârstă.</w:t>
      </w:r>
    </w:p>
    <w:p w14:paraId="672DCC36" w14:textId="56A53744" w:rsidR="00D978DC" w:rsidRPr="00581A4E" w:rsidRDefault="00C45211" w:rsidP="00C45211">
      <w:pPr>
        <w:pStyle w:val="ManualConsidrant"/>
        <w:rPr>
          <w:noProof/>
          <w:szCs w:val="24"/>
        </w:rPr>
      </w:pPr>
      <w:r w:rsidRPr="00581A4E">
        <w:rPr>
          <w:noProof/>
        </w:rPr>
        <w:t>(19)</w:t>
      </w:r>
      <w:r w:rsidRPr="00581A4E">
        <w:rPr>
          <w:noProof/>
        </w:rPr>
        <w:tab/>
        <w:t>Recomandarea Consiliului privind educația și formarea profesională (EFP) pentru competitivitate durabilă, echitate socială și reziliență</w:t>
      </w:r>
      <w:r w:rsidRPr="00581A4E">
        <w:rPr>
          <w:rStyle w:val="FootnoteReference"/>
          <w:noProof/>
        </w:rPr>
        <w:footnoteReference w:id="55"/>
      </w:r>
      <w:r w:rsidRPr="00581A4E">
        <w:rPr>
          <w:noProof/>
        </w:rPr>
        <w:t xml:space="preserve"> propune o viziune de politică modernizată a Uniunii privind EFP, inclusiv digitalizarea acesteia și utilizarea învățării mixte. Declarația de la Osnabrück privind educația și formarea profesională ca factor de redresare și de tranziție justă către economii digitale și verzi</w:t>
      </w:r>
      <w:r w:rsidRPr="00581A4E">
        <w:rPr>
          <w:rStyle w:val="FootnoteReference"/>
          <w:noProof/>
        </w:rPr>
        <w:footnoteReference w:id="56"/>
      </w:r>
      <w:r w:rsidRPr="00581A4E">
        <w:rPr>
          <w:noProof/>
        </w:rPr>
        <w:t xml:space="preserve"> evidențiază faptul că învățarea digitală poate juca un rol important și complementar în acest sens.</w:t>
      </w:r>
    </w:p>
    <w:p w14:paraId="630028CE" w14:textId="0516CC38" w:rsidR="00153CA9" w:rsidRPr="00581A4E" w:rsidRDefault="00C45211" w:rsidP="00C45211">
      <w:pPr>
        <w:pStyle w:val="ManualConsidrant"/>
        <w:rPr>
          <w:b/>
          <w:bCs/>
          <w:noProof/>
          <w:szCs w:val="24"/>
        </w:rPr>
      </w:pPr>
      <w:r w:rsidRPr="00581A4E">
        <w:rPr>
          <w:noProof/>
        </w:rPr>
        <w:t>(20)</w:t>
      </w:r>
      <w:r w:rsidRPr="00581A4E">
        <w:rPr>
          <w:noProof/>
        </w:rPr>
        <w:tab/>
      </w:r>
      <w:r w:rsidRPr="00581A4E">
        <w:rPr>
          <w:b/>
          <w:noProof/>
        </w:rPr>
        <w:t>Inițiativa privind universitățile europene</w:t>
      </w:r>
      <w:r w:rsidRPr="00581A4E">
        <w:rPr>
          <w:rStyle w:val="FootnoteReference"/>
          <w:noProof/>
        </w:rPr>
        <w:footnoteReference w:id="57"/>
      </w:r>
      <w:r w:rsidRPr="00581A4E">
        <w:rPr>
          <w:noProof/>
        </w:rPr>
        <w:t>, care sprijină alianțele transnaționale între instituțiile de învățământ superior, promovează crearea și partajarea conținutului digital pentru studenți, personal, cercetători și cetățeni. Învățarea online și învățarea mixtă sprijină obiectivul universităților europene de a spori mobilitatea studenților și a personalului lor, de a oferi parcursuri de învățare mai flexibile și de a spori abordările transdisciplinare pentru a conecta studenții și personalul cu sectorul public și cel privat.</w:t>
      </w:r>
    </w:p>
    <w:p w14:paraId="182A43F9" w14:textId="0286B693" w:rsidR="00AD7F39" w:rsidRPr="00581A4E" w:rsidRDefault="00C45211" w:rsidP="00C45211">
      <w:pPr>
        <w:pStyle w:val="ManualConsidrant"/>
        <w:rPr>
          <w:noProof/>
          <w:szCs w:val="24"/>
        </w:rPr>
      </w:pPr>
      <w:r w:rsidRPr="00581A4E">
        <w:rPr>
          <w:noProof/>
        </w:rPr>
        <w:t>(21)</w:t>
      </w:r>
      <w:r w:rsidRPr="00581A4E">
        <w:rPr>
          <w:noProof/>
        </w:rPr>
        <w:tab/>
      </w:r>
      <w:r w:rsidRPr="00581A4E">
        <w:rPr>
          <w:b/>
          <w:noProof/>
        </w:rPr>
        <w:t>Recomandarea Consiliului privind parcursurile de actualizare a competențelor: noi oportunități pentru adulți</w:t>
      </w:r>
      <w:r w:rsidRPr="00581A4E">
        <w:rPr>
          <w:rStyle w:val="FootnoteReference"/>
          <w:noProof/>
        </w:rPr>
        <w:footnoteReference w:id="58"/>
      </w:r>
      <w:r w:rsidRPr="00581A4E">
        <w:rPr>
          <w:noProof/>
        </w:rPr>
        <w:t xml:space="preserve"> are scopul de a le oferi adulților slab calificați oportunități flexibile de a-și îmbunătăți competențele de bază și cele suplimentare, inclusiv competențele digitale relevante pentru piața forței de muncă și participarea activă în societate. Acest obiectiv este pus în practică prin furnizarea de formare profesională în structuri de învățare corespunzătoare, în care profesori și formatori calificați aplică metode de predare specifice adulților și valorifică potențialul învățării digitale.</w:t>
      </w:r>
    </w:p>
    <w:p w14:paraId="287E78D5" w14:textId="1EB435F5" w:rsidR="00AD7F39" w:rsidRPr="00581A4E" w:rsidRDefault="00C45211" w:rsidP="00C45211">
      <w:pPr>
        <w:pStyle w:val="ManualConsidrant"/>
        <w:rPr>
          <w:noProof/>
          <w:szCs w:val="24"/>
        </w:rPr>
      </w:pPr>
      <w:r w:rsidRPr="00581A4E">
        <w:rPr>
          <w:noProof/>
        </w:rPr>
        <w:t>(22)</w:t>
      </w:r>
      <w:r w:rsidRPr="00581A4E">
        <w:rPr>
          <w:noProof/>
        </w:rPr>
        <w:tab/>
      </w:r>
      <w:r w:rsidRPr="00581A4E">
        <w:rPr>
          <w:b/>
          <w:noProof/>
        </w:rPr>
        <w:t>Concluziile Consiliului privind cadrele didactice și formatorii europeni pentru viitor</w:t>
      </w:r>
      <w:r w:rsidRPr="00581A4E">
        <w:rPr>
          <w:rStyle w:val="FootnoteReference"/>
          <w:noProof/>
        </w:rPr>
        <w:footnoteReference w:id="59"/>
      </w:r>
      <w:r w:rsidRPr="00581A4E">
        <w:rPr>
          <w:noProof/>
        </w:rPr>
        <w:t xml:space="preserve"> recunosc faptul că profesorii, formatorii și directorii unităților de învățământ sunt o forță motrice indispensabilă pentru educație și formare. Aceștia trebuie să fie implicați în elaborarea politicilor de educație și formare și să beneficieze de autonomie în ceea ce privește punerea în practică a acestor politici. Pe de altă parte, aceștia au nevoie să fie sprijiniți printr-o abordare cuprinzătoare în ceea ce privește educația inițială, integrarea la locul de muncă și dezvoltarea profesională continuă. </w:t>
      </w:r>
    </w:p>
    <w:p w14:paraId="16EE40E6" w14:textId="234810AB" w:rsidR="00AD7F39" w:rsidRPr="00581A4E" w:rsidRDefault="00C45211" w:rsidP="00C45211">
      <w:pPr>
        <w:pStyle w:val="ManualConsidrant"/>
        <w:rPr>
          <w:b/>
          <w:bCs/>
          <w:noProof/>
          <w:szCs w:val="24"/>
        </w:rPr>
      </w:pPr>
      <w:r w:rsidRPr="00581A4E">
        <w:rPr>
          <w:noProof/>
        </w:rPr>
        <w:t>(23)</w:t>
      </w:r>
      <w:r w:rsidRPr="00581A4E">
        <w:rPr>
          <w:noProof/>
        </w:rPr>
        <w:tab/>
      </w:r>
      <w:r w:rsidRPr="00581A4E">
        <w:rPr>
          <w:b/>
          <w:noProof/>
        </w:rPr>
        <w:t>Recomandarea Consiliului privind abordările bazate pe învățarea mixtă pentru un învățământ primar și secundar de înaltă calitate și incluziv</w:t>
      </w:r>
      <w:r w:rsidRPr="00581A4E">
        <w:rPr>
          <w:rStyle w:val="FootnoteReference"/>
          <w:noProof/>
        </w:rPr>
        <w:footnoteReference w:id="60"/>
      </w:r>
      <w:r w:rsidRPr="00581A4E">
        <w:rPr>
          <w:noProof/>
        </w:rPr>
        <w:t xml:space="preserve"> recomandă ca abordările bazate pe învățarea mixtă să fie integrate în formarea inițială a profesorilor și în programele de dezvoltare profesională continuă. De asemenea, se recomandă sprijinirea personalului didactic în ceea ce privește utilizarea instrumentelor și materialelor digitale, inclusiv cunoștințele despre cum să lucreze etic și în siguranță în mediile digitale. </w:t>
      </w:r>
    </w:p>
    <w:p w14:paraId="4D3C6FE6" w14:textId="3771C966" w:rsidR="00AD7F39" w:rsidRPr="00581A4E" w:rsidRDefault="00C45211" w:rsidP="00C45211">
      <w:pPr>
        <w:pStyle w:val="ManualConsidrant"/>
        <w:rPr>
          <w:noProof/>
          <w:szCs w:val="24"/>
        </w:rPr>
      </w:pPr>
      <w:r w:rsidRPr="00581A4E">
        <w:rPr>
          <w:noProof/>
        </w:rPr>
        <w:t>(24)</w:t>
      </w:r>
      <w:r w:rsidRPr="00581A4E">
        <w:rPr>
          <w:noProof/>
        </w:rPr>
        <w:tab/>
      </w:r>
      <w:r w:rsidRPr="00581A4E">
        <w:rPr>
          <w:b/>
          <w:noProof/>
        </w:rPr>
        <w:t>Recomandarea Consiliului privind învățarea pentru tranziția verde și dezvoltarea durabilă</w:t>
      </w:r>
      <w:r w:rsidRPr="00581A4E">
        <w:rPr>
          <w:rStyle w:val="FootnoteReference"/>
          <w:noProof/>
        </w:rPr>
        <w:footnoteReference w:id="61"/>
      </w:r>
      <w:r w:rsidRPr="00581A4E">
        <w:rPr>
          <w:noProof/>
        </w:rPr>
        <w:t xml:space="preserve"> subliniază importanța competențelor digitale ale cadrelor didactice și a infrastructurii, instrumentelor și resurselor digitale pentru consolidarea predării și învățării în scopul sustenabilității. </w:t>
      </w:r>
    </w:p>
    <w:p w14:paraId="229DBB2D" w14:textId="79FE9A49" w:rsidR="00153CA9" w:rsidRPr="00581A4E" w:rsidRDefault="00C45211" w:rsidP="00C45211">
      <w:pPr>
        <w:pStyle w:val="ManualConsidrant"/>
        <w:rPr>
          <w:noProof/>
          <w:szCs w:val="24"/>
        </w:rPr>
      </w:pPr>
      <w:r w:rsidRPr="00581A4E">
        <w:rPr>
          <w:noProof/>
        </w:rPr>
        <w:t>(25)</w:t>
      </w:r>
      <w:r w:rsidRPr="00581A4E">
        <w:rPr>
          <w:noProof/>
        </w:rPr>
        <w:tab/>
        <w:t xml:space="preserve">Prin urmare, este esențial ca profesorii să fie tratați ca parteneri-cheie pentru transformarea digitală reușită a educației și formării. În calitate de parteneri-cheie în acest proces, profesorii trebuie să fie implicați îndeaproape și consultați în ceea ce privește adoptarea tehnologiilor digitale, precum și să dispună de aptitudinile și competențele necesare pentru utilizarea lor eficace. </w:t>
      </w:r>
    </w:p>
    <w:p w14:paraId="1822610D" w14:textId="0A0EEF4A" w:rsidR="00AD7F39" w:rsidRPr="00581A4E" w:rsidRDefault="00C45211" w:rsidP="00C45211">
      <w:pPr>
        <w:pStyle w:val="ManualConsidrant"/>
        <w:rPr>
          <w:noProof/>
          <w:szCs w:val="24"/>
        </w:rPr>
      </w:pPr>
      <w:r w:rsidRPr="00581A4E">
        <w:rPr>
          <w:noProof/>
        </w:rPr>
        <w:t>(26)</w:t>
      </w:r>
      <w:r w:rsidRPr="00581A4E">
        <w:rPr>
          <w:noProof/>
        </w:rPr>
        <w:tab/>
        <w:t>Prezenta recomandare respectă pe deplin principiile subsidiarității și proporționalității. Statele membre vor decide, în conformitate cu situația de pe plan național, modul în care vor pune în aplicare recomandarea,</w:t>
      </w:r>
      <w:r w:rsidRPr="00581A4E">
        <w:rPr>
          <w:noProof/>
        </w:rPr>
        <w:br w:type="page"/>
      </w:r>
    </w:p>
    <w:p w14:paraId="79F1EFEF" w14:textId="77777777" w:rsidR="00A91AA7" w:rsidRPr="00581A4E" w:rsidRDefault="00A91AA7" w:rsidP="00E42B6E">
      <w:pPr>
        <w:pStyle w:val="Formuledadoption"/>
        <w:rPr>
          <w:noProof/>
        </w:rPr>
      </w:pPr>
      <w:r w:rsidRPr="00581A4E">
        <w:rPr>
          <w:noProof/>
        </w:rPr>
        <w:t>RECOMANDĂ CA STATELE MEMBRE:</w:t>
      </w:r>
    </w:p>
    <w:p w14:paraId="518E9737" w14:textId="2FD7EF95" w:rsidR="00AD7F39" w:rsidRPr="00581A4E" w:rsidRDefault="00C45211" w:rsidP="00C45211">
      <w:pPr>
        <w:pStyle w:val="ManualNumPar1"/>
        <w:rPr>
          <w:noProof/>
        </w:rPr>
      </w:pPr>
      <w:bookmarkStart w:id="6" w:name="_Hlk114644184"/>
      <w:bookmarkStart w:id="7" w:name="_Hlk116289760"/>
      <w:r w:rsidRPr="00581A4E">
        <w:rPr>
          <w:noProof/>
        </w:rPr>
        <w:t>1.</w:t>
      </w:r>
      <w:r w:rsidRPr="00581A4E">
        <w:rPr>
          <w:noProof/>
        </w:rPr>
        <w:tab/>
        <w:t>Să convină, printr-o abordare la nivelul întregii administrații și împreună cu principalele părți interesate, asupra unei strategii naționale pentru educația și competențele digitale, elaborată sau actualizată în conformitate cu principiile prezentei recomandări, și să monitorizeze eficacitatea și impactul acesteia. În vederea punerii în aplicare a strategiei lor naționale, statele membre ar trebui, în special:</w:t>
      </w:r>
    </w:p>
    <w:p w14:paraId="664BE854" w14:textId="7C504E47" w:rsidR="00AD7F39" w:rsidRPr="00581A4E" w:rsidRDefault="00C45211" w:rsidP="00C45211">
      <w:pPr>
        <w:pStyle w:val="ManualNumPar2"/>
        <w:rPr>
          <w:noProof/>
        </w:rPr>
      </w:pPr>
      <w:r w:rsidRPr="00581A4E">
        <w:rPr>
          <w:noProof/>
        </w:rPr>
        <w:t>1.1.</w:t>
      </w:r>
      <w:r w:rsidRPr="00581A4E">
        <w:rPr>
          <w:noProof/>
        </w:rPr>
        <w:tab/>
        <w:t xml:space="preserve">Să stabilească într-un mod integrat obiective naționale privind transformarea digitală a sistemelor de educație și formare și dezvoltarea competențelor digitale și să se asigure că acestea sunt reexaminate și actualizate periodic. </w:t>
      </w:r>
    </w:p>
    <w:p w14:paraId="091CC612" w14:textId="2C7AC124" w:rsidR="00AD7F39" w:rsidRPr="00581A4E" w:rsidRDefault="00C45211" w:rsidP="00C45211">
      <w:pPr>
        <w:pStyle w:val="ManualNumPar2"/>
        <w:rPr>
          <w:noProof/>
        </w:rPr>
      </w:pPr>
      <w:r w:rsidRPr="00581A4E">
        <w:rPr>
          <w:noProof/>
        </w:rPr>
        <w:t>1.2.</w:t>
      </w:r>
      <w:r w:rsidRPr="00581A4E">
        <w:rPr>
          <w:noProof/>
        </w:rPr>
        <w:tab/>
        <w:t>Să alinieze obiectivele naționale menționate la punctul 1.1 la prioritățile strategice ale Planului de acțiune pentru educația digitală 2021-2027 și la obiectivele la nivelul Uniunii ale programului de politică privind deceniul digital.</w:t>
      </w:r>
    </w:p>
    <w:p w14:paraId="2FE75511" w14:textId="4993218C" w:rsidR="00A91AA7" w:rsidRPr="00581A4E" w:rsidRDefault="00C45211" w:rsidP="00C45211">
      <w:pPr>
        <w:pStyle w:val="ManualNumPar2"/>
        <w:rPr>
          <w:noProof/>
        </w:rPr>
      </w:pPr>
      <w:r w:rsidRPr="00581A4E">
        <w:rPr>
          <w:noProof/>
        </w:rPr>
        <w:t>1.3.</w:t>
      </w:r>
      <w:r w:rsidRPr="00581A4E">
        <w:rPr>
          <w:noProof/>
        </w:rPr>
        <w:tab/>
        <w:t xml:space="preserve">Să stabilească obiective naționale ambițioase privind factorii favorizanți esențiali în conformitate cu prezenta recomandare și cu obiectivele naționale pentru transformarea digitală a sistemelor de educație și formare. </w:t>
      </w:r>
    </w:p>
    <w:p w14:paraId="58B72D50" w14:textId="452578AB" w:rsidR="00AD7F39" w:rsidRPr="00581A4E" w:rsidRDefault="00C45211" w:rsidP="00C45211">
      <w:pPr>
        <w:pStyle w:val="ManualNumPar2"/>
        <w:rPr>
          <w:noProof/>
        </w:rPr>
      </w:pPr>
      <w:r w:rsidRPr="00581A4E">
        <w:rPr>
          <w:noProof/>
        </w:rPr>
        <w:t>1.4.</w:t>
      </w:r>
      <w:r w:rsidRPr="00581A4E">
        <w:rPr>
          <w:noProof/>
        </w:rPr>
        <w:tab/>
        <w:t xml:space="preserve">Să monitorizeze progresele înregistrate în vederea îndeplinirii obiectivelor naționale menționate la punctul 1.3 și să publice cu regularitate rapoarte, care să prezinte lecțiile învățate și recomandări de îmbunătățire. </w:t>
      </w:r>
    </w:p>
    <w:p w14:paraId="0652427D" w14:textId="69F05CD0" w:rsidR="00AD7F39" w:rsidRPr="00581A4E" w:rsidRDefault="00C45211" w:rsidP="00C45211">
      <w:pPr>
        <w:pStyle w:val="ManualNumPar2"/>
        <w:rPr>
          <w:noProof/>
        </w:rPr>
      </w:pPr>
      <w:r w:rsidRPr="00581A4E">
        <w:rPr>
          <w:noProof/>
        </w:rPr>
        <w:t>1.5.</w:t>
      </w:r>
      <w:r w:rsidRPr="00581A4E">
        <w:rPr>
          <w:noProof/>
        </w:rPr>
        <w:tab/>
        <w:t>Să efectueze evaluări periodice ale impactului politicilor și practicilor din domeniul educației digitale, inclusiv în ceea ce privește rezultatele învățării, accesibilitatea și incluziunea, egalitatea și bunăstarea, conform unei abordări bazate pe învățarea pe tot parcursul vieții, și să dezvolte cercetarea cu privire la aceste subiecte.</w:t>
      </w:r>
    </w:p>
    <w:p w14:paraId="1CCD6285" w14:textId="0B662D9B" w:rsidR="00AD7F39" w:rsidRPr="00581A4E" w:rsidRDefault="00C45211" w:rsidP="00C45211">
      <w:pPr>
        <w:pStyle w:val="ManualNumPar1"/>
        <w:rPr>
          <w:noProof/>
        </w:rPr>
      </w:pPr>
      <w:r w:rsidRPr="00581A4E">
        <w:rPr>
          <w:noProof/>
        </w:rPr>
        <w:t>2.</w:t>
      </w:r>
      <w:r w:rsidRPr="00581A4E">
        <w:rPr>
          <w:noProof/>
        </w:rPr>
        <w:tab/>
        <w:t>Să îmbunătățească eficiența, eficacitatea și reziliența politicilor în domeniul educației și formării digitale prin promovarea sinergiilor și a coordonării la toate nivelurile administrației și prin asigurarea unei abordări bazate pe participarea întregii administrații și a diferitor părți interesate. Statele membre ar trebui, în special:</w:t>
      </w:r>
    </w:p>
    <w:p w14:paraId="0E494922" w14:textId="29E9DA3D" w:rsidR="00AD7F39" w:rsidRPr="00581A4E" w:rsidRDefault="00C45211" w:rsidP="00C45211">
      <w:pPr>
        <w:pStyle w:val="ManualNumPar2"/>
        <w:rPr>
          <w:noProof/>
        </w:rPr>
      </w:pPr>
      <w:r w:rsidRPr="00581A4E">
        <w:rPr>
          <w:noProof/>
        </w:rPr>
        <w:t>2.1.</w:t>
      </w:r>
      <w:r w:rsidRPr="00581A4E">
        <w:rPr>
          <w:noProof/>
        </w:rPr>
        <w:tab/>
        <w:t>Să organizeze cu regularitate dialoguri între diferitele părți ale administrației publice implicate în furnizarea de educație și formare digitală, la nivelurile corespunzătoare, în conformitate cu structura sistemelor naționale de educație și formare, pentru a asigura alinierea, a obține beneficii din sinergii și a evita cheltuielile duble.</w:t>
      </w:r>
    </w:p>
    <w:p w14:paraId="2C875566" w14:textId="021CE780" w:rsidR="00AD7F39" w:rsidRPr="00581A4E" w:rsidRDefault="00C45211" w:rsidP="00C45211">
      <w:pPr>
        <w:pStyle w:val="ManualNumPar2"/>
        <w:rPr>
          <w:noProof/>
        </w:rPr>
      </w:pPr>
      <w:r w:rsidRPr="00581A4E">
        <w:rPr>
          <w:noProof/>
        </w:rPr>
        <w:t>2.2.</w:t>
      </w:r>
      <w:r w:rsidRPr="00581A4E">
        <w:rPr>
          <w:noProof/>
        </w:rPr>
        <w:tab/>
        <w:t xml:space="preserve">Să asigure implicarea în mod structural a părților interesate și a partenerilor sociali în procesele de elaborare, dezvoltare, punere în aplicare și evaluare a politicilor privind educația și formarea digitală, inclusiv participarea activă a categoriilor care nu dispun de organisme reprezentative formale, cum ar fi părinții și cursanții, precum și a categoriilor diferite din punctul de vedere al vârstei și al contextului socioeconomic, sectorial și teritorial. </w:t>
      </w:r>
    </w:p>
    <w:p w14:paraId="5EE3FECC" w14:textId="3FAA44C4" w:rsidR="00AD7F39" w:rsidRPr="00581A4E" w:rsidRDefault="00C45211" w:rsidP="00C45211">
      <w:pPr>
        <w:pStyle w:val="ManualNumPar2"/>
        <w:rPr>
          <w:noProof/>
        </w:rPr>
      </w:pPr>
      <w:r w:rsidRPr="00581A4E">
        <w:rPr>
          <w:noProof/>
        </w:rPr>
        <w:t>2.3.</w:t>
      </w:r>
      <w:r w:rsidRPr="00581A4E">
        <w:rPr>
          <w:noProof/>
        </w:rPr>
        <w:tab/>
        <w:t>Să stabilească o cooperare și schimburi sustenabile cu sectorul privat și cu furnizorii de tehnologie, inclusiv cu furnizorii de tehnologie în domeniul educației, cu întreprinderile mici și mijlocii și cu start-upuri, în vederea dezvoltării de soluții care să reflecte valorile și principiile Uniunii, inclusiv suveranitatea digitală, interoperabilitatea, securitatea, protecția datelor și transparența, precum și utilizarea sustenabilă a resurselor rare și a energiei în scopuri digitale, prin:</w:t>
      </w:r>
    </w:p>
    <w:p w14:paraId="6BB2C2A8" w14:textId="0FFEDE7E" w:rsidR="00AD7F39" w:rsidRPr="00581A4E" w:rsidRDefault="00C45211" w:rsidP="00C45211">
      <w:pPr>
        <w:pStyle w:val="ManualNumPar3"/>
        <w:rPr>
          <w:noProof/>
        </w:rPr>
      </w:pPr>
      <w:r w:rsidRPr="00581A4E">
        <w:rPr>
          <w:noProof/>
        </w:rPr>
        <w:t>2.3.1.</w:t>
      </w:r>
      <w:r w:rsidRPr="00581A4E">
        <w:rPr>
          <w:noProof/>
        </w:rPr>
        <w:tab/>
        <w:t>sprijinirea cercetării, dezvoltării și testării instrumentelor și tehnologiilor de educație digitală, inclusiv a celor bazate pe tehnologii emergente cum ar fi realitatea extinsă, realitatea virtuală, realitatea augmentată, inteligența artificială, robotica și metaversul;</w:t>
      </w:r>
    </w:p>
    <w:p w14:paraId="43E28C1C" w14:textId="2C31DD2D" w:rsidR="00AD7F39" w:rsidRPr="00581A4E" w:rsidRDefault="00C45211" w:rsidP="00C45211">
      <w:pPr>
        <w:pStyle w:val="ManualNumPar3"/>
        <w:rPr>
          <w:noProof/>
        </w:rPr>
      </w:pPr>
      <w:r w:rsidRPr="00581A4E">
        <w:rPr>
          <w:noProof/>
        </w:rPr>
        <w:t>2.3.2.</w:t>
      </w:r>
      <w:r w:rsidRPr="00581A4E">
        <w:rPr>
          <w:noProof/>
        </w:rPr>
        <w:tab/>
        <w:t>promovarea parteneriatelor public-privat pentru dezvoltarea și implementarea soluțiilor de educație digitală, după caz;</w:t>
      </w:r>
    </w:p>
    <w:p w14:paraId="6525E95C" w14:textId="33D92374" w:rsidR="00AD7F39" w:rsidRPr="00581A4E" w:rsidRDefault="00C45211" w:rsidP="00C45211">
      <w:pPr>
        <w:pStyle w:val="ManualNumPar3"/>
        <w:rPr>
          <w:noProof/>
        </w:rPr>
      </w:pPr>
      <w:r w:rsidRPr="00581A4E">
        <w:rPr>
          <w:noProof/>
        </w:rPr>
        <w:t>2.3.3.</w:t>
      </w:r>
      <w:r w:rsidRPr="00581A4E">
        <w:rPr>
          <w:noProof/>
        </w:rPr>
        <w:tab/>
        <w:t>oferirea de stimulente pentru cercetarea privind calitatea, caracterul favorabil incluziunii, accesibilitatea și impactul soluțiilor de educație digitală, inclusiv al celor bazate pe tehnologii emergente.</w:t>
      </w:r>
    </w:p>
    <w:p w14:paraId="7A764A6E" w14:textId="313AB25B" w:rsidR="00AD7F39" w:rsidRPr="00581A4E" w:rsidRDefault="00C45211" w:rsidP="00C45211">
      <w:pPr>
        <w:pStyle w:val="ManualNumPar2"/>
        <w:rPr>
          <w:noProof/>
        </w:rPr>
      </w:pPr>
      <w:r w:rsidRPr="00581A4E">
        <w:rPr>
          <w:noProof/>
        </w:rPr>
        <w:t>2.4.</w:t>
      </w:r>
      <w:r w:rsidRPr="00581A4E">
        <w:rPr>
          <w:noProof/>
        </w:rPr>
        <w:tab/>
        <w:t>Să participe la învățarea reciprocă, la schimbul de practici și la activitățile de coordonare, inclusiv între diferite sectoare de politică, la nivel european și internațional, astfel încât să se găsească soluții comune la provocările transnaționale.</w:t>
      </w:r>
    </w:p>
    <w:p w14:paraId="27126043" w14:textId="0D207525" w:rsidR="00AD7F39" w:rsidRPr="00581A4E" w:rsidRDefault="00C45211" w:rsidP="00C45211">
      <w:pPr>
        <w:pStyle w:val="ManualNumPar1"/>
        <w:rPr>
          <w:noProof/>
        </w:rPr>
      </w:pPr>
      <w:r w:rsidRPr="00581A4E">
        <w:rPr>
          <w:noProof/>
        </w:rPr>
        <w:t>3.</w:t>
      </w:r>
      <w:r w:rsidRPr="00581A4E">
        <w:rPr>
          <w:noProof/>
        </w:rPr>
        <w:tab/>
        <w:t>Să asigure formarea digitală pentru toți membrii personalului didactic și auxiliar și să promoveze consolidarea capacităților instituțiilor de educație și formare. Statele membre ar trebui, în special:</w:t>
      </w:r>
    </w:p>
    <w:p w14:paraId="0703BF63" w14:textId="2BB6567B" w:rsidR="00AD7F39" w:rsidRPr="00581A4E" w:rsidRDefault="00C45211" w:rsidP="00C45211">
      <w:pPr>
        <w:pStyle w:val="ManualNumPar2"/>
        <w:rPr>
          <w:noProof/>
        </w:rPr>
      </w:pPr>
      <w:r w:rsidRPr="00581A4E">
        <w:rPr>
          <w:noProof/>
        </w:rPr>
        <w:t>3.1.</w:t>
      </w:r>
      <w:r w:rsidRPr="00581A4E">
        <w:rPr>
          <w:noProof/>
        </w:rPr>
        <w:tab/>
        <w:t>Să se asigure că toți profesorii și personalul didactic sunt sprijiniți în ceea ce privește integrarea tehnologiilor digitale în pedagogia lor, și anume utilizarea tehnologiilor digitale pentru predare, învățare și evaluare. Sprijinul ar trebui să ia, în special, următoarele forme:</w:t>
      </w:r>
    </w:p>
    <w:p w14:paraId="35D1F2A9" w14:textId="72A12932" w:rsidR="00AD7F39" w:rsidRPr="00581A4E" w:rsidRDefault="00C45211" w:rsidP="00C45211">
      <w:pPr>
        <w:pStyle w:val="ManualNumPar3"/>
        <w:rPr>
          <w:noProof/>
        </w:rPr>
      </w:pPr>
      <w:r w:rsidRPr="00581A4E">
        <w:rPr>
          <w:noProof/>
        </w:rPr>
        <w:t>3.1.1.</w:t>
      </w:r>
      <w:r w:rsidRPr="00581A4E">
        <w:rPr>
          <w:noProof/>
        </w:rPr>
        <w:tab/>
        <w:t>implicarea profesorilor în deciziile instituționale privind modul de integrare a echipamentelor digitale în procesul de predare și învățare și privind selectarea și dezvoltarea conținutului educațional digital;</w:t>
      </w:r>
    </w:p>
    <w:p w14:paraId="525711FD" w14:textId="7FA8325D" w:rsidR="00AD7F39" w:rsidRPr="00581A4E" w:rsidRDefault="00C45211" w:rsidP="00C45211">
      <w:pPr>
        <w:pStyle w:val="ManualNumPar3"/>
        <w:rPr>
          <w:noProof/>
        </w:rPr>
      </w:pPr>
      <w:r w:rsidRPr="00581A4E">
        <w:rPr>
          <w:noProof/>
        </w:rPr>
        <w:t>3.1.2.</w:t>
      </w:r>
      <w:r w:rsidRPr="00581A4E">
        <w:rPr>
          <w:noProof/>
        </w:rPr>
        <w:tab/>
        <w:t>introducerea pedagogiei digitale obligatorii în cadrul tuturor programelor de formare pedagogică inițială a viitorilor profesori și sprijinirea furnizorilor acestor programe prin asigurarea resurselor și a dotărilor necesare în acest scop; cooperarea la nivelul UE în ceea ce privește elaborarea, furnizarea și evaluarea programelor de pedagogie digitală pentru profesori;</w:t>
      </w:r>
    </w:p>
    <w:p w14:paraId="7159F385" w14:textId="52DCE774" w:rsidR="00AD7F39" w:rsidRPr="00581A4E" w:rsidRDefault="00C45211" w:rsidP="00C45211">
      <w:pPr>
        <w:pStyle w:val="ManualNumPar3"/>
        <w:rPr>
          <w:noProof/>
        </w:rPr>
      </w:pPr>
      <w:r w:rsidRPr="00581A4E">
        <w:rPr>
          <w:noProof/>
        </w:rPr>
        <w:t>3.1.3.</w:t>
      </w:r>
      <w:r w:rsidRPr="00581A4E">
        <w:rPr>
          <w:noProof/>
        </w:rPr>
        <w:tab/>
        <w:t>asigurarea faptului că tuturor profesorilor și cadrelor didactice în activitate li se oferă în mod constant oportunități și timp pentru a-și dezvolta și aduce la zi competențele digitale în cadrul dezvoltării profesionale continue;</w:t>
      </w:r>
    </w:p>
    <w:p w14:paraId="22E022A4" w14:textId="3D9D33E7" w:rsidR="00AD7F39" w:rsidRPr="00581A4E" w:rsidRDefault="00C45211" w:rsidP="00C45211">
      <w:pPr>
        <w:pStyle w:val="ManualNumPar3"/>
        <w:rPr>
          <w:noProof/>
          <w:szCs w:val="24"/>
        </w:rPr>
      </w:pPr>
      <w:r w:rsidRPr="00581A4E">
        <w:rPr>
          <w:noProof/>
        </w:rPr>
        <w:t>3.1.4.</w:t>
      </w:r>
      <w:r w:rsidRPr="00581A4E">
        <w:rPr>
          <w:noProof/>
        </w:rPr>
        <w:tab/>
        <w:t>recunoașterea și promovarea formatelor flexibile, accesibile și inovatoare de actualizare a competențelor digitale, cum ar fi formarea online, cursurile de scurtă durată cu microcertificare, schimburile de personal la nivel național și internațional, învățarea reciprocă și perfecționarea digitală prin proiecte de colaborare, rețele și comunități de practică și cercetare;</w:t>
      </w:r>
    </w:p>
    <w:p w14:paraId="0B9DA1A8" w14:textId="4ADDE4BE" w:rsidR="00AD7F39" w:rsidRPr="00581A4E" w:rsidRDefault="00C45211" w:rsidP="00C45211">
      <w:pPr>
        <w:pStyle w:val="ManualNumPar3"/>
        <w:rPr>
          <w:noProof/>
          <w:szCs w:val="24"/>
        </w:rPr>
      </w:pPr>
      <w:r w:rsidRPr="00581A4E">
        <w:rPr>
          <w:noProof/>
        </w:rPr>
        <w:t>3.1.5.</w:t>
      </w:r>
      <w:r w:rsidRPr="00581A4E">
        <w:rPr>
          <w:noProof/>
        </w:rPr>
        <w:tab/>
        <w:t>utilizarea oportunităților de a dezvolta pedagogii digitale prin intermediul Academiilor Erasmus+ pentru cadrele didactice;</w:t>
      </w:r>
    </w:p>
    <w:p w14:paraId="394F66B9" w14:textId="6FB34152" w:rsidR="00AD7F39" w:rsidRPr="00581A4E" w:rsidRDefault="00C45211" w:rsidP="00C45211">
      <w:pPr>
        <w:pStyle w:val="ManualNumPar3"/>
        <w:rPr>
          <w:noProof/>
          <w:szCs w:val="24"/>
        </w:rPr>
      </w:pPr>
      <w:r w:rsidRPr="00581A4E">
        <w:rPr>
          <w:noProof/>
        </w:rPr>
        <w:t>3.1.6.</w:t>
      </w:r>
      <w:r w:rsidRPr="00581A4E">
        <w:rPr>
          <w:noProof/>
        </w:rPr>
        <w:tab/>
        <w:t>reflectarea nevoii de confort digital în procesul de predare și învățare și conceperea unor abordări și medii favorabile de predare și învățare digitale.</w:t>
      </w:r>
    </w:p>
    <w:p w14:paraId="3624A5FE" w14:textId="2C846F6C" w:rsidR="00AD7F39" w:rsidRPr="00581A4E" w:rsidRDefault="00C45211" w:rsidP="00C45211">
      <w:pPr>
        <w:pStyle w:val="ManualNumPar2"/>
        <w:rPr>
          <w:noProof/>
        </w:rPr>
      </w:pPr>
      <w:r w:rsidRPr="00581A4E">
        <w:rPr>
          <w:noProof/>
        </w:rPr>
        <w:t>3.2.</w:t>
      </w:r>
      <w:r w:rsidRPr="00581A4E">
        <w:rPr>
          <w:noProof/>
        </w:rPr>
        <w:tab/>
        <w:t>Să încurajeze instituțiile de educație și formare să promoveze transformarea digitală a educației și formării prin:</w:t>
      </w:r>
    </w:p>
    <w:p w14:paraId="3700D27F" w14:textId="29E76117" w:rsidR="00AD7F39" w:rsidRPr="00581A4E" w:rsidRDefault="00C45211" w:rsidP="00C45211">
      <w:pPr>
        <w:pStyle w:val="ManualNumPar3"/>
        <w:rPr>
          <w:noProof/>
        </w:rPr>
      </w:pPr>
      <w:r w:rsidRPr="00581A4E">
        <w:rPr>
          <w:noProof/>
        </w:rPr>
        <w:t>3.2.1.</w:t>
      </w:r>
      <w:r w:rsidRPr="00581A4E">
        <w:rPr>
          <w:noProof/>
        </w:rPr>
        <w:tab/>
        <w:t>promovarea consolidării capacităților și a utilizării cadrelor și a instrumentelor de autoevaluare, cum ar fi SELFIE (instrument de autoreflecție conceput pentru a ajuta școlile să integreze tehnologiile digitale în predare, învățare și evaluare, pe baza cadrului DigCompOrg pentru directorii unităților de învățământ), SELFIEforTEACHERS (pe baza cadrului DigCompEdu) și HEInnovate (instrument de autoevaluare pentru instituțiile de învățământ superior), pentru a identifica nevoile și obiectivele instituțiilor în ceea ce privește transformarea și perfecționarea digitală;</w:t>
      </w:r>
    </w:p>
    <w:p w14:paraId="35982815" w14:textId="35A584E0" w:rsidR="00AD7F39" w:rsidRPr="00581A4E" w:rsidRDefault="00C45211" w:rsidP="00C45211">
      <w:pPr>
        <w:pStyle w:val="ManualNumPar3"/>
        <w:rPr>
          <w:noProof/>
        </w:rPr>
      </w:pPr>
      <w:r w:rsidRPr="00581A4E">
        <w:rPr>
          <w:noProof/>
        </w:rPr>
        <w:t>3.2.2.</w:t>
      </w:r>
      <w:r w:rsidRPr="00581A4E">
        <w:rPr>
          <w:noProof/>
        </w:rPr>
        <w:tab/>
        <w:t>includerea unor criterii privind factorii favorizanți ai educației și formării digitale în procesele interne și externe de asigurare a calității pentru instituțiile de educație și formare;</w:t>
      </w:r>
    </w:p>
    <w:p w14:paraId="29466E38" w14:textId="659F91B4" w:rsidR="00AD7F39" w:rsidRPr="00581A4E" w:rsidRDefault="00C45211" w:rsidP="00C45211">
      <w:pPr>
        <w:pStyle w:val="ManualNumPar3"/>
        <w:rPr>
          <w:noProof/>
        </w:rPr>
      </w:pPr>
      <w:r w:rsidRPr="00581A4E">
        <w:rPr>
          <w:noProof/>
        </w:rPr>
        <w:t>3.2.3.</w:t>
      </w:r>
      <w:r w:rsidRPr="00581A4E">
        <w:rPr>
          <w:noProof/>
        </w:rPr>
        <w:tab/>
        <w:t>sprijinirea directorilor instituțiilor de educație și formare în vederea realizării transformării digitale, inclusiv prin activități de dezvoltare profesională continuă;</w:t>
      </w:r>
    </w:p>
    <w:p w14:paraId="0DFF23DA" w14:textId="4464AF22" w:rsidR="00AD7F39" w:rsidRPr="00581A4E" w:rsidRDefault="00C45211" w:rsidP="00C45211">
      <w:pPr>
        <w:pStyle w:val="ManualNumPar3"/>
        <w:rPr>
          <w:noProof/>
        </w:rPr>
      </w:pPr>
      <w:r w:rsidRPr="00581A4E">
        <w:rPr>
          <w:noProof/>
        </w:rPr>
        <w:t>3.2.4.</w:t>
      </w:r>
      <w:r w:rsidRPr="00581A4E">
        <w:rPr>
          <w:noProof/>
        </w:rPr>
        <w:tab/>
        <w:t xml:space="preserve">promovarea extinderii bazate pe dovezi a bunelor practici prin acordarea de recunoaștere instituțiilor pioniere care au îmbunătățit procesul de predare și învățare datorită inovării și tehnologiilor digitale, precum și prin sprijinirea schimburilor </w:t>
      </w:r>
      <w:r w:rsidRPr="00581A4E">
        <w:rPr>
          <w:i/>
          <w:iCs/>
          <w:noProof/>
        </w:rPr>
        <w:t>inter pares</w:t>
      </w:r>
      <w:r w:rsidRPr="00581A4E">
        <w:rPr>
          <w:noProof/>
        </w:rPr>
        <w:t>;</w:t>
      </w:r>
    </w:p>
    <w:p w14:paraId="100F1CF1" w14:textId="1553A16E" w:rsidR="00AD7F39" w:rsidRPr="00581A4E" w:rsidRDefault="00C45211" w:rsidP="00C45211">
      <w:pPr>
        <w:pStyle w:val="ManualNumPar3"/>
        <w:rPr>
          <w:noProof/>
        </w:rPr>
      </w:pPr>
      <w:r w:rsidRPr="00581A4E">
        <w:rPr>
          <w:noProof/>
        </w:rPr>
        <w:t>3.2.5.</w:t>
      </w:r>
      <w:r w:rsidRPr="00581A4E">
        <w:rPr>
          <w:noProof/>
        </w:rPr>
        <w:tab/>
        <w:t>încurajarea unui dialog continuu al instituțiilor de educație și formare cu sectoarele relevante, dialog care să abordeze nevoile și oportunitățile de dezvoltare și formare, schimbul de experiență și furnizarea de feedback cu privire la produsele și tehnologiile utilizate în procesul de predare și învățare;</w:t>
      </w:r>
    </w:p>
    <w:p w14:paraId="2ED60C9D" w14:textId="17A0F7EB" w:rsidR="00AD7F39" w:rsidRPr="00581A4E" w:rsidRDefault="00C45211" w:rsidP="00C45211">
      <w:pPr>
        <w:pStyle w:val="ManualNumPar3"/>
        <w:rPr>
          <w:noProof/>
        </w:rPr>
      </w:pPr>
      <w:r w:rsidRPr="00581A4E">
        <w:rPr>
          <w:noProof/>
        </w:rPr>
        <w:t>3.2.6.</w:t>
      </w:r>
      <w:r w:rsidRPr="00581A4E">
        <w:rPr>
          <w:noProof/>
        </w:rPr>
        <w:tab/>
        <w:t>asigurarea faptului că fiecare școală are acces la administratori în domeniul TIC și al pedagogiei digitale care să-i ajute pe profesori și pe cursanți să aleagă, să utilizeze, să gestioneze și să întrețină în mod eficace dispozitivele și instrumentele digitale pentru predare, învățare și evaluare;</w:t>
      </w:r>
    </w:p>
    <w:p w14:paraId="64AEAC50" w14:textId="0D9B3DDD" w:rsidR="00AD7F39" w:rsidRPr="00581A4E" w:rsidRDefault="00C45211" w:rsidP="00C45211">
      <w:pPr>
        <w:pStyle w:val="ManualNumPar3"/>
        <w:rPr>
          <w:rFonts w:eastAsia="Times New Roman"/>
          <w:noProof/>
        </w:rPr>
      </w:pPr>
      <w:r w:rsidRPr="00581A4E">
        <w:rPr>
          <w:noProof/>
        </w:rPr>
        <w:t>3.2.7.</w:t>
      </w:r>
      <w:r w:rsidRPr="00581A4E">
        <w:rPr>
          <w:noProof/>
        </w:rPr>
        <w:tab/>
        <w:t>adoptarea unor măsuri cuprinzătoare care să abordeze securitatea cibernetică în toate instituțiile de educație și formare, încurajarea întregului personal să urmeze cursuri de formare în materie de securitate cibernetică, sensibilizarea elevilor cu privire la securitatea cibernetică și asigurarea unor politici de securitate solide și a controlului accesului, utilizând, de asemenea, întregul potențial al soluțiilor tehnologice moderne precum criptografia și autentificarea.</w:t>
      </w:r>
    </w:p>
    <w:p w14:paraId="1C156BA1" w14:textId="56A4DC10" w:rsidR="00AD7F39" w:rsidRPr="00581A4E" w:rsidRDefault="00C45211" w:rsidP="00C45211">
      <w:pPr>
        <w:pStyle w:val="ManualNumPar1"/>
        <w:rPr>
          <w:noProof/>
        </w:rPr>
      </w:pPr>
      <w:r w:rsidRPr="00581A4E">
        <w:rPr>
          <w:noProof/>
        </w:rPr>
        <w:t>4.</w:t>
      </w:r>
      <w:r w:rsidRPr="00581A4E">
        <w:rPr>
          <w:noProof/>
        </w:rPr>
        <w:tab/>
        <w:t>Să promoveze investițiile echitabile și axate pe impact într-o educație și formare digitală de înaltă calitate, rezilientă și favorabilă incluziunii. Statele membre ar trebui, în special:</w:t>
      </w:r>
    </w:p>
    <w:bookmarkEnd w:id="6"/>
    <w:p w14:paraId="7CCECEE9" w14:textId="0B299E26" w:rsidR="00AD7F39" w:rsidRPr="00581A4E" w:rsidRDefault="00C45211" w:rsidP="00C45211">
      <w:pPr>
        <w:pStyle w:val="ManualNumPar2"/>
        <w:rPr>
          <w:noProof/>
        </w:rPr>
      </w:pPr>
      <w:r w:rsidRPr="00581A4E">
        <w:rPr>
          <w:noProof/>
        </w:rPr>
        <w:t>4.1.</w:t>
      </w:r>
      <w:r w:rsidRPr="00581A4E">
        <w:rPr>
          <w:noProof/>
        </w:rPr>
        <w:tab/>
        <w:t xml:space="preserve">Să îmbunătățească eficiența și impactul cheltuielilor pentru conectivitate, echipamente, infrastructură, instrumente digitale și conținut prin: </w:t>
      </w:r>
    </w:p>
    <w:p w14:paraId="24E4AF2A" w14:textId="311B9B82" w:rsidR="00AD7F39" w:rsidRPr="00581A4E" w:rsidRDefault="00C45211" w:rsidP="00C45211">
      <w:pPr>
        <w:pStyle w:val="ManualNumPar3"/>
        <w:rPr>
          <w:noProof/>
        </w:rPr>
      </w:pPr>
      <w:r w:rsidRPr="00581A4E">
        <w:rPr>
          <w:noProof/>
        </w:rPr>
        <w:t>4.1.1.</w:t>
      </w:r>
      <w:r w:rsidRPr="00581A4E">
        <w:rPr>
          <w:noProof/>
        </w:rPr>
        <w:tab/>
        <w:t>coordonarea proceselor de achiziții publice pentru a beneficia de economii de scară, acolo unde este posibil, permițând, în același timp, flexibilitate în raport cu nevoile specifice ale instituțiilor de educație și formare, ținând seama, de asemenea, de nevoia de a asigura sustenabilitatea și accesibilitatea pentru persoanele cu dizabilități; cooperarea la nivelul UE în ceea ce privește standardele și specificațiile care pot fi utilizate în contexte precum achizițiile publice organizate în sectorul educației digitale;</w:t>
      </w:r>
    </w:p>
    <w:p w14:paraId="7420B519" w14:textId="208533A9" w:rsidR="00AD7F39" w:rsidRPr="00581A4E" w:rsidRDefault="00C45211" w:rsidP="00C45211">
      <w:pPr>
        <w:pStyle w:val="ManualNumPar3"/>
        <w:rPr>
          <w:noProof/>
          <w:szCs w:val="24"/>
        </w:rPr>
      </w:pPr>
      <w:r w:rsidRPr="00581A4E">
        <w:rPr>
          <w:noProof/>
        </w:rPr>
        <w:t>4.1.2.</w:t>
      </w:r>
      <w:r w:rsidRPr="00581A4E">
        <w:rPr>
          <w:noProof/>
        </w:rPr>
        <w:tab/>
        <w:t>luarea în considerare a unor abordări alternative în ceea ce privește investițiile, cum ar fi parteneriatele public-privat, programele de donații, repararea echipamentelor de ocazie, precum și traducerea și reutilizarea, după caz, a conținutului educațional digital din alte state membre;</w:t>
      </w:r>
    </w:p>
    <w:p w14:paraId="25D06DEE" w14:textId="4E1541AC" w:rsidR="00AD7F39" w:rsidRPr="00581A4E" w:rsidRDefault="00C45211" w:rsidP="00C45211">
      <w:pPr>
        <w:pStyle w:val="ManualNumPar3"/>
        <w:rPr>
          <w:noProof/>
          <w:szCs w:val="24"/>
        </w:rPr>
      </w:pPr>
      <w:r w:rsidRPr="00581A4E">
        <w:rPr>
          <w:noProof/>
        </w:rPr>
        <w:t>4.1.3.</w:t>
      </w:r>
      <w:r w:rsidRPr="00581A4E">
        <w:rPr>
          <w:noProof/>
        </w:rPr>
        <w:tab/>
        <w:t>oferirea de sprijin adaptat, cunoștințe de specialitate și know-how, de exemplu prin intermediul parteneriatelor public-privat, al organismelor consultative sau al centrelor de coordonare/dispeceratelor, pentru a permite instituțiilor de educație și formare să aleagă soluții adecvate de educație digitală care să fie adaptate la nevoile lor de predare și învățare și să abordeze într-un mod strategic securitatea digitală, accesibilitatea, protecția datelor și confortul digital;</w:t>
      </w:r>
    </w:p>
    <w:p w14:paraId="48160207" w14:textId="2A9C6D2E" w:rsidR="00AD7F39" w:rsidRPr="00581A4E" w:rsidRDefault="00C45211" w:rsidP="00C45211">
      <w:pPr>
        <w:pStyle w:val="ManualNumPar3"/>
        <w:rPr>
          <w:noProof/>
          <w:szCs w:val="24"/>
        </w:rPr>
      </w:pPr>
      <w:r w:rsidRPr="00581A4E">
        <w:rPr>
          <w:noProof/>
        </w:rPr>
        <w:t>4.1.4.</w:t>
      </w:r>
      <w:r w:rsidRPr="00581A4E">
        <w:rPr>
          <w:noProof/>
        </w:rPr>
        <w:tab/>
        <w:t>asigurarea faptului că investițiile în noi echipamente, infrastructuri, instrumente și conținuturi digitale sunt însoțite de o formare corespunzătoare.</w:t>
      </w:r>
    </w:p>
    <w:p w14:paraId="0F5893B9" w14:textId="6815E26D" w:rsidR="00AD7F39" w:rsidRPr="00581A4E" w:rsidRDefault="00C45211" w:rsidP="00C45211">
      <w:pPr>
        <w:pStyle w:val="ManualNumPar2"/>
        <w:rPr>
          <w:noProof/>
        </w:rPr>
      </w:pPr>
      <w:r w:rsidRPr="00581A4E">
        <w:rPr>
          <w:noProof/>
        </w:rPr>
        <w:t>4.2.</w:t>
      </w:r>
      <w:r w:rsidRPr="00581A4E">
        <w:rPr>
          <w:noProof/>
        </w:rPr>
        <w:tab/>
        <w:t xml:space="preserve">Pentru a asigura accesul egal pentru toți cursanții, să asigure realizarea de investiții adecvate în: </w:t>
      </w:r>
    </w:p>
    <w:p w14:paraId="5427D721" w14:textId="31E63898" w:rsidR="00AD7F39" w:rsidRPr="00581A4E" w:rsidRDefault="00C45211" w:rsidP="00C45211">
      <w:pPr>
        <w:pStyle w:val="ManualNumPar3"/>
        <w:rPr>
          <w:noProof/>
        </w:rPr>
      </w:pPr>
      <w:r w:rsidRPr="00581A4E">
        <w:rPr>
          <w:noProof/>
        </w:rPr>
        <w:t>4.2.1.</w:t>
      </w:r>
      <w:r w:rsidRPr="00581A4E">
        <w:rPr>
          <w:noProof/>
        </w:rPr>
        <w:tab/>
        <w:t>conectivitatea la internet de mare viteză, pentru a atinge în proporție de 100 % o conectivitate la nivel de gigabit sau superioară în toate instituțiile de educație și formare și pentru a elimina decalajele teritoriale și socioeconomice prin utilizarea unei game largi de tehnologii și alternative, precum fibra optică, 5G și comunicațiile prin satelit, în concordanță cu obiectivele la nivelul Uniunii ale programului de politică privind deceniul digital;</w:t>
      </w:r>
    </w:p>
    <w:p w14:paraId="1774EC4D" w14:textId="5CD6A78A" w:rsidR="00AD7F39" w:rsidRPr="00581A4E" w:rsidRDefault="00C45211" w:rsidP="00C45211">
      <w:pPr>
        <w:pStyle w:val="ManualNumPar3"/>
        <w:rPr>
          <w:noProof/>
        </w:rPr>
      </w:pPr>
      <w:r w:rsidRPr="00581A4E">
        <w:rPr>
          <w:noProof/>
        </w:rPr>
        <w:t>4.2.2.</w:t>
      </w:r>
      <w:r w:rsidRPr="00581A4E">
        <w:rPr>
          <w:noProof/>
        </w:rPr>
        <w:tab/>
        <w:t>modernizarea echipamentelor digitale din sălile de curs și asigurarea faptului că toți profesorii și personalul didactic au acces la un dispozitiv personalizat (desktop, laptop sau tabletă) pentru a-și îmbogăți practica pedagogică;</w:t>
      </w:r>
    </w:p>
    <w:p w14:paraId="7B99FB3E" w14:textId="462D8F13" w:rsidR="00AD7F39" w:rsidRPr="00581A4E" w:rsidRDefault="00C45211" w:rsidP="00C45211">
      <w:pPr>
        <w:pStyle w:val="ManualNumPar3"/>
        <w:rPr>
          <w:noProof/>
        </w:rPr>
      </w:pPr>
      <w:r w:rsidRPr="00581A4E">
        <w:rPr>
          <w:noProof/>
        </w:rPr>
        <w:t>4.2.3.</w:t>
      </w:r>
      <w:r w:rsidRPr="00581A4E">
        <w:rPr>
          <w:noProof/>
        </w:rPr>
        <w:tab/>
        <w:t>asigurarea faptului că toți cursanții pot utiliza la școală un dispozitiv personalizat care răspunde nevoilor lor specifice și că toate dispozitivele sunt întreținute și reparate în mod regulat;</w:t>
      </w:r>
    </w:p>
    <w:p w14:paraId="5D487F58" w14:textId="05486A95" w:rsidR="00AD7F39" w:rsidRPr="00581A4E" w:rsidRDefault="00C45211" w:rsidP="00C45211">
      <w:pPr>
        <w:pStyle w:val="ManualNumPar3"/>
        <w:rPr>
          <w:noProof/>
        </w:rPr>
      </w:pPr>
      <w:r w:rsidRPr="00581A4E">
        <w:rPr>
          <w:noProof/>
        </w:rPr>
        <w:t>4.2.4.</w:t>
      </w:r>
      <w:r w:rsidRPr="00581A4E">
        <w:rPr>
          <w:noProof/>
        </w:rPr>
        <w:tab/>
        <w:t>digitalizarea materialelor de predare și învățare și dezvoltarea unui conținut educațional digital modern, accesibil și de înaltă calitate, aliniat la programele școlare și la bunele practici pedagogice;</w:t>
      </w:r>
    </w:p>
    <w:p w14:paraId="414A3CB1" w14:textId="13E2F7C8" w:rsidR="00AD7F39" w:rsidRPr="00581A4E" w:rsidRDefault="00C45211" w:rsidP="00C45211">
      <w:pPr>
        <w:pStyle w:val="ManualNumPar3"/>
        <w:rPr>
          <w:noProof/>
        </w:rPr>
      </w:pPr>
      <w:r w:rsidRPr="00581A4E">
        <w:rPr>
          <w:noProof/>
        </w:rPr>
        <w:t>4.2.5.</w:t>
      </w:r>
      <w:r w:rsidRPr="00581A4E">
        <w:rPr>
          <w:noProof/>
        </w:rPr>
        <w:tab/>
        <w:t xml:space="preserve">instituirea și integrarea unor servicii centralizate relevante, inclusiv prin soluții de tip cloud, cum ar fi sistemele virtuale de învățare și de gestionare administrativă (inclusiv instrumente securizate de comunicare și colaborare, registre de conținut educațional, gestionarea sălilor de clasă și evaluări digitale), în toate instituțiile de educație și formare, asigurând, în același timp, interoperabilitatea, confidențialitatea și securitatea datelor; </w:t>
      </w:r>
    </w:p>
    <w:p w14:paraId="58073774" w14:textId="548C9453" w:rsidR="00F2278B" w:rsidRPr="00581A4E" w:rsidRDefault="00C45211" w:rsidP="00C45211">
      <w:pPr>
        <w:pStyle w:val="ManualNumPar3"/>
        <w:rPr>
          <w:noProof/>
        </w:rPr>
      </w:pPr>
      <w:r w:rsidRPr="00581A4E">
        <w:rPr>
          <w:noProof/>
        </w:rPr>
        <w:t>4.2.6.</w:t>
      </w:r>
      <w:r w:rsidRPr="00581A4E">
        <w:rPr>
          <w:noProof/>
        </w:rPr>
        <w:tab/>
        <w:t>asigurarea unei educații favorabile incluziunii prin garantarea accesibilității conținutului și tehnologiilor educației digitale pentru cursanții și profesorii cu dizabilități și furnizarea de echipamente și soluții specializate pentru cursanții cu nevoi educaționale speciale, ținând seama de legislația existentă a Uniunii în materie de accesibilitate, în special de Directivele (UE) 2016/2102</w:t>
      </w:r>
      <w:r w:rsidRPr="00581A4E">
        <w:rPr>
          <w:rStyle w:val="FootnoteReference"/>
          <w:bCs/>
          <w:noProof/>
          <w:szCs w:val="24"/>
        </w:rPr>
        <w:footnoteReference w:id="62"/>
      </w:r>
      <w:r w:rsidRPr="00581A4E">
        <w:rPr>
          <w:noProof/>
        </w:rPr>
        <w:t xml:space="preserve"> și (UE) 2019/882</w:t>
      </w:r>
      <w:r w:rsidRPr="00581A4E">
        <w:rPr>
          <w:rStyle w:val="FootnoteReference"/>
          <w:bCs/>
          <w:noProof/>
          <w:szCs w:val="24"/>
        </w:rPr>
        <w:footnoteReference w:id="63"/>
      </w:r>
      <w:r w:rsidRPr="00581A4E">
        <w:rPr>
          <w:noProof/>
        </w:rPr>
        <w:t xml:space="preserve"> ale Parlamentului European și ale Consiliului.</w:t>
      </w:r>
      <w:bookmarkStart w:id="8" w:name="_Hlk112677071"/>
      <w:bookmarkEnd w:id="7"/>
    </w:p>
    <w:p w14:paraId="27E73F39" w14:textId="77777777" w:rsidR="00446741" w:rsidRPr="00581A4E" w:rsidRDefault="007770AD" w:rsidP="00E42B6E">
      <w:pPr>
        <w:spacing w:before="0" w:after="200" w:line="276" w:lineRule="auto"/>
        <w:rPr>
          <w:b/>
          <w:bCs/>
          <w:noProof/>
          <w:szCs w:val="24"/>
        </w:rPr>
      </w:pPr>
      <w:r w:rsidRPr="00581A4E">
        <w:rPr>
          <w:noProof/>
        </w:rPr>
        <w:t xml:space="preserve">SALUTĂ INTENȚIA COMISIEI DE A: </w:t>
      </w:r>
    </w:p>
    <w:p w14:paraId="6D713EA1" w14:textId="05E3A89B" w:rsidR="00446741" w:rsidRPr="00581A4E" w:rsidRDefault="00E42B6E" w:rsidP="00E42B6E">
      <w:pPr>
        <w:pStyle w:val="ManualNumPar1"/>
        <w:rPr>
          <w:b/>
          <w:noProof/>
          <w:szCs w:val="24"/>
        </w:rPr>
      </w:pPr>
      <w:r w:rsidRPr="00581A4E">
        <w:rPr>
          <w:b/>
          <w:noProof/>
        </w:rPr>
        <w:t>1.</w:t>
      </w:r>
      <w:r w:rsidRPr="00581A4E">
        <w:rPr>
          <w:noProof/>
        </w:rPr>
        <w:tab/>
      </w:r>
      <w:r w:rsidRPr="00581A4E">
        <w:rPr>
          <w:b/>
          <w:noProof/>
        </w:rPr>
        <w:t>Sprijini punerea în aplicare a prezentei recomandări prin:</w:t>
      </w:r>
      <w:r w:rsidR="00581A4E" w:rsidRPr="00581A4E">
        <w:rPr>
          <w:b/>
          <w:noProof/>
        </w:rPr>
        <w:t xml:space="preserve"> </w:t>
      </w:r>
      <w:r w:rsidRPr="00581A4E">
        <w:rPr>
          <w:b/>
          <w:noProof/>
        </w:rPr>
        <w:t>Activitatea Grupului la nivel înalt pentru educația și competențele digitale, care urmează să fie instituit printr-o decizie a Comisiei.</w:t>
      </w:r>
    </w:p>
    <w:p w14:paraId="2C7C86EC" w14:textId="77777777" w:rsidR="0021485B" w:rsidRPr="00581A4E" w:rsidRDefault="00446741" w:rsidP="00E242E8">
      <w:pPr>
        <w:pStyle w:val="Text1"/>
        <w:rPr>
          <w:noProof/>
        </w:rPr>
      </w:pPr>
      <w:r w:rsidRPr="00581A4E">
        <w:rPr>
          <w:noProof/>
        </w:rPr>
        <w:t>Sprijini continuarea și funcționarea eficace a grupului la nivel înalt instituit pentru dialogul structurat cu statele membre, în scopul de a oferi orientări cu privire la principalele subiecte strategice abordate în prezenta recomandare. Grupul poate înființa subgrupuri tehnice, în special în ceea ce privește evaluarea și certificarea competențelor digitale, elaborarea programelor de învățământ și cerințele de calitate pentru instrumentele și conținutul de educație digitală. Aceste activități ar trebui să fie coerente și complementare cu activitatea desfășurată de Grupul la nivel înalt pentru educație și formare</w:t>
      </w:r>
      <w:r w:rsidRPr="00581A4E">
        <w:rPr>
          <w:rStyle w:val="FootnoteReference"/>
          <w:noProof/>
        </w:rPr>
        <w:footnoteReference w:id="64"/>
      </w:r>
      <w:r w:rsidRPr="00581A4E">
        <w:rPr>
          <w:noProof/>
        </w:rPr>
        <w:t xml:space="preserve"> și de Comitetul pentru deceniul digital</w:t>
      </w:r>
      <w:r w:rsidRPr="00581A4E">
        <w:rPr>
          <w:rStyle w:val="FootnoteReference"/>
          <w:noProof/>
        </w:rPr>
        <w:footnoteReference w:id="65"/>
      </w:r>
      <w:r w:rsidRPr="00581A4E">
        <w:rPr>
          <w:noProof/>
        </w:rPr>
        <w:t>.</w:t>
      </w:r>
    </w:p>
    <w:p w14:paraId="4050DCE2" w14:textId="4947C3F3" w:rsidR="00AD7F39" w:rsidRPr="00581A4E" w:rsidRDefault="0000618A" w:rsidP="00E42B6E">
      <w:pPr>
        <w:pStyle w:val="ManualNumPar1"/>
        <w:rPr>
          <w:b/>
          <w:noProof/>
          <w:szCs w:val="24"/>
        </w:rPr>
      </w:pPr>
      <w:r>
        <w:rPr>
          <w:b/>
          <w:noProof/>
        </w:rPr>
        <w:t>2.</w:t>
      </w:r>
      <w:r w:rsidR="00AD7F39" w:rsidRPr="00581A4E">
        <w:rPr>
          <w:noProof/>
        </w:rPr>
        <w:tab/>
      </w:r>
      <w:r w:rsidR="00AD7F39" w:rsidRPr="00581A4E">
        <w:rPr>
          <w:b/>
          <w:noProof/>
        </w:rPr>
        <w:t xml:space="preserve">Promova schimbul de bune practici, învățarea reciprocă și cooperarea cu părțile interesate în domeniul educației și formării digitale. În particular, Comisia intenționează: </w:t>
      </w:r>
    </w:p>
    <w:p w14:paraId="79369913" w14:textId="1527C0AE" w:rsidR="00AD7F39" w:rsidRPr="00581A4E" w:rsidRDefault="00672C83" w:rsidP="00E42B6E">
      <w:pPr>
        <w:pStyle w:val="ManualNumPar2"/>
        <w:rPr>
          <w:bCs/>
          <w:noProof/>
        </w:rPr>
      </w:pPr>
      <w:r w:rsidRPr="00581A4E">
        <w:rPr>
          <w:noProof/>
        </w:rPr>
        <w:t>2.1.</w:t>
      </w:r>
      <w:r w:rsidRPr="00581A4E">
        <w:rPr>
          <w:noProof/>
        </w:rPr>
        <w:tab/>
        <w:t xml:space="preserve">Să promoveze schimbul de bune practici, rețelele și învățarea reciprocă între statele membre, factorii de decizie, profesioniști și părțile interesate din sectorul privat și public prin intermediul instrumentelor, platformelor și comunităților existente [Grupul de lucru privind educația digitală: învățare, predare și evaluare (DELTA), Centrul european de resurse digitale SALTO, Platforma europeană pentru educația școlară, inclusiv eTwinning, Platforma electronică pentru educația adulților în Europa (EPALE), platforma Un internet mai bun pentru copii, proiecte în cadrul Instrumentului de sprijin tehnic], inclusiv prin promovarea Centrului pentru educația digitală ca principal punct de acces pentru educația și formarea digitală în Uniune. </w:t>
      </w:r>
    </w:p>
    <w:p w14:paraId="3E9B58FA" w14:textId="77777777" w:rsidR="00AD7F39" w:rsidRPr="00581A4E" w:rsidRDefault="00672C83" w:rsidP="00EC3EEE">
      <w:pPr>
        <w:pStyle w:val="ManualNumPar2"/>
        <w:ind w:hanging="730"/>
        <w:rPr>
          <w:noProof/>
          <w:szCs w:val="24"/>
        </w:rPr>
      </w:pPr>
      <w:r w:rsidRPr="00581A4E">
        <w:rPr>
          <w:noProof/>
        </w:rPr>
        <w:t>2.2.</w:t>
      </w:r>
      <w:r w:rsidRPr="00581A4E">
        <w:rPr>
          <w:noProof/>
        </w:rPr>
        <w:tab/>
        <w:t>Să promoveze cooperarea cu părțile interesate, inclusiv cu furnizorii de software și hardware, în ceea ce privește infrastructura și instrumentele digitale și utilizarea sustenabilă a acestora în educație și formare, promovând în același timp valorile și principiile Uniunii privind confidențialitatea, protecția datelor și interoperabilitatea.</w:t>
      </w:r>
    </w:p>
    <w:p w14:paraId="71BF29C6" w14:textId="124C7DD2" w:rsidR="00711DEF" w:rsidRPr="00581A4E" w:rsidRDefault="00711DEF" w:rsidP="00D52B1A">
      <w:pPr>
        <w:pStyle w:val="ManualNumPar2"/>
        <w:ind w:hanging="730"/>
        <w:rPr>
          <w:noProof/>
        </w:rPr>
      </w:pPr>
      <w:r w:rsidRPr="00581A4E">
        <w:rPr>
          <w:noProof/>
        </w:rPr>
        <w:t>2.3</w:t>
      </w:r>
      <w:r w:rsidR="0000618A">
        <w:rPr>
          <w:noProof/>
        </w:rPr>
        <w:t>.</w:t>
      </w:r>
      <w:r w:rsidRPr="00581A4E">
        <w:rPr>
          <w:noProof/>
        </w:rPr>
        <w:tab/>
        <w:t>Să consolideze cooperarea internațională cu privire la factorii favorizanți ai educației și competențelor digitale.</w:t>
      </w:r>
    </w:p>
    <w:p w14:paraId="4DB28AD6" w14:textId="1876640A" w:rsidR="00616451" w:rsidRPr="00581A4E" w:rsidRDefault="008C149B" w:rsidP="00616451">
      <w:pPr>
        <w:pStyle w:val="ManualNumPar1"/>
        <w:rPr>
          <w:b/>
          <w:noProof/>
          <w:szCs w:val="24"/>
        </w:rPr>
      </w:pPr>
      <w:r>
        <w:rPr>
          <w:b/>
          <w:noProof/>
        </w:rPr>
        <w:t>3.</w:t>
      </w:r>
      <w:r w:rsidR="00AD7F39" w:rsidRPr="00581A4E">
        <w:rPr>
          <w:noProof/>
        </w:rPr>
        <w:tab/>
      </w:r>
      <w:r w:rsidR="00AD7F39" w:rsidRPr="00581A4E">
        <w:rPr>
          <w:b/>
          <w:noProof/>
        </w:rPr>
        <w:t>Sprijini formarea în domeniul digital a profesorilor și a personalului didactic și auxiliar din instituțiile de educație și formare. În particular, Comisia intenționează:</w:t>
      </w:r>
    </w:p>
    <w:p w14:paraId="558521F6" w14:textId="77777777" w:rsidR="00616451" w:rsidRPr="00581A4E" w:rsidRDefault="00616451" w:rsidP="00616451">
      <w:pPr>
        <w:pStyle w:val="ManualNumPar2"/>
        <w:ind w:hanging="730"/>
        <w:rPr>
          <w:noProof/>
          <w:szCs w:val="24"/>
        </w:rPr>
      </w:pPr>
      <w:r w:rsidRPr="00581A4E">
        <w:rPr>
          <w:noProof/>
        </w:rPr>
        <w:t>3.1.</w:t>
      </w:r>
      <w:r w:rsidRPr="00581A4E">
        <w:rPr>
          <w:noProof/>
        </w:rPr>
        <w:tab/>
        <w:t xml:space="preserve">Să sprijine, prin intermediul programului Erasmus+, mobilitatea în scopul perfecționării profesorilor, personalului didactic și auxiliar din instituțiile de educație și formare în vederea utilizării tehnologiilor digitale pentru predare, învățare și administrare, inclusiv în ceea ce privește capacitățile în schimbare rapidă ale tehnologiilor emergente. </w:t>
      </w:r>
    </w:p>
    <w:p w14:paraId="6F74BB9F" w14:textId="77777777" w:rsidR="00616451" w:rsidRPr="00581A4E" w:rsidRDefault="00616451" w:rsidP="00616451">
      <w:pPr>
        <w:pStyle w:val="ManualNumPar2"/>
        <w:ind w:hanging="730"/>
        <w:rPr>
          <w:noProof/>
          <w:szCs w:val="24"/>
        </w:rPr>
      </w:pPr>
      <w:r w:rsidRPr="00581A4E">
        <w:rPr>
          <w:noProof/>
        </w:rPr>
        <w:t>3.2.</w:t>
      </w:r>
      <w:r w:rsidRPr="00581A4E">
        <w:rPr>
          <w:noProof/>
        </w:rPr>
        <w:tab/>
        <w:t>Să promoveze instrumente precum DigCompEdu și SELFIEforTEACHERS și să sprijine cooperarea pentru elaborarea și furnizarea cursurilor de pedagogie digitală pentru formarea inițială a cadrelor didactice și pentru dezvoltarea profesională continuă.</w:t>
      </w:r>
    </w:p>
    <w:p w14:paraId="6C4EBA1F" w14:textId="77777777" w:rsidR="00616451" w:rsidRPr="00581A4E" w:rsidRDefault="00616451" w:rsidP="00616451">
      <w:pPr>
        <w:pStyle w:val="ManualNumPar2"/>
        <w:ind w:hanging="730"/>
        <w:rPr>
          <w:noProof/>
          <w:szCs w:val="24"/>
        </w:rPr>
      </w:pPr>
      <w:r w:rsidRPr="00581A4E">
        <w:rPr>
          <w:noProof/>
        </w:rPr>
        <w:t>3.3.</w:t>
      </w:r>
      <w:r w:rsidRPr="00581A4E">
        <w:rPr>
          <w:noProof/>
        </w:rPr>
        <w:tab/>
        <w:t xml:space="preserve">Să promoveze punerea în aplicare a Orientărilor în materie de etică privind utilizarea inteligenței artificiale și a datelor în procesul de predare și învățare, care vor ajuta profesorii din învățământul primar și secundar să integreze în mod eficace inteligența artificială și datele în educația școlară și să se bazeze pe acestea pentru a lua în considerare implicațiile utilizării incorecte a tehnologiilor emergente, cum ar fi inteligența artificială generativă, și pentru a contracara riscurile. </w:t>
      </w:r>
    </w:p>
    <w:p w14:paraId="23471EBD" w14:textId="67D44990" w:rsidR="00AD7F39" w:rsidRPr="00581A4E" w:rsidRDefault="00581A4E" w:rsidP="00672C83">
      <w:pPr>
        <w:pStyle w:val="ManualNumPar1"/>
        <w:rPr>
          <w:b/>
          <w:noProof/>
          <w:szCs w:val="24"/>
        </w:rPr>
      </w:pPr>
      <w:r w:rsidRPr="00581A4E">
        <w:rPr>
          <w:b/>
          <w:noProof/>
        </w:rPr>
        <w:t>4.</w:t>
      </w:r>
      <w:r w:rsidR="00616451" w:rsidRPr="00581A4E">
        <w:rPr>
          <w:noProof/>
        </w:rPr>
        <w:tab/>
      </w:r>
      <w:r w:rsidR="00616451" w:rsidRPr="00581A4E">
        <w:rPr>
          <w:b/>
          <w:noProof/>
        </w:rPr>
        <w:t>Sprijini investițiile axate pe impact în infrastructura și serviciile de educație și formare digitală prin finanțare națională și din partea Uniunii și prin consolidarea dovezilor privind eficacitatea și eficiența politicilor și instrumentelor de educație digitală. În particular, Comisia intenționează:</w:t>
      </w:r>
    </w:p>
    <w:p w14:paraId="7A730CA7" w14:textId="77777777" w:rsidR="00AD7F39" w:rsidRPr="00581A4E" w:rsidRDefault="00616451" w:rsidP="00EC3EEE">
      <w:pPr>
        <w:pStyle w:val="ManualNumPar2"/>
        <w:ind w:hanging="730"/>
        <w:rPr>
          <w:noProof/>
          <w:szCs w:val="24"/>
        </w:rPr>
      </w:pPr>
      <w:r w:rsidRPr="00581A4E">
        <w:rPr>
          <w:noProof/>
        </w:rPr>
        <w:t>4.1.</w:t>
      </w:r>
      <w:r w:rsidRPr="00581A4E">
        <w:rPr>
          <w:noProof/>
        </w:rPr>
        <w:tab/>
        <w:t>Să sprijine investițiile statelor membre în infrastructura esențială de educație digitală (precum conectivitatea, echipamentele, instrumentele și conținutul digital) prin finanțare din partea Uniunii și să consolideze legăturile dintre politicile, instrumentele și programele de finanțare existente ale Uniunii și strategiile naționale și regionale pentru educația digitală și digitalizarea școlilor.</w:t>
      </w:r>
    </w:p>
    <w:p w14:paraId="2AB95443" w14:textId="77777777" w:rsidR="00AD7F39" w:rsidRPr="00581A4E" w:rsidRDefault="00616451" w:rsidP="00EC3EEE">
      <w:pPr>
        <w:pStyle w:val="ManualNumPar2"/>
        <w:ind w:hanging="730"/>
        <w:rPr>
          <w:noProof/>
          <w:szCs w:val="24"/>
        </w:rPr>
      </w:pPr>
      <w:r w:rsidRPr="00581A4E">
        <w:rPr>
          <w:noProof/>
        </w:rPr>
        <w:t>4.2.</w:t>
      </w:r>
      <w:r w:rsidRPr="00581A4E">
        <w:rPr>
          <w:noProof/>
        </w:rPr>
        <w:tab/>
        <w:t>Având în vedere evoluțiile tehnologice rapide, să sprijine elaborarea, în cooperare cu statele membre și cu părțile interesate, a unor orientări și cerințe de calitate privind un conținut educațional digital accesibil, bine conceput și de înaltă calitate, precum și mediile și instrumentele de învățare virtuale (cum ar fi sistemele și aplicațiile de gestionare a învățării autonome), pentru a permite evaluarea sistematică a calității, siguranței, fiabilității, credibilității, utilității și caracterului incluziv al sistemelor de educație și formare.</w:t>
      </w:r>
    </w:p>
    <w:p w14:paraId="22E24FE7" w14:textId="77777777" w:rsidR="00AD7F39" w:rsidRPr="00581A4E" w:rsidRDefault="00616451" w:rsidP="00EC3EEE">
      <w:pPr>
        <w:pStyle w:val="ManualNumPar2"/>
        <w:ind w:hanging="730"/>
        <w:rPr>
          <w:noProof/>
          <w:szCs w:val="24"/>
        </w:rPr>
      </w:pPr>
      <w:r w:rsidRPr="00581A4E">
        <w:rPr>
          <w:noProof/>
        </w:rPr>
        <w:t>4.3.</w:t>
      </w:r>
      <w:r w:rsidRPr="00581A4E">
        <w:rPr>
          <w:noProof/>
        </w:rPr>
        <w:tab/>
        <w:t>Să ofere sprijin statelor membre și furnizorilor de tehnologie pentru abordarea provocărilor în materie de interoperabilitate legate de platformele și serviciile de educație digitală din diferite sectoare ale educației și formării.</w:t>
      </w:r>
    </w:p>
    <w:p w14:paraId="5F202848" w14:textId="77777777" w:rsidR="00AD7F39" w:rsidRPr="00581A4E" w:rsidRDefault="00616451" w:rsidP="00EC3EEE">
      <w:pPr>
        <w:pStyle w:val="ManualNumPar2"/>
        <w:ind w:hanging="730"/>
        <w:rPr>
          <w:noProof/>
          <w:szCs w:val="24"/>
        </w:rPr>
      </w:pPr>
      <w:r w:rsidRPr="00581A4E">
        <w:rPr>
          <w:noProof/>
        </w:rPr>
        <w:t>4.4.</w:t>
      </w:r>
      <w:r w:rsidRPr="00581A4E">
        <w:rPr>
          <w:noProof/>
        </w:rPr>
        <w:tab/>
        <w:t>Să intensifice coordonarea cercetării, să promoveze extinderea pe bază de dovezi a celor mai bune practici și să sprijine, prin intermediul programelor Orizont Europa, Europa digitală și Erasmus+, cercetarea, dezvoltarea și implementarea de soluții digitale pentru predare, învățare și evaluare, precum și testarea impactului acestora asupra îmbunătățirii rezultatelor învățării și a echității.</w:t>
      </w:r>
    </w:p>
    <w:p w14:paraId="6FB64A6A" w14:textId="77777777" w:rsidR="00AD7F39" w:rsidRPr="00581A4E" w:rsidRDefault="00616451" w:rsidP="00EC3EEE">
      <w:pPr>
        <w:pStyle w:val="ManualNumPar2"/>
        <w:ind w:hanging="730"/>
        <w:rPr>
          <w:noProof/>
          <w:szCs w:val="24"/>
        </w:rPr>
      </w:pPr>
      <w:r w:rsidRPr="00581A4E">
        <w:rPr>
          <w:noProof/>
        </w:rPr>
        <w:t>4.5.</w:t>
      </w:r>
      <w:r w:rsidRPr="00581A4E">
        <w:rPr>
          <w:noProof/>
        </w:rPr>
        <w:tab/>
        <w:t xml:space="preserve">Să sprijine elaborarea de către statele membre a unor politici eficace și eficiente în materie de educație digitală prin îmbunătățirea dovezilor, a evaluării și a analizei acestor politici prin intermediul Laboratorului de învățare privind investițiile în educație și formare de calitate, precum și prin elaborarea de orientări specifice și furnizarea de sprijin tehnic prin intermediul Instrumentului de sprijin tehnic. </w:t>
      </w:r>
    </w:p>
    <w:p w14:paraId="3F51B2CD" w14:textId="77777777" w:rsidR="00AD7F39" w:rsidRPr="00581A4E" w:rsidRDefault="00616451" w:rsidP="00EC3EEE">
      <w:pPr>
        <w:pStyle w:val="ManualNumPar2"/>
        <w:ind w:hanging="730"/>
        <w:rPr>
          <w:noProof/>
        </w:rPr>
      </w:pPr>
      <w:r w:rsidRPr="00581A4E">
        <w:rPr>
          <w:noProof/>
        </w:rPr>
        <w:t>4.6.</w:t>
      </w:r>
      <w:r w:rsidRPr="00581A4E">
        <w:rPr>
          <w:noProof/>
        </w:rPr>
        <w:tab/>
        <w:t>Să faciliteze schimbul de informații privind abordările naționale și cele mai bune practici în materie achiziții publice eficace de echipamente și infrastructuri digitale pentru instituțiile de educație și formare, printre altele prin intermediul Rețelei de servicii naționale de consiliere privind educația digitală.</w:t>
      </w:r>
      <w:bookmarkEnd w:id="8"/>
    </w:p>
    <w:p w14:paraId="3C454AB3" w14:textId="77777777" w:rsidR="00E02C2A" w:rsidRPr="00581A4E" w:rsidRDefault="00E02C2A" w:rsidP="5CDB0971">
      <w:pPr>
        <w:pStyle w:val="ManualNumPar2"/>
        <w:ind w:hanging="730"/>
        <w:rPr>
          <w:noProof/>
        </w:rPr>
      </w:pPr>
      <w:r w:rsidRPr="00581A4E">
        <w:rPr>
          <w:noProof/>
        </w:rPr>
        <w:t>4.7.</w:t>
      </w:r>
      <w:r w:rsidRPr="00581A4E">
        <w:rPr>
          <w:noProof/>
        </w:rPr>
        <w:tab/>
        <w:t>Să sprijine transformarea digitală a diplomelor de educație și formare acordate de statele membre, în special prin continuarea implementării Infrastructurii europene de acreditări digitale pentru învățare.</w:t>
      </w:r>
    </w:p>
    <w:p w14:paraId="494F81E7" w14:textId="30994AEC" w:rsidR="00AD7F39" w:rsidRPr="00581A4E" w:rsidRDefault="00AD7F39" w:rsidP="009D0684">
      <w:pPr>
        <w:pStyle w:val="ManualNumPar1"/>
        <w:rPr>
          <w:b/>
          <w:noProof/>
          <w:szCs w:val="24"/>
        </w:rPr>
      </w:pPr>
      <w:bookmarkStart w:id="9" w:name="_Hlk114667432"/>
      <w:r w:rsidRPr="00581A4E">
        <w:rPr>
          <w:b/>
          <w:noProof/>
        </w:rPr>
        <w:t>5.</w:t>
      </w:r>
      <w:bookmarkEnd w:id="9"/>
      <w:r w:rsidRPr="00581A4E">
        <w:rPr>
          <w:noProof/>
        </w:rPr>
        <w:tab/>
      </w:r>
      <w:r w:rsidRPr="00581A4E">
        <w:rPr>
          <w:b/>
          <w:noProof/>
        </w:rPr>
        <w:t>Îmbunătăți transparența și evalua progresele înregistrate în privința punerii în aplicare a educației și formării digitale. În particular, Comisia intenționează:</w:t>
      </w:r>
    </w:p>
    <w:p w14:paraId="0A3762B2" w14:textId="77777777" w:rsidR="00AD7F39" w:rsidRPr="00581A4E" w:rsidRDefault="009D0684" w:rsidP="00EC3EEE">
      <w:pPr>
        <w:pStyle w:val="ManualNumPar2"/>
        <w:ind w:hanging="610"/>
        <w:rPr>
          <w:noProof/>
          <w:szCs w:val="24"/>
        </w:rPr>
      </w:pPr>
      <w:r w:rsidRPr="00581A4E">
        <w:rPr>
          <w:noProof/>
        </w:rPr>
        <w:t>5.1.</w:t>
      </w:r>
      <w:r w:rsidRPr="00581A4E">
        <w:rPr>
          <w:noProof/>
        </w:rPr>
        <w:tab/>
        <w:t xml:space="preserve">Să contribuie la dezvoltarea datelor comparative privind factorii favorizanți esențiali ai educației și formării digitale în întreaga Uniune prin desfășurarea, o dată la trei ani, a unei anchete în statele membre privind </w:t>
      </w:r>
      <w:r w:rsidRPr="00581A4E">
        <w:rPr>
          <w:i/>
          <w:noProof/>
        </w:rPr>
        <w:t>educația digitală în Europa</w:t>
      </w:r>
      <w:r w:rsidRPr="00581A4E">
        <w:rPr>
          <w:noProof/>
        </w:rPr>
        <w:t>, care se va baza pe și va dezvolta în continuare „Ancheta în școli: TIC în educație”, cu obiectivul de a colecta un prim set cuprinzător de date până în 2025.</w:t>
      </w:r>
    </w:p>
    <w:p w14:paraId="09D21019" w14:textId="77777777" w:rsidR="00AD7F39" w:rsidRPr="00581A4E" w:rsidRDefault="2D574395" w:rsidP="00EC3EEE">
      <w:pPr>
        <w:pStyle w:val="ManualNumPar2"/>
        <w:ind w:hanging="610"/>
        <w:rPr>
          <w:noProof/>
        </w:rPr>
      </w:pPr>
      <w:r w:rsidRPr="00581A4E">
        <w:rPr>
          <w:noProof/>
        </w:rPr>
        <w:t>5.2.</w:t>
      </w:r>
      <w:r w:rsidRPr="00581A4E">
        <w:rPr>
          <w:noProof/>
        </w:rPr>
        <w:tab/>
        <w:t>Să monitorizeze și să raporteze cu privire la progresele înregistrate în ceea ce privește factorii favorizanți ai educației și formării digitale, ținând seama de strategiile naționale ale statelor membre, în cadrul Spațiului european al educației, cum ar fi Monitorul educației și formării.</w:t>
      </w:r>
    </w:p>
    <w:p w14:paraId="5AC042DB" w14:textId="77777777" w:rsidR="00AD7F39" w:rsidRPr="00581A4E" w:rsidRDefault="009D0684" w:rsidP="00EC3EEE">
      <w:pPr>
        <w:pStyle w:val="ManualNumPar2"/>
        <w:ind w:hanging="610"/>
        <w:rPr>
          <w:noProof/>
          <w:szCs w:val="24"/>
        </w:rPr>
      </w:pPr>
      <w:r w:rsidRPr="00581A4E">
        <w:rPr>
          <w:noProof/>
        </w:rPr>
        <w:t>5.3.</w:t>
      </w:r>
      <w:r w:rsidRPr="00581A4E">
        <w:rPr>
          <w:noProof/>
        </w:rPr>
        <w:tab/>
        <w:t xml:space="preserve">Să sprijine participarea statelor membre la anchetele internaționale care oferă date comparative privind nivelul de pregătire al cadrelor didactice pentru educația digitală, în special Ancheta internațională a OCDE privind predarea și învățarea. </w:t>
      </w:r>
    </w:p>
    <w:p w14:paraId="1CD1B91B" w14:textId="77777777" w:rsidR="00AD7F39" w:rsidRPr="00581A4E" w:rsidRDefault="009D0684" w:rsidP="00EC3EEE">
      <w:pPr>
        <w:pStyle w:val="ManualNumPar2"/>
        <w:ind w:hanging="610"/>
        <w:rPr>
          <w:noProof/>
          <w:szCs w:val="24"/>
        </w:rPr>
      </w:pPr>
      <w:r w:rsidRPr="00581A4E">
        <w:rPr>
          <w:noProof/>
        </w:rPr>
        <w:t>5.4.</w:t>
      </w:r>
      <w:r w:rsidRPr="00581A4E">
        <w:rPr>
          <w:noProof/>
        </w:rPr>
        <w:tab/>
        <w:t>Să examineze progresele înregistrate în ceea ce privește punerea în aplicare a prezentei recomandări și să raporteze Consiliului în termen de cinci ani de la data adoptării prezentei recomandări.</w:t>
      </w:r>
    </w:p>
    <w:p w14:paraId="34B709B7" w14:textId="4BB00CCB" w:rsidR="00463B74" w:rsidRPr="00581A4E" w:rsidRDefault="00E53DEE" w:rsidP="00E27C6B">
      <w:pPr>
        <w:pStyle w:val="Fait"/>
        <w:rPr>
          <w:noProof/>
        </w:rPr>
      </w:pPr>
      <w:r w:rsidRPr="00E53DEE">
        <w:t>Adoptată la Strasbourg,</w:t>
      </w:r>
    </w:p>
    <w:p w14:paraId="6CFC8134" w14:textId="77777777" w:rsidR="00463B74" w:rsidRPr="00581A4E" w:rsidRDefault="00463B74" w:rsidP="00E27C6B">
      <w:pPr>
        <w:pStyle w:val="Institutionquisigne"/>
        <w:rPr>
          <w:noProof/>
          <w:szCs w:val="24"/>
        </w:rPr>
      </w:pPr>
      <w:r w:rsidRPr="00581A4E">
        <w:rPr>
          <w:noProof/>
        </w:rPr>
        <w:tab/>
        <w:t>Pentru Consiliu,</w:t>
      </w:r>
    </w:p>
    <w:p w14:paraId="2DF58BEC" w14:textId="77777777" w:rsidR="00463B74" w:rsidRPr="00581A4E" w:rsidRDefault="00463B74" w:rsidP="00463B74">
      <w:pPr>
        <w:pStyle w:val="Personnequisigne"/>
        <w:rPr>
          <w:noProof/>
          <w:szCs w:val="24"/>
        </w:rPr>
      </w:pPr>
      <w:r w:rsidRPr="00581A4E">
        <w:rPr>
          <w:noProof/>
        </w:rPr>
        <w:tab/>
        <w:t>Președintele</w:t>
      </w:r>
    </w:p>
    <w:sectPr w:rsidR="00463B74" w:rsidRPr="00581A4E" w:rsidSect="009E573C">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F8D709" w14:textId="77777777" w:rsidR="0037004F" w:rsidRDefault="0037004F" w:rsidP="00AD7F39">
      <w:pPr>
        <w:spacing w:before="0" w:after="0"/>
      </w:pPr>
      <w:r>
        <w:separator/>
      </w:r>
    </w:p>
  </w:endnote>
  <w:endnote w:type="continuationSeparator" w:id="0">
    <w:p w14:paraId="3F6F78D3" w14:textId="77777777" w:rsidR="0037004F" w:rsidRDefault="0037004F" w:rsidP="00AD7F39">
      <w:pPr>
        <w:spacing w:before="0" w:after="0"/>
      </w:pPr>
      <w:r>
        <w:continuationSeparator/>
      </w:r>
    </w:p>
  </w:endnote>
  <w:endnote w:type="continuationNotice" w:id="1">
    <w:p w14:paraId="37F20F67" w14:textId="77777777" w:rsidR="0037004F" w:rsidRDefault="0037004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C6DA0" w14:textId="21F76C3A" w:rsidR="000B1A75" w:rsidRPr="009E573C" w:rsidRDefault="009E573C" w:rsidP="009E573C">
    <w:pPr>
      <w:pStyle w:val="Footer"/>
      <w:rPr>
        <w:rFonts w:ascii="Arial" w:hAnsi="Arial" w:cs="Arial"/>
        <w:b/>
        <w:sz w:val="48"/>
      </w:rPr>
    </w:pPr>
    <w:r w:rsidRPr="009E573C">
      <w:rPr>
        <w:rFonts w:ascii="Arial" w:hAnsi="Arial" w:cs="Arial"/>
        <w:b/>
        <w:sz w:val="48"/>
      </w:rPr>
      <w:t>RO</w:t>
    </w:r>
    <w:r w:rsidRPr="009E573C">
      <w:rPr>
        <w:rFonts w:ascii="Arial" w:hAnsi="Arial" w:cs="Arial"/>
        <w:b/>
        <w:sz w:val="48"/>
      </w:rPr>
      <w:tab/>
    </w:r>
    <w:r w:rsidRPr="009E573C">
      <w:rPr>
        <w:rFonts w:ascii="Arial" w:hAnsi="Arial" w:cs="Arial"/>
        <w:b/>
        <w:sz w:val="48"/>
      </w:rPr>
      <w:tab/>
    </w:r>
    <w:r w:rsidRPr="009E573C">
      <w:tab/>
    </w:r>
    <w:r w:rsidRPr="009E573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C45E3" w14:textId="46F58562" w:rsidR="009E573C" w:rsidRPr="009E573C" w:rsidRDefault="009E573C" w:rsidP="009E573C">
    <w:pPr>
      <w:pStyle w:val="Footer"/>
      <w:rPr>
        <w:rFonts w:ascii="Arial" w:hAnsi="Arial" w:cs="Arial"/>
        <w:b/>
        <w:sz w:val="48"/>
      </w:rPr>
    </w:pPr>
    <w:r w:rsidRPr="009E573C">
      <w:rPr>
        <w:rFonts w:ascii="Arial" w:hAnsi="Arial" w:cs="Arial"/>
        <w:b/>
        <w:sz w:val="48"/>
      </w:rPr>
      <w:t>RO</w:t>
    </w:r>
    <w:r w:rsidRPr="009E573C">
      <w:rPr>
        <w:rFonts w:ascii="Arial" w:hAnsi="Arial" w:cs="Arial"/>
        <w:b/>
        <w:sz w:val="48"/>
      </w:rPr>
      <w:tab/>
    </w:r>
    <w:r>
      <w:fldChar w:fldCharType="begin"/>
    </w:r>
    <w:r>
      <w:instrText xml:space="preserve"> PAGE  \* MERGEFORMAT </w:instrText>
    </w:r>
    <w:r>
      <w:fldChar w:fldCharType="separate"/>
    </w:r>
    <w:r w:rsidR="00E27C6B">
      <w:rPr>
        <w:noProof/>
      </w:rPr>
      <w:t>25</w:t>
    </w:r>
    <w:r>
      <w:fldChar w:fldCharType="end"/>
    </w:r>
    <w:r>
      <w:tab/>
    </w:r>
    <w:r w:rsidRPr="009E573C">
      <w:tab/>
    </w:r>
    <w:r w:rsidRPr="009E573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8B6BB" w14:textId="77777777" w:rsidR="009E573C" w:rsidRPr="009E573C" w:rsidRDefault="009E573C" w:rsidP="009E57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16313C" w14:textId="77777777" w:rsidR="0037004F" w:rsidRDefault="0037004F" w:rsidP="00AD7F39">
      <w:pPr>
        <w:spacing w:before="0" w:after="0"/>
      </w:pPr>
      <w:r>
        <w:separator/>
      </w:r>
    </w:p>
  </w:footnote>
  <w:footnote w:type="continuationSeparator" w:id="0">
    <w:p w14:paraId="6D0A5991" w14:textId="77777777" w:rsidR="0037004F" w:rsidRDefault="0037004F" w:rsidP="00AD7F39">
      <w:pPr>
        <w:spacing w:before="0" w:after="0"/>
      </w:pPr>
      <w:r>
        <w:continuationSeparator/>
      </w:r>
    </w:p>
  </w:footnote>
  <w:footnote w:type="continuationNotice" w:id="1">
    <w:p w14:paraId="4593640A" w14:textId="77777777" w:rsidR="0037004F" w:rsidRDefault="0037004F">
      <w:pPr>
        <w:spacing w:before="0" w:after="0"/>
      </w:pPr>
    </w:p>
  </w:footnote>
  <w:footnote w:id="2">
    <w:p w14:paraId="7C1134DE" w14:textId="77777777" w:rsidR="00641AD3" w:rsidRPr="00581A4E" w:rsidRDefault="00641AD3" w:rsidP="00AD7F39">
      <w:pPr>
        <w:pStyle w:val="FootnoteText"/>
      </w:pPr>
      <w:r w:rsidRPr="00581A4E">
        <w:rPr>
          <w:rStyle w:val="FootnoteReference"/>
        </w:rPr>
        <w:footnoteRef/>
      </w:r>
      <w:r w:rsidRPr="00581A4E">
        <w:tab/>
        <w:t>2021/C 66/01</w:t>
      </w:r>
    </w:p>
  </w:footnote>
  <w:footnote w:id="3">
    <w:p w14:paraId="3B2621E2" w14:textId="77777777" w:rsidR="00641AD3" w:rsidRPr="00581A4E" w:rsidRDefault="00641AD3" w:rsidP="00AD7F39">
      <w:pPr>
        <w:pStyle w:val="FootnoteText"/>
        <w:rPr>
          <w:sz w:val="18"/>
          <w:szCs w:val="18"/>
        </w:rPr>
      </w:pPr>
      <w:r w:rsidRPr="00581A4E">
        <w:rPr>
          <w:rStyle w:val="FootnoteReference"/>
        </w:rPr>
        <w:footnoteRef/>
      </w:r>
      <w:r w:rsidRPr="00581A4E">
        <w:tab/>
      </w:r>
      <w:r w:rsidRPr="00581A4E">
        <w:rPr>
          <w:sz w:val="18"/>
        </w:rPr>
        <w:t>COM(2020) 624 final.</w:t>
      </w:r>
    </w:p>
  </w:footnote>
  <w:footnote w:id="4">
    <w:p w14:paraId="40EEB10B" w14:textId="77777777" w:rsidR="00641AD3" w:rsidRPr="00581A4E" w:rsidRDefault="00641AD3" w:rsidP="00AD7F39">
      <w:pPr>
        <w:pStyle w:val="FootnoteText"/>
      </w:pPr>
      <w:r w:rsidRPr="00581A4E">
        <w:rPr>
          <w:rStyle w:val="FootnoteReference"/>
        </w:rPr>
        <w:footnoteRef/>
      </w:r>
      <w:r w:rsidRPr="00581A4E">
        <w:tab/>
        <w:t>2020/C 415/10</w:t>
      </w:r>
    </w:p>
  </w:footnote>
  <w:footnote w:id="5">
    <w:p w14:paraId="200AD9F3" w14:textId="77777777" w:rsidR="00641AD3" w:rsidRPr="00581A4E" w:rsidRDefault="00641AD3" w:rsidP="007C3AE4">
      <w:pPr>
        <w:pStyle w:val="FootnoteText"/>
      </w:pPr>
      <w:r w:rsidRPr="00581A4E">
        <w:rPr>
          <w:rStyle w:val="FootnoteReference"/>
        </w:rPr>
        <w:footnoteRef/>
      </w:r>
      <w:r w:rsidRPr="00581A4E">
        <w:tab/>
        <w:t>Cifrele de la acest punct sunt calculate utilizând anexa VII la Regulamentul privind Mecanismul de redresare și reziliență.</w:t>
      </w:r>
    </w:p>
  </w:footnote>
  <w:footnote w:id="6">
    <w:p w14:paraId="5B5808C8" w14:textId="77777777" w:rsidR="00641AD3" w:rsidRPr="00581A4E" w:rsidRDefault="00641AD3" w:rsidP="00AD7F39">
      <w:pPr>
        <w:pStyle w:val="FootnoteText"/>
        <w:rPr>
          <w:sz w:val="18"/>
          <w:szCs w:val="18"/>
        </w:rPr>
      </w:pPr>
      <w:r w:rsidRPr="00581A4E">
        <w:rPr>
          <w:rStyle w:val="FootnoteReference"/>
        </w:rPr>
        <w:footnoteRef/>
      </w:r>
      <w:r w:rsidRPr="00581A4E">
        <w:tab/>
      </w:r>
      <w:r w:rsidRPr="0000618A">
        <w:t>Decizia (UE) 2022/2481</w:t>
      </w:r>
      <w:r w:rsidRPr="00581A4E">
        <w:rPr>
          <w:sz w:val="18"/>
        </w:rPr>
        <w:t>.</w:t>
      </w:r>
    </w:p>
  </w:footnote>
  <w:footnote w:id="7">
    <w:p w14:paraId="5B55C1C3" w14:textId="77777777" w:rsidR="00641AD3" w:rsidRPr="00581A4E" w:rsidRDefault="00641AD3" w:rsidP="00AD7F39">
      <w:pPr>
        <w:pStyle w:val="FootnoteText"/>
      </w:pPr>
      <w:r w:rsidRPr="00581A4E">
        <w:rPr>
          <w:rStyle w:val="FootnoteReference"/>
        </w:rPr>
        <w:footnoteRef/>
      </w:r>
      <w:r w:rsidRPr="00581A4E">
        <w:tab/>
        <w:t>COM(2022) 28 final.</w:t>
      </w:r>
    </w:p>
  </w:footnote>
  <w:footnote w:id="8">
    <w:p w14:paraId="03F73F45" w14:textId="77777777" w:rsidR="00641AD3" w:rsidRPr="00581A4E" w:rsidRDefault="00641AD3" w:rsidP="00AD7F39">
      <w:pPr>
        <w:pStyle w:val="FootnoteText"/>
      </w:pPr>
      <w:r w:rsidRPr="00581A4E">
        <w:rPr>
          <w:rStyle w:val="FootnoteReference"/>
        </w:rPr>
        <w:footnoteRef/>
      </w:r>
      <w:r w:rsidRPr="00581A4E">
        <w:tab/>
        <w:t>COM(2022) 212 final.</w:t>
      </w:r>
    </w:p>
  </w:footnote>
  <w:footnote w:id="9">
    <w:p w14:paraId="3F42DCFC" w14:textId="5084AF90" w:rsidR="00641AD3" w:rsidRPr="00581A4E" w:rsidRDefault="00641AD3" w:rsidP="00AD7F39">
      <w:pPr>
        <w:pStyle w:val="FootnoteText"/>
        <w:ind w:left="0" w:firstLine="0"/>
        <w:jc w:val="left"/>
        <w:rPr>
          <w:sz w:val="18"/>
          <w:szCs w:val="18"/>
        </w:rPr>
      </w:pPr>
      <w:r w:rsidRPr="00581A4E">
        <w:rPr>
          <w:rStyle w:val="FootnoteReference"/>
        </w:rPr>
        <w:footnoteRef/>
      </w:r>
      <w:r w:rsidRPr="00581A4E">
        <w:tab/>
      </w:r>
      <w:r w:rsidRPr="0000618A">
        <w:t>COM/2020/274 final</w:t>
      </w:r>
      <w:r w:rsidR="0000618A">
        <w:rPr>
          <w:sz w:val="18"/>
        </w:rPr>
        <w:t>.</w:t>
      </w:r>
    </w:p>
  </w:footnote>
  <w:footnote w:id="10">
    <w:p w14:paraId="03247BC1" w14:textId="77777777" w:rsidR="00641AD3" w:rsidRPr="00581A4E" w:rsidRDefault="00641AD3" w:rsidP="00AD7F39">
      <w:pPr>
        <w:pStyle w:val="FootnoteText"/>
        <w:ind w:left="0" w:firstLine="0"/>
        <w:jc w:val="left"/>
        <w:rPr>
          <w:sz w:val="18"/>
          <w:szCs w:val="18"/>
        </w:rPr>
      </w:pPr>
      <w:r w:rsidRPr="00581A4E">
        <w:rPr>
          <w:rStyle w:val="FootnoteReference"/>
        </w:rPr>
        <w:footnoteRef/>
      </w:r>
      <w:r w:rsidRPr="00581A4E">
        <w:tab/>
      </w:r>
      <w:r w:rsidRPr="0000618A">
        <w:t>COM(2021) 102 final</w:t>
      </w:r>
      <w:r w:rsidRPr="00581A4E">
        <w:rPr>
          <w:sz w:val="18"/>
        </w:rPr>
        <w:t xml:space="preserve">. </w:t>
      </w:r>
    </w:p>
  </w:footnote>
  <w:footnote w:id="11">
    <w:p w14:paraId="29AC442D" w14:textId="77777777" w:rsidR="00641AD3" w:rsidRPr="00581A4E" w:rsidRDefault="00641AD3" w:rsidP="00AD7F39">
      <w:pPr>
        <w:pStyle w:val="FootnoteText"/>
        <w:rPr>
          <w:sz w:val="18"/>
          <w:szCs w:val="18"/>
        </w:rPr>
      </w:pPr>
      <w:r w:rsidRPr="00581A4E">
        <w:rPr>
          <w:rStyle w:val="FootnoteReference"/>
        </w:rPr>
        <w:footnoteRef/>
      </w:r>
      <w:r w:rsidRPr="00581A4E">
        <w:tab/>
      </w:r>
      <w:r w:rsidRPr="0000618A">
        <w:t>Comisia Europeană (2019). A doua anchetă în școli: TIC în educație. Luxemburg: Oficiul pentru Publicații al UE</w:t>
      </w:r>
    </w:p>
  </w:footnote>
  <w:footnote w:id="12">
    <w:p w14:paraId="50C03A81" w14:textId="77777777" w:rsidR="00641AD3" w:rsidRPr="00581A4E" w:rsidRDefault="00641AD3" w:rsidP="008B4605">
      <w:pPr>
        <w:pStyle w:val="FootnoteText"/>
      </w:pPr>
      <w:r w:rsidRPr="00581A4E">
        <w:rPr>
          <w:rStyle w:val="FootnoteReference"/>
        </w:rPr>
        <w:footnoteRef/>
      </w:r>
      <w:r w:rsidRPr="00581A4E">
        <w:tab/>
        <w:t>SWD(2021)167 final.</w:t>
      </w:r>
    </w:p>
  </w:footnote>
  <w:footnote w:id="13">
    <w:p w14:paraId="799154A1" w14:textId="77777777" w:rsidR="00641AD3" w:rsidRPr="00581A4E" w:rsidRDefault="00641AD3" w:rsidP="00AD7F39">
      <w:pPr>
        <w:pStyle w:val="FootnoteText"/>
      </w:pPr>
      <w:r w:rsidRPr="00581A4E">
        <w:rPr>
          <w:rStyle w:val="FootnoteReference"/>
        </w:rPr>
        <w:footnoteRef/>
      </w:r>
      <w:r w:rsidRPr="00581A4E">
        <w:tab/>
        <w:t>COM(2016) 587.</w:t>
      </w:r>
    </w:p>
  </w:footnote>
  <w:footnote w:id="14">
    <w:p w14:paraId="5768A8A9" w14:textId="77777777" w:rsidR="00641AD3" w:rsidRPr="00581A4E" w:rsidRDefault="00641AD3" w:rsidP="00AD7F39">
      <w:pPr>
        <w:pStyle w:val="FootnoteText"/>
        <w:rPr>
          <w:sz w:val="18"/>
          <w:szCs w:val="18"/>
        </w:rPr>
      </w:pPr>
      <w:r w:rsidRPr="00581A4E">
        <w:rPr>
          <w:rStyle w:val="FootnoteReference"/>
        </w:rPr>
        <w:footnoteRef/>
      </w:r>
      <w:r w:rsidRPr="00581A4E">
        <w:tab/>
      </w:r>
      <w:r w:rsidRPr="0000618A">
        <w:t>Comisia Europeană (2019). A doua anchetă în școli: TIC în educație. Luxemburg: Oficiul pentru Publicații al UE</w:t>
      </w:r>
    </w:p>
  </w:footnote>
  <w:footnote w:id="15">
    <w:p w14:paraId="651B451E" w14:textId="77777777" w:rsidR="00641AD3" w:rsidRPr="00581A4E" w:rsidRDefault="00641AD3" w:rsidP="00AD7F39">
      <w:pPr>
        <w:pStyle w:val="FootnoteText"/>
        <w:rPr>
          <w:sz w:val="18"/>
          <w:szCs w:val="18"/>
        </w:rPr>
      </w:pPr>
      <w:r w:rsidRPr="00581A4E">
        <w:rPr>
          <w:rStyle w:val="FootnoteReference"/>
        </w:rPr>
        <w:footnoteRef/>
      </w:r>
      <w:r w:rsidRPr="00581A4E">
        <w:tab/>
      </w:r>
      <w:r w:rsidRPr="0000618A">
        <w:t>Ibidem.</w:t>
      </w:r>
    </w:p>
  </w:footnote>
  <w:footnote w:id="16">
    <w:p w14:paraId="6237750D" w14:textId="59FF702C" w:rsidR="00641AD3" w:rsidRPr="00581A4E" w:rsidRDefault="00641AD3" w:rsidP="00AD7F39">
      <w:pPr>
        <w:pStyle w:val="FootnoteText"/>
        <w:rPr>
          <w:sz w:val="18"/>
          <w:szCs w:val="18"/>
        </w:rPr>
      </w:pPr>
      <w:r w:rsidRPr="00581A4E">
        <w:rPr>
          <w:rStyle w:val="FootnoteReference"/>
        </w:rPr>
        <w:footnoteRef/>
      </w:r>
      <w:r w:rsidRPr="00581A4E">
        <w:tab/>
      </w:r>
      <w:r w:rsidRPr="0000618A">
        <w:t xml:space="preserve">OCDE (2018). </w:t>
      </w:r>
      <w:r w:rsidRPr="0000618A">
        <w:rPr>
          <w:i/>
        </w:rPr>
        <w:t>Getting ready for the digital world</w:t>
      </w:r>
      <w:r w:rsidRPr="0000618A">
        <w:t xml:space="preserve">, PISA 2018: </w:t>
      </w:r>
      <w:r w:rsidRPr="0000618A">
        <w:rPr>
          <w:i/>
        </w:rPr>
        <w:t>Insights and Interpretations</w:t>
      </w:r>
      <w:r w:rsidRPr="0000618A">
        <w:t xml:space="preserve"> (Pregătirea pentru lumea digitală, PISA 2018: perspective și interpretări).</w:t>
      </w:r>
      <w:r w:rsidR="00581A4E" w:rsidRPr="0000618A">
        <w:t xml:space="preserve"> </w:t>
      </w:r>
      <w:r w:rsidRPr="0000618A">
        <w:t>Paris: OECD Publishing</w:t>
      </w:r>
      <w:r w:rsidRPr="00581A4E">
        <w:rPr>
          <w:sz w:val="18"/>
        </w:rPr>
        <w:t>.</w:t>
      </w:r>
    </w:p>
  </w:footnote>
  <w:footnote w:id="17">
    <w:p w14:paraId="049255CF" w14:textId="77777777" w:rsidR="00641AD3" w:rsidRPr="00581A4E" w:rsidRDefault="00641AD3" w:rsidP="00702B2E">
      <w:pPr>
        <w:pStyle w:val="FootnoteText"/>
        <w:rPr>
          <w:sz w:val="18"/>
          <w:szCs w:val="18"/>
        </w:rPr>
      </w:pPr>
      <w:r w:rsidRPr="00581A4E">
        <w:rPr>
          <w:rStyle w:val="FootnoteReference"/>
        </w:rPr>
        <w:footnoteRef/>
      </w:r>
      <w:r w:rsidRPr="00581A4E">
        <w:tab/>
      </w:r>
      <w:r w:rsidRPr="0000618A">
        <w:t xml:space="preserve">Biagi F., Rodrigues M. (2017). </w:t>
      </w:r>
      <w:r w:rsidRPr="0000618A">
        <w:rPr>
          <w:i/>
        </w:rPr>
        <w:t>Digital technologies and learning outcomes of students from low socio-economic background:</w:t>
      </w:r>
      <w:r w:rsidRPr="0000618A">
        <w:t xml:space="preserve"> </w:t>
      </w:r>
      <w:r w:rsidRPr="0000618A">
        <w:rPr>
          <w:i/>
        </w:rPr>
        <w:t>An analysis of PISA 2015</w:t>
      </w:r>
      <w:r w:rsidRPr="0000618A">
        <w:t xml:space="preserve"> (Tehnologiile digitale și rezultatele de învățare ale elevilor din medii socioeconomice defavorizate: o analiză a PISA 2015). </w:t>
      </w:r>
      <w:r w:rsidRPr="0000618A">
        <w:rPr>
          <w:i/>
        </w:rPr>
        <w:t>JRC Science for Policy Report</w:t>
      </w:r>
      <w:r w:rsidRPr="0000618A">
        <w:t xml:space="preserve"> (Raportul științific al JRC în sprijinul elaborării politicilor)</w:t>
      </w:r>
      <w:r w:rsidRPr="00581A4E">
        <w:rPr>
          <w:sz w:val="18"/>
        </w:rPr>
        <w:t>.</w:t>
      </w:r>
    </w:p>
  </w:footnote>
  <w:footnote w:id="18">
    <w:p w14:paraId="16FD23CD" w14:textId="7D6DAC00" w:rsidR="00D56CD3" w:rsidRPr="00581A4E" w:rsidRDefault="00D56CD3">
      <w:pPr>
        <w:pStyle w:val="FootnoteText"/>
      </w:pPr>
      <w:r w:rsidRPr="00581A4E">
        <w:rPr>
          <w:rStyle w:val="FootnoteReference"/>
        </w:rPr>
        <w:footnoteRef/>
      </w:r>
      <w:r w:rsidRPr="00581A4E">
        <w:tab/>
        <w:t>Curtea de Conturi Europeană, Calendarul orientativ al publicării rapoartelor în perioada ianuarie-decembrie 2023, https://www.eca.europa.eu/sites/ep/en/Documents/Timetable_of_upcoming_publications_EN.pdf</w:t>
      </w:r>
    </w:p>
  </w:footnote>
  <w:footnote w:id="19">
    <w:p w14:paraId="521BB5CB" w14:textId="77777777" w:rsidR="00641AD3" w:rsidRPr="00581A4E" w:rsidRDefault="00641AD3" w:rsidP="00AD7F39">
      <w:pPr>
        <w:pStyle w:val="FootnoteText"/>
        <w:rPr>
          <w:sz w:val="18"/>
          <w:szCs w:val="18"/>
        </w:rPr>
      </w:pPr>
      <w:r w:rsidRPr="00581A4E">
        <w:rPr>
          <w:rStyle w:val="FootnoteReference"/>
        </w:rPr>
        <w:footnoteRef/>
      </w:r>
      <w:r w:rsidRPr="00581A4E">
        <w:tab/>
      </w:r>
      <w:r w:rsidRPr="0000618A">
        <w:t xml:space="preserve">Fraillon, J. Ainley, J., Schulz, W., Friedman, T., Duckworth, D. (2019). </w:t>
      </w:r>
      <w:r w:rsidRPr="0000618A">
        <w:rPr>
          <w:i/>
        </w:rPr>
        <w:t>Preparing for Life in a Digital World:</w:t>
      </w:r>
      <w:r w:rsidRPr="0000618A">
        <w:t xml:space="preserve"> </w:t>
      </w:r>
      <w:r w:rsidRPr="0000618A">
        <w:rPr>
          <w:i/>
        </w:rPr>
        <w:t>International Computer and Information Literacy Study 2018 International Report</w:t>
      </w:r>
      <w:r w:rsidRPr="0000618A">
        <w:t xml:space="preserve"> (Pregătire pentru viața într-o lume digitală: raportul internațional elaborat în 2018 în urma studiului internațional privind competențele în domeniul informatic). Amsterdam: IEA</w:t>
      </w:r>
      <w:r w:rsidRPr="00581A4E">
        <w:rPr>
          <w:sz w:val="18"/>
        </w:rPr>
        <w:t>.</w:t>
      </w:r>
    </w:p>
  </w:footnote>
  <w:footnote w:id="20">
    <w:p w14:paraId="0C19FBBA" w14:textId="77777777" w:rsidR="00641AD3" w:rsidRPr="00581A4E" w:rsidRDefault="00641AD3" w:rsidP="00AD7F39">
      <w:pPr>
        <w:pStyle w:val="FootnoteText"/>
        <w:rPr>
          <w:sz w:val="18"/>
          <w:szCs w:val="18"/>
        </w:rPr>
      </w:pPr>
      <w:r w:rsidRPr="00581A4E">
        <w:rPr>
          <w:rStyle w:val="FootnoteReference"/>
        </w:rPr>
        <w:footnoteRef/>
      </w:r>
      <w:r w:rsidRPr="00581A4E">
        <w:tab/>
      </w:r>
      <w:r w:rsidRPr="0000618A">
        <w:t>Comisia Europeană (2019). A doua anchetă în școli: TIC în educație. Luxemburg: Oficiul pentru Publicații al Uniunii Europene</w:t>
      </w:r>
      <w:r w:rsidRPr="00581A4E">
        <w:rPr>
          <w:sz w:val="18"/>
        </w:rPr>
        <w:t>.</w:t>
      </w:r>
    </w:p>
  </w:footnote>
  <w:footnote w:id="21">
    <w:p w14:paraId="5BDAB861" w14:textId="77777777" w:rsidR="00641AD3" w:rsidRPr="00581A4E" w:rsidRDefault="00641AD3" w:rsidP="00AD7F39">
      <w:pPr>
        <w:pStyle w:val="FootnoteText"/>
        <w:rPr>
          <w:sz w:val="18"/>
          <w:szCs w:val="18"/>
        </w:rPr>
      </w:pPr>
      <w:r w:rsidRPr="00581A4E">
        <w:rPr>
          <w:rStyle w:val="FootnoteReference"/>
        </w:rPr>
        <w:footnoteRef/>
      </w:r>
      <w:r w:rsidRPr="00581A4E">
        <w:tab/>
      </w:r>
      <w:r w:rsidRPr="0000618A">
        <w:t>Document de lucru al serviciilor Comisiei care însoțește Planul de acțiune pentru educația digitală, SWD(2020) 209 final.</w:t>
      </w:r>
    </w:p>
  </w:footnote>
  <w:footnote w:id="22">
    <w:p w14:paraId="70E048B6" w14:textId="77777777" w:rsidR="00641AD3" w:rsidRPr="00581A4E" w:rsidRDefault="00641AD3" w:rsidP="00AD7F39">
      <w:pPr>
        <w:pStyle w:val="FootnoteText"/>
        <w:rPr>
          <w:sz w:val="18"/>
          <w:szCs w:val="18"/>
        </w:rPr>
      </w:pPr>
      <w:r w:rsidRPr="00581A4E">
        <w:rPr>
          <w:rStyle w:val="FootnoteReference"/>
        </w:rPr>
        <w:footnoteRef/>
      </w:r>
      <w:r w:rsidRPr="00581A4E">
        <w:tab/>
      </w:r>
      <w:r w:rsidRPr="0000618A">
        <w:t>Monitorul educației și formării 2020</w:t>
      </w:r>
      <w:r w:rsidRPr="00581A4E">
        <w:rPr>
          <w:sz w:val="18"/>
        </w:rPr>
        <w:t>.</w:t>
      </w:r>
    </w:p>
  </w:footnote>
  <w:footnote w:id="23">
    <w:p w14:paraId="67526866" w14:textId="72B20A3E" w:rsidR="00641AD3" w:rsidRPr="00581A4E" w:rsidRDefault="00622870" w:rsidP="00AD7F39">
      <w:pPr>
        <w:pStyle w:val="FootnoteText"/>
        <w:rPr>
          <w:sz w:val="18"/>
          <w:szCs w:val="18"/>
        </w:rPr>
      </w:pPr>
      <w:r w:rsidRPr="00581A4E">
        <w:rPr>
          <w:rStyle w:val="FootnoteReference"/>
        </w:rPr>
        <w:footnoteRef/>
      </w:r>
      <w:r w:rsidRPr="00581A4E">
        <w:tab/>
      </w:r>
      <w:r w:rsidR="00641AD3" w:rsidRPr="0000618A">
        <w:t xml:space="preserve">OCDE (2019), </w:t>
      </w:r>
      <w:r w:rsidR="00641AD3" w:rsidRPr="0000618A">
        <w:rPr>
          <w:i/>
        </w:rPr>
        <w:t>TALIS 2018 Results (Volume I)</w:t>
      </w:r>
      <w:r w:rsidR="00641AD3" w:rsidRPr="0000618A">
        <w:t xml:space="preserve">: </w:t>
      </w:r>
      <w:r w:rsidR="00641AD3" w:rsidRPr="0000618A">
        <w:rPr>
          <w:i/>
        </w:rPr>
        <w:t>Teachers and School Leaders as Lifelong Learners</w:t>
      </w:r>
      <w:r w:rsidR="00641AD3" w:rsidRPr="0000618A">
        <w:t>, TALIS [Rezultatele studiului TALIS 2018 (volumul I): cadrele didactice și directorii unităților de învățământ în calitate de cursanți pe tot parcursul vieții]. Paris: OECD Publishing</w:t>
      </w:r>
      <w:r w:rsidR="00641AD3" w:rsidRPr="00581A4E">
        <w:rPr>
          <w:sz w:val="18"/>
        </w:rPr>
        <w:t>.</w:t>
      </w:r>
    </w:p>
  </w:footnote>
  <w:footnote w:id="24">
    <w:p w14:paraId="5F7BFBAD" w14:textId="5A4E6AB8" w:rsidR="00641AD3" w:rsidRPr="00581A4E" w:rsidRDefault="00622870" w:rsidP="00AD7F39">
      <w:pPr>
        <w:pStyle w:val="FootnoteText"/>
        <w:rPr>
          <w:sz w:val="18"/>
          <w:szCs w:val="18"/>
        </w:rPr>
      </w:pPr>
      <w:r w:rsidRPr="00581A4E">
        <w:rPr>
          <w:rStyle w:val="FootnoteReference"/>
        </w:rPr>
        <w:footnoteRef/>
      </w:r>
      <w:r w:rsidRPr="00581A4E">
        <w:tab/>
      </w:r>
      <w:r w:rsidR="00641AD3" w:rsidRPr="0000618A">
        <w:t xml:space="preserve">OCDE (2019), </w:t>
      </w:r>
      <w:r w:rsidR="00641AD3" w:rsidRPr="0000618A">
        <w:rPr>
          <w:i/>
        </w:rPr>
        <w:t>TALIS 2018 Results (Volume I)</w:t>
      </w:r>
      <w:r w:rsidR="00641AD3" w:rsidRPr="0000618A">
        <w:t xml:space="preserve">: </w:t>
      </w:r>
      <w:r w:rsidR="00641AD3" w:rsidRPr="0000618A">
        <w:rPr>
          <w:i/>
        </w:rPr>
        <w:t>Teachers and School Leaders as Lifelong Learners</w:t>
      </w:r>
      <w:r w:rsidR="00641AD3" w:rsidRPr="0000618A">
        <w:t>, TALIS [Rezultatele studiului TALIS 2018 (volumul I): cadrele didactice și directorii unităților de învățământ în calitate de cursanți pe tot parcursul vieții]. Paris: OECD Publishing</w:t>
      </w:r>
      <w:r w:rsidR="00641AD3" w:rsidRPr="00581A4E">
        <w:rPr>
          <w:sz w:val="18"/>
        </w:rPr>
        <w:t xml:space="preserve">. </w:t>
      </w:r>
    </w:p>
  </w:footnote>
  <w:footnote w:id="25">
    <w:p w14:paraId="327307E5" w14:textId="77777777" w:rsidR="00641AD3" w:rsidRPr="00581A4E" w:rsidRDefault="00641AD3" w:rsidP="00AD7F39">
      <w:pPr>
        <w:pStyle w:val="FootnoteText"/>
        <w:rPr>
          <w:sz w:val="18"/>
          <w:szCs w:val="18"/>
        </w:rPr>
      </w:pPr>
      <w:r w:rsidRPr="00581A4E">
        <w:rPr>
          <w:rStyle w:val="FootnoteReference"/>
        </w:rPr>
        <w:footnoteRef/>
      </w:r>
      <w:r w:rsidRPr="00581A4E">
        <w:tab/>
      </w:r>
      <w:r w:rsidRPr="0000618A">
        <w:t>Comisia Europeană/EACEA/Eurydice (2019). Educația digitală la școală în Europa. Raportul Eurydice. Luxemburg: Oficiul pentru Publicații al Uniunii Europene</w:t>
      </w:r>
      <w:r w:rsidRPr="00581A4E">
        <w:rPr>
          <w:sz w:val="18"/>
        </w:rPr>
        <w:t>.</w:t>
      </w:r>
    </w:p>
  </w:footnote>
  <w:footnote w:id="26">
    <w:p w14:paraId="0202B330" w14:textId="77777777" w:rsidR="00641AD3" w:rsidRPr="00581A4E" w:rsidRDefault="00641AD3" w:rsidP="00AD7F39">
      <w:pPr>
        <w:pStyle w:val="FootnoteText"/>
        <w:rPr>
          <w:sz w:val="18"/>
          <w:szCs w:val="18"/>
        </w:rPr>
      </w:pPr>
      <w:r w:rsidRPr="00581A4E">
        <w:rPr>
          <w:rStyle w:val="FootnoteReference"/>
        </w:rPr>
        <w:footnoteRef/>
      </w:r>
      <w:r w:rsidRPr="00581A4E">
        <w:tab/>
      </w:r>
      <w:hyperlink r:id="rId1" w:history="1">
        <w:r w:rsidRPr="0000618A">
          <w:rPr>
            <w:rStyle w:val="Hyperlink"/>
          </w:rPr>
          <w:t>https://sdgs.un.org/</w:t>
        </w:r>
      </w:hyperlink>
    </w:p>
  </w:footnote>
  <w:footnote w:id="27">
    <w:p w14:paraId="3CA0E77E" w14:textId="77777777" w:rsidR="00641AD3" w:rsidRPr="00581A4E" w:rsidRDefault="00641AD3" w:rsidP="00AD7F39">
      <w:pPr>
        <w:pStyle w:val="FootnoteText"/>
        <w:ind w:left="0" w:firstLine="0"/>
        <w:jc w:val="left"/>
        <w:rPr>
          <w:sz w:val="18"/>
          <w:szCs w:val="18"/>
        </w:rPr>
      </w:pPr>
      <w:r w:rsidRPr="00581A4E">
        <w:rPr>
          <w:rStyle w:val="FootnoteReference"/>
        </w:rPr>
        <w:footnoteRef/>
      </w:r>
      <w:r w:rsidRPr="00581A4E">
        <w:tab/>
      </w:r>
      <w:r w:rsidRPr="0000618A">
        <w:t>COM(2020) 625 final</w:t>
      </w:r>
      <w:r w:rsidRPr="00581A4E">
        <w:rPr>
          <w:sz w:val="18"/>
        </w:rPr>
        <w:t>.</w:t>
      </w:r>
    </w:p>
  </w:footnote>
  <w:footnote w:id="28">
    <w:p w14:paraId="03DDA951" w14:textId="77777777" w:rsidR="00641AD3" w:rsidRPr="00581A4E" w:rsidRDefault="00641AD3" w:rsidP="00AD7F39">
      <w:pPr>
        <w:pStyle w:val="FootnoteText"/>
        <w:ind w:left="0" w:firstLine="0"/>
        <w:jc w:val="left"/>
        <w:rPr>
          <w:sz w:val="18"/>
          <w:szCs w:val="18"/>
        </w:rPr>
      </w:pPr>
      <w:r w:rsidRPr="00581A4E">
        <w:rPr>
          <w:rStyle w:val="FootnoteReference"/>
        </w:rPr>
        <w:footnoteRef/>
      </w:r>
      <w:r w:rsidRPr="00581A4E">
        <w:tab/>
      </w:r>
      <w:r w:rsidRPr="0000618A">
        <w:t>COM(2020) 624 final</w:t>
      </w:r>
      <w:r w:rsidRPr="00581A4E">
        <w:rPr>
          <w:sz w:val="18"/>
        </w:rPr>
        <w:t>.</w:t>
      </w:r>
    </w:p>
  </w:footnote>
  <w:footnote w:id="29">
    <w:p w14:paraId="69B5390D" w14:textId="77777777" w:rsidR="00641AD3" w:rsidRPr="00581A4E" w:rsidRDefault="00641AD3" w:rsidP="00AD7F39">
      <w:pPr>
        <w:pStyle w:val="FootnoteText"/>
        <w:ind w:left="0" w:firstLine="0"/>
        <w:jc w:val="left"/>
        <w:rPr>
          <w:sz w:val="18"/>
          <w:szCs w:val="18"/>
        </w:rPr>
      </w:pPr>
      <w:r w:rsidRPr="00581A4E">
        <w:rPr>
          <w:rStyle w:val="FootnoteReference"/>
        </w:rPr>
        <w:footnoteRef/>
      </w:r>
      <w:r w:rsidRPr="00581A4E">
        <w:tab/>
      </w:r>
      <w:r w:rsidRPr="0000618A">
        <w:t>COM(2020) 274 final</w:t>
      </w:r>
      <w:r w:rsidRPr="00581A4E">
        <w:rPr>
          <w:sz w:val="18"/>
        </w:rPr>
        <w:t>.</w:t>
      </w:r>
    </w:p>
  </w:footnote>
  <w:footnote w:id="30">
    <w:p w14:paraId="685AA381" w14:textId="77777777" w:rsidR="00641AD3" w:rsidRPr="00581A4E" w:rsidRDefault="00641AD3" w:rsidP="00AD7F39">
      <w:pPr>
        <w:pStyle w:val="FootnoteText"/>
        <w:ind w:left="0" w:firstLine="0"/>
        <w:jc w:val="left"/>
        <w:rPr>
          <w:sz w:val="18"/>
          <w:szCs w:val="18"/>
        </w:rPr>
      </w:pPr>
      <w:r w:rsidRPr="00581A4E">
        <w:rPr>
          <w:rStyle w:val="FootnoteReference"/>
        </w:rPr>
        <w:footnoteRef/>
      </w:r>
      <w:r w:rsidRPr="00581A4E">
        <w:tab/>
      </w:r>
      <w:r w:rsidRPr="0000618A">
        <w:t>Decizia (UE) 2022/2481</w:t>
      </w:r>
      <w:r w:rsidRPr="00581A4E">
        <w:rPr>
          <w:sz w:val="18"/>
        </w:rPr>
        <w:t>.</w:t>
      </w:r>
    </w:p>
  </w:footnote>
  <w:footnote w:id="31">
    <w:p w14:paraId="783F6866" w14:textId="77777777" w:rsidR="00641AD3" w:rsidRPr="00581A4E" w:rsidRDefault="00641AD3">
      <w:pPr>
        <w:pStyle w:val="FootnoteText"/>
      </w:pPr>
      <w:r w:rsidRPr="00581A4E">
        <w:rPr>
          <w:rStyle w:val="FootnoteReference"/>
        </w:rPr>
        <w:footnoteRef/>
      </w:r>
      <w:r w:rsidRPr="00581A4E">
        <w:tab/>
        <w:t>SWD/2020/209 final.</w:t>
      </w:r>
    </w:p>
  </w:footnote>
  <w:footnote w:id="32">
    <w:p w14:paraId="3394F768" w14:textId="77777777" w:rsidR="00641AD3" w:rsidRPr="00581A4E" w:rsidRDefault="00641AD3" w:rsidP="00AD7F39">
      <w:pPr>
        <w:pStyle w:val="FootnoteText"/>
      </w:pPr>
      <w:r w:rsidRPr="00581A4E">
        <w:rPr>
          <w:rStyle w:val="FootnoteReference"/>
        </w:rPr>
        <w:footnoteRef/>
      </w:r>
      <w:r w:rsidRPr="00581A4E">
        <w:tab/>
      </w:r>
      <w:hyperlink r:id="rId2" w:history="1">
        <w:r w:rsidRPr="00581A4E">
          <w:rPr>
            <w:rStyle w:val="Hyperlink"/>
          </w:rPr>
          <w:t>https://ec.europa.eu/info/law/better-regulation/have-your-say/initiatives/12453-Digital-education-action-plan-update-/public-consultation_ro</w:t>
        </w:r>
      </w:hyperlink>
      <w:r w:rsidRPr="00581A4E">
        <w:t xml:space="preserve"> </w:t>
      </w:r>
    </w:p>
  </w:footnote>
  <w:footnote w:id="33">
    <w:p w14:paraId="74E42F6A" w14:textId="77777777" w:rsidR="00641AD3" w:rsidRPr="00581A4E" w:rsidRDefault="00641AD3" w:rsidP="00AD7F39">
      <w:pPr>
        <w:pStyle w:val="FootnoteText"/>
        <w:rPr>
          <w:sz w:val="18"/>
          <w:szCs w:val="18"/>
        </w:rPr>
      </w:pPr>
      <w:r w:rsidRPr="00581A4E">
        <w:rPr>
          <w:rStyle w:val="FootnoteReference"/>
        </w:rPr>
        <w:footnoteRef/>
      </w:r>
      <w:r w:rsidRPr="00581A4E">
        <w:tab/>
      </w:r>
      <w:r w:rsidRPr="0000618A">
        <w:t>Un raport de sinteză este anexat la documentul de lucru al serviciilor Comisiei</w:t>
      </w:r>
      <w:r w:rsidRPr="00581A4E">
        <w:rPr>
          <w:sz w:val="18"/>
        </w:rPr>
        <w:t>.</w:t>
      </w:r>
    </w:p>
  </w:footnote>
  <w:footnote w:id="34">
    <w:p w14:paraId="70FBDF27" w14:textId="77777777" w:rsidR="00641AD3" w:rsidRPr="00581A4E" w:rsidRDefault="00641AD3" w:rsidP="00581A4E">
      <w:pPr>
        <w:pStyle w:val="FootnoteText"/>
        <w:rPr>
          <w:sz w:val="18"/>
          <w:szCs w:val="18"/>
        </w:rPr>
      </w:pPr>
      <w:r w:rsidRPr="00581A4E">
        <w:rPr>
          <w:rStyle w:val="FootnoteReference"/>
        </w:rPr>
        <w:footnoteRef/>
      </w:r>
      <w:r w:rsidRPr="00581A4E">
        <w:tab/>
      </w:r>
      <w:r w:rsidRPr="0000618A">
        <w:t>Trimiterile complete sunt disponibile în documentul de lucru al serviciilor Comisiei</w:t>
      </w:r>
      <w:r w:rsidRPr="00581A4E">
        <w:rPr>
          <w:sz w:val="18"/>
        </w:rPr>
        <w:t xml:space="preserve">. </w:t>
      </w:r>
    </w:p>
  </w:footnote>
  <w:footnote w:id="35">
    <w:p w14:paraId="09ACDFDF" w14:textId="77777777" w:rsidR="00641AD3" w:rsidRPr="00581A4E" w:rsidRDefault="00641AD3" w:rsidP="00BD6722">
      <w:pPr>
        <w:pStyle w:val="FootnoteText"/>
        <w:rPr>
          <w:sz w:val="18"/>
          <w:szCs w:val="18"/>
        </w:rPr>
      </w:pPr>
      <w:r w:rsidRPr="00581A4E">
        <w:rPr>
          <w:rStyle w:val="FootnoteReference"/>
        </w:rPr>
        <w:footnoteRef/>
      </w:r>
      <w:r w:rsidRPr="00581A4E">
        <w:tab/>
      </w:r>
      <w:r w:rsidRPr="0000618A">
        <w:t>Comunicare a Comisiei către Parlamentul European, Consiliu, Comitetul Economic și Social European și Comitetul Regiunilor privind realizarea Spațiului european al educației până în 2025, COM(2020) 625 final, 30.9.2020</w:t>
      </w:r>
      <w:r w:rsidRPr="00581A4E">
        <w:rPr>
          <w:sz w:val="18"/>
        </w:rPr>
        <w:t>.</w:t>
      </w:r>
    </w:p>
  </w:footnote>
  <w:footnote w:id="36">
    <w:p w14:paraId="48151580" w14:textId="77777777" w:rsidR="00641AD3" w:rsidRPr="00581A4E" w:rsidRDefault="00641AD3" w:rsidP="00AD7F39">
      <w:pPr>
        <w:pStyle w:val="FootnoteText"/>
        <w:rPr>
          <w:sz w:val="18"/>
          <w:szCs w:val="18"/>
        </w:rPr>
      </w:pPr>
      <w:r w:rsidRPr="00581A4E">
        <w:rPr>
          <w:rStyle w:val="FootnoteReference"/>
        </w:rPr>
        <w:footnoteRef/>
      </w:r>
      <w:r w:rsidRPr="00581A4E">
        <w:tab/>
      </w:r>
      <w:r w:rsidRPr="0000618A">
        <w:t>Comunicarea Comisiei către Parlamentul European, Consiliu, Comitetul Economic și Social European și Comitetul Regiunilor intitulată „Planul de acțiune pentru educația digitală 2021-2027. Resetarea educației și formării pentru era digitală”, COM(2020) 624 final din 30.9.2020</w:t>
      </w:r>
      <w:r w:rsidRPr="00581A4E">
        <w:rPr>
          <w:sz w:val="18"/>
        </w:rPr>
        <w:t>.</w:t>
      </w:r>
    </w:p>
  </w:footnote>
  <w:footnote w:id="37">
    <w:p w14:paraId="6BE69EC6" w14:textId="77777777" w:rsidR="00641AD3" w:rsidRPr="00581A4E" w:rsidRDefault="00641AD3" w:rsidP="008C5C32">
      <w:pPr>
        <w:pStyle w:val="FootnoteText"/>
        <w:rPr>
          <w:color w:val="000000" w:themeColor="text1"/>
          <w:sz w:val="18"/>
          <w:szCs w:val="18"/>
        </w:rPr>
      </w:pPr>
      <w:r w:rsidRPr="00581A4E">
        <w:rPr>
          <w:rStyle w:val="FootnoteReference"/>
        </w:rPr>
        <w:footnoteRef/>
      </w:r>
      <w:r w:rsidRPr="00581A4E">
        <w:tab/>
      </w:r>
      <w:r w:rsidRPr="0000618A">
        <w:rPr>
          <w:color w:val="000000" w:themeColor="text1"/>
        </w:rPr>
        <w:t>JO C 415, 1.12.2020, p. 22</w:t>
      </w:r>
      <w:r w:rsidRPr="00581A4E">
        <w:rPr>
          <w:color w:val="000000" w:themeColor="text1"/>
          <w:sz w:val="18"/>
        </w:rPr>
        <w:t>.</w:t>
      </w:r>
    </w:p>
  </w:footnote>
  <w:footnote w:id="38">
    <w:p w14:paraId="0965F284" w14:textId="77777777" w:rsidR="00641AD3" w:rsidRPr="00581A4E" w:rsidRDefault="00641AD3" w:rsidP="00AD7F39">
      <w:pPr>
        <w:pStyle w:val="FootnoteText"/>
        <w:ind w:left="0" w:firstLine="0"/>
        <w:rPr>
          <w:sz w:val="18"/>
          <w:szCs w:val="18"/>
        </w:rPr>
      </w:pPr>
      <w:r w:rsidRPr="00581A4E">
        <w:rPr>
          <w:rStyle w:val="FootnoteReference"/>
        </w:rPr>
        <w:footnoteRef/>
      </w:r>
      <w:r w:rsidRPr="00581A4E">
        <w:tab/>
      </w:r>
      <w:hyperlink r:id="rId3" w:history="1">
        <w:r w:rsidRPr="0000618A">
          <w:rPr>
            <w:rStyle w:val="Hyperlink"/>
          </w:rPr>
          <w:t>Planul de acțiune pentru educația digitală – Acțiunea 1 |</w:t>
        </w:r>
      </w:hyperlink>
      <w:hyperlink r:id="rId4" w:history="1">
        <w:r w:rsidRPr="0000618A">
          <w:rPr>
            <w:rStyle w:val="Hyperlink"/>
          </w:rPr>
          <w:t>Spațiul european al educației (europa.eu)</w:t>
        </w:r>
      </w:hyperlink>
      <w:r w:rsidRPr="00581A4E">
        <w:t>.</w:t>
      </w:r>
    </w:p>
  </w:footnote>
  <w:footnote w:id="39">
    <w:p w14:paraId="27156AAD" w14:textId="77777777" w:rsidR="00641AD3" w:rsidRPr="00581A4E" w:rsidRDefault="00641AD3" w:rsidP="00AD7F39">
      <w:pPr>
        <w:pStyle w:val="FootnoteText"/>
      </w:pPr>
      <w:r w:rsidRPr="00581A4E">
        <w:rPr>
          <w:rStyle w:val="FootnoteReference"/>
        </w:rPr>
        <w:footnoteRef/>
      </w:r>
      <w:r w:rsidRPr="00581A4E">
        <w:tab/>
      </w:r>
      <w:hyperlink r:id="rId5" w:history="1">
        <w:r w:rsidRPr="00581A4E">
          <w:rPr>
            <w:rStyle w:val="Hyperlink"/>
          </w:rPr>
          <w:t>Discursul privind starea Uniunii al președintei von der Leyen (europa.eu)</w:t>
        </w:r>
      </w:hyperlink>
      <w:r w:rsidRPr="00581A4E">
        <w:t>.</w:t>
      </w:r>
    </w:p>
  </w:footnote>
  <w:footnote w:id="40">
    <w:p w14:paraId="7BAA3594" w14:textId="77777777" w:rsidR="00641AD3" w:rsidRPr="00581A4E" w:rsidRDefault="00641AD3" w:rsidP="00AD7F39">
      <w:pPr>
        <w:pStyle w:val="FootnoteText"/>
      </w:pPr>
      <w:r w:rsidRPr="00581A4E">
        <w:rPr>
          <w:rStyle w:val="FootnoteReference"/>
        </w:rPr>
        <w:footnoteRef/>
      </w:r>
      <w:r w:rsidRPr="00581A4E">
        <w:tab/>
        <w:t>COM(2022) 526 final.</w:t>
      </w:r>
    </w:p>
  </w:footnote>
  <w:footnote w:id="41">
    <w:p w14:paraId="4BD65A96" w14:textId="77777777" w:rsidR="00641AD3" w:rsidRPr="00581A4E" w:rsidRDefault="00641AD3" w:rsidP="007B65DF">
      <w:pPr>
        <w:pStyle w:val="FootnoteText"/>
        <w:rPr>
          <w:sz w:val="18"/>
          <w:szCs w:val="18"/>
        </w:rPr>
      </w:pPr>
      <w:r w:rsidRPr="00581A4E">
        <w:rPr>
          <w:rStyle w:val="FootnoteReference"/>
        </w:rPr>
        <w:footnoteRef/>
      </w:r>
      <w:r w:rsidRPr="00581A4E">
        <w:tab/>
      </w:r>
      <w:r w:rsidRPr="0000618A">
        <w:t>JO C 428, 13.12.2017, p. 10.</w:t>
      </w:r>
    </w:p>
    <w:p w14:paraId="795E1504" w14:textId="77777777" w:rsidR="00641AD3" w:rsidRPr="00581A4E" w:rsidRDefault="00641AD3" w:rsidP="00AD7F39">
      <w:pPr>
        <w:pStyle w:val="FootnoteText"/>
        <w:rPr>
          <w:sz w:val="18"/>
          <w:szCs w:val="18"/>
        </w:rPr>
      </w:pPr>
    </w:p>
  </w:footnote>
  <w:footnote w:id="42">
    <w:p w14:paraId="29592334" w14:textId="77777777" w:rsidR="00641AD3" w:rsidRPr="00581A4E" w:rsidRDefault="00641AD3" w:rsidP="00FD633A">
      <w:pPr>
        <w:pStyle w:val="FootnoteText"/>
        <w:rPr>
          <w:rFonts w:eastAsia="Times New Roman"/>
          <w:sz w:val="18"/>
          <w:szCs w:val="18"/>
        </w:rPr>
      </w:pPr>
      <w:r w:rsidRPr="00581A4E">
        <w:rPr>
          <w:rStyle w:val="FootnoteReference"/>
        </w:rPr>
        <w:footnoteRef/>
      </w:r>
      <w:r w:rsidRPr="00581A4E">
        <w:tab/>
      </w:r>
      <w:r w:rsidRPr="0000618A">
        <w:t xml:space="preserve">Cinci strategii privind egalitatea au fost adoptate în 2020 și 2021 pentru a realiza progrese în direcția unei Uniuni a egalității: </w:t>
      </w:r>
      <w:hyperlink r:id="rId6" w:history="1">
        <w:hyperlink w:history="1">
          <w:r w:rsidRPr="0000618A">
            <w:t>Strategia privind egalitatea de gen 2020-2025</w:t>
          </w:r>
        </w:hyperlink>
      </w:hyperlink>
      <w:r w:rsidRPr="0000618A">
        <w:t xml:space="preserve">; </w:t>
      </w:r>
      <w:hyperlink r:id="rId7" w:history="1">
        <w:hyperlink w:history="1">
          <w:r w:rsidRPr="0000618A">
            <w:t>Strategia privind egalitatea pentru persoanele LGBTIQ 2020-2025</w:t>
          </w:r>
        </w:hyperlink>
      </w:hyperlink>
      <w:r w:rsidRPr="0000618A">
        <w:t xml:space="preserve">; </w:t>
      </w:r>
      <w:hyperlink r:id="rId8" w:history="1">
        <w:hyperlink w:history="1">
          <w:r w:rsidRPr="0000618A">
            <w:t>Planul de acțiune al UE de combatere a rasismului pentru perioada 2020-2025</w:t>
          </w:r>
        </w:hyperlink>
      </w:hyperlink>
      <w:r w:rsidRPr="0000618A">
        <w:t xml:space="preserve">; </w:t>
      </w:r>
      <w:hyperlink r:id="rId9" w:history="1">
        <w:hyperlink w:history="1">
          <w:r w:rsidRPr="0000618A">
            <w:t>Cadrul strategic al UE privind egalitatea, incluziunea și participarea romilor</w:t>
          </w:r>
        </w:hyperlink>
      </w:hyperlink>
      <w:r w:rsidRPr="0000618A">
        <w:t xml:space="preserve"> 2020-2030; </w:t>
      </w:r>
      <w:hyperlink r:id="rId10" w:history="1">
        <w:hyperlink w:history="1">
          <w:r w:rsidRPr="0000618A">
            <w:t>Strategia privind drepturile persoanelor cu handicap 2021-2030</w:t>
          </w:r>
        </w:hyperlink>
      </w:hyperlink>
      <w:r w:rsidRPr="00581A4E">
        <w:rPr>
          <w:sz w:val="18"/>
        </w:rPr>
        <w:t>.</w:t>
      </w:r>
    </w:p>
  </w:footnote>
  <w:footnote w:id="43">
    <w:p w14:paraId="5BA85955" w14:textId="77777777" w:rsidR="00641AD3" w:rsidRPr="00581A4E" w:rsidRDefault="00641AD3" w:rsidP="00AD7F39">
      <w:pPr>
        <w:pStyle w:val="FootnoteText"/>
      </w:pPr>
      <w:r w:rsidRPr="00581A4E">
        <w:rPr>
          <w:rStyle w:val="FootnoteReference"/>
        </w:rPr>
        <w:footnoteRef/>
      </w:r>
      <w:r w:rsidRPr="00581A4E">
        <w:tab/>
      </w:r>
      <w:bookmarkStart w:id="5" w:name="_Hlk128755321"/>
      <w:r w:rsidRPr="0000618A">
        <w:t>Recomandarea (UE) 2021/1004 a Consiliului din 14 iunie 2021 de instituire a unei Garanții europene pentru copii (JO L 223, 22.6.2021, p. 14)</w:t>
      </w:r>
      <w:r w:rsidRPr="0000618A">
        <w:rPr>
          <w:sz w:val="18"/>
          <w:szCs w:val="18"/>
        </w:rPr>
        <w:t>.</w:t>
      </w:r>
      <w:bookmarkEnd w:id="5"/>
    </w:p>
  </w:footnote>
  <w:footnote w:id="44">
    <w:p w14:paraId="6477EABE" w14:textId="77777777" w:rsidR="00641AD3" w:rsidRPr="00581A4E" w:rsidRDefault="00641AD3" w:rsidP="00BE27FB">
      <w:pPr>
        <w:pStyle w:val="FootnoteText"/>
      </w:pPr>
      <w:r w:rsidRPr="00581A4E">
        <w:rPr>
          <w:rStyle w:val="FootnoteReference"/>
        </w:rPr>
        <w:footnoteRef/>
      </w:r>
      <w:r w:rsidRPr="00581A4E">
        <w:tab/>
      </w:r>
      <w:r w:rsidRPr="0000618A">
        <w:t>Comunicarea Comisiei către Parlamentul European, Consiliu, Comitetul Economic și Social European și Comitetul Regiunilor „Strategia UE privind drepturile copilului”, COM(2021) 142 final din 24.3.2021</w:t>
      </w:r>
      <w:r w:rsidRPr="0000618A">
        <w:rPr>
          <w:sz w:val="18"/>
          <w:szCs w:val="18"/>
        </w:rPr>
        <w:t>.</w:t>
      </w:r>
    </w:p>
  </w:footnote>
  <w:footnote w:id="45">
    <w:p w14:paraId="67756532" w14:textId="77777777" w:rsidR="00641AD3" w:rsidRPr="00581A4E" w:rsidRDefault="00641AD3" w:rsidP="00AD7F39">
      <w:pPr>
        <w:pStyle w:val="FootnoteText"/>
        <w:rPr>
          <w:sz w:val="18"/>
          <w:szCs w:val="18"/>
        </w:rPr>
      </w:pPr>
      <w:r w:rsidRPr="00581A4E">
        <w:rPr>
          <w:rStyle w:val="FootnoteReference"/>
        </w:rPr>
        <w:footnoteRef/>
      </w:r>
      <w:r w:rsidRPr="00581A4E">
        <w:tab/>
      </w:r>
      <w:r w:rsidRPr="0000618A">
        <w:t>Comunicare a Comisiei către Parlamentul European, Consiliu, Comitetul Economic și Social European și Comitetul Regiunilor „Agenda europeană pentru competențe în scopul promovării competitivității durabile, a echității sociale și a rezilienței”, COM(2020) 274 final din 1.7.2020</w:t>
      </w:r>
      <w:r w:rsidRPr="00581A4E">
        <w:rPr>
          <w:sz w:val="18"/>
        </w:rPr>
        <w:t>.</w:t>
      </w:r>
    </w:p>
  </w:footnote>
  <w:footnote w:id="46">
    <w:p w14:paraId="1DB817C4" w14:textId="77777777" w:rsidR="00641AD3" w:rsidRPr="00581A4E" w:rsidRDefault="00641AD3" w:rsidP="00AD7F39">
      <w:pPr>
        <w:pStyle w:val="FootnoteText"/>
      </w:pPr>
      <w:r w:rsidRPr="00581A4E">
        <w:rPr>
          <w:rStyle w:val="FootnoteReference"/>
        </w:rPr>
        <w:footnoteRef/>
      </w:r>
      <w:r w:rsidRPr="00581A4E">
        <w:tab/>
      </w:r>
      <w:r w:rsidRPr="0000618A">
        <w:t>Decizia (UE) 2022/2481 a Parlamentului European și a Consiliului din 14 decembrie 2022 de instituire a programului de politică pentru 2030 privind deceniul digital (JO L 323, 19.12.2022, p. 4).</w:t>
      </w:r>
    </w:p>
  </w:footnote>
  <w:footnote w:id="47">
    <w:p w14:paraId="3A74838F" w14:textId="77777777" w:rsidR="00641AD3" w:rsidRPr="00581A4E" w:rsidRDefault="00641AD3" w:rsidP="00BE27FB">
      <w:pPr>
        <w:pStyle w:val="FootnoteText"/>
      </w:pPr>
      <w:r w:rsidRPr="00581A4E">
        <w:rPr>
          <w:rStyle w:val="FootnoteReference"/>
        </w:rPr>
        <w:footnoteRef/>
      </w:r>
      <w:r w:rsidRPr="00581A4E">
        <w:tab/>
      </w:r>
      <w:r w:rsidRPr="0000618A">
        <w:t>JO C 23, 23.1.2023, p. 1</w:t>
      </w:r>
      <w:r w:rsidRPr="00581A4E">
        <w:t>.</w:t>
      </w:r>
    </w:p>
  </w:footnote>
  <w:footnote w:id="48">
    <w:p w14:paraId="22E7D81F" w14:textId="77777777" w:rsidR="00641AD3" w:rsidRPr="00581A4E" w:rsidRDefault="00641AD3" w:rsidP="00AD7F39">
      <w:pPr>
        <w:pStyle w:val="FootnoteText"/>
        <w:rPr>
          <w:sz w:val="18"/>
          <w:szCs w:val="18"/>
        </w:rPr>
      </w:pPr>
      <w:r w:rsidRPr="00581A4E">
        <w:rPr>
          <w:rStyle w:val="FootnoteReference"/>
        </w:rPr>
        <w:footnoteRef/>
      </w:r>
      <w:r w:rsidRPr="00581A4E">
        <w:tab/>
      </w:r>
      <w:r w:rsidRPr="0000618A">
        <w:t>JO C 415, 1.12.2020, p. 22</w:t>
      </w:r>
      <w:r w:rsidRPr="00581A4E">
        <w:rPr>
          <w:sz w:val="18"/>
        </w:rPr>
        <w:t>.</w:t>
      </w:r>
    </w:p>
  </w:footnote>
  <w:footnote w:id="49">
    <w:p w14:paraId="335AE891" w14:textId="77777777" w:rsidR="00641AD3" w:rsidRPr="00581A4E" w:rsidRDefault="00641AD3" w:rsidP="000A3A97">
      <w:pPr>
        <w:spacing w:before="0" w:after="0"/>
        <w:ind w:left="720" w:hanging="720"/>
        <w:rPr>
          <w:rStyle w:val="Hyperlink"/>
          <w:rFonts w:ascii="Calibri" w:eastAsia="Calibri" w:hAnsi="Calibri" w:cs="Calibri"/>
          <w:sz w:val="18"/>
          <w:szCs w:val="18"/>
        </w:rPr>
      </w:pPr>
      <w:r w:rsidRPr="00581A4E">
        <w:rPr>
          <w:rStyle w:val="FootnoteReference"/>
        </w:rPr>
        <w:footnoteRef/>
      </w:r>
      <w:r w:rsidRPr="00581A4E">
        <w:tab/>
      </w:r>
      <w:r w:rsidRPr="0000618A">
        <w:rPr>
          <w:sz w:val="20"/>
          <w:szCs w:val="20"/>
        </w:rPr>
        <w:t>Comunicare a Comisiei către Parlamentul European, Consiliu, Comitetul Economic și Social European și Comitetul Regiunilor intitulată „Inteligența artificială pentru Europa”, COM(2018) 237 final din 25.4.2018</w:t>
      </w:r>
      <w:r w:rsidRPr="00581A4E">
        <w:rPr>
          <w:sz w:val="18"/>
        </w:rPr>
        <w:t>.</w:t>
      </w:r>
    </w:p>
  </w:footnote>
  <w:footnote w:id="50">
    <w:p w14:paraId="4198CB35" w14:textId="77777777" w:rsidR="00641AD3" w:rsidRPr="00581A4E" w:rsidRDefault="00641AD3" w:rsidP="000A3A97">
      <w:pPr>
        <w:pStyle w:val="FootnoteText"/>
      </w:pPr>
      <w:r w:rsidRPr="00581A4E">
        <w:rPr>
          <w:rStyle w:val="FootnoteReference"/>
        </w:rPr>
        <w:footnoteRef/>
      </w:r>
      <w:r w:rsidRPr="00581A4E">
        <w:tab/>
      </w:r>
      <w:r w:rsidRPr="0000618A">
        <w:t>Comunicare a Comisiei către Parlamentul European, Consiliu, Comitetul Economic și Social European și Comitetul Regiunilor intitulată „O strategie europeană privind datele”, COM(2020) 66 final din 19.2.2020</w:t>
      </w:r>
      <w:r w:rsidRPr="00581A4E">
        <w:rPr>
          <w:sz w:val="18"/>
        </w:rPr>
        <w:t>.</w:t>
      </w:r>
    </w:p>
  </w:footnote>
  <w:footnote w:id="51">
    <w:p w14:paraId="1DB88380" w14:textId="77777777" w:rsidR="00641AD3" w:rsidRPr="00581A4E" w:rsidRDefault="00641AD3" w:rsidP="000A3A97">
      <w:pPr>
        <w:pStyle w:val="FootnoteText"/>
      </w:pPr>
      <w:r w:rsidRPr="00581A4E">
        <w:rPr>
          <w:rStyle w:val="FootnoteReference"/>
        </w:rPr>
        <w:footnoteRef/>
      </w:r>
      <w:r w:rsidRPr="00581A4E">
        <w:tab/>
      </w:r>
      <w:r w:rsidRPr="0000618A">
        <w:t>COM(2021) 206 final</w:t>
      </w:r>
      <w:r w:rsidRPr="00581A4E">
        <w:t>.</w:t>
      </w:r>
    </w:p>
  </w:footnote>
  <w:footnote w:id="52">
    <w:p w14:paraId="4A9997C5" w14:textId="77777777" w:rsidR="00641AD3" w:rsidRPr="00581A4E" w:rsidRDefault="00641AD3" w:rsidP="000A3A97">
      <w:pPr>
        <w:pStyle w:val="FootnoteText"/>
      </w:pPr>
      <w:r w:rsidRPr="00581A4E">
        <w:rPr>
          <w:rStyle w:val="FootnoteReference"/>
        </w:rPr>
        <w:footnoteRef/>
      </w:r>
      <w:r w:rsidRPr="00581A4E">
        <w:tab/>
      </w:r>
      <w:r w:rsidRPr="0000618A">
        <w:t>Regulamentul (UE) 2022/2065 al Parlamentului European și al Consiliului din 19 octombrie 2022 privind o piață unică pentru serviciile digitale și de modificare a Directivei 2000/31/CE (Regulamentul privind serviciile digitale) (JO L 277, 27.10.2022, p. 1).</w:t>
      </w:r>
    </w:p>
  </w:footnote>
  <w:footnote w:id="53">
    <w:p w14:paraId="01604B58" w14:textId="77777777" w:rsidR="00641AD3" w:rsidRPr="00581A4E" w:rsidRDefault="00641AD3" w:rsidP="000A3A97">
      <w:pPr>
        <w:spacing w:before="0" w:after="0"/>
        <w:ind w:left="720" w:hanging="720"/>
        <w:rPr>
          <w:sz w:val="18"/>
          <w:szCs w:val="18"/>
        </w:rPr>
      </w:pPr>
      <w:r w:rsidRPr="00581A4E">
        <w:rPr>
          <w:rStyle w:val="FootnoteReference"/>
        </w:rPr>
        <w:footnoteRef/>
      </w:r>
      <w:r w:rsidRPr="00581A4E">
        <w:tab/>
      </w:r>
      <w:r w:rsidRPr="0000618A">
        <w:rPr>
          <w:sz w:val="20"/>
          <w:szCs w:val="20"/>
        </w:rPr>
        <w:t>Comisia Europeană, Direcția Generală Educație, Tineret, Sport și Cultură – Orientări în materie de etică privind utilizarea inteligenței artificiale (IA) și a datelor în procesul de predare și învățare pentru cadrele didactice, Oficiul pentru Publicații al Uniunii Europene, 2022, https://data.europa.eu/doi/10.2766/153756.</w:t>
      </w:r>
    </w:p>
  </w:footnote>
  <w:footnote w:id="54">
    <w:p w14:paraId="66371C39" w14:textId="77777777" w:rsidR="00641AD3" w:rsidRPr="00581A4E" w:rsidRDefault="00641AD3" w:rsidP="000A3A97">
      <w:pPr>
        <w:spacing w:before="0" w:after="0"/>
        <w:ind w:left="720" w:hanging="720"/>
        <w:rPr>
          <w:rStyle w:val="Hyperlink"/>
          <w:rFonts w:ascii="Calibri" w:eastAsia="Calibri" w:hAnsi="Calibri" w:cs="Calibri"/>
        </w:rPr>
      </w:pPr>
      <w:r w:rsidRPr="00581A4E">
        <w:rPr>
          <w:rStyle w:val="FootnoteReference"/>
        </w:rPr>
        <w:footnoteRef/>
      </w:r>
      <w:r w:rsidRPr="00581A4E">
        <w:tab/>
      </w:r>
      <w:r w:rsidRPr="0000618A">
        <w:rPr>
          <w:sz w:val="20"/>
          <w:szCs w:val="20"/>
        </w:rPr>
        <w:t>https://commission.europa.eu/strategy-and-policy/priorities-2019-2024/europe-fit-digital-age/european-digital-identity_ro</w:t>
      </w:r>
    </w:p>
  </w:footnote>
  <w:footnote w:id="55">
    <w:p w14:paraId="6B42ABD2" w14:textId="77777777" w:rsidR="00641AD3" w:rsidRPr="00581A4E" w:rsidRDefault="00641AD3" w:rsidP="00D978DC">
      <w:pPr>
        <w:pStyle w:val="FootnoteText"/>
        <w:rPr>
          <w:sz w:val="18"/>
          <w:szCs w:val="18"/>
        </w:rPr>
      </w:pPr>
      <w:r w:rsidRPr="00581A4E">
        <w:rPr>
          <w:rStyle w:val="FootnoteReference"/>
        </w:rPr>
        <w:footnoteRef/>
      </w:r>
      <w:r w:rsidRPr="00581A4E">
        <w:tab/>
      </w:r>
      <w:r w:rsidRPr="0000618A">
        <w:t>Recomandarea Consiliului din 24 noiembrie 2020 privind educația și formarea profesională (EFP) pentru competitivitate durabilă, echitate socială și reziliență (JO C 417, 2.12.2020, p. 1).</w:t>
      </w:r>
    </w:p>
  </w:footnote>
  <w:footnote w:id="56">
    <w:p w14:paraId="77C678EB" w14:textId="77777777" w:rsidR="00641AD3" w:rsidRPr="00581A4E" w:rsidRDefault="00641AD3" w:rsidP="00D978DC">
      <w:pPr>
        <w:pStyle w:val="FootnoteText"/>
      </w:pPr>
      <w:r w:rsidRPr="00581A4E">
        <w:rPr>
          <w:rStyle w:val="FootnoteReference"/>
        </w:rPr>
        <w:footnoteRef/>
      </w:r>
      <w:r w:rsidRPr="00581A4E">
        <w:tab/>
        <w:t>Aprobată la 30 noiembrie 2020.</w:t>
      </w:r>
    </w:p>
  </w:footnote>
  <w:footnote w:id="57">
    <w:p w14:paraId="1419C34A" w14:textId="4C5BF1CD" w:rsidR="00641AD3" w:rsidRPr="00581A4E" w:rsidRDefault="00641AD3" w:rsidP="00153CA9">
      <w:pPr>
        <w:pStyle w:val="FootnoteText"/>
        <w:rPr>
          <w:sz w:val="18"/>
          <w:szCs w:val="18"/>
        </w:rPr>
      </w:pPr>
      <w:r w:rsidRPr="00581A4E">
        <w:rPr>
          <w:rStyle w:val="FootnoteReference"/>
        </w:rPr>
        <w:footnoteRef/>
      </w:r>
      <w:r w:rsidRPr="00581A4E">
        <w:tab/>
      </w:r>
      <w:hyperlink r:id="rId11" w:history="1">
        <w:r w:rsidRPr="0000618A">
          <w:rPr>
            <w:rStyle w:val="Hyperlink"/>
          </w:rPr>
          <w:t>Inițiativa privind universitățile europene |</w:t>
        </w:r>
      </w:hyperlink>
      <w:hyperlink r:id="rId12" w:history="1">
        <w:r w:rsidRPr="0000618A">
          <w:rPr>
            <w:rStyle w:val="Hyperlink"/>
          </w:rPr>
          <w:t>Spațiul european al educației (europa.eu)</w:t>
        </w:r>
      </w:hyperlink>
      <w:r w:rsidRPr="00581A4E">
        <w:t>.</w:t>
      </w:r>
    </w:p>
  </w:footnote>
  <w:footnote w:id="58">
    <w:p w14:paraId="3B65A15C" w14:textId="77777777" w:rsidR="00641AD3" w:rsidRPr="00581A4E" w:rsidRDefault="00641AD3" w:rsidP="00AD7F39">
      <w:pPr>
        <w:pStyle w:val="FootnoteText"/>
      </w:pPr>
      <w:r w:rsidRPr="00581A4E">
        <w:rPr>
          <w:rStyle w:val="FootnoteReference"/>
        </w:rPr>
        <w:footnoteRef/>
      </w:r>
      <w:r w:rsidRPr="00581A4E">
        <w:tab/>
      </w:r>
      <w:r w:rsidRPr="0000618A">
        <w:t>Recomandarea Consiliului din 19 decembrie 2016 privind parcursurile de actualizare a competențelor: noi oportunități pentru adulți (JO C 484, 24.12.2016, p. 1).</w:t>
      </w:r>
    </w:p>
  </w:footnote>
  <w:footnote w:id="59">
    <w:p w14:paraId="44EC1818" w14:textId="77777777" w:rsidR="00641AD3" w:rsidRPr="00581A4E" w:rsidRDefault="00641AD3" w:rsidP="00AD7F39">
      <w:pPr>
        <w:pStyle w:val="FootnoteText"/>
        <w:rPr>
          <w:sz w:val="18"/>
          <w:szCs w:val="18"/>
        </w:rPr>
      </w:pPr>
      <w:r w:rsidRPr="00581A4E">
        <w:rPr>
          <w:rStyle w:val="FootnoteReference"/>
        </w:rPr>
        <w:footnoteRef/>
      </w:r>
      <w:r w:rsidRPr="00581A4E">
        <w:tab/>
      </w:r>
      <w:r w:rsidRPr="0000618A">
        <w:t>JO C 193, 9.6.2020, p. 11</w:t>
      </w:r>
      <w:r w:rsidRPr="00581A4E">
        <w:rPr>
          <w:sz w:val="18"/>
        </w:rPr>
        <w:t xml:space="preserve">. </w:t>
      </w:r>
    </w:p>
  </w:footnote>
  <w:footnote w:id="60">
    <w:p w14:paraId="30652A1C" w14:textId="77777777" w:rsidR="00641AD3" w:rsidRPr="00581A4E" w:rsidRDefault="00641AD3" w:rsidP="00AD7F39">
      <w:pPr>
        <w:pStyle w:val="FootnoteText"/>
        <w:rPr>
          <w:sz w:val="18"/>
          <w:szCs w:val="18"/>
        </w:rPr>
      </w:pPr>
      <w:r w:rsidRPr="00581A4E">
        <w:rPr>
          <w:rStyle w:val="FootnoteReference"/>
        </w:rPr>
        <w:footnoteRef/>
      </w:r>
      <w:r w:rsidRPr="00581A4E">
        <w:tab/>
      </w:r>
      <w:r w:rsidRPr="0000618A">
        <w:t>Recomandarea Consiliului din 29 noiembrie 2021 privind abordările bazate pe învățarea mixtă pentru un învățământ primar și secundar de înaltă calitate și incluziv (JO C 504, 14.12.2021, p. 21).</w:t>
      </w:r>
    </w:p>
  </w:footnote>
  <w:footnote w:id="61">
    <w:p w14:paraId="340D4266" w14:textId="77777777" w:rsidR="00641AD3" w:rsidRPr="00581A4E" w:rsidRDefault="00641AD3" w:rsidP="00AD7F39">
      <w:pPr>
        <w:pStyle w:val="FootnoteText"/>
      </w:pPr>
      <w:r w:rsidRPr="00581A4E">
        <w:rPr>
          <w:rStyle w:val="FootnoteReference"/>
        </w:rPr>
        <w:footnoteRef/>
      </w:r>
      <w:r w:rsidRPr="00581A4E">
        <w:tab/>
        <w:t>Recomandare a Consiliului din 16 iunie 2022 privind învățarea pentru tranziția verde și dezvoltarea durabilă (JO C 243, 27.6.2022, p. 1).</w:t>
      </w:r>
    </w:p>
  </w:footnote>
  <w:footnote w:id="62">
    <w:p w14:paraId="7BB90ECE" w14:textId="77777777" w:rsidR="00641AD3" w:rsidRPr="00581A4E" w:rsidRDefault="00641AD3" w:rsidP="00F2278B">
      <w:pPr>
        <w:pStyle w:val="FootnoteText"/>
      </w:pPr>
      <w:r w:rsidRPr="00581A4E">
        <w:rPr>
          <w:rStyle w:val="FootnoteReference"/>
        </w:rPr>
        <w:footnoteRef/>
      </w:r>
      <w:r w:rsidRPr="00581A4E">
        <w:tab/>
        <w:t>Directiva (UE) 2016/2102 a Parlamentului European și a Consiliului din 26 octombrie 2016 privind accesibilitatea site-urilor web și a aplicațiilor mobile ale organismelor din sectorul public (JO L 327, 2.12.2016, p. 1).</w:t>
      </w:r>
    </w:p>
  </w:footnote>
  <w:footnote w:id="63">
    <w:p w14:paraId="0579E72E" w14:textId="77777777" w:rsidR="00641AD3" w:rsidRPr="00581A4E" w:rsidRDefault="00641AD3" w:rsidP="00F2278B">
      <w:pPr>
        <w:pStyle w:val="FootnoteText"/>
      </w:pPr>
      <w:r w:rsidRPr="00581A4E">
        <w:rPr>
          <w:rStyle w:val="FootnoteReference"/>
        </w:rPr>
        <w:footnoteRef/>
      </w:r>
      <w:r w:rsidRPr="00581A4E">
        <w:tab/>
        <w:t>Directiva (UE) 2019/882 a Parlamentului European și a Consiliului din 17 aprilie 2019 privind cerințele de accesibilitate aplicabile produselor și serviciilor (JO L 151, 7.6.2019, p. 70).</w:t>
      </w:r>
    </w:p>
  </w:footnote>
  <w:footnote w:id="64">
    <w:p w14:paraId="30A68A62" w14:textId="078DF433" w:rsidR="00641AD3" w:rsidRPr="00581A4E" w:rsidRDefault="00641AD3">
      <w:pPr>
        <w:pStyle w:val="FootnoteText"/>
      </w:pPr>
      <w:r w:rsidRPr="00581A4E">
        <w:rPr>
          <w:rStyle w:val="FootnoteReference"/>
        </w:rPr>
        <w:footnoteRef/>
      </w:r>
      <w:r w:rsidRPr="00581A4E">
        <w:tab/>
        <w:t>Rezoluția Consiliului privind structura de guvernanță a Cadrului strategic pentru cooperarea europeană în domeniul educației și formării în perspectiva realizării și dezvoltării în continuare a Spațiului european al educației (2021-2030) (JO C 497, 10.12.2021, p. 1).</w:t>
      </w:r>
    </w:p>
  </w:footnote>
  <w:footnote w:id="65">
    <w:p w14:paraId="00178DB3" w14:textId="77777777" w:rsidR="00641AD3" w:rsidRPr="00581A4E" w:rsidRDefault="00641AD3">
      <w:pPr>
        <w:pStyle w:val="FootnoteText"/>
      </w:pPr>
      <w:r w:rsidRPr="00581A4E">
        <w:rPr>
          <w:rStyle w:val="FootnoteReference"/>
        </w:rPr>
        <w:footnoteRef/>
      </w:r>
      <w:r w:rsidRPr="00581A4E">
        <w:tab/>
        <w:t>Decizia Comisiei din 11 octombrie 2022 de instituire a Grupului de experți „Comitetul pentru deceniul digital”, C(2022) 7141 final.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4178F7F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1B2AC9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63632A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6C0B1A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0C184F6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018849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5F0A04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6892130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6495604"/>
    <w:multiLevelType w:val="multilevel"/>
    <w:tmpl w:val="9F60CF46"/>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BA53D75"/>
    <w:multiLevelType w:val="multilevel"/>
    <w:tmpl w:val="A17E0B58"/>
    <w:name w:val="ListAbcNumbering"/>
    <w:lvl w:ilvl="0">
      <w:start w:val="1"/>
      <w:numFmt w:val="lowerLetter"/>
      <w:pStyle w:val="Listabc"/>
      <w:lvlText w:val="(%1)"/>
      <w:lvlJc w:val="left"/>
      <w:pPr>
        <w:ind w:left="482" w:hanging="482"/>
      </w:pPr>
      <w:rPr>
        <w:rFonts w:hint="default"/>
      </w:rPr>
    </w:lvl>
    <w:lvl w:ilvl="1">
      <w:start w:val="1"/>
      <w:numFmt w:val="lowerRoman"/>
      <w:pStyle w:val="ListabcLevel2"/>
      <w:lvlText w:val="(%2)"/>
      <w:lvlJc w:val="left"/>
      <w:pPr>
        <w:ind w:left="964" w:hanging="482"/>
      </w:pPr>
      <w:rPr>
        <w:rFonts w:hint="default"/>
        <w:color w:val="auto"/>
      </w:rPr>
    </w:lvl>
    <w:lvl w:ilvl="2">
      <w:start w:val="1"/>
      <w:numFmt w:val="bullet"/>
      <w:pStyle w:val="ListabcLevel3"/>
      <w:lvlText w:val="—"/>
      <w:lvlJc w:val="left"/>
      <w:pPr>
        <w:ind w:left="1446" w:hanging="482"/>
      </w:pPr>
      <w:rPr>
        <w:rFonts w:ascii="Calibri" w:hAnsi="Calibri" w:hint="default"/>
        <w:color w:val="auto"/>
      </w:rPr>
    </w:lvl>
    <w:lvl w:ilvl="3">
      <w:start w:val="1"/>
      <w:numFmt w:val="bullet"/>
      <w:pStyle w:val="ListabcLevel4"/>
      <w:lvlText w:val="—"/>
      <w:lvlJc w:val="left"/>
      <w:pPr>
        <w:ind w:left="1928" w:hanging="482"/>
      </w:pPr>
      <w:rPr>
        <w:rFonts w:ascii="Calibri" w:hAnsi="Calibri" w:hint="default"/>
        <w:color w:val="auto"/>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176726A"/>
    <w:multiLevelType w:val="hybridMultilevel"/>
    <w:tmpl w:val="79729880"/>
    <w:lvl w:ilvl="0" w:tplc="D9AAEAE0">
      <w:start w:val="1"/>
      <w:numFmt w:val="bullet"/>
      <w:pStyle w:val="BulletedList"/>
      <w:lvlText w:val=""/>
      <w:lvlJc w:val="left"/>
      <w:pPr>
        <w:ind w:left="680" w:hanging="340"/>
      </w:pPr>
      <w:rPr>
        <w:rFonts w:ascii="Symbol" w:hAnsi="Symbol" w:hint="default"/>
        <w:color w:val="4F81BD" w:themeColor="accent1"/>
      </w:rPr>
    </w:lvl>
    <w:lvl w:ilvl="1" w:tplc="3DD45682">
      <w:start w:val="1"/>
      <w:numFmt w:val="bullet"/>
      <w:lvlText w:val="o"/>
      <w:lvlJc w:val="left"/>
      <w:pPr>
        <w:tabs>
          <w:tab w:val="num" w:pos="680"/>
        </w:tabs>
        <w:ind w:left="1021" w:hanging="341"/>
      </w:pPr>
      <w:rPr>
        <w:rFonts w:ascii="Courier New" w:hAnsi="Courier New" w:hint="default"/>
      </w:rPr>
    </w:lvl>
    <w:lvl w:ilvl="2" w:tplc="75A6C844">
      <w:start w:val="1"/>
      <w:numFmt w:val="bullet"/>
      <w:lvlText w:val="‒"/>
      <w:lvlJc w:val="left"/>
      <w:pPr>
        <w:tabs>
          <w:tab w:val="num" w:pos="1021"/>
        </w:tabs>
        <w:ind w:left="1361" w:hanging="340"/>
      </w:pPr>
      <w:rPr>
        <w:rFonts w:ascii="Calibri" w:hAnsi="Calibri" w:hint="default"/>
      </w:rPr>
    </w:lvl>
    <w:lvl w:ilvl="3" w:tplc="DDBC079E">
      <w:start w:val="1"/>
      <w:numFmt w:val="bullet"/>
      <w:lvlText w:val="‒"/>
      <w:lvlJc w:val="left"/>
      <w:pPr>
        <w:tabs>
          <w:tab w:val="num" w:pos="1361"/>
        </w:tabs>
        <w:ind w:left="1701" w:hanging="340"/>
      </w:pPr>
      <w:rPr>
        <w:rFonts w:ascii="Calibri" w:hAnsi="Calibri" w:hint="default"/>
      </w:rPr>
    </w:lvl>
    <w:lvl w:ilvl="4" w:tplc="FA7AE4F4">
      <w:start w:val="1"/>
      <w:numFmt w:val="bullet"/>
      <w:lvlText w:val="‒"/>
      <w:lvlJc w:val="left"/>
      <w:pPr>
        <w:tabs>
          <w:tab w:val="num" w:pos="1701"/>
        </w:tabs>
        <w:ind w:left="2041" w:hanging="340"/>
      </w:pPr>
      <w:rPr>
        <w:rFonts w:ascii="Calibri" w:hAnsi="Calibri"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num>
  <w:num w:numId="2">
    <w:abstractNumId w:val="10"/>
  </w:num>
  <w:num w:numId="3">
    <w:abstractNumId w:val="8"/>
  </w:num>
  <w:num w:numId="4">
    <w:abstractNumId w:val="22"/>
    <w:lvlOverride w:ilvl="0">
      <w:startOverride w:val="1"/>
    </w:lvlOverride>
  </w:num>
  <w:num w:numId="5">
    <w:abstractNumId w:val="22"/>
    <w:lvlOverride w:ilvl="0">
      <w:startOverride w:val="1"/>
    </w:lvlOverride>
  </w:num>
  <w:num w:numId="6">
    <w:abstractNumId w:val="22"/>
    <w:lvlOverride w:ilvl="0">
      <w:startOverride w:val="1"/>
    </w:lvlOverride>
  </w:num>
  <w:num w:numId="7">
    <w:abstractNumId w:val="22"/>
    <w:lvlOverride w:ilvl="0">
      <w:startOverride w:val="1"/>
    </w:lvlOverride>
  </w:num>
  <w:num w:numId="8">
    <w:abstractNumId w:val="22"/>
    <w:lvlOverride w:ilvl="0">
      <w:startOverride w:val="1"/>
    </w:lvlOverride>
  </w:num>
  <w:num w:numId="9">
    <w:abstractNumId w:val="22"/>
    <w:lvlOverride w:ilvl="0">
      <w:startOverride w:val="1"/>
    </w:lvlOverride>
  </w:num>
  <w:num w:numId="10">
    <w:abstractNumId w:val="14"/>
    <w:lvlOverride w:ilvl="0">
      <w:startOverride w:val="1"/>
    </w:lvlOverride>
  </w:num>
  <w:num w:numId="11">
    <w:abstractNumId w:val="7"/>
  </w:num>
  <w:num w:numId="12">
    <w:abstractNumId w:val="5"/>
  </w:num>
  <w:num w:numId="13">
    <w:abstractNumId w:val="4"/>
  </w:num>
  <w:num w:numId="14">
    <w:abstractNumId w:val="3"/>
  </w:num>
  <w:num w:numId="15">
    <w:abstractNumId w:val="6"/>
  </w:num>
  <w:num w:numId="16">
    <w:abstractNumId w:val="2"/>
  </w:num>
  <w:num w:numId="17">
    <w:abstractNumId w:val="1"/>
  </w:num>
  <w:num w:numId="18">
    <w:abstractNumId w:val="0"/>
  </w:num>
  <w:num w:numId="19">
    <w:abstractNumId w:val="22"/>
  </w:num>
  <w:num w:numId="20">
    <w:abstractNumId w:val="14"/>
  </w:num>
  <w:num w:numId="21">
    <w:abstractNumId w:val="24"/>
  </w:num>
  <w:num w:numId="22">
    <w:abstractNumId w:val="13"/>
  </w:num>
  <w:num w:numId="23">
    <w:abstractNumId w:val="15"/>
  </w:num>
  <w:num w:numId="24">
    <w:abstractNumId w:val="16"/>
  </w:num>
  <w:num w:numId="25">
    <w:abstractNumId w:val="11"/>
  </w:num>
  <w:num w:numId="26">
    <w:abstractNumId w:val="23"/>
  </w:num>
  <w:num w:numId="27">
    <w:abstractNumId w:val="9"/>
  </w:num>
  <w:num w:numId="28">
    <w:abstractNumId w:val="17"/>
  </w:num>
  <w:num w:numId="29">
    <w:abstractNumId w:val="20"/>
  </w:num>
  <w:num w:numId="30">
    <w:abstractNumId w:val="21"/>
  </w:num>
  <w:num w:numId="31">
    <w:abstractNumId w:val="12"/>
  </w:num>
  <w:num w:numId="32">
    <w:abstractNumId w:val="19"/>
  </w:num>
  <w:num w:numId="33">
    <w:abstractNumId w:val="2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en-GB" w:vendorID="64" w:dllVersion="6" w:nlCheck="1" w:checkStyle="1"/>
  <w:activeWritingStyle w:appName="MSWord" w:lang="en-IE" w:vendorID="64" w:dllVersion="6" w:nlCheck="1" w:checkStyle="1"/>
  <w:activeWritingStyle w:appName="MSWord" w:lang="es-ES_tradnl" w:vendorID="64" w:dllVersion="6" w:nlCheck="1" w:checkStyle="0"/>
  <w:activeWritingStyle w:appName="MSWord" w:lang="pt-PT" w:vendorID="64" w:dllVersion="6" w:nlCheck="1" w:checkStyle="0"/>
  <w:activeWritingStyle w:appName="MSWord" w:lang="it-IT" w:vendorID="64" w:dllVersion="6" w:nlCheck="1" w:checkStyle="0"/>
  <w:activeWritingStyle w:appName="MSWord" w:lang="en-US" w:vendorID="64" w:dllVersion="6" w:nlCheck="1" w:checkStyle="1"/>
  <w:activeWritingStyle w:appName="MSWord" w:lang="es-ES_tradnl" w:vendorID="64" w:dllVersion="0" w:nlCheck="1" w:checkStyle="0"/>
  <w:activeWritingStyle w:appName="MSWord" w:lang="pt-PT" w:vendorID="64" w:dllVersion="0" w:nlCheck="1" w:checkStyle="0"/>
  <w:activeWritingStyle w:appName="MSWord" w:lang="en-US" w:vendorID="64" w:dllVersion="0" w:nlCheck="1" w:checkStyle="0"/>
  <w:activeWritingStyle w:appName="MSWord" w:lang="fr-BE" w:vendorID="64" w:dllVersion="6" w:nlCheck="1" w:checkStyle="0"/>
  <w:activeWritingStyle w:appName="MSWord" w:lang="fr-BE" w:vendorID="64" w:dllVersion="0" w:nlCheck="1" w:checkStyle="0"/>
  <w:activeWritingStyle w:appName="MSWord" w:lang="en-GB" w:vendorID="64" w:dllVersion="131078" w:nlCheck="1" w:checkStyle="1"/>
  <w:activeWritingStyle w:appName="MSWord" w:lang="fr-BE" w:vendorID="64" w:dllVersion="131078" w:nlCheck="1" w:checkStyle="0"/>
  <w:activeWritingStyle w:appName="MSWord" w:lang="pt-PT" w:vendorID="64" w:dllVersion="131078" w:nlCheck="1" w:checkStyle="0"/>
  <w:activeWritingStyle w:appName="MSWord" w:lang="es-ES" w:vendorID="64" w:dllVersion="131078" w:nlCheck="1" w:checkStyle="0"/>
  <w:activeWritingStyle w:appName="MSWord" w:lang="it-IT" w:vendorID="64" w:dllVersion="131078"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3-04-27 12:50:0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6EC4559-7273-4163-9FC7-D4A0B4BF393E"/>
    <w:docVar w:name="LW_COVERPAGE_TYPE" w:val="1"/>
    <w:docVar w:name="LW_CROSSREFERENCE" w:val="{SWD(2023) 205 final}"/>
    <w:docVar w:name="LW_DocType" w:val="COM"/>
    <w:docVar w:name="LW_EMISSION" w:val="18.4.2023"/>
    <w:docVar w:name="LW_EMISSION_ISODATE" w:val="2023-04-18"/>
    <w:docVar w:name="LW_EMISSION_LOCATION" w:val="STR"/>
    <w:docVar w:name="LW_EMISSION_PREFIX" w:val="Strasbourg,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99"/>
    <w:docVar w:name="LW_REF.II.NEW.CP_YEAR" w:val="2023"/>
    <w:docVar w:name="LW_REF.INST.NEW" w:val="COM"/>
    <w:docVar w:name="LW_REF.INST.NEW_ADOPTED" w:val="final"/>
    <w:docVar w:name="LW_REF.INST.NEW_TEXT" w:val="(2023) 20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factorii favorizanți esențiali pentru succesul educației și formării digitale"/>
    <w:docVar w:name="LW_TYPE.DOC.CP" w:val="RECOMANDARE A CONSILIULUI"/>
    <w:docVar w:name="LwApiVersions" w:val="LW4CoDe 1.23.2.0; LW 8.0, Build 20211117"/>
  </w:docVars>
  <w:rsids>
    <w:rsidRoot w:val="00AD7F39"/>
    <w:rsid w:val="00000794"/>
    <w:rsid w:val="0000618A"/>
    <w:rsid w:val="0000754C"/>
    <w:rsid w:val="00016D7D"/>
    <w:rsid w:val="00023B95"/>
    <w:rsid w:val="00024770"/>
    <w:rsid w:val="000322C7"/>
    <w:rsid w:val="00036FEF"/>
    <w:rsid w:val="00040858"/>
    <w:rsid w:val="00053B88"/>
    <w:rsid w:val="00061779"/>
    <w:rsid w:val="00062203"/>
    <w:rsid w:val="00067B05"/>
    <w:rsid w:val="00073BB6"/>
    <w:rsid w:val="00075C3F"/>
    <w:rsid w:val="00076139"/>
    <w:rsid w:val="00077F7F"/>
    <w:rsid w:val="000848CF"/>
    <w:rsid w:val="0008512F"/>
    <w:rsid w:val="0008573B"/>
    <w:rsid w:val="0008585B"/>
    <w:rsid w:val="00085A67"/>
    <w:rsid w:val="000906A3"/>
    <w:rsid w:val="00091AC9"/>
    <w:rsid w:val="0009404D"/>
    <w:rsid w:val="000A0E8F"/>
    <w:rsid w:val="000A21B8"/>
    <w:rsid w:val="000A3A97"/>
    <w:rsid w:val="000A3D02"/>
    <w:rsid w:val="000A4F3B"/>
    <w:rsid w:val="000A7213"/>
    <w:rsid w:val="000B1A75"/>
    <w:rsid w:val="000B503B"/>
    <w:rsid w:val="000C008E"/>
    <w:rsid w:val="000C08F0"/>
    <w:rsid w:val="000C2C7A"/>
    <w:rsid w:val="000C3A37"/>
    <w:rsid w:val="000D0C5E"/>
    <w:rsid w:val="000D6173"/>
    <w:rsid w:val="000E092E"/>
    <w:rsid w:val="000E599D"/>
    <w:rsid w:val="000F1304"/>
    <w:rsid w:val="000F1B04"/>
    <w:rsid w:val="000F4786"/>
    <w:rsid w:val="000F577D"/>
    <w:rsid w:val="000F57F5"/>
    <w:rsid w:val="00104697"/>
    <w:rsid w:val="0010560C"/>
    <w:rsid w:val="001065F5"/>
    <w:rsid w:val="00110D8B"/>
    <w:rsid w:val="00112834"/>
    <w:rsid w:val="0011512A"/>
    <w:rsid w:val="0012015E"/>
    <w:rsid w:val="00120D82"/>
    <w:rsid w:val="00121387"/>
    <w:rsid w:val="001238EF"/>
    <w:rsid w:val="00124D52"/>
    <w:rsid w:val="00124E3A"/>
    <w:rsid w:val="00126171"/>
    <w:rsid w:val="00127081"/>
    <w:rsid w:val="0013450E"/>
    <w:rsid w:val="00144D1E"/>
    <w:rsid w:val="001457C6"/>
    <w:rsid w:val="0014677E"/>
    <w:rsid w:val="001511F1"/>
    <w:rsid w:val="001532EF"/>
    <w:rsid w:val="00153788"/>
    <w:rsid w:val="00153CA9"/>
    <w:rsid w:val="00155EC2"/>
    <w:rsid w:val="001601CD"/>
    <w:rsid w:val="0016092E"/>
    <w:rsid w:val="0016291F"/>
    <w:rsid w:val="00162E7D"/>
    <w:rsid w:val="00170B55"/>
    <w:rsid w:val="00174A71"/>
    <w:rsid w:val="001779C7"/>
    <w:rsid w:val="001818E8"/>
    <w:rsid w:val="001837C1"/>
    <w:rsid w:val="00183ABE"/>
    <w:rsid w:val="0018789D"/>
    <w:rsid w:val="001915CD"/>
    <w:rsid w:val="00192F9B"/>
    <w:rsid w:val="001949A2"/>
    <w:rsid w:val="00195997"/>
    <w:rsid w:val="00197613"/>
    <w:rsid w:val="001A21A6"/>
    <w:rsid w:val="001A4404"/>
    <w:rsid w:val="001B08A7"/>
    <w:rsid w:val="001B092C"/>
    <w:rsid w:val="001B33ED"/>
    <w:rsid w:val="001B5E80"/>
    <w:rsid w:val="001B6725"/>
    <w:rsid w:val="001C635B"/>
    <w:rsid w:val="001D23B5"/>
    <w:rsid w:val="001D743C"/>
    <w:rsid w:val="001E7ED6"/>
    <w:rsid w:val="001F2C42"/>
    <w:rsid w:val="001F4965"/>
    <w:rsid w:val="0020362D"/>
    <w:rsid w:val="002127A2"/>
    <w:rsid w:val="00213594"/>
    <w:rsid w:val="002146E4"/>
    <w:rsid w:val="0021485B"/>
    <w:rsid w:val="002240B1"/>
    <w:rsid w:val="002255BE"/>
    <w:rsid w:val="002274A4"/>
    <w:rsid w:val="0023101A"/>
    <w:rsid w:val="00232AAA"/>
    <w:rsid w:val="00233DC7"/>
    <w:rsid w:val="0024077E"/>
    <w:rsid w:val="0024108A"/>
    <w:rsid w:val="00242FF7"/>
    <w:rsid w:val="0024340F"/>
    <w:rsid w:val="00243DFB"/>
    <w:rsid w:val="00246ED5"/>
    <w:rsid w:val="00247779"/>
    <w:rsid w:val="002516C2"/>
    <w:rsid w:val="00252986"/>
    <w:rsid w:val="00260707"/>
    <w:rsid w:val="00272B12"/>
    <w:rsid w:val="00273E6E"/>
    <w:rsid w:val="002766CB"/>
    <w:rsid w:val="00276D2A"/>
    <w:rsid w:val="00277E38"/>
    <w:rsid w:val="00285BEE"/>
    <w:rsid w:val="00287EEA"/>
    <w:rsid w:val="00291D83"/>
    <w:rsid w:val="00292DAB"/>
    <w:rsid w:val="0029533F"/>
    <w:rsid w:val="002969AE"/>
    <w:rsid w:val="002A0ECA"/>
    <w:rsid w:val="002A101C"/>
    <w:rsid w:val="002A210C"/>
    <w:rsid w:val="002A3A9C"/>
    <w:rsid w:val="002A760D"/>
    <w:rsid w:val="002B18A9"/>
    <w:rsid w:val="002B1A06"/>
    <w:rsid w:val="002B30AF"/>
    <w:rsid w:val="002B4470"/>
    <w:rsid w:val="002C5233"/>
    <w:rsid w:val="002C7121"/>
    <w:rsid w:val="002D41FD"/>
    <w:rsid w:val="002D636D"/>
    <w:rsid w:val="002E3D9A"/>
    <w:rsid w:val="002E4801"/>
    <w:rsid w:val="002E4909"/>
    <w:rsid w:val="002E5057"/>
    <w:rsid w:val="002E6468"/>
    <w:rsid w:val="002F0699"/>
    <w:rsid w:val="002F346A"/>
    <w:rsid w:val="002F7149"/>
    <w:rsid w:val="00306294"/>
    <w:rsid w:val="00310343"/>
    <w:rsid w:val="00311988"/>
    <w:rsid w:val="00325878"/>
    <w:rsid w:val="0033344A"/>
    <w:rsid w:val="00333D4B"/>
    <w:rsid w:val="0033550A"/>
    <w:rsid w:val="003374A8"/>
    <w:rsid w:val="00337B26"/>
    <w:rsid w:val="00340D1E"/>
    <w:rsid w:val="003417C6"/>
    <w:rsid w:val="00341A80"/>
    <w:rsid w:val="00354970"/>
    <w:rsid w:val="00360628"/>
    <w:rsid w:val="00360E81"/>
    <w:rsid w:val="003630AD"/>
    <w:rsid w:val="003643E8"/>
    <w:rsid w:val="003648DF"/>
    <w:rsid w:val="00365795"/>
    <w:rsid w:val="00366469"/>
    <w:rsid w:val="0036663E"/>
    <w:rsid w:val="0037004F"/>
    <w:rsid w:val="003742F2"/>
    <w:rsid w:val="003752C3"/>
    <w:rsid w:val="003776DD"/>
    <w:rsid w:val="00383C94"/>
    <w:rsid w:val="00384438"/>
    <w:rsid w:val="0039299C"/>
    <w:rsid w:val="003930AB"/>
    <w:rsid w:val="00394BC9"/>
    <w:rsid w:val="003976F5"/>
    <w:rsid w:val="003A005A"/>
    <w:rsid w:val="003A188C"/>
    <w:rsid w:val="003A1FCF"/>
    <w:rsid w:val="003A4495"/>
    <w:rsid w:val="003A69DD"/>
    <w:rsid w:val="003B3E48"/>
    <w:rsid w:val="003B5F7C"/>
    <w:rsid w:val="003B6FE6"/>
    <w:rsid w:val="003C14C1"/>
    <w:rsid w:val="003C37DD"/>
    <w:rsid w:val="003C43B0"/>
    <w:rsid w:val="003C4D38"/>
    <w:rsid w:val="003D5C42"/>
    <w:rsid w:val="003D61FD"/>
    <w:rsid w:val="003E1606"/>
    <w:rsid w:val="003F381E"/>
    <w:rsid w:val="003F666A"/>
    <w:rsid w:val="003F7A89"/>
    <w:rsid w:val="00411CB1"/>
    <w:rsid w:val="004125F0"/>
    <w:rsid w:val="00413601"/>
    <w:rsid w:val="00420B0D"/>
    <w:rsid w:val="00421BF3"/>
    <w:rsid w:val="00421C74"/>
    <w:rsid w:val="00422762"/>
    <w:rsid w:val="00423DAB"/>
    <w:rsid w:val="0042409B"/>
    <w:rsid w:val="004258A1"/>
    <w:rsid w:val="00425E9F"/>
    <w:rsid w:val="0042648E"/>
    <w:rsid w:val="00430EE3"/>
    <w:rsid w:val="004337E5"/>
    <w:rsid w:val="004421E3"/>
    <w:rsid w:val="00446741"/>
    <w:rsid w:val="00447D04"/>
    <w:rsid w:val="004515E9"/>
    <w:rsid w:val="00454504"/>
    <w:rsid w:val="004553B0"/>
    <w:rsid w:val="00455BE8"/>
    <w:rsid w:val="00456EE8"/>
    <w:rsid w:val="00460508"/>
    <w:rsid w:val="00463B74"/>
    <w:rsid w:val="00467DB9"/>
    <w:rsid w:val="00472884"/>
    <w:rsid w:val="0047473F"/>
    <w:rsid w:val="0047536B"/>
    <w:rsid w:val="00482B02"/>
    <w:rsid w:val="00484142"/>
    <w:rsid w:val="004936D2"/>
    <w:rsid w:val="004962A9"/>
    <w:rsid w:val="00497E68"/>
    <w:rsid w:val="004A22AD"/>
    <w:rsid w:val="004A483C"/>
    <w:rsid w:val="004A4F61"/>
    <w:rsid w:val="004B23E8"/>
    <w:rsid w:val="004B33D3"/>
    <w:rsid w:val="004B516C"/>
    <w:rsid w:val="004B64EC"/>
    <w:rsid w:val="004B651C"/>
    <w:rsid w:val="004B672D"/>
    <w:rsid w:val="004B6AF1"/>
    <w:rsid w:val="004C2C16"/>
    <w:rsid w:val="004C2F33"/>
    <w:rsid w:val="004D1A0E"/>
    <w:rsid w:val="004D3864"/>
    <w:rsid w:val="004E095E"/>
    <w:rsid w:val="004E1F20"/>
    <w:rsid w:val="004E429F"/>
    <w:rsid w:val="004E670C"/>
    <w:rsid w:val="004F6174"/>
    <w:rsid w:val="004F6D3A"/>
    <w:rsid w:val="0050083F"/>
    <w:rsid w:val="00500866"/>
    <w:rsid w:val="005021B9"/>
    <w:rsid w:val="00507A5C"/>
    <w:rsid w:val="0050FD61"/>
    <w:rsid w:val="00510D89"/>
    <w:rsid w:val="00512499"/>
    <w:rsid w:val="00514B72"/>
    <w:rsid w:val="005153F6"/>
    <w:rsid w:val="00517100"/>
    <w:rsid w:val="00523B50"/>
    <w:rsid w:val="00524541"/>
    <w:rsid w:val="00525A35"/>
    <w:rsid w:val="00534730"/>
    <w:rsid w:val="005365B9"/>
    <w:rsid w:val="00537054"/>
    <w:rsid w:val="00540016"/>
    <w:rsid w:val="005459C8"/>
    <w:rsid w:val="00554480"/>
    <w:rsid w:val="005551EF"/>
    <w:rsid w:val="005607DA"/>
    <w:rsid w:val="00565B33"/>
    <w:rsid w:val="0056762E"/>
    <w:rsid w:val="00573223"/>
    <w:rsid w:val="00580248"/>
    <w:rsid w:val="00581A4E"/>
    <w:rsid w:val="0058501A"/>
    <w:rsid w:val="00592ED8"/>
    <w:rsid w:val="005B1EB6"/>
    <w:rsid w:val="005B41FC"/>
    <w:rsid w:val="005B5DDF"/>
    <w:rsid w:val="005C14A5"/>
    <w:rsid w:val="005C2BAE"/>
    <w:rsid w:val="005C4913"/>
    <w:rsid w:val="005D22CE"/>
    <w:rsid w:val="005D5EAB"/>
    <w:rsid w:val="005F00E3"/>
    <w:rsid w:val="005F1C95"/>
    <w:rsid w:val="0060321B"/>
    <w:rsid w:val="00605BC3"/>
    <w:rsid w:val="00616451"/>
    <w:rsid w:val="00622870"/>
    <w:rsid w:val="006340DB"/>
    <w:rsid w:val="006367DE"/>
    <w:rsid w:val="00636F37"/>
    <w:rsid w:val="00640B6A"/>
    <w:rsid w:val="00641480"/>
    <w:rsid w:val="00641AD3"/>
    <w:rsid w:val="00643F53"/>
    <w:rsid w:val="006514A2"/>
    <w:rsid w:val="00652EA1"/>
    <w:rsid w:val="00654852"/>
    <w:rsid w:val="0065694E"/>
    <w:rsid w:val="00656EE6"/>
    <w:rsid w:val="00661402"/>
    <w:rsid w:val="00672C83"/>
    <w:rsid w:val="0067375C"/>
    <w:rsid w:val="006769C0"/>
    <w:rsid w:val="006809AC"/>
    <w:rsid w:val="0068217C"/>
    <w:rsid w:val="00684196"/>
    <w:rsid w:val="006A17FC"/>
    <w:rsid w:val="006A3964"/>
    <w:rsid w:val="006A49FF"/>
    <w:rsid w:val="006B391A"/>
    <w:rsid w:val="006B5123"/>
    <w:rsid w:val="006C06A7"/>
    <w:rsid w:val="006C1A1A"/>
    <w:rsid w:val="006C717B"/>
    <w:rsid w:val="006C756A"/>
    <w:rsid w:val="006E0006"/>
    <w:rsid w:val="006E501C"/>
    <w:rsid w:val="006E5121"/>
    <w:rsid w:val="006F463D"/>
    <w:rsid w:val="006F5174"/>
    <w:rsid w:val="00702B2E"/>
    <w:rsid w:val="00702B64"/>
    <w:rsid w:val="00704BEE"/>
    <w:rsid w:val="00705B29"/>
    <w:rsid w:val="00710A92"/>
    <w:rsid w:val="00711DEF"/>
    <w:rsid w:val="00712299"/>
    <w:rsid w:val="0072438E"/>
    <w:rsid w:val="0072718F"/>
    <w:rsid w:val="007273D4"/>
    <w:rsid w:val="00735935"/>
    <w:rsid w:val="0073785C"/>
    <w:rsid w:val="0074023C"/>
    <w:rsid w:val="007469B8"/>
    <w:rsid w:val="00750590"/>
    <w:rsid w:val="007547D5"/>
    <w:rsid w:val="0075532D"/>
    <w:rsid w:val="00755AC8"/>
    <w:rsid w:val="00770C1B"/>
    <w:rsid w:val="00773331"/>
    <w:rsid w:val="00773473"/>
    <w:rsid w:val="007738AA"/>
    <w:rsid w:val="00775352"/>
    <w:rsid w:val="007770AD"/>
    <w:rsid w:val="00781F2B"/>
    <w:rsid w:val="007845F8"/>
    <w:rsid w:val="007932EF"/>
    <w:rsid w:val="007957DE"/>
    <w:rsid w:val="00795BE1"/>
    <w:rsid w:val="007B0E73"/>
    <w:rsid w:val="007B48C3"/>
    <w:rsid w:val="007B5A79"/>
    <w:rsid w:val="007B5DDD"/>
    <w:rsid w:val="007B65DF"/>
    <w:rsid w:val="007C1DB8"/>
    <w:rsid w:val="007C3AE4"/>
    <w:rsid w:val="007C414D"/>
    <w:rsid w:val="007C6086"/>
    <w:rsid w:val="007C777D"/>
    <w:rsid w:val="007D06F7"/>
    <w:rsid w:val="007E04E3"/>
    <w:rsid w:val="007E05B0"/>
    <w:rsid w:val="007E5330"/>
    <w:rsid w:val="007E7BE9"/>
    <w:rsid w:val="007E7F7A"/>
    <w:rsid w:val="007F26D1"/>
    <w:rsid w:val="007F3035"/>
    <w:rsid w:val="0080056B"/>
    <w:rsid w:val="00803600"/>
    <w:rsid w:val="008072FF"/>
    <w:rsid w:val="00823294"/>
    <w:rsid w:val="008254FD"/>
    <w:rsid w:val="00831D80"/>
    <w:rsid w:val="00832C55"/>
    <w:rsid w:val="0083352A"/>
    <w:rsid w:val="008457D9"/>
    <w:rsid w:val="0084660A"/>
    <w:rsid w:val="00846A2B"/>
    <w:rsid w:val="00850D0E"/>
    <w:rsid w:val="00850EEF"/>
    <w:rsid w:val="00854721"/>
    <w:rsid w:val="00855CE8"/>
    <w:rsid w:val="0085601C"/>
    <w:rsid w:val="00860E66"/>
    <w:rsid w:val="008630C4"/>
    <w:rsid w:val="0086491A"/>
    <w:rsid w:val="00864C02"/>
    <w:rsid w:val="0086787F"/>
    <w:rsid w:val="00870341"/>
    <w:rsid w:val="00874D22"/>
    <w:rsid w:val="00880B73"/>
    <w:rsid w:val="00882017"/>
    <w:rsid w:val="00886831"/>
    <w:rsid w:val="0088792D"/>
    <w:rsid w:val="00891DFD"/>
    <w:rsid w:val="00892DF3"/>
    <w:rsid w:val="0089328C"/>
    <w:rsid w:val="008A2914"/>
    <w:rsid w:val="008A4C8D"/>
    <w:rsid w:val="008B1F71"/>
    <w:rsid w:val="008B4605"/>
    <w:rsid w:val="008B4B36"/>
    <w:rsid w:val="008B7777"/>
    <w:rsid w:val="008C149B"/>
    <w:rsid w:val="008C2744"/>
    <w:rsid w:val="008C5C32"/>
    <w:rsid w:val="008C5E1E"/>
    <w:rsid w:val="008C6FEF"/>
    <w:rsid w:val="008C798A"/>
    <w:rsid w:val="008D0849"/>
    <w:rsid w:val="008D2142"/>
    <w:rsid w:val="008D238C"/>
    <w:rsid w:val="008D2A75"/>
    <w:rsid w:val="008E3A04"/>
    <w:rsid w:val="008E4D8E"/>
    <w:rsid w:val="008E598C"/>
    <w:rsid w:val="008E793B"/>
    <w:rsid w:val="008F29A9"/>
    <w:rsid w:val="008F3CA5"/>
    <w:rsid w:val="009061A2"/>
    <w:rsid w:val="00911A42"/>
    <w:rsid w:val="0091308D"/>
    <w:rsid w:val="00913C79"/>
    <w:rsid w:val="00914AAE"/>
    <w:rsid w:val="00915D69"/>
    <w:rsid w:val="009168C7"/>
    <w:rsid w:val="00922DE1"/>
    <w:rsid w:val="009234DD"/>
    <w:rsid w:val="009234DF"/>
    <w:rsid w:val="00926673"/>
    <w:rsid w:val="00933F52"/>
    <w:rsid w:val="00940AFA"/>
    <w:rsid w:val="00943B2E"/>
    <w:rsid w:val="00950CCB"/>
    <w:rsid w:val="00950FB3"/>
    <w:rsid w:val="00953EC1"/>
    <w:rsid w:val="00963495"/>
    <w:rsid w:val="00963CBE"/>
    <w:rsid w:val="00965322"/>
    <w:rsid w:val="009747B9"/>
    <w:rsid w:val="00974893"/>
    <w:rsid w:val="0097691F"/>
    <w:rsid w:val="00980490"/>
    <w:rsid w:val="009814E4"/>
    <w:rsid w:val="00983759"/>
    <w:rsid w:val="00985969"/>
    <w:rsid w:val="00985FD2"/>
    <w:rsid w:val="00990B49"/>
    <w:rsid w:val="009918EB"/>
    <w:rsid w:val="00992A3C"/>
    <w:rsid w:val="00994367"/>
    <w:rsid w:val="00996EDE"/>
    <w:rsid w:val="009A344D"/>
    <w:rsid w:val="009A3BDC"/>
    <w:rsid w:val="009A4962"/>
    <w:rsid w:val="009A6C33"/>
    <w:rsid w:val="009B023B"/>
    <w:rsid w:val="009C1BC1"/>
    <w:rsid w:val="009C1E66"/>
    <w:rsid w:val="009C73FC"/>
    <w:rsid w:val="009D0684"/>
    <w:rsid w:val="009D486A"/>
    <w:rsid w:val="009D7615"/>
    <w:rsid w:val="009E1017"/>
    <w:rsid w:val="009E2EC9"/>
    <w:rsid w:val="009E573C"/>
    <w:rsid w:val="009E698B"/>
    <w:rsid w:val="009F2E33"/>
    <w:rsid w:val="009F3006"/>
    <w:rsid w:val="009F55BB"/>
    <w:rsid w:val="009F5A2B"/>
    <w:rsid w:val="009F6DAB"/>
    <w:rsid w:val="00A10E64"/>
    <w:rsid w:val="00A11938"/>
    <w:rsid w:val="00A1233C"/>
    <w:rsid w:val="00A15F06"/>
    <w:rsid w:val="00A2063E"/>
    <w:rsid w:val="00A22327"/>
    <w:rsid w:val="00A32936"/>
    <w:rsid w:val="00A34CB0"/>
    <w:rsid w:val="00A40B9A"/>
    <w:rsid w:val="00A441A6"/>
    <w:rsid w:val="00A45593"/>
    <w:rsid w:val="00A45AEB"/>
    <w:rsid w:val="00A45B82"/>
    <w:rsid w:val="00A45E09"/>
    <w:rsid w:val="00A563BD"/>
    <w:rsid w:val="00A61574"/>
    <w:rsid w:val="00A64280"/>
    <w:rsid w:val="00A710C5"/>
    <w:rsid w:val="00A72106"/>
    <w:rsid w:val="00A737B9"/>
    <w:rsid w:val="00A744EC"/>
    <w:rsid w:val="00A83224"/>
    <w:rsid w:val="00A8328C"/>
    <w:rsid w:val="00A91AA7"/>
    <w:rsid w:val="00A95E30"/>
    <w:rsid w:val="00AA022B"/>
    <w:rsid w:val="00AA0B3D"/>
    <w:rsid w:val="00AA2CF1"/>
    <w:rsid w:val="00AB0BE5"/>
    <w:rsid w:val="00AC0B62"/>
    <w:rsid w:val="00AC26CF"/>
    <w:rsid w:val="00AD0201"/>
    <w:rsid w:val="00AD14B5"/>
    <w:rsid w:val="00AD1888"/>
    <w:rsid w:val="00AD4B91"/>
    <w:rsid w:val="00AD6F4D"/>
    <w:rsid w:val="00AD7F39"/>
    <w:rsid w:val="00AE0F7B"/>
    <w:rsid w:val="00AE3D09"/>
    <w:rsid w:val="00AE57FA"/>
    <w:rsid w:val="00AE75B1"/>
    <w:rsid w:val="00AF4060"/>
    <w:rsid w:val="00B0190F"/>
    <w:rsid w:val="00B10B30"/>
    <w:rsid w:val="00B1223D"/>
    <w:rsid w:val="00B130E0"/>
    <w:rsid w:val="00B15262"/>
    <w:rsid w:val="00B16B62"/>
    <w:rsid w:val="00B210E0"/>
    <w:rsid w:val="00B235DC"/>
    <w:rsid w:val="00B25699"/>
    <w:rsid w:val="00B267BB"/>
    <w:rsid w:val="00B26D4A"/>
    <w:rsid w:val="00B327BA"/>
    <w:rsid w:val="00B340A1"/>
    <w:rsid w:val="00B36CE0"/>
    <w:rsid w:val="00B4641F"/>
    <w:rsid w:val="00B5763B"/>
    <w:rsid w:val="00B626F6"/>
    <w:rsid w:val="00B77756"/>
    <w:rsid w:val="00B81DDD"/>
    <w:rsid w:val="00B849C1"/>
    <w:rsid w:val="00B85178"/>
    <w:rsid w:val="00B86C77"/>
    <w:rsid w:val="00B95046"/>
    <w:rsid w:val="00B969DD"/>
    <w:rsid w:val="00B96B41"/>
    <w:rsid w:val="00BA6E58"/>
    <w:rsid w:val="00BB383E"/>
    <w:rsid w:val="00BB5504"/>
    <w:rsid w:val="00BB6FC3"/>
    <w:rsid w:val="00BC05CE"/>
    <w:rsid w:val="00BC1BEE"/>
    <w:rsid w:val="00BC2366"/>
    <w:rsid w:val="00BC39C0"/>
    <w:rsid w:val="00BC482A"/>
    <w:rsid w:val="00BC7858"/>
    <w:rsid w:val="00BD20F2"/>
    <w:rsid w:val="00BD2BA1"/>
    <w:rsid w:val="00BD3B7D"/>
    <w:rsid w:val="00BD4D0B"/>
    <w:rsid w:val="00BD5E9F"/>
    <w:rsid w:val="00BD6722"/>
    <w:rsid w:val="00BD7BD9"/>
    <w:rsid w:val="00BE1338"/>
    <w:rsid w:val="00BE1F71"/>
    <w:rsid w:val="00BE2466"/>
    <w:rsid w:val="00BE27FB"/>
    <w:rsid w:val="00BE3C86"/>
    <w:rsid w:val="00BE733A"/>
    <w:rsid w:val="00BF274A"/>
    <w:rsid w:val="00BF54A0"/>
    <w:rsid w:val="00BF720C"/>
    <w:rsid w:val="00BF7498"/>
    <w:rsid w:val="00C12301"/>
    <w:rsid w:val="00C157E6"/>
    <w:rsid w:val="00C21D19"/>
    <w:rsid w:val="00C267FF"/>
    <w:rsid w:val="00C310C6"/>
    <w:rsid w:val="00C376D3"/>
    <w:rsid w:val="00C434E9"/>
    <w:rsid w:val="00C45211"/>
    <w:rsid w:val="00C4525C"/>
    <w:rsid w:val="00C4597E"/>
    <w:rsid w:val="00C47F97"/>
    <w:rsid w:val="00C53B4B"/>
    <w:rsid w:val="00C61B78"/>
    <w:rsid w:val="00C61C18"/>
    <w:rsid w:val="00C736FB"/>
    <w:rsid w:val="00C76969"/>
    <w:rsid w:val="00C802F5"/>
    <w:rsid w:val="00C8163A"/>
    <w:rsid w:val="00C865FD"/>
    <w:rsid w:val="00CA0A2D"/>
    <w:rsid w:val="00CA1BF4"/>
    <w:rsid w:val="00CA40F4"/>
    <w:rsid w:val="00CA5BEC"/>
    <w:rsid w:val="00CB0A09"/>
    <w:rsid w:val="00CB0E41"/>
    <w:rsid w:val="00CC17E5"/>
    <w:rsid w:val="00CC181B"/>
    <w:rsid w:val="00CC540C"/>
    <w:rsid w:val="00CD4DF6"/>
    <w:rsid w:val="00CD5059"/>
    <w:rsid w:val="00CD610F"/>
    <w:rsid w:val="00CD779F"/>
    <w:rsid w:val="00CE4A59"/>
    <w:rsid w:val="00CF20DD"/>
    <w:rsid w:val="00CF247B"/>
    <w:rsid w:val="00CF79E8"/>
    <w:rsid w:val="00D12728"/>
    <w:rsid w:val="00D140B7"/>
    <w:rsid w:val="00D1428D"/>
    <w:rsid w:val="00D14D16"/>
    <w:rsid w:val="00D15D8B"/>
    <w:rsid w:val="00D20381"/>
    <w:rsid w:val="00D2131A"/>
    <w:rsid w:val="00D2794C"/>
    <w:rsid w:val="00D31482"/>
    <w:rsid w:val="00D320A1"/>
    <w:rsid w:val="00D33255"/>
    <w:rsid w:val="00D3746B"/>
    <w:rsid w:val="00D37618"/>
    <w:rsid w:val="00D4285E"/>
    <w:rsid w:val="00D51C57"/>
    <w:rsid w:val="00D51E9F"/>
    <w:rsid w:val="00D52B1A"/>
    <w:rsid w:val="00D5578B"/>
    <w:rsid w:val="00D56CD3"/>
    <w:rsid w:val="00D57CAD"/>
    <w:rsid w:val="00D608BC"/>
    <w:rsid w:val="00D63C29"/>
    <w:rsid w:val="00D674FA"/>
    <w:rsid w:val="00D7092E"/>
    <w:rsid w:val="00D7104B"/>
    <w:rsid w:val="00D736A1"/>
    <w:rsid w:val="00D74C54"/>
    <w:rsid w:val="00D76231"/>
    <w:rsid w:val="00D80674"/>
    <w:rsid w:val="00D82472"/>
    <w:rsid w:val="00D834FA"/>
    <w:rsid w:val="00D83D03"/>
    <w:rsid w:val="00D978DC"/>
    <w:rsid w:val="00DA4289"/>
    <w:rsid w:val="00DA60DB"/>
    <w:rsid w:val="00DA70E9"/>
    <w:rsid w:val="00DA717B"/>
    <w:rsid w:val="00DB07A2"/>
    <w:rsid w:val="00DC4237"/>
    <w:rsid w:val="00DD3ADD"/>
    <w:rsid w:val="00DD599B"/>
    <w:rsid w:val="00DD5F67"/>
    <w:rsid w:val="00DE0892"/>
    <w:rsid w:val="00DE5A48"/>
    <w:rsid w:val="00DF6182"/>
    <w:rsid w:val="00DF63F4"/>
    <w:rsid w:val="00DF7822"/>
    <w:rsid w:val="00E02C2A"/>
    <w:rsid w:val="00E03D5E"/>
    <w:rsid w:val="00E04D83"/>
    <w:rsid w:val="00E05606"/>
    <w:rsid w:val="00E12007"/>
    <w:rsid w:val="00E20DE0"/>
    <w:rsid w:val="00E2126B"/>
    <w:rsid w:val="00E22AEB"/>
    <w:rsid w:val="00E22C5B"/>
    <w:rsid w:val="00E242E8"/>
    <w:rsid w:val="00E27A49"/>
    <w:rsid w:val="00E27C6B"/>
    <w:rsid w:val="00E27EE3"/>
    <w:rsid w:val="00E307B5"/>
    <w:rsid w:val="00E322C5"/>
    <w:rsid w:val="00E32D66"/>
    <w:rsid w:val="00E33943"/>
    <w:rsid w:val="00E36FF6"/>
    <w:rsid w:val="00E37D48"/>
    <w:rsid w:val="00E42B6E"/>
    <w:rsid w:val="00E50545"/>
    <w:rsid w:val="00E536FC"/>
    <w:rsid w:val="00E53DEE"/>
    <w:rsid w:val="00E55673"/>
    <w:rsid w:val="00E56A88"/>
    <w:rsid w:val="00E608E2"/>
    <w:rsid w:val="00E62A51"/>
    <w:rsid w:val="00E65141"/>
    <w:rsid w:val="00E66923"/>
    <w:rsid w:val="00E73F9F"/>
    <w:rsid w:val="00E82989"/>
    <w:rsid w:val="00E842A6"/>
    <w:rsid w:val="00E847FD"/>
    <w:rsid w:val="00E84B53"/>
    <w:rsid w:val="00E92504"/>
    <w:rsid w:val="00E92CBF"/>
    <w:rsid w:val="00E963A3"/>
    <w:rsid w:val="00E97E90"/>
    <w:rsid w:val="00EA13B4"/>
    <w:rsid w:val="00EA249B"/>
    <w:rsid w:val="00EA5657"/>
    <w:rsid w:val="00EB0375"/>
    <w:rsid w:val="00EB0632"/>
    <w:rsid w:val="00EB12C4"/>
    <w:rsid w:val="00EB204F"/>
    <w:rsid w:val="00EB265A"/>
    <w:rsid w:val="00EB3907"/>
    <w:rsid w:val="00EC3339"/>
    <w:rsid w:val="00EC3EEE"/>
    <w:rsid w:val="00EC45B8"/>
    <w:rsid w:val="00EC606E"/>
    <w:rsid w:val="00ED0898"/>
    <w:rsid w:val="00EF42EC"/>
    <w:rsid w:val="00F00EB5"/>
    <w:rsid w:val="00F028AB"/>
    <w:rsid w:val="00F143B6"/>
    <w:rsid w:val="00F15874"/>
    <w:rsid w:val="00F21947"/>
    <w:rsid w:val="00F2278B"/>
    <w:rsid w:val="00F2705F"/>
    <w:rsid w:val="00F27AF3"/>
    <w:rsid w:val="00F32FBD"/>
    <w:rsid w:val="00F51A0F"/>
    <w:rsid w:val="00F64F09"/>
    <w:rsid w:val="00F723CB"/>
    <w:rsid w:val="00F72673"/>
    <w:rsid w:val="00F74613"/>
    <w:rsid w:val="00F76CFD"/>
    <w:rsid w:val="00F828A8"/>
    <w:rsid w:val="00F8359D"/>
    <w:rsid w:val="00F84541"/>
    <w:rsid w:val="00F857F2"/>
    <w:rsid w:val="00F8634B"/>
    <w:rsid w:val="00FA2E16"/>
    <w:rsid w:val="00FA33B2"/>
    <w:rsid w:val="00FA3FC5"/>
    <w:rsid w:val="00FB29E2"/>
    <w:rsid w:val="00FB30DF"/>
    <w:rsid w:val="00FB3BC0"/>
    <w:rsid w:val="00FC38F8"/>
    <w:rsid w:val="00FC4E88"/>
    <w:rsid w:val="00FC7084"/>
    <w:rsid w:val="00FD1117"/>
    <w:rsid w:val="00FD19EE"/>
    <w:rsid w:val="00FD37F5"/>
    <w:rsid w:val="00FD3EA9"/>
    <w:rsid w:val="00FD633A"/>
    <w:rsid w:val="00FE11BB"/>
    <w:rsid w:val="00FE3FA5"/>
    <w:rsid w:val="00FE4630"/>
    <w:rsid w:val="00FE5B4A"/>
    <w:rsid w:val="00FE6151"/>
    <w:rsid w:val="00FE68DD"/>
    <w:rsid w:val="00FE7437"/>
    <w:rsid w:val="00FF1FAA"/>
    <w:rsid w:val="00FF72C6"/>
    <w:rsid w:val="05CCF982"/>
    <w:rsid w:val="06D23D8C"/>
    <w:rsid w:val="0888F1EE"/>
    <w:rsid w:val="08D60790"/>
    <w:rsid w:val="0B94D174"/>
    <w:rsid w:val="0C78CBF9"/>
    <w:rsid w:val="0FF27DD8"/>
    <w:rsid w:val="12E7F9EE"/>
    <w:rsid w:val="13AA9BE1"/>
    <w:rsid w:val="149CFBA5"/>
    <w:rsid w:val="18295E4F"/>
    <w:rsid w:val="20BA5378"/>
    <w:rsid w:val="23AB90F2"/>
    <w:rsid w:val="25FC8B76"/>
    <w:rsid w:val="274C8CAF"/>
    <w:rsid w:val="2A480D61"/>
    <w:rsid w:val="2D574395"/>
    <w:rsid w:val="316D70FD"/>
    <w:rsid w:val="33C6DFBB"/>
    <w:rsid w:val="383D4BF6"/>
    <w:rsid w:val="38862FC0"/>
    <w:rsid w:val="3A1E89C5"/>
    <w:rsid w:val="3B51F41E"/>
    <w:rsid w:val="3C6FCEC1"/>
    <w:rsid w:val="3E433198"/>
    <w:rsid w:val="42C19FE5"/>
    <w:rsid w:val="46BFA171"/>
    <w:rsid w:val="472B795C"/>
    <w:rsid w:val="49E7FF9A"/>
    <w:rsid w:val="4AA6F173"/>
    <w:rsid w:val="4AD0F9CD"/>
    <w:rsid w:val="4B4BECC0"/>
    <w:rsid w:val="4B6FAEDD"/>
    <w:rsid w:val="4C671F9E"/>
    <w:rsid w:val="4F0E7B55"/>
    <w:rsid w:val="52461C17"/>
    <w:rsid w:val="524983E0"/>
    <w:rsid w:val="56998FB8"/>
    <w:rsid w:val="56B53F42"/>
    <w:rsid w:val="56BF5F65"/>
    <w:rsid w:val="579495D2"/>
    <w:rsid w:val="58E55B0D"/>
    <w:rsid w:val="59DB69E2"/>
    <w:rsid w:val="59E876A3"/>
    <w:rsid w:val="5A0415C8"/>
    <w:rsid w:val="5A651BFB"/>
    <w:rsid w:val="5CC57CF5"/>
    <w:rsid w:val="5CDB0971"/>
    <w:rsid w:val="5DF6FC0B"/>
    <w:rsid w:val="5E26ABDF"/>
    <w:rsid w:val="62DB8083"/>
    <w:rsid w:val="64A6CB48"/>
    <w:rsid w:val="65689A73"/>
    <w:rsid w:val="67046AD4"/>
    <w:rsid w:val="67361F94"/>
    <w:rsid w:val="68A03B35"/>
    <w:rsid w:val="68F62107"/>
    <w:rsid w:val="6B10A7CD"/>
    <w:rsid w:val="6B8A6105"/>
    <w:rsid w:val="7008DD6D"/>
    <w:rsid w:val="7057FD19"/>
    <w:rsid w:val="723A6C86"/>
    <w:rsid w:val="7270CDE3"/>
    <w:rsid w:val="7360C2FC"/>
    <w:rsid w:val="75E198D4"/>
    <w:rsid w:val="76233FEC"/>
    <w:rsid w:val="7E14A2D3"/>
    <w:rsid w:val="7F2B2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15E8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7F3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7F39"/>
    <w:rPr>
      <w:rFonts w:ascii="Segoe UI" w:hAnsi="Segoe UI" w:cs="Segoe UI"/>
      <w:sz w:val="18"/>
      <w:szCs w:val="18"/>
      <w:lang w:val="ro-RO"/>
    </w:rPr>
  </w:style>
  <w:style w:type="numbering" w:customStyle="1" w:styleId="NoList1">
    <w:name w:val="No List1"/>
    <w:next w:val="NoList"/>
    <w:uiPriority w:val="99"/>
    <w:semiHidden/>
    <w:unhideWhenUsed/>
    <w:rsid w:val="00AD7F39"/>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rsid w:val="00AD7F39"/>
    <w:pPr>
      <w:spacing w:before="0" w:after="200" w:line="276" w:lineRule="auto"/>
      <w:ind w:left="720"/>
      <w:contextualSpacing/>
      <w:jc w:val="left"/>
    </w:pPr>
    <w:rPr>
      <w:rFonts w:asciiTheme="minorHAnsi" w:hAnsiTheme="minorHAnsi" w:cstheme="minorBidi"/>
      <w:sz w:val="22"/>
    </w:rPr>
  </w:style>
  <w:style w:type="character" w:styleId="CommentReference">
    <w:name w:val="annotation reference"/>
    <w:basedOn w:val="DefaultParagraphFont"/>
    <w:uiPriority w:val="99"/>
    <w:semiHidden/>
    <w:unhideWhenUsed/>
    <w:rsid w:val="00AD7F39"/>
    <w:rPr>
      <w:sz w:val="16"/>
      <w:szCs w:val="16"/>
    </w:rPr>
  </w:style>
  <w:style w:type="paragraph" w:styleId="CommentText">
    <w:name w:val="annotation text"/>
    <w:basedOn w:val="Normal"/>
    <w:link w:val="CommentTextChar"/>
    <w:uiPriority w:val="99"/>
    <w:unhideWhenUsed/>
    <w:rsid w:val="00AD7F39"/>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AD7F39"/>
    <w:rPr>
      <w:sz w:val="20"/>
      <w:szCs w:val="20"/>
      <w:lang w:val="ro-RO"/>
    </w:rPr>
  </w:style>
  <w:style w:type="paragraph" w:styleId="CommentSubject">
    <w:name w:val="annotation subject"/>
    <w:basedOn w:val="CommentText"/>
    <w:next w:val="CommentText"/>
    <w:link w:val="CommentSubjectChar"/>
    <w:uiPriority w:val="99"/>
    <w:semiHidden/>
    <w:unhideWhenUsed/>
    <w:rsid w:val="00AD7F39"/>
    <w:rPr>
      <w:b/>
      <w:bCs/>
    </w:rPr>
  </w:style>
  <w:style w:type="character" w:customStyle="1" w:styleId="CommentSubjectChar">
    <w:name w:val="Comment Subject Char"/>
    <w:basedOn w:val="CommentTextChar"/>
    <w:link w:val="CommentSubject"/>
    <w:uiPriority w:val="99"/>
    <w:semiHidden/>
    <w:rsid w:val="00AD7F39"/>
    <w:rPr>
      <w:b/>
      <w:bCs/>
      <w:sz w:val="20"/>
      <w:szCs w:val="20"/>
      <w:lang w:val="ro-RO"/>
    </w:rPr>
  </w:style>
  <w:style w:type="character" w:styleId="Hyperlink">
    <w:name w:val="Hyperlink"/>
    <w:basedOn w:val="DefaultParagraphFont"/>
    <w:uiPriority w:val="99"/>
    <w:unhideWhenUsed/>
    <w:rsid w:val="00AD7F39"/>
    <w:rPr>
      <w:color w:val="0000FF"/>
      <w:u w:val="single"/>
    </w:rPr>
  </w:style>
  <w:style w:type="character" w:customStyle="1" w:styleId="oj-super">
    <w:name w:val="oj-super"/>
    <w:basedOn w:val="DefaultParagraphFont"/>
    <w:rsid w:val="00AD7F39"/>
  </w:style>
  <w:style w:type="character" w:styleId="Strong">
    <w:name w:val="Strong"/>
    <w:basedOn w:val="DefaultParagraphFont"/>
    <w:uiPriority w:val="22"/>
    <w:qFormat/>
    <w:rsid w:val="00AD7F39"/>
    <w:rPr>
      <w:b/>
      <w:bCs/>
    </w:rPr>
  </w:style>
  <w:style w:type="paragraph" w:customStyle="1" w:styleId="BulletedList">
    <w:name w:val="Bulleted List"/>
    <w:uiPriority w:val="12"/>
    <w:qFormat/>
    <w:rsid w:val="00AD7F39"/>
    <w:pPr>
      <w:numPr>
        <w:numId w:val="1"/>
      </w:numPr>
      <w:spacing w:after="60" w:line="260" w:lineRule="exact"/>
      <w:jc w:val="both"/>
    </w:pPr>
    <w:rPr>
      <w:color w:val="000000" w:themeColor="text1"/>
      <w:sz w:val="20"/>
    </w:rPr>
  </w:style>
  <w:style w:type="paragraph" w:styleId="Revision">
    <w:name w:val="Revision"/>
    <w:hidden/>
    <w:uiPriority w:val="99"/>
    <w:semiHidden/>
    <w:rsid w:val="00AD7F39"/>
    <w:pPr>
      <w:spacing w:after="0" w:line="240" w:lineRule="auto"/>
    </w:pPr>
  </w:style>
  <w:style w:type="character" w:customStyle="1" w:styleId="UnresolvedMention1">
    <w:name w:val="Unresolved Mention1"/>
    <w:basedOn w:val="DefaultParagraphFont"/>
    <w:uiPriority w:val="99"/>
    <w:semiHidden/>
    <w:unhideWhenUsed/>
    <w:rsid w:val="00AD7F39"/>
    <w:rPr>
      <w:color w:val="605E5C"/>
      <w:shd w:val="clear" w:color="auto" w:fill="E1DFDD"/>
    </w:rPr>
  </w:style>
  <w:style w:type="character" w:styleId="FollowedHyperlink">
    <w:name w:val="FollowedHyperlink"/>
    <w:basedOn w:val="DefaultParagraphFont"/>
    <w:uiPriority w:val="99"/>
    <w:semiHidden/>
    <w:unhideWhenUsed/>
    <w:rsid w:val="00AD7F39"/>
    <w:rPr>
      <w:color w:val="800080" w:themeColor="followedHyperlink"/>
      <w:u w:val="single"/>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rsid w:val="00AD7F39"/>
    <w:rPr>
      <w:lang w:val="ro-RO"/>
    </w:rPr>
  </w:style>
  <w:style w:type="paragraph" w:styleId="EndnoteText">
    <w:name w:val="endnote text"/>
    <w:basedOn w:val="Normal"/>
    <w:link w:val="EndnoteTextChar"/>
    <w:uiPriority w:val="99"/>
    <w:semiHidden/>
    <w:unhideWhenUsed/>
    <w:rsid w:val="00AD7F39"/>
    <w:pPr>
      <w:spacing w:before="0" w:after="0"/>
      <w:jc w:val="left"/>
    </w:pPr>
    <w:rPr>
      <w:rFonts w:asciiTheme="minorHAnsi" w:hAnsiTheme="minorHAnsi" w:cstheme="minorBidi"/>
      <w:sz w:val="20"/>
      <w:szCs w:val="20"/>
    </w:rPr>
  </w:style>
  <w:style w:type="character" w:customStyle="1" w:styleId="EndnoteTextChar">
    <w:name w:val="Endnote Text Char"/>
    <w:basedOn w:val="DefaultParagraphFont"/>
    <w:link w:val="EndnoteText"/>
    <w:uiPriority w:val="99"/>
    <w:semiHidden/>
    <w:rsid w:val="00AD7F39"/>
    <w:rPr>
      <w:sz w:val="20"/>
      <w:szCs w:val="20"/>
      <w:lang w:val="ro-RO"/>
    </w:rPr>
  </w:style>
  <w:style w:type="character" w:styleId="EndnoteReference">
    <w:name w:val="endnote reference"/>
    <w:basedOn w:val="DefaultParagraphFont"/>
    <w:uiPriority w:val="99"/>
    <w:semiHidden/>
    <w:unhideWhenUsed/>
    <w:rsid w:val="00AD7F39"/>
    <w:rPr>
      <w:vertAlign w:val="superscript"/>
    </w:rPr>
  </w:style>
  <w:style w:type="character" w:styleId="Emphasis">
    <w:name w:val="Emphasis"/>
    <w:basedOn w:val="DefaultParagraphFont"/>
    <w:uiPriority w:val="20"/>
    <w:qFormat/>
    <w:rsid w:val="00AD7F39"/>
    <w:rPr>
      <w:i/>
      <w:iCs/>
    </w:rPr>
  </w:style>
  <w:style w:type="paragraph" w:styleId="HTMLPreformatted">
    <w:name w:val="HTML Preformatted"/>
    <w:basedOn w:val="Normal"/>
    <w:link w:val="HTMLPreformattedChar"/>
    <w:uiPriority w:val="99"/>
    <w:unhideWhenUsed/>
    <w:rsid w:val="00AD7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AD7F39"/>
    <w:rPr>
      <w:rFonts w:ascii="Courier New" w:eastAsia="Times New Roman" w:hAnsi="Courier New" w:cs="Courier New"/>
      <w:sz w:val="20"/>
      <w:szCs w:val="20"/>
      <w:lang w:val="ro-RO" w:eastAsia="en-GB"/>
    </w:rPr>
  </w:style>
  <w:style w:type="character" w:customStyle="1" w:styleId="y2iqfc">
    <w:name w:val="y2iqfc"/>
    <w:basedOn w:val="DefaultParagraphFont"/>
    <w:rsid w:val="00AD7F39"/>
  </w:style>
  <w:style w:type="paragraph" w:customStyle="1" w:styleId="Listabc">
    <w:name w:val="List abc"/>
    <w:basedOn w:val="Normal"/>
    <w:uiPriority w:val="12"/>
    <w:qFormat/>
    <w:rsid w:val="00AD7F39"/>
    <w:pPr>
      <w:numPr>
        <w:numId w:val="2"/>
      </w:numPr>
      <w:spacing w:before="0" w:after="240" w:line="281" w:lineRule="auto"/>
      <w:jc w:val="left"/>
    </w:pPr>
    <w:rPr>
      <w:rFonts w:ascii="Calibri" w:eastAsia="Times New Roman" w:hAnsi="Calibri"/>
      <w:szCs w:val="20"/>
      <w:lang w:eastAsia="en-GB"/>
    </w:rPr>
  </w:style>
  <w:style w:type="paragraph" w:customStyle="1" w:styleId="ListabcLevel2">
    <w:name w:val="List abc (Level 2)"/>
    <w:basedOn w:val="Normal"/>
    <w:uiPriority w:val="12"/>
    <w:semiHidden/>
    <w:unhideWhenUsed/>
    <w:qFormat/>
    <w:rsid w:val="00AD7F39"/>
    <w:pPr>
      <w:numPr>
        <w:ilvl w:val="1"/>
        <w:numId w:val="2"/>
      </w:numPr>
      <w:spacing w:before="0" w:after="240" w:line="281" w:lineRule="auto"/>
      <w:jc w:val="left"/>
    </w:pPr>
    <w:rPr>
      <w:rFonts w:ascii="Calibri" w:eastAsia="Times New Roman" w:hAnsi="Calibri"/>
      <w:szCs w:val="20"/>
      <w:lang w:eastAsia="en-GB"/>
    </w:rPr>
  </w:style>
  <w:style w:type="paragraph" w:customStyle="1" w:styleId="ListabcLevel3">
    <w:name w:val="List abc (Level 3)"/>
    <w:basedOn w:val="Normal"/>
    <w:uiPriority w:val="12"/>
    <w:semiHidden/>
    <w:qFormat/>
    <w:rsid w:val="00AD7F39"/>
    <w:pPr>
      <w:numPr>
        <w:ilvl w:val="2"/>
        <w:numId w:val="2"/>
      </w:numPr>
      <w:spacing w:before="0" w:after="240" w:line="281" w:lineRule="auto"/>
      <w:jc w:val="left"/>
    </w:pPr>
    <w:rPr>
      <w:rFonts w:ascii="Calibri" w:eastAsia="Times New Roman" w:hAnsi="Calibri"/>
      <w:szCs w:val="20"/>
      <w:lang w:eastAsia="en-GB"/>
    </w:rPr>
  </w:style>
  <w:style w:type="paragraph" w:customStyle="1" w:styleId="ListabcLevel4">
    <w:name w:val="List abc (Level 4)"/>
    <w:basedOn w:val="Normal"/>
    <w:uiPriority w:val="12"/>
    <w:semiHidden/>
    <w:qFormat/>
    <w:rsid w:val="00AD7F39"/>
    <w:pPr>
      <w:numPr>
        <w:ilvl w:val="3"/>
        <w:numId w:val="2"/>
      </w:numPr>
      <w:spacing w:before="0" w:after="240" w:line="281" w:lineRule="auto"/>
      <w:jc w:val="left"/>
    </w:pPr>
    <w:rPr>
      <w:rFonts w:ascii="Calibri" w:eastAsia="Times New Roman" w:hAnsi="Calibri"/>
      <w:szCs w:val="20"/>
      <w:lang w:eastAsia="en-GB"/>
    </w:rPr>
  </w:style>
  <w:style w:type="paragraph" w:customStyle="1" w:styleId="RecommendationText">
    <w:name w:val="Recommendation Text"/>
    <w:basedOn w:val="Normal"/>
    <w:uiPriority w:val="23"/>
    <w:rsid w:val="00AD7F39"/>
    <w:pPr>
      <w:spacing w:before="0" w:after="240" w:line="281" w:lineRule="auto"/>
      <w:jc w:val="left"/>
    </w:pPr>
    <w:rPr>
      <w:rFonts w:ascii="Calibri" w:eastAsia="Times New Roman" w:hAnsi="Calibri"/>
      <w:szCs w:val="20"/>
      <w:lang w:eastAsia="en-GB"/>
    </w:rPr>
  </w:style>
  <w:style w:type="paragraph" w:customStyle="1" w:styleId="RecommendationTimeframe">
    <w:name w:val="Recommendation Timeframe"/>
    <w:basedOn w:val="Normal"/>
    <w:next w:val="Normal"/>
    <w:uiPriority w:val="23"/>
    <w:qFormat/>
    <w:rsid w:val="00AD7F39"/>
    <w:pPr>
      <w:spacing w:before="0" w:after="240" w:line="281" w:lineRule="auto"/>
      <w:jc w:val="left"/>
    </w:pPr>
    <w:rPr>
      <w:rFonts w:ascii="Calibri" w:eastAsia="Times New Roman" w:hAnsi="Calibri"/>
      <w:b/>
      <w:szCs w:val="20"/>
      <w:lang w:eastAsia="en-GB"/>
    </w:rPr>
  </w:style>
  <w:style w:type="paragraph" w:customStyle="1" w:styleId="RecommendationTitle">
    <w:name w:val="Recommendation Title"/>
    <w:basedOn w:val="Normal"/>
    <w:next w:val="RecommendationText"/>
    <w:uiPriority w:val="23"/>
    <w:rsid w:val="00AD7F39"/>
    <w:pPr>
      <w:keepNext/>
      <w:pBdr>
        <w:bottom w:val="single" w:sz="24" w:space="5" w:color="B5B900"/>
      </w:pBdr>
      <w:spacing w:beforeLines="150" w:before="0" w:afterLines="50" w:after="240"/>
      <w:jc w:val="left"/>
    </w:pPr>
    <w:rPr>
      <w:rFonts w:ascii="Calibri" w:eastAsia="Times New Roman" w:hAnsi="Calibri"/>
      <w:b/>
      <w:color w:val="B5B900"/>
      <w:sz w:val="32"/>
      <w:szCs w:val="20"/>
      <w:lang w:eastAsia="en-GB"/>
    </w:rPr>
  </w:style>
  <w:style w:type="paragraph" w:customStyle="1" w:styleId="Pointabc">
    <w:name w:val="Point abc"/>
    <w:basedOn w:val="Normal"/>
    <w:rsid w:val="00AD7F39"/>
    <w:pPr>
      <w:numPr>
        <w:ilvl w:val="1"/>
        <w:numId w:val="3"/>
      </w:numPr>
      <w:spacing w:line="360" w:lineRule="auto"/>
      <w:jc w:val="left"/>
    </w:pPr>
  </w:style>
  <w:style w:type="paragraph" w:customStyle="1" w:styleId="Pointabc1">
    <w:name w:val="Point abc (1)"/>
    <w:basedOn w:val="Normal"/>
    <w:rsid w:val="00AD7F39"/>
    <w:pPr>
      <w:numPr>
        <w:ilvl w:val="3"/>
        <w:numId w:val="3"/>
      </w:numPr>
      <w:spacing w:line="360" w:lineRule="auto"/>
      <w:jc w:val="left"/>
    </w:pPr>
  </w:style>
  <w:style w:type="paragraph" w:customStyle="1" w:styleId="Pointabc2">
    <w:name w:val="Point abc (2)"/>
    <w:basedOn w:val="Normal"/>
    <w:rsid w:val="00AD7F39"/>
    <w:pPr>
      <w:numPr>
        <w:ilvl w:val="5"/>
        <w:numId w:val="3"/>
      </w:numPr>
      <w:spacing w:line="360" w:lineRule="auto"/>
      <w:jc w:val="left"/>
    </w:pPr>
  </w:style>
  <w:style w:type="paragraph" w:customStyle="1" w:styleId="Pointabc3">
    <w:name w:val="Point abc (3)"/>
    <w:basedOn w:val="Normal"/>
    <w:rsid w:val="00AD7F39"/>
    <w:pPr>
      <w:numPr>
        <w:ilvl w:val="7"/>
        <w:numId w:val="3"/>
      </w:numPr>
      <w:spacing w:line="360" w:lineRule="auto"/>
      <w:jc w:val="left"/>
    </w:pPr>
  </w:style>
  <w:style w:type="paragraph" w:customStyle="1" w:styleId="Pointabc4">
    <w:name w:val="Point abc (4)"/>
    <w:basedOn w:val="Normal"/>
    <w:rsid w:val="00AD7F39"/>
    <w:pPr>
      <w:numPr>
        <w:ilvl w:val="8"/>
        <w:numId w:val="3"/>
      </w:numPr>
      <w:spacing w:line="360" w:lineRule="auto"/>
      <w:jc w:val="left"/>
    </w:pPr>
  </w:style>
  <w:style w:type="paragraph" w:customStyle="1" w:styleId="Point123">
    <w:name w:val="Point 123"/>
    <w:basedOn w:val="Normal"/>
    <w:rsid w:val="00AD7F39"/>
    <w:pPr>
      <w:numPr>
        <w:numId w:val="3"/>
      </w:numPr>
      <w:spacing w:line="360" w:lineRule="auto"/>
      <w:jc w:val="left"/>
    </w:pPr>
  </w:style>
  <w:style w:type="paragraph" w:customStyle="1" w:styleId="Point1231">
    <w:name w:val="Point 123 (1)"/>
    <w:basedOn w:val="Normal"/>
    <w:rsid w:val="00AD7F39"/>
    <w:pPr>
      <w:numPr>
        <w:ilvl w:val="2"/>
        <w:numId w:val="3"/>
      </w:numPr>
      <w:spacing w:line="360" w:lineRule="auto"/>
      <w:jc w:val="left"/>
    </w:pPr>
  </w:style>
  <w:style w:type="paragraph" w:customStyle="1" w:styleId="Point1232">
    <w:name w:val="Point 123 (2)"/>
    <w:basedOn w:val="Normal"/>
    <w:rsid w:val="00AD7F39"/>
    <w:pPr>
      <w:numPr>
        <w:ilvl w:val="4"/>
        <w:numId w:val="3"/>
      </w:numPr>
      <w:spacing w:line="360" w:lineRule="auto"/>
      <w:jc w:val="left"/>
    </w:pPr>
  </w:style>
  <w:style w:type="paragraph" w:customStyle="1" w:styleId="Point1233">
    <w:name w:val="Point 123 (3)"/>
    <w:basedOn w:val="Normal"/>
    <w:rsid w:val="00AD7F39"/>
    <w:pPr>
      <w:numPr>
        <w:ilvl w:val="6"/>
        <w:numId w:val="3"/>
      </w:numPr>
      <w:spacing w:line="360" w:lineRule="auto"/>
      <w:jc w:val="left"/>
    </w:pPr>
  </w:style>
  <w:style w:type="paragraph" w:styleId="Caption">
    <w:name w:val="caption"/>
    <w:basedOn w:val="Normal"/>
    <w:next w:val="Normal"/>
    <w:uiPriority w:val="35"/>
    <w:semiHidden/>
    <w:unhideWhenUsed/>
    <w:qFormat/>
    <w:rsid w:val="008C2744"/>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8C2744"/>
    <w:pPr>
      <w:spacing w:after="0"/>
    </w:pPr>
  </w:style>
  <w:style w:type="paragraph" w:styleId="ListBullet">
    <w:name w:val="List Bullet"/>
    <w:basedOn w:val="Normal"/>
    <w:uiPriority w:val="99"/>
    <w:semiHidden/>
    <w:unhideWhenUsed/>
    <w:rsid w:val="008C2744"/>
    <w:pPr>
      <w:numPr>
        <w:numId w:val="11"/>
      </w:numPr>
      <w:contextualSpacing/>
    </w:pPr>
  </w:style>
  <w:style w:type="paragraph" w:styleId="ListBullet2">
    <w:name w:val="List Bullet 2"/>
    <w:basedOn w:val="Normal"/>
    <w:uiPriority w:val="99"/>
    <w:semiHidden/>
    <w:unhideWhenUsed/>
    <w:rsid w:val="008C2744"/>
    <w:pPr>
      <w:numPr>
        <w:numId w:val="12"/>
      </w:numPr>
      <w:contextualSpacing/>
    </w:pPr>
  </w:style>
  <w:style w:type="paragraph" w:styleId="ListBullet3">
    <w:name w:val="List Bullet 3"/>
    <w:basedOn w:val="Normal"/>
    <w:uiPriority w:val="99"/>
    <w:semiHidden/>
    <w:unhideWhenUsed/>
    <w:rsid w:val="008C2744"/>
    <w:pPr>
      <w:numPr>
        <w:numId w:val="13"/>
      </w:numPr>
      <w:contextualSpacing/>
    </w:pPr>
  </w:style>
  <w:style w:type="paragraph" w:styleId="ListBullet4">
    <w:name w:val="List Bullet 4"/>
    <w:basedOn w:val="Normal"/>
    <w:uiPriority w:val="99"/>
    <w:semiHidden/>
    <w:unhideWhenUsed/>
    <w:rsid w:val="008C2744"/>
    <w:pPr>
      <w:numPr>
        <w:numId w:val="14"/>
      </w:numPr>
      <w:contextualSpacing/>
    </w:pPr>
  </w:style>
  <w:style w:type="paragraph" w:styleId="ListNumber">
    <w:name w:val="List Number"/>
    <w:basedOn w:val="Normal"/>
    <w:uiPriority w:val="99"/>
    <w:semiHidden/>
    <w:unhideWhenUsed/>
    <w:rsid w:val="008C2744"/>
    <w:pPr>
      <w:numPr>
        <w:numId w:val="15"/>
      </w:numPr>
      <w:contextualSpacing/>
    </w:pPr>
  </w:style>
  <w:style w:type="paragraph" w:styleId="ListNumber2">
    <w:name w:val="List Number 2"/>
    <w:basedOn w:val="Normal"/>
    <w:uiPriority w:val="99"/>
    <w:semiHidden/>
    <w:unhideWhenUsed/>
    <w:rsid w:val="008C2744"/>
    <w:pPr>
      <w:numPr>
        <w:numId w:val="16"/>
      </w:numPr>
      <w:contextualSpacing/>
    </w:pPr>
  </w:style>
  <w:style w:type="paragraph" w:styleId="ListNumber3">
    <w:name w:val="List Number 3"/>
    <w:basedOn w:val="Normal"/>
    <w:uiPriority w:val="99"/>
    <w:semiHidden/>
    <w:unhideWhenUsed/>
    <w:rsid w:val="008C2744"/>
    <w:pPr>
      <w:numPr>
        <w:numId w:val="17"/>
      </w:numPr>
      <w:contextualSpacing/>
    </w:pPr>
  </w:style>
  <w:style w:type="paragraph" w:styleId="ListNumber4">
    <w:name w:val="List Number 4"/>
    <w:basedOn w:val="Normal"/>
    <w:uiPriority w:val="99"/>
    <w:semiHidden/>
    <w:unhideWhenUsed/>
    <w:rsid w:val="008C2744"/>
    <w:pPr>
      <w:numPr>
        <w:numId w:val="18"/>
      </w:numPr>
      <w:contextualSpacing/>
    </w:pPr>
  </w:style>
  <w:style w:type="character" w:customStyle="1" w:styleId="normaltextrun">
    <w:name w:val="normaltextrun"/>
    <w:basedOn w:val="DefaultParagraphFont"/>
    <w:rsid w:val="0021485B"/>
  </w:style>
  <w:style w:type="character" w:customStyle="1" w:styleId="eop">
    <w:name w:val="eop"/>
    <w:basedOn w:val="DefaultParagraphFont"/>
    <w:rsid w:val="0021485B"/>
  </w:style>
  <w:style w:type="paragraph" w:customStyle="1" w:styleId="paragraph">
    <w:name w:val="paragraph"/>
    <w:basedOn w:val="Normal"/>
    <w:rsid w:val="0021485B"/>
    <w:pPr>
      <w:spacing w:before="100" w:beforeAutospacing="1" w:after="100" w:afterAutospacing="1"/>
      <w:jc w:val="left"/>
    </w:pPr>
    <w:rPr>
      <w:rFonts w:eastAsia="Times New Roman"/>
      <w:szCs w:val="24"/>
      <w:lang w:eastAsia="en-IE"/>
    </w:rPr>
  </w:style>
  <w:style w:type="paragraph" w:customStyle="1" w:styleId="FootnotesymbolCarZchn">
    <w:name w:val="Footnote symbol Car Zchn"/>
    <w:basedOn w:val="Normal"/>
    <w:uiPriority w:val="99"/>
    <w:qFormat/>
    <w:rsid w:val="00446741"/>
    <w:pPr>
      <w:spacing w:before="0" w:after="160" w:line="240" w:lineRule="exact"/>
    </w:pPr>
    <w:rPr>
      <w:rFonts w:asciiTheme="minorHAnsi" w:hAnsiTheme="minorHAnsi" w:cstheme="minorBidi"/>
      <w:sz w:val="22"/>
      <w:vertAlign w:val="superscript"/>
    </w:rPr>
  </w:style>
  <w:style w:type="paragraph" w:styleId="Header">
    <w:name w:val="header"/>
    <w:basedOn w:val="Normal"/>
    <w:link w:val="HeaderChar"/>
    <w:uiPriority w:val="99"/>
    <w:unhideWhenUsed/>
    <w:rsid w:val="009E573C"/>
    <w:pPr>
      <w:tabs>
        <w:tab w:val="center" w:pos="4535"/>
        <w:tab w:val="right" w:pos="9071"/>
      </w:tabs>
      <w:spacing w:before="0"/>
    </w:pPr>
  </w:style>
  <w:style w:type="character" w:customStyle="1" w:styleId="HeaderChar">
    <w:name w:val="Header Char"/>
    <w:basedOn w:val="DefaultParagraphFont"/>
    <w:link w:val="Header"/>
    <w:uiPriority w:val="99"/>
    <w:rsid w:val="009E573C"/>
    <w:rPr>
      <w:rFonts w:ascii="Times New Roman" w:hAnsi="Times New Roman" w:cs="Times New Roman"/>
      <w:sz w:val="24"/>
      <w:lang w:val="ro-RO"/>
    </w:rPr>
  </w:style>
  <w:style w:type="paragraph" w:styleId="Footer">
    <w:name w:val="footer"/>
    <w:basedOn w:val="Normal"/>
    <w:link w:val="FooterChar"/>
    <w:uiPriority w:val="99"/>
    <w:unhideWhenUsed/>
    <w:rsid w:val="009E573C"/>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9E573C"/>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9E573C"/>
    <w:pPr>
      <w:tabs>
        <w:tab w:val="center" w:pos="7285"/>
        <w:tab w:val="right" w:pos="14003"/>
      </w:tabs>
      <w:spacing w:before="0"/>
    </w:pPr>
  </w:style>
  <w:style w:type="paragraph" w:customStyle="1" w:styleId="FooterLandscape">
    <w:name w:val="FooterLandscape"/>
    <w:basedOn w:val="Normal"/>
    <w:rsid w:val="009E573C"/>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E573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E573C"/>
    <w:pPr>
      <w:spacing w:before="0"/>
      <w:jc w:val="right"/>
    </w:pPr>
    <w:rPr>
      <w:sz w:val="28"/>
    </w:rPr>
  </w:style>
  <w:style w:type="paragraph" w:customStyle="1" w:styleId="FooterSensitivity">
    <w:name w:val="Footer Sensitivity"/>
    <w:basedOn w:val="Normal"/>
    <w:rsid w:val="009E573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083704">
      <w:bodyDiv w:val="1"/>
      <w:marLeft w:val="0"/>
      <w:marRight w:val="0"/>
      <w:marTop w:val="0"/>
      <w:marBottom w:val="0"/>
      <w:divBdr>
        <w:top w:val="none" w:sz="0" w:space="0" w:color="auto"/>
        <w:left w:val="none" w:sz="0" w:space="0" w:color="auto"/>
        <w:bottom w:val="none" w:sz="0" w:space="0" w:color="auto"/>
        <w:right w:val="none" w:sz="0" w:space="0" w:color="auto"/>
      </w:divBdr>
    </w:div>
    <w:div w:id="554123405">
      <w:bodyDiv w:val="1"/>
      <w:marLeft w:val="0"/>
      <w:marRight w:val="0"/>
      <w:marTop w:val="0"/>
      <w:marBottom w:val="0"/>
      <w:divBdr>
        <w:top w:val="none" w:sz="0" w:space="0" w:color="auto"/>
        <w:left w:val="none" w:sz="0" w:space="0" w:color="auto"/>
        <w:bottom w:val="none" w:sz="0" w:space="0" w:color="auto"/>
        <w:right w:val="none" w:sz="0" w:space="0" w:color="auto"/>
      </w:divBdr>
      <w:divsChild>
        <w:div w:id="467892777">
          <w:marLeft w:val="0"/>
          <w:marRight w:val="0"/>
          <w:marTop w:val="0"/>
          <w:marBottom w:val="0"/>
          <w:divBdr>
            <w:top w:val="none" w:sz="0" w:space="0" w:color="auto"/>
            <w:left w:val="none" w:sz="0" w:space="0" w:color="auto"/>
            <w:bottom w:val="none" w:sz="0" w:space="0" w:color="auto"/>
            <w:right w:val="none" w:sz="0" w:space="0" w:color="auto"/>
          </w:divBdr>
        </w:div>
        <w:div w:id="658117401">
          <w:marLeft w:val="0"/>
          <w:marRight w:val="0"/>
          <w:marTop w:val="0"/>
          <w:marBottom w:val="0"/>
          <w:divBdr>
            <w:top w:val="none" w:sz="0" w:space="0" w:color="auto"/>
            <w:left w:val="none" w:sz="0" w:space="0" w:color="auto"/>
            <w:bottom w:val="none" w:sz="0" w:space="0" w:color="auto"/>
            <w:right w:val="none" w:sz="0" w:space="0" w:color="auto"/>
          </w:divBdr>
        </w:div>
        <w:div w:id="992181963">
          <w:marLeft w:val="0"/>
          <w:marRight w:val="0"/>
          <w:marTop w:val="0"/>
          <w:marBottom w:val="0"/>
          <w:divBdr>
            <w:top w:val="none" w:sz="0" w:space="0" w:color="auto"/>
            <w:left w:val="none" w:sz="0" w:space="0" w:color="auto"/>
            <w:bottom w:val="none" w:sz="0" w:space="0" w:color="auto"/>
            <w:right w:val="none" w:sz="0" w:space="0" w:color="auto"/>
          </w:divBdr>
        </w:div>
      </w:divsChild>
    </w:div>
    <w:div w:id="1129931141">
      <w:bodyDiv w:val="1"/>
      <w:marLeft w:val="0"/>
      <w:marRight w:val="0"/>
      <w:marTop w:val="0"/>
      <w:marBottom w:val="0"/>
      <w:divBdr>
        <w:top w:val="none" w:sz="0" w:space="0" w:color="auto"/>
        <w:left w:val="none" w:sz="0" w:space="0" w:color="auto"/>
        <w:bottom w:val="none" w:sz="0" w:space="0" w:color="auto"/>
        <w:right w:val="none" w:sz="0" w:space="0" w:color="auto"/>
      </w:divBdr>
    </w:div>
    <w:div w:id="1200775069">
      <w:bodyDiv w:val="1"/>
      <w:marLeft w:val="0"/>
      <w:marRight w:val="0"/>
      <w:marTop w:val="0"/>
      <w:marBottom w:val="0"/>
      <w:divBdr>
        <w:top w:val="none" w:sz="0" w:space="0" w:color="auto"/>
        <w:left w:val="none" w:sz="0" w:space="0" w:color="auto"/>
        <w:bottom w:val="none" w:sz="0" w:space="0" w:color="auto"/>
        <w:right w:val="none" w:sz="0" w:space="0" w:color="auto"/>
      </w:divBdr>
    </w:div>
    <w:div w:id="212102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policies/justice-and-fundamental-rights/combatting-discrimination/racism-and-xenophobia/eu-anti-racism-action-plan-2020-2025_en" TargetMode="External"/><Relationship Id="rId3" Type="http://schemas.openxmlformats.org/officeDocument/2006/relationships/hyperlink" Target="https://education.ec.europa.eu/focus-topics/digital-education/action-plan/action-1?" TargetMode="External"/><Relationship Id="rId7" Type="http://schemas.openxmlformats.org/officeDocument/2006/relationships/hyperlink" Target="https://ec.europa.eu/info/policies/justice-and-fundamental-rights/combatting-discrimination/lesbian-gay-bi-trans-and-intersex-equality/lgbtiq-equality-strategy-2020-2025_en" TargetMode="External"/><Relationship Id="rId12" Type="http://schemas.openxmlformats.org/officeDocument/2006/relationships/hyperlink" Target="https://education.ec.europa.eu/ro/education-levels/higher-education/european-universities-initiative" TargetMode="External"/><Relationship Id="rId2" Type="http://schemas.openxmlformats.org/officeDocument/2006/relationships/hyperlink" Target="https://ec.europa.eu/info/law/better-regulation/have-your-say/initiatives/12453-Digital-education-action-plan-update-/public-consultation_ro" TargetMode="External"/><Relationship Id="rId1" Type="http://schemas.openxmlformats.org/officeDocument/2006/relationships/hyperlink" Target="https://sdgs.un.org/" TargetMode="External"/><Relationship Id="rId6" Type="http://schemas.openxmlformats.org/officeDocument/2006/relationships/hyperlink" Target="https://ec.europa.eu/info/policies/justice-and-fundamental-rights/gender-equality/gender-equality-strategy_en" TargetMode="External"/><Relationship Id="rId11" Type="http://schemas.openxmlformats.org/officeDocument/2006/relationships/hyperlink" Target="https://education.ec.europa.eu/education-levels/higher-education/european-universities-initiative" TargetMode="External"/><Relationship Id="rId5" Type="http://schemas.openxmlformats.org/officeDocument/2006/relationships/hyperlink" Target="https://ec.europa.eu/commission/presscorner/detail/ro/speech_22_5493" TargetMode="External"/><Relationship Id="rId10" Type="http://schemas.openxmlformats.org/officeDocument/2006/relationships/hyperlink" Target="https://ec.europa.eu/commission/presscorner/detail/en/ip_21_810" TargetMode="External"/><Relationship Id="rId4" Type="http://schemas.openxmlformats.org/officeDocument/2006/relationships/hyperlink" Target="https://education.ec.europa.eu/focus-topics/digital-education/action-plan/action-1?" TargetMode="External"/><Relationship Id="rId9" Type="http://schemas.openxmlformats.org/officeDocument/2006/relationships/hyperlink" Target="https://ec.europa.eu/info/publications/new-eu-roma-strategic-framework-equality-inclusion-and-participation-full-package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D48F1434A9434C98DA00CC7DA69B89" ma:contentTypeVersion="14" ma:contentTypeDescription="Create a new document." ma:contentTypeScope="" ma:versionID="7d09f87af94164db77eaeafbc2bd6f8b">
  <xsd:schema xmlns:xsd="http://www.w3.org/2001/XMLSchema" xmlns:xs="http://www.w3.org/2001/XMLSchema" xmlns:p="http://schemas.microsoft.com/office/2006/metadata/properties" xmlns:ns2="590d3f1b-a5be-4600-95ba-480499bda195" xmlns:ns3="f2983581-87cd-4b3a-a77a-777bbb751c49" targetNamespace="http://schemas.microsoft.com/office/2006/metadata/properties" ma:root="true" ma:fieldsID="9f14ce707b0b9d84e18c930bef3051b8" ns2:_="" ns3:_="">
    <xsd:import namespace="590d3f1b-a5be-4600-95ba-480499bda195"/>
    <xsd:import namespace="f2983581-87cd-4b3a-a77a-777bbb751c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0d3f1b-a5be-4600-95ba-480499bda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983581-87cd-4b3a-a77a-777bbb751c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fff1328-5042-4c31-be15-d384fc3a69f0}" ma:internalName="TaxCatchAll" ma:showField="CatchAllData" ma:web="f2983581-87cd-4b3a-a77a-777bbb751c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0d3f1b-a5be-4600-95ba-480499bda195">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f2983581-87cd-4b3a-a77a-777bbb751c4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A4EEA-648C-4739-96DC-973311370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0d3f1b-a5be-4600-95ba-480499bda195"/>
    <ds:schemaRef ds:uri="f2983581-87cd-4b3a-a77a-777bbb751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A1F666-CA33-49FD-97F0-AB1B69F65702}">
  <ds:schemaRefs>
    <ds:schemaRef ds:uri="http://schemas.microsoft.com/sharepoint/v3/contenttype/forms"/>
  </ds:schemaRefs>
</ds:datastoreItem>
</file>

<file path=customXml/itemProps3.xml><?xml version="1.0" encoding="utf-8"?>
<ds:datastoreItem xmlns:ds="http://schemas.openxmlformats.org/officeDocument/2006/customXml" ds:itemID="{EB029410-A366-4790-8BFA-18D65D7C96F0}">
  <ds:schemaRefs>
    <ds:schemaRef ds:uri="http://schemas.microsoft.com/office/2006/metadata/properties"/>
    <ds:schemaRef ds:uri="http://purl.org/dc/terms/"/>
    <ds:schemaRef ds:uri="http://schemas.openxmlformats.org/package/2006/metadata/core-properties"/>
    <ds:schemaRef ds:uri="http://purl.org/dc/dcmitype/"/>
    <ds:schemaRef ds:uri="http://schemas.microsoft.com/office/2006/documentManagement/types"/>
    <ds:schemaRef ds:uri="590d3f1b-a5be-4600-95ba-480499bda195"/>
    <ds:schemaRef ds:uri="http://purl.org/dc/elements/1.1/"/>
    <ds:schemaRef ds:uri="http://schemas.microsoft.com/office/infopath/2007/PartnerControls"/>
    <ds:schemaRef ds:uri="f2983581-87cd-4b3a-a77a-777bbb751c49"/>
    <ds:schemaRef ds:uri="http://www.w3.org/XML/1998/namespace"/>
  </ds:schemaRefs>
</ds:datastoreItem>
</file>

<file path=customXml/itemProps4.xml><?xml version="1.0" encoding="utf-8"?>
<ds:datastoreItem xmlns:ds="http://schemas.openxmlformats.org/officeDocument/2006/customXml" ds:itemID="{B6081E8F-7BED-4A83-B532-1AF116AD6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26</Pages>
  <Words>9411</Words>
  <Characters>59009</Characters>
  <Application>Microsoft Office Word</Application>
  <DocSecurity>0</DocSecurity>
  <Lines>880</Lines>
  <Paragraphs>247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2023-04-21T12:39:00Z</dcterms:created>
  <dcterms:modified xsi:type="dcterms:W3CDTF">2023-04-27T10:50:00Z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2023-03-30T19:12:19Z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988febde-c3b2-4098-bf09-f7edaad730f1</vt:lpwstr>
  </property>
  <property fmtid="{D5CDD505-2E9C-101B-9397-08002B2CF9AE}" pid="8" name="MSIP_Label_6bd9ddd1-4d20-43f6-abfa-fc3c07406f94_ContentBits">
    <vt:lpwstr>0</vt:lpwstr>
  </property>
  <property fmtid="{D5CDD505-2E9C-101B-9397-08002B2CF9AE}" pid="9" name="Last edited using">
    <vt:lpwstr>LW 9.0, Build 20230317</vt:lpwstr>
  </property>
  <property fmtid="{D5CDD505-2E9C-101B-9397-08002B2CF9AE}" pid="10" name="MediaServiceImageTags">
    <vt:lpwstr/>
  </property>
  <property fmtid="{D5CDD505-2E9C-101B-9397-08002B2CF9AE}" pid="11" name="ContentTypeId">
    <vt:lpwstr>0x010100DAD48F1434A9434C98DA00CC7DA69B89</vt:lpwstr>
  </property>
  <property fmtid="{D5CDD505-2E9C-101B-9397-08002B2CF9AE}" pid="12" name="Category">
    <vt:lpwstr>COM/PL/ORG</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SJ-022</vt:lpwstr>
  </property>
  <property fmtid="{D5CDD505-2E9C-101B-9397-08002B2CF9AE}" pid="17" name="DQCStatus">
    <vt:lpwstr>Green (DQC version 03)</vt:lpwstr>
  </property>
</Properties>
</file>