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19F8E" w14:textId="4F03C272" w:rsidR="00473235" w:rsidRPr="00E46D00" w:rsidRDefault="00EF4204" w:rsidP="00EF4204">
      <w:pPr>
        <w:pStyle w:val="Pagedecouverture"/>
        <w:rPr>
          <w:noProof/>
        </w:rPr>
      </w:pPr>
      <w:bookmarkStart w:id="0" w:name="LW_BM_COVERPAGE"/>
      <w:r>
        <w:rPr>
          <w:noProof/>
        </w:rPr>
        <w:pict w14:anchorId="3472D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C2E0E7A-28C5-4D84-92C6-EA14959F9342" style="width:455.25pt;height:324pt">
            <v:imagedata r:id="rId11" o:title=""/>
          </v:shape>
        </w:pict>
      </w:r>
    </w:p>
    <w:bookmarkEnd w:id="0"/>
    <w:p w14:paraId="3182F536" w14:textId="202EBBBE" w:rsidR="00473235" w:rsidRPr="00E46D00" w:rsidRDefault="00473235" w:rsidP="005074EC">
      <w:pPr>
        <w:jc w:val="both"/>
        <w:rPr>
          <w:noProof/>
          <w:lang w:val="en-IE"/>
        </w:rPr>
        <w:sectPr w:rsidR="00473235" w:rsidRPr="00E46D00" w:rsidSect="00EF420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C1945F4" w14:textId="0F7A64E2" w:rsidR="001471C3" w:rsidRDefault="202BE90A" w:rsidP="005074EC">
      <w:pPr>
        <w:jc w:val="both"/>
        <w:rPr>
          <w:rFonts w:eastAsia="Times New Roman" w:cs="Times New Roman"/>
          <w:noProof/>
          <w:color w:val="000000" w:themeColor="text1"/>
        </w:rPr>
      </w:pPr>
      <w:bookmarkStart w:id="1" w:name="_GoBack"/>
      <w:bookmarkEnd w:id="1"/>
      <w:r>
        <w:rPr>
          <w:b/>
          <w:noProof/>
          <w:color w:val="000000" w:themeColor="text1"/>
        </w:rPr>
        <w:lastRenderedPageBreak/>
        <w:t>La santé mentale fait partie intégrante de la santé.</w:t>
      </w:r>
      <w:r>
        <w:rPr>
          <w:noProof/>
          <w:color w:val="000000" w:themeColor="text1"/>
        </w:rPr>
        <w:t xml:space="preserve"> Il s’agit d’un état de bien-être dans lequel les individus réalisent leur potentiel et peuvent gérer les sources de stress tout en contribuant à la vie collective. La santé mentale est une condition préalable à une économie productive et à une société inclusive. Elle dépasse les questions individuelles ou familiales. </w:t>
      </w:r>
    </w:p>
    <w:p w14:paraId="7DD6C396" w14:textId="78A01A17" w:rsidR="00112E46" w:rsidRPr="00DC2002" w:rsidRDefault="003D6CCF" w:rsidP="005074EC">
      <w:pPr>
        <w:jc w:val="both"/>
        <w:rPr>
          <w:rFonts w:eastAsia="Times New Roman" w:cs="Times New Roman"/>
          <w:noProof/>
          <w:color w:val="000000" w:themeColor="text1"/>
        </w:rPr>
      </w:pPr>
      <w:r>
        <w:rPr>
          <w:noProof/>
          <w:color w:val="000000" w:themeColor="text1"/>
        </w:rPr>
        <w:t>La santé mentale ou mauvaise santé ne vient donc pas de nulle part: elle est conditionnée par des facteurs personnels et externes. Elle est le reflet de l’état de notre société, de notre économie, de notre environnement et aussi de la situation internationale actuelle, et elle en subit l’influence. L’Union européenne (UE) et le monde ont traversé des crises sans précédent, telles que la pandémie de COVID-19, la guerre d’agression menée par la Russie contre l’Ukraine, la crise énergétique et l’inflation, qui ont bouleversé la réalité quotidienne, les attentes et la confiance des citoyens. La triple crise planétaire (changement climatique, perte de biodiversité et pollution) s’aggrave. La progression de la numérisation, l’évolution démographique et les changements radicaux observés sur le marché du travail créent des difficultés en même temps que des opportunités Outre le fait d’affronter ces crises, il est essentiel de répondre aux problèmes de santé mentale pour renforcer la résilience des individus et de la population en général.</w:t>
      </w:r>
    </w:p>
    <w:p w14:paraId="060073A9" w14:textId="4E3240ED" w:rsidR="00D10E82" w:rsidRPr="00DC2002" w:rsidRDefault="00C346EC" w:rsidP="005074EC">
      <w:pPr>
        <w:jc w:val="both"/>
        <w:rPr>
          <w:rFonts w:cs="Times New Roman"/>
          <w:noProof/>
        </w:rPr>
      </w:pPr>
      <w:r>
        <w:rPr>
          <w:noProof/>
        </w:rPr>
        <w:t>L’amélioration de la santé mentale est un impératif à la fois social et économique. Avant la pandémie de COVID-19, les problèmes de santé mentale touchaient environ 84 millions de personnes dans l’UE (une personne sur six), pour un coût de 600 milliards d’EUR, soit plus de 4 % du PIB</w:t>
      </w:r>
      <w:r>
        <w:rPr>
          <w:rFonts w:cs="Times New Roman"/>
          <w:noProof/>
          <w:vertAlign w:val="superscript"/>
          <w:lang w:val="en-IE"/>
        </w:rPr>
        <w:footnoteReference w:id="2"/>
      </w:r>
      <w:r>
        <w:rPr>
          <w:noProof/>
        </w:rPr>
        <w:t>, avec d’importantes inégalités régionales, sociales, de genre et d’âge. En ce qui concerne le lieu de travail, 27 % des travailleurs ont fait état de stress, de dépression ou d’anxiété liés au travail au cours des douze derniers mois, ce qui augmente les probabilités d’absentéisme et entraîne de graves répercussions sur la vie des travailleurs et l’organisation des entreprises. Le</w:t>
      </w:r>
      <w:r>
        <w:rPr>
          <w:b/>
          <w:noProof/>
        </w:rPr>
        <w:t xml:space="preserve"> coût de l’inaction</w:t>
      </w:r>
      <w:r>
        <w:rPr>
          <w:noProof/>
        </w:rPr>
        <w:t xml:space="preserve"> dans le domaine de la santé mentale est déjà important et, malheureusement, il devrait encore augmenter sous l’effet des facteurs de stress mondiaux. Déjà en 2019, plus de 7 % de la population de l’UE souffrait de dépression</w:t>
      </w:r>
      <w:r>
        <w:rPr>
          <w:rStyle w:val="FootnoteReference"/>
          <w:rFonts w:cs="Times New Roman"/>
          <w:noProof/>
          <w:lang w:val="en-IE"/>
        </w:rPr>
        <w:footnoteReference w:id="3"/>
      </w:r>
      <w:r>
        <w:rPr>
          <w:noProof/>
        </w:rPr>
        <w:t xml:space="preserve"> et 13 % des citoyens se sentaient seuls la plupart du temps.</w:t>
      </w:r>
    </w:p>
    <w:p w14:paraId="7EB3CCEE" w14:textId="657CF130" w:rsidR="002C553C" w:rsidRPr="00DC2002" w:rsidRDefault="00193680" w:rsidP="005074EC">
      <w:pPr>
        <w:jc w:val="both"/>
        <w:rPr>
          <w:noProof/>
          <w:sz w:val="22"/>
        </w:rPr>
      </w:pPr>
      <w:r>
        <w:rPr>
          <w:noProof/>
        </w:rPr>
        <w:t>La pandémie a représenté une grave menace pour la santé mentale, en particulier chez les jeunes et les personnes souffrant de troubles de la santé mentale préexistants. Pendant la pandémie, la proportion de personnes touchées par la solitude dans l’UE a doublé par rapport aux années précédant la pandémie, et a atteint 26 % dans certaines régions</w:t>
      </w:r>
      <w:r>
        <w:rPr>
          <w:rStyle w:val="FootnoteReference"/>
          <w:noProof/>
          <w:lang w:val="en-IE"/>
        </w:rPr>
        <w:footnoteReference w:id="4"/>
      </w:r>
      <w:r>
        <w:rPr>
          <w:noProof/>
        </w:rPr>
        <w:t>. La hausse de la solitude et la réduction des interactions sociales, les préoccupations concernant sa propre santé et celles de ses proches, les incertitudes quant à l’avenir ainsi que l’anxiété causée par les peurs et les pertes</w:t>
      </w:r>
      <w:r>
        <w:rPr>
          <w:rStyle w:val="FootnoteReference"/>
          <w:noProof/>
          <w:lang w:val="en-IE"/>
        </w:rPr>
        <w:footnoteReference w:id="5"/>
      </w:r>
      <w:r>
        <w:rPr>
          <w:noProof/>
        </w:rPr>
        <w:t xml:space="preserve"> ont toutes été à l’origine de troubles de stress post-traumatiques.</w:t>
      </w:r>
    </w:p>
    <w:p w14:paraId="20067D90" w14:textId="0D29E6EC" w:rsidR="00C749B2" w:rsidRPr="00DC2002" w:rsidRDefault="00FD5AC8" w:rsidP="005074EC">
      <w:pPr>
        <w:jc w:val="both"/>
        <w:rPr>
          <w:noProof/>
          <w:szCs w:val="24"/>
        </w:rPr>
      </w:pPr>
      <w:r>
        <w:rPr>
          <w:noProof/>
        </w:rPr>
        <w:t>Le suicide est la deuxième cause de décès chez les jeunes (15-19 ans)</w:t>
      </w:r>
      <w:r>
        <w:rPr>
          <w:rStyle w:val="FootnoteReference"/>
          <w:rFonts w:eastAsia="Times New Roman" w:cs="Times New Roman"/>
          <w:noProof/>
          <w:szCs w:val="24"/>
          <w:lang w:val="en-IE"/>
        </w:rPr>
        <w:footnoteReference w:id="6"/>
      </w:r>
      <w:r>
        <w:rPr>
          <w:noProof/>
        </w:rPr>
        <w:t xml:space="preserve"> après les accidents de la route. Dans l’UE, la valeur annuelle de la dégradation de la santé mentale chez les enfants et les jeunes est estimée à 50 milliards d’EUR</w:t>
      </w:r>
      <w:r>
        <w:rPr>
          <w:rStyle w:val="FootnoteReference"/>
          <w:noProof/>
          <w:lang w:val="en-IE"/>
        </w:rPr>
        <w:footnoteReference w:id="7"/>
      </w:r>
      <w:r>
        <w:rPr>
          <w:noProof/>
        </w:rPr>
        <w:t xml:space="preserve">. </w:t>
      </w:r>
    </w:p>
    <w:p w14:paraId="5090B40C" w14:textId="1B8CAEB9" w:rsidR="00F770EC" w:rsidRPr="00DC2002" w:rsidRDefault="00F83288" w:rsidP="00F770EC">
      <w:pPr>
        <w:jc w:val="both"/>
        <w:rPr>
          <w:noProof/>
        </w:rPr>
      </w:pPr>
      <w:r>
        <w:rPr>
          <w:noProof/>
        </w:rPr>
        <w:t xml:space="preserve">Derrière ces statistiques se trouvent des millions d’histoires personnelles. Les tablettes et les smartphones, ainsi que les plateformes de médias sociaux et les applications de messagerie, font désormais partie intégrante de la vie des enfants et des adolescents, parfois au détriment de leur santé physique et mentale.  Des histoires de personnes exclues de la société confrontées à des discriminations. Des histoires de personnes âgées qui se sentent seules, de travailleurs confrontés à l’épuisement professionnel, de parents qui ne s’en sortent plus et de personnes face à l’isolement en raison de leur identité ou de leur lieu de résidence. </w:t>
      </w:r>
    </w:p>
    <w:p w14:paraId="62446303" w14:textId="4B020BA4" w:rsidR="00F770EC" w:rsidRPr="00DC2002" w:rsidRDefault="00F770EC" w:rsidP="00F770EC">
      <w:pPr>
        <w:jc w:val="both"/>
        <w:rPr>
          <w:noProof/>
        </w:rPr>
      </w:pPr>
      <w:r>
        <w:rPr>
          <w:noProof/>
        </w:rPr>
        <w:t>Conformément à la Charte des droits fondamentaux de l’Union européenne, toute personne a le</w:t>
      </w:r>
      <w:r>
        <w:rPr>
          <w:b/>
          <w:noProof/>
        </w:rPr>
        <w:t xml:space="preserve"> droit d’accéder à la prévention en matière de santé et de bénéficier de soins médicaux</w:t>
      </w:r>
      <w:r>
        <w:rPr>
          <w:noProof/>
        </w:rPr>
        <w:t xml:space="preserve"> dans les conditions établies par les législations et pratiques nationales. Conformément au socle européen des droits sociaux, toute personne a le droit d’accéder en temps utile à des soins de santé préventifs et curatifs abordables et de qualité.</w:t>
      </w:r>
    </w:p>
    <w:p w14:paraId="39049929" w14:textId="1ED43FF3" w:rsidR="00FD5AC8" w:rsidRDefault="004E7FED" w:rsidP="00FD5AC8">
      <w:pPr>
        <w:jc w:val="both"/>
        <w:rPr>
          <w:rFonts w:cs="Times New Roman"/>
          <w:noProof/>
        </w:rPr>
      </w:pPr>
      <w:r>
        <w:rPr>
          <w:noProof/>
        </w:rPr>
        <w:t xml:space="preserve">Pour mettre en place une société en bonne santé, les citoyens doivent notamment savoir qu’il est possible de trouver de l’aide et d’accéder à un soutien et à des traitements abordables et de qualité. L’un des principaux </w:t>
      </w:r>
      <w:r>
        <w:rPr>
          <w:b/>
          <w:noProof/>
        </w:rPr>
        <w:t>objectifs en matière de politique publique</w:t>
      </w:r>
      <w:r>
        <w:rPr>
          <w:noProof/>
        </w:rPr>
        <w:t xml:space="preserve"> devrait être de garantir que personne ne soit laissé pour compte, que les citoyens aient un accès égal aux services de prévention et de santé mentale dans l’ensemble de l’UE, et que la réintégration et l’inclusion sociale guident les actions collectives visant à lutter contre les maladies mentales. Il est nécessaire de mettre en place des orientations, une coordination, un soutien renforcé et des actions ciblées efficaces pour que l’Europe se rapproche de cet objectif. L’analyse de l’évolution démographique peut servir de base à des interventions ciblées, étant donné que les facteurs démographiques peuvent aider à identifier les groupes à haut risque susceptibles de nécessiter un soutien ou des ressources spécifiques, et peut permettre d’adapter les politiques en conséquence.</w:t>
      </w:r>
    </w:p>
    <w:p w14:paraId="2581AEF9" w14:textId="32AED2CE" w:rsidR="002C4A15" w:rsidRPr="00DC2002" w:rsidRDefault="002C4A15" w:rsidP="002C4A15">
      <w:pPr>
        <w:jc w:val="both"/>
        <w:rPr>
          <w:noProof/>
        </w:rPr>
      </w:pPr>
      <w:r>
        <w:rPr>
          <w:noProof/>
        </w:rPr>
        <w:t xml:space="preserve">En réponse à cette situation et à l’appel à l’action lancé par les citoyens dans le cadre de la conférence sur l’avenir de l’Europe, la présidente von der Leyen a annoncé une nouvelle initiative sur la santé mentale dans l’UE. Intégrée dans la priorité de la Commission intitulée «Promotion de notre mode de vie européen», cette initiative marque un tournant dans la manière d’aborder la santé mentale dans l’UE. La Commission répond également à l’appel à l’action lancé par le Parlement européen à la suite de sa résolution de 2022 sur la santé mentale dans le monde du travail numérique </w:t>
      </w:r>
      <w:r>
        <w:rPr>
          <w:rStyle w:val="FootnoteReference"/>
          <w:noProof/>
        </w:rPr>
        <w:footnoteReference w:id="8"/>
      </w:r>
      <w:r>
        <w:rPr>
          <w:noProof/>
        </w:rPr>
        <w:t xml:space="preserve">, dans lequel les institutions de l’UE et les États membres ont été invités à reconnaître l’ampleur des problèmes de santé mentale liés au travail et à agir en conséquence. </w:t>
      </w:r>
      <w:bookmarkStart w:id="2" w:name="_Hlk135997556"/>
      <w:r>
        <w:rPr>
          <w:noProof/>
          <w:color w:val="000000" w:themeColor="text1"/>
        </w:rPr>
        <w:t xml:space="preserve">La présente communication marque le début d’une nouvelle approche stratégique en matière de santé mentale: </w:t>
      </w:r>
      <w:r>
        <w:rPr>
          <w:noProof/>
        </w:rPr>
        <w:t>intersectorielle par nature, elle va au-delà de la politique de santé.</w:t>
      </w:r>
      <w:r>
        <w:rPr>
          <w:noProof/>
          <w:color w:val="000000" w:themeColor="text1"/>
        </w:rPr>
        <w:t xml:space="preserve"> Elle se concentre sur les façons d’apporter une aide aux personnes souffrant de problèmes de santé mentale et sur les politiques de prévention. Elle s’appuie sur </w:t>
      </w:r>
      <w:r>
        <w:rPr>
          <w:b/>
          <w:noProof/>
          <w:color w:val="000000" w:themeColor="text1"/>
        </w:rPr>
        <w:t>trois principes directeurs qui devraient s’appliquer à chaque citoyen de l’Union</w:t>
      </w:r>
      <w:r>
        <w:rPr>
          <w:noProof/>
          <w:color w:val="000000" w:themeColor="text1"/>
        </w:rPr>
        <w:t xml:space="preserve">: </w:t>
      </w:r>
      <w:r>
        <w:rPr>
          <w:noProof/>
        </w:rPr>
        <w:t xml:space="preserve">i) </w:t>
      </w:r>
      <w:r>
        <w:rPr>
          <w:noProof/>
          <w:color w:val="000000" w:themeColor="text1"/>
        </w:rPr>
        <w:t xml:space="preserve">l’accès à </w:t>
      </w:r>
      <w:r>
        <w:rPr>
          <w:noProof/>
        </w:rPr>
        <w:t>une prévention adéquate et efficace, ii) l’accès à des soins de santé mentale et à des traitements abordables et de qualité et iii) la capacité à réintégrer la société après le rétablissement.</w:t>
      </w:r>
    </w:p>
    <w:p w14:paraId="6D0A1A27" w14:textId="3235C71A" w:rsidR="00CD2FA0" w:rsidRPr="00DC2002" w:rsidRDefault="00DB08EB" w:rsidP="00DB08EB">
      <w:pPr>
        <w:jc w:val="both"/>
        <w:rPr>
          <w:noProof/>
        </w:rPr>
      </w:pPr>
      <w:r>
        <w:rPr>
          <w:noProof/>
        </w:rPr>
        <w:t xml:space="preserve">Ces principes directeurs orientent toutes les composantes de la présente initiative et figurent directement dans les chapitres ci-après. </w:t>
      </w:r>
    </w:p>
    <w:p w14:paraId="3401A653" w14:textId="49D0C59D" w:rsidR="00503A72" w:rsidRPr="00DC2002" w:rsidRDefault="00503A72" w:rsidP="00503A72">
      <w:pPr>
        <w:jc w:val="both"/>
        <w:rPr>
          <w:rFonts w:eastAsia="Times New Roman" w:cs="Times New Roman"/>
          <w:noProof/>
          <w:color w:val="000000" w:themeColor="text1"/>
        </w:rPr>
      </w:pPr>
      <w:r>
        <w:rPr>
          <w:noProof/>
        </w:rPr>
        <w:t>L’approche globale adoptée aujourd’hui en matière de santé mentale appelle les acteurs nationaux et régionaux, les secteurs de la santé et les autres secteurs ainsi que les parties prenantes concernées, allant des organisations de patients et de la société civile au monde universitaire et à l’industrie, à travailler ensemble.</w:t>
      </w:r>
      <w:r>
        <w:rPr>
          <w:noProof/>
          <w:color w:val="000000" w:themeColor="text1"/>
        </w:rPr>
        <w:t xml:space="preserve"> Son objectif est de mettre en place des outils visant à stimuler le changement, notamment au niveau mondial, à renforcer les structures existantes et à assurer le suivi des actions. </w:t>
      </w:r>
    </w:p>
    <w:p w14:paraId="2C7A80B0" w14:textId="287015FE" w:rsidR="00503A72" w:rsidRDefault="00503A72" w:rsidP="00503A72">
      <w:pPr>
        <w:jc w:val="both"/>
        <w:rPr>
          <w:bCs/>
          <w:noProof/>
        </w:rPr>
      </w:pPr>
      <w:r>
        <w:rPr>
          <w:noProof/>
        </w:rPr>
        <w:t>Dans le cadre de la priorité de la Commission «Promotion de notre mode de vie européen», la présente communication soutiendra les États membres dans leurs efforts pour atteindre les objectifs de l’Organisation mondiale de la santé (OMS) en matière de maladies non transmissibles d’ici à 2025</w:t>
      </w:r>
      <w:r>
        <w:rPr>
          <w:rStyle w:val="FootnoteReference"/>
          <w:rFonts w:cs="Times New Roman"/>
          <w:bCs/>
          <w:noProof/>
          <w:lang w:val="en-IE"/>
        </w:rPr>
        <w:footnoteReference w:id="9"/>
      </w:r>
      <w:r>
        <w:rPr>
          <w:noProof/>
        </w:rPr>
        <w:t xml:space="preserve"> et les objectifs de développement durable (ODD)</w:t>
      </w:r>
      <w:r>
        <w:rPr>
          <w:rStyle w:val="FootnoteReference"/>
          <w:rFonts w:cs="Times New Roman"/>
          <w:bCs/>
          <w:noProof/>
          <w:lang w:val="en-IE"/>
        </w:rPr>
        <w:footnoteReference w:id="10"/>
      </w:r>
      <w:r>
        <w:rPr>
          <w:noProof/>
        </w:rPr>
        <w:t xml:space="preserve"> d’ici à 2030, notamment en ce qui concerne la santé mentale.</w:t>
      </w:r>
    </w:p>
    <w:bookmarkEnd w:id="2"/>
    <w:p w14:paraId="0B4A37E6" w14:textId="058E1D00" w:rsidR="00491894" w:rsidRPr="00DC2002" w:rsidRDefault="00491894" w:rsidP="00491894">
      <w:pPr>
        <w:pStyle w:val="Heading2"/>
        <w:jc w:val="both"/>
        <w:rPr>
          <w:noProof/>
        </w:rPr>
      </w:pPr>
      <w:r>
        <w:rPr>
          <w:noProof/>
        </w:rPr>
        <w:t>Intégrer la santé mentale dans l’ensemble des politiques</w:t>
      </w:r>
    </w:p>
    <w:p w14:paraId="235CAA12" w14:textId="77777777" w:rsidR="00491894" w:rsidRPr="006C0ADA" w:rsidRDefault="00491894" w:rsidP="005074EC">
      <w:pPr>
        <w:spacing w:after="0"/>
        <w:jc w:val="both"/>
        <w:rPr>
          <w:rFonts w:cs="Times New Roman"/>
          <w:noProof/>
        </w:rPr>
      </w:pPr>
    </w:p>
    <w:p w14:paraId="3266CB8C" w14:textId="0362B1D5" w:rsidR="006031B5" w:rsidRPr="00DC2002" w:rsidRDefault="00F36E66" w:rsidP="005074EC">
      <w:pPr>
        <w:jc w:val="both"/>
        <w:rPr>
          <w:rFonts w:eastAsia="Times New Roman" w:cs="Times New Roman"/>
          <w:noProof/>
        </w:rPr>
      </w:pPr>
      <w:r>
        <w:rPr>
          <w:noProof/>
        </w:rPr>
        <w:t xml:space="preserve">Notre </w:t>
      </w:r>
      <w:r>
        <w:rPr>
          <w:b/>
          <w:noProof/>
        </w:rPr>
        <w:t>approche globale</w:t>
      </w:r>
      <w:r>
        <w:rPr>
          <w:noProof/>
        </w:rPr>
        <w:t xml:space="preserve"> doit reconnaître l’influence des facteurs biologiques et psychologiques, ainsi que l’importance de la famille, de la communauté, de la société et de l’environnement. Elle englobe le rôle de l’articulation entre travail et soins, les environnements scolaire et professionnel, le monde numérique, ainsi que les déterminants de la santé sur les plans social (les niveaux de violence subie, le genre, le comportement ou encore l’éducation</w:t>
      </w:r>
      <w:r>
        <w:rPr>
          <w:rStyle w:val="FootnoteReference"/>
          <w:rFonts w:eastAsia="Times New Roman" w:cs="Times New Roman"/>
          <w:noProof/>
          <w:lang w:val="en-IE"/>
        </w:rPr>
        <w:footnoteReference w:id="11"/>
      </w:r>
      <w:r>
        <w:rPr>
          <w:noProof/>
        </w:rPr>
        <w:t>), économique (l’instabilité, l’inflation, la pauvreté ou encore le chômage) et commercial (par exemple, la pression exercée par le marketing agressif).</w:t>
      </w:r>
    </w:p>
    <w:p w14:paraId="0B962229" w14:textId="1B528B96" w:rsidR="00AA24CB" w:rsidRPr="00DC2002" w:rsidRDefault="00EA0906" w:rsidP="005074EC">
      <w:pPr>
        <w:jc w:val="both"/>
        <w:rPr>
          <w:rFonts w:eastAsia="Times New Roman" w:cs="Times New Roman"/>
          <w:noProof/>
        </w:rPr>
      </w:pPr>
      <w:r>
        <w:rPr>
          <w:noProof/>
        </w:rPr>
        <w:t>Par conséquent, les politiques dans des secteurs tels que la santé, l’éducation, la jeunesse, les arts et la culture, l’environnement, l’emploi, la cohésion, la recherche et l’innovation, la protection sociale, le développement urbain durable et le monde numérique doivent améliorer la santé mentale et soutenir la résilience dans ce domaine. Les obstacles à une bonne santé mentale ne peuvent être surmontés au sein du seul système de santé</w:t>
      </w:r>
      <w:r>
        <w:rPr>
          <w:rStyle w:val="FootnoteReference"/>
          <w:noProof/>
          <w:lang w:val="en-IE"/>
        </w:rPr>
        <w:footnoteReference w:id="12"/>
      </w:r>
      <w:r>
        <w:rPr>
          <w:noProof/>
        </w:rPr>
        <w:t>.</w:t>
      </w:r>
    </w:p>
    <w:p w14:paraId="03024B5D" w14:textId="58C1B362" w:rsidR="002247F6" w:rsidRPr="00DC2002" w:rsidRDefault="00101C28" w:rsidP="005074EC">
      <w:pPr>
        <w:jc w:val="both"/>
        <w:rPr>
          <w:rFonts w:eastAsia="Calibri" w:cs="Times New Roman"/>
          <w:noProof/>
          <w:color w:val="000000" w:themeColor="text1"/>
          <w:szCs w:val="24"/>
        </w:rPr>
      </w:pPr>
      <w:r>
        <w:rPr>
          <w:noProof/>
          <w:color w:val="000000" w:themeColor="text1"/>
        </w:rPr>
        <w:t xml:space="preserve">Les déterminants de la santé mentale interagissent avec les inégalités existantes dans la société, ce qui expose certaines personnes à un risque plus élevé de mauvaise santé mentale que d’autres. Lorsque la </w:t>
      </w:r>
      <w:r>
        <w:rPr>
          <w:b/>
          <w:noProof/>
          <w:color w:val="000000" w:themeColor="text1"/>
        </w:rPr>
        <w:t>discrimination</w:t>
      </w:r>
      <w:r>
        <w:rPr>
          <w:noProof/>
          <w:color w:val="000000" w:themeColor="text1"/>
        </w:rPr>
        <w:t xml:space="preserve"> fondée sur le genre, la race ou l’origine ethnique, la religion ou les convictions, le handicap, l’âge ou l’orientation sexuelle, </w:t>
      </w:r>
      <w:r>
        <w:rPr>
          <w:b/>
          <w:noProof/>
          <w:color w:val="000000" w:themeColor="text1"/>
        </w:rPr>
        <w:t>la violence et la haine</w:t>
      </w:r>
      <w:r>
        <w:rPr>
          <w:noProof/>
          <w:color w:val="000000" w:themeColor="text1"/>
        </w:rPr>
        <w:t xml:space="preserve"> sont à l’origine d’une mauvaise santé mentale, la promotion de l’égalité dans nos sociétés est un outil important de prévention. La Commission a adopté cinq stratégies en matière d’égalité</w:t>
      </w:r>
      <w:r>
        <w:rPr>
          <w:rStyle w:val="FootnoteReference"/>
          <w:rFonts w:eastAsia="Calibri" w:cs="Times New Roman"/>
          <w:noProof/>
          <w:color w:val="000000" w:themeColor="text1"/>
          <w:szCs w:val="24"/>
          <w:lang w:val="en-IE"/>
        </w:rPr>
        <w:footnoteReference w:id="13"/>
      </w:r>
      <w:r>
        <w:rPr>
          <w:noProof/>
          <w:color w:val="000000" w:themeColor="text1"/>
        </w:rPr>
        <w:t xml:space="preserve"> en 2020 et 2021 afin de progresser vers une </w:t>
      </w:r>
      <w:r>
        <w:rPr>
          <w:b/>
          <w:noProof/>
          <w:color w:val="000000" w:themeColor="text1"/>
        </w:rPr>
        <w:t>Union de l’égalité</w:t>
      </w:r>
      <w:r>
        <w:rPr>
          <w:noProof/>
          <w:color w:val="000000" w:themeColor="text1"/>
        </w:rPr>
        <w:t xml:space="preserve">. Toutes les stratégies soulignent que le risque de discrimination conduit à une dégradation de la santé mentale. </w:t>
      </w:r>
      <w:r>
        <w:rPr>
          <w:noProof/>
        </w:rPr>
        <w:t xml:space="preserve">L’enfance est une étape décisive de la vie quant à la détermination de la future santé mentale, comme souligné dans la </w:t>
      </w:r>
      <w:r>
        <w:rPr>
          <w:b/>
          <w:noProof/>
        </w:rPr>
        <w:t>stratégie de l’UE sur les droits de l’enfant</w:t>
      </w:r>
      <w:r>
        <w:rPr>
          <w:rFonts w:eastAsia="Calibri" w:cs="Times New Roman"/>
          <w:b/>
          <w:bCs/>
          <w:noProof/>
          <w:color w:val="000000" w:themeColor="text1"/>
          <w:szCs w:val="24"/>
          <w:vertAlign w:val="superscript"/>
          <w:lang w:val="en-IE"/>
        </w:rPr>
        <w:footnoteReference w:id="14"/>
      </w:r>
      <w:r>
        <w:rPr>
          <w:noProof/>
        </w:rPr>
        <w:t xml:space="preserve">, qui demande l’adoption d’une approche globale pour empêcher toute forme de violence sur les enfants et protéger ces derniers. </w:t>
      </w:r>
      <w:r>
        <w:rPr>
          <w:noProof/>
          <w:color w:val="000000" w:themeColor="text1"/>
        </w:rPr>
        <w:t xml:space="preserve"> </w:t>
      </w:r>
    </w:p>
    <w:p w14:paraId="68710151" w14:textId="49BC3044" w:rsidR="005D1FFA" w:rsidRPr="00DC2002" w:rsidRDefault="00BB7AB9" w:rsidP="004D139F">
      <w:pPr>
        <w:jc w:val="both"/>
        <w:rPr>
          <w:noProof/>
        </w:rPr>
      </w:pPr>
      <w:r>
        <w:rPr>
          <w:noProof/>
        </w:rPr>
        <w:t>L’</w:t>
      </w:r>
      <w:r>
        <w:rPr>
          <w:b/>
          <w:noProof/>
        </w:rPr>
        <w:t>Année européenne de la jeunesse</w:t>
      </w:r>
      <w:r>
        <w:rPr>
          <w:noProof/>
        </w:rPr>
        <w:t xml:space="preserve"> 2022 s’est concentrée sur le rétablissement de perspectives positives pour les jeunes et comprenait des activités de soutien à la santé mentale et au bien-être des jeunes. L’</w:t>
      </w:r>
      <w:r>
        <w:rPr>
          <w:b/>
          <w:noProof/>
        </w:rPr>
        <w:t>Année européenne des compétences</w:t>
      </w:r>
      <w:r>
        <w:rPr>
          <w:noProof/>
        </w:rPr>
        <w:t xml:space="preserve"> encouragera, en 2023, les investissements dans la formation et le perfectionnement professionnel afin d’accroître les perspectives d’avenir et d’améliorer la capacité d’adaptation des personnes et des travailleurs au changement, ce qui s’inscrit dans la promotion d’une approche globale en matière de santé mentale.</w:t>
      </w:r>
    </w:p>
    <w:p w14:paraId="704DC7D0" w14:textId="53947140" w:rsidR="00D12059" w:rsidRDefault="7E3ED559" w:rsidP="00D12059">
      <w:pPr>
        <w:jc w:val="both"/>
        <w:rPr>
          <w:rFonts w:eastAsia="Calibri" w:cs="Arial"/>
          <w:noProof/>
          <w:szCs w:val="24"/>
        </w:rPr>
      </w:pPr>
      <w:bookmarkStart w:id="3" w:name="_Hlk136538130"/>
      <w:bookmarkStart w:id="4" w:name="_Hlk131604529"/>
      <w:r>
        <w:rPr>
          <w:noProof/>
        </w:rPr>
        <w:t xml:space="preserve">Une politique de santé mentale qui bénéficie à tous doit fonctionner dans tous les domaines d’action pertinents aux niveaux européen, national, régional et local. De plus en plus d’études montrent que les relations interpersonnelles et la reconnexion à la nature ont une incidence positive sur la santé mentale. Parallèlement, l’incidence de la pollution sur la santé mentale est largement reconnue, notamment par la pollution de l’air ou l’exposition des citoyens à des substances chimiques toxiques. Les objectifs et les actions du </w:t>
      </w:r>
      <w:r>
        <w:rPr>
          <w:b/>
          <w:noProof/>
        </w:rPr>
        <w:t>pacte vert pour l’Europe</w:t>
      </w:r>
      <w:r>
        <w:rPr>
          <w:noProof/>
        </w:rPr>
        <w:t xml:space="preserve"> consistant à promouvoir un environnement propre, des sites renaturalisés et restaurés et l’écologisation urbaine ont une incidence positive sur notre santé physique et mentale</w:t>
      </w:r>
      <w:bookmarkEnd w:id="3"/>
      <w:r>
        <w:rPr>
          <w:noProof/>
        </w:rPr>
        <w:t xml:space="preserve">. </w:t>
      </w:r>
    </w:p>
    <w:p w14:paraId="64CC1DB9" w14:textId="5568C738" w:rsidR="005A1EC8" w:rsidRPr="00A53839" w:rsidRDefault="005A1EC8" w:rsidP="00D12059">
      <w:pPr>
        <w:jc w:val="both"/>
        <w:rPr>
          <w:noProof/>
        </w:rPr>
      </w:pPr>
      <w:r>
        <w:rPr>
          <w:noProof/>
        </w:rPr>
        <w:t xml:space="preserve">Afin de prévenir les risques liés à l’utilisation des services numériques, notamment ceux liés à la santé mentale, le </w:t>
      </w:r>
      <w:r>
        <w:rPr>
          <w:b/>
          <w:noProof/>
        </w:rPr>
        <w:t>règlement sur les services numériques</w:t>
      </w:r>
      <w:r>
        <w:rPr>
          <w:noProof/>
          <w:vertAlign w:val="superscript"/>
        </w:rPr>
        <w:footnoteReference w:id="15"/>
      </w:r>
      <w:r>
        <w:rPr>
          <w:noProof/>
        </w:rPr>
        <w:t xml:space="preserve"> met en place un large éventail d’obligations de diligence applicables aux intermédiaires en ligne. Afin de permettre de trouver des solutions ciblées et de répondre efficacement aux préoccupations de politique publique, le règlement sur les services numériques reconnaît les risques spécifiques liés aux effets négatifs graves sur le </w:t>
      </w:r>
      <w:r>
        <w:rPr>
          <w:b/>
          <w:noProof/>
        </w:rPr>
        <w:t>bien-être physique et mental des personnes</w:t>
      </w:r>
      <w:r>
        <w:rPr>
          <w:noProof/>
        </w:rPr>
        <w:t xml:space="preserve">, ainsi que les conséquences sur le </w:t>
      </w:r>
      <w:r>
        <w:rPr>
          <w:b/>
          <w:noProof/>
        </w:rPr>
        <w:t>développement physique et mental des enfants</w:t>
      </w:r>
      <w:r>
        <w:rPr>
          <w:noProof/>
        </w:rPr>
        <w:t xml:space="preserve"> susceptibles d’être causées par l’utilisation de ces plateformes. Les plus grandes plateformes et moteurs de recherche, c’est-à-dire ceux qui comptent plus de 45 millions d’utilisateurs dans l’Union, sont tenues d’évaluer les risques systémiques que leurs services représentent pour la santé mentale et d’adopter des mesures pour atténuer les risques recensés</w:t>
      </w:r>
      <w:r>
        <w:rPr>
          <w:rStyle w:val="FootnoteReference"/>
          <w:noProof/>
          <w:lang w:val="en-IE"/>
        </w:rPr>
        <w:footnoteReference w:id="16"/>
      </w:r>
      <w:r>
        <w:rPr>
          <w:noProof/>
        </w:rPr>
        <w:t xml:space="preserve">. </w:t>
      </w:r>
    </w:p>
    <w:p w14:paraId="3F41CF97" w14:textId="2022E8CC" w:rsidR="00043A63" w:rsidRPr="00DC2002" w:rsidRDefault="00156088" w:rsidP="0072462B">
      <w:pPr>
        <w:jc w:val="both"/>
        <w:rPr>
          <w:bCs/>
          <w:noProof/>
        </w:rPr>
      </w:pPr>
      <w:r>
        <w:rPr>
          <w:noProof/>
        </w:rPr>
        <w:t xml:space="preserve">La Commission soutient déjà le </w:t>
      </w:r>
      <w:r>
        <w:rPr>
          <w:b/>
          <w:noProof/>
        </w:rPr>
        <w:t>transfert des bonnes pratiques pertinentes</w:t>
      </w:r>
      <w:r>
        <w:rPr>
          <w:noProof/>
        </w:rPr>
        <w:t xml:space="preserve"> des États membres et des parties prenantes afin de promouvoir la santé mentale dans toutes les politiques au sein des communautés</w:t>
      </w:r>
      <w:r>
        <w:rPr>
          <w:rStyle w:val="FootnoteReference"/>
          <w:bCs/>
          <w:noProof/>
          <w:lang w:val="en-IE"/>
        </w:rPr>
        <w:footnoteReference w:id="17"/>
      </w:r>
      <w:r>
        <w:rPr>
          <w:noProof/>
        </w:rPr>
        <w:t xml:space="preserve"> par l’intermédiaire du groupe d’experts sur la santé publique</w:t>
      </w:r>
      <w:r>
        <w:rPr>
          <w:rStyle w:val="FootnoteReference"/>
          <w:rFonts w:eastAsia="Calibri" w:cs="Arial"/>
          <w:noProof/>
          <w:szCs w:val="24"/>
          <w:lang w:val="en-IE"/>
        </w:rPr>
        <w:footnoteReference w:id="18"/>
      </w:r>
      <w:r>
        <w:rPr>
          <w:noProof/>
        </w:rPr>
        <w:t>.</w:t>
      </w:r>
    </w:p>
    <w:p w14:paraId="5BB4EBE7" w14:textId="5A3BABE8" w:rsidR="00F36E66" w:rsidRPr="00DC2002" w:rsidRDefault="00491894" w:rsidP="00AA24CB">
      <w:pPr>
        <w:jc w:val="both"/>
        <w:rPr>
          <w:noProof/>
        </w:rPr>
      </w:pPr>
      <w:r>
        <w:rPr>
          <w:noProof/>
        </w:rPr>
        <w:t>Une étude analysant l’</w:t>
      </w:r>
      <w:r>
        <w:rPr>
          <w:b/>
          <w:noProof/>
        </w:rPr>
        <w:t>efficacité des politiques d’amélioration de la santé mentale</w:t>
      </w:r>
      <w:r>
        <w:rPr>
          <w:noProof/>
        </w:rPr>
        <w:t xml:space="preserve"> et du bien-être dans les États membres</w:t>
      </w:r>
      <w:r>
        <w:rPr>
          <w:rStyle w:val="FootnoteReference"/>
          <w:rFonts w:eastAsia="Calibri" w:cs="Arial"/>
          <w:noProof/>
          <w:szCs w:val="24"/>
          <w:lang w:val="en-IE"/>
        </w:rPr>
        <w:footnoteReference w:id="19"/>
      </w:r>
      <w:r>
        <w:rPr>
          <w:rStyle w:val="FootnoteReference"/>
          <w:rFonts w:eastAsia="Calibri" w:cs="Arial"/>
          <w:noProof/>
          <w:szCs w:val="24"/>
        </w:rPr>
        <w:t xml:space="preserve"> </w:t>
      </w:r>
      <w:r>
        <w:rPr>
          <w:rStyle w:val="FootnoteReference"/>
          <w:noProof/>
        </w:rPr>
        <w:t xml:space="preserve"> </w:t>
      </w:r>
      <w:r>
        <w:rPr>
          <w:noProof/>
        </w:rPr>
        <w:t xml:space="preserve">est actuellement menée afin de mieux soutenir l’élaboration des politiques. </w:t>
      </w:r>
    </w:p>
    <w:p w14:paraId="53015F48" w14:textId="7649996C" w:rsidR="006E046A" w:rsidRPr="006C0ADA" w:rsidRDefault="006E046A" w:rsidP="006E046A">
      <w:pPr>
        <w:jc w:val="both"/>
        <w:rPr>
          <w:rFonts w:cs="Times New Roman"/>
          <w:noProof/>
          <w:color w:val="333333"/>
          <w:szCs w:val="24"/>
        </w:rPr>
      </w:pPr>
    </w:p>
    <w:tbl>
      <w:tblPr>
        <w:tblStyle w:val="TableGrid"/>
        <w:tblW w:w="0" w:type="auto"/>
        <w:tblInd w:w="0" w:type="dxa"/>
        <w:tblLook w:val="04A0" w:firstRow="1" w:lastRow="0" w:firstColumn="1" w:lastColumn="0" w:noHBand="0" w:noVBand="1"/>
      </w:tblPr>
      <w:tblGrid>
        <w:gridCol w:w="9286"/>
      </w:tblGrid>
      <w:tr w:rsidR="00D56D6D" w:rsidRPr="00DC2002" w14:paraId="5E4C8EF1" w14:textId="77777777">
        <w:tc>
          <w:tcPr>
            <w:tcW w:w="9286" w:type="dxa"/>
            <w:tcBorders>
              <w:bottom w:val="nil"/>
            </w:tcBorders>
          </w:tcPr>
          <w:p w14:paraId="7DC51078" w14:textId="77777777" w:rsidR="00D56D6D" w:rsidRPr="00DC2002" w:rsidRDefault="00D56D6D">
            <w:pPr>
              <w:pBdr>
                <w:bottom w:val="single" w:sz="4" w:space="1" w:color="auto"/>
              </w:pBdr>
              <w:shd w:val="clear" w:color="auto" w:fill="FFFFFF" w:themeFill="background1"/>
              <w:jc w:val="both"/>
              <w:rPr>
                <w:b/>
                <w:noProof/>
                <w:sz w:val="24"/>
                <w:szCs w:val="24"/>
              </w:rPr>
            </w:pPr>
            <w:r>
              <w:rPr>
                <w:b/>
                <w:noProof/>
                <w:sz w:val="24"/>
              </w:rPr>
              <w:t>INITIATIVES PHARES</w:t>
            </w:r>
          </w:p>
          <w:p w14:paraId="7C8F48BB" w14:textId="77777777" w:rsidR="007331FF" w:rsidRPr="00DC2002" w:rsidRDefault="007331FF" w:rsidP="007331FF">
            <w:pPr>
              <w:jc w:val="both"/>
              <w:rPr>
                <w:b/>
                <w:smallCaps/>
                <w:noProof/>
              </w:rPr>
            </w:pPr>
          </w:p>
          <w:p w14:paraId="13BCE01C" w14:textId="5D1E2F5D" w:rsidR="00D56D6D" w:rsidRPr="00DC2002" w:rsidRDefault="006B6230" w:rsidP="00804AD6">
            <w:pPr>
              <w:rPr>
                <w:rStyle w:val="normaltextrun"/>
                <w:noProof/>
                <w:sz w:val="24"/>
                <w:szCs w:val="24"/>
              </w:rPr>
            </w:pPr>
            <w:r>
              <w:rPr>
                <w:b/>
                <w:smallCaps/>
                <w:noProof/>
              </w:rPr>
              <w:t>1. Initiative européenne sur le renforcement des capacités en matière de santé mentale</w:t>
            </w:r>
            <w:r>
              <w:rPr>
                <w:rStyle w:val="normaltextrun"/>
                <w:noProof/>
                <w:sz w:val="24"/>
              </w:rPr>
              <w:t xml:space="preserve"> </w:t>
            </w:r>
          </w:p>
          <w:p w14:paraId="6D051A56" w14:textId="0D6F70C7" w:rsidR="007331FF" w:rsidRPr="00DC2002" w:rsidRDefault="002F723D" w:rsidP="00C55479">
            <w:pPr>
              <w:pStyle w:val="ListParagraph"/>
              <w:numPr>
                <w:ilvl w:val="0"/>
                <w:numId w:val="41"/>
              </w:numPr>
              <w:shd w:val="clear" w:color="auto" w:fill="FFFFFF" w:themeFill="background1"/>
              <w:spacing w:before="120" w:after="0" w:line="240" w:lineRule="auto"/>
              <w:ind w:left="714" w:hanging="357"/>
              <w:jc w:val="both"/>
              <w:rPr>
                <w:noProof/>
                <w:sz w:val="24"/>
                <w:szCs w:val="24"/>
              </w:rPr>
            </w:pPr>
            <w:r>
              <w:rPr>
                <w:noProof/>
                <w:sz w:val="24"/>
              </w:rPr>
              <w:t xml:space="preserve">En 2023, la Commission allouera 11 millions d’EUR au titre du programme «L’UE pour la santé» pour aider les États membres à </w:t>
            </w:r>
            <w:r>
              <w:rPr>
                <w:b/>
                <w:noProof/>
                <w:sz w:val="24"/>
              </w:rPr>
              <w:t>renforcer leurs capacités en vue d’élaborer une approche favorisant la santé mentale dans toutes les politiques</w:t>
            </w:r>
            <w:r>
              <w:rPr>
                <w:noProof/>
                <w:sz w:val="24"/>
              </w:rPr>
              <w:t xml:space="preserve"> en collaboration avec l’OMS</w:t>
            </w:r>
            <w:r>
              <w:rPr>
                <w:rStyle w:val="FootnoteReference"/>
                <w:noProof/>
                <w:sz w:val="24"/>
                <w:szCs w:val="24"/>
                <w:lang w:val="en-GB"/>
              </w:rPr>
              <w:footnoteReference w:id="20"/>
            </w:r>
            <w:r>
              <w:rPr>
                <w:noProof/>
                <w:sz w:val="24"/>
              </w:rPr>
              <w:t>.</w:t>
            </w:r>
          </w:p>
          <w:p w14:paraId="37ECF111" w14:textId="77777777" w:rsidR="00D56D6D" w:rsidRDefault="006C095B" w:rsidP="00E94D45">
            <w:pPr>
              <w:pStyle w:val="ListParagraph"/>
              <w:numPr>
                <w:ilvl w:val="0"/>
                <w:numId w:val="41"/>
              </w:numPr>
              <w:shd w:val="clear" w:color="auto" w:fill="FFFFFF" w:themeFill="background1"/>
              <w:spacing w:before="120" w:after="120" w:line="240" w:lineRule="auto"/>
              <w:ind w:left="714" w:hanging="357"/>
              <w:jc w:val="both"/>
              <w:rPr>
                <w:noProof/>
                <w:sz w:val="24"/>
                <w:szCs w:val="24"/>
              </w:rPr>
            </w:pPr>
            <w:r>
              <w:rPr>
                <w:noProof/>
                <w:sz w:val="24"/>
              </w:rPr>
              <w:t>La Commission allouera 10 millions d’EUR</w:t>
            </w:r>
            <w:r>
              <w:rPr>
                <w:rStyle w:val="FootnoteReference"/>
                <w:noProof/>
                <w:sz w:val="24"/>
                <w:szCs w:val="24"/>
                <w:lang w:val="en-GB"/>
              </w:rPr>
              <w:footnoteReference w:id="21"/>
            </w:r>
            <w:r>
              <w:rPr>
                <w:noProof/>
                <w:sz w:val="24"/>
              </w:rPr>
              <w:t xml:space="preserve"> pour soutenir le rôle des parties prenantes dans la </w:t>
            </w:r>
            <w:r>
              <w:rPr>
                <w:b/>
                <w:noProof/>
                <w:sz w:val="24"/>
              </w:rPr>
              <w:t>promotion de la santé mentale dans les communautés</w:t>
            </w:r>
            <w:r>
              <w:rPr>
                <w:noProof/>
                <w:sz w:val="24"/>
              </w:rPr>
              <w:t xml:space="preserve"> en faveur des groupes vulnérables, notamment les enfants et les jeunes ainsi que les populations migrantes/réfugiées.</w:t>
            </w:r>
          </w:p>
          <w:p w14:paraId="4D53F3DB" w14:textId="77777777" w:rsidR="007B4BEB" w:rsidRPr="00DC2002" w:rsidRDefault="007B4BEB" w:rsidP="007B4BEB">
            <w:pPr>
              <w:pStyle w:val="ListParagraph"/>
              <w:numPr>
                <w:ilvl w:val="0"/>
                <w:numId w:val="41"/>
              </w:numPr>
              <w:spacing w:after="0" w:line="240" w:lineRule="auto"/>
              <w:jc w:val="both"/>
              <w:rPr>
                <w:rStyle w:val="normaltextrun"/>
                <w:noProof/>
                <w:sz w:val="28"/>
                <w:szCs w:val="28"/>
              </w:rPr>
            </w:pPr>
            <w:r>
              <w:rPr>
                <w:noProof/>
              </w:rPr>
              <w:t xml:space="preserve">En 2024, la Commission lancera un </w:t>
            </w:r>
            <w:r>
              <w:rPr>
                <w:rStyle w:val="normaltextrun"/>
                <w:b/>
                <w:noProof/>
              </w:rPr>
              <w:t>plan d’action (une boîte à outils) pour une approche pluridisciplinaire du renforcement des capacités en matière de santé mentale</w:t>
            </w:r>
            <w:r>
              <w:rPr>
                <w:rStyle w:val="FootnoteReference"/>
                <w:noProof/>
                <w:sz w:val="24"/>
                <w:szCs w:val="28"/>
                <w:lang w:val="en-GB"/>
              </w:rPr>
              <w:footnoteReference w:id="22"/>
            </w:r>
            <w:r>
              <w:rPr>
                <w:noProof/>
              </w:rPr>
              <w:t xml:space="preserve">. </w:t>
            </w:r>
          </w:p>
          <w:p w14:paraId="7ED5773E" w14:textId="5400A5FE" w:rsidR="007B4BEB" w:rsidRPr="006C0ADA" w:rsidRDefault="007B4BEB" w:rsidP="003922E3">
            <w:pPr>
              <w:pStyle w:val="ListParagraph"/>
              <w:shd w:val="clear" w:color="auto" w:fill="FFFFFF" w:themeFill="background1"/>
              <w:spacing w:before="120" w:after="120" w:line="240" w:lineRule="auto"/>
              <w:ind w:left="714"/>
              <w:jc w:val="both"/>
              <w:rPr>
                <w:noProof/>
                <w:sz w:val="24"/>
                <w:szCs w:val="24"/>
              </w:rPr>
            </w:pPr>
          </w:p>
        </w:tc>
      </w:tr>
      <w:tr w:rsidR="00D56D6D" w:rsidRPr="00DC2002" w14:paraId="42447E35" w14:textId="77777777">
        <w:tc>
          <w:tcPr>
            <w:tcW w:w="9286" w:type="dxa"/>
            <w:tcBorders>
              <w:top w:val="nil"/>
            </w:tcBorders>
          </w:tcPr>
          <w:p w14:paraId="3A14927C" w14:textId="77777777" w:rsidR="00D56D6D" w:rsidRPr="006C0ADA" w:rsidRDefault="00D56D6D">
            <w:pPr>
              <w:pBdr>
                <w:bottom w:val="single" w:sz="4" w:space="1" w:color="auto"/>
              </w:pBdr>
              <w:shd w:val="clear" w:color="auto" w:fill="FFFFFF" w:themeFill="background1"/>
              <w:jc w:val="both"/>
              <w:rPr>
                <w:b/>
                <w:noProof/>
              </w:rPr>
            </w:pPr>
          </w:p>
        </w:tc>
      </w:tr>
    </w:tbl>
    <w:p w14:paraId="692D68DE" w14:textId="322ABEA2" w:rsidR="002C0E46" w:rsidRPr="006C0ADA" w:rsidRDefault="002C0E46" w:rsidP="005074EC">
      <w:pPr>
        <w:jc w:val="both"/>
        <w:rPr>
          <w:b/>
          <w:noProof/>
        </w:rPr>
      </w:pPr>
    </w:p>
    <w:p w14:paraId="2CE01D67" w14:textId="4259434F" w:rsidR="00E94D45" w:rsidRPr="00197903" w:rsidRDefault="00BB5E4E" w:rsidP="005074EC">
      <w:pPr>
        <w:jc w:val="both"/>
        <w:rPr>
          <w:b/>
          <w:noProof/>
        </w:rPr>
      </w:pPr>
      <w:r>
        <w:rPr>
          <w:noProof/>
        </w:rPr>
        <w:t xml:space="preserve">Les États membres sont instamment invités à adopter une approche favorisant </w:t>
      </w:r>
      <w:r>
        <w:rPr>
          <w:b/>
          <w:noProof/>
        </w:rPr>
        <w:t>la santé mentale dans l’ensemble des politiques</w:t>
      </w:r>
      <w:r>
        <w:rPr>
          <w:noProof/>
        </w:rPr>
        <w:t>.</w:t>
      </w:r>
      <w:r>
        <w:rPr>
          <w:b/>
          <w:noProof/>
        </w:rPr>
        <w:t xml:space="preserve"> </w:t>
      </w:r>
      <w:r>
        <w:rPr>
          <w:noProof/>
        </w:rPr>
        <w:t xml:space="preserve">L’accent doit être mis sur </w:t>
      </w:r>
      <w:r>
        <w:rPr>
          <w:b/>
          <w:noProof/>
        </w:rPr>
        <w:t>la promotion, la prévention</w:t>
      </w:r>
      <w:r>
        <w:rPr>
          <w:rStyle w:val="FootnoteReference"/>
          <w:rFonts w:cs="Times New Roman"/>
          <w:b/>
          <w:bCs/>
          <w:noProof/>
          <w:lang w:val="en-IE"/>
        </w:rPr>
        <w:footnoteReference w:id="23"/>
      </w:r>
      <w:r>
        <w:rPr>
          <w:b/>
          <w:noProof/>
        </w:rPr>
        <w:t xml:space="preserve"> et la détection précoce</w:t>
      </w:r>
      <w:r>
        <w:rPr>
          <w:noProof/>
        </w:rPr>
        <w:t xml:space="preserve">, ainsi que sur la </w:t>
      </w:r>
      <w:r>
        <w:rPr>
          <w:b/>
          <w:noProof/>
        </w:rPr>
        <w:t>stigmatisation</w:t>
      </w:r>
      <w:r>
        <w:rPr>
          <w:noProof/>
        </w:rPr>
        <w:t>, tout en garantissant l’</w:t>
      </w:r>
      <w:r>
        <w:rPr>
          <w:b/>
          <w:noProof/>
        </w:rPr>
        <w:t>inclusion sociale</w:t>
      </w:r>
      <w:r>
        <w:rPr>
          <w:noProof/>
        </w:rPr>
        <w:t xml:space="preserve"> des personnes vivant avec des problèmes de santé mentale. En outre, les États membres devraient soutenir des programmes visant à aider les personnes à trouver un emploi ou à participer à des programmes de retour au travail. Le domaine numérique, y compris sur le lieu de travail, comporte des </w:t>
      </w:r>
      <w:r>
        <w:rPr>
          <w:b/>
          <w:noProof/>
        </w:rPr>
        <w:t>risques psychosociaux</w:t>
      </w:r>
      <w:r>
        <w:rPr>
          <w:noProof/>
        </w:rPr>
        <w:t xml:space="preserve"> qui touchent considérablement les personnes, les organisations et les économies</w:t>
      </w:r>
      <w:r>
        <w:rPr>
          <w:rStyle w:val="FootnoteReference"/>
          <w:rFonts w:cs="Times New Roman"/>
          <w:noProof/>
          <w:lang w:val="en-IE"/>
        </w:rPr>
        <w:footnoteReference w:id="24"/>
      </w:r>
      <w:r>
        <w:rPr>
          <w:noProof/>
        </w:rPr>
        <w:t>. Il convient d’accorder une attention particulière à la promotion de l’équilibre entre vie professionnelle et vie privée.</w:t>
      </w:r>
    </w:p>
    <w:p w14:paraId="074AC514" w14:textId="7C3435A0" w:rsidR="00C346EC" w:rsidRPr="00DC2002" w:rsidRDefault="00D12059" w:rsidP="00D47260">
      <w:pPr>
        <w:pStyle w:val="Heading2"/>
        <w:jc w:val="both"/>
        <w:rPr>
          <w:noProof/>
        </w:rPr>
      </w:pPr>
      <w:bookmarkStart w:id="5" w:name="_Hlk131604567"/>
      <w:bookmarkEnd w:id="4"/>
      <w:r>
        <w:rPr>
          <w:noProof/>
        </w:rPr>
        <w:t>Promotion de la bonne santé mentale, prévention et détection précoce des problèmes de santé mentale</w:t>
      </w:r>
    </w:p>
    <w:bookmarkEnd w:id="5"/>
    <w:p w14:paraId="36A7130E" w14:textId="752AFC1F" w:rsidR="007331FF" w:rsidRPr="00DC2002" w:rsidRDefault="007331FF" w:rsidP="005074EC">
      <w:pPr>
        <w:jc w:val="both"/>
        <w:rPr>
          <w:rFonts w:eastAsia="Calibri"/>
          <w:noProof/>
        </w:rPr>
      </w:pPr>
      <w:r>
        <w:rPr>
          <w:b/>
          <w:noProof/>
        </w:rPr>
        <w:t>Les personnes souffrant de problèmes de santé mentale doivent savoir où demander de l’aide.</w:t>
      </w:r>
      <w:r>
        <w:rPr>
          <w:noProof/>
        </w:rPr>
        <w:t xml:space="preserve"> Aujourd’hui, les services et outils disponibles sont dispersés et varient considérablement d’un État membre à l’autre. Ils ne sont par ailleurs pas suffisamment visibles et connus par la population. Cette situation ne peut plus durer. </w:t>
      </w:r>
    </w:p>
    <w:p w14:paraId="6634DA1F" w14:textId="59B8DB63" w:rsidR="00ED4DD1" w:rsidRPr="00DC2002" w:rsidRDefault="00D3386E" w:rsidP="005074EC">
      <w:pPr>
        <w:jc w:val="both"/>
        <w:rPr>
          <w:noProof/>
        </w:rPr>
      </w:pPr>
      <w:r>
        <w:rPr>
          <w:noProof/>
        </w:rPr>
        <w:t xml:space="preserve">La promotion d’une bonne santé mentale, la prévention des problèmes de santé mentale et les interventions précoces sont plus efficaces et plus rentables que les traitements. </w:t>
      </w:r>
      <w:r>
        <w:rPr>
          <w:b/>
          <w:noProof/>
        </w:rPr>
        <w:t>Les preuves économiques</w:t>
      </w:r>
      <w:r>
        <w:rPr>
          <w:noProof/>
        </w:rPr>
        <w:t xml:space="preserve"> les plus solides montrant l’efficacité des investissements à cet égard concernent les </w:t>
      </w:r>
      <w:r>
        <w:rPr>
          <w:b/>
          <w:noProof/>
        </w:rPr>
        <w:t>interventions précoces</w:t>
      </w:r>
      <w:r>
        <w:rPr>
          <w:noProof/>
        </w:rPr>
        <w:t xml:space="preserve"> axées sur la santé maternelle et infantile, les enfants et les adolescents, la santé mentale sur le lieu de travail [voir chapitre e)] et la prévention du suicide et de l’automutilation</w:t>
      </w:r>
      <w:r>
        <w:rPr>
          <w:noProof/>
          <w:vertAlign w:val="superscript"/>
          <w:lang w:val="en-IE"/>
        </w:rPr>
        <w:footnoteReference w:id="25"/>
      </w:r>
      <w:r>
        <w:rPr>
          <w:noProof/>
        </w:rPr>
        <w:t>. La recherche doit être renforcée dans ce domaine afin de mieux reconnaître les signaux préoccupants à un stade précoce et Horizon Europe dispose d’un budget prévu à cet effet</w:t>
      </w:r>
      <w:r>
        <w:rPr>
          <w:rStyle w:val="FootnoteReference"/>
          <w:noProof/>
          <w:lang w:val="en-IE"/>
        </w:rPr>
        <w:footnoteReference w:id="26"/>
      </w:r>
      <w:r>
        <w:rPr>
          <w:noProof/>
        </w:rPr>
        <w:t xml:space="preserve">. </w:t>
      </w:r>
    </w:p>
    <w:p w14:paraId="4F0C82F1" w14:textId="1403E6F7" w:rsidR="00A02548" w:rsidRDefault="00F575EE" w:rsidP="005074EC">
      <w:pPr>
        <w:jc w:val="both"/>
        <w:rPr>
          <w:rFonts w:eastAsia="Calibri"/>
          <w:noProof/>
        </w:rPr>
      </w:pPr>
      <w:r>
        <w:rPr>
          <w:noProof/>
        </w:rPr>
        <w:t>La santé des personnes est influencée par leurs expériences de vie et l’environnement dans lequel ils vivent. Les</w:t>
      </w:r>
      <w:r>
        <w:rPr>
          <w:b/>
          <w:noProof/>
        </w:rPr>
        <w:t xml:space="preserve"> déterminants de la santé</w:t>
      </w:r>
      <w:r>
        <w:rPr>
          <w:noProof/>
        </w:rPr>
        <w:t xml:space="preserve">, tels que la nutrition et l’activité physique, la consommation nocive d’alcool, de tabac et de drogues, ainsi que les </w:t>
      </w:r>
      <w:r>
        <w:rPr>
          <w:b/>
          <w:noProof/>
        </w:rPr>
        <w:t>déterminants environnementaux, sociaux et commerciaux</w:t>
      </w:r>
      <w:r>
        <w:rPr>
          <w:noProof/>
        </w:rPr>
        <w:t xml:space="preserve">, notamment les conditions de vie, l’amélioration du logement, la qualité de l’air, l’accès au sport, à la culture et aux espaces verts et un meilleur équilibre entre vie professionnelle et vie privée, ainsi que les risques de violence, ont tous une incidence importante sur la santé mentale. </w:t>
      </w:r>
    </w:p>
    <w:p w14:paraId="2E755C4C" w14:textId="115C5AB6" w:rsidR="000F6262" w:rsidRPr="00DC2002" w:rsidRDefault="00554926" w:rsidP="008A499D">
      <w:pPr>
        <w:shd w:val="clear" w:color="auto" w:fill="FFFFFF" w:themeFill="background1"/>
        <w:jc w:val="both"/>
        <w:rPr>
          <w:noProof/>
        </w:rPr>
      </w:pPr>
      <w:r>
        <w:rPr>
          <w:noProof/>
        </w:rPr>
        <w:t xml:space="preserve">L’activité physique et le sport jouent un rôle important pour favoriser une bonne santé mentale. L’UE continuera de promouvoir </w:t>
      </w:r>
      <w:r>
        <w:rPr>
          <w:b/>
          <w:noProof/>
        </w:rPr>
        <w:t>le sport et l’activité physique bienfaisante pour la santé</w:t>
      </w:r>
      <w:r>
        <w:rPr>
          <w:noProof/>
        </w:rPr>
        <w:t xml:space="preserve"> au moyen de son plan de travail en faveur du sport et de la Semaine européenne du sport. </w:t>
      </w:r>
    </w:p>
    <w:p w14:paraId="1AC7BD97" w14:textId="5281F0E0" w:rsidR="00AB382A" w:rsidRPr="00DC2002" w:rsidRDefault="00267E5D" w:rsidP="005074EC">
      <w:pPr>
        <w:pStyle w:val="ListParagraph"/>
        <w:ind w:left="0"/>
        <w:jc w:val="both"/>
        <w:rPr>
          <w:noProof/>
        </w:rPr>
      </w:pPr>
      <w:bookmarkStart w:id="6" w:name="_Hlk129702750"/>
      <w:r>
        <w:rPr>
          <w:b/>
          <w:noProof/>
        </w:rPr>
        <w:t>Une intervention précoce peut garantir d’apporter un soutien au bon moment</w:t>
      </w:r>
      <w:r>
        <w:rPr>
          <w:noProof/>
        </w:rPr>
        <w:t xml:space="preserve"> et prévenir une nouvelle détérioration du bien-être et de la santé mentale, en particulier chez les jeunes</w:t>
      </w:r>
      <w:r>
        <w:rPr>
          <w:rStyle w:val="FootnoteReference"/>
          <w:noProof/>
          <w:lang w:val="en-IE"/>
        </w:rPr>
        <w:footnoteReference w:id="27"/>
      </w:r>
      <w:r>
        <w:rPr>
          <w:noProof/>
        </w:rPr>
        <w:t xml:space="preserve">. Par exemple, une intervention précoce peut être cruciale pour reconnaître et traiter les facteurs de risque et les signes de différentes formes de détresse. En outre, divers environnements, tels que les établissements scolaires, les lieux de travail, les maisons de retraite et les prisons, sont des lieux essentiels pour la promotion de la santé mentale, la prévention, le diagnostic précoce et l’intervention. Les </w:t>
      </w:r>
      <w:r>
        <w:rPr>
          <w:b/>
          <w:noProof/>
        </w:rPr>
        <w:t>programmes scolaires</w:t>
      </w:r>
      <w:bookmarkStart w:id="7" w:name="_Int_6gwrP3Ur"/>
      <w:r>
        <w:rPr>
          <w:noProof/>
        </w:rPr>
        <w:t xml:space="preserve"> visant à promouvoir la santé mentale et le bien-être et associant divers acteurs et services</w:t>
      </w:r>
      <w:r>
        <w:rPr>
          <w:rStyle w:val="FootnoteReference"/>
          <w:noProof/>
          <w:lang w:val="en-IE"/>
        </w:rPr>
        <w:footnoteReference w:id="28"/>
      </w:r>
      <w:r>
        <w:rPr>
          <w:noProof/>
        </w:rPr>
        <w:t xml:space="preserve"> de la communauté, par exemple, peuvent permettre de diagnostiquer les problèmes et de les traiter à un stade précoce. </w:t>
      </w:r>
    </w:p>
    <w:bookmarkEnd w:id="7"/>
    <w:p w14:paraId="607E4E14" w14:textId="14F671ED" w:rsidR="00757A34" w:rsidRPr="00DC2002" w:rsidRDefault="00757A34" w:rsidP="004D139F">
      <w:pPr>
        <w:jc w:val="both"/>
        <w:rPr>
          <w:noProof/>
        </w:rPr>
      </w:pPr>
      <w:r>
        <w:rPr>
          <w:noProof/>
        </w:rPr>
        <w:t xml:space="preserve">La Commission lancera, en 2023, un appel aux États membres et aux parties prenantes pour qu’ils présentent leurs </w:t>
      </w:r>
      <w:r>
        <w:rPr>
          <w:b/>
          <w:noProof/>
        </w:rPr>
        <w:t>bonnes pratiques</w:t>
      </w:r>
      <w:r>
        <w:rPr>
          <w:noProof/>
        </w:rPr>
        <w:t xml:space="preserve"> en ce qui concerne la promotion, la prévention, la détection précoce et l’intervention précoce en matière de santé mentale, par l’intermédiaire du portail européen des meilleures pratiques</w:t>
      </w:r>
      <w:r>
        <w:rPr>
          <w:rStyle w:val="FootnoteReference"/>
          <w:noProof/>
          <w:lang w:val="en-IE"/>
        </w:rPr>
        <w:footnoteReference w:id="29"/>
      </w:r>
      <w:r>
        <w:rPr>
          <w:noProof/>
        </w:rPr>
        <w:t xml:space="preserve">. Elle élaborera, en collaboration avec les États membres, des initiatives visant à s’attaquer aux principaux déterminants comportementaux, économiques, sociaux, environnementaux (notamment la pollution), transgénérationnels et commerciaux de la santé mentale au moyen d’un travail collaboratif mené dans le cadre de l’initiative «Vivre ensemble en bonne santé» </w:t>
      </w:r>
      <w:r>
        <w:rPr>
          <w:rStyle w:val="FootnoteReference"/>
          <w:noProof/>
          <w:lang w:val="en-IE"/>
        </w:rPr>
        <w:footnoteReference w:id="30"/>
      </w:r>
      <w:r>
        <w:rPr>
          <w:noProof/>
        </w:rPr>
        <w:t>. Elle soutiendra l’élaboration d’</w:t>
      </w:r>
      <w:r>
        <w:rPr>
          <w:b/>
          <w:noProof/>
        </w:rPr>
        <w:t>orientations sur la détection et l’intervention précoces</w:t>
      </w:r>
      <w:r>
        <w:rPr>
          <w:noProof/>
        </w:rPr>
        <w:t xml:space="preserve"> et le dépistage des groupes vulnérables dans des environnements clés à piloter par les États membres</w:t>
      </w:r>
      <w:r>
        <w:rPr>
          <w:rStyle w:val="FootnoteReference"/>
          <w:noProof/>
          <w:lang w:val="en-IE"/>
        </w:rPr>
        <w:footnoteReference w:id="31"/>
      </w:r>
      <w:r>
        <w:rPr>
          <w:noProof/>
        </w:rPr>
        <w:t xml:space="preserve">. La Commission intensifiera également la </w:t>
      </w:r>
      <w:r>
        <w:rPr>
          <w:b/>
          <w:noProof/>
        </w:rPr>
        <w:t>recherche sur le cerveau</w:t>
      </w:r>
      <w:r>
        <w:rPr>
          <w:noProof/>
        </w:rPr>
        <w:t xml:space="preserve"> grâce au lancement de nouveaux projets, notamment en utilisant des données de santé numériques</w:t>
      </w:r>
      <w:r>
        <w:rPr>
          <w:rStyle w:val="FootnoteReference"/>
          <w:noProof/>
          <w:lang w:val="en-IE"/>
        </w:rPr>
        <w:footnoteReference w:id="32"/>
      </w:r>
      <w:r>
        <w:rPr>
          <w:noProof/>
        </w:rPr>
        <w:t xml:space="preserve"> et des infrastructures de calcul et de simulation</w:t>
      </w:r>
      <w:r>
        <w:rPr>
          <w:rStyle w:val="FootnoteReference"/>
          <w:noProof/>
          <w:lang w:val="en-IE"/>
        </w:rPr>
        <w:footnoteReference w:id="33"/>
      </w:r>
      <w:r>
        <w:rPr>
          <w:noProof/>
        </w:rPr>
        <w:t>.</w:t>
      </w:r>
    </w:p>
    <w:p w14:paraId="108A40E7" w14:textId="49A1AD6D" w:rsidR="003F4428" w:rsidRPr="006C0ADA" w:rsidRDefault="003F4428" w:rsidP="004D139F">
      <w:pPr>
        <w:jc w:val="both"/>
        <w:rPr>
          <w:noProof/>
        </w:rPr>
      </w:pPr>
    </w:p>
    <w:p w14:paraId="5A87013E" w14:textId="1DBE98B7" w:rsidR="00F809B6" w:rsidRDefault="00F809B6" w:rsidP="004D139F">
      <w:pPr>
        <w:jc w:val="both"/>
        <w:rPr>
          <w:noProof/>
        </w:rPr>
      </w:pPr>
    </w:p>
    <w:p w14:paraId="33F56E70" w14:textId="41EC8825" w:rsidR="003C44D5" w:rsidRDefault="003C44D5" w:rsidP="004D139F">
      <w:pPr>
        <w:jc w:val="both"/>
        <w:rPr>
          <w:noProof/>
        </w:rPr>
      </w:pPr>
    </w:p>
    <w:p w14:paraId="2A2FD227" w14:textId="77777777" w:rsidR="003C44D5" w:rsidRPr="006C0ADA" w:rsidRDefault="003C44D5" w:rsidP="004D139F">
      <w:pPr>
        <w:jc w:val="both"/>
        <w:rPr>
          <w:noProof/>
        </w:rPr>
      </w:pPr>
    </w:p>
    <w:tbl>
      <w:tblPr>
        <w:tblStyle w:val="TableGrid"/>
        <w:tblW w:w="0" w:type="auto"/>
        <w:tblInd w:w="0" w:type="dxa"/>
        <w:tblLook w:val="04A0" w:firstRow="1" w:lastRow="0" w:firstColumn="1" w:lastColumn="0" w:noHBand="0" w:noVBand="1"/>
      </w:tblPr>
      <w:tblGrid>
        <w:gridCol w:w="9286"/>
      </w:tblGrid>
      <w:tr w:rsidR="00BF4F22" w:rsidRPr="00DC2002" w14:paraId="4A6C81C2" w14:textId="77777777" w:rsidTr="36C0208D">
        <w:tc>
          <w:tcPr>
            <w:tcW w:w="9286" w:type="dxa"/>
          </w:tcPr>
          <w:p w14:paraId="3FE3AA6C" w14:textId="274EAE75" w:rsidR="00BF4F22" w:rsidRPr="00DC2002" w:rsidRDefault="00BF4F22" w:rsidP="005074EC">
            <w:pPr>
              <w:pBdr>
                <w:bottom w:val="single" w:sz="4" w:space="1" w:color="auto"/>
              </w:pBdr>
              <w:shd w:val="clear" w:color="auto" w:fill="FFFFFF" w:themeFill="background1"/>
              <w:tabs>
                <w:tab w:val="left" w:pos="3965"/>
              </w:tabs>
              <w:jc w:val="both"/>
              <w:rPr>
                <w:b/>
                <w:noProof/>
              </w:rPr>
            </w:pPr>
            <w:bookmarkStart w:id="8" w:name="_Hlk131604583"/>
            <w:r>
              <w:rPr>
                <w:b/>
                <w:noProof/>
              </w:rPr>
              <w:t>INITIATIVES PHARES</w:t>
            </w:r>
            <w:r>
              <w:rPr>
                <w:noProof/>
              </w:rPr>
              <w:tab/>
            </w:r>
          </w:p>
          <w:p w14:paraId="6A63BEAA" w14:textId="77777777" w:rsidR="00044117" w:rsidRPr="006C0ADA" w:rsidRDefault="00044117" w:rsidP="005074EC">
            <w:pPr>
              <w:shd w:val="clear" w:color="auto" w:fill="FFFFFF" w:themeFill="background1"/>
              <w:jc w:val="both"/>
              <w:rPr>
                <w:b/>
                <w:smallCaps/>
                <w:noProof/>
              </w:rPr>
            </w:pPr>
          </w:p>
          <w:p w14:paraId="37A2EDFE" w14:textId="3DFDE350" w:rsidR="00541E72" w:rsidRPr="00DC2002" w:rsidRDefault="00CC27B5" w:rsidP="005074EC">
            <w:pPr>
              <w:shd w:val="clear" w:color="auto" w:fill="FFFFFF" w:themeFill="background1"/>
              <w:jc w:val="both"/>
              <w:rPr>
                <w:b/>
                <w:smallCaps/>
                <w:noProof/>
                <w:sz w:val="24"/>
                <w:szCs w:val="24"/>
              </w:rPr>
            </w:pPr>
            <w:r>
              <w:rPr>
                <w:b/>
                <w:smallCaps/>
                <w:noProof/>
                <w:sz w:val="24"/>
              </w:rPr>
              <w:t>2. Initiative européenne pour la prévention de la dépression et du suicide</w:t>
            </w:r>
          </w:p>
          <w:p w14:paraId="55932852" w14:textId="49ADC9B1" w:rsidR="00541E72" w:rsidRPr="00DC2002" w:rsidRDefault="00495BD2" w:rsidP="00302CC9">
            <w:pPr>
              <w:pStyle w:val="ListParagraph"/>
              <w:numPr>
                <w:ilvl w:val="0"/>
                <w:numId w:val="38"/>
              </w:numPr>
              <w:shd w:val="clear" w:color="auto" w:fill="FFFFFF" w:themeFill="background1"/>
              <w:spacing w:before="120" w:after="120" w:line="240" w:lineRule="auto"/>
              <w:ind w:left="714" w:hanging="357"/>
              <w:jc w:val="both"/>
              <w:rPr>
                <w:noProof/>
                <w:sz w:val="24"/>
                <w:szCs w:val="24"/>
              </w:rPr>
            </w:pPr>
            <w:r>
              <w:rPr>
                <w:noProof/>
                <w:sz w:val="24"/>
              </w:rPr>
              <w:t xml:space="preserve">La Commission consacrera 6 millions d’EUR à la réduction du risque que les personnes souffrent de graves problèmes mentaux en soutenant l’élaboration et la mise en œuvre de </w:t>
            </w:r>
            <w:r>
              <w:rPr>
                <w:b/>
                <w:noProof/>
                <w:sz w:val="24"/>
              </w:rPr>
              <w:t>politiques de prévention de la dépression et du suicide</w:t>
            </w:r>
            <w:r>
              <w:rPr>
                <w:noProof/>
                <w:sz w:val="24"/>
              </w:rPr>
              <w:t xml:space="preserve"> dans les États membres sur la base de l’échange de bonnes pratiques (2023). </w:t>
            </w:r>
          </w:p>
          <w:p w14:paraId="097EA7A9" w14:textId="1CB58A61" w:rsidR="00541E72" w:rsidRPr="006C0ADA" w:rsidRDefault="00541E72" w:rsidP="008A499D">
            <w:pPr>
              <w:shd w:val="clear" w:color="auto" w:fill="FFFFFF" w:themeFill="background1"/>
              <w:ind w:left="360"/>
              <w:jc w:val="both"/>
              <w:rPr>
                <w:noProof/>
                <w:sz w:val="24"/>
                <w:szCs w:val="24"/>
              </w:rPr>
            </w:pPr>
          </w:p>
          <w:p w14:paraId="36B80C45" w14:textId="7B34576D" w:rsidR="00541E72" w:rsidRPr="00DC2002" w:rsidRDefault="00CC27B5" w:rsidP="005074EC">
            <w:pPr>
              <w:shd w:val="clear" w:color="auto" w:fill="FFFFFF" w:themeFill="background1"/>
              <w:jc w:val="both"/>
              <w:rPr>
                <w:b/>
                <w:smallCaps/>
                <w:noProof/>
                <w:sz w:val="24"/>
                <w:szCs w:val="24"/>
              </w:rPr>
            </w:pPr>
            <w:r>
              <w:rPr>
                <w:b/>
                <w:smallCaps/>
                <w:noProof/>
                <w:sz w:val="24"/>
              </w:rPr>
              <w:t>3. Initiative «Vivre ensemble en bonne santé» – Santé mentale</w:t>
            </w:r>
          </w:p>
          <w:p w14:paraId="4DBB8C9B" w14:textId="6C39019D" w:rsidR="00541E72" w:rsidRPr="00DC2002" w:rsidRDefault="00495BD2" w:rsidP="00302CC9">
            <w:pPr>
              <w:pStyle w:val="ListParagraph"/>
              <w:numPr>
                <w:ilvl w:val="0"/>
                <w:numId w:val="38"/>
              </w:numPr>
              <w:shd w:val="clear" w:color="auto" w:fill="FFFFFF" w:themeFill="background1"/>
              <w:spacing w:before="120" w:after="120" w:line="240" w:lineRule="auto"/>
              <w:ind w:left="714" w:hanging="357"/>
              <w:jc w:val="both"/>
              <w:rPr>
                <w:noProof/>
                <w:sz w:val="24"/>
                <w:szCs w:val="24"/>
              </w:rPr>
            </w:pPr>
            <w:r>
              <w:rPr>
                <w:noProof/>
                <w:sz w:val="24"/>
              </w:rPr>
              <w:t>La Commission allouera 8,3 millions d’EUR au</w:t>
            </w:r>
            <w:r>
              <w:rPr>
                <w:b/>
                <w:noProof/>
                <w:sz w:val="24"/>
              </w:rPr>
              <w:t xml:space="preserve"> renforcement du volet «santé mentale» de l’initiative «Vivre ensemble en bonne santé» de l’UE sur les maladies non transmissibles</w:t>
            </w:r>
            <w:r>
              <w:rPr>
                <w:noProof/>
                <w:sz w:val="24"/>
              </w:rPr>
              <w:t>, dans le but de soutenir les actions des États membres visant à promouvoir la santé mentale, à créer des environnements et des politiques favorables, à renforcer l’inclusion sociale et à lutter contre la stigmatisation et les discriminations liées aux problèmes de santé mentale</w:t>
            </w:r>
            <w:r>
              <w:rPr>
                <w:rStyle w:val="FootnoteReference"/>
                <w:rFonts w:cs="Times New Roman"/>
                <w:noProof/>
                <w:sz w:val="24"/>
                <w:szCs w:val="24"/>
                <w:lang w:val="en-IE"/>
              </w:rPr>
              <w:footnoteReference w:id="34"/>
            </w:r>
            <w:r>
              <w:rPr>
                <w:noProof/>
                <w:sz w:val="24"/>
              </w:rPr>
              <w:t>.</w:t>
            </w:r>
          </w:p>
          <w:p w14:paraId="310378D2" w14:textId="77777777" w:rsidR="009F332E" w:rsidRPr="006C0ADA" w:rsidRDefault="009F332E" w:rsidP="00C20151">
            <w:pPr>
              <w:pStyle w:val="ListParagraph"/>
              <w:shd w:val="clear" w:color="auto" w:fill="FFFFFF" w:themeFill="background1"/>
              <w:spacing w:after="0"/>
              <w:jc w:val="both"/>
              <w:rPr>
                <w:noProof/>
                <w:sz w:val="24"/>
                <w:szCs w:val="24"/>
              </w:rPr>
            </w:pPr>
          </w:p>
          <w:p w14:paraId="070754A4" w14:textId="2DDBACD4" w:rsidR="009F332E" w:rsidRPr="00DC2002" w:rsidRDefault="00CC27B5" w:rsidP="009F332E">
            <w:pPr>
              <w:shd w:val="clear" w:color="auto" w:fill="FFFFFF" w:themeFill="background1"/>
              <w:jc w:val="both"/>
              <w:rPr>
                <w:b/>
                <w:smallCaps/>
                <w:noProof/>
                <w:sz w:val="24"/>
                <w:szCs w:val="24"/>
              </w:rPr>
            </w:pPr>
            <w:r>
              <w:rPr>
                <w:b/>
                <w:smallCaps/>
                <w:noProof/>
                <w:sz w:val="24"/>
              </w:rPr>
              <w:t xml:space="preserve">4. Portail d’accès pour les personnes souffrant de problèmes de santé mentale </w:t>
            </w:r>
          </w:p>
          <w:p w14:paraId="17B5431C" w14:textId="5F81FB29" w:rsidR="009F332E" w:rsidRPr="00DC2002" w:rsidRDefault="00495BD2" w:rsidP="00302CC9">
            <w:pPr>
              <w:pStyle w:val="ListParagraph"/>
              <w:numPr>
                <w:ilvl w:val="0"/>
                <w:numId w:val="38"/>
              </w:numPr>
              <w:shd w:val="clear" w:color="auto" w:fill="FFFFFF" w:themeFill="background1"/>
              <w:spacing w:before="120" w:after="120" w:line="240" w:lineRule="auto"/>
              <w:ind w:left="714" w:hanging="357"/>
              <w:jc w:val="both"/>
              <w:rPr>
                <w:rFonts w:cs="Times New Roman"/>
                <w:noProof/>
                <w:sz w:val="24"/>
                <w:szCs w:val="24"/>
              </w:rPr>
            </w:pPr>
            <w:r>
              <w:rPr>
                <w:noProof/>
                <w:sz w:val="24"/>
              </w:rPr>
              <w:t>La Commission créera un répertoire de l’UE dans le cadre du portail des bonnes pratiques de l’UE</w:t>
            </w:r>
            <w:r>
              <w:rPr>
                <w:rFonts w:cs="Times New Roman"/>
                <w:noProof/>
                <w:sz w:val="24"/>
                <w:vertAlign w:val="superscript"/>
              </w:rPr>
              <w:footnoteReference w:id="35"/>
            </w:r>
            <w:r>
              <w:rPr>
                <w:noProof/>
                <w:sz w:val="24"/>
              </w:rPr>
              <w:t xml:space="preserve">, qui rassemblera les </w:t>
            </w:r>
            <w:r>
              <w:rPr>
                <w:b/>
                <w:noProof/>
                <w:sz w:val="24"/>
              </w:rPr>
              <w:t>bonnes pratiques</w:t>
            </w:r>
            <w:r>
              <w:rPr>
                <w:noProof/>
                <w:sz w:val="24"/>
              </w:rPr>
              <w:t xml:space="preserve"> des États membres afin d’apprendre mutuellement et d’orienter les personnes vers des soins efficaces (lignes directes, centres d’aide, etc.). </w:t>
            </w:r>
          </w:p>
          <w:p w14:paraId="1FDC3E4C" w14:textId="7ADB5A12" w:rsidR="009F332E" w:rsidRPr="00DC2002" w:rsidRDefault="009F332E" w:rsidP="009F332E">
            <w:pPr>
              <w:pStyle w:val="ListParagraph"/>
              <w:numPr>
                <w:ilvl w:val="0"/>
                <w:numId w:val="38"/>
              </w:numPr>
              <w:shd w:val="clear" w:color="auto" w:fill="FFFFFF" w:themeFill="background1"/>
              <w:spacing w:after="0"/>
              <w:jc w:val="both"/>
              <w:rPr>
                <w:noProof/>
                <w:sz w:val="24"/>
                <w:szCs w:val="24"/>
              </w:rPr>
            </w:pPr>
            <w:r>
              <w:rPr>
                <w:noProof/>
                <w:sz w:val="24"/>
              </w:rPr>
              <w:t>Afin d’aider les personnes à naviguer parmi les services de soutien disponibles, les États membres seront invités</w:t>
            </w:r>
            <w:r>
              <w:rPr>
                <w:rFonts w:cs="Times New Roman"/>
                <w:noProof/>
                <w:sz w:val="24"/>
                <w:vertAlign w:val="superscript"/>
              </w:rPr>
              <w:footnoteReference w:id="36"/>
            </w:r>
            <w:r>
              <w:rPr>
                <w:noProof/>
                <w:sz w:val="24"/>
              </w:rPr>
              <w:t xml:space="preserve"> à créer des sites web nationaux pour qu’elles disposent d’un point de repère permettant d’</w:t>
            </w:r>
            <w:r>
              <w:rPr>
                <w:b/>
                <w:noProof/>
                <w:sz w:val="24"/>
              </w:rPr>
              <w:t>améliorer l’accès aux traitements, aux soutiens et aux soins</w:t>
            </w:r>
            <w:r>
              <w:rPr>
                <w:noProof/>
                <w:sz w:val="24"/>
              </w:rPr>
              <w:t>.</w:t>
            </w:r>
            <w:r>
              <w:rPr>
                <w:noProof/>
              </w:rPr>
              <w:t xml:space="preserve"> </w:t>
            </w:r>
          </w:p>
          <w:p w14:paraId="2F0DF279" w14:textId="77777777" w:rsidR="00541E72" w:rsidRPr="006C0ADA" w:rsidRDefault="00541E72" w:rsidP="005074EC">
            <w:pPr>
              <w:pStyle w:val="ListParagraph"/>
              <w:shd w:val="clear" w:color="auto" w:fill="FFFFFF" w:themeFill="background1"/>
              <w:spacing w:after="0"/>
              <w:jc w:val="both"/>
              <w:rPr>
                <w:noProof/>
                <w:sz w:val="24"/>
                <w:szCs w:val="24"/>
              </w:rPr>
            </w:pPr>
          </w:p>
          <w:p w14:paraId="1B8EBC2A" w14:textId="488D2799" w:rsidR="00541E72" w:rsidRPr="00DC2002" w:rsidRDefault="00CC27B5" w:rsidP="005074EC">
            <w:pPr>
              <w:shd w:val="clear" w:color="auto" w:fill="FFFFFF" w:themeFill="background1"/>
              <w:jc w:val="both"/>
              <w:rPr>
                <w:b/>
                <w:smallCaps/>
                <w:noProof/>
                <w:sz w:val="24"/>
                <w:szCs w:val="24"/>
              </w:rPr>
            </w:pPr>
            <w:r>
              <w:rPr>
                <w:b/>
                <w:smallCaps/>
                <w:noProof/>
                <w:sz w:val="24"/>
              </w:rPr>
              <w:t xml:space="preserve">5. Code européen de la santé mentale </w:t>
            </w:r>
          </w:p>
          <w:p w14:paraId="2047CACF" w14:textId="3C1D8030" w:rsidR="00463891" w:rsidRPr="00DC2002" w:rsidRDefault="00495BD2" w:rsidP="00302CC9">
            <w:pPr>
              <w:pStyle w:val="ListParagraph"/>
              <w:numPr>
                <w:ilvl w:val="0"/>
                <w:numId w:val="38"/>
              </w:numPr>
              <w:shd w:val="clear" w:color="auto" w:fill="FFFFFF" w:themeFill="background1"/>
              <w:spacing w:before="120" w:after="120" w:line="240" w:lineRule="auto"/>
              <w:ind w:left="714" w:hanging="357"/>
              <w:jc w:val="both"/>
              <w:rPr>
                <w:noProof/>
                <w:sz w:val="24"/>
                <w:szCs w:val="24"/>
              </w:rPr>
            </w:pPr>
            <w:r>
              <w:rPr>
                <w:noProof/>
                <w:sz w:val="24"/>
              </w:rPr>
              <w:t>La Commission consacrera 2 millions d’EUR</w:t>
            </w:r>
            <w:r>
              <w:rPr>
                <w:rStyle w:val="FootnoteReference"/>
                <w:noProof/>
                <w:sz w:val="24"/>
                <w:szCs w:val="24"/>
                <w:lang w:val="en-IE"/>
              </w:rPr>
              <w:footnoteReference w:id="37"/>
            </w:r>
            <w:r>
              <w:rPr>
                <w:noProof/>
                <w:sz w:val="24"/>
              </w:rPr>
              <w:t xml:space="preserve"> à </w:t>
            </w:r>
            <w:r>
              <w:rPr>
                <w:b/>
                <w:noProof/>
                <w:sz w:val="24"/>
              </w:rPr>
              <w:t>donner aux personnes souffrant de problèmes de santé mentale les moyens</w:t>
            </w:r>
            <w:r>
              <w:rPr>
                <w:noProof/>
                <w:sz w:val="24"/>
              </w:rPr>
              <w:t xml:space="preserve"> de mieux prendre en charge leur propre santé ainsi que celle de leur famille et de leurs aidants en fournissant un ensemble de recommandations fondées sur des données probantes qui seront activement diffusées et disponibles en ligne. </w:t>
            </w:r>
          </w:p>
          <w:p w14:paraId="1554D5A5" w14:textId="77777777" w:rsidR="00880D8B" w:rsidRPr="006C0ADA" w:rsidRDefault="00880D8B" w:rsidP="00880D8B">
            <w:pPr>
              <w:shd w:val="clear" w:color="auto" w:fill="FFFFFF" w:themeFill="background1"/>
              <w:jc w:val="both"/>
              <w:rPr>
                <w:noProof/>
                <w:sz w:val="24"/>
                <w:szCs w:val="24"/>
              </w:rPr>
            </w:pPr>
          </w:p>
          <w:p w14:paraId="1E92B8C3" w14:textId="2E2535B4" w:rsidR="00F722F3" w:rsidRPr="00DC2002" w:rsidRDefault="00CC27B5" w:rsidP="00F722F3">
            <w:pPr>
              <w:shd w:val="clear" w:color="auto" w:fill="FFFFFF" w:themeFill="background1"/>
              <w:jc w:val="both"/>
              <w:rPr>
                <w:noProof/>
                <w:sz w:val="24"/>
                <w:szCs w:val="24"/>
              </w:rPr>
            </w:pPr>
            <w:r>
              <w:rPr>
                <w:b/>
                <w:smallCaps/>
                <w:noProof/>
                <w:sz w:val="24"/>
              </w:rPr>
              <w:t xml:space="preserve">6. </w:t>
            </w:r>
            <w:bookmarkStart w:id="9" w:name="_Hlk136414002"/>
            <w:r>
              <w:rPr>
                <w:b/>
                <w:smallCaps/>
                <w:noProof/>
                <w:sz w:val="24"/>
              </w:rPr>
              <w:t>Développer un écosystème commun pour la recherche sur le cerveau</w:t>
            </w:r>
          </w:p>
          <w:p w14:paraId="7DC6C1EA" w14:textId="6B371CED" w:rsidR="00F722F3" w:rsidRPr="00197903" w:rsidRDefault="00495BD2" w:rsidP="00F722F3">
            <w:pPr>
              <w:pStyle w:val="ListParagraph"/>
              <w:numPr>
                <w:ilvl w:val="0"/>
                <w:numId w:val="40"/>
              </w:numPr>
              <w:shd w:val="clear" w:color="auto" w:fill="FFFFFF" w:themeFill="background1"/>
              <w:spacing w:before="120" w:after="0" w:line="240" w:lineRule="auto"/>
              <w:jc w:val="both"/>
              <w:rPr>
                <w:noProof/>
                <w:sz w:val="24"/>
                <w:szCs w:val="24"/>
              </w:rPr>
            </w:pPr>
            <w:r>
              <w:rPr>
                <w:noProof/>
                <w:sz w:val="24"/>
              </w:rPr>
              <w:t xml:space="preserve">La Commission renforcera la recherche sur la santé cérébrale, y compris sur la santé mentale, en collaborant étroitement avec les États membres pour créer un écosystème dans ce domaine. Cet écosystème rassemblerait les chercheurs et les parties prenantes afin de faciliter et de coordonner les activités, l’objectif étant de maximiser les investissements de l’UE et des États membres dans la recherche. </w:t>
            </w:r>
          </w:p>
          <w:bookmarkEnd w:id="9"/>
          <w:p w14:paraId="74931A7F" w14:textId="0217A947" w:rsidR="00DB6A0B" w:rsidRPr="006C0ADA" w:rsidRDefault="00DB6A0B" w:rsidP="005074EC">
            <w:pPr>
              <w:shd w:val="clear" w:color="auto" w:fill="FFFFFF" w:themeFill="background1"/>
              <w:ind w:left="360"/>
              <w:jc w:val="both"/>
              <w:rPr>
                <w:rFonts w:eastAsia="Calibri" w:cs="Arial"/>
                <w:noProof/>
                <w:szCs w:val="24"/>
              </w:rPr>
            </w:pPr>
          </w:p>
        </w:tc>
      </w:tr>
    </w:tbl>
    <w:p w14:paraId="11ED9306" w14:textId="77777777" w:rsidR="004D139F" w:rsidRPr="006C0ADA" w:rsidRDefault="004D139F" w:rsidP="004D139F">
      <w:pPr>
        <w:shd w:val="clear" w:color="auto" w:fill="FFFFFF" w:themeFill="background1"/>
        <w:jc w:val="both"/>
        <w:rPr>
          <w:noProof/>
        </w:rPr>
      </w:pPr>
    </w:p>
    <w:p w14:paraId="7E87CE88" w14:textId="3C5DB326" w:rsidR="007574FD" w:rsidRPr="00DC2002" w:rsidDel="00F722F3" w:rsidRDefault="00F722F3" w:rsidP="004D139F">
      <w:pPr>
        <w:shd w:val="clear" w:color="auto" w:fill="FFFFFF" w:themeFill="background1"/>
        <w:jc w:val="both"/>
        <w:rPr>
          <w:bCs/>
          <w:noProof/>
        </w:rPr>
      </w:pPr>
      <w:r>
        <w:rPr>
          <w:noProof/>
        </w:rPr>
        <w:t xml:space="preserve">Les États membres sont instamment invités à utiliser les possibilités de financement de l’UE et à collaborer pour </w:t>
      </w:r>
      <w:r>
        <w:rPr>
          <w:b/>
          <w:noProof/>
        </w:rPr>
        <w:t>mettre en œuvre des initiatives et des bonnes pratiques</w:t>
      </w:r>
      <w:r>
        <w:rPr>
          <w:noProof/>
        </w:rPr>
        <w:t xml:space="preserve"> en matière de promotion et de prévention de la santé mentale, examiner les liens entre </w:t>
      </w:r>
      <w:r>
        <w:rPr>
          <w:b/>
          <w:noProof/>
        </w:rPr>
        <w:t>les inégalités et la santé mentale</w:t>
      </w:r>
      <w:r>
        <w:rPr>
          <w:noProof/>
        </w:rPr>
        <w:t xml:space="preserve"> en intensifiant les efforts permettant de lutter contre la stigmatisation, la discrimination, les discours de haine et la violence, et à fournir des possibilités adéquates de formations, de perfectionnement professionnel et de reconversion professionnelle au personnel de santé et des services sociaux en matière de promotion de la santé mentale et du bien-être. Les pays devraient également affronter</w:t>
      </w:r>
      <w:bookmarkEnd w:id="8"/>
      <w:r>
        <w:rPr>
          <w:noProof/>
        </w:rPr>
        <w:t xml:space="preserve"> les difficultés liées à la prévention des problèmes de santé mentale des communautés vulnérables, renforcer la reconnaissance précoce des problèmes de santé mentale, assurer un soutien et des interventions précoces, et prendre en considération les liens entre </w:t>
      </w:r>
      <w:r>
        <w:rPr>
          <w:b/>
          <w:noProof/>
        </w:rPr>
        <w:t>l’exclusion, les inégalités et la santé mentale</w:t>
      </w:r>
      <w:r>
        <w:rPr>
          <w:noProof/>
        </w:rPr>
        <w:t xml:space="preserve"> en intensifiant les efforts visant à lutter contre la discrimination, les discours haineux et la violence.</w:t>
      </w:r>
    </w:p>
    <w:p w14:paraId="322AD1F1" w14:textId="3301A1C8" w:rsidR="00BC4FF3" w:rsidRPr="00DC2002" w:rsidRDefault="004D139F" w:rsidP="005074EC">
      <w:pPr>
        <w:pStyle w:val="Heading2"/>
        <w:jc w:val="both"/>
        <w:rPr>
          <w:noProof/>
        </w:rPr>
      </w:pPr>
      <w:r>
        <w:rPr>
          <w:noProof/>
        </w:rPr>
        <w:t>Améliorer la santé mentale des enfants et des jeunes</w:t>
      </w:r>
    </w:p>
    <w:p w14:paraId="0E6B8EF4" w14:textId="17F7A0D8" w:rsidR="00A86BB0" w:rsidRPr="00DC2002" w:rsidRDefault="00F82629" w:rsidP="005074EC">
      <w:pPr>
        <w:jc w:val="both"/>
        <w:rPr>
          <w:rFonts w:eastAsia="Times New Roman" w:cs="Times New Roman"/>
          <w:noProof/>
        </w:rPr>
      </w:pPr>
      <w:r>
        <w:rPr>
          <w:noProof/>
          <w:color w:val="333333"/>
        </w:rPr>
        <w:t xml:space="preserve">L’Europe assiste à une </w:t>
      </w:r>
      <w:r>
        <w:rPr>
          <w:b/>
          <w:noProof/>
          <w:color w:val="333333"/>
        </w:rPr>
        <w:t>détérioration de la santé mentale de ses jeunes générations</w:t>
      </w:r>
      <w:r>
        <w:rPr>
          <w:noProof/>
          <w:color w:val="333333"/>
        </w:rPr>
        <w:t>. Pendant la pandémie de COVID-19, la plupart des enfants n’ont pas pu aller en cours et ont été privés d’interaction sociale et d’activité physique, et la dépression chez les jeunes a plus que doublé</w:t>
      </w:r>
      <w:r>
        <w:rPr>
          <w:rStyle w:val="FootnoteReference"/>
          <w:rFonts w:cs="Times New Roman"/>
          <w:noProof/>
          <w:color w:val="333333"/>
          <w:lang w:val="en-IE"/>
        </w:rPr>
        <w:footnoteReference w:id="38"/>
      </w:r>
      <w:r>
        <w:rPr>
          <w:noProof/>
          <w:color w:val="333333"/>
        </w:rPr>
        <w:t xml:space="preserve">. </w:t>
      </w:r>
      <w:r>
        <w:rPr>
          <w:noProof/>
        </w:rPr>
        <w:t>La solitude, un facteur important déterminant le bien-être et la santé mentale, a atteint des niveaux alarmants. En 2022, une personne sur cinq âgée de 16 à 25 ans a déclaré se sentir seule la plupart du temps</w:t>
      </w:r>
      <w:r>
        <w:rPr>
          <w:rStyle w:val="FootnoteReference"/>
          <w:rFonts w:cs="Times New Roman"/>
          <w:noProof/>
          <w:color w:val="333333"/>
          <w:lang w:val="en-IE"/>
        </w:rPr>
        <w:footnoteReference w:id="39"/>
      </w:r>
      <w:r>
        <w:rPr>
          <w:noProof/>
        </w:rPr>
        <w:t>.</w:t>
      </w:r>
    </w:p>
    <w:p w14:paraId="3B8625B9" w14:textId="4DD0F33F" w:rsidR="001328E7" w:rsidRDefault="00D10A79" w:rsidP="005074EC">
      <w:pPr>
        <w:pStyle w:val="ListParagraph"/>
        <w:ind w:left="0"/>
        <w:jc w:val="both"/>
        <w:rPr>
          <w:rFonts w:cs="Times New Roman"/>
          <w:noProof/>
          <w:color w:val="333333"/>
        </w:rPr>
      </w:pPr>
      <w:r>
        <w:rPr>
          <w:noProof/>
          <w:color w:val="333333"/>
        </w:rPr>
        <w:t xml:space="preserve">La pauvreté des enfants peut avoir des effets néfastes sur la santé mentale. La recommandation du Conseil établissant une </w:t>
      </w:r>
      <w:r>
        <w:rPr>
          <w:b/>
          <w:noProof/>
          <w:color w:val="333333"/>
        </w:rPr>
        <w:t>garantie européenne pour l’enfance</w:t>
      </w:r>
      <w:r>
        <w:rPr>
          <w:rStyle w:val="FootnoteReference"/>
          <w:rFonts w:cs="Times New Roman"/>
          <w:b/>
          <w:bCs/>
          <w:noProof/>
          <w:color w:val="333333"/>
          <w:lang w:val="en-IE"/>
        </w:rPr>
        <w:footnoteReference w:id="40"/>
      </w:r>
      <w:r>
        <w:rPr>
          <w:noProof/>
          <w:color w:val="333333"/>
        </w:rPr>
        <w:t xml:space="preserve"> aborde certaines de ces difficultés. Les programmes de prévention du harcèlement scolaire</w:t>
      </w:r>
      <w:r>
        <w:rPr>
          <w:rStyle w:val="FootnoteReference"/>
          <w:rFonts w:cs="Times New Roman"/>
          <w:noProof/>
          <w:color w:val="333333"/>
          <w:lang w:val="en-IE"/>
        </w:rPr>
        <w:footnoteReference w:id="41"/>
      </w:r>
      <w:r>
        <w:rPr>
          <w:noProof/>
          <w:color w:val="333333"/>
        </w:rPr>
        <w:t xml:space="preserve"> constituent un moyen efficace de contribuer au bien-être psychologique des enfants et des jeunes. </w:t>
      </w:r>
    </w:p>
    <w:p w14:paraId="6410A98D" w14:textId="77777777" w:rsidR="00197903" w:rsidRPr="006C0ADA" w:rsidRDefault="00197903" w:rsidP="005074EC">
      <w:pPr>
        <w:pStyle w:val="ListParagraph"/>
        <w:ind w:left="0"/>
        <w:jc w:val="both"/>
        <w:rPr>
          <w:rFonts w:cs="Times New Roman"/>
          <w:noProof/>
          <w:color w:val="333333"/>
        </w:rPr>
      </w:pPr>
    </w:p>
    <w:p w14:paraId="3387B906" w14:textId="11E24774" w:rsidR="00117BBD" w:rsidRDefault="00117BBD" w:rsidP="005074EC">
      <w:pPr>
        <w:pStyle w:val="ListParagraph"/>
        <w:ind w:left="0"/>
        <w:jc w:val="both"/>
        <w:rPr>
          <w:rFonts w:cs="Times New Roman"/>
          <w:noProof/>
          <w:color w:val="333333"/>
        </w:rPr>
      </w:pPr>
      <w:r>
        <w:rPr>
          <w:noProof/>
          <w:color w:val="333333"/>
        </w:rPr>
        <w:t xml:space="preserve">Les jeunes sont de plus en plus confrontés à l’anxiété, à la tristesse ou à la peur, à l’automutilation, à la faible estime de soi, au harcèlement et aux troubles alimentaires. </w:t>
      </w:r>
      <w:r>
        <w:rPr>
          <w:noProof/>
        </w:rPr>
        <w:t>Les enfants déplacés de force et les enfants migrants, y compris ceux qui ont été contraints de fuir la guerre d’agression menée par la Russie en Ukraine, ainsi que les enfants victimes d’exploitation sexuelle, d’autres crimes et abus, sont particulièrement menacés.</w:t>
      </w:r>
      <w:r>
        <w:rPr>
          <w:noProof/>
          <w:color w:val="333333"/>
        </w:rPr>
        <w:t xml:space="preserve"> </w:t>
      </w:r>
    </w:p>
    <w:p w14:paraId="76EF6363" w14:textId="77777777" w:rsidR="005D2F29" w:rsidRDefault="00EA281D" w:rsidP="005074EC">
      <w:pPr>
        <w:jc w:val="both"/>
        <w:rPr>
          <w:rFonts w:cs="Times New Roman"/>
          <w:noProof/>
          <w:color w:val="333333"/>
        </w:rPr>
      </w:pPr>
      <w:r>
        <w:rPr>
          <w:noProof/>
          <w:color w:val="333333"/>
        </w:rPr>
        <w:t xml:space="preserve">Les enfants sont touchés par différents déterminants environnementaux, sociaux, commerciaux interconnectés en matière de santé ainsi que par les conséquences des infractions en ligne telles que les abus sexuels sur enfants en ligne. Dans certains cas, les enfants et les jeunes sont confrontés à des épreuves pendant certaines des </w:t>
      </w:r>
      <w:r>
        <w:rPr>
          <w:b/>
          <w:noProof/>
          <w:color w:val="333333"/>
        </w:rPr>
        <w:t>années les plus vulnérables et les plus formatrices de leur vie, qui peuvent façonner leur santé et leur santé mentale tout au long de leur vie</w:t>
      </w:r>
      <w:r>
        <w:rPr>
          <w:noProof/>
          <w:color w:val="333333"/>
        </w:rPr>
        <w:t xml:space="preserve">. </w:t>
      </w:r>
    </w:p>
    <w:p w14:paraId="78D1EA13" w14:textId="30DBDD78" w:rsidR="00117BBD" w:rsidRPr="00DC2002" w:rsidRDefault="009F332E" w:rsidP="005074EC">
      <w:pPr>
        <w:jc w:val="both"/>
        <w:rPr>
          <w:rFonts w:cs="Times New Roman"/>
          <w:noProof/>
          <w:color w:val="333333"/>
        </w:rPr>
      </w:pPr>
      <w:r>
        <w:rPr>
          <w:noProof/>
          <w:color w:val="333333"/>
        </w:rPr>
        <w:t>Les jeunes sont également fortement préoccupés par le changement climatique et la perte de biodiversité.</w:t>
      </w:r>
      <w:r>
        <w:rPr>
          <w:noProof/>
        </w:rPr>
        <w:t xml:space="preserve"> </w:t>
      </w:r>
      <w:r>
        <w:rPr>
          <w:noProof/>
          <w:color w:val="333333"/>
        </w:rPr>
        <w:t>Une enquête récente</w:t>
      </w:r>
      <w:r>
        <w:rPr>
          <w:rStyle w:val="FootnoteReference"/>
          <w:rFonts w:cs="Times New Roman"/>
          <w:noProof/>
          <w:color w:val="333333"/>
          <w:lang w:val="en-IE"/>
        </w:rPr>
        <w:footnoteReference w:id="42"/>
      </w:r>
      <w:r>
        <w:rPr>
          <w:noProof/>
          <w:color w:val="333333"/>
        </w:rPr>
        <w:t xml:space="preserve"> a conclu que 75 % des enfants et des jeunes répondants considéraient leur avenir comme «effrayant». Parallèlement, l’étude a révélé que l’anxiété et la détresse climatiques étaient corrélées à la réponse des pouvoirs publics perçue comme inadéquate et au sentiment de trahison en découlant. Les engagements pris par l’UE en vue d’atteindre la neutralité climatique d’ici à 2050 et le cadre mondial de Kunming-Montréal en matière de biodiversité sont donc également importants pour la santé mentale de nos enfants. </w:t>
      </w:r>
    </w:p>
    <w:p w14:paraId="63A471C2" w14:textId="7DCC2480" w:rsidR="006A2962" w:rsidRPr="00DC2002" w:rsidRDefault="00117BBD" w:rsidP="006A2962">
      <w:pPr>
        <w:jc w:val="both"/>
        <w:rPr>
          <w:rFonts w:cs="Times New Roman"/>
          <w:noProof/>
          <w:color w:val="333333"/>
        </w:rPr>
      </w:pPr>
      <w:r>
        <w:rPr>
          <w:noProof/>
          <w:color w:val="333333"/>
        </w:rPr>
        <w:t xml:space="preserve">Les </w:t>
      </w:r>
      <w:r>
        <w:rPr>
          <w:b/>
          <w:noProof/>
          <w:color w:val="333333"/>
        </w:rPr>
        <w:t>outils numériques</w:t>
      </w:r>
      <w:r>
        <w:rPr>
          <w:noProof/>
          <w:color w:val="333333"/>
        </w:rPr>
        <w:t xml:space="preserve"> peuvent avoir une incidence positive sur la santé mentale (par exemple, grâce à l’accès qu’ils donnent à des informations, groupes de soutien et services thérapeutiques), mais cette incidence peut également être négative. Il est nécessaire de progresser vers </w:t>
      </w:r>
      <w:r>
        <w:rPr>
          <w:b/>
          <w:noProof/>
          <w:color w:val="333333"/>
        </w:rPr>
        <w:t>un espace numérique plus sûr et plus sain pour les enfants</w:t>
      </w:r>
      <w:r>
        <w:rPr>
          <w:rStyle w:val="FootnoteReference"/>
          <w:rFonts w:cs="Times New Roman"/>
          <w:b/>
          <w:bCs/>
          <w:noProof/>
          <w:color w:val="333333"/>
          <w:lang w:val="en-IE"/>
        </w:rPr>
        <w:footnoteReference w:id="43"/>
      </w:r>
      <w:r>
        <w:rPr>
          <w:noProof/>
          <w:color w:val="333333"/>
        </w:rPr>
        <w:t>. Il s’agit notamment de: les protéger contre les contenus inappropriés, la collecte intrusive d’informations et la promotion en ligne agressive d’aliments, de boissons et de normes de beauté mauvaises pour la santé ainsi que d’alcool et de tabac, d’encourager une utilisation prudente des médias sociaux et de lutter contre les abus sexuels sur enfants en ligne, l’accès aux drogues et aux nouvelles substances psychoactives illicites, avec des garanties contre le cyberharcèlement, les discours haineux, le temps d'écran excessif et l’édition numérique d’images; de promouvoir une utilisation équilibrée des jeux, ce qui contribue à prévenir une utilisation compulsive et les effets négatifs sur la vie quotidienne.</w:t>
      </w:r>
    </w:p>
    <w:p w14:paraId="4EA96650" w14:textId="71AE86CD" w:rsidR="00DC31CB" w:rsidRDefault="005A1EC8" w:rsidP="00DC31CB">
      <w:pPr>
        <w:jc w:val="both"/>
        <w:rPr>
          <w:rFonts w:cs="Times New Roman"/>
          <w:noProof/>
          <w:color w:val="333333"/>
        </w:rPr>
      </w:pPr>
      <w:bookmarkStart w:id="11" w:name="_Hlk136537452"/>
      <w:bookmarkStart w:id="12" w:name="_Hlk136537368"/>
      <w:r>
        <w:rPr>
          <w:noProof/>
        </w:rPr>
        <w:t>En ce qui concerne le développement physique et mental des enfants</w:t>
      </w:r>
      <w:r>
        <w:rPr>
          <w:noProof/>
          <w:vertAlign w:val="superscript"/>
          <w:lang w:val="en-IE"/>
        </w:rPr>
        <w:footnoteReference w:id="44"/>
      </w:r>
      <w:r>
        <w:rPr>
          <w:noProof/>
        </w:rPr>
        <w:t xml:space="preserve">, le </w:t>
      </w:r>
      <w:r>
        <w:rPr>
          <w:b/>
          <w:noProof/>
        </w:rPr>
        <w:t>règlement sur les services numériques</w:t>
      </w:r>
      <w:r>
        <w:rPr>
          <w:b/>
          <w:bCs/>
          <w:noProof/>
          <w:vertAlign w:val="superscript"/>
          <w:lang w:val="en-IE"/>
        </w:rPr>
        <w:footnoteReference w:id="45"/>
      </w:r>
      <w:r>
        <w:rPr>
          <w:noProof/>
        </w:rPr>
        <w:t xml:space="preserve"> reconnaît certains risques systémiques découlant de la conception ou du fonctionnement des services et systèmes, notamment des systèmes algorithmiques, désignés comme «très grandes plateformes en ligne» ou «très grands moteurs de recherche en ligne». Ces risques peuvent résulter, par exemple, de la conception des interfaces en ligne qui exploitent intentionnellement ou non les faiblesses et l’inexpérience des mineurs ou qui peuvent entraîner un comportement de dépendance.</w:t>
      </w:r>
      <w:bookmarkEnd w:id="11"/>
    </w:p>
    <w:p w14:paraId="6D592DD2" w14:textId="6AB092D3" w:rsidR="005A1EC8" w:rsidRPr="008A0EEB" w:rsidRDefault="005A1EC8" w:rsidP="00B023CB">
      <w:pPr>
        <w:jc w:val="both"/>
        <w:rPr>
          <w:rFonts w:cs="Times New Roman"/>
          <w:noProof/>
          <w:color w:val="333333"/>
        </w:rPr>
      </w:pPr>
      <w:bookmarkStart w:id="13" w:name="_Hlk136537498"/>
      <w:r>
        <w:rPr>
          <w:noProof/>
        </w:rPr>
        <w:t xml:space="preserve">Pour les plateformes qui ne sont pas désignées comme «très grandes», le règlement sur les services numériques impose également de prendre des mesures ciblées visant à mieux </w:t>
      </w:r>
      <w:r>
        <w:rPr>
          <w:b/>
          <w:noProof/>
        </w:rPr>
        <w:t>protéger les mineurs en ligne</w:t>
      </w:r>
      <w:r>
        <w:rPr>
          <w:noProof/>
        </w:rPr>
        <w:t>, par exemple en concevant leurs interfaces en ligne ou des parties de celles-ci avec le plus haut niveau de protection de la vie privée, de sécurité et de sûreté des mineurs par défaut, ou en adoptant des normes de protection des mineurs, ou en participant à des codes de conduite pour la protection des mineurs.</w:t>
      </w:r>
      <w:r>
        <w:rPr>
          <w:noProof/>
          <w:color w:val="333333"/>
        </w:rPr>
        <w:t xml:space="preserve"> </w:t>
      </w:r>
      <w:r>
        <w:rPr>
          <w:noProof/>
        </w:rPr>
        <w:t>En outre, ledit règlement interdit aux fournisseurs de plateformes en ligne de présenter des publicités en ligne sur leur interface, dès lors qu’ils savent avec une certitude raisonnable que le destinataire du service est un mineur.</w:t>
      </w:r>
      <w:r>
        <w:rPr>
          <w:noProof/>
          <w:color w:val="333333"/>
        </w:rPr>
        <w:t xml:space="preserve"> </w:t>
      </w:r>
    </w:p>
    <w:bookmarkEnd w:id="13"/>
    <w:p w14:paraId="113FB1A6" w14:textId="0CCF26B4" w:rsidR="005A1EC8" w:rsidRPr="00292C27" w:rsidRDefault="005A1EC8" w:rsidP="00B023CB">
      <w:pPr>
        <w:jc w:val="both"/>
        <w:rPr>
          <w:rFonts w:eastAsia="Calibri" w:cs="Times New Roman"/>
          <w:noProof/>
          <w:szCs w:val="24"/>
        </w:rPr>
      </w:pPr>
      <w:r>
        <w:rPr>
          <w:noProof/>
        </w:rPr>
        <w:t>La nouvelle stratégie européenne pour un internet mieux adapté aux enfants</w:t>
      </w:r>
      <w:r>
        <w:rPr>
          <w:noProof/>
          <w:vertAlign w:val="superscript"/>
          <w:lang w:val="en-US"/>
        </w:rPr>
        <w:footnoteReference w:id="46"/>
      </w:r>
      <w:r>
        <w:rPr>
          <w:noProof/>
        </w:rPr>
        <w:t xml:space="preserve">, complémentaire du règlement sur les services numériques, offre un soutien à la santé mentale des enfants en ligne au moyen des </w:t>
      </w:r>
      <w:r>
        <w:rPr>
          <w:b/>
          <w:noProof/>
        </w:rPr>
        <w:t>centres pour un internet plus sûr</w:t>
      </w:r>
      <w:r>
        <w:rPr>
          <w:noProof/>
        </w:rPr>
        <w:t xml:space="preserve"> et</w:t>
      </w:r>
      <w:r>
        <w:rPr>
          <w:b/>
          <w:noProof/>
        </w:rPr>
        <w:t xml:space="preserve"> </w:t>
      </w:r>
      <w:r>
        <w:rPr>
          <w:noProof/>
        </w:rPr>
        <w:t>du portail Betterinternetforkids,</w:t>
      </w:r>
      <w:r>
        <w:rPr>
          <w:b/>
          <w:noProof/>
        </w:rPr>
        <w:t xml:space="preserve"> </w:t>
      </w:r>
      <w:r>
        <w:rPr>
          <w:noProof/>
        </w:rPr>
        <w:t>qui offre une multitude de ressources adaptées à l’âge pour les enfants, les familles et les enseignants. Ces lignes d’assistance téléphonique des centres pour un internet plus sûr offrent un soutien et des conseils pratiques aux enfants confrontés à des problèmes en ligne, tels que le cyberharcèlement, le pédopiégeage et des contenus perturbants, ainsi qu’à leurs parents ou tuteurs.</w:t>
      </w:r>
    </w:p>
    <w:bookmarkEnd w:id="12"/>
    <w:p w14:paraId="770A4AE0" w14:textId="020C80CA" w:rsidR="00A97E52" w:rsidRPr="00DC2002" w:rsidRDefault="00A97E52" w:rsidP="00A97E52">
      <w:pPr>
        <w:jc w:val="both"/>
        <w:rPr>
          <w:rFonts w:eastAsia="Calibri" w:cs="Arial"/>
          <w:noProof/>
        </w:rPr>
      </w:pPr>
      <w:r>
        <w:rPr>
          <w:noProof/>
        </w:rPr>
        <w:t xml:space="preserve">Les enfants se trouvent dans une situation plus vulnérable que les adultes pour exprimer leurs inquiétudes.  Conformément à la stratégie de l’UE sur les droits de l’enfant, la Commission présentera en 2024 une initiative sur les systèmes intégrés de protection de l’enfance, qui encouragera toutes les autorités et tous les services concernés à mieux collaborer dans le cadre d’un système plaçant l’enfant au centre des préoccupations. Lors de la phase de préparation, les enfants seront consultés, notamment sur la dimension de santé mentale, au moyen de la plateforme européenne de participation des enfants nouvellement créée. La voix des enfants devrait être entendue et, à cette fin, il est nécessaire de mettre en place des outils ciblés et des initiatives. En outre, la Commission soutiendra la mise en œuvre de la </w:t>
      </w:r>
      <w:r>
        <w:rPr>
          <w:b/>
          <w:noProof/>
        </w:rPr>
        <w:t>stratégie de l’UE en faveur d’une lutte plus efficace contre l’exploitation et les abus sexuels commis contre des enfants</w:t>
      </w:r>
      <w:r>
        <w:rPr>
          <w:rStyle w:val="FootnoteReference"/>
          <w:rFonts w:eastAsia="Times New Roman" w:cs="Times New Roman"/>
          <w:b/>
          <w:noProof/>
          <w:color w:val="000000" w:themeColor="text1"/>
          <w:szCs w:val="24"/>
          <w:lang w:val="en-IE"/>
        </w:rPr>
        <w:footnoteReference w:id="47"/>
      </w:r>
      <w:r>
        <w:rPr>
          <w:noProof/>
        </w:rPr>
        <w:t xml:space="preserve"> en améliorant la prévention, l’assistance aux victimes ainsi que les efforts d’enquêtes et de poursuites.</w:t>
      </w:r>
      <w:r>
        <w:rPr>
          <w:noProof/>
          <w:color w:val="000000" w:themeColor="text1"/>
        </w:rPr>
        <w:t xml:space="preserve"> Pour relever les </w:t>
      </w:r>
      <w:r>
        <w:rPr>
          <w:b/>
          <w:noProof/>
          <w:color w:val="000000" w:themeColor="text1"/>
        </w:rPr>
        <w:t>défis spécifiques auxquels sont confrontés les enfants et les jeunes</w:t>
      </w:r>
      <w:r>
        <w:rPr>
          <w:noProof/>
          <w:color w:val="000000" w:themeColor="text1"/>
        </w:rPr>
        <w:t xml:space="preserve"> vivant dans des zones rurales ou isolées et particulièrement touchées par l’insuffisance des services de soutien en matière de santé mentale, la Commission intègrera des actions ciblées dans le cadre du plan d’action rural de l’UE. </w:t>
      </w:r>
      <w:r>
        <w:rPr>
          <w:noProof/>
        </w:rPr>
        <w:t xml:space="preserve">Elle garantira que le </w:t>
      </w:r>
      <w:r>
        <w:rPr>
          <w:b/>
          <w:noProof/>
        </w:rPr>
        <w:t>corps européen de solidarité</w:t>
      </w:r>
      <w:r>
        <w:rPr>
          <w:noProof/>
        </w:rPr>
        <w:t xml:space="preserve"> continue de soutenir des activités liées à la prévention, à la promotion et au soutien dans le domaine de la santé, conformément à l’initiative HealthyLifeStyle4All</w:t>
      </w:r>
      <w:r>
        <w:rPr>
          <w:rStyle w:val="FootnoteReference"/>
          <w:noProof/>
          <w:lang w:val="en-IE"/>
        </w:rPr>
        <w:footnoteReference w:id="48"/>
      </w:r>
      <w:r>
        <w:rPr>
          <w:noProof/>
        </w:rPr>
        <w:t xml:space="preserve">, en mettant particulièrement l’accent sur le soutien aux groupes de population vulnérables ou défavorisés. </w:t>
      </w:r>
    </w:p>
    <w:p w14:paraId="6BBF4E4A" w14:textId="512860D3" w:rsidR="00117BBD" w:rsidRPr="00DC2002" w:rsidRDefault="00117BBD" w:rsidP="005074EC">
      <w:pPr>
        <w:jc w:val="both"/>
        <w:rPr>
          <w:noProof/>
        </w:rPr>
      </w:pPr>
      <w:r>
        <w:rPr>
          <w:noProof/>
        </w:rPr>
        <w:t xml:space="preserve">La </w:t>
      </w:r>
      <w:r>
        <w:rPr>
          <w:b/>
          <w:noProof/>
        </w:rPr>
        <w:t>prévention et les interventions précoces</w:t>
      </w:r>
      <w:r>
        <w:rPr>
          <w:noProof/>
        </w:rPr>
        <w:t xml:space="preserve"> des professionnels en contact avec les enfants, tels que les enseignants, peuvent favoriser la résilience des enfants et des jeunes en matière de santé mentale et atténuer les préjudices potentiels, notamment en leur donnant la parole. Les crèches et les écoles constituent un cadre idéal pour doter les jeunes enfants des compétences leur permettant de réguler leurs émotions et d’améliorer leur compréhension de la santé mentale, de développer des compétences telles que l’empathie et de renforcer la conscience de soi et la confiance en soi. Pour ce faire, il est nécessaire de disposer d’un personnel dûment formé, d’investissements conséquents pouvant contribuer à réduire la stigmatisation des problèmes de santé mentale et de bâtir une société plus résiliente et plus solidaire. Il a été démontré que des initiatives menées dans les établissements scolaires, notamment des approches interdisciplinaires de la santé mentale, peuvent améliorer la santé mentale, les compétences cognitives, l’attention, les résultats scolaires et la résilience face aux facteurs de stress</w:t>
      </w:r>
      <w:r>
        <w:rPr>
          <w:rStyle w:val="FootnoteReference"/>
          <w:noProof/>
          <w:lang w:val="en-IE"/>
        </w:rPr>
        <w:footnoteReference w:id="49"/>
      </w:r>
      <w:r>
        <w:rPr>
          <w:noProof/>
        </w:rPr>
        <w:t xml:space="preserve">. La </w:t>
      </w:r>
      <w:r>
        <w:rPr>
          <w:b/>
          <w:noProof/>
        </w:rPr>
        <w:t>ligne internationale d'assistance aux enfants</w:t>
      </w:r>
      <w:r>
        <w:rPr>
          <w:rStyle w:val="FootnoteReference"/>
          <w:noProof/>
          <w:lang w:val="en-IE"/>
        </w:rPr>
        <w:footnoteReference w:id="50"/>
      </w:r>
      <w:r>
        <w:rPr>
          <w:noProof/>
        </w:rPr>
        <w:t xml:space="preserve"> fournit un soutien en matière de santé mentale aux enfants, qui peut comprendre un soutien émotionnel, psychologique et parfois juridique aux enfants qui contactent la ligne d’assistance. </w:t>
      </w:r>
    </w:p>
    <w:p w14:paraId="4FE5CBBD" w14:textId="34B57E1B" w:rsidR="001B37A0" w:rsidRPr="00DC2002" w:rsidRDefault="000024A3" w:rsidP="008A499D">
      <w:pPr>
        <w:jc w:val="both"/>
        <w:rPr>
          <w:noProof/>
        </w:rPr>
      </w:pPr>
      <w:r>
        <w:rPr>
          <w:noProof/>
        </w:rPr>
        <w:t xml:space="preserve">La Commission aidera les États membres à mettre en œuvre la </w:t>
      </w:r>
      <w:r>
        <w:rPr>
          <w:b/>
          <w:noProof/>
        </w:rPr>
        <w:t>garantie européenne pour l’enfance</w:t>
      </w:r>
      <w:r>
        <w:rPr>
          <w:noProof/>
        </w:rPr>
        <w:t xml:space="preserve">, conformément à leurs plans d’action nationaux et au moyen de fonds de l’UE, en particulier le Fonds social européen plus, et en facilitant l’échange de bonnes pratiques entre les coordinateurs de la garantie pour l’enfance. Les pays seront également soutenus dans leurs efforts visant à renforcer les capacités nationales des professionnels de la santé et des autres professionnels, et seront invités à tirer parti des possibilités financières offertes par le budget de l’UE pour renforcer l’action en matière de prévention et d’interventions précoces en dehors du secteur de la santé, notamment dans le cadre éducatif. La Commission assurera également le </w:t>
      </w:r>
      <w:r>
        <w:rPr>
          <w:b/>
          <w:noProof/>
        </w:rPr>
        <w:t>suivi des progrès</w:t>
      </w:r>
      <w:r>
        <w:rPr>
          <w:noProof/>
        </w:rPr>
        <w:t xml:space="preserve"> réalisés dans le cadre du Semestre européen. </w:t>
      </w:r>
    </w:p>
    <w:p w14:paraId="6A9018CF" w14:textId="77053091" w:rsidR="00301CA0" w:rsidRPr="00DC2002" w:rsidRDefault="009B6C82" w:rsidP="008A499D">
      <w:pPr>
        <w:jc w:val="both"/>
        <w:rPr>
          <w:noProof/>
        </w:rPr>
      </w:pPr>
      <w:r>
        <w:rPr>
          <w:noProof/>
        </w:rPr>
        <w:t xml:space="preserve">La Commission poursuivra la mise en œuvre de la </w:t>
      </w:r>
      <w:r>
        <w:rPr>
          <w:b/>
          <w:noProof/>
        </w:rPr>
        <w:t>stratégie de l’UE en faveur de la jeunesse (2019-2027)</w:t>
      </w:r>
      <w:r>
        <w:rPr>
          <w:rStyle w:val="FootnoteReference"/>
          <w:b/>
          <w:bCs/>
          <w:noProof/>
          <w:lang w:val="en-IE"/>
        </w:rPr>
        <w:footnoteReference w:id="51"/>
      </w:r>
      <w:r>
        <w:rPr>
          <w:noProof/>
        </w:rPr>
        <w:t xml:space="preserve"> afin d’atteindre un meilleur niveau de santé mentale et de bien-être et de mettre un terme à la stigmatisation.</w:t>
      </w:r>
    </w:p>
    <w:p w14:paraId="677EDF6B" w14:textId="3E46B66C" w:rsidR="00FC0B1B" w:rsidRDefault="004741D7" w:rsidP="008A499D">
      <w:pPr>
        <w:jc w:val="both"/>
        <w:rPr>
          <w:noProof/>
        </w:rPr>
      </w:pPr>
      <w:r>
        <w:rPr>
          <w:noProof/>
        </w:rPr>
        <w:t>La Commission renforcera la promotion de la santé mentale dans les environnements éducatifs en soutenant la mise en œuvre de l’initiative «</w:t>
      </w:r>
      <w:r>
        <w:rPr>
          <w:b/>
          <w:noProof/>
        </w:rPr>
        <w:t>Passeport pour la réussite scolaire</w:t>
      </w:r>
      <w:r>
        <w:rPr>
          <w:noProof/>
        </w:rPr>
        <w:t>»</w:t>
      </w:r>
      <w:r>
        <w:rPr>
          <w:noProof/>
          <w:vertAlign w:val="superscript"/>
          <w:lang w:val="en-IE"/>
        </w:rPr>
        <w:footnoteReference w:id="52"/>
      </w:r>
      <w:r>
        <w:rPr>
          <w:noProof/>
        </w:rPr>
        <w:t xml:space="preserve">. Le groupe d’experts de la Commission chargé de créer des environnements d’apprentissage favorables pour les groupes présentant un risque d’échec scolaire et de soutenir le bien-être à l’école élaborera, en 2024, des lignes directrices sur une </w:t>
      </w:r>
      <w:r>
        <w:rPr>
          <w:b/>
          <w:noProof/>
        </w:rPr>
        <w:t>approche systémique du bien-être englobant tous les acteurs de l’école</w:t>
      </w:r>
      <w:r>
        <w:rPr>
          <w:noProof/>
        </w:rPr>
        <w:t xml:space="preserve"> à l’intention des décideurs politiques aux niveaux local, régional et national et des écoles</w:t>
      </w:r>
      <w:r>
        <w:rPr>
          <w:rStyle w:val="FootnoteReference"/>
          <w:noProof/>
          <w:lang w:val="en-IE"/>
        </w:rPr>
        <w:footnoteReference w:id="53"/>
      </w:r>
      <w:r>
        <w:rPr>
          <w:noProof/>
        </w:rPr>
        <w:t xml:space="preserve">. La Commission proposera une </w:t>
      </w:r>
      <w:r>
        <w:rPr>
          <w:b/>
          <w:noProof/>
        </w:rPr>
        <w:t>boîte à outils d’autoévaluation et d’amélioration personnelle sur le bien-être à l’école</w:t>
      </w:r>
      <w:r>
        <w:rPr>
          <w:noProof/>
        </w:rPr>
        <w:t xml:space="preserve"> et formulera des recommandations pour des activités de sensibilisation aux niveaux national et de l’UE.</w:t>
      </w:r>
      <w:r>
        <w:rPr>
          <w:b/>
          <w:noProof/>
        </w:rPr>
        <w:t xml:space="preserve"> </w:t>
      </w:r>
      <w:r>
        <w:rPr>
          <w:noProof/>
        </w:rPr>
        <w:t>Des possibilités de financement seront disponibles pour des projets dans le cadre d’Erasmus+ et du corps européen de solidarité afin de favoriser la santé mentale et le bien-être des jeunes, et l’activité à long terme d’Erasmus+ sur la formation et la coopération en matière de «</w:t>
      </w:r>
      <w:r>
        <w:rPr>
          <w:b/>
          <w:noProof/>
        </w:rPr>
        <w:t>santé mentale dans l’animation socio-éducative</w:t>
      </w:r>
      <w:r>
        <w:rPr>
          <w:noProof/>
        </w:rPr>
        <w:t>» continuera de sensibiliser à la santé mentale et de développer les connaissances dans ce domaine.</w:t>
      </w:r>
    </w:p>
    <w:tbl>
      <w:tblPr>
        <w:tblStyle w:val="TableGrid"/>
        <w:tblW w:w="9405" w:type="dxa"/>
        <w:tblInd w:w="0" w:type="dxa"/>
        <w:tblBorders>
          <w:insideH w:val="none" w:sz="0" w:space="0" w:color="auto"/>
          <w:insideV w:val="none" w:sz="0" w:space="0" w:color="auto"/>
        </w:tblBorders>
        <w:tblLook w:val="04A0" w:firstRow="1" w:lastRow="0" w:firstColumn="1" w:lastColumn="0" w:noHBand="0" w:noVBand="1"/>
      </w:tblPr>
      <w:tblGrid>
        <w:gridCol w:w="9405"/>
      </w:tblGrid>
      <w:tr w:rsidR="00BF4F22" w:rsidRPr="00DC2002" w14:paraId="4ACB3D4B" w14:textId="77777777" w:rsidTr="00A53839">
        <w:trPr>
          <w:trHeight w:val="1246"/>
        </w:trPr>
        <w:tc>
          <w:tcPr>
            <w:tcW w:w="9405" w:type="dxa"/>
          </w:tcPr>
          <w:p w14:paraId="50CB1563" w14:textId="0F2248B2" w:rsidR="00BF4F22" w:rsidRPr="00364CD8" w:rsidRDefault="00463891" w:rsidP="005074EC">
            <w:pPr>
              <w:pBdr>
                <w:bottom w:val="single" w:sz="4" w:space="1" w:color="auto"/>
              </w:pBdr>
              <w:shd w:val="clear" w:color="auto" w:fill="FFFFFF" w:themeFill="background1"/>
              <w:jc w:val="both"/>
              <w:rPr>
                <w:rFonts w:cs="Times New Roman"/>
                <w:b/>
                <w:noProof/>
                <w:sz w:val="24"/>
                <w:szCs w:val="24"/>
              </w:rPr>
            </w:pPr>
            <w:r>
              <w:rPr>
                <w:b/>
                <w:noProof/>
                <w:color w:val="000000" w:themeColor="text1"/>
              </w:rPr>
              <w:t xml:space="preserve"> </w:t>
            </w:r>
            <w:r>
              <w:rPr>
                <w:b/>
                <w:noProof/>
              </w:rPr>
              <w:t>INITIATIVES PHARES</w:t>
            </w:r>
          </w:p>
          <w:p w14:paraId="0A9B2886" w14:textId="77777777" w:rsidR="005B198F" w:rsidRPr="006C0ADA" w:rsidRDefault="005B198F" w:rsidP="005074EC">
            <w:pPr>
              <w:jc w:val="both"/>
              <w:rPr>
                <w:rFonts w:cs="Times New Roman"/>
                <w:b/>
                <w:smallCaps/>
                <w:noProof/>
              </w:rPr>
            </w:pPr>
          </w:p>
          <w:p w14:paraId="2EACB175" w14:textId="3020E261" w:rsidR="00804AD6" w:rsidRPr="00DC2002" w:rsidRDefault="00CC27B5" w:rsidP="00804AD6">
            <w:pPr>
              <w:jc w:val="both"/>
              <w:rPr>
                <w:rFonts w:cs="Times New Roman"/>
                <w:b/>
                <w:smallCaps/>
                <w:noProof/>
                <w:sz w:val="24"/>
                <w:szCs w:val="24"/>
              </w:rPr>
            </w:pPr>
            <w:r>
              <w:rPr>
                <w:b/>
                <w:smallCaps/>
                <w:noProof/>
                <w:sz w:val="24"/>
              </w:rPr>
              <w:t>7. Réseau pour la santé mentale des enfants et des jeunes</w:t>
            </w:r>
          </w:p>
          <w:p w14:paraId="0F3BA2EA" w14:textId="693FED80" w:rsidR="00804AD6" w:rsidRPr="00DC2002" w:rsidRDefault="00740513" w:rsidP="002B27C7">
            <w:pPr>
              <w:pStyle w:val="ListParagraph"/>
              <w:numPr>
                <w:ilvl w:val="0"/>
                <w:numId w:val="41"/>
              </w:numPr>
              <w:spacing w:before="120" w:after="120" w:line="240" w:lineRule="auto"/>
              <w:ind w:left="714" w:hanging="357"/>
              <w:jc w:val="both"/>
              <w:rPr>
                <w:rFonts w:cs="Times New Roman"/>
                <w:noProof/>
                <w:sz w:val="24"/>
                <w:szCs w:val="24"/>
              </w:rPr>
            </w:pPr>
            <w:r>
              <w:rPr>
                <w:noProof/>
                <w:sz w:val="24"/>
              </w:rPr>
              <w:t>En 2024, la Commission soutiendra la création d’un réseau pour la santé mentale des enfants et des jeunes afin d’échanger des informations, d’apporter un soutien mutuel et de mener des actions de sensibilisation par l’intermédiaire des ambassadeurs de la jeunesse</w:t>
            </w:r>
            <w:r>
              <w:rPr>
                <w:rStyle w:val="FootnoteReference"/>
                <w:rFonts w:cs="Times New Roman"/>
                <w:noProof/>
                <w:sz w:val="24"/>
                <w:szCs w:val="24"/>
                <w:lang w:val="en-IE"/>
              </w:rPr>
              <w:footnoteReference w:id="54"/>
            </w:r>
            <w:r>
              <w:rPr>
                <w:noProof/>
                <w:sz w:val="24"/>
              </w:rPr>
              <w:t xml:space="preserve">. </w:t>
            </w:r>
          </w:p>
          <w:p w14:paraId="1A006018" w14:textId="73E20F23" w:rsidR="00BF4F22" w:rsidRPr="00DC2002" w:rsidRDefault="00CC27B5" w:rsidP="005074EC">
            <w:pPr>
              <w:jc w:val="both"/>
              <w:rPr>
                <w:rFonts w:cs="Times New Roman"/>
                <w:b/>
                <w:smallCaps/>
                <w:noProof/>
                <w:sz w:val="24"/>
                <w:szCs w:val="24"/>
              </w:rPr>
            </w:pPr>
            <w:r>
              <w:rPr>
                <w:b/>
                <w:smallCaps/>
                <w:noProof/>
                <w:sz w:val="24"/>
              </w:rPr>
              <w:t>8. Santé des enfants 360</w:t>
            </w:r>
          </w:p>
          <w:p w14:paraId="2372CB48" w14:textId="2B1757CE" w:rsidR="00AC35D6" w:rsidRPr="00DC2002" w:rsidRDefault="00364106" w:rsidP="002B27C7">
            <w:pPr>
              <w:pStyle w:val="ListParagraph"/>
              <w:numPr>
                <w:ilvl w:val="0"/>
                <w:numId w:val="41"/>
              </w:numPr>
              <w:spacing w:before="120" w:after="120" w:line="240" w:lineRule="auto"/>
              <w:ind w:left="714" w:hanging="357"/>
              <w:jc w:val="both"/>
              <w:rPr>
                <w:rFonts w:cs="Times New Roman"/>
                <w:noProof/>
                <w:sz w:val="24"/>
                <w:szCs w:val="24"/>
              </w:rPr>
            </w:pPr>
            <w:r>
              <w:rPr>
                <w:noProof/>
                <w:sz w:val="24"/>
              </w:rPr>
              <w:t xml:space="preserve">En 2023, la Commission élaborera une </w:t>
            </w:r>
            <w:r>
              <w:rPr>
                <w:b/>
                <w:noProof/>
                <w:sz w:val="24"/>
              </w:rPr>
              <w:t>boîte à outils de prévention</w:t>
            </w:r>
            <w:r>
              <w:rPr>
                <w:noProof/>
                <w:sz w:val="24"/>
              </w:rPr>
              <w:t xml:space="preserve"> axée sur la prévention et l’intervention précoce pour les enfants à risque et prenant en considération les liens entre la santé mentale et physique et les principaux déterminants de la santé</w:t>
            </w:r>
            <w:r>
              <w:rPr>
                <w:rStyle w:val="FootnoteReference"/>
                <w:rFonts w:cs="Times New Roman"/>
                <w:noProof/>
                <w:sz w:val="24"/>
                <w:szCs w:val="24"/>
                <w:lang w:val="en-IE"/>
              </w:rPr>
              <w:footnoteReference w:id="55"/>
            </w:r>
            <w:r>
              <w:rPr>
                <w:noProof/>
                <w:sz w:val="24"/>
              </w:rPr>
              <w:t xml:space="preserve">. Une attention particulière sera accordée aux risques de harcèlement dans les environnements éducatifs. </w:t>
            </w:r>
          </w:p>
          <w:p w14:paraId="2B675867" w14:textId="77777777" w:rsidR="006F4303" w:rsidRPr="006C0ADA" w:rsidRDefault="006F4303" w:rsidP="005074EC">
            <w:pPr>
              <w:pStyle w:val="ListParagraph"/>
              <w:spacing w:after="0" w:line="240" w:lineRule="auto"/>
              <w:ind w:left="714"/>
              <w:contextualSpacing w:val="0"/>
              <w:jc w:val="both"/>
              <w:rPr>
                <w:rFonts w:cs="Times New Roman"/>
                <w:noProof/>
                <w:sz w:val="24"/>
                <w:szCs w:val="24"/>
              </w:rPr>
            </w:pPr>
          </w:p>
          <w:p w14:paraId="36CA908B" w14:textId="7ED07129" w:rsidR="007E5A42" w:rsidRPr="00DC2002" w:rsidRDefault="00CC27B5" w:rsidP="005074EC">
            <w:pPr>
              <w:shd w:val="clear" w:color="auto" w:fill="FFFFFF" w:themeFill="background1"/>
              <w:jc w:val="both"/>
              <w:rPr>
                <w:rFonts w:cs="Times New Roman"/>
                <w:b/>
                <w:smallCaps/>
                <w:noProof/>
                <w:sz w:val="24"/>
                <w:szCs w:val="24"/>
              </w:rPr>
            </w:pPr>
            <w:r>
              <w:rPr>
                <w:b/>
                <w:smallCaps/>
                <w:noProof/>
                <w:sz w:val="24"/>
              </w:rPr>
              <w:t>9. Initiative phare «La jeunesse d’abord» (une initiative phare de l’instrument d’appui technique 2023</w:t>
            </w:r>
            <w:r>
              <w:rPr>
                <w:rStyle w:val="FootnoteReference"/>
                <w:rFonts w:cs="Times New Roman"/>
                <w:b/>
                <w:smallCaps/>
                <w:noProof/>
                <w:sz w:val="24"/>
                <w:szCs w:val="24"/>
                <w:lang w:val="en-IE"/>
              </w:rPr>
              <w:footnoteReference w:id="56"/>
            </w:r>
            <w:r>
              <w:rPr>
                <w:b/>
                <w:smallCaps/>
                <w:noProof/>
                <w:sz w:val="24"/>
              </w:rPr>
              <w:t>)</w:t>
            </w:r>
          </w:p>
          <w:p w14:paraId="03D7B1C7" w14:textId="3EC197E2" w:rsidR="003D74EC" w:rsidRPr="009B26C9" w:rsidRDefault="00FC0488" w:rsidP="002B27C7">
            <w:pPr>
              <w:pStyle w:val="ListParagraph"/>
              <w:numPr>
                <w:ilvl w:val="0"/>
                <w:numId w:val="42"/>
              </w:numPr>
              <w:shd w:val="clear" w:color="auto" w:fill="FFFFFF" w:themeFill="background1"/>
              <w:spacing w:before="120" w:after="120" w:line="240" w:lineRule="auto"/>
              <w:ind w:left="714" w:hanging="357"/>
              <w:jc w:val="both"/>
              <w:rPr>
                <w:rStyle w:val="normaltextrun"/>
                <w:rFonts w:cs="Times New Roman"/>
                <w:noProof/>
                <w:sz w:val="24"/>
                <w:szCs w:val="24"/>
              </w:rPr>
            </w:pPr>
            <w:r>
              <w:rPr>
                <w:noProof/>
                <w:sz w:val="24"/>
              </w:rPr>
              <w:t xml:space="preserve">En 2023, la Commission mettra au point des </w:t>
            </w:r>
            <w:r>
              <w:rPr>
                <w:b/>
                <w:noProof/>
                <w:sz w:val="24"/>
              </w:rPr>
              <w:t>outils destinés aux enfants et aux jeunes</w:t>
            </w:r>
            <w:r>
              <w:rPr>
                <w:noProof/>
                <w:sz w:val="24"/>
              </w:rPr>
              <w:t xml:space="preserve"> afin de se pencher activement, par exemple, sur la question des modes de vie sains et de la prévention des problèmes de santé mentale, en étroite coopération avec les enfants et </w:t>
            </w:r>
            <w:r>
              <w:rPr>
                <w:rStyle w:val="normaltextrun"/>
                <w:noProof/>
                <w:sz w:val="24"/>
              </w:rPr>
              <w:t>les jeunes</w:t>
            </w:r>
            <w:r>
              <w:rPr>
                <w:rStyle w:val="FootnoteReference"/>
                <w:rFonts w:cs="Times New Roman"/>
                <w:noProof/>
                <w:sz w:val="24"/>
                <w:szCs w:val="24"/>
                <w:lang w:val="en-IE"/>
              </w:rPr>
              <w:footnoteReference w:id="57"/>
            </w:r>
            <w:r>
              <w:rPr>
                <w:rStyle w:val="normaltextrun"/>
                <w:noProof/>
                <w:sz w:val="24"/>
              </w:rPr>
              <w:t xml:space="preserve"> (2 millions d’EUR).</w:t>
            </w:r>
          </w:p>
          <w:p w14:paraId="2FDDBFF3" w14:textId="77777777" w:rsidR="003F4428" w:rsidRPr="006C0ADA" w:rsidRDefault="003F4428" w:rsidP="00295D2D">
            <w:pPr>
              <w:jc w:val="both"/>
              <w:rPr>
                <w:rFonts w:cs="Times New Roman"/>
                <w:b/>
                <w:smallCaps/>
                <w:noProof/>
                <w:sz w:val="24"/>
                <w:szCs w:val="24"/>
              </w:rPr>
            </w:pPr>
          </w:p>
          <w:p w14:paraId="0791294E" w14:textId="1AC791C8" w:rsidR="00FC0B1B" w:rsidRPr="00DC2002" w:rsidRDefault="00702527" w:rsidP="00295D2D">
            <w:pPr>
              <w:jc w:val="both"/>
              <w:rPr>
                <w:rFonts w:cs="Times New Roman"/>
                <w:b/>
                <w:smallCaps/>
                <w:noProof/>
                <w:sz w:val="24"/>
                <w:szCs w:val="24"/>
              </w:rPr>
            </w:pPr>
            <w:r>
              <w:rPr>
                <w:b/>
                <w:smallCaps/>
                <w:noProof/>
                <w:sz w:val="24"/>
              </w:rPr>
              <w:t>10. Une utilisation saine des écrans, une jeunesse en bonne santé</w:t>
            </w:r>
          </w:p>
          <w:p w14:paraId="43BDFD80" w14:textId="77777777" w:rsidR="00295D2D" w:rsidRPr="00DC2002" w:rsidRDefault="00295D2D" w:rsidP="00295D2D">
            <w:pPr>
              <w:jc w:val="both"/>
              <w:rPr>
                <w:rFonts w:cs="Times New Roman"/>
                <w:noProof/>
                <w:sz w:val="24"/>
                <w:szCs w:val="24"/>
              </w:rPr>
            </w:pPr>
            <w:r>
              <w:rPr>
                <w:noProof/>
                <w:sz w:val="24"/>
              </w:rPr>
              <w:t>La Commission soutiendra les activités suivantes:</w:t>
            </w:r>
          </w:p>
          <w:p w14:paraId="051A9D19" w14:textId="789966D2" w:rsidR="00666078" w:rsidRPr="00666078" w:rsidRDefault="00666078" w:rsidP="00666078">
            <w:pPr>
              <w:pStyle w:val="ListParagraph"/>
              <w:numPr>
                <w:ilvl w:val="0"/>
                <w:numId w:val="41"/>
              </w:numPr>
              <w:rPr>
                <w:rFonts w:eastAsia="Calibri" w:cs="Times New Roman"/>
                <w:noProof/>
                <w:sz w:val="24"/>
                <w:szCs w:val="24"/>
              </w:rPr>
            </w:pPr>
            <w:r>
              <w:rPr>
                <w:noProof/>
                <w:sz w:val="24"/>
              </w:rPr>
              <w:t>la poursuite de la mise en œuvre de la stratégie pour un internet mieux adapté aux enfants</w:t>
            </w:r>
            <w:r>
              <w:rPr>
                <w:rStyle w:val="FootnoteReference"/>
                <w:noProof/>
                <w:sz w:val="24"/>
                <w:szCs w:val="24"/>
                <w:lang w:val="en-GB" w:eastAsia="en-GB"/>
              </w:rPr>
              <w:footnoteReference w:id="58"/>
            </w:r>
            <w:r>
              <w:rPr>
                <w:noProof/>
                <w:sz w:val="24"/>
              </w:rPr>
              <w:t xml:space="preserve">; </w:t>
            </w:r>
          </w:p>
          <w:p w14:paraId="6AB2FB01" w14:textId="6ED03D92" w:rsidR="00295D2D" w:rsidRPr="00DC2002" w:rsidRDefault="00295D2D" w:rsidP="00295D2D">
            <w:pPr>
              <w:pStyle w:val="ListParagraph"/>
              <w:numPr>
                <w:ilvl w:val="0"/>
                <w:numId w:val="41"/>
              </w:numPr>
              <w:spacing w:before="120" w:after="0" w:line="240" w:lineRule="auto"/>
              <w:ind w:left="714" w:hanging="357"/>
              <w:jc w:val="both"/>
              <w:rPr>
                <w:rFonts w:eastAsia="Calibri" w:cs="Times New Roman"/>
                <w:noProof/>
                <w:sz w:val="24"/>
                <w:szCs w:val="24"/>
              </w:rPr>
            </w:pPr>
            <w:r>
              <w:rPr>
                <w:noProof/>
                <w:sz w:val="24"/>
              </w:rPr>
              <w:t xml:space="preserve">l’élaboration d’orientations pratiques à l’intention des autorités sur l’amélioration de la </w:t>
            </w:r>
            <w:r>
              <w:rPr>
                <w:b/>
                <w:noProof/>
                <w:sz w:val="24"/>
              </w:rPr>
              <w:t>protection des enfants dans le monde numérique</w:t>
            </w:r>
            <w:r>
              <w:rPr>
                <w:noProof/>
                <w:sz w:val="24"/>
              </w:rPr>
              <w:t>, complétées par un suivi de l’incidence de la transformation numérique sur le bien-être des enfants grâce au portail Betterinternetforkids;</w:t>
            </w:r>
          </w:p>
          <w:p w14:paraId="428B5687" w14:textId="45D7090B" w:rsidR="004D139F" w:rsidRPr="00DC2002" w:rsidRDefault="00295D2D" w:rsidP="00666078">
            <w:pPr>
              <w:pStyle w:val="ListParagraph"/>
              <w:numPr>
                <w:ilvl w:val="0"/>
                <w:numId w:val="42"/>
              </w:numPr>
              <w:shd w:val="clear" w:color="auto" w:fill="FFFFFF" w:themeFill="background1"/>
              <w:spacing w:before="120" w:after="120" w:line="240" w:lineRule="auto"/>
              <w:ind w:left="714" w:hanging="357"/>
              <w:jc w:val="both"/>
              <w:rPr>
                <w:rFonts w:eastAsia="Calibri" w:cs="Times New Roman"/>
                <w:noProof/>
                <w:sz w:val="24"/>
                <w:szCs w:val="24"/>
              </w:rPr>
            </w:pPr>
            <w:r>
              <w:rPr>
                <w:noProof/>
              </w:rPr>
              <w:t xml:space="preserve">la mise en place d’un </w:t>
            </w:r>
            <w:r>
              <w:rPr>
                <w:b/>
                <w:noProof/>
              </w:rPr>
              <w:t>code de conduite sur une conception adaptée à l’âge</w:t>
            </w:r>
            <w:r>
              <w:rPr>
                <w:rStyle w:val="FootnoteReference"/>
                <w:rFonts w:eastAsia="Calibri" w:cs="Times New Roman"/>
                <w:noProof/>
                <w:sz w:val="24"/>
                <w:szCs w:val="24"/>
                <w:lang w:val="en-IE"/>
              </w:rPr>
              <w:footnoteReference w:id="59"/>
            </w:r>
            <w:r>
              <w:rPr>
                <w:noProof/>
              </w:rPr>
              <w:t xml:space="preserve"> à faciliter par la Commission </w:t>
            </w:r>
            <w:r>
              <w:rPr>
                <w:rStyle w:val="ui-provider"/>
                <w:noProof/>
              </w:rPr>
              <w:t>en se fondant sur les nouvelles règles contenues dans le règlement sur les services numériques</w:t>
            </w:r>
            <w:r>
              <w:rPr>
                <w:noProof/>
                <w:sz w:val="24"/>
              </w:rPr>
              <w:t>;</w:t>
            </w:r>
          </w:p>
          <w:p w14:paraId="23E95E16" w14:textId="300A8059" w:rsidR="00197903" w:rsidRPr="002B6CA5" w:rsidRDefault="00666078" w:rsidP="00A53839">
            <w:pPr>
              <w:pStyle w:val="ListParagraph"/>
              <w:numPr>
                <w:ilvl w:val="0"/>
                <w:numId w:val="75"/>
              </w:numPr>
              <w:spacing w:after="0" w:line="240" w:lineRule="auto"/>
              <w:jc w:val="both"/>
              <w:rPr>
                <w:noProof/>
              </w:rPr>
            </w:pPr>
            <w:r>
              <w:rPr>
                <w:noProof/>
              </w:rPr>
              <w:t xml:space="preserve">la poursuite et le renforcement des travaux menés dans le cadre du </w:t>
            </w:r>
            <w:r>
              <w:rPr>
                <w:b/>
                <w:noProof/>
                <w:sz w:val="24"/>
              </w:rPr>
              <w:t>code de conduite pour la lutte contre les discours haineux illégaux en ligne</w:t>
            </w:r>
            <w:r>
              <w:rPr>
                <w:noProof/>
              </w:rPr>
              <w:t>, facilités dans le cadre du règlement les services numériques</w:t>
            </w:r>
            <w:r>
              <w:rPr>
                <w:rStyle w:val="FootnoteReference"/>
                <w:rFonts w:eastAsia="Calibri" w:cs="Times New Roman"/>
                <w:noProof/>
                <w:sz w:val="24"/>
                <w:szCs w:val="24"/>
                <w:lang w:val="en-IE"/>
              </w:rPr>
              <w:footnoteReference w:id="60"/>
            </w:r>
            <w:r>
              <w:rPr>
                <w:noProof/>
              </w:rPr>
              <w:t>.</w:t>
            </w:r>
            <w:r>
              <w:rPr>
                <w:noProof/>
                <w:sz w:val="24"/>
              </w:rPr>
              <w:t xml:space="preserve"> </w:t>
            </w:r>
          </w:p>
        </w:tc>
      </w:tr>
      <w:tr w:rsidR="00294A48" w:rsidRPr="00DC2002" w14:paraId="4F0490A4" w14:textId="77777777" w:rsidTr="00A53839">
        <w:trPr>
          <w:trHeight w:val="48"/>
        </w:trPr>
        <w:tc>
          <w:tcPr>
            <w:tcW w:w="9405" w:type="dxa"/>
          </w:tcPr>
          <w:p w14:paraId="53286055" w14:textId="77777777" w:rsidR="00294A48" w:rsidRPr="00DC2002" w:rsidRDefault="00294A48" w:rsidP="004D139F">
            <w:pPr>
              <w:shd w:val="clear" w:color="auto" w:fill="FFFFFF" w:themeFill="background1"/>
              <w:jc w:val="both"/>
              <w:rPr>
                <w:rFonts w:cs="Times New Roman"/>
                <w:b/>
                <w:noProof/>
              </w:rPr>
            </w:pPr>
          </w:p>
        </w:tc>
      </w:tr>
    </w:tbl>
    <w:p w14:paraId="457180EA" w14:textId="77777777" w:rsidR="004D139F" w:rsidRPr="006C0ADA" w:rsidRDefault="004D139F" w:rsidP="008A499D">
      <w:pPr>
        <w:jc w:val="both"/>
        <w:rPr>
          <w:bCs/>
          <w:noProof/>
        </w:rPr>
      </w:pPr>
    </w:p>
    <w:p w14:paraId="455D28D5" w14:textId="64199F2C" w:rsidR="00537554" w:rsidRPr="00DC2002" w:rsidRDefault="004D139F" w:rsidP="008A499D">
      <w:pPr>
        <w:jc w:val="both"/>
        <w:rPr>
          <w:noProof/>
        </w:rPr>
      </w:pPr>
      <w:r>
        <w:rPr>
          <w:noProof/>
        </w:rPr>
        <w:t xml:space="preserve">La Commission encourage les États membres à collaborer sur des politiques et des initiatives ciblant les défis spécifiques liés à la </w:t>
      </w:r>
      <w:r>
        <w:rPr>
          <w:b/>
          <w:noProof/>
        </w:rPr>
        <w:t>santé mentale des enfants et des jeunes</w:t>
      </w:r>
      <w:r>
        <w:rPr>
          <w:noProof/>
        </w:rPr>
        <w:t xml:space="preserve">, et à examiner les liens entre les problèmes de santé mentale, les déterminants de la santé et l’utilisation d’outils numériques. La Commission invite les États membres à faire des enfants un groupe cible prioritaire dans leurs stratégies nationales en matière de santé mentale et à créer des réseaux avec les familles, les écoles, les jeunes et d’autres parties prenantes et institutions concernées par la santé mentale des enfants. Les États membres sont instamment invités à veiller à ce que les </w:t>
      </w:r>
      <w:r>
        <w:rPr>
          <w:b/>
          <w:noProof/>
        </w:rPr>
        <w:t>enfants</w:t>
      </w:r>
      <w:r>
        <w:rPr>
          <w:noProof/>
        </w:rPr>
        <w:t xml:space="preserve"> aient un meilleur accès aux services de santé mentale, ainsi qu’un accès égal et facile à une alimentation saine et à une activité physique régulière, qu’ils vivent dans des environnements sûrs et favorables et qu’ils soient protégés contre la consommation d’alcool, de tabac et de drogues et contre les effets négatifs de l’utilisation des services numériques. Les États membres sont invités à </w:t>
      </w:r>
      <w:r>
        <w:rPr>
          <w:b/>
          <w:noProof/>
        </w:rPr>
        <w:t>mettre en œuvre les approches innovantes et les bonnes pratiques</w:t>
      </w:r>
      <w:r>
        <w:rPr>
          <w:noProof/>
        </w:rPr>
        <w:t xml:space="preserve"> recensées dans l’initiative «Vivre ensemble en bonne santé» en ce qui concerne la santé mentale des enfants et des jeunes et à participer aux travaux collaboratifs de l’initiative visant à </w:t>
      </w:r>
      <w:r>
        <w:rPr>
          <w:b/>
          <w:noProof/>
        </w:rPr>
        <w:t>examiner l’incidence des déterminants de la santé</w:t>
      </w:r>
      <w:r>
        <w:rPr>
          <w:noProof/>
        </w:rPr>
        <w:t>, notamment les déterminants économiques, commerciaux, sociaux et environnementaux, ainsi que l’incidence de la transformation numérique sur la santé mentale et le bien-être des enfants et des jeunes.</w:t>
      </w:r>
    </w:p>
    <w:p w14:paraId="3651375A" w14:textId="1E55E9FC" w:rsidR="000743DA" w:rsidRPr="00DC2002" w:rsidRDefault="000743DA" w:rsidP="005074EC">
      <w:pPr>
        <w:pStyle w:val="Heading2"/>
        <w:jc w:val="both"/>
        <w:rPr>
          <w:noProof/>
        </w:rPr>
      </w:pPr>
      <w:bookmarkStart w:id="14" w:name="_Hlk135985526"/>
      <w:r>
        <w:rPr>
          <w:noProof/>
        </w:rPr>
        <w:t>Aider ceux qui en ont le plus besoin</w:t>
      </w:r>
    </w:p>
    <w:p w14:paraId="33C0EF65" w14:textId="362864B8" w:rsidR="00FD5AC8" w:rsidRPr="00DC2002" w:rsidRDefault="165242AD" w:rsidP="00FD5AC8">
      <w:pPr>
        <w:jc w:val="both"/>
        <w:rPr>
          <w:rFonts w:cs="Times New Roman"/>
          <w:noProof/>
          <w:color w:val="333333"/>
        </w:rPr>
      </w:pPr>
      <w:r>
        <w:rPr>
          <w:noProof/>
          <w:color w:val="333333"/>
        </w:rPr>
        <w:t xml:space="preserve">Les maladies mentales étant associées à de nombreuses formes d’inégalités, il convient d’accorder une attention particulière aux personnes en </w:t>
      </w:r>
      <w:r>
        <w:rPr>
          <w:b/>
          <w:noProof/>
          <w:color w:val="333333"/>
        </w:rPr>
        <w:t>situation de vulnérabilité</w:t>
      </w:r>
      <w:r>
        <w:rPr>
          <w:noProof/>
          <w:color w:val="333333"/>
        </w:rPr>
        <w:t xml:space="preserve">. Les individus peuvent appartenir simultanément à un ou plusieurs groupes vulnérables; par exemple, des mères célibataires pauvres ou des personnes handicapées qui se remettent d’une maladie grave. </w:t>
      </w:r>
    </w:p>
    <w:p w14:paraId="77CDA2D7" w14:textId="1DEAAC21" w:rsidR="00B74812" w:rsidRDefault="00FA1B5C" w:rsidP="005074EC">
      <w:pPr>
        <w:jc w:val="both"/>
        <w:rPr>
          <w:noProof/>
        </w:rPr>
      </w:pPr>
      <w:r>
        <w:rPr>
          <w:noProof/>
        </w:rPr>
        <w:t xml:space="preserve">Dans le contexte de la complexité de l’évolution démographique, </w:t>
      </w:r>
      <w:r>
        <w:rPr>
          <w:b/>
          <w:noProof/>
        </w:rPr>
        <w:t>les services de santé mentale, les services sociaux et de soins de longue durée</w:t>
      </w:r>
      <w:r>
        <w:rPr>
          <w:noProof/>
        </w:rPr>
        <w:t xml:space="preserve"> doivent être accessibles, abordables, intégrés</w:t>
      </w:r>
      <w:r>
        <w:rPr>
          <w:rStyle w:val="FootnoteReference"/>
          <w:noProof/>
          <w:lang w:val="en-IE"/>
        </w:rPr>
        <w:footnoteReference w:id="61"/>
      </w:r>
      <w:r>
        <w:rPr>
          <w:noProof/>
        </w:rPr>
        <w:t xml:space="preserve">, de proximité et conviviaux. </w:t>
      </w:r>
      <w:r>
        <w:rPr>
          <w:b/>
          <w:noProof/>
        </w:rPr>
        <w:t>Les personnes âgées</w:t>
      </w:r>
      <w:r>
        <w:rPr>
          <w:rStyle w:val="FootnoteReference"/>
          <w:noProof/>
          <w:lang w:val="en-IE"/>
        </w:rPr>
        <w:footnoteReference w:id="62"/>
      </w:r>
      <w:r>
        <w:rPr>
          <w:noProof/>
        </w:rPr>
        <w:t xml:space="preserve"> devraient avoir les moyens de mener une vie saine et active, de gérer leur propre santé mentale, de multiplier leurs interactions sociales</w:t>
      </w:r>
      <w:r>
        <w:rPr>
          <w:rStyle w:val="FootnoteReference"/>
          <w:noProof/>
          <w:lang w:val="en-IE"/>
        </w:rPr>
        <w:footnoteReference w:id="63"/>
      </w:r>
      <w:r>
        <w:rPr>
          <w:noProof/>
        </w:rPr>
        <w:t xml:space="preserve"> et de rompre la solitude.</w:t>
      </w:r>
      <w:bookmarkStart w:id="15" w:name="_Hlk136626526"/>
      <w:r>
        <w:rPr>
          <w:noProof/>
        </w:rPr>
        <w:t xml:space="preserve"> </w:t>
      </w:r>
      <w:bookmarkEnd w:id="15"/>
      <w:r>
        <w:rPr>
          <w:noProof/>
        </w:rPr>
        <w:t>Des solutions créatives telles que le logement intergénérationnel doivent être encouragées.</w:t>
      </w:r>
    </w:p>
    <w:p w14:paraId="6A2B640D" w14:textId="7A01779C" w:rsidR="00BB5E4E" w:rsidRPr="00DC2002" w:rsidRDefault="00BB5E4E" w:rsidP="00703618">
      <w:pPr>
        <w:jc w:val="both"/>
        <w:rPr>
          <w:noProof/>
        </w:rPr>
      </w:pPr>
      <w:r>
        <w:rPr>
          <w:noProof/>
        </w:rPr>
        <w:t xml:space="preserve">La Commission sensibilise à la nécessité de s’attaquer à </w:t>
      </w:r>
      <w:r>
        <w:rPr>
          <w:b/>
          <w:noProof/>
        </w:rPr>
        <w:t>la solitude et à l’isolement social</w:t>
      </w:r>
      <w:r>
        <w:rPr>
          <w:noProof/>
        </w:rPr>
        <w:t xml:space="preserve"> afin de promouvoir la bonne santé mentale</w:t>
      </w:r>
      <w:r>
        <w:rPr>
          <w:rStyle w:val="FootnoteReference"/>
          <w:rFonts w:eastAsia="Times New Roman" w:cs="Times New Roman"/>
          <w:noProof/>
          <w:lang w:val="en-IE"/>
        </w:rPr>
        <w:footnoteReference w:id="64"/>
      </w:r>
      <w:r>
        <w:rPr>
          <w:noProof/>
        </w:rPr>
        <w:t>, et elle soutiendra les États membres en recueillant et en transférant les meilleures pratiques par l’intermédiaire du portail de l’UE sur les meilleures pratiques.</w:t>
      </w:r>
    </w:p>
    <w:p w14:paraId="6D9933BC" w14:textId="6C18269F" w:rsidR="004D4AC0" w:rsidRPr="00DC2002" w:rsidRDefault="009232A7" w:rsidP="00C51476">
      <w:pPr>
        <w:spacing w:line="252" w:lineRule="auto"/>
        <w:jc w:val="both"/>
        <w:rPr>
          <w:rFonts w:cs="Times New Roman"/>
          <w:noProof/>
        </w:rPr>
      </w:pPr>
      <w:r>
        <w:rPr>
          <w:b/>
          <w:noProof/>
        </w:rPr>
        <w:t>Les femmes</w:t>
      </w:r>
      <w:r>
        <w:rPr>
          <w:noProof/>
        </w:rPr>
        <w:t xml:space="preserve"> sont presque deux fois plus susceptibles que les hommes de souffrir de dépression. Cela s’explique par des facteurs multiples, comme la biologie, des situations de vie et des facteurs de stress culturels</w:t>
      </w:r>
      <w:r>
        <w:rPr>
          <w:rStyle w:val="FootnoteReference"/>
          <w:rFonts w:cs="Times New Roman"/>
          <w:noProof/>
          <w:szCs w:val="24"/>
          <w:lang w:val="en-IE"/>
        </w:rPr>
        <w:footnoteReference w:id="65"/>
      </w:r>
      <w:r>
        <w:rPr>
          <w:noProof/>
        </w:rPr>
        <w:t xml:space="preserve">. </w:t>
      </w:r>
    </w:p>
    <w:p w14:paraId="7C20B0D5" w14:textId="0775A8D0" w:rsidR="001D5A28" w:rsidRPr="00DC2002" w:rsidRDefault="0057114A" w:rsidP="005074EC">
      <w:pPr>
        <w:jc w:val="both"/>
        <w:rPr>
          <w:noProof/>
        </w:rPr>
      </w:pPr>
      <w:r>
        <w:rPr>
          <w:noProof/>
        </w:rPr>
        <w:t xml:space="preserve">Les victimes de </w:t>
      </w:r>
      <w:r>
        <w:rPr>
          <w:b/>
          <w:noProof/>
        </w:rPr>
        <w:t>violences sexistes</w:t>
      </w:r>
      <w:r>
        <w:rPr>
          <w:noProof/>
        </w:rPr>
        <w:t xml:space="preserve"> sont particulièrement vulnérables.  La Commission</w:t>
      </w:r>
      <w:r>
        <w:rPr>
          <w:rStyle w:val="normaltextrun"/>
          <w:noProof/>
        </w:rPr>
        <w:t xml:space="preserve"> renforcera la protection et l’aide aux </w:t>
      </w:r>
      <w:r>
        <w:rPr>
          <w:rStyle w:val="normaltextrun"/>
          <w:b/>
          <w:noProof/>
        </w:rPr>
        <w:t>victimes des violences sexistes</w:t>
      </w:r>
      <w:r>
        <w:rPr>
          <w:rStyle w:val="normaltextrun"/>
          <w:noProof/>
        </w:rPr>
        <w:t xml:space="preserve">, y compris la cyberviolence, par la mise en œuvre des obligations à venir de l’Union au titre de la </w:t>
      </w:r>
      <w:r>
        <w:rPr>
          <w:rStyle w:val="normaltextrun"/>
          <w:b/>
          <w:noProof/>
        </w:rPr>
        <w:t>convention d’Istanbul</w:t>
      </w:r>
      <w:r>
        <w:rPr>
          <w:rStyle w:val="FootnoteReference"/>
          <w:noProof/>
          <w:lang w:val="en-IE"/>
        </w:rPr>
        <w:footnoteReference w:id="66"/>
      </w:r>
      <w:r>
        <w:rPr>
          <w:rStyle w:val="normaltextrun"/>
          <w:noProof/>
        </w:rPr>
        <w:t xml:space="preserve"> et de la future directive de l’UE sur la </w:t>
      </w:r>
      <w:r>
        <w:rPr>
          <w:rStyle w:val="normaltextrun"/>
          <w:b/>
          <w:noProof/>
        </w:rPr>
        <w:t>violence à l’égard des femmes et la violence domestique</w:t>
      </w:r>
      <w:r>
        <w:rPr>
          <w:rStyle w:val="FootnoteReference"/>
          <w:noProof/>
          <w:lang w:val="en-IE"/>
        </w:rPr>
        <w:footnoteReference w:id="67"/>
      </w:r>
      <w:r>
        <w:rPr>
          <w:rStyle w:val="normaltextrun"/>
          <w:noProof/>
        </w:rPr>
        <w:t xml:space="preserve">. La Commission se penchera sur la prévention et la lutte contre les </w:t>
      </w:r>
      <w:r>
        <w:rPr>
          <w:rStyle w:val="normaltextrun"/>
          <w:b/>
          <w:noProof/>
        </w:rPr>
        <w:t>pratiques préjudiciables à l’égard des femmes et des filles</w:t>
      </w:r>
      <w:r>
        <w:rPr>
          <w:rStyle w:val="FootnoteReference"/>
          <w:b/>
          <w:bCs/>
          <w:noProof/>
          <w:lang w:val="en-IE"/>
        </w:rPr>
        <w:footnoteReference w:id="68"/>
      </w:r>
      <w:r>
        <w:rPr>
          <w:rStyle w:val="normaltextrun"/>
          <w:noProof/>
        </w:rPr>
        <w:t xml:space="preserve"> et établira un réseau européen de prévention de la </w:t>
      </w:r>
      <w:r>
        <w:rPr>
          <w:rStyle w:val="normaltextrun"/>
          <w:b/>
          <w:noProof/>
        </w:rPr>
        <w:t>violence sexiste</w:t>
      </w:r>
      <w:r>
        <w:rPr>
          <w:rStyle w:val="normaltextrun"/>
          <w:noProof/>
        </w:rPr>
        <w:t xml:space="preserve"> et domestique. </w:t>
      </w:r>
      <w:r>
        <w:rPr>
          <w:noProof/>
        </w:rPr>
        <w:t xml:space="preserve">Il y a lieu de s’attaquer à la </w:t>
      </w:r>
      <w:r>
        <w:rPr>
          <w:b/>
          <w:noProof/>
        </w:rPr>
        <w:t>dépression postnatale</w:t>
      </w:r>
      <w:r>
        <w:rPr>
          <w:noProof/>
        </w:rPr>
        <w:t xml:space="preserve"> et aux autres problèmes de santé mentale qui peuvent survenir pendant et après la grossesse, afin de protéger la santé mentale des enfants et des femmes</w:t>
      </w:r>
      <w:r>
        <w:rPr>
          <w:rStyle w:val="FootnoteReference"/>
          <w:noProof/>
          <w:lang w:val="en-IE"/>
        </w:rPr>
        <w:footnoteReference w:id="69"/>
      </w:r>
      <w:r>
        <w:rPr>
          <w:noProof/>
        </w:rPr>
        <w:t>.  Le projet HappyMums</w:t>
      </w:r>
      <w:r>
        <w:rPr>
          <w:rStyle w:val="FootnoteReference"/>
          <w:rFonts w:cs="Times New Roman"/>
          <w:noProof/>
          <w:lang w:val="en-IE"/>
        </w:rPr>
        <w:footnoteReference w:id="70"/>
      </w:r>
      <w:r>
        <w:rPr>
          <w:noProof/>
        </w:rPr>
        <w:t xml:space="preserve">, financé par l’UE, étudiera les mécanismes physiologiques permettant des interventions cliniques efficaces fondées sur des données scientifiques. Il convient également de relever des défis tels que l’inégalité d’accès à l’emploi, y compris aux contrats à durée indéterminée et/ou à l’égalité salariale, le partage inégal des responsabilités domestiques et familiales, ainsi que les pressions économiques et les dépendances vécues par les femmes. La Commission contribuera à améliorer la situation en veillant à ce que les États membres transposent et appliquent pleinement et correctement la législation de l’UE sur l’égalité des chances et l’égalité de traitement entre les femmes et les hommes en matière d’emploi et de travail, d’équilibre entre vie professionnelle et vie privée pour les parents et les aidants, ainsi qu’en ce qui concerne la transparence des rémunérations. </w:t>
      </w:r>
    </w:p>
    <w:p w14:paraId="4D00AE19" w14:textId="47D9F7BF" w:rsidR="00BC5A02" w:rsidRPr="00DC2002" w:rsidRDefault="00E12B7B" w:rsidP="005074EC">
      <w:pPr>
        <w:autoSpaceDE w:val="0"/>
        <w:autoSpaceDN w:val="0"/>
        <w:jc w:val="both"/>
        <w:rPr>
          <w:rStyle w:val="eop"/>
          <w:bCs/>
          <w:noProof/>
        </w:rPr>
      </w:pPr>
      <w:r>
        <w:rPr>
          <w:b/>
          <w:noProof/>
        </w:rPr>
        <w:t>La discrimination fondée sur l’orientation sexuelle, l’identité de genre, l’expression de genre ou les caractéristiques sexuelles</w:t>
      </w:r>
      <w:r>
        <w:rPr>
          <w:noProof/>
        </w:rPr>
        <w:t xml:space="preserve"> peut également avoir une incidence sur la santé mentale, en particulier pour les jeunes. </w:t>
      </w:r>
      <w:r>
        <w:rPr>
          <w:rStyle w:val="normaltextrun"/>
          <w:noProof/>
        </w:rPr>
        <w:t>La détresse psychologique résultant d’expériences de marginalisation, de discrimination et de stigmatisation («stress de la minorité») accroît le risque de comportement suicidaire, d’automutilation ou de dépression, et sera traitée conformément à la stratégie en faveur de l’égalité de traitement à l’égard des personnes LGBTIQ pour la période 2020-2025</w:t>
      </w:r>
      <w:r>
        <w:rPr>
          <w:rStyle w:val="FootnoteReference"/>
          <w:bCs/>
          <w:noProof/>
          <w:lang w:val="en-IE"/>
        </w:rPr>
        <w:footnoteReference w:id="71"/>
      </w:r>
      <w:r>
        <w:rPr>
          <w:rStyle w:val="normaltextrun"/>
          <w:noProof/>
        </w:rPr>
        <w:t>.</w:t>
      </w:r>
    </w:p>
    <w:p w14:paraId="394C35BB" w14:textId="41499358" w:rsidR="00E12B7B" w:rsidRPr="00DC2002" w:rsidRDefault="4922AF92" w:rsidP="005074EC">
      <w:pPr>
        <w:autoSpaceDE w:val="0"/>
        <w:autoSpaceDN w:val="0"/>
        <w:jc w:val="both"/>
        <w:rPr>
          <w:noProof/>
        </w:rPr>
      </w:pPr>
      <w:r>
        <w:rPr>
          <w:noProof/>
        </w:rPr>
        <w:t xml:space="preserve">Les violences physiques et sexuelles et les menaces subies par les </w:t>
      </w:r>
      <w:r>
        <w:rPr>
          <w:b/>
          <w:noProof/>
        </w:rPr>
        <w:t>victimes de la traite des êtres humains</w:t>
      </w:r>
      <w:r>
        <w:rPr>
          <w:noProof/>
        </w:rPr>
        <w:t xml:space="preserve"> ont des conséquences à long terme sur la santé mentale</w:t>
      </w:r>
      <w:r>
        <w:rPr>
          <w:rStyle w:val="FootnoteReference"/>
          <w:rFonts w:eastAsia="Times New Roman" w:cs="Times New Roman"/>
          <w:noProof/>
          <w:lang w:val="en-IE"/>
        </w:rPr>
        <w:footnoteReference w:id="72"/>
      </w:r>
      <w:r>
        <w:rPr>
          <w:noProof/>
        </w:rPr>
        <w:t>. La directive concernant la prévention de la traite des êtres humains et la lutte contre ce phénomène reconnaît les besoins particuliers des victimes souffrant de problèmes de santé mentale et fournit des services de santé spécialisés ainsi qu’une aide à long terme au rétablissement et à la réhabilitation. La Commission facilite et promeut les programmes d’aide aux victimes pour leur rétablissement et leur réinsertion</w:t>
      </w:r>
      <w:r>
        <w:rPr>
          <w:rStyle w:val="FootnoteReference"/>
          <w:rFonts w:eastAsia="Times New Roman" w:cs="Times New Roman"/>
          <w:noProof/>
          <w:lang w:val="en-IE"/>
        </w:rPr>
        <w:footnoteReference w:id="73"/>
      </w:r>
      <w:r>
        <w:rPr>
          <w:noProof/>
        </w:rPr>
        <w:t>, tels que les services de santé et les services psychologiques, par l’intermédiaire du Fonds «Asile, migration et intégration»</w:t>
      </w:r>
      <w:r>
        <w:rPr>
          <w:rStyle w:val="FootnoteReference"/>
          <w:rFonts w:eastAsia="Times New Roman" w:cs="Times New Roman"/>
          <w:noProof/>
          <w:lang w:val="en-IE"/>
        </w:rPr>
        <w:footnoteReference w:id="74"/>
      </w:r>
      <w:r>
        <w:rPr>
          <w:noProof/>
        </w:rPr>
        <w:t>.</w:t>
      </w:r>
    </w:p>
    <w:p w14:paraId="4F1CAAE6" w14:textId="48F558B5" w:rsidR="00702527" w:rsidRPr="00DC2002" w:rsidRDefault="006558A9" w:rsidP="005074EC">
      <w:pPr>
        <w:jc w:val="both"/>
        <w:rPr>
          <w:noProof/>
        </w:rPr>
      </w:pPr>
      <w:r>
        <w:rPr>
          <w:noProof/>
        </w:rPr>
        <w:t xml:space="preserve">De nombreux problèmes de santé peuvent entraîner ou exacerber des problèmes de santé mentale, par exemple chez les </w:t>
      </w:r>
      <w:r>
        <w:rPr>
          <w:b/>
          <w:noProof/>
        </w:rPr>
        <w:t>patients atteints d’un cancer</w:t>
      </w:r>
      <w:r>
        <w:rPr>
          <w:noProof/>
        </w:rPr>
        <w:t>, sachant qu’il s’agit de la deuxième cause de décès. Le cancer n’affecte pas seulement votre corps, mais également votre esprit et vos sentiments et entraîne souvent une dépression, de l’anxiété et de la peur.</w:t>
      </w:r>
    </w:p>
    <w:p w14:paraId="2B9D809C" w14:textId="1C936B8A" w:rsidR="00327382" w:rsidRPr="00DC2002" w:rsidRDefault="00702527" w:rsidP="00327382">
      <w:pPr>
        <w:jc w:val="both"/>
        <w:rPr>
          <w:noProof/>
        </w:rPr>
      </w:pPr>
      <w:r>
        <w:rPr>
          <w:noProof/>
        </w:rPr>
        <w:t>Étant donné que les handicaps peuvent souvent exposer les individus à un risque plus élevé de développer des problèmes de santé mentale</w:t>
      </w:r>
      <w:r>
        <w:rPr>
          <w:rStyle w:val="FootnoteReference"/>
          <w:noProof/>
          <w:lang w:val="en-IE"/>
        </w:rPr>
        <w:footnoteReference w:id="75"/>
      </w:r>
      <w:r>
        <w:rPr>
          <w:noProof/>
        </w:rPr>
        <w:t xml:space="preserve">, il est nécessaire d’adapter les approches conformément à la </w:t>
      </w:r>
      <w:hyperlink r:id="rId18" w:history="1">
        <w:r>
          <w:rPr>
            <w:noProof/>
          </w:rPr>
          <w:t xml:space="preserve">stratégie en faveur des droits des </w:t>
        </w:r>
        <w:r>
          <w:rPr>
            <w:b/>
            <w:noProof/>
          </w:rPr>
          <w:t>personnes handicapées</w:t>
        </w:r>
      </w:hyperlink>
      <w:r>
        <w:rPr>
          <w:noProof/>
        </w:rPr>
        <w:t>, qui prévoit des actions particulièrement pertinentes pour les personnes souffrant de déficience mentale et intellectuelle, notamment d’encourager les États membres à mettre en œuvre les bonnes pratiques en matière de désinstitutionalisation dans le domaine de la santé mentale.</w:t>
      </w:r>
    </w:p>
    <w:p w14:paraId="3C8DF32B" w14:textId="57902182" w:rsidR="007D3BF9" w:rsidRPr="00DC2002" w:rsidRDefault="00C71759" w:rsidP="00327382">
      <w:pPr>
        <w:jc w:val="both"/>
        <w:rPr>
          <w:noProof/>
        </w:rPr>
      </w:pPr>
      <w:r>
        <w:rPr>
          <w:noProof/>
        </w:rPr>
        <w:t>L’autonomie, l’indépendance et la participation à la société sont liées à la santé mentale, qui est particulièrement pertinente pour les personnes âgées et les personnes handicapées. Par conséquent, il est essentiel de garantir l’accessibilité physique, sociale et financière, notamment en améliorant l’accès au marché du travail et en facilitant leur retour au travail. Deux des lignes directrices du train de mesures sur l’emploi des personnes handicapées à l’intention des employeurs sont consacrées au travail avec des maladies chroniques et au retour au travail</w:t>
      </w:r>
      <w:r>
        <w:rPr>
          <w:rStyle w:val="FootnoteReference"/>
          <w:rFonts w:cs="Times New Roman"/>
          <w:noProof/>
          <w:lang w:val="en-IE"/>
        </w:rPr>
        <w:footnoteReference w:id="76"/>
      </w:r>
      <w:r>
        <w:rPr>
          <w:noProof/>
        </w:rPr>
        <w:t xml:space="preserve">. La Commission publiera également des orientations à l’intention des États membres en ce qui concerne </w:t>
      </w:r>
      <w:r>
        <w:rPr>
          <w:b/>
          <w:noProof/>
        </w:rPr>
        <w:t>l’autonomie et l’inclusion</w:t>
      </w:r>
      <w:r>
        <w:rPr>
          <w:noProof/>
        </w:rPr>
        <w:t xml:space="preserve"> dans la société avant la fin de 2023 et, en 2024, elle présentera un cadre pour des services sociaux d’excellence pour les personnes handicapées, y compris la santé mentale.</w:t>
      </w:r>
    </w:p>
    <w:p w14:paraId="6DF30F72" w14:textId="0BA27967" w:rsidR="00DC31CB" w:rsidRPr="00DC2002" w:rsidRDefault="5A2CACA8" w:rsidP="00FC0B1B">
      <w:pPr>
        <w:jc w:val="both"/>
        <w:rPr>
          <w:rFonts w:eastAsia="Calibri" w:cs="Times New Roman"/>
          <w:bCs/>
          <w:noProof/>
        </w:rPr>
      </w:pPr>
      <w:r>
        <w:rPr>
          <w:noProof/>
        </w:rPr>
        <w:t>Il a été rapporté que les symptômes de l’</w:t>
      </w:r>
      <w:r>
        <w:rPr>
          <w:b/>
          <w:noProof/>
        </w:rPr>
        <w:t>affection post-COVID-19</w:t>
      </w:r>
      <w:r>
        <w:rPr>
          <w:noProof/>
        </w:rPr>
        <w:t>, communément connue sous le nom de COVID longue, ont une incidence négative sur la santé mentale</w:t>
      </w:r>
      <w:r>
        <w:rPr>
          <w:rStyle w:val="FootnoteReference"/>
          <w:rFonts w:eastAsia="Times New Roman" w:cs="Times New Roman"/>
          <w:noProof/>
          <w:lang w:val="en-IE"/>
        </w:rPr>
        <w:footnoteReference w:id="77"/>
      </w:r>
      <w:r>
        <w:rPr>
          <w:noProof/>
        </w:rPr>
        <w:t xml:space="preserve"> et que la mauvaise santé mentale peut accroître le risque de développer la COVID longue. En 2023, la Commission mettra en place un </w:t>
      </w:r>
      <w:r>
        <w:rPr>
          <w:b/>
          <w:noProof/>
        </w:rPr>
        <w:t>réseau sur la COVID longue réunissant des experts</w:t>
      </w:r>
      <w:r>
        <w:rPr>
          <w:noProof/>
        </w:rPr>
        <w:t xml:space="preserve"> des États membres.</w:t>
      </w:r>
    </w:p>
    <w:p w14:paraId="22162DBA" w14:textId="4F6268B1" w:rsidR="00F109FA" w:rsidRDefault="00F109FA" w:rsidP="00700024">
      <w:pPr>
        <w:jc w:val="both"/>
        <w:rPr>
          <w:noProof/>
        </w:rPr>
      </w:pPr>
      <w:r>
        <w:rPr>
          <w:b/>
          <w:noProof/>
        </w:rPr>
        <w:t>Les réfugiés et les personnes déplacées</w:t>
      </w:r>
      <w:r>
        <w:rPr>
          <w:noProof/>
        </w:rPr>
        <w:t>, notamment ceux qui fuient la guerre; les personnes persécutées ou en provenance de zones de conflit (telles que les personnes déplacées en provenance d’Ukraine) sont plus enclines à développer des problèmes de santé mentale</w:t>
      </w:r>
      <w:r>
        <w:rPr>
          <w:noProof/>
          <w:vertAlign w:val="superscript"/>
          <w:lang w:val="en-IE"/>
        </w:rPr>
        <w:footnoteReference w:id="78"/>
      </w:r>
      <w:r>
        <w:rPr>
          <w:noProof/>
        </w:rPr>
        <w:t>; il est dès lors nécessaire de trouver une solution rapidement pour atténuer leur détresse. À cet égard, la Commission continuera de contribuer au renforcement du soutien psychosocial aux personnes déplacées et en particulier, à la fourniture d’une aide psychologique d’urgence aux personnes touchées par la guerre d’agression russe contre l’Ukraine</w:t>
      </w:r>
      <w:r>
        <w:rPr>
          <w:rStyle w:val="FootnoteReference"/>
          <w:noProof/>
          <w:lang w:val="en-IE"/>
        </w:rPr>
        <w:footnoteReference w:id="79"/>
      </w:r>
      <w:r>
        <w:rPr>
          <w:noProof/>
        </w:rPr>
        <w:t>.</w:t>
      </w:r>
    </w:p>
    <w:p w14:paraId="5C9705CC" w14:textId="2DD99C55" w:rsidR="00B25126" w:rsidRPr="00DC2002" w:rsidRDefault="00B25126" w:rsidP="00B25126">
      <w:pPr>
        <w:jc w:val="both"/>
        <w:rPr>
          <w:rStyle w:val="normaltextrun"/>
          <w:noProof/>
        </w:rPr>
      </w:pPr>
      <w:r>
        <w:rPr>
          <w:noProof/>
        </w:rPr>
        <w:t>La Commission lancera un appel à propositions au titre du Fonds «Asile, migration et intégration»</w:t>
      </w:r>
      <w:r>
        <w:rPr>
          <w:rStyle w:val="FootnoteReference"/>
          <w:noProof/>
          <w:lang w:val="en-IE"/>
        </w:rPr>
        <w:footnoteReference w:id="80"/>
      </w:r>
      <w:r>
        <w:rPr>
          <w:noProof/>
        </w:rPr>
        <w:t xml:space="preserve"> visant à réduire les obstacles qui empêchent les migrants d’accéder aux services de santé, y compris aux services de santé mentale et au soutien psychologique. </w:t>
      </w:r>
    </w:p>
    <w:p w14:paraId="2F0CB4A6" w14:textId="0D5740CB" w:rsidR="00FC0B1B" w:rsidRPr="00DC2002" w:rsidRDefault="00743190" w:rsidP="00C20151">
      <w:pPr>
        <w:pStyle w:val="ListParagraph"/>
        <w:spacing w:before="120" w:after="120" w:line="276" w:lineRule="auto"/>
        <w:ind w:left="0"/>
        <w:jc w:val="both"/>
        <w:rPr>
          <w:noProof/>
        </w:rPr>
      </w:pPr>
      <w:r>
        <w:rPr>
          <w:noProof/>
        </w:rPr>
        <w:t xml:space="preserve">La mauvaise santé mentale est courante chez les </w:t>
      </w:r>
      <w:r>
        <w:rPr>
          <w:b/>
          <w:noProof/>
        </w:rPr>
        <w:t>personnes sans abri</w:t>
      </w:r>
      <w:r>
        <w:rPr>
          <w:rStyle w:val="FootnoteReference"/>
          <w:b/>
          <w:bCs/>
          <w:noProof/>
          <w:lang w:val="en-IE"/>
        </w:rPr>
        <w:footnoteReference w:id="81"/>
      </w:r>
      <w:r>
        <w:rPr>
          <w:noProof/>
        </w:rPr>
        <w:t xml:space="preserve"> et le sans-abrisme de longue durée renforce les problèmes de santé mentale et le handicap. La </w:t>
      </w:r>
      <w:r>
        <w:rPr>
          <w:b/>
          <w:noProof/>
        </w:rPr>
        <w:t>plateforme européenne sur la lutte contre le sans-abrisme</w:t>
      </w:r>
      <w:r>
        <w:rPr>
          <w:noProof/>
        </w:rPr>
        <w:t xml:space="preserve"> aborde les défis en matière de santé mentale. </w:t>
      </w:r>
    </w:p>
    <w:p w14:paraId="3A15E286" w14:textId="56C45D08" w:rsidR="00C11FB4" w:rsidRPr="00DC2002" w:rsidRDefault="00A92C9B" w:rsidP="00FC0B1B">
      <w:pPr>
        <w:jc w:val="both"/>
        <w:rPr>
          <w:rStyle w:val="normaltextrun"/>
          <w:noProof/>
          <w:color w:val="000000" w:themeColor="text1"/>
        </w:rPr>
      </w:pPr>
      <w:r>
        <w:rPr>
          <w:rStyle w:val="normaltextrun"/>
          <w:b/>
          <w:noProof/>
          <w:color w:val="000000" w:themeColor="text1"/>
        </w:rPr>
        <w:t>Les Roms</w:t>
      </w:r>
      <w:r>
        <w:rPr>
          <w:rStyle w:val="normaltextrun"/>
          <w:noProof/>
          <w:color w:val="000000" w:themeColor="text1"/>
        </w:rPr>
        <w:t xml:space="preserve"> peuvent être exposés à un risque plus élevé de développer des problèmes de santé mentale, compte tenu de leur situation souvent difficile en raison de faibles revenus socio-économiques, de conditions médiocres et de l’exclusion, du manque d’accès à l’éducation et à l’emploi, de l’inadéquation du logement, de la ségrégation, de l’exclusion et de la discrimination, y compris en ce qui concerne les aspects liés à la santé. Le cadre stratégique de l’UE pour les Roms sur l’égalité, l’inclusion et la participation des Roms comprend l’objectif sectoriel d’améliorer la santé des Roms et d’accroître l’accès égal et efficace à des soins de santé mentale et à des services sociaux de qualité</w:t>
      </w:r>
      <w:r>
        <w:rPr>
          <w:rStyle w:val="FootnoteReference"/>
          <w:noProof/>
          <w:color w:val="000000" w:themeColor="text1"/>
          <w:lang w:val="en-IE"/>
        </w:rPr>
        <w:footnoteReference w:id="82"/>
      </w:r>
      <w:r>
        <w:rPr>
          <w:noProof/>
        </w:rPr>
        <w:t>.</w:t>
      </w:r>
    </w:p>
    <w:p w14:paraId="70CFF4D4" w14:textId="367D5AE5" w:rsidR="007C387C" w:rsidRPr="00DC2002" w:rsidRDefault="4C025392" w:rsidP="007C387C">
      <w:pPr>
        <w:jc w:val="both"/>
        <w:rPr>
          <w:rFonts w:eastAsia="Times New Roman" w:cs="Times New Roman"/>
          <w:noProof/>
          <w:szCs w:val="24"/>
        </w:rPr>
      </w:pPr>
      <w:r>
        <w:rPr>
          <w:noProof/>
        </w:rPr>
        <w:t xml:space="preserve">Les </w:t>
      </w:r>
      <w:r>
        <w:rPr>
          <w:b/>
          <w:noProof/>
        </w:rPr>
        <w:t>victimes de la criminalité</w:t>
      </w:r>
      <w:r>
        <w:rPr>
          <w:noProof/>
        </w:rPr>
        <w:t xml:space="preserve">, en particulier celles qui ont subi un préjudice considérable en raison de la gravité de l’acte criminel ou de leurs caractéristiques personnelles, telles que les victimes du terrorisme, les victimes de la traite des êtres humains, les victimes de crimes de haine, les enfants victimes ou toute autre victime ayant besoin d’une aide psychologique, devraient avoir accès à cette aide gratuitement et aussi longtemps que nécessaire.  Dans le cadre de la </w:t>
      </w:r>
      <w:r>
        <w:rPr>
          <w:b/>
          <w:noProof/>
        </w:rPr>
        <w:t>révision prochaine de la directive sur les droits des victimes</w:t>
      </w:r>
      <w:r>
        <w:rPr>
          <w:rFonts w:eastAsia="Times New Roman" w:cs="Times New Roman"/>
          <w:b/>
          <w:bCs/>
          <w:noProof/>
          <w:szCs w:val="24"/>
          <w:vertAlign w:val="superscript"/>
          <w:lang w:val="pl"/>
        </w:rPr>
        <w:footnoteReference w:id="83"/>
      </w:r>
      <w:r>
        <w:rPr>
          <w:noProof/>
        </w:rPr>
        <w:t xml:space="preserve">, la Commission s’emploie à renforcer l’accès des victimes à l’aide psychologique, notamment en rendant l’aide psychologique gratuite aussi longtemps que nécessaire pour toutes les victimes qui en ont besoin. </w:t>
      </w:r>
    </w:p>
    <w:p w14:paraId="6CC5AF28" w14:textId="306A8A8E" w:rsidR="006343D6" w:rsidRPr="00DC2002" w:rsidRDefault="00B14A9A" w:rsidP="002B27C7">
      <w:pPr>
        <w:jc w:val="both"/>
        <w:rPr>
          <w:rStyle w:val="normaltextrun"/>
          <w:noProof/>
        </w:rPr>
      </w:pPr>
      <w:r>
        <w:rPr>
          <w:noProof/>
        </w:rPr>
        <w:t xml:space="preserve">. </w:t>
      </w:r>
    </w:p>
    <w:p w14:paraId="3DA7FB3A" w14:textId="1391F22A" w:rsidR="00FC0B1B" w:rsidRPr="00DC2002" w:rsidRDefault="00D04CA5" w:rsidP="00FC0B1B">
      <w:pPr>
        <w:jc w:val="both"/>
        <w:rPr>
          <w:rFonts w:cs="Times New Roman"/>
          <w:noProof/>
        </w:rPr>
      </w:pPr>
      <w:bookmarkStart w:id="16" w:name="_Hlk136533704"/>
      <w:bookmarkStart w:id="17" w:name="_Hlk136511497"/>
      <w:bookmarkStart w:id="18" w:name="_Hlk135939904"/>
      <w:r>
        <w:rPr>
          <w:rStyle w:val="normaltextrun"/>
          <w:noProof/>
        </w:rPr>
        <w:t>Les</w:t>
      </w:r>
      <w:r>
        <w:rPr>
          <w:noProof/>
        </w:rPr>
        <w:t xml:space="preserve"> personnes vivant dans des </w:t>
      </w:r>
      <w:r>
        <w:rPr>
          <w:b/>
          <w:noProof/>
        </w:rPr>
        <w:t>zones rurales ou reculées</w:t>
      </w:r>
      <w:r>
        <w:rPr>
          <w:noProof/>
        </w:rPr>
        <w:t>, telles que les agriculteurs, sont confrontées à des problèmes particuliers de santé mentale liés au risque de déconnexion et de manque d’accès aux services de santé mentale. Les taux de suicide chez les agriculteurs sont supérieurs de 20 % à la moyenne nationale dans certains États membres</w:t>
      </w:r>
      <w:r>
        <w:rPr>
          <w:rStyle w:val="FootnoteReference"/>
          <w:rFonts w:cs="Times New Roman"/>
          <w:noProof/>
          <w:lang w:val="en-IE"/>
        </w:rPr>
        <w:footnoteReference w:id="84"/>
      </w:r>
      <w:r>
        <w:rPr>
          <w:noProof/>
        </w:rPr>
        <w:t xml:space="preserve">, raison pour laquelle un soutien sera proposé pour renforcer leur résilience. Les fonds de la PAC peuvent soutenir des activités de sensibilisation, y compris dans le domaine de la santé mentale et notamment au moyen des services de conseil agricole. </w:t>
      </w:r>
      <w:bookmarkEnd w:id="16"/>
      <w:r>
        <w:rPr>
          <w:noProof/>
        </w:rPr>
        <w:t>D’autres fonds pourraient aussi être mobilisés, tels que le fonds social européen+ ou le fonds européen de développement régional pour renforcer les investissements dans les services d’aide sociale dans des zones rurales ou reculées et veiller à ce qu’ils soient accessibles aux agriculteurs et aux ouvriers agricoles dans le besoin, quel que soit leur lieu de résidence</w:t>
      </w:r>
      <w:bookmarkEnd w:id="17"/>
      <w:r>
        <w:rPr>
          <w:noProof/>
        </w:rPr>
        <w:t>.</w:t>
      </w:r>
    </w:p>
    <w:bookmarkEnd w:id="18"/>
    <w:p w14:paraId="503DAED1" w14:textId="6968753E" w:rsidR="004256FF" w:rsidRPr="006C0ADA" w:rsidRDefault="004256FF" w:rsidP="005074EC">
      <w:pPr>
        <w:pStyle w:val="ListParagraph"/>
        <w:tabs>
          <w:tab w:val="left" w:pos="4536"/>
        </w:tabs>
        <w:spacing w:before="120" w:after="120" w:line="240" w:lineRule="auto"/>
        <w:ind w:left="714"/>
        <w:jc w:val="both"/>
        <w:rPr>
          <w:noProof/>
        </w:rPr>
      </w:pPr>
    </w:p>
    <w:tbl>
      <w:tblPr>
        <w:tblStyle w:val="TableGrid"/>
        <w:tblW w:w="9390" w:type="dxa"/>
        <w:tblInd w:w="0" w:type="dxa"/>
        <w:tblBorders>
          <w:insideH w:val="none" w:sz="0" w:space="0" w:color="auto"/>
          <w:insideV w:val="none" w:sz="0" w:space="0" w:color="auto"/>
        </w:tblBorders>
        <w:tblLook w:val="04A0" w:firstRow="1" w:lastRow="0" w:firstColumn="1" w:lastColumn="0" w:noHBand="0" w:noVBand="1"/>
      </w:tblPr>
      <w:tblGrid>
        <w:gridCol w:w="9390"/>
      </w:tblGrid>
      <w:tr w:rsidR="0024709F" w:rsidRPr="00DC2002" w14:paraId="3AB748D2" w14:textId="77777777" w:rsidTr="003F4428">
        <w:trPr>
          <w:trHeight w:val="1094"/>
          <w:tblHeader/>
        </w:trPr>
        <w:tc>
          <w:tcPr>
            <w:tcW w:w="9390" w:type="dxa"/>
          </w:tcPr>
          <w:p w14:paraId="0FCA34F3" w14:textId="3F5236E0" w:rsidR="0024709F" w:rsidRPr="00DC2002" w:rsidRDefault="0024709F" w:rsidP="005074EC">
            <w:pPr>
              <w:pBdr>
                <w:bottom w:val="single" w:sz="4" w:space="1" w:color="auto"/>
              </w:pBdr>
              <w:shd w:val="clear" w:color="auto" w:fill="FFFFFF" w:themeFill="background1"/>
              <w:jc w:val="both"/>
              <w:rPr>
                <w:b/>
                <w:noProof/>
                <w:color w:val="1F497D" w:themeColor="text2"/>
                <w:sz w:val="24"/>
                <w:szCs w:val="24"/>
              </w:rPr>
            </w:pPr>
            <w:r>
              <w:rPr>
                <w:b/>
                <w:noProof/>
                <w:sz w:val="24"/>
              </w:rPr>
              <w:t>INITIATIVES PHARES</w:t>
            </w:r>
          </w:p>
          <w:p w14:paraId="374077DC" w14:textId="77777777" w:rsidR="005830F3" w:rsidRPr="006C0ADA" w:rsidRDefault="005830F3" w:rsidP="005830F3">
            <w:pPr>
              <w:shd w:val="clear" w:color="auto" w:fill="FFFFFF" w:themeFill="background1"/>
              <w:jc w:val="both"/>
              <w:rPr>
                <w:b/>
                <w:smallCaps/>
                <w:noProof/>
                <w:sz w:val="24"/>
                <w:szCs w:val="24"/>
              </w:rPr>
            </w:pPr>
          </w:p>
          <w:p w14:paraId="5833F065" w14:textId="249ED010" w:rsidR="00702527" w:rsidRPr="00DC2002" w:rsidRDefault="00702527" w:rsidP="00C20151">
            <w:pPr>
              <w:shd w:val="clear" w:color="auto" w:fill="FFFFFF" w:themeFill="background1"/>
              <w:spacing w:line="276" w:lineRule="auto"/>
              <w:jc w:val="both"/>
              <w:rPr>
                <w:b/>
                <w:smallCaps/>
                <w:noProof/>
                <w:sz w:val="24"/>
                <w:szCs w:val="24"/>
              </w:rPr>
            </w:pPr>
            <w:r>
              <w:rPr>
                <w:b/>
                <w:smallCaps/>
                <w:noProof/>
              </w:rPr>
              <w:t xml:space="preserve">11. </w:t>
            </w:r>
            <w:r>
              <w:rPr>
                <w:b/>
                <w:smallCaps/>
                <w:noProof/>
                <w:sz w:val="24"/>
              </w:rPr>
              <w:t>Protéger les victimes de la criminalité</w:t>
            </w:r>
          </w:p>
          <w:p w14:paraId="4FF8A858" w14:textId="6103FDB6" w:rsidR="00D52821" w:rsidRPr="00DC2002" w:rsidRDefault="00364106" w:rsidP="00C20151">
            <w:pPr>
              <w:pStyle w:val="ListParagraph"/>
              <w:numPr>
                <w:ilvl w:val="0"/>
                <w:numId w:val="100"/>
              </w:numPr>
              <w:spacing w:before="120" w:after="120" w:line="276" w:lineRule="auto"/>
              <w:jc w:val="both"/>
              <w:rPr>
                <w:rFonts w:cs="Times New Roman"/>
                <w:noProof/>
                <w:sz w:val="24"/>
                <w:szCs w:val="24"/>
              </w:rPr>
            </w:pPr>
            <w:bookmarkStart w:id="19" w:name="_Hlk135940082"/>
            <w:r>
              <w:rPr>
                <w:noProof/>
                <w:sz w:val="24"/>
              </w:rPr>
              <w:t xml:space="preserve">Au second trimestre de 2023, la Commission s’attachera à améliorer l’accès des victimes de la criminalité à un soutien psychologique et à un soutien en matière de santé mentale grâce à la révision de la directive établissant des normes minimales concernant </w:t>
            </w:r>
            <w:r>
              <w:rPr>
                <w:b/>
                <w:noProof/>
                <w:sz w:val="24"/>
              </w:rPr>
              <w:t>les droits, le soutien et la protection des victimes de la criminalité</w:t>
            </w:r>
            <w:r>
              <w:rPr>
                <w:noProof/>
                <w:sz w:val="24"/>
              </w:rPr>
              <w:t>.</w:t>
            </w:r>
          </w:p>
          <w:bookmarkEnd w:id="19"/>
          <w:p w14:paraId="6CB99A88" w14:textId="77777777" w:rsidR="00DA42FA" w:rsidRPr="006C0ADA" w:rsidRDefault="00DA42FA" w:rsidP="00C20151">
            <w:pPr>
              <w:shd w:val="clear" w:color="auto" w:fill="FFFFFF" w:themeFill="background1"/>
              <w:spacing w:line="276" w:lineRule="auto"/>
              <w:jc w:val="both"/>
              <w:rPr>
                <w:b/>
                <w:smallCaps/>
                <w:noProof/>
                <w:sz w:val="24"/>
                <w:szCs w:val="24"/>
              </w:rPr>
            </w:pPr>
          </w:p>
          <w:p w14:paraId="237B0F75" w14:textId="7BA0B68D" w:rsidR="00FC0488" w:rsidRPr="00DC2002" w:rsidRDefault="00702527" w:rsidP="00C20151">
            <w:pPr>
              <w:shd w:val="clear" w:color="auto" w:fill="FFFFFF" w:themeFill="background1"/>
              <w:spacing w:line="276" w:lineRule="auto"/>
              <w:jc w:val="both"/>
              <w:rPr>
                <w:b/>
                <w:smallCaps/>
                <w:noProof/>
                <w:sz w:val="24"/>
                <w:szCs w:val="24"/>
              </w:rPr>
            </w:pPr>
            <w:r>
              <w:rPr>
                <w:b/>
                <w:smallCaps/>
                <w:noProof/>
                <w:sz w:val="24"/>
              </w:rPr>
              <w:t>12. Mission contre le cancer: plateforme pour les jeunes survivants d’un cancer</w:t>
            </w:r>
          </w:p>
          <w:p w14:paraId="430CC635" w14:textId="359BFB75" w:rsidR="00FC0488" w:rsidRPr="00DC2002" w:rsidRDefault="00FC0488" w:rsidP="002B27C7">
            <w:pPr>
              <w:pStyle w:val="ListParagraph"/>
              <w:numPr>
                <w:ilvl w:val="0"/>
                <w:numId w:val="100"/>
              </w:numPr>
              <w:spacing w:after="0"/>
              <w:jc w:val="both"/>
              <w:rPr>
                <w:noProof/>
                <w:sz w:val="24"/>
                <w:szCs w:val="24"/>
              </w:rPr>
            </w:pPr>
            <w:r>
              <w:rPr>
                <w:noProof/>
                <w:sz w:val="24"/>
              </w:rPr>
              <w:t xml:space="preserve">La Commission mettra à la disposition des </w:t>
            </w:r>
            <w:r>
              <w:rPr>
                <w:b/>
                <w:noProof/>
                <w:sz w:val="24"/>
              </w:rPr>
              <w:t>jeunes ayant survécu à un cancer</w:t>
            </w:r>
            <w:r>
              <w:rPr>
                <w:noProof/>
                <w:sz w:val="24"/>
              </w:rPr>
              <w:t xml:space="preserve"> une plateforme pour les aider à améliorer leur santé mentale, par l’intermédiaire de la mission «Cancer» d’Horizon Europe</w:t>
            </w:r>
            <w:r>
              <w:rPr>
                <w:rStyle w:val="FootnoteReference"/>
                <w:rFonts w:eastAsia="Calibri" w:cs="Arial"/>
                <w:noProof/>
                <w:sz w:val="24"/>
                <w:szCs w:val="24"/>
                <w:lang w:val="en-IE"/>
              </w:rPr>
              <w:footnoteReference w:id="85"/>
            </w:r>
            <w:r>
              <w:rPr>
                <w:noProof/>
                <w:sz w:val="24"/>
              </w:rPr>
              <w:t>.</w:t>
            </w:r>
          </w:p>
          <w:p w14:paraId="3C0A8CB3" w14:textId="5F6D388C" w:rsidR="00AA24CB" w:rsidRPr="00DC2002" w:rsidRDefault="00AA24CB" w:rsidP="006141AC">
            <w:pPr>
              <w:pStyle w:val="ListParagraph"/>
              <w:numPr>
                <w:ilvl w:val="0"/>
                <w:numId w:val="100"/>
              </w:numPr>
              <w:spacing w:after="0"/>
              <w:jc w:val="both"/>
              <w:rPr>
                <w:noProof/>
                <w:sz w:val="24"/>
                <w:szCs w:val="24"/>
              </w:rPr>
            </w:pPr>
            <w:r>
              <w:rPr>
                <w:noProof/>
              </w:rPr>
              <w:t>La Commission soutiendra le travail collaboratif entre les États membres afin d’apporter un soutien psychologique aux patients atteints d’un cancer, à leurs aidants et à leurs familles (8 millions d’EUR)</w:t>
            </w:r>
            <w:r>
              <w:rPr>
                <w:noProof/>
                <w:vertAlign w:val="superscript"/>
              </w:rPr>
              <w:footnoteReference w:id="86"/>
            </w:r>
            <w:r>
              <w:rPr>
                <w:noProof/>
              </w:rPr>
              <w:t>.</w:t>
            </w:r>
          </w:p>
          <w:p w14:paraId="47B9B73C" w14:textId="5CB834B9" w:rsidR="003D74EC" w:rsidRPr="006C0ADA" w:rsidRDefault="003D74EC" w:rsidP="004256FF">
            <w:pPr>
              <w:jc w:val="both"/>
              <w:rPr>
                <w:rFonts w:eastAsia="Calibri" w:cs="Arial"/>
                <w:noProof/>
                <w:sz w:val="24"/>
                <w:szCs w:val="24"/>
              </w:rPr>
            </w:pPr>
          </w:p>
        </w:tc>
      </w:tr>
      <w:tr w:rsidR="00F74817" w:rsidRPr="00DC2002" w14:paraId="08FC7838" w14:textId="77777777" w:rsidTr="003F4428">
        <w:trPr>
          <w:trHeight w:val="66"/>
          <w:tblHeader/>
        </w:trPr>
        <w:tc>
          <w:tcPr>
            <w:tcW w:w="9390" w:type="dxa"/>
          </w:tcPr>
          <w:p w14:paraId="5A4AF742" w14:textId="77777777" w:rsidR="00F74817" w:rsidRPr="006C0ADA" w:rsidRDefault="00F74817" w:rsidP="005074EC">
            <w:pPr>
              <w:pBdr>
                <w:bottom w:val="single" w:sz="4" w:space="1" w:color="auto"/>
              </w:pBdr>
              <w:shd w:val="clear" w:color="auto" w:fill="FFFFFF" w:themeFill="background1"/>
              <w:jc w:val="both"/>
              <w:rPr>
                <w:b/>
                <w:noProof/>
              </w:rPr>
            </w:pPr>
          </w:p>
        </w:tc>
      </w:tr>
    </w:tbl>
    <w:p w14:paraId="1AB523DC" w14:textId="31E9B90B" w:rsidR="00E4457E" w:rsidRPr="006C0ADA" w:rsidRDefault="00E4457E" w:rsidP="005074EC">
      <w:pPr>
        <w:tabs>
          <w:tab w:val="left" w:pos="4536"/>
        </w:tabs>
        <w:spacing w:before="120" w:after="120" w:line="240" w:lineRule="auto"/>
        <w:jc w:val="both"/>
        <w:rPr>
          <w:noProof/>
        </w:rPr>
      </w:pPr>
    </w:p>
    <w:p w14:paraId="40701667" w14:textId="7C540F1E" w:rsidR="00B31031" w:rsidRPr="00DC2002" w:rsidRDefault="000743DA" w:rsidP="008A499D">
      <w:pPr>
        <w:jc w:val="both"/>
        <w:rPr>
          <w:noProof/>
        </w:rPr>
      </w:pPr>
      <w:r>
        <w:rPr>
          <w:noProof/>
        </w:rPr>
        <w:t>La Commission encourage les États membres à améliorer l’accès aux outils numériques dont la facilité d’utilisation est avérée pour les personnes âgées afin d’améliorer leur santé mentale et de les aider à participer à la vie sociale. Il est recommandé aux États membres de collecter des données sur l’état de santé mentale des personnes en situation de vulnérabilité, y compris les sans-abri, et sur l’accessibilité des services dans les zones marginalisées, reculées et défavorisées. La Commission invite instamment les États membres à garantir l’égalité d’accès sans obstacles à des soins de santé et à des services sociaux abordables et de qualité, en particulier pour les groupes les plus exposés ou les personnes vivant dans des localités marginalisées ou isolées</w:t>
      </w:r>
      <w:r>
        <w:rPr>
          <w:rStyle w:val="FootnoteReference"/>
          <w:bCs/>
          <w:noProof/>
          <w:lang w:val="en-IE"/>
        </w:rPr>
        <w:footnoteReference w:id="87"/>
      </w:r>
      <w:r>
        <w:rPr>
          <w:noProof/>
        </w:rPr>
        <w:t>, et à remédier à la situation spécifique des Roms, en améliorant l’accès aux services de santé mentale et aux mesures de prévention primaire, par exemple au moyen de campagnes de sensibilisation. En outre, la Commission invite instamment les États membres à mettre en œuvre les bonnes pratiques en matière de désinstitutionalisation, y compris pour les enfants, et à renforcer la transition vers des services de proximité.</w:t>
      </w:r>
    </w:p>
    <w:p w14:paraId="4D24BAF4" w14:textId="1694DF61" w:rsidR="005D1FFA" w:rsidRPr="00DC2002" w:rsidDel="001A67BD" w:rsidRDefault="43880361" w:rsidP="005074EC">
      <w:pPr>
        <w:pStyle w:val="Heading2"/>
        <w:jc w:val="both"/>
        <w:rPr>
          <w:noProof/>
        </w:rPr>
      </w:pPr>
      <w:bookmarkStart w:id="20" w:name="_Hlk131604618"/>
      <w:bookmarkEnd w:id="6"/>
      <w:bookmarkEnd w:id="14"/>
      <w:r>
        <w:rPr>
          <w:noProof/>
        </w:rPr>
        <w:t xml:space="preserve">Lutter contre les </w:t>
      </w:r>
      <w:bookmarkStart w:id="21" w:name="_Hlk134219190"/>
      <w:r>
        <w:rPr>
          <w:noProof/>
        </w:rPr>
        <w:t>risques psychosociaux au travail</w:t>
      </w:r>
      <w:bookmarkEnd w:id="21"/>
    </w:p>
    <w:bookmarkEnd w:id="20"/>
    <w:p w14:paraId="47D65118" w14:textId="27949DBD" w:rsidR="005632FE" w:rsidRPr="00DC2002" w:rsidRDefault="00777951" w:rsidP="005632FE">
      <w:pPr>
        <w:jc w:val="both"/>
        <w:rPr>
          <w:rFonts w:cs="Times New Roman"/>
          <w:noProof/>
          <w:szCs w:val="24"/>
        </w:rPr>
      </w:pPr>
      <w:r>
        <w:rPr>
          <w:noProof/>
        </w:rPr>
        <w:t>Puisque les personnes passent une grande partie de leur temps au travail, un bon environnement de travail est essentiel pour la santé. Le stress et les risques psychosociaux au travail peuvent avoir une incidence sur la santé mentale et entraîner une baisse de la satisfaction au travail, des conflits, une baisse de la productivité, l’épuisement professionnel (burn-out), de l’absentéisme et une rotation du personnel. La santé mentale est une condition préalable à l’aptitude au travail, à la compétence et à la productivité. Cependant, environ la moitié des travailleurs de l’UE considèrent que le stress est courant sur leur lieu de travail et qu’il est responsable dans à peu près la moitié de l’ensemble des journées de travail perdues.  Dans le même temps, les risques psychosociaux et le stress lié au travail comptent parmi les problèmes les plus pressants en matière de sécurité et de santé au travail.</w:t>
      </w:r>
    </w:p>
    <w:p w14:paraId="7C9FC2B1" w14:textId="44746449" w:rsidR="00501ADF" w:rsidRPr="00DC2002" w:rsidRDefault="00501ADF" w:rsidP="00501ADF">
      <w:pPr>
        <w:jc w:val="both"/>
        <w:rPr>
          <w:rFonts w:cs="Times New Roman"/>
          <w:noProof/>
        </w:rPr>
      </w:pPr>
      <w:r>
        <w:rPr>
          <w:noProof/>
        </w:rPr>
        <w:t>Les nouvelles formes de travail induites par la</w:t>
      </w:r>
      <w:r>
        <w:rPr>
          <w:b/>
          <w:noProof/>
        </w:rPr>
        <w:t xml:space="preserve"> numérisation</w:t>
      </w:r>
      <w:r>
        <w:rPr>
          <w:noProof/>
        </w:rPr>
        <w:t xml:space="preserve"> et dont la tendance a été accélérée par la pandémie de Covid-19 (telles que le travail via une plateforme et le travail à distance) ont eu des répercussions sur la santé mentale des travailleurs, même si la flexibilité de ces formes de travail peut également s’avérer bénéfique. Les travailleurs essentiels, et en particulier les professionnels de la santé et des services sociaux, semblaient être les plus susceptibles d’être exposés à des risques psychosociaux liés au travail dans le contexte de l’après-pandémie</w:t>
      </w:r>
      <w:r>
        <w:rPr>
          <w:rStyle w:val="FootnoteReference"/>
          <w:rFonts w:cs="Times New Roman"/>
          <w:noProof/>
          <w:lang w:val="en-IE"/>
        </w:rPr>
        <w:footnoteReference w:id="88"/>
      </w:r>
      <w:r>
        <w:rPr>
          <w:noProof/>
        </w:rPr>
        <w:t>.</w:t>
      </w:r>
    </w:p>
    <w:p w14:paraId="53F87D27" w14:textId="0DA8CFFA" w:rsidR="00085A6F" w:rsidRPr="00DC2002" w:rsidRDefault="6B940C8F" w:rsidP="005074EC">
      <w:pPr>
        <w:jc w:val="both"/>
        <w:rPr>
          <w:rFonts w:cs="Times New Roman"/>
          <w:noProof/>
        </w:rPr>
      </w:pPr>
      <w:r>
        <w:rPr>
          <w:noProof/>
        </w:rPr>
        <w:t xml:space="preserve">Les employeurs ont un rôle essentiel à jouer pour garantir la sécurité et la santé des travailleurs, telles que définies dans la législation de l’UE en matière de </w:t>
      </w:r>
      <w:r>
        <w:rPr>
          <w:b/>
          <w:noProof/>
        </w:rPr>
        <w:t>sécurité et de santé au travail</w:t>
      </w:r>
      <w:r>
        <w:rPr>
          <w:noProof/>
        </w:rPr>
        <w:t xml:space="preserve"> (SST)</w:t>
      </w:r>
      <w:r>
        <w:rPr>
          <w:rStyle w:val="FootnoteReference"/>
          <w:rFonts w:cs="Times New Roman"/>
          <w:noProof/>
          <w:lang w:val="en-IE"/>
        </w:rPr>
        <w:footnoteReference w:id="89"/>
      </w:r>
      <w:r>
        <w:rPr>
          <w:noProof/>
        </w:rPr>
        <w:t>. Au fil des ans, la Commission a abordé les risques psychosociaux et la santé mentale au travail dans ses cadres stratégiques en matière de SST</w:t>
      </w:r>
      <w:r>
        <w:rPr>
          <w:rStyle w:val="FootnoteReference"/>
          <w:rFonts w:cs="Times New Roman"/>
          <w:noProof/>
          <w:lang w:val="en-IE"/>
        </w:rPr>
        <w:footnoteReference w:id="90"/>
      </w:r>
      <w:r>
        <w:rPr>
          <w:noProof/>
        </w:rPr>
        <w:t>. Une attention particulière est accordée à la santé mentale et aux risques psychosociaux dans la communication intitulée «Cadre stratégique de l’UE en matière de santé et de sécurité au travail pour la période 2021-2027»</w:t>
      </w:r>
      <w:r>
        <w:rPr>
          <w:rStyle w:val="FootnoteReference"/>
          <w:rFonts w:cs="Times New Roman"/>
          <w:noProof/>
          <w:lang w:val="en-IE"/>
        </w:rPr>
        <w:footnoteReference w:id="91"/>
      </w:r>
      <w:r>
        <w:rPr>
          <w:noProof/>
        </w:rPr>
        <w:t xml:space="preserve">. </w:t>
      </w:r>
    </w:p>
    <w:p w14:paraId="1FCEE0A7" w14:textId="77777777" w:rsidR="00AB3F2D" w:rsidRPr="00DC2002" w:rsidRDefault="006103A0" w:rsidP="006103A0">
      <w:pPr>
        <w:jc w:val="both"/>
        <w:rPr>
          <w:rFonts w:cs="Times New Roman"/>
          <w:noProof/>
        </w:rPr>
      </w:pPr>
      <w:r>
        <w:rPr>
          <w:noProof/>
        </w:rPr>
        <w:t xml:space="preserve">Par ailleurs, la nécessité de réfléchir à la voie à suivre en ce qui concerne le </w:t>
      </w:r>
      <w:r>
        <w:rPr>
          <w:b/>
          <w:noProof/>
        </w:rPr>
        <w:t>droit à la déconnexion</w:t>
      </w:r>
      <w:r>
        <w:rPr>
          <w:noProof/>
        </w:rPr>
        <w:t xml:space="preserve">, en tant que partie intégrante de la réduction du stress lié au travail et de la promotion d’un meilleur équilibre entre vie professionnelle et vie privée, du </w:t>
      </w:r>
      <w:r>
        <w:rPr>
          <w:b/>
          <w:noProof/>
        </w:rPr>
        <w:t>droit au retour au travail</w:t>
      </w:r>
      <w:r>
        <w:rPr>
          <w:noProof/>
        </w:rPr>
        <w:t xml:space="preserve"> après une maladie mentale ainsi que d’un environnement de travail psychologiquement sûr, est à la fois essentielle à la promotion de la santé mentale et à la création d’une société plus inclusive. </w:t>
      </w:r>
    </w:p>
    <w:p w14:paraId="0EFDED27" w14:textId="6AECF70F" w:rsidR="006103A0" w:rsidRPr="00DC2002" w:rsidRDefault="006103A0" w:rsidP="006103A0">
      <w:pPr>
        <w:jc w:val="both"/>
        <w:rPr>
          <w:rFonts w:eastAsia="Times New Roman" w:cs="Times New Roman"/>
          <w:noProof/>
          <w:szCs w:val="20"/>
        </w:rPr>
      </w:pPr>
      <w:r>
        <w:rPr>
          <w:noProof/>
        </w:rPr>
        <w:t xml:space="preserve">La Commission se félicite du programme de travail 2022-2024 des partenaires sociaux interprofessionnels européens et de la négociation en cours d’un nouvel accord sur le télétravail et le droit à la déconnexion, qui sera présenté pour adoption sous la forme d’un accord juridiquement contraignant et mis en œuvre au moyen d’une directive. La Commission continuera à </w:t>
      </w:r>
      <w:r>
        <w:rPr>
          <w:b/>
          <w:noProof/>
        </w:rPr>
        <w:t>soutenir les partenaires sociaux</w:t>
      </w:r>
      <w:r>
        <w:rPr>
          <w:noProof/>
        </w:rPr>
        <w:t xml:space="preserve"> dans leurs efforts pour négocier un nouvel accord sur le télétravail et le droit à la déconnexion, en facilitant les discussions et le recensement des meilleures pratiques, et en évaluant les pratiques et les règles existantes en matière de droit à la déconnexion. Les négociations en cours entre les partenaires sociaux sont liées à la résolution du Parlement européen de janvier 2021 sur le droit à la déconnexion, à laquelle la Commission s’est engagée à donner suite.</w:t>
      </w:r>
    </w:p>
    <w:p w14:paraId="73D4CA0E" w14:textId="54912B22" w:rsidR="00C20151" w:rsidRPr="00DC2002" w:rsidRDefault="002C0E46" w:rsidP="00703618">
      <w:pPr>
        <w:jc w:val="both"/>
        <w:rPr>
          <w:rFonts w:cs="Times New Roman"/>
          <w:bCs/>
          <w:noProof/>
        </w:rPr>
      </w:pPr>
      <w:r>
        <w:rPr>
          <w:b/>
          <w:noProof/>
        </w:rPr>
        <w:t>La Commission veillera à ce que l’EU-OSHA</w:t>
      </w:r>
      <w:r>
        <w:rPr>
          <w:rStyle w:val="FootnoteReference"/>
          <w:rFonts w:cs="Times New Roman"/>
          <w:b/>
          <w:bCs/>
          <w:noProof/>
          <w:lang w:val="en-IE"/>
        </w:rPr>
        <w:footnoteReference w:id="92"/>
      </w:r>
      <w:r>
        <w:rPr>
          <w:noProof/>
        </w:rPr>
        <w:t xml:space="preserve"> finalise le document de synthèse sur la SST et la </w:t>
      </w:r>
      <w:r>
        <w:rPr>
          <w:b/>
          <w:noProof/>
        </w:rPr>
        <w:t>numérisation</w:t>
      </w:r>
      <w:r>
        <w:rPr>
          <w:noProof/>
        </w:rPr>
        <w:t>, qui couvre la santé mentale au travail et met en œuvre une vue d’ensemble de la SST sur la santé psychosociale et mentale au travail, y compris des informations sur les bonnes pratiques en matière de retour au travail et de travail de personnes ayant un problème de santé mentale, ainsi qu’un aperçu général de la SST dans les secteurs de la santé et des soins. La Commission veillera à ce que l’EU-OSHA fournisse des orientations actualisées à la suite de la publication de 2018 intitulée «Des travailleurs en bonne santé, des entreprises prospères — un guide pratique du bien-être au travail»</w:t>
      </w:r>
      <w:r>
        <w:rPr>
          <w:rStyle w:val="FootnoteReference"/>
          <w:rFonts w:cs="Times New Roman"/>
          <w:bCs/>
          <w:noProof/>
          <w:lang w:val="en-IE"/>
        </w:rPr>
        <w:footnoteReference w:id="93"/>
      </w:r>
      <w:r>
        <w:rPr>
          <w:noProof/>
        </w:rPr>
        <w:t>, et à ce que l’EU-OSHA mène un projet sur les bonnes pratiques visant à aider les travailleurs souffrant d’un problème de santé mentale, lié ou non au travail, à continuer de travailler ou à reprendre avec succès le travail à la suite d’une absence pour maladie, dans le but de publier un rapport d’ici à 2024.</w:t>
      </w:r>
    </w:p>
    <w:p w14:paraId="1D820008" w14:textId="0438210C" w:rsidR="00BE418A" w:rsidRPr="00DC2002" w:rsidRDefault="00F109FA" w:rsidP="00BE418A">
      <w:pPr>
        <w:jc w:val="both"/>
        <w:rPr>
          <w:rStyle w:val="normaltextrun"/>
          <w:noProof/>
        </w:rPr>
      </w:pPr>
      <w:r>
        <w:rPr>
          <w:noProof/>
        </w:rPr>
        <w:t>Le sommet sur la sécurité et la santé au travail (SST), organisé par la présidence suédoise et la Commission européenne les 15 et 16 mai 2023, a défini les risques psychosociaux et de santé mentale au travail comme des problèmes croissants dans le cadre de la SST lesquels nécessitent une attention plus soutenue</w:t>
      </w:r>
      <w:r>
        <w:rPr>
          <w:rStyle w:val="FootnoteReference"/>
          <w:rFonts w:cs="Times New Roman"/>
          <w:noProof/>
          <w:lang w:val="en-IE"/>
        </w:rPr>
        <w:footnoteReference w:id="94"/>
      </w:r>
      <w:r>
        <w:rPr>
          <w:noProof/>
        </w:rPr>
        <w:t xml:space="preserve">.  La Commission assurera le suivi de ces conclusions du sommet afin d’améliorer la santé mentale au travail dans le plein respect du principe du tripartisme. Elle poursuivra également les </w:t>
      </w:r>
      <w:r>
        <w:rPr>
          <w:b/>
          <w:noProof/>
        </w:rPr>
        <w:t>travaux de révision</w:t>
      </w:r>
      <w:r>
        <w:rPr>
          <w:noProof/>
        </w:rPr>
        <w:t xml:space="preserve"> de la directive sur les lieux de travail (89/654/CEE)</w:t>
      </w:r>
      <w:r>
        <w:rPr>
          <w:rStyle w:val="FootnoteReference"/>
          <w:rFonts w:cs="Times New Roman"/>
          <w:bCs/>
          <w:noProof/>
          <w:lang w:val="en-IE"/>
        </w:rPr>
        <w:footnoteReference w:id="95"/>
      </w:r>
      <w:r>
        <w:rPr>
          <w:noProof/>
        </w:rPr>
        <w:t xml:space="preserve"> et de la directive relative au travail sur des équipements à écran de visualisation (90/270/CEE)</w:t>
      </w:r>
      <w:r>
        <w:rPr>
          <w:noProof/>
          <w:vertAlign w:val="superscript"/>
        </w:rPr>
        <w:footnoteReference w:id="96"/>
      </w:r>
      <w:r>
        <w:rPr>
          <w:noProof/>
        </w:rPr>
        <w:t xml:space="preserve">. Enfin, la Commission soutiendra la mise en œuvre de la </w:t>
      </w:r>
      <w:r>
        <w:rPr>
          <w:b/>
          <w:noProof/>
        </w:rPr>
        <w:t>stratégie européenne en matière de soins</w:t>
      </w:r>
      <w:r>
        <w:rPr>
          <w:rStyle w:val="FootnoteReference"/>
          <w:rFonts w:cs="Times New Roman"/>
          <w:b/>
          <w:bCs/>
          <w:noProof/>
          <w:lang w:val="en-IE"/>
        </w:rPr>
        <w:footnoteReference w:id="97"/>
      </w:r>
      <w:r>
        <w:rPr>
          <w:noProof/>
        </w:rPr>
        <w:t xml:space="preserve"> au moyen d’actions qui contribuent au </w:t>
      </w:r>
      <w:r>
        <w:rPr>
          <w:rStyle w:val="normaltextrun"/>
          <w:noProof/>
        </w:rPr>
        <w:t>bien-être mental des aidants et de celui des personnes aidées</w:t>
      </w:r>
      <w:r>
        <w:rPr>
          <w:noProof/>
        </w:rPr>
        <w:t>.</w:t>
      </w:r>
    </w:p>
    <w:tbl>
      <w:tblPr>
        <w:tblStyle w:val="TableGrid"/>
        <w:tblW w:w="0" w:type="auto"/>
        <w:tblInd w:w="0" w:type="dxa"/>
        <w:tblLook w:val="04A0" w:firstRow="1" w:lastRow="0" w:firstColumn="1" w:lastColumn="0" w:noHBand="0" w:noVBand="1"/>
      </w:tblPr>
      <w:tblGrid>
        <w:gridCol w:w="9286"/>
      </w:tblGrid>
      <w:tr w:rsidR="0024709F" w:rsidRPr="00DC2002" w14:paraId="5BB99F80" w14:textId="77777777" w:rsidTr="392C5086">
        <w:tc>
          <w:tcPr>
            <w:tcW w:w="9286" w:type="dxa"/>
          </w:tcPr>
          <w:p w14:paraId="2F17456F" w14:textId="3B70BA85" w:rsidR="0024709F" w:rsidRPr="00DC2002" w:rsidRDefault="0024709F" w:rsidP="005074EC">
            <w:pPr>
              <w:pBdr>
                <w:bottom w:val="single" w:sz="4" w:space="1" w:color="auto"/>
              </w:pBdr>
              <w:shd w:val="clear" w:color="auto" w:fill="FFFFFF" w:themeFill="background1"/>
              <w:jc w:val="both"/>
              <w:rPr>
                <w:b/>
                <w:noProof/>
              </w:rPr>
            </w:pPr>
            <w:r>
              <w:rPr>
                <w:b/>
                <w:noProof/>
              </w:rPr>
              <w:t>INITIATIVES PHARES</w:t>
            </w:r>
            <w:r>
              <w:rPr>
                <w:rStyle w:val="FootnoteReference"/>
                <w:b/>
                <w:noProof/>
                <w:lang w:val="en-IE"/>
              </w:rPr>
              <w:footnoteReference w:id="98"/>
            </w:r>
          </w:p>
          <w:p w14:paraId="21604342" w14:textId="77777777" w:rsidR="000B4475" w:rsidRPr="006C0ADA" w:rsidRDefault="000B4475" w:rsidP="005074EC">
            <w:pPr>
              <w:shd w:val="clear" w:color="auto" w:fill="FFFFFF" w:themeFill="background1"/>
              <w:jc w:val="both"/>
              <w:rPr>
                <w:b/>
                <w:smallCaps/>
                <w:noProof/>
              </w:rPr>
            </w:pPr>
          </w:p>
          <w:p w14:paraId="43C2A72F" w14:textId="7FEEE2CA" w:rsidR="00D91DBF" w:rsidRPr="00DC2002" w:rsidRDefault="00D91DBF" w:rsidP="00445ADC">
            <w:pPr>
              <w:shd w:val="clear" w:color="auto" w:fill="FFFFFF" w:themeFill="background1"/>
              <w:jc w:val="both"/>
              <w:rPr>
                <w:b/>
                <w:smallCaps/>
                <w:noProof/>
                <w:sz w:val="24"/>
                <w:szCs w:val="24"/>
              </w:rPr>
            </w:pPr>
            <w:r>
              <w:rPr>
                <w:b/>
                <w:smallCaps/>
                <w:noProof/>
                <w:sz w:val="24"/>
              </w:rPr>
              <w:t>13. Initiative au niveau de l’UE sur les risques psychosociaux</w:t>
            </w:r>
          </w:p>
          <w:p w14:paraId="314A7BE0" w14:textId="4F77DA9A" w:rsidR="00D91DBF" w:rsidRPr="00DC2002" w:rsidRDefault="00C87DD9" w:rsidP="006141AC">
            <w:pPr>
              <w:pStyle w:val="ListParagraph"/>
              <w:numPr>
                <w:ilvl w:val="0"/>
                <w:numId w:val="39"/>
              </w:numPr>
              <w:shd w:val="clear" w:color="auto" w:fill="FFFFFF" w:themeFill="background1"/>
              <w:spacing w:before="120" w:after="120" w:line="240" w:lineRule="auto"/>
              <w:ind w:left="714" w:hanging="357"/>
              <w:jc w:val="both"/>
              <w:rPr>
                <w:bCs/>
                <w:noProof/>
                <w:sz w:val="24"/>
                <w:szCs w:val="24"/>
              </w:rPr>
            </w:pPr>
            <w:r>
              <w:rPr>
                <w:noProof/>
                <w:sz w:val="24"/>
              </w:rPr>
              <w:t xml:space="preserve">La Commission procédera à un examen par les pairs des approches législatives et répressives pour faire face aux </w:t>
            </w:r>
            <w:r>
              <w:rPr>
                <w:b/>
                <w:noProof/>
                <w:sz w:val="24"/>
              </w:rPr>
              <w:t>risques psychosociaux au travail</w:t>
            </w:r>
            <w:r>
              <w:rPr>
                <w:noProof/>
                <w:sz w:val="24"/>
              </w:rPr>
              <w:t xml:space="preserve"> dans les États membres, en vue de présenter une initiative au niveau de l’UE sur les risques psychosociaux, et sous réserve de ses résultats et de la contribution des partenaires sociaux à moyen terme.</w:t>
            </w:r>
          </w:p>
          <w:p w14:paraId="688B1B9E" w14:textId="77777777" w:rsidR="00D91DBF" w:rsidRPr="006C0ADA" w:rsidRDefault="00D91DBF" w:rsidP="00445ADC">
            <w:pPr>
              <w:pStyle w:val="ListParagraph"/>
              <w:shd w:val="clear" w:color="auto" w:fill="FFFFFF" w:themeFill="background1"/>
              <w:spacing w:after="0" w:line="240" w:lineRule="auto"/>
              <w:jc w:val="both"/>
              <w:rPr>
                <w:bCs/>
                <w:noProof/>
                <w:sz w:val="24"/>
                <w:szCs w:val="24"/>
              </w:rPr>
            </w:pPr>
          </w:p>
          <w:p w14:paraId="7631C2B1" w14:textId="3401DB3F" w:rsidR="00D91DBF" w:rsidRPr="00DC2002" w:rsidRDefault="00D91DBF" w:rsidP="009345DA">
            <w:pPr>
              <w:shd w:val="clear" w:color="auto" w:fill="FFFFFF" w:themeFill="background1"/>
              <w:jc w:val="both"/>
              <w:rPr>
                <w:bCs/>
                <w:noProof/>
                <w:sz w:val="24"/>
                <w:szCs w:val="24"/>
              </w:rPr>
            </w:pPr>
            <w:r>
              <w:rPr>
                <w:b/>
                <w:smallCaps/>
                <w:noProof/>
                <w:sz w:val="24"/>
              </w:rPr>
              <w:t>14. Campagnes de l’UE sur les lieux de travail</w:t>
            </w:r>
          </w:p>
          <w:p w14:paraId="76EE9B5C" w14:textId="22D12599" w:rsidR="0024709F" w:rsidRPr="00DC2002" w:rsidRDefault="792AB976" w:rsidP="00B729B2">
            <w:pPr>
              <w:pStyle w:val="ListParagraph"/>
              <w:numPr>
                <w:ilvl w:val="0"/>
                <w:numId w:val="39"/>
              </w:numPr>
              <w:shd w:val="clear" w:color="auto" w:fill="FFFFFF" w:themeFill="background1"/>
              <w:spacing w:before="120" w:after="120" w:line="240" w:lineRule="auto"/>
              <w:ind w:left="714" w:hanging="357"/>
              <w:jc w:val="both"/>
              <w:rPr>
                <w:noProof/>
                <w:sz w:val="24"/>
                <w:szCs w:val="28"/>
              </w:rPr>
            </w:pPr>
            <w:r>
              <w:rPr>
                <w:b/>
                <w:noProof/>
                <w:sz w:val="24"/>
              </w:rPr>
              <w:t>Campagne «Lieux de travail sains» de l’EU-OSHA à l’échelle de l’Union — Un travail sûr et sain à l’ère numérique</w:t>
            </w:r>
            <w:r>
              <w:rPr>
                <w:noProof/>
                <w:sz w:val="24"/>
              </w:rPr>
              <w:t>, en mettant l’accent sur la santé mentale au travail (2023-2025);</w:t>
            </w:r>
          </w:p>
          <w:p w14:paraId="5BF45F94" w14:textId="3660C114" w:rsidR="00937039" w:rsidRPr="00DC2002" w:rsidRDefault="00937039" w:rsidP="00B729B2">
            <w:pPr>
              <w:pStyle w:val="ListParagraph"/>
              <w:numPr>
                <w:ilvl w:val="0"/>
                <w:numId w:val="39"/>
              </w:numPr>
              <w:shd w:val="clear" w:color="auto" w:fill="FFFFFF" w:themeFill="background1"/>
              <w:spacing w:before="120" w:after="120" w:line="240" w:lineRule="auto"/>
              <w:ind w:left="714" w:hanging="357"/>
              <w:jc w:val="both"/>
              <w:rPr>
                <w:rFonts w:cs="Times New Roman"/>
                <w:noProof/>
                <w:sz w:val="28"/>
                <w:szCs w:val="28"/>
              </w:rPr>
            </w:pPr>
            <w:r>
              <w:rPr>
                <w:b/>
                <w:noProof/>
                <w:sz w:val="24"/>
              </w:rPr>
              <w:t>Campagne «Lieux de travail sains» de l’EU-OSHA à l’échelle de l’UE sur les risques psychosociaux et la santé mentale au travail</w:t>
            </w:r>
            <w:r>
              <w:rPr>
                <w:noProof/>
              </w:rPr>
              <w:t>, en mettant l’accent sur les secteurs  professionnels nouveaux et négligés, y compris l’agriculture et la construction, et sur les groupes, y compris les travailleurs peu qualifiés, migrants ou jeunes (2026-2027/28).</w:t>
            </w:r>
          </w:p>
          <w:p w14:paraId="7B5DE225" w14:textId="6C485817" w:rsidR="003D74EC" w:rsidRPr="006C0ADA" w:rsidRDefault="003D74EC" w:rsidP="005074EC">
            <w:pPr>
              <w:pStyle w:val="ListParagraph"/>
              <w:shd w:val="clear" w:color="auto" w:fill="FFFFFF" w:themeFill="background1"/>
              <w:spacing w:after="0" w:line="240" w:lineRule="auto"/>
              <w:jc w:val="both"/>
              <w:rPr>
                <w:i/>
                <w:noProof/>
                <w:u w:val="single"/>
              </w:rPr>
            </w:pPr>
          </w:p>
        </w:tc>
      </w:tr>
    </w:tbl>
    <w:p w14:paraId="7528BEF7" w14:textId="66CCAA02" w:rsidR="00112425" w:rsidRPr="006C0ADA" w:rsidRDefault="00112425" w:rsidP="005074EC">
      <w:pPr>
        <w:jc w:val="both"/>
        <w:rPr>
          <w:rFonts w:cs="Times New Roman"/>
          <w:b/>
          <w:noProof/>
          <w:szCs w:val="24"/>
        </w:rPr>
      </w:pPr>
    </w:p>
    <w:p w14:paraId="629E81E3" w14:textId="4E0A5352" w:rsidR="00450018" w:rsidRPr="00DC2002" w:rsidRDefault="00124971" w:rsidP="008A499D">
      <w:pPr>
        <w:jc w:val="both"/>
        <w:rPr>
          <w:rFonts w:cs="Times New Roman"/>
          <w:noProof/>
        </w:rPr>
      </w:pPr>
      <w:r>
        <w:rPr>
          <w:b/>
          <w:noProof/>
        </w:rPr>
        <w:t>Il est recommandé aux États membres</w:t>
      </w:r>
      <w:r>
        <w:rPr>
          <w:noProof/>
        </w:rPr>
        <w:t xml:space="preserve"> de sensibiliser aux problèmes de santé mentale des </w:t>
      </w:r>
      <w:r>
        <w:rPr>
          <w:b/>
          <w:noProof/>
        </w:rPr>
        <w:t>agriculteurs et des populations dans les zones rurales</w:t>
      </w:r>
      <w:r>
        <w:rPr>
          <w:noProof/>
        </w:rPr>
        <w:t xml:space="preserve">, avec le soutien de la politique agricole commune, et d’élaborer et mettre en œuvre des politiques et des bonnes pratiques afin de mettre l’accent sur la prévention et de </w:t>
      </w:r>
      <w:r>
        <w:rPr>
          <w:b/>
          <w:noProof/>
        </w:rPr>
        <w:t>renforcer la résilience</w:t>
      </w:r>
      <w:r>
        <w:rPr>
          <w:noProof/>
        </w:rPr>
        <w:t xml:space="preserve"> des travailleurs essentiels, y compris les professionnels de la santé, les enseignants et les agriculteurs. Pour aider les États membres, la Commission veillera à ce que l’EU-OSHA élabore un </w:t>
      </w:r>
      <w:r>
        <w:rPr>
          <w:b/>
          <w:noProof/>
        </w:rPr>
        <w:t>rapport sur les risques psychosociaux dans le secteur agricole</w:t>
      </w:r>
      <w:r>
        <w:rPr>
          <w:noProof/>
        </w:rPr>
        <w:t>.</w:t>
      </w:r>
    </w:p>
    <w:p w14:paraId="2F11726D" w14:textId="52DD411A" w:rsidR="00124971" w:rsidRPr="00DC2002" w:rsidRDefault="00D01BC6" w:rsidP="008A499D">
      <w:pPr>
        <w:jc w:val="both"/>
        <w:rPr>
          <w:rFonts w:cs="Times New Roman"/>
          <w:noProof/>
        </w:rPr>
      </w:pPr>
      <w:r>
        <w:rPr>
          <w:noProof/>
        </w:rPr>
        <w:t>Il est également recommandé aux États membres de promouvoir davantage l’utilisation du guide du CHRIT</w:t>
      </w:r>
      <w:r>
        <w:rPr>
          <w:rStyle w:val="FootnoteReference"/>
          <w:noProof/>
        </w:rPr>
        <w:footnoteReference w:id="99"/>
      </w:r>
      <w:r>
        <w:rPr>
          <w:noProof/>
        </w:rPr>
        <w:t xml:space="preserve"> en ce qui concerne la prévention des risques psychosociaux afin de renforcer le suivi et les contrôles effectifs des obligations en matière de SST à cet égard, ainsi qu’à participer à des actions de formation du CHRIT à l’intention des inspecteurs du travail. </w:t>
      </w:r>
    </w:p>
    <w:p w14:paraId="6FF72533" w14:textId="38DBEB3E" w:rsidR="001A67BD" w:rsidRPr="00DC2002" w:rsidRDefault="00F109FA" w:rsidP="00364CD8">
      <w:pPr>
        <w:pStyle w:val="Heading2"/>
        <w:rPr>
          <w:noProof/>
        </w:rPr>
      </w:pPr>
      <w:bookmarkStart w:id="22" w:name="_Hlk131604648"/>
      <w:r>
        <w:rPr>
          <w:noProof/>
        </w:rPr>
        <w:t>Renforcer les systèmes de santé mentale et améliorer l’accès aux traitements et aux soins</w:t>
      </w:r>
    </w:p>
    <w:bookmarkEnd w:id="22"/>
    <w:p w14:paraId="4FCED198" w14:textId="74A49F5B" w:rsidR="00460BEB" w:rsidRPr="00DC2002" w:rsidRDefault="004A10BA" w:rsidP="005074EC">
      <w:pPr>
        <w:jc w:val="both"/>
        <w:rPr>
          <w:noProof/>
        </w:rPr>
      </w:pPr>
      <w:r>
        <w:rPr>
          <w:noProof/>
        </w:rPr>
        <w:t>Les systèmes de santé doivent renforcer leur capacité à mener des actions en matière de santé mentale, de la prévention à l’intervention précoce, au diagnostic, en passant par les traitements et la gestion des soins et le soutien à la réinsertion des patients. Renforcer les systèmes de santé mentale et améliorer l’accès aux traitements et aux soins est donc un objectif clé.</w:t>
      </w:r>
    </w:p>
    <w:p w14:paraId="3281A1FA" w14:textId="239D77ED" w:rsidR="00D6313D" w:rsidRPr="00DC2002" w:rsidRDefault="008F3BC2" w:rsidP="005074EC">
      <w:pPr>
        <w:jc w:val="both"/>
        <w:rPr>
          <w:noProof/>
        </w:rPr>
      </w:pPr>
      <w:r>
        <w:rPr>
          <w:noProof/>
        </w:rPr>
        <w:t>Le droit de toute personne d’accéder en temps utile à des soins préventifs et curatifs abordables et de qualité est l’un des principes clés du socle européen des droits sociaux. Les personnes souffrant de problèmes de santé mentale dans l’UE n’ont souvent pas un accès aisé et égal à l’aide, ce qui entraîne souvent des coûts qui ne sont pas supportables pour nombre d’entre eux. Il existe des disparités entre les États membres et au sein de ceux-ci en ce qui concerne la capacité des systèmes de santé à répondre aux besoins des personnes souffrant de troubles mentaux</w:t>
      </w:r>
      <w:r>
        <w:rPr>
          <w:rStyle w:val="FootnoteReference"/>
          <w:noProof/>
          <w:lang w:val="en-IE"/>
        </w:rPr>
        <w:footnoteReference w:id="100"/>
      </w:r>
      <w:r>
        <w:rPr>
          <w:noProof/>
        </w:rPr>
        <w:t>. Les inégalités liées au genre, à l’origine ethnique, à la situation géographique, y compris la fracture entre zones urbaines et rurales, à l’éducation, à l’âge et à l’orientation sexuelle, à l’identité ou à l’expression de genre et aux caractéristiques sexuelles ont une incidence importante sur la santé mentale de la population et sur son accès à des soins adéquats.</w:t>
      </w:r>
    </w:p>
    <w:p w14:paraId="59CA416C" w14:textId="0CC4187B" w:rsidR="00FC4B18" w:rsidRPr="00DC2002" w:rsidRDefault="005D1FFA" w:rsidP="005074EC">
      <w:pPr>
        <w:jc w:val="both"/>
        <w:rPr>
          <w:rFonts w:eastAsia="Times New Roman" w:cs="Times New Roman"/>
          <w:noProof/>
          <w:szCs w:val="24"/>
        </w:rPr>
      </w:pPr>
      <w:r>
        <w:rPr>
          <w:noProof/>
        </w:rPr>
        <w:t xml:space="preserve">Il est essentiel de </w:t>
      </w:r>
      <w:r>
        <w:rPr>
          <w:b/>
          <w:noProof/>
        </w:rPr>
        <w:t>recenser les meilleures pratiques et les solutions innovantes</w:t>
      </w:r>
      <w:r>
        <w:rPr>
          <w:noProof/>
        </w:rPr>
        <w:t xml:space="preserve"> pour améliorer la disponibilité, la qualité, l’accessibilité et le caractère abordable des soins de santé mentale. Pour lutter contre les </w:t>
      </w:r>
      <w:r>
        <w:rPr>
          <w:b/>
          <w:noProof/>
        </w:rPr>
        <w:t>inégalités</w:t>
      </w:r>
      <w:r>
        <w:rPr>
          <w:noProof/>
        </w:rPr>
        <w:t>, il convient de fournir des soins sur mesure aux personnes en situation de vulnérabilité, notamment aux personnes déplacées, aux réfugiés, aux migrants, aux personnes handicapées</w:t>
      </w:r>
      <w:r>
        <w:rPr>
          <w:rStyle w:val="normaltextrun"/>
          <w:noProof/>
        </w:rPr>
        <w:t xml:space="preserve"> et aux personnes LGBTIQ</w:t>
      </w:r>
      <w:r>
        <w:rPr>
          <w:noProof/>
        </w:rPr>
        <w:t>.</w:t>
      </w:r>
      <w:r>
        <w:rPr>
          <w:rStyle w:val="eop"/>
          <w:noProof/>
        </w:rPr>
        <w:t xml:space="preserve"> </w:t>
      </w:r>
      <w:r>
        <w:rPr>
          <w:noProof/>
        </w:rPr>
        <w:t>Il convient également d’aborder la question des soins spéciaux dont ont besoin les personnes présentant des comorbidités afin de faciliter l’accès à des traitements efficaces, en particulier les personnes souffrant de troubles liés à la consommation de drogues, conformément à la stratégie anti-drogue de l’UE (2021-2025) et le plan d’action qui s’y rattache.</w:t>
      </w:r>
    </w:p>
    <w:p w14:paraId="39852A00" w14:textId="1BA5245C" w:rsidR="002767AB" w:rsidRPr="00DC2002" w:rsidRDefault="002767AB" w:rsidP="005074EC">
      <w:pPr>
        <w:jc w:val="both"/>
        <w:rPr>
          <w:bCs/>
          <w:i/>
          <w:iCs/>
          <w:noProof/>
        </w:rPr>
      </w:pPr>
      <w:r>
        <w:rPr>
          <w:noProof/>
        </w:rPr>
        <w:t xml:space="preserve">Il sera essentiel de renforcer la </w:t>
      </w:r>
      <w:r>
        <w:rPr>
          <w:b/>
          <w:noProof/>
        </w:rPr>
        <w:t>formation du personnel de santé</w:t>
      </w:r>
      <w:r>
        <w:rPr>
          <w:noProof/>
        </w:rPr>
        <w:t xml:space="preserve"> afin de continuer à améliorer les compétences et la qualité des soins, mais aussi de réduire la stigmatisation et la discrimination et d’accroître la résilience de l’un des segments de la population active les plus soumis à la pression. L’Année européenne des compétences offre aux parties prenantes une occasion unique de renforcer la formation des professionnels dans le domaine de la santé mentale.</w:t>
      </w:r>
    </w:p>
    <w:p w14:paraId="70C5CC38" w14:textId="76767576" w:rsidR="00243AD6" w:rsidRPr="00DC2002" w:rsidRDefault="00B6758E" w:rsidP="005074EC">
      <w:pPr>
        <w:jc w:val="both"/>
        <w:rPr>
          <w:noProof/>
        </w:rPr>
      </w:pPr>
      <w:r>
        <w:rPr>
          <w:noProof/>
        </w:rPr>
        <w:t xml:space="preserve">Il convient d’étudier la possibilité de </w:t>
      </w:r>
      <w:r>
        <w:rPr>
          <w:b/>
          <w:noProof/>
        </w:rPr>
        <w:t>recourir à des outils</w:t>
      </w:r>
      <w:r>
        <w:rPr>
          <w:noProof/>
        </w:rPr>
        <w:t xml:space="preserve"> numériques (par exemple, la télémédecine, les lignes directes de conseil) pour les personnes qui ont besoin de meilleures informations et de meilleurs soins, y compris dans les zones rurales.</w:t>
      </w:r>
    </w:p>
    <w:p w14:paraId="23B4193E" w14:textId="1D40C268" w:rsidR="0099449B" w:rsidRPr="00DC2002" w:rsidRDefault="0EF08F36" w:rsidP="005074EC">
      <w:pPr>
        <w:jc w:val="both"/>
        <w:rPr>
          <w:rFonts w:ascii="Arial" w:eastAsia="Arial" w:hAnsi="Arial" w:cs="Arial"/>
          <w:noProof/>
          <w:color w:val="000000" w:themeColor="text1"/>
          <w:sz w:val="20"/>
          <w:szCs w:val="20"/>
        </w:rPr>
      </w:pPr>
      <w:r>
        <w:rPr>
          <w:noProof/>
        </w:rPr>
        <w:t xml:space="preserve">La </w:t>
      </w:r>
      <w:r>
        <w:rPr>
          <w:b/>
          <w:noProof/>
        </w:rPr>
        <w:t>prescription sociale</w:t>
      </w:r>
      <w:r>
        <w:rPr>
          <w:noProof/>
        </w:rPr>
        <w:t xml:space="preserve"> est une approche innovante pour améliorer le bien-être et la santé, y compris la santé mentale. Au niveau individuel, la prescription sociale donne à une personne les connaissances, la motivation et la confiance nécessaires pour mieux gérer et améliorer sa santé et son bien-être</w:t>
      </w:r>
      <w:r>
        <w:rPr>
          <w:rStyle w:val="FootnoteReference"/>
          <w:noProof/>
          <w:lang w:val="en-IE"/>
        </w:rPr>
        <w:footnoteReference w:id="101"/>
      </w:r>
      <w:r>
        <w:rPr>
          <w:noProof/>
        </w:rPr>
        <w:t xml:space="preserve">. Cette approche peut être appliquée dans le cadre des soins primaires, où les médecins ou d’autres professionnels de la santé peuvent prescrire des activités qui correspondent aux besoins et aux intérêts de la personne, telles que la prise de temps dans la nature, le sport, le yoga ou les activités sociales et culturelles </w:t>
      </w:r>
      <w:r>
        <w:rPr>
          <w:rStyle w:val="FootnoteReference"/>
          <w:noProof/>
          <w:lang w:val="en-IE"/>
        </w:rPr>
        <w:footnoteReference w:id="102"/>
      </w:r>
      <w:r>
        <w:rPr>
          <w:noProof/>
        </w:rPr>
        <w:t xml:space="preserve">. </w:t>
      </w:r>
    </w:p>
    <w:p w14:paraId="1F22837C" w14:textId="274337A6" w:rsidR="000F0E58" w:rsidRDefault="00AD2733" w:rsidP="008A499D">
      <w:pPr>
        <w:spacing w:before="120" w:after="0"/>
        <w:jc w:val="both"/>
        <w:rPr>
          <w:bCs/>
          <w:noProof/>
        </w:rPr>
      </w:pPr>
      <w:bookmarkStart w:id="23" w:name="_Hlk131604727"/>
      <w:bookmarkStart w:id="24" w:name="_Hlk131604943"/>
      <w:r>
        <w:rPr>
          <w:noProof/>
        </w:rPr>
        <w:t xml:space="preserve">La Commission continuera d’élaborer des actions visant à aider les États membres à répondre aux </w:t>
      </w:r>
      <w:r>
        <w:rPr>
          <w:b/>
          <w:noProof/>
        </w:rPr>
        <w:t>besoins non satisfaits en matière de médicaments</w:t>
      </w:r>
      <w:r>
        <w:rPr>
          <w:noProof/>
        </w:rPr>
        <w:t xml:space="preserve"> et examinera le </w:t>
      </w:r>
      <w:r>
        <w:rPr>
          <w:b/>
          <w:noProof/>
        </w:rPr>
        <w:t>potentiel de la télémédecine</w:t>
      </w:r>
      <w:r>
        <w:rPr>
          <w:noProof/>
        </w:rPr>
        <w:t xml:space="preserve"> pour améliorer l’accès aux services de santé mentale</w:t>
      </w:r>
      <w:r>
        <w:rPr>
          <w:rStyle w:val="FootnoteReference"/>
          <w:noProof/>
          <w:lang w:val="en-IE"/>
        </w:rPr>
        <w:footnoteReference w:id="103"/>
      </w:r>
      <w:r>
        <w:rPr>
          <w:noProof/>
        </w:rPr>
        <w:t>.</w:t>
      </w:r>
      <w:r>
        <w:rPr>
          <w:b/>
          <w:noProof/>
        </w:rPr>
        <w:t xml:space="preserve"> </w:t>
      </w:r>
      <w:r>
        <w:rPr>
          <w:noProof/>
        </w:rPr>
        <w:t xml:space="preserve"> Une </w:t>
      </w:r>
      <w:r>
        <w:rPr>
          <w:b/>
          <w:noProof/>
        </w:rPr>
        <w:t>section consacrée à la santé mentale</w:t>
      </w:r>
      <w:r>
        <w:rPr>
          <w:noProof/>
        </w:rPr>
        <w:t xml:space="preserve"> sera incluse dans les </w:t>
      </w:r>
      <w:r>
        <w:rPr>
          <w:b/>
          <w:noProof/>
        </w:rPr>
        <w:t>profils de santé par pays de 2023</w:t>
      </w:r>
      <w:r>
        <w:rPr>
          <w:noProof/>
        </w:rPr>
        <w:t xml:space="preserve">, dans le cadre du projet sur l’état de la santé dans l’UE. En outre, la Commission lancera un processus de collaboration volontaire avec les États membres (au moyen de la </w:t>
      </w:r>
      <w:r>
        <w:rPr>
          <w:b/>
          <w:noProof/>
        </w:rPr>
        <w:t>méthode ouverte de coordination</w:t>
      </w:r>
      <w:r>
        <w:rPr>
          <w:noProof/>
        </w:rPr>
        <w:t xml:space="preserve">) afin de renforcer les liens entre la culture et la santé mentale. Enfin, le </w:t>
      </w:r>
      <w:r>
        <w:rPr>
          <w:b/>
          <w:noProof/>
        </w:rPr>
        <w:t>potentiel des nouvelles technologies</w:t>
      </w:r>
      <w:r>
        <w:rPr>
          <w:noProof/>
        </w:rPr>
        <w:t xml:space="preserve"> pour la prévention et le traitement des maladies mentales sera soumis à l’examen du </w:t>
      </w:r>
      <w:r>
        <w:rPr>
          <w:b/>
          <w:noProof/>
        </w:rPr>
        <w:t>groupe d’experts sur l’évaluation des performances des systèmes de santé</w:t>
      </w:r>
      <w:r>
        <w:rPr>
          <w:rStyle w:val="FootnoteReference"/>
          <w:noProof/>
          <w:lang w:val="en-IE"/>
        </w:rPr>
        <w:footnoteReference w:id="104"/>
      </w:r>
      <w:r>
        <w:rPr>
          <w:noProof/>
        </w:rPr>
        <w:t>.</w:t>
      </w:r>
    </w:p>
    <w:p w14:paraId="26D0F5DF" w14:textId="77777777" w:rsidR="00BB5E4E" w:rsidRPr="006C0ADA" w:rsidRDefault="00BB5E4E" w:rsidP="00703618">
      <w:pPr>
        <w:spacing w:before="120" w:after="0"/>
        <w:jc w:val="both"/>
        <w:rPr>
          <w:bCs/>
          <w:noProof/>
        </w:rPr>
      </w:pPr>
    </w:p>
    <w:p w14:paraId="4DB21872" w14:textId="77777777" w:rsidR="004E2CAB" w:rsidRPr="00DC2002" w:rsidRDefault="004E2CAB" w:rsidP="00703618">
      <w:pPr>
        <w:shd w:val="clear" w:color="auto" w:fill="FFFFFF" w:themeFill="background1"/>
        <w:jc w:val="both"/>
        <w:rPr>
          <w:rFonts w:cs="Times New Roman"/>
          <w:noProof/>
          <w:szCs w:val="24"/>
        </w:rPr>
      </w:pPr>
      <w:r>
        <w:rPr>
          <w:b/>
          <w:noProof/>
        </w:rPr>
        <w:t>La collecte des données et le suivi</w:t>
      </w:r>
      <w:r>
        <w:rPr>
          <w:noProof/>
        </w:rPr>
        <w:t xml:space="preserve"> doivent être renforcés afin de faciliter une prise de décision éclairée. Il y a lieu d’élaborer de nouvelles statistiques et de nouveaux indicateurs et de les intégrer progressivement dans l’élaboration des politiques afin de refléter des questions telles que les inégalités, la santé physique et mentale et la valeur de la nature pour les personnes, et d’évaluer les effets des actions et du financement. Cela permettra de suivre les progrès accomplis sur la voie du bien-être, de faciliter la communication sur les défis politiques et les possibilités de les relever d’une manière centrée sur les personnes et la planète</w:t>
      </w:r>
      <w:r>
        <w:rPr>
          <w:rStyle w:val="FootnoteReference"/>
          <w:rFonts w:cs="Times New Roman"/>
          <w:noProof/>
          <w:szCs w:val="24"/>
        </w:rPr>
        <w:footnoteReference w:id="105"/>
      </w:r>
      <w:r>
        <w:rPr>
          <w:noProof/>
        </w:rPr>
        <w:t xml:space="preserve">. </w:t>
      </w:r>
    </w:p>
    <w:p w14:paraId="6086B8F5" w14:textId="77777777" w:rsidR="00333F41" w:rsidRDefault="004E2CAB" w:rsidP="004E2CAB">
      <w:pPr>
        <w:spacing w:before="120" w:after="0"/>
        <w:jc w:val="both"/>
        <w:rPr>
          <w:rFonts w:cs="Times New Roman"/>
          <w:noProof/>
        </w:rPr>
      </w:pPr>
      <w:r>
        <w:rPr>
          <w:b/>
          <w:noProof/>
        </w:rPr>
        <w:t>Les États membres</w:t>
      </w:r>
      <w:r>
        <w:rPr>
          <w:noProof/>
        </w:rPr>
        <w:t xml:space="preserve"> ont déjà fait état d’un besoin important de soutien dans les domaines de la planification du personnel de santé mentale et/ou du renforcement des capacités, du suivi et de l’évaluation de la politique en matière de santé mentale, ainsi que de la promotion et de la prévention de la santé mentale (graphique 1)</w:t>
      </w:r>
      <w:r>
        <w:rPr>
          <w:rStyle w:val="FootnoteReference"/>
          <w:rFonts w:cs="Times New Roman"/>
          <w:noProof/>
          <w:lang w:val="en-IE"/>
        </w:rPr>
        <w:footnoteReference w:id="106"/>
      </w:r>
      <w:r>
        <w:rPr>
          <w:noProof/>
        </w:rPr>
        <w:t xml:space="preserve">. </w:t>
      </w:r>
    </w:p>
    <w:p w14:paraId="179D75A0" w14:textId="342E2B45" w:rsidR="00CC27B5" w:rsidRPr="006C0ADA" w:rsidRDefault="00CC27B5" w:rsidP="00333F41">
      <w:pPr>
        <w:jc w:val="both"/>
        <w:rPr>
          <w:rFonts w:cs="Times New Roman"/>
          <w:noProof/>
          <w:sz w:val="22"/>
        </w:rPr>
      </w:pPr>
    </w:p>
    <w:p w14:paraId="6A3ECF9A" w14:textId="06AF4979" w:rsidR="002D5CBE" w:rsidRPr="006C0ADA" w:rsidRDefault="002D5CBE" w:rsidP="00333F41">
      <w:pPr>
        <w:jc w:val="both"/>
        <w:rPr>
          <w:rFonts w:cs="Times New Roman"/>
          <w:noProof/>
          <w:sz w:val="22"/>
        </w:rPr>
      </w:pPr>
    </w:p>
    <w:p w14:paraId="0DA26A79" w14:textId="2ADB4A52" w:rsidR="002D5CBE" w:rsidRPr="006C0ADA" w:rsidRDefault="002D5CBE" w:rsidP="00333F41">
      <w:pPr>
        <w:jc w:val="both"/>
        <w:rPr>
          <w:rFonts w:cs="Times New Roman"/>
          <w:noProof/>
          <w:sz w:val="22"/>
        </w:rPr>
      </w:pPr>
    </w:p>
    <w:p w14:paraId="35419857" w14:textId="06702739" w:rsidR="00333F41" w:rsidRPr="00DC2002" w:rsidRDefault="00333F41" w:rsidP="00333F41">
      <w:pPr>
        <w:jc w:val="both"/>
        <w:rPr>
          <w:rFonts w:cs="Times New Roman"/>
          <w:noProof/>
          <w:sz w:val="22"/>
        </w:rPr>
      </w:pPr>
      <w:r>
        <w:rPr>
          <w:noProof/>
          <w:sz w:val="22"/>
        </w:rPr>
        <w:t>Figure 1 – Les besoins prioritaires des États membres en matière de renforcement des capacités (les 27 États membres de l’UE, la Norvège et l’Islande)</w:t>
      </w:r>
    </w:p>
    <w:p w14:paraId="307E08F0" w14:textId="552F00F4" w:rsidR="00333F41" w:rsidRPr="00DC2002" w:rsidRDefault="003C44D5" w:rsidP="00333F41">
      <w:pPr>
        <w:jc w:val="both"/>
        <w:rPr>
          <w:rFonts w:cs="Times New Roman"/>
          <w:noProof/>
        </w:rPr>
      </w:pPr>
      <w:r w:rsidRPr="003C44D5">
        <w:rPr>
          <w:noProof/>
          <w:lang w:val="en-GB" w:eastAsia="en-GB"/>
        </w:rPr>
        <w:drawing>
          <wp:inline distT="0" distB="0" distL="0" distR="0" wp14:anchorId="74B10352" wp14:editId="524D7C46">
            <wp:extent cx="5759450" cy="26554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2655486"/>
                    </a:xfrm>
                    <a:prstGeom prst="rect">
                      <a:avLst/>
                    </a:prstGeom>
                    <a:noFill/>
                    <a:ln>
                      <a:noFill/>
                    </a:ln>
                  </pic:spPr>
                </pic:pic>
              </a:graphicData>
            </a:graphic>
          </wp:inline>
        </w:drawing>
      </w:r>
    </w:p>
    <w:p w14:paraId="0C29C175" w14:textId="77777777" w:rsidR="00333F41" w:rsidRDefault="00333F41" w:rsidP="004E2CAB">
      <w:pPr>
        <w:spacing w:before="120" w:after="0"/>
        <w:jc w:val="both"/>
        <w:rPr>
          <w:rFonts w:cs="Times New Roman"/>
          <w:noProof/>
          <w:lang w:val="en-IE"/>
        </w:rPr>
      </w:pPr>
    </w:p>
    <w:p w14:paraId="34E04E98" w14:textId="163D3C05" w:rsidR="004E2CAB" w:rsidRPr="00DC2002" w:rsidRDefault="004E2CAB" w:rsidP="004E2CAB">
      <w:pPr>
        <w:spacing w:before="120" w:after="0"/>
        <w:jc w:val="both"/>
        <w:rPr>
          <w:rFonts w:cs="Times New Roman"/>
          <w:noProof/>
        </w:rPr>
      </w:pPr>
      <w:r>
        <w:rPr>
          <w:noProof/>
        </w:rPr>
        <w:t>Pour répondre à ces besoins, un soutien financier au niveau de l’UE sera mobilisé pour permettre aux États membres de renforcer leur capacité d’action notamment en prévoyant davantage de professionnels et mieux formés pour faire face aux problèmes de santé mentale. Cela demandera également de passer d’une prise en charge institutionnalisée à une prise en charge de proximité.</w:t>
      </w:r>
    </w:p>
    <w:p w14:paraId="2F61B83A" w14:textId="58BAB032" w:rsidR="00717996" w:rsidRPr="00DC2002" w:rsidRDefault="00717996" w:rsidP="004E2CAB">
      <w:pPr>
        <w:spacing w:before="120" w:after="0"/>
        <w:jc w:val="both"/>
        <w:rPr>
          <w:noProof/>
        </w:rPr>
      </w:pPr>
      <w:r>
        <w:rPr>
          <w:noProof/>
        </w:rPr>
        <w:t xml:space="preserve">Plusieurs États membres ont inclus dans leurs </w:t>
      </w:r>
      <w:r>
        <w:rPr>
          <w:b/>
          <w:noProof/>
        </w:rPr>
        <w:t>plans pour la reprise et la résilience</w:t>
      </w:r>
      <w:r>
        <w:rPr>
          <w:noProof/>
        </w:rPr>
        <w:t xml:space="preserve"> des mesures visant à renforcer les soins de santé mentale pour leur population. Cela est conforme aux </w:t>
      </w:r>
      <w:r>
        <w:rPr>
          <w:b/>
          <w:noProof/>
        </w:rPr>
        <w:t>recommandations par pays</w:t>
      </w:r>
      <w:r>
        <w:rPr>
          <w:noProof/>
        </w:rPr>
        <w:t xml:space="preserve"> adoptées dans le cadre du </w:t>
      </w:r>
      <w:r>
        <w:rPr>
          <w:b/>
          <w:noProof/>
        </w:rPr>
        <w:t>Semestre européen</w:t>
      </w:r>
      <w:r>
        <w:rPr>
          <w:noProof/>
        </w:rPr>
        <w:t xml:space="preserve"> 2020 invitant tous les États membres à renforcer la résilience de leurs systèmes de santé.</w:t>
      </w:r>
      <w:r>
        <w:rPr>
          <w:noProof/>
        </w:rPr>
        <w:cr/>
      </w:r>
      <w:r>
        <w:rPr>
          <w:noProof/>
        </w:rPr>
        <w:br/>
        <w:t xml:space="preserve"> Au printemps 2023, la Commission a proposé des recommandations par pays en faveur d’une réforme des soins de santé pour six États membres. Les rapports par pays concernant six États membres supplémentaires ont reconnu la nécessité d’améliorer encore le système de soins de santé afin de compléter les plans pour la reprise et la résilience. En outre, tous les rapports par pays adoptés dans le cadre du Semestre européen contiennent une section thématique couvrant la santé de la population et les systèmes de santé dans les États membres, soulignant dans certains cas les problèmes de santé mentale et les réformes prévues. Le Semestre européen continuera de suivre l’évolution en matière de soins de santé au niveau national. </w:t>
      </w:r>
    </w:p>
    <w:bookmarkEnd w:id="23"/>
    <w:p w14:paraId="15F9475F" w14:textId="77777777" w:rsidR="005830F3" w:rsidRPr="006C0ADA" w:rsidRDefault="005830F3" w:rsidP="005074EC">
      <w:pPr>
        <w:spacing w:before="120" w:after="0"/>
        <w:jc w:val="both"/>
        <w:rPr>
          <w:noProof/>
        </w:rPr>
      </w:pPr>
    </w:p>
    <w:tbl>
      <w:tblPr>
        <w:tblStyle w:val="TableGrid"/>
        <w:tblW w:w="0" w:type="auto"/>
        <w:tblInd w:w="0" w:type="dxa"/>
        <w:tblLook w:val="04A0" w:firstRow="1" w:lastRow="0" w:firstColumn="1" w:lastColumn="0" w:noHBand="0" w:noVBand="1"/>
      </w:tblPr>
      <w:tblGrid>
        <w:gridCol w:w="9286"/>
      </w:tblGrid>
      <w:tr w:rsidR="00A747C2" w:rsidRPr="00DC2002" w14:paraId="2EF9FF63" w14:textId="77777777" w:rsidTr="36C0208D">
        <w:tc>
          <w:tcPr>
            <w:tcW w:w="9286" w:type="dxa"/>
          </w:tcPr>
          <w:p w14:paraId="1469A2B7" w14:textId="0979A105" w:rsidR="00A747C2" w:rsidRPr="00364CD8" w:rsidRDefault="00A747C2" w:rsidP="006369FA">
            <w:pPr>
              <w:pBdr>
                <w:bottom w:val="single" w:sz="4" w:space="1" w:color="auto"/>
              </w:pBdr>
              <w:shd w:val="clear" w:color="auto" w:fill="FFFFFF" w:themeFill="background1"/>
              <w:jc w:val="both"/>
              <w:rPr>
                <w:b/>
                <w:noProof/>
                <w:sz w:val="24"/>
                <w:szCs w:val="24"/>
              </w:rPr>
            </w:pPr>
            <w:r>
              <w:rPr>
                <w:b/>
                <w:noProof/>
              </w:rPr>
              <w:t>INITIATIVES PHARES</w:t>
            </w:r>
          </w:p>
          <w:p w14:paraId="30464576" w14:textId="77777777" w:rsidR="005D2F29" w:rsidRPr="006C0ADA" w:rsidRDefault="005D2F29" w:rsidP="006369FA">
            <w:pPr>
              <w:shd w:val="clear" w:color="auto" w:fill="FFFFFF" w:themeFill="background1"/>
              <w:jc w:val="both"/>
              <w:rPr>
                <w:b/>
                <w:smallCaps/>
                <w:noProof/>
                <w:sz w:val="24"/>
                <w:szCs w:val="24"/>
              </w:rPr>
            </w:pPr>
          </w:p>
          <w:p w14:paraId="02CAA0AA" w14:textId="1F29FFF1" w:rsidR="005D2F29" w:rsidRPr="00DC2002" w:rsidDel="0021243B" w:rsidRDefault="005D2F29" w:rsidP="005D2F29">
            <w:pPr>
              <w:jc w:val="both"/>
              <w:rPr>
                <w:noProof/>
                <w:sz w:val="24"/>
                <w:szCs w:val="24"/>
              </w:rPr>
            </w:pPr>
            <w:r>
              <w:rPr>
                <w:b/>
                <w:smallCaps/>
                <w:noProof/>
                <w:sz w:val="24"/>
              </w:rPr>
              <w:t>15. Initiative en faveur de l’augmentation du nombre de professionnels et d’une meilleure formation dans l’UE</w:t>
            </w:r>
          </w:p>
          <w:p w14:paraId="3282387B" w14:textId="77777777" w:rsidR="005D2F29" w:rsidRPr="00DC2002" w:rsidRDefault="005D2F29" w:rsidP="005D2F29">
            <w:pPr>
              <w:pStyle w:val="ListParagraph"/>
              <w:numPr>
                <w:ilvl w:val="0"/>
                <w:numId w:val="41"/>
              </w:numPr>
              <w:spacing w:before="120" w:after="0" w:line="240" w:lineRule="auto"/>
              <w:ind w:left="714" w:hanging="357"/>
              <w:jc w:val="both"/>
              <w:rPr>
                <w:rStyle w:val="normaltextrun"/>
                <w:noProof/>
                <w:sz w:val="24"/>
                <w:szCs w:val="24"/>
              </w:rPr>
            </w:pPr>
            <w:r>
              <w:rPr>
                <w:noProof/>
                <w:sz w:val="24"/>
              </w:rPr>
              <w:t xml:space="preserve">À partir de 2023, la Commission renforcera la </w:t>
            </w:r>
            <w:r>
              <w:rPr>
                <w:b/>
                <w:noProof/>
                <w:sz w:val="24"/>
              </w:rPr>
              <w:t>formation</w:t>
            </w:r>
            <w:r>
              <w:rPr>
                <w:noProof/>
                <w:sz w:val="24"/>
              </w:rPr>
              <w:t xml:space="preserve"> des professionnels de la santé et d’autres professionnels,</w:t>
            </w:r>
            <w:r>
              <w:rPr>
                <w:rStyle w:val="normaltextrun"/>
                <w:noProof/>
                <w:sz w:val="24"/>
              </w:rPr>
              <w:t xml:space="preserve"> tels que les enseignants et les travailleurs sociaux. </w:t>
            </w:r>
            <w:r>
              <w:rPr>
                <w:rStyle w:val="normaltextrun"/>
                <w:noProof/>
              </w:rPr>
              <w:t>Un nouveau programme d’échanges transfrontières pour les professionnels de la santé mentale</w:t>
            </w:r>
            <w:r>
              <w:rPr>
                <w:noProof/>
              </w:rPr>
              <w:t xml:space="preserve"> sera </w:t>
            </w:r>
            <w:r>
              <w:rPr>
                <w:rStyle w:val="normaltextrun"/>
                <w:noProof/>
              </w:rPr>
              <w:t xml:space="preserve">également </w:t>
            </w:r>
            <w:r>
              <w:rPr>
                <w:rStyle w:val="normaltextrun"/>
                <w:noProof/>
                <w:sz w:val="24"/>
              </w:rPr>
              <w:t xml:space="preserve">lancé grâce à un soutien financier spécifique au titre du programme «L’UE pour la santé» (9 millions d’EUR). Il devrait permettre de former environ 2000 professionnels dans l’ensemble de l’UE d’ici à 2026 et, en moyenne, 100 échanges par an. </w:t>
            </w:r>
          </w:p>
          <w:p w14:paraId="48146666" w14:textId="77777777" w:rsidR="005D2F29" w:rsidRPr="0025338B" w:rsidRDefault="005D2F29" w:rsidP="006369FA">
            <w:pPr>
              <w:shd w:val="clear" w:color="auto" w:fill="FFFFFF" w:themeFill="background1"/>
              <w:jc w:val="both"/>
              <w:rPr>
                <w:b/>
                <w:smallCaps/>
                <w:noProof/>
                <w:sz w:val="24"/>
                <w:szCs w:val="24"/>
              </w:rPr>
            </w:pPr>
          </w:p>
          <w:p w14:paraId="3393F1DD" w14:textId="649CDF97" w:rsidR="00A747C2" w:rsidRPr="00DC2002" w:rsidRDefault="00653FF3" w:rsidP="006369FA">
            <w:pPr>
              <w:shd w:val="clear" w:color="auto" w:fill="FFFFFF" w:themeFill="background1"/>
              <w:jc w:val="both"/>
              <w:rPr>
                <w:b/>
                <w:smallCaps/>
                <w:noProof/>
                <w:sz w:val="24"/>
                <w:szCs w:val="24"/>
              </w:rPr>
            </w:pPr>
            <w:r>
              <w:rPr>
                <w:b/>
                <w:smallCaps/>
                <w:noProof/>
                <w:sz w:val="24"/>
              </w:rPr>
              <w:t>16. Appui technique aux réformes dans le domaine de la santé mentale dans plusieurs secteurs</w:t>
            </w:r>
          </w:p>
          <w:p w14:paraId="673E19CB" w14:textId="3060B8F1" w:rsidR="00112425" w:rsidRPr="00DC2002" w:rsidRDefault="00A747C2" w:rsidP="006369FA">
            <w:pPr>
              <w:shd w:val="clear" w:color="auto" w:fill="FFFFFF" w:themeFill="background1"/>
              <w:spacing w:before="120"/>
              <w:jc w:val="both"/>
              <w:rPr>
                <w:bCs/>
                <w:noProof/>
                <w:sz w:val="24"/>
                <w:szCs w:val="24"/>
              </w:rPr>
            </w:pPr>
            <w:r>
              <w:rPr>
                <w:noProof/>
                <w:sz w:val="24"/>
              </w:rPr>
              <w:t>La Commission entend:</w:t>
            </w:r>
          </w:p>
          <w:p w14:paraId="47721ADA" w14:textId="311E6A33" w:rsidR="00C11FB4" w:rsidRPr="00DC2002" w:rsidRDefault="005830F3" w:rsidP="00174B37">
            <w:pPr>
              <w:pStyle w:val="ListParagraph"/>
              <w:numPr>
                <w:ilvl w:val="0"/>
                <w:numId w:val="40"/>
              </w:numPr>
              <w:shd w:val="clear" w:color="auto" w:fill="FFFFFF" w:themeFill="background1"/>
              <w:spacing w:before="120" w:after="0" w:line="276" w:lineRule="auto"/>
              <w:jc w:val="both"/>
              <w:rPr>
                <w:noProof/>
              </w:rPr>
            </w:pPr>
            <w:r>
              <w:rPr>
                <w:noProof/>
                <w:sz w:val="24"/>
              </w:rPr>
              <w:t xml:space="preserve">En 2024, accroître la disponibilité et le caractère abordable des services de santé mentale pour les personnes en offrant, sur demande, une </w:t>
            </w:r>
            <w:r>
              <w:rPr>
                <w:b/>
                <w:noProof/>
                <w:sz w:val="24"/>
              </w:rPr>
              <w:t>assistance technique</w:t>
            </w:r>
            <w:r>
              <w:rPr>
                <w:noProof/>
                <w:sz w:val="24"/>
              </w:rPr>
              <w:t xml:space="preserve"> aux États membres pour concevoir et mettre en œuvre des réformes afin d’augmenter la disponibilité de services intersectoriels intégrés de santé mentale au moyen de l’instrument d’appui technique</w:t>
            </w:r>
            <w:r>
              <w:rPr>
                <w:rStyle w:val="FootnoteReference"/>
                <w:noProof/>
                <w:sz w:val="24"/>
                <w:szCs w:val="24"/>
                <w:lang w:val="en-IE"/>
              </w:rPr>
              <w:footnoteReference w:id="107"/>
            </w:r>
            <w:r>
              <w:rPr>
                <w:noProof/>
                <w:sz w:val="24"/>
              </w:rPr>
              <w:t>.</w:t>
            </w:r>
          </w:p>
          <w:p w14:paraId="05908448" w14:textId="469D85B5" w:rsidR="004E2CAB" w:rsidRPr="006C0ADA" w:rsidRDefault="004E2CAB" w:rsidP="004E2CAB">
            <w:pPr>
              <w:shd w:val="clear" w:color="auto" w:fill="FFFFFF" w:themeFill="background1"/>
              <w:spacing w:before="120" w:line="276" w:lineRule="auto"/>
              <w:jc w:val="both"/>
              <w:rPr>
                <w:noProof/>
              </w:rPr>
            </w:pPr>
          </w:p>
          <w:p w14:paraId="5C2F7CEB" w14:textId="1A2CBA22" w:rsidR="004E2CAB" w:rsidRPr="00DC2002" w:rsidRDefault="004E2CAB" w:rsidP="004E2CAB">
            <w:pPr>
              <w:jc w:val="both"/>
              <w:rPr>
                <w:b/>
                <w:smallCaps/>
                <w:noProof/>
                <w:sz w:val="24"/>
                <w:szCs w:val="24"/>
              </w:rPr>
            </w:pPr>
            <w:r>
              <w:rPr>
                <w:b/>
                <w:smallCaps/>
                <w:noProof/>
                <w:sz w:val="24"/>
              </w:rPr>
              <w:t>17. Collecte de données sur la santé mentale</w:t>
            </w:r>
          </w:p>
          <w:p w14:paraId="241F5C0E" w14:textId="76DD0097" w:rsidR="004E2CAB" w:rsidRPr="00DC2002" w:rsidRDefault="004E2CAB" w:rsidP="00986444">
            <w:pPr>
              <w:pStyle w:val="ListParagraph"/>
              <w:numPr>
                <w:ilvl w:val="0"/>
                <w:numId w:val="40"/>
              </w:numPr>
              <w:shd w:val="clear" w:color="auto" w:fill="FFFFFF" w:themeFill="background1"/>
              <w:spacing w:before="120" w:after="0" w:line="276" w:lineRule="auto"/>
              <w:jc w:val="both"/>
              <w:rPr>
                <w:noProof/>
                <w:sz w:val="24"/>
                <w:szCs w:val="24"/>
              </w:rPr>
            </w:pPr>
            <w:r>
              <w:rPr>
                <w:noProof/>
                <w:sz w:val="24"/>
              </w:rPr>
              <w:t>À partir de 2025, la Commission veillera à ce que l’enquête de santé européenne par interview comprenne des données supplémentaires sur la santé mentale afin de garantir un suivi et une évaluation rigoureux des progrès réalisés en matière de santé mentale dans l’ensemble de l’UE.</w:t>
            </w:r>
          </w:p>
          <w:p w14:paraId="1BB5F80E" w14:textId="68FBF1F0" w:rsidR="003D74EC" w:rsidRPr="006C0ADA" w:rsidRDefault="003D74EC" w:rsidP="006369FA">
            <w:pPr>
              <w:pStyle w:val="ListParagraph"/>
              <w:shd w:val="clear" w:color="auto" w:fill="FFFFFF" w:themeFill="background1"/>
              <w:spacing w:after="0" w:line="240" w:lineRule="auto"/>
              <w:jc w:val="both"/>
              <w:rPr>
                <w:noProof/>
              </w:rPr>
            </w:pPr>
          </w:p>
        </w:tc>
      </w:tr>
    </w:tbl>
    <w:p w14:paraId="6CADF2A6" w14:textId="77777777" w:rsidR="00A747C2" w:rsidRPr="006C0ADA" w:rsidRDefault="00A747C2" w:rsidP="006369FA">
      <w:pPr>
        <w:spacing w:before="120" w:after="0"/>
        <w:jc w:val="both"/>
        <w:rPr>
          <w:noProof/>
        </w:rPr>
      </w:pPr>
    </w:p>
    <w:p w14:paraId="4B48DE6C" w14:textId="10297DEB" w:rsidR="00653FF3" w:rsidRPr="00DC2002" w:rsidRDefault="00653FF3" w:rsidP="008A499D">
      <w:pPr>
        <w:jc w:val="both"/>
        <w:rPr>
          <w:bCs/>
          <w:noProof/>
        </w:rPr>
      </w:pPr>
      <w:r>
        <w:rPr>
          <w:noProof/>
        </w:rPr>
        <w:t xml:space="preserve">La Commission recommande aux États membres de garantir l’accès à des soins de santé mentale abordables, y compris au moyen de la télémédecine et dans un contexte transfrontière. Les autorités nationales devraient collaborer à l’élaboration et à la mise en œuvre de projets visant à améliorer les services de santé mentale et les </w:t>
      </w:r>
      <w:r>
        <w:rPr>
          <w:b/>
          <w:noProof/>
        </w:rPr>
        <w:t>soins de proximité</w:t>
      </w:r>
      <w:r>
        <w:rPr>
          <w:noProof/>
        </w:rPr>
        <w:t xml:space="preserve">, et à la </w:t>
      </w:r>
      <w:r>
        <w:rPr>
          <w:b/>
          <w:noProof/>
        </w:rPr>
        <w:t>désinstitutionalisation</w:t>
      </w:r>
      <w:r>
        <w:rPr>
          <w:rStyle w:val="FootnoteReference"/>
          <w:b/>
          <w:noProof/>
          <w:lang w:val="en-IE"/>
        </w:rPr>
        <w:footnoteReference w:id="108"/>
      </w:r>
      <w:r>
        <w:rPr>
          <w:noProof/>
        </w:rPr>
        <w:t xml:space="preserve">; elles sont invitées à développer des parcours d’orientation vers les professionnels de la santé mentale, en tenant également compte du travail d’autres prestataires de services. </w:t>
      </w:r>
    </w:p>
    <w:bookmarkEnd w:id="24"/>
    <w:p w14:paraId="0D31E169" w14:textId="15F1C481" w:rsidR="00893590" w:rsidRPr="00DC2002" w:rsidRDefault="002A6FDF" w:rsidP="00364CD8">
      <w:pPr>
        <w:pStyle w:val="Heading2"/>
        <w:rPr>
          <w:noProof/>
        </w:rPr>
      </w:pPr>
      <w:r>
        <w:rPr>
          <w:noProof/>
        </w:rPr>
        <w:t>Briser la stigmatisation</w:t>
      </w:r>
    </w:p>
    <w:p w14:paraId="3E45839E" w14:textId="3CE54809" w:rsidR="00653FF3" w:rsidRPr="00DC2002" w:rsidRDefault="070494B0" w:rsidP="005074EC">
      <w:pPr>
        <w:jc w:val="both"/>
        <w:rPr>
          <w:rFonts w:cs="Times New Roman"/>
          <w:noProof/>
        </w:rPr>
      </w:pPr>
      <w:r>
        <w:rPr>
          <w:b/>
          <w:noProof/>
        </w:rPr>
        <w:t>La stigmatisation et la discrimination</w:t>
      </w:r>
      <w:r>
        <w:rPr>
          <w:noProof/>
        </w:rPr>
        <w:t xml:space="preserve"> aggravent les conséquences des problèmes de santé mentale d’un point de vue personnel et aussi économique. La discrimination à l’égard des personnes souffrant de problèmes de santé mentale est courante, en particulier dans les médias sociaux, mais aussi sur les lieux de travail, 50 % des travailleurs estimant que la divulgation de l’existence d’un problème de santé mentale aurait une incidence négative sur leur carrière</w:t>
      </w:r>
      <w:r>
        <w:rPr>
          <w:rStyle w:val="FootnoteReference"/>
          <w:rFonts w:cs="Times New Roman"/>
          <w:noProof/>
          <w:lang w:val="en-IE"/>
        </w:rPr>
        <w:footnoteReference w:id="109"/>
      </w:r>
      <w:r>
        <w:rPr>
          <w:noProof/>
        </w:rPr>
        <w:t>.</w:t>
      </w:r>
    </w:p>
    <w:p w14:paraId="68787AB9" w14:textId="5751957C" w:rsidR="005147E5" w:rsidRPr="00DC2002" w:rsidRDefault="00653FF3" w:rsidP="005074EC">
      <w:pPr>
        <w:jc w:val="both"/>
        <w:rPr>
          <w:noProof/>
        </w:rPr>
      </w:pPr>
      <w:r>
        <w:rPr>
          <w:noProof/>
        </w:rPr>
        <w:t>Les principes de réinsertion et d’inclusion sociale des personnes souffrant de problèmes de santé mentale doivent guider notre action. Il est essentiel d’investir dans l’</w:t>
      </w:r>
      <w:r>
        <w:rPr>
          <w:b/>
          <w:noProof/>
        </w:rPr>
        <w:t>amélioration de la connaissance et de la compréhension de la santé mentale</w:t>
      </w:r>
      <w:r>
        <w:rPr>
          <w:noProof/>
        </w:rPr>
        <w:t>, y compris la santé mentale et la formation à l’empathie dans les programmes scolaires, avec la participation de toutes les parties prenantes.</w:t>
      </w:r>
    </w:p>
    <w:p w14:paraId="580EA19B" w14:textId="43A4EA11" w:rsidR="001134D9" w:rsidRPr="00DC2002" w:rsidRDefault="00D81932" w:rsidP="005074EC">
      <w:pPr>
        <w:jc w:val="both"/>
        <w:rPr>
          <w:b/>
          <w:bCs/>
          <w:noProof/>
        </w:rPr>
      </w:pPr>
      <w:r>
        <w:rPr>
          <w:noProof/>
        </w:rPr>
        <w:t>La Semaine européenne de la santé mentale (qui se tient en mai) et la Journée mondiale de la santé mentale</w:t>
      </w:r>
      <w:r>
        <w:rPr>
          <w:rStyle w:val="FootnoteReference"/>
          <w:noProof/>
          <w:lang w:val="en-IE"/>
        </w:rPr>
        <w:footnoteReference w:id="110"/>
      </w:r>
      <w:r>
        <w:rPr>
          <w:noProof/>
        </w:rPr>
        <w:t xml:space="preserve"> (10 octobre) sont l’occasion de lutter spécifiquement contre la stigmatisation au niveau de l’UE. </w:t>
      </w:r>
    </w:p>
    <w:p w14:paraId="726E39EA" w14:textId="770C50CB" w:rsidR="00F32C87" w:rsidRPr="00DC2002" w:rsidRDefault="00382753" w:rsidP="005074EC">
      <w:pPr>
        <w:jc w:val="both"/>
        <w:rPr>
          <w:noProof/>
        </w:rPr>
      </w:pPr>
      <w:r>
        <w:rPr>
          <w:b/>
          <w:noProof/>
        </w:rPr>
        <w:t>Les arts et la culture</w:t>
      </w:r>
      <w:r>
        <w:rPr>
          <w:noProof/>
        </w:rPr>
        <w:t xml:space="preserve"> sont importants pour promouvoir la bonne santé mentale et le bien-être des individus et de la société en général en soutenant l’inclusion sociale et en réduisant la stigmatisation liée à la santé mentale</w:t>
      </w:r>
      <w:r>
        <w:rPr>
          <w:rStyle w:val="FootnoteReference"/>
          <w:noProof/>
          <w:lang w:val="en-IE"/>
        </w:rPr>
        <w:footnoteReference w:id="111"/>
      </w:r>
      <w:r>
        <w:rPr>
          <w:noProof/>
        </w:rPr>
        <w:t xml:space="preserve">. Ils peuvent compléter le soutien plus traditionnel aux problèmes de santé mentale et contribuer à prévenir les problèmes de santé mentale et à lutter contre la stigmatisation liée à la santé mentale. La Commission aidera les États membres à sensibiliser au rôle positif des activités culturelles et artistiques dans l’amélioration de la santé mentale et du bien-être général, par exemple au moyen d’un événement spécifique présentant </w:t>
      </w:r>
      <w:r>
        <w:rPr>
          <w:b/>
          <w:noProof/>
        </w:rPr>
        <w:t>les arts et la culture</w:t>
      </w:r>
      <w:r>
        <w:rPr>
          <w:noProof/>
        </w:rPr>
        <w:t xml:space="preserve"> comme de nouveaux instruments de bien-être et de santé mentale.</w:t>
      </w:r>
    </w:p>
    <w:tbl>
      <w:tblPr>
        <w:tblStyle w:val="TableGrid"/>
        <w:tblW w:w="0" w:type="auto"/>
        <w:tblInd w:w="0" w:type="dxa"/>
        <w:tblLook w:val="04A0" w:firstRow="1" w:lastRow="0" w:firstColumn="1" w:lastColumn="0" w:noHBand="0" w:noVBand="1"/>
      </w:tblPr>
      <w:tblGrid>
        <w:gridCol w:w="9286"/>
      </w:tblGrid>
      <w:tr w:rsidR="00C41198" w:rsidRPr="00DC2002" w14:paraId="344318E0" w14:textId="77777777" w:rsidTr="003F4428">
        <w:trPr>
          <w:tblHeader/>
        </w:trPr>
        <w:tc>
          <w:tcPr>
            <w:tcW w:w="9286" w:type="dxa"/>
          </w:tcPr>
          <w:p w14:paraId="596422D5" w14:textId="2C9D175C" w:rsidR="00C41198" w:rsidRPr="00364CD8" w:rsidRDefault="00C41198" w:rsidP="005074EC">
            <w:pPr>
              <w:pBdr>
                <w:bottom w:val="single" w:sz="4" w:space="1" w:color="auto"/>
              </w:pBdr>
              <w:shd w:val="clear" w:color="auto" w:fill="FFFFFF" w:themeFill="background1"/>
              <w:jc w:val="both"/>
              <w:rPr>
                <w:b/>
                <w:noProof/>
                <w:sz w:val="24"/>
                <w:szCs w:val="24"/>
              </w:rPr>
            </w:pPr>
            <w:r>
              <w:rPr>
                <w:b/>
                <w:noProof/>
              </w:rPr>
              <w:t>INITIATIVES PHARES</w:t>
            </w:r>
          </w:p>
          <w:p w14:paraId="50AEB1E2" w14:textId="146BA0AF" w:rsidR="00C20D18" w:rsidRPr="00DC2002" w:rsidRDefault="00F95D3F" w:rsidP="005074EC">
            <w:pPr>
              <w:shd w:val="clear" w:color="auto" w:fill="FFFFFF" w:themeFill="background1"/>
              <w:jc w:val="both"/>
              <w:rPr>
                <w:noProof/>
              </w:rPr>
            </w:pPr>
            <w:r>
              <w:rPr>
                <w:noProof/>
              </w:rPr>
              <w:t xml:space="preserve"> </w:t>
            </w:r>
          </w:p>
          <w:p w14:paraId="52BC11F7" w14:textId="3FBA399D" w:rsidR="00F95D3F" w:rsidRPr="00DC2002" w:rsidRDefault="00986444" w:rsidP="005074EC">
            <w:pPr>
              <w:shd w:val="clear" w:color="auto" w:fill="FFFFFF" w:themeFill="background1"/>
              <w:jc w:val="both"/>
              <w:rPr>
                <w:b/>
                <w:smallCaps/>
                <w:noProof/>
                <w:sz w:val="24"/>
                <w:szCs w:val="24"/>
              </w:rPr>
            </w:pPr>
            <w:r>
              <w:rPr>
                <w:b/>
                <w:smallCaps/>
                <w:noProof/>
                <w:sz w:val="24"/>
              </w:rPr>
              <w:t>18. Lutter contre la stigmatisation et la discrimination</w:t>
            </w:r>
          </w:p>
          <w:p w14:paraId="4BDDB715" w14:textId="1B626715" w:rsidR="00F9019F" w:rsidRPr="00DC2002" w:rsidRDefault="00F9019F" w:rsidP="00F37464">
            <w:pPr>
              <w:shd w:val="clear" w:color="auto" w:fill="FFFFFF" w:themeFill="background1"/>
              <w:spacing w:before="120" w:after="120" w:line="276" w:lineRule="auto"/>
              <w:jc w:val="both"/>
              <w:rPr>
                <w:noProof/>
                <w:sz w:val="24"/>
                <w:szCs w:val="24"/>
              </w:rPr>
            </w:pPr>
            <w:r>
              <w:rPr>
                <w:noProof/>
                <w:sz w:val="24"/>
              </w:rPr>
              <w:t>La Commission allouera un montant de 18 millions d’EUR pour</w:t>
            </w:r>
            <w:r>
              <w:rPr>
                <w:rStyle w:val="FootnoteReference"/>
                <w:noProof/>
                <w:sz w:val="24"/>
                <w:szCs w:val="24"/>
                <w:lang w:val="en-IE"/>
              </w:rPr>
              <w:footnoteReference w:id="112"/>
            </w:r>
            <w:r>
              <w:rPr>
                <w:noProof/>
                <w:sz w:val="24"/>
              </w:rPr>
              <w:t>:</w:t>
            </w:r>
          </w:p>
          <w:p w14:paraId="6054007C" w14:textId="1BB53FAB" w:rsidR="00C20D18" w:rsidRPr="00DC2002" w:rsidRDefault="00E456ED" w:rsidP="00C20151">
            <w:pPr>
              <w:pStyle w:val="ListParagraph"/>
              <w:numPr>
                <w:ilvl w:val="0"/>
                <w:numId w:val="94"/>
              </w:numPr>
              <w:shd w:val="clear" w:color="auto" w:fill="FFFFFF" w:themeFill="background1"/>
              <w:spacing w:after="0" w:line="276" w:lineRule="auto"/>
              <w:jc w:val="both"/>
              <w:rPr>
                <w:noProof/>
                <w:sz w:val="24"/>
                <w:szCs w:val="24"/>
              </w:rPr>
            </w:pPr>
            <w:r>
              <w:rPr>
                <w:noProof/>
                <w:sz w:val="24"/>
              </w:rPr>
              <w:t xml:space="preserve"> </w:t>
            </w:r>
            <w:r>
              <w:rPr>
                <w:noProof/>
              </w:rPr>
              <w:t>améliorer la qualité de vie des patients, de leurs familles et des aidants professionnels ou non, y compris les patients atteints d’un cancer, en mettant particulièrement l’</w:t>
            </w:r>
            <w:r>
              <w:rPr>
                <w:b/>
                <w:noProof/>
              </w:rPr>
              <w:t>accent sur la lutte contre la stigmatisation et la discrimination</w:t>
            </w:r>
            <w:r>
              <w:rPr>
                <w:noProof/>
              </w:rPr>
              <w:t xml:space="preserve"> en aidant les États membres à </w:t>
            </w:r>
            <w:r>
              <w:rPr>
                <w:b/>
                <w:noProof/>
              </w:rPr>
              <w:t>recenser et à mettre en œuvre les meilleures pratiques</w:t>
            </w:r>
            <w:r>
              <w:rPr>
                <w:noProof/>
              </w:rPr>
              <w:t>;</w:t>
            </w:r>
          </w:p>
          <w:p w14:paraId="25CE1089" w14:textId="1415B37F" w:rsidR="006733C3" w:rsidRPr="00DC2002" w:rsidRDefault="006C095B" w:rsidP="00C20151">
            <w:pPr>
              <w:pStyle w:val="ListParagraph"/>
              <w:numPr>
                <w:ilvl w:val="0"/>
                <w:numId w:val="94"/>
              </w:numPr>
              <w:shd w:val="clear" w:color="auto" w:fill="FFFFFF" w:themeFill="background1"/>
              <w:spacing w:after="0" w:line="276" w:lineRule="auto"/>
              <w:jc w:val="both"/>
              <w:rPr>
                <w:noProof/>
                <w:sz w:val="24"/>
                <w:szCs w:val="24"/>
              </w:rPr>
            </w:pPr>
            <w:r>
              <w:rPr>
                <w:noProof/>
                <w:sz w:val="24"/>
              </w:rPr>
              <w:t xml:space="preserve">dans le cadre du même objectif, il aidera les parties prenantes à mettre en œuvre des projets, tels que des </w:t>
            </w:r>
            <w:r>
              <w:rPr>
                <w:b/>
                <w:noProof/>
                <w:sz w:val="24"/>
              </w:rPr>
              <w:t>activités de sensibilisation</w:t>
            </w:r>
            <w:r>
              <w:rPr>
                <w:noProof/>
                <w:sz w:val="24"/>
              </w:rPr>
              <w:t xml:space="preserve"> visant à briser la stigmatisation et à lutter contre la discrimination, à garantir l’</w:t>
            </w:r>
            <w:r>
              <w:rPr>
                <w:b/>
                <w:noProof/>
                <w:sz w:val="24"/>
              </w:rPr>
              <w:t>inclusion sociale</w:t>
            </w:r>
            <w:r>
              <w:rPr>
                <w:noProof/>
                <w:sz w:val="24"/>
              </w:rPr>
              <w:t xml:space="preserve">, à </w:t>
            </w:r>
            <w:r>
              <w:rPr>
                <w:b/>
                <w:noProof/>
                <w:sz w:val="24"/>
              </w:rPr>
              <w:t>protéger les droits des patients</w:t>
            </w:r>
            <w:r>
              <w:rPr>
                <w:noProof/>
                <w:sz w:val="24"/>
              </w:rPr>
              <w:t xml:space="preserve">, en mettant l’accent sur les groupes vulnérables; </w:t>
            </w:r>
          </w:p>
          <w:p w14:paraId="611ECD8F" w14:textId="59129AEC" w:rsidR="00AC5CB7" w:rsidRPr="00DC2002" w:rsidRDefault="00AC5CB7" w:rsidP="00C20151">
            <w:pPr>
              <w:pStyle w:val="ListParagraph"/>
              <w:numPr>
                <w:ilvl w:val="0"/>
                <w:numId w:val="94"/>
              </w:numPr>
              <w:shd w:val="clear" w:color="auto" w:fill="FFFFFF" w:themeFill="background1"/>
              <w:spacing w:after="0" w:line="276" w:lineRule="auto"/>
              <w:jc w:val="both"/>
              <w:rPr>
                <w:noProof/>
                <w:sz w:val="24"/>
                <w:szCs w:val="24"/>
              </w:rPr>
            </w:pPr>
            <w:r>
              <w:rPr>
                <w:noProof/>
                <w:sz w:val="24"/>
              </w:rPr>
              <w:t xml:space="preserve">élaborer des </w:t>
            </w:r>
            <w:r>
              <w:rPr>
                <w:b/>
                <w:noProof/>
                <w:sz w:val="24"/>
              </w:rPr>
              <w:t>orientations de l’UE</w:t>
            </w:r>
            <w:r>
              <w:rPr>
                <w:noProof/>
                <w:sz w:val="24"/>
              </w:rPr>
              <w:t xml:space="preserve"> pour </w:t>
            </w:r>
            <w:r>
              <w:rPr>
                <w:b/>
                <w:noProof/>
                <w:sz w:val="24"/>
              </w:rPr>
              <w:t>briser la stigmatisation</w:t>
            </w:r>
            <w:r>
              <w:rPr>
                <w:noProof/>
                <w:sz w:val="24"/>
              </w:rPr>
              <w:t xml:space="preserve"> et lutter contre la </w:t>
            </w:r>
            <w:r>
              <w:rPr>
                <w:b/>
                <w:noProof/>
                <w:sz w:val="24"/>
              </w:rPr>
              <w:t>discrimination</w:t>
            </w:r>
            <w:r>
              <w:rPr>
                <w:noProof/>
                <w:sz w:val="24"/>
              </w:rPr>
              <w:t xml:space="preserve"> avec les États membres dans le cadre du groupe d’experts sur la santé publique et des groupes de parties prenantes;</w:t>
            </w:r>
          </w:p>
          <w:p w14:paraId="20FFBCA8" w14:textId="55B7E6DF" w:rsidR="00B8080B" w:rsidRPr="00DC2002" w:rsidRDefault="00F605B9" w:rsidP="00C20151">
            <w:pPr>
              <w:pStyle w:val="ListParagraph"/>
              <w:numPr>
                <w:ilvl w:val="0"/>
                <w:numId w:val="94"/>
              </w:numPr>
              <w:shd w:val="clear" w:color="auto" w:fill="FFFFFF" w:themeFill="background1"/>
              <w:spacing w:after="0" w:line="276" w:lineRule="auto"/>
              <w:jc w:val="both"/>
              <w:rPr>
                <w:noProof/>
                <w:sz w:val="24"/>
                <w:szCs w:val="24"/>
              </w:rPr>
            </w:pPr>
            <w:r>
              <w:rPr>
                <w:noProof/>
                <w:sz w:val="24"/>
              </w:rPr>
              <w:t xml:space="preserve">lancer des activités de communication pour </w:t>
            </w:r>
            <w:r>
              <w:rPr>
                <w:b/>
                <w:noProof/>
                <w:sz w:val="24"/>
              </w:rPr>
              <w:t>promouvoir la sensibilisation</w:t>
            </w:r>
            <w:r>
              <w:rPr>
                <w:noProof/>
                <w:sz w:val="24"/>
              </w:rPr>
              <w:t xml:space="preserve"> à la lutte contre la stigmatisation.</w:t>
            </w:r>
          </w:p>
          <w:p w14:paraId="322E4613" w14:textId="77777777" w:rsidR="00C41198" w:rsidRPr="006C0ADA" w:rsidRDefault="00C41198" w:rsidP="005074EC">
            <w:pPr>
              <w:pStyle w:val="ListParagraph"/>
              <w:shd w:val="clear" w:color="auto" w:fill="FFFFFF" w:themeFill="background1"/>
              <w:spacing w:before="120" w:after="0" w:line="240" w:lineRule="auto"/>
              <w:jc w:val="both"/>
              <w:rPr>
                <w:noProof/>
              </w:rPr>
            </w:pPr>
          </w:p>
        </w:tc>
      </w:tr>
    </w:tbl>
    <w:p w14:paraId="51DCA77B" w14:textId="77777777" w:rsidR="00333F41" w:rsidRPr="006C0ADA" w:rsidRDefault="00333F41" w:rsidP="008A499D">
      <w:pPr>
        <w:jc w:val="both"/>
        <w:rPr>
          <w:bCs/>
          <w:noProof/>
        </w:rPr>
      </w:pPr>
    </w:p>
    <w:p w14:paraId="48DACDA3" w14:textId="740C52CE" w:rsidR="00DF5DE5" w:rsidRPr="00DC2002" w:rsidRDefault="00757BBA" w:rsidP="008A499D">
      <w:pPr>
        <w:jc w:val="both"/>
        <w:rPr>
          <w:rFonts w:eastAsia="Calibri" w:cs="Arial"/>
          <w:noProof/>
          <w:szCs w:val="24"/>
        </w:rPr>
      </w:pPr>
      <w:r>
        <w:rPr>
          <w:noProof/>
        </w:rPr>
        <w:t xml:space="preserve">La Commission recommande aux États membres de mettre sur pied des </w:t>
      </w:r>
      <w:r>
        <w:rPr>
          <w:b/>
          <w:noProof/>
        </w:rPr>
        <w:t>campagnes de communication</w:t>
      </w:r>
      <w:r>
        <w:rPr>
          <w:noProof/>
        </w:rPr>
        <w:t xml:space="preserve"> pour démystifier et briser la stigmatisation, et d’</w:t>
      </w:r>
      <w:r>
        <w:rPr>
          <w:b/>
          <w:noProof/>
        </w:rPr>
        <w:t>élaborer des mesures pour lutter contre la stigmatisation et la discrimination</w:t>
      </w:r>
      <w:r>
        <w:rPr>
          <w:noProof/>
        </w:rPr>
        <w:t xml:space="preserve"> en aidant les individus à réintégrer le marché du travail, en donnant aux patients les moyens d’accéder aux services qui répondent le mieux à leurs besoins et en diffusant des informations sur l’utilisation des instruments juridiques pour lutter contre la discrimination. </w:t>
      </w:r>
      <w:r>
        <w:rPr>
          <w:b/>
          <w:noProof/>
        </w:rPr>
        <w:t>Il convient de sensibiliser</w:t>
      </w:r>
      <w:r>
        <w:rPr>
          <w:noProof/>
        </w:rPr>
        <w:t xml:space="preserve"> (les décideurs, les employeurs, les professionnels de la santé, les autres professionnels et le grand public et les professionnels de la santé à la question de la santé mentale et à la stigmatisation, en particulier des personnes en situation de vulnérabilité) et de soutenir les </w:t>
      </w:r>
      <w:r>
        <w:rPr>
          <w:b/>
          <w:noProof/>
        </w:rPr>
        <w:t>activités communautaires</w:t>
      </w:r>
      <w:r>
        <w:rPr>
          <w:noProof/>
        </w:rPr>
        <w:t xml:space="preserve"> (sports, arts, nature) qui contribuent à briser la stigmatisation et soutiennent la réhabilitation en matière de santé mentale. Les États membres devraient soutenir les politiques encourageant l’intégration des personnes souffrant de problèmes de santé mentale dans la communauté et sur le marché du travail, y compris par des activités de l’économie sociale.</w:t>
      </w:r>
    </w:p>
    <w:p w14:paraId="23D603CC" w14:textId="2E8463F9" w:rsidR="00757A57" w:rsidRPr="00DC2002" w:rsidRDefault="00653FF3" w:rsidP="00364CD8">
      <w:pPr>
        <w:pStyle w:val="Heading2"/>
        <w:rPr>
          <w:noProof/>
        </w:rPr>
      </w:pPr>
      <w:bookmarkStart w:id="25" w:name="_Hlk135941317"/>
      <w:r>
        <w:rPr>
          <w:noProof/>
        </w:rPr>
        <w:t>Promouvoir la santé mentale à l’échelle mondiale</w:t>
      </w:r>
    </w:p>
    <w:p w14:paraId="3E088BDB" w14:textId="626589C2" w:rsidR="005147E5" w:rsidRDefault="00AF2C6D" w:rsidP="005074EC">
      <w:pPr>
        <w:jc w:val="both"/>
        <w:rPr>
          <w:noProof/>
        </w:rPr>
      </w:pPr>
      <w:r>
        <w:rPr>
          <w:noProof/>
        </w:rPr>
        <w:t xml:space="preserve">La protection et la promotion de la santé mentale ne sont pas seulement une priorité pour l’UE, mais il s’agit également d’un </w:t>
      </w:r>
      <w:r>
        <w:rPr>
          <w:b/>
          <w:noProof/>
        </w:rPr>
        <w:t>problème mondial</w:t>
      </w:r>
      <w:r>
        <w:rPr>
          <w:noProof/>
        </w:rPr>
        <w:t xml:space="preserve"> pour lequel l’UE peut montrer l’exemple, en contribuant de manière ciblée au niveau international et en favorisant la convergence, le cas échéant.</w:t>
      </w:r>
    </w:p>
    <w:p w14:paraId="4F32271A" w14:textId="77777777" w:rsidR="00666078" w:rsidRDefault="00666078" w:rsidP="00666078">
      <w:pPr>
        <w:jc w:val="both"/>
        <w:rPr>
          <w:noProof/>
        </w:rPr>
      </w:pPr>
      <w:r>
        <w:rPr>
          <w:noProof/>
        </w:rPr>
        <w:t xml:space="preserve">Lors de la réunion du </w:t>
      </w:r>
      <w:r>
        <w:rPr>
          <w:b/>
          <w:noProof/>
        </w:rPr>
        <w:t>Conseil du commerce et des technologies</w:t>
      </w:r>
      <w:r>
        <w:rPr>
          <w:noProof/>
        </w:rPr>
        <w:t xml:space="preserve"> UE-États-Unis des 30 et 31 mai 2023, l’UE et les États-Unis ont partagé le point de vue selon lequel les plateformes en ligne devraient assumer une plus grande responsabilité en veillant à ce que leurs services contribuent à un environnement en ligne qui protège, autonomise et respecte les enfants et les jeunes, et qu’elles agissent de manière responsable pour faire face à l’incidence de leurs services sur la santé mentale et le développement des enfants et des jeunes</w:t>
      </w:r>
      <w:r>
        <w:rPr>
          <w:rStyle w:val="FootnoteReference"/>
          <w:noProof/>
          <w:lang w:val="en-IE"/>
        </w:rPr>
        <w:footnoteReference w:id="113"/>
      </w:r>
      <w:r>
        <w:rPr>
          <w:noProof/>
        </w:rPr>
        <w:t>.</w:t>
      </w:r>
    </w:p>
    <w:p w14:paraId="4B4AE64D" w14:textId="247DBC77" w:rsidR="00B12B6F" w:rsidRDefault="009B03D7" w:rsidP="005074EC">
      <w:pPr>
        <w:jc w:val="both"/>
        <w:rPr>
          <w:noProof/>
        </w:rPr>
      </w:pPr>
      <w:r>
        <w:rPr>
          <w:noProof/>
        </w:rPr>
        <w:t xml:space="preserve">La </w:t>
      </w:r>
      <w:r>
        <w:rPr>
          <w:b/>
          <w:noProof/>
        </w:rPr>
        <w:t>stratégie mondiale de l’UE en matière de santé</w:t>
      </w:r>
      <w:r>
        <w:rPr>
          <w:rStyle w:val="FootnoteReference"/>
          <w:b/>
          <w:noProof/>
          <w:lang w:val="en-IE"/>
        </w:rPr>
        <w:footnoteReference w:id="114"/>
      </w:r>
      <w:r>
        <w:rPr>
          <w:noProof/>
        </w:rPr>
        <w:t xml:space="preserve"> prévoit des actions mondiales, nationales et régionales visant à faciliter la réalisation des ODD des Nations unies liés à la santé, en mettant l’accent sur trois priorités interdépendantes: 1) améliorer la santé et le bien-être des personnes tout au long de leur vie; 2) renforcer les systèmes de santé et faire progresser la couverture sanitaire universelle; et 3) garantir la sécurité de la santé publique, y compris la santé mentale et le soutien psychosocial. L’accent devrait être mis sur le renforcement des soins de santé primaires lorsque la disponibilité de services de santé mentale est essentielle. </w:t>
      </w:r>
    </w:p>
    <w:p w14:paraId="396CEEA7" w14:textId="5643DA97" w:rsidR="00FD5233" w:rsidRPr="00DC2002" w:rsidRDefault="39425386" w:rsidP="005830F3">
      <w:pPr>
        <w:jc w:val="both"/>
        <w:rPr>
          <w:noProof/>
        </w:rPr>
      </w:pPr>
      <w:r>
        <w:rPr>
          <w:noProof/>
        </w:rPr>
        <w:t xml:space="preserve">Le </w:t>
      </w:r>
      <w:r>
        <w:rPr>
          <w:b/>
          <w:noProof/>
        </w:rPr>
        <w:t>plan d’action en faveur de la jeunesse dans le cadre de l’action extérieure de l’UE</w:t>
      </w:r>
      <w:r>
        <w:rPr>
          <w:noProof/>
        </w:rPr>
        <w:t xml:space="preserve"> (2022-2027)</w:t>
      </w:r>
      <w:r>
        <w:rPr>
          <w:rStyle w:val="FootnoteReference"/>
          <w:noProof/>
          <w:lang w:val="en-IE"/>
        </w:rPr>
        <w:footnoteReference w:id="115"/>
      </w:r>
      <w:r>
        <w:rPr>
          <w:noProof/>
        </w:rPr>
        <w:t xml:space="preserve"> reconnaît la santé et le bien-être comme une condition préalable pour que les jeunes puissent réaliser pleinement leur potentiel et participer à la société. Il place la santé, le bien-être mental et le bien-être physique au cœur de son «pilier de l’autonomisation». Parallèlement, les </w:t>
      </w:r>
      <w:r>
        <w:rPr>
          <w:b/>
          <w:noProof/>
        </w:rPr>
        <w:t>soins de santé mentale et de soutien psychosocial</w:t>
      </w:r>
      <w:r>
        <w:rPr>
          <w:noProof/>
        </w:rPr>
        <w:t xml:space="preserve"> devraient faire partie intégrante des mesures visant à renforcer les systèmes de santé nationaux dans les pays partenaires, le cas échéant, en soutenant les interventions mondiales dans le domaine de la santé publique, par exemple le Fonds mondial de lutte contre le sida, la tuberculose et le paludisme</w:t>
      </w:r>
      <w:r>
        <w:rPr>
          <w:rStyle w:val="FootnoteReference"/>
          <w:noProof/>
          <w:lang w:val="en-IE"/>
        </w:rPr>
        <w:footnoteReference w:id="116"/>
      </w:r>
      <w:r>
        <w:rPr>
          <w:noProof/>
        </w:rPr>
        <w:t>, l’initiative Spotlight sur la violence sexiste</w:t>
      </w:r>
      <w:r>
        <w:rPr>
          <w:rStyle w:val="FootnoteReference"/>
          <w:noProof/>
          <w:lang w:val="en-IE"/>
        </w:rPr>
        <w:footnoteReference w:id="117"/>
      </w:r>
      <w:r>
        <w:rPr>
          <w:noProof/>
        </w:rPr>
        <w:t xml:space="preserve"> ou dans le contexte de l’aide humanitaire de l’UE. Selon l’OMS, plus d’une personne sur cinq dans des situations d’après-conflit souffre de dépression, d’anxiété ou du syndrome de stress post-traumatique</w:t>
      </w:r>
      <w:r>
        <w:rPr>
          <w:rStyle w:val="FootnoteReference"/>
          <w:noProof/>
          <w:lang w:val="en-IE"/>
        </w:rPr>
        <w:footnoteReference w:id="118"/>
      </w:r>
      <w:r>
        <w:rPr>
          <w:noProof/>
        </w:rPr>
        <w:t xml:space="preserve">. Des besoins en santé mentale apparaissent également dans des situations de déplacement et de catastrophes naturelles. Par conséquent, les soins de santé mentale et le soutien psychosocial sont un élément essentiel d’une réponse globale aux crises, intégrés dans les opérations d’aide humanitaire financées par l’UE, avec </w:t>
      </w:r>
      <w:r>
        <w:rPr>
          <w:b/>
          <w:noProof/>
        </w:rPr>
        <w:t>111 millions d’EUR</w:t>
      </w:r>
      <w:r>
        <w:rPr>
          <w:noProof/>
        </w:rPr>
        <w:t xml:space="preserve"> consacrés à cette priorité depuis 2019. </w:t>
      </w:r>
    </w:p>
    <w:p w14:paraId="1349BEC6" w14:textId="345C1A77" w:rsidR="005418FA" w:rsidRPr="00DC2002" w:rsidRDefault="00333F41" w:rsidP="005418FA">
      <w:pPr>
        <w:jc w:val="both"/>
        <w:rPr>
          <w:noProof/>
        </w:rPr>
      </w:pPr>
      <w:r>
        <w:rPr>
          <w:noProof/>
        </w:rPr>
        <w:t xml:space="preserve">L’UE encourage également les autres à agir en mobilisant et en </w:t>
      </w:r>
      <w:r>
        <w:rPr>
          <w:b/>
          <w:noProof/>
        </w:rPr>
        <w:t>sensibilisant les donateurs et les partenaires</w:t>
      </w:r>
      <w:r>
        <w:rPr>
          <w:noProof/>
        </w:rPr>
        <w:t xml:space="preserve"> à l’importance de fournir des soins de santé mentale et un soutien psychosocial de qualité dans les situations d’urgence humanitaire. À la suite de l’engagement fructueux au Moyen-Orient et en Afrique du Nord, des </w:t>
      </w:r>
      <w:r>
        <w:rPr>
          <w:b/>
          <w:noProof/>
        </w:rPr>
        <w:t>sessions de sensibilisation et de renforcement des capacités</w:t>
      </w:r>
      <w:r>
        <w:rPr>
          <w:noProof/>
        </w:rPr>
        <w:t xml:space="preserve"> seront organisées dans d’autres régions, à commencer par l’Amérique latine et les Caraïbes, avant la fin de 2023.</w:t>
      </w:r>
    </w:p>
    <w:p w14:paraId="668B99CE" w14:textId="2CD94DC4" w:rsidR="005418FA" w:rsidRPr="00DC2002" w:rsidRDefault="005418FA" w:rsidP="007F3152">
      <w:pPr>
        <w:jc w:val="both"/>
        <w:rPr>
          <w:noProof/>
        </w:rPr>
      </w:pPr>
      <w:r>
        <w:rPr>
          <w:noProof/>
        </w:rPr>
        <w:t>Par ailleurs, la Commission renforce les capacités des parties prenantes par la formation et la diffusion de l’ensemble minimal de services en matière de soins de santé mentale et de soutien psychosocial</w:t>
      </w:r>
      <w:r>
        <w:rPr>
          <w:rStyle w:val="FootnoteReference"/>
          <w:noProof/>
          <w:lang w:val="en-IE"/>
        </w:rPr>
        <w:footnoteReference w:id="119"/>
      </w:r>
      <w:r>
        <w:rPr>
          <w:noProof/>
        </w:rPr>
        <w:t>. Cet outil de référence essentiel a été mis au point par la communauté humanitaire afin de fixer la qualité minimale et de faciliter le déploiement en temps utile d’interventions efficaces en matière de santé mentale dans les situations de crise.</w:t>
      </w:r>
    </w:p>
    <w:p w14:paraId="3E4796CC" w14:textId="507219CB" w:rsidR="005418FA" w:rsidRDefault="001A67BD" w:rsidP="00086DF7">
      <w:pPr>
        <w:jc w:val="both"/>
        <w:rPr>
          <w:noProof/>
        </w:rPr>
      </w:pPr>
      <w:r>
        <w:rPr>
          <w:noProof/>
        </w:rPr>
        <w:t>En</w:t>
      </w:r>
      <w:r>
        <w:rPr>
          <w:b/>
          <w:noProof/>
        </w:rPr>
        <w:t xml:space="preserve"> Ukraine</w:t>
      </w:r>
      <w:r>
        <w:rPr>
          <w:rStyle w:val="FootnoteReference"/>
          <w:b/>
          <w:noProof/>
          <w:lang w:val="en-IE"/>
        </w:rPr>
        <w:footnoteReference w:id="120"/>
      </w:r>
      <w:r>
        <w:rPr>
          <w:noProof/>
        </w:rPr>
        <w:t xml:space="preserve">, la Commission soutient déjà les centres communautaires pour les enfants déplacés et leurs aidants, ainsi que les enfants placés dans des institutions, afin de les aider à rétablir un certain niveau de normalité et de routine. Toutefois, la longue durée de l’agression et ses effets dévastateurs accélèrent les incidences sur la santé mentale des personnes fuyant la guerre dans l’UE et des personnes déplacées en Ukraine, ce qui demande un soutien résolu et ambitieux. </w:t>
      </w:r>
    </w:p>
    <w:p w14:paraId="5B61D2D9" w14:textId="445471F6" w:rsidR="00DE36C8" w:rsidRPr="00DC2002" w:rsidRDefault="00DE36C8" w:rsidP="00DE36C8">
      <w:pPr>
        <w:jc w:val="both"/>
        <w:rPr>
          <w:noProof/>
        </w:rPr>
      </w:pPr>
      <w:r>
        <w:rPr>
          <w:noProof/>
        </w:rPr>
        <w:t xml:space="preserve">Les enfants ukrainiens subissent actuellement le traumatisme de la guerre, ce qui entraîne souvent de profondes cicatrices psychologiques. </w:t>
      </w:r>
      <w:r>
        <w:rPr>
          <w:noProof/>
          <w:color w:val="333333"/>
        </w:rPr>
        <w:t>La Commission mettra en place, avec l’Ukraine, un programme d’apprentissage en ligne spécialisé pour les pédiatres et le personnel médical de base. Grâce à cette initiative, les professionnels de la santé seront dotés des compétences nécessaires à la prise en charge des traumatismes et à l’amélioration de la santé mentale des enfants. Des services spécialisés de réadaptation seront également mis en place pour les enfants en difficulté, tant en Ukraine que dans l’UE.</w:t>
      </w:r>
    </w:p>
    <w:p w14:paraId="50225E03" w14:textId="27FC1469" w:rsidR="00A65A3B" w:rsidRPr="00DC2002" w:rsidRDefault="3BD44550" w:rsidP="00086DF7">
      <w:pPr>
        <w:jc w:val="both"/>
        <w:rPr>
          <w:rFonts w:eastAsia="Calibri" w:cs="Arial"/>
          <w:noProof/>
          <w:szCs w:val="24"/>
        </w:rPr>
      </w:pPr>
      <w:r>
        <w:rPr>
          <w:noProof/>
        </w:rPr>
        <w:t>La Commission aide également les partenaires humanitaires à accroître leur</w:t>
      </w:r>
      <w:r>
        <w:rPr>
          <w:b/>
          <w:noProof/>
        </w:rPr>
        <w:t xml:space="preserve"> capacité à répondre aux besoins de santé mentale des populations touchées par le conflit</w:t>
      </w:r>
      <w:r>
        <w:rPr>
          <w:noProof/>
        </w:rPr>
        <w:t>, notamment dans les oblasts de Zaporizhzhia, Kharkiv, Dnipro et Mykolaiv.  Dans le cadre du programme «L’UE pour la santé», en 2022, une convention de contribution d’un montant de 28,4 millions d’EUR conclue avec la Fédération internationale des sociétés de la Croix-Rouge a permis de fournir une première aide psychologique et quatre projets</w:t>
      </w:r>
      <w:r>
        <w:rPr>
          <w:rStyle w:val="FootnoteReference"/>
          <w:noProof/>
          <w:color w:val="000000"/>
          <w:szCs w:val="24"/>
        </w:rPr>
        <w:footnoteReference w:id="121"/>
      </w:r>
      <w:r>
        <w:rPr>
          <w:noProof/>
        </w:rPr>
        <w:t xml:space="preserve"> (d’un montant total de 3 millions d’EUR) sont menés par des parties prenantes mettant en œuvre les meilleures pratiques visant à améliorer la santé mentale et le bien-être psychosocial des migrants et des réfugiés.</w:t>
      </w:r>
      <w:r>
        <w:rPr>
          <w:noProof/>
          <w:color w:val="000000"/>
        </w:rPr>
        <w:t xml:space="preserve"> </w:t>
      </w:r>
      <w:r>
        <w:rPr>
          <w:noProof/>
        </w:rPr>
        <w:t xml:space="preserve">Pour 2023, un montant dépassant les 10,6 millions d’EUR est programmé au titre du programme «L’UE pour la santé» pour améliorer l’accès aux soins de santé et pour prévenir les maladies non transmissibles, en particulier les problèmes de santé mentale. La Commission soutiendra également les États membres et les parties prenantes dans la mise en œuvre de la bonne pratique </w:t>
      </w:r>
      <w:r>
        <w:rPr>
          <w:b/>
          <w:noProof/>
        </w:rPr>
        <w:t>iFightDepression</w:t>
      </w:r>
      <w:r>
        <w:rPr>
          <w:rStyle w:val="FootnoteReference"/>
          <w:noProof/>
          <w:lang w:val="en-IE"/>
        </w:rPr>
        <w:footnoteReference w:id="122"/>
      </w:r>
      <w:r>
        <w:rPr>
          <w:noProof/>
        </w:rPr>
        <w:t>, qui comprend un programme d’autogestion en ligne susceptible d’aider les personnes déplacées, y compris celles en provenance d’Ukraine, à gérer elles-mêmes leurs symptômes.</w:t>
      </w:r>
    </w:p>
    <w:p w14:paraId="376FFBE4" w14:textId="316CDDDB" w:rsidR="00E508DA" w:rsidRPr="00DC2002" w:rsidRDefault="009B5509" w:rsidP="005830F3">
      <w:pPr>
        <w:jc w:val="both"/>
        <w:rPr>
          <w:noProof/>
        </w:rPr>
      </w:pPr>
      <w:r>
        <w:rPr>
          <w:noProof/>
        </w:rPr>
        <w:t xml:space="preserve">Étant donné que l’aide humanitaire ne peut à elle seule répondre aux besoins potentiels à long terme des personnes déplacées de force, y compris en matière de soins de santé, la Commission aide ses pays partenaires à </w:t>
      </w:r>
      <w:r>
        <w:rPr>
          <w:b/>
          <w:noProof/>
        </w:rPr>
        <w:t>intégrer les communautés déplacées de force</w:t>
      </w:r>
      <w:r>
        <w:rPr>
          <w:noProof/>
        </w:rPr>
        <w:t xml:space="preserve"> dans les structures nationales existantes de prestation de services. Cette intégration se fait de manière à garantir aux réfugiés un accès égal et équitable aux services répondant à leurs besoins, y compris en matière de santé mentale, de stress post-traumatique et de violence à caractère sexiste. L’aide substantielle apportée par l’UE pour répondre aux besoins des migrants comprend également un soutien psychosocial, en particulier pour les plus vulnérables, notamment les enfants, les victimes de la traite des êtres humains, les migrants bloqués et les rapatriés.</w:t>
      </w:r>
    </w:p>
    <w:p w14:paraId="7883300C" w14:textId="5E1F353D" w:rsidR="006521CC" w:rsidRPr="00DC2002" w:rsidRDefault="00E508DA" w:rsidP="005830F3">
      <w:pPr>
        <w:jc w:val="both"/>
        <w:rPr>
          <w:noProof/>
        </w:rPr>
      </w:pPr>
      <w:r>
        <w:rPr>
          <w:noProof/>
        </w:rPr>
        <w:t xml:space="preserve">La Commission soutient une approche globale de la promotion et de la protection de la santé mentale et du bien-être psychosocial des apprenants, de leurs enseignants et des aidants au moyen d’actions éducatives. La Commission est l’un des principaux donateurs au fonds </w:t>
      </w:r>
      <w:r>
        <w:rPr>
          <w:b/>
          <w:noProof/>
        </w:rPr>
        <w:t>«L’éducation ne peut pas attendre»</w:t>
      </w:r>
      <w:r>
        <w:rPr>
          <w:noProof/>
        </w:rPr>
        <w:t xml:space="preserve"> et considère les soins de santé mentale et de soutien psychosocial comme une priorité essentielle de ses travaux et du </w:t>
      </w:r>
      <w:r>
        <w:rPr>
          <w:b/>
          <w:noProof/>
        </w:rPr>
        <w:t>Partenariat mondial pour l’éducation</w:t>
      </w:r>
      <w:r>
        <w:rPr>
          <w:noProof/>
        </w:rPr>
        <w:t>, qui investit dans le renforcement des liens entre les secteurs de la santé et de l’éducation.</w:t>
      </w:r>
    </w:p>
    <w:p w14:paraId="39C26014" w14:textId="3C7A7BD9" w:rsidR="006E570C" w:rsidRPr="00DC2002" w:rsidRDefault="009B03D7" w:rsidP="008A499D">
      <w:pPr>
        <w:jc w:val="both"/>
        <w:rPr>
          <w:noProof/>
        </w:rPr>
      </w:pPr>
      <w:r>
        <w:rPr>
          <w:noProof/>
        </w:rPr>
        <w:t>La Commission continuera d’</w:t>
      </w:r>
      <w:r>
        <w:rPr>
          <w:b/>
          <w:noProof/>
        </w:rPr>
        <w:t>intégrer la santé mentale</w:t>
      </w:r>
      <w:r>
        <w:rPr>
          <w:noProof/>
        </w:rPr>
        <w:t xml:space="preserve"> dans les mesures visant à renforcer les systèmes de santé aux niveaux régional, national et mondial, conformément aux efforts déployés en faveur de la localisation et du triple lien entre l’aide humanitaire, le développement et la paix, et à faire en sorte que les réfugiés, les personnes en déplacement et les personnes déplacées dans des situations d’après-urgence dans les pays partenaires aient accès aux soins de santé mentale et de soutien psychosocial au même titre que les communautés d’accueil.</w:t>
      </w:r>
      <w:r>
        <w:rPr>
          <w:noProof/>
          <w:color w:val="000000" w:themeColor="text1"/>
        </w:rPr>
        <w:t xml:space="preserve"> </w:t>
      </w:r>
    </w:p>
    <w:tbl>
      <w:tblPr>
        <w:tblStyle w:val="TableGrid"/>
        <w:tblW w:w="0" w:type="auto"/>
        <w:tblInd w:w="0" w:type="dxa"/>
        <w:tblLook w:val="04A0" w:firstRow="1" w:lastRow="0" w:firstColumn="1" w:lastColumn="0" w:noHBand="0" w:noVBand="1"/>
      </w:tblPr>
      <w:tblGrid>
        <w:gridCol w:w="9286"/>
      </w:tblGrid>
      <w:tr w:rsidR="00C41198" w:rsidRPr="00DC2002" w14:paraId="62C4BBB3" w14:textId="77777777" w:rsidTr="00760FA7">
        <w:tc>
          <w:tcPr>
            <w:tcW w:w="9286" w:type="dxa"/>
            <w:tcBorders>
              <w:bottom w:val="nil"/>
            </w:tcBorders>
          </w:tcPr>
          <w:p w14:paraId="241A503C" w14:textId="7D68CB61" w:rsidR="00C41198" w:rsidRPr="00DC2002" w:rsidRDefault="00C41198" w:rsidP="005074EC">
            <w:pPr>
              <w:pBdr>
                <w:bottom w:val="single" w:sz="4" w:space="1" w:color="auto"/>
              </w:pBdr>
              <w:shd w:val="clear" w:color="auto" w:fill="FFFFFF" w:themeFill="background1"/>
              <w:jc w:val="both"/>
              <w:rPr>
                <w:b/>
                <w:noProof/>
                <w:sz w:val="24"/>
                <w:szCs w:val="24"/>
              </w:rPr>
            </w:pPr>
            <w:bookmarkStart w:id="26" w:name="_Hlk135940797"/>
            <w:r>
              <w:rPr>
                <w:b/>
                <w:noProof/>
                <w:sz w:val="24"/>
              </w:rPr>
              <w:t>INITIATIVES PHARES</w:t>
            </w:r>
          </w:p>
          <w:p w14:paraId="55A4AC08" w14:textId="77777777" w:rsidR="005830F3" w:rsidRPr="006C0ADA" w:rsidRDefault="005830F3" w:rsidP="005074EC">
            <w:pPr>
              <w:shd w:val="clear" w:color="auto" w:fill="FFFFFF" w:themeFill="background1"/>
              <w:jc w:val="both"/>
              <w:rPr>
                <w:b/>
                <w:smallCaps/>
                <w:noProof/>
                <w:sz w:val="24"/>
                <w:szCs w:val="24"/>
              </w:rPr>
            </w:pPr>
          </w:p>
          <w:p w14:paraId="748B6D28" w14:textId="66412096" w:rsidR="00183256" w:rsidRPr="00DC2002" w:rsidRDefault="00986444" w:rsidP="005074EC">
            <w:pPr>
              <w:shd w:val="clear" w:color="auto" w:fill="FFFFFF" w:themeFill="background1"/>
              <w:jc w:val="both"/>
              <w:rPr>
                <w:b/>
                <w:smallCaps/>
                <w:noProof/>
                <w:sz w:val="24"/>
                <w:szCs w:val="24"/>
              </w:rPr>
            </w:pPr>
            <w:r>
              <w:rPr>
                <w:b/>
                <w:smallCaps/>
                <w:noProof/>
                <w:sz w:val="24"/>
              </w:rPr>
              <w:t>19. Soutien en matière de santé mentale en faveur des personnes déplacées et touchées par la guerre en Ukraine</w:t>
            </w:r>
          </w:p>
          <w:p w14:paraId="2DC24D64" w14:textId="1B6DF829" w:rsidR="00DE36C8" w:rsidRPr="00DE36C8" w:rsidRDefault="006C095B" w:rsidP="005074EC">
            <w:pPr>
              <w:pStyle w:val="ListParagraph"/>
              <w:numPr>
                <w:ilvl w:val="0"/>
                <w:numId w:val="51"/>
              </w:numPr>
              <w:shd w:val="clear" w:color="auto" w:fill="FFFFFF" w:themeFill="background1"/>
              <w:spacing w:before="120" w:after="0" w:line="240" w:lineRule="auto"/>
              <w:ind w:left="714" w:hanging="357"/>
              <w:jc w:val="both"/>
              <w:rPr>
                <w:rFonts w:eastAsia="Calibri" w:cs="Arial"/>
                <w:noProof/>
                <w:sz w:val="24"/>
                <w:szCs w:val="24"/>
              </w:rPr>
            </w:pPr>
            <w:bookmarkStart w:id="27" w:name="_Hlk136876750"/>
            <w:r>
              <w:rPr>
                <w:noProof/>
                <w:sz w:val="24"/>
              </w:rPr>
              <w:t xml:space="preserve">La Commission s’attachera à fournir une </w:t>
            </w:r>
            <w:r>
              <w:rPr>
                <w:b/>
                <w:noProof/>
                <w:sz w:val="24"/>
              </w:rPr>
              <w:t>première aide psychologique</w:t>
            </w:r>
            <w:r>
              <w:rPr>
                <w:noProof/>
                <w:sz w:val="24"/>
              </w:rPr>
              <w:t xml:space="preserve"> aux personnes touchées par la guerre d’agression russe contre l’</w:t>
            </w:r>
            <w:r>
              <w:rPr>
                <w:b/>
                <w:noProof/>
                <w:sz w:val="24"/>
              </w:rPr>
              <w:t>Ukraine</w:t>
            </w:r>
            <w:r>
              <w:rPr>
                <w:noProof/>
                <w:sz w:val="24"/>
              </w:rPr>
              <w:t xml:space="preserve"> en renforçant la collaboration avec la Fédération internationale des sociétés de la Croix-Rouge et du Croissant-Rouge</w:t>
            </w:r>
            <w:r>
              <w:rPr>
                <w:rStyle w:val="FootnoteReference"/>
                <w:noProof/>
                <w:sz w:val="24"/>
                <w:szCs w:val="24"/>
                <w:lang w:val="en-IE"/>
              </w:rPr>
              <w:footnoteReference w:id="123"/>
            </w:r>
            <w:r>
              <w:rPr>
                <w:noProof/>
                <w:sz w:val="24"/>
              </w:rPr>
              <w:t xml:space="preserve"> (28 millions d’EUR). </w:t>
            </w:r>
            <w:r>
              <w:rPr>
                <w:noProof/>
              </w:rPr>
              <w:t>La Commission veillera à augmenter son soutien financier afin de renforcer le soutien psychosocial aux personnes déplacées venant de zones de guerre.</w:t>
            </w:r>
            <w:r>
              <w:rPr>
                <w:noProof/>
                <w:sz w:val="24"/>
              </w:rPr>
              <w:t xml:space="preserve"> Des options de formation (en ligne) des premiers intervenants, des enseignants et des travailleurs sociaux en matière de premiers secours d’aide psychologique et de soutien psychosocial seront également explorées afin de mieux aider les personnes dans le besoin. Un montant supplémentaire de 0,5 million d’EUR sera alloué pour renforcer le soutien psychosocial aux personnes touchées par des situations d’urgence. </w:t>
            </w:r>
          </w:p>
          <w:bookmarkEnd w:id="27"/>
          <w:p w14:paraId="089ADD8E" w14:textId="6CD77673" w:rsidR="00657030" w:rsidRPr="009E3536" w:rsidRDefault="00657030" w:rsidP="00657030">
            <w:pPr>
              <w:pStyle w:val="ListParagraph"/>
              <w:numPr>
                <w:ilvl w:val="0"/>
                <w:numId w:val="51"/>
              </w:numPr>
              <w:shd w:val="clear" w:color="auto" w:fill="FFFFFF" w:themeFill="background1"/>
              <w:spacing w:before="120" w:after="0" w:line="240" w:lineRule="auto"/>
              <w:ind w:left="714" w:hanging="357"/>
              <w:jc w:val="both"/>
              <w:rPr>
                <w:rFonts w:eastAsia="Calibri" w:cs="Arial"/>
                <w:noProof/>
                <w:sz w:val="24"/>
                <w:szCs w:val="24"/>
              </w:rPr>
            </w:pPr>
            <w:r>
              <w:rPr>
                <w:noProof/>
                <w:sz w:val="24"/>
              </w:rPr>
              <w:t>La Commission mettra en place, avec l’Ukraine, un programme d’apprentissage en ligne spécialisé à l’intention des pédiatres et du personnel médical de première nécessité afin d’aider les</w:t>
            </w:r>
            <w:r>
              <w:rPr>
                <w:b/>
                <w:noProof/>
                <w:sz w:val="24"/>
              </w:rPr>
              <w:t xml:space="preserve"> enfants ukrainiens</w:t>
            </w:r>
            <w:r>
              <w:rPr>
                <w:noProof/>
                <w:sz w:val="24"/>
              </w:rPr>
              <w:t xml:space="preserve"> souffrant de stress et d’anxiété en raison de la guerre. Grâce à cette initiative, les professionnels de la santé seront dotés des compétences nécessaires à la prise en charge des traumatismes et à l’amélioration de la santé mentale des enfants. </w:t>
            </w:r>
          </w:p>
          <w:p w14:paraId="193A37D0" w14:textId="2A034BB4" w:rsidR="00653FF3" w:rsidRPr="00DC2002" w:rsidRDefault="006C095B" w:rsidP="00086DF7">
            <w:pPr>
              <w:pStyle w:val="ListParagraph"/>
              <w:numPr>
                <w:ilvl w:val="0"/>
                <w:numId w:val="51"/>
              </w:numPr>
              <w:spacing w:after="0" w:line="240" w:lineRule="auto"/>
              <w:contextualSpacing w:val="0"/>
              <w:jc w:val="both"/>
              <w:rPr>
                <w:noProof/>
                <w:sz w:val="24"/>
                <w:szCs w:val="24"/>
              </w:rPr>
            </w:pPr>
            <w:r>
              <w:rPr>
                <w:noProof/>
                <w:sz w:val="24"/>
              </w:rPr>
              <w:t>La Commission collaborera avec les États membres pour fournir un soutien psychosocial abordable aux personnes qui ont fui la guerre, afin de compléter les soins de santé déjà proposés au titre de la directive sur la protection temporaire.</w:t>
            </w:r>
          </w:p>
          <w:p w14:paraId="25B57437" w14:textId="17B02F98" w:rsidR="00183256" w:rsidRPr="006C0ADA" w:rsidRDefault="00183256" w:rsidP="005074EC">
            <w:pPr>
              <w:shd w:val="clear" w:color="auto" w:fill="FFFFFF" w:themeFill="background1"/>
              <w:ind w:left="720"/>
              <w:jc w:val="both"/>
              <w:rPr>
                <w:noProof/>
                <w:sz w:val="24"/>
                <w:szCs w:val="24"/>
              </w:rPr>
            </w:pPr>
          </w:p>
          <w:p w14:paraId="64251207" w14:textId="6B8C118D" w:rsidR="003042DB" w:rsidRPr="00DC2002" w:rsidRDefault="00653FF3" w:rsidP="005074EC">
            <w:pPr>
              <w:shd w:val="clear" w:color="auto" w:fill="FFFFFF" w:themeFill="background1"/>
              <w:jc w:val="both"/>
              <w:rPr>
                <w:b/>
                <w:smallCaps/>
                <w:noProof/>
                <w:sz w:val="24"/>
                <w:szCs w:val="24"/>
              </w:rPr>
            </w:pPr>
            <w:r>
              <w:rPr>
                <w:b/>
                <w:smallCaps/>
                <w:noProof/>
                <w:sz w:val="24"/>
              </w:rPr>
              <w:t>20. Soutien à la diffusion de l’ensemble minimal de services en matière de soins de santé mentale et de soutien psychosocial élaboré par le comité permanent interagences</w:t>
            </w:r>
            <w:r>
              <w:rPr>
                <w:rStyle w:val="FootnoteReference"/>
                <w:bCs/>
                <w:noProof/>
                <w:sz w:val="24"/>
                <w:szCs w:val="24"/>
                <w:lang w:val="en-IE"/>
              </w:rPr>
              <w:footnoteReference w:id="124"/>
            </w:r>
            <w:r>
              <w:rPr>
                <w:rStyle w:val="FootnoteReference"/>
                <w:bCs/>
                <w:noProof/>
                <w:sz w:val="24"/>
                <w:szCs w:val="24"/>
                <w:lang w:val="en-IE"/>
              </w:rPr>
              <w:footnoteReference w:id="125"/>
            </w:r>
            <w:r>
              <w:rPr>
                <w:b/>
                <w:smallCaps/>
                <w:noProof/>
                <w:sz w:val="24"/>
              </w:rPr>
              <w:t>:</w:t>
            </w:r>
          </w:p>
          <w:p w14:paraId="1F2ED597" w14:textId="64D5EE92" w:rsidR="00C41198" w:rsidRPr="00DC2002" w:rsidRDefault="00AA6ACB" w:rsidP="005074EC">
            <w:pPr>
              <w:pStyle w:val="ListParagraph"/>
              <w:numPr>
                <w:ilvl w:val="0"/>
                <w:numId w:val="51"/>
              </w:numPr>
              <w:shd w:val="clear" w:color="auto" w:fill="FFFFFF" w:themeFill="background1"/>
              <w:spacing w:before="120" w:after="0" w:line="240" w:lineRule="auto"/>
              <w:ind w:left="714" w:hanging="357"/>
              <w:jc w:val="both"/>
              <w:rPr>
                <w:noProof/>
                <w:sz w:val="24"/>
                <w:szCs w:val="24"/>
              </w:rPr>
            </w:pPr>
            <w:r>
              <w:rPr>
                <w:noProof/>
                <w:sz w:val="24"/>
              </w:rPr>
              <w:t xml:space="preserve">La Commission continuera à soutenir la diffusion d’un </w:t>
            </w:r>
            <w:r>
              <w:rPr>
                <w:b/>
                <w:noProof/>
                <w:sz w:val="24"/>
              </w:rPr>
              <w:t>ensemble de services minimaux</w:t>
            </w:r>
            <w:r>
              <w:rPr>
                <w:noProof/>
                <w:sz w:val="24"/>
              </w:rPr>
              <w:t xml:space="preserve"> destiné à aider les acteurs humanitaires à fournir des soins de qualité dans les situations d’urgence humanitaire.</w:t>
            </w:r>
            <w:r>
              <w:rPr>
                <w:noProof/>
                <w:color w:val="000000" w:themeColor="text1"/>
                <w:sz w:val="24"/>
              </w:rPr>
              <w:t xml:space="preserve"> Il fournit des orientations sur la manière d’intégrer rapidement des services de santé mentale coordonnés et fondés sur des données probantes dans la réponse humanitaire globale.</w:t>
            </w:r>
          </w:p>
        </w:tc>
      </w:tr>
      <w:bookmarkEnd w:id="26"/>
      <w:tr w:rsidR="00183256" w:rsidRPr="00DC2002" w14:paraId="24F2BDB8" w14:textId="77777777" w:rsidTr="00760FA7">
        <w:tc>
          <w:tcPr>
            <w:tcW w:w="9286" w:type="dxa"/>
            <w:tcBorders>
              <w:top w:val="nil"/>
            </w:tcBorders>
          </w:tcPr>
          <w:p w14:paraId="1CA94618" w14:textId="77777777" w:rsidR="00183256" w:rsidRPr="006C0ADA" w:rsidRDefault="00183256" w:rsidP="005074EC">
            <w:pPr>
              <w:pBdr>
                <w:bottom w:val="single" w:sz="4" w:space="1" w:color="auto"/>
              </w:pBdr>
              <w:shd w:val="clear" w:color="auto" w:fill="FFFFFF" w:themeFill="background1"/>
              <w:jc w:val="both"/>
              <w:rPr>
                <w:b/>
                <w:noProof/>
                <w:sz w:val="24"/>
                <w:szCs w:val="24"/>
              </w:rPr>
            </w:pPr>
          </w:p>
        </w:tc>
      </w:tr>
    </w:tbl>
    <w:p w14:paraId="4F3CA016" w14:textId="77777777" w:rsidR="00C41198" w:rsidRPr="006C0ADA" w:rsidRDefault="00C41198" w:rsidP="005074EC">
      <w:pPr>
        <w:jc w:val="both"/>
        <w:rPr>
          <w:b/>
          <w:noProof/>
          <w:szCs w:val="24"/>
        </w:rPr>
      </w:pPr>
    </w:p>
    <w:bookmarkEnd w:id="25"/>
    <w:p w14:paraId="7F3BAF3D" w14:textId="5EB75DB3" w:rsidR="00C50221" w:rsidRPr="00DC2002" w:rsidRDefault="00F109FA" w:rsidP="001456F5">
      <w:pPr>
        <w:pStyle w:val="Heading2"/>
        <w:numPr>
          <w:ilvl w:val="0"/>
          <w:numId w:val="0"/>
        </w:numPr>
        <w:jc w:val="both"/>
        <w:rPr>
          <w:noProof/>
        </w:rPr>
      </w:pPr>
      <w:r>
        <w:rPr>
          <w:noProof/>
        </w:rPr>
        <w:t>Financement de l’UE en faveur de la santé mentale</w:t>
      </w:r>
    </w:p>
    <w:p w14:paraId="09BE458F" w14:textId="5506B867" w:rsidR="003A7689" w:rsidRPr="00DC2002" w:rsidRDefault="003A7689" w:rsidP="003A7689">
      <w:pPr>
        <w:jc w:val="both"/>
        <w:rPr>
          <w:rFonts w:eastAsia="Times New Roman" w:cs="Times New Roman"/>
          <w:noProof/>
        </w:rPr>
      </w:pPr>
      <w:r>
        <w:rPr>
          <w:noProof/>
        </w:rPr>
        <w:t xml:space="preserve">Le budget destiné à soutenir la santé mentale devrait correspondre à l’ampleur du défi. L’UE et les États membres doivent consacrer suffisamment de ressources pour veiller à ce que les personnes dans le besoin bénéficient d’une aide, ce qui est un impératif social et économique. </w:t>
      </w:r>
    </w:p>
    <w:p w14:paraId="7078B738" w14:textId="7E259964" w:rsidR="00C65DCE" w:rsidRPr="00DC2002" w:rsidRDefault="00B15940" w:rsidP="005074EC">
      <w:pPr>
        <w:jc w:val="both"/>
        <w:rPr>
          <w:rFonts w:eastAsia="Times New Roman" w:cs="Times New Roman"/>
          <w:noProof/>
        </w:rPr>
      </w:pPr>
      <w:r>
        <w:rPr>
          <w:noProof/>
        </w:rPr>
        <w:t>La Commission mobilise tous les instruments financiers pertinents du budget de l’UE au titre du cadre financier pluriannuel (CFP) 2021-2027 pour relever les principaux défis en matière de santé mentale et soutenir les initiatives phares et les actions recensées dans la présente communication. En outre, les États membres peuvent bénéficier des fonds disponibles au titre de la facilité pour la reprise et la résilience</w:t>
      </w:r>
      <w:r>
        <w:rPr>
          <w:rStyle w:val="FootnoteReference"/>
          <w:rFonts w:eastAsia="Times New Roman" w:cs="Times New Roman"/>
          <w:noProof/>
          <w:lang w:val="en-IE"/>
        </w:rPr>
        <w:footnoteReference w:id="126"/>
      </w:r>
      <w:r>
        <w:rPr>
          <w:noProof/>
        </w:rPr>
        <w:t xml:space="preserve"> pour financer des réformes et des investissements dans le domaine de la santé, y compris la santé mentale.</w:t>
      </w:r>
    </w:p>
    <w:p w14:paraId="28C28F28" w14:textId="29F25463" w:rsidR="0056271E" w:rsidRPr="00DC2002" w:rsidRDefault="0056271E" w:rsidP="0056271E">
      <w:pPr>
        <w:jc w:val="both"/>
        <w:rPr>
          <w:noProof/>
        </w:rPr>
      </w:pPr>
      <w:bookmarkStart w:id="28" w:name="_Hlk136374288"/>
      <w:r>
        <w:rPr>
          <w:noProof/>
        </w:rPr>
        <w:t xml:space="preserve">Au total, un montant de 1,23 milliard d’EUR de soutien de l’UE aux activités de santé mentale a été recensé et est disponible pour financer des activités de promotion </w:t>
      </w:r>
      <w:r>
        <w:rPr>
          <w:b/>
          <w:noProof/>
        </w:rPr>
        <w:t>directe ou indirecte</w:t>
      </w:r>
      <w:r>
        <w:rPr>
          <w:noProof/>
        </w:rPr>
        <w:t xml:space="preserve"> de la santé mentale, de la recherche à des campagnes de sensibilisation, du renforcement des capacités et du transfert des meilleures pratiques en matière de santé au soutien psychologique aux patients atteints d’un cancer et aux réfugiés ukrainiens. </w:t>
      </w:r>
      <w:bookmarkEnd w:id="28"/>
      <w:r>
        <w:rPr>
          <w:noProof/>
        </w:rPr>
        <w:t>L’impact de ces projets et programmes fera l’objet d’un suivi régulier. Pour ce faire, il faut non seulement disposer de données fiables, comparables et récentes, mais aussi d’indicateurs, de systèmes de suivi et d’évaluation, afin d’assurer le suivi et l’obligation de rendre des comptes.</w:t>
      </w:r>
    </w:p>
    <w:p w14:paraId="5FA64130" w14:textId="599407C2" w:rsidR="00FB1372" w:rsidRPr="00DC2002" w:rsidRDefault="00D001F8" w:rsidP="005074EC">
      <w:pPr>
        <w:jc w:val="both"/>
        <w:rPr>
          <w:noProof/>
        </w:rPr>
      </w:pPr>
      <w:r>
        <w:rPr>
          <w:noProof/>
        </w:rPr>
        <w:t>Pour 2022 et 2023, 69,7 millions d’EUR ont été alloués par l’intermédiaire du programme «L’UE pour la santé»</w:t>
      </w:r>
      <w:r>
        <w:rPr>
          <w:rStyle w:val="FootnoteReference"/>
          <w:noProof/>
          <w:lang w:val="en-IE"/>
        </w:rPr>
        <w:footnoteReference w:id="127"/>
      </w:r>
      <w:r>
        <w:rPr>
          <w:noProof/>
        </w:rPr>
        <w:t xml:space="preserve"> à des actions visant à promouvoir la bonne santé mentale, dont 51,4 millions d’EUR au titre du programme de travail 2022</w:t>
      </w:r>
      <w:r>
        <w:rPr>
          <w:rStyle w:val="FootnoteReference"/>
          <w:noProof/>
          <w:lang w:val="en-IE"/>
        </w:rPr>
        <w:footnoteReference w:id="128"/>
      </w:r>
      <w:r>
        <w:rPr>
          <w:noProof/>
        </w:rPr>
        <w:t>, afin de soutenir les initiatives de renforcement des capacités dans les États membres et de s’attaquer aux problèmes de santé mentale des groupes vulnérables, et 18,3 millions d’EUR au titre du programme de travail «L’UE pour la santé» 2023 afin de soutenir le travail collaboratif entre les États membres et d’apporter un soutien psychologique aux patients atteints de cancer, à leurs aidants et à leurs familles</w:t>
      </w:r>
      <w:r>
        <w:rPr>
          <w:rStyle w:val="FootnoteReference"/>
          <w:noProof/>
          <w:lang w:val="en-IE"/>
        </w:rPr>
        <w:footnoteReference w:id="129"/>
      </w:r>
      <w:r>
        <w:rPr>
          <w:noProof/>
        </w:rPr>
        <w:t xml:space="preserve">. </w:t>
      </w:r>
    </w:p>
    <w:p w14:paraId="5EB47193" w14:textId="7B2C771E" w:rsidR="00326F76" w:rsidRDefault="005F35B6" w:rsidP="00815FA6">
      <w:pPr>
        <w:jc w:val="both"/>
        <w:rPr>
          <w:noProof/>
        </w:rPr>
      </w:pPr>
      <w:r>
        <w:rPr>
          <w:noProof/>
        </w:rPr>
        <w:t>Un montant de 765 millions d’EUR de financement sera mobilisé par l’intermédiaire du programme Horizon 2020 et Horizon Europe</w:t>
      </w:r>
      <w:r>
        <w:rPr>
          <w:rStyle w:val="FootnoteReference"/>
          <w:noProof/>
          <w:lang w:val="en-IE"/>
        </w:rPr>
        <w:footnoteReference w:id="130"/>
      </w:r>
      <w:r>
        <w:rPr>
          <w:noProof/>
        </w:rPr>
        <w:t xml:space="preserve"> pour soutenir des projets de recherche et d’innovation dans le domaine de la santé mentale. </w:t>
      </w:r>
      <w:bookmarkStart w:id="29" w:name="_Hlk134784887"/>
    </w:p>
    <w:p w14:paraId="72CA45FC" w14:textId="4CA151D0" w:rsidR="00815FA6" w:rsidRDefault="0044499B" w:rsidP="00815FA6">
      <w:pPr>
        <w:jc w:val="both"/>
        <w:rPr>
          <w:noProof/>
        </w:rPr>
      </w:pPr>
      <w:r>
        <w:rPr>
          <w:noProof/>
        </w:rPr>
        <w:t>Les autorités nationales, régionales et locales peuvent également utiliser les fonds de la politique de cohésion, en particulier le Fonds social européen plus (FSE+) et le Fonds européen de développement régional (FEDER), pour renforcer l’égalité d’accès aux soins de santé en investissant, par exemple, dans les infrastructures et les équipements pertinents, les assistants personnels, les équipes mobiles, les lignes d’assistance et les travailleurs sociaux</w:t>
      </w:r>
      <w:bookmarkEnd w:id="29"/>
      <w:r>
        <w:rPr>
          <w:rStyle w:val="FootnoteReference"/>
          <w:noProof/>
          <w:lang w:val="en-IE"/>
        </w:rPr>
        <w:footnoteReference w:id="131"/>
      </w:r>
      <w:r>
        <w:rPr>
          <w:noProof/>
        </w:rPr>
        <w:t>. L’instrument d’appui technique est disponible pour fournir un soutien technique aux États membres pour des projets dans le domaine de la santé mentale (2 millions d’EUR en 2023). En 2024, la Commission a l’intention de mobiliser des ressources supplémentaires au titre dudit instrument pour soutenir, en fonction de la demande, le renforcement des capacités en matière de santé mentale dans les États membres.</w:t>
      </w:r>
    </w:p>
    <w:p w14:paraId="49D0DDFC" w14:textId="383BE956" w:rsidR="00815FA6" w:rsidRPr="00CD64DC" w:rsidRDefault="00C03ED9" w:rsidP="00815FA6">
      <w:pPr>
        <w:jc w:val="both"/>
        <w:rPr>
          <w:noProof/>
        </w:rPr>
      </w:pPr>
      <w:r>
        <w:rPr>
          <w:noProof/>
        </w:rPr>
        <w:t xml:space="preserve">Un financement (3,3 millions d’EUR) a été mis à disposition au titre du programme «Europe créative» de l’UE pour des projets dans le domaine de la culture, du bien-être et de la santé mentale, </w:t>
      </w:r>
      <w:bookmarkStart w:id="30" w:name="_Hlk136431670"/>
      <w:r>
        <w:rPr>
          <w:noProof/>
        </w:rPr>
        <w:t>et</w:t>
      </w:r>
      <w:bookmarkEnd w:id="30"/>
      <w:r>
        <w:rPr>
          <w:noProof/>
        </w:rPr>
        <w:t xml:space="preserve"> 28 millions d’EUR ont été mobilisés pour soutenir la santé mentale et les activités de soutien psychosocial dans les situations d’urgence et humanitaires (protection civile et opérations d’aide humanitaire européenne). Le programme «Citoyenneté, égalité, droits et valeur»</w:t>
      </w:r>
      <w:r>
        <w:rPr>
          <w:rStyle w:val="FootnoteReference"/>
          <w:noProof/>
          <w:lang w:val="en-IE"/>
        </w:rPr>
        <w:footnoteReference w:id="132"/>
      </w:r>
      <w:r>
        <w:rPr>
          <w:noProof/>
        </w:rPr>
        <w:t xml:space="preserve"> (2023-2024) offre également des possibilités de financement</w:t>
      </w:r>
      <w:r>
        <w:rPr>
          <w:rStyle w:val="FootnoteReference"/>
          <w:noProof/>
          <w:lang w:val="en-IE"/>
        </w:rPr>
        <w:footnoteReference w:id="133"/>
      </w:r>
      <w:r>
        <w:rPr>
          <w:noProof/>
        </w:rPr>
        <w:t xml:space="preserve"> pour des actions relatives à la santé mentale des enfants et des victimes de violences sexistes</w:t>
      </w:r>
      <w:r>
        <w:rPr>
          <w:rStyle w:val="FootnoteReference"/>
          <w:noProof/>
          <w:lang w:val="en-IE"/>
        </w:rPr>
        <w:footnoteReference w:id="134"/>
      </w:r>
      <w:r>
        <w:rPr>
          <w:noProof/>
        </w:rPr>
        <w:t>. Pour contribuer à la lutte contre les problèmes de santé mentale sur le lieu de travail, un financement sera mis à disposition au titre de l’EU-OSHA.</w:t>
      </w:r>
    </w:p>
    <w:p w14:paraId="5FE55165" w14:textId="77777777" w:rsidR="00815FA6" w:rsidRPr="00DE4683" w:rsidRDefault="00815FA6" w:rsidP="00815FA6">
      <w:pPr>
        <w:jc w:val="both"/>
        <w:rPr>
          <w:noProof/>
        </w:rPr>
      </w:pPr>
    </w:p>
    <w:p w14:paraId="162FE09E" w14:textId="1EFA840E" w:rsidR="003375EC" w:rsidRPr="00DC2002" w:rsidRDefault="000738FC" w:rsidP="005074EC">
      <w:pPr>
        <w:pStyle w:val="Heading2"/>
        <w:numPr>
          <w:ilvl w:val="0"/>
          <w:numId w:val="0"/>
        </w:numPr>
        <w:jc w:val="both"/>
        <w:rPr>
          <w:noProof/>
        </w:rPr>
      </w:pPr>
      <w:r>
        <w:rPr>
          <w:noProof/>
        </w:rPr>
        <w:t>Conclusions et prochaines étapes</w:t>
      </w:r>
    </w:p>
    <w:p w14:paraId="3B3982BB" w14:textId="69D05D66" w:rsidR="0056271E" w:rsidRPr="00DC2002" w:rsidRDefault="008F4126" w:rsidP="005074EC">
      <w:pPr>
        <w:jc w:val="both"/>
        <w:rPr>
          <w:noProof/>
        </w:rPr>
      </w:pPr>
      <w:r>
        <w:rPr>
          <w:noProof/>
        </w:rPr>
        <w:t xml:space="preserve">Les défis actuels en matière de santé mentale peuvent toucher tout le monde et nécessitent des actions concertées et l’engagement total de tous les acteurs concernés. La santé mentale fait </w:t>
      </w:r>
      <w:r>
        <w:rPr>
          <w:b/>
          <w:noProof/>
        </w:rPr>
        <w:t>partie intégrante de la santé des personnes</w:t>
      </w:r>
      <w:r>
        <w:rPr>
          <w:noProof/>
        </w:rPr>
        <w:t>.</w:t>
      </w:r>
      <w:r>
        <w:rPr>
          <w:noProof/>
          <w:color w:val="000000" w:themeColor="text1"/>
        </w:rPr>
        <w:t xml:space="preserve"> Elle permet à chacun de réaliser ses propres capacités, de faire face aux contraintes de la vie, de socialiser, de travailler et de contribuer à la vie de la communauté.</w:t>
      </w:r>
    </w:p>
    <w:p w14:paraId="05A6BA14" w14:textId="02B31052" w:rsidR="0056271E" w:rsidRPr="00DC2002" w:rsidRDefault="002231B8" w:rsidP="005074EC">
      <w:pPr>
        <w:jc w:val="both"/>
        <w:rPr>
          <w:noProof/>
        </w:rPr>
      </w:pPr>
      <w:r>
        <w:rPr>
          <w:noProof/>
        </w:rPr>
        <w:t xml:space="preserve">Toutes les institutions et tous les niveaux de gouvernement peuvent et doivent jouer leur rôle pour surmonter les obstacles à la bonne santé mentale. Des efforts coordonnés avec le système de santé et au-delà de celui-ci sont nécessaires pour mobiliser la société dans son ensemble et adopter une approche tout au long de la vie en mettant l’accent sur l’égalité et la non-discrimination. </w:t>
      </w:r>
    </w:p>
    <w:p w14:paraId="7AF33D11" w14:textId="56C5DBEF" w:rsidR="0056271E" w:rsidRPr="00DC2002" w:rsidRDefault="0056271E" w:rsidP="005074EC">
      <w:pPr>
        <w:jc w:val="both"/>
        <w:rPr>
          <w:rFonts w:eastAsia="Times New Roman" w:cs="Times New Roman"/>
          <w:noProof/>
          <w:color w:val="000000" w:themeColor="text1"/>
        </w:rPr>
      </w:pPr>
      <w:r>
        <w:rPr>
          <w:noProof/>
        </w:rPr>
        <w:t>La Commission invite le Parlement européen et les États membres à collaborer pour mettre en avant les initiatives présentées dans la présente communication stratégique, qui jettent les bases d’une action soutenue au niveau national et au niveau de l’UE en vue d’une approche globale, axée sur la prévention et une approche multipartite de la santé mentale.</w:t>
      </w:r>
      <w:r>
        <w:rPr>
          <w:noProof/>
          <w:color w:val="000000" w:themeColor="text1"/>
        </w:rPr>
        <w:t xml:space="preserve"> Elles promeuvent l’universalité des soins de santé pour les personnes souffrant de problèmes de santé mentale dans l’UE et au-delà de ses frontières. </w:t>
      </w:r>
    </w:p>
    <w:p w14:paraId="5238783F" w14:textId="6D736035" w:rsidR="00EE4A55" w:rsidRPr="00DC2002" w:rsidRDefault="006B47EF" w:rsidP="005074EC">
      <w:pPr>
        <w:jc w:val="both"/>
        <w:rPr>
          <w:noProof/>
        </w:rPr>
      </w:pPr>
      <w:r>
        <w:rPr>
          <w:noProof/>
          <w:color w:val="000000" w:themeColor="text1"/>
        </w:rPr>
        <w:t>La prévention des problèmes de santé mentale, l’accès à l’aide et la réintégration dans la société font partie intégrante du droit aux soins de santé et, dans le cadre de cette initiative, l’UE se fixe un niveau d’ambition élevé pour venir en aide aux plus fragiles et aux plus vulnérables de nos sociétés, conformément au mode de vie européen où chaque personne compte et devrait avoir une perspective de vie prospère.</w:t>
      </w:r>
    </w:p>
    <w:p w14:paraId="26474000" w14:textId="7E3EB488" w:rsidR="00CD7200" w:rsidRPr="00E46D00" w:rsidRDefault="00DE408A" w:rsidP="005074EC">
      <w:pPr>
        <w:jc w:val="both"/>
        <w:rPr>
          <w:noProof/>
        </w:rPr>
      </w:pPr>
      <w:r>
        <w:rPr>
          <w:noProof/>
        </w:rPr>
        <w:t>La présente communication marque le début d’une nouvelle approche stratégique visant à mettre la santé mentale sur un pied d’égalité avec la santé physique. Elle ajoute un autre pilier à l’architecture de l’union européenne de la santé en renforçant les travaux en cours et en ouvrant de nouveaux axes de travail, élaborés avec tous les partenaires et incluant des actions de mise en œuvre. Celles-ci feront l’objet d’un suivi attentif avec les États membres dans le cadre du groupe d’experts sur la santé publique, et en particulier de son sous-groupe sur la santé mentale. Les parties prenantes auront la possibilité de collaborer et de coordonner leur contribution conjointe à l’élaboration et à la mise en œuvre des actions définies par l’intermédiaire de la plateforme de l’UE sur la politique de santé. Ces efforts concertés ouvriront la voie à l’élaboration et à la mise en œuvre d’une nouvelle approche ambitieuse en matière de santé mentale pour une société plus résiliente qui donne la priorité aux citoyens.</w:t>
      </w:r>
    </w:p>
    <w:sectPr w:rsidR="00CD7200" w:rsidRPr="00E46D00" w:rsidSect="002A4672">
      <w:headerReference w:type="even" r:id="rId20"/>
      <w:headerReference w:type="default" r:id="rId21"/>
      <w:footerReference w:type="even" r:id="rId22"/>
      <w:footerReference w:type="default" r:id="rId23"/>
      <w:headerReference w:type="first" r:id="rId24"/>
      <w:footerReference w:type="first" r:id="rId2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BC2AF" w14:textId="77777777" w:rsidR="00127B6A" w:rsidRDefault="00127B6A" w:rsidP="00473235">
      <w:pPr>
        <w:spacing w:after="0" w:line="240" w:lineRule="auto"/>
      </w:pPr>
      <w:r>
        <w:separator/>
      </w:r>
    </w:p>
  </w:endnote>
  <w:endnote w:type="continuationSeparator" w:id="0">
    <w:p w14:paraId="11124010" w14:textId="77777777" w:rsidR="00127B6A" w:rsidRDefault="00127B6A" w:rsidP="00473235">
      <w:pPr>
        <w:spacing w:after="0" w:line="240" w:lineRule="auto"/>
      </w:pPr>
      <w:r>
        <w:continuationSeparator/>
      </w:r>
    </w:p>
  </w:endnote>
  <w:endnote w:type="continuationNotice" w:id="1">
    <w:p w14:paraId="51BB1111" w14:textId="77777777" w:rsidR="00127B6A" w:rsidRDefault="00127B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2B8CE" w14:textId="244EE421" w:rsidR="006C0ADA" w:rsidRPr="00EF4204" w:rsidRDefault="006C0ADA" w:rsidP="00EF42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E70A" w14:textId="715FA39B" w:rsidR="006C0ADA" w:rsidRPr="00EF4204" w:rsidRDefault="00EF4204" w:rsidP="00EF4204">
    <w:pPr>
      <w:pStyle w:val="FooterCoverPage"/>
      <w:rPr>
        <w:rFonts w:ascii="Arial" w:hAnsi="Arial" w:cs="Arial"/>
        <w:b/>
        <w:sz w:val="48"/>
      </w:rPr>
    </w:pPr>
    <w:r w:rsidRPr="00EF4204">
      <w:rPr>
        <w:rFonts w:ascii="Arial" w:hAnsi="Arial" w:cs="Arial"/>
        <w:b/>
        <w:sz w:val="48"/>
      </w:rPr>
      <w:t>FR</w:t>
    </w:r>
    <w:r w:rsidRPr="00EF4204">
      <w:rPr>
        <w:rFonts w:ascii="Arial" w:hAnsi="Arial" w:cs="Arial"/>
        <w:b/>
        <w:sz w:val="48"/>
      </w:rPr>
      <w:tab/>
    </w:r>
    <w:r w:rsidRPr="00EF4204">
      <w:rPr>
        <w:rFonts w:ascii="Arial" w:hAnsi="Arial" w:cs="Arial"/>
        <w:b/>
        <w:sz w:val="48"/>
      </w:rPr>
      <w:tab/>
    </w:r>
    <w:r w:rsidRPr="00EF4204">
      <w:tab/>
    </w:r>
    <w:r w:rsidRPr="00EF420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A4758" w14:textId="77777777" w:rsidR="00EF4204" w:rsidRPr="00EF4204" w:rsidRDefault="00EF4204" w:rsidP="00EF420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0B288" w14:textId="77777777" w:rsidR="00ED30DB" w:rsidRPr="00473235" w:rsidRDefault="00ED30DB" w:rsidP="00473235">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47872"/>
      <w:docPartObj>
        <w:docPartGallery w:val="Page Numbers (Bottom of Page)"/>
        <w:docPartUnique/>
      </w:docPartObj>
    </w:sdtPr>
    <w:sdtEndPr>
      <w:rPr>
        <w:sz w:val="16"/>
        <w:szCs w:val="14"/>
      </w:rPr>
    </w:sdtEndPr>
    <w:sdtContent>
      <w:p w14:paraId="6197778F" w14:textId="0BBBBC15" w:rsidR="00B716FC" w:rsidRPr="00DF2B2A" w:rsidRDefault="00262911">
        <w:pPr>
          <w:pStyle w:val="Footer"/>
          <w:jc w:val="right"/>
          <w:rPr>
            <w:sz w:val="16"/>
            <w:szCs w:val="14"/>
          </w:rPr>
        </w:pPr>
        <w:r>
          <w:rPr>
            <w:sz w:val="16"/>
          </w:rPr>
          <w:fldChar w:fldCharType="begin"/>
        </w:r>
        <w:r>
          <w:rPr>
            <w:sz w:val="16"/>
          </w:rPr>
          <w:instrText>PAGE   \* MERGEFORMAT</w:instrText>
        </w:r>
        <w:r>
          <w:rPr>
            <w:sz w:val="16"/>
          </w:rPr>
          <w:fldChar w:fldCharType="separate"/>
        </w:r>
        <w:r w:rsidR="00EF4204">
          <w:rPr>
            <w:noProof/>
            <w:sz w:val="16"/>
          </w:rPr>
          <w:t>1</w:t>
        </w:r>
        <w:r>
          <w:rPr>
            <w:sz w:val="16"/>
          </w:rPr>
          <w:fldChar w:fldCharType="end"/>
        </w:r>
      </w:p>
    </w:sdtContent>
  </w:sdt>
  <w:p w14:paraId="0AD28B55" w14:textId="77777777" w:rsidR="00B716FC" w:rsidRDefault="00B716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5F112" w14:textId="77777777" w:rsidR="00ED30DB" w:rsidRDefault="00ED3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1E167" w14:textId="77777777" w:rsidR="00127B6A" w:rsidRDefault="00127B6A" w:rsidP="00473235">
      <w:pPr>
        <w:spacing w:after="0" w:line="240" w:lineRule="auto"/>
      </w:pPr>
      <w:r>
        <w:separator/>
      </w:r>
    </w:p>
  </w:footnote>
  <w:footnote w:type="continuationSeparator" w:id="0">
    <w:p w14:paraId="5A77AFEB" w14:textId="77777777" w:rsidR="00127B6A" w:rsidRDefault="00127B6A" w:rsidP="00473235">
      <w:pPr>
        <w:spacing w:after="0" w:line="240" w:lineRule="auto"/>
      </w:pPr>
      <w:r>
        <w:continuationSeparator/>
      </w:r>
    </w:p>
  </w:footnote>
  <w:footnote w:type="continuationNotice" w:id="1">
    <w:p w14:paraId="13593C00" w14:textId="77777777" w:rsidR="00127B6A" w:rsidRDefault="00127B6A">
      <w:pPr>
        <w:spacing w:after="0" w:line="240" w:lineRule="auto"/>
      </w:pPr>
    </w:p>
  </w:footnote>
  <w:footnote w:id="2">
    <w:p w14:paraId="7ED57F94" w14:textId="50BCBE17" w:rsidR="005D1FFA" w:rsidRPr="00702527" w:rsidRDefault="005D1FFA" w:rsidP="00B60BED">
      <w:pPr>
        <w:pStyle w:val="FootnoteText"/>
        <w:ind w:left="113" w:hanging="113"/>
        <w:jc w:val="both"/>
      </w:pPr>
      <w:r>
        <w:rPr>
          <w:rStyle w:val="numberCharChar1"/>
          <w:rFonts w:ascii="Times New Roman" w:hAnsi="Times New Roman" w:cs="Times New Roman"/>
          <w:sz w:val="20"/>
        </w:rPr>
        <w:footnoteRef/>
      </w:r>
      <w:r>
        <w:t xml:space="preserve"> </w:t>
      </w:r>
      <w:hyperlink r:id="rId1" w:history="1">
        <w:r>
          <w:rPr>
            <w:rStyle w:val="Hyperlink"/>
          </w:rPr>
          <w:t>Panorama de la santé</w:t>
        </w:r>
      </w:hyperlink>
      <w:r>
        <w:t>: Europe 2018.</w:t>
      </w:r>
    </w:p>
  </w:footnote>
  <w:footnote w:id="3">
    <w:p w14:paraId="00C68EA0" w14:textId="1EEC98E4" w:rsidR="006F362B" w:rsidRPr="00E074BB" w:rsidRDefault="006F362B" w:rsidP="00B60BED">
      <w:pPr>
        <w:pStyle w:val="FootnoteText"/>
        <w:ind w:left="113" w:hanging="113"/>
        <w:jc w:val="both"/>
      </w:pPr>
      <w:r>
        <w:rPr>
          <w:rStyle w:val="FootnoteReference"/>
        </w:rPr>
        <w:footnoteRef/>
      </w:r>
      <w:r>
        <w:t xml:space="preserve"> </w:t>
      </w:r>
      <w:hyperlink r:id="rId2" w:history="1">
        <w:r>
          <w:rPr>
            <w:rStyle w:val="Hyperlink"/>
          </w:rPr>
          <w:t xml:space="preserve"> Eurostat News - Eurostat (europa.eu)</w:t>
        </w:r>
      </w:hyperlink>
      <w:r>
        <w:rPr>
          <w:rStyle w:val="Hyperlink"/>
        </w:rPr>
        <w:t>.</w:t>
      </w:r>
    </w:p>
  </w:footnote>
  <w:footnote w:id="4">
    <w:p w14:paraId="040E9BE8" w14:textId="77777777" w:rsidR="005F5B75" w:rsidRPr="0035634C" w:rsidRDefault="005F5B75" w:rsidP="00B60BED">
      <w:pPr>
        <w:pStyle w:val="FootnoteText"/>
        <w:ind w:left="113" w:hanging="113"/>
        <w:jc w:val="both"/>
      </w:pPr>
      <w:r>
        <w:rPr>
          <w:rStyle w:val="FootnoteReference"/>
        </w:rPr>
        <w:footnoteRef/>
      </w:r>
      <w:r>
        <w:t xml:space="preserve"> </w:t>
      </w:r>
      <w:hyperlink r:id="rId3" w:history="1">
        <w:r>
          <w:rPr>
            <w:rStyle w:val="Hyperlink"/>
          </w:rPr>
          <w:t>Nouveau rapport: La solitude double en Europe pendant la pandémie (europa.eu)</w:t>
        </w:r>
      </w:hyperlink>
      <w:r>
        <w:rPr>
          <w:rStyle w:val="Hyperlink"/>
        </w:rPr>
        <w:t>.</w:t>
      </w:r>
    </w:p>
  </w:footnote>
  <w:footnote w:id="5">
    <w:p w14:paraId="4BBB1A89" w14:textId="4581B2E7" w:rsidR="00D344EB" w:rsidRPr="00702527" w:rsidRDefault="00D344EB" w:rsidP="00B60BED">
      <w:pPr>
        <w:pStyle w:val="FootnoteText"/>
        <w:ind w:left="113" w:hanging="113"/>
      </w:pPr>
      <w:r>
        <w:rPr>
          <w:rStyle w:val="FootnoteReference"/>
        </w:rPr>
        <w:footnoteRef/>
      </w:r>
      <w:r>
        <w:t xml:space="preserve"> </w:t>
      </w:r>
      <w:hyperlink r:id="rId4" w:history="1">
        <w:r>
          <w:rPr>
            <w:rStyle w:val="Hyperlink"/>
          </w:rPr>
          <w:t>Conséquences de la pandémie de COVID-19 sur la santé mentale et implications pour la pratique clinique | European Psychiatry | Cambridge Core</w:t>
        </w:r>
      </w:hyperlink>
      <w:r>
        <w:t>.</w:t>
      </w:r>
    </w:p>
  </w:footnote>
  <w:footnote w:id="6">
    <w:p w14:paraId="0FBCF8CB" w14:textId="49A93469" w:rsidR="001F5F5A" w:rsidRPr="00702527" w:rsidRDefault="001F5F5A" w:rsidP="00B60BED">
      <w:pPr>
        <w:pStyle w:val="FootnoteText"/>
        <w:ind w:left="113" w:hanging="113"/>
        <w:jc w:val="both"/>
      </w:pPr>
      <w:r>
        <w:rPr>
          <w:rStyle w:val="FootnoteReference"/>
        </w:rPr>
        <w:footnoteRef/>
      </w:r>
      <w:r>
        <w:t xml:space="preserve"> La</w:t>
      </w:r>
      <w:hyperlink r:id="rId5" w:history="1">
        <w:r>
          <w:rPr>
            <w:rStyle w:val="Hyperlink"/>
          </w:rPr>
          <w:t xml:space="preserve"> situation des enfants dans le monde 2021</w:t>
        </w:r>
      </w:hyperlink>
      <w:r>
        <w:t>: Dans ma tête - Promouvoir, protéger et prendre en charge la santé mentale des enfants, Résumé analytique régional: Europe (en anglais), UNICEF, 2021.</w:t>
      </w:r>
    </w:p>
  </w:footnote>
  <w:footnote w:id="7">
    <w:p w14:paraId="10E49557" w14:textId="22FDC2C8" w:rsidR="0035634C" w:rsidRPr="0035634C" w:rsidRDefault="0035634C" w:rsidP="00F511E4">
      <w:pPr>
        <w:pStyle w:val="FootnoteText"/>
        <w:ind w:left="113" w:hanging="113"/>
        <w:jc w:val="both"/>
      </w:pPr>
      <w:r>
        <w:rPr>
          <w:rStyle w:val="FootnoteReference"/>
        </w:rPr>
        <w:footnoteRef/>
      </w:r>
      <w:r>
        <w:t xml:space="preserve"> </w:t>
      </w:r>
      <w:hyperlink r:id="rId6" w:history="1">
        <w:r>
          <w:rPr>
            <w:rStyle w:val="Hyperlink"/>
          </w:rPr>
          <w:t>La situation des enfants dans le monde 2021 - Résumé analytique régional: Europe (en anglais) (unicef.org)</w:t>
        </w:r>
      </w:hyperlink>
      <w:r>
        <w:rPr>
          <w:rStyle w:val="Hyperlink"/>
        </w:rPr>
        <w:t>.</w:t>
      </w:r>
    </w:p>
  </w:footnote>
  <w:footnote w:id="8">
    <w:p w14:paraId="30368FAB" w14:textId="4610C66B" w:rsidR="002D5CBE" w:rsidRPr="002B6CA5" w:rsidRDefault="002D5CBE">
      <w:pPr>
        <w:pStyle w:val="FootnoteText"/>
      </w:pPr>
      <w:r>
        <w:rPr>
          <w:rStyle w:val="FootnoteReference"/>
        </w:rPr>
        <w:footnoteRef/>
      </w:r>
      <w:r>
        <w:t xml:space="preserve"> https://www.europarl.europa.eu/doceo/document/TA-9-2022-0279_FR.html.</w:t>
      </w:r>
    </w:p>
  </w:footnote>
  <w:footnote w:id="9">
    <w:p w14:paraId="72A7B9C6" w14:textId="350FC803" w:rsidR="00503A72" w:rsidRPr="007B6030" w:rsidRDefault="00503A72" w:rsidP="00503A72">
      <w:pPr>
        <w:pStyle w:val="FootnoteText"/>
        <w:jc w:val="both"/>
      </w:pPr>
      <w:r>
        <w:rPr>
          <w:rStyle w:val="FootnoteReference"/>
        </w:rPr>
        <w:footnoteRef/>
      </w:r>
      <w:r>
        <w:t xml:space="preserve"> </w:t>
      </w:r>
      <w:hyperlink r:id="rId7" w:history="1">
        <w:r>
          <w:rPr>
            <w:rStyle w:val="Hyperlink"/>
          </w:rPr>
          <w:t>En route vers 2025 (en anglais) (who.int).</w:t>
        </w:r>
      </w:hyperlink>
    </w:p>
  </w:footnote>
  <w:footnote w:id="10">
    <w:p w14:paraId="278ED8F7" w14:textId="77777777" w:rsidR="00503A72" w:rsidRPr="007B6030" w:rsidRDefault="00503A72" w:rsidP="00503A72">
      <w:pPr>
        <w:pStyle w:val="FootnoteText"/>
        <w:ind w:left="170" w:hanging="170"/>
        <w:jc w:val="both"/>
        <w:rPr>
          <w:rStyle w:val="Hyperlink"/>
          <w:rFonts w:cs="Times New Roman"/>
          <w:color w:val="auto"/>
          <w:u w:val="none"/>
        </w:rPr>
      </w:pPr>
      <w:r>
        <w:rPr>
          <w:rStyle w:val="Hyperlink"/>
          <w:rFonts w:cs="Times New Roman"/>
          <w:color w:val="auto"/>
          <w:u w:val="none"/>
          <w:vertAlign w:val="superscript"/>
        </w:rPr>
        <w:footnoteRef/>
      </w:r>
      <w:r>
        <w:rPr>
          <w:rStyle w:val="Hyperlink"/>
          <w:color w:val="auto"/>
          <w:u w:val="none"/>
        </w:rPr>
        <w:t xml:space="preserve"> ODD 3.4: Maladies non transmissibles et santé mentale: «D’ici à 2030, réduire d’un tiers, par la prévention et le traitement, le taux de mortalité prématurée due à des maladies non transmissibles et promouvoir la santé mentale et le bien-être». </w:t>
      </w:r>
    </w:p>
  </w:footnote>
  <w:footnote w:id="11">
    <w:p w14:paraId="32775BC1" w14:textId="77F5D731" w:rsidR="008E3677" w:rsidRPr="00CD6B50" w:rsidRDefault="008E3677" w:rsidP="00302CC9">
      <w:pPr>
        <w:autoSpaceDE w:val="0"/>
        <w:autoSpaceDN w:val="0"/>
        <w:spacing w:after="0" w:line="240" w:lineRule="auto"/>
        <w:ind w:left="170" w:hanging="170"/>
        <w:jc w:val="both"/>
        <w:rPr>
          <w:sz w:val="16"/>
          <w:szCs w:val="16"/>
        </w:rPr>
      </w:pPr>
      <w:r>
        <w:rPr>
          <w:rStyle w:val="FootnoteReference"/>
          <w:sz w:val="20"/>
          <w:szCs w:val="20"/>
        </w:rPr>
        <w:footnoteRef/>
      </w:r>
      <w:r>
        <w:rPr>
          <w:sz w:val="20"/>
        </w:rPr>
        <w:t xml:space="preserve"> </w:t>
      </w:r>
      <w:hyperlink r:id="rId8" w:history="1">
        <w:r>
          <w:rPr>
            <w:rStyle w:val="Hyperlink"/>
            <w:sz w:val="20"/>
          </w:rPr>
          <w:t>L’éducation: un déterminant social négligé en matière de santé (en anglais) - The Lancet Public Health</w:t>
        </w:r>
      </w:hyperlink>
      <w:r>
        <w:rPr>
          <w:sz w:val="20"/>
        </w:rPr>
        <w:t>.</w:t>
      </w:r>
      <w:r>
        <w:rPr>
          <w:sz w:val="16"/>
        </w:rPr>
        <w:t xml:space="preserve"> </w:t>
      </w:r>
    </w:p>
  </w:footnote>
  <w:footnote w:id="12">
    <w:p w14:paraId="1F93BA79" w14:textId="77777777" w:rsidR="00F36E66" w:rsidRPr="006E046A" w:rsidRDefault="00F36E66" w:rsidP="00302CC9">
      <w:pPr>
        <w:pStyle w:val="FootnoteText"/>
        <w:ind w:left="170" w:hanging="170"/>
      </w:pPr>
      <w:r>
        <w:rPr>
          <w:rStyle w:val="FootnoteReference"/>
        </w:rPr>
        <w:footnoteRef/>
      </w:r>
      <w:r>
        <w:t xml:space="preserve"> </w:t>
      </w:r>
      <w:hyperlink r:id="rId9" w:history="1">
        <w:r>
          <w:rPr>
            <w:rStyle w:val="Hyperlink"/>
          </w:rPr>
          <w:t>À esprits plus adaptés, emplois plus adaptés: De la prise en conscience au changement dans les politiques intégrées de la santé mentale, des compétences et de l’emploi (en anglais) | Santé mentale et emploi | OECD iLibrary (oecd-ilibrary.org)</w:t>
        </w:r>
      </w:hyperlink>
      <w:r>
        <w:t>.</w:t>
      </w:r>
    </w:p>
  </w:footnote>
  <w:footnote w:id="13">
    <w:p w14:paraId="2D401A3C" w14:textId="3CFA8E76" w:rsidR="006743D2" w:rsidRPr="006E046A" w:rsidRDefault="006743D2" w:rsidP="00302CC9">
      <w:pPr>
        <w:pStyle w:val="FootnoteText"/>
        <w:ind w:left="170" w:hanging="170"/>
        <w:jc w:val="both"/>
      </w:pPr>
      <w:r>
        <w:rPr>
          <w:rStyle w:val="FootnoteReference"/>
        </w:rPr>
        <w:footnoteRef/>
      </w:r>
      <w:r>
        <w:t xml:space="preserve"> </w:t>
      </w:r>
      <w:hyperlink r:id="rId10" w:history="1">
        <w:r>
          <w:rPr>
            <w:rStyle w:val="Hyperlink"/>
          </w:rPr>
          <w:t>Stratégie en faveur de l’égalité entre les hommes et les femmes</w:t>
        </w:r>
      </w:hyperlink>
      <w:r>
        <w:t xml:space="preserve">; </w:t>
      </w:r>
      <w:hyperlink r:id="rId11" w:history="1">
        <w:r>
          <w:rPr>
            <w:rStyle w:val="Hyperlink"/>
          </w:rPr>
          <w:t>stratégie en faveur de l’égalité de traitement à l’égard des personnes LGBTIQ</w:t>
        </w:r>
      </w:hyperlink>
      <w:r>
        <w:t xml:space="preserve">; </w:t>
      </w:r>
      <w:hyperlink r:id="rId12" w:history="1">
        <w:r>
          <w:rPr>
            <w:rStyle w:val="Hyperlink"/>
          </w:rPr>
          <w:t>cadre stratégique pour les Roms</w:t>
        </w:r>
      </w:hyperlink>
      <w:r>
        <w:t xml:space="preserve">; </w:t>
      </w:r>
      <w:hyperlink r:id="rId13" w:history="1">
        <w:r>
          <w:rPr>
            <w:rStyle w:val="Hyperlink"/>
          </w:rPr>
          <w:t>stratégie relative aux droits des personnes handicapées</w:t>
        </w:r>
      </w:hyperlink>
      <w:r>
        <w:t>.</w:t>
      </w:r>
    </w:p>
  </w:footnote>
  <w:footnote w:id="14">
    <w:p w14:paraId="71DD7AEC" w14:textId="54227B50" w:rsidR="00197903" w:rsidRPr="002B6CA5" w:rsidRDefault="00197903" w:rsidP="00197903">
      <w:pPr>
        <w:pStyle w:val="FootnoteText"/>
      </w:pPr>
      <w:r>
        <w:rPr>
          <w:rStyle w:val="FootnoteReference"/>
        </w:rPr>
        <w:footnoteRef/>
      </w:r>
      <w:r>
        <w:t xml:space="preserve"> </w:t>
      </w:r>
      <w:hyperlink r:id="rId14" w:history="1">
        <w:r>
          <w:rPr>
            <w:rStyle w:val="Hyperlink"/>
          </w:rPr>
          <w:t>La stratégie de l’UE sur les droits de l’enfant et la garantie européenne pour l’enfance (europa.eu)</w:t>
        </w:r>
      </w:hyperlink>
      <w:r>
        <w:rPr>
          <w:rStyle w:val="Hyperlink"/>
        </w:rPr>
        <w:t>.</w:t>
      </w:r>
    </w:p>
  </w:footnote>
  <w:footnote w:id="15">
    <w:p w14:paraId="0C5156CB" w14:textId="77777777" w:rsidR="005A1EC8" w:rsidRPr="00292C27" w:rsidRDefault="005A1EC8" w:rsidP="00364CD8">
      <w:pPr>
        <w:pStyle w:val="FootnoteText"/>
        <w:ind w:left="227" w:hanging="227"/>
        <w:jc w:val="both"/>
      </w:pPr>
      <w:r>
        <w:rPr>
          <w:rStyle w:val="FootnoteReference"/>
        </w:rPr>
        <w:footnoteRef/>
      </w:r>
      <w:r>
        <w:t xml:space="preserve"> Règlement (UE) 2022/2065 du Parlement européen et du Conseil relatif à un marché unique des services numériques et modifiant la directive 2000/31/CE (règlement sur les services numériques), </w:t>
      </w:r>
      <w:hyperlink r:id="rId15" w:history="1">
        <w:r>
          <w:rPr>
            <w:rStyle w:val="Hyperlink"/>
          </w:rPr>
          <w:t>https://eur-lex.europa.eu/legal-content/FR/TXT/?uri=celex%3A32022R2065</w:t>
        </w:r>
      </w:hyperlink>
      <w:r>
        <w:t xml:space="preserve">. </w:t>
      </w:r>
    </w:p>
  </w:footnote>
  <w:footnote w:id="16">
    <w:p w14:paraId="277B520F" w14:textId="77777777" w:rsidR="005A1EC8" w:rsidRPr="00292C27" w:rsidRDefault="005A1EC8" w:rsidP="00364CD8">
      <w:pPr>
        <w:pStyle w:val="FootnoteText"/>
        <w:ind w:left="227" w:hanging="227"/>
        <w:jc w:val="both"/>
      </w:pPr>
      <w:r>
        <w:rPr>
          <w:rStyle w:val="FootnoteReference"/>
        </w:rPr>
        <w:footnoteRef/>
      </w:r>
      <w:r>
        <w:t xml:space="preserve"> Il peut s’agir, par exemple, d’atténuer les effets négatifs des recommandations personnalisées et de corriger les critères utilisés dans leurs recommandations, de mettre fin aux recettes publicitaires pour des informations déterminées ou d’adapter la visibilité des sources d’information faisant autorité. </w:t>
      </w:r>
    </w:p>
  </w:footnote>
  <w:footnote w:id="17">
    <w:p w14:paraId="069AE29F" w14:textId="5B999504" w:rsidR="00943026" w:rsidRPr="006E046A" w:rsidRDefault="00943026" w:rsidP="00364CD8">
      <w:pPr>
        <w:pStyle w:val="FootnoteText"/>
        <w:ind w:left="227" w:hanging="227"/>
        <w:jc w:val="both"/>
      </w:pPr>
      <w:r>
        <w:rPr>
          <w:rStyle w:val="FootnoteReference"/>
        </w:rPr>
        <w:footnoteRef/>
      </w:r>
      <w:r>
        <w:t xml:space="preserve"> Tels que le </w:t>
      </w:r>
      <w:hyperlink r:id="rId16" w:history="1">
        <w:r>
          <w:rPr>
            <w:rStyle w:val="Hyperlink"/>
          </w:rPr>
          <w:t>modèle de bonnes pratiques de l’EAAD</w:t>
        </w:r>
      </w:hyperlink>
      <w:r>
        <w:t xml:space="preserve"> visant à améliorer le traitement de la dépression et à prévenir le comportement suicidaire en Europe, financé au titre du 3</w:t>
      </w:r>
      <w:r>
        <w:rPr>
          <w:vertAlign w:val="superscript"/>
        </w:rPr>
        <w:t>e</w:t>
      </w:r>
      <w:r>
        <w:t xml:space="preserve"> programme «Santé» de l’UE à hauteur de 2 millions d’EUR.</w:t>
      </w:r>
    </w:p>
  </w:footnote>
  <w:footnote w:id="18">
    <w:p w14:paraId="16348570" w14:textId="77777777" w:rsidR="00D46ACB" w:rsidRPr="006E046A" w:rsidRDefault="00D46ACB" w:rsidP="00364CD8">
      <w:pPr>
        <w:pStyle w:val="FootnoteText"/>
        <w:ind w:left="227" w:hanging="227"/>
        <w:jc w:val="both"/>
      </w:pPr>
      <w:r>
        <w:rPr>
          <w:rStyle w:val="FootnoteReference"/>
        </w:rPr>
        <w:footnoteRef/>
      </w:r>
      <w:r>
        <w:t xml:space="preserve"> </w:t>
      </w:r>
      <w:hyperlink r:id="rId17" w:history="1">
        <w:r>
          <w:rPr>
            <w:rStyle w:val="Hyperlink"/>
          </w:rPr>
          <w:t>https://health.ec.europa.eu/non-communicable-diseases/expert-group-public-health_fr</w:t>
        </w:r>
      </w:hyperlink>
      <w:r>
        <w:t>.</w:t>
      </w:r>
    </w:p>
  </w:footnote>
  <w:footnote w:id="19">
    <w:p w14:paraId="0808D30C" w14:textId="4F0F9CA0" w:rsidR="00EA4639" w:rsidRPr="006E046A" w:rsidRDefault="00EA4639" w:rsidP="00364CD8">
      <w:pPr>
        <w:pStyle w:val="FootnoteText"/>
        <w:ind w:left="227" w:hanging="227"/>
        <w:jc w:val="both"/>
      </w:pPr>
      <w:r>
        <w:rPr>
          <w:rStyle w:val="FootnoteReference"/>
        </w:rPr>
        <w:footnoteRef/>
      </w:r>
      <w:r>
        <w:tab/>
        <w:t xml:space="preserve">Soutien financier au titre du </w:t>
      </w:r>
      <w:hyperlink r:id="rId18" w:history="1">
        <w:r>
          <w:rPr>
            <w:rStyle w:val="Hyperlink"/>
          </w:rPr>
          <w:t>programme de travail «L’UE pour la santé» 2021</w:t>
        </w:r>
      </w:hyperlink>
      <w:r>
        <w:t>: DP-g-07.2.1 Collecte et soutien à la mise en œuvre de bonnes pratiques innovantes et des résultats de la recherche sur les maladies non transmissibles: budget renforcé par la redistribution des fonds à hauteur d’1 million d’EUR.</w:t>
      </w:r>
    </w:p>
  </w:footnote>
  <w:footnote w:id="20">
    <w:p w14:paraId="0824F4C6" w14:textId="77777777" w:rsidR="002F723D" w:rsidRPr="00D06779" w:rsidRDefault="002F723D" w:rsidP="00364CD8">
      <w:pPr>
        <w:pStyle w:val="FootnoteText"/>
        <w:ind w:left="227" w:hanging="227"/>
        <w:jc w:val="both"/>
        <w:rPr>
          <w:rFonts w:cs="Times New Roman"/>
        </w:rPr>
      </w:pPr>
      <w:r>
        <w:rPr>
          <w:rStyle w:val="FootnoteReference"/>
          <w:rFonts w:cs="Times New Roman"/>
          <w:lang w:val="en-GB"/>
        </w:rPr>
        <w:footnoteRef/>
      </w:r>
      <w:r>
        <w:tab/>
        <w:t xml:space="preserve">Par un accord de contribution avec l’OMS (budget renforcé par la redistribution des fonds à hauteur de 11 millions d’EUR) au titre du </w:t>
      </w:r>
      <w:hyperlink r:id="rId19" w:history="1">
        <w:r>
          <w:rPr>
            <w:rStyle w:val="Hyperlink"/>
          </w:rPr>
          <w:t>programme de travail «L’UE pour la santé» 2022</w:t>
        </w:r>
      </w:hyperlink>
      <w:r>
        <w:t>: DP-g-22-07.02 Répondre aux problèmes de santé mentale.</w:t>
      </w:r>
    </w:p>
  </w:footnote>
  <w:footnote w:id="21">
    <w:p w14:paraId="7EA7894F" w14:textId="00C5D35D" w:rsidR="004A2F17" w:rsidRPr="00445ADC" w:rsidRDefault="004A2F17" w:rsidP="00364CD8">
      <w:pPr>
        <w:pStyle w:val="FootnoteText"/>
        <w:ind w:left="227" w:hanging="227"/>
        <w:jc w:val="both"/>
      </w:pPr>
      <w:r>
        <w:rPr>
          <w:rStyle w:val="FootnoteReference"/>
        </w:rPr>
        <w:footnoteRef/>
      </w:r>
      <w:r>
        <w:tab/>
        <w:t xml:space="preserve">Soutien financier au titre du </w:t>
      </w:r>
      <w:hyperlink r:id="rId20" w:history="1">
        <w:r>
          <w:rPr>
            <w:rStyle w:val="Hyperlink"/>
          </w:rPr>
          <w:t>programme de travail «L’UE pour la santé» 2022</w:t>
        </w:r>
      </w:hyperlink>
      <w:r>
        <w:t xml:space="preserve">: </w:t>
      </w:r>
      <w:r>
        <w:rPr>
          <w:rStyle w:val="markedcontent"/>
        </w:rPr>
        <w:t>DP-g-22-07.01/03/04 Appel à propositions concernant la promotion de la santé mentale: 10 millions d’EUR.</w:t>
      </w:r>
    </w:p>
  </w:footnote>
  <w:footnote w:id="22">
    <w:p w14:paraId="42D8A889" w14:textId="77777777" w:rsidR="007B4BEB" w:rsidRPr="007331FF" w:rsidRDefault="007B4BEB" w:rsidP="00364CD8">
      <w:pPr>
        <w:pStyle w:val="FootnoteText"/>
        <w:ind w:left="227" w:hanging="227"/>
        <w:jc w:val="both"/>
      </w:pPr>
      <w:r>
        <w:rPr>
          <w:rStyle w:val="FootnoteReference"/>
        </w:rPr>
        <w:footnoteRef/>
      </w:r>
      <w:r>
        <w:t xml:space="preserve"> </w:t>
      </w:r>
      <w:hyperlink r:id="rId21" w:history="1">
        <w:r>
          <w:rPr>
            <w:rStyle w:val="Hyperlink"/>
          </w:rPr>
          <w:t>Renforcement des capacités en matière de santé mentale</w:t>
        </w:r>
      </w:hyperlink>
      <w:r>
        <w:t>: programme de formation pluridisciplinaire et programme d'échange pour les professionnels de santé: 9 millions d’EUR.</w:t>
      </w:r>
    </w:p>
  </w:footnote>
  <w:footnote w:id="23">
    <w:p w14:paraId="71D8216C" w14:textId="77777777" w:rsidR="00BB5E4E" w:rsidRPr="008A1D82" w:rsidRDefault="00BB5E4E" w:rsidP="00364CD8">
      <w:pPr>
        <w:pStyle w:val="FootnoteText"/>
        <w:ind w:left="227" w:hanging="227"/>
        <w:jc w:val="both"/>
        <w:rPr>
          <w:rFonts w:eastAsia="Times New Roman" w:cs="Times New Roman"/>
          <w:szCs w:val="24"/>
        </w:rPr>
      </w:pPr>
      <w:r>
        <w:rPr>
          <w:rStyle w:val="FootnoteReference"/>
        </w:rPr>
        <w:footnoteRef/>
      </w:r>
      <w:r>
        <w:t xml:space="preserve"> </w:t>
      </w:r>
      <w:hyperlink r:id="rId22" w:history="1">
        <w:r>
          <w:rPr>
            <w:rStyle w:val="Hyperlink"/>
          </w:rPr>
          <w:t>Portail de connaissances sur la promotion de la santé et la prévention des maladies du Centre commun de recherche (prévention de la dépression, du stress lié au travail et de la démence)</w:t>
        </w:r>
      </w:hyperlink>
      <w:r>
        <w:t>.</w:t>
      </w:r>
    </w:p>
  </w:footnote>
  <w:footnote w:id="24">
    <w:p w14:paraId="0B872446" w14:textId="77777777" w:rsidR="00BB5E4E" w:rsidRPr="008A1D82" w:rsidRDefault="00BB5E4E" w:rsidP="00364CD8">
      <w:pPr>
        <w:pStyle w:val="FootnoteText"/>
        <w:ind w:left="227" w:hanging="227"/>
        <w:jc w:val="both"/>
      </w:pPr>
      <w:r>
        <w:rPr>
          <w:rStyle w:val="FootnoteReference"/>
        </w:rPr>
        <w:footnoteRef/>
      </w:r>
      <w:r>
        <w:t xml:space="preserve"> La communication intitulée </w:t>
      </w:r>
      <w:hyperlink r:id="rId23" w:history="1">
        <w:r>
          <w:rPr>
            <w:rStyle w:val="Hyperlink"/>
          </w:rPr>
          <w:t>«Cadre stratégique de l’Union européenne en matière de santé et de sécurité au travail pour la période 2021-2027»</w:t>
        </w:r>
      </w:hyperlink>
      <w:r>
        <w:t xml:space="preserve"> reconnaît l’importance de lutter contre les risques psychosociaux au travail, notamment au vu de la transition numérique.</w:t>
      </w:r>
    </w:p>
  </w:footnote>
  <w:footnote w:id="25">
    <w:p w14:paraId="1A7C68EC" w14:textId="3B564464" w:rsidR="00ED4DD1" w:rsidRPr="00A97E52" w:rsidRDefault="00ED4DD1" w:rsidP="00364CD8">
      <w:pPr>
        <w:pStyle w:val="FootnoteText"/>
        <w:ind w:left="227" w:hanging="227"/>
        <w:jc w:val="both"/>
      </w:pPr>
      <w:r>
        <w:rPr>
          <w:rStyle w:val="FootnoteReference"/>
          <w:lang w:val="en-GB"/>
        </w:rPr>
        <w:footnoteRef/>
      </w:r>
      <w:r>
        <w:t xml:space="preserve"> </w:t>
      </w:r>
      <w:hyperlink r:id="rId24" w:history="1">
        <w:r>
          <w:rPr>
            <w:rStyle w:val="Hyperlink"/>
          </w:rPr>
          <w:t>https://www.annualreviews.org/doi/full/10.1146/annurev-publhealth-040617-013629</w:t>
        </w:r>
      </w:hyperlink>
      <w:r>
        <w:t xml:space="preserve"> (en anglais).</w:t>
      </w:r>
    </w:p>
  </w:footnote>
  <w:footnote w:id="26">
    <w:p w14:paraId="29E51728" w14:textId="77777777" w:rsidR="00AA24CB" w:rsidRPr="00541E72" w:rsidRDefault="00AA24CB" w:rsidP="00F809B6">
      <w:pPr>
        <w:pStyle w:val="FootnoteText"/>
        <w:ind w:left="170" w:hanging="170"/>
        <w:jc w:val="both"/>
      </w:pPr>
      <w:r>
        <w:rPr>
          <w:rStyle w:val="FootnoteReference"/>
        </w:rPr>
        <w:footnoteRef/>
      </w:r>
      <w:r>
        <w:t xml:space="preserve"> </w:t>
      </w:r>
      <w:hyperlink r:id="rId25" w:history="1">
        <w:r>
          <w:rPr>
            <w:rStyle w:val="Hyperlink"/>
          </w:rPr>
          <w:t>Appels d’Horizon Europe en matière de santé 2023 — Le pacte «seniors» — La santé et les soins centrés sur la personne dans les régions européennes (destination 1) (europa.eu)</w:t>
        </w:r>
      </w:hyperlink>
      <w:r>
        <w:rPr>
          <w:rStyle w:val="Hyperlink"/>
        </w:rPr>
        <w:t>.</w:t>
      </w:r>
    </w:p>
  </w:footnote>
  <w:footnote w:id="27">
    <w:p w14:paraId="3C71F10E" w14:textId="23871F4B" w:rsidR="004D080C" w:rsidRPr="00ED30DB" w:rsidRDefault="004D080C" w:rsidP="00F809B6">
      <w:pPr>
        <w:pStyle w:val="FootnoteText"/>
        <w:ind w:left="170" w:hanging="170"/>
        <w:jc w:val="both"/>
      </w:pPr>
      <w:r>
        <w:rPr>
          <w:rStyle w:val="FootnoteReference"/>
          <w:lang w:val="en-GB"/>
        </w:rPr>
        <w:footnoteRef/>
      </w:r>
      <w:r>
        <w:t xml:space="preserve"> </w:t>
      </w:r>
      <w:hyperlink r:id="rId26" w:history="1">
        <w:r>
          <w:rPr>
            <w:rStyle w:val="Hyperlink"/>
          </w:rPr>
          <w:t>La psychiatrie préventive: un plan d’action pour améliorer la santé mentale des jeunes (nih.gov)</w:t>
        </w:r>
      </w:hyperlink>
      <w:r>
        <w:rPr>
          <w:rStyle w:val="Hyperlink"/>
        </w:rPr>
        <w:t>.</w:t>
      </w:r>
    </w:p>
  </w:footnote>
  <w:footnote w:id="28">
    <w:p w14:paraId="518EB537" w14:textId="62B51BA5" w:rsidR="0005408E" w:rsidRPr="00760FA7" w:rsidRDefault="0005408E" w:rsidP="00F809B6">
      <w:pPr>
        <w:pStyle w:val="FootnoteText"/>
        <w:ind w:left="170" w:hanging="170"/>
        <w:jc w:val="both"/>
      </w:pPr>
      <w:r>
        <w:rPr>
          <w:rStyle w:val="FootnoteReference"/>
        </w:rPr>
        <w:footnoteRef/>
      </w:r>
      <w:r>
        <w:t xml:space="preserve"> Conformément à la recommandation du Conseil concernant l’initiative «</w:t>
      </w:r>
      <w:hyperlink r:id="rId27" w:history="1">
        <w:r>
          <w:rPr>
            <w:rStyle w:val="Hyperlink"/>
          </w:rPr>
          <w:t>Passeport pour la réussite scolaire</w:t>
        </w:r>
      </w:hyperlink>
      <w:r>
        <w:t>».</w:t>
      </w:r>
    </w:p>
  </w:footnote>
  <w:footnote w:id="29">
    <w:p w14:paraId="6B07DAE0" w14:textId="77777777" w:rsidR="00757A34" w:rsidRPr="0013214A" w:rsidRDefault="00757A34" w:rsidP="00F809B6">
      <w:pPr>
        <w:pStyle w:val="FootnoteText"/>
        <w:ind w:left="170" w:hanging="170"/>
        <w:jc w:val="both"/>
      </w:pPr>
      <w:r>
        <w:rPr>
          <w:rStyle w:val="FootnoteReference"/>
        </w:rPr>
        <w:footnoteRef/>
      </w:r>
      <w:r>
        <w:t xml:space="preserve"> </w:t>
      </w:r>
      <w:hyperlink r:id="rId28" w:history="1">
        <w:r>
          <w:rPr>
            <w:rStyle w:val="Hyperlink"/>
          </w:rPr>
          <w:t>Portail BP (europa.eu)</w:t>
        </w:r>
      </w:hyperlink>
      <w:r>
        <w:rPr>
          <w:rStyle w:val="Hyperlink"/>
        </w:rPr>
        <w:t>.</w:t>
      </w:r>
    </w:p>
  </w:footnote>
  <w:footnote w:id="30">
    <w:p w14:paraId="5F81D894" w14:textId="77777777" w:rsidR="00757A34" w:rsidRPr="00541E72" w:rsidRDefault="00757A34" w:rsidP="00F809B6">
      <w:pPr>
        <w:pStyle w:val="FootnoteText"/>
        <w:ind w:left="170" w:hanging="170"/>
        <w:jc w:val="both"/>
      </w:pPr>
      <w:r>
        <w:rPr>
          <w:rStyle w:val="FootnoteReference"/>
        </w:rPr>
        <w:footnoteRef/>
      </w:r>
      <w:r>
        <w:t xml:space="preserve"> Par des actions financées au titre du </w:t>
      </w:r>
      <w:hyperlink r:id="rId29" w:history="1">
        <w:r>
          <w:rPr>
            <w:rStyle w:val="Hyperlink"/>
          </w:rPr>
          <w:t>programme «L’UE pour la santé» (2021-2027)</w:t>
        </w:r>
      </w:hyperlink>
      <w:r>
        <w:t>.</w:t>
      </w:r>
    </w:p>
  </w:footnote>
  <w:footnote w:id="31">
    <w:p w14:paraId="135EA1B3" w14:textId="77777777" w:rsidR="00757A34" w:rsidRPr="00A97E52" w:rsidRDefault="00757A34" w:rsidP="00F809B6">
      <w:pPr>
        <w:pStyle w:val="FootnoteText"/>
        <w:ind w:left="170" w:hanging="170"/>
        <w:jc w:val="both"/>
      </w:pPr>
      <w:r>
        <w:rPr>
          <w:rStyle w:val="FootnoteReference"/>
        </w:rPr>
        <w:footnoteRef/>
      </w:r>
      <w:r>
        <w:t xml:space="preserve"> Par un financement au titre du </w:t>
      </w:r>
      <w:hyperlink r:id="rId30" w:history="1">
        <w:r>
          <w:rPr>
            <w:rStyle w:val="Hyperlink"/>
          </w:rPr>
          <w:t>programme de travail «L’UE pour la santé» 2022</w:t>
        </w:r>
      </w:hyperlink>
      <w:r>
        <w:t xml:space="preserve"> (appui technique aux groupes d’experts).  </w:t>
      </w:r>
    </w:p>
  </w:footnote>
  <w:footnote w:id="32">
    <w:p w14:paraId="68862FB4" w14:textId="77777777" w:rsidR="00757A34" w:rsidRPr="008A7AB1" w:rsidRDefault="00757A34" w:rsidP="00364CD8">
      <w:pPr>
        <w:pStyle w:val="FootnoteText"/>
        <w:ind w:left="170" w:hanging="170"/>
        <w:jc w:val="both"/>
      </w:pPr>
      <w:r>
        <w:rPr>
          <w:rStyle w:val="FootnoteReference"/>
        </w:rPr>
        <w:footnoteRef/>
      </w:r>
      <w:r>
        <w:t xml:space="preserve"> La </w:t>
      </w:r>
      <w:hyperlink r:id="rId31" w:history="1">
        <w:r>
          <w:rPr>
            <w:rStyle w:val="Hyperlink"/>
          </w:rPr>
          <w:t>proposition de règlement relatif à l’espace européen des données de santé</w:t>
        </w:r>
      </w:hyperlink>
      <w:r>
        <w:t xml:space="preserve"> vise à faciliter l’accès aux données de santé pour la recherche et l’innovation, notamment dans le domaine de la recherche sur le cerveau.</w:t>
      </w:r>
    </w:p>
  </w:footnote>
  <w:footnote w:id="33">
    <w:p w14:paraId="7EE0EF71" w14:textId="77777777" w:rsidR="00757A34" w:rsidRPr="008A7AB1" w:rsidRDefault="00757A34" w:rsidP="00F809B6">
      <w:pPr>
        <w:pStyle w:val="FootnoteText"/>
        <w:ind w:left="170" w:hanging="170"/>
        <w:jc w:val="both"/>
      </w:pPr>
      <w:r>
        <w:rPr>
          <w:rStyle w:val="FootnoteReference"/>
        </w:rPr>
        <w:footnoteRef/>
      </w:r>
      <w:r>
        <w:t xml:space="preserve"> </w:t>
      </w:r>
      <w:hyperlink r:id="rId32" w:history="1">
        <w:r>
          <w:rPr>
            <w:rStyle w:val="Hyperlink"/>
          </w:rPr>
          <w:t>Infrastructures européennes de recherche (europa.eu)</w:t>
        </w:r>
      </w:hyperlink>
      <w:r>
        <w:t>.</w:t>
      </w:r>
    </w:p>
  </w:footnote>
  <w:footnote w:id="34">
    <w:p w14:paraId="70B56C9E" w14:textId="458310EC" w:rsidR="00541E72" w:rsidRPr="00A97E52" w:rsidRDefault="00541E72" w:rsidP="00302CC9">
      <w:pPr>
        <w:pStyle w:val="FootnoteText"/>
        <w:ind w:left="170" w:hanging="170"/>
        <w:jc w:val="both"/>
      </w:pPr>
      <w:r>
        <w:rPr>
          <w:rStyle w:val="FootnoteReference"/>
        </w:rPr>
        <w:footnoteRef/>
      </w:r>
      <w:r>
        <w:t xml:space="preserve"> </w:t>
      </w:r>
      <w:hyperlink r:id="rId33" w:anchor=":~:text=The%20Expert%20Group%20on%20Public%20Health%20advises%20the,to%20address%20challenges%20concerning%20vaccination%20and%20antimicrobial%20resistance." w:history="1">
        <w:r>
          <w:rPr>
            <w:rStyle w:val="Hyperlink"/>
          </w:rPr>
          <w:t>Groupe d’experts sur la santé publique</w:t>
        </w:r>
      </w:hyperlink>
      <w:r>
        <w:t>.</w:t>
      </w:r>
    </w:p>
  </w:footnote>
  <w:footnote w:id="35">
    <w:p w14:paraId="6978C79B" w14:textId="46F7192E" w:rsidR="00CA3A97" w:rsidRPr="00E074BB" w:rsidRDefault="00CA3A97" w:rsidP="00302CC9">
      <w:pPr>
        <w:pStyle w:val="FootnoteText"/>
        <w:ind w:left="170" w:hanging="170"/>
      </w:pPr>
      <w:r>
        <w:rPr>
          <w:rStyle w:val="FootnoteReference"/>
        </w:rPr>
        <w:footnoteRef/>
      </w:r>
      <w:r>
        <w:t xml:space="preserve"> Portail des bonnes pratiques de l’UE: </w:t>
      </w:r>
      <w:hyperlink r:id="rId34" w:history="1">
        <w:r>
          <w:rPr>
            <w:rStyle w:val="Hyperlink"/>
          </w:rPr>
          <w:t>Portail BP (europa.eu)</w:t>
        </w:r>
      </w:hyperlink>
      <w:r>
        <w:t>.</w:t>
      </w:r>
    </w:p>
  </w:footnote>
  <w:footnote w:id="36">
    <w:p w14:paraId="6D18BBA4" w14:textId="4BA5891C" w:rsidR="00CA3A97" w:rsidRPr="002B6CA5" w:rsidRDefault="00CA3A97" w:rsidP="00302CC9">
      <w:pPr>
        <w:pStyle w:val="FootnoteText"/>
        <w:ind w:left="170" w:hanging="170"/>
      </w:pPr>
      <w:r>
        <w:rPr>
          <w:rStyle w:val="FootnoteReference"/>
        </w:rPr>
        <w:footnoteRef/>
      </w:r>
      <w:r>
        <w:t xml:space="preserve"> Dans le cadre du sous-groupe «santé mentale» du groupe d’experts sur la santé publique.</w:t>
      </w:r>
    </w:p>
  </w:footnote>
  <w:footnote w:id="37">
    <w:p w14:paraId="7F826396" w14:textId="6AC143D9" w:rsidR="00F81ABC" w:rsidRPr="002B6CA5" w:rsidRDefault="00F81ABC">
      <w:pPr>
        <w:pStyle w:val="FootnoteText"/>
      </w:pPr>
      <w:r>
        <w:rPr>
          <w:rStyle w:val="FootnoteReference"/>
        </w:rPr>
        <w:footnoteRef/>
      </w:r>
      <w:r>
        <w:t xml:space="preserve"> </w:t>
      </w:r>
      <w:hyperlink r:id="rId35" w:history="1">
        <w:r>
          <w:rPr>
            <w:rStyle w:val="Hyperlink"/>
          </w:rPr>
          <w:t>Programme de travail «L’UE pour la santé» 2023 (europa.eu)</w:t>
        </w:r>
      </w:hyperlink>
      <w:r>
        <w:t>.</w:t>
      </w:r>
    </w:p>
  </w:footnote>
  <w:footnote w:id="38">
    <w:p w14:paraId="3C1CB628" w14:textId="4F2E12D0" w:rsidR="001B37A0" w:rsidRPr="001B37A0" w:rsidRDefault="001B37A0" w:rsidP="00302CC9">
      <w:pPr>
        <w:pStyle w:val="FootnoteText"/>
        <w:ind w:left="170" w:hanging="170"/>
      </w:pPr>
      <w:r>
        <w:rPr>
          <w:rStyle w:val="FootnoteReference"/>
        </w:rPr>
        <w:footnoteRef/>
      </w:r>
      <w:r>
        <w:t xml:space="preserve"> Entre le niveau antérieur à la pandémie (2019 ou l’année la plus proche) et celui de la pandémie (avril 2020 – août 2021): </w:t>
      </w:r>
      <w:hyperlink r:id="rId36" w:history="1">
        <w:r>
          <w:rPr>
            <w:rStyle w:val="Hyperlink"/>
          </w:rPr>
          <w:t>Panorama de la santé:</w:t>
        </w:r>
      </w:hyperlink>
      <w:hyperlink r:id="rId37" w:history="1">
        <w:r>
          <w:rPr>
            <w:rStyle w:val="Hyperlink"/>
          </w:rPr>
          <w:t>rapport sur l’Europe, 2022</w:t>
        </w:r>
      </w:hyperlink>
      <w:r>
        <w:t>.</w:t>
      </w:r>
    </w:p>
  </w:footnote>
  <w:footnote w:id="39">
    <w:p w14:paraId="535547DD" w14:textId="04039AA7" w:rsidR="7E82F731" w:rsidRPr="00A97E52" w:rsidRDefault="7E82F731" w:rsidP="00302CC9">
      <w:pPr>
        <w:pStyle w:val="FootnoteText"/>
        <w:ind w:left="170" w:hanging="170"/>
      </w:pPr>
      <w:r>
        <w:rPr>
          <w:rStyle w:val="FootnoteReference"/>
        </w:rPr>
        <w:footnoteRef/>
      </w:r>
      <w:r>
        <w:t xml:space="preserve"> </w:t>
      </w:r>
      <w:hyperlink r:id="rId38" w:history="1">
        <w:r>
          <w:rPr>
            <w:rStyle w:val="Hyperlink"/>
          </w:rPr>
          <w:t>Publications sur la solitude (europa.eu)</w:t>
        </w:r>
      </w:hyperlink>
      <w:r>
        <w:t xml:space="preserve">. </w:t>
      </w:r>
    </w:p>
  </w:footnote>
  <w:footnote w:id="40">
    <w:p w14:paraId="1962D6DE" w14:textId="6711C39D" w:rsidR="00D10A79" w:rsidRPr="00A97E52" w:rsidRDefault="00D10A79" w:rsidP="00302CC9">
      <w:pPr>
        <w:pStyle w:val="FootnoteText"/>
        <w:ind w:left="170" w:hanging="170"/>
      </w:pPr>
      <w:r>
        <w:rPr>
          <w:rStyle w:val="FootnoteReference"/>
        </w:rPr>
        <w:footnoteRef/>
      </w:r>
      <w:r>
        <w:t xml:space="preserve"> </w:t>
      </w:r>
      <w:hyperlink r:id="rId39" w:history="1">
        <w:r>
          <w:rPr>
            <w:rStyle w:val="Hyperlink"/>
          </w:rPr>
          <w:t>Recommandation du Conseil établissant une garantie européenne pour l’enfance</w:t>
        </w:r>
      </w:hyperlink>
      <w:r>
        <w:t>.</w:t>
      </w:r>
    </w:p>
  </w:footnote>
  <w:footnote w:id="41">
    <w:p w14:paraId="3932E8C3" w14:textId="3DA9B40A" w:rsidR="00740513" w:rsidRPr="00445ADC" w:rsidRDefault="00740513" w:rsidP="00302CC9">
      <w:pPr>
        <w:pStyle w:val="FootnoteText"/>
        <w:ind w:left="170" w:hanging="170"/>
      </w:pPr>
      <w:r>
        <w:rPr>
          <w:rStyle w:val="FootnoteReference"/>
        </w:rPr>
        <w:footnoteRef/>
      </w:r>
      <w:r>
        <w:t xml:space="preserve"> </w:t>
      </w:r>
      <w:hyperlink r:id="rId40" w:history="1">
        <w:r>
          <w:rPr>
            <w:rStyle w:val="Hyperlink"/>
          </w:rPr>
          <w:t>Bien-être à l’école | Espace européen de l’éducation (europa.eu)</w:t>
        </w:r>
      </w:hyperlink>
      <w:r>
        <w:t>.</w:t>
      </w:r>
    </w:p>
  </w:footnote>
  <w:footnote w:id="42">
    <w:p w14:paraId="6E624504" w14:textId="77777777" w:rsidR="005D2F29" w:rsidRPr="001B37A0" w:rsidRDefault="005D2F29" w:rsidP="005D2F29">
      <w:pPr>
        <w:pStyle w:val="FootnoteText"/>
        <w:ind w:left="170" w:hanging="170"/>
      </w:pPr>
      <w:r>
        <w:rPr>
          <w:rStyle w:val="FootnoteReference"/>
        </w:rPr>
        <w:footnoteRef/>
      </w:r>
      <w:r>
        <w:t xml:space="preserve"> </w:t>
      </w:r>
      <w:bookmarkStart w:id="10" w:name="_Hlk136435797"/>
      <w:r>
        <w:t>https://www.sciencedirect.com/science/article/pii/S2542519621002783.</w:t>
      </w:r>
      <w:bookmarkEnd w:id="10"/>
    </w:p>
  </w:footnote>
  <w:footnote w:id="43">
    <w:p w14:paraId="20FA07B6" w14:textId="2903F54A" w:rsidR="00F81ABC" w:rsidRPr="00F81ABC" w:rsidRDefault="00F81ABC" w:rsidP="00364CD8">
      <w:pPr>
        <w:pStyle w:val="FootnoteText"/>
        <w:ind w:left="227" w:hanging="227"/>
        <w:jc w:val="both"/>
      </w:pPr>
      <w:r>
        <w:rPr>
          <w:rStyle w:val="FootnoteReference"/>
        </w:rPr>
        <w:footnoteRef/>
      </w:r>
      <w:r>
        <w:t xml:space="preserve"> </w:t>
      </w:r>
      <w:hyperlink r:id="rId41" w:anchor=":~:text=The%20Commission%20co-funds%20Safer%20Internet%20Centres%20in%20Member,foster%20digital%20literacy%20among%20minors%2C%20parents%20and%20teachers." w:history="1">
        <w:r>
          <w:rPr>
            <w:rStyle w:val="Hyperlink"/>
          </w:rPr>
          <w:t>Création d’un internet mieux adapté aux enfants | Façonner l’avenir numérique de l’Europe (europa.eu)</w:t>
        </w:r>
      </w:hyperlink>
      <w:r>
        <w:t>.</w:t>
      </w:r>
    </w:p>
  </w:footnote>
  <w:footnote w:id="44">
    <w:p w14:paraId="3F8519A3" w14:textId="77777777" w:rsidR="005A1EC8" w:rsidRPr="00BF2B75" w:rsidRDefault="005A1EC8" w:rsidP="00364CD8">
      <w:pPr>
        <w:pStyle w:val="FootnoteText"/>
        <w:ind w:left="227" w:hanging="227"/>
        <w:jc w:val="both"/>
      </w:pPr>
      <w:r>
        <w:rPr>
          <w:rStyle w:val="FootnoteReference"/>
        </w:rPr>
        <w:footnoteRef/>
      </w:r>
      <w:r>
        <w:t xml:space="preserve"> Article 34, paragraphe 2, points b) et d). </w:t>
      </w:r>
    </w:p>
  </w:footnote>
  <w:footnote w:id="45">
    <w:p w14:paraId="677A6CEC" w14:textId="77777777" w:rsidR="00DC31CB" w:rsidRPr="00BF2B75" w:rsidRDefault="00DC31CB" w:rsidP="00364CD8">
      <w:pPr>
        <w:pStyle w:val="FootnoteText"/>
        <w:ind w:left="227" w:hanging="227"/>
        <w:jc w:val="both"/>
      </w:pPr>
      <w:r>
        <w:rPr>
          <w:rStyle w:val="FootnoteReference"/>
        </w:rPr>
        <w:footnoteRef/>
      </w:r>
      <w:r>
        <w:t xml:space="preserve"> </w:t>
      </w:r>
      <w:hyperlink r:id="rId42" w:history="1">
        <w:r>
          <w:rPr>
            <w:rStyle w:val="Hyperlink"/>
          </w:rPr>
          <w:t>Règlement sur les services numériques</w:t>
        </w:r>
      </w:hyperlink>
      <w:r>
        <w:t xml:space="preserve">.  </w:t>
      </w:r>
    </w:p>
  </w:footnote>
  <w:footnote w:id="46">
    <w:p w14:paraId="538EF78F" w14:textId="5BB269BC" w:rsidR="005A1EC8" w:rsidRDefault="005A1EC8" w:rsidP="00364CD8">
      <w:pPr>
        <w:pStyle w:val="FootnoteText"/>
        <w:ind w:left="227" w:hanging="227"/>
        <w:jc w:val="both"/>
        <w:rPr>
          <w:rFonts w:ascii="Arial" w:hAnsi="Arial" w:cs="Times New Roman"/>
        </w:rPr>
      </w:pPr>
      <w:r>
        <w:rPr>
          <w:rStyle w:val="FootnoteReference"/>
        </w:rPr>
        <w:footnoteRef/>
      </w:r>
      <w:r>
        <w:t xml:space="preserve"> Une décennie numérique pour les enfants et les jeunes: la nouvelle stratégie européenne pour un internet mieux adapté aux enfants [COM(2022) 212 final].</w:t>
      </w:r>
    </w:p>
  </w:footnote>
  <w:footnote w:id="47">
    <w:p w14:paraId="35E39389" w14:textId="6D4FCB4C" w:rsidR="00A97E52" w:rsidRPr="00C51476" w:rsidRDefault="00A97E52" w:rsidP="00F809B6">
      <w:pPr>
        <w:pStyle w:val="FootnoteText"/>
        <w:ind w:left="170" w:hanging="170"/>
        <w:jc w:val="both"/>
        <w:rPr>
          <w:rStyle w:val="Hyperlink"/>
        </w:rPr>
      </w:pPr>
      <w:r>
        <w:rPr>
          <w:rStyle w:val="FootnoteReference"/>
        </w:rPr>
        <w:footnoteRef/>
      </w:r>
      <w:r>
        <w:rPr>
          <w:rStyle w:val="Hyperlink"/>
        </w:rPr>
        <w:t xml:space="preserve"> </w:t>
      </w:r>
      <w:hyperlink r:id="rId43" w:history="1">
        <w:r>
          <w:rPr>
            <w:rStyle w:val="Hyperlink"/>
          </w:rPr>
          <w:t>Stratégie de l’UE en faveur d’une lutte plus efficace contre les abus sexuels commis contre des enfants (europa.eu)</w:t>
        </w:r>
      </w:hyperlink>
      <w:r>
        <w:rPr>
          <w:rStyle w:val="Hyperlink"/>
        </w:rPr>
        <w:t>.</w:t>
      </w:r>
    </w:p>
  </w:footnote>
  <w:footnote w:id="48">
    <w:p w14:paraId="6ADA1A9A" w14:textId="77777777" w:rsidR="00A97E52" w:rsidRPr="006C0ADA" w:rsidRDefault="00A97E52" w:rsidP="00F809B6">
      <w:pPr>
        <w:pStyle w:val="FootnoteText"/>
        <w:ind w:left="170" w:hanging="170"/>
        <w:jc w:val="both"/>
        <w:rPr>
          <w:lang w:val="en-IE"/>
        </w:rPr>
      </w:pPr>
      <w:r>
        <w:rPr>
          <w:rStyle w:val="FootnoteReference"/>
        </w:rPr>
        <w:footnoteRef/>
      </w:r>
      <w:r w:rsidRPr="006C0ADA">
        <w:rPr>
          <w:rStyle w:val="Hyperlink"/>
          <w:lang w:val="en-IE"/>
        </w:rPr>
        <w:t xml:space="preserve"> </w:t>
      </w:r>
      <w:hyperlink r:id="rId44" w:history="1">
        <w:r w:rsidRPr="006C0ADA">
          <w:rPr>
            <w:rStyle w:val="Hyperlink"/>
            <w:lang w:val="en-IE"/>
          </w:rPr>
          <w:t>Initiative HealthyLifestyle4All | Sport (europa.eu)</w:t>
        </w:r>
      </w:hyperlink>
      <w:r w:rsidRPr="006C0ADA">
        <w:rPr>
          <w:rStyle w:val="Hyperlink"/>
          <w:lang w:val="en-IE"/>
        </w:rPr>
        <w:t>.</w:t>
      </w:r>
    </w:p>
  </w:footnote>
  <w:footnote w:id="49">
    <w:p w14:paraId="04E4960C" w14:textId="77777777" w:rsidR="00117BBD" w:rsidRPr="006840BD" w:rsidRDefault="00117BBD" w:rsidP="00F809B6">
      <w:pPr>
        <w:spacing w:after="0" w:line="240" w:lineRule="auto"/>
        <w:jc w:val="both"/>
        <w:rPr>
          <w:sz w:val="20"/>
          <w:szCs w:val="20"/>
        </w:rPr>
      </w:pPr>
      <w:r>
        <w:rPr>
          <w:rStyle w:val="FootnoteReference"/>
          <w:sz w:val="20"/>
          <w:szCs w:val="20"/>
        </w:rPr>
        <w:footnoteRef/>
      </w:r>
      <w:r>
        <w:rPr>
          <w:sz w:val="20"/>
        </w:rPr>
        <w:t xml:space="preserve"> </w:t>
      </w:r>
      <w:hyperlink r:id="rId45" w:history="1">
        <w:r>
          <w:rPr>
            <w:rStyle w:val="Hyperlink"/>
            <w:sz w:val="20"/>
          </w:rPr>
          <w:t>Comment les systèmes scolaires peuvent-ils améliorer la santé et le bien-être:</w:t>
        </w:r>
      </w:hyperlink>
      <w:hyperlink r:id="rId46" w:history="1">
        <w:r>
          <w:rPr>
            <w:rStyle w:val="Hyperlink"/>
            <w:sz w:val="20"/>
          </w:rPr>
          <w:t>note thématique:</w:t>
        </w:r>
      </w:hyperlink>
      <w:hyperlink r:id="rId47" w:history="1">
        <w:r>
          <w:rPr>
            <w:rStyle w:val="Hyperlink"/>
            <w:sz w:val="20"/>
          </w:rPr>
          <w:t>santé mentale (who.int)</w:t>
        </w:r>
      </w:hyperlink>
      <w:r>
        <w:t xml:space="preserve"> (en anglais).</w:t>
      </w:r>
    </w:p>
  </w:footnote>
  <w:footnote w:id="50">
    <w:p w14:paraId="12D0DBC9" w14:textId="77777777" w:rsidR="00D95C5E" w:rsidRPr="00CF0123" w:rsidRDefault="00D95C5E" w:rsidP="00F809B6">
      <w:pPr>
        <w:pStyle w:val="FootnoteText"/>
        <w:ind w:left="170" w:hanging="170"/>
        <w:jc w:val="both"/>
      </w:pPr>
      <w:r>
        <w:rPr>
          <w:rStyle w:val="FootnoteReference"/>
        </w:rPr>
        <w:footnoteRef/>
      </w:r>
      <w:r>
        <w:t xml:space="preserve"> </w:t>
      </w:r>
      <w:hyperlink r:id="rId48" w:history="1">
        <w:r>
          <w:rPr>
            <w:rStyle w:val="Hyperlink"/>
          </w:rPr>
          <w:t>Ligne internationale d'assistance aux enfants:</w:t>
        </w:r>
      </w:hyperlink>
      <w:r>
        <w:rPr>
          <w:rStyle w:val="Hyperlink"/>
        </w:rPr>
        <w:t xml:space="preserve"> financée dans le cadre du programme «Citoyens, égalité, droits et valeurs».</w:t>
      </w:r>
    </w:p>
  </w:footnote>
  <w:footnote w:id="51">
    <w:p w14:paraId="2CCDF3B2" w14:textId="7AC09C46" w:rsidR="00AC68B4" w:rsidRPr="00502FEB" w:rsidRDefault="00AC68B4" w:rsidP="00F809B6">
      <w:pPr>
        <w:pStyle w:val="FootnoteText"/>
        <w:ind w:left="284" w:hanging="284"/>
        <w:jc w:val="both"/>
      </w:pPr>
      <w:r>
        <w:rPr>
          <w:rStyle w:val="FootnoteReference"/>
        </w:rPr>
        <w:footnoteRef/>
      </w:r>
      <w:r>
        <w:t xml:space="preserve"> </w:t>
      </w:r>
      <w:hyperlink r:id="rId49" w:history="1">
        <w:r>
          <w:rPr>
            <w:rStyle w:val="Hyperlink"/>
          </w:rPr>
          <w:t>EUR-Lex – 42018Y1218(01) - FR - EUR-Lex (europa.eu)</w:t>
        </w:r>
      </w:hyperlink>
      <w:r>
        <w:t>.</w:t>
      </w:r>
    </w:p>
  </w:footnote>
  <w:footnote w:id="52">
    <w:p w14:paraId="5DFED996" w14:textId="21AB55B7" w:rsidR="00AC68B4" w:rsidRPr="00502FEB" w:rsidRDefault="00AC68B4" w:rsidP="00F809B6">
      <w:pPr>
        <w:pStyle w:val="FootnoteText"/>
        <w:ind w:left="170" w:hanging="170"/>
        <w:jc w:val="both"/>
      </w:pPr>
      <w:r>
        <w:rPr>
          <w:rStyle w:val="FootnoteReference"/>
        </w:rPr>
        <w:footnoteRef/>
      </w:r>
      <w:r>
        <w:t xml:space="preserve"> </w:t>
      </w:r>
      <w:hyperlink r:id="rId50" w:history="1">
        <w:r>
          <w:rPr>
            <w:rStyle w:val="Hyperlink"/>
          </w:rPr>
          <w:t>EUR-Lex – 32022H1209(01) - FR - EUR-Lex (europa.eu)</w:t>
        </w:r>
      </w:hyperlink>
      <w:r>
        <w:t>.</w:t>
      </w:r>
    </w:p>
  </w:footnote>
  <w:footnote w:id="53">
    <w:p w14:paraId="7113D4E4" w14:textId="246E159A" w:rsidR="00A502DE" w:rsidRPr="00A97E52" w:rsidRDefault="00A502DE" w:rsidP="00364CD8">
      <w:pPr>
        <w:pStyle w:val="FootnoteText"/>
        <w:ind w:left="170" w:hanging="170"/>
        <w:jc w:val="both"/>
      </w:pPr>
      <w:r>
        <w:rPr>
          <w:rStyle w:val="FootnoteReference"/>
        </w:rPr>
        <w:footnoteRef/>
      </w:r>
      <w:r>
        <w:t xml:space="preserve"> Ces lignes directrices devraient porter sur le bien-être mental et la prévention du harcèlement, sur le stress professionnel des enseignants et la violence, ainsi que sur le harcèlement des enseignants dans le cadre d’une approche englobant tous les acteurs de l’école. Lien: </w:t>
      </w:r>
      <w:hyperlink r:id="rId51" w:anchor=":~:text=A%20Whole%2DSchool%20Approach%20to,pupils%20in%20school%20safety%20management" w:history="1">
        <w:r>
          <w:rPr>
            <w:rStyle w:val="Hyperlink"/>
          </w:rPr>
          <w:t>https://osha.europa.eu/en/publications/occupational-safety-and-health-and-education-whole-school-approach#:~:text=A%20Whole%2DSchool%20Approach%20to,pupils%20in%20school%20safety%20management</w:t>
        </w:r>
      </w:hyperlink>
      <w:r>
        <w:t>.</w:t>
      </w:r>
    </w:p>
  </w:footnote>
  <w:footnote w:id="54">
    <w:p w14:paraId="47BE2F20" w14:textId="77777777" w:rsidR="009F332E" w:rsidRPr="00760FA7" w:rsidRDefault="009F332E" w:rsidP="00F809B6">
      <w:pPr>
        <w:pStyle w:val="FootnoteText"/>
        <w:ind w:left="170" w:hanging="170"/>
        <w:jc w:val="both"/>
      </w:pPr>
      <w:r>
        <w:rPr>
          <w:rStyle w:val="FootnoteReference"/>
        </w:rPr>
        <w:footnoteRef/>
      </w:r>
      <w:r>
        <w:t xml:space="preserve"> Dans le cadre de l’initiative «Vivre ensemble en bonne santé» avec un financement au titre du </w:t>
      </w:r>
      <w:hyperlink r:id="rId52" w:history="1">
        <w:r>
          <w:rPr>
            <w:rStyle w:val="Hyperlink"/>
          </w:rPr>
          <w:t>programme «L’UE pour la santé»</w:t>
        </w:r>
      </w:hyperlink>
      <w:r>
        <w:t>.</w:t>
      </w:r>
    </w:p>
  </w:footnote>
  <w:footnote w:id="55">
    <w:p w14:paraId="4CBE9B1B" w14:textId="0E047AAA" w:rsidR="00C45389" w:rsidRPr="00760FA7" w:rsidRDefault="00C45389" w:rsidP="00F809B6">
      <w:pPr>
        <w:pStyle w:val="FootnoteText"/>
        <w:ind w:left="170" w:hanging="170"/>
        <w:jc w:val="both"/>
      </w:pPr>
      <w:r>
        <w:rPr>
          <w:rStyle w:val="FootnoteReference"/>
        </w:rPr>
        <w:footnoteRef/>
      </w:r>
      <w:r>
        <w:t xml:space="preserve"> Dans le cadre de l’initiative «Vivre ensemble en bonne santé» avec un financement au titre du </w:t>
      </w:r>
      <w:hyperlink r:id="rId53" w:history="1">
        <w:r>
          <w:rPr>
            <w:rStyle w:val="Hyperlink"/>
          </w:rPr>
          <w:t>programme «L’UE pour la santé»</w:t>
        </w:r>
      </w:hyperlink>
      <w:r>
        <w:t>.</w:t>
      </w:r>
    </w:p>
  </w:footnote>
  <w:footnote w:id="56">
    <w:p w14:paraId="746902C9" w14:textId="180B1DA0" w:rsidR="00F573E1" w:rsidRPr="00760FA7" w:rsidRDefault="00F573E1" w:rsidP="00F809B6">
      <w:pPr>
        <w:pStyle w:val="FootnoteText"/>
        <w:ind w:left="170" w:hanging="170"/>
        <w:jc w:val="both"/>
      </w:pPr>
      <w:r>
        <w:rPr>
          <w:rStyle w:val="FootnoteReference"/>
        </w:rPr>
        <w:footnoteRef/>
      </w:r>
      <w:r>
        <w:t xml:space="preserve"> 2 millions d’EUR au titre du </w:t>
      </w:r>
      <w:hyperlink r:id="rId54" w:history="1">
        <w:r>
          <w:rPr>
            <w:rStyle w:val="Hyperlink"/>
          </w:rPr>
          <w:t>programme de travail de l’instrument d’appui technique pour 2023</w:t>
        </w:r>
      </w:hyperlink>
      <w:r>
        <w:t>: le projet sera lancé à l’automne 2023.</w:t>
      </w:r>
    </w:p>
  </w:footnote>
  <w:footnote w:id="57">
    <w:p w14:paraId="759EA50B" w14:textId="7FF22517" w:rsidR="00294A48" w:rsidRPr="00C55479" w:rsidRDefault="00294A48" w:rsidP="00F809B6">
      <w:pPr>
        <w:pStyle w:val="FootnoteText"/>
        <w:ind w:left="227" w:hanging="227"/>
        <w:jc w:val="both"/>
      </w:pPr>
      <w:r>
        <w:rPr>
          <w:rStyle w:val="FootnoteReference"/>
        </w:rPr>
        <w:footnoteRef/>
      </w:r>
      <w:r>
        <w:t xml:space="preserve"> </w:t>
      </w:r>
      <w:r>
        <w:rPr>
          <w:rStyle w:val="normaltextrun"/>
        </w:rPr>
        <w:t xml:space="preserve">La Commission fournira, avec l’UNICEF, un </w:t>
      </w:r>
      <w:hyperlink r:id="rId55" w:history="1">
        <w:r>
          <w:rPr>
            <w:rStyle w:val="Hyperlink"/>
          </w:rPr>
          <w:t>soutien technique</w:t>
        </w:r>
      </w:hyperlink>
      <w:r>
        <w:rPr>
          <w:rStyle w:val="normaltextrun"/>
        </w:rPr>
        <w:t xml:space="preserve"> à Chypre, à l’Italie, à la Slovénie et à l’Andalousie, afin de renforcer la collaboration entre les différents secteurs que sont la santé, l’éducation, les services sociaux et les systèmes de protection de l’enfance: .</w:t>
      </w:r>
    </w:p>
  </w:footnote>
  <w:footnote w:id="58">
    <w:p w14:paraId="5D115853" w14:textId="77777777" w:rsidR="00666078" w:rsidRPr="00292C27" w:rsidRDefault="00666078" w:rsidP="00364CD8">
      <w:pPr>
        <w:pStyle w:val="FootnoteText"/>
        <w:jc w:val="both"/>
      </w:pPr>
      <w:r>
        <w:rPr>
          <w:rStyle w:val="FootnoteReference"/>
        </w:rPr>
        <w:footnoteRef/>
      </w:r>
      <w:r>
        <w:t xml:space="preserve"> </w:t>
      </w:r>
      <w:hyperlink r:id="rId56" w:history="1">
        <w:r>
          <w:rPr>
            <w:rStyle w:val="Hyperlink"/>
          </w:rPr>
          <w:t>Stratégie pour un internet mieux adapté aux enfants</w:t>
        </w:r>
      </w:hyperlink>
      <w:r>
        <w:t>.</w:t>
      </w:r>
    </w:p>
  </w:footnote>
  <w:footnote w:id="59">
    <w:p w14:paraId="6061549B" w14:textId="77777777" w:rsidR="00295D2D" w:rsidRPr="00C55479" w:rsidRDefault="00295D2D" w:rsidP="00F809B6">
      <w:pPr>
        <w:pStyle w:val="FootnoteText"/>
        <w:ind w:left="227" w:hanging="227"/>
        <w:jc w:val="both"/>
      </w:pPr>
      <w:r>
        <w:rPr>
          <w:rStyle w:val="FootnoteReference"/>
        </w:rPr>
        <w:footnoteRef/>
      </w:r>
      <w:r>
        <w:tab/>
        <w:t>Le code de conduite sur une conception adaptée à l’âge soutiendra la mise en œuvre de l’article 28 du règlement sur les services numériques et sera reconnu comme un code au titre de l’article 45 du règlement les services numériques.</w:t>
      </w:r>
    </w:p>
  </w:footnote>
  <w:footnote w:id="60">
    <w:p w14:paraId="7986ECE7" w14:textId="177D34DF" w:rsidR="00666078" w:rsidRPr="00292C27" w:rsidRDefault="00666078" w:rsidP="00364CD8">
      <w:pPr>
        <w:pStyle w:val="FootnoteText"/>
        <w:ind w:left="227" w:hanging="227"/>
        <w:jc w:val="both"/>
      </w:pPr>
      <w:r>
        <w:rPr>
          <w:rStyle w:val="FootnoteReference"/>
        </w:rPr>
        <w:footnoteRef/>
      </w:r>
      <w:r>
        <w:t xml:space="preserve"> L’engagement du Comité européen pour les services numériques est prévu pour l’élaboration de tout code de conduite dans le cadre du règlement sur les services numériques. </w:t>
      </w:r>
    </w:p>
  </w:footnote>
  <w:footnote w:id="61">
    <w:p w14:paraId="0A80F6F2" w14:textId="77777777" w:rsidR="00742B8C" w:rsidRPr="00C55479" w:rsidRDefault="00742B8C" w:rsidP="00F809B6">
      <w:pPr>
        <w:pStyle w:val="FootnoteText"/>
        <w:ind w:left="227" w:hanging="227"/>
        <w:jc w:val="both"/>
      </w:pPr>
      <w:r>
        <w:rPr>
          <w:rStyle w:val="FootnoteReference"/>
        </w:rPr>
        <w:footnoteRef/>
      </w:r>
      <w:r>
        <w:tab/>
        <w:t xml:space="preserve">Grâce à un système intégré de soins pour les personnes âgées, les adultes âgés reçoivent les soins de santé dont ils ont besoin, où et quand ils en ont besoin: </w:t>
      </w:r>
      <w:hyperlink r:id="rId57" w:history="1">
        <w:r>
          <w:rPr>
            <w:rStyle w:val="Hyperlink"/>
          </w:rPr>
          <w:t>Unité «vieillissement et santé» (who.int)</w:t>
        </w:r>
      </w:hyperlink>
      <w:r>
        <w:t xml:space="preserve"> (en anglais).</w:t>
      </w:r>
    </w:p>
  </w:footnote>
  <w:footnote w:id="62">
    <w:p w14:paraId="19999B15" w14:textId="77777777" w:rsidR="004D4AC0" w:rsidRPr="00C55479" w:rsidRDefault="004D4AC0" w:rsidP="00364CD8">
      <w:pPr>
        <w:pStyle w:val="FootnoteText"/>
        <w:ind w:left="227" w:hanging="227"/>
        <w:jc w:val="both"/>
      </w:pPr>
      <w:r>
        <w:rPr>
          <w:rStyle w:val="FootnoteReference"/>
          <w:lang w:val="en-GB"/>
        </w:rPr>
        <w:footnoteRef/>
      </w:r>
      <w:r>
        <w:tab/>
        <w:t xml:space="preserve">En 2021, plus de 20,8 % de la population de l’UE était âgée de plus de 65 ans, chiffre qui devrait atteindre 30,3 % d’ici à 2058: </w:t>
      </w:r>
      <w:hyperlink r:id="rId58" w:history="1">
        <w:r>
          <w:rPr>
            <w:rStyle w:val="Hyperlink"/>
          </w:rPr>
          <w:t>Conclusions du Conseil sur l’intégration du vieillissement dans les politiques publiques</w:t>
        </w:r>
      </w:hyperlink>
      <w:r>
        <w:t>.</w:t>
      </w:r>
    </w:p>
  </w:footnote>
  <w:footnote w:id="63">
    <w:p w14:paraId="54669DCB" w14:textId="7B0E7D78" w:rsidR="000743DA" w:rsidRPr="002B27C7" w:rsidRDefault="000743DA" w:rsidP="00364CD8">
      <w:pPr>
        <w:pStyle w:val="FootnoteText"/>
        <w:ind w:left="227" w:hanging="227"/>
        <w:jc w:val="both"/>
        <w:rPr>
          <w:rFonts w:cs="Times New Roman"/>
        </w:rPr>
      </w:pPr>
      <w:r>
        <w:rPr>
          <w:rStyle w:val="FootnoteReference"/>
          <w:rFonts w:cs="Times New Roman"/>
          <w:lang w:val="en-GB"/>
        </w:rPr>
        <w:footnoteRef/>
      </w:r>
      <w:r>
        <w:tab/>
      </w:r>
      <w:hyperlink r:id="rId59" w:history="1">
        <w:r>
          <w:rPr>
            <w:rStyle w:val="Hyperlink"/>
          </w:rPr>
          <w:t>Conclusions du Conseil sur les droits de l’homme, la participation et le bien-être des personnes âgées à l’ère numérique</w:t>
        </w:r>
      </w:hyperlink>
      <w:r>
        <w:t>(en anglais).</w:t>
      </w:r>
    </w:p>
  </w:footnote>
  <w:footnote w:id="64">
    <w:p w14:paraId="3BF25DFC" w14:textId="77777777" w:rsidR="00BB5E4E" w:rsidRPr="00804AD6" w:rsidRDefault="00BB5E4E" w:rsidP="00BB5E4E">
      <w:pPr>
        <w:pStyle w:val="FootnoteText"/>
        <w:jc w:val="both"/>
      </w:pPr>
      <w:r>
        <w:rPr>
          <w:rStyle w:val="FootnoteReference"/>
        </w:rPr>
        <w:footnoteRef/>
      </w:r>
      <w:r>
        <w:t xml:space="preserve"> </w:t>
      </w:r>
      <w:hyperlink r:id="rId60" w:history="1">
        <w:r>
          <w:rPr>
            <w:rStyle w:val="Hyperlink"/>
          </w:rPr>
          <w:t>Solitude (europa.eu)</w:t>
        </w:r>
      </w:hyperlink>
      <w:r>
        <w:rPr>
          <w:rStyle w:val="Hyperlink"/>
        </w:rPr>
        <w:t>.</w:t>
      </w:r>
    </w:p>
  </w:footnote>
  <w:footnote w:id="65">
    <w:p w14:paraId="13000344" w14:textId="53FB7E35" w:rsidR="00824E67" w:rsidRPr="002B27C7" w:rsidRDefault="00824E67" w:rsidP="00B0443D">
      <w:pPr>
        <w:autoSpaceDE w:val="0"/>
        <w:autoSpaceDN w:val="0"/>
        <w:spacing w:after="0" w:line="240" w:lineRule="auto"/>
        <w:ind w:left="170" w:hanging="170"/>
        <w:jc w:val="both"/>
        <w:rPr>
          <w:rFonts w:cs="Times New Roman"/>
          <w:sz w:val="20"/>
          <w:szCs w:val="20"/>
        </w:rPr>
      </w:pPr>
      <w:r>
        <w:rPr>
          <w:rStyle w:val="FootnoteReference"/>
          <w:rFonts w:cs="Times New Roman"/>
          <w:sz w:val="20"/>
          <w:szCs w:val="20"/>
        </w:rPr>
        <w:footnoteRef/>
      </w:r>
      <w:r>
        <w:rPr>
          <w:sz w:val="20"/>
        </w:rPr>
        <w:t xml:space="preserve"> </w:t>
      </w:r>
      <w:hyperlink r:id="rId61" w:history="1">
        <w:r>
          <w:rPr>
            <w:rStyle w:val="Hyperlink"/>
            <w:sz w:val="20"/>
          </w:rPr>
          <w:t>La santé mentale des femmes: analyse finale (who.int)</w:t>
        </w:r>
      </w:hyperlink>
      <w:r>
        <w:rPr>
          <w:sz w:val="20"/>
        </w:rPr>
        <w:t xml:space="preserve"> (en anglais).</w:t>
      </w:r>
    </w:p>
  </w:footnote>
  <w:footnote w:id="66">
    <w:p w14:paraId="746FEC29" w14:textId="77777777" w:rsidR="002B7276" w:rsidRPr="00804AD6" w:rsidRDefault="002B7276" w:rsidP="002B7276">
      <w:pPr>
        <w:pStyle w:val="FootnoteText"/>
        <w:ind w:left="227" w:hanging="227"/>
        <w:jc w:val="both"/>
      </w:pPr>
      <w:r>
        <w:rPr>
          <w:rStyle w:val="FootnoteReference"/>
        </w:rPr>
        <w:footnoteRef/>
      </w:r>
      <w:r>
        <w:t xml:space="preserve"> Convention d'Istanbul: </w:t>
      </w:r>
      <w:hyperlink r:id="rId62" w:history="1">
        <w:r>
          <w:rPr>
            <w:rStyle w:val="Hyperlink"/>
          </w:rPr>
          <w:t>Lutte contre la violence à l’égard des femmes et la violence domestique</w:t>
        </w:r>
      </w:hyperlink>
      <w:r>
        <w:t>.</w:t>
      </w:r>
    </w:p>
  </w:footnote>
  <w:footnote w:id="67">
    <w:p w14:paraId="5F445A48" w14:textId="7D023524" w:rsidR="003A5125" w:rsidRPr="003A5125" w:rsidRDefault="003A5125">
      <w:pPr>
        <w:pStyle w:val="FootnoteText"/>
      </w:pPr>
      <w:r>
        <w:rPr>
          <w:rStyle w:val="FootnoteReference"/>
        </w:rPr>
        <w:footnoteRef/>
      </w:r>
      <w:r>
        <w:t xml:space="preserve"> </w:t>
      </w:r>
      <w:hyperlink r:id="rId63" w:history="1">
        <w:r>
          <w:rPr>
            <w:rStyle w:val="Hyperlink"/>
          </w:rPr>
          <w:t>EUR-Lex - 52022PC0105 - EN - EUR-Lex (europa.eu)</w:t>
        </w:r>
      </w:hyperlink>
      <w:r>
        <w:t>.</w:t>
      </w:r>
    </w:p>
  </w:footnote>
  <w:footnote w:id="68">
    <w:p w14:paraId="04C3CFCB" w14:textId="77777777" w:rsidR="002B7276" w:rsidRPr="008A499D" w:rsidRDefault="002B7276" w:rsidP="002B7276">
      <w:pPr>
        <w:pStyle w:val="FootnoteText"/>
        <w:ind w:left="227" w:hanging="227"/>
        <w:jc w:val="both"/>
      </w:pPr>
      <w:r>
        <w:rPr>
          <w:rStyle w:val="FootnoteReference"/>
        </w:rPr>
        <w:footnoteRef/>
      </w:r>
      <w:r>
        <w:t xml:space="preserve"> </w:t>
      </w:r>
      <w:hyperlink r:id="rId64" w:history="1">
        <w:r>
          <w:rPr>
            <w:rStyle w:val="Hyperlink"/>
          </w:rPr>
          <w:t>Programme de travail de la Commission pour 2023</w:t>
        </w:r>
      </w:hyperlink>
      <w:r>
        <w:t>.</w:t>
      </w:r>
    </w:p>
  </w:footnote>
  <w:footnote w:id="69">
    <w:p w14:paraId="62A8BE26" w14:textId="0281B59F" w:rsidR="00562799" w:rsidRPr="002B27C7" w:rsidRDefault="00562799" w:rsidP="00B0443D">
      <w:pPr>
        <w:pStyle w:val="FootnoteText"/>
        <w:ind w:left="170" w:hanging="170"/>
        <w:rPr>
          <w:rFonts w:cs="Times New Roman"/>
        </w:rPr>
      </w:pPr>
      <w:r>
        <w:rPr>
          <w:rStyle w:val="FootnoteReference"/>
        </w:rPr>
        <w:footnoteRef/>
      </w:r>
      <w:r>
        <w:t xml:space="preserve"> </w:t>
      </w:r>
      <w:hyperlink r:id="rId65" w:history="1">
        <w:r>
          <w:t>https://cordis.europa.eu/project/id/101057390</w:t>
        </w:r>
      </w:hyperlink>
    </w:p>
  </w:footnote>
  <w:footnote w:id="70">
    <w:p w14:paraId="48695433" w14:textId="361F54E4" w:rsidR="004A2F17" w:rsidRPr="002B6CA5" w:rsidRDefault="004A2F17" w:rsidP="00B0443D">
      <w:pPr>
        <w:pStyle w:val="FootnoteText"/>
        <w:ind w:left="170" w:hanging="170"/>
        <w:rPr>
          <w:rFonts w:cs="Times New Roman"/>
        </w:rPr>
      </w:pPr>
      <w:r>
        <w:rPr>
          <w:rStyle w:val="FootnoteReference"/>
          <w:rFonts w:cs="Times New Roman"/>
        </w:rPr>
        <w:footnoteRef/>
      </w:r>
      <w:r>
        <w:t xml:space="preserve"> </w:t>
      </w:r>
      <w:hyperlink r:id="rId66" w:history="1">
        <w:r>
          <w:rPr>
            <w:rStyle w:val="Hyperlink"/>
          </w:rPr>
          <w:t>HappyMums project</w:t>
        </w:r>
      </w:hyperlink>
      <w:r>
        <w:t>.</w:t>
      </w:r>
    </w:p>
  </w:footnote>
  <w:footnote w:id="71">
    <w:p w14:paraId="7F2E4D90" w14:textId="2FC30FE8" w:rsidR="003C5F2C" w:rsidRPr="002B27C7" w:rsidRDefault="003C5F2C" w:rsidP="00B0443D">
      <w:pPr>
        <w:pStyle w:val="FootnoteText"/>
        <w:ind w:left="170" w:hanging="170"/>
        <w:jc w:val="both"/>
        <w:rPr>
          <w:rFonts w:cs="Times New Roman"/>
        </w:rPr>
      </w:pPr>
      <w:r>
        <w:rPr>
          <w:rStyle w:val="FootnoteReference"/>
          <w:rFonts w:cs="Times New Roman"/>
        </w:rPr>
        <w:footnoteRef/>
      </w:r>
      <w:r>
        <w:t xml:space="preserve"> </w:t>
      </w:r>
      <w:hyperlink r:id="rId67" w:history="1">
        <w:r>
          <w:rPr>
            <w:rStyle w:val="Hyperlink"/>
          </w:rPr>
          <w:t>Union de l’égalité:</w:t>
        </w:r>
      </w:hyperlink>
      <w:hyperlink r:id="rId68" w:history="1">
        <w:r>
          <w:rPr>
            <w:rStyle w:val="Hyperlink"/>
          </w:rPr>
          <w:t xml:space="preserve"> Stratégie en faveur de l’égalité de traitement à l’égard des personnes LGBTIQ pour la période 2020-2025</w:t>
        </w:r>
      </w:hyperlink>
      <w:r>
        <w:t>.</w:t>
      </w:r>
    </w:p>
  </w:footnote>
  <w:footnote w:id="72">
    <w:p w14:paraId="28F43371" w14:textId="6810D205" w:rsidR="008D35A2" w:rsidRPr="002B27C7" w:rsidRDefault="008D35A2" w:rsidP="00B0443D">
      <w:pPr>
        <w:pStyle w:val="FootnoteText"/>
        <w:ind w:left="170" w:hanging="170"/>
        <w:jc w:val="both"/>
        <w:rPr>
          <w:rFonts w:cs="Times New Roman"/>
        </w:rPr>
      </w:pPr>
      <w:r>
        <w:rPr>
          <w:rStyle w:val="FootnoteReference"/>
          <w:rFonts w:cs="Times New Roman"/>
        </w:rPr>
        <w:footnoteRef/>
      </w:r>
      <w:r>
        <w:tab/>
      </w:r>
      <w:hyperlink r:id="rId69" w:history="1">
        <w:r>
          <w:rPr>
            <w:rStyle w:val="Hyperlink"/>
          </w:rPr>
          <w:t>Étude sur le coût économique, social et humain de la traite des êtres humains au sein de l’UE - Office des publications de l’UE (europa.eu)</w:t>
        </w:r>
      </w:hyperlink>
      <w:r>
        <w:t>.</w:t>
      </w:r>
    </w:p>
  </w:footnote>
  <w:footnote w:id="73">
    <w:p w14:paraId="1016C7F5" w14:textId="7A0ABC00" w:rsidR="00801FFE" w:rsidRPr="00760FA7" w:rsidRDefault="00801FFE" w:rsidP="00364CD8">
      <w:pPr>
        <w:pStyle w:val="FootnoteText"/>
        <w:ind w:left="227" w:hanging="227"/>
        <w:jc w:val="both"/>
      </w:pPr>
      <w:r>
        <w:rPr>
          <w:rStyle w:val="FootnoteReference"/>
        </w:rPr>
        <w:footnoteRef/>
      </w:r>
      <w:r>
        <w:tab/>
      </w:r>
      <w:r>
        <w:rPr>
          <w:u w:val="single"/>
        </w:rPr>
        <w:t>Conformément à</w:t>
      </w:r>
      <w:r>
        <w:t xml:space="preserve"> </w:t>
      </w:r>
      <w:hyperlink r:id="rId70" w:history="1">
        <w:r>
          <w:rPr>
            <w:rStyle w:val="Hyperlink"/>
          </w:rPr>
          <w:t>la stratégie de l'UE visant à lutter contre la traite des êtres humains</w:t>
        </w:r>
      </w:hyperlink>
      <w:r>
        <w:t>_</w:t>
      </w:r>
      <w:r>
        <w:rPr>
          <w:rStyle w:val="Hyperlink"/>
        </w:rPr>
        <w:t>(2021-2025)</w:t>
      </w:r>
      <w:r>
        <w:rPr>
          <w:color w:val="A4262C"/>
          <w:u w:val="single"/>
        </w:rPr>
        <w:t xml:space="preserve">. </w:t>
      </w:r>
    </w:p>
  </w:footnote>
  <w:footnote w:id="74">
    <w:p w14:paraId="433D8BAE" w14:textId="30C6A5F9" w:rsidR="001872C2" w:rsidRPr="00804AD6" w:rsidRDefault="001872C2" w:rsidP="00364CD8">
      <w:pPr>
        <w:pStyle w:val="FootnoteText"/>
        <w:ind w:left="227" w:hanging="227"/>
        <w:jc w:val="both"/>
      </w:pPr>
      <w:r>
        <w:rPr>
          <w:rStyle w:val="FootnoteReference"/>
        </w:rPr>
        <w:footnoteRef/>
      </w:r>
      <w:r>
        <w:t xml:space="preserve"> </w:t>
      </w:r>
      <w:hyperlink r:id="rId71" w:history="1">
        <w:r>
          <w:rPr>
            <w:rStyle w:val="Hyperlink"/>
          </w:rPr>
          <w:t>Fonds «Asile, migration et intégration» (2021-2027) (europa.eu)</w:t>
        </w:r>
      </w:hyperlink>
      <w:r>
        <w:t>.</w:t>
      </w:r>
    </w:p>
  </w:footnote>
  <w:footnote w:id="75">
    <w:p w14:paraId="06DC8FE8" w14:textId="77777777" w:rsidR="0042354C" w:rsidRPr="00ED30DB" w:rsidRDefault="0042354C" w:rsidP="00364CD8">
      <w:pPr>
        <w:pStyle w:val="FootnoteText"/>
        <w:ind w:left="227" w:hanging="227"/>
        <w:jc w:val="both"/>
      </w:pPr>
      <w:r>
        <w:rPr>
          <w:rStyle w:val="FootnoteReference"/>
        </w:rPr>
        <w:footnoteRef/>
      </w:r>
      <w:r>
        <w:tab/>
        <w:t>En 2021, la Commission européenne a adopté la</w:t>
      </w:r>
      <w:hyperlink r:id="rId72" w:history="1">
        <w:r>
          <w:rPr>
            <w:rStyle w:val="Hyperlink"/>
          </w:rPr>
          <w:t xml:space="preserve"> stratégie en faveur des droits des personnes handicapées</w:t>
        </w:r>
      </w:hyperlink>
      <w:r>
        <w:t xml:space="preserve"> (2021-2030), conformément à la convention des Nations unies relative aux droits des personnes handicapées, à laquelle l’UE et ses États membres sont parties.</w:t>
      </w:r>
    </w:p>
  </w:footnote>
  <w:footnote w:id="76">
    <w:p w14:paraId="38BF17F4" w14:textId="77777777" w:rsidR="00D01BC6" w:rsidRPr="003174ED" w:rsidRDefault="00D01BC6" w:rsidP="00364CD8">
      <w:pPr>
        <w:pStyle w:val="FootnoteText"/>
        <w:ind w:left="227" w:hanging="227"/>
        <w:jc w:val="both"/>
      </w:pPr>
      <w:r>
        <w:rPr>
          <w:rStyle w:val="FootnoteReference"/>
        </w:rPr>
        <w:footnoteRef/>
      </w:r>
      <w:hyperlink r:id="rId73" w:history="1">
        <w:r>
          <w:rPr>
            <w:rStyle w:val="Hyperlink"/>
          </w:rPr>
          <w:t>Train de mesures sur l’emploi des personnes handicapées</w:t>
        </w:r>
      </w:hyperlink>
      <w:r>
        <w:t>.</w:t>
      </w:r>
    </w:p>
  </w:footnote>
  <w:footnote w:id="77">
    <w:p w14:paraId="375B0C78" w14:textId="706BA4DC" w:rsidR="15A27C63" w:rsidRPr="00760FA7" w:rsidRDefault="15A27C63" w:rsidP="00364CD8">
      <w:pPr>
        <w:pStyle w:val="FootnoteText"/>
        <w:ind w:left="227" w:hanging="227"/>
        <w:jc w:val="both"/>
      </w:pPr>
      <w:r>
        <w:rPr>
          <w:rStyle w:val="FootnoteReference"/>
        </w:rPr>
        <w:footnoteRef/>
      </w:r>
      <w:r>
        <w:tab/>
      </w:r>
      <w:hyperlink r:id="rId74" w:history="1">
        <w:r>
          <w:rPr>
            <w:rStyle w:val="Hyperlink"/>
          </w:rPr>
          <w:t>La COVID longue et la santé mentale sont corrélées:</w:t>
        </w:r>
      </w:hyperlink>
      <w:hyperlink r:id="rId75" w:history="1">
        <w:r>
          <w:rPr>
            <w:rStyle w:val="Hyperlink"/>
          </w:rPr>
          <w:t>une nouvelle maladie chronique répond aux schémas existants - PubMed (nih.gov)</w:t>
        </w:r>
      </w:hyperlink>
      <w:r>
        <w:rPr>
          <w:rStyle w:val="Hyperlink"/>
        </w:rPr>
        <w:t xml:space="preserve"> (en anglais).</w:t>
      </w:r>
    </w:p>
  </w:footnote>
  <w:footnote w:id="78">
    <w:p w14:paraId="47E4EC32" w14:textId="77777777" w:rsidR="00F109FA" w:rsidRPr="00E94D45" w:rsidRDefault="00F109FA" w:rsidP="00364CD8">
      <w:pPr>
        <w:pStyle w:val="FootnoteText"/>
        <w:ind w:left="227" w:hanging="227"/>
        <w:jc w:val="both"/>
      </w:pPr>
      <w:r>
        <w:rPr>
          <w:rStyle w:val="FootnoteReference"/>
        </w:rPr>
        <w:footnoteRef/>
      </w:r>
      <w:r>
        <w:tab/>
        <w:t>Selon l’OMS et les estimations, 1 personne sur 5 qui subit actuellement les ravages de la guerre sera confrontée à un problème de santé mentale dans les dix prochaines années, et 1 personne sur 10 sera atteinte d’une affection sévère telle que le syndrome de stress post-traumatique ou la psychose.</w:t>
      </w:r>
    </w:p>
  </w:footnote>
  <w:footnote w:id="79">
    <w:p w14:paraId="4891208C" w14:textId="48CF9574" w:rsidR="00700024" w:rsidRPr="00E94D45" w:rsidRDefault="00700024" w:rsidP="00364CD8">
      <w:pPr>
        <w:pStyle w:val="FootnoteText"/>
        <w:ind w:left="227" w:hanging="227"/>
        <w:jc w:val="both"/>
      </w:pPr>
      <w:r>
        <w:rPr>
          <w:rStyle w:val="FootnoteReference"/>
        </w:rPr>
        <w:footnoteRef/>
      </w:r>
      <w:r>
        <w:tab/>
        <w:t>Voir l’action phare relative au soutien en matière de santé mentale en faveur des personnes déplacées et touchées par la guerre en Ukraine.</w:t>
      </w:r>
    </w:p>
  </w:footnote>
  <w:footnote w:id="80">
    <w:p w14:paraId="104F35C2" w14:textId="62AA3594" w:rsidR="00C8644C" w:rsidRPr="002B6CA5" w:rsidRDefault="00C8644C" w:rsidP="00F809B6">
      <w:pPr>
        <w:pStyle w:val="FootnoteText"/>
      </w:pPr>
      <w:r>
        <w:rPr>
          <w:rStyle w:val="FootnoteReference"/>
        </w:rPr>
        <w:footnoteRef/>
      </w:r>
      <w:r>
        <w:t xml:space="preserve"> </w:t>
      </w:r>
      <w:hyperlink r:id="rId76" w:history="1">
        <w:r>
          <w:rPr>
            <w:rStyle w:val="Hyperlink"/>
          </w:rPr>
          <w:t>Fonds «Asile, migration et intégration» (2021-2027) (europa.eu)</w:t>
        </w:r>
      </w:hyperlink>
      <w:r>
        <w:t>.</w:t>
      </w:r>
    </w:p>
  </w:footnote>
  <w:footnote w:id="81">
    <w:p w14:paraId="3B4819E2" w14:textId="5174A705" w:rsidR="00743190" w:rsidRPr="00804AD6" w:rsidRDefault="00743190" w:rsidP="00364CD8">
      <w:pPr>
        <w:pStyle w:val="FootnoteText"/>
        <w:ind w:left="227" w:hanging="227"/>
      </w:pPr>
      <w:r>
        <w:rPr>
          <w:rStyle w:val="FootnoteReference"/>
        </w:rPr>
        <w:footnoteRef/>
      </w:r>
      <w:r>
        <w:t>Nicholas Pleace (2023) Services sociaux et de soins de santé pour les sans-abri: un document de réflexion sera publié dans le cadre de la plateforme européenne de lutte contre le sans-abrisme.</w:t>
      </w:r>
    </w:p>
  </w:footnote>
  <w:footnote w:id="82">
    <w:p w14:paraId="54019F90" w14:textId="751DC2F4" w:rsidR="00831C14" w:rsidRPr="006C0ADA" w:rsidRDefault="00C900C0" w:rsidP="00F809B6">
      <w:pPr>
        <w:pStyle w:val="FootnoteText"/>
        <w:ind w:left="227" w:hanging="227"/>
        <w:rPr>
          <w:lang w:val="en-IE"/>
        </w:rPr>
      </w:pPr>
      <w:r>
        <w:rPr>
          <w:rStyle w:val="FootnoteReference"/>
        </w:rPr>
        <w:footnoteRef/>
      </w:r>
      <w:r w:rsidRPr="006C0ADA">
        <w:rPr>
          <w:lang w:val="en-IE"/>
        </w:rPr>
        <w:t xml:space="preserve"> </w:t>
      </w:r>
      <w:hyperlink r:id="rId77" w:history="1">
        <w:r w:rsidRPr="006C0ADA">
          <w:rPr>
            <w:rStyle w:val="Hyperlink"/>
            <w:lang w:val="en-IE"/>
          </w:rPr>
          <w:t>Https://commission.europa.eu/system/files/2021-01/eu_roma_strategic_framework_for_equality_inclusion_and_participation_for_2020_-_2030_0.pdf</w:t>
        </w:r>
      </w:hyperlink>
      <w:r w:rsidRPr="006C0ADA">
        <w:rPr>
          <w:lang w:val="en-IE"/>
        </w:rPr>
        <w:t xml:space="preserve"> (en anglais).</w:t>
      </w:r>
    </w:p>
  </w:footnote>
  <w:footnote w:id="83">
    <w:p w14:paraId="46B39312" w14:textId="77777777" w:rsidR="007C387C" w:rsidRPr="002B6CA5" w:rsidRDefault="007C387C" w:rsidP="00364CD8">
      <w:pPr>
        <w:pStyle w:val="FootnoteText"/>
        <w:ind w:left="227" w:hanging="227"/>
      </w:pPr>
      <w:r>
        <w:rPr>
          <w:rStyle w:val="FootnoteReference"/>
        </w:rPr>
        <w:footnoteRef/>
      </w:r>
      <w:r>
        <w:tab/>
        <w:t>Directive 2012/29/UE du Parlement européen et du Conseil du 25 octobre 2012 établissant des normes minimales concernant les droits, le soutien et la protection des victimes de la criminalité et remplaçant la décision-cadre 2001/220/JAI du Conseil (JO L 315 du 14.11.2012, p. 57).</w:t>
      </w:r>
    </w:p>
  </w:footnote>
  <w:footnote w:id="84">
    <w:p w14:paraId="3DA985CC" w14:textId="77777777" w:rsidR="00D04CA5" w:rsidRPr="002B6CA5" w:rsidRDefault="00D04CA5" w:rsidP="00F809B6">
      <w:pPr>
        <w:pStyle w:val="FootnoteText"/>
      </w:pPr>
      <w:r>
        <w:rPr>
          <w:rStyle w:val="FootnoteReference"/>
        </w:rPr>
        <w:footnoteRef/>
      </w:r>
      <w:r>
        <w:tab/>
        <w:t>Rapport 2018 de Santé publique France</w:t>
      </w:r>
    </w:p>
  </w:footnote>
  <w:footnote w:id="85">
    <w:p w14:paraId="5EEB2AFE" w14:textId="571F3420" w:rsidR="006B6774" w:rsidRPr="0025338B" w:rsidRDefault="006B6774" w:rsidP="006141AC">
      <w:pPr>
        <w:pStyle w:val="FootnoteText"/>
        <w:ind w:left="227" w:hanging="227"/>
        <w:jc w:val="both"/>
      </w:pPr>
      <w:r>
        <w:rPr>
          <w:rStyle w:val="FootnoteReference"/>
        </w:rPr>
        <w:footnoteRef/>
      </w:r>
      <w:r>
        <w:t xml:space="preserve"> </w:t>
      </w:r>
      <w:hyperlink r:id="rId78" w:history="1">
        <w:r>
          <w:rPr>
            <w:rStyle w:val="Hyperlink"/>
          </w:rPr>
          <w:t>EU Mission:</w:t>
        </w:r>
      </w:hyperlink>
      <w:hyperlink r:id="rId79" w:history="1">
        <w:r>
          <w:rPr>
            <w:rStyle w:val="Hyperlink"/>
          </w:rPr>
          <w:t xml:space="preserve"> Cancer (europa.eu)</w:t>
        </w:r>
      </w:hyperlink>
      <w:r>
        <w:t xml:space="preserve"> (en anglais).</w:t>
      </w:r>
    </w:p>
  </w:footnote>
  <w:footnote w:id="86">
    <w:p w14:paraId="1F7E7FC4" w14:textId="7007F56E" w:rsidR="00AA24CB" w:rsidRPr="00760FA7" w:rsidRDefault="00AA24CB" w:rsidP="006141AC">
      <w:pPr>
        <w:pStyle w:val="FootnoteText"/>
        <w:ind w:left="227" w:hanging="227"/>
        <w:jc w:val="both"/>
        <w:rPr>
          <w:rFonts w:cs="Times New Roman"/>
        </w:rPr>
      </w:pPr>
      <w:r>
        <w:rPr>
          <w:rStyle w:val="FootnoteReference"/>
          <w:rFonts w:cs="Times New Roman"/>
        </w:rPr>
        <w:footnoteRef/>
      </w:r>
      <w:r>
        <w:tab/>
        <w:t>Soutien financier au titre du programme de travail «L’UE pour la santé» 2023: CR-g-23-19.01 Subventions à l’action sur les défis en matière de santé mentale pour les patients atteints d’un cancer et les survivants.</w:t>
      </w:r>
    </w:p>
  </w:footnote>
  <w:footnote w:id="87">
    <w:p w14:paraId="17012EB2" w14:textId="77777777" w:rsidR="00950E1A" w:rsidRPr="00AE2768" w:rsidRDefault="00950E1A" w:rsidP="006141AC">
      <w:pPr>
        <w:pStyle w:val="FootnoteText"/>
        <w:ind w:left="227" w:hanging="227"/>
        <w:jc w:val="both"/>
      </w:pPr>
      <w:r>
        <w:rPr>
          <w:rStyle w:val="FootnoteReference"/>
        </w:rPr>
        <w:footnoteRef/>
      </w:r>
      <w:r>
        <w:tab/>
        <w:t xml:space="preserve">Par exemple, comme indiqué dans la </w:t>
      </w:r>
      <w:hyperlink r:id="rId80" w:history="1">
        <w:r>
          <w:rPr>
            <w:rStyle w:val="Hyperlink"/>
          </w:rPr>
          <w:t>recommandation du Conseil sur l’égalité, l’inclusion et la participation des Roms</w:t>
        </w:r>
      </w:hyperlink>
      <w:r>
        <w:t>.</w:t>
      </w:r>
    </w:p>
  </w:footnote>
  <w:footnote w:id="88">
    <w:p w14:paraId="61C0F2BF" w14:textId="39621046" w:rsidR="00501ADF" w:rsidRPr="00804AD6" w:rsidRDefault="00501ADF" w:rsidP="006141AC">
      <w:pPr>
        <w:pStyle w:val="FootnoteText"/>
        <w:ind w:left="227" w:hanging="227"/>
      </w:pPr>
      <w:r>
        <w:rPr>
          <w:rStyle w:val="FootnoteReference"/>
        </w:rPr>
        <w:footnoteRef/>
      </w:r>
      <w:r>
        <w:tab/>
        <w:t xml:space="preserve">Voir </w:t>
      </w:r>
      <w:hyperlink r:id="rId81" w:history="1">
        <w:r>
          <w:rPr>
            <w:rStyle w:val="Hyperlink"/>
          </w:rPr>
          <w:t>https://osha.europa.eu/fr/publications/osh-pulse-occupational-safety-and-health-post-pandemic-workplaces</w:t>
        </w:r>
      </w:hyperlink>
      <w:r>
        <w:t>.</w:t>
      </w:r>
    </w:p>
  </w:footnote>
  <w:footnote w:id="89">
    <w:p w14:paraId="003F75FE" w14:textId="4AF92825" w:rsidR="1C575F7C" w:rsidRPr="00C20151" w:rsidRDefault="1C575F7C" w:rsidP="006141AC">
      <w:pPr>
        <w:pStyle w:val="FootnoteText"/>
        <w:ind w:left="227" w:hanging="227"/>
        <w:jc w:val="both"/>
        <w:rPr>
          <w:rFonts w:cs="Times New Roman"/>
        </w:rPr>
      </w:pPr>
      <w:r>
        <w:rPr>
          <w:rStyle w:val="FootnoteReference"/>
        </w:rPr>
        <w:footnoteRef/>
      </w:r>
      <w:hyperlink r:id="rId82" w:history="1">
        <w:r>
          <w:rPr>
            <w:rStyle w:val="Hyperlink"/>
          </w:rPr>
          <w:t>Législation en matière de sécurité et de santé au travail |</w:t>
        </w:r>
      </w:hyperlink>
      <w:hyperlink r:id="rId83" w:history="1">
        <w:r>
          <w:rPr>
            <w:rStyle w:val="Hyperlink"/>
          </w:rPr>
          <w:t>Sécurité et santé au travail EU-OSHA (europa.eu)</w:t>
        </w:r>
      </w:hyperlink>
      <w:r>
        <w:t>. La directive-cadre sur la SST (89/391/CEE) établit l’obligation pour l’employeur d’évaluer les risques pour la sécurité et la santé des travailleurs, y compris les risques psychosociaux, et de mettre en place des mesures de protection. La directive sur les équipements à écran de visualisation (90/270/CEE), la directive sur les lieux de travail (89/654/CEE) et la directive relative à la prévention des blessures par objets tranchants dans le secteur hospitalier et sanitaire (2010/32/UE) traitent également des aspects du travail liés aux risques psychosociaux.</w:t>
      </w:r>
    </w:p>
  </w:footnote>
  <w:footnote w:id="90">
    <w:p w14:paraId="60562183" w14:textId="4474A08D" w:rsidR="009C13A7" w:rsidRPr="006C0ADA" w:rsidRDefault="009C13A7" w:rsidP="006141AC">
      <w:pPr>
        <w:pStyle w:val="FootnoteText"/>
        <w:ind w:left="227" w:hanging="227"/>
        <w:jc w:val="both"/>
        <w:rPr>
          <w:rFonts w:cs="Times New Roman"/>
          <w:lang w:val="en-IE"/>
        </w:rPr>
      </w:pPr>
      <w:r>
        <w:rPr>
          <w:vertAlign w:val="superscript"/>
        </w:rPr>
        <w:footnoteRef/>
      </w:r>
      <w:r w:rsidRPr="006C0ADA">
        <w:rPr>
          <w:lang w:val="en-IE"/>
        </w:rPr>
        <w:t xml:space="preserve"> Par exemple COM(2002) 118; COM(2007) 62; COM (2014) 0332 final.</w:t>
      </w:r>
    </w:p>
  </w:footnote>
  <w:footnote w:id="91">
    <w:p w14:paraId="6350901B" w14:textId="57E5C003" w:rsidR="009C13A7" w:rsidRPr="006C0ADA" w:rsidRDefault="009C13A7" w:rsidP="006141AC">
      <w:pPr>
        <w:pStyle w:val="FootnoteText"/>
        <w:ind w:left="227" w:hanging="227"/>
        <w:jc w:val="both"/>
        <w:rPr>
          <w:rFonts w:asciiTheme="minorHAnsi" w:hAnsiTheme="minorHAnsi"/>
          <w:lang w:val="en-IE"/>
        </w:rPr>
      </w:pPr>
      <w:r>
        <w:rPr>
          <w:rStyle w:val="FootnoteReference"/>
          <w:rFonts w:cs="Times New Roman"/>
          <w:lang w:val="en-GB"/>
        </w:rPr>
        <w:footnoteRef/>
      </w:r>
      <w:r w:rsidRPr="006C0ADA">
        <w:rPr>
          <w:lang w:val="en-IE"/>
        </w:rPr>
        <w:t xml:space="preserve"> </w:t>
      </w:r>
      <w:r w:rsidRPr="006C0ADA">
        <w:rPr>
          <w:lang w:val="en-IE"/>
        </w:rPr>
        <w:tab/>
        <w:t>COM(2021) 323 final.</w:t>
      </w:r>
    </w:p>
  </w:footnote>
  <w:footnote w:id="92">
    <w:p w14:paraId="2A15BCAF" w14:textId="67728954" w:rsidR="00C955E4" w:rsidRPr="00C20151" w:rsidRDefault="00C955E4" w:rsidP="006141AC">
      <w:pPr>
        <w:pStyle w:val="FootnoteText"/>
        <w:ind w:left="227" w:hanging="227"/>
        <w:jc w:val="both"/>
      </w:pPr>
      <w:r>
        <w:rPr>
          <w:rStyle w:val="FootnoteReference"/>
        </w:rPr>
        <w:footnoteRef/>
      </w:r>
      <w:r>
        <w:t xml:space="preserve"> </w:t>
      </w:r>
      <w:hyperlink r:id="rId84" w:history="1">
        <w:r>
          <w:rPr>
            <w:rStyle w:val="Hyperlink"/>
          </w:rPr>
          <w:t>Agence européenne pour la sécurité et la santé au travail (europa.eu)</w:t>
        </w:r>
      </w:hyperlink>
      <w:r>
        <w:t>.</w:t>
      </w:r>
    </w:p>
  </w:footnote>
  <w:footnote w:id="93">
    <w:p w14:paraId="0280D017" w14:textId="2AD5FA5D" w:rsidR="002C0E46" w:rsidRPr="00C20151" w:rsidRDefault="002C0E46" w:rsidP="006141AC">
      <w:pPr>
        <w:pStyle w:val="FootnoteText"/>
        <w:ind w:left="227" w:hanging="227"/>
        <w:jc w:val="both"/>
        <w:rPr>
          <w:rFonts w:cs="Times New Roman"/>
        </w:rPr>
      </w:pPr>
      <w:r>
        <w:rPr>
          <w:rStyle w:val="FootnoteReference"/>
          <w:rFonts w:cs="Times New Roman"/>
          <w:lang w:val="en-GB"/>
        </w:rPr>
        <w:footnoteRef/>
      </w:r>
      <w:r>
        <w:t xml:space="preserve"> </w:t>
      </w:r>
      <w:hyperlink r:id="rId85" w:history="1">
        <w:r>
          <w:rPr>
            <w:rStyle w:val="Hyperlink"/>
          </w:rPr>
          <w:t>Des travailleurs en bonne santé, des entreprises prospères – un guide pratique du bien-être au travail</w:t>
        </w:r>
      </w:hyperlink>
      <w:r>
        <w:t>.</w:t>
      </w:r>
    </w:p>
  </w:footnote>
  <w:footnote w:id="94">
    <w:p w14:paraId="6BBF9215" w14:textId="77777777" w:rsidR="00F109FA" w:rsidRPr="00C20151" w:rsidRDefault="00F109FA" w:rsidP="00F109FA">
      <w:pPr>
        <w:pStyle w:val="FootnoteText"/>
      </w:pPr>
      <w:r>
        <w:rPr>
          <w:rStyle w:val="FootnoteReference"/>
        </w:rPr>
        <w:footnoteRef/>
      </w:r>
      <w:r>
        <w:t xml:space="preserve"> </w:t>
      </w:r>
      <w:hyperlink r:id="rId86" w:anchor="navItem-1" w:history="1">
        <w:r>
          <w:rPr>
            <w:rStyle w:val="Hyperlink"/>
          </w:rPr>
          <w:t>https://ec.europa.eu/social/main.jsp?langId=en&amp;catId=89&amp;furtherNews=yes&amp;newsId=10582#navItem-1</w:t>
        </w:r>
      </w:hyperlink>
      <w:r>
        <w:t xml:space="preserve"> (en anglais) </w:t>
      </w:r>
    </w:p>
  </w:footnote>
  <w:footnote w:id="95">
    <w:p w14:paraId="40A48F52" w14:textId="77777777" w:rsidR="007A0C8C" w:rsidRPr="00C20151" w:rsidRDefault="007A0C8C" w:rsidP="007A0C8C">
      <w:pPr>
        <w:pStyle w:val="FootnoteText"/>
      </w:pPr>
      <w:r>
        <w:rPr>
          <w:rStyle w:val="FootnoteReference"/>
        </w:rPr>
        <w:footnoteRef/>
      </w:r>
      <w:r>
        <w:t xml:space="preserve"> </w:t>
      </w:r>
      <w:hyperlink r:id="rId87" w:history="1">
        <w:r>
          <w:rPr>
            <w:rStyle w:val="Hyperlink"/>
          </w:rPr>
          <w:t>Directive du Conseil concernant les prescriptions minimales de sécurité et de santé pour les lieux de travail</w:t>
        </w:r>
      </w:hyperlink>
      <w:r>
        <w:t>.</w:t>
      </w:r>
    </w:p>
  </w:footnote>
  <w:footnote w:id="96">
    <w:p w14:paraId="041B082C" w14:textId="77777777" w:rsidR="007A0C8C" w:rsidRPr="00C20151" w:rsidRDefault="007A0C8C" w:rsidP="007A0C8C">
      <w:pPr>
        <w:pStyle w:val="FootnoteText"/>
      </w:pPr>
      <w:r>
        <w:rPr>
          <w:rStyle w:val="FootnoteReference"/>
        </w:rPr>
        <w:footnoteRef/>
      </w:r>
      <w:r>
        <w:t xml:space="preserve"> </w:t>
      </w:r>
      <w:hyperlink r:id="rId88" w:history="1">
        <w:r>
          <w:rPr>
            <w:rStyle w:val="Hyperlink"/>
          </w:rPr>
          <w:t>Directive du Conseil relative au travail sur des équipements à écran de visualisation</w:t>
        </w:r>
      </w:hyperlink>
      <w:r>
        <w:t>.</w:t>
      </w:r>
    </w:p>
  </w:footnote>
  <w:footnote w:id="97">
    <w:p w14:paraId="46C21B2D" w14:textId="77777777" w:rsidR="00BE418A" w:rsidRPr="00804AD6" w:rsidRDefault="00BE418A" w:rsidP="00BE418A">
      <w:pPr>
        <w:pStyle w:val="FootnoteText"/>
        <w:ind w:left="227" w:hanging="227"/>
        <w:jc w:val="both"/>
      </w:pPr>
      <w:r>
        <w:rPr>
          <w:rStyle w:val="FootnoteReference"/>
        </w:rPr>
        <w:footnoteRef/>
      </w:r>
      <w:r>
        <w:tab/>
      </w:r>
      <w:hyperlink r:id="rId89" w:anchor="navItem-relatedDocuments" w:history="1">
        <w:r>
          <w:rPr>
            <w:rStyle w:val="Hyperlink"/>
          </w:rPr>
          <w:t>Stratégie européenne en matière d’accueil et de soins</w:t>
        </w:r>
      </w:hyperlink>
      <w:r>
        <w:t>.</w:t>
      </w:r>
    </w:p>
  </w:footnote>
  <w:footnote w:id="98">
    <w:p w14:paraId="6EB041E0" w14:textId="015701C5" w:rsidR="005074EC" w:rsidRPr="00804AD6" w:rsidRDefault="005074EC" w:rsidP="00BD2FF0">
      <w:pPr>
        <w:pStyle w:val="FootnoteText"/>
        <w:ind w:left="284" w:hanging="284"/>
        <w:jc w:val="both"/>
      </w:pPr>
      <w:r>
        <w:rPr>
          <w:rStyle w:val="FootnoteReference"/>
        </w:rPr>
        <w:footnoteRef/>
      </w:r>
      <w:r>
        <w:tab/>
        <w:t>Soutien financier fourni par le budget de l’EU-OSHA.</w:t>
      </w:r>
    </w:p>
  </w:footnote>
  <w:footnote w:id="99">
    <w:p w14:paraId="492B10A5" w14:textId="77777777" w:rsidR="00124971" w:rsidRPr="00804AD6" w:rsidRDefault="00124971" w:rsidP="009345DA">
      <w:pPr>
        <w:pStyle w:val="FootnoteText"/>
        <w:ind w:left="227" w:hanging="227"/>
      </w:pPr>
      <w:r>
        <w:rPr>
          <w:rStyle w:val="FootnoteReference"/>
        </w:rPr>
        <w:footnoteRef/>
      </w:r>
      <w:r>
        <w:t xml:space="preserve"> </w:t>
      </w:r>
      <w:hyperlink r:id="rId90" w:history="1">
        <w:r>
          <w:rPr>
            <w:rStyle w:val="Hyperlink"/>
          </w:rPr>
          <w:t>https://osha.europa.eu/en/legislation/guidelines/labour-inspectors-guide-assessing-quality-risk-assessments-and-risk-management-measures-regard-prevention-msds</w:t>
        </w:r>
      </w:hyperlink>
    </w:p>
  </w:footnote>
  <w:footnote w:id="100">
    <w:p w14:paraId="14B01CE7" w14:textId="60DA367D" w:rsidR="003A5125" w:rsidRPr="002B6CA5" w:rsidRDefault="003A5125">
      <w:pPr>
        <w:pStyle w:val="FootnoteText"/>
      </w:pPr>
      <w:r>
        <w:rPr>
          <w:rStyle w:val="FootnoteReference"/>
        </w:rPr>
        <w:footnoteRef/>
      </w:r>
      <w:r>
        <w:t xml:space="preserve"> Panorama de la santé: Rapport Europe 2022 (voir note de bas de page 37, page 8).</w:t>
      </w:r>
    </w:p>
  </w:footnote>
  <w:footnote w:id="101">
    <w:p w14:paraId="58C4BB1B" w14:textId="16AD33BD" w:rsidR="00957B9C" w:rsidRPr="00ED30DB" w:rsidRDefault="00957B9C" w:rsidP="00AF2146">
      <w:pPr>
        <w:pStyle w:val="FootnoteText"/>
        <w:ind w:left="284" w:hanging="284"/>
        <w:jc w:val="both"/>
        <w:rPr>
          <w:rFonts w:cs="Times New Roman"/>
        </w:rPr>
      </w:pPr>
      <w:r>
        <w:rPr>
          <w:rStyle w:val="FootnoteReference"/>
          <w:rFonts w:cs="Times New Roman"/>
          <w:lang w:val="en-GB"/>
        </w:rPr>
        <w:footnoteRef/>
      </w:r>
      <w:r>
        <w:t xml:space="preserve"> </w:t>
      </w:r>
      <w:hyperlink r:id="rId91" w:history="1">
        <w:r>
          <w:rPr>
            <w:rStyle w:val="Hyperlink"/>
          </w:rPr>
          <w:t>Évolution mondiale de la prescription sociale - PubMed (nih.gov)</w:t>
        </w:r>
      </w:hyperlink>
      <w:r>
        <w:t xml:space="preserve"> (en anglais).</w:t>
      </w:r>
    </w:p>
  </w:footnote>
  <w:footnote w:id="102">
    <w:p w14:paraId="674B5BCB" w14:textId="24A7D9FA" w:rsidR="00957B9C" w:rsidRPr="00ED30DB" w:rsidRDefault="00957B9C" w:rsidP="00AF2146">
      <w:pPr>
        <w:pStyle w:val="FootnoteText"/>
        <w:ind w:left="284" w:hanging="284"/>
        <w:jc w:val="both"/>
        <w:rPr>
          <w:rFonts w:cs="Times New Roman"/>
        </w:rPr>
      </w:pPr>
      <w:r>
        <w:rPr>
          <w:rStyle w:val="FootnoteReference"/>
          <w:rFonts w:cs="Times New Roman"/>
          <w:lang w:val="en-GB"/>
        </w:rPr>
        <w:footnoteRef/>
      </w:r>
      <w:r>
        <w:t xml:space="preserve"> </w:t>
      </w:r>
      <w:hyperlink r:id="rId92" w:history="1">
        <w:r>
          <w:rPr>
            <w:rStyle w:val="Hyperlink"/>
          </w:rPr>
          <w:t>Examen systématique des prescriptions sociales et adultes âgés:</w:t>
        </w:r>
      </w:hyperlink>
      <w:hyperlink r:id="rId93" w:history="1">
        <w:r>
          <w:rPr>
            <w:rStyle w:val="Hyperlink"/>
          </w:rPr>
          <w:t xml:space="preserve"> Que faisons-nous maintenant?</w:t>
        </w:r>
      </w:hyperlink>
      <w:hyperlink r:id="rId94" w:history="1">
        <w:r>
          <w:rPr>
            <w:rStyle w:val="Hyperlink"/>
          </w:rPr>
          <w:t xml:space="preserve"> - PubMed (nih.gov)</w:t>
        </w:r>
      </w:hyperlink>
      <w:r>
        <w:t xml:space="preserve"> (en anglais).</w:t>
      </w:r>
    </w:p>
  </w:footnote>
  <w:footnote w:id="103">
    <w:p w14:paraId="462BA4BC" w14:textId="77777777" w:rsidR="00211F78" w:rsidRPr="00804AD6" w:rsidRDefault="00211F78" w:rsidP="00211F78">
      <w:pPr>
        <w:pStyle w:val="FootnoteText"/>
        <w:ind w:left="284" w:hanging="284"/>
      </w:pPr>
      <w:r>
        <w:rPr>
          <w:rStyle w:val="FootnoteReference"/>
        </w:rPr>
        <w:footnoteRef/>
      </w:r>
      <w:r>
        <w:t xml:space="preserve"> </w:t>
      </w:r>
      <w:hyperlink r:id="rId95" w:history="1">
        <w:r>
          <w:rPr>
            <w:rStyle w:val="Hyperlink"/>
          </w:rPr>
          <w:t>EUR-Lex - 52012SC0414 - EN - EUR-Lex (europa.eu)</w:t>
        </w:r>
      </w:hyperlink>
      <w:r>
        <w:t>.</w:t>
      </w:r>
    </w:p>
  </w:footnote>
  <w:footnote w:id="104">
    <w:p w14:paraId="46FD66D2" w14:textId="77777777" w:rsidR="000F0E58" w:rsidRPr="00760FA7" w:rsidRDefault="000F0E58" w:rsidP="000F0E58">
      <w:pPr>
        <w:pStyle w:val="FootnoteText"/>
        <w:ind w:left="284" w:hanging="284"/>
        <w:jc w:val="both"/>
      </w:pPr>
      <w:r>
        <w:rPr>
          <w:rStyle w:val="FootnoteReference"/>
        </w:rPr>
        <w:footnoteRef/>
      </w:r>
      <w:r>
        <w:tab/>
        <w:t>Le rapport du groupe d’experts intitulé «Cartographie des indicateurs de la promotion de la santé et de la prévention des maladies pour l’évaluation des performances des systèmes de santé» comprend une étude de cas sur la santé mentale et les meilleures pratiques en matière de prescription sociale.</w:t>
      </w:r>
    </w:p>
  </w:footnote>
  <w:footnote w:id="105">
    <w:p w14:paraId="4CD784F2" w14:textId="77777777" w:rsidR="004E2CAB" w:rsidRPr="008A499D" w:rsidRDefault="004E2CAB" w:rsidP="004E2CAB">
      <w:pPr>
        <w:pStyle w:val="FootnoteText"/>
        <w:ind w:left="170" w:hanging="170"/>
      </w:pPr>
      <w:r>
        <w:rPr>
          <w:rStyle w:val="FootnoteReference"/>
        </w:rPr>
        <w:footnoteRef/>
      </w:r>
      <w:r>
        <w:tab/>
      </w:r>
      <w:hyperlink r:id="rId96" w:history="1">
        <w:r>
          <w:rPr>
            <w:rStyle w:val="Hyperlink"/>
          </w:rPr>
          <w:t>Prospective stratégique (europa.eu)</w:t>
        </w:r>
      </w:hyperlink>
      <w:r>
        <w:t>.</w:t>
      </w:r>
    </w:p>
  </w:footnote>
  <w:footnote w:id="106">
    <w:p w14:paraId="03141BDF" w14:textId="77777777" w:rsidR="004E2CAB" w:rsidRPr="006E046A" w:rsidRDefault="004E2CAB" w:rsidP="00831C14">
      <w:pPr>
        <w:pStyle w:val="FootnoteText"/>
        <w:ind w:left="170" w:hanging="170"/>
        <w:jc w:val="both"/>
      </w:pPr>
      <w:r>
        <w:rPr>
          <w:rStyle w:val="FootnoteReference"/>
        </w:rPr>
        <w:footnoteRef/>
      </w:r>
      <w:r>
        <w:tab/>
        <w:t>Afin de soutenir les investissements et les réformes dans les États membres au moyen d’un renforcement ciblé des capacités, une enquête a été réalisée en avril 2023 dans le cadre d’une collaboration entre la Commission, l’OMS et l’Organisation de coopération et de développement économiques (OCDE), afin de fournir un aperçu des politiques de santé mentale dans les États membres.</w:t>
      </w:r>
    </w:p>
  </w:footnote>
  <w:footnote w:id="107">
    <w:p w14:paraId="0D79409F" w14:textId="02172F4A" w:rsidR="00653FF3" w:rsidRPr="00804AD6" w:rsidRDefault="00653FF3" w:rsidP="00653FF3">
      <w:pPr>
        <w:pStyle w:val="FootnoteText"/>
        <w:ind w:left="284" w:hanging="284"/>
        <w:jc w:val="both"/>
      </w:pPr>
      <w:r>
        <w:rPr>
          <w:rStyle w:val="FootnoteReference"/>
        </w:rPr>
        <w:footnoteRef/>
      </w:r>
      <w:r>
        <w:t xml:space="preserve"> </w:t>
      </w:r>
      <w:hyperlink r:id="rId97" w:history="1">
        <w:r>
          <w:rPr>
            <w:rStyle w:val="Hyperlink"/>
          </w:rPr>
          <w:t>Projets phares 2024 relevant de l’instrument d’appui technique - Santé mentale:</w:t>
        </w:r>
      </w:hyperlink>
      <w:hyperlink r:id="rId98" w:history="1">
        <w:r>
          <w:rPr>
            <w:rStyle w:val="Hyperlink"/>
          </w:rPr>
          <w:t>Promouvoir le bien-être et la santé mentale (europa.eu)</w:t>
        </w:r>
      </w:hyperlink>
    </w:p>
  </w:footnote>
  <w:footnote w:id="108">
    <w:p w14:paraId="48F35640" w14:textId="77777777" w:rsidR="00653FF3" w:rsidRPr="002B6CA5" w:rsidRDefault="00653FF3" w:rsidP="00653FF3">
      <w:pPr>
        <w:pStyle w:val="FootnoteText"/>
        <w:ind w:left="284" w:hanging="284"/>
        <w:jc w:val="both"/>
      </w:pPr>
      <w:r>
        <w:rPr>
          <w:rStyle w:val="FootnoteReference"/>
        </w:rPr>
        <w:footnoteRef/>
      </w:r>
      <w:r>
        <w:tab/>
        <w:t xml:space="preserve">Conformément à la </w:t>
      </w:r>
      <w:hyperlink r:id="rId99" w:history="1">
        <w:r>
          <w:rPr>
            <w:rStyle w:val="Hyperlink"/>
          </w:rPr>
          <w:t>convention des Nations unies relative aux droits des personnes handicapées</w:t>
        </w:r>
      </w:hyperlink>
      <w:r>
        <w:t xml:space="preserve"> (CNUDPH) (en anglais).</w:t>
      </w:r>
    </w:p>
  </w:footnote>
  <w:footnote w:id="109">
    <w:p w14:paraId="36E7B914" w14:textId="73B67759" w:rsidR="00A41D7B" w:rsidRPr="003174ED" w:rsidRDefault="00A41D7B" w:rsidP="00A41D7B">
      <w:pPr>
        <w:pStyle w:val="FootnoteText"/>
        <w:ind w:left="227" w:hanging="227"/>
      </w:pPr>
      <w:r>
        <w:rPr>
          <w:rStyle w:val="FootnoteReference"/>
        </w:rPr>
        <w:footnoteRef/>
      </w:r>
      <w:r>
        <w:tab/>
        <w:t xml:space="preserve">Le pouls de la SST (enquête Eurobaromètre Flash, 2022): </w:t>
      </w:r>
      <w:hyperlink r:id="rId100" w:history="1">
        <w:r>
          <w:rPr>
            <w:rStyle w:val="Hyperlink"/>
          </w:rPr>
          <w:t>«Sécurité et santé au travail sur les lieux de travail après la pandémie».</w:t>
        </w:r>
      </w:hyperlink>
      <w:r>
        <w:t xml:space="preserve"> Le rapport comprend les résultats des questions sur les risques psychosociaux et les fiches d’information par pays, ainsi qu’un document de suivi rédigé par des experts sur la santé mentale et les conséquences de la pandémie de COVID-19.</w:t>
      </w:r>
    </w:p>
  </w:footnote>
  <w:footnote w:id="110">
    <w:p w14:paraId="3A84D351" w14:textId="4E7DE5E6" w:rsidR="00D52810" w:rsidRPr="00804AD6" w:rsidRDefault="00D52810">
      <w:pPr>
        <w:pStyle w:val="FootnoteText"/>
      </w:pPr>
      <w:r>
        <w:rPr>
          <w:rStyle w:val="FootnoteReference"/>
        </w:rPr>
        <w:footnoteRef/>
      </w:r>
      <w:hyperlink r:id="rId101" w:history="1">
        <w:r>
          <w:rPr>
            <w:rStyle w:val="Hyperlink"/>
          </w:rPr>
          <w:t>Journée mondiale de la santé mentale (who.int)</w:t>
        </w:r>
      </w:hyperlink>
      <w:r>
        <w:t xml:space="preserve"> (en anglais). </w:t>
      </w:r>
    </w:p>
  </w:footnote>
  <w:footnote w:id="111">
    <w:p w14:paraId="13829A2B" w14:textId="319E8ACD" w:rsidR="00E05D40" w:rsidRPr="006C0ADA" w:rsidRDefault="00E05D40">
      <w:pPr>
        <w:pStyle w:val="FootnoteText"/>
        <w:rPr>
          <w:lang w:val="en-IE"/>
        </w:rPr>
      </w:pPr>
      <w:r>
        <w:rPr>
          <w:rStyle w:val="FootnoteReference"/>
        </w:rPr>
        <w:footnoteRef/>
      </w:r>
      <w:r w:rsidRPr="006C0ADA">
        <w:rPr>
          <w:lang w:val="en-IE"/>
        </w:rPr>
        <w:t xml:space="preserve"> </w:t>
      </w:r>
      <w:hyperlink r:id="rId102" w:history="1">
        <w:r w:rsidRPr="006C0ADA">
          <w:rPr>
            <w:rStyle w:val="Hyperlink"/>
            <w:lang w:val="en-IE"/>
          </w:rPr>
          <w:t>C4H_SummaryReport_V11LP_shortsmall.pdf (cultureforhealth.eu)</w:t>
        </w:r>
      </w:hyperlink>
      <w:r w:rsidRPr="006C0ADA">
        <w:rPr>
          <w:lang w:val="en-IE"/>
        </w:rPr>
        <w:t>.</w:t>
      </w:r>
    </w:p>
  </w:footnote>
  <w:footnote w:id="112">
    <w:p w14:paraId="1FA77A7F" w14:textId="1D46B089" w:rsidR="00B87156" w:rsidRPr="00AE2768" w:rsidRDefault="00B87156" w:rsidP="00AF2146">
      <w:pPr>
        <w:pStyle w:val="FootnoteText"/>
        <w:ind w:left="284" w:hanging="284"/>
        <w:jc w:val="both"/>
      </w:pPr>
      <w:r>
        <w:rPr>
          <w:rStyle w:val="FootnoteReference"/>
        </w:rPr>
        <w:footnoteRef/>
      </w:r>
      <w:r>
        <w:t xml:space="preserve">Financé au titre du </w:t>
      </w:r>
      <w:hyperlink r:id="rId103" w:history="1">
        <w:r>
          <w:rPr>
            <w:rStyle w:val="Hyperlink"/>
          </w:rPr>
          <w:t>programme «L’UE pour la santé»</w:t>
        </w:r>
      </w:hyperlink>
      <w:r>
        <w:t xml:space="preserve"> (18,36 millions d’EUR: budget au titre du programme de travail 2023 consacré aux activités dans le domaine de la santé mentale).</w:t>
      </w:r>
    </w:p>
  </w:footnote>
  <w:footnote w:id="113">
    <w:p w14:paraId="5212E962" w14:textId="77777777" w:rsidR="00666078" w:rsidRPr="00292C27" w:rsidRDefault="00666078" w:rsidP="00666078">
      <w:pPr>
        <w:pStyle w:val="FootnoteText"/>
      </w:pPr>
      <w:r>
        <w:rPr>
          <w:rStyle w:val="FootnoteReference"/>
        </w:rPr>
        <w:footnoteRef/>
      </w:r>
      <w:r>
        <w:tab/>
        <w:t>Déclaration conjointe du Conseil du commerce et des technologies UE-États-Unis des 30 et 31 mai 2023.</w:t>
      </w:r>
    </w:p>
  </w:footnote>
  <w:footnote w:id="114">
    <w:p w14:paraId="3296EFDC" w14:textId="61D95BDE" w:rsidR="00401ADA" w:rsidRPr="00804AD6" w:rsidRDefault="00401ADA" w:rsidP="009461FF">
      <w:pPr>
        <w:pStyle w:val="FootnoteText"/>
        <w:ind w:left="227" w:hanging="227"/>
        <w:jc w:val="both"/>
      </w:pPr>
      <w:r>
        <w:rPr>
          <w:rStyle w:val="FootnoteReference"/>
        </w:rPr>
        <w:footnoteRef/>
      </w:r>
      <w:r>
        <w:t xml:space="preserve"> </w:t>
      </w:r>
      <w:hyperlink r:id="rId104" w:history="1">
        <w:r>
          <w:rPr>
            <w:color w:val="0000FF"/>
            <w:u w:val="single"/>
          </w:rPr>
          <w:t>Une stratégie de l’UE en matière de santé mondiale pour améliorer la sécurité sanitaire mondiale et la santé de tous (europa.eu)</w:t>
        </w:r>
      </w:hyperlink>
      <w:r>
        <w:rPr>
          <w:color w:val="0000FF"/>
          <w:u w:val="single"/>
        </w:rPr>
        <w:t>.</w:t>
      </w:r>
    </w:p>
  </w:footnote>
  <w:footnote w:id="115">
    <w:p w14:paraId="62D714B2" w14:textId="3BEF2E8B" w:rsidR="00CA77FF" w:rsidRPr="00760FA7" w:rsidRDefault="00CA77FF" w:rsidP="009461FF">
      <w:pPr>
        <w:pStyle w:val="FootnoteText"/>
        <w:ind w:left="227" w:hanging="227"/>
        <w:jc w:val="both"/>
      </w:pPr>
      <w:r>
        <w:rPr>
          <w:rStyle w:val="FootnoteReference"/>
        </w:rPr>
        <w:footnoteRef/>
      </w:r>
      <w:r>
        <w:t xml:space="preserve"> </w:t>
      </w:r>
      <w:hyperlink r:id="rId105" w:history="1">
        <w:r>
          <w:rPr>
            <w:rStyle w:val="Hyperlink"/>
          </w:rPr>
          <w:t>Plan d’action pour la jeunesse (europa.eu)</w:t>
        </w:r>
      </w:hyperlink>
      <w:r>
        <w:rPr>
          <w:rStyle w:val="Hyperlink"/>
        </w:rPr>
        <w:t>.</w:t>
      </w:r>
    </w:p>
  </w:footnote>
  <w:footnote w:id="116">
    <w:p w14:paraId="3725A6B7" w14:textId="6FD654AA" w:rsidR="009929D1" w:rsidRPr="00760FA7" w:rsidRDefault="009929D1" w:rsidP="009461FF">
      <w:pPr>
        <w:pStyle w:val="FootnoteText"/>
        <w:ind w:left="227" w:hanging="227"/>
        <w:jc w:val="both"/>
      </w:pPr>
      <w:r>
        <w:rPr>
          <w:rStyle w:val="FootnoteReference"/>
        </w:rPr>
        <w:footnoteRef/>
      </w:r>
      <w:r>
        <w:t xml:space="preserve"> </w:t>
      </w:r>
      <w:hyperlink r:id="rId106" w:history="1">
        <w:r>
          <w:rPr>
            <w:rStyle w:val="Hyperlink"/>
          </w:rPr>
          <w:t>Fonds mondial de lutte contre le sida, la tuberculose et le paludisme</w:t>
        </w:r>
      </w:hyperlink>
      <w:r>
        <w:t>.</w:t>
      </w:r>
    </w:p>
  </w:footnote>
  <w:footnote w:id="117">
    <w:p w14:paraId="23DC01E5" w14:textId="40444B34" w:rsidR="00242B68" w:rsidRPr="00760FA7" w:rsidRDefault="00242B68" w:rsidP="009461FF">
      <w:pPr>
        <w:pStyle w:val="FootnoteText"/>
        <w:ind w:left="227" w:hanging="227"/>
        <w:jc w:val="both"/>
      </w:pPr>
      <w:r>
        <w:rPr>
          <w:rStyle w:val="FootnoteReference"/>
        </w:rPr>
        <w:footnoteRef/>
      </w:r>
      <w:r>
        <w:t xml:space="preserve"> </w:t>
      </w:r>
      <w:hyperlink r:id="rId107" w:history="1">
        <w:r>
          <w:rPr>
            <w:rStyle w:val="Hyperlink"/>
          </w:rPr>
          <w:t>L’initiative «Spotlight» |</w:t>
        </w:r>
      </w:hyperlink>
      <w:hyperlink r:id="rId108" w:history="1">
        <w:r>
          <w:rPr>
            <w:rStyle w:val="Hyperlink"/>
          </w:rPr>
          <w:t xml:space="preserve"> Notre travail:</w:t>
        </w:r>
      </w:hyperlink>
      <w:hyperlink r:id="rId109" w:history="1">
        <w:r>
          <w:rPr>
            <w:rStyle w:val="Hyperlink"/>
          </w:rPr>
          <w:t xml:space="preserve"> Éliminer la violence à l’égard des femmes et des filles |</w:t>
        </w:r>
      </w:hyperlink>
      <w:hyperlink r:id="rId110" w:history="1">
        <w:r>
          <w:rPr>
            <w:rStyle w:val="Hyperlink"/>
          </w:rPr>
          <w:t xml:space="preserve"> ONU Femmes – Siège</w:t>
        </w:r>
      </w:hyperlink>
      <w:r>
        <w:t>.</w:t>
      </w:r>
    </w:p>
  </w:footnote>
  <w:footnote w:id="118">
    <w:p w14:paraId="2F182C49" w14:textId="2E52EDE9" w:rsidR="00706F4A" w:rsidRPr="00804AD6" w:rsidRDefault="00706F4A" w:rsidP="009461FF">
      <w:pPr>
        <w:pStyle w:val="FootnoteText"/>
        <w:ind w:left="227" w:hanging="227"/>
      </w:pPr>
      <w:r>
        <w:rPr>
          <w:rStyle w:val="FootnoteReference"/>
        </w:rPr>
        <w:footnoteRef/>
      </w:r>
      <w:r>
        <w:tab/>
      </w:r>
      <w:hyperlink r:id="rId111" w:history="1">
        <w:r>
          <w:rPr>
            <w:rStyle w:val="Hyperlink"/>
          </w:rPr>
          <w:t>Nouvelles estimations de l’OMS sur la prévalence des troubles mentaux dans les situations de conflit:</w:t>
        </w:r>
      </w:hyperlink>
      <w:hyperlink r:id="rId112" w:history="1">
        <w:r>
          <w:rPr>
            <w:rStyle w:val="Hyperlink"/>
          </w:rPr>
          <w:t xml:space="preserve"> examen systématique et méta-analyse - The Lancet</w:t>
        </w:r>
      </w:hyperlink>
      <w:r>
        <w:t xml:space="preserve"> (en anglais).</w:t>
      </w:r>
    </w:p>
  </w:footnote>
  <w:footnote w:id="119">
    <w:p w14:paraId="4DDD6E18" w14:textId="77777777" w:rsidR="007F3152" w:rsidRPr="00804AD6" w:rsidRDefault="007F3152" w:rsidP="007F3152">
      <w:pPr>
        <w:pStyle w:val="FootnoteText"/>
        <w:ind w:left="227" w:hanging="227"/>
        <w:jc w:val="both"/>
      </w:pPr>
      <w:r>
        <w:rPr>
          <w:rStyle w:val="FootnoteReference"/>
        </w:rPr>
        <w:footnoteRef/>
      </w:r>
      <w:r>
        <w:tab/>
        <w:t xml:space="preserve"> </w:t>
      </w:r>
      <w:hyperlink r:id="rId113" w:history="1">
        <w:r>
          <w:rPr>
            <w:rStyle w:val="Hyperlink"/>
          </w:rPr>
          <w:t>Ensemble minimal de services du CPI</w:t>
        </w:r>
      </w:hyperlink>
      <w:r>
        <w:t>: Santé mentale et soutien psychosocial (en anglais).</w:t>
      </w:r>
    </w:p>
  </w:footnote>
  <w:footnote w:id="120">
    <w:p w14:paraId="3A21B949" w14:textId="1CBBEFB3" w:rsidR="003623A5" w:rsidRPr="00804AD6" w:rsidRDefault="003623A5" w:rsidP="009461FF">
      <w:pPr>
        <w:pStyle w:val="FootnoteText"/>
        <w:ind w:left="227" w:hanging="227"/>
        <w:jc w:val="both"/>
      </w:pPr>
      <w:r>
        <w:rPr>
          <w:rStyle w:val="FootnoteReference"/>
        </w:rPr>
        <w:footnoteRef/>
      </w:r>
      <w:r>
        <w:tab/>
        <w:t xml:space="preserve">Soutien financier fourni au titre du </w:t>
      </w:r>
      <w:hyperlink r:id="rId114" w:history="1">
        <w:r>
          <w:rPr>
            <w:rStyle w:val="Hyperlink"/>
          </w:rPr>
          <w:t>programme régional du partenariat oriental de l’IVCDCI</w:t>
        </w:r>
      </w:hyperlink>
      <w:r>
        <w:t xml:space="preserve"> pour apporter un soutien psychologique en Ukraine (en anglais). </w:t>
      </w:r>
    </w:p>
  </w:footnote>
  <w:footnote w:id="121">
    <w:p w14:paraId="746F79C2" w14:textId="678C3AE7" w:rsidR="00AC5ED7" w:rsidRPr="002B6CA5" w:rsidRDefault="00AC5ED7" w:rsidP="009461FF">
      <w:pPr>
        <w:pStyle w:val="FootnoteText"/>
        <w:ind w:left="227" w:hanging="227"/>
      </w:pPr>
      <w:r>
        <w:rPr>
          <w:rStyle w:val="FootnoteReference"/>
        </w:rPr>
        <w:footnoteRef/>
      </w:r>
      <w:r>
        <w:tab/>
      </w:r>
      <w:hyperlink r:id="rId115" w:history="1">
        <w:r>
          <w:rPr>
            <w:rStyle w:val="Hyperlink"/>
          </w:rPr>
          <w:t>Projets «L’UE pour la santé»</w:t>
        </w:r>
      </w:hyperlink>
      <w:r>
        <w:t xml:space="preserve"> visant à fournir un soutien en matière de santé mentale aux réfugiés ukrainiens. </w:t>
      </w:r>
    </w:p>
  </w:footnote>
  <w:footnote w:id="122">
    <w:p w14:paraId="54E8638C" w14:textId="77777777" w:rsidR="00A65A3B" w:rsidRPr="00AE2768" w:rsidRDefault="00A65A3B" w:rsidP="009461FF">
      <w:pPr>
        <w:spacing w:after="0" w:line="240" w:lineRule="auto"/>
        <w:ind w:left="227" w:hanging="227"/>
        <w:jc w:val="both"/>
        <w:rPr>
          <w:sz w:val="20"/>
          <w:szCs w:val="20"/>
        </w:rPr>
      </w:pPr>
      <w:r>
        <w:rPr>
          <w:rStyle w:val="FootnoteReference"/>
          <w:sz w:val="20"/>
          <w:szCs w:val="20"/>
        </w:rPr>
        <w:footnoteRef/>
      </w:r>
      <w:r>
        <w:rPr>
          <w:sz w:val="20"/>
        </w:rPr>
        <w:t xml:space="preserve"> </w:t>
      </w:r>
      <w:hyperlink r:id="rId116" w:history="1">
        <w:r>
          <w:rPr>
            <w:rStyle w:val="Hyperlink"/>
            <w:sz w:val="20"/>
          </w:rPr>
          <w:t>https://ifightdepression.com/en/</w:t>
        </w:r>
      </w:hyperlink>
      <w:r>
        <w:rPr>
          <w:sz w:val="20"/>
        </w:rPr>
        <w:t>: disponible en ukrainien et adapté sur le plan culturel.</w:t>
      </w:r>
    </w:p>
  </w:footnote>
  <w:footnote w:id="123">
    <w:p w14:paraId="6270A505" w14:textId="1A35534E" w:rsidR="00AD050A" w:rsidRPr="00760FA7" w:rsidRDefault="00AD050A" w:rsidP="00C955E4">
      <w:pPr>
        <w:pStyle w:val="FootnoteText"/>
        <w:jc w:val="both"/>
      </w:pPr>
      <w:r>
        <w:rPr>
          <w:rStyle w:val="FootnoteReference"/>
        </w:rPr>
        <w:footnoteRef/>
      </w:r>
      <w:r>
        <w:t xml:space="preserve"> Budget: 28,4 millions d’EUR au titre du </w:t>
      </w:r>
      <w:hyperlink r:id="rId117" w:history="1">
        <w:r>
          <w:rPr>
            <w:rStyle w:val="Hyperlink"/>
          </w:rPr>
          <w:t>programme de travail «L’UE pour la santé» de 2022</w:t>
        </w:r>
      </w:hyperlink>
      <w:r>
        <w:t xml:space="preserve"> (en anglais). </w:t>
      </w:r>
    </w:p>
  </w:footnote>
  <w:footnote w:id="124">
    <w:p w14:paraId="71C7BA3E" w14:textId="4EE9955A" w:rsidR="005418FA" w:rsidRPr="00760FA7" w:rsidRDefault="005418FA" w:rsidP="005418FA">
      <w:pPr>
        <w:shd w:val="clear" w:color="auto" w:fill="FFFFFF" w:themeFill="background1"/>
        <w:spacing w:after="0" w:line="240" w:lineRule="auto"/>
        <w:jc w:val="both"/>
      </w:pPr>
      <w:r>
        <w:rPr>
          <w:rStyle w:val="FootnoteReference"/>
          <w:sz w:val="20"/>
          <w:szCs w:val="20"/>
        </w:rPr>
        <w:footnoteRef/>
      </w:r>
      <w:r>
        <w:rPr>
          <w:sz w:val="20"/>
        </w:rPr>
        <w:t xml:space="preserve"> Budget: </w:t>
      </w:r>
      <w:r>
        <w:t xml:space="preserve">750 000 d’EUR financés au titre du </w:t>
      </w:r>
      <w:hyperlink r:id="rId118" w:history="1">
        <w:r>
          <w:rPr>
            <w:rStyle w:val="Hyperlink"/>
            <w:sz w:val="20"/>
          </w:rPr>
          <w:t>programme de renforcement des capacités de réaction</w:t>
        </w:r>
      </w:hyperlink>
      <w:r>
        <w:t>.</w:t>
      </w:r>
    </w:p>
  </w:footnote>
  <w:footnote w:id="125">
    <w:p w14:paraId="14B82217" w14:textId="77777777" w:rsidR="005418FA" w:rsidRPr="00AD050A" w:rsidRDefault="005418FA" w:rsidP="005418FA">
      <w:pPr>
        <w:pStyle w:val="FootnoteText"/>
        <w:jc w:val="both"/>
      </w:pPr>
      <w:r>
        <w:rPr>
          <w:rStyle w:val="FootnoteReference"/>
        </w:rPr>
        <w:footnoteRef/>
      </w:r>
      <w:r>
        <w:t xml:space="preserve"> OMS, UNICEF, HCR et FNUAP </w:t>
      </w:r>
      <w:hyperlink r:id="rId119" w:history="1">
        <w:r>
          <w:rPr>
            <w:rStyle w:val="Hyperlink"/>
          </w:rPr>
          <w:t>https://mhpssmsp.org/en</w:t>
        </w:r>
      </w:hyperlink>
      <w:r>
        <w:rPr>
          <w:rStyle w:val="Hyperlink"/>
        </w:rPr>
        <w:t>.</w:t>
      </w:r>
      <w:r>
        <w:t xml:space="preserve"> (en anglais)</w:t>
      </w:r>
    </w:p>
  </w:footnote>
  <w:footnote w:id="126">
    <w:p w14:paraId="745B2542" w14:textId="77777777" w:rsidR="0044499B" w:rsidRPr="0013214A" w:rsidRDefault="0044499B" w:rsidP="00C955E4">
      <w:pPr>
        <w:pStyle w:val="FootnoteText"/>
        <w:jc w:val="both"/>
      </w:pPr>
      <w:r>
        <w:rPr>
          <w:rStyle w:val="FootnoteReference"/>
        </w:rPr>
        <w:footnoteRef/>
      </w:r>
      <w:r>
        <w:tab/>
      </w:r>
      <w:hyperlink r:id="rId120" w:history="1">
        <w:r>
          <w:rPr>
            <w:rStyle w:val="Hyperlink"/>
          </w:rPr>
          <w:t>Facilité pour la reprise et la résilience (europa.eu)</w:t>
        </w:r>
      </w:hyperlink>
      <w:r>
        <w:t>.</w:t>
      </w:r>
    </w:p>
  </w:footnote>
  <w:footnote w:id="127">
    <w:p w14:paraId="3F4021DE" w14:textId="736D0310" w:rsidR="00840283" w:rsidRPr="00C51476" w:rsidRDefault="00840283">
      <w:pPr>
        <w:pStyle w:val="FootnoteText"/>
      </w:pPr>
      <w:r>
        <w:rPr>
          <w:rStyle w:val="FootnoteReference"/>
        </w:rPr>
        <w:footnoteRef/>
      </w:r>
      <w:r>
        <w:tab/>
      </w:r>
      <w:hyperlink r:id="rId121" w:history="1">
        <w:r>
          <w:rPr>
            <w:rStyle w:val="Hyperlink"/>
          </w:rPr>
          <w:t>Règlement (UE) 2021/522 relatif au programme «L’UE pour la santé»</w:t>
        </w:r>
      </w:hyperlink>
      <w:r>
        <w:t>.</w:t>
      </w:r>
    </w:p>
  </w:footnote>
  <w:footnote w:id="128">
    <w:p w14:paraId="33116D51" w14:textId="786BCCF9" w:rsidR="005F35B6" w:rsidRPr="00804AD6" w:rsidRDefault="005F35B6" w:rsidP="00C955E4">
      <w:pPr>
        <w:pStyle w:val="FootnoteText"/>
        <w:jc w:val="both"/>
      </w:pPr>
      <w:r>
        <w:rPr>
          <w:rStyle w:val="FootnoteReference"/>
        </w:rPr>
        <w:footnoteRef/>
      </w:r>
      <w:r>
        <w:t xml:space="preserve"> </w:t>
      </w:r>
      <w:hyperlink r:id="rId122" w:history="1">
        <w:r>
          <w:rPr>
            <w:rStyle w:val="Hyperlink"/>
          </w:rPr>
          <w:t>com_2022-5436_annex2_en.pdf (europa.eu)</w:t>
        </w:r>
      </w:hyperlink>
    </w:p>
  </w:footnote>
  <w:footnote w:id="129">
    <w:p w14:paraId="6253966A" w14:textId="0E42B649" w:rsidR="005F35B6" w:rsidRPr="00364CD8" w:rsidRDefault="005F35B6" w:rsidP="00086DF7">
      <w:pPr>
        <w:pStyle w:val="FootnoteText"/>
        <w:ind w:left="170" w:hanging="170"/>
        <w:jc w:val="both"/>
      </w:pPr>
      <w:r>
        <w:rPr>
          <w:rStyle w:val="FootnoteReference"/>
        </w:rPr>
        <w:footnoteRef/>
      </w:r>
      <w:r>
        <w:t xml:space="preserve"> </w:t>
      </w:r>
      <w:r>
        <w:tab/>
      </w:r>
      <w:hyperlink r:id="rId123" w:history="1">
        <w:r>
          <w:rPr>
            <w:rStyle w:val="Hyperlink"/>
          </w:rPr>
          <w:t>wp2023_annex_en.pdf (europa.eu)</w:t>
        </w:r>
      </w:hyperlink>
      <w:r>
        <w:rPr>
          <w:rStyle w:val="Hyperlink"/>
        </w:rPr>
        <w:t>.</w:t>
      </w:r>
    </w:p>
  </w:footnote>
  <w:footnote w:id="130">
    <w:p w14:paraId="4ADCC435" w14:textId="51579ED8" w:rsidR="00815FA6" w:rsidRPr="002B6CA5" w:rsidRDefault="00815FA6" w:rsidP="00035F64">
      <w:pPr>
        <w:pStyle w:val="FootnoteText"/>
        <w:ind w:left="284" w:hanging="284"/>
      </w:pPr>
      <w:r>
        <w:rPr>
          <w:rStyle w:val="FootnoteReference"/>
        </w:rPr>
        <w:footnoteRef/>
      </w:r>
      <w:r>
        <w:tab/>
      </w:r>
      <w:hyperlink r:id="rId124" w:history="1">
        <w:r>
          <w:rPr>
            <w:rStyle w:val="Hyperlink"/>
          </w:rPr>
          <w:t>Horizon Europe (europa.eu)</w:t>
        </w:r>
      </w:hyperlink>
      <w:r>
        <w:t>.</w:t>
      </w:r>
    </w:p>
  </w:footnote>
  <w:footnote w:id="131">
    <w:p w14:paraId="5E837309" w14:textId="01B0E917" w:rsidR="00703618" w:rsidRPr="002B6CA5" w:rsidRDefault="00703618" w:rsidP="00035F64">
      <w:pPr>
        <w:pStyle w:val="FootnoteText"/>
        <w:ind w:left="284" w:hanging="284"/>
      </w:pPr>
      <w:r>
        <w:rPr>
          <w:rStyle w:val="FootnoteReference"/>
        </w:rPr>
        <w:footnoteRef/>
      </w:r>
      <w:r>
        <w:tab/>
        <w:t xml:space="preserve">Un budget global de 7,2 milliards d’EUR est disponible au titre du FEDER pour les infrastructures et les équipements de santé, qui peuvent inclure des mesures en faveur de la santé mentale et de l’inclusion sociale. </w:t>
      </w:r>
    </w:p>
  </w:footnote>
  <w:footnote w:id="132">
    <w:p w14:paraId="6FA6C534" w14:textId="568382EE" w:rsidR="0044499B" w:rsidRPr="00760FA7" w:rsidRDefault="0044499B" w:rsidP="00035F64">
      <w:pPr>
        <w:pStyle w:val="FootnoteText"/>
        <w:ind w:left="284" w:hanging="284"/>
        <w:jc w:val="both"/>
      </w:pPr>
      <w:r>
        <w:rPr>
          <w:rStyle w:val="FootnoteReference"/>
        </w:rPr>
        <w:footnoteRef/>
      </w:r>
      <w:r>
        <w:tab/>
      </w:r>
      <w:hyperlink r:id="rId125" w:anchor=":~:text=The%20Citizens%2C%20Equality%2C%20Rights%20and%20Values%20programme%20%28CERV%29,inclusive%20societies%20based%20on%20the%20rule%20of%20law." w:history="1">
        <w:r>
          <w:rPr>
            <w:rStyle w:val="Hyperlink"/>
          </w:rPr>
          <w:t>Programme «Citoyens, égalité, droits et valeurs» (CERV) (europa.eu)</w:t>
        </w:r>
      </w:hyperlink>
      <w:r>
        <w:rPr>
          <w:rStyle w:val="Hyperlink"/>
        </w:rPr>
        <w:t>.</w:t>
      </w:r>
    </w:p>
  </w:footnote>
  <w:footnote w:id="133">
    <w:p w14:paraId="513156CD" w14:textId="4D4DBB6F" w:rsidR="0044499B" w:rsidRPr="00760FA7" w:rsidRDefault="0044499B" w:rsidP="00035F64">
      <w:pPr>
        <w:pStyle w:val="FootnoteText"/>
        <w:ind w:left="284" w:hanging="284"/>
        <w:jc w:val="both"/>
      </w:pPr>
      <w:r>
        <w:rPr>
          <w:rStyle w:val="FootnoteReference"/>
        </w:rPr>
        <w:footnoteRef/>
      </w:r>
      <w:r>
        <w:tab/>
        <w:t xml:space="preserve">Daphné et les droits de l’enfant: </w:t>
      </w:r>
      <w:hyperlink r:id="rId126" w:history="1">
        <w:r>
          <w:rPr>
            <w:rStyle w:val="Hyperlink"/>
          </w:rPr>
          <w:t>c_2022_8588_1_en_annexe_acte_autonome_cp_part1_v2.pdf (europa.eu)</w:t>
        </w:r>
      </w:hyperlink>
      <w:r>
        <w:t>.</w:t>
      </w:r>
    </w:p>
  </w:footnote>
  <w:footnote w:id="134">
    <w:p w14:paraId="53FADAAA" w14:textId="20C9D128" w:rsidR="006D4595" w:rsidRPr="006D4595" w:rsidRDefault="006D4595" w:rsidP="00035F64">
      <w:pPr>
        <w:pStyle w:val="FootnoteText"/>
        <w:ind w:left="284" w:hanging="284"/>
        <w:jc w:val="both"/>
      </w:pPr>
      <w:r>
        <w:rPr>
          <w:rStyle w:val="FootnoteReference"/>
        </w:rPr>
        <w:footnoteRef/>
      </w:r>
      <w:r>
        <w:tab/>
        <w:t xml:space="preserve">Un montant de 22,9 millions d’EUR est prévu dans le cadre de l’appel à propositions Daphné 2024 en faveur de la prévention et de la lutte contre la violence fondée sur le genre et la violence à l’égard des enfants afin de financer des actions visant spécifiquement à soutenir les victimes et les survivants et à poursuivre le développement de systèmes intégrés de protection de l’enfance.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0222D" w14:textId="77777777" w:rsidR="00EF4204" w:rsidRPr="00EF4204" w:rsidRDefault="00EF4204" w:rsidP="00EF4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BEE56" w14:textId="77777777" w:rsidR="00EF4204" w:rsidRPr="00EF4204" w:rsidRDefault="00EF4204" w:rsidP="00EF420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522F9" w14:textId="77777777" w:rsidR="00EF4204" w:rsidRPr="00EF4204" w:rsidRDefault="00EF4204" w:rsidP="00EF420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8DB0C" w14:textId="77777777" w:rsidR="00ED30DB" w:rsidRDefault="00ED30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6C893" w14:textId="77777777" w:rsidR="00ED30DB" w:rsidRPr="00ED30DB" w:rsidRDefault="00ED30DB" w:rsidP="00ED30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786CC" w14:textId="77777777" w:rsidR="00ED30DB" w:rsidRDefault="00ED3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2D959"/>
    <w:multiLevelType w:val="hybridMultilevel"/>
    <w:tmpl w:val="FFFFFFFF"/>
    <w:lvl w:ilvl="0" w:tplc="801C4D3A">
      <w:start w:val="1"/>
      <w:numFmt w:val="bullet"/>
      <w:lvlText w:val=""/>
      <w:lvlJc w:val="left"/>
      <w:pPr>
        <w:ind w:left="720" w:hanging="360"/>
      </w:pPr>
      <w:rPr>
        <w:rFonts w:ascii="Symbol" w:hAnsi="Symbol" w:hint="default"/>
      </w:rPr>
    </w:lvl>
    <w:lvl w:ilvl="1" w:tplc="04E89C68">
      <w:start w:val="1"/>
      <w:numFmt w:val="bullet"/>
      <w:lvlText w:val="o"/>
      <w:lvlJc w:val="left"/>
      <w:pPr>
        <w:ind w:left="1440" w:hanging="360"/>
      </w:pPr>
      <w:rPr>
        <w:rFonts w:ascii="Courier New" w:hAnsi="Courier New" w:hint="default"/>
      </w:rPr>
    </w:lvl>
    <w:lvl w:ilvl="2" w:tplc="D3BECF8E">
      <w:start w:val="1"/>
      <w:numFmt w:val="bullet"/>
      <w:lvlText w:val=""/>
      <w:lvlJc w:val="left"/>
      <w:pPr>
        <w:ind w:left="2160" w:hanging="360"/>
      </w:pPr>
      <w:rPr>
        <w:rFonts w:ascii="Wingdings" w:hAnsi="Wingdings" w:hint="default"/>
      </w:rPr>
    </w:lvl>
    <w:lvl w:ilvl="3" w:tplc="347E359C">
      <w:start w:val="1"/>
      <w:numFmt w:val="bullet"/>
      <w:lvlText w:val=""/>
      <w:lvlJc w:val="left"/>
      <w:pPr>
        <w:ind w:left="2880" w:hanging="360"/>
      </w:pPr>
      <w:rPr>
        <w:rFonts w:ascii="Symbol" w:hAnsi="Symbol" w:hint="default"/>
      </w:rPr>
    </w:lvl>
    <w:lvl w:ilvl="4" w:tplc="1E82DD9C">
      <w:start w:val="1"/>
      <w:numFmt w:val="bullet"/>
      <w:lvlText w:val="o"/>
      <w:lvlJc w:val="left"/>
      <w:pPr>
        <w:ind w:left="3600" w:hanging="360"/>
      </w:pPr>
      <w:rPr>
        <w:rFonts w:ascii="Courier New" w:hAnsi="Courier New" w:hint="default"/>
      </w:rPr>
    </w:lvl>
    <w:lvl w:ilvl="5" w:tplc="527A8052">
      <w:start w:val="1"/>
      <w:numFmt w:val="bullet"/>
      <w:lvlText w:val=""/>
      <w:lvlJc w:val="left"/>
      <w:pPr>
        <w:ind w:left="4320" w:hanging="360"/>
      </w:pPr>
      <w:rPr>
        <w:rFonts w:ascii="Wingdings" w:hAnsi="Wingdings" w:hint="default"/>
      </w:rPr>
    </w:lvl>
    <w:lvl w:ilvl="6" w:tplc="33129350">
      <w:start w:val="1"/>
      <w:numFmt w:val="bullet"/>
      <w:lvlText w:val=""/>
      <w:lvlJc w:val="left"/>
      <w:pPr>
        <w:ind w:left="5040" w:hanging="360"/>
      </w:pPr>
      <w:rPr>
        <w:rFonts w:ascii="Symbol" w:hAnsi="Symbol" w:hint="default"/>
      </w:rPr>
    </w:lvl>
    <w:lvl w:ilvl="7" w:tplc="E24634CC">
      <w:start w:val="1"/>
      <w:numFmt w:val="bullet"/>
      <w:lvlText w:val="o"/>
      <w:lvlJc w:val="left"/>
      <w:pPr>
        <w:ind w:left="5760" w:hanging="360"/>
      </w:pPr>
      <w:rPr>
        <w:rFonts w:ascii="Courier New" w:hAnsi="Courier New" w:hint="default"/>
      </w:rPr>
    </w:lvl>
    <w:lvl w:ilvl="8" w:tplc="BDB4263E">
      <w:start w:val="1"/>
      <w:numFmt w:val="bullet"/>
      <w:lvlText w:val=""/>
      <w:lvlJc w:val="left"/>
      <w:pPr>
        <w:ind w:left="6480" w:hanging="360"/>
      </w:pPr>
      <w:rPr>
        <w:rFonts w:ascii="Wingdings" w:hAnsi="Wingdings" w:hint="default"/>
      </w:rPr>
    </w:lvl>
  </w:abstractNum>
  <w:abstractNum w:abstractNumId="1" w15:restartNumberingAfterBreak="0">
    <w:nsid w:val="0739163F"/>
    <w:multiLevelType w:val="hybridMultilevel"/>
    <w:tmpl w:val="FFFFFFFF"/>
    <w:lvl w:ilvl="0" w:tplc="BBC0698E">
      <w:start w:val="1"/>
      <w:numFmt w:val="bullet"/>
      <w:lvlText w:val="·"/>
      <w:lvlJc w:val="left"/>
      <w:pPr>
        <w:ind w:left="720" w:hanging="360"/>
      </w:pPr>
      <w:rPr>
        <w:rFonts w:ascii="Symbol" w:hAnsi="Symbol" w:hint="default"/>
      </w:rPr>
    </w:lvl>
    <w:lvl w:ilvl="1" w:tplc="CD385D66">
      <w:start w:val="1"/>
      <w:numFmt w:val="bullet"/>
      <w:lvlText w:val="o"/>
      <w:lvlJc w:val="left"/>
      <w:pPr>
        <w:ind w:left="1440" w:hanging="360"/>
      </w:pPr>
      <w:rPr>
        <w:rFonts w:ascii="Courier New" w:hAnsi="Courier New" w:hint="default"/>
      </w:rPr>
    </w:lvl>
    <w:lvl w:ilvl="2" w:tplc="82209E76">
      <w:start w:val="1"/>
      <w:numFmt w:val="bullet"/>
      <w:lvlText w:val=""/>
      <w:lvlJc w:val="left"/>
      <w:pPr>
        <w:ind w:left="2160" w:hanging="360"/>
      </w:pPr>
      <w:rPr>
        <w:rFonts w:ascii="Wingdings" w:hAnsi="Wingdings" w:hint="default"/>
      </w:rPr>
    </w:lvl>
    <w:lvl w:ilvl="3" w:tplc="B4F23268">
      <w:start w:val="1"/>
      <w:numFmt w:val="bullet"/>
      <w:lvlText w:val=""/>
      <w:lvlJc w:val="left"/>
      <w:pPr>
        <w:ind w:left="2880" w:hanging="360"/>
      </w:pPr>
      <w:rPr>
        <w:rFonts w:ascii="Symbol" w:hAnsi="Symbol" w:hint="default"/>
      </w:rPr>
    </w:lvl>
    <w:lvl w:ilvl="4" w:tplc="0638055A">
      <w:start w:val="1"/>
      <w:numFmt w:val="bullet"/>
      <w:lvlText w:val="o"/>
      <w:lvlJc w:val="left"/>
      <w:pPr>
        <w:ind w:left="3600" w:hanging="360"/>
      </w:pPr>
      <w:rPr>
        <w:rFonts w:ascii="Courier New" w:hAnsi="Courier New" w:hint="default"/>
      </w:rPr>
    </w:lvl>
    <w:lvl w:ilvl="5" w:tplc="AEDE134A">
      <w:start w:val="1"/>
      <w:numFmt w:val="bullet"/>
      <w:lvlText w:val=""/>
      <w:lvlJc w:val="left"/>
      <w:pPr>
        <w:ind w:left="4320" w:hanging="360"/>
      </w:pPr>
      <w:rPr>
        <w:rFonts w:ascii="Wingdings" w:hAnsi="Wingdings" w:hint="default"/>
      </w:rPr>
    </w:lvl>
    <w:lvl w:ilvl="6" w:tplc="433CD68A">
      <w:start w:val="1"/>
      <w:numFmt w:val="bullet"/>
      <w:lvlText w:val=""/>
      <w:lvlJc w:val="left"/>
      <w:pPr>
        <w:ind w:left="5040" w:hanging="360"/>
      </w:pPr>
      <w:rPr>
        <w:rFonts w:ascii="Symbol" w:hAnsi="Symbol" w:hint="default"/>
      </w:rPr>
    </w:lvl>
    <w:lvl w:ilvl="7" w:tplc="16B8DC7C">
      <w:start w:val="1"/>
      <w:numFmt w:val="bullet"/>
      <w:lvlText w:val="o"/>
      <w:lvlJc w:val="left"/>
      <w:pPr>
        <w:ind w:left="5760" w:hanging="360"/>
      </w:pPr>
      <w:rPr>
        <w:rFonts w:ascii="Courier New" w:hAnsi="Courier New" w:hint="default"/>
      </w:rPr>
    </w:lvl>
    <w:lvl w:ilvl="8" w:tplc="06D0A2F8">
      <w:start w:val="1"/>
      <w:numFmt w:val="bullet"/>
      <w:lvlText w:val=""/>
      <w:lvlJc w:val="left"/>
      <w:pPr>
        <w:ind w:left="6480" w:hanging="360"/>
      </w:pPr>
      <w:rPr>
        <w:rFonts w:ascii="Wingdings" w:hAnsi="Wingdings" w:hint="default"/>
      </w:rPr>
    </w:lvl>
  </w:abstractNum>
  <w:abstractNum w:abstractNumId="2" w15:restartNumberingAfterBreak="0">
    <w:nsid w:val="08474850"/>
    <w:multiLevelType w:val="hybridMultilevel"/>
    <w:tmpl w:val="631A3B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6D4066"/>
    <w:multiLevelType w:val="hybridMultilevel"/>
    <w:tmpl w:val="FFFFFFFF"/>
    <w:lvl w:ilvl="0" w:tplc="E264C860">
      <w:start w:val="1"/>
      <w:numFmt w:val="bullet"/>
      <w:lvlText w:val="·"/>
      <w:lvlJc w:val="left"/>
      <w:pPr>
        <w:ind w:left="720" w:hanging="360"/>
      </w:pPr>
      <w:rPr>
        <w:rFonts w:ascii="Symbol" w:hAnsi="Symbol" w:hint="default"/>
      </w:rPr>
    </w:lvl>
    <w:lvl w:ilvl="1" w:tplc="A464068C">
      <w:start w:val="1"/>
      <w:numFmt w:val="bullet"/>
      <w:lvlText w:val="o"/>
      <w:lvlJc w:val="left"/>
      <w:pPr>
        <w:ind w:left="1440" w:hanging="360"/>
      </w:pPr>
      <w:rPr>
        <w:rFonts w:ascii="Courier New" w:hAnsi="Courier New" w:hint="default"/>
      </w:rPr>
    </w:lvl>
    <w:lvl w:ilvl="2" w:tplc="7C1E0150">
      <w:start w:val="1"/>
      <w:numFmt w:val="bullet"/>
      <w:lvlText w:val=""/>
      <w:lvlJc w:val="left"/>
      <w:pPr>
        <w:ind w:left="2160" w:hanging="360"/>
      </w:pPr>
      <w:rPr>
        <w:rFonts w:ascii="Wingdings" w:hAnsi="Wingdings" w:hint="default"/>
      </w:rPr>
    </w:lvl>
    <w:lvl w:ilvl="3" w:tplc="DCFEA210">
      <w:start w:val="1"/>
      <w:numFmt w:val="bullet"/>
      <w:lvlText w:val=""/>
      <w:lvlJc w:val="left"/>
      <w:pPr>
        <w:ind w:left="2880" w:hanging="360"/>
      </w:pPr>
      <w:rPr>
        <w:rFonts w:ascii="Symbol" w:hAnsi="Symbol" w:hint="default"/>
      </w:rPr>
    </w:lvl>
    <w:lvl w:ilvl="4" w:tplc="D8ACDCBA">
      <w:start w:val="1"/>
      <w:numFmt w:val="bullet"/>
      <w:lvlText w:val="o"/>
      <w:lvlJc w:val="left"/>
      <w:pPr>
        <w:ind w:left="3600" w:hanging="360"/>
      </w:pPr>
      <w:rPr>
        <w:rFonts w:ascii="Courier New" w:hAnsi="Courier New" w:hint="default"/>
      </w:rPr>
    </w:lvl>
    <w:lvl w:ilvl="5" w:tplc="4B92A756">
      <w:start w:val="1"/>
      <w:numFmt w:val="bullet"/>
      <w:lvlText w:val=""/>
      <w:lvlJc w:val="left"/>
      <w:pPr>
        <w:ind w:left="4320" w:hanging="360"/>
      </w:pPr>
      <w:rPr>
        <w:rFonts w:ascii="Wingdings" w:hAnsi="Wingdings" w:hint="default"/>
      </w:rPr>
    </w:lvl>
    <w:lvl w:ilvl="6" w:tplc="187EF26E">
      <w:start w:val="1"/>
      <w:numFmt w:val="bullet"/>
      <w:lvlText w:val=""/>
      <w:lvlJc w:val="left"/>
      <w:pPr>
        <w:ind w:left="5040" w:hanging="360"/>
      </w:pPr>
      <w:rPr>
        <w:rFonts w:ascii="Symbol" w:hAnsi="Symbol" w:hint="default"/>
      </w:rPr>
    </w:lvl>
    <w:lvl w:ilvl="7" w:tplc="2376AE5A">
      <w:start w:val="1"/>
      <w:numFmt w:val="bullet"/>
      <w:lvlText w:val="o"/>
      <w:lvlJc w:val="left"/>
      <w:pPr>
        <w:ind w:left="5760" w:hanging="360"/>
      </w:pPr>
      <w:rPr>
        <w:rFonts w:ascii="Courier New" w:hAnsi="Courier New" w:hint="default"/>
      </w:rPr>
    </w:lvl>
    <w:lvl w:ilvl="8" w:tplc="5052B78C">
      <w:start w:val="1"/>
      <w:numFmt w:val="bullet"/>
      <w:lvlText w:val=""/>
      <w:lvlJc w:val="left"/>
      <w:pPr>
        <w:ind w:left="6480" w:hanging="360"/>
      </w:pPr>
      <w:rPr>
        <w:rFonts w:ascii="Wingdings" w:hAnsi="Wingdings" w:hint="default"/>
      </w:rPr>
    </w:lvl>
  </w:abstractNum>
  <w:abstractNum w:abstractNumId="4" w15:restartNumberingAfterBreak="0">
    <w:nsid w:val="087475C1"/>
    <w:multiLevelType w:val="hybridMultilevel"/>
    <w:tmpl w:val="9C40EC0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791601"/>
    <w:multiLevelType w:val="hybridMultilevel"/>
    <w:tmpl w:val="B8CA957A"/>
    <w:lvl w:ilvl="0" w:tplc="1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992628C"/>
    <w:multiLevelType w:val="hybridMultilevel"/>
    <w:tmpl w:val="D848FE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99A1CBF"/>
    <w:multiLevelType w:val="hybridMultilevel"/>
    <w:tmpl w:val="23DAB538"/>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0B0C756F"/>
    <w:multiLevelType w:val="hybridMultilevel"/>
    <w:tmpl w:val="DD7A0E94"/>
    <w:lvl w:ilvl="0" w:tplc="597A220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0C6D6ED1"/>
    <w:multiLevelType w:val="hybridMultilevel"/>
    <w:tmpl w:val="F198ED5C"/>
    <w:lvl w:ilvl="0" w:tplc="320671B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C869A85"/>
    <w:multiLevelType w:val="hybridMultilevel"/>
    <w:tmpl w:val="FFFFFFFF"/>
    <w:lvl w:ilvl="0" w:tplc="2908A4AE">
      <w:start w:val="1"/>
      <w:numFmt w:val="bullet"/>
      <w:lvlText w:val="·"/>
      <w:lvlJc w:val="left"/>
      <w:pPr>
        <w:ind w:left="720" w:hanging="360"/>
      </w:pPr>
      <w:rPr>
        <w:rFonts w:ascii="Symbol" w:hAnsi="Symbol" w:hint="default"/>
      </w:rPr>
    </w:lvl>
    <w:lvl w:ilvl="1" w:tplc="3BAEF586">
      <w:start w:val="1"/>
      <w:numFmt w:val="bullet"/>
      <w:lvlText w:val="o"/>
      <w:lvlJc w:val="left"/>
      <w:pPr>
        <w:ind w:left="1440" w:hanging="360"/>
      </w:pPr>
      <w:rPr>
        <w:rFonts w:ascii="Courier New" w:hAnsi="Courier New" w:hint="default"/>
      </w:rPr>
    </w:lvl>
    <w:lvl w:ilvl="2" w:tplc="9D5C4A10">
      <w:start w:val="1"/>
      <w:numFmt w:val="bullet"/>
      <w:lvlText w:val=""/>
      <w:lvlJc w:val="left"/>
      <w:pPr>
        <w:ind w:left="2160" w:hanging="360"/>
      </w:pPr>
      <w:rPr>
        <w:rFonts w:ascii="Wingdings" w:hAnsi="Wingdings" w:hint="default"/>
      </w:rPr>
    </w:lvl>
    <w:lvl w:ilvl="3" w:tplc="D7B25B3C">
      <w:start w:val="1"/>
      <w:numFmt w:val="bullet"/>
      <w:lvlText w:val=""/>
      <w:lvlJc w:val="left"/>
      <w:pPr>
        <w:ind w:left="2880" w:hanging="360"/>
      </w:pPr>
      <w:rPr>
        <w:rFonts w:ascii="Symbol" w:hAnsi="Symbol" w:hint="default"/>
      </w:rPr>
    </w:lvl>
    <w:lvl w:ilvl="4" w:tplc="8F6218BA">
      <w:start w:val="1"/>
      <w:numFmt w:val="bullet"/>
      <w:lvlText w:val="o"/>
      <w:lvlJc w:val="left"/>
      <w:pPr>
        <w:ind w:left="3600" w:hanging="360"/>
      </w:pPr>
      <w:rPr>
        <w:rFonts w:ascii="Courier New" w:hAnsi="Courier New" w:hint="default"/>
      </w:rPr>
    </w:lvl>
    <w:lvl w:ilvl="5" w:tplc="14E60CD0">
      <w:start w:val="1"/>
      <w:numFmt w:val="bullet"/>
      <w:lvlText w:val=""/>
      <w:lvlJc w:val="left"/>
      <w:pPr>
        <w:ind w:left="4320" w:hanging="360"/>
      </w:pPr>
      <w:rPr>
        <w:rFonts w:ascii="Wingdings" w:hAnsi="Wingdings" w:hint="default"/>
      </w:rPr>
    </w:lvl>
    <w:lvl w:ilvl="6" w:tplc="C5889BAA">
      <w:start w:val="1"/>
      <w:numFmt w:val="bullet"/>
      <w:lvlText w:val=""/>
      <w:lvlJc w:val="left"/>
      <w:pPr>
        <w:ind w:left="5040" w:hanging="360"/>
      </w:pPr>
      <w:rPr>
        <w:rFonts w:ascii="Symbol" w:hAnsi="Symbol" w:hint="default"/>
      </w:rPr>
    </w:lvl>
    <w:lvl w:ilvl="7" w:tplc="342E2E2C">
      <w:start w:val="1"/>
      <w:numFmt w:val="bullet"/>
      <w:lvlText w:val="o"/>
      <w:lvlJc w:val="left"/>
      <w:pPr>
        <w:ind w:left="5760" w:hanging="360"/>
      </w:pPr>
      <w:rPr>
        <w:rFonts w:ascii="Courier New" w:hAnsi="Courier New" w:hint="default"/>
      </w:rPr>
    </w:lvl>
    <w:lvl w:ilvl="8" w:tplc="DAB88570">
      <w:start w:val="1"/>
      <w:numFmt w:val="bullet"/>
      <w:lvlText w:val=""/>
      <w:lvlJc w:val="left"/>
      <w:pPr>
        <w:ind w:left="6480" w:hanging="360"/>
      </w:pPr>
      <w:rPr>
        <w:rFonts w:ascii="Wingdings" w:hAnsi="Wingdings" w:hint="default"/>
      </w:rPr>
    </w:lvl>
  </w:abstractNum>
  <w:abstractNum w:abstractNumId="11" w15:restartNumberingAfterBreak="0">
    <w:nsid w:val="109E8818"/>
    <w:multiLevelType w:val="hybridMultilevel"/>
    <w:tmpl w:val="4010F412"/>
    <w:lvl w:ilvl="0" w:tplc="D8C489CC">
      <w:start w:val="1"/>
      <w:numFmt w:val="bullet"/>
      <w:lvlText w:val="·"/>
      <w:lvlJc w:val="left"/>
      <w:pPr>
        <w:ind w:left="720" w:hanging="360"/>
      </w:pPr>
      <w:rPr>
        <w:rFonts w:ascii="Symbol" w:hAnsi="Symbol" w:hint="default"/>
      </w:rPr>
    </w:lvl>
    <w:lvl w:ilvl="1" w:tplc="CD9C7D66">
      <w:start w:val="1"/>
      <w:numFmt w:val="bullet"/>
      <w:lvlText w:val="o"/>
      <w:lvlJc w:val="left"/>
      <w:pPr>
        <w:ind w:left="1440" w:hanging="360"/>
      </w:pPr>
      <w:rPr>
        <w:rFonts w:ascii="Courier New" w:hAnsi="Courier New" w:hint="default"/>
      </w:rPr>
    </w:lvl>
    <w:lvl w:ilvl="2" w:tplc="49628830">
      <w:start w:val="1"/>
      <w:numFmt w:val="bullet"/>
      <w:lvlText w:val=""/>
      <w:lvlJc w:val="left"/>
      <w:pPr>
        <w:ind w:left="2160" w:hanging="360"/>
      </w:pPr>
      <w:rPr>
        <w:rFonts w:ascii="Wingdings" w:hAnsi="Wingdings" w:hint="default"/>
      </w:rPr>
    </w:lvl>
    <w:lvl w:ilvl="3" w:tplc="2AAA1AA4">
      <w:start w:val="1"/>
      <w:numFmt w:val="bullet"/>
      <w:lvlText w:val=""/>
      <w:lvlJc w:val="left"/>
      <w:pPr>
        <w:ind w:left="2880" w:hanging="360"/>
      </w:pPr>
      <w:rPr>
        <w:rFonts w:ascii="Symbol" w:hAnsi="Symbol" w:hint="default"/>
      </w:rPr>
    </w:lvl>
    <w:lvl w:ilvl="4" w:tplc="704EFEA4">
      <w:start w:val="1"/>
      <w:numFmt w:val="bullet"/>
      <w:lvlText w:val="o"/>
      <w:lvlJc w:val="left"/>
      <w:pPr>
        <w:ind w:left="3600" w:hanging="360"/>
      </w:pPr>
      <w:rPr>
        <w:rFonts w:ascii="Courier New" w:hAnsi="Courier New" w:hint="default"/>
      </w:rPr>
    </w:lvl>
    <w:lvl w:ilvl="5" w:tplc="9330048C">
      <w:start w:val="1"/>
      <w:numFmt w:val="bullet"/>
      <w:lvlText w:val=""/>
      <w:lvlJc w:val="left"/>
      <w:pPr>
        <w:ind w:left="4320" w:hanging="360"/>
      </w:pPr>
      <w:rPr>
        <w:rFonts w:ascii="Wingdings" w:hAnsi="Wingdings" w:hint="default"/>
      </w:rPr>
    </w:lvl>
    <w:lvl w:ilvl="6" w:tplc="B5C2773A">
      <w:start w:val="1"/>
      <w:numFmt w:val="bullet"/>
      <w:lvlText w:val=""/>
      <w:lvlJc w:val="left"/>
      <w:pPr>
        <w:ind w:left="5040" w:hanging="360"/>
      </w:pPr>
      <w:rPr>
        <w:rFonts w:ascii="Symbol" w:hAnsi="Symbol" w:hint="default"/>
      </w:rPr>
    </w:lvl>
    <w:lvl w:ilvl="7" w:tplc="65C80CD4">
      <w:start w:val="1"/>
      <w:numFmt w:val="bullet"/>
      <w:lvlText w:val="o"/>
      <w:lvlJc w:val="left"/>
      <w:pPr>
        <w:ind w:left="5760" w:hanging="360"/>
      </w:pPr>
      <w:rPr>
        <w:rFonts w:ascii="Courier New" w:hAnsi="Courier New" w:hint="default"/>
      </w:rPr>
    </w:lvl>
    <w:lvl w:ilvl="8" w:tplc="9734514E">
      <w:start w:val="1"/>
      <w:numFmt w:val="bullet"/>
      <w:lvlText w:val=""/>
      <w:lvlJc w:val="left"/>
      <w:pPr>
        <w:ind w:left="6480" w:hanging="360"/>
      </w:pPr>
      <w:rPr>
        <w:rFonts w:ascii="Wingdings" w:hAnsi="Wingdings" w:hint="default"/>
      </w:rPr>
    </w:lvl>
  </w:abstractNum>
  <w:abstractNum w:abstractNumId="12" w15:restartNumberingAfterBreak="0">
    <w:nsid w:val="1165E875"/>
    <w:multiLevelType w:val="hybridMultilevel"/>
    <w:tmpl w:val="FFFFFFFF"/>
    <w:lvl w:ilvl="0" w:tplc="A69C2498">
      <w:start w:val="1"/>
      <w:numFmt w:val="bullet"/>
      <w:lvlText w:val="·"/>
      <w:lvlJc w:val="left"/>
      <w:pPr>
        <w:ind w:left="720" w:hanging="360"/>
      </w:pPr>
      <w:rPr>
        <w:rFonts w:ascii="Symbol" w:hAnsi="Symbol" w:hint="default"/>
      </w:rPr>
    </w:lvl>
    <w:lvl w:ilvl="1" w:tplc="2452E2E0">
      <w:start w:val="1"/>
      <w:numFmt w:val="bullet"/>
      <w:lvlText w:val="o"/>
      <w:lvlJc w:val="left"/>
      <w:pPr>
        <w:ind w:left="1440" w:hanging="360"/>
      </w:pPr>
      <w:rPr>
        <w:rFonts w:ascii="Courier New" w:hAnsi="Courier New" w:hint="default"/>
      </w:rPr>
    </w:lvl>
    <w:lvl w:ilvl="2" w:tplc="484E46FA">
      <w:start w:val="1"/>
      <w:numFmt w:val="bullet"/>
      <w:lvlText w:val=""/>
      <w:lvlJc w:val="left"/>
      <w:pPr>
        <w:ind w:left="2160" w:hanging="360"/>
      </w:pPr>
      <w:rPr>
        <w:rFonts w:ascii="Wingdings" w:hAnsi="Wingdings" w:hint="default"/>
      </w:rPr>
    </w:lvl>
    <w:lvl w:ilvl="3" w:tplc="4DFC141A">
      <w:start w:val="1"/>
      <w:numFmt w:val="bullet"/>
      <w:lvlText w:val=""/>
      <w:lvlJc w:val="left"/>
      <w:pPr>
        <w:ind w:left="2880" w:hanging="360"/>
      </w:pPr>
      <w:rPr>
        <w:rFonts w:ascii="Symbol" w:hAnsi="Symbol" w:hint="default"/>
      </w:rPr>
    </w:lvl>
    <w:lvl w:ilvl="4" w:tplc="7CB0EE64">
      <w:start w:val="1"/>
      <w:numFmt w:val="bullet"/>
      <w:lvlText w:val="o"/>
      <w:lvlJc w:val="left"/>
      <w:pPr>
        <w:ind w:left="3600" w:hanging="360"/>
      </w:pPr>
      <w:rPr>
        <w:rFonts w:ascii="Courier New" w:hAnsi="Courier New" w:hint="default"/>
      </w:rPr>
    </w:lvl>
    <w:lvl w:ilvl="5" w:tplc="0CC08DD8">
      <w:start w:val="1"/>
      <w:numFmt w:val="bullet"/>
      <w:lvlText w:val=""/>
      <w:lvlJc w:val="left"/>
      <w:pPr>
        <w:ind w:left="4320" w:hanging="360"/>
      </w:pPr>
      <w:rPr>
        <w:rFonts w:ascii="Wingdings" w:hAnsi="Wingdings" w:hint="default"/>
      </w:rPr>
    </w:lvl>
    <w:lvl w:ilvl="6" w:tplc="1BAAA566">
      <w:start w:val="1"/>
      <w:numFmt w:val="bullet"/>
      <w:lvlText w:val=""/>
      <w:lvlJc w:val="left"/>
      <w:pPr>
        <w:ind w:left="5040" w:hanging="360"/>
      </w:pPr>
      <w:rPr>
        <w:rFonts w:ascii="Symbol" w:hAnsi="Symbol" w:hint="default"/>
      </w:rPr>
    </w:lvl>
    <w:lvl w:ilvl="7" w:tplc="D58ACB44">
      <w:start w:val="1"/>
      <w:numFmt w:val="bullet"/>
      <w:lvlText w:val="o"/>
      <w:lvlJc w:val="left"/>
      <w:pPr>
        <w:ind w:left="5760" w:hanging="360"/>
      </w:pPr>
      <w:rPr>
        <w:rFonts w:ascii="Courier New" w:hAnsi="Courier New" w:hint="default"/>
      </w:rPr>
    </w:lvl>
    <w:lvl w:ilvl="8" w:tplc="AAA287CA">
      <w:start w:val="1"/>
      <w:numFmt w:val="bullet"/>
      <w:lvlText w:val=""/>
      <w:lvlJc w:val="left"/>
      <w:pPr>
        <w:ind w:left="6480" w:hanging="360"/>
      </w:pPr>
      <w:rPr>
        <w:rFonts w:ascii="Wingdings" w:hAnsi="Wingdings" w:hint="default"/>
      </w:rPr>
    </w:lvl>
  </w:abstractNum>
  <w:abstractNum w:abstractNumId="13" w15:restartNumberingAfterBreak="0">
    <w:nsid w:val="12723139"/>
    <w:multiLevelType w:val="hybridMultilevel"/>
    <w:tmpl w:val="FFFFFFFF"/>
    <w:lvl w:ilvl="0" w:tplc="8172617E">
      <w:start w:val="1"/>
      <w:numFmt w:val="bullet"/>
      <w:lvlText w:val="·"/>
      <w:lvlJc w:val="left"/>
      <w:pPr>
        <w:ind w:left="720" w:hanging="360"/>
      </w:pPr>
      <w:rPr>
        <w:rFonts w:ascii="Symbol" w:hAnsi="Symbol" w:hint="default"/>
      </w:rPr>
    </w:lvl>
    <w:lvl w:ilvl="1" w:tplc="9FE2101A">
      <w:start w:val="1"/>
      <w:numFmt w:val="bullet"/>
      <w:lvlText w:val="o"/>
      <w:lvlJc w:val="left"/>
      <w:pPr>
        <w:ind w:left="1440" w:hanging="360"/>
      </w:pPr>
      <w:rPr>
        <w:rFonts w:ascii="Courier New" w:hAnsi="Courier New" w:hint="default"/>
      </w:rPr>
    </w:lvl>
    <w:lvl w:ilvl="2" w:tplc="F91C3440">
      <w:start w:val="1"/>
      <w:numFmt w:val="bullet"/>
      <w:lvlText w:val=""/>
      <w:lvlJc w:val="left"/>
      <w:pPr>
        <w:ind w:left="2160" w:hanging="360"/>
      </w:pPr>
      <w:rPr>
        <w:rFonts w:ascii="Wingdings" w:hAnsi="Wingdings" w:hint="default"/>
      </w:rPr>
    </w:lvl>
    <w:lvl w:ilvl="3" w:tplc="0DAAB7EC">
      <w:start w:val="1"/>
      <w:numFmt w:val="bullet"/>
      <w:lvlText w:val=""/>
      <w:lvlJc w:val="left"/>
      <w:pPr>
        <w:ind w:left="2880" w:hanging="360"/>
      </w:pPr>
      <w:rPr>
        <w:rFonts w:ascii="Symbol" w:hAnsi="Symbol" w:hint="default"/>
      </w:rPr>
    </w:lvl>
    <w:lvl w:ilvl="4" w:tplc="5986EB58">
      <w:start w:val="1"/>
      <w:numFmt w:val="bullet"/>
      <w:lvlText w:val="o"/>
      <w:lvlJc w:val="left"/>
      <w:pPr>
        <w:ind w:left="3600" w:hanging="360"/>
      </w:pPr>
      <w:rPr>
        <w:rFonts w:ascii="Courier New" w:hAnsi="Courier New" w:hint="default"/>
      </w:rPr>
    </w:lvl>
    <w:lvl w:ilvl="5" w:tplc="437A1424">
      <w:start w:val="1"/>
      <w:numFmt w:val="bullet"/>
      <w:lvlText w:val=""/>
      <w:lvlJc w:val="left"/>
      <w:pPr>
        <w:ind w:left="4320" w:hanging="360"/>
      </w:pPr>
      <w:rPr>
        <w:rFonts w:ascii="Wingdings" w:hAnsi="Wingdings" w:hint="default"/>
      </w:rPr>
    </w:lvl>
    <w:lvl w:ilvl="6" w:tplc="0D0E44D4">
      <w:start w:val="1"/>
      <w:numFmt w:val="bullet"/>
      <w:lvlText w:val=""/>
      <w:lvlJc w:val="left"/>
      <w:pPr>
        <w:ind w:left="5040" w:hanging="360"/>
      </w:pPr>
      <w:rPr>
        <w:rFonts w:ascii="Symbol" w:hAnsi="Symbol" w:hint="default"/>
      </w:rPr>
    </w:lvl>
    <w:lvl w:ilvl="7" w:tplc="C85E4A1A">
      <w:start w:val="1"/>
      <w:numFmt w:val="bullet"/>
      <w:lvlText w:val="o"/>
      <w:lvlJc w:val="left"/>
      <w:pPr>
        <w:ind w:left="5760" w:hanging="360"/>
      </w:pPr>
      <w:rPr>
        <w:rFonts w:ascii="Courier New" w:hAnsi="Courier New" w:hint="default"/>
      </w:rPr>
    </w:lvl>
    <w:lvl w:ilvl="8" w:tplc="54FA655C">
      <w:start w:val="1"/>
      <w:numFmt w:val="bullet"/>
      <w:lvlText w:val=""/>
      <w:lvlJc w:val="left"/>
      <w:pPr>
        <w:ind w:left="6480" w:hanging="360"/>
      </w:pPr>
      <w:rPr>
        <w:rFonts w:ascii="Wingdings" w:hAnsi="Wingdings" w:hint="default"/>
      </w:rPr>
    </w:lvl>
  </w:abstractNum>
  <w:abstractNum w:abstractNumId="14" w15:restartNumberingAfterBreak="0">
    <w:nsid w:val="127494B7"/>
    <w:multiLevelType w:val="hybridMultilevel"/>
    <w:tmpl w:val="F99446FC"/>
    <w:lvl w:ilvl="0" w:tplc="9F424CF0">
      <w:start w:val="1"/>
      <w:numFmt w:val="bullet"/>
      <w:lvlText w:val="·"/>
      <w:lvlJc w:val="left"/>
      <w:pPr>
        <w:ind w:left="720" w:hanging="360"/>
      </w:pPr>
      <w:rPr>
        <w:rFonts w:ascii="Symbol" w:hAnsi="Symbol" w:hint="default"/>
      </w:rPr>
    </w:lvl>
    <w:lvl w:ilvl="1" w:tplc="1314319E">
      <w:start w:val="1"/>
      <w:numFmt w:val="bullet"/>
      <w:lvlText w:val="o"/>
      <w:lvlJc w:val="left"/>
      <w:pPr>
        <w:ind w:left="1440" w:hanging="360"/>
      </w:pPr>
      <w:rPr>
        <w:rFonts w:ascii="Courier New" w:hAnsi="Courier New" w:hint="default"/>
      </w:rPr>
    </w:lvl>
    <w:lvl w:ilvl="2" w:tplc="CC0A2ACE">
      <w:start w:val="1"/>
      <w:numFmt w:val="bullet"/>
      <w:lvlText w:val=""/>
      <w:lvlJc w:val="left"/>
      <w:pPr>
        <w:ind w:left="2160" w:hanging="360"/>
      </w:pPr>
      <w:rPr>
        <w:rFonts w:ascii="Wingdings" w:hAnsi="Wingdings" w:hint="default"/>
      </w:rPr>
    </w:lvl>
    <w:lvl w:ilvl="3" w:tplc="7B6C7B7A">
      <w:start w:val="1"/>
      <w:numFmt w:val="bullet"/>
      <w:lvlText w:val=""/>
      <w:lvlJc w:val="left"/>
      <w:pPr>
        <w:ind w:left="2880" w:hanging="360"/>
      </w:pPr>
      <w:rPr>
        <w:rFonts w:ascii="Symbol" w:hAnsi="Symbol" w:hint="default"/>
      </w:rPr>
    </w:lvl>
    <w:lvl w:ilvl="4" w:tplc="5EDCB6A4">
      <w:start w:val="1"/>
      <w:numFmt w:val="bullet"/>
      <w:lvlText w:val="o"/>
      <w:lvlJc w:val="left"/>
      <w:pPr>
        <w:ind w:left="3600" w:hanging="360"/>
      </w:pPr>
      <w:rPr>
        <w:rFonts w:ascii="Courier New" w:hAnsi="Courier New" w:hint="default"/>
      </w:rPr>
    </w:lvl>
    <w:lvl w:ilvl="5" w:tplc="24BE1974">
      <w:start w:val="1"/>
      <w:numFmt w:val="bullet"/>
      <w:lvlText w:val=""/>
      <w:lvlJc w:val="left"/>
      <w:pPr>
        <w:ind w:left="4320" w:hanging="360"/>
      </w:pPr>
      <w:rPr>
        <w:rFonts w:ascii="Wingdings" w:hAnsi="Wingdings" w:hint="default"/>
      </w:rPr>
    </w:lvl>
    <w:lvl w:ilvl="6" w:tplc="D6C6042A">
      <w:start w:val="1"/>
      <w:numFmt w:val="bullet"/>
      <w:lvlText w:val=""/>
      <w:lvlJc w:val="left"/>
      <w:pPr>
        <w:ind w:left="5040" w:hanging="360"/>
      </w:pPr>
      <w:rPr>
        <w:rFonts w:ascii="Symbol" w:hAnsi="Symbol" w:hint="default"/>
      </w:rPr>
    </w:lvl>
    <w:lvl w:ilvl="7" w:tplc="3FB68456">
      <w:start w:val="1"/>
      <w:numFmt w:val="bullet"/>
      <w:lvlText w:val="o"/>
      <w:lvlJc w:val="left"/>
      <w:pPr>
        <w:ind w:left="5760" w:hanging="360"/>
      </w:pPr>
      <w:rPr>
        <w:rFonts w:ascii="Courier New" w:hAnsi="Courier New" w:hint="default"/>
      </w:rPr>
    </w:lvl>
    <w:lvl w:ilvl="8" w:tplc="588EBD2E">
      <w:start w:val="1"/>
      <w:numFmt w:val="bullet"/>
      <w:lvlText w:val=""/>
      <w:lvlJc w:val="left"/>
      <w:pPr>
        <w:ind w:left="6480" w:hanging="360"/>
      </w:pPr>
      <w:rPr>
        <w:rFonts w:ascii="Wingdings" w:hAnsi="Wingdings" w:hint="default"/>
      </w:rPr>
    </w:lvl>
  </w:abstractNum>
  <w:abstractNum w:abstractNumId="15" w15:restartNumberingAfterBreak="0">
    <w:nsid w:val="12BAEE4F"/>
    <w:multiLevelType w:val="hybridMultilevel"/>
    <w:tmpl w:val="FFFFFFFF"/>
    <w:lvl w:ilvl="0" w:tplc="343A1632">
      <w:start w:val="1"/>
      <w:numFmt w:val="bullet"/>
      <w:lvlText w:val="·"/>
      <w:lvlJc w:val="left"/>
      <w:pPr>
        <w:ind w:left="720" w:hanging="360"/>
      </w:pPr>
      <w:rPr>
        <w:rFonts w:ascii="Symbol" w:hAnsi="Symbol" w:hint="default"/>
      </w:rPr>
    </w:lvl>
    <w:lvl w:ilvl="1" w:tplc="DDF80AC0">
      <w:start w:val="1"/>
      <w:numFmt w:val="bullet"/>
      <w:lvlText w:val="o"/>
      <w:lvlJc w:val="left"/>
      <w:pPr>
        <w:ind w:left="1440" w:hanging="360"/>
      </w:pPr>
      <w:rPr>
        <w:rFonts w:ascii="Courier New" w:hAnsi="Courier New" w:hint="default"/>
      </w:rPr>
    </w:lvl>
    <w:lvl w:ilvl="2" w:tplc="D396A64E">
      <w:start w:val="1"/>
      <w:numFmt w:val="bullet"/>
      <w:lvlText w:val=""/>
      <w:lvlJc w:val="left"/>
      <w:pPr>
        <w:ind w:left="2160" w:hanging="360"/>
      </w:pPr>
      <w:rPr>
        <w:rFonts w:ascii="Wingdings" w:hAnsi="Wingdings" w:hint="default"/>
      </w:rPr>
    </w:lvl>
    <w:lvl w:ilvl="3" w:tplc="A364D026">
      <w:start w:val="1"/>
      <w:numFmt w:val="bullet"/>
      <w:lvlText w:val=""/>
      <w:lvlJc w:val="left"/>
      <w:pPr>
        <w:ind w:left="2880" w:hanging="360"/>
      </w:pPr>
      <w:rPr>
        <w:rFonts w:ascii="Symbol" w:hAnsi="Symbol" w:hint="default"/>
      </w:rPr>
    </w:lvl>
    <w:lvl w:ilvl="4" w:tplc="E86AB2BA">
      <w:start w:val="1"/>
      <w:numFmt w:val="bullet"/>
      <w:lvlText w:val="o"/>
      <w:lvlJc w:val="left"/>
      <w:pPr>
        <w:ind w:left="3600" w:hanging="360"/>
      </w:pPr>
      <w:rPr>
        <w:rFonts w:ascii="Courier New" w:hAnsi="Courier New" w:hint="default"/>
      </w:rPr>
    </w:lvl>
    <w:lvl w:ilvl="5" w:tplc="1C44C9F0">
      <w:start w:val="1"/>
      <w:numFmt w:val="bullet"/>
      <w:lvlText w:val=""/>
      <w:lvlJc w:val="left"/>
      <w:pPr>
        <w:ind w:left="4320" w:hanging="360"/>
      </w:pPr>
      <w:rPr>
        <w:rFonts w:ascii="Wingdings" w:hAnsi="Wingdings" w:hint="default"/>
      </w:rPr>
    </w:lvl>
    <w:lvl w:ilvl="6" w:tplc="757E0284">
      <w:start w:val="1"/>
      <w:numFmt w:val="bullet"/>
      <w:lvlText w:val=""/>
      <w:lvlJc w:val="left"/>
      <w:pPr>
        <w:ind w:left="5040" w:hanging="360"/>
      </w:pPr>
      <w:rPr>
        <w:rFonts w:ascii="Symbol" w:hAnsi="Symbol" w:hint="default"/>
      </w:rPr>
    </w:lvl>
    <w:lvl w:ilvl="7" w:tplc="02D4D394">
      <w:start w:val="1"/>
      <w:numFmt w:val="bullet"/>
      <w:lvlText w:val="o"/>
      <w:lvlJc w:val="left"/>
      <w:pPr>
        <w:ind w:left="5760" w:hanging="360"/>
      </w:pPr>
      <w:rPr>
        <w:rFonts w:ascii="Courier New" w:hAnsi="Courier New" w:hint="default"/>
      </w:rPr>
    </w:lvl>
    <w:lvl w:ilvl="8" w:tplc="51F0C2D0">
      <w:start w:val="1"/>
      <w:numFmt w:val="bullet"/>
      <w:lvlText w:val=""/>
      <w:lvlJc w:val="left"/>
      <w:pPr>
        <w:ind w:left="6480" w:hanging="360"/>
      </w:pPr>
      <w:rPr>
        <w:rFonts w:ascii="Wingdings" w:hAnsi="Wingdings" w:hint="default"/>
      </w:rPr>
    </w:lvl>
  </w:abstractNum>
  <w:abstractNum w:abstractNumId="16" w15:restartNumberingAfterBreak="0">
    <w:nsid w:val="12F0044B"/>
    <w:multiLevelType w:val="hybridMultilevel"/>
    <w:tmpl w:val="FFFFFFFF"/>
    <w:lvl w:ilvl="0" w:tplc="68A4D74C">
      <w:start w:val="1"/>
      <w:numFmt w:val="bullet"/>
      <w:lvlText w:val="·"/>
      <w:lvlJc w:val="left"/>
      <w:pPr>
        <w:ind w:left="720" w:hanging="360"/>
      </w:pPr>
      <w:rPr>
        <w:rFonts w:ascii="Symbol" w:hAnsi="Symbol" w:hint="default"/>
      </w:rPr>
    </w:lvl>
    <w:lvl w:ilvl="1" w:tplc="FB024670">
      <w:start w:val="1"/>
      <w:numFmt w:val="bullet"/>
      <w:lvlText w:val="o"/>
      <w:lvlJc w:val="left"/>
      <w:pPr>
        <w:ind w:left="1440" w:hanging="360"/>
      </w:pPr>
      <w:rPr>
        <w:rFonts w:ascii="Courier New" w:hAnsi="Courier New" w:hint="default"/>
      </w:rPr>
    </w:lvl>
    <w:lvl w:ilvl="2" w:tplc="9DCE4E14">
      <w:start w:val="1"/>
      <w:numFmt w:val="bullet"/>
      <w:lvlText w:val=""/>
      <w:lvlJc w:val="left"/>
      <w:pPr>
        <w:ind w:left="2160" w:hanging="360"/>
      </w:pPr>
      <w:rPr>
        <w:rFonts w:ascii="Wingdings" w:hAnsi="Wingdings" w:hint="default"/>
      </w:rPr>
    </w:lvl>
    <w:lvl w:ilvl="3" w:tplc="E2740DF8">
      <w:start w:val="1"/>
      <w:numFmt w:val="bullet"/>
      <w:lvlText w:val=""/>
      <w:lvlJc w:val="left"/>
      <w:pPr>
        <w:ind w:left="2880" w:hanging="360"/>
      </w:pPr>
      <w:rPr>
        <w:rFonts w:ascii="Symbol" w:hAnsi="Symbol" w:hint="default"/>
      </w:rPr>
    </w:lvl>
    <w:lvl w:ilvl="4" w:tplc="23246D44">
      <w:start w:val="1"/>
      <w:numFmt w:val="bullet"/>
      <w:lvlText w:val="o"/>
      <w:lvlJc w:val="left"/>
      <w:pPr>
        <w:ind w:left="3600" w:hanging="360"/>
      </w:pPr>
      <w:rPr>
        <w:rFonts w:ascii="Courier New" w:hAnsi="Courier New" w:hint="default"/>
      </w:rPr>
    </w:lvl>
    <w:lvl w:ilvl="5" w:tplc="3E0E1376">
      <w:start w:val="1"/>
      <w:numFmt w:val="bullet"/>
      <w:lvlText w:val=""/>
      <w:lvlJc w:val="left"/>
      <w:pPr>
        <w:ind w:left="4320" w:hanging="360"/>
      </w:pPr>
      <w:rPr>
        <w:rFonts w:ascii="Wingdings" w:hAnsi="Wingdings" w:hint="default"/>
      </w:rPr>
    </w:lvl>
    <w:lvl w:ilvl="6" w:tplc="DDB4F962">
      <w:start w:val="1"/>
      <w:numFmt w:val="bullet"/>
      <w:lvlText w:val=""/>
      <w:lvlJc w:val="left"/>
      <w:pPr>
        <w:ind w:left="5040" w:hanging="360"/>
      </w:pPr>
      <w:rPr>
        <w:rFonts w:ascii="Symbol" w:hAnsi="Symbol" w:hint="default"/>
      </w:rPr>
    </w:lvl>
    <w:lvl w:ilvl="7" w:tplc="B7107234">
      <w:start w:val="1"/>
      <w:numFmt w:val="bullet"/>
      <w:lvlText w:val="o"/>
      <w:lvlJc w:val="left"/>
      <w:pPr>
        <w:ind w:left="5760" w:hanging="360"/>
      </w:pPr>
      <w:rPr>
        <w:rFonts w:ascii="Courier New" w:hAnsi="Courier New" w:hint="default"/>
      </w:rPr>
    </w:lvl>
    <w:lvl w:ilvl="8" w:tplc="ABA6A10A">
      <w:start w:val="1"/>
      <w:numFmt w:val="bullet"/>
      <w:lvlText w:val=""/>
      <w:lvlJc w:val="left"/>
      <w:pPr>
        <w:ind w:left="6480" w:hanging="360"/>
      </w:pPr>
      <w:rPr>
        <w:rFonts w:ascii="Wingdings" w:hAnsi="Wingdings" w:hint="default"/>
      </w:rPr>
    </w:lvl>
  </w:abstractNum>
  <w:abstractNum w:abstractNumId="17" w15:restartNumberingAfterBreak="0">
    <w:nsid w:val="145B257F"/>
    <w:multiLevelType w:val="hybridMultilevel"/>
    <w:tmpl w:val="38F43B26"/>
    <w:lvl w:ilvl="0" w:tplc="27BE314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4996626"/>
    <w:multiLevelType w:val="hybridMultilevel"/>
    <w:tmpl w:val="FB1E6F8A"/>
    <w:lvl w:ilvl="0" w:tplc="8FCCEAA8">
      <w:start w:val="1"/>
      <w:numFmt w:val="decimal"/>
      <w:pStyle w:val="Briefinglist1"/>
      <w:lvlText w:val="%1-"/>
      <w:lvlJc w:val="left"/>
      <w:pPr>
        <w:tabs>
          <w:tab w:val="num" w:pos="284"/>
        </w:tabs>
        <w:ind w:left="284" w:hanging="284"/>
      </w:pPr>
      <w:rPr>
        <w:rFonts w:ascii="Arial" w:eastAsia="Times New Roman" w:hAnsi="Arial" w:cs="Arial"/>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1019FE"/>
    <w:multiLevelType w:val="hybridMultilevel"/>
    <w:tmpl w:val="F0B00F6C"/>
    <w:lvl w:ilvl="0" w:tplc="E8E6550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6137FE6"/>
    <w:multiLevelType w:val="hybridMultilevel"/>
    <w:tmpl w:val="508A13EC"/>
    <w:lvl w:ilvl="0" w:tplc="320671B2">
      <w:numFmt w:val="bullet"/>
      <w:lvlText w:val="-"/>
      <w:lvlJc w:val="left"/>
      <w:pPr>
        <w:ind w:left="1080" w:hanging="360"/>
      </w:pPr>
      <w:rPr>
        <w:rFonts w:ascii="Times New Roman" w:eastAsia="Calibr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1B7A3C5A"/>
    <w:multiLevelType w:val="hybridMultilevel"/>
    <w:tmpl w:val="FFFFFFFF"/>
    <w:lvl w:ilvl="0" w:tplc="5BBEE198">
      <w:start w:val="1"/>
      <w:numFmt w:val="bullet"/>
      <w:lvlText w:val="·"/>
      <w:lvlJc w:val="left"/>
      <w:pPr>
        <w:ind w:left="720" w:hanging="360"/>
      </w:pPr>
      <w:rPr>
        <w:rFonts w:ascii="Symbol" w:hAnsi="Symbol" w:hint="default"/>
      </w:rPr>
    </w:lvl>
    <w:lvl w:ilvl="1" w:tplc="37E6C6E4">
      <w:start w:val="1"/>
      <w:numFmt w:val="bullet"/>
      <w:lvlText w:val="o"/>
      <w:lvlJc w:val="left"/>
      <w:pPr>
        <w:ind w:left="1440" w:hanging="360"/>
      </w:pPr>
      <w:rPr>
        <w:rFonts w:ascii="Courier New" w:hAnsi="Courier New" w:hint="default"/>
      </w:rPr>
    </w:lvl>
    <w:lvl w:ilvl="2" w:tplc="9E443E0E">
      <w:start w:val="1"/>
      <w:numFmt w:val="bullet"/>
      <w:lvlText w:val=""/>
      <w:lvlJc w:val="left"/>
      <w:pPr>
        <w:ind w:left="2160" w:hanging="360"/>
      </w:pPr>
      <w:rPr>
        <w:rFonts w:ascii="Wingdings" w:hAnsi="Wingdings" w:hint="default"/>
      </w:rPr>
    </w:lvl>
    <w:lvl w:ilvl="3" w:tplc="F84C3B68">
      <w:start w:val="1"/>
      <w:numFmt w:val="bullet"/>
      <w:lvlText w:val=""/>
      <w:lvlJc w:val="left"/>
      <w:pPr>
        <w:ind w:left="2880" w:hanging="360"/>
      </w:pPr>
      <w:rPr>
        <w:rFonts w:ascii="Symbol" w:hAnsi="Symbol" w:hint="default"/>
      </w:rPr>
    </w:lvl>
    <w:lvl w:ilvl="4" w:tplc="6292EEBA">
      <w:start w:val="1"/>
      <w:numFmt w:val="bullet"/>
      <w:lvlText w:val="o"/>
      <w:lvlJc w:val="left"/>
      <w:pPr>
        <w:ind w:left="3600" w:hanging="360"/>
      </w:pPr>
      <w:rPr>
        <w:rFonts w:ascii="Courier New" w:hAnsi="Courier New" w:hint="default"/>
      </w:rPr>
    </w:lvl>
    <w:lvl w:ilvl="5" w:tplc="F8B24892">
      <w:start w:val="1"/>
      <w:numFmt w:val="bullet"/>
      <w:lvlText w:val=""/>
      <w:lvlJc w:val="left"/>
      <w:pPr>
        <w:ind w:left="4320" w:hanging="360"/>
      </w:pPr>
      <w:rPr>
        <w:rFonts w:ascii="Wingdings" w:hAnsi="Wingdings" w:hint="default"/>
      </w:rPr>
    </w:lvl>
    <w:lvl w:ilvl="6" w:tplc="6D08468C">
      <w:start w:val="1"/>
      <w:numFmt w:val="bullet"/>
      <w:lvlText w:val=""/>
      <w:lvlJc w:val="left"/>
      <w:pPr>
        <w:ind w:left="5040" w:hanging="360"/>
      </w:pPr>
      <w:rPr>
        <w:rFonts w:ascii="Symbol" w:hAnsi="Symbol" w:hint="default"/>
      </w:rPr>
    </w:lvl>
    <w:lvl w:ilvl="7" w:tplc="CB087B96">
      <w:start w:val="1"/>
      <w:numFmt w:val="bullet"/>
      <w:lvlText w:val="o"/>
      <w:lvlJc w:val="left"/>
      <w:pPr>
        <w:ind w:left="5760" w:hanging="360"/>
      </w:pPr>
      <w:rPr>
        <w:rFonts w:ascii="Courier New" w:hAnsi="Courier New" w:hint="default"/>
      </w:rPr>
    </w:lvl>
    <w:lvl w:ilvl="8" w:tplc="B748E050">
      <w:start w:val="1"/>
      <w:numFmt w:val="bullet"/>
      <w:lvlText w:val=""/>
      <w:lvlJc w:val="left"/>
      <w:pPr>
        <w:ind w:left="6480" w:hanging="360"/>
      </w:pPr>
      <w:rPr>
        <w:rFonts w:ascii="Wingdings" w:hAnsi="Wingdings" w:hint="default"/>
      </w:rPr>
    </w:lvl>
  </w:abstractNum>
  <w:abstractNum w:abstractNumId="22" w15:restartNumberingAfterBreak="0">
    <w:nsid w:val="1F8320F2"/>
    <w:multiLevelType w:val="hybridMultilevel"/>
    <w:tmpl w:val="9E803A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FDE91FA"/>
    <w:multiLevelType w:val="hybridMultilevel"/>
    <w:tmpl w:val="5C60447E"/>
    <w:lvl w:ilvl="0" w:tplc="E8E65502">
      <w:start w:val="1"/>
      <w:numFmt w:val="bullet"/>
      <w:lvlText w:val=""/>
      <w:lvlJc w:val="left"/>
      <w:pPr>
        <w:ind w:left="720" w:hanging="360"/>
      </w:pPr>
      <w:rPr>
        <w:rFonts w:ascii="Wingdings" w:hAnsi="Wingdings" w:hint="default"/>
      </w:rPr>
    </w:lvl>
    <w:lvl w:ilvl="1" w:tplc="BBAE9756">
      <w:start w:val="1"/>
      <w:numFmt w:val="bullet"/>
      <w:lvlText w:val="o"/>
      <w:lvlJc w:val="left"/>
      <w:pPr>
        <w:ind w:left="1440" w:hanging="360"/>
      </w:pPr>
      <w:rPr>
        <w:rFonts w:ascii="Courier New" w:hAnsi="Courier New" w:hint="default"/>
      </w:rPr>
    </w:lvl>
    <w:lvl w:ilvl="2" w:tplc="4D2CEA42">
      <w:start w:val="1"/>
      <w:numFmt w:val="bullet"/>
      <w:lvlText w:val=""/>
      <w:lvlJc w:val="left"/>
      <w:pPr>
        <w:ind w:left="2160" w:hanging="360"/>
      </w:pPr>
      <w:rPr>
        <w:rFonts w:ascii="Wingdings" w:hAnsi="Wingdings" w:hint="default"/>
      </w:rPr>
    </w:lvl>
    <w:lvl w:ilvl="3" w:tplc="8F846110">
      <w:start w:val="1"/>
      <w:numFmt w:val="bullet"/>
      <w:lvlText w:val=""/>
      <w:lvlJc w:val="left"/>
      <w:pPr>
        <w:ind w:left="2880" w:hanging="360"/>
      </w:pPr>
      <w:rPr>
        <w:rFonts w:ascii="Symbol" w:hAnsi="Symbol" w:hint="default"/>
      </w:rPr>
    </w:lvl>
    <w:lvl w:ilvl="4" w:tplc="1544141C">
      <w:start w:val="1"/>
      <w:numFmt w:val="bullet"/>
      <w:lvlText w:val="o"/>
      <w:lvlJc w:val="left"/>
      <w:pPr>
        <w:ind w:left="3600" w:hanging="360"/>
      </w:pPr>
      <w:rPr>
        <w:rFonts w:ascii="Courier New" w:hAnsi="Courier New" w:hint="default"/>
      </w:rPr>
    </w:lvl>
    <w:lvl w:ilvl="5" w:tplc="B7909EE0">
      <w:start w:val="1"/>
      <w:numFmt w:val="bullet"/>
      <w:lvlText w:val=""/>
      <w:lvlJc w:val="left"/>
      <w:pPr>
        <w:ind w:left="4320" w:hanging="360"/>
      </w:pPr>
      <w:rPr>
        <w:rFonts w:ascii="Wingdings" w:hAnsi="Wingdings" w:hint="default"/>
      </w:rPr>
    </w:lvl>
    <w:lvl w:ilvl="6" w:tplc="99CEE794">
      <w:start w:val="1"/>
      <w:numFmt w:val="bullet"/>
      <w:lvlText w:val=""/>
      <w:lvlJc w:val="left"/>
      <w:pPr>
        <w:ind w:left="5040" w:hanging="360"/>
      </w:pPr>
      <w:rPr>
        <w:rFonts w:ascii="Symbol" w:hAnsi="Symbol" w:hint="default"/>
      </w:rPr>
    </w:lvl>
    <w:lvl w:ilvl="7" w:tplc="AAEEFDC0">
      <w:start w:val="1"/>
      <w:numFmt w:val="bullet"/>
      <w:lvlText w:val="o"/>
      <w:lvlJc w:val="left"/>
      <w:pPr>
        <w:ind w:left="5760" w:hanging="360"/>
      </w:pPr>
      <w:rPr>
        <w:rFonts w:ascii="Courier New" w:hAnsi="Courier New" w:hint="default"/>
      </w:rPr>
    </w:lvl>
    <w:lvl w:ilvl="8" w:tplc="6F86F7FE">
      <w:start w:val="1"/>
      <w:numFmt w:val="bullet"/>
      <w:lvlText w:val=""/>
      <w:lvlJc w:val="left"/>
      <w:pPr>
        <w:ind w:left="6480" w:hanging="360"/>
      </w:pPr>
      <w:rPr>
        <w:rFonts w:ascii="Wingdings" w:hAnsi="Wingdings" w:hint="default"/>
      </w:rPr>
    </w:lvl>
  </w:abstractNum>
  <w:abstractNum w:abstractNumId="24" w15:restartNumberingAfterBreak="0">
    <w:nsid w:val="209E03E7"/>
    <w:multiLevelType w:val="hybridMultilevel"/>
    <w:tmpl w:val="1978610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0B906EC"/>
    <w:multiLevelType w:val="hybridMultilevel"/>
    <w:tmpl w:val="7AD2335A"/>
    <w:lvl w:ilvl="0" w:tplc="1809000D">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223C7EB2"/>
    <w:multiLevelType w:val="hybridMultilevel"/>
    <w:tmpl w:val="89DC4DEA"/>
    <w:lvl w:ilvl="0" w:tplc="A11297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22821EE5"/>
    <w:multiLevelType w:val="hybridMultilevel"/>
    <w:tmpl w:val="CAF2219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2288058B"/>
    <w:multiLevelType w:val="hybridMultilevel"/>
    <w:tmpl w:val="89DEB1B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449033F"/>
    <w:multiLevelType w:val="hybridMultilevel"/>
    <w:tmpl w:val="FFFFFFFF"/>
    <w:lvl w:ilvl="0" w:tplc="37A2895C">
      <w:start w:val="1"/>
      <w:numFmt w:val="bullet"/>
      <w:lvlText w:val="·"/>
      <w:lvlJc w:val="left"/>
      <w:pPr>
        <w:ind w:left="720" w:hanging="360"/>
      </w:pPr>
      <w:rPr>
        <w:rFonts w:ascii="Symbol" w:hAnsi="Symbol" w:hint="default"/>
      </w:rPr>
    </w:lvl>
    <w:lvl w:ilvl="1" w:tplc="2FFAF3EE">
      <w:start w:val="1"/>
      <w:numFmt w:val="bullet"/>
      <w:lvlText w:val="o"/>
      <w:lvlJc w:val="left"/>
      <w:pPr>
        <w:ind w:left="1440" w:hanging="360"/>
      </w:pPr>
      <w:rPr>
        <w:rFonts w:ascii="Courier New" w:hAnsi="Courier New" w:hint="default"/>
      </w:rPr>
    </w:lvl>
    <w:lvl w:ilvl="2" w:tplc="AC2484D8">
      <w:start w:val="1"/>
      <w:numFmt w:val="bullet"/>
      <w:lvlText w:val=""/>
      <w:lvlJc w:val="left"/>
      <w:pPr>
        <w:ind w:left="2160" w:hanging="360"/>
      </w:pPr>
      <w:rPr>
        <w:rFonts w:ascii="Wingdings" w:hAnsi="Wingdings" w:hint="default"/>
      </w:rPr>
    </w:lvl>
    <w:lvl w:ilvl="3" w:tplc="F27416A8">
      <w:start w:val="1"/>
      <w:numFmt w:val="bullet"/>
      <w:lvlText w:val=""/>
      <w:lvlJc w:val="left"/>
      <w:pPr>
        <w:ind w:left="2880" w:hanging="360"/>
      </w:pPr>
      <w:rPr>
        <w:rFonts w:ascii="Symbol" w:hAnsi="Symbol" w:hint="default"/>
      </w:rPr>
    </w:lvl>
    <w:lvl w:ilvl="4" w:tplc="ACAA99A2">
      <w:start w:val="1"/>
      <w:numFmt w:val="bullet"/>
      <w:lvlText w:val="o"/>
      <w:lvlJc w:val="left"/>
      <w:pPr>
        <w:ind w:left="3600" w:hanging="360"/>
      </w:pPr>
      <w:rPr>
        <w:rFonts w:ascii="Courier New" w:hAnsi="Courier New" w:hint="default"/>
      </w:rPr>
    </w:lvl>
    <w:lvl w:ilvl="5" w:tplc="5C6AEC5E">
      <w:start w:val="1"/>
      <w:numFmt w:val="bullet"/>
      <w:lvlText w:val=""/>
      <w:lvlJc w:val="left"/>
      <w:pPr>
        <w:ind w:left="4320" w:hanging="360"/>
      </w:pPr>
      <w:rPr>
        <w:rFonts w:ascii="Wingdings" w:hAnsi="Wingdings" w:hint="default"/>
      </w:rPr>
    </w:lvl>
    <w:lvl w:ilvl="6" w:tplc="6D50F418">
      <w:start w:val="1"/>
      <w:numFmt w:val="bullet"/>
      <w:lvlText w:val=""/>
      <w:lvlJc w:val="left"/>
      <w:pPr>
        <w:ind w:left="5040" w:hanging="360"/>
      </w:pPr>
      <w:rPr>
        <w:rFonts w:ascii="Symbol" w:hAnsi="Symbol" w:hint="default"/>
      </w:rPr>
    </w:lvl>
    <w:lvl w:ilvl="7" w:tplc="E514C4C2">
      <w:start w:val="1"/>
      <w:numFmt w:val="bullet"/>
      <w:lvlText w:val="o"/>
      <w:lvlJc w:val="left"/>
      <w:pPr>
        <w:ind w:left="5760" w:hanging="360"/>
      </w:pPr>
      <w:rPr>
        <w:rFonts w:ascii="Courier New" w:hAnsi="Courier New" w:hint="default"/>
      </w:rPr>
    </w:lvl>
    <w:lvl w:ilvl="8" w:tplc="D752155C">
      <w:start w:val="1"/>
      <w:numFmt w:val="bullet"/>
      <w:lvlText w:val=""/>
      <w:lvlJc w:val="left"/>
      <w:pPr>
        <w:ind w:left="6480" w:hanging="360"/>
      </w:pPr>
      <w:rPr>
        <w:rFonts w:ascii="Wingdings" w:hAnsi="Wingdings" w:hint="default"/>
      </w:rPr>
    </w:lvl>
  </w:abstractNum>
  <w:abstractNum w:abstractNumId="30" w15:restartNumberingAfterBreak="0">
    <w:nsid w:val="2502FB34"/>
    <w:multiLevelType w:val="hybridMultilevel"/>
    <w:tmpl w:val="E0581472"/>
    <w:lvl w:ilvl="0" w:tplc="AA680692">
      <w:start w:val="1"/>
      <w:numFmt w:val="bullet"/>
      <w:lvlText w:val="·"/>
      <w:lvlJc w:val="left"/>
      <w:pPr>
        <w:ind w:left="720" w:hanging="360"/>
      </w:pPr>
      <w:rPr>
        <w:rFonts w:ascii="Symbol" w:hAnsi="Symbol" w:hint="default"/>
      </w:rPr>
    </w:lvl>
    <w:lvl w:ilvl="1" w:tplc="5A02757A">
      <w:start w:val="1"/>
      <w:numFmt w:val="bullet"/>
      <w:lvlText w:val="o"/>
      <w:lvlJc w:val="left"/>
      <w:pPr>
        <w:ind w:left="1440" w:hanging="360"/>
      </w:pPr>
      <w:rPr>
        <w:rFonts w:ascii="Courier New" w:hAnsi="Courier New" w:hint="default"/>
      </w:rPr>
    </w:lvl>
    <w:lvl w:ilvl="2" w:tplc="4E0EEDE0">
      <w:start w:val="1"/>
      <w:numFmt w:val="bullet"/>
      <w:lvlText w:val=""/>
      <w:lvlJc w:val="left"/>
      <w:pPr>
        <w:ind w:left="2160" w:hanging="360"/>
      </w:pPr>
      <w:rPr>
        <w:rFonts w:ascii="Wingdings" w:hAnsi="Wingdings" w:hint="default"/>
      </w:rPr>
    </w:lvl>
    <w:lvl w:ilvl="3" w:tplc="3D4A91F2">
      <w:start w:val="1"/>
      <w:numFmt w:val="bullet"/>
      <w:lvlText w:val=""/>
      <w:lvlJc w:val="left"/>
      <w:pPr>
        <w:ind w:left="2880" w:hanging="360"/>
      </w:pPr>
      <w:rPr>
        <w:rFonts w:ascii="Symbol" w:hAnsi="Symbol" w:hint="default"/>
      </w:rPr>
    </w:lvl>
    <w:lvl w:ilvl="4" w:tplc="8998137C">
      <w:start w:val="1"/>
      <w:numFmt w:val="bullet"/>
      <w:lvlText w:val="o"/>
      <w:lvlJc w:val="left"/>
      <w:pPr>
        <w:ind w:left="3600" w:hanging="360"/>
      </w:pPr>
      <w:rPr>
        <w:rFonts w:ascii="Courier New" w:hAnsi="Courier New" w:hint="default"/>
      </w:rPr>
    </w:lvl>
    <w:lvl w:ilvl="5" w:tplc="EFC04A7E">
      <w:start w:val="1"/>
      <w:numFmt w:val="bullet"/>
      <w:lvlText w:val=""/>
      <w:lvlJc w:val="left"/>
      <w:pPr>
        <w:ind w:left="4320" w:hanging="360"/>
      </w:pPr>
      <w:rPr>
        <w:rFonts w:ascii="Wingdings" w:hAnsi="Wingdings" w:hint="default"/>
      </w:rPr>
    </w:lvl>
    <w:lvl w:ilvl="6" w:tplc="3224D802">
      <w:start w:val="1"/>
      <w:numFmt w:val="bullet"/>
      <w:lvlText w:val=""/>
      <w:lvlJc w:val="left"/>
      <w:pPr>
        <w:ind w:left="5040" w:hanging="360"/>
      </w:pPr>
      <w:rPr>
        <w:rFonts w:ascii="Symbol" w:hAnsi="Symbol" w:hint="default"/>
      </w:rPr>
    </w:lvl>
    <w:lvl w:ilvl="7" w:tplc="7358706E">
      <w:start w:val="1"/>
      <w:numFmt w:val="bullet"/>
      <w:lvlText w:val="o"/>
      <w:lvlJc w:val="left"/>
      <w:pPr>
        <w:ind w:left="5760" w:hanging="360"/>
      </w:pPr>
      <w:rPr>
        <w:rFonts w:ascii="Courier New" w:hAnsi="Courier New" w:hint="default"/>
      </w:rPr>
    </w:lvl>
    <w:lvl w:ilvl="8" w:tplc="9378F644">
      <w:start w:val="1"/>
      <w:numFmt w:val="bullet"/>
      <w:lvlText w:val=""/>
      <w:lvlJc w:val="left"/>
      <w:pPr>
        <w:ind w:left="6480" w:hanging="360"/>
      </w:pPr>
      <w:rPr>
        <w:rFonts w:ascii="Wingdings" w:hAnsi="Wingdings" w:hint="default"/>
      </w:rPr>
    </w:lvl>
  </w:abstractNum>
  <w:abstractNum w:abstractNumId="31" w15:restartNumberingAfterBreak="0">
    <w:nsid w:val="27B976A8"/>
    <w:multiLevelType w:val="hybridMultilevel"/>
    <w:tmpl w:val="FFFFFFFF"/>
    <w:lvl w:ilvl="0" w:tplc="DD1C0480">
      <w:start w:val="1"/>
      <w:numFmt w:val="bullet"/>
      <w:lvlText w:val="·"/>
      <w:lvlJc w:val="left"/>
      <w:pPr>
        <w:ind w:left="720" w:hanging="360"/>
      </w:pPr>
      <w:rPr>
        <w:rFonts w:ascii="Symbol" w:hAnsi="Symbol" w:hint="default"/>
      </w:rPr>
    </w:lvl>
    <w:lvl w:ilvl="1" w:tplc="0CE285F6">
      <w:start w:val="1"/>
      <w:numFmt w:val="bullet"/>
      <w:lvlText w:val="o"/>
      <w:lvlJc w:val="left"/>
      <w:pPr>
        <w:ind w:left="1440" w:hanging="360"/>
      </w:pPr>
      <w:rPr>
        <w:rFonts w:ascii="Courier New" w:hAnsi="Courier New" w:hint="default"/>
      </w:rPr>
    </w:lvl>
    <w:lvl w:ilvl="2" w:tplc="9EFA686C">
      <w:start w:val="1"/>
      <w:numFmt w:val="bullet"/>
      <w:lvlText w:val=""/>
      <w:lvlJc w:val="left"/>
      <w:pPr>
        <w:ind w:left="2160" w:hanging="360"/>
      </w:pPr>
      <w:rPr>
        <w:rFonts w:ascii="Wingdings" w:hAnsi="Wingdings" w:hint="default"/>
      </w:rPr>
    </w:lvl>
    <w:lvl w:ilvl="3" w:tplc="65086BE0">
      <w:start w:val="1"/>
      <w:numFmt w:val="bullet"/>
      <w:lvlText w:val=""/>
      <w:lvlJc w:val="left"/>
      <w:pPr>
        <w:ind w:left="2880" w:hanging="360"/>
      </w:pPr>
      <w:rPr>
        <w:rFonts w:ascii="Symbol" w:hAnsi="Symbol" w:hint="default"/>
      </w:rPr>
    </w:lvl>
    <w:lvl w:ilvl="4" w:tplc="E1F8826C">
      <w:start w:val="1"/>
      <w:numFmt w:val="bullet"/>
      <w:lvlText w:val="o"/>
      <w:lvlJc w:val="left"/>
      <w:pPr>
        <w:ind w:left="3600" w:hanging="360"/>
      </w:pPr>
      <w:rPr>
        <w:rFonts w:ascii="Courier New" w:hAnsi="Courier New" w:hint="default"/>
      </w:rPr>
    </w:lvl>
    <w:lvl w:ilvl="5" w:tplc="FFB67D1A">
      <w:start w:val="1"/>
      <w:numFmt w:val="bullet"/>
      <w:lvlText w:val=""/>
      <w:lvlJc w:val="left"/>
      <w:pPr>
        <w:ind w:left="4320" w:hanging="360"/>
      </w:pPr>
      <w:rPr>
        <w:rFonts w:ascii="Wingdings" w:hAnsi="Wingdings" w:hint="default"/>
      </w:rPr>
    </w:lvl>
    <w:lvl w:ilvl="6" w:tplc="B450DA88">
      <w:start w:val="1"/>
      <w:numFmt w:val="bullet"/>
      <w:lvlText w:val=""/>
      <w:lvlJc w:val="left"/>
      <w:pPr>
        <w:ind w:left="5040" w:hanging="360"/>
      </w:pPr>
      <w:rPr>
        <w:rFonts w:ascii="Symbol" w:hAnsi="Symbol" w:hint="default"/>
      </w:rPr>
    </w:lvl>
    <w:lvl w:ilvl="7" w:tplc="0BA2C81A">
      <w:start w:val="1"/>
      <w:numFmt w:val="bullet"/>
      <w:lvlText w:val="o"/>
      <w:lvlJc w:val="left"/>
      <w:pPr>
        <w:ind w:left="5760" w:hanging="360"/>
      </w:pPr>
      <w:rPr>
        <w:rFonts w:ascii="Courier New" w:hAnsi="Courier New" w:hint="default"/>
      </w:rPr>
    </w:lvl>
    <w:lvl w:ilvl="8" w:tplc="2940EF9C">
      <w:start w:val="1"/>
      <w:numFmt w:val="bullet"/>
      <w:lvlText w:val=""/>
      <w:lvlJc w:val="left"/>
      <w:pPr>
        <w:ind w:left="6480" w:hanging="360"/>
      </w:pPr>
      <w:rPr>
        <w:rFonts w:ascii="Wingdings" w:hAnsi="Wingdings" w:hint="default"/>
      </w:rPr>
    </w:lvl>
  </w:abstractNum>
  <w:abstractNum w:abstractNumId="32" w15:restartNumberingAfterBreak="0">
    <w:nsid w:val="2A2F1AE4"/>
    <w:multiLevelType w:val="hybridMultilevel"/>
    <w:tmpl w:val="3E9E9498"/>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B367D56"/>
    <w:multiLevelType w:val="multilevel"/>
    <w:tmpl w:val="02D06286"/>
    <w:lvl w:ilvl="0">
      <w:start w:val="1"/>
      <w:numFmt w:val="lowerRoman"/>
      <w:pStyle w:val="Style2"/>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2B7C60A8"/>
    <w:multiLevelType w:val="hybridMultilevel"/>
    <w:tmpl w:val="8F403776"/>
    <w:lvl w:ilvl="0" w:tplc="F530C8F0">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2EA9F56D"/>
    <w:multiLevelType w:val="hybridMultilevel"/>
    <w:tmpl w:val="9446A69A"/>
    <w:lvl w:ilvl="0" w:tplc="0242DBE2">
      <w:start w:val="1"/>
      <w:numFmt w:val="bullet"/>
      <w:lvlText w:val="·"/>
      <w:lvlJc w:val="left"/>
      <w:pPr>
        <w:ind w:left="720" w:hanging="360"/>
      </w:pPr>
      <w:rPr>
        <w:rFonts w:ascii="Symbol" w:hAnsi="Symbol" w:hint="default"/>
      </w:rPr>
    </w:lvl>
    <w:lvl w:ilvl="1" w:tplc="FBE04AC4">
      <w:start w:val="1"/>
      <w:numFmt w:val="bullet"/>
      <w:lvlText w:val="o"/>
      <w:lvlJc w:val="left"/>
      <w:pPr>
        <w:ind w:left="1440" w:hanging="360"/>
      </w:pPr>
      <w:rPr>
        <w:rFonts w:ascii="Courier New" w:hAnsi="Courier New" w:hint="default"/>
      </w:rPr>
    </w:lvl>
    <w:lvl w:ilvl="2" w:tplc="CAEA069C">
      <w:start w:val="1"/>
      <w:numFmt w:val="bullet"/>
      <w:lvlText w:val=""/>
      <w:lvlJc w:val="left"/>
      <w:pPr>
        <w:ind w:left="2160" w:hanging="360"/>
      </w:pPr>
      <w:rPr>
        <w:rFonts w:ascii="Wingdings" w:hAnsi="Wingdings" w:hint="default"/>
      </w:rPr>
    </w:lvl>
    <w:lvl w:ilvl="3" w:tplc="F738ACFA">
      <w:start w:val="1"/>
      <w:numFmt w:val="bullet"/>
      <w:lvlText w:val=""/>
      <w:lvlJc w:val="left"/>
      <w:pPr>
        <w:ind w:left="2880" w:hanging="360"/>
      </w:pPr>
      <w:rPr>
        <w:rFonts w:ascii="Symbol" w:hAnsi="Symbol" w:hint="default"/>
      </w:rPr>
    </w:lvl>
    <w:lvl w:ilvl="4" w:tplc="93B4FFEC">
      <w:start w:val="1"/>
      <w:numFmt w:val="bullet"/>
      <w:lvlText w:val="o"/>
      <w:lvlJc w:val="left"/>
      <w:pPr>
        <w:ind w:left="3600" w:hanging="360"/>
      </w:pPr>
      <w:rPr>
        <w:rFonts w:ascii="Courier New" w:hAnsi="Courier New" w:hint="default"/>
      </w:rPr>
    </w:lvl>
    <w:lvl w:ilvl="5" w:tplc="8A3C93A6">
      <w:start w:val="1"/>
      <w:numFmt w:val="bullet"/>
      <w:lvlText w:val=""/>
      <w:lvlJc w:val="left"/>
      <w:pPr>
        <w:ind w:left="4320" w:hanging="360"/>
      </w:pPr>
      <w:rPr>
        <w:rFonts w:ascii="Wingdings" w:hAnsi="Wingdings" w:hint="default"/>
      </w:rPr>
    </w:lvl>
    <w:lvl w:ilvl="6" w:tplc="B4F23222">
      <w:start w:val="1"/>
      <w:numFmt w:val="bullet"/>
      <w:lvlText w:val=""/>
      <w:lvlJc w:val="left"/>
      <w:pPr>
        <w:ind w:left="5040" w:hanging="360"/>
      </w:pPr>
      <w:rPr>
        <w:rFonts w:ascii="Symbol" w:hAnsi="Symbol" w:hint="default"/>
      </w:rPr>
    </w:lvl>
    <w:lvl w:ilvl="7" w:tplc="8B3C0B06">
      <w:start w:val="1"/>
      <w:numFmt w:val="bullet"/>
      <w:lvlText w:val="o"/>
      <w:lvlJc w:val="left"/>
      <w:pPr>
        <w:ind w:left="5760" w:hanging="360"/>
      </w:pPr>
      <w:rPr>
        <w:rFonts w:ascii="Courier New" w:hAnsi="Courier New" w:hint="default"/>
      </w:rPr>
    </w:lvl>
    <w:lvl w:ilvl="8" w:tplc="51F4660C">
      <w:start w:val="1"/>
      <w:numFmt w:val="bullet"/>
      <w:lvlText w:val=""/>
      <w:lvlJc w:val="left"/>
      <w:pPr>
        <w:ind w:left="6480" w:hanging="360"/>
      </w:pPr>
      <w:rPr>
        <w:rFonts w:ascii="Wingdings" w:hAnsi="Wingdings" w:hint="default"/>
      </w:rPr>
    </w:lvl>
  </w:abstractNum>
  <w:abstractNum w:abstractNumId="36" w15:restartNumberingAfterBreak="0">
    <w:nsid w:val="31566BCF"/>
    <w:multiLevelType w:val="multilevel"/>
    <w:tmpl w:val="2EF27DC8"/>
    <w:lvl w:ilvl="0">
      <w:start w:val="1"/>
      <w:numFmt w:val="decimal"/>
      <w:lvlText w:val="%1."/>
      <w:lvlJc w:val="left"/>
      <w:pPr>
        <w:ind w:left="360" w:hanging="360"/>
      </w:p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7" w15:restartNumberingAfterBreak="0">
    <w:nsid w:val="31D0FCC7"/>
    <w:multiLevelType w:val="hybridMultilevel"/>
    <w:tmpl w:val="FFFFFFFF"/>
    <w:lvl w:ilvl="0" w:tplc="D54C5B3C">
      <w:start w:val="1"/>
      <w:numFmt w:val="bullet"/>
      <w:lvlText w:val=""/>
      <w:lvlJc w:val="left"/>
      <w:pPr>
        <w:ind w:left="720" w:hanging="360"/>
      </w:pPr>
      <w:rPr>
        <w:rFonts w:ascii="Symbol" w:hAnsi="Symbol" w:hint="default"/>
      </w:rPr>
    </w:lvl>
    <w:lvl w:ilvl="1" w:tplc="8040A84C">
      <w:start w:val="1"/>
      <w:numFmt w:val="bullet"/>
      <w:lvlText w:val="o"/>
      <w:lvlJc w:val="left"/>
      <w:pPr>
        <w:ind w:left="1440" w:hanging="360"/>
      </w:pPr>
      <w:rPr>
        <w:rFonts w:ascii="Courier New" w:hAnsi="Courier New" w:hint="default"/>
      </w:rPr>
    </w:lvl>
    <w:lvl w:ilvl="2" w:tplc="F43A16CC">
      <w:start w:val="1"/>
      <w:numFmt w:val="bullet"/>
      <w:lvlText w:val=""/>
      <w:lvlJc w:val="left"/>
      <w:pPr>
        <w:ind w:left="2160" w:hanging="360"/>
      </w:pPr>
      <w:rPr>
        <w:rFonts w:ascii="Wingdings" w:hAnsi="Wingdings" w:hint="default"/>
      </w:rPr>
    </w:lvl>
    <w:lvl w:ilvl="3" w:tplc="13A4FE06">
      <w:start w:val="1"/>
      <w:numFmt w:val="bullet"/>
      <w:lvlText w:val=""/>
      <w:lvlJc w:val="left"/>
      <w:pPr>
        <w:ind w:left="2880" w:hanging="360"/>
      </w:pPr>
      <w:rPr>
        <w:rFonts w:ascii="Symbol" w:hAnsi="Symbol" w:hint="default"/>
      </w:rPr>
    </w:lvl>
    <w:lvl w:ilvl="4" w:tplc="D7E8745E">
      <w:start w:val="1"/>
      <w:numFmt w:val="bullet"/>
      <w:lvlText w:val="o"/>
      <w:lvlJc w:val="left"/>
      <w:pPr>
        <w:ind w:left="3600" w:hanging="360"/>
      </w:pPr>
      <w:rPr>
        <w:rFonts w:ascii="Courier New" w:hAnsi="Courier New" w:hint="default"/>
      </w:rPr>
    </w:lvl>
    <w:lvl w:ilvl="5" w:tplc="A16AEA74">
      <w:start w:val="1"/>
      <w:numFmt w:val="bullet"/>
      <w:lvlText w:val=""/>
      <w:lvlJc w:val="left"/>
      <w:pPr>
        <w:ind w:left="4320" w:hanging="360"/>
      </w:pPr>
      <w:rPr>
        <w:rFonts w:ascii="Wingdings" w:hAnsi="Wingdings" w:hint="default"/>
      </w:rPr>
    </w:lvl>
    <w:lvl w:ilvl="6" w:tplc="21B21038">
      <w:start w:val="1"/>
      <w:numFmt w:val="bullet"/>
      <w:lvlText w:val=""/>
      <w:lvlJc w:val="left"/>
      <w:pPr>
        <w:ind w:left="5040" w:hanging="360"/>
      </w:pPr>
      <w:rPr>
        <w:rFonts w:ascii="Symbol" w:hAnsi="Symbol" w:hint="default"/>
      </w:rPr>
    </w:lvl>
    <w:lvl w:ilvl="7" w:tplc="A16635FA">
      <w:start w:val="1"/>
      <w:numFmt w:val="bullet"/>
      <w:lvlText w:val="o"/>
      <w:lvlJc w:val="left"/>
      <w:pPr>
        <w:ind w:left="5760" w:hanging="360"/>
      </w:pPr>
      <w:rPr>
        <w:rFonts w:ascii="Courier New" w:hAnsi="Courier New" w:hint="default"/>
      </w:rPr>
    </w:lvl>
    <w:lvl w:ilvl="8" w:tplc="03DECD6A">
      <w:start w:val="1"/>
      <w:numFmt w:val="bullet"/>
      <w:lvlText w:val=""/>
      <w:lvlJc w:val="left"/>
      <w:pPr>
        <w:ind w:left="6480" w:hanging="360"/>
      </w:pPr>
      <w:rPr>
        <w:rFonts w:ascii="Wingdings" w:hAnsi="Wingdings" w:hint="default"/>
      </w:rPr>
    </w:lvl>
  </w:abstractNum>
  <w:abstractNum w:abstractNumId="38" w15:restartNumberingAfterBreak="0">
    <w:nsid w:val="33061AAA"/>
    <w:multiLevelType w:val="hybridMultilevel"/>
    <w:tmpl w:val="56BE3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3841A00"/>
    <w:multiLevelType w:val="hybridMultilevel"/>
    <w:tmpl w:val="44D056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33A91955"/>
    <w:multiLevelType w:val="hybridMultilevel"/>
    <w:tmpl w:val="24149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7880BDC"/>
    <w:multiLevelType w:val="hybridMultilevel"/>
    <w:tmpl w:val="7B5633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7D35446"/>
    <w:multiLevelType w:val="hybridMultilevel"/>
    <w:tmpl w:val="C70807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37D9DA23"/>
    <w:multiLevelType w:val="hybridMultilevel"/>
    <w:tmpl w:val="098A5FDC"/>
    <w:lvl w:ilvl="0" w:tplc="F89AF90A">
      <w:start w:val="1"/>
      <w:numFmt w:val="bullet"/>
      <w:lvlText w:val="·"/>
      <w:lvlJc w:val="left"/>
      <w:pPr>
        <w:ind w:left="720" w:hanging="360"/>
      </w:pPr>
      <w:rPr>
        <w:rFonts w:ascii="Symbol" w:hAnsi="Symbol" w:hint="default"/>
      </w:rPr>
    </w:lvl>
    <w:lvl w:ilvl="1" w:tplc="BC44F80A">
      <w:start w:val="1"/>
      <w:numFmt w:val="bullet"/>
      <w:lvlText w:val="o"/>
      <w:lvlJc w:val="left"/>
      <w:pPr>
        <w:ind w:left="1440" w:hanging="360"/>
      </w:pPr>
      <w:rPr>
        <w:rFonts w:ascii="Courier New" w:hAnsi="Courier New" w:hint="default"/>
      </w:rPr>
    </w:lvl>
    <w:lvl w:ilvl="2" w:tplc="2AF08222">
      <w:start w:val="1"/>
      <w:numFmt w:val="bullet"/>
      <w:lvlText w:val=""/>
      <w:lvlJc w:val="left"/>
      <w:pPr>
        <w:ind w:left="2160" w:hanging="360"/>
      </w:pPr>
      <w:rPr>
        <w:rFonts w:ascii="Wingdings" w:hAnsi="Wingdings" w:hint="default"/>
      </w:rPr>
    </w:lvl>
    <w:lvl w:ilvl="3" w:tplc="E3C47C26">
      <w:start w:val="1"/>
      <w:numFmt w:val="bullet"/>
      <w:lvlText w:val=""/>
      <w:lvlJc w:val="left"/>
      <w:pPr>
        <w:ind w:left="2880" w:hanging="360"/>
      </w:pPr>
      <w:rPr>
        <w:rFonts w:ascii="Symbol" w:hAnsi="Symbol" w:hint="default"/>
      </w:rPr>
    </w:lvl>
    <w:lvl w:ilvl="4" w:tplc="56C2C336">
      <w:start w:val="1"/>
      <w:numFmt w:val="bullet"/>
      <w:lvlText w:val="o"/>
      <w:lvlJc w:val="left"/>
      <w:pPr>
        <w:ind w:left="3600" w:hanging="360"/>
      </w:pPr>
      <w:rPr>
        <w:rFonts w:ascii="Courier New" w:hAnsi="Courier New" w:hint="default"/>
      </w:rPr>
    </w:lvl>
    <w:lvl w:ilvl="5" w:tplc="964209EE">
      <w:start w:val="1"/>
      <w:numFmt w:val="bullet"/>
      <w:lvlText w:val=""/>
      <w:lvlJc w:val="left"/>
      <w:pPr>
        <w:ind w:left="4320" w:hanging="360"/>
      </w:pPr>
      <w:rPr>
        <w:rFonts w:ascii="Wingdings" w:hAnsi="Wingdings" w:hint="default"/>
      </w:rPr>
    </w:lvl>
    <w:lvl w:ilvl="6" w:tplc="31F87C22">
      <w:start w:val="1"/>
      <w:numFmt w:val="bullet"/>
      <w:lvlText w:val=""/>
      <w:lvlJc w:val="left"/>
      <w:pPr>
        <w:ind w:left="5040" w:hanging="360"/>
      </w:pPr>
      <w:rPr>
        <w:rFonts w:ascii="Symbol" w:hAnsi="Symbol" w:hint="default"/>
      </w:rPr>
    </w:lvl>
    <w:lvl w:ilvl="7" w:tplc="90A6CB0C">
      <w:start w:val="1"/>
      <w:numFmt w:val="bullet"/>
      <w:lvlText w:val="o"/>
      <w:lvlJc w:val="left"/>
      <w:pPr>
        <w:ind w:left="5760" w:hanging="360"/>
      </w:pPr>
      <w:rPr>
        <w:rFonts w:ascii="Courier New" w:hAnsi="Courier New" w:hint="default"/>
      </w:rPr>
    </w:lvl>
    <w:lvl w:ilvl="8" w:tplc="3DB0F28E">
      <w:start w:val="1"/>
      <w:numFmt w:val="bullet"/>
      <w:lvlText w:val=""/>
      <w:lvlJc w:val="left"/>
      <w:pPr>
        <w:ind w:left="6480" w:hanging="360"/>
      </w:pPr>
      <w:rPr>
        <w:rFonts w:ascii="Wingdings" w:hAnsi="Wingdings" w:hint="default"/>
      </w:rPr>
    </w:lvl>
  </w:abstractNum>
  <w:abstractNum w:abstractNumId="44" w15:restartNumberingAfterBreak="0">
    <w:nsid w:val="391E0425"/>
    <w:multiLevelType w:val="hybridMultilevel"/>
    <w:tmpl w:val="D5827C3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984B932"/>
    <w:multiLevelType w:val="hybridMultilevel"/>
    <w:tmpl w:val="A0427FAC"/>
    <w:lvl w:ilvl="0" w:tplc="46FCB8FA">
      <w:start w:val="1"/>
      <w:numFmt w:val="bullet"/>
      <w:lvlText w:val="·"/>
      <w:lvlJc w:val="left"/>
      <w:pPr>
        <w:ind w:left="720" w:hanging="360"/>
      </w:pPr>
      <w:rPr>
        <w:rFonts w:ascii="Symbol" w:hAnsi="Symbol" w:hint="default"/>
      </w:rPr>
    </w:lvl>
    <w:lvl w:ilvl="1" w:tplc="0868CA6A">
      <w:start w:val="1"/>
      <w:numFmt w:val="bullet"/>
      <w:lvlText w:val="o"/>
      <w:lvlJc w:val="left"/>
      <w:pPr>
        <w:ind w:left="1440" w:hanging="360"/>
      </w:pPr>
      <w:rPr>
        <w:rFonts w:ascii="Courier New" w:hAnsi="Courier New" w:hint="default"/>
      </w:rPr>
    </w:lvl>
    <w:lvl w:ilvl="2" w:tplc="EC202098">
      <w:start w:val="1"/>
      <w:numFmt w:val="bullet"/>
      <w:lvlText w:val=""/>
      <w:lvlJc w:val="left"/>
      <w:pPr>
        <w:ind w:left="2160" w:hanging="360"/>
      </w:pPr>
      <w:rPr>
        <w:rFonts w:ascii="Wingdings" w:hAnsi="Wingdings" w:hint="default"/>
      </w:rPr>
    </w:lvl>
    <w:lvl w:ilvl="3" w:tplc="B478FEEA">
      <w:start w:val="1"/>
      <w:numFmt w:val="bullet"/>
      <w:lvlText w:val=""/>
      <w:lvlJc w:val="left"/>
      <w:pPr>
        <w:ind w:left="2880" w:hanging="360"/>
      </w:pPr>
      <w:rPr>
        <w:rFonts w:ascii="Symbol" w:hAnsi="Symbol" w:hint="default"/>
      </w:rPr>
    </w:lvl>
    <w:lvl w:ilvl="4" w:tplc="F656E3F2">
      <w:start w:val="1"/>
      <w:numFmt w:val="bullet"/>
      <w:lvlText w:val="o"/>
      <w:lvlJc w:val="left"/>
      <w:pPr>
        <w:ind w:left="3600" w:hanging="360"/>
      </w:pPr>
      <w:rPr>
        <w:rFonts w:ascii="Courier New" w:hAnsi="Courier New" w:hint="default"/>
      </w:rPr>
    </w:lvl>
    <w:lvl w:ilvl="5" w:tplc="766EE0B0">
      <w:start w:val="1"/>
      <w:numFmt w:val="bullet"/>
      <w:lvlText w:val=""/>
      <w:lvlJc w:val="left"/>
      <w:pPr>
        <w:ind w:left="4320" w:hanging="360"/>
      </w:pPr>
      <w:rPr>
        <w:rFonts w:ascii="Wingdings" w:hAnsi="Wingdings" w:hint="default"/>
      </w:rPr>
    </w:lvl>
    <w:lvl w:ilvl="6" w:tplc="4104C51E">
      <w:start w:val="1"/>
      <w:numFmt w:val="bullet"/>
      <w:lvlText w:val=""/>
      <w:lvlJc w:val="left"/>
      <w:pPr>
        <w:ind w:left="5040" w:hanging="360"/>
      </w:pPr>
      <w:rPr>
        <w:rFonts w:ascii="Symbol" w:hAnsi="Symbol" w:hint="default"/>
      </w:rPr>
    </w:lvl>
    <w:lvl w:ilvl="7" w:tplc="AF06182E">
      <w:start w:val="1"/>
      <w:numFmt w:val="bullet"/>
      <w:lvlText w:val="o"/>
      <w:lvlJc w:val="left"/>
      <w:pPr>
        <w:ind w:left="5760" w:hanging="360"/>
      </w:pPr>
      <w:rPr>
        <w:rFonts w:ascii="Courier New" w:hAnsi="Courier New" w:hint="default"/>
      </w:rPr>
    </w:lvl>
    <w:lvl w:ilvl="8" w:tplc="EB969EC6">
      <w:start w:val="1"/>
      <w:numFmt w:val="bullet"/>
      <w:lvlText w:val=""/>
      <w:lvlJc w:val="left"/>
      <w:pPr>
        <w:ind w:left="6480" w:hanging="360"/>
      </w:pPr>
      <w:rPr>
        <w:rFonts w:ascii="Wingdings" w:hAnsi="Wingdings" w:hint="default"/>
      </w:rPr>
    </w:lvl>
  </w:abstractNum>
  <w:abstractNum w:abstractNumId="46" w15:restartNumberingAfterBreak="0">
    <w:nsid w:val="3B5D1E6C"/>
    <w:multiLevelType w:val="hybridMultilevel"/>
    <w:tmpl w:val="4D0AE6AE"/>
    <w:lvl w:ilvl="0" w:tplc="30241F4A">
      <w:start w:val="1"/>
      <w:numFmt w:val="bullet"/>
      <w:lvlText w:val="·"/>
      <w:lvlJc w:val="left"/>
      <w:pPr>
        <w:ind w:left="720" w:hanging="360"/>
      </w:pPr>
      <w:rPr>
        <w:rFonts w:ascii="Symbol" w:hAnsi="Symbol" w:hint="default"/>
      </w:rPr>
    </w:lvl>
    <w:lvl w:ilvl="1" w:tplc="C728FEF4">
      <w:start w:val="1"/>
      <w:numFmt w:val="bullet"/>
      <w:lvlText w:val="o"/>
      <w:lvlJc w:val="left"/>
      <w:pPr>
        <w:ind w:left="1440" w:hanging="360"/>
      </w:pPr>
      <w:rPr>
        <w:rFonts w:ascii="Courier New" w:hAnsi="Courier New" w:hint="default"/>
      </w:rPr>
    </w:lvl>
    <w:lvl w:ilvl="2" w:tplc="77BC0998">
      <w:start w:val="1"/>
      <w:numFmt w:val="bullet"/>
      <w:lvlText w:val=""/>
      <w:lvlJc w:val="left"/>
      <w:pPr>
        <w:ind w:left="2160" w:hanging="360"/>
      </w:pPr>
      <w:rPr>
        <w:rFonts w:ascii="Wingdings" w:hAnsi="Wingdings" w:hint="default"/>
      </w:rPr>
    </w:lvl>
    <w:lvl w:ilvl="3" w:tplc="4602281E">
      <w:start w:val="1"/>
      <w:numFmt w:val="bullet"/>
      <w:lvlText w:val=""/>
      <w:lvlJc w:val="left"/>
      <w:pPr>
        <w:ind w:left="2880" w:hanging="360"/>
      </w:pPr>
      <w:rPr>
        <w:rFonts w:ascii="Symbol" w:hAnsi="Symbol" w:hint="default"/>
      </w:rPr>
    </w:lvl>
    <w:lvl w:ilvl="4" w:tplc="7C3C6BBC">
      <w:start w:val="1"/>
      <w:numFmt w:val="bullet"/>
      <w:lvlText w:val="o"/>
      <w:lvlJc w:val="left"/>
      <w:pPr>
        <w:ind w:left="3600" w:hanging="360"/>
      </w:pPr>
      <w:rPr>
        <w:rFonts w:ascii="Courier New" w:hAnsi="Courier New" w:hint="default"/>
      </w:rPr>
    </w:lvl>
    <w:lvl w:ilvl="5" w:tplc="A4CA4E2E">
      <w:start w:val="1"/>
      <w:numFmt w:val="bullet"/>
      <w:lvlText w:val=""/>
      <w:lvlJc w:val="left"/>
      <w:pPr>
        <w:ind w:left="4320" w:hanging="360"/>
      </w:pPr>
      <w:rPr>
        <w:rFonts w:ascii="Wingdings" w:hAnsi="Wingdings" w:hint="default"/>
      </w:rPr>
    </w:lvl>
    <w:lvl w:ilvl="6" w:tplc="A7AAA8D6">
      <w:start w:val="1"/>
      <w:numFmt w:val="bullet"/>
      <w:lvlText w:val=""/>
      <w:lvlJc w:val="left"/>
      <w:pPr>
        <w:ind w:left="5040" w:hanging="360"/>
      </w:pPr>
      <w:rPr>
        <w:rFonts w:ascii="Symbol" w:hAnsi="Symbol" w:hint="default"/>
      </w:rPr>
    </w:lvl>
    <w:lvl w:ilvl="7" w:tplc="9E220FEE">
      <w:start w:val="1"/>
      <w:numFmt w:val="bullet"/>
      <w:lvlText w:val="o"/>
      <w:lvlJc w:val="left"/>
      <w:pPr>
        <w:ind w:left="5760" w:hanging="360"/>
      </w:pPr>
      <w:rPr>
        <w:rFonts w:ascii="Courier New" w:hAnsi="Courier New" w:hint="default"/>
      </w:rPr>
    </w:lvl>
    <w:lvl w:ilvl="8" w:tplc="78749818">
      <w:start w:val="1"/>
      <w:numFmt w:val="bullet"/>
      <w:lvlText w:val=""/>
      <w:lvlJc w:val="left"/>
      <w:pPr>
        <w:ind w:left="6480" w:hanging="360"/>
      </w:pPr>
      <w:rPr>
        <w:rFonts w:ascii="Wingdings" w:hAnsi="Wingdings" w:hint="default"/>
      </w:rPr>
    </w:lvl>
  </w:abstractNum>
  <w:abstractNum w:abstractNumId="47" w15:restartNumberingAfterBreak="0">
    <w:nsid w:val="3C3DC16E"/>
    <w:multiLevelType w:val="hybridMultilevel"/>
    <w:tmpl w:val="FFFFFFFF"/>
    <w:lvl w:ilvl="0" w:tplc="7AC0AF82">
      <w:start w:val="1"/>
      <w:numFmt w:val="bullet"/>
      <w:lvlText w:val="·"/>
      <w:lvlJc w:val="left"/>
      <w:pPr>
        <w:ind w:left="720" w:hanging="360"/>
      </w:pPr>
      <w:rPr>
        <w:rFonts w:ascii="Symbol" w:hAnsi="Symbol" w:hint="default"/>
      </w:rPr>
    </w:lvl>
    <w:lvl w:ilvl="1" w:tplc="BA9C6CB6">
      <w:start w:val="1"/>
      <w:numFmt w:val="bullet"/>
      <w:lvlText w:val="o"/>
      <w:lvlJc w:val="left"/>
      <w:pPr>
        <w:ind w:left="1440" w:hanging="360"/>
      </w:pPr>
      <w:rPr>
        <w:rFonts w:ascii="Courier New" w:hAnsi="Courier New" w:hint="default"/>
      </w:rPr>
    </w:lvl>
    <w:lvl w:ilvl="2" w:tplc="DFC29F6E">
      <w:start w:val="1"/>
      <w:numFmt w:val="bullet"/>
      <w:lvlText w:val=""/>
      <w:lvlJc w:val="left"/>
      <w:pPr>
        <w:ind w:left="2160" w:hanging="360"/>
      </w:pPr>
      <w:rPr>
        <w:rFonts w:ascii="Wingdings" w:hAnsi="Wingdings" w:hint="default"/>
      </w:rPr>
    </w:lvl>
    <w:lvl w:ilvl="3" w:tplc="D234D3E8">
      <w:start w:val="1"/>
      <w:numFmt w:val="bullet"/>
      <w:lvlText w:val=""/>
      <w:lvlJc w:val="left"/>
      <w:pPr>
        <w:ind w:left="2880" w:hanging="360"/>
      </w:pPr>
      <w:rPr>
        <w:rFonts w:ascii="Symbol" w:hAnsi="Symbol" w:hint="default"/>
      </w:rPr>
    </w:lvl>
    <w:lvl w:ilvl="4" w:tplc="2514DCA0">
      <w:start w:val="1"/>
      <w:numFmt w:val="bullet"/>
      <w:lvlText w:val="o"/>
      <w:lvlJc w:val="left"/>
      <w:pPr>
        <w:ind w:left="3600" w:hanging="360"/>
      </w:pPr>
      <w:rPr>
        <w:rFonts w:ascii="Courier New" w:hAnsi="Courier New" w:hint="default"/>
      </w:rPr>
    </w:lvl>
    <w:lvl w:ilvl="5" w:tplc="924E2D5C">
      <w:start w:val="1"/>
      <w:numFmt w:val="bullet"/>
      <w:lvlText w:val=""/>
      <w:lvlJc w:val="left"/>
      <w:pPr>
        <w:ind w:left="4320" w:hanging="360"/>
      </w:pPr>
      <w:rPr>
        <w:rFonts w:ascii="Wingdings" w:hAnsi="Wingdings" w:hint="default"/>
      </w:rPr>
    </w:lvl>
    <w:lvl w:ilvl="6" w:tplc="82AC780A">
      <w:start w:val="1"/>
      <w:numFmt w:val="bullet"/>
      <w:lvlText w:val=""/>
      <w:lvlJc w:val="left"/>
      <w:pPr>
        <w:ind w:left="5040" w:hanging="360"/>
      </w:pPr>
      <w:rPr>
        <w:rFonts w:ascii="Symbol" w:hAnsi="Symbol" w:hint="default"/>
      </w:rPr>
    </w:lvl>
    <w:lvl w:ilvl="7" w:tplc="75AEF674">
      <w:start w:val="1"/>
      <w:numFmt w:val="bullet"/>
      <w:lvlText w:val="o"/>
      <w:lvlJc w:val="left"/>
      <w:pPr>
        <w:ind w:left="5760" w:hanging="360"/>
      </w:pPr>
      <w:rPr>
        <w:rFonts w:ascii="Courier New" w:hAnsi="Courier New" w:hint="default"/>
      </w:rPr>
    </w:lvl>
    <w:lvl w:ilvl="8" w:tplc="67D60DAC">
      <w:start w:val="1"/>
      <w:numFmt w:val="bullet"/>
      <w:lvlText w:val=""/>
      <w:lvlJc w:val="left"/>
      <w:pPr>
        <w:ind w:left="6480" w:hanging="360"/>
      </w:pPr>
      <w:rPr>
        <w:rFonts w:ascii="Wingdings" w:hAnsi="Wingdings" w:hint="default"/>
      </w:rPr>
    </w:lvl>
  </w:abstractNum>
  <w:abstractNum w:abstractNumId="48" w15:restartNumberingAfterBreak="0">
    <w:nsid w:val="3D571E81"/>
    <w:multiLevelType w:val="hybridMultilevel"/>
    <w:tmpl w:val="FFFFFFFF"/>
    <w:lvl w:ilvl="0" w:tplc="C9E4A5BE">
      <w:start w:val="1"/>
      <w:numFmt w:val="bullet"/>
      <w:lvlText w:val="·"/>
      <w:lvlJc w:val="left"/>
      <w:pPr>
        <w:ind w:left="720" w:hanging="360"/>
      </w:pPr>
      <w:rPr>
        <w:rFonts w:ascii="Symbol" w:hAnsi="Symbol" w:hint="default"/>
      </w:rPr>
    </w:lvl>
    <w:lvl w:ilvl="1" w:tplc="0E96FC26">
      <w:start w:val="1"/>
      <w:numFmt w:val="bullet"/>
      <w:lvlText w:val="o"/>
      <w:lvlJc w:val="left"/>
      <w:pPr>
        <w:ind w:left="1440" w:hanging="360"/>
      </w:pPr>
      <w:rPr>
        <w:rFonts w:ascii="Courier New" w:hAnsi="Courier New" w:hint="default"/>
      </w:rPr>
    </w:lvl>
    <w:lvl w:ilvl="2" w:tplc="F530C8F0">
      <w:start w:val="1"/>
      <w:numFmt w:val="bullet"/>
      <w:lvlText w:val=""/>
      <w:lvlJc w:val="left"/>
      <w:pPr>
        <w:ind w:left="2160" w:hanging="360"/>
      </w:pPr>
      <w:rPr>
        <w:rFonts w:ascii="Wingdings" w:hAnsi="Wingdings" w:hint="default"/>
      </w:rPr>
    </w:lvl>
    <w:lvl w:ilvl="3" w:tplc="4C1AFB5E">
      <w:start w:val="1"/>
      <w:numFmt w:val="bullet"/>
      <w:lvlText w:val=""/>
      <w:lvlJc w:val="left"/>
      <w:pPr>
        <w:ind w:left="2880" w:hanging="360"/>
      </w:pPr>
      <w:rPr>
        <w:rFonts w:ascii="Symbol" w:hAnsi="Symbol" w:hint="default"/>
      </w:rPr>
    </w:lvl>
    <w:lvl w:ilvl="4" w:tplc="F9DACB3E">
      <w:start w:val="1"/>
      <w:numFmt w:val="bullet"/>
      <w:lvlText w:val="o"/>
      <w:lvlJc w:val="left"/>
      <w:pPr>
        <w:ind w:left="3600" w:hanging="360"/>
      </w:pPr>
      <w:rPr>
        <w:rFonts w:ascii="Courier New" w:hAnsi="Courier New" w:hint="default"/>
      </w:rPr>
    </w:lvl>
    <w:lvl w:ilvl="5" w:tplc="B106D3C6">
      <w:start w:val="1"/>
      <w:numFmt w:val="bullet"/>
      <w:lvlText w:val=""/>
      <w:lvlJc w:val="left"/>
      <w:pPr>
        <w:ind w:left="4320" w:hanging="360"/>
      </w:pPr>
      <w:rPr>
        <w:rFonts w:ascii="Wingdings" w:hAnsi="Wingdings" w:hint="default"/>
      </w:rPr>
    </w:lvl>
    <w:lvl w:ilvl="6" w:tplc="073E3A26">
      <w:start w:val="1"/>
      <w:numFmt w:val="bullet"/>
      <w:lvlText w:val=""/>
      <w:lvlJc w:val="left"/>
      <w:pPr>
        <w:ind w:left="5040" w:hanging="360"/>
      </w:pPr>
      <w:rPr>
        <w:rFonts w:ascii="Symbol" w:hAnsi="Symbol" w:hint="default"/>
      </w:rPr>
    </w:lvl>
    <w:lvl w:ilvl="7" w:tplc="4F340202">
      <w:start w:val="1"/>
      <w:numFmt w:val="bullet"/>
      <w:lvlText w:val="o"/>
      <w:lvlJc w:val="left"/>
      <w:pPr>
        <w:ind w:left="5760" w:hanging="360"/>
      </w:pPr>
      <w:rPr>
        <w:rFonts w:ascii="Courier New" w:hAnsi="Courier New" w:hint="default"/>
      </w:rPr>
    </w:lvl>
    <w:lvl w:ilvl="8" w:tplc="4B7A0018">
      <w:start w:val="1"/>
      <w:numFmt w:val="bullet"/>
      <w:lvlText w:val=""/>
      <w:lvlJc w:val="left"/>
      <w:pPr>
        <w:ind w:left="6480" w:hanging="360"/>
      </w:pPr>
      <w:rPr>
        <w:rFonts w:ascii="Wingdings" w:hAnsi="Wingdings" w:hint="default"/>
      </w:rPr>
    </w:lvl>
  </w:abstractNum>
  <w:abstractNum w:abstractNumId="49" w15:restartNumberingAfterBreak="0">
    <w:nsid w:val="3E15567E"/>
    <w:multiLevelType w:val="hybridMultilevel"/>
    <w:tmpl w:val="9482B30E"/>
    <w:lvl w:ilvl="0" w:tplc="AC04A8FE">
      <w:start w:val="1"/>
      <w:numFmt w:val="bullet"/>
      <w:lvlText w:val="·"/>
      <w:lvlJc w:val="left"/>
      <w:pPr>
        <w:ind w:left="720" w:hanging="360"/>
      </w:pPr>
      <w:rPr>
        <w:rFonts w:ascii="Symbol" w:hAnsi="Symbol" w:hint="default"/>
      </w:rPr>
    </w:lvl>
    <w:lvl w:ilvl="1" w:tplc="BFA00914">
      <w:start w:val="1"/>
      <w:numFmt w:val="bullet"/>
      <w:lvlText w:val="o"/>
      <w:lvlJc w:val="left"/>
      <w:pPr>
        <w:ind w:left="1440" w:hanging="360"/>
      </w:pPr>
      <w:rPr>
        <w:rFonts w:ascii="Courier New" w:hAnsi="Courier New" w:hint="default"/>
      </w:rPr>
    </w:lvl>
    <w:lvl w:ilvl="2" w:tplc="9BA0E6D0">
      <w:start w:val="1"/>
      <w:numFmt w:val="bullet"/>
      <w:lvlText w:val=""/>
      <w:lvlJc w:val="left"/>
      <w:pPr>
        <w:ind w:left="2160" w:hanging="360"/>
      </w:pPr>
      <w:rPr>
        <w:rFonts w:ascii="Wingdings" w:hAnsi="Wingdings" w:hint="default"/>
      </w:rPr>
    </w:lvl>
    <w:lvl w:ilvl="3" w:tplc="3A1E0786">
      <w:start w:val="1"/>
      <w:numFmt w:val="bullet"/>
      <w:lvlText w:val=""/>
      <w:lvlJc w:val="left"/>
      <w:pPr>
        <w:ind w:left="2880" w:hanging="360"/>
      </w:pPr>
      <w:rPr>
        <w:rFonts w:ascii="Symbol" w:hAnsi="Symbol" w:hint="default"/>
      </w:rPr>
    </w:lvl>
    <w:lvl w:ilvl="4" w:tplc="F67A4670">
      <w:start w:val="1"/>
      <w:numFmt w:val="bullet"/>
      <w:lvlText w:val="o"/>
      <w:lvlJc w:val="left"/>
      <w:pPr>
        <w:ind w:left="3600" w:hanging="360"/>
      </w:pPr>
      <w:rPr>
        <w:rFonts w:ascii="Courier New" w:hAnsi="Courier New" w:hint="default"/>
      </w:rPr>
    </w:lvl>
    <w:lvl w:ilvl="5" w:tplc="BE4C0160">
      <w:start w:val="1"/>
      <w:numFmt w:val="bullet"/>
      <w:lvlText w:val=""/>
      <w:lvlJc w:val="left"/>
      <w:pPr>
        <w:ind w:left="4320" w:hanging="360"/>
      </w:pPr>
      <w:rPr>
        <w:rFonts w:ascii="Wingdings" w:hAnsi="Wingdings" w:hint="default"/>
      </w:rPr>
    </w:lvl>
    <w:lvl w:ilvl="6" w:tplc="37B21E5C">
      <w:start w:val="1"/>
      <w:numFmt w:val="bullet"/>
      <w:lvlText w:val=""/>
      <w:lvlJc w:val="left"/>
      <w:pPr>
        <w:ind w:left="5040" w:hanging="360"/>
      </w:pPr>
      <w:rPr>
        <w:rFonts w:ascii="Symbol" w:hAnsi="Symbol" w:hint="default"/>
      </w:rPr>
    </w:lvl>
    <w:lvl w:ilvl="7" w:tplc="1292B38E">
      <w:start w:val="1"/>
      <w:numFmt w:val="bullet"/>
      <w:lvlText w:val="o"/>
      <w:lvlJc w:val="left"/>
      <w:pPr>
        <w:ind w:left="5760" w:hanging="360"/>
      </w:pPr>
      <w:rPr>
        <w:rFonts w:ascii="Courier New" w:hAnsi="Courier New" w:hint="default"/>
      </w:rPr>
    </w:lvl>
    <w:lvl w:ilvl="8" w:tplc="04F6AD58">
      <w:start w:val="1"/>
      <w:numFmt w:val="bullet"/>
      <w:lvlText w:val=""/>
      <w:lvlJc w:val="left"/>
      <w:pPr>
        <w:ind w:left="6480" w:hanging="360"/>
      </w:pPr>
      <w:rPr>
        <w:rFonts w:ascii="Wingdings" w:hAnsi="Wingdings" w:hint="default"/>
      </w:rPr>
    </w:lvl>
  </w:abstractNum>
  <w:abstractNum w:abstractNumId="50" w15:restartNumberingAfterBreak="0">
    <w:nsid w:val="3E6B400A"/>
    <w:multiLevelType w:val="multilevel"/>
    <w:tmpl w:val="0404874C"/>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51" w15:restartNumberingAfterBreak="0">
    <w:nsid w:val="3EFC43E9"/>
    <w:multiLevelType w:val="hybridMultilevel"/>
    <w:tmpl w:val="FFFFFFFF"/>
    <w:lvl w:ilvl="0" w:tplc="5F084E98">
      <w:start w:val="1"/>
      <w:numFmt w:val="bullet"/>
      <w:lvlText w:val="·"/>
      <w:lvlJc w:val="left"/>
      <w:pPr>
        <w:ind w:left="720" w:hanging="360"/>
      </w:pPr>
      <w:rPr>
        <w:rFonts w:ascii="Symbol" w:hAnsi="Symbol" w:hint="default"/>
      </w:rPr>
    </w:lvl>
    <w:lvl w:ilvl="1" w:tplc="8D348E70">
      <w:start w:val="1"/>
      <w:numFmt w:val="bullet"/>
      <w:lvlText w:val="o"/>
      <w:lvlJc w:val="left"/>
      <w:pPr>
        <w:ind w:left="1440" w:hanging="360"/>
      </w:pPr>
      <w:rPr>
        <w:rFonts w:ascii="Courier New" w:hAnsi="Courier New" w:hint="default"/>
      </w:rPr>
    </w:lvl>
    <w:lvl w:ilvl="2" w:tplc="E6667626">
      <w:start w:val="1"/>
      <w:numFmt w:val="bullet"/>
      <w:lvlText w:val=""/>
      <w:lvlJc w:val="left"/>
      <w:pPr>
        <w:ind w:left="2160" w:hanging="360"/>
      </w:pPr>
      <w:rPr>
        <w:rFonts w:ascii="Wingdings" w:hAnsi="Wingdings" w:hint="default"/>
      </w:rPr>
    </w:lvl>
    <w:lvl w:ilvl="3" w:tplc="EC8EBD78">
      <w:start w:val="1"/>
      <w:numFmt w:val="bullet"/>
      <w:lvlText w:val=""/>
      <w:lvlJc w:val="left"/>
      <w:pPr>
        <w:ind w:left="2880" w:hanging="360"/>
      </w:pPr>
      <w:rPr>
        <w:rFonts w:ascii="Symbol" w:hAnsi="Symbol" w:hint="default"/>
      </w:rPr>
    </w:lvl>
    <w:lvl w:ilvl="4" w:tplc="593CC67C">
      <w:start w:val="1"/>
      <w:numFmt w:val="bullet"/>
      <w:lvlText w:val="o"/>
      <w:lvlJc w:val="left"/>
      <w:pPr>
        <w:ind w:left="3600" w:hanging="360"/>
      </w:pPr>
      <w:rPr>
        <w:rFonts w:ascii="Courier New" w:hAnsi="Courier New" w:hint="default"/>
      </w:rPr>
    </w:lvl>
    <w:lvl w:ilvl="5" w:tplc="1B701AF0">
      <w:start w:val="1"/>
      <w:numFmt w:val="bullet"/>
      <w:lvlText w:val=""/>
      <w:lvlJc w:val="left"/>
      <w:pPr>
        <w:ind w:left="4320" w:hanging="360"/>
      </w:pPr>
      <w:rPr>
        <w:rFonts w:ascii="Wingdings" w:hAnsi="Wingdings" w:hint="default"/>
      </w:rPr>
    </w:lvl>
    <w:lvl w:ilvl="6" w:tplc="E2D0DCB6">
      <w:start w:val="1"/>
      <w:numFmt w:val="bullet"/>
      <w:lvlText w:val=""/>
      <w:lvlJc w:val="left"/>
      <w:pPr>
        <w:ind w:left="5040" w:hanging="360"/>
      </w:pPr>
      <w:rPr>
        <w:rFonts w:ascii="Symbol" w:hAnsi="Symbol" w:hint="default"/>
      </w:rPr>
    </w:lvl>
    <w:lvl w:ilvl="7" w:tplc="C09A783C">
      <w:start w:val="1"/>
      <w:numFmt w:val="bullet"/>
      <w:lvlText w:val="o"/>
      <w:lvlJc w:val="left"/>
      <w:pPr>
        <w:ind w:left="5760" w:hanging="360"/>
      </w:pPr>
      <w:rPr>
        <w:rFonts w:ascii="Courier New" w:hAnsi="Courier New" w:hint="default"/>
      </w:rPr>
    </w:lvl>
    <w:lvl w:ilvl="8" w:tplc="14BAA930">
      <w:start w:val="1"/>
      <w:numFmt w:val="bullet"/>
      <w:lvlText w:val=""/>
      <w:lvlJc w:val="left"/>
      <w:pPr>
        <w:ind w:left="6480" w:hanging="360"/>
      </w:pPr>
      <w:rPr>
        <w:rFonts w:ascii="Wingdings" w:hAnsi="Wingdings" w:hint="default"/>
      </w:rPr>
    </w:lvl>
  </w:abstractNum>
  <w:abstractNum w:abstractNumId="52" w15:restartNumberingAfterBreak="0">
    <w:nsid w:val="40DF7F78"/>
    <w:multiLevelType w:val="hybridMultilevel"/>
    <w:tmpl w:val="DE00450A"/>
    <w:lvl w:ilvl="0" w:tplc="1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41C15043"/>
    <w:multiLevelType w:val="hybridMultilevel"/>
    <w:tmpl w:val="FFFFFFFF"/>
    <w:lvl w:ilvl="0" w:tplc="CCD6C528">
      <w:start w:val="1"/>
      <w:numFmt w:val="bullet"/>
      <w:lvlText w:val="·"/>
      <w:lvlJc w:val="left"/>
      <w:pPr>
        <w:ind w:left="720" w:hanging="360"/>
      </w:pPr>
      <w:rPr>
        <w:rFonts w:ascii="Symbol" w:hAnsi="Symbol" w:hint="default"/>
      </w:rPr>
    </w:lvl>
    <w:lvl w:ilvl="1" w:tplc="38269934">
      <w:start w:val="1"/>
      <w:numFmt w:val="bullet"/>
      <w:lvlText w:val="o"/>
      <w:lvlJc w:val="left"/>
      <w:pPr>
        <w:ind w:left="1440" w:hanging="360"/>
      </w:pPr>
      <w:rPr>
        <w:rFonts w:ascii="Courier New" w:hAnsi="Courier New" w:hint="default"/>
      </w:rPr>
    </w:lvl>
    <w:lvl w:ilvl="2" w:tplc="F32C7626">
      <w:start w:val="1"/>
      <w:numFmt w:val="bullet"/>
      <w:lvlText w:val=""/>
      <w:lvlJc w:val="left"/>
      <w:pPr>
        <w:ind w:left="2160" w:hanging="360"/>
      </w:pPr>
      <w:rPr>
        <w:rFonts w:ascii="Wingdings" w:hAnsi="Wingdings" w:hint="default"/>
      </w:rPr>
    </w:lvl>
    <w:lvl w:ilvl="3" w:tplc="EAF8DFEA">
      <w:start w:val="1"/>
      <w:numFmt w:val="bullet"/>
      <w:lvlText w:val=""/>
      <w:lvlJc w:val="left"/>
      <w:pPr>
        <w:ind w:left="2880" w:hanging="360"/>
      </w:pPr>
      <w:rPr>
        <w:rFonts w:ascii="Symbol" w:hAnsi="Symbol" w:hint="default"/>
      </w:rPr>
    </w:lvl>
    <w:lvl w:ilvl="4" w:tplc="A35204C0">
      <w:start w:val="1"/>
      <w:numFmt w:val="bullet"/>
      <w:lvlText w:val="o"/>
      <w:lvlJc w:val="left"/>
      <w:pPr>
        <w:ind w:left="3600" w:hanging="360"/>
      </w:pPr>
      <w:rPr>
        <w:rFonts w:ascii="Courier New" w:hAnsi="Courier New" w:hint="default"/>
      </w:rPr>
    </w:lvl>
    <w:lvl w:ilvl="5" w:tplc="A72AA70A">
      <w:start w:val="1"/>
      <w:numFmt w:val="bullet"/>
      <w:lvlText w:val=""/>
      <w:lvlJc w:val="left"/>
      <w:pPr>
        <w:ind w:left="4320" w:hanging="360"/>
      </w:pPr>
      <w:rPr>
        <w:rFonts w:ascii="Wingdings" w:hAnsi="Wingdings" w:hint="default"/>
      </w:rPr>
    </w:lvl>
    <w:lvl w:ilvl="6" w:tplc="A82C25F6">
      <w:start w:val="1"/>
      <w:numFmt w:val="bullet"/>
      <w:lvlText w:val=""/>
      <w:lvlJc w:val="left"/>
      <w:pPr>
        <w:ind w:left="5040" w:hanging="360"/>
      </w:pPr>
      <w:rPr>
        <w:rFonts w:ascii="Symbol" w:hAnsi="Symbol" w:hint="default"/>
      </w:rPr>
    </w:lvl>
    <w:lvl w:ilvl="7" w:tplc="C2F860E2">
      <w:start w:val="1"/>
      <w:numFmt w:val="bullet"/>
      <w:lvlText w:val="o"/>
      <w:lvlJc w:val="left"/>
      <w:pPr>
        <w:ind w:left="5760" w:hanging="360"/>
      </w:pPr>
      <w:rPr>
        <w:rFonts w:ascii="Courier New" w:hAnsi="Courier New" w:hint="default"/>
      </w:rPr>
    </w:lvl>
    <w:lvl w:ilvl="8" w:tplc="36FA8A52">
      <w:start w:val="1"/>
      <w:numFmt w:val="bullet"/>
      <w:lvlText w:val=""/>
      <w:lvlJc w:val="left"/>
      <w:pPr>
        <w:ind w:left="6480" w:hanging="360"/>
      </w:pPr>
      <w:rPr>
        <w:rFonts w:ascii="Wingdings" w:hAnsi="Wingdings" w:hint="default"/>
      </w:rPr>
    </w:lvl>
  </w:abstractNum>
  <w:abstractNum w:abstractNumId="54" w15:restartNumberingAfterBreak="0">
    <w:nsid w:val="43BA843D"/>
    <w:multiLevelType w:val="hybridMultilevel"/>
    <w:tmpl w:val="4B7A172C"/>
    <w:lvl w:ilvl="0" w:tplc="3746C644">
      <w:start w:val="1"/>
      <w:numFmt w:val="bullet"/>
      <w:lvlText w:val="·"/>
      <w:lvlJc w:val="left"/>
      <w:pPr>
        <w:ind w:left="720" w:hanging="360"/>
      </w:pPr>
      <w:rPr>
        <w:rFonts w:ascii="Symbol" w:hAnsi="Symbol" w:hint="default"/>
      </w:rPr>
    </w:lvl>
    <w:lvl w:ilvl="1" w:tplc="CB6EDA32">
      <w:start w:val="1"/>
      <w:numFmt w:val="bullet"/>
      <w:lvlText w:val="o"/>
      <w:lvlJc w:val="left"/>
      <w:pPr>
        <w:ind w:left="1440" w:hanging="360"/>
      </w:pPr>
      <w:rPr>
        <w:rFonts w:ascii="Courier New" w:hAnsi="Courier New" w:hint="default"/>
      </w:rPr>
    </w:lvl>
    <w:lvl w:ilvl="2" w:tplc="4E966A1A">
      <w:start w:val="1"/>
      <w:numFmt w:val="bullet"/>
      <w:lvlText w:val=""/>
      <w:lvlJc w:val="left"/>
      <w:pPr>
        <w:ind w:left="2160" w:hanging="360"/>
      </w:pPr>
      <w:rPr>
        <w:rFonts w:ascii="Wingdings" w:hAnsi="Wingdings" w:hint="default"/>
      </w:rPr>
    </w:lvl>
    <w:lvl w:ilvl="3" w:tplc="C680ADD4">
      <w:start w:val="1"/>
      <w:numFmt w:val="bullet"/>
      <w:lvlText w:val=""/>
      <w:lvlJc w:val="left"/>
      <w:pPr>
        <w:ind w:left="2880" w:hanging="360"/>
      </w:pPr>
      <w:rPr>
        <w:rFonts w:ascii="Symbol" w:hAnsi="Symbol" w:hint="default"/>
      </w:rPr>
    </w:lvl>
    <w:lvl w:ilvl="4" w:tplc="223A73AE">
      <w:start w:val="1"/>
      <w:numFmt w:val="bullet"/>
      <w:lvlText w:val="o"/>
      <w:lvlJc w:val="left"/>
      <w:pPr>
        <w:ind w:left="3600" w:hanging="360"/>
      </w:pPr>
      <w:rPr>
        <w:rFonts w:ascii="Courier New" w:hAnsi="Courier New" w:hint="default"/>
      </w:rPr>
    </w:lvl>
    <w:lvl w:ilvl="5" w:tplc="518E179A">
      <w:start w:val="1"/>
      <w:numFmt w:val="bullet"/>
      <w:lvlText w:val=""/>
      <w:lvlJc w:val="left"/>
      <w:pPr>
        <w:ind w:left="4320" w:hanging="360"/>
      </w:pPr>
      <w:rPr>
        <w:rFonts w:ascii="Wingdings" w:hAnsi="Wingdings" w:hint="default"/>
      </w:rPr>
    </w:lvl>
    <w:lvl w:ilvl="6" w:tplc="C6D8C432">
      <w:start w:val="1"/>
      <w:numFmt w:val="bullet"/>
      <w:lvlText w:val=""/>
      <w:lvlJc w:val="left"/>
      <w:pPr>
        <w:ind w:left="5040" w:hanging="360"/>
      </w:pPr>
      <w:rPr>
        <w:rFonts w:ascii="Symbol" w:hAnsi="Symbol" w:hint="default"/>
      </w:rPr>
    </w:lvl>
    <w:lvl w:ilvl="7" w:tplc="29EC8DF2">
      <w:start w:val="1"/>
      <w:numFmt w:val="bullet"/>
      <w:lvlText w:val="o"/>
      <w:lvlJc w:val="left"/>
      <w:pPr>
        <w:ind w:left="5760" w:hanging="360"/>
      </w:pPr>
      <w:rPr>
        <w:rFonts w:ascii="Courier New" w:hAnsi="Courier New" w:hint="default"/>
      </w:rPr>
    </w:lvl>
    <w:lvl w:ilvl="8" w:tplc="FF981374">
      <w:start w:val="1"/>
      <w:numFmt w:val="bullet"/>
      <w:lvlText w:val=""/>
      <w:lvlJc w:val="left"/>
      <w:pPr>
        <w:ind w:left="6480" w:hanging="360"/>
      </w:pPr>
      <w:rPr>
        <w:rFonts w:ascii="Wingdings" w:hAnsi="Wingdings" w:hint="default"/>
      </w:rPr>
    </w:lvl>
  </w:abstractNum>
  <w:abstractNum w:abstractNumId="55" w15:restartNumberingAfterBreak="0">
    <w:nsid w:val="43CC1F58"/>
    <w:multiLevelType w:val="hybridMultilevel"/>
    <w:tmpl w:val="6AE66A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4F70DCE"/>
    <w:multiLevelType w:val="hybridMultilevel"/>
    <w:tmpl w:val="74FA2F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477D98B7"/>
    <w:multiLevelType w:val="hybridMultilevel"/>
    <w:tmpl w:val="6E06751A"/>
    <w:lvl w:ilvl="0" w:tplc="D34248A8">
      <w:start w:val="1"/>
      <w:numFmt w:val="bullet"/>
      <w:lvlText w:val="·"/>
      <w:lvlJc w:val="left"/>
      <w:pPr>
        <w:ind w:left="720" w:hanging="360"/>
      </w:pPr>
      <w:rPr>
        <w:rFonts w:ascii="Symbol" w:hAnsi="Symbol" w:hint="default"/>
      </w:rPr>
    </w:lvl>
    <w:lvl w:ilvl="1" w:tplc="B4C4464A">
      <w:start w:val="1"/>
      <w:numFmt w:val="bullet"/>
      <w:lvlText w:val="o"/>
      <w:lvlJc w:val="left"/>
      <w:pPr>
        <w:ind w:left="1440" w:hanging="360"/>
      </w:pPr>
      <w:rPr>
        <w:rFonts w:ascii="Courier New" w:hAnsi="Courier New" w:hint="default"/>
      </w:rPr>
    </w:lvl>
    <w:lvl w:ilvl="2" w:tplc="021AD9C6">
      <w:start w:val="1"/>
      <w:numFmt w:val="bullet"/>
      <w:lvlText w:val=""/>
      <w:lvlJc w:val="left"/>
      <w:pPr>
        <w:ind w:left="2160" w:hanging="360"/>
      </w:pPr>
      <w:rPr>
        <w:rFonts w:ascii="Wingdings" w:hAnsi="Wingdings" w:hint="default"/>
      </w:rPr>
    </w:lvl>
    <w:lvl w:ilvl="3" w:tplc="2300FA2E">
      <w:start w:val="1"/>
      <w:numFmt w:val="bullet"/>
      <w:lvlText w:val=""/>
      <w:lvlJc w:val="left"/>
      <w:pPr>
        <w:ind w:left="2880" w:hanging="360"/>
      </w:pPr>
      <w:rPr>
        <w:rFonts w:ascii="Symbol" w:hAnsi="Symbol" w:hint="default"/>
      </w:rPr>
    </w:lvl>
    <w:lvl w:ilvl="4" w:tplc="5E9C0878">
      <w:start w:val="1"/>
      <w:numFmt w:val="bullet"/>
      <w:lvlText w:val="o"/>
      <w:lvlJc w:val="left"/>
      <w:pPr>
        <w:ind w:left="3600" w:hanging="360"/>
      </w:pPr>
      <w:rPr>
        <w:rFonts w:ascii="Courier New" w:hAnsi="Courier New" w:hint="default"/>
      </w:rPr>
    </w:lvl>
    <w:lvl w:ilvl="5" w:tplc="619879C0">
      <w:start w:val="1"/>
      <w:numFmt w:val="bullet"/>
      <w:lvlText w:val=""/>
      <w:lvlJc w:val="left"/>
      <w:pPr>
        <w:ind w:left="4320" w:hanging="360"/>
      </w:pPr>
      <w:rPr>
        <w:rFonts w:ascii="Wingdings" w:hAnsi="Wingdings" w:hint="default"/>
      </w:rPr>
    </w:lvl>
    <w:lvl w:ilvl="6" w:tplc="15604830">
      <w:start w:val="1"/>
      <w:numFmt w:val="bullet"/>
      <w:lvlText w:val=""/>
      <w:lvlJc w:val="left"/>
      <w:pPr>
        <w:ind w:left="5040" w:hanging="360"/>
      </w:pPr>
      <w:rPr>
        <w:rFonts w:ascii="Symbol" w:hAnsi="Symbol" w:hint="default"/>
      </w:rPr>
    </w:lvl>
    <w:lvl w:ilvl="7" w:tplc="C0A2AA1C">
      <w:start w:val="1"/>
      <w:numFmt w:val="bullet"/>
      <w:lvlText w:val="o"/>
      <w:lvlJc w:val="left"/>
      <w:pPr>
        <w:ind w:left="5760" w:hanging="360"/>
      </w:pPr>
      <w:rPr>
        <w:rFonts w:ascii="Courier New" w:hAnsi="Courier New" w:hint="default"/>
      </w:rPr>
    </w:lvl>
    <w:lvl w:ilvl="8" w:tplc="80C81346">
      <w:start w:val="1"/>
      <w:numFmt w:val="bullet"/>
      <w:lvlText w:val=""/>
      <w:lvlJc w:val="left"/>
      <w:pPr>
        <w:ind w:left="6480" w:hanging="360"/>
      </w:pPr>
      <w:rPr>
        <w:rFonts w:ascii="Wingdings" w:hAnsi="Wingdings" w:hint="default"/>
      </w:rPr>
    </w:lvl>
  </w:abstractNum>
  <w:abstractNum w:abstractNumId="58" w15:restartNumberingAfterBreak="0">
    <w:nsid w:val="48122725"/>
    <w:multiLevelType w:val="hybridMultilevel"/>
    <w:tmpl w:val="24FE75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9" w15:restartNumberingAfterBreak="0">
    <w:nsid w:val="4C7F65E8"/>
    <w:multiLevelType w:val="hybridMultilevel"/>
    <w:tmpl w:val="BDA606D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0" w15:restartNumberingAfterBreak="0">
    <w:nsid w:val="4FF95A54"/>
    <w:multiLevelType w:val="hybridMultilevel"/>
    <w:tmpl w:val="222A03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504F45A1"/>
    <w:multiLevelType w:val="hybridMultilevel"/>
    <w:tmpl w:val="79AADF56"/>
    <w:lvl w:ilvl="0" w:tplc="82FCA51A">
      <w:start w:val="1"/>
      <w:numFmt w:val="bullet"/>
      <w:lvlText w:val="·"/>
      <w:lvlJc w:val="left"/>
      <w:pPr>
        <w:ind w:left="720" w:hanging="360"/>
      </w:pPr>
      <w:rPr>
        <w:rFonts w:ascii="Symbol" w:hAnsi="Symbol" w:hint="default"/>
      </w:rPr>
    </w:lvl>
    <w:lvl w:ilvl="1" w:tplc="4AA02A30">
      <w:start w:val="1"/>
      <w:numFmt w:val="bullet"/>
      <w:lvlText w:val="o"/>
      <w:lvlJc w:val="left"/>
      <w:pPr>
        <w:ind w:left="1440" w:hanging="360"/>
      </w:pPr>
      <w:rPr>
        <w:rFonts w:ascii="Courier New" w:hAnsi="Courier New" w:hint="default"/>
      </w:rPr>
    </w:lvl>
    <w:lvl w:ilvl="2" w:tplc="F1A6F8CA">
      <w:start w:val="1"/>
      <w:numFmt w:val="bullet"/>
      <w:lvlText w:val=""/>
      <w:lvlJc w:val="left"/>
      <w:pPr>
        <w:ind w:left="2160" w:hanging="360"/>
      </w:pPr>
      <w:rPr>
        <w:rFonts w:ascii="Wingdings" w:hAnsi="Wingdings" w:hint="default"/>
      </w:rPr>
    </w:lvl>
    <w:lvl w:ilvl="3" w:tplc="EA30F08A">
      <w:start w:val="1"/>
      <w:numFmt w:val="bullet"/>
      <w:lvlText w:val=""/>
      <w:lvlJc w:val="left"/>
      <w:pPr>
        <w:ind w:left="2880" w:hanging="360"/>
      </w:pPr>
      <w:rPr>
        <w:rFonts w:ascii="Symbol" w:hAnsi="Symbol" w:hint="default"/>
      </w:rPr>
    </w:lvl>
    <w:lvl w:ilvl="4" w:tplc="85C8E810">
      <w:start w:val="1"/>
      <w:numFmt w:val="bullet"/>
      <w:lvlText w:val="o"/>
      <w:lvlJc w:val="left"/>
      <w:pPr>
        <w:ind w:left="3600" w:hanging="360"/>
      </w:pPr>
      <w:rPr>
        <w:rFonts w:ascii="Courier New" w:hAnsi="Courier New" w:hint="default"/>
      </w:rPr>
    </w:lvl>
    <w:lvl w:ilvl="5" w:tplc="628E3E16">
      <w:start w:val="1"/>
      <w:numFmt w:val="bullet"/>
      <w:lvlText w:val=""/>
      <w:lvlJc w:val="left"/>
      <w:pPr>
        <w:ind w:left="4320" w:hanging="360"/>
      </w:pPr>
      <w:rPr>
        <w:rFonts w:ascii="Wingdings" w:hAnsi="Wingdings" w:hint="default"/>
      </w:rPr>
    </w:lvl>
    <w:lvl w:ilvl="6" w:tplc="2DBA94F8">
      <w:start w:val="1"/>
      <w:numFmt w:val="bullet"/>
      <w:lvlText w:val=""/>
      <w:lvlJc w:val="left"/>
      <w:pPr>
        <w:ind w:left="5040" w:hanging="360"/>
      </w:pPr>
      <w:rPr>
        <w:rFonts w:ascii="Symbol" w:hAnsi="Symbol" w:hint="default"/>
      </w:rPr>
    </w:lvl>
    <w:lvl w:ilvl="7" w:tplc="849CF37A">
      <w:start w:val="1"/>
      <w:numFmt w:val="bullet"/>
      <w:lvlText w:val="o"/>
      <w:lvlJc w:val="left"/>
      <w:pPr>
        <w:ind w:left="5760" w:hanging="360"/>
      </w:pPr>
      <w:rPr>
        <w:rFonts w:ascii="Courier New" w:hAnsi="Courier New" w:hint="default"/>
      </w:rPr>
    </w:lvl>
    <w:lvl w:ilvl="8" w:tplc="1BACE8FE">
      <w:start w:val="1"/>
      <w:numFmt w:val="bullet"/>
      <w:lvlText w:val=""/>
      <w:lvlJc w:val="left"/>
      <w:pPr>
        <w:ind w:left="6480" w:hanging="360"/>
      </w:pPr>
      <w:rPr>
        <w:rFonts w:ascii="Wingdings" w:hAnsi="Wingdings" w:hint="default"/>
      </w:rPr>
    </w:lvl>
  </w:abstractNum>
  <w:abstractNum w:abstractNumId="62" w15:restartNumberingAfterBreak="0">
    <w:nsid w:val="50661FC1"/>
    <w:multiLevelType w:val="hybridMultilevel"/>
    <w:tmpl w:val="C3EA9D32"/>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3" w15:restartNumberingAfterBreak="0">
    <w:nsid w:val="520F4D14"/>
    <w:multiLevelType w:val="hybridMultilevel"/>
    <w:tmpl w:val="759E9DB8"/>
    <w:lvl w:ilvl="0" w:tplc="D390C4DC">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567A53D"/>
    <w:multiLevelType w:val="hybridMultilevel"/>
    <w:tmpl w:val="0E9E0F4A"/>
    <w:lvl w:ilvl="0" w:tplc="D584CE7A">
      <w:start w:val="1"/>
      <w:numFmt w:val="bullet"/>
      <w:lvlText w:val="·"/>
      <w:lvlJc w:val="left"/>
      <w:pPr>
        <w:ind w:left="720" w:hanging="360"/>
      </w:pPr>
      <w:rPr>
        <w:rFonts w:ascii="Symbol" w:hAnsi="Symbol" w:hint="default"/>
      </w:rPr>
    </w:lvl>
    <w:lvl w:ilvl="1" w:tplc="C880916C">
      <w:start w:val="1"/>
      <w:numFmt w:val="bullet"/>
      <w:lvlText w:val="o"/>
      <w:lvlJc w:val="left"/>
      <w:pPr>
        <w:ind w:left="1440" w:hanging="360"/>
      </w:pPr>
      <w:rPr>
        <w:rFonts w:ascii="Courier New" w:hAnsi="Courier New" w:hint="default"/>
      </w:rPr>
    </w:lvl>
    <w:lvl w:ilvl="2" w:tplc="4EACB142">
      <w:start w:val="1"/>
      <w:numFmt w:val="bullet"/>
      <w:lvlText w:val=""/>
      <w:lvlJc w:val="left"/>
      <w:pPr>
        <w:ind w:left="2160" w:hanging="360"/>
      </w:pPr>
      <w:rPr>
        <w:rFonts w:ascii="Wingdings" w:hAnsi="Wingdings" w:hint="default"/>
      </w:rPr>
    </w:lvl>
    <w:lvl w:ilvl="3" w:tplc="D0469106">
      <w:start w:val="1"/>
      <w:numFmt w:val="bullet"/>
      <w:lvlText w:val=""/>
      <w:lvlJc w:val="left"/>
      <w:pPr>
        <w:ind w:left="2880" w:hanging="360"/>
      </w:pPr>
      <w:rPr>
        <w:rFonts w:ascii="Symbol" w:hAnsi="Symbol" w:hint="default"/>
      </w:rPr>
    </w:lvl>
    <w:lvl w:ilvl="4" w:tplc="09EE2FFE">
      <w:start w:val="1"/>
      <w:numFmt w:val="bullet"/>
      <w:lvlText w:val="o"/>
      <w:lvlJc w:val="left"/>
      <w:pPr>
        <w:ind w:left="3600" w:hanging="360"/>
      </w:pPr>
      <w:rPr>
        <w:rFonts w:ascii="Courier New" w:hAnsi="Courier New" w:hint="default"/>
      </w:rPr>
    </w:lvl>
    <w:lvl w:ilvl="5" w:tplc="A7620604">
      <w:start w:val="1"/>
      <w:numFmt w:val="bullet"/>
      <w:lvlText w:val=""/>
      <w:lvlJc w:val="left"/>
      <w:pPr>
        <w:ind w:left="4320" w:hanging="360"/>
      </w:pPr>
      <w:rPr>
        <w:rFonts w:ascii="Wingdings" w:hAnsi="Wingdings" w:hint="default"/>
      </w:rPr>
    </w:lvl>
    <w:lvl w:ilvl="6" w:tplc="436878DC">
      <w:start w:val="1"/>
      <w:numFmt w:val="bullet"/>
      <w:lvlText w:val=""/>
      <w:lvlJc w:val="left"/>
      <w:pPr>
        <w:ind w:left="5040" w:hanging="360"/>
      </w:pPr>
      <w:rPr>
        <w:rFonts w:ascii="Symbol" w:hAnsi="Symbol" w:hint="default"/>
      </w:rPr>
    </w:lvl>
    <w:lvl w:ilvl="7" w:tplc="2A1CBD46">
      <w:start w:val="1"/>
      <w:numFmt w:val="bullet"/>
      <w:lvlText w:val="o"/>
      <w:lvlJc w:val="left"/>
      <w:pPr>
        <w:ind w:left="5760" w:hanging="360"/>
      </w:pPr>
      <w:rPr>
        <w:rFonts w:ascii="Courier New" w:hAnsi="Courier New" w:hint="default"/>
      </w:rPr>
    </w:lvl>
    <w:lvl w:ilvl="8" w:tplc="D6121A56">
      <w:start w:val="1"/>
      <w:numFmt w:val="bullet"/>
      <w:lvlText w:val=""/>
      <w:lvlJc w:val="left"/>
      <w:pPr>
        <w:ind w:left="6480" w:hanging="360"/>
      </w:pPr>
      <w:rPr>
        <w:rFonts w:ascii="Wingdings" w:hAnsi="Wingdings" w:hint="default"/>
      </w:rPr>
    </w:lvl>
  </w:abstractNum>
  <w:abstractNum w:abstractNumId="65" w15:restartNumberingAfterBreak="0">
    <w:nsid w:val="5574083F"/>
    <w:multiLevelType w:val="hybridMultilevel"/>
    <w:tmpl w:val="1FA423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5691D1CC"/>
    <w:multiLevelType w:val="hybridMultilevel"/>
    <w:tmpl w:val="FFFFFFFF"/>
    <w:lvl w:ilvl="0" w:tplc="32565530">
      <w:start w:val="1"/>
      <w:numFmt w:val="bullet"/>
      <w:lvlText w:val=""/>
      <w:lvlJc w:val="left"/>
      <w:pPr>
        <w:ind w:left="720" w:hanging="360"/>
      </w:pPr>
      <w:rPr>
        <w:rFonts w:ascii="Symbol" w:hAnsi="Symbol" w:hint="default"/>
      </w:rPr>
    </w:lvl>
    <w:lvl w:ilvl="1" w:tplc="83389A80">
      <w:start w:val="1"/>
      <w:numFmt w:val="bullet"/>
      <w:lvlText w:val="o"/>
      <w:lvlJc w:val="left"/>
      <w:pPr>
        <w:ind w:left="1440" w:hanging="360"/>
      </w:pPr>
      <w:rPr>
        <w:rFonts w:ascii="Courier New" w:hAnsi="Courier New" w:hint="default"/>
      </w:rPr>
    </w:lvl>
    <w:lvl w:ilvl="2" w:tplc="B0A4103E">
      <w:start w:val="1"/>
      <w:numFmt w:val="bullet"/>
      <w:lvlText w:val=""/>
      <w:lvlJc w:val="left"/>
      <w:pPr>
        <w:ind w:left="2160" w:hanging="360"/>
      </w:pPr>
      <w:rPr>
        <w:rFonts w:ascii="Wingdings" w:hAnsi="Wingdings" w:hint="default"/>
      </w:rPr>
    </w:lvl>
    <w:lvl w:ilvl="3" w:tplc="5F8C009A">
      <w:start w:val="1"/>
      <w:numFmt w:val="bullet"/>
      <w:lvlText w:val=""/>
      <w:lvlJc w:val="left"/>
      <w:pPr>
        <w:ind w:left="2880" w:hanging="360"/>
      </w:pPr>
      <w:rPr>
        <w:rFonts w:ascii="Symbol" w:hAnsi="Symbol" w:hint="default"/>
      </w:rPr>
    </w:lvl>
    <w:lvl w:ilvl="4" w:tplc="790C475C">
      <w:start w:val="1"/>
      <w:numFmt w:val="bullet"/>
      <w:lvlText w:val="o"/>
      <w:lvlJc w:val="left"/>
      <w:pPr>
        <w:ind w:left="3600" w:hanging="360"/>
      </w:pPr>
      <w:rPr>
        <w:rFonts w:ascii="Courier New" w:hAnsi="Courier New" w:hint="default"/>
      </w:rPr>
    </w:lvl>
    <w:lvl w:ilvl="5" w:tplc="E592BF8A">
      <w:start w:val="1"/>
      <w:numFmt w:val="bullet"/>
      <w:lvlText w:val=""/>
      <w:lvlJc w:val="left"/>
      <w:pPr>
        <w:ind w:left="4320" w:hanging="360"/>
      </w:pPr>
      <w:rPr>
        <w:rFonts w:ascii="Wingdings" w:hAnsi="Wingdings" w:hint="default"/>
      </w:rPr>
    </w:lvl>
    <w:lvl w:ilvl="6" w:tplc="B31A5FEE">
      <w:start w:val="1"/>
      <w:numFmt w:val="bullet"/>
      <w:lvlText w:val=""/>
      <w:lvlJc w:val="left"/>
      <w:pPr>
        <w:ind w:left="5040" w:hanging="360"/>
      </w:pPr>
      <w:rPr>
        <w:rFonts w:ascii="Symbol" w:hAnsi="Symbol" w:hint="default"/>
      </w:rPr>
    </w:lvl>
    <w:lvl w:ilvl="7" w:tplc="A9BAC87A">
      <w:start w:val="1"/>
      <w:numFmt w:val="bullet"/>
      <w:lvlText w:val="o"/>
      <w:lvlJc w:val="left"/>
      <w:pPr>
        <w:ind w:left="5760" w:hanging="360"/>
      </w:pPr>
      <w:rPr>
        <w:rFonts w:ascii="Courier New" w:hAnsi="Courier New" w:hint="default"/>
      </w:rPr>
    </w:lvl>
    <w:lvl w:ilvl="8" w:tplc="6F323A28">
      <w:start w:val="1"/>
      <w:numFmt w:val="bullet"/>
      <w:lvlText w:val=""/>
      <w:lvlJc w:val="left"/>
      <w:pPr>
        <w:ind w:left="6480" w:hanging="360"/>
      </w:pPr>
      <w:rPr>
        <w:rFonts w:ascii="Wingdings" w:hAnsi="Wingdings" w:hint="default"/>
      </w:rPr>
    </w:lvl>
  </w:abstractNum>
  <w:abstractNum w:abstractNumId="67" w15:restartNumberingAfterBreak="0">
    <w:nsid w:val="58E0848C"/>
    <w:multiLevelType w:val="hybridMultilevel"/>
    <w:tmpl w:val="FFFFFFFF"/>
    <w:lvl w:ilvl="0" w:tplc="026A0FE8">
      <w:start w:val="1"/>
      <w:numFmt w:val="bullet"/>
      <w:lvlText w:val="·"/>
      <w:lvlJc w:val="left"/>
      <w:pPr>
        <w:ind w:left="720" w:hanging="360"/>
      </w:pPr>
      <w:rPr>
        <w:rFonts w:ascii="Symbol" w:hAnsi="Symbol" w:hint="default"/>
      </w:rPr>
    </w:lvl>
    <w:lvl w:ilvl="1" w:tplc="89528430">
      <w:start w:val="1"/>
      <w:numFmt w:val="bullet"/>
      <w:lvlText w:val="o"/>
      <w:lvlJc w:val="left"/>
      <w:pPr>
        <w:ind w:left="1440" w:hanging="360"/>
      </w:pPr>
      <w:rPr>
        <w:rFonts w:ascii="Courier New" w:hAnsi="Courier New" w:hint="default"/>
      </w:rPr>
    </w:lvl>
    <w:lvl w:ilvl="2" w:tplc="91341D8E">
      <w:start w:val="1"/>
      <w:numFmt w:val="bullet"/>
      <w:lvlText w:val=""/>
      <w:lvlJc w:val="left"/>
      <w:pPr>
        <w:ind w:left="2160" w:hanging="360"/>
      </w:pPr>
      <w:rPr>
        <w:rFonts w:ascii="Wingdings" w:hAnsi="Wingdings" w:hint="default"/>
      </w:rPr>
    </w:lvl>
    <w:lvl w:ilvl="3" w:tplc="0F9E65C0">
      <w:start w:val="1"/>
      <w:numFmt w:val="bullet"/>
      <w:lvlText w:val=""/>
      <w:lvlJc w:val="left"/>
      <w:pPr>
        <w:ind w:left="2880" w:hanging="360"/>
      </w:pPr>
      <w:rPr>
        <w:rFonts w:ascii="Symbol" w:hAnsi="Symbol" w:hint="default"/>
      </w:rPr>
    </w:lvl>
    <w:lvl w:ilvl="4" w:tplc="FFDC38CA">
      <w:start w:val="1"/>
      <w:numFmt w:val="bullet"/>
      <w:lvlText w:val="o"/>
      <w:lvlJc w:val="left"/>
      <w:pPr>
        <w:ind w:left="3600" w:hanging="360"/>
      </w:pPr>
      <w:rPr>
        <w:rFonts w:ascii="Courier New" w:hAnsi="Courier New" w:hint="default"/>
      </w:rPr>
    </w:lvl>
    <w:lvl w:ilvl="5" w:tplc="1C9E4CBA">
      <w:start w:val="1"/>
      <w:numFmt w:val="bullet"/>
      <w:lvlText w:val=""/>
      <w:lvlJc w:val="left"/>
      <w:pPr>
        <w:ind w:left="4320" w:hanging="360"/>
      </w:pPr>
      <w:rPr>
        <w:rFonts w:ascii="Wingdings" w:hAnsi="Wingdings" w:hint="default"/>
      </w:rPr>
    </w:lvl>
    <w:lvl w:ilvl="6" w:tplc="0D387DE0">
      <w:start w:val="1"/>
      <w:numFmt w:val="bullet"/>
      <w:lvlText w:val=""/>
      <w:lvlJc w:val="left"/>
      <w:pPr>
        <w:ind w:left="5040" w:hanging="360"/>
      </w:pPr>
      <w:rPr>
        <w:rFonts w:ascii="Symbol" w:hAnsi="Symbol" w:hint="default"/>
      </w:rPr>
    </w:lvl>
    <w:lvl w:ilvl="7" w:tplc="8C2AAD80">
      <w:start w:val="1"/>
      <w:numFmt w:val="bullet"/>
      <w:lvlText w:val="o"/>
      <w:lvlJc w:val="left"/>
      <w:pPr>
        <w:ind w:left="5760" w:hanging="360"/>
      </w:pPr>
      <w:rPr>
        <w:rFonts w:ascii="Courier New" w:hAnsi="Courier New" w:hint="default"/>
      </w:rPr>
    </w:lvl>
    <w:lvl w:ilvl="8" w:tplc="8C8AF618">
      <w:start w:val="1"/>
      <w:numFmt w:val="bullet"/>
      <w:lvlText w:val=""/>
      <w:lvlJc w:val="left"/>
      <w:pPr>
        <w:ind w:left="6480" w:hanging="360"/>
      </w:pPr>
      <w:rPr>
        <w:rFonts w:ascii="Wingdings" w:hAnsi="Wingdings" w:hint="default"/>
      </w:rPr>
    </w:lvl>
  </w:abstractNum>
  <w:abstractNum w:abstractNumId="68" w15:restartNumberingAfterBreak="0">
    <w:nsid w:val="5A1652BF"/>
    <w:multiLevelType w:val="hybridMultilevel"/>
    <w:tmpl w:val="FFFFFFFF"/>
    <w:lvl w:ilvl="0" w:tplc="9F868A30">
      <w:start w:val="1"/>
      <w:numFmt w:val="bullet"/>
      <w:lvlText w:val="·"/>
      <w:lvlJc w:val="left"/>
      <w:pPr>
        <w:ind w:left="720" w:hanging="360"/>
      </w:pPr>
      <w:rPr>
        <w:rFonts w:ascii="Symbol" w:hAnsi="Symbol" w:hint="default"/>
      </w:rPr>
    </w:lvl>
    <w:lvl w:ilvl="1" w:tplc="DC58BB9A">
      <w:start w:val="1"/>
      <w:numFmt w:val="bullet"/>
      <w:lvlText w:val="o"/>
      <w:lvlJc w:val="left"/>
      <w:pPr>
        <w:ind w:left="1440" w:hanging="360"/>
      </w:pPr>
      <w:rPr>
        <w:rFonts w:ascii="Courier New" w:hAnsi="Courier New" w:hint="default"/>
      </w:rPr>
    </w:lvl>
    <w:lvl w:ilvl="2" w:tplc="7F3243DE">
      <w:start w:val="1"/>
      <w:numFmt w:val="bullet"/>
      <w:lvlText w:val=""/>
      <w:lvlJc w:val="left"/>
      <w:pPr>
        <w:ind w:left="2160" w:hanging="360"/>
      </w:pPr>
      <w:rPr>
        <w:rFonts w:ascii="Wingdings" w:hAnsi="Wingdings" w:hint="default"/>
      </w:rPr>
    </w:lvl>
    <w:lvl w:ilvl="3" w:tplc="F4DE8926">
      <w:start w:val="1"/>
      <w:numFmt w:val="bullet"/>
      <w:lvlText w:val=""/>
      <w:lvlJc w:val="left"/>
      <w:pPr>
        <w:ind w:left="2880" w:hanging="360"/>
      </w:pPr>
      <w:rPr>
        <w:rFonts w:ascii="Symbol" w:hAnsi="Symbol" w:hint="default"/>
      </w:rPr>
    </w:lvl>
    <w:lvl w:ilvl="4" w:tplc="DC7E7DA0">
      <w:start w:val="1"/>
      <w:numFmt w:val="bullet"/>
      <w:lvlText w:val="o"/>
      <w:lvlJc w:val="left"/>
      <w:pPr>
        <w:ind w:left="3600" w:hanging="360"/>
      </w:pPr>
      <w:rPr>
        <w:rFonts w:ascii="Courier New" w:hAnsi="Courier New" w:hint="default"/>
      </w:rPr>
    </w:lvl>
    <w:lvl w:ilvl="5" w:tplc="FFC0138A">
      <w:start w:val="1"/>
      <w:numFmt w:val="bullet"/>
      <w:lvlText w:val=""/>
      <w:lvlJc w:val="left"/>
      <w:pPr>
        <w:ind w:left="4320" w:hanging="360"/>
      </w:pPr>
      <w:rPr>
        <w:rFonts w:ascii="Wingdings" w:hAnsi="Wingdings" w:hint="default"/>
      </w:rPr>
    </w:lvl>
    <w:lvl w:ilvl="6" w:tplc="04E05FF8">
      <w:start w:val="1"/>
      <w:numFmt w:val="bullet"/>
      <w:lvlText w:val=""/>
      <w:lvlJc w:val="left"/>
      <w:pPr>
        <w:ind w:left="5040" w:hanging="360"/>
      </w:pPr>
      <w:rPr>
        <w:rFonts w:ascii="Symbol" w:hAnsi="Symbol" w:hint="default"/>
      </w:rPr>
    </w:lvl>
    <w:lvl w:ilvl="7" w:tplc="281E8E90">
      <w:start w:val="1"/>
      <w:numFmt w:val="bullet"/>
      <w:lvlText w:val="o"/>
      <w:lvlJc w:val="left"/>
      <w:pPr>
        <w:ind w:left="5760" w:hanging="360"/>
      </w:pPr>
      <w:rPr>
        <w:rFonts w:ascii="Courier New" w:hAnsi="Courier New" w:hint="default"/>
      </w:rPr>
    </w:lvl>
    <w:lvl w:ilvl="8" w:tplc="CAD4C2FA">
      <w:start w:val="1"/>
      <w:numFmt w:val="bullet"/>
      <w:lvlText w:val=""/>
      <w:lvlJc w:val="left"/>
      <w:pPr>
        <w:ind w:left="6480" w:hanging="360"/>
      </w:pPr>
      <w:rPr>
        <w:rFonts w:ascii="Wingdings" w:hAnsi="Wingdings" w:hint="default"/>
      </w:rPr>
    </w:lvl>
  </w:abstractNum>
  <w:abstractNum w:abstractNumId="69" w15:restartNumberingAfterBreak="0">
    <w:nsid w:val="5A6110F1"/>
    <w:multiLevelType w:val="hybridMultilevel"/>
    <w:tmpl w:val="CEE234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5CE886EF"/>
    <w:multiLevelType w:val="hybridMultilevel"/>
    <w:tmpl w:val="BE7C238C"/>
    <w:lvl w:ilvl="0" w:tplc="FAD46324">
      <w:start w:val="1"/>
      <w:numFmt w:val="bullet"/>
      <w:lvlText w:val="·"/>
      <w:lvlJc w:val="left"/>
      <w:pPr>
        <w:ind w:left="720" w:hanging="360"/>
      </w:pPr>
      <w:rPr>
        <w:rFonts w:ascii="Symbol" w:hAnsi="Symbol" w:hint="default"/>
      </w:rPr>
    </w:lvl>
    <w:lvl w:ilvl="1" w:tplc="DBC487A6">
      <w:start w:val="1"/>
      <w:numFmt w:val="bullet"/>
      <w:lvlText w:val="o"/>
      <w:lvlJc w:val="left"/>
      <w:pPr>
        <w:ind w:left="1440" w:hanging="360"/>
      </w:pPr>
      <w:rPr>
        <w:rFonts w:ascii="Courier New" w:hAnsi="Courier New" w:hint="default"/>
      </w:rPr>
    </w:lvl>
    <w:lvl w:ilvl="2" w:tplc="5944F372">
      <w:start w:val="1"/>
      <w:numFmt w:val="bullet"/>
      <w:lvlText w:val=""/>
      <w:lvlJc w:val="left"/>
      <w:pPr>
        <w:ind w:left="2160" w:hanging="360"/>
      </w:pPr>
      <w:rPr>
        <w:rFonts w:ascii="Wingdings" w:hAnsi="Wingdings" w:hint="default"/>
      </w:rPr>
    </w:lvl>
    <w:lvl w:ilvl="3" w:tplc="052EF4FE">
      <w:start w:val="1"/>
      <w:numFmt w:val="bullet"/>
      <w:lvlText w:val=""/>
      <w:lvlJc w:val="left"/>
      <w:pPr>
        <w:ind w:left="2880" w:hanging="360"/>
      </w:pPr>
      <w:rPr>
        <w:rFonts w:ascii="Symbol" w:hAnsi="Symbol" w:hint="default"/>
      </w:rPr>
    </w:lvl>
    <w:lvl w:ilvl="4" w:tplc="6E949AA4">
      <w:start w:val="1"/>
      <w:numFmt w:val="bullet"/>
      <w:lvlText w:val="o"/>
      <w:lvlJc w:val="left"/>
      <w:pPr>
        <w:ind w:left="3600" w:hanging="360"/>
      </w:pPr>
      <w:rPr>
        <w:rFonts w:ascii="Courier New" w:hAnsi="Courier New" w:hint="default"/>
      </w:rPr>
    </w:lvl>
    <w:lvl w:ilvl="5" w:tplc="FB349FBC">
      <w:start w:val="1"/>
      <w:numFmt w:val="bullet"/>
      <w:lvlText w:val=""/>
      <w:lvlJc w:val="left"/>
      <w:pPr>
        <w:ind w:left="4320" w:hanging="360"/>
      </w:pPr>
      <w:rPr>
        <w:rFonts w:ascii="Wingdings" w:hAnsi="Wingdings" w:hint="default"/>
      </w:rPr>
    </w:lvl>
    <w:lvl w:ilvl="6" w:tplc="7E18DE38">
      <w:start w:val="1"/>
      <w:numFmt w:val="bullet"/>
      <w:lvlText w:val=""/>
      <w:lvlJc w:val="left"/>
      <w:pPr>
        <w:ind w:left="5040" w:hanging="360"/>
      </w:pPr>
      <w:rPr>
        <w:rFonts w:ascii="Symbol" w:hAnsi="Symbol" w:hint="default"/>
      </w:rPr>
    </w:lvl>
    <w:lvl w:ilvl="7" w:tplc="B28090B6">
      <w:start w:val="1"/>
      <w:numFmt w:val="bullet"/>
      <w:lvlText w:val="o"/>
      <w:lvlJc w:val="left"/>
      <w:pPr>
        <w:ind w:left="5760" w:hanging="360"/>
      </w:pPr>
      <w:rPr>
        <w:rFonts w:ascii="Courier New" w:hAnsi="Courier New" w:hint="default"/>
      </w:rPr>
    </w:lvl>
    <w:lvl w:ilvl="8" w:tplc="36221322">
      <w:start w:val="1"/>
      <w:numFmt w:val="bullet"/>
      <w:lvlText w:val=""/>
      <w:lvlJc w:val="left"/>
      <w:pPr>
        <w:ind w:left="6480" w:hanging="360"/>
      </w:pPr>
      <w:rPr>
        <w:rFonts w:ascii="Wingdings" w:hAnsi="Wingdings" w:hint="default"/>
      </w:rPr>
    </w:lvl>
  </w:abstractNum>
  <w:abstractNum w:abstractNumId="71" w15:restartNumberingAfterBreak="0">
    <w:nsid w:val="5D483CC0"/>
    <w:multiLevelType w:val="hybridMultilevel"/>
    <w:tmpl w:val="947CE050"/>
    <w:lvl w:ilvl="0" w:tplc="15BE5E52">
      <w:start w:val="1"/>
      <w:numFmt w:val="bullet"/>
      <w:lvlText w:val="·"/>
      <w:lvlJc w:val="left"/>
      <w:pPr>
        <w:ind w:left="720" w:hanging="360"/>
      </w:pPr>
      <w:rPr>
        <w:rFonts w:ascii="Symbol" w:hAnsi="Symbol" w:hint="default"/>
      </w:rPr>
    </w:lvl>
    <w:lvl w:ilvl="1" w:tplc="F338408E">
      <w:start w:val="1"/>
      <w:numFmt w:val="bullet"/>
      <w:lvlText w:val="o"/>
      <w:lvlJc w:val="left"/>
      <w:pPr>
        <w:ind w:left="1440" w:hanging="360"/>
      </w:pPr>
      <w:rPr>
        <w:rFonts w:ascii="Courier New" w:hAnsi="Courier New" w:hint="default"/>
      </w:rPr>
    </w:lvl>
    <w:lvl w:ilvl="2" w:tplc="F320B3AA">
      <w:start w:val="1"/>
      <w:numFmt w:val="bullet"/>
      <w:lvlText w:val=""/>
      <w:lvlJc w:val="left"/>
      <w:pPr>
        <w:ind w:left="2160" w:hanging="360"/>
      </w:pPr>
      <w:rPr>
        <w:rFonts w:ascii="Wingdings" w:hAnsi="Wingdings" w:hint="default"/>
      </w:rPr>
    </w:lvl>
    <w:lvl w:ilvl="3" w:tplc="0F06BBD2">
      <w:start w:val="1"/>
      <w:numFmt w:val="bullet"/>
      <w:lvlText w:val=""/>
      <w:lvlJc w:val="left"/>
      <w:pPr>
        <w:ind w:left="2880" w:hanging="360"/>
      </w:pPr>
      <w:rPr>
        <w:rFonts w:ascii="Symbol" w:hAnsi="Symbol" w:hint="default"/>
      </w:rPr>
    </w:lvl>
    <w:lvl w:ilvl="4" w:tplc="FD9033EA">
      <w:start w:val="1"/>
      <w:numFmt w:val="bullet"/>
      <w:lvlText w:val="o"/>
      <w:lvlJc w:val="left"/>
      <w:pPr>
        <w:ind w:left="3600" w:hanging="360"/>
      </w:pPr>
      <w:rPr>
        <w:rFonts w:ascii="Courier New" w:hAnsi="Courier New" w:hint="default"/>
      </w:rPr>
    </w:lvl>
    <w:lvl w:ilvl="5" w:tplc="18829AAC">
      <w:start w:val="1"/>
      <w:numFmt w:val="bullet"/>
      <w:lvlText w:val=""/>
      <w:lvlJc w:val="left"/>
      <w:pPr>
        <w:ind w:left="4320" w:hanging="360"/>
      </w:pPr>
      <w:rPr>
        <w:rFonts w:ascii="Wingdings" w:hAnsi="Wingdings" w:hint="default"/>
      </w:rPr>
    </w:lvl>
    <w:lvl w:ilvl="6" w:tplc="2FC02C6C">
      <w:start w:val="1"/>
      <w:numFmt w:val="bullet"/>
      <w:lvlText w:val=""/>
      <w:lvlJc w:val="left"/>
      <w:pPr>
        <w:ind w:left="5040" w:hanging="360"/>
      </w:pPr>
      <w:rPr>
        <w:rFonts w:ascii="Symbol" w:hAnsi="Symbol" w:hint="default"/>
      </w:rPr>
    </w:lvl>
    <w:lvl w:ilvl="7" w:tplc="BB24DCAC">
      <w:start w:val="1"/>
      <w:numFmt w:val="bullet"/>
      <w:lvlText w:val="o"/>
      <w:lvlJc w:val="left"/>
      <w:pPr>
        <w:ind w:left="5760" w:hanging="360"/>
      </w:pPr>
      <w:rPr>
        <w:rFonts w:ascii="Courier New" w:hAnsi="Courier New" w:hint="default"/>
      </w:rPr>
    </w:lvl>
    <w:lvl w:ilvl="8" w:tplc="30C66B4C">
      <w:start w:val="1"/>
      <w:numFmt w:val="bullet"/>
      <w:lvlText w:val=""/>
      <w:lvlJc w:val="left"/>
      <w:pPr>
        <w:ind w:left="6480" w:hanging="360"/>
      </w:pPr>
      <w:rPr>
        <w:rFonts w:ascii="Wingdings" w:hAnsi="Wingdings" w:hint="default"/>
      </w:rPr>
    </w:lvl>
  </w:abstractNum>
  <w:abstractNum w:abstractNumId="72" w15:restartNumberingAfterBreak="0">
    <w:nsid w:val="5FC60622"/>
    <w:multiLevelType w:val="hybridMultilevel"/>
    <w:tmpl w:val="065070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64790803"/>
    <w:multiLevelType w:val="hybridMultilevel"/>
    <w:tmpl w:val="FFFFFFFF"/>
    <w:lvl w:ilvl="0" w:tplc="932691F6">
      <w:start w:val="1"/>
      <w:numFmt w:val="bullet"/>
      <w:lvlText w:val="·"/>
      <w:lvlJc w:val="left"/>
      <w:pPr>
        <w:ind w:left="720" w:hanging="360"/>
      </w:pPr>
      <w:rPr>
        <w:rFonts w:ascii="Symbol" w:hAnsi="Symbol" w:hint="default"/>
      </w:rPr>
    </w:lvl>
    <w:lvl w:ilvl="1" w:tplc="3280A7E6">
      <w:start w:val="1"/>
      <w:numFmt w:val="bullet"/>
      <w:lvlText w:val="o"/>
      <w:lvlJc w:val="left"/>
      <w:pPr>
        <w:ind w:left="1440" w:hanging="360"/>
      </w:pPr>
      <w:rPr>
        <w:rFonts w:ascii="Courier New" w:hAnsi="Courier New" w:hint="default"/>
      </w:rPr>
    </w:lvl>
    <w:lvl w:ilvl="2" w:tplc="CEE00B3A">
      <w:start w:val="1"/>
      <w:numFmt w:val="bullet"/>
      <w:lvlText w:val=""/>
      <w:lvlJc w:val="left"/>
      <w:pPr>
        <w:ind w:left="2160" w:hanging="360"/>
      </w:pPr>
      <w:rPr>
        <w:rFonts w:ascii="Wingdings" w:hAnsi="Wingdings" w:hint="default"/>
      </w:rPr>
    </w:lvl>
    <w:lvl w:ilvl="3" w:tplc="F9F25954">
      <w:start w:val="1"/>
      <w:numFmt w:val="bullet"/>
      <w:lvlText w:val=""/>
      <w:lvlJc w:val="left"/>
      <w:pPr>
        <w:ind w:left="2880" w:hanging="360"/>
      </w:pPr>
      <w:rPr>
        <w:rFonts w:ascii="Symbol" w:hAnsi="Symbol" w:hint="default"/>
      </w:rPr>
    </w:lvl>
    <w:lvl w:ilvl="4" w:tplc="3CA2687E">
      <w:start w:val="1"/>
      <w:numFmt w:val="bullet"/>
      <w:lvlText w:val="o"/>
      <w:lvlJc w:val="left"/>
      <w:pPr>
        <w:ind w:left="3600" w:hanging="360"/>
      </w:pPr>
      <w:rPr>
        <w:rFonts w:ascii="Courier New" w:hAnsi="Courier New" w:hint="default"/>
      </w:rPr>
    </w:lvl>
    <w:lvl w:ilvl="5" w:tplc="12A0E0D0">
      <w:start w:val="1"/>
      <w:numFmt w:val="bullet"/>
      <w:lvlText w:val=""/>
      <w:lvlJc w:val="left"/>
      <w:pPr>
        <w:ind w:left="4320" w:hanging="360"/>
      </w:pPr>
      <w:rPr>
        <w:rFonts w:ascii="Wingdings" w:hAnsi="Wingdings" w:hint="default"/>
      </w:rPr>
    </w:lvl>
    <w:lvl w:ilvl="6" w:tplc="427CF6F0">
      <w:start w:val="1"/>
      <w:numFmt w:val="bullet"/>
      <w:lvlText w:val=""/>
      <w:lvlJc w:val="left"/>
      <w:pPr>
        <w:ind w:left="5040" w:hanging="360"/>
      </w:pPr>
      <w:rPr>
        <w:rFonts w:ascii="Symbol" w:hAnsi="Symbol" w:hint="default"/>
      </w:rPr>
    </w:lvl>
    <w:lvl w:ilvl="7" w:tplc="EF7E7812">
      <w:start w:val="1"/>
      <w:numFmt w:val="bullet"/>
      <w:lvlText w:val="o"/>
      <w:lvlJc w:val="left"/>
      <w:pPr>
        <w:ind w:left="5760" w:hanging="360"/>
      </w:pPr>
      <w:rPr>
        <w:rFonts w:ascii="Courier New" w:hAnsi="Courier New" w:hint="default"/>
      </w:rPr>
    </w:lvl>
    <w:lvl w:ilvl="8" w:tplc="B600C720">
      <w:start w:val="1"/>
      <w:numFmt w:val="bullet"/>
      <w:lvlText w:val=""/>
      <w:lvlJc w:val="left"/>
      <w:pPr>
        <w:ind w:left="6480" w:hanging="360"/>
      </w:pPr>
      <w:rPr>
        <w:rFonts w:ascii="Wingdings" w:hAnsi="Wingdings" w:hint="default"/>
      </w:rPr>
    </w:lvl>
  </w:abstractNum>
  <w:abstractNum w:abstractNumId="74" w15:restartNumberingAfterBreak="0">
    <w:nsid w:val="6532D344"/>
    <w:multiLevelType w:val="hybridMultilevel"/>
    <w:tmpl w:val="7D9A1EAA"/>
    <w:lvl w:ilvl="0" w:tplc="A41C45AC">
      <w:start w:val="1"/>
      <w:numFmt w:val="bullet"/>
      <w:lvlText w:val=""/>
      <w:lvlJc w:val="left"/>
      <w:pPr>
        <w:ind w:left="720" w:hanging="360"/>
      </w:pPr>
      <w:rPr>
        <w:rFonts w:ascii="Wingdings" w:hAnsi="Wingdings" w:hint="default"/>
      </w:rPr>
    </w:lvl>
    <w:lvl w:ilvl="1" w:tplc="3D3EE820">
      <w:start w:val="1"/>
      <w:numFmt w:val="bullet"/>
      <w:lvlText w:val="o"/>
      <w:lvlJc w:val="left"/>
      <w:pPr>
        <w:ind w:left="1440" w:hanging="360"/>
      </w:pPr>
      <w:rPr>
        <w:rFonts w:ascii="Courier New" w:hAnsi="Courier New" w:hint="default"/>
      </w:rPr>
    </w:lvl>
    <w:lvl w:ilvl="2" w:tplc="AA6A389A">
      <w:start w:val="1"/>
      <w:numFmt w:val="bullet"/>
      <w:lvlText w:val=""/>
      <w:lvlJc w:val="left"/>
      <w:pPr>
        <w:ind w:left="2160" w:hanging="360"/>
      </w:pPr>
      <w:rPr>
        <w:rFonts w:ascii="Wingdings" w:hAnsi="Wingdings" w:hint="default"/>
      </w:rPr>
    </w:lvl>
    <w:lvl w:ilvl="3" w:tplc="EB56C62A">
      <w:start w:val="1"/>
      <w:numFmt w:val="bullet"/>
      <w:lvlText w:val=""/>
      <w:lvlJc w:val="left"/>
      <w:pPr>
        <w:ind w:left="2880" w:hanging="360"/>
      </w:pPr>
      <w:rPr>
        <w:rFonts w:ascii="Symbol" w:hAnsi="Symbol" w:hint="default"/>
      </w:rPr>
    </w:lvl>
    <w:lvl w:ilvl="4" w:tplc="DCAEBCAC">
      <w:start w:val="1"/>
      <w:numFmt w:val="bullet"/>
      <w:lvlText w:val="o"/>
      <w:lvlJc w:val="left"/>
      <w:pPr>
        <w:ind w:left="3600" w:hanging="360"/>
      </w:pPr>
      <w:rPr>
        <w:rFonts w:ascii="Courier New" w:hAnsi="Courier New" w:hint="default"/>
      </w:rPr>
    </w:lvl>
    <w:lvl w:ilvl="5" w:tplc="B900AD64">
      <w:start w:val="1"/>
      <w:numFmt w:val="bullet"/>
      <w:lvlText w:val=""/>
      <w:lvlJc w:val="left"/>
      <w:pPr>
        <w:ind w:left="4320" w:hanging="360"/>
      </w:pPr>
      <w:rPr>
        <w:rFonts w:ascii="Wingdings" w:hAnsi="Wingdings" w:hint="default"/>
      </w:rPr>
    </w:lvl>
    <w:lvl w:ilvl="6" w:tplc="6D3E3D78">
      <w:start w:val="1"/>
      <w:numFmt w:val="bullet"/>
      <w:lvlText w:val=""/>
      <w:lvlJc w:val="left"/>
      <w:pPr>
        <w:ind w:left="5040" w:hanging="360"/>
      </w:pPr>
      <w:rPr>
        <w:rFonts w:ascii="Symbol" w:hAnsi="Symbol" w:hint="default"/>
      </w:rPr>
    </w:lvl>
    <w:lvl w:ilvl="7" w:tplc="885A4862">
      <w:start w:val="1"/>
      <w:numFmt w:val="bullet"/>
      <w:lvlText w:val="o"/>
      <w:lvlJc w:val="left"/>
      <w:pPr>
        <w:ind w:left="5760" w:hanging="360"/>
      </w:pPr>
      <w:rPr>
        <w:rFonts w:ascii="Courier New" w:hAnsi="Courier New" w:hint="default"/>
      </w:rPr>
    </w:lvl>
    <w:lvl w:ilvl="8" w:tplc="50809EFC">
      <w:start w:val="1"/>
      <w:numFmt w:val="bullet"/>
      <w:lvlText w:val=""/>
      <w:lvlJc w:val="left"/>
      <w:pPr>
        <w:ind w:left="6480" w:hanging="360"/>
      </w:pPr>
      <w:rPr>
        <w:rFonts w:ascii="Wingdings" w:hAnsi="Wingdings" w:hint="default"/>
      </w:rPr>
    </w:lvl>
  </w:abstractNum>
  <w:abstractNum w:abstractNumId="75" w15:restartNumberingAfterBreak="0">
    <w:nsid w:val="653FAFCB"/>
    <w:multiLevelType w:val="hybridMultilevel"/>
    <w:tmpl w:val="2AC2B328"/>
    <w:lvl w:ilvl="0" w:tplc="8DDA5918">
      <w:start w:val="1"/>
      <w:numFmt w:val="bullet"/>
      <w:lvlText w:val="·"/>
      <w:lvlJc w:val="left"/>
      <w:pPr>
        <w:ind w:left="720" w:hanging="360"/>
      </w:pPr>
      <w:rPr>
        <w:rFonts w:ascii="Symbol" w:hAnsi="Symbol" w:hint="default"/>
      </w:rPr>
    </w:lvl>
    <w:lvl w:ilvl="1" w:tplc="6324F312">
      <w:start w:val="1"/>
      <w:numFmt w:val="bullet"/>
      <w:lvlText w:val="o"/>
      <w:lvlJc w:val="left"/>
      <w:pPr>
        <w:ind w:left="1440" w:hanging="360"/>
      </w:pPr>
      <w:rPr>
        <w:rFonts w:ascii="Courier New" w:hAnsi="Courier New" w:hint="default"/>
      </w:rPr>
    </w:lvl>
    <w:lvl w:ilvl="2" w:tplc="7BAE1D66">
      <w:start w:val="1"/>
      <w:numFmt w:val="bullet"/>
      <w:lvlText w:val=""/>
      <w:lvlJc w:val="left"/>
      <w:pPr>
        <w:ind w:left="2160" w:hanging="360"/>
      </w:pPr>
      <w:rPr>
        <w:rFonts w:ascii="Wingdings" w:hAnsi="Wingdings" w:hint="default"/>
      </w:rPr>
    </w:lvl>
    <w:lvl w:ilvl="3" w:tplc="14EC268A">
      <w:start w:val="1"/>
      <w:numFmt w:val="bullet"/>
      <w:lvlText w:val=""/>
      <w:lvlJc w:val="left"/>
      <w:pPr>
        <w:ind w:left="2880" w:hanging="360"/>
      </w:pPr>
      <w:rPr>
        <w:rFonts w:ascii="Symbol" w:hAnsi="Symbol" w:hint="default"/>
      </w:rPr>
    </w:lvl>
    <w:lvl w:ilvl="4" w:tplc="C0E23C44">
      <w:start w:val="1"/>
      <w:numFmt w:val="bullet"/>
      <w:lvlText w:val="o"/>
      <w:lvlJc w:val="left"/>
      <w:pPr>
        <w:ind w:left="3600" w:hanging="360"/>
      </w:pPr>
      <w:rPr>
        <w:rFonts w:ascii="Courier New" w:hAnsi="Courier New" w:hint="default"/>
      </w:rPr>
    </w:lvl>
    <w:lvl w:ilvl="5" w:tplc="51EC5974">
      <w:start w:val="1"/>
      <w:numFmt w:val="bullet"/>
      <w:lvlText w:val=""/>
      <w:lvlJc w:val="left"/>
      <w:pPr>
        <w:ind w:left="4320" w:hanging="360"/>
      </w:pPr>
      <w:rPr>
        <w:rFonts w:ascii="Wingdings" w:hAnsi="Wingdings" w:hint="default"/>
      </w:rPr>
    </w:lvl>
    <w:lvl w:ilvl="6" w:tplc="4202C8DA">
      <w:start w:val="1"/>
      <w:numFmt w:val="bullet"/>
      <w:lvlText w:val=""/>
      <w:lvlJc w:val="left"/>
      <w:pPr>
        <w:ind w:left="5040" w:hanging="360"/>
      </w:pPr>
      <w:rPr>
        <w:rFonts w:ascii="Symbol" w:hAnsi="Symbol" w:hint="default"/>
      </w:rPr>
    </w:lvl>
    <w:lvl w:ilvl="7" w:tplc="0DE46450">
      <w:start w:val="1"/>
      <w:numFmt w:val="bullet"/>
      <w:lvlText w:val="o"/>
      <w:lvlJc w:val="left"/>
      <w:pPr>
        <w:ind w:left="5760" w:hanging="360"/>
      </w:pPr>
      <w:rPr>
        <w:rFonts w:ascii="Courier New" w:hAnsi="Courier New" w:hint="default"/>
      </w:rPr>
    </w:lvl>
    <w:lvl w:ilvl="8" w:tplc="D1BA7486">
      <w:start w:val="1"/>
      <w:numFmt w:val="bullet"/>
      <w:lvlText w:val=""/>
      <w:lvlJc w:val="left"/>
      <w:pPr>
        <w:ind w:left="6480" w:hanging="360"/>
      </w:pPr>
      <w:rPr>
        <w:rFonts w:ascii="Wingdings" w:hAnsi="Wingdings" w:hint="default"/>
      </w:rPr>
    </w:lvl>
  </w:abstractNum>
  <w:abstractNum w:abstractNumId="76" w15:restartNumberingAfterBreak="0">
    <w:nsid w:val="657491F7"/>
    <w:multiLevelType w:val="hybridMultilevel"/>
    <w:tmpl w:val="FFFFFFFF"/>
    <w:lvl w:ilvl="0" w:tplc="02F01066">
      <w:start w:val="1"/>
      <w:numFmt w:val="bullet"/>
      <w:lvlText w:val="·"/>
      <w:lvlJc w:val="left"/>
      <w:pPr>
        <w:ind w:left="720" w:hanging="360"/>
      </w:pPr>
      <w:rPr>
        <w:rFonts w:ascii="Symbol" w:hAnsi="Symbol" w:hint="default"/>
      </w:rPr>
    </w:lvl>
    <w:lvl w:ilvl="1" w:tplc="9768F770">
      <w:start w:val="1"/>
      <w:numFmt w:val="bullet"/>
      <w:lvlText w:val="o"/>
      <w:lvlJc w:val="left"/>
      <w:pPr>
        <w:ind w:left="1440" w:hanging="360"/>
      </w:pPr>
      <w:rPr>
        <w:rFonts w:ascii="Courier New" w:hAnsi="Courier New" w:hint="default"/>
      </w:rPr>
    </w:lvl>
    <w:lvl w:ilvl="2" w:tplc="3D6CEC6E">
      <w:start w:val="1"/>
      <w:numFmt w:val="bullet"/>
      <w:lvlText w:val=""/>
      <w:lvlJc w:val="left"/>
      <w:pPr>
        <w:ind w:left="2160" w:hanging="360"/>
      </w:pPr>
      <w:rPr>
        <w:rFonts w:ascii="Wingdings" w:hAnsi="Wingdings" w:hint="default"/>
      </w:rPr>
    </w:lvl>
    <w:lvl w:ilvl="3" w:tplc="D3D41046">
      <w:start w:val="1"/>
      <w:numFmt w:val="bullet"/>
      <w:lvlText w:val=""/>
      <w:lvlJc w:val="left"/>
      <w:pPr>
        <w:ind w:left="2880" w:hanging="360"/>
      </w:pPr>
      <w:rPr>
        <w:rFonts w:ascii="Symbol" w:hAnsi="Symbol" w:hint="default"/>
      </w:rPr>
    </w:lvl>
    <w:lvl w:ilvl="4" w:tplc="CC0EB3DC">
      <w:start w:val="1"/>
      <w:numFmt w:val="bullet"/>
      <w:lvlText w:val="o"/>
      <w:lvlJc w:val="left"/>
      <w:pPr>
        <w:ind w:left="3600" w:hanging="360"/>
      </w:pPr>
      <w:rPr>
        <w:rFonts w:ascii="Courier New" w:hAnsi="Courier New" w:hint="default"/>
      </w:rPr>
    </w:lvl>
    <w:lvl w:ilvl="5" w:tplc="B68ED47E">
      <w:start w:val="1"/>
      <w:numFmt w:val="bullet"/>
      <w:lvlText w:val=""/>
      <w:lvlJc w:val="left"/>
      <w:pPr>
        <w:ind w:left="4320" w:hanging="360"/>
      </w:pPr>
      <w:rPr>
        <w:rFonts w:ascii="Wingdings" w:hAnsi="Wingdings" w:hint="default"/>
      </w:rPr>
    </w:lvl>
    <w:lvl w:ilvl="6" w:tplc="7884D4B8">
      <w:start w:val="1"/>
      <w:numFmt w:val="bullet"/>
      <w:lvlText w:val=""/>
      <w:lvlJc w:val="left"/>
      <w:pPr>
        <w:ind w:left="5040" w:hanging="360"/>
      </w:pPr>
      <w:rPr>
        <w:rFonts w:ascii="Symbol" w:hAnsi="Symbol" w:hint="default"/>
      </w:rPr>
    </w:lvl>
    <w:lvl w:ilvl="7" w:tplc="17CC4750">
      <w:start w:val="1"/>
      <w:numFmt w:val="bullet"/>
      <w:lvlText w:val="o"/>
      <w:lvlJc w:val="left"/>
      <w:pPr>
        <w:ind w:left="5760" w:hanging="360"/>
      </w:pPr>
      <w:rPr>
        <w:rFonts w:ascii="Courier New" w:hAnsi="Courier New" w:hint="default"/>
      </w:rPr>
    </w:lvl>
    <w:lvl w:ilvl="8" w:tplc="1DF81528">
      <w:start w:val="1"/>
      <w:numFmt w:val="bullet"/>
      <w:lvlText w:val=""/>
      <w:lvlJc w:val="left"/>
      <w:pPr>
        <w:ind w:left="6480" w:hanging="360"/>
      </w:pPr>
      <w:rPr>
        <w:rFonts w:ascii="Wingdings" w:hAnsi="Wingdings" w:hint="default"/>
      </w:rPr>
    </w:lvl>
  </w:abstractNum>
  <w:abstractNum w:abstractNumId="77" w15:restartNumberingAfterBreak="0">
    <w:nsid w:val="65EE32DA"/>
    <w:multiLevelType w:val="hybridMultilevel"/>
    <w:tmpl w:val="025609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5EF597C"/>
    <w:multiLevelType w:val="hybridMultilevel"/>
    <w:tmpl w:val="25768F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669E9322"/>
    <w:multiLevelType w:val="hybridMultilevel"/>
    <w:tmpl w:val="1220CDD0"/>
    <w:lvl w:ilvl="0" w:tplc="DB82A032">
      <w:start w:val="1"/>
      <w:numFmt w:val="bullet"/>
      <w:lvlText w:val=""/>
      <w:lvlJc w:val="left"/>
      <w:pPr>
        <w:ind w:left="720" w:hanging="360"/>
      </w:pPr>
      <w:rPr>
        <w:rFonts w:ascii="Symbol" w:hAnsi="Symbol" w:hint="default"/>
      </w:rPr>
    </w:lvl>
    <w:lvl w:ilvl="1" w:tplc="46E07668">
      <w:start w:val="1"/>
      <w:numFmt w:val="bullet"/>
      <w:lvlText w:val="o"/>
      <w:lvlJc w:val="left"/>
      <w:pPr>
        <w:ind w:left="1440" w:hanging="360"/>
      </w:pPr>
      <w:rPr>
        <w:rFonts w:ascii="Courier New" w:hAnsi="Courier New" w:hint="default"/>
      </w:rPr>
    </w:lvl>
    <w:lvl w:ilvl="2" w:tplc="E752BFF0">
      <w:start w:val="1"/>
      <w:numFmt w:val="bullet"/>
      <w:lvlText w:val=""/>
      <w:lvlJc w:val="left"/>
      <w:pPr>
        <w:ind w:left="2160" w:hanging="360"/>
      </w:pPr>
      <w:rPr>
        <w:rFonts w:ascii="Wingdings" w:hAnsi="Wingdings" w:hint="default"/>
      </w:rPr>
    </w:lvl>
    <w:lvl w:ilvl="3" w:tplc="EE1093D0">
      <w:start w:val="1"/>
      <w:numFmt w:val="bullet"/>
      <w:lvlText w:val=""/>
      <w:lvlJc w:val="left"/>
      <w:pPr>
        <w:ind w:left="2880" w:hanging="360"/>
      </w:pPr>
      <w:rPr>
        <w:rFonts w:ascii="Symbol" w:hAnsi="Symbol" w:hint="default"/>
      </w:rPr>
    </w:lvl>
    <w:lvl w:ilvl="4" w:tplc="1AAA5CE6">
      <w:start w:val="1"/>
      <w:numFmt w:val="bullet"/>
      <w:lvlText w:val="o"/>
      <w:lvlJc w:val="left"/>
      <w:pPr>
        <w:ind w:left="3600" w:hanging="360"/>
      </w:pPr>
      <w:rPr>
        <w:rFonts w:ascii="Courier New" w:hAnsi="Courier New" w:hint="default"/>
      </w:rPr>
    </w:lvl>
    <w:lvl w:ilvl="5" w:tplc="789EB56A">
      <w:start w:val="1"/>
      <w:numFmt w:val="bullet"/>
      <w:lvlText w:val=""/>
      <w:lvlJc w:val="left"/>
      <w:pPr>
        <w:ind w:left="4320" w:hanging="360"/>
      </w:pPr>
      <w:rPr>
        <w:rFonts w:ascii="Wingdings" w:hAnsi="Wingdings" w:hint="default"/>
      </w:rPr>
    </w:lvl>
    <w:lvl w:ilvl="6" w:tplc="535AFC00">
      <w:start w:val="1"/>
      <w:numFmt w:val="bullet"/>
      <w:lvlText w:val=""/>
      <w:lvlJc w:val="left"/>
      <w:pPr>
        <w:ind w:left="5040" w:hanging="360"/>
      </w:pPr>
      <w:rPr>
        <w:rFonts w:ascii="Symbol" w:hAnsi="Symbol" w:hint="default"/>
      </w:rPr>
    </w:lvl>
    <w:lvl w:ilvl="7" w:tplc="1AF8EB9A">
      <w:start w:val="1"/>
      <w:numFmt w:val="bullet"/>
      <w:lvlText w:val="o"/>
      <w:lvlJc w:val="left"/>
      <w:pPr>
        <w:ind w:left="5760" w:hanging="360"/>
      </w:pPr>
      <w:rPr>
        <w:rFonts w:ascii="Courier New" w:hAnsi="Courier New" w:hint="default"/>
      </w:rPr>
    </w:lvl>
    <w:lvl w:ilvl="8" w:tplc="FD08C7E6">
      <w:start w:val="1"/>
      <w:numFmt w:val="bullet"/>
      <w:lvlText w:val=""/>
      <w:lvlJc w:val="left"/>
      <w:pPr>
        <w:ind w:left="6480" w:hanging="360"/>
      </w:pPr>
      <w:rPr>
        <w:rFonts w:ascii="Wingdings" w:hAnsi="Wingdings" w:hint="default"/>
      </w:rPr>
    </w:lvl>
  </w:abstractNum>
  <w:abstractNum w:abstractNumId="80" w15:restartNumberingAfterBreak="0">
    <w:nsid w:val="683D3CAA"/>
    <w:multiLevelType w:val="hybridMultilevel"/>
    <w:tmpl w:val="37447BFE"/>
    <w:lvl w:ilvl="0" w:tplc="2410F50C">
      <w:start w:val="1"/>
      <w:numFmt w:val="bullet"/>
      <w:lvlText w:val=""/>
      <w:lvlJc w:val="left"/>
      <w:pPr>
        <w:ind w:left="720" w:hanging="360"/>
      </w:pPr>
      <w:rPr>
        <w:rFonts w:ascii="Wingdings" w:hAnsi="Wingdings" w:hint="default"/>
      </w:rPr>
    </w:lvl>
    <w:lvl w:ilvl="1" w:tplc="7744058C">
      <w:start w:val="1"/>
      <w:numFmt w:val="bullet"/>
      <w:lvlText w:val="o"/>
      <w:lvlJc w:val="left"/>
      <w:pPr>
        <w:ind w:left="1440" w:hanging="360"/>
      </w:pPr>
      <w:rPr>
        <w:rFonts w:ascii="Courier New" w:hAnsi="Courier New" w:hint="default"/>
      </w:rPr>
    </w:lvl>
    <w:lvl w:ilvl="2" w:tplc="36F4A8E6">
      <w:start w:val="1"/>
      <w:numFmt w:val="bullet"/>
      <w:lvlText w:val=""/>
      <w:lvlJc w:val="left"/>
      <w:pPr>
        <w:ind w:left="2160" w:hanging="360"/>
      </w:pPr>
      <w:rPr>
        <w:rFonts w:ascii="Wingdings" w:hAnsi="Wingdings" w:hint="default"/>
      </w:rPr>
    </w:lvl>
    <w:lvl w:ilvl="3" w:tplc="2AE8615A">
      <w:start w:val="1"/>
      <w:numFmt w:val="bullet"/>
      <w:lvlText w:val=""/>
      <w:lvlJc w:val="left"/>
      <w:pPr>
        <w:ind w:left="2880" w:hanging="360"/>
      </w:pPr>
      <w:rPr>
        <w:rFonts w:ascii="Symbol" w:hAnsi="Symbol" w:hint="default"/>
      </w:rPr>
    </w:lvl>
    <w:lvl w:ilvl="4" w:tplc="5306842A">
      <w:start w:val="1"/>
      <w:numFmt w:val="bullet"/>
      <w:lvlText w:val="o"/>
      <w:lvlJc w:val="left"/>
      <w:pPr>
        <w:ind w:left="3600" w:hanging="360"/>
      </w:pPr>
      <w:rPr>
        <w:rFonts w:ascii="Courier New" w:hAnsi="Courier New" w:hint="default"/>
      </w:rPr>
    </w:lvl>
    <w:lvl w:ilvl="5" w:tplc="D81090AC">
      <w:start w:val="1"/>
      <w:numFmt w:val="bullet"/>
      <w:lvlText w:val=""/>
      <w:lvlJc w:val="left"/>
      <w:pPr>
        <w:ind w:left="4320" w:hanging="360"/>
      </w:pPr>
      <w:rPr>
        <w:rFonts w:ascii="Wingdings" w:hAnsi="Wingdings" w:hint="default"/>
      </w:rPr>
    </w:lvl>
    <w:lvl w:ilvl="6" w:tplc="B2BA212C">
      <w:start w:val="1"/>
      <w:numFmt w:val="bullet"/>
      <w:lvlText w:val=""/>
      <w:lvlJc w:val="left"/>
      <w:pPr>
        <w:ind w:left="5040" w:hanging="360"/>
      </w:pPr>
      <w:rPr>
        <w:rFonts w:ascii="Symbol" w:hAnsi="Symbol" w:hint="default"/>
      </w:rPr>
    </w:lvl>
    <w:lvl w:ilvl="7" w:tplc="DEC817C0">
      <w:start w:val="1"/>
      <w:numFmt w:val="bullet"/>
      <w:lvlText w:val="o"/>
      <w:lvlJc w:val="left"/>
      <w:pPr>
        <w:ind w:left="5760" w:hanging="360"/>
      </w:pPr>
      <w:rPr>
        <w:rFonts w:ascii="Courier New" w:hAnsi="Courier New" w:hint="default"/>
      </w:rPr>
    </w:lvl>
    <w:lvl w:ilvl="8" w:tplc="602E3D6A">
      <w:start w:val="1"/>
      <w:numFmt w:val="bullet"/>
      <w:lvlText w:val=""/>
      <w:lvlJc w:val="left"/>
      <w:pPr>
        <w:ind w:left="6480" w:hanging="360"/>
      </w:pPr>
      <w:rPr>
        <w:rFonts w:ascii="Wingdings" w:hAnsi="Wingdings" w:hint="default"/>
      </w:rPr>
    </w:lvl>
  </w:abstractNum>
  <w:abstractNum w:abstractNumId="81" w15:restartNumberingAfterBreak="0">
    <w:nsid w:val="68A83178"/>
    <w:multiLevelType w:val="hybridMultilevel"/>
    <w:tmpl w:val="FB244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69761735"/>
    <w:multiLevelType w:val="hybridMultilevel"/>
    <w:tmpl w:val="E46230C4"/>
    <w:lvl w:ilvl="0" w:tplc="981C1280">
      <w:start w:val="1"/>
      <w:numFmt w:val="lowerLetter"/>
      <w:pStyle w:val="Heading2"/>
      <w:lvlText w:val="%1."/>
      <w:lvlJc w:val="left"/>
      <w:pPr>
        <w:ind w:left="927"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69C15EE9"/>
    <w:multiLevelType w:val="hybridMultilevel"/>
    <w:tmpl w:val="1CD8EFB4"/>
    <w:lvl w:ilvl="0" w:tplc="1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4" w15:restartNumberingAfterBreak="0">
    <w:nsid w:val="6BC119AE"/>
    <w:multiLevelType w:val="hybridMultilevel"/>
    <w:tmpl w:val="98A09A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5" w15:restartNumberingAfterBreak="0">
    <w:nsid w:val="6BF129E7"/>
    <w:multiLevelType w:val="hybridMultilevel"/>
    <w:tmpl w:val="D2F8F43C"/>
    <w:lvl w:ilvl="0" w:tplc="67883BFA">
      <w:start w:val="1"/>
      <w:numFmt w:val="bullet"/>
      <w:lvlText w:val="·"/>
      <w:lvlJc w:val="left"/>
      <w:pPr>
        <w:ind w:left="720" w:hanging="360"/>
      </w:pPr>
      <w:rPr>
        <w:rFonts w:ascii="Symbol" w:hAnsi="Symbol" w:hint="default"/>
      </w:rPr>
    </w:lvl>
    <w:lvl w:ilvl="1" w:tplc="4D84100A">
      <w:start w:val="1"/>
      <w:numFmt w:val="bullet"/>
      <w:lvlText w:val="o"/>
      <w:lvlJc w:val="left"/>
      <w:pPr>
        <w:ind w:left="1440" w:hanging="360"/>
      </w:pPr>
      <w:rPr>
        <w:rFonts w:ascii="Courier New" w:hAnsi="Courier New" w:hint="default"/>
      </w:rPr>
    </w:lvl>
    <w:lvl w:ilvl="2" w:tplc="9D52F064">
      <w:start w:val="1"/>
      <w:numFmt w:val="bullet"/>
      <w:lvlText w:val=""/>
      <w:lvlJc w:val="left"/>
      <w:pPr>
        <w:ind w:left="2160" w:hanging="360"/>
      </w:pPr>
      <w:rPr>
        <w:rFonts w:ascii="Wingdings" w:hAnsi="Wingdings" w:hint="default"/>
      </w:rPr>
    </w:lvl>
    <w:lvl w:ilvl="3" w:tplc="B916249A">
      <w:start w:val="1"/>
      <w:numFmt w:val="bullet"/>
      <w:lvlText w:val=""/>
      <w:lvlJc w:val="left"/>
      <w:pPr>
        <w:ind w:left="2880" w:hanging="360"/>
      </w:pPr>
      <w:rPr>
        <w:rFonts w:ascii="Symbol" w:hAnsi="Symbol" w:hint="default"/>
      </w:rPr>
    </w:lvl>
    <w:lvl w:ilvl="4" w:tplc="9A36B17C">
      <w:start w:val="1"/>
      <w:numFmt w:val="bullet"/>
      <w:lvlText w:val="o"/>
      <w:lvlJc w:val="left"/>
      <w:pPr>
        <w:ind w:left="3600" w:hanging="360"/>
      </w:pPr>
      <w:rPr>
        <w:rFonts w:ascii="Courier New" w:hAnsi="Courier New" w:hint="default"/>
      </w:rPr>
    </w:lvl>
    <w:lvl w:ilvl="5" w:tplc="7B026728">
      <w:start w:val="1"/>
      <w:numFmt w:val="bullet"/>
      <w:lvlText w:val=""/>
      <w:lvlJc w:val="left"/>
      <w:pPr>
        <w:ind w:left="4320" w:hanging="360"/>
      </w:pPr>
      <w:rPr>
        <w:rFonts w:ascii="Wingdings" w:hAnsi="Wingdings" w:hint="default"/>
      </w:rPr>
    </w:lvl>
    <w:lvl w:ilvl="6" w:tplc="C952D3FA">
      <w:start w:val="1"/>
      <w:numFmt w:val="bullet"/>
      <w:lvlText w:val=""/>
      <w:lvlJc w:val="left"/>
      <w:pPr>
        <w:ind w:left="5040" w:hanging="360"/>
      </w:pPr>
      <w:rPr>
        <w:rFonts w:ascii="Symbol" w:hAnsi="Symbol" w:hint="default"/>
      </w:rPr>
    </w:lvl>
    <w:lvl w:ilvl="7" w:tplc="CAA6E6FA">
      <w:start w:val="1"/>
      <w:numFmt w:val="bullet"/>
      <w:lvlText w:val="o"/>
      <w:lvlJc w:val="left"/>
      <w:pPr>
        <w:ind w:left="5760" w:hanging="360"/>
      </w:pPr>
      <w:rPr>
        <w:rFonts w:ascii="Courier New" w:hAnsi="Courier New" w:hint="default"/>
      </w:rPr>
    </w:lvl>
    <w:lvl w:ilvl="8" w:tplc="B1CC82AE">
      <w:start w:val="1"/>
      <w:numFmt w:val="bullet"/>
      <w:lvlText w:val=""/>
      <w:lvlJc w:val="left"/>
      <w:pPr>
        <w:ind w:left="6480" w:hanging="360"/>
      </w:pPr>
      <w:rPr>
        <w:rFonts w:ascii="Wingdings" w:hAnsi="Wingdings" w:hint="default"/>
      </w:rPr>
    </w:lvl>
  </w:abstractNum>
  <w:abstractNum w:abstractNumId="86" w15:restartNumberingAfterBreak="0">
    <w:nsid w:val="6BFE1C21"/>
    <w:multiLevelType w:val="hybridMultilevel"/>
    <w:tmpl w:val="1E96D87A"/>
    <w:lvl w:ilvl="0" w:tplc="6840C40C">
      <w:start w:val="1"/>
      <w:numFmt w:val="bullet"/>
      <w:lvlText w:val="·"/>
      <w:lvlJc w:val="left"/>
      <w:pPr>
        <w:ind w:left="720" w:hanging="360"/>
      </w:pPr>
      <w:rPr>
        <w:rFonts w:ascii="Symbol" w:hAnsi="Symbol" w:hint="default"/>
      </w:rPr>
    </w:lvl>
    <w:lvl w:ilvl="1" w:tplc="74AA424A">
      <w:start w:val="1"/>
      <w:numFmt w:val="bullet"/>
      <w:lvlText w:val="o"/>
      <w:lvlJc w:val="left"/>
      <w:pPr>
        <w:ind w:left="1440" w:hanging="360"/>
      </w:pPr>
      <w:rPr>
        <w:rFonts w:ascii="Courier New" w:hAnsi="Courier New" w:hint="default"/>
      </w:rPr>
    </w:lvl>
    <w:lvl w:ilvl="2" w:tplc="8A685976">
      <w:start w:val="1"/>
      <w:numFmt w:val="bullet"/>
      <w:lvlText w:val=""/>
      <w:lvlJc w:val="left"/>
      <w:pPr>
        <w:ind w:left="2160" w:hanging="360"/>
      </w:pPr>
      <w:rPr>
        <w:rFonts w:ascii="Wingdings" w:hAnsi="Wingdings" w:hint="default"/>
      </w:rPr>
    </w:lvl>
    <w:lvl w:ilvl="3" w:tplc="71D47392">
      <w:start w:val="1"/>
      <w:numFmt w:val="bullet"/>
      <w:lvlText w:val=""/>
      <w:lvlJc w:val="left"/>
      <w:pPr>
        <w:ind w:left="2880" w:hanging="360"/>
      </w:pPr>
      <w:rPr>
        <w:rFonts w:ascii="Symbol" w:hAnsi="Symbol" w:hint="default"/>
      </w:rPr>
    </w:lvl>
    <w:lvl w:ilvl="4" w:tplc="2756613E">
      <w:start w:val="1"/>
      <w:numFmt w:val="bullet"/>
      <w:lvlText w:val="o"/>
      <w:lvlJc w:val="left"/>
      <w:pPr>
        <w:ind w:left="3600" w:hanging="360"/>
      </w:pPr>
      <w:rPr>
        <w:rFonts w:ascii="Courier New" w:hAnsi="Courier New" w:hint="default"/>
      </w:rPr>
    </w:lvl>
    <w:lvl w:ilvl="5" w:tplc="E3061E82">
      <w:start w:val="1"/>
      <w:numFmt w:val="bullet"/>
      <w:lvlText w:val=""/>
      <w:lvlJc w:val="left"/>
      <w:pPr>
        <w:ind w:left="4320" w:hanging="360"/>
      </w:pPr>
      <w:rPr>
        <w:rFonts w:ascii="Wingdings" w:hAnsi="Wingdings" w:hint="default"/>
      </w:rPr>
    </w:lvl>
    <w:lvl w:ilvl="6" w:tplc="ABC08968">
      <w:start w:val="1"/>
      <w:numFmt w:val="bullet"/>
      <w:lvlText w:val=""/>
      <w:lvlJc w:val="left"/>
      <w:pPr>
        <w:ind w:left="5040" w:hanging="360"/>
      </w:pPr>
      <w:rPr>
        <w:rFonts w:ascii="Symbol" w:hAnsi="Symbol" w:hint="default"/>
      </w:rPr>
    </w:lvl>
    <w:lvl w:ilvl="7" w:tplc="E71CC572">
      <w:start w:val="1"/>
      <w:numFmt w:val="bullet"/>
      <w:lvlText w:val="o"/>
      <w:lvlJc w:val="left"/>
      <w:pPr>
        <w:ind w:left="5760" w:hanging="360"/>
      </w:pPr>
      <w:rPr>
        <w:rFonts w:ascii="Courier New" w:hAnsi="Courier New" w:hint="default"/>
      </w:rPr>
    </w:lvl>
    <w:lvl w:ilvl="8" w:tplc="618CBE86">
      <w:start w:val="1"/>
      <w:numFmt w:val="bullet"/>
      <w:lvlText w:val=""/>
      <w:lvlJc w:val="left"/>
      <w:pPr>
        <w:ind w:left="6480" w:hanging="360"/>
      </w:pPr>
      <w:rPr>
        <w:rFonts w:ascii="Wingdings" w:hAnsi="Wingdings" w:hint="default"/>
      </w:rPr>
    </w:lvl>
  </w:abstractNum>
  <w:abstractNum w:abstractNumId="87" w15:restartNumberingAfterBreak="0">
    <w:nsid w:val="6CC04AF4"/>
    <w:multiLevelType w:val="hybridMultilevel"/>
    <w:tmpl w:val="171030C2"/>
    <w:lvl w:ilvl="0" w:tplc="320671B2">
      <w:numFmt w:val="bullet"/>
      <w:lvlText w:val="-"/>
      <w:lvlJc w:val="left"/>
      <w:pPr>
        <w:ind w:left="1080" w:hanging="360"/>
      </w:pPr>
      <w:rPr>
        <w:rFonts w:ascii="Times New Roman" w:eastAsia="Calibr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8" w15:restartNumberingAfterBreak="0">
    <w:nsid w:val="6D9C5185"/>
    <w:multiLevelType w:val="hybridMultilevel"/>
    <w:tmpl w:val="B9AEE454"/>
    <w:lvl w:ilvl="0" w:tplc="1F36B4A2">
      <w:start w:val="1"/>
      <w:numFmt w:val="bullet"/>
      <w:pStyle w:val="Heading1"/>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71E66175"/>
    <w:multiLevelType w:val="hybridMultilevel"/>
    <w:tmpl w:val="F36C16C6"/>
    <w:lvl w:ilvl="0" w:tplc="1D42C1D4">
      <w:start w:val="1"/>
      <w:numFmt w:val="bullet"/>
      <w:lvlText w:val=""/>
      <w:lvlJc w:val="left"/>
      <w:pPr>
        <w:ind w:left="720" w:hanging="360"/>
      </w:pPr>
      <w:rPr>
        <w:rFonts w:ascii="Wingdings" w:hAnsi="Wingdings" w:hint="default"/>
      </w:rPr>
    </w:lvl>
    <w:lvl w:ilvl="1" w:tplc="7B861EEA">
      <w:start w:val="1"/>
      <w:numFmt w:val="bullet"/>
      <w:lvlText w:val="o"/>
      <w:lvlJc w:val="left"/>
      <w:pPr>
        <w:ind w:left="1440" w:hanging="360"/>
      </w:pPr>
      <w:rPr>
        <w:rFonts w:ascii="Courier New" w:hAnsi="Courier New" w:hint="default"/>
      </w:rPr>
    </w:lvl>
    <w:lvl w:ilvl="2" w:tplc="76FE57C6">
      <w:start w:val="1"/>
      <w:numFmt w:val="bullet"/>
      <w:lvlText w:val=""/>
      <w:lvlJc w:val="left"/>
      <w:pPr>
        <w:ind w:left="2160" w:hanging="360"/>
      </w:pPr>
      <w:rPr>
        <w:rFonts w:ascii="Wingdings" w:hAnsi="Wingdings" w:hint="default"/>
      </w:rPr>
    </w:lvl>
    <w:lvl w:ilvl="3" w:tplc="DA882E1A">
      <w:start w:val="1"/>
      <w:numFmt w:val="bullet"/>
      <w:lvlText w:val=""/>
      <w:lvlJc w:val="left"/>
      <w:pPr>
        <w:ind w:left="2880" w:hanging="360"/>
      </w:pPr>
      <w:rPr>
        <w:rFonts w:ascii="Symbol" w:hAnsi="Symbol" w:hint="default"/>
      </w:rPr>
    </w:lvl>
    <w:lvl w:ilvl="4" w:tplc="15AAA0A0">
      <w:start w:val="1"/>
      <w:numFmt w:val="bullet"/>
      <w:lvlText w:val="o"/>
      <w:lvlJc w:val="left"/>
      <w:pPr>
        <w:ind w:left="3600" w:hanging="360"/>
      </w:pPr>
      <w:rPr>
        <w:rFonts w:ascii="Courier New" w:hAnsi="Courier New" w:hint="default"/>
      </w:rPr>
    </w:lvl>
    <w:lvl w:ilvl="5" w:tplc="929ABA44">
      <w:start w:val="1"/>
      <w:numFmt w:val="bullet"/>
      <w:lvlText w:val=""/>
      <w:lvlJc w:val="left"/>
      <w:pPr>
        <w:ind w:left="4320" w:hanging="360"/>
      </w:pPr>
      <w:rPr>
        <w:rFonts w:ascii="Wingdings" w:hAnsi="Wingdings" w:hint="default"/>
      </w:rPr>
    </w:lvl>
    <w:lvl w:ilvl="6" w:tplc="46126FBA">
      <w:start w:val="1"/>
      <w:numFmt w:val="bullet"/>
      <w:lvlText w:val=""/>
      <w:lvlJc w:val="left"/>
      <w:pPr>
        <w:ind w:left="5040" w:hanging="360"/>
      </w:pPr>
      <w:rPr>
        <w:rFonts w:ascii="Symbol" w:hAnsi="Symbol" w:hint="default"/>
      </w:rPr>
    </w:lvl>
    <w:lvl w:ilvl="7" w:tplc="8B908566">
      <w:start w:val="1"/>
      <w:numFmt w:val="bullet"/>
      <w:lvlText w:val="o"/>
      <w:lvlJc w:val="left"/>
      <w:pPr>
        <w:ind w:left="5760" w:hanging="360"/>
      </w:pPr>
      <w:rPr>
        <w:rFonts w:ascii="Courier New" w:hAnsi="Courier New" w:hint="default"/>
      </w:rPr>
    </w:lvl>
    <w:lvl w:ilvl="8" w:tplc="2DA0980A">
      <w:start w:val="1"/>
      <w:numFmt w:val="bullet"/>
      <w:lvlText w:val=""/>
      <w:lvlJc w:val="left"/>
      <w:pPr>
        <w:ind w:left="6480" w:hanging="360"/>
      </w:pPr>
      <w:rPr>
        <w:rFonts w:ascii="Wingdings" w:hAnsi="Wingdings" w:hint="default"/>
      </w:rPr>
    </w:lvl>
  </w:abstractNum>
  <w:abstractNum w:abstractNumId="90" w15:restartNumberingAfterBreak="0">
    <w:nsid w:val="72C42422"/>
    <w:multiLevelType w:val="hybridMultilevel"/>
    <w:tmpl w:val="DAE888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6B8EC88"/>
    <w:multiLevelType w:val="hybridMultilevel"/>
    <w:tmpl w:val="FFFFFFFF"/>
    <w:lvl w:ilvl="0" w:tplc="D77403F4">
      <w:start w:val="1"/>
      <w:numFmt w:val="bullet"/>
      <w:lvlText w:val="·"/>
      <w:lvlJc w:val="left"/>
      <w:pPr>
        <w:ind w:left="720" w:hanging="360"/>
      </w:pPr>
      <w:rPr>
        <w:rFonts w:ascii="Symbol" w:hAnsi="Symbol" w:hint="default"/>
      </w:rPr>
    </w:lvl>
    <w:lvl w:ilvl="1" w:tplc="E13EC5EC">
      <w:start w:val="1"/>
      <w:numFmt w:val="bullet"/>
      <w:lvlText w:val="o"/>
      <w:lvlJc w:val="left"/>
      <w:pPr>
        <w:ind w:left="1440" w:hanging="360"/>
      </w:pPr>
      <w:rPr>
        <w:rFonts w:ascii="Courier New" w:hAnsi="Courier New" w:hint="default"/>
      </w:rPr>
    </w:lvl>
    <w:lvl w:ilvl="2" w:tplc="88A0013E">
      <w:start w:val="1"/>
      <w:numFmt w:val="bullet"/>
      <w:lvlText w:val=""/>
      <w:lvlJc w:val="left"/>
      <w:pPr>
        <w:ind w:left="2160" w:hanging="360"/>
      </w:pPr>
      <w:rPr>
        <w:rFonts w:ascii="Wingdings" w:hAnsi="Wingdings" w:hint="default"/>
      </w:rPr>
    </w:lvl>
    <w:lvl w:ilvl="3" w:tplc="F96ADCE6">
      <w:start w:val="1"/>
      <w:numFmt w:val="bullet"/>
      <w:lvlText w:val=""/>
      <w:lvlJc w:val="left"/>
      <w:pPr>
        <w:ind w:left="2880" w:hanging="360"/>
      </w:pPr>
      <w:rPr>
        <w:rFonts w:ascii="Symbol" w:hAnsi="Symbol" w:hint="default"/>
      </w:rPr>
    </w:lvl>
    <w:lvl w:ilvl="4" w:tplc="09F43C18">
      <w:start w:val="1"/>
      <w:numFmt w:val="bullet"/>
      <w:lvlText w:val="o"/>
      <w:lvlJc w:val="left"/>
      <w:pPr>
        <w:ind w:left="3600" w:hanging="360"/>
      </w:pPr>
      <w:rPr>
        <w:rFonts w:ascii="Courier New" w:hAnsi="Courier New" w:hint="default"/>
      </w:rPr>
    </w:lvl>
    <w:lvl w:ilvl="5" w:tplc="C672A87A">
      <w:start w:val="1"/>
      <w:numFmt w:val="bullet"/>
      <w:lvlText w:val=""/>
      <w:lvlJc w:val="left"/>
      <w:pPr>
        <w:ind w:left="4320" w:hanging="360"/>
      </w:pPr>
      <w:rPr>
        <w:rFonts w:ascii="Wingdings" w:hAnsi="Wingdings" w:hint="default"/>
      </w:rPr>
    </w:lvl>
    <w:lvl w:ilvl="6" w:tplc="C28C2D48">
      <w:start w:val="1"/>
      <w:numFmt w:val="bullet"/>
      <w:lvlText w:val=""/>
      <w:lvlJc w:val="left"/>
      <w:pPr>
        <w:ind w:left="5040" w:hanging="360"/>
      </w:pPr>
      <w:rPr>
        <w:rFonts w:ascii="Symbol" w:hAnsi="Symbol" w:hint="default"/>
      </w:rPr>
    </w:lvl>
    <w:lvl w:ilvl="7" w:tplc="96560396">
      <w:start w:val="1"/>
      <w:numFmt w:val="bullet"/>
      <w:lvlText w:val="o"/>
      <w:lvlJc w:val="left"/>
      <w:pPr>
        <w:ind w:left="5760" w:hanging="360"/>
      </w:pPr>
      <w:rPr>
        <w:rFonts w:ascii="Courier New" w:hAnsi="Courier New" w:hint="default"/>
      </w:rPr>
    </w:lvl>
    <w:lvl w:ilvl="8" w:tplc="EBC211C4">
      <w:start w:val="1"/>
      <w:numFmt w:val="bullet"/>
      <w:lvlText w:val=""/>
      <w:lvlJc w:val="left"/>
      <w:pPr>
        <w:ind w:left="6480" w:hanging="360"/>
      </w:pPr>
      <w:rPr>
        <w:rFonts w:ascii="Wingdings" w:hAnsi="Wingdings" w:hint="default"/>
      </w:rPr>
    </w:lvl>
  </w:abstractNum>
  <w:abstractNum w:abstractNumId="92" w15:restartNumberingAfterBreak="0">
    <w:nsid w:val="76E571ED"/>
    <w:multiLevelType w:val="hybridMultilevel"/>
    <w:tmpl w:val="9B84C10E"/>
    <w:lvl w:ilvl="0" w:tplc="A11297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3" w15:restartNumberingAfterBreak="0">
    <w:nsid w:val="7A2795A2"/>
    <w:multiLevelType w:val="hybridMultilevel"/>
    <w:tmpl w:val="FFFFFFFF"/>
    <w:lvl w:ilvl="0" w:tplc="B5B68880">
      <w:start w:val="1"/>
      <w:numFmt w:val="bullet"/>
      <w:lvlText w:val="·"/>
      <w:lvlJc w:val="left"/>
      <w:pPr>
        <w:ind w:left="720" w:hanging="360"/>
      </w:pPr>
      <w:rPr>
        <w:rFonts w:ascii="Symbol" w:hAnsi="Symbol" w:hint="default"/>
      </w:rPr>
    </w:lvl>
    <w:lvl w:ilvl="1" w:tplc="3B266EB2">
      <w:start w:val="1"/>
      <w:numFmt w:val="bullet"/>
      <w:lvlText w:val="o"/>
      <w:lvlJc w:val="left"/>
      <w:pPr>
        <w:ind w:left="1440" w:hanging="360"/>
      </w:pPr>
      <w:rPr>
        <w:rFonts w:ascii="Courier New" w:hAnsi="Courier New" w:hint="default"/>
      </w:rPr>
    </w:lvl>
    <w:lvl w:ilvl="2" w:tplc="38322DAA">
      <w:start w:val="1"/>
      <w:numFmt w:val="bullet"/>
      <w:lvlText w:val=""/>
      <w:lvlJc w:val="left"/>
      <w:pPr>
        <w:ind w:left="2160" w:hanging="360"/>
      </w:pPr>
      <w:rPr>
        <w:rFonts w:ascii="Wingdings" w:hAnsi="Wingdings" w:hint="default"/>
      </w:rPr>
    </w:lvl>
    <w:lvl w:ilvl="3" w:tplc="354276A0">
      <w:start w:val="1"/>
      <w:numFmt w:val="bullet"/>
      <w:lvlText w:val=""/>
      <w:lvlJc w:val="left"/>
      <w:pPr>
        <w:ind w:left="2880" w:hanging="360"/>
      </w:pPr>
      <w:rPr>
        <w:rFonts w:ascii="Symbol" w:hAnsi="Symbol" w:hint="default"/>
      </w:rPr>
    </w:lvl>
    <w:lvl w:ilvl="4" w:tplc="40FEBEDC">
      <w:start w:val="1"/>
      <w:numFmt w:val="bullet"/>
      <w:lvlText w:val="o"/>
      <w:lvlJc w:val="left"/>
      <w:pPr>
        <w:ind w:left="3600" w:hanging="360"/>
      </w:pPr>
      <w:rPr>
        <w:rFonts w:ascii="Courier New" w:hAnsi="Courier New" w:hint="default"/>
      </w:rPr>
    </w:lvl>
    <w:lvl w:ilvl="5" w:tplc="8676C7AE">
      <w:start w:val="1"/>
      <w:numFmt w:val="bullet"/>
      <w:lvlText w:val=""/>
      <w:lvlJc w:val="left"/>
      <w:pPr>
        <w:ind w:left="4320" w:hanging="360"/>
      </w:pPr>
      <w:rPr>
        <w:rFonts w:ascii="Wingdings" w:hAnsi="Wingdings" w:hint="default"/>
      </w:rPr>
    </w:lvl>
    <w:lvl w:ilvl="6" w:tplc="189A4C94">
      <w:start w:val="1"/>
      <w:numFmt w:val="bullet"/>
      <w:lvlText w:val=""/>
      <w:lvlJc w:val="left"/>
      <w:pPr>
        <w:ind w:left="5040" w:hanging="360"/>
      </w:pPr>
      <w:rPr>
        <w:rFonts w:ascii="Symbol" w:hAnsi="Symbol" w:hint="default"/>
      </w:rPr>
    </w:lvl>
    <w:lvl w:ilvl="7" w:tplc="1F22A7A2">
      <w:start w:val="1"/>
      <w:numFmt w:val="bullet"/>
      <w:lvlText w:val="o"/>
      <w:lvlJc w:val="left"/>
      <w:pPr>
        <w:ind w:left="5760" w:hanging="360"/>
      </w:pPr>
      <w:rPr>
        <w:rFonts w:ascii="Courier New" w:hAnsi="Courier New" w:hint="default"/>
      </w:rPr>
    </w:lvl>
    <w:lvl w:ilvl="8" w:tplc="8286B2C8">
      <w:start w:val="1"/>
      <w:numFmt w:val="bullet"/>
      <w:lvlText w:val=""/>
      <w:lvlJc w:val="left"/>
      <w:pPr>
        <w:ind w:left="6480" w:hanging="360"/>
      </w:pPr>
      <w:rPr>
        <w:rFonts w:ascii="Wingdings" w:hAnsi="Wingdings" w:hint="default"/>
      </w:rPr>
    </w:lvl>
  </w:abstractNum>
  <w:abstractNum w:abstractNumId="94" w15:restartNumberingAfterBreak="0">
    <w:nsid w:val="7B93A35D"/>
    <w:multiLevelType w:val="hybridMultilevel"/>
    <w:tmpl w:val="FFFFFFFF"/>
    <w:lvl w:ilvl="0" w:tplc="1494EC22">
      <w:start w:val="1"/>
      <w:numFmt w:val="bullet"/>
      <w:lvlText w:val="·"/>
      <w:lvlJc w:val="left"/>
      <w:pPr>
        <w:ind w:left="720" w:hanging="360"/>
      </w:pPr>
      <w:rPr>
        <w:rFonts w:ascii="Symbol" w:hAnsi="Symbol" w:hint="default"/>
      </w:rPr>
    </w:lvl>
    <w:lvl w:ilvl="1" w:tplc="63E48640">
      <w:start w:val="1"/>
      <w:numFmt w:val="bullet"/>
      <w:lvlText w:val="o"/>
      <w:lvlJc w:val="left"/>
      <w:pPr>
        <w:ind w:left="1440" w:hanging="360"/>
      </w:pPr>
      <w:rPr>
        <w:rFonts w:ascii="Courier New" w:hAnsi="Courier New" w:hint="default"/>
      </w:rPr>
    </w:lvl>
    <w:lvl w:ilvl="2" w:tplc="B4FE1500">
      <w:start w:val="1"/>
      <w:numFmt w:val="bullet"/>
      <w:lvlText w:val=""/>
      <w:lvlJc w:val="left"/>
      <w:pPr>
        <w:ind w:left="2160" w:hanging="360"/>
      </w:pPr>
      <w:rPr>
        <w:rFonts w:ascii="Wingdings" w:hAnsi="Wingdings" w:hint="default"/>
      </w:rPr>
    </w:lvl>
    <w:lvl w:ilvl="3" w:tplc="1FA8E712">
      <w:start w:val="1"/>
      <w:numFmt w:val="bullet"/>
      <w:lvlText w:val=""/>
      <w:lvlJc w:val="left"/>
      <w:pPr>
        <w:ind w:left="2880" w:hanging="360"/>
      </w:pPr>
      <w:rPr>
        <w:rFonts w:ascii="Symbol" w:hAnsi="Symbol" w:hint="default"/>
      </w:rPr>
    </w:lvl>
    <w:lvl w:ilvl="4" w:tplc="56B4C8E4">
      <w:start w:val="1"/>
      <w:numFmt w:val="bullet"/>
      <w:lvlText w:val="o"/>
      <w:lvlJc w:val="left"/>
      <w:pPr>
        <w:ind w:left="3600" w:hanging="360"/>
      </w:pPr>
      <w:rPr>
        <w:rFonts w:ascii="Courier New" w:hAnsi="Courier New" w:hint="default"/>
      </w:rPr>
    </w:lvl>
    <w:lvl w:ilvl="5" w:tplc="4CD05728">
      <w:start w:val="1"/>
      <w:numFmt w:val="bullet"/>
      <w:lvlText w:val=""/>
      <w:lvlJc w:val="left"/>
      <w:pPr>
        <w:ind w:left="4320" w:hanging="360"/>
      </w:pPr>
      <w:rPr>
        <w:rFonts w:ascii="Wingdings" w:hAnsi="Wingdings" w:hint="default"/>
      </w:rPr>
    </w:lvl>
    <w:lvl w:ilvl="6" w:tplc="F9EC8646">
      <w:start w:val="1"/>
      <w:numFmt w:val="bullet"/>
      <w:lvlText w:val=""/>
      <w:lvlJc w:val="left"/>
      <w:pPr>
        <w:ind w:left="5040" w:hanging="360"/>
      </w:pPr>
      <w:rPr>
        <w:rFonts w:ascii="Symbol" w:hAnsi="Symbol" w:hint="default"/>
      </w:rPr>
    </w:lvl>
    <w:lvl w:ilvl="7" w:tplc="A2FE9806">
      <w:start w:val="1"/>
      <w:numFmt w:val="bullet"/>
      <w:lvlText w:val="o"/>
      <w:lvlJc w:val="left"/>
      <w:pPr>
        <w:ind w:left="5760" w:hanging="360"/>
      </w:pPr>
      <w:rPr>
        <w:rFonts w:ascii="Courier New" w:hAnsi="Courier New" w:hint="default"/>
      </w:rPr>
    </w:lvl>
    <w:lvl w:ilvl="8" w:tplc="B882CBAC">
      <w:start w:val="1"/>
      <w:numFmt w:val="bullet"/>
      <w:lvlText w:val=""/>
      <w:lvlJc w:val="left"/>
      <w:pPr>
        <w:ind w:left="6480" w:hanging="360"/>
      </w:pPr>
      <w:rPr>
        <w:rFonts w:ascii="Wingdings" w:hAnsi="Wingdings" w:hint="default"/>
      </w:rPr>
    </w:lvl>
  </w:abstractNum>
  <w:abstractNum w:abstractNumId="95" w15:restartNumberingAfterBreak="0">
    <w:nsid w:val="7BD83106"/>
    <w:multiLevelType w:val="hybridMultilevel"/>
    <w:tmpl w:val="98D2155C"/>
    <w:lvl w:ilvl="0" w:tplc="D1E83952">
      <w:start w:val="1"/>
      <w:numFmt w:val="bullet"/>
      <w:lvlText w:val="·"/>
      <w:lvlJc w:val="left"/>
      <w:pPr>
        <w:ind w:left="720" w:hanging="360"/>
      </w:pPr>
      <w:rPr>
        <w:rFonts w:ascii="Symbol" w:hAnsi="Symbol" w:hint="default"/>
      </w:rPr>
    </w:lvl>
    <w:lvl w:ilvl="1" w:tplc="65144952">
      <w:start w:val="1"/>
      <w:numFmt w:val="bullet"/>
      <w:lvlText w:val="o"/>
      <w:lvlJc w:val="left"/>
      <w:pPr>
        <w:ind w:left="1440" w:hanging="360"/>
      </w:pPr>
      <w:rPr>
        <w:rFonts w:ascii="Courier New" w:hAnsi="Courier New" w:hint="default"/>
      </w:rPr>
    </w:lvl>
    <w:lvl w:ilvl="2" w:tplc="572E06C0">
      <w:start w:val="1"/>
      <w:numFmt w:val="bullet"/>
      <w:lvlText w:val=""/>
      <w:lvlJc w:val="left"/>
      <w:pPr>
        <w:ind w:left="2160" w:hanging="360"/>
      </w:pPr>
      <w:rPr>
        <w:rFonts w:ascii="Wingdings" w:hAnsi="Wingdings" w:hint="default"/>
      </w:rPr>
    </w:lvl>
    <w:lvl w:ilvl="3" w:tplc="3DAE8D90">
      <w:start w:val="1"/>
      <w:numFmt w:val="bullet"/>
      <w:lvlText w:val=""/>
      <w:lvlJc w:val="left"/>
      <w:pPr>
        <w:ind w:left="2880" w:hanging="360"/>
      </w:pPr>
      <w:rPr>
        <w:rFonts w:ascii="Symbol" w:hAnsi="Symbol" w:hint="default"/>
      </w:rPr>
    </w:lvl>
    <w:lvl w:ilvl="4" w:tplc="7A3832EA">
      <w:start w:val="1"/>
      <w:numFmt w:val="bullet"/>
      <w:lvlText w:val="o"/>
      <w:lvlJc w:val="left"/>
      <w:pPr>
        <w:ind w:left="3600" w:hanging="360"/>
      </w:pPr>
      <w:rPr>
        <w:rFonts w:ascii="Courier New" w:hAnsi="Courier New" w:hint="default"/>
      </w:rPr>
    </w:lvl>
    <w:lvl w:ilvl="5" w:tplc="A62EB104">
      <w:start w:val="1"/>
      <w:numFmt w:val="bullet"/>
      <w:lvlText w:val=""/>
      <w:lvlJc w:val="left"/>
      <w:pPr>
        <w:ind w:left="4320" w:hanging="360"/>
      </w:pPr>
      <w:rPr>
        <w:rFonts w:ascii="Wingdings" w:hAnsi="Wingdings" w:hint="default"/>
      </w:rPr>
    </w:lvl>
    <w:lvl w:ilvl="6" w:tplc="63B22F34">
      <w:start w:val="1"/>
      <w:numFmt w:val="bullet"/>
      <w:lvlText w:val=""/>
      <w:lvlJc w:val="left"/>
      <w:pPr>
        <w:ind w:left="5040" w:hanging="360"/>
      </w:pPr>
      <w:rPr>
        <w:rFonts w:ascii="Symbol" w:hAnsi="Symbol" w:hint="default"/>
      </w:rPr>
    </w:lvl>
    <w:lvl w:ilvl="7" w:tplc="6C6838EA">
      <w:start w:val="1"/>
      <w:numFmt w:val="bullet"/>
      <w:lvlText w:val="o"/>
      <w:lvlJc w:val="left"/>
      <w:pPr>
        <w:ind w:left="5760" w:hanging="360"/>
      </w:pPr>
      <w:rPr>
        <w:rFonts w:ascii="Courier New" w:hAnsi="Courier New" w:hint="default"/>
      </w:rPr>
    </w:lvl>
    <w:lvl w:ilvl="8" w:tplc="C8FACDB2">
      <w:start w:val="1"/>
      <w:numFmt w:val="bullet"/>
      <w:lvlText w:val=""/>
      <w:lvlJc w:val="left"/>
      <w:pPr>
        <w:ind w:left="6480" w:hanging="360"/>
      </w:pPr>
      <w:rPr>
        <w:rFonts w:ascii="Wingdings" w:hAnsi="Wingdings" w:hint="default"/>
      </w:rPr>
    </w:lvl>
  </w:abstractNum>
  <w:abstractNum w:abstractNumId="96" w15:restartNumberingAfterBreak="0">
    <w:nsid w:val="7CE682D5"/>
    <w:multiLevelType w:val="hybridMultilevel"/>
    <w:tmpl w:val="C2081DF8"/>
    <w:lvl w:ilvl="0" w:tplc="FA96E33E">
      <w:start w:val="1"/>
      <w:numFmt w:val="bullet"/>
      <w:lvlText w:val="·"/>
      <w:lvlJc w:val="left"/>
      <w:pPr>
        <w:ind w:left="720" w:hanging="360"/>
      </w:pPr>
      <w:rPr>
        <w:rFonts w:ascii="Symbol" w:hAnsi="Symbol" w:hint="default"/>
      </w:rPr>
    </w:lvl>
    <w:lvl w:ilvl="1" w:tplc="7422DDC4">
      <w:start w:val="1"/>
      <w:numFmt w:val="bullet"/>
      <w:lvlText w:val="o"/>
      <w:lvlJc w:val="left"/>
      <w:pPr>
        <w:ind w:left="1440" w:hanging="360"/>
      </w:pPr>
      <w:rPr>
        <w:rFonts w:ascii="Courier New" w:hAnsi="Courier New" w:hint="default"/>
      </w:rPr>
    </w:lvl>
    <w:lvl w:ilvl="2" w:tplc="2BEA3A22">
      <w:start w:val="1"/>
      <w:numFmt w:val="bullet"/>
      <w:lvlText w:val=""/>
      <w:lvlJc w:val="left"/>
      <w:pPr>
        <w:ind w:left="2160" w:hanging="360"/>
      </w:pPr>
      <w:rPr>
        <w:rFonts w:ascii="Wingdings" w:hAnsi="Wingdings" w:hint="default"/>
      </w:rPr>
    </w:lvl>
    <w:lvl w:ilvl="3" w:tplc="9EA6D366">
      <w:start w:val="1"/>
      <w:numFmt w:val="bullet"/>
      <w:lvlText w:val=""/>
      <w:lvlJc w:val="left"/>
      <w:pPr>
        <w:ind w:left="2880" w:hanging="360"/>
      </w:pPr>
      <w:rPr>
        <w:rFonts w:ascii="Symbol" w:hAnsi="Symbol" w:hint="default"/>
      </w:rPr>
    </w:lvl>
    <w:lvl w:ilvl="4" w:tplc="A35CB060">
      <w:start w:val="1"/>
      <w:numFmt w:val="bullet"/>
      <w:lvlText w:val="o"/>
      <w:lvlJc w:val="left"/>
      <w:pPr>
        <w:ind w:left="3600" w:hanging="360"/>
      </w:pPr>
      <w:rPr>
        <w:rFonts w:ascii="Courier New" w:hAnsi="Courier New" w:hint="default"/>
      </w:rPr>
    </w:lvl>
    <w:lvl w:ilvl="5" w:tplc="F7E2308E">
      <w:start w:val="1"/>
      <w:numFmt w:val="bullet"/>
      <w:lvlText w:val=""/>
      <w:lvlJc w:val="left"/>
      <w:pPr>
        <w:ind w:left="4320" w:hanging="360"/>
      </w:pPr>
      <w:rPr>
        <w:rFonts w:ascii="Wingdings" w:hAnsi="Wingdings" w:hint="default"/>
      </w:rPr>
    </w:lvl>
    <w:lvl w:ilvl="6" w:tplc="061CCAE6">
      <w:start w:val="1"/>
      <w:numFmt w:val="bullet"/>
      <w:lvlText w:val=""/>
      <w:lvlJc w:val="left"/>
      <w:pPr>
        <w:ind w:left="5040" w:hanging="360"/>
      </w:pPr>
      <w:rPr>
        <w:rFonts w:ascii="Symbol" w:hAnsi="Symbol" w:hint="default"/>
      </w:rPr>
    </w:lvl>
    <w:lvl w:ilvl="7" w:tplc="936C0384">
      <w:start w:val="1"/>
      <w:numFmt w:val="bullet"/>
      <w:lvlText w:val="o"/>
      <w:lvlJc w:val="left"/>
      <w:pPr>
        <w:ind w:left="5760" w:hanging="360"/>
      </w:pPr>
      <w:rPr>
        <w:rFonts w:ascii="Courier New" w:hAnsi="Courier New" w:hint="default"/>
      </w:rPr>
    </w:lvl>
    <w:lvl w:ilvl="8" w:tplc="2DF0DA86">
      <w:start w:val="1"/>
      <w:numFmt w:val="bullet"/>
      <w:lvlText w:val=""/>
      <w:lvlJc w:val="left"/>
      <w:pPr>
        <w:ind w:left="6480" w:hanging="360"/>
      </w:pPr>
      <w:rPr>
        <w:rFonts w:ascii="Wingdings" w:hAnsi="Wingdings" w:hint="default"/>
      </w:rPr>
    </w:lvl>
  </w:abstractNum>
  <w:abstractNum w:abstractNumId="97" w15:restartNumberingAfterBreak="0">
    <w:nsid w:val="7D8D5F19"/>
    <w:multiLevelType w:val="hybridMultilevel"/>
    <w:tmpl w:val="26F25BF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7D9022A3"/>
    <w:multiLevelType w:val="hybridMultilevel"/>
    <w:tmpl w:val="FFFFFFFF"/>
    <w:lvl w:ilvl="0" w:tplc="960CAF60">
      <w:start w:val="1"/>
      <w:numFmt w:val="bullet"/>
      <w:lvlText w:val="·"/>
      <w:lvlJc w:val="left"/>
      <w:pPr>
        <w:ind w:left="720" w:hanging="360"/>
      </w:pPr>
      <w:rPr>
        <w:rFonts w:ascii="Symbol" w:hAnsi="Symbol" w:hint="default"/>
      </w:rPr>
    </w:lvl>
    <w:lvl w:ilvl="1" w:tplc="94A27CEA">
      <w:start w:val="1"/>
      <w:numFmt w:val="bullet"/>
      <w:lvlText w:val="o"/>
      <w:lvlJc w:val="left"/>
      <w:pPr>
        <w:ind w:left="1440" w:hanging="360"/>
      </w:pPr>
      <w:rPr>
        <w:rFonts w:ascii="Courier New" w:hAnsi="Courier New" w:hint="default"/>
      </w:rPr>
    </w:lvl>
    <w:lvl w:ilvl="2" w:tplc="A6024C42">
      <w:start w:val="1"/>
      <w:numFmt w:val="bullet"/>
      <w:lvlText w:val=""/>
      <w:lvlJc w:val="left"/>
      <w:pPr>
        <w:ind w:left="2160" w:hanging="360"/>
      </w:pPr>
      <w:rPr>
        <w:rFonts w:ascii="Wingdings" w:hAnsi="Wingdings" w:hint="default"/>
      </w:rPr>
    </w:lvl>
    <w:lvl w:ilvl="3" w:tplc="CD143258">
      <w:start w:val="1"/>
      <w:numFmt w:val="bullet"/>
      <w:lvlText w:val=""/>
      <w:lvlJc w:val="left"/>
      <w:pPr>
        <w:ind w:left="2880" w:hanging="360"/>
      </w:pPr>
      <w:rPr>
        <w:rFonts w:ascii="Symbol" w:hAnsi="Symbol" w:hint="default"/>
      </w:rPr>
    </w:lvl>
    <w:lvl w:ilvl="4" w:tplc="E1ACFFA4">
      <w:start w:val="1"/>
      <w:numFmt w:val="bullet"/>
      <w:lvlText w:val="o"/>
      <w:lvlJc w:val="left"/>
      <w:pPr>
        <w:ind w:left="3600" w:hanging="360"/>
      </w:pPr>
      <w:rPr>
        <w:rFonts w:ascii="Courier New" w:hAnsi="Courier New" w:hint="default"/>
      </w:rPr>
    </w:lvl>
    <w:lvl w:ilvl="5" w:tplc="E0F6C996">
      <w:start w:val="1"/>
      <w:numFmt w:val="bullet"/>
      <w:lvlText w:val=""/>
      <w:lvlJc w:val="left"/>
      <w:pPr>
        <w:ind w:left="4320" w:hanging="360"/>
      </w:pPr>
      <w:rPr>
        <w:rFonts w:ascii="Wingdings" w:hAnsi="Wingdings" w:hint="default"/>
      </w:rPr>
    </w:lvl>
    <w:lvl w:ilvl="6" w:tplc="FF5AE074">
      <w:start w:val="1"/>
      <w:numFmt w:val="bullet"/>
      <w:lvlText w:val=""/>
      <w:lvlJc w:val="left"/>
      <w:pPr>
        <w:ind w:left="5040" w:hanging="360"/>
      </w:pPr>
      <w:rPr>
        <w:rFonts w:ascii="Symbol" w:hAnsi="Symbol" w:hint="default"/>
      </w:rPr>
    </w:lvl>
    <w:lvl w:ilvl="7" w:tplc="617C4DA8">
      <w:start w:val="1"/>
      <w:numFmt w:val="bullet"/>
      <w:lvlText w:val="o"/>
      <w:lvlJc w:val="left"/>
      <w:pPr>
        <w:ind w:left="5760" w:hanging="360"/>
      </w:pPr>
      <w:rPr>
        <w:rFonts w:ascii="Courier New" w:hAnsi="Courier New" w:hint="default"/>
      </w:rPr>
    </w:lvl>
    <w:lvl w:ilvl="8" w:tplc="8F44BC2A">
      <w:start w:val="1"/>
      <w:numFmt w:val="bullet"/>
      <w:lvlText w:val=""/>
      <w:lvlJc w:val="left"/>
      <w:pPr>
        <w:ind w:left="6480" w:hanging="360"/>
      </w:pPr>
      <w:rPr>
        <w:rFonts w:ascii="Wingdings" w:hAnsi="Wingdings" w:hint="default"/>
      </w:rPr>
    </w:lvl>
  </w:abstractNum>
  <w:abstractNum w:abstractNumId="99" w15:restartNumberingAfterBreak="0">
    <w:nsid w:val="7F1A5455"/>
    <w:multiLevelType w:val="hybridMultilevel"/>
    <w:tmpl w:val="88826F92"/>
    <w:lvl w:ilvl="0" w:tplc="1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7F3B1167"/>
    <w:multiLevelType w:val="hybridMultilevel"/>
    <w:tmpl w:val="B69605E6"/>
    <w:lvl w:ilvl="0" w:tplc="930E1C74">
      <w:start w:val="1"/>
      <w:numFmt w:val="bullet"/>
      <w:lvlText w:val="·"/>
      <w:lvlJc w:val="left"/>
      <w:pPr>
        <w:ind w:left="720" w:hanging="360"/>
      </w:pPr>
      <w:rPr>
        <w:rFonts w:ascii="Symbol" w:hAnsi="Symbol" w:hint="default"/>
      </w:rPr>
    </w:lvl>
    <w:lvl w:ilvl="1" w:tplc="067E53F8">
      <w:start w:val="1"/>
      <w:numFmt w:val="bullet"/>
      <w:lvlText w:val="o"/>
      <w:lvlJc w:val="left"/>
      <w:pPr>
        <w:ind w:left="1440" w:hanging="360"/>
      </w:pPr>
      <w:rPr>
        <w:rFonts w:ascii="Courier New" w:hAnsi="Courier New" w:hint="default"/>
      </w:rPr>
    </w:lvl>
    <w:lvl w:ilvl="2" w:tplc="A2762C96">
      <w:start w:val="1"/>
      <w:numFmt w:val="bullet"/>
      <w:lvlText w:val=""/>
      <w:lvlJc w:val="left"/>
      <w:pPr>
        <w:ind w:left="2160" w:hanging="360"/>
      </w:pPr>
      <w:rPr>
        <w:rFonts w:ascii="Wingdings" w:hAnsi="Wingdings" w:hint="default"/>
      </w:rPr>
    </w:lvl>
    <w:lvl w:ilvl="3" w:tplc="E722A172">
      <w:start w:val="1"/>
      <w:numFmt w:val="bullet"/>
      <w:lvlText w:val=""/>
      <w:lvlJc w:val="left"/>
      <w:pPr>
        <w:ind w:left="2880" w:hanging="360"/>
      </w:pPr>
      <w:rPr>
        <w:rFonts w:ascii="Symbol" w:hAnsi="Symbol" w:hint="default"/>
      </w:rPr>
    </w:lvl>
    <w:lvl w:ilvl="4" w:tplc="3CC822F6">
      <w:start w:val="1"/>
      <w:numFmt w:val="bullet"/>
      <w:lvlText w:val="o"/>
      <w:lvlJc w:val="left"/>
      <w:pPr>
        <w:ind w:left="3600" w:hanging="360"/>
      </w:pPr>
      <w:rPr>
        <w:rFonts w:ascii="Courier New" w:hAnsi="Courier New" w:hint="default"/>
      </w:rPr>
    </w:lvl>
    <w:lvl w:ilvl="5" w:tplc="7C843E06">
      <w:start w:val="1"/>
      <w:numFmt w:val="bullet"/>
      <w:lvlText w:val=""/>
      <w:lvlJc w:val="left"/>
      <w:pPr>
        <w:ind w:left="4320" w:hanging="360"/>
      </w:pPr>
      <w:rPr>
        <w:rFonts w:ascii="Wingdings" w:hAnsi="Wingdings" w:hint="default"/>
      </w:rPr>
    </w:lvl>
    <w:lvl w:ilvl="6" w:tplc="D632D216">
      <w:start w:val="1"/>
      <w:numFmt w:val="bullet"/>
      <w:lvlText w:val=""/>
      <w:lvlJc w:val="left"/>
      <w:pPr>
        <w:ind w:left="5040" w:hanging="360"/>
      </w:pPr>
      <w:rPr>
        <w:rFonts w:ascii="Symbol" w:hAnsi="Symbol" w:hint="default"/>
      </w:rPr>
    </w:lvl>
    <w:lvl w:ilvl="7" w:tplc="3CBEAAC6">
      <w:start w:val="1"/>
      <w:numFmt w:val="bullet"/>
      <w:lvlText w:val="o"/>
      <w:lvlJc w:val="left"/>
      <w:pPr>
        <w:ind w:left="5760" w:hanging="360"/>
      </w:pPr>
      <w:rPr>
        <w:rFonts w:ascii="Courier New" w:hAnsi="Courier New" w:hint="default"/>
      </w:rPr>
    </w:lvl>
    <w:lvl w:ilvl="8" w:tplc="108AFD38">
      <w:start w:val="1"/>
      <w:numFmt w:val="bullet"/>
      <w:lvlText w:val=""/>
      <w:lvlJc w:val="left"/>
      <w:pPr>
        <w:ind w:left="6480" w:hanging="360"/>
      </w:pPr>
      <w:rPr>
        <w:rFonts w:ascii="Wingdings" w:hAnsi="Wingdings" w:hint="default"/>
      </w:rPr>
    </w:lvl>
  </w:abstractNum>
  <w:abstractNum w:abstractNumId="101" w15:restartNumberingAfterBreak="0">
    <w:nsid w:val="7F3D92C3"/>
    <w:multiLevelType w:val="hybridMultilevel"/>
    <w:tmpl w:val="FFFFFFFF"/>
    <w:lvl w:ilvl="0" w:tplc="B3068096">
      <w:start w:val="1"/>
      <w:numFmt w:val="bullet"/>
      <w:lvlText w:val="·"/>
      <w:lvlJc w:val="left"/>
      <w:pPr>
        <w:ind w:left="720" w:hanging="360"/>
      </w:pPr>
      <w:rPr>
        <w:rFonts w:ascii="Symbol" w:hAnsi="Symbol" w:hint="default"/>
      </w:rPr>
    </w:lvl>
    <w:lvl w:ilvl="1" w:tplc="9FD42B52">
      <w:start w:val="1"/>
      <w:numFmt w:val="bullet"/>
      <w:lvlText w:val="o"/>
      <w:lvlJc w:val="left"/>
      <w:pPr>
        <w:ind w:left="1440" w:hanging="360"/>
      </w:pPr>
      <w:rPr>
        <w:rFonts w:ascii="Courier New" w:hAnsi="Courier New" w:hint="default"/>
      </w:rPr>
    </w:lvl>
    <w:lvl w:ilvl="2" w:tplc="40428254">
      <w:start w:val="1"/>
      <w:numFmt w:val="bullet"/>
      <w:lvlText w:val=""/>
      <w:lvlJc w:val="left"/>
      <w:pPr>
        <w:ind w:left="2160" w:hanging="360"/>
      </w:pPr>
      <w:rPr>
        <w:rFonts w:ascii="Wingdings" w:hAnsi="Wingdings" w:hint="default"/>
      </w:rPr>
    </w:lvl>
    <w:lvl w:ilvl="3" w:tplc="3EBABA2E">
      <w:start w:val="1"/>
      <w:numFmt w:val="bullet"/>
      <w:lvlText w:val=""/>
      <w:lvlJc w:val="left"/>
      <w:pPr>
        <w:ind w:left="2880" w:hanging="360"/>
      </w:pPr>
      <w:rPr>
        <w:rFonts w:ascii="Symbol" w:hAnsi="Symbol" w:hint="default"/>
      </w:rPr>
    </w:lvl>
    <w:lvl w:ilvl="4" w:tplc="12B4DAC8">
      <w:start w:val="1"/>
      <w:numFmt w:val="bullet"/>
      <w:lvlText w:val="o"/>
      <w:lvlJc w:val="left"/>
      <w:pPr>
        <w:ind w:left="3600" w:hanging="360"/>
      </w:pPr>
      <w:rPr>
        <w:rFonts w:ascii="Courier New" w:hAnsi="Courier New" w:hint="default"/>
      </w:rPr>
    </w:lvl>
    <w:lvl w:ilvl="5" w:tplc="E1DE8D78">
      <w:start w:val="1"/>
      <w:numFmt w:val="bullet"/>
      <w:lvlText w:val=""/>
      <w:lvlJc w:val="left"/>
      <w:pPr>
        <w:ind w:left="4320" w:hanging="360"/>
      </w:pPr>
      <w:rPr>
        <w:rFonts w:ascii="Wingdings" w:hAnsi="Wingdings" w:hint="default"/>
      </w:rPr>
    </w:lvl>
    <w:lvl w:ilvl="6" w:tplc="AEAEC932">
      <w:start w:val="1"/>
      <w:numFmt w:val="bullet"/>
      <w:lvlText w:val=""/>
      <w:lvlJc w:val="left"/>
      <w:pPr>
        <w:ind w:left="5040" w:hanging="360"/>
      </w:pPr>
      <w:rPr>
        <w:rFonts w:ascii="Symbol" w:hAnsi="Symbol" w:hint="default"/>
      </w:rPr>
    </w:lvl>
    <w:lvl w:ilvl="7" w:tplc="20081776">
      <w:start w:val="1"/>
      <w:numFmt w:val="bullet"/>
      <w:lvlText w:val="o"/>
      <w:lvlJc w:val="left"/>
      <w:pPr>
        <w:ind w:left="5760" w:hanging="360"/>
      </w:pPr>
      <w:rPr>
        <w:rFonts w:ascii="Courier New" w:hAnsi="Courier New" w:hint="default"/>
      </w:rPr>
    </w:lvl>
    <w:lvl w:ilvl="8" w:tplc="56A08BE6">
      <w:start w:val="1"/>
      <w:numFmt w:val="bullet"/>
      <w:lvlText w:val=""/>
      <w:lvlJc w:val="left"/>
      <w:pPr>
        <w:ind w:left="6480" w:hanging="360"/>
      </w:pPr>
      <w:rPr>
        <w:rFonts w:ascii="Wingdings" w:hAnsi="Wingdings" w:hint="default"/>
      </w:rPr>
    </w:lvl>
  </w:abstractNum>
  <w:num w:numId="1">
    <w:abstractNumId w:val="23"/>
  </w:num>
  <w:num w:numId="2">
    <w:abstractNumId w:val="74"/>
  </w:num>
  <w:num w:numId="3">
    <w:abstractNumId w:val="80"/>
  </w:num>
  <w:num w:numId="4">
    <w:abstractNumId w:val="89"/>
  </w:num>
  <w:num w:numId="5">
    <w:abstractNumId w:val="64"/>
  </w:num>
  <w:num w:numId="6">
    <w:abstractNumId w:val="71"/>
  </w:num>
  <w:num w:numId="7">
    <w:abstractNumId w:val="95"/>
  </w:num>
  <w:num w:numId="8">
    <w:abstractNumId w:val="100"/>
  </w:num>
  <w:num w:numId="9">
    <w:abstractNumId w:val="96"/>
  </w:num>
  <w:num w:numId="10">
    <w:abstractNumId w:val="14"/>
  </w:num>
  <w:num w:numId="11">
    <w:abstractNumId w:val="45"/>
  </w:num>
  <w:num w:numId="12">
    <w:abstractNumId w:val="54"/>
  </w:num>
  <w:num w:numId="13">
    <w:abstractNumId w:val="75"/>
  </w:num>
  <w:num w:numId="14">
    <w:abstractNumId w:val="35"/>
  </w:num>
  <w:num w:numId="15">
    <w:abstractNumId w:val="30"/>
  </w:num>
  <w:num w:numId="16">
    <w:abstractNumId w:val="61"/>
  </w:num>
  <w:num w:numId="17">
    <w:abstractNumId w:val="85"/>
  </w:num>
  <w:num w:numId="18">
    <w:abstractNumId w:val="46"/>
  </w:num>
  <w:num w:numId="19">
    <w:abstractNumId w:val="57"/>
  </w:num>
  <w:num w:numId="20">
    <w:abstractNumId w:val="11"/>
  </w:num>
  <w:num w:numId="21">
    <w:abstractNumId w:val="86"/>
  </w:num>
  <w:num w:numId="22">
    <w:abstractNumId w:val="43"/>
  </w:num>
  <w:num w:numId="23">
    <w:abstractNumId w:val="49"/>
  </w:num>
  <w:num w:numId="24">
    <w:abstractNumId w:val="70"/>
  </w:num>
  <w:num w:numId="25">
    <w:abstractNumId w:val="66"/>
  </w:num>
  <w:num w:numId="26">
    <w:abstractNumId w:val="0"/>
  </w:num>
  <w:num w:numId="27">
    <w:abstractNumId w:val="33"/>
  </w:num>
  <w:num w:numId="28">
    <w:abstractNumId w:val="36"/>
  </w:num>
  <w:num w:numId="29">
    <w:abstractNumId w:val="52"/>
  </w:num>
  <w:num w:numId="30">
    <w:abstractNumId w:val="82"/>
  </w:num>
  <w:num w:numId="31">
    <w:abstractNumId w:val="88"/>
  </w:num>
  <w:num w:numId="32">
    <w:abstractNumId w:val="60"/>
  </w:num>
  <w:num w:numId="33">
    <w:abstractNumId w:val="40"/>
  </w:num>
  <w:num w:numId="34">
    <w:abstractNumId w:val="55"/>
  </w:num>
  <w:num w:numId="35">
    <w:abstractNumId w:val="90"/>
  </w:num>
  <w:num w:numId="36">
    <w:abstractNumId w:val="58"/>
  </w:num>
  <w:num w:numId="37">
    <w:abstractNumId w:val="81"/>
  </w:num>
  <w:num w:numId="38">
    <w:abstractNumId w:val="44"/>
  </w:num>
  <w:num w:numId="39">
    <w:abstractNumId w:val="97"/>
  </w:num>
  <w:num w:numId="40">
    <w:abstractNumId w:val="28"/>
  </w:num>
  <w:num w:numId="41">
    <w:abstractNumId w:val="24"/>
  </w:num>
  <w:num w:numId="42">
    <w:abstractNumId w:val="32"/>
  </w:num>
  <w:num w:numId="43">
    <w:abstractNumId w:val="72"/>
  </w:num>
  <w:num w:numId="44">
    <w:abstractNumId w:val="63"/>
  </w:num>
  <w:num w:numId="45">
    <w:abstractNumId w:val="34"/>
  </w:num>
  <w:num w:numId="46">
    <w:abstractNumId w:val="48"/>
  </w:num>
  <w:num w:numId="47">
    <w:abstractNumId w:val="42"/>
  </w:num>
  <w:num w:numId="48">
    <w:abstractNumId w:val="41"/>
  </w:num>
  <w:num w:numId="49">
    <w:abstractNumId w:val="77"/>
  </w:num>
  <w:num w:numId="50">
    <w:abstractNumId w:val="84"/>
  </w:num>
  <w:num w:numId="51">
    <w:abstractNumId w:val="78"/>
  </w:num>
  <w:num w:numId="52">
    <w:abstractNumId w:val="38"/>
  </w:num>
  <w:num w:numId="53">
    <w:abstractNumId w:val="93"/>
  </w:num>
  <w:num w:numId="54">
    <w:abstractNumId w:val="3"/>
  </w:num>
  <w:num w:numId="55">
    <w:abstractNumId w:val="1"/>
  </w:num>
  <w:num w:numId="56">
    <w:abstractNumId w:val="29"/>
  </w:num>
  <w:num w:numId="57">
    <w:abstractNumId w:val="101"/>
  </w:num>
  <w:num w:numId="58">
    <w:abstractNumId w:val="12"/>
  </w:num>
  <w:num w:numId="59">
    <w:abstractNumId w:val="53"/>
  </w:num>
  <w:num w:numId="60">
    <w:abstractNumId w:val="98"/>
  </w:num>
  <w:num w:numId="61">
    <w:abstractNumId w:val="76"/>
  </w:num>
  <w:num w:numId="62">
    <w:abstractNumId w:val="51"/>
  </w:num>
  <w:num w:numId="63">
    <w:abstractNumId w:val="10"/>
  </w:num>
  <w:num w:numId="64">
    <w:abstractNumId w:val="68"/>
  </w:num>
  <w:num w:numId="65">
    <w:abstractNumId w:val="94"/>
  </w:num>
  <w:num w:numId="66">
    <w:abstractNumId w:val="15"/>
  </w:num>
  <w:num w:numId="67">
    <w:abstractNumId w:val="13"/>
  </w:num>
  <w:num w:numId="68">
    <w:abstractNumId w:val="67"/>
  </w:num>
  <w:num w:numId="69">
    <w:abstractNumId w:val="16"/>
  </w:num>
  <w:num w:numId="70">
    <w:abstractNumId w:val="73"/>
  </w:num>
  <w:num w:numId="71">
    <w:abstractNumId w:val="91"/>
  </w:num>
  <w:num w:numId="72">
    <w:abstractNumId w:val="21"/>
  </w:num>
  <w:num w:numId="73">
    <w:abstractNumId w:val="47"/>
  </w:num>
  <w:num w:numId="74">
    <w:abstractNumId w:val="22"/>
  </w:num>
  <w:num w:numId="75">
    <w:abstractNumId w:val="27"/>
  </w:num>
  <w:num w:numId="76">
    <w:abstractNumId w:val="37"/>
  </w:num>
  <w:num w:numId="77">
    <w:abstractNumId w:val="79"/>
  </w:num>
  <w:num w:numId="78">
    <w:abstractNumId w:val="92"/>
  </w:num>
  <w:num w:numId="79">
    <w:abstractNumId w:val="58"/>
  </w:num>
  <w:num w:numId="80">
    <w:abstractNumId w:val="82"/>
    <w:lvlOverride w:ilvl="0">
      <w:startOverride w:val="9"/>
    </w:lvlOverride>
  </w:num>
  <w:num w:numId="81">
    <w:abstractNumId w:val="82"/>
    <w:lvlOverride w:ilvl="0">
      <w:startOverride w:val="9"/>
    </w:lvlOverride>
  </w:num>
  <w:num w:numId="82">
    <w:abstractNumId w:val="25"/>
  </w:num>
  <w:num w:numId="83">
    <w:abstractNumId w:val="2"/>
  </w:num>
  <w:num w:numId="84">
    <w:abstractNumId w:val="50"/>
  </w:num>
  <w:num w:numId="85">
    <w:abstractNumId w:val="26"/>
  </w:num>
  <w:num w:numId="86">
    <w:abstractNumId w:val="39"/>
  </w:num>
  <w:num w:numId="87">
    <w:abstractNumId w:val="18"/>
  </w:num>
  <w:num w:numId="88">
    <w:abstractNumId w:val="5"/>
  </w:num>
  <w:num w:numId="89">
    <w:abstractNumId w:val="62"/>
  </w:num>
  <w:num w:numId="90">
    <w:abstractNumId w:val="59"/>
  </w:num>
  <w:num w:numId="91">
    <w:abstractNumId w:val="31"/>
  </w:num>
  <w:num w:numId="92">
    <w:abstractNumId w:val="20"/>
  </w:num>
  <w:num w:numId="93">
    <w:abstractNumId w:val="87"/>
  </w:num>
  <w:num w:numId="94">
    <w:abstractNumId w:val="7"/>
  </w:num>
  <w:num w:numId="95">
    <w:abstractNumId w:val="17"/>
  </w:num>
  <w:num w:numId="96">
    <w:abstractNumId w:val="9"/>
  </w:num>
  <w:num w:numId="97">
    <w:abstractNumId w:val="8"/>
  </w:num>
  <w:num w:numId="98">
    <w:abstractNumId w:val="69"/>
  </w:num>
  <w:num w:numId="99">
    <w:abstractNumId w:val="6"/>
  </w:num>
  <w:num w:numId="100">
    <w:abstractNumId w:val="19"/>
  </w:num>
  <w:num w:numId="101">
    <w:abstractNumId w:val="99"/>
  </w:num>
  <w:num w:numId="102">
    <w:abstractNumId w:val="4"/>
  </w:num>
  <w:num w:numId="103">
    <w:abstractNumId w:val="65"/>
  </w:num>
  <w:num w:numId="104">
    <w:abstractNumId w:val="56"/>
  </w:num>
  <w:num w:numId="105">
    <w:abstractNumId w:val="83"/>
  </w:num>
  <w:num w:numId="106">
    <w:abstractNumId w:val="8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nl-NL" w:vendorID="64" w:dllVersion="0" w:nlCheck="1" w:checkStyle="0"/>
  <w:activeWritingStyle w:appName="MSWord" w:lang="en-IE" w:vendorID="64" w:dllVersion="0" w:nlCheck="1" w:checkStyle="0"/>
  <w:activeWritingStyle w:appName="MSWord" w:lang="nl" w:vendorID="64" w:dllVersion="0" w:nlCheck="1" w:checkStyle="0"/>
  <w:activeWritingStyle w:appName="MSWord" w:lang="en-US" w:vendorID="64" w:dllVersion="0" w:nlCheck="1" w:checkStyle="0"/>
  <w:activeWritingStyle w:appName="MSWord" w:lang="pt-PT" w:vendorID="64" w:dllVersion="0" w:nlCheck="1" w:checkStyle="0"/>
  <w:activeWritingStyle w:appName="MSWord" w:lang="fr-CA" w:vendorID="64" w:dllVersion="0"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fr-CA" w:vendorID="64" w:dllVersion="6" w:nlCheck="1" w:checkStyle="0"/>
  <w:activeWritingStyle w:appName="MSWord" w:lang="nl-NL" w:vendorID="64" w:dllVersion="6" w:nlCheck="1" w:checkStyle="0"/>
  <w:activeWritingStyle w:appName="MSWord" w:lang="fr-BE" w:vendorID="64" w:dllVersion="6" w:nlCheck="1" w:checkStyle="0"/>
  <w:activeWritingStyle w:appName="MSWord" w:lang="pt-PT" w:vendorID="64" w:dllVersion="6" w:nlCheck="1" w:checkStyle="0"/>
  <w:activeWritingStyle w:appName="MSWord" w:lang="fr-FR" w:vendorID="64" w:dllVersion="131078" w:nlCheck="1" w:checkStyle="0"/>
  <w:activeWritingStyle w:appName="MSWord" w:lang="en-IE"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8C2E0E7A-28C5-4D84-92C6-EA14959F9342"/>
    <w:docVar w:name="LW_COVERPAGE_TYPE" w:val="1"/>
    <w:docVar w:name="LW_CROSSREFERENCE" w:val="&lt;UNUSED&gt;"/>
    <w:docVar w:name="LW_DocType" w:val="NORMAL"/>
    <w:docVar w:name="LW_EMISSION" w:val="7.6.2023"/>
    <w:docVar w:name="LW_EMISSION_ISODATE" w:val="2023-06-0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2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une approche globale en matière de santé mental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473235"/>
    <w:rsid w:val="000000A3"/>
    <w:rsid w:val="0000016D"/>
    <w:rsid w:val="000002B9"/>
    <w:rsid w:val="00000549"/>
    <w:rsid w:val="000007A3"/>
    <w:rsid w:val="00000A3A"/>
    <w:rsid w:val="00000B17"/>
    <w:rsid w:val="00000B18"/>
    <w:rsid w:val="00000B8F"/>
    <w:rsid w:val="00001075"/>
    <w:rsid w:val="0000158E"/>
    <w:rsid w:val="000024A3"/>
    <w:rsid w:val="0000261C"/>
    <w:rsid w:val="000028C9"/>
    <w:rsid w:val="000029B5"/>
    <w:rsid w:val="000033CF"/>
    <w:rsid w:val="0000351E"/>
    <w:rsid w:val="00003556"/>
    <w:rsid w:val="00003759"/>
    <w:rsid w:val="0000390A"/>
    <w:rsid w:val="00003AEC"/>
    <w:rsid w:val="00003B32"/>
    <w:rsid w:val="00003D54"/>
    <w:rsid w:val="00003FE7"/>
    <w:rsid w:val="00004951"/>
    <w:rsid w:val="0000516C"/>
    <w:rsid w:val="00005444"/>
    <w:rsid w:val="00005856"/>
    <w:rsid w:val="00005BBC"/>
    <w:rsid w:val="00005BC6"/>
    <w:rsid w:val="00005D36"/>
    <w:rsid w:val="000060F7"/>
    <w:rsid w:val="00006C11"/>
    <w:rsid w:val="00006D22"/>
    <w:rsid w:val="00006D5D"/>
    <w:rsid w:val="00006DA1"/>
    <w:rsid w:val="00007143"/>
    <w:rsid w:val="0000743A"/>
    <w:rsid w:val="00007611"/>
    <w:rsid w:val="0000785C"/>
    <w:rsid w:val="00007B6C"/>
    <w:rsid w:val="00007FDC"/>
    <w:rsid w:val="00010879"/>
    <w:rsid w:val="00010B25"/>
    <w:rsid w:val="00010D23"/>
    <w:rsid w:val="00010F1D"/>
    <w:rsid w:val="00011268"/>
    <w:rsid w:val="00011435"/>
    <w:rsid w:val="000115FF"/>
    <w:rsid w:val="00011936"/>
    <w:rsid w:val="00011A34"/>
    <w:rsid w:val="00011DED"/>
    <w:rsid w:val="00011E6E"/>
    <w:rsid w:val="00011E82"/>
    <w:rsid w:val="00011F23"/>
    <w:rsid w:val="00012619"/>
    <w:rsid w:val="00012C72"/>
    <w:rsid w:val="00012DB6"/>
    <w:rsid w:val="00012F4C"/>
    <w:rsid w:val="000135F6"/>
    <w:rsid w:val="0001379C"/>
    <w:rsid w:val="00013930"/>
    <w:rsid w:val="00013F8F"/>
    <w:rsid w:val="00014315"/>
    <w:rsid w:val="00014A20"/>
    <w:rsid w:val="00014B05"/>
    <w:rsid w:val="00014B0A"/>
    <w:rsid w:val="00015033"/>
    <w:rsid w:val="00015419"/>
    <w:rsid w:val="0001568F"/>
    <w:rsid w:val="00015E86"/>
    <w:rsid w:val="000169F9"/>
    <w:rsid w:val="00016A71"/>
    <w:rsid w:val="00016A97"/>
    <w:rsid w:val="00016B07"/>
    <w:rsid w:val="00016B9D"/>
    <w:rsid w:val="00016CF7"/>
    <w:rsid w:val="00016E9F"/>
    <w:rsid w:val="00016EE1"/>
    <w:rsid w:val="000173E2"/>
    <w:rsid w:val="0001749C"/>
    <w:rsid w:val="00017574"/>
    <w:rsid w:val="000177A2"/>
    <w:rsid w:val="000177EC"/>
    <w:rsid w:val="00017936"/>
    <w:rsid w:val="00017A71"/>
    <w:rsid w:val="00017BE3"/>
    <w:rsid w:val="00020206"/>
    <w:rsid w:val="00020249"/>
    <w:rsid w:val="000207D6"/>
    <w:rsid w:val="00020971"/>
    <w:rsid w:val="0002098E"/>
    <w:rsid w:val="00021477"/>
    <w:rsid w:val="00021C94"/>
    <w:rsid w:val="00021CDD"/>
    <w:rsid w:val="00021D7A"/>
    <w:rsid w:val="0002209C"/>
    <w:rsid w:val="000221A6"/>
    <w:rsid w:val="000225B3"/>
    <w:rsid w:val="00022676"/>
    <w:rsid w:val="0002278B"/>
    <w:rsid w:val="00022E0A"/>
    <w:rsid w:val="00022F4E"/>
    <w:rsid w:val="000233B3"/>
    <w:rsid w:val="00023528"/>
    <w:rsid w:val="00023705"/>
    <w:rsid w:val="00023714"/>
    <w:rsid w:val="00023715"/>
    <w:rsid w:val="00024093"/>
    <w:rsid w:val="000241F5"/>
    <w:rsid w:val="000242CB"/>
    <w:rsid w:val="000244A7"/>
    <w:rsid w:val="000248CD"/>
    <w:rsid w:val="00024933"/>
    <w:rsid w:val="00024B3E"/>
    <w:rsid w:val="00024C61"/>
    <w:rsid w:val="000251F1"/>
    <w:rsid w:val="0002546F"/>
    <w:rsid w:val="000255A1"/>
    <w:rsid w:val="000258C5"/>
    <w:rsid w:val="00025B45"/>
    <w:rsid w:val="00025EC8"/>
    <w:rsid w:val="0002606C"/>
    <w:rsid w:val="0002641D"/>
    <w:rsid w:val="000264F2"/>
    <w:rsid w:val="000266A7"/>
    <w:rsid w:val="00026AE7"/>
    <w:rsid w:val="00026B07"/>
    <w:rsid w:val="00026BA1"/>
    <w:rsid w:val="00026FBF"/>
    <w:rsid w:val="00027145"/>
    <w:rsid w:val="0002716A"/>
    <w:rsid w:val="0002762D"/>
    <w:rsid w:val="0002771E"/>
    <w:rsid w:val="00027795"/>
    <w:rsid w:val="000279E4"/>
    <w:rsid w:val="00027E33"/>
    <w:rsid w:val="0003030C"/>
    <w:rsid w:val="00030704"/>
    <w:rsid w:val="00030919"/>
    <w:rsid w:val="00030AAE"/>
    <w:rsid w:val="00030B9D"/>
    <w:rsid w:val="00030CF5"/>
    <w:rsid w:val="000312CB"/>
    <w:rsid w:val="000313F9"/>
    <w:rsid w:val="00031587"/>
    <w:rsid w:val="000315B6"/>
    <w:rsid w:val="000316B2"/>
    <w:rsid w:val="000318B7"/>
    <w:rsid w:val="000319FC"/>
    <w:rsid w:val="000321FF"/>
    <w:rsid w:val="000323A8"/>
    <w:rsid w:val="0003283F"/>
    <w:rsid w:val="00032924"/>
    <w:rsid w:val="00032C97"/>
    <w:rsid w:val="00032DA3"/>
    <w:rsid w:val="00032EB4"/>
    <w:rsid w:val="000337F2"/>
    <w:rsid w:val="00033A23"/>
    <w:rsid w:val="00033B82"/>
    <w:rsid w:val="00033D67"/>
    <w:rsid w:val="0003440E"/>
    <w:rsid w:val="0003456E"/>
    <w:rsid w:val="0003470A"/>
    <w:rsid w:val="00034962"/>
    <w:rsid w:val="00034C0D"/>
    <w:rsid w:val="00034F0A"/>
    <w:rsid w:val="00035086"/>
    <w:rsid w:val="00035571"/>
    <w:rsid w:val="00035A13"/>
    <w:rsid w:val="00035F64"/>
    <w:rsid w:val="000363DD"/>
    <w:rsid w:val="0003648D"/>
    <w:rsid w:val="00036506"/>
    <w:rsid w:val="00036572"/>
    <w:rsid w:val="000368BE"/>
    <w:rsid w:val="00036BE9"/>
    <w:rsid w:val="00036FA9"/>
    <w:rsid w:val="00037178"/>
    <w:rsid w:val="00037457"/>
    <w:rsid w:val="00037579"/>
    <w:rsid w:val="000379BA"/>
    <w:rsid w:val="00037BDE"/>
    <w:rsid w:val="00037CF1"/>
    <w:rsid w:val="00037E58"/>
    <w:rsid w:val="00037EC7"/>
    <w:rsid w:val="0004002D"/>
    <w:rsid w:val="00040565"/>
    <w:rsid w:val="00040719"/>
    <w:rsid w:val="000409CF"/>
    <w:rsid w:val="00040E23"/>
    <w:rsid w:val="00040E24"/>
    <w:rsid w:val="00041130"/>
    <w:rsid w:val="0004142E"/>
    <w:rsid w:val="000414FE"/>
    <w:rsid w:val="000415D4"/>
    <w:rsid w:val="00041647"/>
    <w:rsid w:val="0004175D"/>
    <w:rsid w:val="0004189D"/>
    <w:rsid w:val="000418F5"/>
    <w:rsid w:val="00041940"/>
    <w:rsid w:val="00041D2E"/>
    <w:rsid w:val="00041DE4"/>
    <w:rsid w:val="00041E7A"/>
    <w:rsid w:val="00041F9C"/>
    <w:rsid w:val="00042572"/>
    <w:rsid w:val="0004276A"/>
    <w:rsid w:val="00042902"/>
    <w:rsid w:val="00042936"/>
    <w:rsid w:val="00042A43"/>
    <w:rsid w:val="000430AA"/>
    <w:rsid w:val="00043172"/>
    <w:rsid w:val="00043193"/>
    <w:rsid w:val="0004363D"/>
    <w:rsid w:val="0004365E"/>
    <w:rsid w:val="00043820"/>
    <w:rsid w:val="00043A63"/>
    <w:rsid w:val="00043CE3"/>
    <w:rsid w:val="00043FDD"/>
    <w:rsid w:val="00044117"/>
    <w:rsid w:val="000441CC"/>
    <w:rsid w:val="00044908"/>
    <w:rsid w:val="00044DE2"/>
    <w:rsid w:val="00044ECB"/>
    <w:rsid w:val="00045007"/>
    <w:rsid w:val="000450FE"/>
    <w:rsid w:val="0004515F"/>
    <w:rsid w:val="00045160"/>
    <w:rsid w:val="0004518B"/>
    <w:rsid w:val="000451DE"/>
    <w:rsid w:val="000453B6"/>
    <w:rsid w:val="0004550E"/>
    <w:rsid w:val="0004559E"/>
    <w:rsid w:val="000459B1"/>
    <w:rsid w:val="00045CB1"/>
    <w:rsid w:val="0004612A"/>
    <w:rsid w:val="000465EC"/>
    <w:rsid w:val="000468B7"/>
    <w:rsid w:val="00046A36"/>
    <w:rsid w:val="00046D44"/>
    <w:rsid w:val="00047019"/>
    <w:rsid w:val="000474D3"/>
    <w:rsid w:val="00047582"/>
    <w:rsid w:val="00047721"/>
    <w:rsid w:val="000478BE"/>
    <w:rsid w:val="00047A8E"/>
    <w:rsid w:val="00047B63"/>
    <w:rsid w:val="00047CA4"/>
    <w:rsid w:val="00047E14"/>
    <w:rsid w:val="00050136"/>
    <w:rsid w:val="000505B2"/>
    <w:rsid w:val="0005063C"/>
    <w:rsid w:val="000506DC"/>
    <w:rsid w:val="00050739"/>
    <w:rsid w:val="00050826"/>
    <w:rsid w:val="000509EE"/>
    <w:rsid w:val="00050F23"/>
    <w:rsid w:val="00051232"/>
    <w:rsid w:val="00051C64"/>
    <w:rsid w:val="000521E8"/>
    <w:rsid w:val="000523A4"/>
    <w:rsid w:val="00052F46"/>
    <w:rsid w:val="00052FB8"/>
    <w:rsid w:val="00053114"/>
    <w:rsid w:val="000534FE"/>
    <w:rsid w:val="000535CC"/>
    <w:rsid w:val="00053A9A"/>
    <w:rsid w:val="00053BE8"/>
    <w:rsid w:val="00053EB1"/>
    <w:rsid w:val="0005408E"/>
    <w:rsid w:val="000544B7"/>
    <w:rsid w:val="0005453A"/>
    <w:rsid w:val="00054C75"/>
    <w:rsid w:val="00054CB0"/>
    <w:rsid w:val="0005561E"/>
    <w:rsid w:val="00055ACE"/>
    <w:rsid w:val="00055ECB"/>
    <w:rsid w:val="0005625E"/>
    <w:rsid w:val="00056595"/>
    <w:rsid w:val="000566A8"/>
    <w:rsid w:val="000567DA"/>
    <w:rsid w:val="00056A5C"/>
    <w:rsid w:val="0005723C"/>
    <w:rsid w:val="0005724D"/>
    <w:rsid w:val="0005730E"/>
    <w:rsid w:val="00057559"/>
    <w:rsid w:val="00057627"/>
    <w:rsid w:val="00057A89"/>
    <w:rsid w:val="00057DE4"/>
    <w:rsid w:val="00060276"/>
    <w:rsid w:val="00060826"/>
    <w:rsid w:val="0006082E"/>
    <w:rsid w:val="00060AD2"/>
    <w:rsid w:val="00061123"/>
    <w:rsid w:val="000612E8"/>
    <w:rsid w:val="000616DF"/>
    <w:rsid w:val="000619DD"/>
    <w:rsid w:val="00061C62"/>
    <w:rsid w:val="00061CBC"/>
    <w:rsid w:val="000620E7"/>
    <w:rsid w:val="000623D3"/>
    <w:rsid w:val="00062447"/>
    <w:rsid w:val="000626E1"/>
    <w:rsid w:val="00062D3C"/>
    <w:rsid w:val="00062ECC"/>
    <w:rsid w:val="00063034"/>
    <w:rsid w:val="000631B9"/>
    <w:rsid w:val="00063B11"/>
    <w:rsid w:val="00063B89"/>
    <w:rsid w:val="00063F87"/>
    <w:rsid w:val="00064972"/>
    <w:rsid w:val="000650ED"/>
    <w:rsid w:val="00065BA6"/>
    <w:rsid w:val="00065C17"/>
    <w:rsid w:val="000662C4"/>
    <w:rsid w:val="00066410"/>
    <w:rsid w:val="0006656E"/>
    <w:rsid w:val="00066669"/>
    <w:rsid w:val="00066783"/>
    <w:rsid w:val="00066B05"/>
    <w:rsid w:val="00067079"/>
    <w:rsid w:val="00067303"/>
    <w:rsid w:val="000675B3"/>
    <w:rsid w:val="000678C3"/>
    <w:rsid w:val="00067E58"/>
    <w:rsid w:val="00067ECA"/>
    <w:rsid w:val="000705E7"/>
    <w:rsid w:val="00070743"/>
    <w:rsid w:val="000707D3"/>
    <w:rsid w:val="000709C0"/>
    <w:rsid w:val="00070D72"/>
    <w:rsid w:val="000713DF"/>
    <w:rsid w:val="000715C8"/>
    <w:rsid w:val="00071705"/>
    <w:rsid w:val="00071BFB"/>
    <w:rsid w:val="00071C88"/>
    <w:rsid w:val="00071EEF"/>
    <w:rsid w:val="00071FA9"/>
    <w:rsid w:val="000723B0"/>
    <w:rsid w:val="00072559"/>
    <w:rsid w:val="00072925"/>
    <w:rsid w:val="00072A5F"/>
    <w:rsid w:val="00072BD5"/>
    <w:rsid w:val="00072DC1"/>
    <w:rsid w:val="00072E4B"/>
    <w:rsid w:val="000733F9"/>
    <w:rsid w:val="000734C9"/>
    <w:rsid w:val="000738AE"/>
    <w:rsid w:val="000738FC"/>
    <w:rsid w:val="00073A06"/>
    <w:rsid w:val="00073E7D"/>
    <w:rsid w:val="00073FCC"/>
    <w:rsid w:val="0007438C"/>
    <w:rsid w:val="000743DA"/>
    <w:rsid w:val="00074B7E"/>
    <w:rsid w:val="00074BDF"/>
    <w:rsid w:val="00074C9E"/>
    <w:rsid w:val="00074DDB"/>
    <w:rsid w:val="00074DF2"/>
    <w:rsid w:val="00074E1B"/>
    <w:rsid w:val="00074E1C"/>
    <w:rsid w:val="00074F66"/>
    <w:rsid w:val="0007505E"/>
    <w:rsid w:val="0007506A"/>
    <w:rsid w:val="00075251"/>
    <w:rsid w:val="000754F8"/>
    <w:rsid w:val="000755C4"/>
    <w:rsid w:val="00075961"/>
    <w:rsid w:val="00076130"/>
    <w:rsid w:val="00076143"/>
    <w:rsid w:val="0007640F"/>
    <w:rsid w:val="000765C1"/>
    <w:rsid w:val="00076682"/>
    <w:rsid w:val="000767D5"/>
    <w:rsid w:val="00076915"/>
    <w:rsid w:val="00076AD4"/>
    <w:rsid w:val="00076B7C"/>
    <w:rsid w:val="00076BA8"/>
    <w:rsid w:val="00076E63"/>
    <w:rsid w:val="000771B2"/>
    <w:rsid w:val="00077207"/>
    <w:rsid w:val="00077235"/>
    <w:rsid w:val="00077331"/>
    <w:rsid w:val="00077565"/>
    <w:rsid w:val="0007763C"/>
    <w:rsid w:val="000777D9"/>
    <w:rsid w:val="0007793B"/>
    <w:rsid w:val="00077EFD"/>
    <w:rsid w:val="00077F76"/>
    <w:rsid w:val="0008047C"/>
    <w:rsid w:val="00080513"/>
    <w:rsid w:val="0008051C"/>
    <w:rsid w:val="00080522"/>
    <w:rsid w:val="0008082D"/>
    <w:rsid w:val="000809B3"/>
    <w:rsid w:val="00080C0A"/>
    <w:rsid w:val="00080C6E"/>
    <w:rsid w:val="00080D33"/>
    <w:rsid w:val="00081012"/>
    <w:rsid w:val="000810A8"/>
    <w:rsid w:val="000813E9"/>
    <w:rsid w:val="00081531"/>
    <w:rsid w:val="00081858"/>
    <w:rsid w:val="00081B5E"/>
    <w:rsid w:val="000820DD"/>
    <w:rsid w:val="00082368"/>
    <w:rsid w:val="0008237E"/>
    <w:rsid w:val="00082858"/>
    <w:rsid w:val="00082987"/>
    <w:rsid w:val="00082A6B"/>
    <w:rsid w:val="00082B02"/>
    <w:rsid w:val="00082DEC"/>
    <w:rsid w:val="000832D9"/>
    <w:rsid w:val="000838B5"/>
    <w:rsid w:val="00083A28"/>
    <w:rsid w:val="00083A99"/>
    <w:rsid w:val="00083B1E"/>
    <w:rsid w:val="0008422E"/>
    <w:rsid w:val="0008442E"/>
    <w:rsid w:val="00084948"/>
    <w:rsid w:val="00084E36"/>
    <w:rsid w:val="00085141"/>
    <w:rsid w:val="000852CC"/>
    <w:rsid w:val="000855BB"/>
    <w:rsid w:val="00085A6F"/>
    <w:rsid w:val="00085DD5"/>
    <w:rsid w:val="00086038"/>
    <w:rsid w:val="000860C1"/>
    <w:rsid w:val="00086209"/>
    <w:rsid w:val="00086489"/>
    <w:rsid w:val="0008694D"/>
    <w:rsid w:val="00086964"/>
    <w:rsid w:val="00086A27"/>
    <w:rsid w:val="00086B3C"/>
    <w:rsid w:val="00086D5F"/>
    <w:rsid w:val="00086DF7"/>
    <w:rsid w:val="00086E7E"/>
    <w:rsid w:val="00086F2E"/>
    <w:rsid w:val="00087011"/>
    <w:rsid w:val="00087837"/>
    <w:rsid w:val="000879A4"/>
    <w:rsid w:val="00087A3C"/>
    <w:rsid w:val="00087AD1"/>
    <w:rsid w:val="00087FCC"/>
    <w:rsid w:val="000902A4"/>
    <w:rsid w:val="00090367"/>
    <w:rsid w:val="000905D0"/>
    <w:rsid w:val="00090685"/>
    <w:rsid w:val="0009074B"/>
    <w:rsid w:val="00090838"/>
    <w:rsid w:val="000908BC"/>
    <w:rsid w:val="00090DEC"/>
    <w:rsid w:val="00090EE8"/>
    <w:rsid w:val="00091483"/>
    <w:rsid w:val="00091A39"/>
    <w:rsid w:val="00091AB6"/>
    <w:rsid w:val="00091C1B"/>
    <w:rsid w:val="00091E11"/>
    <w:rsid w:val="00091E96"/>
    <w:rsid w:val="00091ED5"/>
    <w:rsid w:val="000922D3"/>
    <w:rsid w:val="000923D6"/>
    <w:rsid w:val="000930A1"/>
    <w:rsid w:val="00093376"/>
    <w:rsid w:val="00093AE3"/>
    <w:rsid w:val="00093B81"/>
    <w:rsid w:val="00093D3C"/>
    <w:rsid w:val="00093E56"/>
    <w:rsid w:val="0009406D"/>
    <w:rsid w:val="00094235"/>
    <w:rsid w:val="0009443F"/>
    <w:rsid w:val="00094CB3"/>
    <w:rsid w:val="00094F0F"/>
    <w:rsid w:val="00095025"/>
    <w:rsid w:val="000951A0"/>
    <w:rsid w:val="00095801"/>
    <w:rsid w:val="00095B96"/>
    <w:rsid w:val="00095C8B"/>
    <w:rsid w:val="00095DAA"/>
    <w:rsid w:val="00095F6A"/>
    <w:rsid w:val="00095FA0"/>
    <w:rsid w:val="00095FAA"/>
    <w:rsid w:val="000960FD"/>
    <w:rsid w:val="0009619A"/>
    <w:rsid w:val="0009619C"/>
    <w:rsid w:val="000962E6"/>
    <w:rsid w:val="000964A5"/>
    <w:rsid w:val="0009653E"/>
    <w:rsid w:val="000968E2"/>
    <w:rsid w:val="00096D3E"/>
    <w:rsid w:val="00097023"/>
    <w:rsid w:val="00097395"/>
    <w:rsid w:val="00097C93"/>
    <w:rsid w:val="00097D0E"/>
    <w:rsid w:val="00097D9E"/>
    <w:rsid w:val="00097EB2"/>
    <w:rsid w:val="00097EB7"/>
    <w:rsid w:val="00097F0F"/>
    <w:rsid w:val="000A03B0"/>
    <w:rsid w:val="000A0798"/>
    <w:rsid w:val="000A0AC7"/>
    <w:rsid w:val="000A0E1D"/>
    <w:rsid w:val="000A14CB"/>
    <w:rsid w:val="000A1A00"/>
    <w:rsid w:val="000A2239"/>
    <w:rsid w:val="000A2390"/>
    <w:rsid w:val="000A2EA7"/>
    <w:rsid w:val="000A2F53"/>
    <w:rsid w:val="000A39BD"/>
    <w:rsid w:val="000A3B10"/>
    <w:rsid w:val="000A3C30"/>
    <w:rsid w:val="000A3C3A"/>
    <w:rsid w:val="000A3D86"/>
    <w:rsid w:val="000A474E"/>
    <w:rsid w:val="000A4A13"/>
    <w:rsid w:val="000A4AEE"/>
    <w:rsid w:val="000A50EC"/>
    <w:rsid w:val="000A55DF"/>
    <w:rsid w:val="000A5D39"/>
    <w:rsid w:val="000A5DA3"/>
    <w:rsid w:val="000A64E0"/>
    <w:rsid w:val="000A6609"/>
    <w:rsid w:val="000A66C1"/>
    <w:rsid w:val="000A6CE4"/>
    <w:rsid w:val="000A6EEB"/>
    <w:rsid w:val="000A7166"/>
    <w:rsid w:val="000A7234"/>
    <w:rsid w:val="000A72DA"/>
    <w:rsid w:val="000A74CC"/>
    <w:rsid w:val="000A7613"/>
    <w:rsid w:val="000A7E87"/>
    <w:rsid w:val="000A7E94"/>
    <w:rsid w:val="000A7EF4"/>
    <w:rsid w:val="000A7FCB"/>
    <w:rsid w:val="000B020F"/>
    <w:rsid w:val="000B030A"/>
    <w:rsid w:val="000B069D"/>
    <w:rsid w:val="000B0875"/>
    <w:rsid w:val="000B08F7"/>
    <w:rsid w:val="000B0AA6"/>
    <w:rsid w:val="000B0C2C"/>
    <w:rsid w:val="000B0DEA"/>
    <w:rsid w:val="000B0ECC"/>
    <w:rsid w:val="000B0EFC"/>
    <w:rsid w:val="000B111D"/>
    <w:rsid w:val="000B117C"/>
    <w:rsid w:val="000B12A6"/>
    <w:rsid w:val="000B16B7"/>
    <w:rsid w:val="000B1759"/>
    <w:rsid w:val="000B2486"/>
    <w:rsid w:val="000B2490"/>
    <w:rsid w:val="000B296A"/>
    <w:rsid w:val="000B2DEE"/>
    <w:rsid w:val="000B2F50"/>
    <w:rsid w:val="000B2F76"/>
    <w:rsid w:val="000B31D2"/>
    <w:rsid w:val="000B3376"/>
    <w:rsid w:val="000B348C"/>
    <w:rsid w:val="000B34C8"/>
    <w:rsid w:val="000B34E3"/>
    <w:rsid w:val="000B3BF5"/>
    <w:rsid w:val="000B3D7C"/>
    <w:rsid w:val="000B3DE4"/>
    <w:rsid w:val="000B3DF6"/>
    <w:rsid w:val="000B4475"/>
    <w:rsid w:val="000B4905"/>
    <w:rsid w:val="000B4A50"/>
    <w:rsid w:val="000B4B93"/>
    <w:rsid w:val="000B4C9A"/>
    <w:rsid w:val="000B4E01"/>
    <w:rsid w:val="000B5254"/>
    <w:rsid w:val="000B52D2"/>
    <w:rsid w:val="000B5A22"/>
    <w:rsid w:val="000B5B42"/>
    <w:rsid w:val="000B5BA8"/>
    <w:rsid w:val="000B64A9"/>
    <w:rsid w:val="000B6ED4"/>
    <w:rsid w:val="000B7202"/>
    <w:rsid w:val="000B7336"/>
    <w:rsid w:val="000B7345"/>
    <w:rsid w:val="000B7654"/>
    <w:rsid w:val="000B76C5"/>
    <w:rsid w:val="000B7808"/>
    <w:rsid w:val="000B78FD"/>
    <w:rsid w:val="000B7B43"/>
    <w:rsid w:val="000B7B88"/>
    <w:rsid w:val="000B7BFA"/>
    <w:rsid w:val="000B7DC3"/>
    <w:rsid w:val="000B7EE6"/>
    <w:rsid w:val="000B7F23"/>
    <w:rsid w:val="000C024F"/>
    <w:rsid w:val="000C042E"/>
    <w:rsid w:val="000C0595"/>
    <w:rsid w:val="000C06F7"/>
    <w:rsid w:val="000C0D9B"/>
    <w:rsid w:val="000C0EA4"/>
    <w:rsid w:val="000C103A"/>
    <w:rsid w:val="000C1439"/>
    <w:rsid w:val="000C17CE"/>
    <w:rsid w:val="000C18AC"/>
    <w:rsid w:val="000C1A64"/>
    <w:rsid w:val="000C1DAE"/>
    <w:rsid w:val="000C2027"/>
    <w:rsid w:val="000C2209"/>
    <w:rsid w:val="000C2330"/>
    <w:rsid w:val="000C261C"/>
    <w:rsid w:val="000C265A"/>
    <w:rsid w:val="000C2DFE"/>
    <w:rsid w:val="000C32C8"/>
    <w:rsid w:val="000C3655"/>
    <w:rsid w:val="000C3BE6"/>
    <w:rsid w:val="000C3F20"/>
    <w:rsid w:val="000C3F83"/>
    <w:rsid w:val="000C419F"/>
    <w:rsid w:val="000C42C4"/>
    <w:rsid w:val="000C43FE"/>
    <w:rsid w:val="000C44DB"/>
    <w:rsid w:val="000C4AE5"/>
    <w:rsid w:val="000C4D06"/>
    <w:rsid w:val="000C541A"/>
    <w:rsid w:val="000C5797"/>
    <w:rsid w:val="000C5B4F"/>
    <w:rsid w:val="000C5CE9"/>
    <w:rsid w:val="000C5D16"/>
    <w:rsid w:val="000C6431"/>
    <w:rsid w:val="000C6663"/>
    <w:rsid w:val="000C67B4"/>
    <w:rsid w:val="000C6A28"/>
    <w:rsid w:val="000C6CAD"/>
    <w:rsid w:val="000C6D49"/>
    <w:rsid w:val="000C723D"/>
    <w:rsid w:val="000C7584"/>
    <w:rsid w:val="000C7694"/>
    <w:rsid w:val="000C7DF7"/>
    <w:rsid w:val="000D02F0"/>
    <w:rsid w:val="000D0455"/>
    <w:rsid w:val="000D0673"/>
    <w:rsid w:val="000D1646"/>
    <w:rsid w:val="000D1999"/>
    <w:rsid w:val="000D1D45"/>
    <w:rsid w:val="000D1D74"/>
    <w:rsid w:val="000D1F60"/>
    <w:rsid w:val="000D2127"/>
    <w:rsid w:val="000D238B"/>
    <w:rsid w:val="000D2544"/>
    <w:rsid w:val="000D2DC9"/>
    <w:rsid w:val="000D301B"/>
    <w:rsid w:val="000D302F"/>
    <w:rsid w:val="000D314F"/>
    <w:rsid w:val="000D3A12"/>
    <w:rsid w:val="000D427B"/>
    <w:rsid w:val="000D43FD"/>
    <w:rsid w:val="000D4488"/>
    <w:rsid w:val="000D4698"/>
    <w:rsid w:val="000D47C7"/>
    <w:rsid w:val="000D48B4"/>
    <w:rsid w:val="000D4A7E"/>
    <w:rsid w:val="000D5237"/>
    <w:rsid w:val="000D523D"/>
    <w:rsid w:val="000D5996"/>
    <w:rsid w:val="000D59F7"/>
    <w:rsid w:val="000D5D8C"/>
    <w:rsid w:val="000D60A8"/>
    <w:rsid w:val="000D664B"/>
    <w:rsid w:val="000D66B4"/>
    <w:rsid w:val="000D66BA"/>
    <w:rsid w:val="000D683C"/>
    <w:rsid w:val="000D70FE"/>
    <w:rsid w:val="000D74C9"/>
    <w:rsid w:val="000D7625"/>
    <w:rsid w:val="000D77AD"/>
    <w:rsid w:val="000D77F3"/>
    <w:rsid w:val="000D7838"/>
    <w:rsid w:val="000D7D15"/>
    <w:rsid w:val="000D7EF2"/>
    <w:rsid w:val="000E08B6"/>
    <w:rsid w:val="000E0B32"/>
    <w:rsid w:val="000E0B9A"/>
    <w:rsid w:val="000E0BE4"/>
    <w:rsid w:val="000E0BFF"/>
    <w:rsid w:val="000E1315"/>
    <w:rsid w:val="000E14CD"/>
    <w:rsid w:val="000E19E9"/>
    <w:rsid w:val="000E1BC3"/>
    <w:rsid w:val="000E1F77"/>
    <w:rsid w:val="000E2332"/>
    <w:rsid w:val="000E2720"/>
    <w:rsid w:val="000E27A6"/>
    <w:rsid w:val="000E2A3C"/>
    <w:rsid w:val="000E2D2A"/>
    <w:rsid w:val="000E3202"/>
    <w:rsid w:val="000E3235"/>
    <w:rsid w:val="000E3E53"/>
    <w:rsid w:val="000E3ED3"/>
    <w:rsid w:val="000E3EFF"/>
    <w:rsid w:val="000E41E6"/>
    <w:rsid w:val="000E4286"/>
    <w:rsid w:val="000E4394"/>
    <w:rsid w:val="000E43B6"/>
    <w:rsid w:val="000E44A7"/>
    <w:rsid w:val="000E468C"/>
    <w:rsid w:val="000E49B0"/>
    <w:rsid w:val="000E4BE9"/>
    <w:rsid w:val="000E5031"/>
    <w:rsid w:val="000E5169"/>
    <w:rsid w:val="000E5A09"/>
    <w:rsid w:val="000E5BE5"/>
    <w:rsid w:val="000E5EE2"/>
    <w:rsid w:val="000E5F45"/>
    <w:rsid w:val="000E5F86"/>
    <w:rsid w:val="000E6129"/>
    <w:rsid w:val="000E617D"/>
    <w:rsid w:val="000E63A3"/>
    <w:rsid w:val="000E646D"/>
    <w:rsid w:val="000E6686"/>
    <w:rsid w:val="000E66A6"/>
    <w:rsid w:val="000E66DF"/>
    <w:rsid w:val="000E6FD0"/>
    <w:rsid w:val="000E707F"/>
    <w:rsid w:val="000E71DB"/>
    <w:rsid w:val="000E75E1"/>
    <w:rsid w:val="000E7801"/>
    <w:rsid w:val="000E7935"/>
    <w:rsid w:val="000E7D1D"/>
    <w:rsid w:val="000ED283"/>
    <w:rsid w:val="000EDF52"/>
    <w:rsid w:val="000F0736"/>
    <w:rsid w:val="000F08B4"/>
    <w:rsid w:val="000F0DA5"/>
    <w:rsid w:val="000F0E58"/>
    <w:rsid w:val="000F0F70"/>
    <w:rsid w:val="000F16C0"/>
    <w:rsid w:val="000F16DB"/>
    <w:rsid w:val="000F190E"/>
    <w:rsid w:val="000F1915"/>
    <w:rsid w:val="000F1ACB"/>
    <w:rsid w:val="000F1B84"/>
    <w:rsid w:val="000F246F"/>
    <w:rsid w:val="000F268C"/>
    <w:rsid w:val="000F315D"/>
    <w:rsid w:val="000F3378"/>
    <w:rsid w:val="000F38F2"/>
    <w:rsid w:val="000F3BB1"/>
    <w:rsid w:val="000F439E"/>
    <w:rsid w:val="000F4621"/>
    <w:rsid w:val="000F4714"/>
    <w:rsid w:val="000F4AC2"/>
    <w:rsid w:val="000F538B"/>
    <w:rsid w:val="000F5410"/>
    <w:rsid w:val="000F5709"/>
    <w:rsid w:val="000F5B38"/>
    <w:rsid w:val="000F5BC6"/>
    <w:rsid w:val="000F5D90"/>
    <w:rsid w:val="000F5E7E"/>
    <w:rsid w:val="000F602D"/>
    <w:rsid w:val="000F6262"/>
    <w:rsid w:val="000F6398"/>
    <w:rsid w:val="000F663F"/>
    <w:rsid w:val="000F6715"/>
    <w:rsid w:val="000F68FC"/>
    <w:rsid w:val="000F6AB0"/>
    <w:rsid w:val="000F6AB1"/>
    <w:rsid w:val="000F6C57"/>
    <w:rsid w:val="000F6C8D"/>
    <w:rsid w:val="000F71E6"/>
    <w:rsid w:val="000F7319"/>
    <w:rsid w:val="000F7656"/>
    <w:rsid w:val="000F7E11"/>
    <w:rsid w:val="0010043B"/>
    <w:rsid w:val="00100AA5"/>
    <w:rsid w:val="00100B1F"/>
    <w:rsid w:val="00100BCD"/>
    <w:rsid w:val="001010A3"/>
    <w:rsid w:val="001012BA"/>
    <w:rsid w:val="00101593"/>
    <w:rsid w:val="00101B98"/>
    <w:rsid w:val="00101C28"/>
    <w:rsid w:val="00101F99"/>
    <w:rsid w:val="00102334"/>
    <w:rsid w:val="0010242C"/>
    <w:rsid w:val="00102B22"/>
    <w:rsid w:val="0010321D"/>
    <w:rsid w:val="001033B0"/>
    <w:rsid w:val="00103718"/>
    <w:rsid w:val="00103F59"/>
    <w:rsid w:val="0010411C"/>
    <w:rsid w:val="0010460F"/>
    <w:rsid w:val="00104854"/>
    <w:rsid w:val="001048DF"/>
    <w:rsid w:val="00105777"/>
    <w:rsid w:val="001057A1"/>
    <w:rsid w:val="00105960"/>
    <w:rsid w:val="00105AED"/>
    <w:rsid w:val="00105CA4"/>
    <w:rsid w:val="00106139"/>
    <w:rsid w:val="0010646D"/>
    <w:rsid w:val="001069E6"/>
    <w:rsid w:val="00106AD2"/>
    <w:rsid w:val="00106C8D"/>
    <w:rsid w:val="00106E51"/>
    <w:rsid w:val="00107225"/>
    <w:rsid w:val="00107BC4"/>
    <w:rsid w:val="00110262"/>
    <w:rsid w:val="0011046B"/>
    <w:rsid w:val="00110793"/>
    <w:rsid w:val="0011095A"/>
    <w:rsid w:val="00110D27"/>
    <w:rsid w:val="00110D6B"/>
    <w:rsid w:val="00110E1E"/>
    <w:rsid w:val="00110F5E"/>
    <w:rsid w:val="00110F9E"/>
    <w:rsid w:val="00111097"/>
    <w:rsid w:val="0011120B"/>
    <w:rsid w:val="001115D0"/>
    <w:rsid w:val="00111A36"/>
    <w:rsid w:val="00111BA5"/>
    <w:rsid w:val="00111D4A"/>
    <w:rsid w:val="00111F47"/>
    <w:rsid w:val="00111FA5"/>
    <w:rsid w:val="0011233A"/>
    <w:rsid w:val="00112411"/>
    <w:rsid w:val="00112425"/>
    <w:rsid w:val="00112448"/>
    <w:rsid w:val="0011248A"/>
    <w:rsid w:val="001124AB"/>
    <w:rsid w:val="00112763"/>
    <w:rsid w:val="001129F5"/>
    <w:rsid w:val="00112B32"/>
    <w:rsid w:val="00112E46"/>
    <w:rsid w:val="00112EA1"/>
    <w:rsid w:val="00112EE2"/>
    <w:rsid w:val="001131EC"/>
    <w:rsid w:val="00113478"/>
    <w:rsid w:val="001134BC"/>
    <w:rsid w:val="001134D9"/>
    <w:rsid w:val="001138B1"/>
    <w:rsid w:val="00113B90"/>
    <w:rsid w:val="001140D8"/>
    <w:rsid w:val="00114401"/>
    <w:rsid w:val="0011464B"/>
    <w:rsid w:val="001148A0"/>
    <w:rsid w:val="00114C23"/>
    <w:rsid w:val="00114F92"/>
    <w:rsid w:val="00115104"/>
    <w:rsid w:val="0011530D"/>
    <w:rsid w:val="0011533A"/>
    <w:rsid w:val="001156D4"/>
    <w:rsid w:val="00115978"/>
    <w:rsid w:val="00115B7D"/>
    <w:rsid w:val="00116304"/>
    <w:rsid w:val="00116725"/>
    <w:rsid w:val="00117294"/>
    <w:rsid w:val="0011760B"/>
    <w:rsid w:val="0011761A"/>
    <w:rsid w:val="00117BBD"/>
    <w:rsid w:val="00117BF2"/>
    <w:rsid w:val="00117CA7"/>
    <w:rsid w:val="0011FBD1"/>
    <w:rsid w:val="00120241"/>
    <w:rsid w:val="001204CD"/>
    <w:rsid w:val="001209B5"/>
    <w:rsid w:val="00120AEF"/>
    <w:rsid w:val="00120E8D"/>
    <w:rsid w:val="00120FC2"/>
    <w:rsid w:val="0012136C"/>
    <w:rsid w:val="00121E72"/>
    <w:rsid w:val="0012205F"/>
    <w:rsid w:val="0012219C"/>
    <w:rsid w:val="00122355"/>
    <w:rsid w:val="0012246D"/>
    <w:rsid w:val="0012249D"/>
    <w:rsid w:val="00122993"/>
    <w:rsid w:val="00122D2B"/>
    <w:rsid w:val="0012395C"/>
    <w:rsid w:val="00123D01"/>
    <w:rsid w:val="00123FEB"/>
    <w:rsid w:val="00124269"/>
    <w:rsid w:val="001243D4"/>
    <w:rsid w:val="00124950"/>
    <w:rsid w:val="00124971"/>
    <w:rsid w:val="00124AA6"/>
    <w:rsid w:val="00124B7F"/>
    <w:rsid w:val="00124CB1"/>
    <w:rsid w:val="00124D24"/>
    <w:rsid w:val="00124FFE"/>
    <w:rsid w:val="00125363"/>
    <w:rsid w:val="00125B70"/>
    <w:rsid w:val="00125B93"/>
    <w:rsid w:val="00125DDA"/>
    <w:rsid w:val="0012692A"/>
    <w:rsid w:val="0012696A"/>
    <w:rsid w:val="00126E18"/>
    <w:rsid w:val="00126FFC"/>
    <w:rsid w:val="001272C2"/>
    <w:rsid w:val="00127531"/>
    <w:rsid w:val="0012761D"/>
    <w:rsid w:val="0012778D"/>
    <w:rsid w:val="00127887"/>
    <w:rsid w:val="001279FA"/>
    <w:rsid w:val="00127A1C"/>
    <w:rsid w:val="00127B6A"/>
    <w:rsid w:val="00127F1F"/>
    <w:rsid w:val="00129F75"/>
    <w:rsid w:val="00130006"/>
    <w:rsid w:val="00130553"/>
    <w:rsid w:val="00130716"/>
    <w:rsid w:val="001307CD"/>
    <w:rsid w:val="00131119"/>
    <w:rsid w:val="0013142A"/>
    <w:rsid w:val="0013163C"/>
    <w:rsid w:val="00132040"/>
    <w:rsid w:val="0013216A"/>
    <w:rsid w:val="00132230"/>
    <w:rsid w:val="001323A7"/>
    <w:rsid w:val="00132705"/>
    <w:rsid w:val="001328E7"/>
    <w:rsid w:val="00132A3A"/>
    <w:rsid w:val="00132BC9"/>
    <w:rsid w:val="00132D06"/>
    <w:rsid w:val="00133109"/>
    <w:rsid w:val="00133379"/>
    <w:rsid w:val="0013338E"/>
    <w:rsid w:val="001336D8"/>
    <w:rsid w:val="001339DE"/>
    <w:rsid w:val="00133C39"/>
    <w:rsid w:val="00133DA4"/>
    <w:rsid w:val="00134158"/>
    <w:rsid w:val="001343A1"/>
    <w:rsid w:val="00134A3F"/>
    <w:rsid w:val="00134C71"/>
    <w:rsid w:val="00134C75"/>
    <w:rsid w:val="00134D95"/>
    <w:rsid w:val="00134E10"/>
    <w:rsid w:val="001351B5"/>
    <w:rsid w:val="0013555E"/>
    <w:rsid w:val="001355AF"/>
    <w:rsid w:val="001356DE"/>
    <w:rsid w:val="00135AD7"/>
    <w:rsid w:val="00135D11"/>
    <w:rsid w:val="00135DD9"/>
    <w:rsid w:val="00135FA7"/>
    <w:rsid w:val="00136006"/>
    <w:rsid w:val="00136598"/>
    <w:rsid w:val="0013692E"/>
    <w:rsid w:val="00136CE7"/>
    <w:rsid w:val="00136E7E"/>
    <w:rsid w:val="00137AC7"/>
    <w:rsid w:val="00137BBA"/>
    <w:rsid w:val="00140549"/>
    <w:rsid w:val="0014119F"/>
    <w:rsid w:val="0014140C"/>
    <w:rsid w:val="001414CF"/>
    <w:rsid w:val="001414DF"/>
    <w:rsid w:val="001418C9"/>
    <w:rsid w:val="00141A13"/>
    <w:rsid w:val="00141EEA"/>
    <w:rsid w:val="00142399"/>
    <w:rsid w:val="00142615"/>
    <w:rsid w:val="001428E3"/>
    <w:rsid w:val="00142CFC"/>
    <w:rsid w:val="00143249"/>
    <w:rsid w:val="00143698"/>
    <w:rsid w:val="0014383F"/>
    <w:rsid w:val="00143912"/>
    <w:rsid w:val="0014396B"/>
    <w:rsid w:val="00143A88"/>
    <w:rsid w:val="00143B13"/>
    <w:rsid w:val="00143F5F"/>
    <w:rsid w:val="0014403E"/>
    <w:rsid w:val="00144082"/>
    <w:rsid w:val="00144477"/>
    <w:rsid w:val="0014476E"/>
    <w:rsid w:val="00144BCE"/>
    <w:rsid w:val="00144FD1"/>
    <w:rsid w:val="00145035"/>
    <w:rsid w:val="00145385"/>
    <w:rsid w:val="001456F5"/>
    <w:rsid w:val="00145BD7"/>
    <w:rsid w:val="00145BFD"/>
    <w:rsid w:val="00146084"/>
    <w:rsid w:val="001460D7"/>
    <w:rsid w:val="001465C8"/>
    <w:rsid w:val="001466E0"/>
    <w:rsid w:val="00146768"/>
    <w:rsid w:val="001469F6"/>
    <w:rsid w:val="00146D1B"/>
    <w:rsid w:val="0014703C"/>
    <w:rsid w:val="001471C3"/>
    <w:rsid w:val="001472D6"/>
    <w:rsid w:val="001500EF"/>
    <w:rsid w:val="001502AD"/>
    <w:rsid w:val="0015092A"/>
    <w:rsid w:val="00150C5E"/>
    <w:rsid w:val="00150F45"/>
    <w:rsid w:val="00151049"/>
    <w:rsid w:val="001512AC"/>
    <w:rsid w:val="00151554"/>
    <w:rsid w:val="001517FA"/>
    <w:rsid w:val="001519A8"/>
    <w:rsid w:val="00151D5A"/>
    <w:rsid w:val="00151E0B"/>
    <w:rsid w:val="00152419"/>
    <w:rsid w:val="00153073"/>
    <w:rsid w:val="0015307C"/>
    <w:rsid w:val="001531AE"/>
    <w:rsid w:val="00153823"/>
    <w:rsid w:val="00153B39"/>
    <w:rsid w:val="001540DE"/>
    <w:rsid w:val="0015410E"/>
    <w:rsid w:val="00154131"/>
    <w:rsid w:val="00154614"/>
    <w:rsid w:val="001547A4"/>
    <w:rsid w:val="00154C79"/>
    <w:rsid w:val="00154D02"/>
    <w:rsid w:val="001550CA"/>
    <w:rsid w:val="00155B72"/>
    <w:rsid w:val="00155BBC"/>
    <w:rsid w:val="00156088"/>
    <w:rsid w:val="00156228"/>
    <w:rsid w:val="0015662A"/>
    <w:rsid w:val="001568B1"/>
    <w:rsid w:val="00156980"/>
    <w:rsid w:val="00156B11"/>
    <w:rsid w:val="00156BA9"/>
    <w:rsid w:val="00156BB4"/>
    <w:rsid w:val="00156BEE"/>
    <w:rsid w:val="00156DD0"/>
    <w:rsid w:val="00156F55"/>
    <w:rsid w:val="00157399"/>
    <w:rsid w:val="001576E7"/>
    <w:rsid w:val="001576F1"/>
    <w:rsid w:val="00157A97"/>
    <w:rsid w:val="00157BD6"/>
    <w:rsid w:val="00157D56"/>
    <w:rsid w:val="00157F7F"/>
    <w:rsid w:val="0016022B"/>
    <w:rsid w:val="001605FB"/>
    <w:rsid w:val="00160D90"/>
    <w:rsid w:val="00160E2B"/>
    <w:rsid w:val="00160FFF"/>
    <w:rsid w:val="00161198"/>
    <w:rsid w:val="0016128D"/>
    <w:rsid w:val="0016170D"/>
    <w:rsid w:val="0016173D"/>
    <w:rsid w:val="00161744"/>
    <w:rsid w:val="00161AC6"/>
    <w:rsid w:val="00161C9D"/>
    <w:rsid w:val="001620C9"/>
    <w:rsid w:val="0016212D"/>
    <w:rsid w:val="00162441"/>
    <w:rsid w:val="001628A6"/>
    <w:rsid w:val="00162C5B"/>
    <w:rsid w:val="00162D40"/>
    <w:rsid w:val="00162EF1"/>
    <w:rsid w:val="001630F6"/>
    <w:rsid w:val="00163176"/>
    <w:rsid w:val="001632A5"/>
    <w:rsid w:val="001634B9"/>
    <w:rsid w:val="001635C7"/>
    <w:rsid w:val="0016373D"/>
    <w:rsid w:val="00163A06"/>
    <w:rsid w:val="00163B15"/>
    <w:rsid w:val="00163EAC"/>
    <w:rsid w:val="00163FCC"/>
    <w:rsid w:val="0016429F"/>
    <w:rsid w:val="0016439A"/>
    <w:rsid w:val="00164997"/>
    <w:rsid w:val="00164EC8"/>
    <w:rsid w:val="00165140"/>
    <w:rsid w:val="0016515E"/>
    <w:rsid w:val="0016564C"/>
    <w:rsid w:val="00165C63"/>
    <w:rsid w:val="001663F5"/>
    <w:rsid w:val="001664B9"/>
    <w:rsid w:val="00166598"/>
    <w:rsid w:val="00166638"/>
    <w:rsid w:val="00166A2B"/>
    <w:rsid w:val="00166AAF"/>
    <w:rsid w:val="00167108"/>
    <w:rsid w:val="0016737B"/>
    <w:rsid w:val="00167766"/>
    <w:rsid w:val="001679D3"/>
    <w:rsid w:val="00167CAF"/>
    <w:rsid w:val="00167D65"/>
    <w:rsid w:val="00167FF2"/>
    <w:rsid w:val="00170431"/>
    <w:rsid w:val="001704C4"/>
    <w:rsid w:val="00170550"/>
    <w:rsid w:val="001708D8"/>
    <w:rsid w:val="00170B22"/>
    <w:rsid w:val="00170BA0"/>
    <w:rsid w:val="00171694"/>
    <w:rsid w:val="00171B34"/>
    <w:rsid w:val="00171B99"/>
    <w:rsid w:val="00171DFC"/>
    <w:rsid w:val="00171EA8"/>
    <w:rsid w:val="00171FE3"/>
    <w:rsid w:val="001722A6"/>
    <w:rsid w:val="00172484"/>
    <w:rsid w:val="001725E0"/>
    <w:rsid w:val="00172847"/>
    <w:rsid w:val="00172933"/>
    <w:rsid w:val="00173147"/>
    <w:rsid w:val="00173216"/>
    <w:rsid w:val="00173263"/>
    <w:rsid w:val="001732D5"/>
    <w:rsid w:val="00173660"/>
    <w:rsid w:val="001736B0"/>
    <w:rsid w:val="00173809"/>
    <w:rsid w:val="00173884"/>
    <w:rsid w:val="00173BF5"/>
    <w:rsid w:val="001743EC"/>
    <w:rsid w:val="00174571"/>
    <w:rsid w:val="00174722"/>
    <w:rsid w:val="00174C49"/>
    <w:rsid w:val="00174D4F"/>
    <w:rsid w:val="0017507B"/>
    <w:rsid w:val="00175107"/>
    <w:rsid w:val="001754CC"/>
    <w:rsid w:val="001755B4"/>
    <w:rsid w:val="00175712"/>
    <w:rsid w:val="00175872"/>
    <w:rsid w:val="00175A4D"/>
    <w:rsid w:val="0017621C"/>
    <w:rsid w:val="00176344"/>
    <w:rsid w:val="00176900"/>
    <w:rsid w:val="00176B1D"/>
    <w:rsid w:val="00176B2F"/>
    <w:rsid w:val="00177161"/>
    <w:rsid w:val="00177396"/>
    <w:rsid w:val="001778B0"/>
    <w:rsid w:val="00177A05"/>
    <w:rsid w:val="00177A86"/>
    <w:rsid w:val="00177B13"/>
    <w:rsid w:val="00177EC0"/>
    <w:rsid w:val="001800DF"/>
    <w:rsid w:val="001801FC"/>
    <w:rsid w:val="001803BA"/>
    <w:rsid w:val="001804D5"/>
    <w:rsid w:val="0018066C"/>
    <w:rsid w:val="0018087D"/>
    <w:rsid w:val="00180CA6"/>
    <w:rsid w:val="00180FEB"/>
    <w:rsid w:val="0018161A"/>
    <w:rsid w:val="00181733"/>
    <w:rsid w:val="0018177F"/>
    <w:rsid w:val="00181FDF"/>
    <w:rsid w:val="00182150"/>
    <w:rsid w:val="0018223D"/>
    <w:rsid w:val="001823FC"/>
    <w:rsid w:val="001827B0"/>
    <w:rsid w:val="00182D09"/>
    <w:rsid w:val="00183139"/>
    <w:rsid w:val="00183150"/>
    <w:rsid w:val="00183256"/>
    <w:rsid w:val="001836AC"/>
    <w:rsid w:val="001836CE"/>
    <w:rsid w:val="0018394A"/>
    <w:rsid w:val="00185733"/>
    <w:rsid w:val="0018587B"/>
    <w:rsid w:val="0018588B"/>
    <w:rsid w:val="0018594C"/>
    <w:rsid w:val="001860B7"/>
    <w:rsid w:val="00186226"/>
    <w:rsid w:val="00186693"/>
    <w:rsid w:val="0018689D"/>
    <w:rsid w:val="00186A9E"/>
    <w:rsid w:val="00186B4C"/>
    <w:rsid w:val="00186C3E"/>
    <w:rsid w:val="001872C2"/>
    <w:rsid w:val="00187619"/>
    <w:rsid w:val="00187753"/>
    <w:rsid w:val="00187B6E"/>
    <w:rsid w:val="00187C8F"/>
    <w:rsid w:val="00187D8E"/>
    <w:rsid w:val="00187E52"/>
    <w:rsid w:val="00190274"/>
    <w:rsid w:val="001902B4"/>
    <w:rsid w:val="001903CF"/>
    <w:rsid w:val="00190505"/>
    <w:rsid w:val="001906FB"/>
    <w:rsid w:val="001907D4"/>
    <w:rsid w:val="00190A8F"/>
    <w:rsid w:val="00190C44"/>
    <w:rsid w:val="00190D9F"/>
    <w:rsid w:val="00190E60"/>
    <w:rsid w:val="001911B9"/>
    <w:rsid w:val="0019145F"/>
    <w:rsid w:val="001915B7"/>
    <w:rsid w:val="00191685"/>
    <w:rsid w:val="00191F54"/>
    <w:rsid w:val="00192159"/>
    <w:rsid w:val="00192499"/>
    <w:rsid w:val="00192657"/>
    <w:rsid w:val="00192900"/>
    <w:rsid w:val="00192CBE"/>
    <w:rsid w:val="00192E50"/>
    <w:rsid w:val="00192EB3"/>
    <w:rsid w:val="001931D2"/>
    <w:rsid w:val="00193378"/>
    <w:rsid w:val="00193529"/>
    <w:rsid w:val="00193680"/>
    <w:rsid w:val="001936C9"/>
    <w:rsid w:val="00193B3E"/>
    <w:rsid w:val="00193B92"/>
    <w:rsid w:val="00193F0C"/>
    <w:rsid w:val="00193FC1"/>
    <w:rsid w:val="00194240"/>
    <w:rsid w:val="0019448E"/>
    <w:rsid w:val="001945A4"/>
    <w:rsid w:val="00194A26"/>
    <w:rsid w:val="00194E98"/>
    <w:rsid w:val="00194F2C"/>
    <w:rsid w:val="0019521D"/>
    <w:rsid w:val="00195590"/>
    <w:rsid w:val="00195605"/>
    <w:rsid w:val="00195A2E"/>
    <w:rsid w:val="00195BBF"/>
    <w:rsid w:val="00195D7C"/>
    <w:rsid w:val="00195F2E"/>
    <w:rsid w:val="00195FBB"/>
    <w:rsid w:val="001962E4"/>
    <w:rsid w:val="001962FE"/>
    <w:rsid w:val="00196636"/>
    <w:rsid w:val="00196DCE"/>
    <w:rsid w:val="00196ECA"/>
    <w:rsid w:val="00197277"/>
    <w:rsid w:val="00197692"/>
    <w:rsid w:val="001976C8"/>
    <w:rsid w:val="00197903"/>
    <w:rsid w:val="00197937"/>
    <w:rsid w:val="00197CB6"/>
    <w:rsid w:val="00197D60"/>
    <w:rsid w:val="00197FF8"/>
    <w:rsid w:val="00198EAC"/>
    <w:rsid w:val="001A0D03"/>
    <w:rsid w:val="001A0D4C"/>
    <w:rsid w:val="001A0DCD"/>
    <w:rsid w:val="001A0F2A"/>
    <w:rsid w:val="001A1127"/>
    <w:rsid w:val="001A11C5"/>
    <w:rsid w:val="001A11D8"/>
    <w:rsid w:val="001A153D"/>
    <w:rsid w:val="001A16F6"/>
    <w:rsid w:val="001A1899"/>
    <w:rsid w:val="001A1A74"/>
    <w:rsid w:val="001A1BE3"/>
    <w:rsid w:val="001A232E"/>
    <w:rsid w:val="001A2378"/>
    <w:rsid w:val="001A23B4"/>
    <w:rsid w:val="001A287C"/>
    <w:rsid w:val="001A2DD2"/>
    <w:rsid w:val="001A2F3C"/>
    <w:rsid w:val="001A300D"/>
    <w:rsid w:val="001A3052"/>
    <w:rsid w:val="001A344E"/>
    <w:rsid w:val="001A3588"/>
    <w:rsid w:val="001A36FA"/>
    <w:rsid w:val="001A40DB"/>
    <w:rsid w:val="001A4303"/>
    <w:rsid w:val="001A43B6"/>
    <w:rsid w:val="001A44D1"/>
    <w:rsid w:val="001A46EF"/>
    <w:rsid w:val="001A4751"/>
    <w:rsid w:val="001A47AF"/>
    <w:rsid w:val="001A4E63"/>
    <w:rsid w:val="001A5778"/>
    <w:rsid w:val="001A5847"/>
    <w:rsid w:val="001A5C4D"/>
    <w:rsid w:val="001A5E34"/>
    <w:rsid w:val="001A67BD"/>
    <w:rsid w:val="001A6965"/>
    <w:rsid w:val="001A69E9"/>
    <w:rsid w:val="001A6A0D"/>
    <w:rsid w:val="001A6D2D"/>
    <w:rsid w:val="001A6DEC"/>
    <w:rsid w:val="001A70FC"/>
    <w:rsid w:val="001A73F9"/>
    <w:rsid w:val="001A74AE"/>
    <w:rsid w:val="001A7590"/>
    <w:rsid w:val="001A764E"/>
    <w:rsid w:val="001A774A"/>
    <w:rsid w:val="001B0387"/>
    <w:rsid w:val="001B0397"/>
    <w:rsid w:val="001B048B"/>
    <w:rsid w:val="001B05D9"/>
    <w:rsid w:val="001B05E2"/>
    <w:rsid w:val="001B0758"/>
    <w:rsid w:val="001B0BBE"/>
    <w:rsid w:val="001B0E27"/>
    <w:rsid w:val="001B0EA7"/>
    <w:rsid w:val="001B0EB1"/>
    <w:rsid w:val="001B11E2"/>
    <w:rsid w:val="001B124F"/>
    <w:rsid w:val="001B14D0"/>
    <w:rsid w:val="001B1529"/>
    <w:rsid w:val="001B152D"/>
    <w:rsid w:val="001B1B5A"/>
    <w:rsid w:val="001B1C43"/>
    <w:rsid w:val="001B21E7"/>
    <w:rsid w:val="001B26A9"/>
    <w:rsid w:val="001B2827"/>
    <w:rsid w:val="001B2858"/>
    <w:rsid w:val="001B2D4C"/>
    <w:rsid w:val="001B2D6F"/>
    <w:rsid w:val="001B2F8E"/>
    <w:rsid w:val="001B3244"/>
    <w:rsid w:val="001B34C2"/>
    <w:rsid w:val="001B3685"/>
    <w:rsid w:val="001B37A0"/>
    <w:rsid w:val="001B3BC7"/>
    <w:rsid w:val="001B3FC9"/>
    <w:rsid w:val="001B4037"/>
    <w:rsid w:val="001B4794"/>
    <w:rsid w:val="001B48E2"/>
    <w:rsid w:val="001B4DB5"/>
    <w:rsid w:val="001B4F87"/>
    <w:rsid w:val="001B518B"/>
    <w:rsid w:val="001B57D8"/>
    <w:rsid w:val="001B5954"/>
    <w:rsid w:val="001B59D6"/>
    <w:rsid w:val="001B5FC6"/>
    <w:rsid w:val="001B60AB"/>
    <w:rsid w:val="001B65C5"/>
    <w:rsid w:val="001B6B7E"/>
    <w:rsid w:val="001B6D7B"/>
    <w:rsid w:val="001B6ED0"/>
    <w:rsid w:val="001B7175"/>
    <w:rsid w:val="001B7A32"/>
    <w:rsid w:val="001B7E31"/>
    <w:rsid w:val="001C0571"/>
    <w:rsid w:val="001C099A"/>
    <w:rsid w:val="001C09A7"/>
    <w:rsid w:val="001C0B1C"/>
    <w:rsid w:val="001C0DC7"/>
    <w:rsid w:val="001C11D3"/>
    <w:rsid w:val="001C11F8"/>
    <w:rsid w:val="001C12AE"/>
    <w:rsid w:val="001C13F3"/>
    <w:rsid w:val="001C1473"/>
    <w:rsid w:val="001C15BF"/>
    <w:rsid w:val="001C1630"/>
    <w:rsid w:val="001C1916"/>
    <w:rsid w:val="001C19E7"/>
    <w:rsid w:val="001C1E52"/>
    <w:rsid w:val="001C201F"/>
    <w:rsid w:val="001C20FF"/>
    <w:rsid w:val="001C227D"/>
    <w:rsid w:val="001C24BE"/>
    <w:rsid w:val="001C28FC"/>
    <w:rsid w:val="001C2F59"/>
    <w:rsid w:val="001C2FA8"/>
    <w:rsid w:val="001C32EA"/>
    <w:rsid w:val="001C33F5"/>
    <w:rsid w:val="001C3673"/>
    <w:rsid w:val="001C376E"/>
    <w:rsid w:val="001C3793"/>
    <w:rsid w:val="001C37AE"/>
    <w:rsid w:val="001C46F2"/>
    <w:rsid w:val="001C479C"/>
    <w:rsid w:val="001C4E2C"/>
    <w:rsid w:val="001C4E89"/>
    <w:rsid w:val="001C51CE"/>
    <w:rsid w:val="001C522F"/>
    <w:rsid w:val="001C5480"/>
    <w:rsid w:val="001C5A0E"/>
    <w:rsid w:val="001C5BE2"/>
    <w:rsid w:val="001C5BF6"/>
    <w:rsid w:val="001C5E68"/>
    <w:rsid w:val="001C61BB"/>
    <w:rsid w:val="001C6237"/>
    <w:rsid w:val="001C6353"/>
    <w:rsid w:val="001C674A"/>
    <w:rsid w:val="001C6C28"/>
    <w:rsid w:val="001C6ED8"/>
    <w:rsid w:val="001C72FC"/>
    <w:rsid w:val="001C7377"/>
    <w:rsid w:val="001C74F1"/>
    <w:rsid w:val="001C76D7"/>
    <w:rsid w:val="001C78E5"/>
    <w:rsid w:val="001C7BDD"/>
    <w:rsid w:val="001C7E94"/>
    <w:rsid w:val="001D0676"/>
    <w:rsid w:val="001D0975"/>
    <w:rsid w:val="001D0986"/>
    <w:rsid w:val="001D0D74"/>
    <w:rsid w:val="001D0DC8"/>
    <w:rsid w:val="001D0EEC"/>
    <w:rsid w:val="001D121D"/>
    <w:rsid w:val="001D1469"/>
    <w:rsid w:val="001D1566"/>
    <w:rsid w:val="001D16BF"/>
    <w:rsid w:val="001D1DE3"/>
    <w:rsid w:val="001D1EBA"/>
    <w:rsid w:val="001D1ED0"/>
    <w:rsid w:val="001D203E"/>
    <w:rsid w:val="001D24D9"/>
    <w:rsid w:val="001D24DC"/>
    <w:rsid w:val="001D2779"/>
    <w:rsid w:val="001D27F8"/>
    <w:rsid w:val="001D2933"/>
    <w:rsid w:val="001D29AA"/>
    <w:rsid w:val="001D29E5"/>
    <w:rsid w:val="001D2B44"/>
    <w:rsid w:val="001D2DB4"/>
    <w:rsid w:val="001D3379"/>
    <w:rsid w:val="001D34F9"/>
    <w:rsid w:val="001D39CC"/>
    <w:rsid w:val="001D3AA1"/>
    <w:rsid w:val="001D3D93"/>
    <w:rsid w:val="001D3EAD"/>
    <w:rsid w:val="001D3EE3"/>
    <w:rsid w:val="001D3F6E"/>
    <w:rsid w:val="001D40C1"/>
    <w:rsid w:val="001D4360"/>
    <w:rsid w:val="001D4552"/>
    <w:rsid w:val="001D4849"/>
    <w:rsid w:val="001D4DFB"/>
    <w:rsid w:val="001D5169"/>
    <w:rsid w:val="001D52D5"/>
    <w:rsid w:val="001D52DC"/>
    <w:rsid w:val="001D53FE"/>
    <w:rsid w:val="001D5454"/>
    <w:rsid w:val="001D54D9"/>
    <w:rsid w:val="001D5774"/>
    <w:rsid w:val="001D5A28"/>
    <w:rsid w:val="001D641F"/>
    <w:rsid w:val="001D6467"/>
    <w:rsid w:val="001D6930"/>
    <w:rsid w:val="001D6E02"/>
    <w:rsid w:val="001D70C7"/>
    <w:rsid w:val="001E0271"/>
    <w:rsid w:val="001E0959"/>
    <w:rsid w:val="001E0F14"/>
    <w:rsid w:val="001E1407"/>
    <w:rsid w:val="001E223C"/>
    <w:rsid w:val="001E2744"/>
    <w:rsid w:val="001E34FF"/>
    <w:rsid w:val="001E3A95"/>
    <w:rsid w:val="001E414C"/>
    <w:rsid w:val="001E42EA"/>
    <w:rsid w:val="001E44D0"/>
    <w:rsid w:val="001E44F7"/>
    <w:rsid w:val="001E45FD"/>
    <w:rsid w:val="001E4653"/>
    <w:rsid w:val="001E48DD"/>
    <w:rsid w:val="001E4ADF"/>
    <w:rsid w:val="001E4E7E"/>
    <w:rsid w:val="001E4F2B"/>
    <w:rsid w:val="001E5005"/>
    <w:rsid w:val="001E55D7"/>
    <w:rsid w:val="001E5C9C"/>
    <w:rsid w:val="001E5D4C"/>
    <w:rsid w:val="001E5F86"/>
    <w:rsid w:val="001E5FAB"/>
    <w:rsid w:val="001E6342"/>
    <w:rsid w:val="001E642F"/>
    <w:rsid w:val="001E64CB"/>
    <w:rsid w:val="001E6645"/>
    <w:rsid w:val="001E68B7"/>
    <w:rsid w:val="001E6AF7"/>
    <w:rsid w:val="001E9D0B"/>
    <w:rsid w:val="001EC02F"/>
    <w:rsid w:val="001F000E"/>
    <w:rsid w:val="001F032D"/>
    <w:rsid w:val="001F03D0"/>
    <w:rsid w:val="001F06D0"/>
    <w:rsid w:val="001F0879"/>
    <w:rsid w:val="001F089E"/>
    <w:rsid w:val="001F0995"/>
    <w:rsid w:val="001F0999"/>
    <w:rsid w:val="001F0B94"/>
    <w:rsid w:val="001F101A"/>
    <w:rsid w:val="001F13C4"/>
    <w:rsid w:val="001F17BC"/>
    <w:rsid w:val="001F1909"/>
    <w:rsid w:val="001F1F2B"/>
    <w:rsid w:val="001F1FBB"/>
    <w:rsid w:val="001F2B91"/>
    <w:rsid w:val="001F3090"/>
    <w:rsid w:val="001F30B9"/>
    <w:rsid w:val="001F30DA"/>
    <w:rsid w:val="001F3219"/>
    <w:rsid w:val="001F3637"/>
    <w:rsid w:val="001F390A"/>
    <w:rsid w:val="001F3B61"/>
    <w:rsid w:val="001F3D9D"/>
    <w:rsid w:val="001F3E9F"/>
    <w:rsid w:val="001F3EDF"/>
    <w:rsid w:val="001F4183"/>
    <w:rsid w:val="001F4208"/>
    <w:rsid w:val="001F483F"/>
    <w:rsid w:val="001F4C90"/>
    <w:rsid w:val="001F4FE1"/>
    <w:rsid w:val="001F512F"/>
    <w:rsid w:val="001F5228"/>
    <w:rsid w:val="001F524C"/>
    <w:rsid w:val="001F52F3"/>
    <w:rsid w:val="001F5379"/>
    <w:rsid w:val="001F5659"/>
    <w:rsid w:val="001F57C8"/>
    <w:rsid w:val="001F5A7E"/>
    <w:rsid w:val="001F5D4E"/>
    <w:rsid w:val="001F5F5A"/>
    <w:rsid w:val="001F6255"/>
    <w:rsid w:val="001F656F"/>
    <w:rsid w:val="001F6844"/>
    <w:rsid w:val="001F68DC"/>
    <w:rsid w:val="001F6BED"/>
    <w:rsid w:val="001F6F23"/>
    <w:rsid w:val="001F75F3"/>
    <w:rsid w:val="001F785F"/>
    <w:rsid w:val="001F799D"/>
    <w:rsid w:val="001F79EA"/>
    <w:rsid w:val="001F7F9C"/>
    <w:rsid w:val="001F9E81"/>
    <w:rsid w:val="00200021"/>
    <w:rsid w:val="00200710"/>
    <w:rsid w:val="00200807"/>
    <w:rsid w:val="00200CDC"/>
    <w:rsid w:val="00200E37"/>
    <w:rsid w:val="00200EBF"/>
    <w:rsid w:val="00200F7D"/>
    <w:rsid w:val="00201049"/>
    <w:rsid w:val="002011EB"/>
    <w:rsid w:val="002014A9"/>
    <w:rsid w:val="0020194A"/>
    <w:rsid w:val="00201A94"/>
    <w:rsid w:val="00201B3D"/>
    <w:rsid w:val="00201D6B"/>
    <w:rsid w:val="00201E59"/>
    <w:rsid w:val="00201EE0"/>
    <w:rsid w:val="0020204F"/>
    <w:rsid w:val="00202154"/>
    <w:rsid w:val="002024E6"/>
    <w:rsid w:val="00202723"/>
    <w:rsid w:val="0020277A"/>
    <w:rsid w:val="0020281D"/>
    <w:rsid w:val="002029DA"/>
    <w:rsid w:val="00202E4F"/>
    <w:rsid w:val="00203395"/>
    <w:rsid w:val="002035E8"/>
    <w:rsid w:val="00203783"/>
    <w:rsid w:val="00203C85"/>
    <w:rsid w:val="00203F16"/>
    <w:rsid w:val="002041F7"/>
    <w:rsid w:val="00204965"/>
    <w:rsid w:val="00204CCC"/>
    <w:rsid w:val="00205110"/>
    <w:rsid w:val="002055A2"/>
    <w:rsid w:val="002056BF"/>
    <w:rsid w:val="00205987"/>
    <w:rsid w:val="00206BA2"/>
    <w:rsid w:val="0020728F"/>
    <w:rsid w:val="002076B2"/>
    <w:rsid w:val="00207B0C"/>
    <w:rsid w:val="00207B51"/>
    <w:rsid w:val="00207F66"/>
    <w:rsid w:val="0020E08A"/>
    <w:rsid w:val="002102F6"/>
    <w:rsid w:val="0021075D"/>
    <w:rsid w:val="00210897"/>
    <w:rsid w:val="00210D97"/>
    <w:rsid w:val="0021126A"/>
    <w:rsid w:val="0021129B"/>
    <w:rsid w:val="002112DE"/>
    <w:rsid w:val="00211388"/>
    <w:rsid w:val="00211503"/>
    <w:rsid w:val="00211638"/>
    <w:rsid w:val="00211F78"/>
    <w:rsid w:val="002122E0"/>
    <w:rsid w:val="0021243B"/>
    <w:rsid w:val="00212AB4"/>
    <w:rsid w:val="00212B84"/>
    <w:rsid w:val="00212F6B"/>
    <w:rsid w:val="002131C6"/>
    <w:rsid w:val="002133D7"/>
    <w:rsid w:val="00213817"/>
    <w:rsid w:val="00213D56"/>
    <w:rsid w:val="002142A0"/>
    <w:rsid w:val="002146FD"/>
    <w:rsid w:val="002147ED"/>
    <w:rsid w:val="0021496E"/>
    <w:rsid w:val="002154FA"/>
    <w:rsid w:val="00215E54"/>
    <w:rsid w:val="0021608F"/>
    <w:rsid w:val="0021609B"/>
    <w:rsid w:val="00216116"/>
    <w:rsid w:val="002164DE"/>
    <w:rsid w:val="0021667D"/>
    <w:rsid w:val="00217104"/>
    <w:rsid w:val="002171DE"/>
    <w:rsid w:val="002171F9"/>
    <w:rsid w:val="00217439"/>
    <w:rsid w:val="00217C1C"/>
    <w:rsid w:val="002200E2"/>
    <w:rsid w:val="002201B8"/>
    <w:rsid w:val="00220A8D"/>
    <w:rsid w:val="00220C71"/>
    <w:rsid w:val="00220D6F"/>
    <w:rsid w:val="00220DC9"/>
    <w:rsid w:val="00220DD6"/>
    <w:rsid w:val="00220EA3"/>
    <w:rsid w:val="00220F28"/>
    <w:rsid w:val="00220F5D"/>
    <w:rsid w:val="00220FF3"/>
    <w:rsid w:val="00221003"/>
    <w:rsid w:val="00221285"/>
    <w:rsid w:val="002213B1"/>
    <w:rsid w:val="002213F8"/>
    <w:rsid w:val="002214DA"/>
    <w:rsid w:val="002217DA"/>
    <w:rsid w:val="00221945"/>
    <w:rsid w:val="00221C9C"/>
    <w:rsid w:val="00221D0A"/>
    <w:rsid w:val="0022236D"/>
    <w:rsid w:val="00222507"/>
    <w:rsid w:val="00222610"/>
    <w:rsid w:val="0022289F"/>
    <w:rsid w:val="002228DD"/>
    <w:rsid w:val="00222BB9"/>
    <w:rsid w:val="00222E68"/>
    <w:rsid w:val="002231B8"/>
    <w:rsid w:val="002232DA"/>
    <w:rsid w:val="00223710"/>
    <w:rsid w:val="00223AAF"/>
    <w:rsid w:val="00223C4F"/>
    <w:rsid w:val="002241F6"/>
    <w:rsid w:val="0022452E"/>
    <w:rsid w:val="002247F6"/>
    <w:rsid w:val="00224B8B"/>
    <w:rsid w:val="00224C46"/>
    <w:rsid w:val="00224CAC"/>
    <w:rsid w:val="00224E1F"/>
    <w:rsid w:val="00224EE9"/>
    <w:rsid w:val="002254A4"/>
    <w:rsid w:val="002256FA"/>
    <w:rsid w:val="00225968"/>
    <w:rsid w:val="00225E9C"/>
    <w:rsid w:val="00226227"/>
    <w:rsid w:val="00226332"/>
    <w:rsid w:val="0022647F"/>
    <w:rsid w:val="00226717"/>
    <w:rsid w:val="00226BAA"/>
    <w:rsid w:val="00226E8A"/>
    <w:rsid w:val="00226FE6"/>
    <w:rsid w:val="00227540"/>
    <w:rsid w:val="00227C4F"/>
    <w:rsid w:val="00227F0C"/>
    <w:rsid w:val="002306BB"/>
    <w:rsid w:val="00230B72"/>
    <w:rsid w:val="00230E58"/>
    <w:rsid w:val="0023126E"/>
    <w:rsid w:val="00231463"/>
    <w:rsid w:val="00231470"/>
    <w:rsid w:val="00231596"/>
    <w:rsid w:val="00231696"/>
    <w:rsid w:val="0023194A"/>
    <w:rsid w:val="00231AA3"/>
    <w:rsid w:val="0023257A"/>
    <w:rsid w:val="00232760"/>
    <w:rsid w:val="0023283F"/>
    <w:rsid w:val="00232A52"/>
    <w:rsid w:val="00232BE5"/>
    <w:rsid w:val="00232C1A"/>
    <w:rsid w:val="00232C80"/>
    <w:rsid w:val="002330D4"/>
    <w:rsid w:val="0023315D"/>
    <w:rsid w:val="00233249"/>
    <w:rsid w:val="0023328F"/>
    <w:rsid w:val="002332CF"/>
    <w:rsid w:val="0023334E"/>
    <w:rsid w:val="002335B2"/>
    <w:rsid w:val="00233B1A"/>
    <w:rsid w:val="00233B3D"/>
    <w:rsid w:val="00233F1A"/>
    <w:rsid w:val="00234EDA"/>
    <w:rsid w:val="002353DF"/>
    <w:rsid w:val="0023557A"/>
    <w:rsid w:val="002356BB"/>
    <w:rsid w:val="00235D75"/>
    <w:rsid w:val="00235F9A"/>
    <w:rsid w:val="00236561"/>
    <w:rsid w:val="002365C9"/>
    <w:rsid w:val="002366B9"/>
    <w:rsid w:val="002367EB"/>
    <w:rsid w:val="0023696F"/>
    <w:rsid w:val="00236980"/>
    <w:rsid w:val="00236B96"/>
    <w:rsid w:val="00236C3E"/>
    <w:rsid w:val="00236D7C"/>
    <w:rsid w:val="002370B9"/>
    <w:rsid w:val="0023729E"/>
    <w:rsid w:val="002379EA"/>
    <w:rsid w:val="00237A47"/>
    <w:rsid w:val="00237D52"/>
    <w:rsid w:val="00237DFD"/>
    <w:rsid w:val="00237F99"/>
    <w:rsid w:val="0023ED50"/>
    <w:rsid w:val="0024022A"/>
    <w:rsid w:val="002403F6"/>
    <w:rsid w:val="00240753"/>
    <w:rsid w:val="00240C03"/>
    <w:rsid w:val="00240CDA"/>
    <w:rsid w:val="00241171"/>
    <w:rsid w:val="00241270"/>
    <w:rsid w:val="0024146F"/>
    <w:rsid w:val="00241619"/>
    <w:rsid w:val="00241794"/>
    <w:rsid w:val="00241848"/>
    <w:rsid w:val="00241A78"/>
    <w:rsid w:val="00241AD5"/>
    <w:rsid w:val="00241C65"/>
    <w:rsid w:val="00241F2C"/>
    <w:rsid w:val="00242350"/>
    <w:rsid w:val="00242579"/>
    <w:rsid w:val="00242890"/>
    <w:rsid w:val="00242B68"/>
    <w:rsid w:val="00242F24"/>
    <w:rsid w:val="002430B0"/>
    <w:rsid w:val="00243248"/>
    <w:rsid w:val="00243825"/>
    <w:rsid w:val="00243A7E"/>
    <w:rsid w:val="00243AD6"/>
    <w:rsid w:val="00243AED"/>
    <w:rsid w:val="00243C59"/>
    <w:rsid w:val="00243CF5"/>
    <w:rsid w:val="00243EDC"/>
    <w:rsid w:val="00244380"/>
    <w:rsid w:val="0024442D"/>
    <w:rsid w:val="002444C7"/>
    <w:rsid w:val="002445C4"/>
    <w:rsid w:val="00244943"/>
    <w:rsid w:val="00244D6F"/>
    <w:rsid w:val="0024532A"/>
    <w:rsid w:val="00245A36"/>
    <w:rsid w:val="00245C86"/>
    <w:rsid w:val="00245EB7"/>
    <w:rsid w:val="00245EDF"/>
    <w:rsid w:val="00246448"/>
    <w:rsid w:val="002466A1"/>
    <w:rsid w:val="0024679C"/>
    <w:rsid w:val="00246871"/>
    <w:rsid w:val="00246B3C"/>
    <w:rsid w:val="00246CEC"/>
    <w:rsid w:val="0024709F"/>
    <w:rsid w:val="00250023"/>
    <w:rsid w:val="00250147"/>
    <w:rsid w:val="00250313"/>
    <w:rsid w:val="002503ED"/>
    <w:rsid w:val="00250565"/>
    <w:rsid w:val="0025069D"/>
    <w:rsid w:val="00250ADF"/>
    <w:rsid w:val="00250BC1"/>
    <w:rsid w:val="002521AE"/>
    <w:rsid w:val="002522AC"/>
    <w:rsid w:val="00252377"/>
    <w:rsid w:val="002525D3"/>
    <w:rsid w:val="002527A0"/>
    <w:rsid w:val="002529DE"/>
    <w:rsid w:val="0025315C"/>
    <w:rsid w:val="00253189"/>
    <w:rsid w:val="0025338B"/>
    <w:rsid w:val="00253423"/>
    <w:rsid w:val="00253556"/>
    <w:rsid w:val="0025358D"/>
    <w:rsid w:val="00253762"/>
    <w:rsid w:val="002539D9"/>
    <w:rsid w:val="00253B1F"/>
    <w:rsid w:val="00253D6F"/>
    <w:rsid w:val="002542D2"/>
    <w:rsid w:val="002549A0"/>
    <w:rsid w:val="00254B35"/>
    <w:rsid w:val="00254E41"/>
    <w:rsid w:val="00255371"/>
    <w:rsid w:val="0025546B"/>
    <w:rsid w:val="00255946"/>
    <w:rsid w:val="00255D90"/>
    <w:rsid w:val="002561B4"/>
    <w:rsid w:val="002562BF"/>
    <w:rsid w:val="00256320"/>
    <w:rsid w:val="002564DC"/>
    <w:rsid w:val="00257163"/>
    <w:rsid w:val="00257190"/>
    <w:rsid w:val="002571DF"/>
    <w:rsid w:val="002573BE"/>
    <w:rsid w:val="00257621"/>
    <w:rsid w:val="00257749"/>
    <w:rsid w:val="00257B57"/>
    <w:rsid w:val="00257D8F"/>
    <w:rsid w:val="00257F92"/>
    <w:rsid w:val="0025D59D"/>
    <w:rsid w:val="002604F0"/>
    <w:rsid w:val="002608FD"/>
    <w:rsid w:val="00260AB0"/>
    <w:rsid w:val="00260B5E"/>
    <w:rsid w:val="00260BBB"/>
    <w:rsid w:val="00260DB4"/>
    <w:rsid w:val="002617E8"/>
    <w:rsid w:val="002619AB"/>
    <w:rsid w:val="00262055"/>
    <w:rsid w:val="002625AD"/>
    <w:rsid w:val="002625E1"/>
    <w:rsid w:val="002626B4"/>
    <w:rsid w:val="002628D1"/>
    <w:rsid w:val="00262911"/>
    <w:rsid w:val="0026374A"/>
    <w:rsid w:val="002641BE"/>
    <w:rsid w:val="00264AD5"/>
    <w:rsid w:val="00264B76"/>
    <w:rsid w:val="00264F05"/>
    <w:rsid w:val="0026542E"/>
    <w:rsid w:val="002656FA"/>
    <w:rsid w:val="0026571B"/>
    <w:rsid w:val="00265937"/>
    <w:rsid w:val="0026642F"/>
    <w:rsid w:val="00266463"/>
    <w:rsid w:val="00266691"/>
    <w:rsid w:val="002666CF"/>
    <w:rsid w:val="00266729"/>
    <w:rsid w:val="00266E71"/>
    <w:rsid w:val="0026714B"/>
    <w:rsid w:val="002673A3"/>
    <w:rsid w:val="00267E5D"/>
    <w:rsid w:val="00267EDF"/>
    <w:rsid w:val="0027018E"/>
    <w:rsid w:val="00270330"/>
    <w:rsid w:val="002703D7"/>
    <w:rsid w:val="00270A37"/>
    <w:rsid w:val="00270E78"/>
    <w:rsid w:val="00271485"/>
    <w:rsid w:val="00271628"/>
    <w:rsid w:val="0027166C"/>
    <w:rsid w:val="002719CA"/>
    <w:rsid w:val="0027218B"/>
    <w:rsid w:val="002725BA"/>
    <w:rsid w:val="00272647"/>
    <w:rsid w:val="00272665"/>
    <w:rsid w:val="00272760"/>
    <w:rsid w:val="002729DA"/>
    <w:rsid w:val="00273006"/>
    <w:rsid w:val="0027304C"/>
    <w:rsid w:val="00273127"/>
    <w:rsid w:val="0027335D"/>
    <w:rsid w:val="0027337E"/>
    <w:rsid w:val="002733DF"/>
    <w:rsid w:val="00273476"/>
    <w:rsid w:val="0027350A"/>
    <w:rsid w:val="002736F7"/>
    <w:rsid w:val="00273FBC"/>
    <w:rsid w:val="002740AB"/>
    <w:rsid w:val="002740B1"/>
    <w:rsid w:val="00274246"/>
    <w:rsid w:val="0027475F"/>
    <w:rsid w:val="002747C0"/>
    <w:rsid w:val="002755B5"/>
    <w:rsid w:val="002755D0"/>
    <w:rsid w:val="0027572D"/>
    <w:rsid w:val="0027576A"/>
    <w:rsid w:val="00275894"/>
    <w:rsid w:val="002758AB"/>
    <w:rsid w:val="00275F31"/>
    <w:rsid w:val="002761E6"/>
    <w:rsid w:val="00276352"/>
    <w:rsid w:val="0027662A"/>
    <w:rsid w:val="002767AB"/>
    <w:rsid w:val="00276C0D"/>
    <w:rsid w:val="00277110"/>
    <w:rsid w:val="00277131"/>
    <w:rsid w:val="002772FC"/>
    <w:rsid w:val="002773C4"/>
    <w:rsid w:val="002774D9"/>
    <w:rsid w:val="002775F4"/>
    <w:rsid w:val="00277739"/>
    <w:rsid w:val="00277834"/>
    <w:rsid w:val="00277B86"/>
    <w:rsid w:val="00277F1B"/>
    <w:rsid w:val="00280142"/>
    <w:rsid w:val="00280416"/>
    <w:rsid w:val="00280564"/>
    <w:rsid w:val="002805A0"/>
    <w:rsid w:val="00280A37"/>
    <w:rsid w:val="00280AA0"/>
    <w:rsid w:val="00280BC9"/>
    <w:rsid w:val="00280C9C"/>
    <w:rsid w:val="00280F87"/>
    <w:rsid w:val="002810D0"/>
    <w:rsid w:val="00281562"/>
    <w:rsid w:val="00281612"/>
    <w:rsid w:val="00281746"/>
    <w:rsid w:val="002818B9"/>
    <w:rsid w:val="00281A4E"/>
    <w:rsid w:val="00281FF3"/>
    <w:rsid w:val="00282635"/>
    <w:rsid w:val="002826BC"/>
    <w:rsid w:val="00282733"/>
    <w:rsid w:val="002828BA"/>
    <w:rsid w:val="002829D2"/>
    <w:rsid w:val="00282A8A"/>
    <w:rsid w:val="00283472"/>
    <w:rsid w:val="002836F4"/>
    <w:rsid w:val="0028378D"/>
    <w:rsid w:val="00283C01"/>
    <w:rsid w:val="00283C2B"/>
    <w:rsid w:val="00283CDB"/>
    <w:rsid w:val="0028414B"/>
    <w:rsid w:val="00284471"/>
    <w:rsid w:val="002844E3"/>
    <w:rsid w:val="00284564"/>
    <w:rsid w:val="00284C8A"/>
    <w:rsid w:val="00285367"/>
    <w:rsid w:val="00285561"/>
    <w:rsid w:val="00285BD5"/>
    <w:rsid w:val="0028607A"/>
    <w:rsid w:val="002860DE"/>
    <w:rsid w:val="002861B8"/>
    <w:rsid w:val="002861F4"/>
    <w:rsid w:val="00286957"/>
    <w:rsid w:val="00287016"/>
    <w:rsid w:val="002870B0"/>
    <w:rsid w:val="00287197"/>
    <w:rsid w:val="0028766F"/>
    <w:rsid w:val="002900CA"/>
    <w:rsid w:val="002901A5"/>
    <w:rsid w:val="0029040C"/>
    <w:rsid w:val="0029049A"/>
    <w:rsid w:val="002905C5"/>
    <w:rsid w:val="0029079E"/>
    <w:rsid w:val="0029084A"/>
    <w:rsid w:val="0029149A"/>
    <w:rsid w:val="002917F1"/>
    <w:rsid w:val="002918D3"/>
    <w:rsid w:val="0029204D"/>
    <w:rsid w:val="002920E0"/>
    <w:rsid w:val="002922DF"/>
    <w:rsid w:val="00292618"/>
    <w:rsid w:val="00292AD1"/>
    <w:rsid w:val="00292B63"/>
    <w:rsid w:val="002933C3"/>
    <w:rsid w:val="0029343A"/>
    <w:rsid w:val="0029356D"/>
    <w:rsid w:val="00293890"/>
    <w:rsid w:val="002939A9"/>
    <w:rsid w:val="00293E13"/>
    <w:rsid w:val="0029430E"/>
    <w:rsid w:val="0029456D"/>
    <w:rsid w:val="00294574"/>
    <w:rsid w:val="00294A48"/>
    <w:rsid w:val="00294A7C"/>
    <w:rsid w:val="00294CCE"/>
    <w:rsid w:val="00294D64"/>
    <w:rsid w:val="00294FE8"/>
    <w:rsid w:val="00295D2D"/>
    <w:rsid w:val="00295D68"/>
    <w:rsid w:val="00296192"/>
    <w:rsid w:val="0029641B"/>
    <w:rsid w:val="002965E0"/>
    <w:rsid w:val="002965FD"/>
    <w:rsid w:val="00296827"/>
    <w:rsid w:val="00296856"/>
    <w:rsid w:val="00296C11"/>
    <w:rsid w:val="00297177"/>
    <w:rsid w:val="0029743E"/>
    <w:rsid w:val="00297508"/>
    <w:rsid w:val="0029778C"/>
    <w:rsid w:val="0029B887"/>
    <w:rsid w:val="002A0240"/>
    <w:rsid w:val="002A0291"/>
    <w:rsid w:val="002A034F"/>
    <w:rsid w:val="002A07F1"/>
    <w:rsid w:val="002A0840"/>
    <w:rsid w:val="002A0924"/>
    <w:rsid w:val="002A0BB0"/>
    <w:rsid w:val="002A0C7F"/>
    <w:rsid w:val="002A0E22"/>
    <w:rsid w:val="002A1284"/>
    <w:rsid w:val="002A14FE"/>
    <w:rsid w:val="002A1510"/>
    <w:rsid w:val="002A15FC"/>
    <w:rsid w:val="002A18E8"/>
    <w:rsid w:val="002A2067"/>
    <w:rsid w:val="002A25D5"/>
    <w:rsid w:val="002A2602"/>
    <w:rsid w:val="002A262A"/>
    <w:rsid w:val="002A2CB8"/>
    <w:rsid w:val="002A3064"/>
    <w:rsid w:val="002A31FA"/>
    <w:rsid w:val="002A3A81"/>
    <w:rsid w:val="002A3BD2"/>
    <w:rsid w:val="002A3D86"/>
    <w:rsid w:val="002A3D9B"/>
    <w:rsid w:val="002A4245"/>
    <w:rsid w:val="002A4672"/>
    <w:rsid w:val="002A4821"/>
    <w:rsid w:val="002A4853"/>
    <w:rsid w:val="002A49C6"/>
    <w:rsid w:val="002A4C40"/>
    <w:rsid w:val="002A4D11"/>
    <w:rsid w:val="002A556B"/>
    <w:rsid w:val="002A576A"/>
    <w:rsid w:val="002A5A8E"/>
    <w:rsid w:val="002A5CCA"/>
    <w:rsid w:val="002A5D60"/>
    <w:rsid w:val="002A5DA5"/>
    <w:rsid w:val="002A6003"/>
    <w:rsid w:val="002A610D"/>
    <w:rsid w:val="002A61E9"/>
    <w:rsid w:val="002A6302"/>
    <w:rsid w:val="002A6765"/>
    <w:rsid w:val="002A68F2"/>
    <w:rsid w:val="002A69DD"/>
    <w:rsid w:val="002A6C9C"/>
    <w:rsid w:val="002A6FDF"/>
    <w:rsid w:val="002A7300"/>
    <w:rsid w:val="002A752A"/>
    <w:rsid w:val="002A7772"/>
    <w:rsid w:val="002A7B30"/>
    <w:rsid w:val="002A7C3D"/>
    <w:rsid w:val="002A7F5F"/>
    <w:rsid w:val="002B00B4"/>
    <w:rsid w:val="002B03E6"/>
    <w:rsid w:val="002B04E5"/>
    <w:rsid w:val="002B0821"/>
    <w:rsid w:val="002B0E3C"/>
    <w:rsid w:val="002B0F7D"/>
    <w:rsid w:val="002B1843"/>
    <w:rsid w:val="002B1C64"/>
    <w:rsid w:val="002B1E8E"/>
    <w:rsid w:val="002B1EDF"/>
    <w:rsid w:val="002B271B"/>
    <w:rsid w:val="002B27C7"/>
    <w:rsid w:val="002B286E"/>
    <w:rsid w:val="002B2BED"/>
    <w:rsid w:val="002B32E1"/>
    <w:rsid w:val="002B3575"/>
    <w:rsid w:val="002B365F"/>
    <w:rsid w:val="002B376D"/>
    <w:rsid w:val="002B390B"/>
    <w:rsid w:val="002B3DD3"/>
    <w:rsid w:val="002B3FBB"/>
    <w:rsid w:val="002B47CA"/>
    <w:rsid w:val="002B502F"/>
    <w:rsid w:val="002B51DD"/>
    <w:rsid w:val="002B5895"/>
    <w:rsid w:val="002B5DC8"/>
    <w:rsid w:val="002B5DE8"/>
    <w:rsid w:val="002B648B"/>
    <w:rsid w:val="002B6820"/>
    <w:rsid w:val="002B6B64"/>
    <w:rsid w:val="002B6CA5"/>
    <w:rsid w:val="002B6CE3"/>
    <w:rsid w:val="002B6D0B"/>
    <w:rsid w:val="002B7276"/>
    <w:rsid w:val="002B7397"/>
    <w:rsid w:val="002B745B"/>
    <w:rsid w:val="002B74C6"/>
    <w:rsid w:val="002B799C"/>
    <w:rsid w:val="002B7A32"/>
    <w:rsid w:val="002B7ED7"/>
    <w:rsid w:val="002C0005"/>
    <w:rsid w:val="002C0C57"/>
    <w:rsid w:val="002C0CEA"/>
    <w:rsid w:val="002C0E46"/>
    <w:rsid w:val="002C0ED6"/>
    <w:rsid w:val="002C11AB"/>
    <w:rsid w:val="002C13A7"/>
    <w:rsid w:val="002C1722"/>
    <w:rsid w:val="002C1D6C"/>
    <w:rsid w:val="002C1DF7"/>
    <w:rsid w:val="002C20B4"/>
    <w:rsid w:val="002C21DE"/>
    <w:rsid w:val="002C22F1"/>
    <w:rsid w:val="002C28DE"/>
    <w:rsid w:val="002C2C5B"/>
    <w:rsid w:val="002C2EF8"/>
    <w:rsid w:val="002C2FA1"/>
    <w:rsid w:val="002C3244"/>
    <w:rsid w:val="002C32B2"/>
    <w:rsid w:val="002C3996"/>
    <w:rsid w:val="002C3A4C"/>
    <w:rsid w:val="002C3C23"/>
    <w:rsid w:val="002C4272"/>
    <w:rsid w:val="002C43B8"/>
    <w:rsid w:val="002C43F8"/>
    <w:rsid w:val="002C4A15"/>
    <w:rsid w:val="002C4AF4"/>
    <w:rsid w:val="002C4DBC"/>
    <w:rsid w:val="002C4DD5"/>
    <w:rsid w:val="002C5170"/>
    <w:rsid w:val="002C5387"/>
    <w:rsid w:val="002C553C"/>
    <w:rsid w:val="002C557A"/>
    <w:rsid w:val="002C55AD"/>
    <w:rsid w:val="002C57BA"/>
    <w:rsid w:val="002C6620"/>
    <w:rsid w:val="002C6914"/>
    <w:rsid w:val="002C69F4"/>
    <w:rsid w:val="002C6C5E"/>
    <w:rsid w:val="002C6F59"/>
    <w:rsid w:val="002C7BE1"/>
    <w:rsid w:val="002C7CCD"/>
    <w:rsid w:val="002C7E95"/>
    <w:rsid w:val="002CEF03"/>
    <w:rsid w:val="002D0073"/>
    <w:rsid w:val="002D0120"/>
    <w:rsid w:val="002D025A"/>
    <w:rsid w:val="002D030C"/>
    <w:rsid w:val="002D03BC"/>
    <w:rsid w:val="002D0463"/>
    <w:rsid w:val="002D0830"/>
    <w:rsid w:val="002D0895"/>
    <w:rsid w:val="002D0960"/>
    <w:rsid w:val="002D0B9A"/>
    <w:rsid w:val="002D0BD1"/>
    <w:rsid w:val="002D0CDF"/>
    <w:rsid w:val="002D0EC8"/>
    <w:rsid w:val="002D1BFC"/>
    <w:rsid w:val="002D1E1C"/>
    <w:rsid w:val="002D24E1"/>
    <w:rsid w:val="002D2696"/>
    <w:rsid w:val="002D27BD"/>
    <w:rsid w:val="002D2838"/>
    <w:rsid w:val="002D2B00"/>
    <w:rsid w:val="002D2B40"/>
    <w:rsid w:val="002D2C58"/>
    <w:rsid w:val="002D3697"/>
    <w:rsid w:val="002D3966"/>
    <w:rsid w:val="002D4040"/>
    <w:rsid w:val="002D4102"/>
    <w:rsid w:val="002D4282"/>
    <w:rsid w:val="002D4796"/>
    <w:rsid w:val="002D47C2"/>
    <w:rsid w:val="002D49B5"/>
    <w:rsid w:val="002D4AB4"/>
    <w:rsid w:val="002D4D83"/>
    <w:rsid w:val="002D4EC6"/>
    <w:rsid w:val="002D5383"/>
    <w:rsid w:val="002D53A6"/>
    <w:rsid w:val="002D5CBE"/>
    <w:rsid w:val="002D5EA5"/>
    <w:rsid w:val="002D5FE3"/>
    <w:rsid w:val="002D60D0"/>
    <w:rsid w:val="002D6333"/>
    <w:rsid w:val="002D6971"/>
    <w:rsid w:val="002D6A19"/>
    <w:rsid w:val="002D6D28"/>
    <w:rsid w:val="002D707B"/>
    <w:rsid w:val="002D73AC"/>
    <w:rsid w:val="002D74B2"/>
    <w:rsid w:val="002D7635"/>
    <w:rsid w:val="002D7799"/>
    <w:rsid w:val="002D79A0"/>
    <w:rsid w:val="002D7E1D"/>
    <w:rsid w:val="002D7E1E"/>
    <w:rsid w:val="002E010C"/>
    <w:rsid w:val="002E021B"/>
    <w:rsid w:val="002E0263"/>
    <w:rsid w:val="002E0555"/>
    <w:rsid w:val="002E0B57"/>
    <w:rsid w:val="002E0C72"/>
    <w:rsid w:val="002E1488"/>
    <w:rsid w:val="002E17BC"/>
    <w:rsid w:val="002E1ADD"/>
    <w:rsid w:val="002E1C06"/>
    <w:rsid w:val="002E1E87"/>
    <w:rsid w:val="002E242F"/>
    <w:rsid w:val="002E2A99"/>
    <w:rsid w:val="002E2D8B"/>
    <w:rsid w:val="002E2EE1"/>
    <w:rsid w:val="002E30D9"/>
    <w:rsid w:val="002E365C"/>
    <w:rsid w:val="002E3859"/>
    <w:rsid w:val="002E388E"/>
    <w:rsid w:val="002E3A3E"/>
    <w:rsid w:val="002E42CA"/>
    <w:rsid w:val="002E4756"/>
    <w:rsid w:val="002E4A77"/>
    <w:rsid w:val="002E5046"/>
    <w:rsid w:val="002E50C1"/>
    <w:rsid w:val="002E51E1"/>
    <w:rsid w:val="002E52EC"/>
    <w:rsid w:val="002E57F3"/>
    <w:rsid w:val="002E5997"/>
    <w:rsid w:val="002E5AD2"/>
    <w:rsid w:val="002E5B66"/>
    <w:rsid w:val="002E5E08"/>
    <w:rsid w:val="002E62F2"/>
    <w:rsid w:val="002E63F6"/>
    <w:rsid w:val="002E68D1"/>
    <w:rsid w:val="002E6CA4"/>
    <w:rsid w:val="002E756E"/>
    <w:rsid w:val="002E767A"/>
    <w:rsid w:val="002E77E0"/>
    <w:rsid w:val="002E7A14"/>
    <w:rsid w:val="002E7AC7"/>
    <w:rsid w:val="002E7DCD"/>
    <w:rsid w:val="002E7E14"/>
    <w:rsid w:val="002F02D9"/>
    <w:rsid w:val="002F04A1"/>
    <w:rsid w:val="002F04BD"/>
    <w:rsid w:val="002F0651"/>
    <w:rsid w:val="002F0BA1"/>
    <w:rsid w:val="002F12A5"/>
    <w:rsid w:val="002F1466"/>
    <w:rsid w:val="002F16B7"/>
    <w:rsid w:val="002F17A3"/>
    <w:rsid w:val="002F1928"/>
    <w:rsid w:val="002F214D"/>
    <w:rsid w:val="002F246A"/>
    <w:rsid w:val="002F252D"/>
    <w:rsid w:val="002F273E"/>
    <w:rsid w:val="002F3079"/>
    <w:rsid w:val="002F30B8"/>
    <w:rsid w:val="002F3380"/>
    <w:rsid w:val="002F33D2"/>
    <w:rsid w:val="002F3414"/>
    <w:rsid w:val="002F370E"/>
    <w:rsid w:val="002F3934"/>
    <w:rsid w:val="002F4571"/>
    <w:rsid w:val="002F46F1"/>
    <w:rsid w:val="002F480B"/>
    <w:rsid w:val="002F4859"/>
    <w:rsid w:val="002F491C"/>
    <w:rsid w:val="002F4E6E"/>
    <w:rsid w:val="002F500E"/>
    <w:rsid w:val="002F53A3"/>
    <w:rsid w:val="002F5685"/>
    <w:rsid w:val="002F5956"/>
    <w:rsid w:val="002F5E74"/>
    <w:rsid w:val="002F5EAC"/>
    <w:rsid w:val="002F6394"/>
    <w:rsid w:val="002F6A7A"/>
    <w:rsid w:val="002F6D54"/>
    <w:rsid w:val="002F723D"/>
    <w:rsid w:val="002F73E8"/>
    <w:rsid w:val="002F74DA"/>
    <w:rsid w:val="002F76AD"/>
    <w:rsid w:val="002F7A43"/>
    <w:rsid w:val="0030019E"/>
    <w:rsid w:val="003002F5"/>
    <w:rsid w:val="003007BC"/>
    <w:rsid w:val="00300959"/>
    <w:rsid w:val="003010F4"/>
    <w:rsid w:val="00301601"/>
    <w:rsid w:val="0030165D"/>
    <w:rsid w:val="00301865"/>
    <w:rsid w:val="00301CA0"/>
    <w:rsid w:val="00301E99"/>
    <w:rsid w:val="0030268B"/>
    <w:rsid w:val="00302A13"/>
    <w:rsid w:val="00302CC9"/>
    <w:rsid w:val="00302DB0"/>
    <w:rsid w:val="00302E8B"/>
    <w:rsid w:val="003030A2"/>
    <w:rsid w:val="00303A49"/>
    <w:rsid w:val="00303C12"/>
    <w:rsid w:val="00303CEC"/>
    <w:rsid w:val="003042DB"/>
    <w:rsid w:val="0030474C"/>
    <w:rsid w:val="00304D83"/>
    <w:rsid w:val="00304E36"/>
    <w:rsid w:val="00304ED1"/>
    <w:rsid w:val="003059CA"/>
    <w:rsid w:val="00305B56"/>
    <w:rsid w:val="00305BFF"/>
    <w:rsid w:val="00305D89"/>
    <w:rsid w:val="00306184"/>
    <w:rsid w:val="003064AB"/>
    <w:rsid w:val="00306518"/>
    <w:rsid w:val="00306686"/>
    <w:rsid w:val="00306970"/>
    <w:rsid w:val="00306CC1"/>
    <w:rsid w:val="00306F60"/>
    <w:rsid w:val="00306FC6"/>
    <w:rsid w:val="003072F9"/>
    <w:rsid w:val="0030751B"/>
    <w:rsid w:val="003075E6"/>
    <w:rsid w:val="00307727"/>
    <w:rsid w:val="00307AC4"/>
    <w:rsid w:val="00307AE6"/>
    <w:rsid w:val="00307BA5"/>
    <w:rsid w:val="00307C83"/>
    <w:rsid w:val="00310072"/>
    <w:rsid w:val="00310409"/>
    <w:rsid w:val="00310BDF"/>
    <w:rsid w:val="00310DC9"/>
    <w:rsid w:val="0031102C"/>
    <w:rsid w:val="003111EA"/>
    <w:rsid w:val="0031149A"/>
    <w:rsid w:val="003116B8"/>
    <w:rsid w:val="00311751"/>
    <w:rsid w:val="00311945"/>
    <w:rsid w:val="003119D0"/>
    <w:rsid w:val="00311A1A"/>
    <w:rsid w:val="00311B6D"/>
    <w:rsid w:val="00311DF0"/>
    <w:rsid w:val="0031222B"/>
    <w:rsid w:val="0031222F"/>
    <w:rsid w:val="003123F4"/>
    <w:rsid w:val="00312607"/>
    <w:rsid w:val="003128E6"/>
    <w:rsid w:val="00312D06"/>
    <w:rsid w:val="0031301E"/>
    <w:rsid w:val="0031315D"/>
    <w:rsid w:val="003131D3"/>
    <w:rsid w:val="00313293"/>
    <w:rsid w:val="0031334A"/>
    <w:rsid w:val="0031347E"/>
    <w:rsid w:val="00313589"/>
    <w:rsid w:val="003137A9"/>
    <w:rsid w:val="00314413"/>
    <w:rsid w:val="003145C4"/>
    <w:rsid w:val="00314A08"/>
    <w:rsid w:val="00314E86"/>
    <w:rsid w:val="00314F64"/>
    <w:rsid w:val="00315044"/>
    <w:rsid w:val="00315677"/>
    <w:rsid w:val="003156F6"/>
    <w:rsid w:val="00315A29"/>
    <w:rsid w:val="0031621E"/>
    <w:rsid w:val="0031630F"/>
    <w:rsid w:val="003163E0"/>
    <w:rsid w:val="003167F8"/>
    <w:rsid w:val="003168D4"/>
    <w:rsid w:val="00316AD2"/>
    <w:rsid w:val="00316B7C"/>
    <w:rsid w:val="00316C71"/>
    <w:rsid w:val="0031731A"/>
    <w:rsid w:val="003174BB"/>
    <w:rsid w:val="0031799C"/>
    <w:rsid w:val="003181B5"/>
    <w:rsid w:val="00320364"/>
    <w:rsid w:val="00320B75"/>
    <w:rsid w:val="00320EF0"/>
    <w:rsid w:val="00321114"/>
    <w:rsid w:val="0032124D"/>
    <w:rsid w:val="003212BD"/>
    <w:rsid w:val="0032153B"/>
    <w:rsid w:val="0032185C"/>
    <w:rsid w:val="003218EB"/>
    <w:rsid w:val="0032190E"/>
    <w:rsid w:val="00322098"/>
    <w:rsid w:val="003220F2"/>
    <w:rsid w:val="00322902"/>
    <w:rsid w:val="00322EA1"/>
    <w:rsid w:val="00322EF5"/>
    <w:rsid w:val="003232E5"/>
    <w:rsid w:val="00323770"/>
    <w:rsid w:val="00323A4B"/>
    <w:rsid w:val="00323AB0"/>
    <w:rsid w:val="00323D16"/>
    <w:rsid w:val="0032402C"/>
    <w:rsid w:val="003244A4"/>
    <w:rsid w:val="003246A9"/>
    <w:rsid w:val="00324711"/>
    <w:rsid w:val="003247E5"/>
    <w:rsid w:val="00324910"/>
    <w:rsid w:val="0032514B"/>
    <w:rsid w:val="003251DE"/>
    <w:rsid w:val="0032527E"/>
    <w:rsid w:val="0032535D"/>
    <w:rsid w:val="00325464"/>
    <w:rsid w:val="0032549E"/>
    <w:rsid w:val="00325738"/>
    <w:rsid w:val="0032596D"/>
    <w:rsid w:val="00325B48"/>
    <w:rsid w:val="003261B8"/>
    <w:rsid w:val="003263DF"/>
    <w:rsid w:val="00326F76"/>
    <w:rsid w:val="00326FEA"/>
    <w:rsid w:val="003272D3"/>
    <w:rsid w:val="00327382"/>
    <w:rsid w:val="00327A87"/>
    <w:rsid w:val="00327C16"/>
    <w:rsid w:val="00327C20"/>
    <w:rsid w:val="00327D96"/>
    <w:rsid w:val="00327DE7"/>
    <w:rsid w:val="00327E50"/>
    <w:rsid w:val="00327FCD"/>
    <w:rsid w:val="00330399"/>
    <w:rsid w:val="0033056F"/>
    <w:rsid w:val="003305CF"/>
    <w:rsid w:val="00330635"/>
    <w:rsid w:val="00330A88"/>
    <w:rsid w:val="00330B75"/>
    <w:rsid w:val="00330FF9"/>
    <w:rsid w:val="00331413"/>
    <w:rsid w:val="003318E3"/>
    <w:rsid w:val="00331B98"/>
    <w:rsid w:val="00331C07"/>
    <w:rsid w:val="0033224F"/>
    <w:rsid w:val="0033248A"/>
    <w:rsid w:val="00332955"/>
    <w:rsid w:val="00333261"/>
    <w:rsid w:val="00333956"/>
    <w:rsid w:val="00333A87"/>
    <w:rsid w:val="00333E9A"/>
    <w:rsid w:val="00333F41"/>
    <w:rsid w:val="00334026"/>
    <w:rsid w:val="0033410D"/>
    <w:rsid w:val="0033413D"/>
    <w:rsid w:val="00334151"/>
    <w:rsid w:val="003342A1"/>
    <w:rsid w:val="0033430A"/>
    <w:rsid w:val="003343BB"/>
    <w:rsid w:val="003345E6"/>
    <w:rsid w:val="00334A61"/>
    <w:rsid w:val="00334BF5"/>
    <w:rsid w:val="00334C77"/>
    <w:rsid w:val="00334CBE"/>
    <w:rsid w:val="003352C1"/>
    <w:rsid w:val="003353AC"/>
    <w:rsid w:val="003355B6"/>
    <w:rsid w:val="003356AC"/>
    <w:rsid w:val="003357DB"/>
    <w:rsid w:val="00335C1D"/>
    <w:rsid w:val="00335D91"/>
    <w:rsid w:val="003360B1"/>
    <w:rsid w:val="0033639D"/>
    <w:rsid w:val="00336820"/>
    <w:rsid w:val="0033685F"/>
    <w:rsid w:val="00336929"/>
    <w:rsid w:val="00336A38"/>
    <w:rsid w:val="00336B86"/>
    <w:rsid w:val="00336D4C"/>
    <w:rsid w:val="00336EBD"/>
    <w:rsid w:val="0033704A"/>
    <w:rsid w:val="0033719A"/>
    <w:rsid w:val="003375EC"/>
    <w:rsid w:val="00337B0E"/>
    <w:rsid w:val="00340112"/>
    <w:rsid w:val="0034018E"/>
    <w:rsid w:val="00340336"/>
    <w:rsid w:val="00340757"/>
    <w:rsid w:val="003407CE"/>
    <w:rsid w:val="00340895"/>
    <w:rsid w:val="00340B2D"/>
    <w:rsid w:val="00340BC3"/>
    <w:rsid w:val="00340BD0"/>
    <w:rsid w:val="00340D86"/>
    <w:rsid w:val="00341E73"/>
    <w:rsid w:val="0034296F"/>
    <w:rsid w:val="00342AA4"/>
    <w:rsid w:val="00342B39"/>
    <w:rsid w:val="0034355D"/>
    <w:rsid w:val="00343654"/>
    <w:rsid w:val="00343AA7"/>
    <w:rsid w:val="00343E73"/>
    <w:rsid w:val="00343F4D"/>
    <w:rsid w:val="00344A7B"/>
    <w:rsid w:val="00344B57"/>
    <w:rsid w:val="0034506D"/>
    <w:rsid w:val="003454BF"/>
    <w:rsid w:val="003455AF"/>
    <w:rsid w:val="00345632"/>
    <w:rsid w:val="003461A5"/>
    <w:rsid w:val="00346318"/>
    <w:rsid w:val="003468B1"/>
    <w:rsid w:val="00346BFC"/>
    <w:rsid w:val="00346C0B"/>
    <w:rsid w:val="00347568"/>
    <w:rsid w:val="003475D1"/>
    <w:rsid w:val="00347881"/>
    <w:rsid w:val="003479F0"/>
    <w:rsid w:val="0034E5B4"/>
    <w:rsid w:val="00350038"/>
    <w:rsid w:val="0035007B"/>
    <w:rsid w:val="003501B1"/>
    <w:rsid w:val="003501BF"/>
    <w:rsid w:val="003501F4"/>
    <w:rsid w:val="0035033D"/>
    <w:rsid w:val="0035047C"/>
    <w:rsid w:val="003508AA"/>
    <w:rsid w:val="00350FFD"/>
    <w:rsid w:val="0035107B"/>
    <w:rsid w:val="003510FB"/>
    <w:rsid w:val="0035114C"/>
    <w:rsid w:val="00351384"/>
    <w:rsid w:val="003513A9"/>
    <w:rsid w:val="00351490"/>
    <w:rsid w:val="00351523"/>
    <w:rsid w:val="0035186E"/>
    <w:rsid w:val="003519AE"/>
    <w:rsid w:val="00351A0A"/>
    <w:rsid w:val="00351BC0"/>
    <w:rsid w:val="00351BE8"/>
    <w:rsid w:val="00351EDD"/>
    <w:rsid w:val="00352205"/>
    <w:rsid w:val="0035236C"/>
    <w:rsid w:val="003524F5"/>
    <w:rsid w:val="003526E3"/>
    <w:rsid w:val="00352831"/>
    <w:rsid w:val="0035295E"/>
    <w:rsid w:val="00352C1E"/>
    <w:rsid w:val="00352E29"/>
    <w:rsid w:val="00352E7D"/>
    <w:rsid w:val="00352FE7"/>
    <w:rsid w:val="00353188"/>
    <w:rsid w:val="0035326C"/>
    <w:rsid w:val="003532CF"/>
    <w:rsid w:val="003535D7"/>
    <w:rsid w:val="00353664"/>
    <w:rsid w:val="00353CA3"/>
    <w:rsid w:val="00353D1B"/>
    <w:rsid w:val="00354462"/>
    <w:rsid w:val="00354A22"/>
    <w:rsid w:val="00354A5F"/>
    <w:rsid w:val="00354AE7"/>
    <w:rsid w:val="00355080"/>
    <w:rsid w:val="003550F6"/>
    <w:rsid w:val="00355124"/>
    <w:rsid w:val="00355237"/>
    <w:rsid w:val="00355368"/>
    <w:rsid w:val="003553F6"/>
    <w:rsid w:val="00355633"/>
    <w:rsid w:val="00355764"/>
    <w:rsid w:val="00355A36"/>
    <w:rsid w:val="00355D09"/>
    <w:rsid w:val="00355F93"/>
    <w:rsid w:val="0035602B"/>
    <w:rsid w:val="0035632A"/>
    <w:rsid w:val="0035634A"/>
    <w:rsid w:val="0035634C"/>
    <w:rsid w:val="00356498"/>
    <w:rsid w:val="003569BE"/>
    <w:rsid w:val="00356FA6"/>
    <w:rsid w:val="00357043"/>
    <w:rsid w:val="00357397"/>
    <w:rsid w:val="003574FD"/>
    <w:rsid w:val="003579F3"/>
    <w:rsid w:val="00357B5C"/>
    <w:rsid w:val="00357BE0"/>
    <w:rsid w:val="00360497"/>
    <w:rsid w:val="00360B8D"/>
    <w:rsid w:val="00361137"/>
    <w:rsid w:val="0036142C"/>
    <w:rsid w:val="003617FD"/>
    <w:rsid w:val="003618CF"/>
    <w:rsid w:val="00361F24"/>
    <w:rsid w:val="003623A5"/>
    <w:rsid w:val="00362A51"/>
    <w:rsid w:val="00362FC0"/>
    <w:rsid w:val="00363198"/>
    <w:rsid w:val="003636D9"/>
    <w:rsid w:val="003637D0"/>
    <w:rsid w:val="00363961"/>
    <w:rsid w:val="003639B0"/>
    <w:rsid w:val="00363B21"/>
    <w:rsid w:val="00363B7B"/>
    <w:rsid w:val="00363C41"/>
    <w:rsid w:val="00363E4D"/>
    <w:rsid w:val="00364025"/>
    <w:rsid w:val="00364106"/>
    <w:rsid w:val="00364378"/>
    <w:rsid w:val="0036467B"/>
    <w:rsid w:val="00364C8D"/>
    <w:rsid w:val="00364CD8"/>
    <w:rsid w:val="00365003"/>
    <w:rsid w:val="0036518C"/>
    <w:rsid w:val="0036539C"/>
    <w:rsid w:val="003656CB"/>
    <w:rsid w:val="00365EA9"/>
    <w:rsid w:val="00365EE5"/>
    <w:rsid w:val="0036693E"/>
    <w:rsid w:val="0036695F"/>
    <w:rsid w:val="0036698A"/>
    <w:rsid w:val="00366B5A"/>
    <w:rsid w:val="00366C1B"/>
    <w:rsid w:val="003671C9"/>
    <w:rsid w:val="0036722B"/>
    <w:rsid w:val="00367297"/>
    <w:rsid w:val="003672BA"/>
    <w:rsid w:val="0036782D"/>
    <w:rsid w:val="00367BD7"/>
    <w:rsid w:val="003701D8"/>
    <w:rsid w:val="00370587"/>
    <w:rsid w:val="003705C8"/>
    <w:rsid w:val="0037084C"/>
    <w:rsid w:val="0037089A"/>
    <w:rsid w:val="00370A20"/>
    <w:rsid w:val="00370D85"/>
    <w:rsid w:val="003711DD"/>
    <w:rsid w:val="00371638"/>
    <w:rsid w:val="003717A4"/>
    <w:rsid w:val="003717E3"/>
    <w:rsid w:val="00371A78"/>
    <w:rsid w:val="00371BB4"/>
    <w:rsid w:val="00371ED4"/>
    <w:rsid w:val="00372175"/>
    <w:rsid w:val="003724E0"/>
    <w:rsid w:val="003727D5"/>
    <w:rsid w:val="003727E0"/>
    <w:rsid w:val="00372A7F"/>
    <w:rsid w:val="00372AB6"/>
    <w:rsid w:val="00372E31"/>
    <w:rsid w:val="00372EC1"/>
    <w:rsid w:val="00373693"/>
    <w:rsid w:val="003739DB"/>
    <w:rsid w:val="00373A32"/>
    <w:rsid w:val="00373D50"/>
    <w:rsid w:val="0037410F"/>
    <w:rsid w:val="003741AA"/>
    <w:rsid w:val="00374883"/>
    <w:rsid w:val="00374A9D"/>
    <w:rsid w:val="00374B13"/>
    <w:rsid w:val="003750A9"/>
    <w:rsid w:val="00375261"/>
    <w:rsid w:val="00375314"/>
    <w:rsid w:val="0037546F"/>
    <w:rsid w:val="00375573"/>
    <w:rsid w:val="00375C6C"/>
    <w:rsid w:val="00375E79"/>
    <w:rsid w:val="00376123"/>
    <w:rsid w:val="00376BEC"/>
    <w:rsid w:val="00376EB4"/>
    <w:rsid w:val="00376F10"/>
    <w:rsid w:val="00376F67"/>
    <w:rsid w:val="00377101"/>
    <w:rsid w:val="0037794C"/>
    <w:rsid w:val="003779CC"/>
    <w:rsid w:val="0038043E"/>
    <w:rsid w:val="00380511"/>
    <w:rsid w:val="003807FD"/>
    <w:rsid w:val="00380870"/>
    <w:rsid w:val="00380EDD"/>
    <w:rsid w:val="00381223"/>
    <w:rsid w:val="0038182F"/>
    <w:rsid w:val="00381887"/>
    <w:rsid w:val="00381A23"/>
    <w:rsid w:val="00381EAC"/>
    <w:rsid w:val="00382076"/>
    <w:rsid w:val="003824E2"/>
    <w:rsid w:val="00382753"/>
    <w:rsid w:val="00382788"/>
    <w:rsid w:val="003828C2"/>
    <w:rsid w:val="00382904"/>
    <w:rsid w:val="00382B90"/>
    <w:rsid w:val="00382D60"/>
    <w:rsid w:val="00383573"/>
    <w:rsid w:val="0038383B"/>
    <w:rsid w:val="00383955"/>
    <w:rsid w:val="00383C90"/>
    <w:rsid w:val="00383D62"/>
    <w:rsid w:val="00383DC9"/>
    <w:rsid w:val="00384154"/>
    <w:rsid w:val="003841FC"/>
    <w:rsid w:val="00384325"/>
    <w:rsid w:val="003843C2"/>
    <w:rsid w:val="003843F9"/>
    <w:rsid w:val="0038501A"/>
    <w:rsid w:val="00385256"/>
    <w:rsid w:val="003853DD"/>
    <w:rsid w:val="003854BA"/>
    <w:rsid w:val="00386070"/>
    <w:rsid w:val="00386193"/>
    <w:rsid w:val="00386675"/>
    <w:rsid w:val="00386BBC"/>
    <w:rsid w:val="00386F36"/>
    <w:rsid w:val="0038716A"/>
    <w:rsid w:val="003877D0"/>
    <w:rsid w:val="00387930"/>
    <w:rsid w:val="003902A6"/>
    <w:rsid w:val="00390792"/>
    <w:rsid w:val="00390B54"/>
    <w:rsid w:val="00390B5F"/>
    <w:rsid w:val="00391360"/>
    <w:rsid w:val="00391394"/>
    <w:rsid w:val="003913D2"/>
    <w:rsid w:val="0039143F"/>
    <w:rsid w:val="0039170B"/>
    <w:rsid w:val="00391814"/>
    <w:rsid w:val="003918FD"/>
    <w:rsid w:val="0039197E"/>
    <w:rsid w:val="00391AF9"/>
    <w:rsid w:val="00391C82"/>
    <w:rsid w:val="00391F66"/>
    <w:rsid w:val="003921F3"/>
    <w:rsid w:val="003922E3"/>
    <w:rsid w:val="00392313"/>
    <w:rsid w:val="003924AE"/>
    <w:rsid w:val="00392597"/>
    <w:rsid w:val="00392683"/>
    <w:rsid w:val="00392765"/>
    <w:rsid w:val="00392879"/>
    <w:rsid w:val="00392920"/>
    <w:rsid w:val="00392D53"/>
    <w:rsid w:val="00392DDF"/>
    <w:rsid w:val="00392E4D"/>
    <w:rsid w:val="00392EA1"/>
    <w:rsid w:val="00392F0A"/>
    <w:rsid w:val="003935C4"/>
    <w:rsid w:val="003939F7"/>
    <w:rsid w:val="00393A91"/>
    <w:rsid w:val="00393BA6"/>
    <w:rsid w:val="003941A8"/>
    <w:rsid w:val="003955F9"/>
    <w:rsid w:val="00395EBF"/>
    <w:rsid w:val="00395F7E"/>
    <w:rsid w:val="00395FB8"/>
    <w:rsid w:val="003965D7"/>
    <w:rsid w:val="0039677A"/>
    <w:rsid w:val="003969C0"/>
    <w:rsid w:val="00396BC6"/>
    <w:rsid w:val="00396C96"/>
    <w:rsid w:val="00396EC3"/>
    <w:rsid w:val="00396F40"/>
    <w:rsid w:val="003972AE"/>
    <w:rsid w:val="003974A7"/>
    <w:rsid w:val="003978A9"/>
    <w:rsid w:val="0039791F"/>
    <w:rsid w:val="00397986"/>
    <w:rsid w:val="003979E4"/>
    <w:rsid w:val="00397B6F"/>
    <w:rsid w:val="00397F70"/>
    <w:rsid w:val="003A01A5"/>
    <w:rsid w:val="003A07F0"/>
    <w:rsid w:val="003A0A50"/>
    <w:rsid w:val="003A11DD"/>
    <w:rsid w:val="003A16C4"/>
    <w:rsid w:val="003A1985"/>
    <w:rsid w:val="003A19B0"/>
    <w:rsid w:val="003A1A17"/>
    <w:rsid w:val="003A1B7B"/>
    <w:rsid w:val="003A1C74"/>
    <w:rsid w:val="003A1E24"/>
    <w:rsid w:val="003A2196"/>
    <w:rsid w:val="003A24FB"/>
    <w:rsid w:val="003A25D5"/>
    <w:rsid w:val="003A27A3"/>
    <w:rsid w:val="003A2B04"/>
    <w:rsid w:val="003A2B88"/>
    <w:rsid w:val="003A2BE2"/>
    <w:rsid w:val="003A2FDE"/>
    <w:rsid w:val="003A329E"/>
    <w:rsid w:val="003A337C"/>
    <w:rsid w:val="003A3484"/>
    <w:rsid w:val="003A45A2"/>
    <w:rsid w:val="003A4987"/>
    <w:rsid w:val="003A4A6E"/>
    <w:rsid w:val="003A4BE4"/>
    <w:rsid w:val="003A4EF4"/>
    <w:rsid w:val="003A5125"/>
    <w:rsid w:val="003A52E9"/>
    <w:rsid w:val="003A56F2"/>
    <w:rsid w:val="003A58FC"/>
    <w:rsid w:val="003A5D5C"/>
    <w:rsid w:val="003A5E33"/>
    <w:rsid w:val="003A5E7F"/>
    <w:rsid w:val="003A5EE1"/>
    <w:rsid w:val="003A6203"/>
    <w:rsid w:val="003A6277"/>
    <w:rsid w:val="003A6805"/>
    <w:rsid w:val="003A6892"/>
    <w:rsid w:val="003A6983"/>
    <w:rsid w:val="003A6B3E"/>
    <w:rsid w:val="003A6B46"/>
    <w:rsid w:val="003A6BAF"/>
    <w:rsid w:val="003A6DFB"/>
    <w:rsid w:val="003A6E50"/>
    <w:rsid w:val="003A70C1"/>
    <w:rsid w:val="003A712B"/>
    <w:rsid w:val="003A72D7"/>
    <w:rsid w:val="003A7408"/>
    <w:rsid w:val="003A7465"/>
    <w:rsid w:val="003A749E"/>
    <w:rsid w:val="003A7689"/>
    <w:rsid w:val="003A7DBC"/>
    <w:rsid w:val="003B0584"/>
    <w:rsid w:val="003B0C4D"/>
    <w:rsid w:val="003B103E"/>
    <w:rsid w:val="003B1319"/>
    <w:rsid w:val="003B14BD"/>
    <w:rsid w:val="003B1621"/>
    <w:rsid w:val="003B1691"/>
    <w:rsid w:val="003B19A3"/>
    <w:rsid w:val="003B1C9E"/>
    <w:rsid w:val="003B1CF6"/>
    <w:rsid w:val="003B20C6"/>
    <w:rsid w:val="003B22FF"/>
    <w:rsid w:val="003B234E"/>
    <w:rsid w:val="003B25CF"/>
    <w:rsid w:val="003B284E"/>
    <w:rsid w:val="003B2D81"/>
    <w:rsid w:val="003B30AF"/>
    <w:rsid w:val="003B3331"/>
    <w:rsid w:val="003B3501"/>
    <w:rsid w:val="003B396E"/>
    <w:rsid w:val="003B3A6A"/>
    <w:rsid w:val="003B432A"/>
    <w:rsid w:val="003B44E9"/>
    <w:rsid w:val="003B4536"/>
    <w:rsid w:val="003B457B"/>
    <w:rsid w:val="003B4DE1"/>
    <w:rsid w:val="003B4E45"/>
    <w:rsid w:val="003B53D8"/>
    <w:rsid w:val="003B6008"/>
    <w:rsid w:val="003B611A"/>
    <w:rsid w:val="003B63BD"/>
    <w:rsid w:val="003B6AA2"/>
    <w:rsid w:val="003B6B6E"/>
    <w:rsid w:val="003B6CD0"/>
    <w:rsid w:val="003B6D5A"/>
    <w:rsid w:val="003B6DB8"/>
    <w:rsid w:val="003B6DC4"/>
    <w:rsid w:val="003B7141"/>
    <w:rsid w:val="003B7368"/>
    <w:rsid w:val="003B73DF"/>
    <w:rsid w:val="003B7756"/>
    <w:rsid w:val="003B7A07"/>
    <w:rsid w:val="003B7DD1"/>
    <w:rsid w:val="003C01AE"/>
    <w:rsid w:val="003C03D0"/>
    <w:rsid w:val="003C041C"/>
    <w:rsid w:val="003C09A1"/>
    <w:rsid w:val="003C0BDF"/>
    <w:rsid w:val="003C0D2B"/>
    <w:rsid w:val="003C107B"/>
    <w:rsid w:val="003C2602"/>
    <w:rsid w:val="003C284F"/>
    <w:rsid w:val="003C2B39"/>
    <w:rsid w:val="003C2C0A"/>
    <w:rsid w:val="003C2E4B"/>
    <w:rsid w:val="003C2F5E"/>
    <w:rsid w:val="003C3057"/>
    <w:rsid w:val="003C310B"/>
    <w:rsid w:val="003C3302"/>
    <w:rsid w:val="003C3569"/>
    <w:rsid w:val="003C3979"/>
    <w:rsid w:val="003C3DDF"/>
    <w:rsid w:val="003C44D5"/>
    <w:rsid w:val="003C470C"/>
    <w:rsid w:val="003C4A0D"/>
    <w:rsid w:val="003C4BDF"/>
    <w:rsid w:val="003C4BFB"/>
    <w:rsid w:val="003C4FAE"/>
    <w:rsid w:val="003C517F"/>
    <w:rsid w:val="003C51F5"/>
    <w:rsid w:val="003C5F0D"/>
    <w:rsid w:val="003C5F2C"/>
    <w:rsid w:val="003C6097"/>
    <w:rsid w:val="003C6365"/>
    <w:rsid w:val="003C68CF"/>
    <w:rsid w:val="003C68DE"/>
    <w:rsid w:val="003C6BB4"/>
    <w:rsid w:val="003C6D20"/>
    <w:rsid w:val="003C7265"/>
    <w:rsid w:val="003C77EA"/>
    <w:rsid w:val="003C786F"/>
    <w:rsid w:val="003C7CC4"/>
    <w:rsid w:val="003C7FF6"/>
    <w:rsid w:val="003D0081"/>
    <w:rsid w:val="003D050F"/>
    <w:rsid w:val="003D08C6"/>
    <w:rsid w:val="003D0CCB"/>
    <w:rsid w:val="003D14FA"/>
    <w:rsid w:val="003D2356"/>
    <w:rsid w:val="003D23F6"/>
    <w:rsid w:val="003D262E"/>
    <w:rsid w:val="003D27DE"/>
    <w:rsid w:val="003D2C1D"/>
    <w:rsid w:val="003D2D40"/>
    <w:rsid w:val="003D2DBB"/>
    <w:rsid w:val="003D2F50"/>
    <w:rsid w:val="003D3000"/>
    <w:rsid w:val="003D30E5"/>
    <w:rsid w:val="003D347B"/>
    <w:rsid w:val="003D35CB"/>
    <w:rsid w:val="003D3851"/>
    <w:rsid w:val="003D3E07"/>
    <w:rsid w:val="003D4473"/>
    <w:rsid w:val="003D4507"/>
    <w:rsid w:val="003D47FC"/>
    <w:rsid w:val="003D4919"/>
    <w:rsid w:val="003D4A13"/>
    <w:rsid w:val="003D4A5E"/>
    <w:rsid w:val="003D4B71"/>
    <w:rsid w:val="003D4D10"/>
    <w:rsid w:val="003D50F6"/>
    <w:rsid w:val="003D5106"/>
    <w:rsid w:val="003D5513"/>
    <w:rsid w:val="003D5647"/>
    <w:rsid w:val="003D5954"/>
    <w:rsid w:val="003D5B75"/>
    <w:rsid w:val="003D5D46"/>
    <w:rsid w:val="003D5E38"/>
    <w:rsid w:val="003D64FF"/>
    <w:rsid w:val="003D66C0"/>
    <w:rsid w:val="003D6CCF"/>
    <w:rsid w:val="003D6F80"/>
    <w:rsid w:val="003D6FA7"/>
    <w:rsid w:val="003D749E"/>
    <w:rsid w:val="003D74EC"/>
    <w:rsid w:val="003D780B"/>
    <w:rsid w:val="003E05B2"/>
    <w:rsid w:val="003E08BB"/>
    <w:rsid w:val="003E0CC6"/>
    <w:rsid w:val="003E0D69"/>
    <w:rsid w:val="003E0E2B"/>
    <w:rsid w:val="003E0F85"/>
    <w:rsid w:val="003E1150"/>
    <w:rsid w:val="003E1308"/>
    <w:rsid w:val="003E1361"/>
    <w:rsid w:val="003E16AF"/>
    <w:rsid w:val="003E1736"/>
    <w:rsid w:val="003E1D4D"/>
    <w:rsid w:val="003E1FF9"/>
    <w:rsid w:val="003E22A3"/>
    <w:rsid w:val="003E23CB"/>
    <w:rsid w:val="003E23E0"/>
    <w:rsid w:val="003E2469"/>
    <w:rsid w:val="003E2D6D"/>
    <w:rsid w:val="003E2DA8"/>
    <w:rsid w:val="003E2F95"/>
    <w:rsid w:val="003E371C"/>
    <w:rsid w:val="003E38F0"/>
    <w:rsid w:val="003E3BC9"/>
    <w:rsid w:val="003E3F0B"/>
    <w:rsid w:val="003E413E"/>
    <w:rsid w:val="003E415C"/>
    <w:rsid w:val="003E45F7"/>
    <w:rsid w:val="003E4653"/>
    <w:rsid w:val="003E49B0"/>
    <w:rsid w:val="003E4B83"/>
    <w:rsid w:val="003E4EA3"/>
    <w:rsid w:val="003E5670"/>
    <w:rsid w:val="003E56E5"/>
    <w:rsid w:val="003E57F0"/>
    <w:rsid w:val="003E5B2D"/>
    <w:rsid w:val="003E5CDD"/>
    <w:rsid w:val="003E5FA5"/>
    <w:rsid w:val="003E6028"/>
    <w:rsid w:val="003E628B"/>
    <w:rsid w:val="003E643E"/>
    <w:rsid w:val="003E651D"/>
    <w:rsid w:val="003E6755"/>
    <w:rsid w:val="003E67A1"/>
    <w:rsid w:val="003E6AE5"/>
    <w:rsid w:val="003E6AF6"/>
    <w:rsid w:val="003E6CAD"/>
    <w:rsid w:val="003E6DF1"/>
    <w:rsid w:val="003E71EB"/>
    <w:rsid w:val="003E7604"/>
    <w:rsid w:val="003E76E2"/>
    <w:rsid w:val="003E785B"/>
    <w:rsid w:val="003E78CD"/>
    <w:rsid w:val="003E79DF"/>
    <w:rsid w:val="003E7B3C"/>
    <w:rsid w:val="003E7DA6"/>
    <w:rsid w:val="003F029B"/>
    <w:rsid w:val="003F056F"/>
    <w:rsid w:val="003F064E"/>
    <w:rsid w:val="003F0D89"/>
    <w:rsid w:val="003F0F35"/>
    <w:rsid w:val="003F0FAD"/>
    <w:rsid w:val="003F100E"/>
    <w:rsid w:val="003F1493"/>
    <w:rsid w:val="003F1B59"/>
    <w:rsid w:val="003F1E27"/>
    <w:rsid w:val="003F1E47"/>
    <w:rsid w:val="003F1F64"/>
    <w:rsid w:val="003F2009"/>
    <w:rsid w:val="003F20F2"/>
    <w:rsid w:val="003F2DBF"/>
    <w:rsid w:val="003F333C"/>
    <w:rsid w:val="003F344B"/>
    <w:rsid w:val="003F38AB"/>
    <w:rsid w:val="003F3CC4"/>
    <w:rsid w:val="003F3D49"/>
    <w:rsid w:val="003F4343"/>
    <w:rsid w:val="003F4428"/>
    <w:rsid w:val="003F4523"/>
    <w:rsid w:val="003F479A"/>
    <w:rsid w:val="003F5446"/>
    <w:rsid w:val="003F55A8"/>
    <w:rsid w:val="003F60E2"/>
    <w:rsid w:val="003F63EA"/>
    <w:rsid w:val="003F652D"/>
    <w:rsid w:val="003F6606"/>
    <w:rsid w:val="003F68E6"/>
    <w:rsid w:val="003F6977"/>
    <w:rsid w:val="003F6C2F"/>
    <w:rsid w:val="003F6CC2"/>
    <w:rsid w:val="003F6CD3"/>
    <w:rsid w:val="003F6D67"/>
    <w:rsid w:val="003F7033"/>
    <w:rsid w:val="003F70E4"/>
    <w:rsid w:val="003F7100"/>
    <w:rsid w:val="003F76F3"/>
    <w:rsid w:val="003F790C"/>
    <w:rsid w:val="003F7B3B"/>
    <w:rsid w:val="003F7C2E"/>
    <w:rsid w:val="003F7C4A"/>
    <w:rsid w:val="003F7CD7"/>
    <w:rsid w:val="003F7EEC"/>
    <w:rsid w:val="0040006D"/>
    <w:rsid w:val="004000F3"/>
    <w:rsid w:val="00400654"/>
    <w:rsid w:val="00400676"/>
    <w:rsid w:val="0040089C"/>
    <w:rsid w:val="00400B2E"/>
    <w:rsid w:val="00400E45"/>
    <w:rsid w:val="0040126B"/>
    <w:rsid w:val="00401279"/>
    <w:rsid w:val="004016B9"/>
    <w:rsid w:val="00401ADA"/>
    <w:rsid w:val="00401DE9"/>
    <w:rsid w:val="00401FCE"/>
    <w:rsid w:val="00402239"/>
    <w:rsid w:val="00402246"/>
    <w:rsid w:val="00402836"/>
    <w:rsid w:val="0040289A"/>
    <w:rsid w:val="004028A0"/>
    <w:rsid w:val="00402A0B"/>
    <w:rsid w:val="00402A52"/>
    <w:rsid w:val="004031E0"/>
    <w:rsid w:val="0040439E"/>
    <w:rsid w:val="00404434"/>
    <w:rsid w:val="004044AD"/>
    <w:rsid w:val="004044DB"/>
    <w:rsid w:val="00404BAF"/>
    <w:rsid w:val="0040502F"/>
    <w:rsid w:val="0040515E"/>
    <w:rsid w:val="0040534C"/>
    <w:rsid w:val="00405367"/>
    <w:rsid w:val="004054A5"/>
    <w:rsid w:val="00405725"/>
    <w:rsid w:val="0040579E"/>
    <w:rsid w:val="00405B23"/>
    <w:rsid w:val="00405CF9"/>
    <w:rsid w:val="00406007"/>
    <w:rsid w:val="0040610C"/>
    <w:rsid w:val="004062CA"/>
    <w:rsid w:val="004074F8"/>
    <w:rsid w:val="0040783A"/>
    <w:rsid w:val="0040793B"/>
    <w:rsid w:val="00407952"/>
    <w:rsid w:val="0041010A"/>
    <w:rsid w:val="0041025F"/>
    <w:rsid w:val="004107B6"/>
    <w:rsid w:val="004108DD"/>
    <w:rsid w:val="00410D29"/>
    <w:rsid w:val="00410DDB"/>
    <w:rsid w:val="00410E4E"/>
    <w:rsid w:val="00411048"/>
    <w:rsid w:val="0041123F"/>
    <w:rsid w:val="004116A6"/>
    <w:rsid w:val="00411CD4"/>
    <w:rsid w:val="00411CEB"/>
    <w:rsid w:val="00411D3F"/>
    <w:rsid w:val="00411D74"/>
    <w:rsid w:val="004124F8"/>
    <w:rsid w:val="00412532"/>
    <w:rsid w:val="00412631"/>
    <w:rsid w:val="00412635"/>
    <w:rsid w:val="0041279C"/>
    <w:rsid w:val="00412C7D"/>
    <w:rsid w:val="0041310C"/>
    <w:rsid w:val="00413364"/>
    <w:rsid w:val="0041390F"/>
    <w:rsid w:val="00413B79"/>
    <w:rsid w:val="004141A6"/>
    <w:rsid w:val="004141C6"/>
    <w:rsid w:val="00414B8E"/>
    <w:rsid w:val="00414CEF"/>
    <w:rsid w:val="00415693"/>
    <w:rsid w:val="00415709"/>
    <w:rsid w:val="004158F8"/>
    <w:rsid w:val="00416796"/>
    <w:rsid w:val="00416832"/>
    <w:rsid w:val="004168FA"/>
    <w:rsid w:val="00416F1A"/>
    <w:rsid w:val="004170DB"/>
    <w:rsid w:val="004171CB"/>
    <w:rsid w:val="004176E4"/>
    <w:rsid w:val="0041772C"/>
    <w:rsid w:val="0041789C"/>
    <w:rsid w:val="00417B82"/>
    <w:rsid w:val="00417D25"/>
    <w:rsid w:val="00417FBA"/>
    <w:rsid w:val="004207DE"/>
    <w:rsid w:val="004208BB"/>
    <w:rsid w:val="004208D3"/>
    <w:rsid w:val="00420B04"/>
    <w:rsid w:val="00420E33"/>
    <w:rsid w:val="00420E43"/>
    <w:rsid w:val="004210CE"/>
    <w:rsid w:val="004218D6"/>
    <w:rsid w:val="00421DF9"/>
    <w:rsid w:val="00422C78"/>
    <w:rsid w:val="00422E77"/>
    <w:rsid w:val="00422E8D"/>
    <w:rsid w:val="004232A7"/>
    <w:rsid w:val="0042354C"/>
    <w:rsid w:val="00423692"/>
    <w:rsid w:val="004239F8"/>
    <w:rsid w:val="004242A3"/>
    <w:rsid w:val="00424510"/>
    <w:rsid w:val="00424620"/>
    <w:rsid w:val="0042499A"/>
    <w:rsid w:val="00424AE9"/>
    <w:rsid w:val="00424B94"/>
    <w:rsid w:val="00424C99"/>
    <w:rsid w:val="00424D0F"/>
    <w:rsid w:val="004252A1"/>
    <w:rsid w:val="00425327"/>
    <w:rsid w:val="004253C9"/>
    <w:rsid w:val="004254C5"/>
    <w:rsid w:val="004256FF"/>
    <w:rsid w:val="004266E8"/>
    <w:rsid w:val="00426B01"/>
    <w:rsid w:val="00426C65"/>
    <w:rsid w:val="004270A9"/>
    <w:rsid w:val="004271D6"/>
    <w:rsid w:val="004273F3"/>
    <w:rsid w:val="0042761D"/>
    <w:rsid w:val="004276DE"/>
    <w:rsid w:val="00427C9B"/>
    <w:rsid w:val="004302B5"/>
    <w:rsid w:val="00430361"/>
    <w:rsid w:val="0043043C"/>
    <w:rsid w:val="0043068F"/>
    <w:rsid w:val="00430A49"/>
    <w:rsid w:val="00430BBA"/>
    <w:rsid w:val="00430CA8"/>
    <w:rsid w:val="00430CCE"/>
    <w:rsid w:val="00431870"/>
    <w:rsid w:val="00431D06"/>
    <w:rsid w:val="00431D5F"/>
    <w:rsid w:val="00431E30"/>
    <w:rsid w:val="00431F3D"/>
    <w:rsid w:val="00432037"/>
    <w:rsid w:val="00432363"/>
    <w:rsid w:val="00432527"/>
    <w:rsid w:val="00432B39"/>
    <w:rsid w:val="00432DCD"/>
    <w:rsid w:val="00432DF4"/>
    <w:rsid w:val="00432F1B"/>
    <w:rsid w:val="004331C9"/>
    <w:rsid w:val="004331ED"/>
    <w:rsid w:val="00433281"/>
    <w:rsid w:val="004334A4"/>
    <w:rsid w:val="00433503"/>
    <w:rsid w:val="00433931"/>
    <w:rsid w:val="00434928"/>
    <w:rsid w:val="00434BFE"/>
    <w:rsid w:val="00434E35"/>
    <w:rsid w:val="0043600F"/>
    <w:rsid w:val="00436195"/>
    <w:rsid w:val="004362EC"/>
    <w:rsid w:val="00436308"/>
    <w:rsid w:val="00436613"/>
    <w:rsid w:val="004366ED"/>
    <w:rsid w:val="00436928"/>
    <w:rsid w:val="00436996"/>
    <w:rsid w:val="004372E3"/>
    <w:rsid w:val="00437696"/>
    <w:rsid w:val="00437B53"/>
    <w:rsid w:val="00437C84"/>
    <w:rsid w:val="0044012C"/>
    <w:rsid w:val="0044080B"/>
    <w:rsid w:val="00440830"/>
    <w:rsid w:val="0044096F"/>
    <w:rsid w:val="00440C02"/>
    <w:rsid w:val="00441374"/>
    <w:rsid w:val="00441984"/>
    <w:rsid w:val="0044212F"/>
    <w:rsid w:val="00442159"/>
    <w:rsid w:val="00442413"/>
    <w:rsid w:val="0044285C"/>
    <w:rsid w:val="00442EBC"/>
    <w:rsid w:val="004431E3"/>
    <w:rsid w:val="004432C3"/>
    <w:rsid w:val="004433C1"/>
    <w:rsid w:val="0044343C"/>
    <w:rsid w:val="00443461"/>
    <w:rsid w:val="004436DB"/>
    <w:rsid w:val="00443785"/>
    <w:rsid w:val="004437EF"/>
    <w:rsid w:val="004438FD"/>
    <w:rsid w:val="00444285"/>
    <w:rsid w:val="0044499B"/>
    <w:rsid w:val="00444D49"/>
    <w:rsid w:val="00444F45"/>
    <w:rsid w:val="004454AA"/>
    <w:rsid w:val="00445533"/>
    <w:rsid w:val="00445566"/>
    <w:rsid w:val="00445A12"/>
    <w:rsid w:val="00445ADC"/>
    <w:rsid w:val="00445E45"/>
    <w:rsid w:val="00445E49"/>
    <w:rsid w:val="00445F62"/>
    <w:rsid w:val="00446041"/>
    <w:rsid w:val="0044624F"/>
    <w:rsid w:val="004462AB"/>
    <w:rsid w:val="00446460"/>
    <w:rsid w:val="004465A8"/>
    <w:rsid w:val="00446896"/>
    <w:rsid w:val="004469D2"/>
    <w:rsid w:val="00446A5A"/>
    <w:rsid w:val="00446E91"/>
    <w:rsid w:val="00447EEF"/>
    <w:rsid w:val="0044FB24"/>
    <w:rsid w:val="00450018"/>
    <w:rsid w:val="00450048"/>
    <w:rsid w:val="00450053"/>
    <w:rsid w:val="00450125"/>
    <w:rsid w:val="0045016F"/>
    <w:rsid w:val="004501BB"/>
    <w:rsid w:val="0045023A"/>
    <w:rsid w:val="0045026E"/>
    <w:rsid w:val="00450368"/>
    <w:rsid w:val="00450439"/>
    <w:rsid w:val="00450948"/>
    <w:rsid w:val="00450EC0"/>
    <w:rsid w:val="00450F92"/>
    <w:rsid w:val="0045138E"/>
    <w:rsid w:val="0045147A"/>
    <w:rsid w:val="00451578"/>
    <w:rsid w:val="00451BDF"/>
    <w:rsid w:val="00451D97"/>
    <w:rsid w:val="00451F42"/>
    <w:rsid w:val="0045230D"/>
    <w:rsid w:val="00452852"/>
    <w:rsid w:val="004529ED"/>
    <w:rsid w:val="00452D63"/>
    <w:rsid w:val="0045304E"/>
    <w:rsid w:val="00453BA7"/>
    <w:rsid w:val="00453CD6"/>
    <w:rsid w:val="00453E31"/>
    <w:rsid w:val="0045420E"/>
    <w:rsid w:val="00454DDE"/>
    <w:rsid w:val="00454FB1"/>
    <w:rsid w:val="0045505B"/>
    <w:rsid w:val="0045520C"/>
    <w:rsid w:val="0045532F"/>
    <w:rsid w:val="00455DE1"/>
    <w:rsid w:val="0045608A"/>
    <w:rsid w:val="0045623C"/>
    <w:rsid w:val="0045666C"/>
    <w:rsid w:val="00456676"/>
    <w:rsid w:val="00456884"/>
    <w:rsid w:val="004568C7"/>
    <w:rsid w:val="004568D5"/>
    <w:rsid w:val="0045692C"/>
    <w:rsid w:val="00456A0E"/>
    <w:rsid w:val="00456C43"/>
    <w:rsid w:val="00457097"/>
    <w:rsid w:val="004574D6"/>
    <w:rsid w:val="0045757F"/>
    <w:rsid w:val="004578EB"/>
    <w:rsid w:val="004579CF"/>
    <w:rsid w:val="00457D8A"/>
    <w:rsid w:val="004600A0"/>
    <w:rsid w:val="0046018A"/>
    <w:rsid w:val="0046049B"/>
    <w:rsid w:val="00460666"/>
    <w:rsid w:val="004608B5"/>
    <w:rsid w:val="00460BEB"/>
    <w:rsid w:val="00460D5B"/>
    <w:rsid w:val="00460F71"/>
    <w:rsid w:val="004610E3"/>
    <w:rsid w:val="0046148E"/>
    <w:rsid w:val="004614F3"/>
    <w:rsid w:val="004615F4"/>
    <w:rsid w:val="00461B61"/>
    <w:rsid w:val="00461BFF"/>
    <w:rsid w:val="00461D3E"/>
    <w:rsid w:val="00461EDC"/>
    <w:rsid w:val="00462617"/>
    <w:rsid w:val="00462C62"/>
    <w:rsid w:val="00462E10"/>
    <w:rsid w:val="00462FB2"/>
    <w:rsid w:val="004631B7"/>
    <w:rsid w:val="0046320F"/>
    <w:rsid w:val="00463891"/>
    <w:rsid w:val="00463CE6"/>
    <w:rsid w:val="00463FE2"/>
    <w:rsid w:val="004641E3"/>
    <w:rsid w:val="00464475"/>
    <w:rsid w:val="004644EC"/>
    <w:rsid w:val="004645C3"/>
    <w:rsid w:val="004646D1"/>
    <w:rsid w:val="00464ADC"/>
    <w:rsid w:val="00464D54"/>
    <w:rsid w:val="004651E1"/>
    <w:rsid w:val="00465620"/>
    <w:rsid w:val="00465796"/>
    <w:rsid w:val="004657C1"/>
    <w:rsid w:val="00465AAE"/>
    <w:rsid w:val="00465C65"/>
    <w:rsid w:val="00465D44"/>
    <w:rsid w:val="00465E63"/>
    <w:rsid w:val="004661DE"/>
    <w:rsid w:val="00466346"/>
    <w:rsid w:val="004668C3"/>
    <w:rsid w:val="00466AD1"/>
    <w:rsid w:val="00466DC3"/>
    <w:rsid w:val="00467018"/>
    <w:rsid w:val="004677F1"/>
    <w:rsid w:val="0046796F"/>
    <w:rsid w:val="004679A2"/>
    <w:rsid w:val="00467B67"/>
    <w:rsid w:val="00467B95"/>
    <w:rsid w:val="00470040"/>
    <w:rsid w:val="00470712"/>
    <w:rsid w:val="004707E2"/>
    <w:rsid w:val="00470844"/>
    <w:rsid w:val="00470B13"/>
    <w:rsid w:val="00470B97"/>
    <w:rsid w:val="00470E63"/>
    <w:rsid w:val="00471334"/>
    <w:rsid w:val="004717CA"/>
    <w:rsid w:val="0047188A"/>
    <w:rsid w:val="00471915"/>
    <w:rsid w:val="00471E13"/>
    <w:rsid w:val="0047235C"/>
    <w:rsid w:val="00472619"/>
    <w:rsid w:val="0047274E"/>
    <w:rsid w:val="004727A2"/>
    <w:rsid w:val="00472831"/>
    <w:rsid w:val="00472B2C"/>
    <w:rsid w:val="00472CF6"/>
    <w:rsid w:val="00472E65"/>
    <w:rsid w:val="00473235"/>
    <w:rsid w:val="004733D0"/>
    <w:rsid w:val="0047379B"/>
    <w:rsid w:val="00473E52"/>
    <w:rsid w:val="00473F13"/>
    <w:rsid w:val="004741D7"/>
    <w:rsid w:val="0047474C"/>
    <w:rsid w:val="00474975"/>
    <w:rsid w:val="004749BE"/>
    <w:rsid w:val="00474B17"/>
    <w:rsid w:val="00474BD4"/>
    <w:rsid w:val="00474C25"/>
    <w:rsid w:val="0047515D"/>
    <w:rsid w:val="004756E0"/>
    <w:rsid w:val="00475A2C"/>
    <w:rsid w:val="00475F85"/>
    <w:rsid w:val="0047603C"/>
    <w:rsid w:val="0047610C"/>
    <w:rsid w:val="00476135"/>
    <w:rsid w:val="00476243"/>
    <w:rsid w:val="0047637C"/>
    <w:rsid w:val="00476840"/>
    <w:rsid w:val="00476927"/>
    <w:rsid w:val="00476BAC"/>
    <w:rsid w:val="004770FF"/>
    <w:rsid w:val="00477108"/>
    <w:rsid w:val="0047728E"/>
    <w:rsid w:val="00477464"/>
    <w:rsid w:val="004775C1"/>
    <w:rsid w:val="004776A5"/>
    <w:rsid w:val="004778C2"/>
    <w:rsid w:val="00477C31"/>
    <w:rsid w:val="00477C3D"/>
    <w:rsid w:val="00477D08"/>
    <w:rsid w:val="00477E12"/>
    <w:rsid w:val="00480285"/>
    <w:rsid w:val="00480368"/>
    <w:rsid w:val="0048044E"/>
    <w:rsid w:val="004807AA"/>
    <w:rsid w:val="004807C7"/>
    <w:rsid w:val="004808F0"/>
    <w:rsid w:val="00480D93"/>
    <w:rsid w:val="00480E1F"/>
    <w:rsid w:val="00481320"/>
    <w:rsid w:val="0048157D"/>
    <w:rsid w:val="00481AFE"/>
    <w:rsid w:val="00481CF7"/>
    <w:rsid w:val="00481DB3"/>
    <w:rsid w:val="00481E9F"/>
    <w:rsid w:val="004823A4"/>
    <w:rsid w:val="0048284D"/>
    <w:rsid w:val="00482FC8"/>
    <w:rsid w:val="00483AE4"/>
    <w:rsid w:val="00483BC4"/>
    <w:rsid w:val="00483D11"/>
    <w:rsid w:val="00483EEC"/>
    <w:rsid w:val="004841ED"/>
    <w:rsid w:val="00484252"/>
    <w:rsid w:val="00484883"/>
    <w:rsid w:val="00484986"/>
    <w:rsid w:val="00484D0A"/>
    <w:rsid w:val="004850E4"/>
    <w:rsid w:val="004851F6"/>
    <w:rsid w:val="004854A0"/>
    <w:rsid w:val="0048581F"/>
    <w:rsid w:val="00485855"/>
    <w:rsid w:val="00485CD6"/>
    <w:rsid w:val="00485D69"/>
    <w:rsid w:val="00486258"/>
    <w:rsid w:val="004867AA"/>
    <w:rsid w:val="004875C6"/>
    <w:rsid w:val="00487731"/>
    <w:rsid w:val="00487804"/>
    <w:rsid w:val="00487C59"/>
    <w:rsid w:val="00487C88"/>
    <w:rsid w:val="00487D4A"/>
    <w:rsid w:val="004900A0"/>
    <w:rsid w:val="004902CB"/>
    <w:rsid w:val="00490C9A"/>
    <w:rsid w:val="00491233"/>
    <w:rsid w:val="004914A5"/>
    <w:rsid w:val="00491894"/>
    <w:rsid w:val="00491D79"/>
    <w:rsid w:val="00491E13"/>
    <w:rsid w:val="0049235C"/>
    <w:rsid w:val="004923AC"/>
    <w:rsid w:val="004927FF"/>
    <w:rsid w:val="00492827"/>
    <w:rsid w:val="004929DB"/>
    <w:rsid w:val="00492D7F"/>
    <w:rsid w:val="00492DF6"/>
    <w:rsid w:val="00492E61"/>
    <w:rsid w:val="0049316D"/>
    <w:rsid w:val="004931F9"/>
    <w:rsid w:val="00493655"/>
    <w:rsid w:val="00493A46"/>
    <w:rsid w:val="00493A73"/>
    <w:rsid w:val="00493D30"/>
    <w:rsid w:val="00493DDA"/>
    <w:rsid w:val="004940FF"/>
    <w:rsid w:val="004941DF"/>
    <w:rsid w:val="00494299"/>
    <w:rsid w:val="00494370"/>
    <w:rsid w:val="004944B7"/>
    <w:rsid w:val="0049484D"/>
    <w:rsid w:val="00494892"/>
    <w:rsid w:val="00494904"/>
    <w:rsid w:val="00494DB3"/>
    <w:rsid w:val="0049522F"/>
    <w:rsid w:val="00495BD2"/>
    <w:rsid w:val="00495D27"/>
    <w:rsid w:val="00496550"/>
    <w:rsid w:val="00496940"/>
    <w:rsid w:val="004969B9"/>
    <w:rsid w:val="004969CA"/>
    <w:rsid w:val="00496D32"/>
    <w:rsid w:val="00496E07"/>
    <w:rsid w:val="00496E25"/>
    <w:rsid w:val="00497021"/>
    <w:rsid w:val="004974D0"/>
    <w:rsid w:val="00497533"/>
    <w:rsid w:val="004979A4"/>
    <w:rsid w:val="00497AFF"/>
    <w:rsid w:val="004A0425"/>
    <w:rsid w:val="004A0574"/>
    <w:rsid w:val="004A0697"/>
    <w:rsid w:val="004A0843"/>
    <w:rsid w:val="004A0BF9"/>
    <w:rsid w:val="004A0C98"/>
    <w:rsid w:val="004A0D6D"/>
    <w:rsid w:val="004A0D71"/>
    <w:rsid w:val="004A107B"/>
    <w:rsid w:val="004A10BA"/>
    <w:rsid w:val="004A1149"/>
    <w:rsid w:val="004A12E6"/>
    <w:rsid w:val="004A130F"/>
    <w:rsid w:val="004A1355"/>
    <w:rsid w:val="004A13B4"/>
    <w:rsid w:val="004A140B"/>
    <w:rsid w:val="004A1458"/>
    <w:rsid w:val="004A1D31"/>
    <w:rsid w:val="004A215C"/>
    <w:rsid w:val="004A252A"/>
    <w:rsid w:val="004A25BF"/>
    <w:rsid w:val="004A29F3"/>
    <w:rsid w:val="004A2EF5"/>
    <w:rsid w:val="004A2F17"/>
    <w:rsid w:val="004A314A"/>
    <w:rsid w:val="004A31A0"/>
    <w:rsid w:val="004A3282"/>
    <w:rsid w:val="004A32C0"/>
    <w:rsid w:val="004A357A"/>
    <w:rsid w:val="004A35B4"/>
    <w:rsid w:val="004A3BD4"/>
    <w:rsid w:val="004A42F4"/>
    <w:rsid w:val="004A4615"/>
    <w:rsid w:val="004A4CF4"/>
    <w:rsid w:val="004A4D7A"/>
    <w:rsid w:val="004A4EA0"/>
    <w:rsid w:val="004A50F7"/>
    <w:rsid w:val="004A55D8"/>
    <w:rsid w:val="004A56D1"/>
    <w:rsid w:val="004A578C"/>
    <w:rsid w:val="004A5B0F"/>
    <w:rsid w:val="004A5D69"/>
    <w:rsid w:val="004A601A"/>
    <w:rsid w:val="004A6171"/>
    <w:rsid w:val="004A6639"/>
    <w:rsid w:val="004A66C6"/>
    <w:rsid w:val="004A6B13"/>
    <w:rsid w:val="004A7810"/>
    <w:rsid w:val="004A78C3"/>
    <w:rsid w:val="004A78CF"/>
    <w:rsid w:val="004A792D"/>
    <w:rsid w:val="004AD47E"/>
    <w:rsid w:val="004B0336"/>
    <w:rsid w:val="004B0432"/>
    <w:rsid w:val="004B05B9"/>
    <w:rsid w:val="004B09C5"/>
    <w:rsid w:val="004B0AD6"/>
    <w:rsid w:val="004B10EF"/>
    <w:rsid w:val="004B131C"/>
    <w:rsid w:val="004B13E3"/>
    <w:rsid w:val="004B162F"/>
    <w:rsid w:val="004B1741"/>
    <w:rsid w:val="004B1846"/>
    <w:rsid w:val="004B186E"/>
    <w:rsid w:val="004B1B89"/>
    <w:rsid w:val="004B1C1B"/>
    <w:rsid w:val="004B1DA3"/>
    <w:rsid w:val="004B1EEE"/>
    <w:rsid w:val="004B266B"/>
    <w:rsid w:val="004B281E"/>
    <w:rsid w:val="004B2DCE"/>
    <w:rsid w:val="004B3134"/>
    <w:rsid w:val="004B3182"/>
    <w:rsid w:val="004B33F6"/>
    <w:rsid w:val="004B3413"/>
    <w:rsid w:val="004B3A5B"/>
    <w:rsid w:val="004B3E41"/>
    <w:rsid w:val="004B3F2D"/>
    <w:rsid w:val="004B4782"/>
    <w:rsid w:val="004B49BA"/>
    <w:rsid w:val="004B51C8"/>
    <w:rsid w:val="004B529C"/>
    <w:rsid w:val="004B5307"/>
    <w:rsid w:val="004B5489"/>
    <w:rsid w:val="004B5FA6"/>
    <w:rsid w:val="004B63F5"/>
    <w:rsid w:val="004B66FB"/>
    <w:rsid w:val="004B6D57"/>
    <w:rsid w:val="004B7870"/>
    <w:rsid w:val="004B7A97"/>
    <w:rsid w:val="004B7C6D"/>
    <w:rsid w:val="004C00E5"/>
    <w:rsid w:val="004C02FB"/>
    <w:rsid w:val="004C0637"/>
    <w:rsid w:val="004C0E12"/>
    <w:rsid w:val="004C0E54"/>
    <w:rsid w:val="004C145B"/>
    <w:rsid w:val="004C15DA"/>
    <w:rsid w:val="004C1697"/>
    <w:rsid w:val="004C1A11"/>
    <w:rsid w:val="004C1F2E"/>
    <w:rsid w:val="004C1FAA"/>
    <w:rsid w:val="004C21D9"/>
    <w:rsid w:val="004C21FE"/>
    <w:rsid w:val="004C27E4"/>
    <w:rsid w:val="004C3054"/>
    <w:rsid w:val="004C305A"/>
    <w:rsid w:val="004C30E9"/>
    <w:rsid w:val="004C3136"/>
    <w:rsid w:val="004C33BB"/>
    <w:rsid w:val="004C379D"/>
    <w:rsid w:val="004C3A45"/>
    <w:rsid w:val="004C3D1F"/>
    <w:rsid w:val="004C3E75"/>
    <w:rsid w:val="004C4068"/>
    <w:rsid w:val="004C40BF"/>
    <w:rsid w:val="004C42B7"/>
    <w:rsid w:val="004C4631"/>
    <w:rsid w:val="004C4F1F"/>
    <w:rsid w:val="004C50DC"/>
    <w:rsid w:val="004C50FA"/>
    <w:rsid w:val="004C5492"/>
    <w:rsid w:val="004C551A"/>
    <w:rsid w:val="004C557C"/>
    <w:rsid w:val="004C5ABD"/>
    <w:rsid w:val="004C5DDB"/>
    <w:rsid w:val="004C5E52"/>
    <w:rsid w:val="004C5EA4"/>
    <w:rsid w:val="004C6043"/>
    <w:rsid w:val="004C63F1"/>
    <w:rsid w:val="004C644A"/>
    <w:rsid w:val="004C6545"/>
    <w:rsid w:val="004C70B9"/>
    <w:rsid w:val="004C76B2"/>
    <w:rsid w:val="004C775E"/>
    <w:rsid w:val="004C7B87"/>
    <w:rsid w:val="004C7E54"/>
    <w:rsid w:val="004C7F82"/>
    <w:rsid w:val="004D00E4"/>
    <w:rsid w:val="004D0237"/>
    <w:rsid w:val="004D080C"/>
    <w:rsid w:val="004D09C3"/>
    <w:rsid w:val="004D0B87"/>
    <w:rsid w:val="004D0BA3"/>
    <w:rsid w:val="004D0CE5"/>
    <w:rsid w:val="004D0F78"/>
    <w:rsid w:val="004D111E"/>
    <w:rsid w:val="004D1362"/>
    <w:rsid w:val="004D139F"/>
    <w:rsid w:val="004D14C4"/>
    <w:rsid w:val="004D1EE6"/>
    <w:rsid w:val="004D2067"/>
    <w:rsid w:val="004D2068"/>
    <w:rsid w:val="004D23E3"/>
    <w:rsid w:val="004D263C"/>
    <w:rsid w:val="004D29C8"/>
    <w:rsid w:val="004D29E3"/>
    <w:rsid w:val="004D2BA2"/>
    <w:rsid w:val="004D2D8A"/>
    <w:rsid w:val="004D31FA"/>
    <w:rsid w:val="004D393D"/>
    <w:rsid w:val="004D3FBF"/>
    <w:rsid w:val="004D429E"/>
    <w:rsid w:val="004D42F6"/>
    <w:rsid w:val="004D4346"/>
    <w:rsid w:val="004D441A"/>
    <w:rsid w:val="004D4460"/>
    <w:rsid w:val="004D4780"/>
    <w:rsid w:val="004D49FF"/>
    <w:rsid w:val="004D4AC0"/>
    <w:rsid w:val="004D4D90"/>
    <w:rsid w:val="004D501F"/>
    <w:rsid w:val="004D51CB"/>
    <w:rsid w:val="004D5704"/>
    <w:rsid w:val="004D58F3"/>
    <w:rsid w:val="004D5BFC"/>
    <w:rsid w:val="004D602D"/>
    <w:rsid w:val="004D6193"/>
    <w:rsid w:val="004D61B2"/>
    <w:rsid w:val="004D6709"/>
    <w:rsid w:val="004D6B92"/>
    <w:rsid w:val="004D6F8E"/>
    <w:rsid w:val="004D70B5"/>
    <w:rsid w:val="004E1022"/>
    <w:rsid w:val="004E1476"/>
    <w:rsid w:val="004E14C1"/>
    <w:rsid w:val="004E1610"/>
    <w:rsid w:val="004E1E77"/>
    <w:rsid w:val="004E24B1"/>
    <w:rsid w:val="004E2553"/>
    <w:rsid w:val="004E25D6"/>
    <w:rsid w:val="004E28E5"/>
    <w:rsid w:val="004E2955"/>
    <w:rsid w:val="004E2CAB"/>
    <w:rsid w:val="004E352F"/>
    <w:rsid w:val="004E3968"/>
    <w:rsid w:val="004E3978"/>
    <w:rsid w:val="004E3E1E"/>
    <w:rsid w:val="004E41FA"/>
    <w:rsid w:val="004E439E"/>
    <w:rsid w:val="004E4465"/>
    <w:rsid w:val="004E49FB"/>
    <w:rsid w:val="004E4B47"/>
    <w:rsid w:val="004E4B9D"/>
    <w:rsid w:val="004E4C68"/>
    <w:rsid w:val="004E4E6A"/>
    <w:rsid w:val="004E50A4"/>
    <w:rsid w:val="004E521B"/>
    <w:rsid w:val="004E53DA"/>
    <w:rsid w:val="004E5ADE"/>
    <w:rsid w:val="004E5CF0"/>
    <w:rsid w:val="004E5DFA"/>
    <w:rsid w:val="004E64B9"/>
    <w:rsid w:val="004E650C"/>
    <w:rsid w:val="004E6711"/>
    <w:rsid w:val="004E6751"/>
    <w:rsid w:val="004E6BC6"/>
    <w:rsid w:val="004E6C93"/>
    <w:rsid w:val="004E70C1"/>
    <w:rsid w:val="004E71EC"/>
    <w:rsid w:val="004E76FE"/>
    <w:rsid w:val="004E7A8C"/>
    <w:rsid w:val="004E7D0D"/>
    <w:rsid w:val="004E7EE2"/>
    <w:rsid w:val="004E7FED"/>
    <w:rsid w:val="004F01FF"/>
    <w:rsid w:val="004F027C"/>
    <w:rsid w:val="004F0B65"/>
    <w:rsid w:val="004F0DBA"/>
    <w:rsid w:val="004F15BD"/>
    <w:rsid w:val="004F184D"/>
    <w:rsid w:val="004F1B0F"/>
    <w:rsid w:val="004F2279"/>
    <w:rsid w:val="004F2390"/>
    <w:rsid w:val="004F240F"/>
    <w:rsid w:val="004F27B8"/>
    <w:rsid w:val="004F2D2F"/>
    <w:rsid w:val="004F2D59"/>
    <w:rsid w:val="004F3197"/>
    <w:rsid w:val="004F3501"/>
    <w:rsid w:val="004F3588"/>
    <w:rsid w:val="004F35E1"/>
    <w:rsid w:val="004F38C9"/>
    <w:rsid w:val="004F3B21"/>
    <w:rsid w:val="004F3E58"/>
    <w:rsid w:val="004F41D0"/>
    <w:rsid w:val="004F435E"/>
    <w:rsid w:val="004F440F"/>
    <w:rsid w:val="004F47F6"/>
    <w:rsid w:val="004F4A1C"/>
    <w:rsid w:val="004F4CF1"/>
    <w:rsid w:val="004F505B"/>
    <w:rsid w:val="004F5260"/>
    <w:rsid w:val="004F5D73"/>
    <w:rsid w:val="004F6764"/>
    <w:rsid w:val="004F6981"/>
    <w:rsid w:val="004F69AE"/>
    <w:rsid w:val="004F69C4"/>
    <w:rsid w:val="004F6D26"/>
    <w:rsid w:val="004F74B6"/>
    <w:rsid w:val="00500029"/>
    <w:rsid w:val="0050098C"/>
    <w:rsid w:val="00500A79"/>
    <w:rsid w:val="00500B48"/>
    <w:rsid w:val="0050125F"/>
    <w:rsid w:val="00501512"/>
    <w:rsid w:val="00501518"/>
    <w:rsid w:val="0050183D"/>
    <w:rsid w:val="0050194D"/>
    <w:rsid w:val="00501ADF"/>
    <w:rsid w:val="00502004"/>
    <w:rsid w:val="005020CA"/>
    <w:rsid w:val="00502134"/>
    <w:rsid w:val="0050222C"/>
    <w:rsid w:val="00502B22"/>
    <w:rsid w:val="00502C01"/>
    <w:rsid w:val="00502D35"/>
    <w:rsid w:val="00502FEB"/>
    <w:rsid w:val="0050331C"/>
    <w:rsid w:val="0050335B"/>
    <w:rsid w:val="005036AF"/>
    <w:rsid w:val="00503868"/>
    <w:rsid w:val="0050386A"/>
    <w:rsid w:val="00503941"/>
    <w:rsid w:val="00503A32"/>
    <w:rsid w:val="00503A72"/>
    <w:rsid w:val="00503B36"/>
    <w:rsid w:val="00503DC1"/>
    <w:rsid w:val="00503F59"/>
    <w:rsid w:val="005040B9"/>
    <w:rsid w:val="005041B8"/>
    <w:rsid w:val="0050426F"/>
    <w:rsid w:val="0050428B"/>
    <w:rsid w:val="0050442B"/>
    <w:rsid w:val="0050454E"/>
    <w:rsid w:val="005045A2"/>
    <w:rsid w:val="0050471B"/>
    <w:rsid w:val="00504A43"/>
    <w:rsid w:val="00504D4B"/>
    <w:rsid w:val="00504E83"/>
    <w:rsid w:val="0050521B"/>
    <w:rsid w:val="0050526E"/>
    <w:rsid w:val="00505705"/>
    <w:rsid w:val="00505816"/>
    <w:rsid w:val="00505AD8"/>
    <w:rsid w:val="00505AEA"/>
    <w:rsid w:val="00505BDB"/>
    <w:rsid w:val="00505C70"/>
    <w:rsid w:val="00505D5D"/>
    <w:rsid w:val="00505E4A"/>
    <w:rsid w:val="00505F36"/>
    <w:rsid w:val="00506301"/>
    <w:rsid w:val="00506943"/>
    <w:rsid w:val="00506D4D"/>
    <w:rsid w:val="00507254"/>
    <w:rsid w:val="005074EC"/>
    <w:rsid w:val="00507728"/>
    <w:rsid w:val="005078B0"/>
    <w:rsid w:val="005079FF"/>
    <w:rsid w:val="00507B50"/>
    <w:rsid w:val="00507E79"/>
    <w:rsid w:val="00507FAE"/>
    <w:rsid w:val="0050D497"/>
    <w:rsid w:val="0051068B"/>
    <w:rsid w:val="00510736"/>
    <w:rsid w:val="00510910"/>
    <w:rsid w:val="005109BF"/>
    <w:rsid w:val="00510EB5"/>
    <w:rsid w:val="00510F82"/>
    <w:rsid w:val="005112C4"/>
    <w:rsid w:val="00511788"/>
    <w:rsid w:val="00511A7E"/>
    <w:rsid w:val="005122FF"/>
    <w:rsid w:val="0051232D"/>
    <w:rsid w:val="00512494"/>
    <w:rsid w:val="00512504"/>
    <w:rsid w:val="005125DD"/>
    <w:rsid w:val="00512800"/>
    <w:rsid w:val="0051311D"/>
    <w:rsid w:val="0051326D"/>
    <w:rsid w:val="005133EC"/>
    <w:rsid w:val="00513443"/>
    <w:rsid w:val="005137CC"/>
    <w:rsid w:val="00513A6B"/>
    <w:rsid w:val="00513E82"/>
    <w:rsid w:val="00514064"/>
    <w:rsid w:val="00514300"/>
    <w:rsid w:val="005146A1"/>
    <w:rsid w:val="005147A3"/>
    <w:rsid w:val="005147E5"/>
    <w:rsid w:val="00514D84"/>
    <w:rsid w:val="00515401"/>
    <w:rsid w:val="00515667"/>
    <w:rsid w:val="00515724"/>
    <w:rsid w:val="0051574E"/>
    <w:rsid w:val="00515859"/>
    <w:rsid w:val="00515924"/>
    <w:rsid w:val="00515A76"/>
    <w:rsid w:val="00515E44"/>
    <w:rsid w:val="0051681F"/>
    <w:rsid w:val="00516CC5"/>
    <w:rsid w:val="00516E5D"/>
    <w:rsid w:val="00516F72"/>
    <w:rsid w:val="005170D8"/>
    <w:rsid w:val="00517507"/>
    <w:rsid w:val="00517535"/>
    <w:rsid w:val="005175C2"/>
    <w:rsid w:val="00517AE4"/>
    <w:rsid w:val="00517CFE"/>
    <w:rsid w:val="00517ED6"/>
    <w:rsid w:val="005200F0"/>
    <w:rsid w:val="00520359"/>
    <w:rsid w:val="0052063D"/>
    <w:rsid w:val="00520A12"/>
    <w:rsid w:val="00520B15"/>
    <w:rsid w:val="00520BEB"/>
    <w:rsid w:val="00520D9A"/>
    <w:rsid w:val="005212A2"/>
    <w:rsid w:val="005212AC"/>
    <w:rsid w:val="005214ED"/>
    <w:rsid w:val="005219E7"/>
    <w:rsid w:val="0052236D"/>
    <w:rsid w:val="005224A7"/>
    <w:rsid w:val="00522B22"/>
    <w:rsid w:val="00523343"/>
    <w:rsid w:val="0052365A"/>
    <w:rsid w:val="00523F39"/>
    <w:rsid w:val="00523F54"/>
    <w:rsid w:val="005245A7"/>
    <w:rsid w:val="00524729"/>
    <w:rsid w:val="005249D9"/>
    <w:rsid w:val="00524AF6"/>
    <w:rsid w:val="00525784"/>
    <w:rsid w:val="00525A23"/>
    <w:rsid w:val="0052618E"/>
    <w:rsid w:val="00526195"/>
    <w:rsid w:val="005263B6"/>
    <w:rsid w:val="00526555"/>
    <w:rsid w:val="005266D6"/>
    <w:rsid w:val="00526C47"/>
    <w:rsid w:val="005271E3"/>
    <w:rsid w:val="005273F9"/>
    <w:rsid w:val="00527589"/>
    <w:rsid w:val="00527591"/>
    <w:rsid w:val="005278F5"/>
    <w:rsid w:val="00527D99"/>
    <w:rsid w:val="0052BB07"/>
    <w:rsid w:val="005302E8"/>
    <w:rsid w:val="00530389"/>
    <w:rsid w:val="0053056E"/>
    <w:rsid w:val="00530E15"/>
    <w:rsid w:val="005312CA"/>
    <w:rsid w:val="00531380"/>
    <w:rsid w:val="00531490"/>
    <w:rsid w:val="00531910"/>
    <w:rsid w:val="00531A25"/>
    <w:rsid w:val="00531A30"/>
    <w:rsid w:val="00531E27"/>
    <w:rsid w:val="00531EFB"/>
    <w:rsid w:val="005325D3"/>
    <w:rsid w:val="00532806"/>
    <w:rsid w:val="0053298F"/>
    <w:rsid w:val="0053368F"/>
    <w:rsid w:val="00533A2F"/>
    <w:rsid w:val="00534392"/>
    <w:rsid w:val="005344CF"/>
    <w:rsid w:val="00534774"/>
    <w:rsid w:val="00534B26"/>
    <w:rsid w:val="00534E3C"/>
    <w:rsid w:val="0053501F"/>
    <w:rsid w:val="00535584"/>
    <w:rsid w:val="00535695"/>
    <w:rsid w:val="00535906"/>
    <w:rsid w:val="00535F2F"/>
    <w:rsid w:val="005365D5"/>
    <w:rsid w:val="00536BAB"/>
    <w:rsid w:val="00537554"/>
    <w:rsid w:val="005376DA"/>
    <w:rsid w:val="00540505"/>
    <w:rsid w:val="00540746"/>
    <w:rsid w:val="00540E3B"/>
    <w:rsid w:val="005410B3"/>
    <w:rsid w:val="00541290"/>
    <w:rsid w:val="005413C5"/>
    <w:rsid w:val="005418FA"/>
    <w:rsid w:val="00541D6F"/>
    <w:rsid w:val="00541E72"/>
    <w:rsid w:val="005422D6"/>
    <w:rsid w:val="005424FB"/>
    <w:rsid w:val="00542839"/>
    <w:rsid w:val="00542C5F"/>
    <w:rsid w:val="00542CDB"/>
    <w:rsid w:val="00542EBA"/>
    <w:rsid w:val="00543189"/>
    <w:rsid w:val="0054319E"/>
    <w:rsid w:val="00543347"/>
    <w:rsid w:val="00543365"/>
    <w:rsid w:val="005433D3"/>
    <w:rsid w:val="00543526"/>
    <w:rsid w:val="00543651"/>
    <w:rsid w:val="00543A82"/>
    <w:rsid w:val="00543CEA"/>
    <w:rsid w:val="00543D02"/>
    <w:rsid w:val="00543EC3"/>
    <w:rsid w:val="005448FF"/>
    <w:rsid w:val="00544A25"/>
    <w:rsid w:val="00544A81"/>
    <w:rsid w:val="00544FDC"/>
    <w:rsid w:val="0054528F"/>
    <w:rsid w:val="00545459"/>
    <w:rsid w:val="00545946"/>
    <w:rsid w:val="00545BB5"/>
    <w:rsid w:val="00545DA9"/>
    <w:rsid w:val="005460E0"/>
    <w:rsid w:val="005461E9"/>
    <w:rsid w:val="0054654C"/>
    <w:rsid w:val="00546822"/>
    <w:rsid w:val="005468B3"/>
    <w:rsid w:val="005469F5"/>
    <w:rsid w:val="00546B73"/>
    <w:rsid w:val="00546FA4"/>
    <w:rsid w:val="00547B53"/>
    <w:rsid w:val="00547E79"/>
    <w:rsid w:val="00548425"/>
    <w:rsid w:val="0055045E"/>
    <w:rsid w:val="00550466"/>
    <w:rsid w:val="005508A4"/>
    <w:rsid w:val="00551252"/>
    <w:rsid w:val="005517E3"/>
    <w:rsid w:val="00552885"/>
    <w:rsid w:val="005528E0"/>
    <w:rsid w:val="00552E61"/>
    <w:rsid w:val="00552E98"/>
    <w:rsid w:val="00552F2E"/>
    <w:rsid w:val="00552F38"/>
    <w:rsid w:val="00552F48"/>
    <w:rsid w:val="00553124"/>
    <w:rsid w:val="00553329"/>
    <w:rsid w:val="00553B34"/>
    <w:rsid w:val="00553B6C"/>
    <w:rsid w:val="00553BA3"/>
    <w:rsid w:val="00554273"/>
    <w:rsid w:val="005543C7"/>
    <w:rsid w:val="00554821"/>
    <w:rsid w:val="00554926"/>
    <w:rsid w:val="00554C88"/>
    <w:rsid w:val="00554FA4"/>
    <w:rsid w:val="00554FAB"/>
    <w:rsid w:val="00555EC9"/>
    <w:rsid w:val="00556567"/>
    <w:rsid w:val="005566F0"/>
    <w:rsid w:val="005567D6"/>
    <w:rsid w:val="00556CDD"/>
    <w:rsid w:val="0055716B"/>
    <w:rsid w:val="00557215"/>
    <w:rsid w:val="00557379"/>
    <w:rsid w:val="005573CB"/>
    <w:rsid w:val="005575BB"/>
    <w:rsid w:val="0055766D"/>
    <w:rsid w:val="005579E3"/>
    <w:rsid w:val="00557A9A"/>
    <w:rsid w:val="00557FC6"/>
    <w:rsid w:val="00560320"/>
    <w:rsid w:val="005611E5"/>
    <w:rsid w:val="00561216"/>
    <w:rsid w:val="0056138B"/>
    <w:rsid w:val="005615B6"/>
    <w:rsid w:val="00561604"/>
    <w:rsid w:val="0056185C"/>
    <w:rsid w:val="00561C0D"/>
    <w:rsid w:val="00561D82"/>
    <w:rsid w:val="00561E6A"/>
    <w:rsid w:val="00561ED0"/>
    <w:rsid w:val="00561F5A"/>
    <w:rsid w:val="00561FF4"/>
    <w:rsid w:val="0056212F"/>
    <w:rsid w:val="005625B7"/>
    <w:rsid w:val="0056271E"/>
    <w:rsid w:val="00562799"/>
    <w:rsid w:val="00562BB5"/>
    <w:rsid w:val="00562D14"/>
    <w:rsid w:val="005632FE"/>
    <w:rsid w:val="00563640"/>
    <w:rsid w:val="00563DB3"/>
    <w:rsid w:val="0056419E"/>
    <w:rsid w:val="00564498"/>
    <w:rsid w:val="00564B59"/>
    <w:rsid w:val="00564F17"/>
    <w:rsid w:val="00565427"/>
    <w:rsid w:val="005655A9"/>
    <w:rsid w:val="005655E6"/>
    <w:rsid w:val="00565694"/>
    <w:rsid w:val="00565897"/>
    <w:rsid w:val="005659EB"/>
    <w:rsid w:val="00565E52"/>
    <w:rsid w:val="005664DB"/>
    <w:rsid w:val="00566F6A"/>
    <w:rsid w:val="005671FF"/>
    <w:rsid w:val="005672BA"/>
    <w:rsid w:val="005678ED"/>
    <w:rsid w:val="005679F9"/>
    <w:rsid w:val="00569E80"/>
    <w:rsid w:val="00570177"/>
    <w:rsid w:val="00570193"/>
    <w:rsid w:val="00570A26"/>
    <w:rsid w:val="00570B35"/>
    <w:rsid w:val="00570CEA"/>
    <w:rsid w:val="0057114A"/>
    <w:rsid w:val="005712F1"/>
    <w:rsid w:val="00571877"/>
    <w:rsid w:val="00571A75"/>
    <w:rsid w:val="00571F59"/>
    <w:rsid w:val="0057263A"/>
    <w:rsid w:val="0057288C"/>
    <w:rsid w:val="00572A6F"/>
    <w:rsid w:val="00572A8F"/>
    <w:rsid w:val="00572B48"/>
    <w:rsid w:val="00572DF9"/>
    <w:rsid w:val="0057340D"/>
    <w:rsid w:val="00573657"/>
    <w:rsid w:val="005736A8"/>
    <w:rsid w:val="00573A87"/>
    <w:rsid w:val="00573BA7"/>
    <w:rsid w:val="00573DFF"/>
    <w:rsid w:val="00574428"/>
    <w:rsid w:val="005746BB"/>
    <w:rsid w:val="00574D53"/>
    <w:rsid w:val="00574D63"/>
    <w:rsid w:val="00574E45"/>
    <w:rsid w:val="00574EDA"/>
    <w:rsid w:val="00575034"/>
    <w:rsid w:val="00575793"/>
    <w:rsid w:val="005758A6"/>
    <w:rsid w:val="00575BC1"/>
    <w:rsid w:val="00575D5E"/>
    <w:rsid w:val="00575D96"/>
    <w:rsid w:val="00575E96"/>
    <w:rsid w:val="00575F4E"/>
    <w:rsid w:val="005760DA"/>
    <w:rsid w:val="00576230"/>
    <w:rsid w:val="0057698B"/>
    <w:rsid w:val="00576AA2"/>
    <w:rsid w:val="00576C12"/>
    <w:rsid w:val="00576E93"/>
    <w:rsid w:val="00576F8B"/>
    <w:rsid w:val="00577487"/>
    <w:rsid w:val="0057773A"/>
    <w:rsid w:val="00577B77"/>
    <w:rsid w:val="00577E2E"/>
    <w:rsid w:val="0058001B"/>
    <w:rsid w:val="00580043"/>
    <w:rsid w:val="00580174"/>
    <w:rsid w:val="0058039C"/>
    <w:rsid w:val="00580774"/>
    <w:rsid w:val="00580859"/>
    <w:rsid w:val="005809D2"/>
    <w:rsid w:val="0058114D"/>
    <w:rsid w:val="0058183A"/>
    <w:rsid w:val="00581B4C"/>
    <w:rsid w:val="0058248E"/>
    <w:rsid w:val="00582B13"/>
    <w:rsid w:val="00582C25"/>
    <w:rsid w:val="00582C56"/>
    <w:rsid w:val="00582CD8"/>
    <w:rsid w:val="00582E9D"/>
    <w:rsid w:val="005830F3"/>
    <w:rsid w:val="005837D1"/>
    <w:rsid w:val="00584189"/>
    <w:rsid w:val="005847A2"/>
    <w:rsid w:val="00584814"/>
    <w:rsid w:val="005848EA"/>
    <w:rsid w:val="00584908"/>
    <w:rsid w:val="00584C09"/>
    <w:rsid w:val="00584E7C"/>
    <w:rsid w:val="005850D6"/>
    <w:rsid w:val="0058513B"/>
    <w:rsid w:val="0058545D"/>
    <w:rsid w:val="00585475"/>
    <w:rsid w:val="00585503"/>
    <w:rsid w:val="00585537"/>
    <w:rsid w:val="0058568A"/>
    <w:rsid w:val="00585839"/>
    <w:rsid w:val="00585C48"/>
    <w:rsid w:val="00586209"/>
    <w:rsid w:val="00586237"/>
    <w:rsid w:val="005864E8"/>
    <w:rsid w:val="00586569"/>
    <w:rsid w:val="005865AB"/>
    <w:rsid w:val="00586B95"/>
    <w:rsid w:val="00586C3E"/>
    <w:rsid w:val="00586D4C"/>
    <w:rsid w:val="00586DA1"/>
    <w:rsid w:val="00587209"/>
    <w:rsid w:val="00587351"/>
    <w:rsid w:val="0058746E"/>
    <w:rsid w:val="005875FA"/>
    <w:rsid w:val="00590360"/>
    <w:rsid w:val="005906CD"/>
    <w:rsid w:val="0059073D"/>
    <w:rsid w:val="005907D0"/>
    <w:rsid w:val="00590912"/>
    <w:rsid w:val="00590C54"/>
    <w:rsid w:val="00590D29"/>
    <w:rsid w:val="00590D63"/>
    <w:rsid w:val="00591120"/>
    <w:rsid w:val="0059116D"/>
    <w:rsid w:val="00591443"/>
    <w:rsid w:val="00591775"/>
    <w:rsid w:val="00591844"/>
    <w:rsid w:val="00591B86"/>
    <w:rsid w:val="00591D70"/>
    <w:rsid w:val="00591F11"/>
    <w:rsid w:val="00592126"/>
    <w:rsid w:val="005921AF"/>
    <w:rsid w:val="005924D6"/>
    <w:rsid w:val="005925AA"/>
    <w:rsid w:val="005927DC"/>
    <w:rsid w:val="00592D5F"/>
    <w:rsid w:val="00593689"/>
    <w:rsid w:val="0059379C"/>
    <w:rsid w:val="00593BFC"/>
    <w:rsid w:val="005940A4"/>
    <w:rsid w:val="005941A8"/>
    <w:rsid w:val="005947F0"/>
    <w:rsid w:val="00594BE0"/>
    <w:rsid w:val="00594D0A"/>
    <w:rsid w:val="00595A4D"/>
    <w:rsid w:val="00595F07"/>
    <w:rsid w:val="00595F59"/>
    <w:rsid w:val="0059625B"/>
    <w:rsid w:val="005962E7"/>
    <w:rsid w:val="005969B8"/>
    <w:rsid w:val="00596A14"/>
    <w:rsid w:val="00597089"/>
    <w:rsid w:val="00597300"/>
    <w:rsid w:val="005977B8"/>
    <w:rsid w:val="00597A54"/>
    <w:rsid w:val="00597B85"/>
    <w:rsid w:val="00597E89"/>
    <w:rsid w:val="005A007F"/>
    <w:rsid w:val="005A03A6"/>
    <w:rsid w:val="005A043C"/>
    <w:rsid w:val="005A0648"/>
    <w:rsid w:val="005A09AB"/>
    <w:rsid w:val="005A0C34"/>
    <w:rsid w:val="005A0E2F"/>
    <w:rsid w:val="005A12A8"/>
    <w:rsid w:val="005A15A4"/>
    <w:rsid w:val="005A1876"/>
    <w:rsid w:val="005A1C26"/>
    <w:rsid w:val="005A1EC8"/>
    <w:rsid w:val="005A2134"/>
    <w:rsid w:val="005A288D"/>
    <w:rsid w:val="005A2A29"/>
    <w:rsid w:val="005A2BD1"/>
    <w:rsid w:val="005A3345"/>
    <w:rsid w:val="005A34CC"/>
    <w:rsid w:val="005A357D"/>
    <w:rsid w:val="005A36DB"/>
    <w:rsid w:val="005A3719"/>
    <w:rsid w:val="005A3AEF"/>
    <w:rsid w:val="005A3B51"/>
    <w:rsid w:val="005A3BDC"/>
    <w:rsid w:val="005A412F"/>
    <w:rsid w:val="005A4548"/>
    <w:rsid w:val="005A4A27"/>
    <w:rsid w:val="005A4CEE"/>
    <w:rsid w:val="005A50A4"/>
    <w:rsid w:val="005A50A8"/>
    <w:rsid w:val="005A5B14"/>
    <w:rsid w:val="005A6EB1"/>
    <w:rsid w:val="005A71C9"/>
    <w:rsid w:val="005ACF0B"/>
    <w:rsid w:val="005B0114"/>
    <w:rsid w:val="005B03AA"/>
    <w:rsid w:val="005B06B6"/>
    <w:rsid w:val="005B075D"/>
    <w:rsid w:val="005B076D"/>
    <w:rsid w:val="005B0804"/>
    <w:rsid w:val="005B08EA"/>
    <w:rsid w:val="005B0CE5"/>
    <w:rsid w:val="005B0CFD"/>
    <w:rsid w:val="005B105E"/>
    <w:rsid w:val="005B10F4"/>
    <w:rsid w:val="005B170B"/>
    <w:rsid w:val="005B1764"/>
    <w:rsid w:val="005B17CA"/>
    <w:rsid w:val="005B198F"/>
    <w:rsid w:val="005B1C55"/>
    <w:rsid w:val="005B1C8D"/>
    <w:rsid w:val="005B2657"/>
    <w:rsid w:val="005B2CA7"/>
    <w:rsid w:val="005B2F01"/>
    <w:rsid w:val="005B2FB9"/>
    <w:rsid w:val="005B31C8"/>
    <w:rsid w:val="005B38AF"/>
    <w:rsid w:val="005B3C35"/>
    <w:rsid w:val="005B3D8E"/>
    <w:rsid w:val="005B3F20"/>
    <w:rsid w:val="005B42F1"/>
    <w:rsid w:val="005B44D5"/>
    <w:rsid w:val="005B460F"/>
    <w:rsid w:val="005B4B18"/>
    <w:rsid w:val="005B4DC2"/>
    <w:rsid w:val="005B4DF4"/>
    <w:rsid w:val="005B55AE"/>
    <w:rsid w:val="005B5D2F"/>
    <w:rsid w:val="005B68E0"/>
    <w:rsid w:val="005B6A6F"/>
    <w:rsid w:val="005B6CF4"/>
    <w:rsid w:val="005B7183"/>
    <w:rsid w:val="005B78FC"/>
    <w:rsid w:val="005B7C06"/>
    <w:rsid w:val="005B7DDB"/>
    <w:rsid w:val="005B7EF4"/>
    <w:rsid w:val="005B7F20"/>
    <w:rsid w:val="005C00CD"/>
    <w:rsid w:val="005C01E7"/>
    <w:rsid w:val="005C057E"/>
    <w:rsid w:val="005C09BC"/>
    <w:rsid w:val="005C0AD9"/>
    <w:rsid w:val="005C0B36"/>
    <w:rsid w:val="005C1EE2"/>
    <w:rsid w:val="005C20E0"/>
    <w:rsid w:val="005C225D"/>
    <w:rsid w:val="005C2566"/>
    <w:rsid w:val="005C2B3D"/>
    <w:rsid w:val="005C2CB5"/>
    <w:rsid w:val="005C2FDF"/>
    <w:rsid w:val="005C3875"/>
    <w:rsid w:val="005C3891"/>
    <w:rsid w:val="005C38AB"/>
    <w:rsid w:val="005C3ED0"/>
    <w:rsid w:val="005C446E"/>
    <w:rsid w:val="005C4691"/>
    <w:rsid w:val="005C4AA7"/>
    <w:rsid w:val="005C4DB9"/>
    <w:rsid w:val="005C4EFE"/>
    <w:rsid w:val="005C528D"/>
    <w:rsid w:val="005C582A"/>
    <w:rsid w:val="005C5C5D"/>
    <w:rsid w:val="005C5C86"/>
    <w:rsid w:val="005C5CDB"/>
    <w:rsid w:val="005C5CF5"/>
    <w:rsid w:val="005C6061"/>
    <w:rsid w:val="005C62E1"/>
    <w:rsid w:val="005C6462"/>
    <w:rsid w:val="005C66AB"/>
    <w:rsid w:val="005C6896"/>
    <w:rsid w:val="005C6AC4"/>
    <w:rsid w:val="005C6CB2"/>
    <w:rsid w:val="005C7469"/>
    <w:rsid w:val="005C7862"/>
    <w:rsid w:val="005C7A07"/>
    <w:rsid w:val="005D00E3"/>
    <w:rsid w:val="005D0567"/>
    <w:rsid w:val="005D0800"/>
    <w:rsid w:val="005D0B34"/>
    <w:rsid w:val="005D0B98"/>
    <w:rsid w:val="005D0BD9"/>
    <w:rsid w:val="005D0F82"/>
    <w:rsid w:val="005D1053"/>
    <w:rsid w:val="005D1180"/>
    <w:rsid w:val="005D1220"/>
    <w:rsid w:val="005D1328"/>
    <w:rsid w:val="005D1405"/>
    <w:rsid w:val="005D17B8"/>
    <w:rsid w:val="005D1911"/>
    <w:rsid w:val="005D191A"/>
    <w:rsid w:val="005D19EF"/>
    <w:rsid w:val="005D1AD1"/>
    <w:rsid w:val="005D1BB3"/>
    <w:rsid w:val="005D1CA2"/>
    <w:rsid w:val="005D1FFA"/>
    <w:rsid w:val="005D234B"/>
    <w:rsid w:val="005D242C"/>
    <w:rsid w:val="005D25E5"/>
    <w:rsid w:val="005D2B76"/>
    <w:rsid w:val="005D2F29"/>
    <w:rsid w:val="005D316F"/>
    <w:rsid w:val="005D33BB"/>
    <w:rsid w:val="005D3686"/>
    <w:rsid w:val="005D39BA"/>
    <w:rsid w:val="005D3E2B"/>
    <w:rsid w:val="005D403A"/>
    <w:rsid w:val="005D4297"/>
    <w:rsid w:val="005D44AF"/>
    <w:rsid w:val="005D4B51"/>
    <w:rsid w:val="005D4C76"/>
    <w:rsid w:val="005D50C5"/>
    <w:rsid w:val="005D5404"/>
    <w:rsid w:val="005D58B9"/>
    <w:rsid w:val="005D58CF"/>
    <w:rsid w:val="005D5EC1"/>
    <w:rsid w:val="005D610E"/>
    <w:rsid w:val="005D613C"/>
    <w:rsid w:val="005D662B"/>
    <w:rsid w:val="005D6FE1"/>
    <w:rsid w:val="005D726E"/>
    <w:rsid w:val="005D74B6"/>
    <w:rsid w:val="005D75D9"/>
    <w:rsid w:val="005D7670"/>
    <w:rsid w:val="005D789B"/>
    <w:rsid w:val="005D7A46"/>
    <w:rsid w:val="005D7B51"/>
    <w:rsid w:val="005D7F55"/>
    <w:rsid w:val="005E0006"/>
    <w:rsid w:val="005E0386"/>
    <w:rsid w:val="005E073F"/>
    <w:rsid w:val="005E093D"/>
    <w:rsid w:val="005E0DAE"/>
    <w:rsid w:val="005E0F4F"/>
    <w:rsid w:val="005E13C9"/>
    <w:rsid w:val="005E143A"/>
    <w:rsid w:val="005E1601"/>
    <w:rsid w:val="005E1DA7"/>
    <w:rsid w:val="005E1DB6"/>
    <w:rsid w:val="005E1E15"/>
    <w:rsid w:val="005E24FE"/>
    <w:rsid w:val="005E25D4"/>
    <w:rsid w:val="005E2A61"/>
    <w:rsid w:val="005E2BBD"/>
    <w:rsid w:val="005E2C04"/>
    <w:rsid w:val="005E2C9B"/>
    <w:rsid w:val="005E32C5"/>
    <w:rsid w:val="005E38A0"/>
    <w:rsid w:val="005E3BF5"/>
    <w:rsid w:val="005E3BF7"/>
    <w:rsid w:val="005E3C08"/>
    <w:rsid w:val="005E3C19"/>
    <w:rsid w:val="005E3D7E"/>
    <w:rsid w:val="005E4010"/>
    <w:rsid w:val="005E401F"/>
    <w:rsid w:val="005E404A"/>
    <w:rsid w:val="005E42E0"/>
    <w:rsid w:val="005E4304"/>
    <w:rsid w:val="005E46D7"/>
    <w:rsid w:val="005E473B"/>
    <w:rsid w:val="005E4F41"/>
    <w:rsid w:val="005E5432"/>
    <w:rsid w:val="005E54CD"/>
    <w:rsid w:val="005E55B4"/>
    <w:rsid w:val="005E602F"/>
    <w:rsid w:val="005E6D20"/>
    <w:rsid w:val="005E6DA4"/>
    <w:rsid w:val="005E6E9C"/>
    <w:rsid w:val="005E76B5"/>
    <w:rsid w:val="005E7C12"/>
    <w:rsid w:val="005E7CCE"/>
    <w:rsid w:val="005F04A6"/>
    <w:rsid w:val="005F06C4"/>
    <w:rsid w:val="005F086E"/>
    <w:rsid w:val="005F09ED"/>
    <w:rsid w:val="005F0F06"/>
    <w:rsid w:val="005F105C"/>
    <w:rsid w:val="005F11AA"/>
    <w:rsid w:val="005F11B8"/>
    <w:rsid w:val="005F1F4D"/>
    <w:rsid w:val="005F21D4"/>
    <w:rsid w:val="005F2414"/>
    <w:rsid w:val="005F26A1"/>
    <w:rsid w:val="005F2A97"/>
    <w:rsid w:val="005F3029"/>
    <w:rsid w:val="005F3461"/>
    <w:rsid w:val="005F35B6"/>
    <w:rsid w:val="005F3B6D"/>
    <w:rsid w:val="005F3C13"/>
    <w:rsid w:val="005F3F21"/>
    <w:rsid w:val="005F4431"/>
    <w:rsid w:val="005F44DF"/>
    <w:rsid w:val="005F45DF"/>
    <w:rsid w:val="005F47E1"/>
    <w:rsid w:val="005F47F2"/>
    <w:rsid w:val="005F4B26"/>
    <w:rsid w:val="005F4FF8"/>
    <w:rsid w:val="005F533C"/>
    <w:rsid w:val="005F547B"/>
    <w:rsid w:val="005F5722"/>
    <w:rsid w:val="005F57C1"/>
    <w:rsid w:val="005F58C0"/>
    <w:rsid w:val="005F59A6"/>
    <w:rsid w:val="005F5A92"/>
    <w:rsid w:val="005F5B75"/>
    <w:rsid w:val="005F5CE8"/>
    <w:rsid w:val="005F5E5F"/>
    <w:rsid w:val="005F5E67"/>
    <w:rsid w:val="005F5EA8"/>
    <w:rsid w:val="005F5F62"/>
    <w:rsid w:val="005F5FD1"/>
    <w:rsid w:val="005F5FE8"/>
    <w:rsid w:val="005F6798"/>
    <w:rsid w:val="005F6A2F"/>
    <w:rsid w:val="005F6B1F"/>
    <w:rsid w:val="005F6EC8"/>
    <w:rsid w:val="005F7183"/>
    <w:rsid w:val="005F71BB"/>
    <w:rsid w:val="005F7525"/>
    <w:rsid w:val="005F7751"/>
    <w:rsid w:val="005F779C"/>
    <w:rsid w:val="0060001D"/>
    <w:rsid w:val="006001F4"/>
    <w:rsid w:val="00600330"/>
    <w:rsid w:val="006005F1"/>
    <w:rsid w:val="0060091C"/>
    <w:rsid w:val="00600994"/>
    <w:rsid w:val="00600D8E"/>
    <w:rsid w:val="00600FD1"/>
    <w:rsid w:val="00601173"/>
    <w:rsid w:val="006015F1"/>
    <w:rsid w:val="00601A72"/>
    <w:rsid w:val="00601C1E"/>
    <w:rsid w:val="00601D18"/>
    <w:rsid w:val="00602226"/>
    <w:rsid w:val="006022F1"/>
    <w:rsid w:val="006023F0"/>
    <w:rsid w:val="006025E0"/>
    <w:rsid w:val="0060275D"/>
    <w:rsid w:val="00602925"/>
    <w:rsid w:val="00603095"/>
    <w:rsid w:val="006031B5"/>
    <w:rsid w:val="00603334"/>
    <w:rsid w:val="0060340C"/>
    <w:rsid w:val="006035B4"/>
    <w:rsid w:val="0060384D"/>
    <w:rsid w:val="006038D3"/>
    <w:rsid w:val="00603AFF"/>
    <w:rsid w:val="00604369"/>
    <w:rsid w:val="00604388"/>
    <w:rsid w:val="006043AE"/>
    <w:rsid w:val="00604666"/>
    <w:rsid w:val="00604766"/>
    <w:rsid w:val="00604BC6"/>
    <w:rsid w:val="006051A0"/>
    <w:rsid w:val="0060560B"/>
    <w:rsid w:val="006056F7"/>
    <w:rsid w:val="00605818"/>
    <w:rsid w:val="006058C4"/>
    <w:rsid w:val="00605DA0"/>
    <w:rsid w:val="00605E08"/>
    <w:rsid w:val="00605EBB"/>
    <w:rsid w:val="00605F4F"/>
    <w:rsid w:val="00605F5C"/>
    <w:rsid w:val="00605F94"/>
    <w:rsid w:val="00606159"/>
    <w:rsid w:val="00606884"/>
    <w:rsid w:val="006068D6"/>
    <w:rsid w:val="00606BB3"/>
    <w:rsid w:val="00606E84"/>
    <w:rsid w:val="0060745E"/>
    <w:rsid w:val="006074ED"/>
    <w:rsid w:val="006077AB"/>
    <w:rsid w:val="00607B17"/>
    <w:rsid w:val="00607FBB"/>
    <w:rsid w:val="006101E1"/>
    <w:rsid w:val="00610286"/>
    <w:rsid w:val="006102D5"/>
    <w:rsid w:val="00610345"/>
    <w:rsid w:val="006103A0"/>
    <w:rsid w:val="006108AC"/>
    <w:rsid w:val="00610986"/>
    <w:rsid w:val="006109B8"/>
    <w:rsid w:val="00610BBD"/>
    <w:rsid w:val="00610C00"/>
    <w:rsid w:val="0061156D"/>
    <w:rsid w:val="00611C51"/>
    <w:rsid w:val="00611D5C"/>
    <w:rsid w:val="00611E45"/>
    <w:rsid w:val="00612082"/>
    <w:rsid w:val="00612553"/>
    <w:rsid w:val="00612587"/>
    <w:rsid w:val="006129F1"/>
    <w:rsid w:val="00612B4A"/>
    <w:rsid w:val="00612D7B"/>
    <w:rsid w:val="00612FB8"/>
    <w:rsid w:val="00613139"/>
    <w:rsid w:val="00613858"/>
    <w:rsid w:val="00613A6A"/>
    <w:rsid w:val="00613C02"/>
    <w:rsid w:val="00613E17"/>
    <w:rsid w:val="00613E56"/>
    <w:rsid w:val="00613E7C"/>
    <w:rsid w:val="00613F7E"/>
    <w:rsid w:val="00613FC4"/>
    <w:rsid w:val="00614112"/>
    <w:rsid w:val="006141AC"/>
    <w:rsid w:val="00614271"/>
    <w:rsid w:val="006143CA"/>
    <w:rsid w:val="00614E49"/>
    <w:rsid w:val="00615037"/>
    <w:rsid w:val="0061576D"/>
    <w:rsid w:val="0061633C"/>
    <w:rsid w:val="0061647F"/>
    <w:rsid w:val="0061655A"/>
    <w:rsid w:val="00616645"/>
    <w:rsid w:val="0061668A"/>
    <w:rsid w:val="00616996"/>
    <w:rsid w:val="006169DE"/>
    <w:rsid w:val="00616B7F"/>
    <w:rsid w:val="00616E21"/>
    <w:rsid w:val="00616EF5"/>
    <w:rsid w:val="0061768B"/>
    <w:rsid w:val="006177AA"/>
    <w:rsid w:val="00617800"/>
    <w:rsid w:val="00617B9E"/>
    <w:rsid w:val="00617EF3"/>
    <w:rsid w:val="0061CC79"/>
    <w:rsid w:val="0061F296"/>
    <w:rsid w:val="00620296"/>
    <w:rsid w:val="006202D9"/>
    <w:rsid w:val="006204B1"/>
    <w:rsid w:val="00620798"/>
    <w:rsid w:val="00620B0D"/>
    <w:rsid w:val="00620B71"/>
    <w:rsid w:val="0062143B"/>
    <w:rsid w:val="006217C3"/>
    <w:rsid w:val="006218C9"/>
    <w:rsid w:val="006218FD"/>
    <w:rsid w:val="006219CD"/>
    <w:rsid w:val="00621AD2"/>
    <w:rsid w:val="00621CF9"/>
    <w:rsid w:val="00621DEB"/>
    <w:rsid w:val="006222D5"/>
    <w:rsid w:val="0062242A"/>
    <w:rsid w:val="006226B5"/>
    <w:rsid w:val="0062302F"/>
    <w:rsid w:val="006232B9"/>
    <w:rsid w:val="006232E1"/>
    <w:rsid w:val="006233B8"/>
    <w:rsid w:val="006235CA"/>
    <w:rsid w:val="0062366D"/>
    <w:rsid w:val="006236A4"/>
    <w:rsid w:val="006243DC"/>
    <w:rsid w:val="00624A13"/>
    <w:rsid w:val="00624B98"/>
    <w:rsid w:val="00624C9D"/>
    <w:rsid w:val="00624F30"/>
    <w:rsid w:val="0062545F"/>
    <w:rsid w:val="00625C96"/>
    <w:rsid w:val="00625F8E"/>
    <w:rsid w:val="006260E7"/>
    <w:rsid w:val="006264CC"/>
    <w:rsid w:val="00626514"/>
    <w:rsid w:val="006265CA"/>
    <w:rsid w:val="00626A02"/>
    <w:rsid w:val="00626F54"/>
    <w:rsid w:val="00626FFA"/>
    <w:rsid w:val="00627014"/>
    <w:rsid w:val="006270D7"/>
    <w:rsid w:val="0062742B"/>
    <w:rsid w:val="006278EA"/>
    <w:rsid w:val="00627D18"/>
    <w:rsid w:val="006301E2"/>
    <w:rsid w:val="006303EB"/>
    <w:rsid w:val="00630639"/>
    <w:rsid w:val="006307B6"/>
    <w:rsid w:val="00630A8E"/>
    <w:rsid w:val="00630BC7"/>
    <w:rsid w:val="00630D4B"/>
    <w:rsid w:val="00630D7B"/>
    <w:rsid w:val="00630ED3"/>
    <w:rsid w:val="006310DA"/>
    <w:rsid w:val="006311F7"/>
    <w:rsid w:val="0063182E"/>
    <w:rsid w:val="006325D7"/>
    <w:rsid w:val="006326B0"/>
    <w:rsid w:val="00632720"/>
    <w:rsid w:val="00632B83"/>
    <w:rsid w:val="00632C12"/>
    <w:rsid w:val="00632F19"/>
    <w:rsid w:val="006332B8"/>
    <w:rsid w:val="006335A0"/>
    <w:rsid w:val="00633648"/>
    <w:rsid w:val="0063366F"/>
    <w:rsid w:val="00633CCF"/>
    <w:rsid w:val="006343D6"/>
    <w:rsid w:val="00634450"/>
    <w:rsid w:val="006348FE"/>
    <w:rsid w:val="00634947"/>
    <w:rsid w:val="00634B05"/>
    <w:rsid w:val="006350D7"/>
    <w:rsid w:val="00635D3E"/>
    <w:rsid w:val="00635EB4"/>
    <w:rsid w:val="00636045"/>
    <w:rsid w:val="00636162"/>
    <w:rsid w:val="006361E9"/>
    <w:rsid w:val="006363EE"/>
    <w:rsid w:val="0063677B"/>
    <w:rsid w:val="0063684A"/>
    <w:rsid w:val="006369FA"/>
    <w:rsid w:val="00636A44"/>
    <w:rsid w:val="00636A4C"/>
    <w:rsid w:val="00636ABF"/>
    <w:rsid w:val="00636F1B"/>
    <w:rsid w:val="00636F56"/>
    <w:rsid w:val="00637645"/>
    <w:rsid w:val="006377E6"/>
    <w:rsid w:val="00637A82"/>
    <w:rsid w:val="0063A6E9"/>
    <w:rsid w:val="0064019C"/>
    <w:rsid w:val="006401C2"/>
    <w:rsid w:val="00640564"/>
    <w:rsid w:val="00640930"/>
    <w:rsid w:val="00640A26"/>
    <w:rsid w:val="0064102C"/>
    <w:rsid w:val="006411F4"/>
    <w:rsid w:val="00641225"/>
    <w:rsid w:val="0064193E"/>
    <w:rsid w:val="00641A9F"/>
    <w:rsid w:val="00641B48"/>
    <w:rsid w:val="00641B87"/>
    <w:rsid w:val="00641C57"/>
    <w:rsid w:val="00641CDF"/>
    <w:rsid w:val="00641E26"/>
    <w:rsid w:val="00641E89"/>
    <w:rsid w:val="0064228D"/>
    <w:rsid w:val="00642BA8"/>
    <w:rsid w:val="006430A6"/>
    <w:rsid w:val="006430D4"/>
    <w:rsid w:val="006431AF"/>
    <w:rsid w:val="00643281"/>
    <w:rsid w:val="00643449"/>
    <w:rsid w:val="00643D1C"/>
    <w:rsid w:val="00644098"/>
    <w:rsid w:val="0064437F"/>
    <w:rsid w:val="006446EA"/>
    <w:rsid w:val="0064480F"/>
    <w:rsid w:val="00644992"/>
    <w:rsid w:val="00644BFA"/>
    <w:rsid w:val="00644F75"/>
    <w:rsid w:val="00645492"/>
    <w:rsid w:val="006455B0"/>
    <w:rsid w:val="00645D3B"/>
    <w:rsid w:val="00645EAD"/>
    <w:rsid w:val="006462B0"/>
    <w:rsid w:val="00646427"/>
    <w:rsid w:val="00646740"/>
    <w:rsid w:val="00646C56"/>
    <w:rsid w:val="00646DE1"/>
    <w:rsid w:val="00646E92"/>
    <w:rsid w:val="00646FEC"/>
    <w:rsid w:val="0064737C"/>
    <w:rsid w:val="006476AD"/>
    <w:rsid w:val="00647955"/>
    <w:rsid w:val="0064795A"/>
    <w:rsid w:val="006479F5"/>
    <w:rsid w:val="00647BBA"/>
    <w:rsid w:val="0065005A"/>
    <w:rsid w:val="00650C75"/>
    <w:rsid w:val="00650CA2"/>
    <w:rsid w:val="00650CD9"/>
    <w:rsid w:val="00650E4E"/>
    <w:rsid w:val="006514A6"/>
    <w:rsid w:val="006515BD"/>
    <w:rsid w:val="006519D7"/>
    <w:rsid w:val="00651DE7"/>
    <w:rsid w:val="00651F49"/>
    <w:rsid w:val="006521CC"/>
    <w:rsid w:val="00652873"/>
    <w:rsid w:val="006528BD"/>
    <w:rsid w:val="00652972"/>
    <w:rsid w:val="006529B4"/>
    <w:rsid w:val="00652E24"/>
    <w:rsid w:val="006530F2"/>
    <w:rsid w:val="00653147"/>
    <w:rsid w:val="006533D6"/>
    <w:rsid w:val="00653578"/>
    <w:rsid w:val="006535BD"/>
    <w:rsid w:val="0065397F"/>
    <w:rsid w:val="00653D4F"/>
    <w:rsid w:val="00653FF3"/>
    <w:rsid w:val="0065426B"/>
    <w:rsid w:val="0065436C"/>
    <w:rsid w:val="00654383"/>
    <w:rsid w:val="0065447C"/>
    <w:rsid w:val="006545C3"/>
    <w:rsid w:val="00654792"/>
    <w:rsid w:val="00654857"/>
    <w:rsid w:val="00655202"/>
    <w:rsid w:val="00655431"/>
    <w:rsid w:val="00655455"/>
    <w:rsid w:val="006558A9"/>
    <w:rsid w:val="00655BB3"/>
    <w:rsid w:val="00655BF6"/>
    <w:rsid w:val="00655CC5"/>
    <w:rsid w:val="00655FC9"/>
    <w:rsid w:val="00656DD1"/>
    <w:rsid w:val="00657030"/>
    <w:rsid w:val="0065703A"/>
    <w:rsid w:val="00657220"/>
    <w:rsid w:val="006579AE"/>
    <w:rsid w:val="00657A86"/>
    <w:rsid w:val="00657AB1"/>
    <w:rsid w:val="00657DA4"/>
    <w:rsid w:val="00657FB2"/>
    <w:rsid w:val="0066040C"/>
    <w:rsid w:val="00660484"/>
    <w:rsid w:val="00660754"/>
    <w:rsid w:val="00660823"/>
    <w:rsid w:val="00660D29"/>
    <w:rsid w:val="00661108"/>
    <w:rsid w:val="006613C2"/>
    <w:rsid w:val="006614AD"/>
    <w:rsid w:val="00661C72"/>
    <w:rsid w:val="0066206F"/>
    <w:rsid w:val="00662125"/>
    <w:rsid w:val="006624AA"/>
    <w:rsid w:val="006627DA"/>
    <w:rsid w:val="006627FF"/>
    <w:rsid w:val="00662BC8"/>
    <w:rsid w:val="00662F72"/>
    <w:rsid w:val="00663071"/>
    <w:rsid w:val="00663154"/>
    <w:rsid w:val="006631AA"/>
    <w:rsid w:val="006631CE"/>
    <w:rsid w:val="006637D1"/>
    <w:rsid w:val="00663B06"/>
    <w:rsid w:val="00663DCF"/>
    <w:rsid w:val="00664245"/>
    <w:rsid w:val="006643F8"/>
    <w:rsid w:val="006644B2"/>
    <w:rsid w:val="006645F9"/>
    <w:rsid w:val="00664C3C"/>
    <w:rsid w:val="00664F27"/>
    <w:rsid w:val="00664F3B"/>
    <w:rsid w:val="0066503B"/>
    <w:rsid w:val="0066527A"/>
    <w:rsid w:val="006653E5"/>
    <w:rsid w:val="0066563D"/>
    <w:rsid w:val="006658B9"/>
    <w:rsid w:val="00665A28"/>
    <w:rsid w:val="00666078"/>
    <w:rsid w:val="006660C9"/>
    <w:rsid w:val="006661FF"/>
    <w:rsid w:val="00666412"/>
    <w:rsid w:val="00666477"/>
    <w:rsid w:val="00666CA1"/>
    <w:rsid w:val="0066713F"/>
    <w:rsid w:val="00667271"/>
    <w:rsid w:val="0066783D"/>
    <w:rsid w:val="00667945"/>
    <w:rsid w:val="00667AA6"/>
    <w:rsid w:val="00667B3D"/>
    <w:rsid w:val="00667D41"/>
    <w:rsid w:val="0066D3D8"/>
    <w:rsid w:val="00670529"/>
    <w:rsid w:val="00670C42"/>
    <w:rsid w:val="00670D9D"/>
    <w:rsid w:val="0067152D"/>
    <w:rsid w:val="0067159A"/>
    <w:rsid w:val="00671793"/>
    <w:rsid w:val="00671B40"/>
    <w:rsid w:val="00671CBD"/>
    <w:rsid w:val="006720C3"/>
    <w:rsid w:val="00672167"/>
    <w:rsid w:val="006722BF"/>
    <w:rsid w:val="00672507"/>
    <w:rsid w:val="006725FB"/>
    <w:rsid w:val="0067284A"/>
    <w:rsid w:val="006729C2"/>
    <w:rsid w:val="00672E99"/>
    <w:rsid w:val="00672EA4"/>
    <w:rsid w:val="006732F5"/>
    <w:rsid w:val="006733C3"/>
    <w:rsid w:val="00673866"/>
    <w:rsid w:val="006738F5"/>
    <w:rsid w:val="00673B5F"/>
    <w:rsid w:val="00673E01"/>
    <w:rsid w:val="00673E73"/>
    <w:rsid w:val="00673F7B"/>
    <w:rsid w:val="0067433E"/>
    <w:rsid w:val="006743D2"/>
    <w:rsid w:val="00674EDA"/>
    <w:rsid w:val="00675437"/>
    <w:rsid w:val="00675927"/>
    <w:rsid w:val="006760D5"/>
    <w:rsid w:val="006760EE"/>
    <w:rsid w:val="00676129"/>
    <w:rsid w:val="00676162"/>
    <w:rsid w:val="006766DB"/>
    <w:rsid w:val="0067680C"/>
    <w:rsid w:val="00676F95"/>
    <w:rsid w:val="00677031"/>
    <w:rsid w:val="006771B0"/>
    <w:rsid w:val="00677253"/>
    <w:rsid w:val="00677285"/>
    <w:rsid w:val="006777A9"/>
    <w:rsid w:val="0067786B"/>
    <w:rsid w:val="006809E7"/>
    <w:rsid w:val="00680A13"/>
    <w:rsid w:val="00680CA9"/>
    <w:rsid w:val="00681411"/>
    <w:rsid w:val="00681606"/>
    <w:rsid w:val="006817A1"/>
    <w:rsid w:val="00681836"/>
    <w:rsid w:val="00681CF7"/>
    <w:rsid w:val="00681D69"/>
    <w:rsid w:val="00681EDA"/>
    <w:rsid w:val="00681FC6"/>
    <w:rsid w:val="0068227F"/>
    <w:rsid w:val="006827EB"/>
    <w:rsid w:val="006828AD"/>
    <w:rsid w:val="006829AD"/>
    <w:rsid w:val="00682FCA"/>
    <w:rsid w:val="0068305E"/>
    <w:rsid w:val="006833CA"/>
    <w:rsid w:val="00683664"/>
    <w:rsid w:val="0068387F"/>
    <w:rsid w:val="006840BD"/>
    <w:rsid w:val="00684748"/>
    <w:rsid w:val="006849B3"/>
    <w:rsid w:val="00684A20"/>
    <w:rsid w:val="00684CD4"/>
    <w:rsid w:val="0068509E"/>
    <w:rsid w:val="0068518F"/>
    <w:rsid w:val="00685271"/>
    <w:rsid w:val="00685424"/>
    <w:rsid w:val="00685436"/>
    <w:rsid w:val="006855DE"/>
    <w:rsid w:val="006857A0"/>
    <w:rsid w:val="00685CD9"/>
    <w:rsid w:val="00685E50"/>
    <w:rsid w:val="0068647A"/>
    <w:rsid w:val="00686520"/>
    <w:rsid w:val="006866E4"/>
    <w:rsid w:val="0068692D"/>
    <w:rsid w:val="006870EF"/>
    <w:rsid w:val="00687206"/>
    <w:rsid w:val="0068732A"/>
    <w:rsid w:val="00687348"/>
    <w:rsid w:val="006874E7"/>
    <w:rsid w:val="00687615"/>
    <w:rsid w:val="00687667"/>
    <w:rsid w:val="006877C6"/>
    <w:rsid w:val="00687A0C"/>
    <w:rsid w:val="00687A54"/>
    <w:rsid w:val="00687C42"/>
    <w:rsid w:val="00687D0C"/>
    <w:rsid w:val="0069030B"/>
    <w:rsid w:val="006907FE"/>
    <w:rsid w:val="00690808"/>
    <w:rsid w:val="00690A04"/>
    <w:rsid w:val="00690A3E"/>
    <w:rsid w:val="00691571"/>
    <w:rsid w:val="006915C0"/>
    <w:rsid w:val="00691766"/>
    <w:rsid w:val="00691900"/>
    <w:rsid w:val="00691D56"/>
    <w:rsid w:val="00692724"/>
    <w:rsid w:val="006927BE"/>
    <w:rsid w:val="006929E7"/>
    <w:rsid w:val="006929F5"/>
    <w:rsid w:val="00692ADF"/>
    <w:rsid w:val="00692F17"/>
    <w:rsid w:val="00692F8D"/>
    <w:rsid w:val="00693742"/>
    <w:rsid w:val="00693989"/>
    <w:rsid w:val="00693BD3"/>
    <w:rsid w:val="00693F55"/>
    <w:rsid w:val="006942B0"/>
    <w:rsid w:val="0069473E"/>
    <w:rsid w:val="00694D7F"/>
    <w:rsid w:val="00694FE9"/>
    <w:rsid w:val="00695221"/>
    <w:rsid w:val="0069531B"/>
    <w:rsid w:val="006956A7"/>
    <w:rsid w:val="00695887"/>
    <w:rsid w:val="00695A2C"/>
    <w:rsid w:val="00695B35"/>
    <w:rsid w:val="00695B9A"/>
    <w:rsid w:val="006961DC"/>
    <w:rsid w:val="00696302"/>
    <w:rsid w:val="006964F6"/>
    <w:rsid w:val="006965E9"/>
    <w:rsid w:val="006967C0"/>
    <w:rsid w:val="00696A2D"/>
    <w:rsid w:val="00696AE1"/>
    <w:rsid w:val="00696B4F"/>
    <w:rsid w:val="00696FD0"/>
    <w:rsid w:val="00697151"/>
    <w:rsid w:val="00697553"/>
    <w:rsid w:val="00697574"/>
    <w:rsid w:val="006976A4"/>
    <w:rsid w:val="006978A0"/>
    <w:rsid w:val="00697AD9"/>
    <w:rsid w:val="00697E63"/>
    <w:rsid w:val="00697EF3"/>
    <w:rsid w:val="0069CDE3"/>
    <w:rsid w:val="006A04B4"/>
    <w:rsid w:val="006A0819"/>
    <w:rsid w:val="006A0878"/>
    <w:rsid w:val="006A0AB7"/>
    <w:rsid w:val="006A0B6B"/>
    <w:rsid w:val="006A100D"/>
    <w:rsid w:val="006A10F6"/>
    <w:rsid w:val="006A15A2"/>
    <w:rsid w:val="006A15EB"/>
    <w:rsid w:val="006A179D"/>
    <w:rsid w:val="006A18C6"/>
    <w:rsid w:val="006A1B89"/>
    <w:rsid w:val="006A1F9B"/>
    <w:rsid w:val="006A25D3"/>
    <w:rsid w:val="006A2658"/>
    <w:rsid w:val="006A2760"/>
    <w:rsid w:val="006A2933"/>
    <w:rsid w:val="006A2962"/>
    <w:rsid w:val="006A2E0A"/>
    <w:rsid w:val="006A3052"/>
    <w:rsid w:val="006A332E"/>
    <w:rsid w:val="006A335C"/>
    <w:rsid w:val="006A34A8"/>
    <w:rsid w:val="006A34E7"/>
    <w:rsid w:val="006A3506"/>
    <w:rsid w:val="006A35CC"/>
    <w:rsid w:val="006A3690"/>
    <w:rsid w:val="006A36F6"/>
    <w:rsid w:val="006A38EB"/>
    <w:rsid w:val="006A3ADA"/>
    <w:rsid w:val="006A3C83"/>
    <w:rsid w:val="006A3DED"/>
    <w:rsid w:val="006A3EBF"/>
    <w:rsid w:val="006A4698"/>
    <w:rsid w:val="006A493A"/>
    <w:rsid w:val="006A4942"/>
    <w:rsid w:val="006A4C7C"/>
    <w:rsid w:val="006A4DA8"/>
    <w:rsid w:val="006A58A4"/>
    <w:rsid w:val="006A5AA9"/>
    <w:rsid w:val="006A5AEA"/>
    <w:rsid w:val="006A5C3B"/>
    <w:rsid w:val="006A5C57"/>
    <w:rsid w:val="006A5E92"/>
    <w:rsid w:val="006A5EB9"/>
    <w:rsid w:val="006A6263"/>
    <w:rsid w:val="006A62BE"/>
    <w:rsid w:val="006A63E3"/>
    <w:rsid w:val="006A68CE"/>
    <w:rsid w:val="006A68DA"/>
    <w:rsid w:val="006A6BC1"/>
    <w:rsid w:val="006A6C9D"/>
    <w:rsid w:val="006A6F34"/>
    <w:rsid w:val="006A6FE8"/>
    <w:rsid w:val="006A7077"/>
    <w:rsid w:val="006A71EB"/>
    <w:rsid w:val="006A78D4"/>
    <w:rsid w:val="006A7C9F"/>
    <w:rsid w:val="006A7F2C"/>
    <w:rsid w:val="006B026F"/>
    <w:rsid w:val="006B08DF"/>
    <w:rsid w:val="006B0E6F"/>
    <w:rsid w:val="006B1072"/>
    <w:rsid w:val="006B1098"/>
    <w:rsid w:val="006B13C9"/>
    <w:rsid w:val="006B155D"/>
    <w:rsid w:val="006B1769"/>
    <w:rsid w:val="006B1BF6"/>
    <w:rsid w:val="006B1D1F"/>
    <w:rsid w:val="006B1EC5"/>
    <w:rsid w:val="006B2067"/>
    <w:rsid w:val="006B230E"/>
    <w:rsid w:val="006B235C"/>
    <w:rsid w:val="006B24C9"/>
    <w:rsid w:val="006B25BB"/>
    <w:rsid w:val="006B28D2"/>
    <w:rsid w:val="006B2AD2"/>
    <w:rsid w:val="006B2FFE"/>
    <w:rsid w:val="006B351B"/>
    <w:rsid w:val="006B3600"/>
    <w:rsid w:val="006B3784"/>
    <w:rsid w:val="006B3909"/>
    <w:rsid w:val="006B3B9C"/>
    <w:rsid w:val="006B3CC7"/>
    <w:rsid w:val="006B3F01"/>
    <w:rsid w:val="006B46DA"/>
    <w:rsid w:val="006B47EF"/>
    <w:rsid w:val="006B4B6E"/>
    <w:rsid w:val="006B4DF9"/>
    <w:rsid w:val="006B5135"/>
    <w:rsid w:val="006B53FF"/>
    <w:rsid w:val="006B5431"/>
    <w:rsid w:val="006B5901"/>
    <w:rsid w:val="006B5F45"/>
    <w:rsid w:val="006B61C9"/>
    <w:rsid w:val="006B6230"/>
    <w:rsid w:val="006B6774"/>
    <w:rsid w:val="006B69D5"/>
    <w:rsid w:val="006B6A6A"/>
    <w:rsid w:val="006B70B0"/>
    <w:rsid w:val="006B71E7"/>
    <w:rsid w:val="006B71FF"/>
    <w:rsid w:val="006B7269"/>
    <w:rsid w:val="006B736A"/>
    <w:rsid w:val="006B7680"/>
    <w:rsid w:val="006B7B2B"/>
    <w:rsid w:val="006B7DBA"/>
    <w:rsid w:val="006C07D0"/>
    <w:rsid w:val="006C0891"/>
    <w:rsid w:val="006C090B"/>
    <w:rsid w:val="006C095B"/>
    <w:rsid w:val="006C0AC0"/>
    <w:rsid w:val="006C0ADA"/>
    <w:rsid w:val="006C12D1"/>
    <w:rsid w:val="006C1755"/>
    <w:rsid w:val="006C17A1"/>
    <w:rsid w:val="006C1D56"/>
    <w:rsid w:val="006C21BE"/>
    <w:rsid w:val="006C261D"/>
    <w:rsid w:val="006C2679"/>
    <w:rsid w:val="006C273B"/>
    <w:rsid w:val="006C2A00"/>
    <w:rsid w:val="006C2A0A"/>
    <w:rsid w:val="006C2B70"/>
    <w:rsid w:val="006C2C37"/>
    <w:rsid w:val="006C2DFF"/>
    <w:rsid w:val="006C3162"/>
    <w:rsid w:val="006C3BD4"/>
    <w:rsid w:val="006C485E"/>
    <w:rsid w:val="006C4BA8"/>
    <w:rsid w:val="006C4E4E"/>
    <w:rsid w:val="006C5009"/>
    <w:rsid w:val="006C54EF"/>
    <w:rsid w:val="006C5604"/>
    <w:rsid w:val="006C56DD"/>
    <w:rsid w:val="006C5A07"/>
    <w:rsid w:val="006C5A4E"/>
    <w:rsid w:val="006C5B1B"/>
    <w:rsid w:val="006C5CE8"/>
    <w:rsid w:val="006C61FD"/>
    <w:rsid w:val="006C63F8"/>
    <w:rsid w:val="006C64A2"/>
    <w:rsid w:val="006C656B"/>
    <w:rsid w:val="006C65FD"/>
    <w:rsid w:val="006C663E"/>
    <w:rsid w:val="006C66B8"/>
    <w:rsid w:val="006C6998"/>
    <w:rsid w:val="006C69A8"/>
    <w:rsid w:val="006C7D2C"/>
    <w:rsid w:val="006D0172"/>
    <w:rsid w:val="006D01F3"/>
    <w:rsid w:val="006D04E9"/>
    <w:rsid w:val="006D08BA"/>
    <w:rsid w:val="006D0CA4"/>
    <w:rsid w:val="006D0CC3"/>
    <w:rsid w:val="006D0D26"/>
    <w:rsid w:val="006D0E50"/>
    <w:rsid w:val="006D0F78"/>
    <w:rsid w:val="006D1154"/>
    <w:rsid w:val="006D115A"/>
    <w:rsid w:val="006D11E6"/>
    <w:rsid w:val="006D11E9"/>
    <w:rsid w:val="006D1225"/>
    <w:rsid w:val="006D1662"/>
    <w:rsid w:val="006D16AF"/>
    <w:rsid w:val="006D173A"/>
    <w:rsid w:val="006D1DF3"/>
    <w:rsid w:val="006D20A3"/>
    <w:rsid w:val="006D2956"/>
    <w:rsid w:val="006D298F"/>
    <w:rsid w:val="006D2AEA"/>
    <w:rsid w:val="006D2B41"/>
    <w:rsid w:val="006D2FCE"/>
    <w:rsid w:val="006D3218"/>
    <w:rsid w:val="006D3220"/>
    <w:rsid w:val="006D3276"/>
    <w:rsid w:val="006D3534"/>
    <w:rsid w:val="006D36C3"/>
    <w:rsid w:val="006D3906"/>
    <w:rsid w:val="006D3B08"/>
    <w:rsid w:val="006D3FE2"/>
    <w:rsid w:val="006D4021"/>
    <w:rsid w:val="006D4239"/>
    <w:rsid w:val="006D449B"/>
    <w:rsid w:val="006D4595"/>
    <w:rsid w:val="006D4615"/>
    <w:rsid w:val="006D4807"/>
    <w:rsid w:val="006D52C6"/>
    <w:rsid w:val="006D537F"/>
    <w:rsid w:val="006D56B6"/>
    <w:rsid w:val="006D57D8"/>
    <w:rsid w:val="006D5B9F"/>
    <w:rsid w:val="006D5CF0"/>
    <w:rsid w:val="006D6293"/>
    <w:rsid w:val="006D6450"/>
    <w:rsid w:val="006D65E8"/>
    <w:rsid w:val="006D6C04"/>
    <w:rsid w:val="006D711B"/>
    <w:rsid w:val="006D7188"/>
    <w:rsid w:val="006D741B"/>
    <w:rsid w:val="006D757D"/>
    <w:rsid w:val="006D75FD"/>
    <w:rsid w:val="006D7B63"/>
    <w:rsid w:val="006D7E9A"/>
    <w:rsid w:val="006E038B"/>
    <w:rsid w:val="006E046A"/>
    <w:rsid w:val="006E09C2"/>
    <w:rsid w:val="006E0FA7"/>
    <w:rsid w:val="006E158B"/>
    <w:rsid w:val="006E1D55"/>
    <w:rsid w:val="006E2139"/>
    <w:rsid w:val="006E21BB"/>
    <w:rsid w:val="006E25FB"/>
    <w:rsid w:val="006E275B"/>
    <w:rsid w:val="006E2C15"/>
    <w:rsid w:val="006E2D1A"/>
    <w:rsid w:val="006E2F5E"/>
    <w:rsid w:val="006E2FB6"/>
    <w:rsid w:val="006E3291"/>
    <w:rsid w:val="006E3298"/>
    <w:rsid w:val="006E33A7"/>
    <w:rsid w:val="006E363C"/>
    <w:rsid w:val="006E3A5E"/>
    <w:rsid w:val="006E3BC9"/>
    <w:rsid w:val="006E3C4D"/>
    <w:rsid w:val="006E3DBA"/>
    <w:rsid w:val="006E3ED0"/>
    <w:rsid w:val="006E412B"/>
    <w:rsid w:val="006E46B8"/>
    <w:rsid w:val="006E4B24"/>
    <w:rsid w:val="006E4CB0"/>
    <w:rsid w:val="006E4D74"/>
    <w:rsid w:val="006E4E57"/>
    <w:rsid w:val="006E539C"/>
    <w:rsid w:val="006E53F8"/>
    <w:rsid w:val="006E5435"/>
    <w:rsid w:val="006E55CD"/>
    <w:rsid w:val="006E570C"/>
    <w:rsid w:val="006E5AD5"/>
    <w:rsid w:val="006E5E1E"/>
    <w:rsid w:val="006E62FD"/>
    <w:rsid w:val="006E637A"/>
    <w:rsid w:val="006E666E"/>
    <w:rsid w:val="006E68C5"/>
    <w:rsid w:val="006E714E"/>
    <w:rsid w:val="006E771D"/>
    <w:rsid w:val="006EB9D6"/>
    <w:rsid w:val="006F0275"/>
    <w:rsid w:val="006F06FF"/>
    <w:rsid w:val="006F0872"/>
    <w:rsid w:val="006F0AE8"/>
    <w:rsid w:val="006F0BEE"/>
    <w:rsid w:val="006F0EF1"/>
    <w:rsid w:val="006F1196"/>
    <w:rsid w:val="006F1469"/>
    <w:rsid w:val="006F16E7"/>
    <w:rsid w:val="006F1822"/>
    <w:rsid w:val="006F1DFF"/>
    <w:rsid w:val="006F2371"/>
    <w:rsid w:val="006F2E7E"/>
    <w:rsid w:val="006F2F5D"/>
    <w:rsid w:val="006F362B"/>
    <w:rsid w:val="006F365F"/>
    <w:rsid w:val="006F3958"/>
    <w:rsid w:val="006F3997"/>
    <w:rsid w:val="006F3B5C"/>
    <w:rsid w:val="006F4303"/>
    <w:rsid w:val="006F4816"/>
    <w:rsid w:val="006F4B66"/>
    <w:rsid w:val="006F5070"/>
    <w:rsid w:val="006F536D"/>
    <w:rsid w:val="006F538F"/>
    <w:rsid w:val="006F5422"/>
    <w:rsid w:val="006F5541"/>
    <w:rsid w:val="006F5A6E"/>
    <w:rsid w:val="006F5BE3"/>
    <w:rsid w:val="006F5EE7"/>
    <w:rsid w:val="006F5F32"/>
    <w:rsid w:val="006F5F3E"/>
    <w:rsid w:val="006F6454"/>
    <w:rsid w:val="006F6561"/>
    <w:rsid w:val="006F684C"/>
    <w:rsid w:val="006F684D"/>
    <w:rsid w:val="006F685D"/>
    <w:rsid w:val="006F69A5"/>
    <w:rsid w:val="006F6AE9"/>
    <w:rsid w:val="006F6C4A"/>
    <w:rsid w:val="006F6C8D"/>
    <w:rsid w:val="006F71B8"/>
    <w:rsid w:val="006F71B9"/>
    <w:rsid w:val="006F7571"/>
    <w:rsid w:val="006F75D6"/>
    <w:rsid w:val="006F7A0F"/>
    <w:rsid w:val="006F7CA1"/>
    <w:rsid w:val="006F7E73"/>
    <w:rsid w:val="006F8577"/>
    <w:rsid w:val="00700024"/>
    <w:rsid w:val="0070037B"/>
    <w:rsid w:val="007009BC"/>
    <w:rsid w:val="00700F71"/>
    <w:rsid w:val="0070108F"/>
    <w:rsid w:val="007010E8"/>
    <w:rsid w:val="0070125B"/>
    <w:rsid w:val="007012FB"/>
    <w:rsid w:val="00701491"/>
    <w:rsid w:val="0070158A"/>
    <w:rsid w:val="007015A9"/>
    <w:rsid w:val="00701779"/>
    <w:rsid w:val="00701E63"/>
    <w:rsid w:val="00701E97"/>
    <w:rsid w:val="00701F84"/>
    <w:rsid w:val="007020DD"/>
    <w:rsid w:val="0070244B"/>
    <w:rsid w:val="00702527"/>
    <w:rsid w:val="007027D7"/>
    <w:rsid w:val="007027E4"/>
    <w:rsid w:val="0070283B"/>
    <w:rsid w:val="00702902"/>
    <w:rsid w:val="00702931"/>
    <w:rsid w:val="00703074"/>
    <w:rsid w:val="00703618"/>
    <w:rsid w:val="007036D3"/>
    <w:rsid w:val="00703A21"/>
    <w:rsid w:val="00703F83"/>
    <w:rsid w:val="00703FF5"/>
    <w:rsid w:val="0070415A"/>
    <w:rsid w:val="0070454C"/>
    <w:rsid w:val="00704645"/>
    <w:rsid w:val="0070487D"/>
    <w:rsid w:val="00704E62"/>
    <w:rsid w:val="0070508F"/>
    <w:rsid w:val="00705303"/>
    <w:rsid w:val="00705353"/>
    <w:rsid w:val="00705916"/>
    <w:rsid w:val="0070608B"/>
    <w:rsid w:val="0070659D"/>
    <w:rsid w:val="00706876"/>
    <w:rsid w:val="00706A79"/>
    <w:rsid w:val="00706B64"/>
    <w:rsid w:val="00706CFA"/>
    <w:rsid w:val="00706F4A"/>
    <w:rsid w:val="0070702F"/>
    <w:rsid w:val="007071DF"/>
    <w:rsid w:val="00707286"/>
    <w:rsid w:val="007073FC"/>
    <w:rsid w:val="007074F9"/>
    <w:rsid w:val="007077E4"/>
    <w:rsid w:val="007100E1"/>
    <w:rsid w:val="007100E8"/>
    <w:rsid w:val="00710430"/>
    <w:rsid w:val="007106A5"/>
    <w:rsid w:val="007109B2"/>
    <w:rsid w:val="00710C2E"/>
    <w:rsid w:val="007112BD"/>
    <w:rsid w:val="007113C3"/>
    <w:rsid w:val="00711564"/>
    <w:rsid w:val="00711962"/>
    <w:rsid w:val="00711E09"/>
    <w:rsid w:val="00711E8B"/>
    <w:rsid w:val="00712014"/>
    <w:rsid w:val="00712024"/>
    <w:rsid w:val="007120DE"/>
    <w:rsid w:val="007123D6"/>
    <w:rsid w:val="007124D4"/>
    <w:rsid w:val="007129D5"/>
    <w:rsid w:val="00712E74"/>
    <w:rsid w:val="00712EBD"/>
    <w:rsid w:val="0071313B"/>
    <w:rsid w:val="00713492"/>
    <w:rsid w:val="0071362F"/>
    <w:rsid w:val="007139B9"/>
    <w:rsid w:val="00714C12"/>
    <w:rsid w:val="007155C0"/>
    <w:rsid w:val="00715B80"/>
    <w:rsid w:val="00716343"/>
    <w:rsid w:val="00716D0C"/>
    <w:rsid w:val="00717443"/>
    <w:rsid w:val="007177D6"/>
    <w:rsid w:val="00717996"/>
    <w:rsid w:val="00717BE2"/>
    <w:rsid w:val="00720477"/>
    <w:rsid w:val="0072050D"/>
    <w:rsid w:val="00720615"/>
    <w:rsid w:val="0072086C"/>
    <w:rsid w:val="00720C6E"/>
    <w:rsid w:val="00720D7D"/>
    <w:rsid w:val="0072108B"/>
    <w:rsid w:val="007211E8"/>
    <w:rsid w:val="00721A15"/>
    <w:rsid w:val="00721CCE"/>
    <w:rsid w:val="00721CFC"/>
    <w:rsid w:val="00721F1E"/>
    <w:rsid w:val="0072226B"/>
    <w:rsid w:val="0072240E"/>
    <w:rsid w:val="007225DE"/>
    <w:rsid w:val="00722616"/>
    <w:rsid w:val="0072274D"/>
    <w:rsid w:val="00722904"/>
    <w:rsid w:val="00722CC8"/>
    <w:rsid w:val="00722D2E"/>
    <w:rsid w:val="00723054"/>
    <w:rsid w:val="00723085"/>
    <w:rsid w:val="00723091"/>
    <w:rsid w:val="00723530"/>
    <w:rsid w:val="00723B15"/>
    <w:rsid w:val="007241F7"/>
    <w:rsid w:val="0072462B"/>
    <w:rsid w:val="0072470E"/>
    <w:rsid w:val="007247DE"/>
    <w:rsid w:val="00725176"/>
    <w:rsid w:val="0072541B"/>
    <w:rsid w:val="007257CE"/>
    <w:rsid w:val="00725C2D"/>
    <w:rsid w:val="007260A2"/>
    <w:rsid w:val="00726AF7"/>
    <w:rsid w:val="00726B9A"/>
    <w:rsid w:val="00726D85"/>
    <w:rsid w:val="00726E7A"/>
    <w:rsid w:val="007273E2"/>
    <w:rsid w:val="007279A7"/>
    <w:rsid w:val="00727C93"/>
    <w:rsid w:val="00727CDF"/>
    <w:rsid w:val="00727CF1"/>
    <w:rsid w:val="00727E8A"/>
    <w:rsid w:val="00728074"/>
    <w:rsid w:val="007304B3"/>
    <w:rsid w:val="0073085C"/>
    <w:rsid w:val="00731213"/>
    <w:rsid w:val="00731719"/>
    <w:rsid w:val="00731746"/>
    <w:rsid w:val="0073175C"/>
    <w:rsid w:val="00731922"/>
    <w:rsid w:val="00731ECC"/>
    <w:rsid w:val="00731F5B"/>
    <w:rsid w:val="00732336"/>
    <w:rsid w:val="00732830"/>
    <w:rsid w:val="00732F96"/>
    <w:rsid w:val="00732FE2"/>
    <w:rsid w:val="00733052"/>
    <w:rsid w:val="007331FF"/>
    <w:rsid w:val="00733348"/>
    <w:rsid w:val="00733652"/>
    <w:rsid w:val="0073367B"/>
    <w:rsid w:val="0073478B"/>
    <w:rsid w:val="00734A8D"/>
    <w:rsid w:val="00734FF8"/>
    <w:rsid w:val="007350F2"/>
    <w:rsid w:val="00735F71"/>
    <w:rsid w:val="00735FBB"/>
    <w:rsid w:val="007362C7"/>
    <w:rsid w:val="00736494"/>
    <w:rsid w:val="007366CA"/>
    <w:rsid w:val="00736A7C"/>
    <w:rsid w:val="00736D2C"/>
    <w:rsid w:val="00736E7B"/>
    <w:rsid w:val="00737529"/>
    <w:rsid w:val="00737889"/>
    <w:rsid w:val="00740031"/>
    <w:rsid w:val="00740089"/>
    <w:rsid w:val="00740269"/>
    <w:rsid w:val="007402B4"/>
    <w:rsid w:val="00740487"/>
    <w:rsid w:val="00740513"/>
    <w:rsid w:val="00740B86"/>
    <w:rsid w:val="00740ECB"/>
    <w:rsid w:val="007416A5"/>
    <w:rsid w:val="007417CB"/>
    <w:rsid w:val="00741999"/>
    <w:rsid w:val="00741AEA"/>
    <w:rsid w:val="00742039"/>
    <w:rsid w:val="007420E9"/>
    <w:rsid w:val="00742177"/>
    <w:rsid w:val="00742599"/>
    <w:rsid w:val="0074270E"/>
    <w:rsid w:val="0074281A"/>
    <w:rsid w:val="00742B6E"/>
    <w:rsid w:val="00742B8C"/>
    <w:rsid w:val="00742C02"/>
    <w:rsid w:val="007430A5"/>
    <w:rsid w:val="00743190"/>
    <w:rsid w:val="00743220"/>
    <w:rsid w:val="007432C7"/>
    <w:rsid w:val="007434DC"/>
    <w:rsid w:val="007434FD"/>
    <w:rsid w:val="00743559"/>
    <w:rsid w:val="00743949"/>
    <w:rsid w:val="00743A22"/>
    <w:rsid w:val="00743D26"/>
    <w:rsid w:val="007440B6"/>
    <w:rsid w:val="00744416"/>
    <w:rsid w:val="00744C84"/>
    <w:rsid w:val="00745790"/>
    <w:rsid w:val="00745A89"/>
    <w:rsid w:val="00745AB5"/>
    <w:rsid w:val="00745D53"/>
    <w:rsid w:val="00745F9E"/>
    <w:rsid w:val="007464EB"/>
    <w:rsid w:val="007465FD"/>
    <w:rsid w:val="007469CA"/>
    <w:rsid w:val="007478B1"/>
    <w:rsid w:val="007503A8"/>
    <w:rsid w:val="00750672"/>
    <w:rsid w:val="007508D5"/>
    <w:rsid w:val="00750AD7"/>
    <w:rsid w:val="00750C37"/>
    <w:rsid w:val="00750F50"/>
    <w:rsid w:val="007512ED"/>
    <w:rsid w:val="007519B6"/>
    <w:rsid w:val="00751A03"/>
    <w:rsid w:val="00751AB1"/>
    <w:rsid w:val="00751B53"/>
    <w:rsid w:val="00752296"/>
    <w:rsid w:val="00752794"/>
    <w:rsid w:val="00752B29"/>
    <w:rsid w:val="00752CF3"/>
    <w:rsid w:val="00752D32"/>
    <w:rsid w:val="00752EAB"/>
    <w:rsid w:val="00753083"/>
    <w:rsid w:val="0075309F"/>
    <w:rsid w:val="007530D8"/>
    <w:rsid w:val="0075338E"/>
    <w:rsid w:val="00753390"/>
    <w:rsid w:val="007533C7"/>
    <w:rsid w:val="007539E6"/>
    <w:rsid w:val="00753C33"/>
    <w:rsid w:val="00753FBA"/>
    <w:rsid w:val="00754068"/>
    <w:rsid w:val="00754367"/>
    <w:rsid w:val="00754570"/>
    <w:rsid w:val="007545A5"/>
    <w:rsid w:val="0075467C"/>
    <w:rsid w:val="0075474B"/>
    <w:rsid w:val="00754A88"/>
    <w:rsid w:val="00755285"/>
    <w:rsid w:val="007552F6"/>
    <w:rsid w:val="00755367"/>
    <w:rsid w:val="00755921"/>
    <w:rsid w:val="007559D5"/>
    <w:rsid w:val="00755B40"/>
    <w:rsid w:val="00755F6D"/>
    <w:rsid w:val="00756035"/>
    <w:rsid w:val="00756642"/>
    <w:rsid w:val="007568F7"/>
    <w:rsid w:val="00756DB0"/>
    <w:rsid w:val="00757003"/>
    <w:rsid w:val="007574FD"/>
    <w:rsid w:val="007575C2"/>
    <w:rsid w:val="0075780E"/>
    <w:rsid w:val="007579FD"/>
    <w:rsid w:val="00757A1B"/>
    <w:rsid w:val="00757A34"/>
    <w:rsid w:val="00757A57"/>
    <w:rsid w:val="00757BBA"/>
    <w:rsid w:val="00757E45"/>
    <w:rsid w:val="007603B6"/>
    <w:rsid w:val="007605CF"/>
    <w:rsid w:val="007606B3"/>
    <w:rsid w:val="00760E8A"/>
    <w:rsid w:val="00760FA7"/>
    <w:rsid w:val="007615A8"/>
    <w:rsid w:val="00761B32"/>
    <w:rsid w:val="00761D71"/>
    <w:rsid w:val="00761E12"/>
    <w:rsid w:val="007620BD"/>
    <w:rsid w:val="00762381"/>
    <w:rsid w:val="007625DB"/>
    <w:rsid w:val="00762964"/>
    <w:rsid w:val="007633F4"/>
    <w:rsid w:val="00763606"/>
    <w:rsid w:val="00763785"/>
    <w:rsid w:val="0076393A"/>
    <w:rsid w:val="00763A30"/>
    <w:rsid w:val="00763B3A"/>
    <w:rsid w:val="007641C0"/>
    <w:rsid w:val="007641C3"/>
    <w:rsid w:val="00764C2B"/>
    <w:rsid w:val="00764D29"/>
    <w:rsid w:val="00764DCA"/>
    <w:rsid w:val="00765240"/>
    <w:rsid w:val="007654B5"/>
    <w:rsid w:val="007654CE"/>
    <w:rsid w:val="00765643"/>
    <w:rsid w:val="007657ED"/>
    <w:rsid w:val="007657FF"/>
    <w:rsid w:val="00765C82"/>
    <w:rsid w:val="00765CC8"/>
    <w:rsid w:val="00765F54"/>
    <w:rsid w:val="00766015"/>
    <w:rsid w:val="00766165"/>
    <w:rsid w:val="0076624C"/>
    <w:rsid w:val="007663D3"/>
    <w:rsid w:val="007664E6"/>
    <w:rsid w:val="00766655"/>
    <w:rsid w:val="00766966"/>
    <w:rsid w:val="00766E00"/>
    <w:rsid w:val="0076711E"/>
    <w:rsid w:val="007672F8"/>
    <w:rsid w:val="007673E0"/>
    <w:rsid w:val="00767412"/>
    <w:rsid w:val="0076743F"/>
    <w:rsid w:val="0076786E"/>
    <w:rsid w:val="00767AEE"/>
    <w:rsid w:val="00767B02"/>
    <w:rsid w:val="00767E22"/>
    <w:rsid w:val="00767F1A"/>
    <w:rsid w:val="00770019"/>
    <w:rsid w:val="0077001E"/>
    <w:rsid w:val="00770028"/>
    <w:rsid w:val="00770052"/>
    <w:rsid w:val="007703C4"/>
    <w:rsid w:val="00770573"/>
    <w:rsid w:val="007706C7"/>
    <w:rsid w:val="00770904"/>
    <w:rsid w:val="00770A5A"/>
    <w:rsid w:val="00770BC4"/>
    <w:rsid w:val="0077118E"/>
    <w:rsid w:val="0077122B"/>
    <w:rsid w:val="0077124F"/>
    <w:rsid w:val="007712C4"/>
    <w:rsid w:val="0077172F"/>
    <w:rsid w:val="007718F4"/>
    <w:rsid w:val="00771EDC"/>
    <w:rsid w:val="00772102"/>
    <w:rsid w:val="00772784"/>
    <w:rsid w:val="00772973"/>
    <w:rsid w:val="00772E10"/>
    <w:rsid w:val="00772FA0"/>
    <w:rsid w:val="007730C4"/>
    <w:rsid w:val="007733B5"/>
    <w:rsid w:val="00773513"/>
    <w:rsid w:val="007735EF"/>
    <w:rsid w:val="0077361D"/>
    <w:rsid w:val="00773E8A"/>
    <w:rsid w:val="0077419A"/>
    <w:rsid w:val="0077431A"/>
    <w:rsid w:val="00774570"/>
    <w:rsid w:val="00774C43"/>
    <w:rsid w:val="00775036"/>
    <w:rsid w:val="0077517A"/>
    <w:rsid w:val="00775181"/>
    <w:rsid w:val="00775573"/>
    <w:rsid w:val="00775766"/>
    <w:rsid w:val="00775915"/>
    <w:rsid w:val="00775BAA"/>
    <w:rsid w:val="007760FA"/>
    <w:rsid w:val="0077616C"/>
    <w:rsid w:val="007762ED"/>
    <w:rsid w:val="00776455"/>
    <w:rsid w:val="007769D4"/>
    <w:rsid w:val="00776C82"/>
    <w:rsid w:val="00776DE8"/>
    <w:rsid w:val="00776F37"/>
    <w:rsid w:val="00776F57"/>
    <w:rsid w:val="00777951"/>
    <w:rsid w:val="00777AF8"/>
    <w:rsid w:val="00777B9C"/>
    <w:rsid w:val="00777DB1"/>
    <w:rsid w:val="00777F4A"/>
    <w:rsid w:val="007780C7"/>
    <w:rsid w:val="0077C1A9"/>
    <w:rsid w:val="0077EF3A"/>
    <w:rsid w:val="00780044"/>
    <w:rsid w:val="0078006C"/>
    <w:rsid w:val="00780095"/>
    <w:rsid w:val="0078029A"/>
    <w:rsid w:val="007806CC"/>
    <w:rsid w:val="00780B6B"/>
    <w:rsid w:val="00780E76"/>
    <w:rsid w:val="00780E7A"/>
    <w:rsid w:val="00780EF1"/>
    <w:rsid w:val="00781110"/>
    <w:rsid w:val="007811FF"/>
    <w:rsid w:val="007812AA"/>
    <w:rsid w:val="00781305"/>
    <w:rsid w:val="00781641"/>
    <w:rsid w:val="0078190B"/>
    <w:rsid w:val="00781997"/>
    <w:rsid w:val="00781E56"/>
    <w:rsid w:val="00781E5C"/>
    <w:rsid w:val="00782044"/>
    <w:rsid w:val="00782199"/>
    <w:rsid w:val="0078229A"/>
    <w:rsid w:val="00782BFA"/>
    <w:rsid w:val="00783150"/>
    <w:rsid w:val="00783497"/>
    <w:rsid w:val="007834E8"/>
    <w:rsid w:val="0078356C"/>
    <w:rsid w:val="0078370B"/>
    <w:rsid w:val="0078380B"/>
    <w:rsid w:val="007840A3"/>
    <w:rsid w:val="0078416A"/>
    <w:rsid w:val="007841B6"/>
    <w:rsid w:val="007841BF"/>
    <w:rsid w:val="00784475"/>
    <w:rsid w:val="00784B40"/>
    <w:rsid w:val="00784F77"/>
    <w:rsid w:val="007853BB"/>
    <w:rsid w:val="00785666"/>
    <w:rsid w:val="00785749"/>
    <w:rsid w:val="007857C5"/>
    <w:rsid w:val="00785D7E"/>
    <w:rsid w:val="00786217"/>
    <w:rsid w:val="0078625B"/>
    <w:rsid w:val="007863E9"/>
    <w:rsid w:val="00786A40"/>
    <w:rsid w:val="00786A96"/>
    <w:rsid w:val="00786D2A"/>
    <w:rsid w:val="00786DD2"/>
    <w:rsid w:val="00787059"/>
    <w:rsid w:val="00787695"/>
    <w:rsid w:val="0078784A"/>
    <w:rsid w:val="007878BC"/>
    <w:rsid w:val="00787A6C"/>
    <w:rsid w:val="00787CF7"/>
    <w:rsid w:val="00787DA0"/>
    <w:rsid w:val="00790192"/>
    <w:rsid w:val="007901A1"/>
    <w:rsid w:val="007904FA"/>
    <w:rsid w:val="00790929"/>
    <w:rsid w:val="007909E5"/>
    <w:rsid w:val="00790EAB"/>
    <w:rsid w:val="007913AD"/>
    <w:rsid w:val="00791BA1"/>
    <w:rsid w:val="00791BC6"/>
    <w:rsid w:val="00791C16"/>
    <w:rsid w:val="00791CEA"/>
    <w:rsid w:val="007926FA"/>
    <w:rsid w:val="00792813"/>
    <w:rsid w:val="00792A00"/>
    <w:rsid w:val="007930A2"/>
    <w:rsid w:val="00793636"/>
    <w:rsid w:val="00793AB8"/>
    <w:rsid w:val="00793D04"/>
    <w:rsid w:val="00794428"/>
    <w:rsid w:val="00794835"/>
    <w:rsid w:val="00794C90"/>
    <w:rsid w:val="00795433"/>
    <w:rsid w:val="00795AF1"/>
    <w:rsid w:val="00795F97"/>
    <w:rsid w:val="007962E6"/>
    <w:rsid w:val="0079653B"/>
    <w:rsid w:val="007968F7"/>
    <w:rsid w:val="007969F2"/>
    <w:rsid w:val="0079746D"/>
    <w:rsid w:val="007975E6"/>
    <w:rsid w:val="0079769A"/>
    <w:rsid w:val="007977EF"/>
    <w:rsid w:val="00797FB6"/>
    <w:rsid w:val="007A010E"/>
    <w:rsid w:val="007A01C1"/>
    <w:rsid w:val="007A0480"/>
    <w:rsid w:val="007A04B4"/>
    <w:rsid w:val="007A0773"/>
    <w:rsid w:val="007A099B"/>
    <w:rsid w:val="007A0B59"/>
    <w:rsid w:val="007A0C37"/>
    <w:rsid w:val="007A0C8C"/>
    <w:rsid w:val="007A194A"/>
    <w:rsid w:val="007A1C19"/>
    <w:rsid w:val="007A2044"/>
    <w:rsid w:val="007A20F3"/>
    <w:rsid w:val="007A22C6"/>
    <w:rsid w:val="007A237F"/>
    <w:rsid w:val="007A2D66"/>
    <w:rsid w:val="007A2D93"/>
    <w:rsid w:val="007A36CE"/>
    <w:rsid w:val="007A372D"/>
    <w:rsid w:val="007A3B65"/>
    <w:rsid w:val="007A3BC5"/>
    <w:rsid w:val="007A43EC"/>
    <w:rsid w:val="007A48E1"/>
    <w:rsid w:val="007A4943"/>
    <w:rsid w:val="007A4AE5"/>
    <w:rsid w:val="007A4C77"/>
    <w:rsid w:val="007A4E32"/>
    <w:rsid w:val="007A5105"/>
    <w:rsid w:val="007A5168"/>
    <w:rsid w:val="007A52F8"/>
    <w:rsid w:val="007A54E8"/>
    <w:rsid w:val="007A57AE"/>
    <w:rsid w:val="007A586D"/>
    <w:rsid w:val="007A58B0"/>
    <w:rsid w:val="007A5AB7"/>
    <w:rsid w:val="007A5DD4"/>
    <w:rsid w:val="007A6244"/>
    <w:rsid w:val="007A6269"/>
    <w:rsid w:val="007A639C"/>
    <w:rsid w:val="007A662B"/>
    <w:rsid w:val="007A6917"/>
    <w:rsid w:val="007A6A18"/>
    <w:rsid w:val="007A6A4F"/>
    <w:rsid w:val="007A6EC4"/>
    <w:rsid w:val="007A6F1E"/>
    <w:rsid w:val="007A6FCE"/>
    <w:rsid w:val="007A712F"/>
    <w:rsid w:val="007A7155"/>
    <w:rsid w:val="007A7582"/>
    <w:rsid w:val="007A77A0"/>
    <w:rsid w:val="007A7AD6"/>
    <w:rsid w:val="007A7DD7"/>
    <w:rsid w:val="007B03E9"/>
    <w:rsid w:val="007B0AB7"/>
    <w:rsid w:val="007B0B96"/>
    <w:rsid w:val="007B0CA8"/>
    <w:rsid w:val="007B1F37"/>
    <w:rsid w:val="007B1F58"/>
    <w:rsid w:val="007B221E"/>
    <w:rsid w:val="007B2328"/>
    <w:rsid w:val="007B25EC"/>
    <w:rsid w:val="007B2BA0"/>
    <w:rsid w:val="007B2C3D"/>
    <w:rsid w:val="007B2DF8"/>
    <w:rsid w:val="007B31EE"/>
    <w:rsid w:val="007B3272"/>
    <w:rsid w:val="007B3292"/>
    <w:rsid w:val="007B3DB8"/>
    <w:rsid w:val="007B420B"/>
    <w:rsid w:val="007B493C"/>
    <w:rsid w:val="007B4BEB"/>
    <w:rsid w:val="007B4D42"/>
    <w:rsid w:val="007B4E9D"/>
    <w:rsid w:val="007B4F4A"/>
    <w:rsid w:val="007B4FD8"/>
    <w:rsid w:val="007B51B4"/>
    <w:rsid w:val="007B535A"/>
    <w:rsid w:val="007B538D"/>
    <w:rsid w:val="007B53DF"/>
    <w:rsid w:val="007B5C15"/>
    <w:rsid w:val="007B5E8E"/>
    <w:rsid w:val="007B5FBE"/>
    <w:rsid w:val="007B6030"/>
    <w:rsid w:val="007B6519"/>
    <w:rsid w:val="007B67AE"/>
    <w:rsid w:val="007B67B9"/>
    <w:rsid w:val="007B687D"/>
    <w:rsid w:val="007B68D7"/>
    <w:rsid w:val="007B6AC4"/>
    <w:rsid w:val="007B6BD2"/>
    <w:rsid w:val="007B6C54"/>
    <w:rsid w:val="007B6D02"/>
    <w:rsid w:val="007B6EA2"/>
    <w:rsid w:val="007B6EC5"/>
    <w:rsid w:val="007B70D5"/>
    <w:rsid w:val="007B7311"/>
    <w:rsid w:val="007B7645"/>
    <w:rsid w:val="007B7781"/>
    <w:rsid w:val="007B7916"/>
    <w:rsid w:val="007B79BE"/>
    <w:rsid w:val="007C0120"/>
    <w:rsid w:val="007C085E"/>
    <w:rsid w:val="007C0998"/>
    <w:rsid w:val="007C0B57"/>
    <w:rsid w:val="007C10B2"/>
    <w:rsid w:val="007C1256"/>
    <w:rsid w:val="007C14E7"/>
    <w:rsid w:val="007C15DF"/>
    <w:rsid w:val="007C1ACD"/>
    <w:rsid w:val="007C20E9"/>
    <w:rsid w:val="007C212C"/>
    <w:rsid w:val="007C22CD"/>
    <w:rsid w:val="007C22CF"/>
    <w:rsid w:val="007C2D3E"/>
    <w:rsid w:val="007C2FEF"/>
    <w:rsid w:val="007C30B9"/>
    <w:rsid w:val="007C30FD"/>
    <w:rsid w:val="007C31C5"/>
    <w:rsid w:val="007C320E"/>
    <w:rsid w:val="007C32FF"/>
    <w:rsid w:val="007C3691"/>
    <w:rsid w:val="007C387C"/>
    <w:rsid w:val="007C3A56"/>
    <w:rsid w:val="007C3BDB"/>
    <w:rsid w:val="007C3EAD"/>
    <w:rsid w:val="007C3FBB"/>
    <w:rsid w:val="007C488E"/>
    <w:rsid w:val="007C48DE"/>
    <w:rsid w:val="007C49F2"/>
    <w:rsid w:val="007C4CF1"/>
    <w:rsid w:val="007C4FF6"/>
    <w:rsid w:val="007C5337"/>
    <w:rsid w:val="007C53C1"/>
    <w:rsid w:val="007C59DB"/>
    <w:rsid w:val="007C59FC"/>
    <w:rsid w:val="007C60CF"/>
    <w:rsid w:val="007C65CF"/>
    <w:rsid w:val="007C68AB"/>
    <w:rsid w:val="007C68B9"/>
    <w:rsid w:val="007C6A01"/>
    <w:rsid w:val="007C72EE"/>
    <w:rsid w:val="007C7A11"/>
    <w:rsid w:val="007C7AAD"/>
    <w:rsid w:val="007C7D15"/>
    <w:rsid w:val="007C7E41"/>
    <w:rsid w:val="007D011E"/>
    <w:rsid w:val="007D0203"/>
    <w:rsid w:val="007D0453"/>
    <w:rsid w:val="007D0C69"/>
    <w:rsid w:val="007D0E96"/>
    <w:rsid w:val="007D0F5C"/>
    <w:rsid w:val="007D1671"/>
    <w:rsid w:val="007D16EE"/>
    <w:rsid w:val="007D1F67"/>
    <w:rsid w:val="007D2255"/>
    <w:rsid w:val="007D226D"/>
    <w:rsid w:val="007D258A"/>
    <w:rsid w:val="007D2605"/>
    <w:rsid w:val="007D2B47"/>
    <w:rsid w:val="007D2B67"/>
    <w:rsid w:val="007D2B82"/>
    <w:rsid w:val="007D3389"/>
    <w:rsid w:val="007D34D5"/>
    <w:rsid w:val="007D3650"/>
    <w:rsid w:val="007D366B"/>
    <w:rsid w:val="007D3733"/>
    <w:rsid w:val="007D399A"/>
    <w:rsid w:val="007D3B1E"/>
    <w:rsid w:val="007D3BF9"/>
    <w:rsid w:val="007D3FBC"/>
    <w:rsid w:val="007D407F"/>
    <w:rsid w:val="007D40DD"/>
    <w:rsid w:val="007D410A"/>
    <w:rsid w:val="007D47CF"/>
    <w:rsid w:val="007D4F3B"/>
    <w:rsid w:val="007D5099"/>
    <w:rsid w:val="007D525D"/>
    <w:rsid w:val="007D5405"/>
    <w:rsid w:val="007D5579"/>
    <w:rsid w:val="007D569F"/>
    <w:rsid w:val="007D5C57"/>
    <w:rsid w:val="007D66F7"/>
    <w:rsid w:val="007D6A3C"/>
    <w:rsid w:val="007D6B2F"/>
    <w:rsid w:val="007D6B55"/>
    <w:rsid w:val="007D6BA9"/>
    <w:rsid w:val="007D6CFA"/>
    <w:rsid w:val="007D6E90"/>
    <w:rsid w:val="007D6FF9"/>
    <w:rsid w:val="007D716C"/>
    <w:rsid w:val="007D7D19"/>
    <w:rsid w:val="007D7D93"/>
    <w:rsid w:val="007D7E90"/>
    <w:rsid w:val="007DE293"/>
    <w:rsid w:val="007E0118"/>
    <w:rsid w:val="007E023D"/>
    <w:rsid w:val="007E03DB"/>
    <w:rsid w:val="007E0535"/>
    <w:rsid w:val="007E0A50"/>
    <w:rsid w:val="007E0A76"/>
    <w:rsid w:val="007E0C93"/>
    <w:rsid w:val="007E0FD2"/>
    <w:rsid w:val="007E127A"/>
    <w:rsid w:val="007E1979"/>
    <w:rsid w:val="007E19DB"/>
    <w:rsid w:val="007E1AF1"/>
    <w:rsid w:val="007E1F01"/>
    <w:rsid w:val="007E1F8A"/>
    <w:rsid w:val="007E1F8D"/>
    <w:rsid w:val="007E21D9"/>
    <w:rsid w:val="007E22CB"/>
    <w:rsid w:val="007E26D2"/>
    <w:rsid w:val="007E2779"/>
    <w:rsid w:val="007E2C6D"/>
    <w:rsid w:val="007E2F66"/>
    <w:rsid w:val="007E3173"/>
    <w:rsid w:val="007E3194"/>
    <w:rsid w:val="007E31AB"/>
    <w:rsid w:val="007E38D9"/>
    <w:rsid w:val="007E3987"/>
    <w:rsid w:val="007E3AB9"/>
    <w:rsid w:val="007E3AFF"/>
    <w:rsid w:val="007E3CC0"/>
    <w:rsid w:val="007E3FFE"/>
    <w:rsid w:val="007E4238"/>
    <w:rsid w:val="007E4789"/>
    <w:rsid w:val="007E4851"/>
    <w:rsid w:val="007E4AAB"/>
    <w:rsid w:val="007E4C5C"/>
    <w:rsid w:val="007E5037"/>
    <w:rsid w:val="007E51A9"/>
    <w:rsid w:val="007E555D"/>
    <w:rsid w:val="007E56BD"/>
    <w:rsid w:val="007E5A42"/>
    <w:rsid w:val="007E5B4B"/>
    <w:rsid w:val="007E5BA1"/>
    <w:rsid w:val="007E5F97"/>
    <w:rsid w:val="007E60A5"/>
    <w:rsid w:val="007E629B"/>
    <w:rsid w:val="007E64B7"/>
    <w:rsid w:val="007E6562"/>
    <w:rsid w:val="007E65F4"/>
    <w:rsid w:val="007E684B"/>
    <w:rsid w:val="007E6DDA"/>
    <w:rsid w:val="007E7448"/>
    <w:rsid w:val="007E76C9"/>
    <w:rsid w:val="007E78AD"/>
    <w:rsid w:val="007E7976"/>
    <w:rsid w:val="007E79C3"/>
    <w:rsid w:val="007E7CB2"/>
    <w:rsid w:val="007F0030"/>
    <w:rsid w:val="007F01C7"/>
    <w:rsid w:val="007F08F7"/>
    <w:rsid w:val="007F0ADB"/>
    <w:rsid w:val="007F133A"/>
    <w:rsid w:val="007F1D7D"/>
    <w:rsid w:val="007F1EE8"/>
    <w:rsid w:val="007F2D7F"/>
    <w:rsid w:val="007F3152"/>
    <w:rsid w:val="007F337E"/>
    <w:rsid w:val="007F33D3"/>
    <w:rsid w:val="007F3537"/>
    <w:rsid w:val="007F37F6"/>
    <w:rsid w:val="007F3841"/>
    <w:rsid w:val="007F3CF0"/>
    <w:rsid w:val="007F4286"/>
    <w:rsid w:val="007F4397"/>
    <w:rsid w:val="007F447D"/>
    <w:rsid w:val="007F4793"/>
    <w:rsid w:val="007F4801"/>
    <w:rsid w:val="007F4859"/>
    <w:rsid w:val="007F4B73"/>
    <w:rsid w:val="007F4E06"/>
    <w:rsid w:val="007F52DD"/>
    <w:rsid w:val="007F55FB"/>
    <w:rsid w:val="007F5E0B"/>
    <w:rsid w:val="007F5E9D"/>
    <w:rsid w:val="007F629A"/>
    <w:rsid w:val="007F62DD"/>
    <w:rsid w:val="007F65FC"/>
    <w:rsid w:val="007F6781"/>
    <w:rsid w:val="007F67C9"/>
    <w:rsid w:val="007F68A6"/>
    <w:rsid w:val="007F6AB0"/>
    <w:rsid w:val="007F74B4"/>
    <w:rsid w:val="007F773F"/>
    <w:rsid w:val="007F780A"/>
    <w:rsid w:val="007F7B61"/>
    <w:rsid w:val="007F7C43"/>
    <w:rsid w:val="007FE49B"/>
    <w:rsid w:val="00800021"/>
    <w:rsid w:val="00800300"/>
    <w:rsid w:val="00800475"/>
    <w:rsid w:val="008004A7"/>
    <w:rsid w:val="00800549"/>
    <w:rsid w:val="0080060D"/>
    <w:rsid w:val="00800778"/>
    <w:rsid w:val="008009C6"/>
    <w:rsid w:val="00800A9B"/>
    <w:rsid w:val="00800AF0"/>
    <w:rsid w:val="00800B11"/>
    <w:rsid w:val="00800DF4"/>
    <w:rsid w:val="00800F57"/>
    <w:rsid w:val="00801444"/>
    <w:rsid w:val="00801573"/>
    <w:rsid w:val="00801666"/>
    <w:rsid w:val="008016F5"/>
    <w:rsid w:val="00801A0C"/>
    <w:rsid w:val="00801C1E"/>
    <w:rsid w:val="00801C4D"/>
    <w:rsid w:val="00801C9A"/>
    <w:rsid w:val="00801D32"/>
    <w:rsid w:val="00801FFE"/>
    <w:rsid w:val="00802338"/>
    <w:rsid w:val="00802614"/>
    <w:rsid w:val="0080283F"/>
    <w:rsid w:val="00802936"/>
    <w:rsid w:val="008033BC"/>
    <w:rsid w:val="008035AC"/>
    <w:rsid w:val="008036BA"/>
    <w:rsid w:val="008037CB"/>
    <w:rsid w:val="00803802"/>
    <w:rsid w:val="0080385E"/>
    <w:rsid w:val="00803C8D"/>
    <w:rsid w:val="00803E23"/>
    <w:rsid w:val="00803EF7"/>
    <w:rsid w:val="0080402D"/>
    <w:rsid w:val="0080411D"/>
    <w:rsid w:val="008041D6"/>
    <w:rsid w:val="00804473"/>
    <w:rsid w:val="0080460E"/>
    <w:rsid w:val="0080465F"/>
    <w:rsid w:val="008046DB"/>
    <w:rsid w:val="008047B0"/>
    <w:rsid w:val="00804AD6"/>
    <w:rsid w:val="008051DF"/>
    <w:rsid w:val="0080524B"/>
    <w:rsid w:val="0080583B"/>
    <w:rsid w:val="00805E7E"/>
    <w:rsid w:val="008063AA"/>
    <w:rsid w:val="00806683"/>
    <w:rsid w:val="00806685"/>
    <w:rsid w:val="00806FBC"/>
    <w:rsid w:val="00807028"/>
    <w:rsid w:val="008071F5"/>
    <w:rsid w:val="008073C1"/>
    <w:rsid w:val="00807C2C"/>
    <w:rsid w:val="008104E5"/>
    <w:rsid w:val="008108C7"/>
    <w:rsid w:val="00810ACA"/>
    <w:rsid w:val="00810AE8"/>
    <w:rsid w:val="00810BBB"/>
    <w:rsid w:val="00810DED"/>
    <w:rsid w:val="0081117A"/>
    <w:rsid w:val="008111DF"/>
    <w:rsid w:val="0081120E"/>
    <w:rsid w:val="008114BC"/>
    <w:rsid w:val="00811575"/>
    <w:rsid w:val="00811736"/>
    <w:rsid w:val="00811830"/>
    <w:rsid w:val="00811978"/>
    <w:rsid w:val="00811E38"/>
    <w:rsid w:val="00811E8F"/>
    <w:rsid w:val="0081205B"/>
    <w:rsid w:val="00812631"/>
    <w:rsid w:val="008128F6"/>
    <w:rsid w:val="008134B2"/>
    <w:rsid w:val="00813A7D"/>
    <w:rsid w:val="008142F7"/>
    <w:rsid w:val="008143AE"/>
    <w:rsid w:val="00814528"/>
    <w:rsid w:val="0081453A"/>
    <w:rsid w:val="008145EA"/>
    <w:rsid w:val="008147A7"/>
    <w:rsid w:val="00814883"/>
    <w:rsid w:val="008148E9"/>
    <w:rsid w:val="00814B04"/>
    <w:rsid w:val="00814DF9"/>
    <w:rsid w:val="0081511D"/>
    <w:rsid w:val="008152E2"/>
    <w:rsid w:val="0081534C"/>
    <w:rsid w:val="008153D9"/>
    <w:rsid w:val="008155E8"/>
    <w:rsid w:val="0081574A"/>
    <w:rsid w:val="00815B7A"/>
    <w:rsid w:val="00815B86"/>
    <w:rsid w:val="00815FA6"/>
    <w:rsid w:val="008160E4"/>
    <w:rsid w:val="00816139"/>
    <w:rsid w:val="00816957"/>
    <w:rsid w:val="00816A52"/>
    <w:rsid w:val="00816B07"/>
    <w:rsid w:val="00816C40"/>
    <w:rsid w:val="008170B8"/>
    <w:rsid w:val="008172E1"/>
    <w:rsid w:val="00817498"/>
    <w:rsid w:val="008176A0"/>
    <w:rsid w:val="00817A5F"/>
    <w:rsid w:val="00817AB3"/>
    <w:rsid w:val="00817C2B"/>
    <w:rsid w:val="00817CDF"/>
    <w:rsid w:val="00817D86"/>
    <w:rsid w:val="00817F1E"/>
    <w:rsid w:val="00820198"/>
    <w:rsid w:val="0082036A"/>
    <w:rsid w:val="008203E2"/>
    <w:rsid w:val="0082049A"/>
    <w:rsid w:val="008206FC"/>
    <w:rsid w:val="00820837"/>
    <w:rsid w:val="0082083C"/>
    <w:rsid w:val="00820A24"/>
    <w:rsid w:val="008211E2"/>
    <w:rsid w:val="008213B4"/>
    <w:rsid w:val="00821769"/>
    <w:rsid w:val="0082183C"/>
    <w:rsid w:val="00821A48"/>
    <w:rsid w:val="0082246A"/>
    <w:rsid w:val="00822730"/>
    <w:rsid w:val="0082283D"/>
    <w:rsid w:val="008230CA"/>
    <w:rsid w:val="00823319"/>
    <w:rsid w:val="00823392"/>
    <w:rsid w:val="0082339A"/>
    <w:rsid w:val="008236DD"/>
    <w:rsid w:val="00823892"/>
    <w:rsid w:val="00823A7A"/>
    <w:rsid w:val="00823BD4"/>
    <w:rsid w:val="00823BFA"/>
    <w:rsid w:val="0082416E"/>
    <w:rsid w:val="00824299"/>
    <w:rsid w:val="00824598"/>
    <w:rsid w:val="008245D7"/>
    <w:rsid w:val="0082460F"/>
    <w:rsid w:val="008246CC"/>
    <w:rsid w:val="00824813"/>
    <w:rsid w:val="00824917"/>
    <w:rsid w:val="00824E67"/>
    <w:rsid w:val="00825391"/>
    <w:rsid w:val="00825453"/>
    <w:rsid w:val="00825AA0"/>
    <w:rsid w:val="00825B7B"/>
    <w:rsid w:val="00825EAD"/>
    <w:rsid w:val="008263BD"/>
    <w:rsid w:val="008263E1"/>
    <w:rsid w:val="00826400"/>
    <w:rsid w:val="008264DB"/>
    <w:rsid w:val="008269AB"/>
    <w:rsid w:val="00826A67"/>
    <w:rsid w:val="00826B08"/>
    <w:rsid w:val="00826BE1"/>
    <w:rsid w:val="00826C8C"/>
    <w:rsid w:val="0082701F"/>
    <w:rsid w:val="00827035"/>
    <w:rsid w:val="0082731B"/>
    <w:rsid w:val="008277BF"/>
    <w:rsid w:val="00827E71"/>
    <w:rsid w:val="00830076"/>
    <w:rsid w:val="008301C3"/>
    <w:rsid w:val="008305CC"/>
    <w:rsid w:val="008308B9"/>
    <w:rsid w:val="008312D8"/>
    <w:rsid w:val="0083180B"/>
    <w:rsid w:val="00831A66"/>
    <w:rsid w:val="00831C14"/>
    <w:rsid w:val="00831DCE"/>
    <w:rsid w:val="00832101"/>
    <w:rsid w:val="008327F2"/>
    <w:rsid w:val="008328F8"/>
    <w:rsid w:val="00832B7A"/>
    <w:rsid w:val="00832FB5"/>
    <w:rsid w:val="00832FE9"/>
    <w:rsid w:val="00833552"/>
    <w:rsid w:val="0083391A"/>
    <w:rsid w:val="00833CF1"/>
    <w:rsid w:val="00833D97"/>
    <w:rsid w:val="00833E15"/>
    <w:rsid w:val="00833FCC"/>
    <w:rsid w:val="0083494B"/>
    <w:rsid w:val="00834C91"/>
    <w:rsid w:val="00835097"/>
    <w:rsid w:val="0083525E"/>
    <w:rsid w:val="008352A9"/>
    <w:rsid w:val="008352B4"/>
    <w:rsid w:val="0083533F"/>
    <w:rsid w:val="008353F0"/>
    <w:rsid w:val="00835DDE"/>
    <w:rsid w:val="00835F48"/>
    <w:rsid w:val="008363A0"/>
    <w:rsid w:val="00836994"/>
    <w:rsid w:val="00836DDC"/>
    <w:rsid w:val="008374B5"/>
    <w:rsid w:val="00837505"/>
    <w:rsid w:val="008375B6"/>
    <w:rsid w:val="008377E2"/>
    <w:rsid w:val="008378C8"/>
    <w:rsid w:val="00837CCF"/>
    <w:rsid w:val="00837D07"/>
    <w:rsid w:val="00837D55"/>
    <w:rsid w:val="00837DA9"/>
    <w:rsid w:val="0083F1C6"/>
    <w:rsid w:val="008401CA"/>
    <w:rsid w:val="00840283"/>
    <w:rsid w:val="008403BF"/>
    <w:rsid w:val="00840587"/>
    <w:rsid w:val="00840598"/>
    <w:rsid w:val="008405AF"/>
    <w:rsid w:val="00840738"/>
    <w:rsid w:val="00840E7A"/>
    <w:rsid w:val="008411D2"/>
    <w:rsid w:val="008412CD"/>
    <w:rsid w:val="0084164B"/>
    <w:rsid w:val="00841839"/>
    <w:rsid w:val="00841E7D"/>
    <w:rsid w:val="00841F83"/>
    <w:rsid w:val="00841FC5"/>
    <w:rsid w:val="00842093"/>
    <w:rsid w:val="00842536"/>
    <w:rsid w:val="008425F8"/>
    <w:rsid w:val="00842689"/>
    <w:rsid w:val="00842F39"/>
    <w:rsid w:val="00842F42"/>
    <w:rsid w:val="008430E0"/>
    <w:rsid w:val="00843156"/>
    <w:rsid w:val="00843646"/>
    <w:rsid w:val="0084379F"/>
    <w:rsid w:val="008441DC"/>
    <w:rsid w:val="0084462C"/>
    <w:rsid w:val="00844765"/>
    <w:rsid w:val="00844815"/>
    <w:rsid w:val="0084487E"/>
    <w:rsid w:val="00844898"/>
    <w:rsid w:val="00844984"/>
    <w:rsid w:val="00844A89"/>
    <w:rsid w:val="00844BE1"/>
    <w:rsid w:val="0084510F"/>
    <w:rsid w:val="008451A1"/>
    <w:rsid w:val="0084532C"/>
    <w:rsid w:val="0084557A"/>
    <w:rsid w:val="00845616"/>
    <w:rsid w:val="0084578C"/>
    <w:rsid w:val="008458E5"/>
    <w:rsid w:val="0084624D"/>
    <w:rsid w:val="0084682C"/>
    <w:rsid w:val="00846975"/>
    <w:rsid w:val="00846F01"/>
    <w:rsid w:val="0084792D"/>
    <w:rsid w:val="00847C79"/>
    <w:rsid w:val="00847CF0"/>
    <w:rsid w:val="00847DC5"/>
    <w:rsid w:val="00847F65"/>
    <w:rsid w:val="0084E843"/>
    <w:rsid w:val="0085006A"/>
    <w:rsid w:val="00850222"/>
    <w:rsid w:val="008503D9"/>
    <w:rsid w:val="008505FB"/>
    <w:rsid w:val="00850706"/>
    <w:rsid w:val="00850908"/>
    <w:rsid w:val="00850C31"/>
    <w:rsid w:val="008512C3"/>
    <w:rsid w:val="00851520"/>
    <w:rsid w:val="00851734"/>
    <w:rsid w:val="008517B9"/>
    <w:rsid w:val="008518C1"/>
    <w:rsid w:val="00851FB2"/>
    <w:rsid w:val="0085208D"/>
    <w:rsid w:val="00852126"/>
    <w:rsid w:val="008524B1"/>
    <w:rsid w:val="00852939"/>
    <w:rsid w:val="00852A66"/>
    <w:rsid w:val="00852AD9"/>
    <w:rsid w:val="00852D19"/>
    <w:rsid w:val="00852D8B"/>
    <w:rsid w:val="00852F7A"/>
    <w:rsid w:val="0085304E"/>
    <w:rsid w:val="0085345F"/>
    <w:rsid w:val="0085360E"/>
    <w:rsid w:val="008536C6"/>
    <w:rsid w:val="0085377A"/>
    <w:rsid w:val="00853D77"/>
    <w:rsid w:val="00853D8C"/>
    <w:rsid w:val="00853F7D"/>
    <w:rsid w:val="00854993"/>
    <w:rsid w:val="00854C2E"/>
    <w:rsid w:val="00855399"/>
    <w:rsid w:val="008553A8"/>
    <w:rsid w:val="008556D4"/>
    <w:rsid w:val="008558AA"/>
    <w:rsid w:val="00855CD1"/>
    <w:rsid w:val="008561A1"/>
    <w:rsid w:val="00856212"/>
    <w:rsid w:val="0085621A"/>
    <w:rsid w:val="008563E7"/>
    <w:rsid w:val="008564A7"/>
    <w:rsid w:val="0085663D"/>
    <w:rsid w:val="00856731"/>
    <w:rsid w:val="00856913"/>
    <w:rsid w:val="00856ABC"/>
    <w:rsid w:val="00856AC5"/>
    <w:rsid w:val="00856DB6"/>
    <w:rsid w:val="008574A3"/>
    <w:rsid w:val="0085784E"/>
    <w:rsid w:val="00857C54"/>
    <w:rsid w:val="00857C89"/>
    <w:rsid w:val="00857E1B"/>
    <w:rsid w:val="00857ECC"/>
    <w:rsid w:val="0086012B"/>
    <w:rsid w:val="00860963"/>
    <w:rsid w:val="00860CBC"/>
    <w:rsid w:val="00860F36"/>
    <w:rsid w:val="008610C5"/>
    <w:rsid w:val="00861152"/>
    <w:rsid w:val="008615E4"/>
    <w:rsid w:val="008616DB"/>
    <w:rsid w:val="008618C5"/>
    <w:rsid w:val="008619EA"/>
    <w:rsid w:val="00861A7B"/>
    <w:rsid w:val="00862048"/>
    <w:rsid w:val="008627DA"/>
    <w:rsid w:val="008628B4"/>
    <w:rsid w:val="00862B04"/>
    <w:rsid w:val="00862C09"/>
    <w:rsid w:val="00862E1D"/>
    <w:rsid w:val="00862F2D"/>
    <w:rsid w:val="0086311E"/>
    <w:rsid w:val="008633FC"/>
    <w:rsid w:val="008636FC"/>
    <w:rsid w:val="0086376A"/>
    <w:rsid w:val="00863797"/>
    <w:rsid w:val="00863847"/>
    <w:rsid w:val="008638DB"/>
    <w:rsid w:val="00863914"/>
    <w:rsid w:val="00863CBE"/>
    <w:rsid w:val="008641D4"/>
    <w:rsid w:val="008642BD"/>
    <w:rsid w:val="008645B3"/>
    <w:rsid w:val="00864790"/>
    <w:rsid w:val="00864F05"/>
    <w:rsid w:val="00865C5E"/>
    <w:rsid w:val="00865DFC"/>
    <w:rsid w:val="00866038"/>
    <w:rsid w:val="008660E6"/>
    <w:rsid w:val="008662BE"/>
    <w:rsid w:val="0086635A"/>
    <w:rsid w:val="008667C9"/>
    <w:rsid w:val="0086688D"/>
    <w:rsid w:val="00866FF6"/>
    <w:rsid w:val="00867046"/>
    <w:rsid w:val="00867074"/>
    <w:rsid w:val="00867096"/>
    <w:rsid w:val="00867115"/>
    <w:rsid w:val="008674D0"/>
    <w:rsid w:val="00867BED"/>
    <w:rsid w:val="00867C78"/>
    <w:rsid w:val="00867D92"/>
    <w:rsid w:val="00867E96"/>
    <w:rsid w:val="0087000D"/>
    <w:rsid w:val="00870021"/>
    <w:rsid w:val="0087007C"/>
    <w:rsid w:val="008700D7"/>
    <w:rsid w:val="0087010F"/>
    <w:rsid w:val="008702CC"/>
    <w:rsid w:val="0087040A"/>
    <w:rsid w:val="00870494"/>
    <w:rsid w:val="008705D2"/>
    <w:rsid w:val="00870928"/>
    <w:rsid w:val="00870ADD"/>
    <w:rsid w:val="00871080"/>
    <w:rsid w:val="00871212"/>
    <w:rsid w:val="008716C2"/>
    <w:rsid w:val="0087198A"/>
    <w:rsid w:val="00871BD3"/>
    <w:rsid w:val="00871C27"/>
    <w:rsid w:val="00871CE7"/>
    <w:rsid w:val="00871F06"/>
    <w:rsid w:val="008721A7"/>
    <w:rsid w:val="008722C1"/>
    <w:rsid w:val="00872624"/>
    <w:rsid w:val="00872711"/>
    <w:rsid w:val="00872C6F"/>
    <w:rsid w:val="00873603"/>
    <w:rsid w:val="00873611"/>
    <w:rsid w:val="008737C0"/>
    <w:rsid w:val="008737FC"/>
    <w:rsid w:val="00873849"/>
    <w:rsid w:val="008738B7"/>
    <w:rsid w:val="008738ED"/>
    <w:rsid w:val="00873A07"/>
    <w:rsid w:val="00873F39"/>
    <w:rsid w:val="00873FFC"/>
    <w:rsid w:val="0087403D"/>
    <w:rsid w:val="0087442A"/>
    <w:rsid w:val="00874A8A"/>
    <w:rsid w:val="00875043"/>
    <w:rsid w:val="0087592E"/>
    <w:rsid w:val="008759B2"/>
    <w:rsid w:val="008759E4"/>
    <w:rsid w:val="00875B7E"/>
    <w:rsid w:val="00875D50"/>
    <w:rsid w:val="00875D6B"/>
    <w:rsid w:val="00875D84"/>
    <w:rsid w:val="00875ED8"/>
    <w:rsid w:val="00875FBE"/>
    <w:rsid w:val="00875FEB"/>
    <w:rsid w:val="00876552"/>
    <w:rsid w:val="00876943"/>
    <w:rsid w:val="008776B6"/>
    <w:rsid w:val="0087777A"/>
    <w:rsid w:val="00877920"/>
    <w:rsid w:val="008779F7"/>
    <w:rsid w:val="00877A0D"/>
    <w:rsid w:val="00877BBB"/>
    <w:rsid w:val="00877F3C"/>
    <w:rsid w:val="00880286"/>
    <w:rsid w:val="0088077A"/>
    <w:rsid w:val="00880B23"/>
    <w:rsid w:val="00880BD1"/>
    <w:rsid w:val="00880D8B"/>
    <w:rsid w:val="00880E5C"/>
    <w:rsid w:val="0088101B"/>
    <w:rsid w:val="008810D1"/>
    <w:rsid w:val="0088135A"/>
    <w:rsid w:val="008813D2"/>
    <w:rsid w:val="008819F3"/>
    <w:rsid w:val="0088212C"/>
    <w:rsid w:val="008824C9"/>
    <w:rsid w:val="00882517"/>
    <w:rsid w:val="008825CD"/>
    <w:rsid w:val="00882A1B"/>
    <w:rsid w:val="00882B51"/>
    <w:rsid w:val="00882C5E"/>
    <w:rsid w:val="00882DDE"/>
    <w:rsid w:val="00883306"/>
    <w:rsid w:val="00883550"/>
    <w:rsid w:val="008838C6"/>
    <w:rsid w:val="00883AA6"/>
    <w:rsid w:val="00883C19"/>
    <w:rsid w:val="00883C4F"/>
    <w:rsid w:val="00883E79"/>
    <w:rsid w:val="00884123"/>
    <w:rsid w:val="008843CF"/>
    <w:rsid w:val="008843D9"/>
    <w:rsid w:val="00884665"/>
    <w:rsid w:val="0088467E"/>
    <w:rsid w:val="00884AD4"/>
    <w:rsid w:val="00884B71"/>
    <w:rsid w:val="00884F8B"/>
    <w:rsid w:val="00884FCB"/>
    <w:rsid w:val="008850EE"/>
    <w:rsid w:val="00885457"/>
    <w:rsid w:val="00885673"/>
    <w:rsid w:val="00885937"/>
    <w:rsid w:val="00885945"/>
    <w:rsid w:val="00885A54"/>
    <w:rsid w:val="00885D58"/>
    <w:rsid w:val="00885E19"/>
    <w:rsid w:val="00886931"/>
    <w:rsid w:val="00886A79"/>
    <w:rsid w:val="00886CD2"/>
    <w:rsid w:val="00886E5B"/>
    <w:rsid w:val="00886E5E"/>
    <w:rsid w:val="00886E78"/>
    <w:rsid w:val="00886F25"/>
    <w:rsid w:val="00886F48"/>
    <w:rsid w:val="00886FB9"/>
    <w:rsid w:val="008874D0"/>
    <w:rsid w:val="008874DB"/>
    <w:rsid w:val="008876AD"/>
    <w:rsid w:val="008878BE"/>
    <w:rsid w:val="008879EE"/>
    <w:rsid w:val="00887E8D"/>
    <w:rsid w:val="00888CA6"/>
    <w:rsid w:val="008901C0"/>
    <w:rsid w:val="0089027E"/>
    <w:rsid w:val="0089047B"/>
    <w:rsid w:val="00890A46"/>
    <w:rsid w:val="00890B34"/>
    <w:rsid w:val="00890D54"/>
    <w:rsid w:val="00891273"/>
    <w:rsid w:val="008916D5"/>
    <w:rsid w:val="00892526"/>
    <w:rsid w:val="008926EC"/>
    <w:rsid w:val="00892868"/>
    <w:rsid w:val="00892BC5"/>
    <w:rsid w:val="00892D90"/>
    <w:rsid w:val="00892E9B"/>
    <w:rsid w:val="00892F19"/>
    <w:rsid w:val="0089332F"/>
    <w:rsid w:val="00893590"/>
    <w:rsid w:val="008936D6"/>
    <w:rsid w:val="00894339"/>
    <w:rsid w:val="00894429"/>
    <w:rsid w:val="008947AE"/>
    <w:rsid w:val="00894AEA"/>
    <w:rsid w:val="00894DE3"/>
    <w:rsid w:val="00894ED7"/>
    <w:rsid w:val="00894FE7"/>
    <w:rsid w:val="0089501B"/>
    <w:rsid w:val="008953D2"/>
    <w:rsid w:val="00895516"/>
    <w:rsid w:val="008965A1"/>
    <w:rsid w:val="00896981"/>
    <w:rsid w:val="00896AED"/>
    <w:rsid w:val="00896B51"/>
    <w:rsid w:val="00896C6F"/>
    <w:rsid w:val="00896C97"/>
    <w:rsid w:val="00897277"/>
    <w:rsid w:val="00897AA9"/>
    <w:rsid w:val="00897ACD"/>
    <w:rsid w:val="0089DFBA"/>
    <w:rsid w:val="008A02C2"/>
    <w:rsid w:val="008A0C4E"/>
    <w:rsid w:val="008A0C58"/>
    <w:rsid w:val="008A0CFE"/>
    <w:rsid w:val="008A0FFB"/>
    <w:rsid w:val="008A1253"/>
    <w:rsid w:val="008A1676"/>
    <w:rsid w:val="008A16BF"/>
    <w:rsid w:val="008A1A66"/>
    <w:rsid w:val="008A1B52"/>
    <w:rsid w:val="008A1CA0"/>
    <w:rsid w:val="008A224A"/>
    <w:rsid w:val="008A291A"/>
    <w:rsid w:val="008A2B2C"/>
    <w:rsid w:val="008A2F00"/>
    <w:rsid w:val="008A306B"/>
    <w:rsid w:val="008A3639"/>
    <w:rsid w:val="008A3C98"/>
    <w:rsid w:val="008A3DAD"/>
    <w:rsid w:val="008A3F87"/>
    <w:rsid w:val="008A466C"/>
    <w:rsid w:val="008A499D"/>
    <w:rsid w:val="008A4F83"/>
    <w:rsid w:val="008A5130"/>
    <w:rsid w:val="008A51DB"/>
    <w:rsid w:val="008A5233"/>
    <w:rsid w:val="008A52A9"/>
    <w:rsid w:val="008A56CD"/>
    <w:rsid w:val="008A5723"/>
    <w:rsid w:val="008A5985"/>
    <w:rsid w:val="008A5BC8"/>
    <w:rsid w:val="008A65A4"/>
    <w:rsid w:val="008A6AA7"/>
    <w:rsid w:val="008A6DB5"/>
    <w:rsid w:val="008A6DE7"/>
    <w:rsid w:val="008A7240"/>
    <w:rsid w:val="008A7284"/>
    <w:rsid w:val="008A7383"/>
    <w:rsid w:val="008A74DA"/>
    <w:rsid w:val="008A78A5"/>
    <w:rsid w:val="008A7B9D"/>
    <w:rsid w:val="008A7CDF"/>
    <w:rsid w:val="008A7F46"/>
    <w:rsid w:val="008B04C5"/>
    <w:rsid w:val="008B0932"/>
    <w:rsid w:val="008B0976"/>
    <w:rsid w:val="008B0A85"/>
    <w:rsid w:val="008B0AB4"/>
    <w:rsid w:val="008B1254"/>
    <w:rsid w:val="008B13A6"/>
    <w:rsid w:val="008B16C0"/>
    <w:rsid w:val="008B16C1"/>
    <w:rsid w:val="008B19BE"/>
    <w:rsid w:val="008B1D10"/>
    <w:rsid w:val="008B1E76"/>
    <w:rsid w:val="008B217D"/>
    <w:rsid w:val="008B25C5"/>
    <w:rsid w:val="008B26B9"/>
    <w:rsid w:val="008B3DA2"/>
    <w:rsid w:val="008B3F32"/>
    <w:rsid w:val="008B47AB"/>
    <w:rsid w:val="008B4BC8"/>
    <w:rsid w:val="008B4D18"/>
    <w:rsid w:val="008B4DEC"/>
    <w:rsid w:val="008B517C"/>
    <w:rsid w:val="008B57A0"/>
    <w:rsid w:val="008B582F"/>
    <w:rsid w:val="008B586F"/>
    <w:rsid w:val="008B5928"/>
    <w:rsid w:val="008B5B48"/>
    <w:rsid w:val="008B5B6F"/>
    <w:rsid w:val="008B5C19"/>
    <w:rsid w:val="008B5DF6"/>
    <w:rsid w:val="008B5E63"/>
    <w:rsid w:val="008B5E6D"/>
    <w:rsid w:val="008B5F6C"/>
    <w:rsid w:val="008B6685"/>
    <w:rsid w:val="008B6710"/>
    <w:rsid w:val="008B68D0"/>
    <w:rsid w:val="008B699A"/>
    <w:rsid w:val="008B6C22"/>
    <w:rsid w:val="008B6D10"/>
    <w:rsid w:val="008B6E7A"/>
    <w:rsid w:val="008B710F"/>
    <w:rsid w:val="008B72FF"/>
    <w:rsid w:val="008B73F1"/>
    <w:rsid w:val="008B7415"/>
    <w:rsid w:val="008B748E"/>
    <w:rsid w:val="008B7610"/>
    <w:rsid w:val="008C01A0"/>
    <w:rsid w:val="008C01FD"/>
    <w:rsid w:val="008C02DD"/>
    <w:rsid w:val="008C03C7"/>
    <w:rsid w:val="008C0729"/>
    <w:rsid w:val="008C07F2"/>
    <w:rsid w:val="008C0AE5"/>
    <w:rsid w:val="008C0B00"/>
    <w:rsid w:val="008C0B05"/>
    <w:rsid w:val="008C0DD7"/>
    <w:rsid w:val="008C10DC"/>
    <w:rsid w:val="008C11C9"/>
    <w:rsid w:val="008C151A"/>
    <w:rsid w:val="008C1873"/>
    <w:rsid w:val="008C19FB"/>
    <w:rsid w:val="008C1BC2"/>
    <w:rsid w:val="008C1DF4"/>
    <w:rsid w:val="008C27DF"/>
    <w:rsid w:val="008C29A2"/>
    <w:rsid w:val="008C29E0"/>
    <w:rsid w:val="008C2E2E"/>
    <w:rsid w:val="008C30AE"/>
    <w:rsid w:val="008C317A"/>
    <w:rsid w:val="008C3192"/>
    <w:rsid w:val="008C31CD"/>
    <w:rsid w:val="008C32BB"/>
    <w:rsid w:val="008C34F6"/>
    <w:rsid w:val="008C3873"/>
    <w:rsid w:val="008C3A9D"/>
    <w:rsid w:val="008C3BBB"/>
    <w:rsid w:val="008C3C66"/>
    <w:rsid w:val="008C40DD"/>
    <w:rsid w:val="008C4158"/>
    <w:rsid w:val="008C4BDC"/>
    <w:rsid w:val="008C4F7E"/>
    <w:rsid w:val="008C50C4"/>
    <w:rsid w:val="008C52E2"/>
    <w:rsid w:val="008C5594"/>
    <w:rsid w:val="008C56A5"/>
    <w:rsid w:val="008C5AAD"/>
    <w:rsid w:val="008C5B3D"/>
    <w:rsid w:val="008C5CC9"/>
    <w:rsid w:val="008C5D41"/>
    <w:rsid w:val="008C612F"/>
    <w:rsid w:val="008C6229"/>
    <w:rsid w:val="008C622C"/>
    <w:rsid w:val="008C6948"/>
    <w:rsid w:val="008C6A2F"/>
    <w:rsid w:val="008C6AEA"/>
    <w:rsid w:val="008C6CB7"/>
    <w:rsid w:val="008C6E59"/>
    <w:rsid w:val="008C6ECA"/>
    <w:rsid w:val="008C7075"/>
    <w:rsid w:val="008C7495"/>
    <w:rsid w:val="008C74B8"/>
    <w:rsid w:val="008C773A"/>
    <w:rsid w:val="008C7860"/>
    <w:rsid w:val="008C7C63"/>
    <w:rsid w:val="008D0625"/>
    <w:rsid w:val="008D0635"/>
    <w:rsid w:val="008D08E8"/>
    <w:rsid w:val="008D09A1"/>
    <w:rsid w:val="008D0AA5"/>
    <w:rsid w:val="008D0D06"/>
    <w:rsid w:val="008D103E"/>
    <w:rsid w:val="008D1285"/>
    <w:rsid w:val="008D1289"/>
    <w:rsid w:val="008D148A"/>
    <w:rsid w:val="008D192A"/>
    <w:rsid w:val="008D1D0F"/>
    <w:rsid w:val="008D2014"/>
    <w:rsid w:val="008D2099"/>
    <w:rsid w:val="008D222D"/>
    <w:rsid w:val="008D22E0"/>
    <w:rsid w:val="008D2564"/>
    <w:rsid w:val="008D2592"/>
    <w:rsid w:val="008D2693"/>
    <w:rsid w:val="008D2879"/>
    <w:rsid w:val="008D2A1B"/>
    <w:rsid w:val="008D2EBF"/>
    <w:rsid w:val="008D30B7"/>
    <w:rsid w:val="008D3146"/>
    <w:rsid w:val="008D35A2"/>
    <w:rsid w:val="008D3BB4"/>
    <w:rsid w:val="008D3CA7"/>
    <w:rsid w:val="008D3D96"/>
    <w:rsid w:val="008D43BA"/>
    <w:rsid w:val="008D470D"/>
    <w:rsid w:val="008D48C5"/>
    <w:rsid w:val="008D4998"/>
    <w:rsid w:val="008D4A14"/>
    <w:rsid w:val="008D4ABA"/>
    <w:rsid w:val="008D4B97"/>
    <w:rsid w:val="008D4D31"/>
    <w:rsid w:val="008D4DE3"/>
    <w:rsid w:val="008D5168"/>
    <w:rsid w:val="008D527B"/>
    <w:rsid w:val="008D56B2"/>
    <w:rsid w:val="008D577B"/>
    <w:rsid w:val="008D58A8"/>
    <w:rsid w:val="008D5940"/>
    <w:rsid w:val="008D59CA"/>
    <w:rsid w:val="008D5AD8"/>
    <w:rsid w:val="008D5FAD"/>
    <w:rsid w:val="008D6281"/>
    <w:rsid w:val="008D6714"/>
    <w:rsid w:val="008D6992"/>
    <w:rsid w:val="008D6C1A"/>
    <w:rsid w:val="008D6C99"/>
    <w:rsid w:val="008D6FE6"/>
    <w:rsid w:val="008D741C"/>
    <w:rsid w:val="008D7674"/>
    <w:rsid w:val="008D76B4"/>
    <w:rsid w:val="008E00F8"/>
    <w:rsid w:val="008E0129"/>
    <w:rsid w:val="008E0306"/>
    <w:rsid w:val="008E055F"/>
    <w:rsid w:val="008E0805"/>
    <w:rsid w:val="008E0D7C"/>
    <w:rsid w:val="008E0EA2"/>
    <w:rsid w:val="008E133F"/>
    <w:rsid w:val="008E15FE"/>
    <w:rsid w:val="008E1655"/>
    <w:rsid w:val="008E1CED"/>
    <w:rsid w:val="008E2056"/>
    <w:rsid w:val="008E2AF5"/>
    <w:rsid w:val="008E2F74"/>
    <w:rsid w:val="008E313D"/>
    <w:rsid w:val="008E34E9"/>
    <w:rsid w:val="008E3655"/>
    <w:rsid w:val="008E3677"/>
    <w:rsid w:val="008E3CFA"/>
    <w:rsid w:val="008E3ED3"/>
    <w:rsid w:val="008E3FD2"/>
    <w:rsid w:val="008E41E3"/>
    <w:rsid w:val="008E4255"/>
    <w:rsid w:val="008E443D"/>
    <w:rsid w:val="008E46F7"/>
    <w:rsid w:val="008E478B"/>
    <w:rsid w:val="008E4840"/>
    <w:rsid w:val="008E48BA"/>
    <w:rsid w:val="008E492F"/>
    <w:rsid w:val="008E4961"/>
    <w:rsid w:val="008E4B6C"/>
    <w:rsid w:val="008E5074"/>
    <w:rsid w:val="008E5CA3"/>
    <w:rsid w:val="008E5CCB"/>
    <w:rsid w:val="008E5D8D"/>
    <w:rsid w:val="008E6403"/>
    <w:rsid w:val="008E6735"/>
    <w:rsid w:val="008E6E6B"/>
    <w:rsid w:val="008E6FF5"/>
    <w:rsid w:val="008E70EA"/>
    <w:rsid w:val="008E71D6"/>
    <w:rsid w:val="008E7651"/>
    <w:rsid w:val="008F0264"/>
    <w:rsid w:val="008F0A5E"/>
    <w:rsid w:val="008F113C"/>
    <w:rsid w:val="008F1386"/>
    <w:rsid w:val="008F13FE"/>
    <w:rsid w:val="008F2758"/>
    <w:rsid w:val="008F2A48"/>
    <w:rsid w:val="008F2B21"/>
    <w:rsid w:val="008F2D95"/>
    <w:rsid w:val="008F2FF9"/>
    <w:rsid w:val="008F3029"/>
    <w:rsid w:val="008F35D0"/>
    <w:rsid w:val="008F3729"/>
    <w:rsid w:val="008F3BC2"/>
    <w:rsid w:val="008F3C26"/>
    <w:rsid w:val="008F3C7C"/>
    <w:rsid w:val="008F4126"/>
    <w:rsid w:val="008F4180"/>
    <w:rsid w:val="008F4584"/>
    <w:rsid w:val="008F5185"/>
    <w:rsid w:val="008F5360"/>
    <w:rsid w:val="008F5540"/>
    <w:rsid w:val="008F55A0"/>
    <w:rsid w:val="008F565B"/>
    <w:rsid w:val="008F5704"/>
    <w:rsid w:val="008F598E"/>
    <w:rsid w:val="008F59F7"/>
    <w:rsid w:val="008F5AC5"/>
    <w:rsid w:val="008F5EB4"/>
    <w:rsid w:val="008F6113"/>
    <w:rsid w:val="008F63D4"/>
    <w:rsid w:val="008F6421"/>
    <w:rsid w:val="008F64F3"/>
    <w:rsid w:val="008F6696"/>
    <w:rsid w:val="008F66DC"/>
    <w:rsid w:val="008F6B6E"/>
    <w:rsid w:val="008F6F33"/>
    <w:rsid w:val="008F7125"/>
    <w:rsid w:val="008F727C"/>
    <w:rsid w:val="008F7449"/>
    <w:rsid w:val="008F78F7"/>
    <w:rsid w:val="008F7A7E"/>
    <w:rsid w:val="008F7B1E"/>
    <w:rsid w:val="008F7BF1"/>
    <w:rsid w:val="008F7D17"/>
    <w:rsid w:val="008F7D2C"/>
    <w:rsid w:val="00900752"/>
    <w:rsid w:val="009007FE"/>
    <w:rsid w:val="009009B4"/>
    <w:rsid w:val="0090102D"/>
    <w:rsid w:val="0090127D"/>
    <w:rsid w:val="009015F9"/>
    <w:rsid w:val="0090174D"/>
    <w:rsid w:val="009018B9"/>
    <w:rsid w:val="00901EFB"/>
    <w:rsid w:val="00902047"/>
    <w:rsid w:val="009020A1"/>
    <w:rsid w:val="00902137"/>
    <w:rsid w:val="00902313"/>
    <w:rsid w:val="0090259C"/>
    <w:rsid w:val="009025A5"/>
    <w:rsid w:val="009026F5"/>
    <w:rsid w:val="00902939"/>
    <w:rsid w:val="00902A14"/>
    <w:rsid w:val="00902B55"/>
    <w:rsid w:val="00902C82"/>
    <w:rsid w:val="00902D80"/>
    <w:rsid w:val="009034BB"/>
    <w:rsid w:val="009035FE"/>
    <w:rsid w:val="0090397C"/>
    <w:rsid w:val="00903B3A"/>
    <w:rsid w:val="0090402E"/>
    <w:rsid w:val="009045F7"/>
    <w:rsid w:val="009045FF"/>
    <w:rsid w:val="00904B80"/>
    <w:rsid w:val="00904EC9"/>
    <w:rsid w:val="009050F0"/>
    <w:rsid w:val="0090518A"/>
    <w:rsid w:val="0090528D"/>
    <w:rsid w:val="00905539"/>
    <w:rsid w:val="00905A2F"/>
    <w:rsid w:val="009060D8"/>
    <w:rsid w:val="009061DE"/>
    <w:rsid w:val="00906218"/>
    <w:rsid w:val="00906336"/>
    <w:rsid w:val="00906BAA"/>
    <w:rsid w:val="00906C5B"/>
    <w:rsid w:val="00906FC3"/>
    <w:rsid w:val="0090704C"/>
    <w:rsid w:val="00907055"/>
    <w:rsid w:val="00907069"/>
    <w:rsid w:val="00907223"/>
    <w:rsid w:val="00907884"/>
    <w:rsid w:val="00907A40"/>
    <w:rsid w:val="00907E54"/>
    <w:rsid w:val="00907ED8"/>
    <w:rsid w:val="00910369"/>
    <w:rsid w:val="00910389"/>
    <w:rsid w:val="00910550"/>
    <w:rsid w:val="0091066D"/>
    <w:rsid w:val="00910790"/>
    <w:rsid w:val="009109D7"/>
    <w:rsid w:val="00910B5A"/>
    <w:rsid w:val="00910D5D"/>
    <w:rsid w:val="00910EBC"/>
    <w:rsid w:val="00911180"/>
    <w:rsid w:val="0091130E"/>
    <w:rsid w:val="00911DAD"/>
    <w:rsid w:val="009123AA"/>
    <w:rsid w:val="009123CB"/>
    <w:rsid w:val="0091286D"/>
    <w:rsid w:val="00912E57"/>
    <w:rsid w:val="00912F84"/>
    <w:rsid w:val="00912FCD"/>
    <w:rsid w:val="00912FEF"/>
    <w:rsid w:val="00913117"/>
    <w:rsid w:val="00913174"/>
    <w:rsid w:val="00913664"/>
    <w:rsid w:val="00913770"/>
    <w:rsid w:val="0091384F"/>
    <w:rsid w:val="0091385B"/>
    <w:rsid w:val="00913F08"/>
    <w:rsid w:val="009143E9"/>
    <w:rsid w:val="0091482F"/>
    <w:rsid w:val="009155DB"/>
    <w:rsid w:val="0091569F"/>
    <w:rsid w:val="00915796"/>
    <w:rsid w:val="00915BF2"/>
    <w:rsid w:val="00915C76"/>
    <w:rsid w:val="009160B4"/>
    <w:rsid w:val="0091692A"/>
    <w:rsid w:val="009169D6"/>
    <w:rsid w:val="00916C63"/>
    <w:rsid w:val="00916CD3"/>
    <w:rsid w:val="00916D02"/>
    <w:rsid w:val="009170C6"/>
    <w:rsid w:val="0091730C"/>
    <w:rsid w:val="00917BF5"/>
    <w:rsid w:val="00917CD1"/>
    <w:rsid w:val="00917D6C"/>
    <w:rsid w:val="00917DBD"/>
    <w:rsid w:val="00917ECE"/>
    <w:rsid w:val="00920159"/>
    <w:rsid w:val="00920302"/>
    <w:rsid w:val="00920320"/>
    <w:rsid w:val="009204C3"/>
    <w:rsid w:val="009205C8"/>
    <w:rsid w:val="00920E26"/>
    <w:rsid w:val="00920F27"/>
    <w:rsid w:val="009211AD"/>
    <w:rsid w:val="009217E4"/>
    <w:rsid w:val="00921B02"/>
    <w:rsid w:val="00921B47"/>
    <w:rsid w:val="00921D3E"/>
    <w:rsid w:val="00921EE8"/>
    <w:rsid w:val="00922118"/>
    <w:rsid w:val="00922327"/>
    <w:rsid w:val="009223C6"/>
    <w:rsid w:val="00922448"/>
    <w:rsid w:val="00922819"/>
    <w:rsid w:val="00922AA5"/>
    <w:rsid w:val="00922AB4"/>
    <w:rsid w:val="00922FD5"/>
    <w:rsid w:val="009232A7"/>
    <w:rsid w:val="00923520"/>
    <w:rsid w:val="0092359A"/>
    <w:rsid w:val="0092369B"/>
    <w:rsid w:val="009236F5"/>
    <w:rsid w:val="00923B85"/>
    <w:rsid w:val="00923C69"/>
    <w:rsid w:val="00923D58"/>
    <w:rsid w:val="00923E5F"/>
    <w:rsid w:val="00924017"/>
    <w:rsid w:val="009241C1"/>
    <w:rsid w:val="00924217"/>
    <w:rsid w:val="009242C3"/>
    <w:rsid w:val="009243D2"/>
    <w:rsid w:val="009243E7"/>
    <w:rsid w:val="00924A67"/>
    <w:rsid w:val="00924C36"/>
    <w:rsid w:val="00924DBA"/>
    <w:rsid w:val="00924FA2"/>
    <w:rsid w:val="0092521C"/>
    <w:rsid w:val="00925340"/>
    <w:rsid w:val="009254B3"/>
    <w:rsid w:val="009255AE"/>
    <w:rsid w:val="009255E3"/>
    <w:rsid w:val="009256B7"/>
    <w:rsid w:val="00925820"/>
    <w:rsid w:val="00925C8D"/>
    <w:rsid w:val="00926223"/>
    <w:rsid w:val="009263BD"/>
    <w:rsid w:val="009265AF"/>
    <w:rsid w:val="009266DC"/>
    <w:rsid w:val="009269C2"/>
    <w:rsid w:val="00926EFD"/>
    <w:rsid w:val="00926FFB"/>
    <w:rsid w:val="009273CD"/>
    <w:rsid w:val="009276DD"/>
    <w:rsid w:val="0092CB25"/>
    <w:rsid w:val="00930165"/>
    <w:rsid w:val="00930B7C"/>
    <w:rsid w:val="00931106"/>
    <w:rsid w:val="009317EA"/>
    <w:rsid w:val="0093186A"/>
    <w:rsid w:val="00931E3F"/>
    <w:rsid w:val="00932307"/>
    <w:rsid w:val="00932C39"/>
    <w:rsid w:val="00932CDD"/>
    <w:rsid w:val="009331BA"/>
    <w:rsid w:val="00933435"/>
    <w:rsid w:val="009335FD"/>
    <w:rsid w:val="00933BC0"/>
    <w:rsid w:val="00933BFA"/>
    <w:rsid w:val="00933C20"/>
    <w:rsid w:val="00933CA2"/>
    <w:rsid w:val="00934222"/>
    <w:rsid w:val="00934358"/>
    <w:rsid w:val="009343F2"/>
    <w:rsid w:val="0093447F"/>
    <w:rsid w:val="009345DA"/>
    <w:rsid w:val="00934D21"/>
    <w:rsid w:val="00934E5D"/>
    <w:rsid w:val="00935340"/>
    <w:rsid w:val="0093534C"/>
    <w:rsid w:val="0093560B"/>
    <w:rsid w:val="0093562B"/>
    <w:rsid w:val="00935C31"/>
    <w:rsid w:val="009364DF"/>
    <w:rsid w:val="009366DA"/>
    <w:rsid w:val="00936903"/>
    <w:rsid w:val="00936C08"/>
    <w:rsid w:val="00936CE1"/>
    <w:rsid w:val="00937039"/>
    <w:rsid w:val="00937072"/>
    <w:rsid w:val="00937763"/>
    <w:rsid w:val="0093792F"/>
    <w:rsid w:val="00937EEC"/>
    <w:rsid w:val="009400F7"/>
    <w:rsid w:val="00940300"/>
    <w:rsid w:val="00940554"/>
    <w:rsid w:val="00940719"/>
    <w:rsid w:val="00940A99"/>
    <w:rsid w:val="00940CB0"/>
    <w:rsid w:val="00940D03"/>
    <w:rsid w:val="009410B2"/>
    <w:rsid w:val="009414EA"/>
    <w:rsid w:val="0094169A"/>
    <w:rsid w:val="00941B73"/>
    <w:rsid w:val="00941C5B"/>
    <w:rsid w:val="009422CA"/>
    <w:rsid w:val="00942303"/>
    <w:rsid w:val="00942335"/>
    <w:rsid w:val="009423B5"/>
    <w:rsid w:val="00942838"/>
    <w:rsid w:val="00942D5E"/>
    <w:rsid w:val="00942DEB"/>
    <w:rsid w:val="00943026"/>
    <w:rsid w:val="00943109"/>
    <w:rsid w:val="009432B2"/>
    <w:rsid w:val="009432D7"/>
    <w:rsid w:val="00943755"/>
    <w:rsid w:val="009437BF"/>
    <w:rsid w:val="00943DFC"/>
    <w:rsid w:val="009443AC"/>
    <w:rsid w:val="00944477"/>
    <w:rsid w:val="00944B82"/>
    <w:rsid w:val="00944C3C"/>
    <w:rsid w:val="00944C3D"/>
    <w:rsid w:val="009450C3"/>
    <w:rsid w:val="00945554"/>
    <w:rsid w:val="009456B3"/>
    <w:rsid w:val="009461FF"/>
    <w:rsid w:val="00946533"/>
    <w:rsid w:val="00946663"/>
    <w:rsid w:val="00946E39"/>
    <w:rsid w:val="00946FCC"/>
    <w:rsid w:val="00947686"/>
    <w:rsid w:val="00947C55"/>
    <w:rsid w:val="00947D62"/>
    <w:rsid w:val="00947F0F"/>
    <w:rsid w:val="0095039F"/>
    <w:rsid w:val="009505C2"/>
    <w:rsid w:val="0095060B"/>
    <w:rsid w:val="00950713"/>
    <w:rsid w:val="00950CDB"/>
    <w:rsid w:val="00950E1A"/>
    <w:rsid w:val="00950E84"/>
    <w:rsid w:val="00951426"/>
    <w:rsid w:val="00951526"/>
    <w:rsid w:val="00951823"/>
    <w:rsid w:val="0095191E"/>
    <w:rsid w:val="009522AA"/>
    <w:rsid w:val="009524F1"/>
    <w:rsid w:val="00952925"/>
    <w:rsid w:val="00952952"/>
    <w:rsid w:val="0095295B"/>
    <w:rsid w:val="009529B3"/>
    <w:rsid w:val="00952CE0"/>
    <w:rsid w:val="00952CFC"/>
    <w:rsid w:val="00952F06"/>
    <w:rsid w:val="00953BBB"/>
    <w:rsid w:val="00953BE1"/>
    <w:rsid w:val="00953E94"/>
    <w:rsid w:val="00954454"/>
    <w:rsid w:val="00954747"/>
    <w:rsid w:val="00954E6E"/>
    <w:rsid w:val="00955066"/>
    <w:rsid w:val="00955623"/>
    <w:rsid w:val="009556D6"/>
    <w:rsid w:val="00955D82"/>
    <w:rsid w:val="00956065"/>
    <w:rsid w:val="009560DD"/>
    <w:rsid w:val="0095634A"/>
    <w:rsid w:val="00956957"/>
    <w:rsid w:val="00956E41"/>
    <w:rsid w:val="00956FE2"/>
    <w:rsid w:val="00957258"/>
    <w:rsid w:val="009572D6"/>
    <w:rsid w:val="00957654"/>
    <w:rsid w:val="009579DC"/>
    <w:rsid w:val="00957B9C"/>
    <w:rsid w:val="0095F7B6"/>
    <w:rsid w:val="00960006"/>
    <w:rsid w:val="009600B5"/>
    <w:rsid w:val="009605B1"/>
    <w:rsid w:val="009605CB"/>
    <w:rsid w:val="00960944"/>
    <w:rsid w:val="0096139F"/>
    <w:rsid w:val="009618C2"/>
    <w:rsid w:val="00961A88"/>
    <w:rsid w:val="00961AE5"/>
    <w:rsid w:val="00961FC0"/>
    <w:rsid w:val="00961FE6"/>
    <w:rsid w:val="009623E4"/>
    <w:rsid w:val="0096244B"/>
    <w:rsid w:val="00962514"/>
    <w:rsid w:val="00962993"/>
    <w:rsid w:val="00962AFF"/>
    <w:rsid w:val="00963125"/>
    <w:rsid w:val="0096344D"/>
    <w:rsid w:val="00963574"/>
    <w:rsid w:val="009639C0"/>
    <w:rsid w:val="00963D5E"/>
    <w:rsid w:val="00963DB0"/>
    <w:rsid w:val="00963DC6"/>
    <w:rsid w:val="009641B7"/>
    <w:rsid w:val="0096483B"/>
    <w:rsid w:val="00964899"/>
    <w:rsid w:val="00964BCF"/>
    <w:rsid w:val="00964C03"/>
    <w:rsid w:val="00964D52"/>
    <w:rsid w:val="00964F8A"/>
    <w:rsid w:val="009653D6"/>
    <w:rsid w:val="0096590F"/>
    <w:rsid w:val="00965BA7"/>
    <w:rsid w:val="00965D89"/>
    <w:rsid w:val="00965E0B"/>
    <w:rsid w:val="00965E70"/>
    <w:rsid w:val="009661F7"/>
    <w:rsid w:val="00966BE0"/>
    <w:rsid w:val="0096708A"/>
    <w:rsid w:val="00967373"/>
    <w:rsid w:val="00967444"/>
    <w:rsid w:val="009675C9"/>
    <w:rsid w:val="0096779E"/>
    <w:rsid w:val="00967BC1"/>
    <w:rsid w:val="00967DF1"/>
    <w:rsid w:val="0096894B"/>
    <w:rsid w:val="009709EF"/>
    <w:rsid w:val="00970E7D"/>
    <w:rsid w:val="00970F9C"/>
    <w:rsid w:val="0097127B"/>
    <w:rsid w:val="009712CC"/>
    <w:rsid w:val="009715A7"/>
    <w:rsid w:val="00971910"/>
    <w:rsid w:val="009719C4"/>
    <w:rsid w:val="00971B19"/>
    <w:rsid w:val="00971B98"/>
    <w:rsid w:val="00971D16"/>
    <w:rsid w:val="00971F78"/>
    <w:rsid w:val="009720AC"/>
    <w:rsid w:val="00972214"/>
    <w:rsid w:val="009724B7"/>
    <w:rsid w:val="00972608"/>
    <w:rsid w:val="009727DF"/>
    <w:rsid w:val="00972B27"/>
    <w:rsid w:val="00973348"/>
    <w:rsid w:val="009735AC"/>
    <w:rsid w:val="009738B1"/>
    <w:rsid w:val="00973EA0"/>
    <w:rsid w:val="00973F6B"/>
    <w:rsid w:val="009743A9"/>
    <w:rsid w:val="0097447E"/>
    <w:rsid w:val="009747B1"/>
    <w:rsid w:val="0097487A"/>
    <w:rsid w:val="00974967"/>
    <w:rsid w:val="00974CC4"/>
    <w:rsid w:val="009754E4"/>
    <w:rsid w:val="00975673"/>
    <w:rsid w:val="00975A98"/>
    <w:rsid w:val="00975D54"/>
    <w:rsid w:val="00975DBC"/>
    <w:rsid w:val="00975F1A"/>
    <w:rsid w:val="009761D1"/>
    <w:rsid w:val="0097676F"/>
    <w:rsid w:val="00976870"/>
    <w:rsid w:val="009768D2"/>
    <w:rsid w:val="00976A4D"/>
    <w:rsid w:val="00976B0B"/>
    <w:rsid w:val="00976BF4"/>
    <w:rsid w:val="00976CA5"/>
    <w:rsid w:val="00977108"/>
    <w:rsid w:val="009771B7"/>
    <w:rsid w:val="00977495"/>
    <w:rsid w:val="00977731"/>
    <w:rsid w:val="00977D9F"/>
    <w:rsid w:val="00977F5D"/>
    <w:rsid w:val="00980060"/>
    <w:rsid w:val="00980213"/>
    <w:rsid w:val="00980345"/>
    <w:rsid w:val="009806CC"/>
    <w:rsid w:val="0098077C"/>
    <w:rsid w:val="00980935"/>
    <w:rsid w:val="00980960"/>
    <w:rsid w:val="009809E8"/>
    <w:rsid w:val="00980B3D"/>
    <w:rsid w:val="00980BE0"/>
    <w:rsid w:val="00980FB9"/>
    <w:rsid w:val="00981341"/>
    <w:rsid w:val="009813C6"/>
    <w:rsid w:val="00981523"/>
    <w:rsid w:val="0098168D"/>
    <w:rsid w:val="009816D9"/>
    <w:rsid w:val="009819FE"/>
    <w:rsid w:val="00981A50"/>
    <w:rsid w:val="00981F94"/>
    <w:rsid w:val="0098233A"/>
    <w:rsid w:val="009824B6"/>
    <w:rsid w:val="00982C96"/>
    <w:rsid w:val="00983260"/>
    <w:rsid w:val="0098348B"/>
    <w:rsid w:val="00983684"/>
    <w:rsid w:val="00983987"/>
    <w:rsid w:val="00983A74"/>
    <w:rsid w:val="00983E50"/>
    <w:rsid w:val="0098402B"/>
    <w:rsid w:val="00984834"/>
    <w:rsid w:val="00984C5C"/>
    <w:rsid w:val="00985114"/>
    <w:rsid w:val="0098540E"/>
    <w:rsid w:val="009857F5"/>
    <w:rsid w:val="00985B29"/>
    <w:rsid w:val="00985BC7"/>
    <w:rsid w:val="00985CA2"/>
    <w:rsid w:val="00985F2B"/>
    <w:rsid w:val="00986444"/>
    <w:rsid w:val="009864DC"/>
    <w:rsid w:val="00986508"/>
    <w:rsid w:val="0098656F"/>
    <w:rsid w:val="00986622"/>
    <w:rsid w:val="00986973"/>
    <w:rsid w:val="00986E0D"/>
    <w:rsid w:val="0098733D"/>
    <w:rsid w:val="00987406"/>
    <w:rsid w:val="00987894"/>
    <w:rsid w:val="00987907"/>
    <w:rsid w:val="00987C91"/>
    <w:rsid w:val="0098B42B"/>
    <w:rsid w:val="009901E2"/>
    <w:rsid w:val="00990876"/>
    <w:rsid w:val="009909D9"/>
    <w:rsid w:val="00990D81"/>
    <w:rsid w:val="00990FE4"/>
    <w:rsid w:val="00991027"/>
    <w:rsid w:val="0099116B"/>
    <w:rsid w:val="00991536"/>
    <w:rsid w:val="00992184"/>
    <w:rsid w:val="009922C8"/>
    <w:rsid w:val="009925B6"/>
    <w:rsid w:val="009929D1"/>
    <w:rsid w:val="00992C08"/>
    <w:rsid w:val="00992D67"/>
    <w:rsid w:val="00992E14"/>
    <w:rsid w:val="00993E52"/>
    <w:rsid w:val="0099411F"/>
    <w:rsid w:val="0099449B"/>
    <w:rsid w:val="00994589"/>
    <w:rsid w:val="00994A2B"/>
    <w:rsid w:val="00994C02"/>
    <w:rsid w:val="00995682"/>
    <w:rsid w:val="009959B6"/>
    <w:rsid w:val="00995D5F"/>
    <w:rsid w:val="0099658D"/>
    <w:rsid w:val="0099670A"/>
    <w:rsid w:val="009968FD"/>
    <w:rsid w:val="00996C2B"/>
    <w:rsid w:val="00996C65"/>
    <w:rsid w:val="009970F4"/>
    <w:rsid w:val="0099726D"/>
    <w:rsid w:val="00997AE9"/>
    <w:rsid w:val="00997CFA"/>
    <w:rsid w:val="00997F78"/>
    <w:rsid w:val="009A0299"/>
    <w:rsid w:val="009A0608"/>
    <w:rsid w:val="009A063B"/>
    <w:rsid w:val="009A0752"/>
    <w:rsid w:val="009A0858"/>
    <w:rsid w:val="009A08D3"/>
    <w:rsid w:val="009A095B"/>
    <w:rsid w:val="009A0C70"/>
    <w:rsid w:val="009A0EAF"/>
    <w:rsid w:val="009A0F19"/>
    <w:rsid w:val="009A107D"/>
    <w:rsid w:val="009A11E0"/>
    <w:rsid w:val="009A1921"/>
    <w:rsid w:val="009A1A97"/>
    <w:rsid w:val="009A1AFB"/>
    <w:rsid w:val="009A2004"/>
    <w:rsid w:val="009A2517"/>
    <w:rsid w:val="009A25E0"/>
    <w:rsid w:val="009A263A"/>
    <w:rsid w:val="009A26DC"/>
    <w:rsid w:val="009A2743"/>
    <w:rsid w:val="009A2D6E"/>
    <w:rsid w:val="009A316B"/>
    <w:rsid w:val="009A3676"/>
    <w:rsid w:val="009A3A2C"/>
    <w:rsid w:val="009A3B33"/>
    <w:rsid w:val="009A3ED5"/>
    <w:rsid w:val="009A3F59"/>
    <w:rsid w:val="009A4270"/>
    <w:rsid w:val="009A42A6"/>
    <w:rsid w:val="009A463F"/>
    <w:rsid w:val="009A51AF"/>
    <w:rsid w:val="009A5399"/>
    <w:rsid w:val="009A56BE"/>
    <w:rsid w:val="009A6403"/>
    <w:rsid w:val="009A6442"/>
    <w:rsid w:val="009A65F8"/>
    <w:rsid w:val="009A664B"/>
    <w:rsid w:val="009A6C11"/>
    <w:rsid w:val="009A6E2C"/>
    <w:rsid w:val="009A6EBB"/>
    <w:rsid w:val="009A730A"/>
    <w:rsid w:val="009A7397"/>
    <w:rsid w:val="009A75B6"/>
    <w:rsid w:val="009A761C"/>
    <w:rsid w:val="009A76FB"/>
    <w:rsid w:val="009A7AC8"/>
    <w:rsid w:val="009A7F3C"/>
    <w:rsid w:val="009A7F57"/>
    <w:rsid w:val="009AD129"/>
    <w:rsid w:val="009B0200"/>
    <w:rsid w:val="009B03D7"/>
    <w:rsid w:val="009B0756"/>
    <w:rsid w:val="009B0BC0"/>
    <w:rsid w:val="009B1308"/>
    <w:rsid w:val="009B18E0"/>
    <w:rsid w:val="009B1BDA"/>
    <w:rsid w:val="009B1CC6"/>
    <w:rsid w:val="009B2079"/>
    <w:rsid w:val="009B2373"/>
    <w:rsid w:val="009B26B1"/>
    <w:rsid w:val="009B26C9"/>
    <w:rsid w:val="009B2E53"/>
    <w:rsid w:val="009B2F29"/>
    <w:rsid w:val="009B3140"/>
    <w:rsid w:val="009B34E3"/>
    <w:rsid w:val="009B371E"/>
    <w:rsid w:val="009B3764"/>
    <w:rsid w:val="009B384B"/>
    <w:rsid w:val="009B3A65"/>
    <w:rsid w:val="009B3BD9"/>
    <w:rsid w:val="009B3D17"/>
    <w:rsid w:val="009B4264"/>
    <w:rsid w:val="009B430C"/>
    <w:rsid w:val="009B476A"/>
    <w:rsid w:val="009B4805"/>
    <w:rsid w:val="009B4BDA"/>
    <w:rsid w:val="009B4C4A"/>
    <w:rsid w:val="009B4D76"/>
    <w:rsid w:val="009B4DD1"/>
    <w:rsid w:val="009B5436"/>
    <w:rsid w:val="009B5509"/>
    <w:rsid w:val="009B5526"/>
    <w:rsid w:val="009B568C"/>
    <w:rsid w:val="009B5A8D"/>
    <w:rsid w:val="009B5B4B"/>
    <w:rsid w:val="009B5DC5"/>
    <w:rsid w:val="009B61B2"/>
    <w:rsid w:val="009B642C"/>
    <w:rsid w:val="009B661D"/>
    <w:rsid w:val="009B69DC"/>
    <w:rsid w:val="009B6C82"/>
    <w:rsid w:val="009B6F8A"/>
    <w:rsid w:val="009B780A"/>
    <w:rsid w:val="009B7930"/>
    <w:rsid w:val="009B7C24"/>
    <w:rsid w:val="009BB8B6"/>
    <w:rsid w:val="009C0153"/>
    <w:rsid w:val="009C03C0"/>
    <w:rsid w:val="009C0BC5"/>
    <w:rsid w:val="009C0C4D"/>
    <w:rsid w:val="009C1078"/>
    <w:rsid w:val="009C1165"/>
    <w:rsid w:val="009C125F"/>
    <w:rsid w:val="009C12B7"/>
    <w:rsid w:val="009C13A7"/>
    <w:rsid w:val="009C13D4"/>
    <w:rsid w:val="009C151B"/>
    <w:rsid w:val="009C15D9"/>
    <w:rsid w:val="009C1903"/>
    <w:rsid w:val="009C208C"/>
    <w:rsid w:val="009C250C"/>
    <w:rsid w:val="009C26F7"/>
    <w:rsid w:val="009C2725"/>
    <w:rsid w:val="009C2B6B"/>
    <w:rsid w:val="009C2CD4"/>
    <w:rsid w:val="009C2F02"/>
    <w:rsid w:val="009C2FC2"/>
    <w:rsid w:val="009C300E"/>
    <w:rsid w:val="009C356E"/>
    <w:rsid w:val="009C3E48"/>
    <w:rsid w:val="009C3EDD"/>
    <w:rsid w:val="009C4047"/>
    <w:rsid w:val="009C424B"/>
    <w:rsid w:val="009C459C"/>
    <w:rsid w:val="009C4CC1"/>
    <w:rsid w:val="009C4D6E"/>
    <w:rsid w:val="009C4EE0"/>
    <w:rsid w:val="009C5251"/>
    <w:rsid w:val="009C53AE"/>
    <w:rsid w:val="009C57D1"/>
    <w:rsid w:val="009C5D07"/>
    <w:rsid w:val="009C6347"/>
    <w:rsid w:val="009C655C"/>
    <w:rsid w:val="009C673A"/>
    <w:rsid w:val="009C6B6B"/>
    <w:rsid w:val="009C6D55"/>
    <w:rsid w:val="009C714D"/>
    <w:rsid w:val="009C7161"/>
    <w:rsid w:val="009C722A"/>
    <w:rsid w:val="009C75DF"/>
    <w:rsid w:val="009C77B5"/>
    <w:rsid w:val="009C7B0D"/>
    <w:rsid w:val="009C7F79"/>
    <w:rsid w:val="009D03BC"/>
    <w:rsid w:val="009D065E"/>
    <w:rsid w:val="009D0759"/>
    <w:rsid w:val="009D0B77"/>
    <w:rsid w:val="009D0B8A"/>
    <w:rsid w:val="009D0BA5"/>
    <w:rsid w:val="009D0C33"/>
    <w:rsid w:val="009D0DD3"/>
    <w:rsid w:val="009D1876"/>
    <w:rsid w:val="009D193D"/>
    <w:rsid w:val="009D1F8E"/>
    <w:rsid w:val="009D200A"/>
    <w:rsid w:val="009D201F"/>
    <w:rsid w:val="009D2447"/>
    <w:rsid w:val="009D271D"/>
    <w:rsid w:val="009D298D"/>
    <w:rsid w:val="009D2993"/>
    <w:rsid w:val="009D2A3D"/>
    <w:rsid w:val="009D2E40"/>
    <w:rsid w:val="009D2FFB"/>
    <w:rsid w:val="009D320C"/>
    <w:rsid w:val="009D33FD"/>
    <w:rsid w:val="009D3616"/>
    <w:rsid w:val="009D37EC"/>
    <w:rsid w:val="009D3C1D"/>
    <w:rsid w:val="009D3E4D"/>
    <w:rsid w:val="009D4065"/>
    <w:rsid w:val="009D4B2F"/>
    <w:rsid w:val="009D5108"/>
    <w:rsid w:val="009D5203"/>
    <w:rsid w:val="009D59AF"/>
    <w:rsid w:val="009D6350"/>
    <w:rsid w:val="009D6441"/>
    <w:rsid w:val="009D6899"/>
    <w:rsid w:val="009D68E6"/>
    <w:rsid w:val="009D6B13"/>
    <w:rsid w:val="009D6CC5"/>
    <w:rsid w:val="009D7334"/>
    <w:rsid w:val="009D75F3"/>
    <w:rsid w:val="009D7A64"/>
    <w:rsid w:val="009E0319"/>
    <w:rsid w:val="009E03CC"/>
    <w:rsid w:val="009E05C1"/>
    <w:rsid w:val="009E09AC"/>
    <w:rsid w:val="009E0AAE"/>
    <w:rsid w:val="009E0ADA"/>
    <w:rsid w:val="009E0B01"/>
    <w:rsid w:val="009E0B29"/>
    <w:rsid w:val="009E1348"/>
    <w:rsid w:val="009E13DD"/>
    <w:rsid w:val="009E15B9"/>
    <w:rsid w:val="009E1792"/>
    <w:rsid w:val="009E1B07"/>
    <w:rsid w:val="009E1B74"/>
    <w:rsid w:val="009E1F6F"/>
    <w:rsid w:val="009E1F7A"/>
    <w:rsid w:val="009E221E"/>
    <w:rsid w:val="009E2593"/>
    <w:rsid w:val="009E2813"/>
    <w:rsid w:val="009E29B4"/>
    <w:rsid w:val="009E2DBD"/>
    <w:rsid w:val="009E3260"/>
    <w:rsid w:val="009E329A"/>
    <w:rsid w:val="009E32AD"/>
    <w:rsid w:val="009E3313"/>
    <w:rsid w:val="009E3342"/>
    <w:rsid w:val="009E33BA"/>
    <w:rsid w:val="009E3536"/>
    <w:rsid w:val="009E37D7"/>
    <w:rsid w:val="009E3D76"/>
    <w:rsid w:val="009E3F2B"/>
    <w:rsid w:val="009E402D"/>
    <w:rsid w:val="009E405B"/>
    <w:rsid w:val="009E435B"/>
    <w:rsid w:val="009E43D9"/>
    <w:rsid w:val="009E478A"/>
    <w:rsid w:val="009E47B1"/>
    <w:rsid w:val="009E4941"/>
    <w:rsid w:val="009E4C67"/>
    <w:rsid w:val="009E4EB1"/>
    <w:rsid w:val="009E4F59"/>
    <w:rsid w:val="009E50DD"/>
    <w:rsid w:val="009E5875"/>
    <w:rsid w:val="009E5A1C"/>
    <w:rsid w:val="009E5E2B"/>
    <w:rsid w:val="009E5E49"/>
    <w:rsid w:val="009E620E"/>
    <w:rsid w:val="009E621E"/>
    <w:rsid w:val="009E6396"/>
    <w:rsid w:val="009E67B4"/>
    <w:rsid w:val="009E6BF8"/>
    <w:rsid w:val="009E6D1A"/>
    <w:rsid w:val="009E7306"/>
    <w:rsid w:val="009E74A5"/>
    <w:rsid w:val="009E7B89"/>
    <w:rsid w:val="009E7D8F"/>
    <w:rsid w:val="009E7DCC"/>
    <w:rsid w:val="009E7E08"/>
    <w:rsid w:val="009E7E38"/>
    <w:rsid w:val="009E7E91"/>
    <w:rsid w:val="009F031A"/>
    <w:rsid w:val="009F035C"/>
    <w:rsid w:val="009F03C7"/>
    <w:rsid w:val="009F07EA"/>
    <w:rsid w:val="009F0AA2"/>
    <w:rsid w:val="009F0B5B"/>
    <w:rsid w:val="009F140C"/>
    <w:rsid w:val="009F149E"/>
    <w:rsid w:val="009F158A"/>
    <w:rsid w:val="009F182D"/>
    <w:rsid w:val="009F1875"/>
    <w:rsid w:val="009F1FA0"/>
    <w:rsid w:val="009F2040"/>
    <w:rsid w:val="009F226C"/>
    <w:rsid w:val="009F2638"/>
    <w:rsid w:val="009F2C90"/>
    <w:rsid w:val="009F2CC0"/>
    <w:rsid w:val="009F2D15"/>
    <w:rsid w:val="009F2DE4"/>
    <w:rsid w:val="009F31A7"/>
    <w:rsid w:val="009F320A"/>
    <w:rsid w:val="009F332E"/>
    <w:rsid w:val="009F3479"/>
    <w:rsid w:val="009F3578"/>
    <w:rsid w:val="009F3740"/>
    <w:rsid w:val="009F408D"/>
    <w:rsid w:val="009F431C"/>
    <w:rsid w:val="009F432B"/>
    <w:rsid w:val="009F442C"/>
    <w:rsid w:val="009F5087"/>
    <w:rsid w:val="009F55E6"/>
    <w:rsid w:val="009F5B22"/>
    <w:rsid w:val="009F5C60"/>
    <w:rsid w:val="009F5D72"/>
    <w:rsid w:val="009F5E1D"/>
    <w:rsid w:val="009F5E9A"/>
    <w:rsid w:val="009F6259"/>
    <w:rsid w:val="009F62BB"/>
    <w:rsid w:val="009F64C0"/>
    <w:rsid w:val="009F674F"/>
    <w:rsid w:val="009F6809"/>
    <w:rsid w:val="009F6B02"/>
    <w:rsid w:val="009F709F"/>
    <w:rsid w:val="009F714B"/>
    <w:rsid w:val="009F7399"/>
    <w:rsid w:val="009F7484"/>
    <w:rsid w:val="009F7856"/>
    <w:rsid w:val="009F79EE"/>
    <w:rsid w:val="009F7D63"/>
    <w:rsid w:val="009F7E6D"/>
    <w:rsid w:val="00A00BBE"/>
    <w:rsid w:val="00A00CD0"/>
    <w:rsid w:val="00A00EBF"/>
    <w:rsid w:val="00A01230"/>
    <w:rsid w:val="00A012C8"/>
    <w:rsid w:val="00A017F8"/>
    <w:rsid w:val="00A017FC"/>
    <w:rsid w:val="00A02548"/>
    <w:rsid w:val="00A026C6"/>
    <w:rsid w:val="00A02A4D"/>
    <w:rsid w:val="00A02BC1"/>
    <w:rsid w:val="00A02C30"/>
    <w:rsid w:val="00A02C40"/>
    <w:rsid w:val="00A037D4"/>
    <w:rsid w:val="00A04005"/>
    <w:rsid w:val="00A040D3"/>
    <w:rsid w:val="00A0437C"/>
    <w:rsid w:val="00A04528"/>
    <w:rsid w:val="00A049FB"/>
    <w:rsid w:val="00A04A0F"/>
    <w:rsid w:val="00A04C07"/>
    <w:rsid w:val="00A04CB6"/>
    <w:rsid w:val="00A04EEF"/>
    <w:rsid w:val="00A050EF"/>
    <w:rsid w:val="00A05448"/>
    <w:rsid w:val="00A05840"/>
    <w:rsid w:val="00A058B8"/>
    <w:rsid w:val="00A05A1C"/>
    <w:rsid w:val="00A063F9"/>
    <w:rsid w:val="00A064C2"/>
    <w:rsid w:val="00A065FF"/>
    <w:rsid w:val="00A06803"/>
    <w:rsid w:val="00A06923"/>
    <w:rsid w:val="00A069A4"/>
    <w:rsid w:val="00A06BD4"/>
    <w:rsid w:val="00A06CDB"/>
    <w:rsid w:val="00A06F19"/>
    <w:rsid w:val="00A072C0"/>
    <w:rsid w:val="00A072CD"/>
    <w:rsid w:val="00A0764F"/>
    <w:rsid w:val="00A07656"/>
    <w:rsid w:val="00A0793B"/>
    <w:rsid w:val="00A07B1C"/>
    <w:rsid w:val="00A07B71"/>
    <w:rsid w:val="00A07C39"/>
    <w:rsid w:val="00A07E0C"/>
    <w:rsid w:val="00A10016"/>
    <w:rsid w:val="00A1027F"/>
    <w:rsid w:val="00A10284"/>
    <w:rsid w:val="00A102EE"/>
    <w:rsid w:val="00A1046C"/>
    <w:rsid w:val="00A10492"/>
    <w:rsid w:val="00A10BA5"/>
    <w:rsid w:val="00A10ED6"/>
    <w:rsid w:val="00A1118D"/>
    <w:rsid w:val="00A11454"/>
    <w:rsid w:val="00A119D2"/>
    <w:rsid w:val="00A11F14"/>
    <w:rsid w:val="00A12818"/>
    <w:rsid w:val="00A12B5D"/>
    <w:rsid w:val="00A12E10"/>
    <w:rsid w:val="00A12E98"/>
    <w:rsid w:val="00A13050"/>
    <w:rsid w:val="00A1308A"/>
    <w:rsid w:val="00A13392"/>
    <w:rsid w:val="00A1399C"/>
    <w:rsid w:val="00A13ACB"/>
    <w:rsid w:val="00A14023"/>
    <w:rsid w:val="00A146ED"/>
    <w:rsid w:val="00A14727"/>
    <w:rsid w:val="00A14A06"/>
    <w:rsid w:val="00A14A3A"/>
    <w:rsid w:val="00A14BF8"/>
    <w:rsid w:val="00A14D76"/>
    <w:rsid w:val="00A14FA5"/>
    <w:rsid w:val="00A15366"/>
    <w:rsid w:val="00A1567E"/>
    <w:rsid w:val="00A15BF0"/>
    <w:rsid w:val="00A15C78"/>
    <w:rsid w:val="00A162F8"/>
    <w:rsid w:val="00A16554"/>
    <w:rsid w:val="00A16764"/>
    <w:rsid w:val="00A16C31"/>
    <w:rsid w:val="00A172B4"/>
    <w:rsid w:val="00A17415"/>
    <w:rsid w:val="00A17490"/>
    <w:rsid w:val="00A177C3"/>
    <w:rsid w:val="00A1785C"/>
    <w:rsid w:val="00A17CCF"/>
    <w:rsid w:val="00A20063"/>
    <w:rsid w:val="00A20595"/>
    <w:rsid w:val="00A20C27"/>
    <w:rsid w:val="00A20DF4"/>
    <w:rsid w:val="00A20E4F"/>
    <w:rsid w:val="00A20F05"/>
    <w:rsid w:val="00A213E5"/>
    <w:rsid w:val="00A216A9"/>
    <w:rsid w:val="00A21A32"/>
    <w:rsid w:val="00A22103"/>
    <w:rsid w:val="00A22164"/>
    <w:rsid w:val="00A22448"/>
    <w:rsid w:val="00A2289E"/>
    <w:rsid w:val="00A229CB"/>
    <w:rsid w:val="00A22EE6"/>
    <w:rsid w:val="00A230A9"/>
    <w:rsid w:val="00A2364B"/>
    <w:rsid w:val="00A23955"/>
    <w:rsid w:val="00A23B74"/>
    <w:rsid w:val="00A23BE7"/>
    <w:rsid w:val="00A23FC3"/>
    <w:rsid w:val="00A23FD0"/>
    <w:rsid w:val="00A240E6"/>
    <w:rsid w:val="00A24532"/>
    <w:rsid w:val="00A245E6"/>
    <w:rsid w:val="00A248CA"/>
    <w:rsid w:val="00A249D3"/>
    <w:rsid w:val="00A24C37"/>
    <w:rsid w:val="00A24CCA"/>
    <w:rsid w:val="00A24D3C"/>
    <w:rsid w:val="00A24D8A"/>
    <w:rsid w:val="00A2564C"/>
    <w:rsid w:val="00A26111"/>
    <w:rsid w:val="00A26144"/>
    <w:rsid w:val="00A262DB"/>
    <w:rsid w:val="00A263FF"/>
    <w:rsid w:val="00A26735"/>
    <w:rsid w:val="00A26932"/>
    <w:rsid w:val="00A26E72"/>
    <w:rsid w:val="00A2702B"/>
    <w:rsid w:val="00A2730B"/>
    <w:rsid w:val="00A2746F"/>
    <w:rsid w:val="00A276EF"/>
    <w:rsid w:val="00A27A81"/>
    <w:rsid w:val="00A27B3C"/>
    <w:rsid w:val="00A27F7E"/>
    <w:rsid w:val="00A30400"/>
    <w:rsid w:val="00A3057B"/>
    <w:rsid w:val="00A30B2A"/>
    <w:rsid w:val="00A30BFF"/>
    <w:rsid w:val="00A30D41"/>
    <w:rsid w:val="00A310DF"/>
    <w:rsid w:val="00A31186"/>
    <w:rsid w:val="00A317AA"/>
    <w:rsid w:val="00A3190F"/>
    <w:rsid w:val="00A32449"/>
    <w:rsid w:val="00A324B3"/>
    <w:rsid w:val="00A32808"/>
    <w:rsid w:val="00A32C34"/>
    <w:rsid w:val="00A32D09"/>
    <w:rsid w:val="00A32EB6"/>
    <w:rsid w:val="00A331B8"/>
    <w:rsid w:val="00A335EE"/>
    <w:rsid w:val="00A33D88"/>
    <w:rsid w:val="00A34455"/>
    <w:rsid w:val="00A3482F"/>
    <w:rsid w:val="00A3486F"/>
    <w:rsid w:val="00A34939"/>
    <w:rsid w:val="00A34A2E"/>
    <w:rsid w:val="00A34BAA"/>
    <w:rsid w:val="00A355DD"/>
    <w:rsid w:val="00A35BA0"/>
    <w:rsid w:val="00A36010"/>
    <w:rsid w:val="00A36109"/>
    <w:rsid w:val="00A36416"/>
    <w:rsid w:val="00A36775"/>
    <w:rsid w:val="00A36AAF"/>
    <w:rsid w:val="00A36AF2"/>
    <w:rsid w:val="00A3720A"/>
    <w:rsid w:val="00A3721F"/>
    <w:rsid w:val="00A375D9"/>
    <w:rsid w:val="00A377C8"/>
    <w:rsid w:val="00A37B5D"/>
    <w:rsid w:val="00A37ED9"/>
    <w:rsid w:val="00A3D658"/>
    <w:rsid w:val="00A40252"/>
    <w:rsid w:val="00A403EB"/>
    <w:rsid w:val="00A40402"/>
    <w:rsid w:val="00A405C5"/>
    <w:rsid w:val="00A406BB"/>
    <w:rsid w:val="00A406F1"/>
    <w:rsid w:val="00A40B1C"/>
    <w:rsid w:val="00A40DF7"/>
    <w:rsid w:val="00A410E3"/>
    <w:rsid w:val="00A412B1"/>
    <w:rsid w:val="00A412D3"/>
    <w:rsid w:val="00A413BF"/>
    <w:rsid w:val="00A41592"/>
    <w:rsid w:val="00A41A1F"/>
    <w:rsid w:val="00A41CC7"/>
    <w:rsid w:val="00A41D7B"/>
    <w:rsid w:val="00A41DE3"/>
    <w:rsid w:val="00A41E61"/>
    <w:rsid w:val="00A41F94"/>
    <w:rsid w:val="00A42189"/>
    <w:rsid w:val="00A421BA"/>
    <w:rsid w:val="00A42271"/>
    <w:rsid w:val="00A4228B"/>
    <w:rsid w:val="00A42341"/>
    <w:rsid w:val="00A42CA8"/>
    <w:rsid w:val="00A42D34"/>
    <w:rsid w:val="00A42E0F"/>
    <w:rsid w:val="00A42EB2"/>
    <w:rsid w:val="00A42EFE"/>
    <w:rsid w:val="00A432D1"/>
    <w:rsid w:val="00A435E1"/>
    <w:rsid w:val="00A4368A"/>
    <w:rsid w:val="00A43944"/>
    <w:rsid w:val="00A44EAF"/>
    <w:rsid w:val="00A44F43"/>
    <w:rsid w:val="00A44F9F"/>
    <w:rsid w:val="00A45127"/>
    <w:rsid w:val="00A4518B"/>
    <w:rsid w:val="00A455BE"/>
    <w:rsid w:val="00A4566A"/>
    <w:rsid w:val="00A45695"/>
    <w:rsid w:val="00A45712"/>
    <w:rsid w:val="00A45870"/>
    <w:rsid w:val="00A459F2"/>
    <w:rsid w:val="00A4673A"/>
    <w:rsid w:val="00A46A8C"/>
    <w:rsid w:val="00A4703E"/>
    <w:rsid w:val="00A47204"/>
    <w:rsid w:val="00A472F8"/>
    <w:rsid w:val="00A4741E"/>
    <w:rsid w:val="00A475B7"/>
    <w:rsid w:val="00A47C1B"/>
    <w:rsid w:val="00A47F42"/>
    <w:rsid w:val="00A502DE"/>
    <w:rsid w:val="00A504D8"/>
    <w:rsid w:val="00A50635"/>
    <w:rsid w:val="00A50729"/>
    <w:rsid w:val="00A5072D"/>
    <w:rsid w:val="00A50A1D"/>
    <w:rsid w:val="00A51243"/>
    <w:rsid w:val="00A51497"/>
    <w:rsid w:val="00A5149A"/>
    <w:rsid w:val="00A51601"/>
    <w:rsid w:val="00A51D4F"/>
    <w:rsid w:val="00A51F54"/>
    <w:rsid w:val="00A520DE"/>
    <w:rsid w:val="00A52F68"/>
    <w:rsid w:val="00A531EA"/>
    <w:rsid w:val="00A535D6"/>
    <w:rsid w:val="00A53699"/>
    <w:rsid w:val="00A53839"/>
    <w:rsid w:val="00A53E7C"/>
    <w:rsid w:val="00A53F04"/>
    <w:rsid w:val="00A53FFC"/>
    <w:rsid w:val="00A5407B"/>
    <w:rsid w:val="00A543CB"/>
    <w:rsid w:val="00A5442A"/>
    <w:rsid w:val="00A5456E"/>
    <w:rsid w:val="00A5467A"/>
    <w:rsid w:val="00A548F5"/>
    <w:rsid w:val="00A54A70"/>
    <w:rsid w:val="00A54D23"/>
    <w:rsid w:val="00A54EB5"/>
    <w:rsid w:val="00A550CC"/>
    <w:rsid w:val="00A554FB"/>
    <w:rsid w:val="00A5550A"/>
    <w:rsid w:val="00A55958"/>
    <w:rsid w:val="00A55B66"/>
    <w:rsid w:val="00A5677B"/>
    <w:rsid w:val="00A56984"/>
    <w:rsid w:val="00A569DA"/>
    <w:rsid w:val="00A56AF1"/>
    <w:rsid w:val="00A56C38"/>
    <w:rsid w:val="00A56C97"/>
    <w:rsid w:val="00A56D44"/>
    <w:rsid w:val="00A56F09"/>
    <w:rsid w:val="00A56F7C"/>
    <w:rsid w:val="00A5724F"/>
    <w:rsid w:val="00A5742D"/>
    <w:rsid w:val="00A57A2B"/>
    <w:rsid w:val="00A57C15"/>
    <w:rsid w:val="00A60014"/>
    <w:rsid w:val="00A60162"/>
    <w:rsid w:val="00A6026C"/>
    <w:rsid w:val="00A60314"/>
    <w:rsid w:val="00A608F9"/>
    <w:rsid w:val="00A60C70"/>
    <w:rsid w:val="00A60E20"/>
    <w:rsid w:val="00A60E75"/>
    <w:rsid w:val="00A61447"/>
    <w:rsid w:val="00A614F6"/>
    <w:rsid w:val="00A6156E"/>
    <w:rsid w:val="00A615FD"/>
    <w:rsid w:val="00A618C4"/>
    <w:rsid w:val="00A61FD5"/>
    <w:rsid w:val="00A621EB"/>
    <w:rsid w:val="00A624EE"/>
    <w:rsid w:val="00A63222"/>
    <w:rsid w:val="00A63C17"/>
    <w:rsid w:val="00A63CBE"/>
    <w:rsid w:val="00A64107"/>
    <w:rsid w:val="00A64335"/>
    <w:rsid w:val="00A643D0"/>
    <w:rsid w:val="00A6456A"/>
    <w:rsid w:val="00A6464B"/>
    <w:rsid w:val="00A649A5"/>
    <w:rsid w:val="00A64BC3"/>
    <w:rsid w:val="00A64D70"/>
    <w:rsid w:val="00A64DC9"/>
    <w:rsid w:val="00A64EF4"/>
    <w:rsid w:val="00A64F4C"/>
    <w:rsid w:val="00A64F50"/>
    <w:rsid w:val="00A653F9"/>
    <w:rsid w:val="00A6550C"/>
    <w:rsid w:val="00A65608"/>
    <w:rsid w:val="00A65710"/>
    <w:rsid w:val="00A65A17"/>
    <w:rsid w:val="00A65A3B"/>
    <w:rsid w:val="00A6608A"/>
    <w:rsid w:val="00A661D3"/>
    <w:rsid w:val="00A66207"/>
    <w:rsid w:val="00A66878"/>
    <w:rsid w:val="00A66F71"/>
    <w:rsid w:val="00A671CD"/>
    <w:rsid w:val="00A674C9"/>
    <w:rsid w:val="00A67562"/>
    <w:rsid w:val="00A67563"/>
    <w:rsid w:val="00A67773"/>
    <w:rsid w:val="00A67854"/>
    <w:rsid w:val="00A67E33"/>
    <w:rsid w:val="00A701F3"/>
    <w:rsid w:val="00A70730"/>
    <w:rsid w:val="00A707D5"/>
    <w:rsid w:val="00A70853"/>
    <w:rsid w:val="00A708A2"/>
    <w:rsid w:val="00A70B04"/>
    <w:rsid w:val="00A710B1"/>
    <w:rsid w:val="00A711FB"/>
    <w:rsid w:val="00A714CF"/>
    <w:rsid w:val="00A7164F"/>
    <w:rsid w:val="00A717AE"/>
    <w:rsid w:val="00A71BD3"/>
    <w:rsid w:val="00A71C05"/>
    <w:rsid w:val="00A723AD"/>
    <w:rsid w:val="00A727E0"/>
    <w:rsid w:val="00A72AFA"/>
    <w:rsid w:val="00A7328F"/>
    <w:rsid w:val="00A734B7"/>
    <w:rsid w:val="00A7395C"/>
    <w:rsid w:val="00A73CD0"/>
    <w:rsid w:val="00A73F0B"/>
    <w:rsid w:val="00A74057"/>
    <w:rsid w:val="00A74351"/>
    <w:rsid w:val="00A7438D"/>
    <w:rsid w:val="00A74645"/>
    <w:rsid w:val="00A747C2"/>
    <w:rsid w:val="00A750A5"/>
    <w:rsid w:val="00A75177"/>
    <w:rsid w:val="00A75495"/>
    <w:rsid w:val="00A75568"/>
    <w:rsid w:val="00A75DC3"/>
    <w:rsid w:val="00A75F82"/>
    <w:rsid w:val="00A76797"/>
    <w:rsid w:val="00A768C4"/>
    <w:rsid w:val="00A76A63"/>
    <w:rsid w:val="00A76B40"/>
    <w:rsid w:val="00A76E8D"/>
    <w:rsid w:val="00A7779B"/>
    <w:rsid w:val="00A777D8"/>
    <w:rsid w:val="00A77899"/>
    <w:rsid w:val="00A7796D"/>
    <w:rsid w:val="00A77A4A"/>
    <w:rsid w:val="00A77CAB"/>
    <w:rsid w:val="00A77DC9"/>
    <w:rsid w:val="00A77F4A"/>
    <w:rsid w:val="00A8010A"/>
    <w:rsid w:val="00A8084A"/>
    <w:rsid w:val="00A80EE4"/>
    <w:rsid w:val="00A81385"/>
    <w:rsid w:val="00A8168B"/>
    <w:rsid w:val="00A81D25"/>
    <w:rsid w:val="00A81D29"/>
    <w:rsid w:val="00A81EF5"/>
    <w:rsid w:val="00A82546"/>
    <w:rsid w:val="00A826CE"/>
    <w:rsid w:val="00A82A96"/>
    <w:rsid w:val="00A82B8D"/>
    <w:rsid w:val="00A82C55"/>
    <w:rsid w:val="00A83382"/>
    <w:rsid w:val="00A835F8"/>
    <w:rsid w:val="00A8364C"/>
    <w:rsid w:val="00A836D3"/>
    <w:rsid w:val="00A83B12"/>
    <w:rsid w:val="00A83B20"/>
    <w:rsid w:val="00A83FF1"/>
    <w:rsid w:val="00A84160"/>
    <w:rsid w:val="00A8435D"/>
    <w:rsid w:val="00A84D70"/>
    <w:rsid w:val="00A84FAE"/>
    <w:rsid w:val="00A8503F"/>
    <w:rsid w:val="00A85255"/>
    <w:rsid w:val="00A85748"/>
    <w:rsid w:val="00A85AB9"/>
    <w:rsid w:val="00A86140"/>
    <w:rsid w:val="00A8651E"/>
    <w:rsid w:val="00A86612"/>
    <w:rsid w:val="00A867AD"/>
    <w:rsid w:val="00A86A9E"/>
    <w:rsid w:val="00A86BB0"/>
    <w:rsid w:val="00A87107"/>
    <w:rsid w:val="00A8720A"/>
    <w:rsid w:val="00A87227"/>
    <w:rsid w:val="00A878F7"/>
    <w:rsid w:val="00A90286"/>
    <w:rsid w:val="00A905D9"/>
    <w:rsid w:val="00A9093A"/>
    <w:rsid w:val="00A909B8"/>
    <w:rsid w:val="00A90A2B"/>
    <w:rsid w:val="00A90A50"/>
    <w:rsid w:val="00A91475"/>
    <w:rsid w:val="00A9184D"/>
    <w:rsid w:val="00A91907"/>
    <w:rsid w:val="00A91C05"/>
    <w:rsid w:val="00A91C5D"/>
    <w:rsid w:val="00A91FAA"/>
    <w:rsid w:val="00A920B6"/>
    <w:rsid w:val="00A922D8"/>
    <w:rsid w:val="00A926BE"/>
    <w:rsid w:val="00A92C9B"/>
    <w:rsid w:val="00A93110"/>
    <w:rsid w:val="00A93252"/>
    <w:rsid w:val="00A9396C"/>
    <w:rsid w:val="00A93B38"/>
    <w:rsid w:val="00A93F22"/>
    <w:rsid w:val="00A93FF9"/>
    <w:rsid w:val="00A941A7"/>
    <w:rsid w:val="00A9460E"/>
    <w:rsid w:val="00A946A4"/>
    <w:rsid w:val="00A94A2D"/>
    <w:rsid w:val="00A94CCB"/>
    <w:rsid w:val="00A95164"/>
    <w:rsid w:val="00A953FF"/>
    <w:rsid w:val="00A95498"/>
    <w:rsid w:val="00A95EA0"/>
    <w:rsid w:val="00A961C4"/>
    <w:rsid w:val="00A96286"/>
    <w:rsid w:val="00A96312"/>
    <w:rsid w:val="00A964AB"/>
    <w:rsid w:val="00A965A3"/>
    <w:rsid w:val="00A967C7"/>
    <w:rsid w:val="00A96920"/>
    <w:rsid w:val="00A96B49"/>
    <w:rsid w:val="00A9761F"/>
    <w:rsid w:val="00A9769D"/>
    <w:rsid w:val="00A97E52"/>
    <w:rsid w:val="00AA05BB"/>
    <w:rsid w:val="00AA0A49"/>
    <w:rsid w:val="00AA0B82"/>
    <w:rsid w:val="00AA0E47"/>
    <w:rsid w:val="00AA0E79"/>
    <w:rsid w:val="00AA1658"/>
    <w:rsid w:val="00AA174F"/>
    <w:rsid w:val="00AA1C26"/>
    <w:rsid w:val="00AA2036"/>
    <w:rsid w:val="00AA234B"/>
    <w:rsid w:val="00AA2374"/>
    <w:rsid w:val="00AA24CB"/>
    <w:rsid w:val="00AA255D"/>
    <w:rsid w:val="00AA2B23"/>
    <w:rsid w:val="00AA2DAD"/>
    <w:rsid w:val="00AA2FB8"/>
    <w:rsid w:val="00AA313A"/>
    <w:rsid w:val="00AA354C"/>
    <w:rsid w:val="00AA3738"/>
    <w:rsid w:val="00AA3D78"/>
    <w:rsid w:val="00AA3E20"/>
    <w:rsid w:val="00AA3E69"/>
    <w:rsid w:val="00AA3F2C"/>
    <w:rsid w:val="00AA438D"/>
    <w:rsid w:val="00AA4755"/>
    <w:rsid w:val="00AA49C8"/>
    <w:rsid w:val="00AA4AD2"/>
    <w:rsid w:val="00AA4BBB"/>
    <w:rsid w:val="00AA4BCF"/>
    <w:rsid w:val="00AA4C3F"/>
    <w:rsid w:val="00AA4CC1"/>
    <w:rsid w:val="00AA51D6"/>
    <w:rsid w:val="00AA541B"/>
    <w:rsid w:val="00AA5560"/>
    <w:rsid w:val="00AA5817"/>
    <w:rsid w:val="00AA5C88"/>
    <w:rsid w:val="00AA5F1B"/>
    <w:rsid w:val="00AA61F8"/>
    <w:rsid w:val="00AA6236"/>
    <w:rsid w:val="00AA656E"/>
    <w:rsid w:val="00AA67B9"/>
    <w:rsid w:val="00AA687E"/>
    <w:rsid w:val="00AA6A48"/>
    <w:rsid w:val="00AA6ACB"/>
    <w:rsid w:val="00AA6BEE"/>
    <w:rsid w:val="00AA6C7C"/>
    <w:rsid w:val="00AA70BB"/>
    <w:rsid w:val="00AA717C"/>
    <w:rsid w:val="00AA749B"/>
    <w:rsid w:val="00AA7725"/>
    <w:rsid w:val="00AA798D"/>
    <w:rsid w:val="00AA7A01"/>
    <w:rsid w:val="00AA7FC1"/>
    <w:rsid w:val="00AB0075"/>
    <w:rsid w:val="00AB083A"/>
    <w:rsid w:val="00AB09A4"/>
    <w:rsid w:val="00AB0A5E"/>
    <w:rsid w:val="00AB0CCC"/>
    <w:rsid w:val="00AB0D32"/>
    <w:rsid w:val="00AB2075"/>
    <w:rsid w:val="00AB2878"/>
    <w:rsid w:val="00AB309D"/>
    <w:rsid w:val="00AB326A"/>
    <w:rsid w:val="00AB33CE"/>
    <w:rsid w:val="00AB382A"/>
    <w:rsid w:val="00AB3A6A"/>
    <w:rsid w:val="00AB3B1D"/>
    <w:rsid w:val="00AB3C19"/>
    <w:rsid w:val="00AB3E9B"/>
    <w:rsid w:val="00AB3F2D"/>
    <w:rsid w:val="00AB42F5"/>
    <w:rsid w:val="00AB43E3"/>
    <w:rsid w:val="00AB451B"/>
    <w:rsid w:val="00AB4961"/>
    <w:rsid w:val="00AB4A88"/>
    <w:rsid w:val="00AB4BEF"/>
    <w:rsid w:val="00AB4CA7"/>
    <w:rsid w:val="00AB536B"/>
    <w:rsid w:val="00AB5BF6"/>
    <w:rsid w:val="00AB5BFF"/>
    <w:rsid w:val="00AB6570"/>
    <w:rsid w:val="00AB6972"/>
    <w:rsid w:val="00AB6C87"/>
    <w:rsid w:val="00AB790F"/>
    <w:rsid w:val="00AB7A71"/>
    <w:rsid w:val="00AB7CA5"/>
    <w:rsid w:val="00AB7D7A"/>
    <w:rsid w:val="00AB7E6D"/>
    <w:rsid w:val="00AB7F51"/>
    <w:rsid w:val="00AC0807"/>
    <w:rsid w:val="00AC0AEA"/>
    <w:rsid w:val="00AC0FD9"/>
    <w:rsid w:val="00AC1210"/>
    <w:rsid w:val="00AC1419"/>
    <w:rsid w:val="00AC1B57"/>
    <w:rsid w:val="00AC1DF8"/>
    <w:rsid w:val="00AC1F5B"/>
    <w:rsid w:val="00AC2135"/>
    <w:rsid w:val="00AC2189"/>
    <w:rsid w:val="00AC2C4B"/>
    <w:rsid w:val="00AC314D"/>
    <w:rsid w:val="00AC3438"/>
    <w:rsid w:val="00AC35D6"/>
    <w:rsid w:val="00AC3A76"/>
    <w:rsid w:val="00AC3A78"/>
    <w:rsid w:val="00AC3BA0"/>
    <w:rsid w:val="00AC3D12"/>
    <w:rsid w:val="00AC3FA9"/>
    <w:rsid w:val="00AC4177"/>
    <w:rsid w:val="00AC4264"/>
    <w:rsid w:val="00AC4803"/>
    <w:rsid w:val="00AC4997"/>
    <w:rsid w:val="00AC5368"/>
    <w:rsid w:val="00AC55EF"/>
    <w:rsid w:val="00AC5725"/>
    <w:rsid w:val="00AC5802"/>
    <w:rsid w:val="00AC5965"/>
    <w:rsid w:val="00AC5A12"/>
    <w:rsid w:val="00AC5A85"/>
    <w:rsid w:val="00AC5B7D"/>
    <w:rsid w:val="00AC5CB7"/>
    <w:rsid w:val="00AC5D3D"/>
    <w:rsid w:val="00AC5E1D"/>
    <w:rsid w:val="00AC5ED7"/>
    <w:rsid w:val="00AC5F3E"/>
    <w:rsid w:val="00AC5F53"/>
    <w:rsid w:val="00AC6484"/>
    <w:rsid w:val="00AC6507"/>
    <w:rsid w:val="00AC6555"/>
    <w:rsid w:val="00AC65BE"/>
    <w:rsid w:val="00AC68B4"/>
    <w:rsid w:val="00AC6A22"/>
    <w:rsid w:val="00AC6B6B"/>
    <w:rsid w:val="00AC6D84"/>
    <w:rsid w:val="00AC6FD0"/>
    <w:rsid w:val="00AC70E9"/>
    <w:rsid w:val="00AC71D6"/>
    <w:rsid w:val="00AC726B"/>
    <w:rsid w:val="00AC76DA"/>
    <w:rsid w:val="00AC77DB"/>
    <w:rsid w:val="00AC7AF4"/>
    <w:rsid w:val="00AC7D41"/>
    <w:rsid w:val="00AC7DCC"/>
    <w:rsid w:val="00AD005C"/>
    <w:rsid w:val="00AD03C8"/>
    <w:rsid w:val="00AD0462"/>
    <w:rsid w:val="00AD04FA"/>
    <w:rsid w:val="00AD050A"/>
    <w:rsid w:val="00AD08D9"/>
    <w:rsid w:val="00AD0C40"/>
    <w:rsid w:val="00AD0D4A"/>
    <w:rsid w:val="00AD104A"/>
    <w:rsid w:val="00AD104B"/>
    <w:rsid w:val="00AD10A2"/>
    <w:rsid w:val="00AD12A1"/>
    <w:rsid w:val="00AD18E7"/>
    <w:rsid w:val="00AD1B0E"/>
    <w:rsid w:val="00AD1C9B"/>
    <w:rsid w:val="00AD1D68"/>
    <w:rsid w:val="00AD1DE2"/>
    <w:rsid w:val="00AD20DB"/>
    <w:rsid w:val="00AD2166"/>
    <w:rsid w:val="00AD22D7"/>
    <w:rsid w:val="00AD2325"/>
    <w:rsid w:val="00AD2647"/>
    <w:rsid w:val="00AD26CF"/>
    <w:rsid w:val="00AD2733"/>
    <w:rsid w:val="00AD27CD"/>
    <w:rsid w:val="00AD28DC"/>
    <w:rsid w:val="00AD3214"/>
    <w:rsid w:val="00AD34B1"/>
    <w:rsid w:val="00AD3927"/>
    <w:rsid w:val="00AD3C84"/>
    <w:rsid w:val="00AD3D22"/>
    <w:rsid w:val="00AD3F24"/>
    <w:rsid w:val="00AD403F"/>
    <w:rsid w:val="00AD4183"/>
    <w:rsid w:val="00AD4278"/>
    <w:rsid w:val="00AD4414"/>
    <w:rsid w:val="00AD443E"/>
    <w:rsid w:val="00AD468E"/>
    <w:rsid w:val="00AD4BCB"/>
    <w:rsid w:val="00AD52E6"/>
    <w:rsid w:val="00AD56F7"/>
    <w:rsid w:val="00AD5789"/>
    <w:rsid w:val="00AD57BB"/>
    <w:rsid w:val="00AD5AF1"/>
    <w:rsid w:val="00AD5C25"/>
    <w:rsid w:val="00AD61BC"/>
    <w:rsid w:val="00AD63BC"/>
    <w:rsid w:val="00AD640A"/>
    <w:rsid w:val="00AD7058"/>
    <w:rsid w:val="00AD70A6"/>
    <w:rsid w:val="00AD7208"/>
    <w:rsid w:val="00AD744D"/>
    <w:rsid w:val="00AD777D"/>
    <w:rsid w:val="00AD7C13"/>
    <w:rsid w:val="00AD7E2F"/>
    <w:rsid w:val="00AD7EA8"/>
    <w:rsid w:val="00ADFB7A"/>
    <w:rsid w:val="00ADFC21"/>
    <w:rsid w:val="00AE012D"/>
    <w:rsid w:val="00AE014F"/>
    <w:rsid w:val="00AE027D"/>
    <w:rsid w:val="00AE04DD"/>
    <w:rsid w:val="00AE04F6"/>
    <w:rsid w:val="00AE0620"/>
    <w:rsid w:val="00AE0640"/>
    <w:rsid w:val="00AE0AE0"/>
    <w:rsid w:val="00AE0AE2"/>
    <w:rsid w:val="00AE0BDF"/>
    <w:rsid w:val="00AE0E4C"/>
    <w:rsid w:val="00AE11F4"/>
    <w:rsid w:val="00AE15F4"/>
    <w:rsid w:val="00AE1CAB"/>
    <w:rsid w:val="00AE1E50"/>
    <w:rsid w:val="00AE2517"/>
    <w:rsid w:val="00AE2768"/>
    <w:rsid w:val="00AE27C9"/>
    <w:rsid w:val="00AE2BC3"/>
    <w:rsid w:val="00AE2C4A"/>
    <w:rsid w:val="00AE3395"/>
    <w:rsid w:val="00AE3686"/>
    <w:rsid w:val="00AE3848"/>
    <w:rsid w:val="00AE389B"/>
    <w:rsid w:val="00AE3FDB"/>
    <w:rsid w:val="00AE44DB"/>
    <w:rsid w:val="00AE4739"/>
    <w:rsid w:val="00AE4FCE"/>
    <w:rsid w:val="00AE4FD6"/>
    <w:rsid w:val="00AE51C9"/>
    <w:rsid w:val="00AE54ED"/>
    <w:rsid w:val="00AE557D"/>
    <w:rsid w:val="00AE5A9E"/>
    <w:rsid w:val="00AE5ADD"/>
    <w:rsid w:val="00AE5CE1"/>
    <w:rsid w:val="00AE5F75"/>
    <w:rsid w:val="00AE5F7F"/>
    <w:rsid w:val="00AE6261"/>
    <w:rsid w:val="00AE6328"/>
    <w:rsid w:val="00AE6354"/>
    <w:rsid w:val="00AE65B0"/>
    <w:rsid w:val="00AE6B76"/>
    <w:rsid w:val="00AE6E1C"/>
    <w:rsid w:val="00AE7174"/>
    <w:rsid w:val="00AE7742"/>
    <w:rsid w:val="00AE7A95"/>
    <w:rsid w:val="00AF03B7"/>
    <w:rsid w:val="00AF0A2B"/>
    <w:rsid w:val="00AF0A58"/>
    <w:rsid w:val="00AF0E4C"/>
    <w:rsid w:val="00AF1101"/>
    <w:rsid w:val="00AF123D"/>
    <w:rsid w:val="00AF1414"/>
    <w:rsid w:val="00AF14B9"/>
    <w:rsid w:val="00AF1715"/>
    <w:rsid w:val="00AF1E08"/>
    <w:rsid w:val="00AF2146"/>
    <w:rsid w:val="00AF246F"/>
    <w:rsid w:val="00AF2860"/>
    <w:rsid w:val="00AF286E"/>
    <w:rsid w:val="00AF2B34"/>
    <w:rsid w:val="00AF2BA9"/>
    <w:rsid w:val="00AF2C6D"/>
    <w:rsid w:val="00AF2F97"/>
    <w:rsid w:val="00AF315B"/>
    <w:rsid w:val="00AF327B"/>
    <w:rsid w:val="00AF32AB"/>
    <w:rsid w:val="00AF3325"/>
    <w:rsid w:val="00AF34B6"/>
    <w:rsid w:val="00AF353E"/>
    <w:rsid w:val="00AF3631"/>
    <w:rsid w:val="00AF36F3"/>
    <w:rsid w:val="00AF3ADE"/>
    <w:rsid w:val="00AF3E07"/>
    <w:rsid w:val="00AF40EC"/>
    <w:rsid w:val="00AF422E"/>
    <w:rsid w:val="00AF45ED"/>
    <w:rsid w:val="00AF476E"/>
    <w:rsid w:val="00AF477D"/>
    <w:rsid w:val="00AF487C"/>
    <w:rsid w:val="00AF4FA6"/>
    <w:rsid w:val="00AF53A2"/>
    <w:rsid w:val="00AF53EC"/>
    <w:rsid w:val="00AF5401"/>
    <w:rsid w:val="00AF5600"/>
    <w:rsid w:val="00AF5679"/>
    <w:rsid w:val="00AF56DA"/>
    <w:rsid w:val="00AF6280"/>
    <w:rsid w:val="00AF63F0"/>
    <w:rsid w:val="00AF6978"/>
    <w:rsid w:val="00AF699F"/>
    <w:rsid w:val="00AF6BCD"/>
    <w:rsid w:val="00AF6D4C"/>
    <w:rsid w:val="00AF6E21"/>
    <w:rsid w:val="00AF6EFD"/>
    <w:rsid w:val="00AF7235"/>
    <w:rsid w:val="00AF72D2"/>
    <w:rsid w:val="00AF75C5"/>
    <w:rsid w:val="00AF7B6D"/>
    <w:rsid w:val="00AF7CB4"/>
    <w:rsid w:val="00AF7E5F"/>
    <w:rsid w:val="00B00002"/>
    <w:rsid w:val="00B001B9"/>
    <w:rsid w:val="00B00389"/>
    <w:rsid w:val="00B007CD"/>
    <w:rsid w:val="00B00928"/>
    <w:rsid w:val="00B00990"/>
    <w:rsid w:val="00B00CD3"/>
    <w:rsid w:val="00B0115C"/>
    <w:rsid w:val="00B0134B"/>
    <w:rsid w:val="00B01445"/>
    <w:rsid w:val="00B015B9"/>
    <w:rsid w:val="00B01C96"/>
    <w:rsid w:val="00B01CF4"/>
    <w:rsid w:val="00B01DBA"/>
    <w:rsid w:val="00B023CB"/>
    <w:rsid w:val="00B026D1"/>
    <w:rsid w:val="00B02845"/>
    <w:rsid w:val="00B02913"/>
    <w:rsid w:val="00B02ACD"/>
    <w:rsid w:val="00B02AD4"/>
    <w:rsid w:val="00B02C47"/>
    <w:rsid w:val="00B0320A"/>
    <w:rsid w:val="00B03675"/>
    <w:rsid w:val="00B036A2"/>
    <w:rsid w:val="00B03901"/>
    <w:rsid w:val="00B03A93"/>
    <w:rsid w:val="00B03BCD"/>
    <w:rsid w:val="00B03CA0"/>
    <w:rsid w:val="00B03E6A"/>
    <w:rsid w:val="00B0436E"/>
    <w:rsid w:val="00B0443D"/>
    <w:rsid w:val="00B0445B"/>
    <w:rsid w:val="00B04562"/>
    <w:rsid w:val="00B04A65"/>
    <w:rsid w:val="00B04BCD"/>
    <w:rsid w:val="00B05051"/>
    <w:rsid w:val="00B050A6"/>
    <w:rsid w:val="00B053E1"/>
    <w:rsid w:val="00B05663"/>
    <w:rsid w:val="00B058D4"/>
    <w:rsid w:val="00B05C33"/>
    <w:rsid w:val="00B05DD2"/>
    <w:rsid w:val="00B06385"/>
    <w:rsid w:val="00B06792"/>
    <w:rsid w:val="00B06CF9"/>
    <w:rsid w:val="00B06DAB"/>
    <w:rsid w:val="00B06DE9"/>
    <w:rsid w:val="00B0712F"/>
    <w:rsid w:val="00B07419"/>
    <w:rsid w:val="00B077A4"/>
    <w:rsid w:val="00B07E0E"/>
    <w:rsid w:val="00B07ED6"/>
    <w:rsid w:val="00B0CBFB"/>
    <w:rsid w:val="00B10279"/>
    <w:rsid w:val="00B1027F"/>
    <w:rsid w:val="00B104C9"/>
    <w:rsid w:val="00B10ACA"/>
    <w:rsid w:val="00B10D7E"/>
    <w:rsid w:val="00B10DFF"/>
    <w:rsid w:val="00B10E9B"/>
    <w:rsid w:val="00B11376"/>
    <w:rsid w:val="00B113DB"/>
    <w:rsid w:val="00B113FA"/>
    <w:rsid w:val="00B1191E"/>
    <w:rsid w:val="00B11E43"/>
    <w:rsid w:val="00B1209E"/>
    <w:rsid w:val="00B1229F"/>
    <w:rsid w:val="00B123E1"/>
    <w:rsid w:val="00B1267C"/>
    <w:rsid w:val="00B12817"/>
    <w:rsid w:val="00B128EC"/>
    <w:rsid w:val="00B12B66"/>
    <w:rsid w:val="00B12B6F"/>
    <w:rsid w:val="00B12EF2"/>
    <w:rsid w:val="00B12EFA"/>
    <w:rsid w:val="00B13352"/>
    <w:rsid w:val="00B13540"/>
    <w:rsid w:val="00B13911"/>
    <w:rsid w:val="00B13AD4"/>
    <w:rsid w:val="00B13B19"/>
    <w:rsid w:val="00B13BAA"/>
    <w:rsid w:val="00B13DD3"/>
    <w:rsid w:val="00B13E77"/>
    <w:rsid w:val="00B14372"/>
    <w:rsid w:val="00B1476C"/>
    <w:rsid w:val="00B14A9A"/>
    <w:rsid w:val="00B14F06"/>
    <w:rsid w:val="00B14F5C"/>
    <w:rsid w:val="00B1541D"/>
    <w:rsid w:val="00B15547"/>
    <w:rsid w:val="00B155CB"/>
    <w:rsid w:val="00B15613"/>
    <w:rsid w:val="00B15616"/>
    <w:rsid w:val="00B156FB"/>
    <w:rsid w:val="00B1570B"/>
    <w:rsid w:val="00B15869"/>
    <w:rsid w:val="00B15940"/>
    <w:rsid w:val="00B15AC6"/>
    <w:rsid w:val="00B15B84"/>
    <w:rsid w:val="00B15C29"/>
    <w:rsid w:val="00B160C2"/>
    <w:rsid w:val="00B16625"/>
    <w:rsid w:val="00B16B4C"/>
    <w:rsid w:val="00B16C59"/>
    <w:rsid w:val="00B16CA7"/>
    <w:rsid w:val="00B17191"/>
    <w:rsid w:val="00B17564"/>
    <w:rsid w:val="00B175B2"/>
    <w:rsid w:val="00B17A8F"/>
    <w:rsid w:val="00B20262"/>
    <w:rsid w:val="00B20461"/>
    <w:rsid w:val="00B20D6A"/>
    <w:rsid w:val="00B210F9"/>
    <w:rsid w:val="00B2126E"/>
    <w:rsid w:val="00B212D7"/>
    <w:rsid w:val="00B21315"/>
    <w:rsid w:val="00B2146C"/>
    <w:rsid w:val="00B2151E"/>
    <w:rsid w:val="00B21663"/>
    <w:rsid w:val="00B2175B"/>
    <w:rsid w:val="00B2184A"/>
    <w:rsid w:val="00B218BC"/>
    <w:rsid w:val="00B21D03"/>
    <w:rsid w:val="00B22152"/>
    <w:rsid w:val="00B229DB"/>
    <w:rsid w:val="00B229F1"/>
    <w:rsid w:val="00B22AC7"/>
    <w:rsid w:val="00B22B09"/>
    <w:rsid w:val="00B22F45"/>
    <w:rsid w:val="00B238F5"/>
    <w:rsid w:val="00B23C33"/>
    <w:rsid w:val="00B23D67"/>
    <w:rsid w:val="00B23F4B"/>
    <w:rsid w:val="00B23F82"/>
    <w:rsid w:val="00B23FDF"/>
    <w:rsid w:val="00B2414F"/>
    <w:rsid w:val="00B242C4"/>
    <w:rsid w:val="00B2451A"/>
    <w:rsid w:val="00B2456A"/>
    <w:rsid w:val="00B2462D"/>
    <w:rsid w:val="00B248E8"/>
    <w:rsid w:val="00B24C40"/>
    <w:rsid w:val="00B24D32"/>
    <w:rsid w:val="00B25126"/>
    <w:rsid w:val="00B254FF"/>
    <w:rsid w:val="00B25929"/>
    <w:rsid w:val="00B260E4"/>
    <w:rsid w:val="00B260F0"/>
    <w:rsid w:val="00B260FF"/>
    <w:rsid w:val="00B26234"/>
    <w:rsid w:val="00B26279"/>
    <w:rsid w:val="00B265D3"/>
    <w:rsid w:val="00B265E4"/>
    <w:rsid w:val="00B26A26"/>
    <w:rsid w:val="00B26A4D"/>
    <w:rsid w:val="00B26C0B"/>
    <w:rsid w:val="00B26E53"/>
    <w:rsid w:val="00B26E7F"/>
    <w:rsid w:val="00B270A9"/>
    <w:rsid w:val="00B27207"/>
    <w:rsid w:val="00B27308"/>
    <w:rsid w:val="00B275B5"/>
    <w:rsid w:val="00B27EAD"/>
    <w:rsid w:val="00B300E9"/>
    <w:rsid w:val="00B30218"/>
    <w:rsid w:val="00B302BB"/>
    <w:rsid w:val="00B30547"/>
    <w:rsid w:val="00B3095D"/>
    <w:rsid w:val="00B30B93"/>
    <w:rsid w:val="00B31031"/>
    <w:rsid w:val="00B317EE"/>
    <w:rsid w:val="00B3187C"/>
    <w:rsid w:val="00B31A08"/>
    <w:rsid w:val="00B31DCC"/>
    <w:rsid w:val="00B31E6A"/>
    <w:rsid w:val="00B32080"/>
    <w:rsid w:val="00B32208"/>
    <w:rsid w:val="00B323C6"/>
    <w:rsid w:val="00B32543"/>
    <w:rsid w:val="00B327EF"/>
    <w:rsid w:val="00B3297B"/>
    <w:rsid w:val="00B32C48"/>
    <w:rsid w:val="00B33C09"/>
    <w:rsid w:val="00B33F44"/>
    <w:rsid w:val="00B33FF7"/>
    <w:rsid w:val="00B34037"/>
    <w:rsid w:val="00B34217"/>
    <w:rsid w:val="00B34735"/>
    <w:rsid w:val="00B347F0"/>
    <w:rsid w:val="00B34B0E"/>
    <w:rsid w:val="00B34B55"/>
    <w:rsid w:val="00B34D74"/>
    <w:rsid w:val="00B34FC8"/>
    <w:rsid w:val="00B34FEE"/>
    <w:rsid w:val="00B3573D"/>
    <w:rsid w:val="00B35AD9"/>
    <w:rsid w:val="00B35B6D"/>
    <w:rsid w:val="00B35C80"/>
    <w:rsid w:val="00B35DAC"/>
    <w:rsid w:val="00B35FA8"/>
    <w:rsid w:val="00B360A3"/>
    <w:rsid w:val="00B36D30"/>
    <w:rsid w:val="00B36EF4"/>
    <w:rsid w:val="00B36F11"/>
    <w:rsid w:val="00B36FFE"/>
    <w:rsid w:val="00B37545"/>
    <w:rsid w:val="00B3757F"/>
    <w:rsid w:val="00B375D9"/>
    <w:rsid w:val="00B401FD"/>
    <w:rsid w:val="00B4027B"/>
    <w:rsid w:val="00B40467"/>
    <w:rsid w:val="00B404BA"/>
    <w:rsid w:val="00B40E4A"/>
    <w:rsid w:val="00B41036"/>
    <w:rsid w:val="00B4130D"/>
    <w:rsid w:val="00B41696"/>
    <w:rsid w:val="00B41770"/>
    <w:rsid w:val="00B41C76"/>
    <w:rsid w:val="00B42767"/>
    <w:rsid w:val="00B42DA3"/>
    <w:rsid w:val="00B42E80"/>
    <w:rsid w:val="00B43751"/>
    <w:rsid w:val="00B43B1C"/>
    <w:rsid w:val="00B43F32"/>
    <w:rsid w:val="00B4419F"/>
    <w:rsid w:val="00B443BC"/>
    <w:rsid w:val="00B44603"/>
    <w:rsid w:val="00B44A32"/>
    <w:rsid w:val="00B44AF1"/>
    <w:rsid w:val="00B44BC3"/>
    <w:rsid w:val="00B455EF"/>
    <w:rsid w:val="00B458D7"/>
    <w:rsid w:val="00B45995"/>
    <w:rsid w:val="00B45A0E"/>
    <w:rsid w:val="00B45B59"/>
    <w:rsid w:val="00B45CAC"/>
    <w:rsid w:val="00B4632C"/>
    <w:rsid w:val="00B46353"/>
    <w:rsid w:val="00B4641F"/>
    <w:rsid w:val="00B46457"/>
    <w:rsid w:val="00B46805"/>
    <w:rsid w:val="00B46A6F"/>
    <w:rsid w:val="00B46ADF"/>
    <w:rsid w:val="00B46AE7"/>
    <w:rsid w:val="00B46B16"/>
    <w:rsid w:val="00B46C91"/>
    <w:rsid w:val="00B46F5E"/>
    <w:rsid w:val="00B470B7"/>
    <w:rsid w:val="00B47551"/>
    <w:rsid w:val="00B475D5"/>
    <w:rsid w:val="00B47630"/>
    <w:rsid w:val="00B47C97"/>
    <w:rsid w:val="00B47D0A"/>
    <w:rsid w:val="00B47F9E"/>
    <w:rsid w:val="00B5028F"/>
    <w:rsid w:val="00B50381"/>
    <w:rsid w:val="00B503C0"/>
    <w:rsid w:val="00B50429"/>
    <w:rsid w:val="00B504FC"/>
    <w:rsid w:val="00B50515"/>
    <w:rsid w:val="00B505FC"/>
    <w:rsid w:val="00B506AB"/>
    <w:rsid w:val="00B5073E"/>
    <w:rsid w:val="00B50890"/>
    <w:rsid w:val="00B50902"/>
    <w:rsid w:val="00B50CD1"/>
    <w:rsid w:val="00B50EEA"/>
    <w:rsid w:val="00B51081"/>
    <w:rsid w:val="00B5187B"/>
    <w:rsid w:val="00B51DA9"/>
    <w:rsid w:val="00B51FBA"/>
    <w:rsid w:val="00B525DD"/>
    <w:rsid w:val="00B5277D"/>
    <w:rsid w:val="00B531CA"/>
    <w:rsid w:val="00B5329E"/>
    <w:rsid w:val="00B53397"/>
    <w:rsid w:val="00B53578"/>
    <w:rsid w:val="00B5381B"/>
    <w:rsid w:val="00B54214"/>
    <w:rsid w:val="00B547B3"/>
    <w:rsid w:val="00B54A60"/>
    <w:rsid w:val="00B54CEA"/>
    <w:rsid w:val="00B54F78"/>
    <w:rsid w:val="00B553AB"/>
    <w:rsid w:val="00B5563B"/>
    <w:rsid w:val="00B55799"/>
    <w:rsid w:val="00B55891"/>
    <w:rsid w:val="00B558B6"/>
    <w:rsid w:val="00B55C30"/>
    <w:rsid w:val="00B560C4"/>
    <w:rsid w:val="00B56961"/>
    <w:rsid w:val="00B56AE2"/>
    <w:rsid w:val="00B56DAB"/>
    <w:rsid w:val="00B5746D"/>
    <w:rsid w:val="00B57634"/>
    <w:rsid w:val="00B57698"/>
    <w:rsid w:val="00B576E8"/>
    <w:rsid w:val="00B5779D"/>
    <w:rsid w:val="00B577F5"/>
    <w:rsid w:val="00B57996"/>
    <w:rsid w:val="00B57DBA"/>
    <w:rsid w:val="00B60269"/>
    <w:rsid w:val="00B6026B"/>
    <w:rsid w:val="00B60291"/>
    <w:rsid w:val="00B604FB"/>
    <w:rsid w:val="00B60641"/>
    <w:rsid w:val="00B607EA"/>
    <w:rsid w:val="00B60853"/>
    <w:rsid w:val="00B60A88"/>
    <w:rsid w:val="00B60BED"/>
    <w:rsid w:val="00B60F12"/>
    <w:rsid w:val="00B61046"/>
    <w:rsid w:val="00B6128C"/>
    <w:rsid w:val="00B6135C"/>
    <w:rsid w:val="00B61413"/>
    <w:rsid w:val="00B614D1"/>
    <w:rsid w:val="00B617AB"/>
    <w:rsid w:val="00B61923"/>
    <w:rsid w:val="00B61924"/>
    <w:rsid w:val="00B61B0F"/>
    <w:rsid w:val="00B61CB7"/>
    <w:rsid w:val="00B61FE5"/>
    <w:rsid w:val="00B62564"/>
    <w:rsid w:val="00B62647"/>
    <w:rsid w:val="00B626C6"/>
    <w:rsid w:val="00B6287C"/>
    <w:rsid w:val="00B63333"/>
    <w:rsid w:val="00B63466"/>
    <w:rsid w:val="00B63534"/>
    <w:rsid w:val="00B63C25"/>
    <w:rsid w:val="00B63C94"/>
    <w:rsid w:val="00B63EC3"/>
    <w:rsid w:val="00B64358"/>
    <w:rsid w:val="00B643DE"/>
    <w:rsid w:val="00B649C2"/>
    <w:rsid w:val="00B64BB6"/>
    <w:rsid w:val="00B64EE0"/>
    <w:rsid w:val="00B653FF"/>
    <w:rsid w:val="00B65445"/>
    <w:rsid w:val="00B654D6"/>
    <w:rsid w:val="00B65882"/>
    <w:rsid w:val="00B65A97"/>
    <w:rsid w:val="00B65FD3"/>
    <w:rsid w:val="00B664FB"/>
    <w:rsid w:val="00B66AC2"/>
    <w:rsid w:val="00B66E43"/>
    <w:rsid w:val="00B66FAF"/>
    <w:rsid w:val="00B6706B"/>
    <w:rsid w:val="00B670B5"/>
    <w:rsid w:val="00B670DF"/>
    <w:rsid w:val="00B671C8"/>
    <w:rsid w:val="00B6758E"/>
    <w:rsid w:val="00B6765A"/>
    <w:rsid w:val="00B67C3C"/>
    <w:rsid w:val="00B67E5B"/>
    <w:rsid w:val="00B67E8C"/>
    <w:rsid w:val="00B702A9"/>
    <w:rsid w:val="00B702D2"/>
    <w:rsid w:val="00B706AB"/>
    <w:rsid w:val="00B70C1F"/>
    <w:rsid w:val="00B70E62"/>
    <w:rsid w:val="00B7109F"/>
    <w:rsid w:val="00B7113C"/>
    <w:rsid w:val="00B713A0"/>
    <w:rsid w:val="00B71513"/>
    <w:rsid w:val="00B71588"/>
    <w:rsid w:val="00B716FC"/>
    <w:rsid w:val="00B71AD7"/>
    <w:rsid w:val="00B721F6"/>
    <w:rsid w:val="00B72586"/>
    <w:rsid w:val="00B725DD"/>
    <w:rsid w:val="00B726B0"/>
    <w:rsid w:val="00B72701"/>
    <w:rsid w:val="00B729B2"/>
    <w:rsid w:val="00B72ABB"/>
    <w:rsid w:val="00B7310F"/>
    <w:rsid w:val="00B73269"/>
    <w:rsid w:val="00B7349C"/>
    <w:rsid w:val="00B73518"/>
    <w:rsid w:val="00B73555"/>
    <w:rsid w:val="00B7374B"/>
    <w:rsid w:val="00B738C9"/>
    <w:rsid w:val="00B73BA0"/>
    <w:rsid w:val="00B73D8A"/>
    <w:rsid w:val="00B73ED0"/>
    <w:rsid w:val="00B740D5"/>
    <w:rsid w:val="00B74161"/>
    <w:rsid w:val="00B741E9"/>
    <w:rsid w:val="00B742C1"/>
    <w:rsid w:val="00B74492"/>
    <w:rsid w:val="00B746AE"/>
    <w:rsid w:val="00B74812"/>
    <w:rsid w:val="00B74854"/>
    <w:rsid w:val="00B74858"/>
    <w:rsid w:val="00B7503B"/>
    <w:rsid w:val="00B75181"/>
    <w:rsid w:val="00B751AB"/>
    <w:rsid w:val="00B751EB"/>
    <w:rsid w:val="00B756EC"/>
    <w:rsid w:val="00B75984"/>
    <w:rsid w:val="00B75BF1"/>
    <w:rsid w:val="00B75CC3"/>
    <w:rsid w:val="00B75D91"/>
    <w:rsid w:val="00B75DA1"/>
    <w:rsid w:val="00B76083"/>
    <w:rsid w:val="00B76E76"/>
    <w:rsid w:val="00B76FAF"/>
    <w:rsid w:val="00B76FC5"/>
    <w:rsid w:val="00B77404"/>
    <w:rsid w:val="00B77656"/>
    <w:rsid w:val="00B77853"/>
    <w:rsid w:val="00B77A66"/>
    <w:rsid w:val="00B77D12"/>
    <w:rsid w:val="00B80211"/>
    <w:rsid w:val="00B802DB"/>
    <w:rsid w:val="00B80474"/>
    <w:rsid w:val="00B8080B"/>
    <w:rsid w:val="00B808E2"/>
    <w:rsid w:val="00B80B75"/>
    <w:rsid w:val="00B80B80"/>
    <w:rsid w:val="00B80E84"/>
    <w:rsid w:val="00B810DF"/>
    <w:rsid w:val="00B811DB"/>
    <w:rsid w:val="00B8133B"/>
    <w:rsid w:val="00B81408"/>
    <w:rsid w:val="00B822E7"/>
    <w:rsid w:val="00B8239D"/>
    <w:rsid w:val="00B825A1"/>
    <w:rsid w:val="00B82986"/>
    <w:rsid w:val="00B82A50"/>
    <w:rsid w:val="00B82F4F"/>
    <w:rsid w:val="00B83007"/>
    <w:rsid w:val="00B83452"/>
    <w:rsid w:val="00B83AC4"/>
    <w:rsid w:val="00B83B39"/>
    <w:rsid w:val="00B83BB6"/>
    <w:rsid w:val="00B841B4"/>
    <w:rsid w:val="00B844B2"/>
    <w:rsid w:val="00B84956"/>
    <w:rsid w:val="00B849B9"/>
    <w:rsid w:val="00B849D0"/>
    <w:rsid w:val="00B84D9A"/>
    <w:rsid w:val="00B8502C"/>
    <w:rsid w:val="00B85618"/>
    <w:rsid w:val="00B8582F"/>
    <w:rsid w:val="00B8590D"/>
    <w:rsid w:val="00B85E47"/>
    <w:rsid w:val="00B85F79"/>
    <w:rsid w:val="00B86172"/>
    <w:rsid w:val="00B86373"/>
    <w:rsid w:val="00B867E1"/>
    <w:rsid w:val="00B86878"/>
    <w:rsid w:val="00B86A53"/>
    <w:rsid w:val="00B86ACC"/>
    <w:rsid w:val="00B86D18"/>
    <w:rsid w:val="00B870CD"/>
    <w:rsid w:val="00B87156"/>
    <w:rsid w:val="00B87A17"/>
    <w:rsid w:val="00B87B13"/>
    <w:rsid w:val="00B87E94"/>
    <w:rsid w:val="00B87EEE"/>
    <w:rsid w:val="00B90488"/>
    <w:rsid w:val="00B905D4"/>
    <w:rsid w:val="00B90679"/>
    <w:rsid w:val="00B906CA"/>
    <w:rsid w:val="00B90CAB"/>
    <w:rsid w:val="00B90F52"/>
    <w:rsid w:val="00B912CD"/>
    <w:rsid w:val="00B91771"/>
    <w:rsid w:val="00B91A3F"/>
    <w:rsid w:val="00B91CF8"/>
    <w:rsid w:val="00B91D63"/>
    <w:rsid w:val="00B91E92"/>
    <w:rsid w:val="00B92636"/>
    <w:rsid w:val="00B92D55"/>
    <w:rsid w:val="00B92E5D"/>
    <w:rsid w:val="00B92E99"/>
    <w:rsid w:val="00B931C7"/>
    <w:rsid w:val="00B932BD"/>
    <w:rsid w:val="00B933C1"/>
    <w:rsid w:val="00B93414"/>
    <w:rsid w:val="00B9353F"/>
    <w:rsid w:val="00B93C1E"/>
    <w:rsid w:val="00B940B6"/>
    <w:rsid w:val="00B9412F"/>
    <w:rsid w:val="00B941FB"/>
    <w:rsid w:val="00B94A20"/>
    <w:rsid w:val="00B94AB6"/>
    <w:rsid w:val="00B94BB3"/>
    <w:rsid w:val="00B94BF6"/>
    <w:rsid w:val="00B94C3E"/>
    <w:rsid w:val="00B94F53"/>
    <w:rsid w:val="00B955C2"/>
    <w:rsid w:val="00B95960"/>
    <w:rsid w:val="00B95A4A"/>
    <w:rsid w:val="00B95A7D"/>
    <w:rsid w:val="00B95E95"/>
    <w:rsid w:val="00B961A4"/>
    <w:rsid w:val="00B96481"/>
    <w:rsid w:val="00B96747"/>
    <w:rsid w:val="00B969C0"/>
    <w:rsid w:val="00B96B81"/>
    <w:rsid w:val="00B96BC2"/>
    <w:rsid w:val="00B9730B"/>
    <w:rsid w:val="00B97570"/>
    <w:rsid w:val="00B97727"/>
    <w:rsid w:val="00B97B09"/>
    <w:rsid w:val="00B97B85"/>
    <w:rsid w:val="00B97EA8"/>
    <w:rsid w:val="00B97FB2"/>
    <w:rsid w:val="00BA03B1"/>
    <w:rsid w:val="00BA052E"/>
    <w:rsid w:val="00BA0581"/>
    <w:rsid w:val="00BA0E51"/>
    <w:rsid w:val="00BA0EBB"/>
    <w:rsid w:val="00BA12FE"/>
    <w:rsid w:val="00BA1AB9"/>
    <w:rsid w:val="00BA1AE3"/>
    <w:rsid w:val="00BA1E1E"/>
    <w:rsid w:val="00BA1E9F"/>
    <w:rsid w:val="00BA1FC4"/>
    <w:rsid w:val="00BA1FE5"/>
    <w:rsid w:val="00BA2187"/>
    <w:rsid w:val="00BA252D"/>
    <w:rsid w:val="00BA25DC"/>
    <w:rsid w:val="00BA28C6"/>
    <w:rsid w:val="00BA2D41"/>
    <w:rsid w:val="00BA3504"/>
    <w:rsid w:val="00BA35BD"/>
    <w:rsid w:val="00BA361C"/>
    <w:rsid w:val="00BA37CB"/>
    <w:rsid w:val="00BA3AF3"/>
    <w:rsid w:val="00BA3D16"/>
    <w:rsid w:val="00BA40AD"/>
    <w:rsid w:val="00BA444E"/>
    <w:rsid w:val="00BA45C0"/>
    <w:rsid w:val="00BA4B32"/>
    <w:rsid w:val="00BA4BA3"/>
    <w:rsid w:val="00BA4C6A"/>
    <w:rsid w:val="00BA4EB7"/>
    <w:rsid w:val="00BA50CF"/>
    <w:rsid w:val="00BA5377"/>
    <w:rsid w:val="00BA57D3"/>
    <w:rsid w:val="00BA5BCE"/>
    <w:rsid w:val="00BA6715"/>
    <w:rsid w:val="00BA6AE2"/>
    <w:rsid w:val="00BA6CAB"/>
    <w:rsid w:val="00BA6E3E"/>
    <w:rsid w:val="00BA7066"/>
    <w:rsid w:val="00BA71BE"/>
    <w:rsid w:val="00BA7518"/>
    <w:rsid w:val="00BA7561"/>
    <w:rsid w:val="00BA7771"/>
    <w:rsid w:val="00BA798F"/>
    <w:rsid w:val="00BA7E6B"/>
    <w:rsid w:val="00BB0399"/>
    <w:rsid w:val="00BB0596"/>
    <w:rsid w:val="00BB063C"/>
    <w:rsid w:val="00BB082F"/>
    <w:rsid w:val="00BB0A6A"/>
    <w:rsid w:val="00BB0DC4"/>
    <w:rsid w:val="00BB0EEB"/>
    <w:rsid w:val="00BB1651"/>
    <w:rsid w:val="00BB237F"/>
    <w:rsid w:val="00BB28DC"/>
    <w:rsid w:val="00BB2B57"/>
    <w:rsid w:val="00BB3876"/>
    <w:rsid w:val="00BB3EA5"/>
    <w:rsid w:val="00BB3EFB"/>
    <w:rsid w:val="00BB4743"/>
    <w:rsid w:val="00BB4AD3"/>
    <w:rsid w:val="00BB4EDF"/>
    <w:rsid w:val="00BB5E30"/>
    <w:rsid w:val="00BB5E4E"/>
    <w:rsid w:val="00BB5F9D"/>
    <w:rsid w:val="00BB62CB"/>
    <w:rsid w:val="00BB65B4"/>
    <w:rsid w:val="00BB689F"/>
    <w:rsid w:val="00BB68B1"/>
    <w:rsid w:val="00BB693F"/>
    <w:rsid w:val="00BB69E5"/>
    <w:rsid w:val="00BB69E8"/>
    <w:rsid w:val="00BB6AC5"/>
    <w:rsid w:val="00BB6EAC"/>
    <w:rsid w:val="00BB7340"/>
    <w:rsid w:val="00BB7AB9"/>
    <w:rsid w:val="00BB7BDE"/>
    <w:rsid w:val="00BBC18F"/>
    <w:rsid w:val="00BC00C0"/>
    <w:rsid w:val="00BC01AB"/>
    <w:rsid w:val="00BC02FD"/>
    <w:rsid w:val="00BC05EC"/>
    <w:rsid w:val="00BC0867"/>
    <w:rsid w:val="00BC0909"/>
    <w:rsid w:val="00BC09B2"/>
    <w:rsid w:val="00BC110A"/>
    <w:rsid w:val="00BC129D"/>
    <w:rsid w:val="00BC1A66"/>
    <w:rsid w:val="00BC1A83"/>
    <w:rsid w:val="00BC1AC5"/>
    <w:rsid w:val="00BC25C0"/>
    <w:rsid w:val="00BC2B58"/>
    <w:rsid w:val="00BC2CAE"/>
    <w:rsid w:val="00BC2D62"/>
    <w:rsid w:val="00BC2E4C"/>
    <w:rsid w:val="00BC3010"/>
    <w:rsid w:val="00BC31A0"/>
    <w:rsid w:val="00BC3523"/>
    <w:rsid w:val="00BC36E8"/>
    <w:rsid w:val="00BC39BD"/>
    <w:rsid w:val="00BC3AFD"/>
    <w:rsid w:val="00BC3CD9"/>
    <w:rsid w:val="00BC3D6F"/>
    <w:rsid w:val="00BC3F19"/>
    <w:rsid w:val="00BC43BB"/>
    <w:rsid w:val="00BC4C11"/>
    <w:rsid w:val="00BC4E39"/>
    <w:rsid w:val="00BC4FF3"/>
    <w:rsid w:val="00BC5512"/>
    <w:rsid w:val="00BC569F"/>
    <w:rsid w:val="00BC5A02"/>
    <w:rsid w:val="00BC5B8A"/>
    <w:rsid w:val="00BC5CA5"/>
    <w:rsid w:val="00BC5D10"/>
    <w:rsid w:val="00BC6172"/>
    <w:rsid w:val="00BC619C"/>
    <w:rsid w:val="00BC6291"/>
    <w:rsid w:val="00BC6453"/>
    <w:rsid w:val="00BC6D23"/>
    <w:rsid w:val="00BC6F22"/>
    <w:rsid w:val="00BC75D2"/>
    <w:rsid w:val="00BC7B10"/>
    <w:rsid w:val="00BC7D3D"/>
    <w:rsid w:val="00BD00EB"/>
    <w:rsid w:val="00BD012E"/>
    <w:rsid w:val="00BD0265"/>
    <w:rsid w:val="00BD0A5C"/>
    <w:rsid w:val="00BD0C0C"/>
    <w:rsid w:val="00BD0F18"/>
    <w:rsid w:val="00BD0F5E"/>
    <w:rsid w:val="00BD10CF"/>
    <w:rsid w:val="00BD1164"/>
    <w:rsid w:val="00BD1168"/>
    <w:rsid w:val="00BD1365"/>
    <w:rsid w:val="00BD1B1B"/>
    <w:rsid w:val="00BD2957"/>
    <w:rsid w:val="00BD2996"/>
    <w:rsid w:val="00BD2D68"/>
    <w:rsid w:val="00BD2E34"/>
    <w:rsid w:val="00BD2E8B"/>
    <w:rsid w:val="00BD2FF0"/>
    <w:rsid w:val="00BD34C6"/>
    <w:rsid w:val="00BD3837"/>
    <w:rsid w:val="00BD3CBA"/>
    <w:rsid w:val="00BD3FF9"/>
    <w:rsid w:val="00BD40B2"/>
    <w:rsid w:val="00BD4658"/>
    <w:rsid w:val="00BD4779"/>
    <w:rsid w:val="00BD4AD1"/>
    <w:rsid w:val="00BD4D1D"/>
    <w:rsid w:val="00BD4EEA"/>
    <w:rsid w:val="00BD5581"/>
    <w:rsid w:val="00BD5595"/>
    <w:rsid w:val="00BD5BED"/>
    <w:rsid w:val="00BD5C69"/>
    <w:rsid w:val="00BD6117"/>
    <w:rsid w:val="00BD624E"/>
    <w:rsid w:val="00BD6367"/>
    <w:rsid w:val="00BD6AAF"/>
    <w:rsid w:val="00BD6C2D"/>
    <w:rsid w:val="00BD6DFA"/>
    <w:rsid w:val="00BD73CA"/>
    <w:rsid w:val="00BD77BD"/>
    <w:rsid w:val="00BD7FC6"/>
    <w:rsid w:val="00BE0062"/>
    <w:rsid w:val="00BE0142"/>
    <w:rsid w:val="00BE0479"/>
    <w:rsid w:val="00BE13A2"/>
    <w:rsid w:val="00BE1BF2"/>
    <w:rsid w:val="00BE204B"/>
    <w:rsid w:val="00BE2350"/>
    <w:rsid w:val="00BE295F"/>
    <w:rsid w:val="00BE2B6E"/>
    <w:rsid w:val="00BE2D81"/>
    <w:rsid w:val="00BE300E"/>
    <w:rsid w:val="00BE325F"/>
    <w:rsid w:val="00BE33BE"/>
    <w:rsid w:val="00BE34D5"/>
    <w:rsid w:val="00BE3635"/>
    <w:rsid w:val="00BE3810"/>
    <w:rsid w:val="00BE38E7"/>
    <w:rsid w:val="00BE39C8"/>
    <w:rsid w:val="00BE3AFF"/>
    <w:rsid w:val="00BE3B9D"/>
    <w:rsid w:val="00BE3F09"/>
    <w:rsid w:val="00BE3F3E"/>
    <w:rsid w:val="00BE3F6D"/>
    <w:rsid w:val="00BE418A"/>
    <w:rsid w:val="00BE45E4"/>
    <w:rsid w:val="00BE4C7B"/>
    <w:rsid w:val="00BE4FB5"/>
    <w:rsid w:val="00BE508F"/>
    <w:rsid w:val="00BE5577"/>
    <w:rsid w:val="00BE56DF"/>
    <w:rsid w:val="00BE5769"/>
    <w:rsid w:val="00BE5B7A"/>
    <w:rsid w:val="00BE5C75"/>
    <w:rsid w:val="00BE5FA7"/>
    <w:rsid w:val="00BE657E"/>
    <w:rsid w:val="00BE6EAC"/>
    <w:rsid w:val="00BE7367"/>
    <w:rsid w:val="00BE74DA"/>
    <w:rsid w:val="00BE74DB"/>
    <w:rsid w:val="00BE7515"/>
    <w:rsid w:val="00BE77CA"/>
    <w:rsid w:val="00BE7A2E"/>
    <w:rsid w:val="00BE7C44"/>
    <w:rsid w:val="00BE7EAC"/>
    <w:rsid w:val="00BE7FE6"/>
    <w:rsid w:val="00BF0422"/>
    <w:rsid w:val="00BF05AD"/>
    <w:rsid w:val="00BF0AB4"/>
    <w:rsid w:val="00BF0DCE"/>
    <w:rsid w:val="00BF0E38"/>
    <w:rsid w:val="00BF16FE"/>
    <w:rsid w:val="00BF1C1B"/>
    <w:rsid w:val="00BF1C21"/>
    <w:rsid w:val="00BF1E50"/>
    <w:rsid w:val="00BF2034"/>
    <w:rsid w:val="00BF229B"/>
    <w:rsid w:val="00BF2548"/>
    <w:rsid w:val="00BF275D"/>
    <w:rsid w:val="00BF2BFA"/>
    <w:rsid w:val="00BF2D14"/>
    <w:rsid w:val="00BF2FDC"/>
    <w:rsid w:val="00BF30E7"/>
    <w:rsid w:val="00BF343D"/>
    <w:rsid w:val="00BF34C7"/>
    <w:rsid w:val="00BF385B"/>
    <w:rsid w:val="00BF3B97"/>
    <w:rsid w:val="00BF3E75"/>
    <w:rsid w:val="00BF416F"/>
    <w:rsid w:val="00BF4665"/>
    <w:rsid w:val="00BF479D"/>
    <w:rsid w:val="00BF4877"/>
    <w:rsid w:val="00BF4B7D"/>
    <w:rsid w:val="00BF4F22"/>
    <w:rsid w:val="00BF580D"/>
    <w:rsid w:val="00BF5844"/>
    <w:rsid w:val="00BF5927"/>
    <w:rsid w:val="00BF5B54"/>
    <w:rsid w:val="00BF5C10"/>
    <w:rsid w:val="00BF610F"/>
    <w:rsid w:val="00BF64AC"/>
    <w:rsid w:val="00BF6581"/>
    <w:rsid w:val="00BF6799"/>
    <w:rsid w:val="00BF6821"/>
    <w:rsid w:val="00BF6979"/>
    <w:rsid w:val="00BF6DE2"/>
    <w:rsid w:val="00BF6E32"/>
    <w:rsid w:val="00BF6E72"/>
    <w:rsid w:val="00BF7060"/>
    <w:rsid w:val="00BF7105"/>
    <w:rsid w:val="00BF72EF"/>
    <w:rsid w:val="00BF730F"/>
    <w:rsid w:val="00BF7756"/>
    <w:rsid w:val="00BF7D6F"/>
    <w:rsid w:val="00BF7E6C"/>
    <w:rsid w:val="00C002C9"/>
    <w:rsid w:val="00C00350"/>
    <w:rsid w:val="00C00574"/>
    <w:rsid w:val="00C005F2"/>
    <w:rsid w:val="00C006A2"/>
    <w:rsid w:val="00C00A2A"/>
    <w:rsid w:val="00C00AAC"/>
    <w:rsid w:val="00C011A8"/>
    <w:rsid w:val="00C01BF8"/>
    <w:rsid w:val="00C01E74"/>
    <w:rsid w:val="00C01EA0"/>
    <w:rsid w:val="00C01FB2"/>
    <w:rsid w:val="00C021BA"/>
    <w:rsid w:val="00C02675"/>
    <w:rsid w:val="00C02C92"/>
    <w:rsid w:val="00C03575"/>
    <w:rsid w:val="00C0379E"/>
    <w:rsid w:val="00C03E79"/>
    <w:rsid w:val="00C03ED9"/>
    <w:rsid w:val="00C0408B"/>
    <w:rsid w:val="00C043B3"/>
    <w:rsid w:val="00C043D3"/>
    <w:rsid w:val="00C0450F"/>
    <w:rsid w:val="00C0465F"/>
    <w:rsid w:val="00C047ED"/>
    <w:rsid w:val="00C04BB1"/>
    <w:rsid w:val="00C04C1C"/>
    <w:rsid w:val="00C04F41"/>
    <w:rsid w:val="00C04FDA"/>
    <w:rsid w:val="00C052D5"/>
    <w:rsid w:val="00C053DF"/>
    <w:rsid w:val="00C061CE"/>
    <w:rsid w:val="00C061DA"/>
    <w:rsid w:val="00C06735"/>
    <w:rsid w:val="00C06E06"/>
    <w:rsid w:val="00C0761D"/>
    <w:rsid w:val="00C07942"/>
    <w:rsid w:val="00C0795B"/>
    <w:rsid w:val="00C07B9A"/>
    <w:rsid w:val="00C07FC7"/>
    <w:rsid w:val="00C104B7"/>
    <w:rsid w:val="00C105D7"/>
    <w:rsid w:val="00C10803"/>
    <w:rsid w:val="00C10A02"/>
    <w:rsid w:val="00C10CC1"/>
    <w:rsid w:val="00C112E8"/>
    <w:rsid w:val="00C113C6"/>
    <w:rsid w:val="00C11611"/>
    <w:rsid w:val="00C1191D"/>
    <w:rsid w:val="00C11A24"/>
    <w:rsid w:val="00C11C4D"/>
    <w:rsid w:val="00C11FB4"/>
    <w:rsid w:val="00C11FC4"/>
    <w:rsid w:val="00C1224D"/>
    <w:rsid w:val="00C12545"/>
    <w:rsid w:val="00C125D0"/>
    <w:rsid w:val="00C12AC9"/>
    <w:rsid w:val="00C12B37"/>
    <w:rsid w:val="00C1371C"/>
    <w:rsid w:val="00C13D8D"/>
    <w:rsid w:val="00C143A6"/>
    <w:rsid w:val="00C14516"/>
    <w:rsid w:val="00C14791"/>
    <w:rsid w:val="00C14819"/>
    <w:rsid w:val="00C14EF9"/>
    <w:rsid w:val="00C150DC"/>
    <w:rsid w:val="00C1530A"/>
    <w:rsid w:val="00C154B3"/>
    <w:rsid w:val="00C15656"/>
    <w:rsid w:val="00C157DD"/>
    <w:rsid w:val="00C158A0"/>
    <w:rsid w:val="00C15BF0"/>
    <w:rsid w:val="00C15C7E"/>
    <w:rsid w:val="00C164BF"/>
    <w:rsid w:val="00C16BBB"/>
    <w:rsid w:val="00C16F19"/>
    <w:rsid w:val="00C17837"/>
    <w:rsid w:val="00C17ADE"/>
    <w:rsid w:val="00C17DE5"/>
    <w:rsid w:val="00C17EED"/>
    <w:rsid w:val="00C17F95"/>
    <w:rsid w:val="00C20151"/>
    <w:rsid w:val="00C203E8"/>
    <w:rsid w:val="00C2074B"/>
    <w:rsid w:val="00C2094E"/>
    <w:rsid w:val="00C20AA6"/>
    <w:rsid w:val="00C20B2F"/>
    <w:rsid w:val="00C20CB6"/>
    <w:rsid w:val="00C20CE5"/>
    <w:rsid w:val="00C20D18"/>
    <w:rsid w:val="00C20FE6"/>
    <w:rsid w:val="00C211AD"/>
    <w:rsid w:val="00C21309"/>
    <w:rsid w:val="00C214D4"/>
    <w:rsid w:val="00C21716"/>
    <w:rsid w:val="00C2186C"/>
    <w:rsid w:val="00C21997"/>
    <w:rsid w:val="00C219DB"/>
    <w:rsid w:val="00C21AB9"/>
    <w:rsid w:val="00C21B1A"/>
    <w:rsid w:val="00C21BB1"/>
    <w:rsid w:val="00C2231C"/>
    <w:rsid w:val="00C2234B"/>
    <w:rsid w:val="00C224CC"/>
    <w:rsid w:val="00C2255A"/>
    <w:rsid w:val="00C22677"/>
    <w:rsid w:val="00C22D2F"/>
    <w:rsid w:val="00C22DEB"/>
    <w:rsid w:val="00C22FAB"/>
    <w:rsid w:val="00C233A0"/>
    <w:rsid w:val="00C23881"/>
    <w:rsid w:val="00C23A1E"/>
    <w:rsid w:val="00C23BC0"/>
    <w:rsid w:val="00C24120"/>
    <w:rsid w:val="00C24630"/>
    <w:rsid w:val="00C2475D"/>
    <w:rsid w:val="00C2492E"/>
    <w:rsid w:val="00C24AA0"/>
    <w:rsid w:val="00C24BBD"/>
    <w:rsid w:val="00C24E5D"/>
    <w:rsid w:val="00C24F75"/>
    <w:rsid w:val="00C25566"/>
    <w:rsid w:val="00C25982"/>
    <w:rsid w:val="00C25A80"/>
    <w:rsid w:val="00C25F27"/>
    <w:rsid w:val="00C261D3"/>
    <w:rsid w:val="00C267E4"/>
    <w:rsid w:val="00C2682C"/>
    <w:rsid w:val="00C2683B"/>
    <w:rsid w:val="00C26B55"/>
    <w:rsid w:val="00C26B72"/>
    <w:rsid w:val="00C26CC5"/>
    <w:rsid w:val="00C26F59"/>
    <w:rsid w:val="00C270EC"/>
    <w:rsid w:val="00C2712C"/>
    <w:rsid w:val="00C271DD"/>
    <w:rsid w:val="00C27384"/>
    <w:rsid w:val="00C27464"/>
    <w:rsid w:val="00C274AF"/>
    <w:rsid w:val="00C27714"/>
    <w:rsid w:val="00C27894"/>
    <w:rsid w:val="00C279EC"/>
    <w:rsid w:val="00C27DF8"/>
    <w:rsid w:val="00C300C5"/>
    <w:rsid w:val="00C30705"/>
    <w:rsid w:val="00C3085C"/>
    <w:rsid w:val="00C30B11"/>
    <w:rsid w:val="00C30CC8"/>
    <w:rsid w:val="00C30CCB"/>
    <w:rsid w:val="00C30EFB"/>
    <w:rsid w:val="00C313C6"/>
    <w:rsid w:val="00C313DE"/>
    <w:rsid w:val="00C3151F"/>
    <w:rsid w:val="00C31737"/>
    <w:rsid w:val="00C31AB6"/>
    <w:rsid w:val="00C31C80"/>
    <w:rsid w:val="00C31CE8"/>
    <w:rsid w:val="00C3260C"/>
    <w:rsid w:val="00C32B85"/>
    <w:rsid w:val="00C32F32"/>
    <w:rsid w:val="00C3308D"/>
    <w:rsid w:val="00C337D4"/>
    <w:rsid w:val="00C3393B"/>
    <w:rsid w:val="00C33E7D"/>
    <w:rsid w:val="00C340CE"/>
    <w:rsid w:val="00C3429D"/>
    <w:rsid w:val="00C34366"/>
    <w:rsid w:val="00C343A9"/>
    <w:rsid w:val="00C34604"/>
    <w:rsid w:val="00C346EC"/>
    <w:rsid w:val="00C349C0"/>
    <w:rsid w:val="00C34D44"/>
    <w:rsid w:val="00C3507A"/>
    <w:rsid w:val="00C3540C"/>
    <w:rsid w:val="00C35441"/>
    <w:rsid w:val="00C35450"/>
    <w:rsid w:val="00C3545A"/>
    <w:rsid w:val="00C35AD3"/>
    <w:rsid w:val="00C36571"/>
    <w:rsid w:val="00C3675F"/>
    <w:rsid w:val="00C36BA3"/>
    <w:rsid w:val="00C36D6A"/>
    <w:rsid w:val="00C36DB4"/>
    <w:rsid w:val="00C36EC8"/>
    <w:rsid w:val="00C3743F"/>
    <w:rsid w:val="00C37E88"/>
    <w:rsid w:val="00C4034E"/>
    <w:rsid w:val="00C4044C"/>
    <w:rsid w:val="00C4049B"/>
    <w:rsid w:val="00C407B2"/>
    <w:rsid w:val="00C4083F"/>
    <w:rsid w:val="00C40F5A"/>
    <w:rsid w:val="00C40FC5"/>
    <w:rsid w:val="00C4108F"/>
    <w:rsid w:val="00C41138"/>
    <w:rsid w:val="00C41198"/>
    <w:rsid w:val="00C4191C"/>
    <w:rsid w:val="00C41C5F"/>
    <w:rsid w:val="00C42652"/>
    <w:rsid w:val="00C42673"/>
    <w:rsid w:val="00C4271C"/>
    <w:rsid w:val="00C4274C"/>
    <w:rsid w:val="00C428D8"/>
    <w:rsid w:val="00C42989"/>
    <w:rsid w:val="00C4299E"/>
    <w:rsid w:val="00C42B4B"/>
    <w:rsid w:val="00C43192"/>
    <w:rsid w:val="00C43257"/>
    <w:rsid w:val="00C433A1"/>
    <w:rsid w:val="00C4351D"/>
    <w:rsid w:val="00C43817"/>
    <w:rsid w:val="00C4384A"/>
    <w:rsid w:val="00C43D03"/>
    <w:rsid w:val="00C44121"/>
    <w:rsid w:val="00C44303"/>
    <w:rsid w:val="00C449CB"/>
    <w:rsid w:val="00C44D21"/>
    <w:rsid w:val="00C45164"/>
    <w:rsid w:val="00C45240"/>
    <w:rsid w:val="00C45389"/>
    <w:rsid w:val="00C4563B"/>
    <w:rsid w:val="00C45785"/>
    <w:rsid w:val="00C458A5"/>
    <w:rsid w:val="00C45A58"/>
    <w:rsid w:val="00C45B8F"/>
    <w:rsid w:val="00C45D4C"/>
    <w:rsid w:val="00C45F67"/>
    <w:rsid w:val="00C45FE2"/>
    <w:rsid w:val="00C460E5"/>
    <w:rsid w:val="00C462A6"/>
    <w:rsid w:val="00C466B5"/>
    <w:rsid w:val="00C4680B"/>
    <w:rsid w:val="00C468C0"/>
    <w:rsid w:val="00C46BA2"/>
    <w:rsid w:val="00C46E91"/>
    <w:rsid w:val="00C47049"/>
    <w:rsid w:val="00C47269"/>
    <w:rsid w:val="00C479A4"/>
    <w:rsid w:val="00C47CC9"/>
    <w:rsid w:val="00C47DBA"/>
    <w:rsid w:val="00C4A4A9"/>
    <w:rsid w:val="00C500B2"/>
    <w:rsid w:val="00C50221"/>
    <w:rsid w:val="00C5028C"/>
    <w:rsid w:val="00C507B1"/>
    <w:rsid w:val="00C51067"/>
    <w:rsid w:val="00C513DB"/>
    <w:rsid w:val="00C5146F"/>
    <w:rsid w:val="00C51476"/>
    <w:rsid w:val="00C51B92"/>
    <w:rsid w:val="00C51D35"/>
    <w:rsid w:val="00C51E55"/>
    <w:rsid w:val="00C51F48"/>
    <w:rsid w:val="00C52654"/>
    <w:rsid w:val="00C52B5E"/>
    <w:rsid w:val="00C53101"/>
    <w:rsid w:val="00C53783"/>
    <w:rsid w:val="00C53BB9"/>
    <w:rsid w:val="00C543B1"/>
    <w:rsid w:val="00C54724"/>
    <w:rsid w:val="00C54833"/>
    <w:rsid w:val="00C54B09"/>
    <w:rsid w:val="00C54D00"/>
    <w:rsid w:val="00C54F2E"/>
    <w:rsid w:val="00C55059"/>
    <w:rsid w:val="00C55300"/>
    <w:rsid w:val="00C553AE"/>
    <w:rsid w:val="00C55479"/>
    <w:rsid w:val="00C557CC"/>
    <w:rsid w:val="00C55E0C"/>
    <w:rsid w:val="00C55F1B"/>
    <w:rsid w:val="00C5615D"/>
    <w:rsid w:val="00C56530"/>
    <w:rsid w:val="00C56815"/>
    <w:rsid w:val="00C56A54"/>
    <w:rsid w:val="00C56D74"/>
    <w:rsid w:val="00C56EC3"/>
    <w:rsid w:val="00C56F2D"/>
    <w:rsid w:val="00C571D2"/>
    <w:rsid w:val="00C572B3"/>
    <w:rsid w:val="00C57440"/>
    <w:rsid w:val="00C57453"/>
    <w:rsid w:val="00C575F4"/>
    <w:rsid w:val="00C57878"/>
    <w:rsid w:val="00C579CE"/>
    <w:rsid w:val="00C57E1B"/>
    <w:rsid w:val="00C608E4"/>
    <w:rsid w:val="00C6094A"/>
    <w:rsid w:val="00C60A3E"/>
    <w:rsid w:val="00C61167"/>
    <w:rsid w:val="00C613C4"/>
    <w:rsid w:val="00C61868"/>
    <w:rsid w:val="00C61B9F"/>
    <w:rsid w:val="00C61CA9"/>
    <w:rsid w:val="00C6269B"/>
    <w:rsid w:val="00C6285E"/>
    <w:rsid w:val="00C62A12"/>
    <w:rsid w:val="00C62CC5"/>
    <w:rsid w:val="00C62DDB"/>
    <w:rsid w:val="00C6310C"/>
    <w:rsid w:val="00C63280"/>
    <w:rsid w:val="00C633E3"/>
    <w:rsid w:val="00C634C6"/>
    <w:rsid w:val="00C6380D"/>
    <w:rsid w:val="00C63A19"/>
    <w:rsid w:val="00C63FFA"/>
    <w:rsid w:val="00C642DE"/>
    <w:rsid w:val="00C645DB"/>
    <w:rsid w:val="00C64822"/>
    <w:rsid w:val="00C64839"/>
    <w:rsid w:val="00C64A8E"/>
    <w:rsid w:val="00C64B56"/>
    <w:rsid w:val="00C64EF7"/>
    <w:rsid w:val="00C652A6"/>
    <w:rsid w:val="00C652F8"/>
    <w:rsid w:val="00C6571F"/>
    <w:rsid w:val="00C657B6"/>
    <w:rsid w:val="00C65DCE"/>
    <w:rsid w:val="00C66377"/>
    <w:rsid w:val="00C66386"/>
    <w:rsid w:val="00C6639B"/>
    <w:rsid w:val="00C66639"/>
    <w:rsid w:val="00C66A5F"/>
    <w:rsid w:val="00C676A0"/>
    <w:rsid w:val="00C67FA3"/>
    <w:rsid w:val="00C70203"/>
    <w:rsid w:val="00C702E6"/>
    <w:rsid w:val="00C703BC"/>
    <w:rsid w:val="00C70B1D"/>
    <w:rsid w:val="00C70B8A"/>
    <w:rsid w:val="00C70CCE"/>
    <w:rsid w:val="00C70D6C"/>
    <w:rsid w:val="00C70EAB"/>
    <w:rsid w:val="00C71173"/>
    <w:rsid w:val="00C715DC"/>
    <w:rsid w:val="00C71652"/>
    <w:rsid w:val="00C71759"/>
    <w:rsid w:val="00C71813"/>
    <w:rsid w:val="00C71997"/>
    <w:rsid w:val="00C71B07"/>
    <w:rsid w:val="00C71CC9"/>
    <w:rsid w:val="00C723B0"/>
    <w:rsid w:val="00C7283E"/>
    <w:rsid w:val="00C72B46"/>
    <w:rsid w:val="00C72CE8"/>
    <w:rsid w:val="00C7329B"/>
    <w:rsid w:val="00C73355"/>
    <w:rsid w:val="00C73992"/>
    <w:rsid w:val="00C7399D"/>
    <w:rsid w:val="00C73C0A"/>
    <w:rsid w:val="00C73EEB"/>
    <w:rsid w:val="00C741B9"/>
    <w:rsid w:val="00C741FF"/>
    <w:rsid w:val="00C74400"/>
    <w:rsid w:val="00C74806"/>
    <w:rsid w:val="00C749B2"/>
    <w:rsid w:val="00C74AB4"/>
    <w:rsid w:val="00C74B8A"/>
    <w:rsid w:val="00C74CAD"/>
    <w:rsid w:val="00C75518"/>
    <w:rsid w:val="00C7578F"/>
    <w:rsid w:val="00C75831"/>
    <w:rsid w:val="00C75945"/>
    <w:rsid w:val="00C75A95"/>
    <w:rsid w:val="00C75E39"/>
    <w:rsid w:val="00C75ED7"/>
    <w:rsid w:val="00C76440"/>
    <w:rsid w:val="00C7649C"/>
    <w:rsid w:val="00C764DC"/>
    <w:rsid w:val="00C769E6"/>
    <w:rsid w:val="00C76C85"/>
    <w:rsid w:val="00C76FF4"/>
    <w:rsid w:val="00C770D5"/>
    <w:rsid w:val="00C7713D"/>
    <w:rsid w:val="00C771E0"/>
    <w:rsid w:val="00C776B0"/>
    <w:rsid w:val="00C77B84"/>
    <w:rsid w:val="00C77E42"/>
    <w:rsid w:val="00C77ED1"/>
    <w:rsid w:val="00C80202"/>
    <w:rsid w:val="00C804BB"/>
    <w:rsid w:val="00C806C6"/>
    <w:rsid w:val="00C8091C"/>
    <w:rsid w:val="00C80FC1"/>
    <w:rsid w:val="00C81036"/>
    <w:rsid w:val="00C81693"/>
    <w:rsid w:val="00C816C9"/>
    <w:rsid w:val="00C81CFC"/>
    <w:rsid w:val="00C81EB7"/>
    <w:rsid w:val="00C824DD"/>
    <w:rsid w:val="00C82738"/>
    <w:rsid w:val="00C82E5A"/>
    <w:rsid w:val="00C833A2"/>
    <w:rsid w:val="00C83544"/>
    <w:rsid w:val="00C8366A"/>
    <w:rsid w:val="00C8369B"/>
    <w:rsid w:val="00C83D24"/>
    <w:rsid w:val="00C83EBC"/>
    <w:rsid w:val="00C841F0"/>
    <w:rsid w:val="00C84883"/>
    <w:rsid w:val="00C84D3F"/>
    <w:rsid w:val="00C85098"/>
    <w:rsid w:val="00C85562"/>
    <w:rsid w:val="00C8585A"/>
    <w:rsid w:val="00C859EF"/>
    <w:rsid w:val="00C85A16"/>
    <w:rsid w:val="00C8644C"/>
    <w:rsid w:val="00C867FB"/>
    <w:rsid w:val="00C86842"/>
    <w:rsid w:val="00C86B42"/>
    <w:rsid w:val="00C86CC7"/>
    <w:rsid w:val="00C87521"/>
    <w:rsid w:val="00C87625"/>
    <w:rsid w:val="00C87762"/>
    <w:rsid w:val="00C8778B"/>
    <w:rsid w:val="00C87B29"/>
    <w:rsid w:val="00C87BAD"/>
    <w:rsid w:val="00C87C03"/>
    <w:rsid w:val="00C87DD9"/>
    <w:rsid w:val="00C87E3D"/>
    <w:rsid w:val="00C87EAD"/>
    <w:rsid w:val="00C900C0"/>
    <w:rsid w:val="00C90615"/>
    <w:rsid w:val="00C90690"/>
    <w:rsid w:val="00C906CE"/>
    <w:rsid w:val="00C90D4C"/>
    <w:rsid w:val="00C90D56"/>
    <w:rsid w:val="00C91183"/>
    <w:rsid w:val="00C91332"/>
    <w:rsid w:val="00C91456"/>
    <w:rsid w:val="00C92096"/>
    <w:rsid w:val="00C92658"/>
    <w:rsid w:val="00C9281D"/>
    <w:rsid w:val="00C92936"/>
    <w:rsid w:val="00C92DBA"/>
    <w:rsid w:val="00C92F14"/>
    <w:rsid w:val="00C93509"/>
    <w:rsid w:val="00C935A8"/>
    <w:rsid w:val="00C93847"/>
    <w:rsid w:val="00C939DF"/>
    <w:rsid w:val="00C93BFB"/>
    <w:rsid w:val="00C93DEE"/>
    <w:rsid w:val="00C93EA5"/>
    <w:rsid w:val="00C940A1"/>
    <w:rsid w:val="00C940BB"/>
    <w:rsid w:val="00C9426C"/>
    <w:rsid w:val="00C94681"/>
    <w:rsid w:val="00C948BB"/>
    <w:rsid w:val="00C94FB3"/>
    <w:rsid w:val="00C9524E"/>
    <w:rsid w:val="00C953F6"/>
    <w:rsid w:val="00C955E4"/>
    <w:rsid w:val="00C956EB"/>
    <w:rsid w:val="00C958B4"/>
    <w:rsid w:val="00C95B89"/>
    <w:rsid w:val="00C95E9D"/>
    <w:rsid w:val="00C9611B"/>
    <w:rsid w:val="00C9664A"/>
    <w:rsid w:val="00C96654"/>
    <w:rsid w:val="00C96F4E"/>
    <w:rsid w:val="00C971DC"/>
    <w:rsid w:val="00C97CBA"/>
    <w:rsid w:val="00CA02D5"/>
    <w:rsid w:val="00CA03EA"/>
    <w:rsid w:val="00CA0420"/>
    <w:rsid w:val="00CA0639"/>
    <w:rsid w:val="00CA1782"/>
    <w:rsid w:val="00CA19C9"/>
    <w:rsid w:val="00CA1AAC"/>
    <w:rsid w:val="00CA1B80"/>
    <w:rsid w:val="00CA20E7"/>
    <w:rsid w:val="00CA2294"/>
    <w:rsid w:val="00CA2463"/>
    <w:rsid w:val="00CA29FA"/>
    <w:rsid w:val="00CA2A9F"/>
    <w:rsid w:val="00CA2FCC"/>
    <w:rsid w:val="00CA3014"/>
    <w:rsid w:val="00CA308A"/>
    <w:rsid w:val="00CA3507"/>
    <w:rsid w:val="00CA37E1"/>
    <w:rsid w:val="00CA3A97"/>
    <w:rsid w:val="00CA3E97"/>
    <w:rsid w:val="00CA3EB9"/>
    <w:rsid w:val="00CA44C4"/>
    <w:rsid w:val="00CA4625"/>
    <w:rsid w:val="00CA48DF"/>
    <w:rsid w:val="00CA4A35"/>
    <w:rsid w:val="00CA4C12"/>
    <w:rsid w:val="00CA4F24"/>
    <w:rsid w:val="00CA56C5"/>
    <w:rsid w:val="00CA5782"/>
    <w:rsid w:val="00CA59AF"/>
    <w:rsid w:val="00CA5EF0"/>
    <w:rsid w:val="00CA6522"/>
    <w:rsid w:val="00CA6982"/>
    <w:rsid w:val="00CA6AC6"/>
    <w:rsid w:val="00CA6AD2"/>
    <w:rsid w:val="00CA6C64"/>
    <w:rsid w:val="00CA6F42"/>
    <w:rsid w:val="00CA7073"/>
    <w:rsid w:val="00CA70B9"/>
    <w:rsid w:val="00CA721F"/>
    <w:rsid w:val="00CA7569"/>
    <w:rsid w:val="00CA75B6"/>
    <w:rsid w:val="00CA75F9"/>
    <w:rsid w:val="00CA77FF"/>
    <w:rsid w:val="00CA7B00"/>
    <w:rsid w:val="00CA7CE4"/>
    <w:rsid w:val="00CB00AE"/>
    <w:rsid w:val="00CB0234"/>
    <w:rsid w:val="00CB05BE"/>
    <w:rsid w:val="00CB0618"/>
    <w:rsid w:val="00CB09C6"/>
    <w:rsid w:val="00CB0AF3"/>
    <w:rsid w:val="00CB0EE8"/>
    <w:rsid w:val="00CB0F78"/>
    <w:rsid w:val="00CB1687"/>
    <w:rsid w:val="00CB184E"/>
    <w:rsid w:val="00CB1BDA"/>
    <w:rsid w:val="00CB2270"/>
    <w:rsid w:val="00CB26AD"/>
    <w:rsid w:val="00CB26C6"/>
    <w:rsid w:val="00CB2772"/>
    <w:rsid w:val="00CB29DD"/>
    <w:rsid w:val="00CB29FB"/>
    <w:rsid w:val="00CB2C6A"/>
    <w:rsid w:val="00CB2DA3"/>
    <w:rsid w:val="00CB2EAE"/>
    <w:rsid w:val="00CB3003"/>
    <w:rsid w:val="00CB3923"/>
    <w:rsid w:val="00CB3927"/>
    <w:rsid w:val="00CB3DA6"/>
    <w:rsid w:val="00CB3DB9"/>
    <w:rsid w:val="00CB429A"/>
    <w:rsid w:val="00CB42BB"/>
    <w:rsid w:val="00CB43E8"/>
    <w:rsid w:val="00CB43EF"/>
    <w:rsid w:val="00CB44C4"/>
    <w:rsid w:val="00CB49EE"/>
    <w:rsid w:val="00CB4ADE"/>
    <w:rsid w:val="00CB52FC"/>
    <w:rsid w:val="00CB58C0"/>
    <w:rsid w:val="00CB59D1"/>
    <w:rsid w:val="00CB5EEE"/>
    <w:rsid w:val="00CB5F1C"/>
    <w:rsid w:val="00CB5F26"/>
    <w:rsid w:val="00CB617F"/>
    <w:rsid w:val="00CB61E7"/>
    <w:rsid w:val="00CB62C4"/>
    <w:rsid w:val="00CB65BC"/>
    <w:rsid w:val="00CB66D0"/>
    <w:rsid w:val="00CB69CE"/>
    <w:rsid w:val="00CB6A5C"/>
    <w:rsid w:val="00CB6AAF"/>
    <w:rsid w:val="00CB6ECA"/>
    <w:rsid w:val="00CB706A"/>
    <w:rsid w:val="00CB7140"/>
    <w:rsid w:val="00CB73AD"/>
    <w:rsid w:val="00CB776C"/>
    <w:rsid w:val="00CB77F7"/>
    <w:rsid w:val="00CB79EA"/>
    <w:rsid w:val="00CB7A70"/>
    <w:rsid w:val="00CB7C0A"/>
    <w:rsid w:val="00CC0563"/>
    <w:rsid w:val="00CC0697"/>
    <w:rsid w:val="00CC06E2"/>
    <w:rsid w:val="00CC07CD"/>
    <w:rsid w:val="00CC0B1A"/>
    <w:rsid w:val="00CC0B7D"/>
    <w:rsid w:val="00CC10C1"/>
    <w:rsid w:val="00CC1110"/>
    <w:rsid w:val="00CC14D9"/>
    <w:rsid w:val="00CC162B"/>
    <w:rsid w:val="00CC1D75"/>
    <w:rsid w:val="00CC2594"/>
    <w:rsid w:val="00CC25BD"/>
    <w:rsid w:val="00CC27B5"/>
    <w:rsid w:val="00CC2DCA"/>
    <w:rsid w:val="00CC30E7"/>
    <w:rsid w:val="00CC3317"/>
    <w:rsid w:val="00CC3B1E"/>
    <w:rsid w:val="00CC3C6F"/>
    <w:rsid w:val="00CC4174"/>
    <w:rsid w:val="00CC4291"/>
    <w:rsid w:val="00CC465B"/>
    <w:rsid w:val="00CC4C52"/>
    <w:rsid w:val="00CC4C6C"/>
    <w:rsid w:val="00CC4D4A"/>
    <w:rsid w:val="00CC5509"/>
    <w:rsid w:val="00CC558D"/>
    <w:rsid w:val="00CC5988"/>
    <w:rsid w:val="00CC59F9"/>
    <w:rsid w:val="00CC5BF9"/>
    <w:rsid w:val="00CC5D13"/>
    <w:rsid w:val="00CC5DE9"/>
    <w:rsid w:val="00CC60F7"/>
    <w:rsid w:val="00CC6333"/>
    <w:rsid w:val="00CC6CD3"/>
    <w:rsid w:val="00CC6E3E"/>
    <w:rsid w:val="00CC7243"/>
    <w:rsid w:val="00CC7579"/>
    <w:rsid w:val="00CC7656"/>
    <w:rsid w:val="00CC768D"/>
    <w:rsid w:val="00CC771D"/>
    <w:rsid w:val="00CC782F"/>
    <w:rsid w:val="00CD061E"/>
    <w:rsid w:val="00CD0858"/>
    <w:rsid w:val="00CD0A48"/>
    <w:rsid w:val="00CD0F2A"/>
    <w:rsid w:val="00CD0F33"/>
    <w:rsid w:val="00CD0FB0"/>
    <w:rsid w:val="00CD1012"/>
    <w:rsid w:val="00CD10BB"/>
    <w:rsid w:val="00CD16D4"/>
    <w:rsid w:val="00CD19CE"/>
    <w:rsid w:val="00CD1DFC"/>
    <w:rsid w:val="00CD2481"/>
    <w:rsid w:val="00CD296B"/>
    <w:rsid w:val="00CD298D"/>
    <w:rsid w:val="00CD2CCE"/>
    <w:rsid w:val="00CD2DE4"/>
    <w:rsid w:val="00CD2FA0"/>
    <w:rsid w:val="00CD325C"/>
    <w:rsid w:val="00CD34CA"/>
    <w:rsid w:val="00CD34ED"/>
    <w:rsid w:val="00CD3833"/>
    <w:rsid w:val="00CD38E7"/>
    <w:rsid w:val="00CD3C25"/>
    <w:rsid w:val="00CD4133"/>
    <w:rsid w:val="00CD4B68"/>
    <w:rsid w:val="00CD4BA9"/>
    <w:rsid w:val="00CD4C9B"/>
    <w:rsid w:val="00CD4E90"/>
    <w:rsid w:val="00CD4F78"/>
    <w:rsid w:val="00CD50B3"/>
    <w:rsid w:val="00CD5355"/>
    <w:rsid w:val="00CD5ADD"/>
    <w:rsid w:val="00CD5F02"/>
    <w:rsid w:val="00CD6076"/>
    <w:rsid w:val="00CD6082"/>
    <w:rsid w:val="00CD6154"/>
    <w:rsid w:val="00CD64DC"/>
    <w:rsid w:val="00CD66BB"/>
    <w:rsid w:val="00CD6B50"/>
    <w:rsid w:val="00CD6EC0"/>
    <w:rsid w:val="00CD711E"/>
    <w:rsid w:val="00CD7200"/>
    <w:rsid w:val="00CD75D6"/>
    <w:rsid w:val="00CD7609"/>
    <w:rsid w:val="00CD78D9"/>
    <w:rsid w:val="00CD7B30"/>
    <w:rsid w:val="00CD7D82"/>
    <w:rsid w:val="00CD7E81"/>
    <w:rsid w:val="00CD7F62"/>
    <w:rsid w:val="00CE001E"/>
    <w:rsid w:val="00CE009C"/>
    <w:rsid w:val="00CE00B0"/>
    <w:rsid w:val="00CE0612"/>
    <w:rsid w:val="00CE0846"/>
    <w:rsid w:val="00CE191B"/>
    <w:rsid w:val="00CE1B2A"/>
    <w:rsid w:val="00CE1C76"/>
    <w:rsid w:val="00CE1FEE"/>
    <w:rsid w:val="00CE2135"/>
    <w:rsid w:val="00CE284B"/>
    <w:rsid w:val="00CE2A69"/>
    <w:rsid w:val="00CE2AC2"/>
    <w:rsid w:val="00CE2D84"/>
    <w:rsid w:val="00CE374B"/>
    <w:rsid w:val="00CE3A7E"/>
    <w:rsid w:val="00CE3C98"/>
    <w:rsid w:val="00CE410D"/>
    <w:rsid w:val="00CE4DC2"/>
    <w:rsid w:val="00CE4E30"/>
    <w:rsid w:val="00CE4FB0"/>
    <w:rsid w:val="00CE52DC"/>
    <w:rsid w:val="00CE5313"/>
    <w:rsid w:val="00CE5314"/>
    <w:rsid w:val="00CE5643"/>
    <w:rsid w:val="00CE571A"/>
    <w:rsid w:val="00CE5793"/>
    <w:rsid w:val="00CE58A5"/>
    <w:rsid w:val="00CE59D8"/>
    <w:rsid w:val="00CE5AB9"/>
    <w:rsid w:val="00CE5B5D"/>
    <w:rsid w:val="00CE5CAE"/>
    <w:rsid w:val="00CE6B3F"/>
    <w:rsid w:val="00CE6C31"/>
    <w:rsid w:val="00CE7195"/>
    <w:rsid w:val="00CE72DC"/>
    <w:rsid w:val="00CE7419"/>
    <w:rsid w:val="00CE7694"/>
    <w:rsid w:val="00CE7B64"/>
    <w:rsid w:val="00CE7D7B"/>
    <w:rsid w:val="00CE7E0A"/>
    <w:rsid w:val="00CE7F64"/>
    <w:rsid w:val="00CF0080"/>
    <w:rsid w:val="00CF00BD"/>
    <w:rsid w:val="00CF0123"/>
    <w:rsid w:val="00CF0721"/>
    <w:rsid w:val="00CF090D"/>
    <w:rsid w:val="00CF0B10"/>
    <w:rsid w:val="00CF0BD4"/>
    <w:rsid w:val="00CF1152"/>
    <w:rsid w:val="00CF1299"/>
    <w:rsid w:val="00CF138E"/>
    <w:rsid w:val="00CF1C19"/>
    <w:rsid w:val="00CF1EAA"/>
    <w:rsid w:val="00CF214F"/>
    <w:rsid w:val="00CF222A"/>
    <w:rsid w:val="00CF2282"/>
    <w:rsid w:val="00CF2A98"/>
    <w:rsid w:val="00CF2AB6"/>
    <w:rsid w:val="00CF36F8"/>
    <w:rsid w:val="00CF3796"/>
    <w:rsid w:val="00CF3E99"/>
    <w:rsid w:val="00CF46F3"/>
    <w:rsid w:val="00CF532D"/>
    <w:rsid w:val="00CF5633"/>
    <w:rsid w:val="00CF567F"/>
    <w:rsid w:val="00CF5CC4"/>
    <w:rsid w:val="00CF5E7E"/>
    <w:rsid w:val="00CF617D"/>
    <w:rsid w:val="00CF655D"/>
    <w:rsid w:val="00CF6636"/>
    <w:rsid w:val="00CF67AE"/>
    <w:rsid w:val="00CF6A79"/>
    <w:rsid w:val="00CF6C4C"/>
    <w:rsid w:val="00CF7523"/>
    <w:rsid w:val="00CF75FF"/>
    <w:rsid w:val="00CF7AE4"/>
    <w:rsid w:val="00CF7AE7"/>
    <w:rsid w:val="00CF7D7E"/>
    <w:rsid w:val="00CF7DE3"/>
    <w:rsid w:val="00CF7EA0"/>
    <w:rsid w:val="00CF7F4B"/>
    <w:rsid w:val="00D001F8"/>
    <w:rsid w:val="00D002B0"/>
    <w:rsid w:val="00D002DF"/>
    <w:rsid w:val="00D0079E"/>
    <w:rsid w:val="00D009C0"/>
    <w:rsid w:val="00D01351"/>
    <w:rsid w:val="00D015C7"/>
    <w:rsid w:val="00D0184E"/>
    <w:rsid w:val="00D01B88"/>
    <w:rsid w:val="00D01BC6"/>
    <w:rsid w:val="00D01DFB"/>
    <w:rsid w:val="00D0217B"/>
    <w:rsid w:val="00D0242E"/>
    <w:rsid w:val="00D02A01"/>
    <w:rsid w:val="00D03330"/>
    <w:rsid w:val="00D03433"/>
    <w:rsid w:val="00D03619"/>
    <w:rsid w:val="00D036EA"/>
    <w:rsid w:val="00D0374D"/>
    <w:rsid w:val="00D037DC"/>
    <w:rsid w:val="00D0384F"/>
    <w:rsid w:val="00D03853"/>
    <w:rsid w:val="00D03904"/>
    <w:rsid w:val="00D03B6B"/>
    <w:rsid w:val="00D03BDA"/>
    <w:rsid w:val="00D04467"/>
    <w:rsid w:val="00D04547"/>
    <w:rsid w:val="00D0461F"/>
    <w:rsid w:val="00D046C1"/>
    <w:rsid w:val="00D047E5"/>
    <w:rsid w:val="00D0489F"/>
    <w:rsid w:val="00D04CA5"/>
    <w:rsid w:val="00D04CDF"/>
    <w:rsid w:val="00D05588"/>
    <w:rsid w:val="00D06137"/>
    <w:rsid w:val="00D061A2"/>
    <w:rsid w:val="00D063C5"/>
    <w:rsid w:val="00D0648D"/>
    <w:rsid w:val="00D064DF"/>
    <w:rsid w:val="00D06774"/>
    <w:rsid w:val="00D06779"/>
    <w:rsid w:val="00D0689E"/>
    <w:rsid w:val="00D06A57"/>
    <w:rsid w:val="00D06D75"/>
    <w:rsid w:val="00D06EC8"/>
    <w:rsid w:val="00D06ED6"/>
    <w:rsid w:val="00D07014"/>
    <w:rsid w:val="00D072C3"/>
    <w:rsid w:val="00D0762E"/>
    <w:rsid w:val="00D079F9"/>
    <w:rsid w:val="00D10269"/>
    <w:rsid w:val="00D104F2"/>
    <w:rsid w:val="00D1051D"/>
    <w:rsid w:val="00D10A2C"/>
    <w:rsid w:val="00D10A79"/>
    <w:rsid w:val="00D10E82"/>
    <w:rsid w:val="00D10F63"/>
    <w:rsid w:val="00D10FA8"/>
    <w:rsid w:val="00D11357"/>
    <w:rsid w:val="00D1153C"/>
    <w:rsid w:val="00D11579"/>
    <w:rsid w:val="00D1165A"/>
    <w:rsid w:val="00D1174F"/>
    <w:rsid w:val="00D11B3D"/>
    <w:rsid w:val="00D12059"/>
    <w:rsid w:val="00D1215E"/>
    <w:rsid w:val="00D1285C"/>
    <w:rsid w:val="00D129AB"/>
    <w:rsid w:val="00D12C72"/>
    <w:rsid w:val="00D13781"/>
    <w:rsid w:val="00D1399C"/>
    <w:rsid w:val="00D13B43"/>
    <w:rsid w:val="00D155DE"/>
    <w:rsid w:val="00D1561F"/>
    <w:rsid w:val="00D15645"/>
    <w:rsid w:val="00D1597D"/>
    <w:rsid w:val="00D15D99"/>
    <w:rsid w:val="00D15DC2"/>
    <w:rsid w:val="00D15DFB"/>
    <w:rsid w:val="00D163DB"/>
    <w:rsid w:val="00D1650F"/>
    <w:rsid w:val="00D16653"/>
    <w:rsid w:val="00D16A27"/>
    <w:rsid w:val="00D16A9F"/>
    <w:rsid w:val="00D16B64"/>
    <w:rsid w:val="00D16CF9"/>
    <w:rsid w:val="00D17026"/>
    <w:rsid w:val="00D172F8"/>
    <w:rsid w:val="00D1761B"/>
    <w:rsid w:val="00D17A18"/>
    <w:rsid w:val="00D17B58"/>
    <w:rsid w:val="00D17C8E"/>
    <w:rsid w:val="00D17F04"/>
    <w:rsid w:val="00D200EB"/>
    <w:rsid w:val="00D20234"/>
    <w:rsid w:val="00D20245"/>
    <w:rsid w:val="00D20270"/>
    <w:rsid w:val="00D20468"/>
    <w:rsid w:val="00D20593"/>
    <w:rsid w:val="00D20654"/>
    <w:rsid w:val="00D206D4"/>
    <w:rsid w:val="00D20A8B"/>
    <w:rsid w:val="00D20B3E"/>
    <w:rsid w:val="00D2104A"/>
    <w:rsid w:val="00D2106C"/>
    <w:rsid w:val="00D21157"/>
    <w:rsid w:val="00D2123A"/>
    <w:rsid w:val="00D21269"/>
    <w:rsid w:val="00D21625"/>
    <w:rsid w:val="00D2165D"/>
    <w:rsid w:val="00D2179C"/>
    <w:rsid w:val="00D21F90"/>
    <w:rsid w:val="00D22A8E"/>
    <w:rsid w:val="00D22AC4"/>
    <w:rsid w:val="00D22D2E"/>
    <w:rsid w:val="00D22E70"/>
    <w:rsid w:val="00D23888"/>
    <w:rsid w:val="00D23910"/>
    <w:rsid w:val="00D23BE9"/>
    <w:rsid w:val="00D23D3F"/>
    <w:rsid w:val="00D23F40"/>
    <w:rsid w:val="00D24099"/>
    <w:rsid w:val="00D242B4"/>
    <w:rsid w:val="00D243CF"/>
    <w:rsid w:val="00D2455D"/>
    <w:rsid w:val="00D24614"/>
    <w:rsid w:val="00D24696"/>
    <w:rsid w:val="00D246D9"/>
    <w:rsid w:val="00D24854"/>
    <w:rsid w:val="00D24FCA"/>
    <w:rsid w:val="00D250C8"/>
    <w:rsid w:val="00D25158"/>
    <w:rsid w:val="00D25772"/>
    <w:rsid w:val="00D2585F"/>
    <w:rsid w:val="00D25DDE"/>
    <w:rsid w:val="00D2623C"/>
    <w:rsid w:val="00D26352"/>
    <w:rsid w:val="00D26B1F"/>
    <w:rsid w:val="00D26C66"/>
    <w:rsid w:val="00D26E59"/>
    <w:rsid w:val="00D2761D"/>
    <w:rsid w:val="00D276A7"/>
    <w:rsid w:val="00D276AF"/>
    <w:rsid w:val="00D27ACB"/>
    <w:rsid w:val="00D27AF8"/>
    <w:rsid w:val="00D2C3BA"/>
    <w:rsid w:val="00D30163"/>
    <w:rsid w:val="00D30257"/>
    <w:rsid w:val="00D304E5"/>
    <w:rsid w:val="00D30508"/>
    <w:rsid w:val="00D306E5"/>
    <w:rsid w:val="00D30881"/>
    <w:rsid w:val="00D30955"/>
    <w:rsid w:val="00D30E61"/>
    <w:rsid w:val="00D30FEE"/>
    <w:rsid w:val="00D31661"/>
    <w:rsid w:val="00D31818"/>
    <w:rsid w:val="00D31A27"/>
    <w:rsid w:val="00D323D9"/>
    <w:rsid w:val="00D324A0"/>
    <w:rsid w:val="00D32635"/>
    <w:rsid w:val="00D32863"/>
    <w:rsid w:val="00D32945"/>
    <w:rsid w:val="00D32AD0"/>
    <w:rsid w:val="00D32B33"/>
    <w:rsid w:val="00D32BA8"/>
    <w:rsid w:val="00D32C67"/>
    <w:rsid w:val="00D32CE0"/>
    <w:rsid w:val="00D32E2C"/>
    <w:rsid w:val="00D32E8E"/>
    <w:rsid w:val="00D33031"/>
    <w:rsid w:val="00D335D6"/>
    <w:rsid w:val="00D3386E"/>
    <w:rsid w:val="00D3387D"/>
    <w:rsid w:val="00D338B3"/>
    <w:rsid w:val="00D33B23"/>
    <w:rsid w:val="00D33DF0"/>
    <w:rsid w:val="00D34315"/>
    <w:rsid w:val="00D34399"/>
    <w:rsid w:val="00D344EB"/>
    <w:rsid w:val="00D347A2"/>
    <w:rsid w:val="00D34A81"/>
    <w:rsid w:val="00D35088"/>
    <w:rsid w:val="00D3553F"/>
    <w:rsid w:val="00D356F2"/>
    <w:rsid w:val="00D35788"/>
    <w:rsid w:val="00D359CD"/>
    <w:rsid w:val="00D359D7"/>
    <w:rsid w:val="00D360C9"/>
    <w:rsid w:val="00D363C2"/>
    <w:rsid w:val="00D36B1A"/>
    <w:rsid w:val="00D36DD0"/>
    <w:rsid w:val="00D36E87"/>
    <w:rsid w:val="00D370E1"/>
    <w:rsid w:val="00D37174"/>
    <w:rsid w:val="00D3740B"/>
    <w:rsid w:val="00D37CC2"/>
    <w:rsid w:val="00D40056"/>
    <w:rsid w:val="00D400CB"/>
    <w:rsid w:val="00D40464"/>
    <w:rsid w:val="00D408BB"/>
    <w:rsid w:val="00D40AC9"/>
    <w:rsid w:val="00D40ADD"/>
    <w:rsid w:val="00D41233"/>
    <w:rsid w:val="00D41C88"/>
    <w:rsid w:val="00D41D99"/>
    <w:rsid w:val="00D4211C"/>
    <w:rsid w:val="00D428A9"/>
    <w:rsid w:val="00D428C7"/>
    <w:rsid w:val="00D42A90"/>
    <w:rsid w:val="00D42AD1"/>
    <w:rsid w:val="00D42B3E"/>
    <w:rsid w:val="00D42C58"/>
    <w:rsid w:val="00D42E77"/>
    <w:rsid w:val="00D43062"/>
    <w:rsid w:val="00D4369C"/>
    <w:rsid w:val="00D43820"/>
    <w:rsid w:val="00D43DBD"/>
    <w:rsid w:val="00D440E3"/>
    <w:rsid w:val="00D44322"/>
    <w:rsid w:val="00D44443"/>
    <w:rsid w:val="00D44B69"/>
    <w:rsid w:val="00D44E05"/>
    <w:rsid w:val="00D44E9C"/>
    <w:rsid w:val="00D45110"/>
    <w:rsid w:val="00D45260"/>
    <w:rsid w:val="00D45692"/>
    <w:rsid w:val="00D45AAD"/>
    <w:rsid w:val="00D45DE3"/>
    <w:rsid w:val="00D45EFD"/>
    <w:rsid w:val="00D46068"/>
    <w:rsid w:val="00D466AD"/>
    <w:rsid w:val="00D46820"/>
    <w:rsid w:val="00D46A03"/>
    <w:rsid w:val="00D46ACB"/>
    <w:rsid w:val="00D46B13"/>
    <w:rsid w:val="00D46BC5"/>
    <w:rsid w:val="00D46BDA"/>
    <w:rsid w:val="00D46CDE"/>
    <w:rsid w:val="00D46DF9"/>
    <w:rsid w:val="00D470F1"/>
    <w:rsid w:val="00D47148"/>
    <w:rsid w:val="00D471AC"/>
    <w:rsid w:val="00D47260"/>
    <w:rsid w:val="00D47DF0"/>
    <w:rsid w:val="00D47FFE"/>
    <w:rsid w:val="00D5036A"/>
    <w:rsid w:val="00D503E7"/>
    <w:rsid w:val="00D50A33"/>
    <w:rsid w:val="00D51123"/>
    <w:rsid w:val="00D519F4"/>
    <w:rsid w:val="00D51C2C"/>
    <w:rsid w:val="00D527E6"/>
    <w:rsid w:val="00D52810"/>
    <w:rsid w:val="00D52821"/>
    <w:rsid w:val="00D52ABD"/>
    <w:rsid w:val="00D52B54"/>
    <w:rsid w:val="00D52BC5"/>
    <w:rsid w:val="00D532BA"/>
    <w:rsid w:val="00D533A3"/>
    <w:rsid w:val="00D533EA"/>
    <w:rsid w:val="00D5344A"/>
    <w:rsid w:val="00D54016"/>
    <w:rsid w:val="00D5402A"/>
    <w:rsid w:val="00D54094"/>
    <w:rsid w:val="00D542B5"/>
    <w:rsid w:val="00D5452D"/>
    <w:rsid w:val="00D545A5"/>
    <w:rsid w:val="00D5463C"/>
    <w:rsid w:val="00D54705"/>
    <w:rsid w:val="00D54742"/>
    <w:rsid w:val="00D54971"/>
    <w:rsid w:val="00D54C84"/>
    <w:rsid w:val="00D55114"/>
    <w:rsid w:val="00D555BC"/>
    <w:rsid w:val="00D5562E"/>
    <w:rsid w:val="00D5592D"/>
    <w:rsid w:val="00D55A00"/>
    <w:rsid w:val="00D55EBE"/>
    <w:rsid w:val="00D56073"/>
    <w:rsid w:val="00D560BC"/>
    <w:rsid w:val="00D5612F"/>
    <w:rsid w:val="00D56659"/>
    <w:rsid w:val="00D56807"/>
    <w:rsid w:val="00D56A26"/>
    <w:rsid w:val="00D56D6D"/>
    <w:rsid w:val="00D57025"/>
    <w:rsid w:val="00D574A2"/>
    <w:rsid w:val="00D57F48"/>
    <w:rsid w:val="00D6011E"/>
    <w:rsid w:val="00D601B9"/>
    <w:rsid w:val="00D6038C"/>
    <w:rsid w:val="00D6052A"/>
    <w:rsid w:val="00D609F5"/>
    <w:rsid w:val="00D60E0C"/>
    <w:rsid w:val="00D60E2B"/>
    <w:rsid w:val="00D611E0"/>
    <w:rsid w:val="00D6182F"/>
    <w:rsid w:val="00D61CD7"/>
    <w:rsid w:val="00D62744"/>
    <w:rsid w:val="00D629ED"/>
    <w:rsid w:val="00D62A60"/>
    <w:rsid w:val="00D62AF8"/>
    <w:rsid w:val="00D62E99"/>
    <w:rsid w:val="00D6313D"/>
    <w:rsid w:val="00D63326"/>
    <w:rsid w:val="00D6332E"/>
    <w:rsid w:val="00D63857"/>
    <w:rsid w:val="00D63B97"/>
    <w:rsid w:val="00D63CEF"/>
    <w:rsid w:val="00D63D5E"/>
    <w:rsid w:val="00D63D93"/>
    <w:rsid w:val="00D642A7"/>
    <w:rsid w:val="00D649D7"/>
    <w:rsid w:val="00D64E25"/>
    <w:rsid w:val="00D652C8"/>
    <w:rsid w:val="00D652F4"/>
    <w:rsid w:val="00D65D45"/>
    <w:rsid w:val="00D66126"/>
    <w:rsid w:val="00D661EC"/>
    <w:rsid w:val="00D66585"/>
    <w:rsid w:val="00D666A3"/>
    <w:rsid w:val="00D6674E"/>
    <w:rsid w:val="00D667E0"/>
    <w:rsid w:val="00D673C7"/>
    <w:rsid w:val="00D6793D"/>
    <w:rsid w:val="00D67E83"/>
    <w:rsid w:val="00D67FEF"/>
    <w:rsid w:val="00D707D9"/>
    <w:rsid w:val="00D70ABE"/>
    <w:rsid w:val="00D70AF3"/>
    <w:rsid w:val="00D70D57"/>
    <w:rsid w:val="00D70DDB"/>
    <w:rsid w:val="00D71078"/>
    <w:rsid w:val="00D718F9"/>
    <w:rsid w:val="00D71931"/>
    <w:rsid w:val="00D71D1F"/>
    <w:rsid w:val="00D720C4"/>
    <w:rsid w:val="00D72204"/>
    <w:rsid w:val="00D726F3"/>
    <w:rsid w:val="00D72799"/>
    <w:rsid w:val="00D727E7"/>
    <w:rsid w:val="00D72EFE"/>
    <w:rsid w:val="00D7323C"/>
    <w:rsid w:val="00D735B2"/>
    <w:rsid w:val="00D735CF"/>
    <w:rsid w:val="00D737FC"/>
    <w:rsid w:val="00D73BAC"/>
    <w:rsid w:val="00D74442"/>
    <w:rsid w:val="00D7447D"/>
    <w:rsid w:val="00D744A5"/>
    <w:rsid w:val="00D744FA"/>
    <w:rsid w:val="00D74BDA"/>
    <w:rsid w:val="00D74C19"/>
    <w:rsid w:val="00D74CA0"/>
    <w:rsid w:val="00D750BC"/>
    <w:rsid w:val="00D75506"/>
    <w:rsid w:val="00D7557C"/>
    <w:rsid w:val="00D7599F"/>
    <w:rsid w:val="00D75C2C"/>
    <w:rsid w:val="00D764EA"/>
    <w:rsid w:val="00D767CD"/>
    <w:rsid w:val="00D76F0B"/>
    <w:rsid w:val="00D76F77"/>
    <w:rsid w:val="00D7705B"/>
    <w:rsid w:val="00D7759B"/>
    <w:rsid w:val="00D776D2"/>
    <w:rsid w:val="00D778E5"/>
    <w:rsid w:val="00D77D21"/>
    <w:rsid w:val="00D79EA4"/>
    <w:rsid w:val="00D80778"/>
    <w:rsid w:val="00D808A0"/>
    <w:rsid w:val="00D809BD"/>
    <w:rsid w:val="00D80AA0"/>
    <w:rsid w:val="00D80CE2"/>
    <w:rsid w:val="00D80DD1"/>
    <w:rsid w:val="00D80F88"/>
    <w:rsid w:val="00D81072"/>
    <w:rsid w:val="00D8165E"/>
    <w:rsid w:val="00D81932"/>
    <w:rsid w:val="00D81FB2"/>
    <w:rsid w:val="00D82137"/>
    <w:rsid w:val="00D822F3"/>
    <w:rsid w:val="00D826F7"/>
    <w:rsid w:val="00D82AC4"/>
    <w:rsid w:val="00D82B95"/>
    <w:rsid w:val="00D82D67"/>
    <w:rsid w:val="00D83FEE"/>
    <w:rsid w:val="00D84041"/>
    <w:rsid w:val="00D8420D"/>
    <w:rsid w:val="00D8433F"/>
    <w:rsid w:val="00D849A6"/>
    <w:rsid w:val="00D84E32"/>
    <w:rsid w:val="00D84EF9"/>
    <w:rsid w:val="00D84FB2"/>
    <w:rsid w:val="00D8502F"/>
    <w:rsid w:val="00D850EC"/>
    <w:rsid w:val="00D85124"/>
    <w:rsid w:val="00D853CB"/>
    <w:rsid w:val="00D854C6"/>
    <w:rsid w:val="00D85506"/>
    <w:rsid w:val="00D856EC"/>
    <w:rsid w:val="00D859D2"/>
    <w:rsid w:val="00D85EFF"/>
    <w:rsid w:val="00D86083"/>
    <w:rsid w:val="00D861C8"/>
    <w:rsid w:val="00D8636D"/>
    <w:rsid w:val="00D86376"/>
    <w:rsid w:val="00D863FB"/>
    <w:rsid w:val="00D86FCC"/>
    <w:rsid w:val="00D86FFF"/>
    <w:rsid w:val="00D87083"/>
    <w:rsid w:val="00D872E7"/>
    <w:rsid w:val="00D874A8"/>
    <w:rsid w:val="00D87610"/>
    <w:rsid w:val="00D876AD"/>
    <w:rsid w:val="00D87C08"/>
    <w:rsid w:val="00D900EB"/>
    <w:rsid w:val="00D9056F"/>
    <w:rsid w:val="00D90587"/>
    <w:rsid w:val="00D90CD4"/>
    <w:rsid w:val="00D90DF1"/>
    <w:rsid w:val="00D90EBA"/>
    <w:rsid w:val="00D9125B"/>
    <w:rsid w:val="00D91445"/>
    <w:rsid w:val="00D91ACA"/>
    <w:rsid w:val="00D91DBF"/>
    <w:rsid w:val="00D91E18"/>
    <w:rsid w:val="00D9200C"/>
    <w:rsid w:val="00D9223E"/>
    <w:rsid w:val="00D92445"/>
    <w:rsid w:val="00D92AD7"/>
    <w:rsid w:val="00D92B1A"/>
    <w:rsid w:val="00D92B9F"/>
    <w:rsid w:val="00D92D3F"/>
    <w:rsid w:val="00D930F3"/>
    <w:rsid w:val="00D931D3"/>
    <w:rsid w:val="00D933BE"/>
    <w:rsid w:val="00D93599"/>
    <w:rsid w:val="00D93B98"/>
    <w:rsid w:val="00D94237"/>
    <w:rsid w:val="00D94711"/>
    <w:rsid w:val="00D94B72"/>
    <w:rsid w:val="00D94D05"/>
    <w:rsid w:val="00D94D75"/>
    <w:rsid w:val="00D950F3"/>
    <w:rsid w:val="00D9531D"/>
    <w:rsid w:val="00D956E6"/>
    <w:rsid w:val="00D95920"/>
    <w:rsid w:val="00D95A67"/>
    <w:rsid w:val="00D95A83"/>
    <w:rsid w:val="00D95C5E"/>
    <w:rsid w:val="00D9608C"/>
    <w:rsid w:val="00D96104"/>
    <w:rsid w:val="00D9630C"/>
    <w:rsid w:val="00D96482"/>
    <w:rsid w:val="00D9657A"/>
    <w:rsid w:val="00D965F2"/>
    <w:rsid w:val="00D96A9C"/>
    <w:rsid w:val="00D96B7B"/>
    <w:rsid w:val="00D96BCD"/>
    <w:rsid w:val="00D96C83"/>
    <w:rsid w:val="00D96CA5"/>
    <w:rsid w:val="00D96CEA"/>
    <w:rsid w:val="00D96D80"/>
    <w:rsid w:val="00D96DC0"/>
    <w:rsid w:val="00D96E34"/>
    <w:rsid w:val="00D9736C"/>
    <w:rsid w:val="00D975DB"/>
    <w:rsid w:val="00D977A8"/>
    <w:rsid w:val="00D97813"/>
    <w:rsid w:val="00D97A16"/>
    <w:rsid w:val="00D97A9D"/>
    <w:rsid w:val="00D97C18"/>
    <w:rsid w:val="00D97EB1"/>
    <w:rsid w:val="00D9AFF6"/>
    <w:rsid w:val="00DA0562"/>
    <w:rsid w:val="00DA0D2A"/>
    <w:rsid w:val="00DA0DB6"/>
    <w:rsid w:val="00DA0EA2"/>
    <w:rsid w:val="00DA101B"/>
    <w:rsid w:val="00DA132E"/>
    <w:rsid w:val="00DA1359"/>
    <w:rsid w:val="00DA1514"/>
    <w:rsid w:val="00DA18E8"/>
    <w:rsid w:val="00DA1BF2"/>
    <w:rsid w:val="00DA2099"/>
    <w:rsid w:val="00DA2690"/>
    <w:rsid w:val="00DA2B53"/>
    <w:rsid w:val="00DA2C81"/>
    <w:rsid w:val="00DA2EDE"/>
    <w:rsid w:val="00DA343A"/>
    <w:rsid w:val="00DA3884"/>
    <w:rsid w:val="00DA3A3A"/>
    <w:rsid w:val="00DA3CCE"/>
    <w:rsid w:val="00DA4246"/>
    <w:rsid w:val="00DA42FA"/>
    <w:rsid w:val="00DA430F"/>
    <w:rsid w:val="00DA4554"/>
    <w:rsid w:val="00DA46B7"/>
    <w:rsid w:val="00DA4819"/>
    <w:rsid w:val="00DA5006"/>
    <w:rsid w:val="00DA558A"/>
    <w:rsid w:val="00DA57B5"/>
    <w:rsid w:val="00DA63E9"/>
    <w:rsid w:val="00DA6574"/>
    <w:rsid w:val="00DA6601"/>
    <w:rsid w:val="00DA662F"/>
    <w:rsid w:val="00DA67A2"/>
    <w:rsid w:val="00DA67E7"/>
    <w:rsid w:val="00DA698A"/>
    <w:rsid w:val="00DA70AA"/>
    <w:rsid w:val="00DA7B2D"/>
    <w:rsid w:val="00DA7B4B"/>
    <w:rsid w:val="00DA7BB3"/>
    <w:rsid w:val="00DA7CD0"/>
    <w:rsid w:val="00DA7EA9"/>
    <w:rsid w:val="00DA7F15"/>
    <w:rsid w:val="00DB046B"/>
    <w:rsid w:val="00DB04B4"/>
    <w:rsid w:val="00DB08EB"/>
    <w:rsid w:val="00DB0F9C"/>
    <w:rsid w:val="00DB1568"/>
    <w:rsid w:val="00DB191C"/>
    <w:rsid w:val="00DB1D33"/>
    <w:rsid w:val="00DB1F04"/>
    <w:rsid w:val="00DB1F9C"/>
    <w:rsid w:val="00DB23A9"/>
    <w:rsid w:val="00DB24CC"/>
    <w:rsid w:val="00DB268A"/>
    <w:rsid w:val="00DB26F8"/>
    <w:rsid w:val="00DB2779"/>
    <w:rsid w:val="00DB2868"/>
    <w:rsid w:val="00DB299A"/>
    <w:rsid w:val="00DB2C8B"/>
    <w:rsid w:val="00DB2FA0"/>
    <w:rsid w:val="00DB32B3"/>
    <w:rsid w:val="00DB32CF"/>
    <w:rsid w:val="00DB3350"/>
    <w:rsid w:val="00DB39A0"/>
    <w:rsid w:val="00DB41A4"/>
    <w:rsid w:val="00DB423E"/>
    <w:rsid w:val="00DB44B6"/>
    <w:rsid w:val="00DB47EC"/>
    <w:rsid w:val="00DB48B7"/>
    <w:rsid w:val="00DB4B0F"/>
    <w:rsid w:val="00DB4C36"/>
    <w:rsid w:val="00DB4C51"/>
    <w:rsid w:val="00DB51F6"/>
    <w:rsid w:val="00DB56EA"/>
    <w:rsid w:val="00DB598E"/>
    <w:rsid w:val="00DB5B13"/>
    <w:rsid w:val="00DB5E0F"/>
    <w:rsid w:val="00DB6066"/>
    <w:rsid w:val="00DB6362"/>
    <w:rsid w:val="00DB63A8"/>
    <w:rsid w:val="00DB65D4"/>
    <w:rsid w:val="00DB6A0B"/>
    <w:rsid w:val="00DB6C22"/>
    <w:rsid w:val="00DB6C41"/>
    <w:rsid w:val="00DB6F41"/>
    <w:rsid w:val="00DB714D"/>
    <w:rsid w:val="00DB75DD"/>
    <w:rsid w:val="00DB75E3"/>
    <w:rsid w:val="00DB77A8"/>
    <w:rsid w:val="00DB77F3"/>
    <w:rsid w:val="00DB7FD3"/>
    <w:rsid w:val="00DB87A2"/>
    <w:rsid w:val="00DC0070"/>
    <w:rsid w:val="00DC00E6"/>
    <w:rsid w:val="00DC0515"/>
    <w:rsid w:val="00DC0898"/>
    <w:rsid w:val="00DC0ACE"/>
    <w:rsid w:val="00DC0B69"/>
    <w:rsid w:val="00DC0D1A"/>
    <w:rsid w:val="00DC1044"/>
    <w:rsid w:val="00DC1156"/>
    <w:rsid w:val="00DC124B"/>
    <w:rsid w:val="00DC1334"/>
    <w:rsid w:val="00DC19CD"/>
    <w:rsid w:val="00DC1A16"/>
    <w:rsid w:val="00DC2002"/>
    <w:rsid w:val="00DC221B"/>
    <w:rsid w:val="00DC237A"/>
    <w:rsid w:val="00DC23A8"/>
    <w:rsid w:val="00DC2424"/>
    <w:rsid w:val="00DC2C7F"/>
    <w:rsid w:val="00DC2E77"/>
    <w:rsid w:val="00DC31CB"/>
    <w:rsid w:val="00DC3563"/>
    <w:rsid w:val="00DC3576"/>
    <w:rsid w:val="00DC3779"/>
    <w:rsid w:val="00DC39F5"/>
    <w:rsid w:val="00DC3C4C"/>
    <w:rsid w:val="00DC3E9E"/>
    <w:rsid w:val="00DC3EEE"/>
    <w:rsid w:val="00DC41C0"/>
    <w:rsid w:val="00DC4409"/>
    <w:rsid w:val="00DC4ADF"/>
    <w:rsid w:val="00DC4AFF"/>
    <w:rsid w:val="00DC4C6B"/>
    <w:rsid w:val="00DC509B"/>
    <w:rsid w:val="00DC5242"/>
    <w:rsid w:val="00DC556C"/>
    <w:rsid w:val="00DC560D"/>
    <w:rsid w:val="00DC5A0B"/>
    <w:rsid w:val="00DC6639"/>
    <w:rsid w:val="00DC67EC"/>
    <w:rsid w:val="00DC6869"/>
    <w:rsid w:val="00DC6EDE"/>
    <w:rsid w:val="00DC6F3E"/>
    <w:rsid w:val="00DC7047"/>
    <w:rsid w:val="00DC713B"/>
    <w:rsid w:val="00DC74C4"/>
    <w:rsid w:val="00DC7544"/>
    <w:rsid w:val="00DC7609"/>
    <w:rsid w:val="00DC78EB"/>
    <w:rsid w:val="00DC79A8"/>
    <w:rsid w:val="00DC7FA4"/>
    <w:rsid w:val="00DD00A8"/>
    <w:rsid w:val="00DD0193"/>
    <w:rsid w:val="00DD01D0"/>
    <w:rsid w:val="00DD0394"/>
    <w:rsid w:val="00DD0415"/>
    <w:rsid w:val="00DD075A"/>
    <w:rsid w:val="00DD0981"/>
    <w:rsid w:val="00DD11D4"/>
    <w:rsid w:val="00DD11EA"/>
    <w:rsid w:val="00DD13B0"/>
    <w:rsid w:val="00DD1984"/>
    <w:rsid w:val="00DD1A20"/>
    <w:rsid w:val="00DD1D75"/>
    <w:rsid w:val="00DD1EDD"/>
    <w:rsid w:val="00DD2751"/>
    <w:rsid w:val="00DD2E11"/>
    <w:rsid w:val="00DD2E16"/>
    <w:rsid w:val="00DD30B7"/>
    <w:rsid w:val="00DD360D"/>
    <w:rsid w:val="00DD3A22"/>
    <w:rsid w:val="00DD3A41"/>
    <w:rsid w:val="00DD40AA"/>
    <w:rsid w:val="00DD41C7"/>
    <w:rsid w:val="00DD46E4"/>
    <w:rsid w:val="00DD473A"/>
    <w:rsid w:val="00DD4927"/>
    <w:rsid w:val="00DD4A0C"/>
    <w:rsid w:val="00DD4AC8"/>
    <w:rsid w:val="00DD4B0B"/>
    <w:rsid w:val="00DD4B8C"/>
    <w:rsid w:val="00DD4C1B"/>
    <w:rsid w:val="00DD527D"/>
    <w:rsid w:val="00DD54BF"/>
    <w:rsid w:val="00DD55D4"/>
    <w:rsid w:val="00DD55F8"/>
    <w:rsid w:val="00DD56B5"/>
    <w:rsid w:val="00DD58BE"/>
    <w:rsid w:val="00DD5ACC"/>
    <w:rsid w:val="00DD5DD2"/>
    <w:rsid w:val="00DD5F63"/>
    <w:rsid w:val="00DD6373"/>
    <w:rsid w:val="00DD63AF"/>
    <w:rsid w:val="00DD65D8"/>
    <w:rsid w:val="00DD6819"/>
    <w:rsid w:val="00DD6B38"/>
    <w:rsid w:val="00DD7023"/>
    <w:rsid w:val="00DD7385"/>
    <w:rsid w:val="00DD73FF"/>
    <w:rsid w:val="00DD7463"/>
    <w:rsid w:val="00DD7554"/>
    <w:rsid w:val="00DD76E4"/>
    <w:rsid w:val="00DD7AED"/>
    <w:rsid w:val="00DD7F3E"/>
    <w:rsid w:val="00DE0411"/>
    <w:rsid w:val="00DE0436"/>
    <w:rsid w:val="00DE0609"/>
    <w:rsid w:val="00DE09FF"/>
    <w:rsid w:val="00DE0B33"/>
    <w:rsid w:val="00DE0C8C"/>
    <w:rsid w:val="00DE0E46"/>
    <w:rsid w:val="00DE11C4"/>
    <w:rsid w:val="00DE1671"/>
    <w:rsid w:val="00DE1679"/>
    <w:rsid w:val="00DE180B"/>
    <w:rsid w:val="00DE1D05"/>
    <w:rsid w:val="00DE1DD3"/>
    <w:rsid w:val="00DE2EAC"/>
    <w:rsid w:val="00DE33E7"/>
    <w:rsid w:val="00DE34BE"/>
    <w:rsid w:val="00DE34CA"/>
    <w:rsid w:val="00DE36C8"/>
    <w:rsid w:val="00DE38E4"/>
    <w:rsid w:val="00DE3D76"/>
    <w:rsid w:val="00DE3FD7"/>
    <w:rsid w:val="00DE401C"/>
    <w:rsid w:val="00DE408A"/>
    <w:rsid w:val="00DE425B"/>
    <w:rsid w:val="00DE4291"/>
    <w:rsid w:val="00DE4683"/>
    <w:rsid w:val="00DE4882"/>
    <w:rsid w:val="00DE4889"/>
    <w:rsid w:val="00DE4A55"/>
    <w:rsid w:val="00DE4BF0"/>
    <w:rsid w:val="00DE4EAF"/>
    <w:rsid w:val="00DE4F3F"/>
    <w:rsid w:val="00DE54B9"/>
    <w:rsid w:val="00DE56AE"/>
    <w:rsid w:val="00DE56B6"/>
    <w:rsid w:val="00DE59F9"/>
    <w:rsid w:val="00DE5A38"/>
    <w:rsid w:val="00DE63A3"/>
    <w:rsid w:val="00DE6834"/>
    <w:rsid w:val="00DE6842"/>
    <w:rsid w:val="00DE68D1"/>
    <w:rsid w:val="00DE6C31"/>
    <w:rsid w:val="00DE70F7"/>
    <w:rsid w:val="00DE72CD"/>
    <w:rsid w:val="00DE736C"/>
    <w:rsid w:val="00DE7778"/>
    <w:rsid w:val="00DE77B7"/>
    <w:rsid w:val="00DE77DD"/>
    <w:rsid w:val="00DE7979"/>
    <w:rsid w:val="00DE7B7E"/>
    <w:rsid w:val="00DE7C3E"/>
    <w:rsid w:val="00DE7CB8"/>
    <w:rsid w:val="00DE7D59"/>
    <w:rsid w:val="00DF0391"/>
    <w:rsid w:val="00DF08C4"/>
    <w:rsid w:val="00DF0991"/>
    <w:rsid w:val="00DF09D9"/>
    <w:rsid w:val="00DF120B"/>
    <w:rsid w:val="00DF1332"/>
    <w:rsid w:val="00DF1905"/>
    <w:rsid w:val="00DF190B"/>
    <w:rsid w:val="00DF1E6D"/>
    <w:rsid w:val="00DF1FBC"/>
    <w:rsid w:val="00DF203F"/>
    <w:rsid w:val="00DF24AD"/>
    <w:rsid w:val="00DF27B1"/>
    <w:rsid w:val="00DF294A"/>
    <w:rsid w:val="00DF29EC"/>
    <w:rsid w:val="00DF2B2A"/>
    <w:rsid w:val="00DF2CB7"/>
    <w:rsid w:val="00DF2D60"/>
    <w:rsid w:val="00DF2D6B"/>
    <w:rsid w:val="00DF2FFC"/>
    <w:rsid w:val="00DF34EE"/>
    <w:rsid w:val="00DF3735"/>
    <w:rsid w:val="00DF3A99"/>
    <w:rsid w:val="00DF3FBB"/>
    <w:rsid w:val="00DF4049"/>
    <w:rsid w:val="00DF40AA"/>
    <w:rsid w:val="00DF40C9"/>
    <w:rsid w:val="00DF44C9"/>
    <w:rsid w:val="00DF470C"/>
    <w:rsid w:val="00DF4839"/>
    <w:rsid w:val="00DF496D"/>
    <w:rsid w:val="00DF4A01"/>
    <w:rsid w:val="00DF4A4D"/>
    <w:rsid w:val="00DF4ABF"/>
    <w:rsid w:val="00DF4B3D"/>
    <w:rsid w:val="00DF4DC5"/>
    <w:rsid w:val="00DF4F73"/>
    <w:rsid w:val="00DF588A"/>
    <w:rsid w:val="00DF5CB9"/>
    <w:rsid w:val="00DF5DE5"/>
    <w:rsid w:val="00DF6060"/>
    <w:rsid w:val="00DF607B"/>
    <w:rsid w:val="00DF60C9"/>
    <w:rsid w:val="00DF6592"/>
    <w:rsid w:val="00DF66B6"/>
    <w:rsid w:val="00DF66D8"/>
    <w:rsid w:val="00DF6902"/>
    <w:rsid w:val="00DF69F9"/>
    <w:rsid w:val="00DF6B6E"/>
    <w:rsid w:val="00DF6B88"/>
    <w:rsid w:val="00DF6C3E"/>
    <w:rsid w:val="00DF6DE4"/>
    <w:rsid w:val="00DF7009"/>
    <w:rsid w:val="00DF70FA"/>
    <w:rsid w:val="00DF7491"/>
    <w:rsid w:val="00DF77A5"/>
    <w:rsid w:val="00DF7E7F"/>
    <w:rsid w:val="00E00200"/>
    <w:rsid w:val="00E00624"/>
    <w:rsid w:val="00E006F5"/>
    <w:rsid w:val="00E00846"/>
    <w:rsid w:val="00E0096D"/>
    <w:rsid w:val="00E00A19"/>
    <w:rsid w:val="00E00C99"/>
    <w:rsid w:val="00E01401"/>
    <w:rsid w:val="00E0163A"/>
    <w:rsid w:val="00E01C9D"/>
    <w:rsid w:val="00E01D97"/>
    <w:rsid w:val="00E01F01"/>
    <w:rsid w:val="00E0220E"/>
    <w:rsid w:val="00E022F7"/>
    <w:rsid w:val="00E0238A"/>
    <w:rsid w:val="00E02CB3"/>
    <w:rsid w:val="00E02F98"/>
    <w:rsid w:val="00E02F9C"/>
    <w:rsid w:val="00E0330E"/>
    <w:rsid w:val="00E03361"/>
    <w:rsid w:val="00E03396"/>
    <w:rsid w:val="00E03A8A"/>
    <w:rsid w:val="00E03E7A"/>
    <w:rsid w:val="00E042DE"/>
    <w:rsid w:val="00E043BE"/>
    <w:rsid w:val="00E0457A"/>
    <w:rsid w:val="00E0482E"/>
    <w:rsid w:val="00E0486B"/>
    <w:rsid w:val="00E04B6E"/>
    <w:rsid w:val="00E04C09"/>
    <w:rsid w:val="00E04C5C"/>
    <w:rsid w:val="00E04E4A"/>
    <w:rsid w:val="00E0544C"/>
    <w:rsid w:val="00E0554A"/>
    <w:rsid w:val="00E05646"/>
    <w:rsid w:val="00E059E9"/>
    <w:rsid w:val="00E05BF0"/>
    <w:rsid w:val="00E05C69"/>
    <w:rsid w:val="00E05D40"/>
    <w:rsid w:val="00E0632D"/>
    <w:rsid w:val="00E06535"/>
    <w:rsid w:val="00E06642"/>
    <w:rsid w:val="00E066E9"/>
    <w:rsid w:val="00E0694A"/>
    <w:rsid w:val="00E069E3"/>
    <w:rsid w:val="00E06C06"/>
    <w:rsid w:val="00E074BB"/>
    <w:rsid w:val="00E077D9"/>
    <w:rsid w:val="00E07B4B"/>
    <w:rsid w:val="00E07E3E"/>
    <w:rsid w:val="00E07EDD"/>
    <w:rsid w:val="00E10296"/>
    <w:rsid w:val="00E1056B"/>
    <w:rsid w:val="00E105FD"/>
    <w:rsid w:val="00E1060D"/>
    <w:rsid w:val="00E108BD"/>
    <w:rsid w:val="00E10C44"/>
    <w:rsid w:val="00E10DF4"/>
    <w:rsid w:val="00E10E8C"/>
    <w:rsid w:val="00E113AC"/>
    <w:rsid w:val="00E113FD"/>
    <w:rsid w:val="00E114A9"/>
    <w:rsid w:val="00E115F0"/>
    <w:rsid w:val="00E11B8F"/>
    <w:rsid w:val="00E12105"/>
    <w:rsid w:val="00E12163"/>
    <w:rsid w:val="00E122A2"/>
    <w:rsid w:val="00E123EC"/>
    <w:rsid w:val="00E1274D"/>
    <w:rsid w:val="00E12AAC"/>
    <w:rsid w:val="00E12B7B"/>
    <w:rsid w:val="00E12D47"/>
    <w:rsid w:val="00E12E73"/>
    <w:rsid w:val="00E12EC9"/>
    <w:rsid w:val="00E12F8B"/>
    <w:rsid w:val="00E130B9"/>
    <w:rsid w:val="00E13307"/>
    <w:rsid w:val="00E13AA0"/>
    <w:rsid w:val="00E13C73"/>
    <w:rsid w:val="00E13D7B"/>
    <w:rsid w:val="00E14154"/>
    <w:rsid w:val="00E141AA"/>
    <w:rsid w:val="00E141FC"/>
    <w:rsid w:val="00E145A5"/>
    <w:rsid w:val="00E1463B"/>
    <w:rsid w:val="00E14684"/>
    <w:rsid w:val="00E1485E"/>
    <w:rsid w:val="00E14D87"/>
    <w:rsid w:val="00E15313"/>
    <w:rsid w:val="00E15DEC"/>
    <w:rsid w:val="00E15F6E"/>
    <w:rsid w:val="00E16846"/>
    <w:rsid w:val="00E16853"/>
    <w:rsid w:val="00E16DC1"/>
    <w:rsid w:val="00E172F2"/>
    <w:rsid w:val="00E17605"/>
    <w:rsid w:val="00E176FD"/>
    <w:rsid w:val="00E1773A"/>
    <w:rsid w:val="00E17957"/>
    <w:rsid w:val="00E17AE4"/>
    <w:rsid w:val="00E17BFC"/>
    <w:rsid w:val="00E17D5D"/>
    <w:rsid w:val="00E20290"/>
    <w:rsid w:val="00E203D6"/>
    <w:rsid w:val="00E2044D"/>
    <w:rsid w:val="00E206BE"/>
    <w:rsid w:val="00E20A64"/>
    <w:rsid w:val="00E20A98"/>
    <w:rsid w:val="00E20CA5"/>
    <w:rsid w:val="00E20E00"/>
    <w:rsid w:val="00E20E1F"/>
    <w:rsid w:val="00E2138A"/>
    <w:rsid w:val="00E214EB"/>
    <w:rsid w:val="00E2168F"/>
    <w:rsid w:val="00E21696"/>
    <w:rsid w:val="00E217E4"/>
    <w:rsid w:val="00E21909"/>
    <w:rsid w:val="00E21B35"/>
    <w:rsid w:val="00E21B5E"/>
    <w:rsid w:val="00E21DB1"/>
    <w:rsid w:val="00E223DD"/>
    <w:rsid w:val="00E223EF"/>
    <w:rsid w:val="00E2275F"/>
    <w:rsid w:val="00E22B0F"/>
    <w:rsid w:val="00E22D8E"/>
    <w:rsid w:val="00E23586"/>
    <w:rsid w:val="00E23AA6"/>
    <w:rsid w:val="00E2413E"/>
    <w:rsid w:val="00E24582"/>
    <w:rsid w:val="00E24EBD"/>
    <w:rsid w:val="00E25294"/>
    <w:rsid w:val="00E25668"/>
    <w:rsid w:val="00E25A12"/>
    <w:rsid w:val="00E25AF4"/>
    <w:rsid w:val="00E25DE0"/>
    <w:rsid w:val="00E25EDF"/>
    <w:rsid w:val="00E25F41"/>
    <w:rsid w:val="00E2616B"/>
    <w:rsid w:val="00E262FE"/>
    <w:rsid w:val="00E265F6"/>
    <w:rsid w:val="00E26632"/>
    <w:rsid w:val="00E26A55"/>
    <w:rsid w:val="00E26E97"/>
    <w:rsid w:val="00E27010"/>
    <w:rsid w:val="00E272F9"/>
    <w:rsid w:val="00E2767E"/>
    <w:rsid w:val="00E277A3"/>
    <w:rsid w:val="00E27A6A"/>
    <w:rsid w:val="00E27CBC"/>
    <w:rsid w:val="00E27E36"/>
    <w:rsid w:val="00E27EFF"/>
    <w:rsid w:val="00E301E6"/>
    <w:rsid w:val="00E308E3"/>
    <w:rsid w:val="00E30B51"/>
    <w:rsid w:val="00E30BDA"/>
    <w:rsid w:val="00E30F75"/>
    <w:rsid w:val="00E314E7"/>
    <w:rsid w:val="00E319C7"/>
    <w:rsid w:val="00E319F5"/>
    <w:rsid w:val="00E31A92"/>
    <w:rsid w:val="00E31E71"/>
    <w:rsid w:val="00E32279"/>
    <w:rsid w:val="00E3229E"/>
    <w:rsid w:val="00E32CBA"/>
    <w:rsid w:val="00E32F75"/>
    <w:rsid w:val="00E334CB"/>
    <w:rsid w:val="00E3357E"/>
    <w:rsid w:val="00E33AF7"/>
    <w:rsid w:val="00E33B24"/>
    <w:rsid w:val="00E33C4A"/>
    <w:rsid w:val="00E33E39"/>
    <w:rsid w:val="00E34378"/>
    <w:rsid w:val="00E34508"/>
    <w:rsid w:val="00E34DD4"/>
    <w:rsid w:val="00E34FA9"/>
    <w:rsid w:val="00E3502F"/>
    <w:rsid w:val="00E350CF"/>
    <w:rsid w:val="00E351B6"/>
    <w:rsid w:val="00E35368"/>
    <w:rsid w:val="00E35867"/>
    <w:rsid w:val="00E35AF0"/>
    <w:rsid w:val="00E35D1A"/>
    <w:rsid w:val="00E36560"/>
    <w:rsid w:val="00E3676E"/>
    <w:rsid w:val="00E367F1"/>
    <w:rsid w:val="00E36CF0"/>
    <w:rsid w:val="00E36F8A"/>
    <w:rsid w:val="00E36FF0"/>
    <w:rsid w:val="00E37098"/>
    <w:rsid w:val="00E37908"/>
    <w:rsid w:val="00E37B34"/>
    <w:rsid w:val="00E4009E"/>
    <w:rsid w:val="00E40790"/>
    <w:rsid w:val="00E408DB"/>
    <w:rsid w:val="00E40A90"/>
    <w:rsid w:val="00E40A9D"/>
    <w:rsid w:val="00E40D29"/>
    <w:rsid w:val="00E41501"/>
    <w:rsid w:val="00E41608"/>
    <w:rsid w:val="00E418D1"/>
    <w:rsid w:val="00E41B07"/>
    <w:rsid w:val="00E41D7F"/>
    <w:rsid w:val="00E42065"/>
    <w:rsid w:val="00E42192"/>
    <w:rsid w:val="00E424C0"/>
    <w:rsid w:val="00E42B86"/>
    <w:rsid w:val="00E42D4F"/>
    <w:rsid w:val="00E430B3"/>
    <w:rsid w:val="00E4318E"/>
    <w:rsid w:val="00E4339A"/>
    <w:rsid w:val="00E4344E"/>
    <w:rsid w:val="00E4364C"/>
    <w:rsid w:val="00E437FA"/>
    <w:rsid w:val="00E43E53"/>
    <w:rsid w:val="00E43FE8"/>
    <w:rsid w:val="00E44107"/>
    <w:rsid w:val="00E4457E"/>
    <w:rsid w:val="00E445A2"/>
    <w:rsid w:val="00E44760"/>
    <w:rsid w:val="00E44836"/>
    <w:rsid w:val="00E4493F"/>
    <w:rsid w:val="00E44C3E"/>
    <w:rsid w:val="00E452F3"/>
    <w:rsid w:val="00E4537F"/>
    <w:rsid w:val="00E454C9"/>
    <w:rsid w:val="00E45566"/>
    <w:rsid w:val="00E456C2"/>
    <w:rsid w:val="00E456ED"/>
    <w:rsid w:val="00E457AB"/>
    <w:rsid w:val="00E45C1D"/>
    <w:rsid w:val="00E461A0"/>
    <w:rsid w:val="00E461F7"/>
    <w:rsid w:val="00E4687A"/>
    <w:rsid w:val="00E46A78"/>
    <w:rsid w:val="00E46C7F"/>
    <w:rsid w:val="00E46D00"/>
    <w:rsid w:val="00E46F3D"/>
    <w:rsid w:val="00E46FE4"/>
    <w:rsid w:val="00E47314"/>
    <w:rsid w:val="00E4756E"/>
    <w:rsid w:val="00E4776E"/>
    <w:rsid w:val="00E47878"/>
    <w:rsid w:val="00E47E1D"/>
    <w:rsid w:val="00E47E6E"/>
    <w:rsid w:val="00E5018F"/>
    <w:rsid w:val="00E50738"/>
    <w:rsid w:val="00E507A1"/>
    <w:rsid w:val="00E5082A"/>
    <w:rsid w:val="00E508B5"/>
    <w:rsid w:val="00E508DA"/>
    <w:rsid w:val="00E509E0"/>
    <w:rsid w:val="00E50D34"/>
    <w:rsid w:val="00E510B9"/>
    <w:rsid w:val="00E511EA"/>
    <w:rsid w:val="00E5170C"/>
    <w:rsid w:val="00E518C4"/>
    <w:rsid w:val="00E52103"/>
    <w:rsid w:val="00E524A3"/>
    <w:rsid w:val="00E52F61"/>
    <w:rsid w:val="00E5322F"/>
    <w:rsid w:val="00E537DF"/>
    <w:rsid w:val="00E53CE9"/>
    <w:rsid w:val="00E53FE6"/>
    <w:rsid w:val="00E542FC"/>
    <w:rsid w:val="00E54492"/>
    <w:rsid w:val="00E5467B"/>
    <w:rsid w:val="00E54921"/>
    <w:rsid w:val="00E54E58"/>
    <w:rsid w:val="00E54F93"/>
    <w:rsid w:val="00E55119"/>
    <w:rsid w:val="00E552A9"/>
    <w:rsid w:val="00E552D9"/>
    <w:rsid w:val="00E553EB"/>
    <w:rsid w:val="00E553F8"/>
    <w:rsid w:val="00E55489"/>
    <w:rsid w:val="00E555C6"/>
    <w:rsid w:val="00E55726"/>
    <w:rsid w:val="00E55A73"/>
    <w:rsid w:val="00E55BF1"/>
    <w:rsid w:val="00E55CD4"/>
    <w:rsid w:val="00E56328"/>
    <w:rsid w:val="00E566E8"/>
    <w:rsid w:val="00E569BC"/>
    <w:rsid w:val="00E56A19"/>
    <w:rsid w:val="00E572C4"/>
    <w:rsid w:val="00E577FC"/>
    <w:rsid w:val="00E57801"/>
    <w:rsid w:val="00E57A72"/>
    <w:rsid w:val="00E57DEE"/>
    <w:rsid w:val="00E57E62"/>
    <w:rsid w:val="00E57EA8"/>
    <w:rsid w:val="00E58A75"/>
    <w:rsid w:val="00E5C4D7"/>
    <w:rsid w:val="00E60120"/>
    <w:rsid w:val="00E603A2"/>
    <w:rsid w:val="00E605E9"/>
    <w:rsid w:val="00E60693"/>
    <w:rsid w:val="00E6111B"/>
    <w:rsid w:val="00E61211"/>
    <w:rsid w:val="00E61B91"/>
    <w:rsid w:val="00E620CC"/>
    <w:rsid w:val="00E62420"/>
    <w:rsid w:val="00E625F5"/>
    <w:rsid w:val="00E630E9"/>
    <w:rsid w:val="00E63332"/>
    <w:rsid w:val="00E63989"/>
    <w:rsid w:val="00E639E4"/>
    <w:rsid w:val="00E63EFD"/>
    <w:rsid w:val="00E6411F"/>
    <w:rsid w:val="00E64275"/>
    <w:rsid w:val="00E6432D"/>
    <w:rsid w:val="00E64889"/>
    <w:rsid w:val="00E649A1"/>
    <w:rsid w:val="00E649AE"/>
    <w:rsid w:val="00E64A8C"/>
    <w:rsid w:val="00E64BA5"/>
    <w:rsid w:val="00E64C8E"/>
    <w:rsid w:val="00E65222"/>
    <w:rsid w:val="00E652F9"/>
    <w:rsid w:val="00E655FE"/>
    <w:rsid w:val="00E65624"/>
    <w:rsid w:val="00E657CA"/>
    <w:rsid w:val="00E65A19"/>
    <w:rsid w:val="00E65A56"/>
    <w:rsid w:val="00E65BAA"/>
    <w:rsid w:val="00E65E36"/>
    <w:rsid w:val="00E65ECC"/>
    <w:rsid w:val="00E65F51"/>
    <w:rsid w:val="00E669DD"/>
    <w:rsid w:val="00E66BE7"/>
    <w:rsid w:val="00E66E56"/>
    <w:rsid w:val="00E67116"/>
    <w:rsid w:val="00E67595"/>
    <w:rsid w:val="00E67A1D"/>
    <w:rsid w:val="00E67CE5"/>
    <w:rsid w:val="00E67D79"/>
    <w:rsid w:val="00E67EE7"/>
    <w:rsid w:val="00E700B7"/>
    <w:rsid w:val="00E701AD"/>
    <w:rsid w:val="00E702D7"/>
    <w:rsid w:val="00E70302"/>
    <w:rsid w:val="00E70356"/>
    <w:rsid w:val="00E703CA"/>
    <w:rsid w:val="00E70498"/>
    <w:rsid w:val="00E70AD6"/>
    <w:rsid w:val="00E70DA6"/>
    <w:rsid w:val="00E70F41"/>
    <w:rsid w:val="00E712CE"/>
    <w:rsid w:val="00E71457"/>
    <w:rsid w:val="00E71607"/>
    <w:rsid w:val="00E71A70"/>
    <w:rsid w:val="00E71A9B"/>
    <w:rsid w:val="00E71B86"/>
    <w:rsid w:val="00E71D94"/>
    <w:rsid w:val="00E72169"/>
    <w:rsid w:val="00E7231D"/>
    <w:rsid w:val="00E723B1"/>
    <w:rsid w:val="00E72742"/>
    <w:rsid w:val="00E72937"/>
    <w:rsid w:val="00E72B76"/>
    <w:rsid w:val="00E72B7C"/>
    <w:rsid w:val="00E72CD4"/>
    <w:rsid w:val="00E72EB7"/>
    <w:rsid w:val="00E73187"/>
    <w:rsid w:val="00E7328B"/>
    <w:rsid w:val="00E7332A"/>
    <w:rsid w:val="00E7335C"/>
    <w:rsid w:val="00E73368"/>
    <w:rsid w:val="00E73390"/>
    <w:rsid w:val="00E73707"/>
    <w:rsid w:val="00E74045"/>
    <w:rsid w:val="00E740EC"/>
    <w:rsid w:val="00E74191"/>
    <w:rsid w:val="00E74454"/>
    <w:rsid w:val="00E74463"/>
    <w:rsid w:val="00E74899"/>
    <w:rsid w:val="00E748D5"/>
    <w:rsid w:val="00E74CCF"/>
    <w:rsid w:val="00E75202"/>
    <w:rsid w:val="00E7530F"/>
    <w:rsid w:val="00E7537F"/>
    <w:rsid w:val="00E75C18"/>
    <w:rsid w:val="00E75CB0"/>
    <w:rsid w:val="00E75D6C"/>
    <w:rsid w:val="00E7600C"/>
    <w:rsid w:val="00E7666D"/>
    <w:rsid w:val="00E767FC"/>
    <w:rsid w:val="00E76971"/>
    <w:rsid w:val="00E76B66"/>
    <w:rsid w:val="00E76BDA"/>
    <w:rsid w:val="00E76C8E"/>
    <w:rsid w:val="00E76F05"/>
    <w:rsid w:val="00E76FF1"/>
    <w:rsid w:val="00E7745B"/>
    <w:rsid w:val="00E77597"/>
    <w:rsid w:val="00E775F4"/>
    <w:rsid w:val="00E77A40"/>
    <w:rsid w:val="00E77B92"/>
    <w:rsid w:val="00E77C63"/>
    <w:rsid w:val="00E77C96"/>
    <w:rsid w:val="00E77CC6"/>
    <w:rsid w:val="00E802FC"/>
    <w:rsid w:val="00E8036E"/>
    <w:rsid w:val="00E80859"/>
    <w:rsid w:val="00E808C6"/>
    <w:rsid w:val="00E80F3D"/>
    <w:rsid w:val="00E8105F"/>
    <w:rsid w:val="00E8182F"/>
    <w:rsid w:val="00E81B28"/>
    <w:rsid w:val="00E8201A"/>
    <w:rsid w:val="00E8203F"/>
    <w:rsid w:val="00E821F6"/>
    <w:rsid w:val="00E824D3"/>
    <w:rsid w:val="00E827E9"/>
    <w:rsid w:val="00E827F8"/>
    <w:rsid w:val="00E82C13"/>
    <w:rsid w:val="00E82C28"/>
    <w:rsid w:val="00E8305D"/>
    <w:rsid w:val="00E83133"/>
    <w:rsid w:val="00E83C32"/>
    <w:rsid w:val="00E83EAC"/>
    <w:rsid w:val="00E840B7"/>
    <w:rsid w:val="00E846AD"/>
    <w:rsid w:val="00E84714"/>
    <w:rsid w:val="00E84F95"/>
    <w:rsid w:val="00E850A0"/>
    <w:rsid w:val="00E85C63"/>
    <w:rsid w:val="00E85D21"/>
    <w:rsid w:val="00E85EE9"/>
    <w:rsid w:val="00E86035"/>
    <w:rsid w:val="00E8607C"/>
    <w:rsid w:val="00E86712"/>
    <w:rsid w:val="00E86D2A"/>
    <w:rsid w:val="00E86DE9"/>
    <w:rsid w:val="00E871FC"/>
    <w:rsid w:val="00E878CB"/>
    <w:rsid w:val="00E87C8F"/>
    <w:rsid w:val="00E87E73"/>
    <w:rsid w:val="00E9004B"/>
    <w:rsid w:val="00E90061"/>
    <w:rsid w:val="00E9032B"/>
    <w:rsid w:val="00E90409"/>
    <w:rsid w:val="00E9048A"/>
    <w:rsid w:val="00E9069C"/>
    <w:rsid w:val="00E9074C"/>
    <w:rsid w:val="00E90813"/>
    <w:rsid w:val="00E90820"/>
    <w:rsid w:val="00E90926"/>
    <w:rsid w:val="00E90B8C"/>
    <w:rsid w:val="00E90E74"/>
    <w:rsid w:val="00E9121C"/>
    <w:rsid w:val="00E91490"/>
    <w:rsid w:val="00E914A0"/>
    <w:rsid w:val="00E915D8"/>
    <w:rsid w:val="00E917D5"/>
    <w:rsid w:val="00E91EC0"/>
    <w:rsid w:val="00E91FB9"/>
    <w:rsid w:val="00E924C7"/>
    <w:rsid w:val="00E9258D"/>
    <w:rsid w:val="00E927D1"/>
    <w:rsid w:val="00E92B80"/>
    <w:rsid w:val="00E92BCB"/>
    <w:rsid w:val="00E92FDF"/>
    <w:rsid w:val="00E930BE"/>
    <w:rsid w:val="00E930EC"/>
    <w:rsid w:val="00E931AA"/>
    <w:rsid w:val="00E936C3"/>
    <w:rsid w:val="00E936F0"/>
    <w:rsid w:val="00E937AF"/>
    <w:rsid w:val="00E93976"/>
    <w:rsid w:val="00E93CF3"/>
    <w:rsid w:val="00E93DA4"/>
    <w:rsid w:val="00E93EA7"/>
    <w:rsid w:val="00E93EAA"/>
    <w:rsid w:val="00E93F63"/>
    <w:rsid w:val="00E93F94"/>
    <w:rsid w:val="00E942F9"/>
    <w:rsid w:val="00E94558"/>
    <w:rsid w:val="00E947EC"/>
    <w:rsid w:val="00E94CB7"/>
    <w:rsid w:val="00E94D45"/>
    <w:rsid w:val="00E9505C"/>
    <w:rsid w:val="00E95153"/>
    <w:rsid w:val="00E951F6"/>
    <w:rsid w:val="00E95537"/>
    <w:rsid w:val="00E9555B"/>
    <w:rsid w:val="00E95A83"/>
    <w:rsid w:val="00E95A8B"/>
    <w:rsid w:val="00E95BC8"/>
    <w:rsid w:val="00E96065"/>
    <w:rsid w:val="00E96392"/>
    <w:rsid w:val="00E96412"/>
    <w:rsid w:val="00E96447"/>
    <w:rsid w:val="00E9699D"/>
    <w:rsid w:val="00E96D09"/>
    <w:rsid w:val="00E96D35"/>
    <w:rsid w:val="00E96EB0"/>
    <w:rsid w:val="00E96EC4"/>
    <w:rsid w:val="00E96F1E"/>
    <w:rsid w:val="00E973A2"/>
    <w:rsid w:val="00E974DB"/>
    <w:rsid w:val="00E975AA"/>
    <w:rsid w:val="00E978BA"/>
    <w:rsid w:val="00E97C51"/>
    <w:rsid w:val="00E97F2A"/>
    <w:rsid w:val="00E97F32"/>
    <w:rsid w:val="00E97FE1"/>
    <w:rsid w:val="00EA0076"/>
    <w:rsid w:val="00EA0132"/>
    <w:rsid w:val="00EA0135"/>
    <w:rsid w:val="00EA018B"/>
    <w:rsid w:val="00EA04A1"/>
    <w:rsid w:val="00EA07F1"/>
    <w:rsid w:val="00EA08C5"/>
    <w:rsid w:val="00EA0906"/>
    <w:rsid w:val="00EA0A8E"/>
    <w:rsid w:val="00EA0D07"/>
    <w:rsid w:val="00EA0EA3"/>
    <w:rsid w:val="00EA0EF7"/>
    <w:rsid w:val="00EA0FEB"/>
    <w:rsid w:val="00EA1D57"/>
    <w:rsid w:val="00EA211A"/>
    <w:rsid w:val="00EA2122"/>
    <w:rsid w:val="00EA281D"/>
    <w:rsid w:val="00EA2954"/>
    <w:rsid w:val="00EA2B18"/>
    <w:rsid w:val="00EA2B48"/>
    <w:rsid w:val="00EA2BA1"/>
    <w:rsid w:val="00EA2D82"/>
    <w:rsid w:val="00EA2FC7"/>
    <w:rsid w:val="00EA31AF"/>
    <w:rsid w:val="00EA3280"/>
    <w:rsid w:val="00EA3735"/>
    <w:rsid w:val="00EA3747"/>
    <w:rsid w:val="00EA3ECE"/>
    <w:rsid w:val="00EA418C"/>
    <w:rsid w:val="00EA425D"/>
    <w:rsid w:val="00EA4350"/>
    <w:rsid w:val="00EA43FC"/>
    <w:rsid w:val="00EA4639"/>
    <w:rsid w:val="00EA474F"/>
    <w:rsid w:val="00EA5319"/>
    <w:rsid w:val="00EA53A8"/>
    <w:rsid w:val="00EA55BB"/>
    <w:rsid w:val="00EA5707"/>
    <w:rsid w:val="00EA585E"/>
    <w:rsid w:val="00EA58AD"/>
    <w:rsid w:val="00EA5BD6"/>
    <w:rsid w:val="00EA629A"/>
    <w:rsid w:val="00EA62B4"/>
    <w:rsid w:val="00EA6713"/>
    <w:rsid w:val="00EA67B2"/>
    <w:rsid w:val="00EA68FF"/>
    <w:rsid w:val="00EA690F"/>
    <w:rsid w:val="00EA6958"/>
    <w:rsid w:val="00EA6966"/>
    <w:rsid w:val="00EA699B"/>
    <w:rsid w:val="00EA6B3B"/>
    <w:rsid w:val="00EA737D"/>
    <w:rsid w:val="00EA7410"/>
    <w:rsid w:val="00EA751D"/>
    <w:rsid w:val="00EA77AC"/>
    <w:rsid w:val="00EA7886"/>
    <w:rsid w:val="00EA78C6"/>
    <w:rsid w:val="00EA791D"/>
    <w:rsid w:val="00EA79E9"/>
    <w:rsid w:val="00EA7D39"/>
    <w:rsid w:val="00EB01AA"/>
    <w:rsid w:val="00EB0428"/>
    <w:rsid w:val="00EB0721"/>
    <w:rsid w:val="00EB0960"/>
    <w:rsid w:val="00EB0993"/>
    <w:rsid w:val="00EB0E17"/>
    <w:rsid w:val="00EB0FB0"/>
    <w:rsid w:val="00EB1057"/>
    <w:rsid w:val="00EB1149"/>
    <w:rsid w:val="00EB1256"/>
    <w:rsid w:val="00EB1369"/>
    <w:rsid w:val="00EB1701"/>
    <w:rsid w:val="00EB1A6B"/>
    <w:rsid w:val="00EB1BB0"/>
    <w:rsid w:val="00EB1DDA"/>
    <w:rsid w:val="00EB1FCB"/>
    <w:rsid w:val="00EB2706"/>
    <w:rsid w:val="00EB2B4A"/>
    <w:rsid w:val="00EB2DC2"/>
    <w:rsid w:val="00EB30FD"/>
    <w:rsid w:val="00EB32A6"/>
    <w:rsid w:val="00EB3363"/>
    <w:rsid w:val="00EB33E7"/>
    <w:rsid w:val="00EB3543"/>
    <w:rsid w:val="00EB361C"/>
    <w:rsid w:val="00EB3634"/>
    <w:rsid w:val="00EB380F"/>
    <w:rsid w:val="00EB393D"/>
    <w:rsid w:val="00EB39E7"/>
    <w:rsid w:val="00EB3C16"/>
    <w:rsid w:val="00EB4462"/>
    <w:rsid w:val="00EB44D3"/>
    <w:rsid w:val="00EB45D8"/>
    <w:rsid w:val="00EB4802"/>
    <w:rsid w:val="00EB4C6A"/>
    <w:rsid w:val="00EB4C7A"/>
    <w:rsid w:val="00EB4CA5"/>
    <w:rsid w:val="00EB4CAD"/>
    <w:rsid w:val="00EB4E26"/>
    <w:rsid w:val="00EB4EF6"/>
    <w:rsid w:val="00EB560C"/>
    <w:rsid w:val="00EB5768"/>
    <w:rsid w:val="00EB5831"/>
    <w:rsid w:val="00EB5D35"/>
    <w:rsid w:val="00EB5DA9"/>
    <w:rsid w:val="00EB5F83"/>
    <w:rsid w:val="00EB60F1"/>
    <w:rsid w:val="00EB63A8"/>
    <w:rsid w:val="00EB65D4"/>
    <w:rsid w:val="00EB6765"/>
    <w:rsid w:val="00EB6BD1"/>
    <w:rsid w:val="00EB6D7D"/>
    <w:rsid w:val="00EB6FE0"/>
    <w:rsid w:val="00EB7582"/>
    <w:rsid w:val="00EB7688"/>
    <w:rsid w:val="00EB78FD"/>
    <w:rsid w:val="00EB793C"/>
    <w:rsid w:val="00EB7AA8"/>
    <w:rsid w:val="00EC0595"/>
    <w:rsid w:val="00EC07A1"/>
    <w:rsid w:val="00EC08C1"/>
    <w:rsid w:val="00EC091A"/>
    <w:rsid w:val="00EC0E6B"/>
    <w:rsid w:val="00EC1029"/>
    <w:rsid w:val="00EC1691"/>
    <w:rsid w:val="00EC1A05"/>
    <w:rsid w:val="00EC1D48"/>
    <w:rsid w:val="00EC2029"/>
    <w:rsid w:val="00EC2084"/>
    <w:rsid w:val="00EC2504"/>
    <w:rsid w:val="00EC2749"/>
    <w:rsid w:val="00EC2B92"/>
    <w:rsid w:val="00EC2CE0"/>
    <w:rsid w:val="00EC3026"/>
    <w:rsid w:val="00EC36F8"/>
    <w:rsid w:val="00EC3BDA"/>
    <w:rsid w:val="00EC3C95"/>
    <w:rsid w:val="00EC3E33"/>
    <w:rsid w:val="00EC4029"/>
    <w:rsid w:val="00EC4152"/>
    <w:rsid w:val="00EC44B1"/>
    <w:rsid w:val="00EC4675"/>
    <w:rsid w:val="00EC46E7"/>
    <w:rsid w:val="00EC483B"/>
    <w:rsid w:val="00EC4C06"/>
    <w:rsid w:val="00EC5053"/>
    <w:rsid w:val="00EC5148"/>
    <w:rsid w:val="00EC5196"/>
    <w:rsid w:val="00EC52F4"/>
    <w:rsid w:val="00EC566E"/>
    <w:rsid w:val="00EC5698"/>
    <w:rsid w:val="00EC5BA9"/>
    <w:rsid w:val="00EC6209"/>
    <w:rsid w:val="00EC6314"/>
    <w:rsid w:val="00EC6351"/>
    <w:rsid w:val="00EC63E9"/>
    <w:rsid w:val="00EC64E7"/>
    <w:rsid w:val="00EC65B5"/>
    <w:rsid w:val="00EC6BB2"/>
    <w:rsid w:val="00EC6C34"/>
    <w:rsid w:val="00EC6EB5"/>
    <w:rsid w:val="00EC71F6"/>
    <w:rsid w:val="00EC7CFB"/>
    <w:rsid w:val="00EC7E01"/>
    <w:rsid w:val="00EC7FDD"/>
    <w:rsid w:val="00ED0B6D"/>
    <w:rsid w:val="00ED0E7E"/>
    <w:rsid w:val="00ED0F9B"/>
    <w:rsid w:val="00ED10BA"/>
    <w:rsid w:val="00ED1439"/>
    <w:rsid w:val="00ED153A"/>
    <w:rsid w:val="00ED1799"/>
    <w:rsid w:val="00ED1C5B"/>
    <w:rsid w:val="00ED1FF6"/>
    <w:rsid w:val="00ED2108"/>
    <w:rsid w:val="00ED2773"/>
    <w:rsid w:val="00ED2C26"/>
    <w:rsid w:val="00ED2C56"/>
    <w:rsid w:val="00ED2E4E"/>
    <w:rsid w:val="00ED2F59"/>
    <w:rsid w:val="00ED3053"/>
    <w:rsid w:val="00ED30DB"/>
    <w:rsid w:val="00ED332A"/>
    <w:rsid w:val="00ED34FA"/>
    <w:rsid w:val="00ED36D8"/>
    <w:rsid w:val="00ED37A8"/>
    <w:rsid w:val="00ED3837"/>
    <w:rsid w:val="00ED38F5"/>
    <w:rsid w:val="00ED3B29"/>
    <w:rsid w:val="00ED3DBA"/>
    <w:rsid w:val="00ED439C"/>
    <w:rsid w:val="00ED4744"/>
    <w:rsid w:val="00ED4DD1"/>
    <w:rsid w:val="00ED5977"/>
    <w:rsid w:val="00ED5A45"/>
    <w:rsid w:val="00ED5B5C"/>
    <w:rsid w:val="00ED5C70"/>
    <w:rsid w:val="00ED5F04"/>
    <w:rsid w:val="00ED639F"/>
    <w:rsid w:val="00ED6607"/>
    <w:rsid w:val="00ED6808"/>
    <w:rsid w:val="00ED686A"/>
    <w:rsid w:val="00ED710C"/>
    <w:rsid w:val="00ED7AFD"/>
    <w:rsid w:val="00ED7C4E"/>
    <w:rsid w:val="00ED7C99"/>
    <w:rsid w:val="00ED7E20"/>
    <w:rsid w:val="00ED7EE5"/>
    <w:rsid w:val="00EE0131"/>
    <w:rsid w:val="00EE04A8"/>
    <w:rsid w:val="00EE0798"/>
    <w:rsid w:val="00EE0841"/>
    <w:rsid w:val="00EE0AD0"/>
    <w:rsid w:val="00EE0F83"/>
    <w:rsid w:val="00EE1055"/>
    <w:rsid w:val="00EE129D"/>
    <w:rsid w:val="00EE1422"/>
    <w:rsid w:val="00EE1425"/>
    <w:rsid w:val="00EE165F"/>
    <w:rsid w:val="00EE179C"/>
    <w:rsid w:val="00EE17F6"/>
    <w:rsid w:val="00EE1884"/>
    <w:rsid w:val="00EE1888"/>
    <w:rsid w:val="00EE1984"/>
    <w:rsid w:val="00EE1BC3"/>
    <w:rsid w:val="00EE1BDC"/>
    <w:rsid w:val="00EE1D5E"/>
    <w:rsid w:val="00EE2061"/>
    <w:rsid w:val="00EE20C8"/>
    <w:rsid w:val="00EE2631"/>
    <w:rsid w:val="00EE27B8"/>
    <w:rsid w:val="00EE28F3"/>
    <w:rsid w:val="00EE29EA"/>
    <w:rsid w:val="00EE2A94"/>
    <w:rsid w:val="00EE2C15"/>
    <w:rsid w:val="00EE3062"/>
    <w:rsid w:val="00EE328C"/>
    <w:rsid w:val="00EE32F8"/>
    <w:rsid w:val="00EE35A8"/>
    <w:rsid w:val="00EE3BCF"/>
    <w:rsid w:val="00EE3D94"/>
    <w:rsid w:val="00EE3FD0"/>
    <w:rsid w:val="00EE40EC"/>
    <w:rsid w:val="00EE426B"/>
    <w:rsid w:val="00EE4397"/>
    <w:rsid w:val="00EE4A55"/>
    <w:rsid w:val="00EE5154"/>
    <w:rsid w:val="00EE5198"/>
    <w:rsid w:val="00EE5559"/>
    <w:rsid w:val="00EE56EE"/>
    <w:rsid w:val="00EE5CF8"/>
    <w:rsid w:val="00EE5E6C"/>
    <w:rsid w:val="00EE6049"/>
    <w:rsid w:val="00EE6131"/>
    <w:rsid w:val="00EE61DD"/>
    <w:rsid w:val="00EE62DB"/>
    <w:rsid w:val="00EE6A38"/>
    <w:rsid w:val="00EE6E69"/>
    <w:rsid w:val="00EE6E95"/>
    <w:rsid w:val="00EE722E"/>
    <w:rsid w:val="00EE72EC"/>
    <w:rsid w:val="00EE77E1"/>
    <w:rsid w:val="00EE7A66"/>
    <w:rsid w:val="00EF03A1"/>
    <w:rsid w:val="00EF06F2"/>
    <w:rsid w:val="00EF071C"/>
    <w:rsid w:val="00EF087D"/>
    <w:rsid w:val="00EF09DE"/>
    <w:rsid w:val="00EF1176"/>
    <w:rsid w:val="00EF1647"/>
    <w:rsid w:val="00EF180C"/>
    <w:rsid w:val="00EF18FA"/>
    <w:rsid w:val="00EF1B6A"/>
    <w:rsid w:val="00EF1D50"/>
    <w:rsid w:val="00EF1EB2"/>
    <w:rsid w:val="00EF1EE9"/>
    <w:rsid w:val="00EF1FE1"/>
    <w:rsid w:val="00EF27BC"/>
    <w:rsid w:val="00EF27E4"/>
    <w:rsid w:val="00EF2C31"/>
    <w:rsid w:val="00EF2E7C"/>
    <w:rsid w:val="00EF2F66"/>
    <w:rsid w:val="00EF36AC"/>
    <w:rsid w:val="00EF3A36"/>
    <w:rsid w:val="00EF3CAF"/>
    <w:rsid w:val="00EF4204"/>
    <w:rsid w:val="00EF4362"/>
    <w:rsid w:val="00EF45E8"/>
    <w:rsid w:val="00EF4672"/>
    <w:rsid w:val="00EF48F3"/>
    <w:rsid w:val="00EF4D79"/>
    <w:rsid w:val="00EF4DBD"/>
    <w:rsid w:val="00EF51F8"/>
    <w:rsid w:val="00EF535F"/>
    <w:rsid w:val="00EF53B1"/>
    <w:rsid w:val="00EF551B"/>
    <w:rsid w:val="00EF55C2"/>
    <w:rsid w:val="00EF55EF"/>
    <w:rsid w:val="00EF5674"/>
    <w:rsid w:val="00EF5761"/>
    <w:rsid w:val="00EF58CA"/>
    <w:rsid w:val="00EF59BA"/>
    <w:rsid w:val="00EF5BF1"/>
    <w:rsid w:val="00EF5F64"/>
    <w:rsid w:val="00EF6207"/>
    <w:rsid w:val="00EF6319"/>
    <w:rsid w:val="00EF6988"/>
    <w:rsid w:val="00EF6A22"/>
    <w:rsid w:val="00EF6B1A"/>
    <w:rsid w:val="00EF6E60"/>
    <w:rsid w:val="00EF7185"/>
    <w:rsid w:val="00EF7279"/>
    <w:rsid w:val="00EF7B8F"/>
    <w:rsid w:val="00F002B5"/>
    <w:rsid w:val="00F009C4"/>
    <w:rsid w:val="00F00EF2"/>
    <w:rsid w:val="00F01476"/>
    <w:rsid w:val="00F0166E"/>
    <w:rsid w:val="00F022CA"/>
    <w:rsid w:val="00F02566"/>
    <w:rsid w:val="00F0268A"/>
    <w:rsid w:val="00F02EA3"/>
    <w:rsid w:val="00F0314F"/>
    <w:rsid w:val="00F0330A"/>
    <w:rsid w:val="00F0331F"/>
    <w:rsid w:val="00F03548"/>
    <w:rsid w:val="00F03742"/>
    <w:rsid w:val="00F037CA"/>
    <w:rsid w:val="00F03AAC"/>
    <w:rsid w:val="00F03E04"/>
    <w:rsid w:val="00F03E3E"/>
    <w:rsid w:val="00F03F6C"/>
    <w:rsid w:val="00F041A9"/>
    <w:rsid w:val="00F0457C"/>
    <w:rsid w:val="00F046CB"/>
    <w:rsid w:val="00F0522F"/>
    <w:rsid w:val="00F052F0"/>
    <w:rsid w:val="00F0534C"/>
    <w:rsid w:val="00F056A5"/>
    <w:rsid w:val="00F05877"/>
    <w:rsid w:val="00F058BD"/>
    <w:rsid w:val="00F05B42"/>
    <w:rsid w:val="00F05B8F"/>
    <w:rsid w:val="00F05BB1"/>
    <w:rsid w:val="00F05C8F"/>
    <w:rsid w:val="00F05CB6"/>
    <w:rsid w:val="00F05D4C"/>
    <w:rsid w:val="00F05E39"/>
    <w:rsid w:val="00F05ECD"/>
    <w:rsid w:val="00F06371"/>
    <w:rsid w:val="00F065A8"/>
    <w:rsid w:val="00F06658"/>
    <w:rsid w:val="00F069BC"/>
    <w:rsid w:val="00F06F70"/>
    <w:rsid w:val="00F070FA"/>
    <w:rsid w:val="00F07415"/>
    <w:rsid w:val="00F077C3"/>
    <w:rsid w:val="00F07914"/>
    <w:rsid w:val="00F07BFF"/>
    <w:rsid w:val="00F07E12"/>
    <w:rsid w:val="00F07F2B"/>
    <w:rsid w:val="00F101A6"/>
    <w:rsid w:val="00F1055B"/>
    <w:rsid w:val="00F10773"/>
    <w:rsid w:val="00F109C6"/>
    <w:rsid w:val="00F109FA"/>
    <w:rsid w:val="00F10BD3"/>
    <w:rsid w:val="00F10CE7"/>
    <w:rsid w:val="00F10EAD"/>
    <w:rsid w:val="00F1161B"/>
    <w:rsid w:val="00F1184A"/>
    <w:rsid w:val="00F11BE4"/>
    <w:rsid w:val="00F125D5"/>
    <w:rsid w:val="00F1264F"/>
    <w:rsid w:val="00F12A6E"/>
    <w:rsid w:val="00F12CE0"/>
    <w:rsid w:val="00F12DBD"/>
    <w:rsid w:val="00F12F51"/>
    <w:rsid w:val="00F13102"/>
    <w:rsid w:val="00F1317B"/>
    <w:rsid w:val="00F132A4"/>
    <w:rsid w:val="00F13508"/>
    <w:rsid w:val="00F13A6C"/>
    <w:rsid w:val="00F144CC"/>
    <w:rsid w:val="00F1491B"/>
    <w:rsid w:val="00F1541E"/>
    <w:rsid w:val="00F15859"/>
    <w:rsid w:val="00F15925"/>
    <w:rsid w:val="00F15F1D"/>
    <w:rsid w:val="00F15FBC"/>
    <w:rsid w:val="00F162AC"/>
    <w:rsid w:val="00F1675C"/>
    <w:rsid w:val="00F16D13"/>
    <w:rsid w:val="00F16E2F"/>
    <w:rsid w:val="00F16F01"/>
    <w:rsid w:val="00F177ED"/>
    <w:rsid w:val="00F204C9"/>
    <w:rsid w:val="00F20524"/>
    <w:rsid w:val="00F20A67"/>
    <w:rsid w:val="00F20AC8"/>
    <w:rsid w:val="00F20E9C"/>
    <w:rsid w:val="00F20F4B"/>
    <w:rsid w:val="00F2108A"/>
    <w:rsid w:val="00F217B2"/>
    <w:rsid w:val="00F21A6E"/>
    <w:rsid w:val="00F21AA2"/>
    <w:rsid w:val="00F21B8B"/>
    <w:rsid w:val="00F221E1"/>
    <w:rsid w:val="00F2284C"/>
    <w:rsid w:val="00F22B02"/>
    <w:rsid w:val="00F22D00"/>
    <w:rsid w:val="00F231A4"/>
    <w:rsid w:val="00F23294"/>
    <w:rsid w:val="00F23340"/>
    <w:rsid w:val="00F233C3"/>
    <w:rsid w:val="00F23982"/>
    <w:rsid w:val="00F23A16"/>
    <w:rsid w:val="00F23A26"/>
    <w:rsid w:val="00F24385"/>
    <w:rsid w:val="00F24905"/>
    <w:rsid w:val="00F25186"/>
    <w:rsid w:val="00F25259"/>
    <w:rsid w:val="00F25280"/>
    <w:rsid w:val="00F255A8"/>
    <w:rsid w:val="00F25746"/>
    <w:rsid w:val="00F25AF1"/>
    <w:rsid w:val="00F25C75"/>
    <w:rsid w:val="00F25D70"/>
    <w:rsid w:val="00F25F62"/>
    <w:rsid w:val="00F26B3C"/>
    <w:rsid w:val="00F26BFB"/>
    <w:rsid w:val="00F26C16"/>
    <w:rsid w:val="00F27332"/>
    <w:rsid w:val="00F275FF"/>
    <w:rsid w:val="00F27AD2"/>
    <w:rsid w:val="00F285AB"/>
    <w:rsid w:val="00F30047"/>
    <w:rsid w:val="00F30208"/>
    <w:rsid w:val="00F31085"/>
    <w:rsid w:val="00F314F3"/>
    <w:rsid w:val="00F31522"/>
    <w:rsid w:val="00F31968"/>
    <w:rsid w:val="00F319B6"/>
    <w:rsid w:val="00F319F2"/>
    <w:rsid w:val="00F32028"/>
    <w:rsid w:val="00F32149"/>
    <w:rsid w:val="00F32161"/>
    <w:rsid w:val="00F32C6F"/>
    <w:rsid w:val="00F32C87"/>
    <w:rsid w:val="00F32CED"/>
    <w:rsid w:val="00F32E12"/>
    <w:rsid w:val="00F33144"/>
    <w:rsid w:val="00F334B3"/>
    <w:rsid w:val="00F337C0"/>
    <w:rsid w:val="00F33D7C"/>
    <w:rsid w:val="00F33F1C"/>
    <w:rsid w:val="00F34575"/>
    <w:rsid w:val="00F34686"/>
    <w:rsid w:val="00F34731"/>
    <w:rsid w:val="00F34C1F"/>
    <w:rsid w:val="00F350CA"/>
    <w:rsid w:val="00F35185"/>
    <w:rsid w:val="00F35265"/>
    <w:rsid w:val="00F3569A"/>
    <w:rsid w:val="00F35791"/>
    <w:rsid w:val="00F35C8A"/>
    <w:rsid w:val="00F35FA3"/>
    <w:rsid w:val="00F36021"/>
    <w:rsid w:val="00F363B5"/>
    <w:rsid w:val="00F36A37"/>
    <w:rsid w:val="00F36C06"/>
    <w:rsid w:val="00F36C9A"/>
    <w:rsid w:val="00F36E1E"/>
    <w:rsid w:val="00F36E66"/>
    <w:rsid w:val="00F372F7"/>
    <w:rsid w:val="00F37464"/>
    <w:rsid w:val="00F3782E"/>
    <w:rsid w:val="00F37A6C"/>
    <w:rsid w:val="00F37CB8"/>
    <w:rsid w:val="00F37F00"/>
    <w:rsid w:val="00F3CB5F"/>
    <w:rsid w:val="00F3DF85"/>
    <w:rsid w:val="00F400AF"/>
    <w:rsid w:val="00F40870"/>
    <w:rsid w:val="00F4098A"/>
    <w:rsid w:val="00F40A9C"/>
    <w:rsid w:val="00F40CE2"/>
    <w:rsid w:val="00F40E32"/>
    <w:rsid w:val="00F4100D"/>
    <w:rsid w:val="00F4119F"/>
    <w:rsid w:val="00F41600"/>
    <w:rsid w:val="00F418E5"/>
    <w:rsid w:val="00F41987"/>
    <w:rsid w:val="00F41AA0"/>
    <w:rsid w:val="00F41B1E"/>
    <w:rsid w:val="00F41C60"/>
    <w:rsid w:val="00F41DA0"/>
    <w:rsid w:val="00F41F1C"/>
    <w:rsid w:val="00F420C7"/>
    <w:rsid w:val="00F422C1"/>
    <w:rsid w:val="00F424E6"/>
    <w:rsid w:val="00F42B0F"/>
    <w:rsid w:val="00F42BDA"/>
    <w:rsid w:val="00F430E0"/>
    <w:rsid w:val="00F43195"/>
    <w:rsid w:val="00F431ED"/>
    <w:rsid w:val="00F434B5"/>
    <w:rsid w:val="00F436C1"/>
    <w:rsid w:val="00F43825"/>
    <w:rsid w:val="00F43991"/>
    <w:rsid w:val="00F43A24"/>
    <w:rsid w:val="00F43D1E"/>
    <w:rsid w:val="00F43D31"/>
    <w:rsid w:val="00F4426A"/>
    <w:rsid w:val="00F445B3"/>
    <w:rsid w:val="00F4477D"/>
    <w:rsid w:val="00F44A2F"/>
    <w:rsid w:val="00F44A95"/>
    <w:rsid w:val="00F44B5F"/>
    <w:rsid w:val="00F45640"/>
    <w:rsid w:val="00F45A49"/>
    <w:rsid w:val="00F45C6B"/>
    <w:rsid w:val="00F465F3"/>
    <w:rsid w:val="00F46DD2"/>
    <w:rsid w:val="00F471D2"/>
    <w:rsid w:val="00F476A5"/>
    <w:rsid w:val="00F476DA"/>
    <w:rsid w:val="00F4771A"/>
    <w:rsid w:val="00F478C6"/>
    <w:rsid w:val="00F47D20"/>
    <w:rsid w:val="00F47E7C"/>
    <w:rsid w:val="00F4DF0A"/>
    <w:rsid w:val="00F500C7"/>
    <w:rsid w:val="00F5013A"/>
    <w:rsid w:val="00F50524"/>
    <w:rsid w:val="00F50724"/>
    <w:rsid w:val="00F50B84"/>
    <w:rsid w:val="00F50F82"/>
    <w:rsid w:val="00F51018"/>
    <w:rsid w:val="00F511E4"/>
    <w:rsid w:val="00F511EA"/>
    <w:rsid w:val="00F51274"/>
    <w:rsid w:val="00F51288"/>
    <w:rsid w:val="00F51560"/>
    <w:rsid w:val="00F51B2B"/>
    <w:rsid w:val="00F51CC6"/>
    <w:rsid w:val="00F51D98"/>
    <w:rsid w:val="00F51E74"/>
    <w:rsid w:val="00F51F6D"/>
    <w:rsid w:val="00F521D5"/>
    <w:rsid w:val="00F52920"/>
    <w:rsid w:val="00F529C8"/>
    <w:rsid w:val="00F52B73"/>
    <w:rsid w:val="00F52DD1"/>
    <w:rsid w:val="00F52E31"/>
    <w:rsid w:val="00F5320C"/>
    <w:rsid w:val="00F5398D"/>
    <w:rsid w:val="00F539D8"/>
    <w:rsid w:val="00F53ADF"/>
    <w:rsid w:val="00F53C5D"/>
    <w:rsid w:val="00F53CF2"/>
    <w:rsid w:val="00F53F89"/>
    <w:rsid w:val="00F54A87"/>
    <w:rsid w:val="00F54BF0"/>
    <w:rsid w:val="00F54C6D"/>
    <w:rsid w:val="00F556BD"/>
    <w:rsid w:val="00F55D14"/>
    <w:rsid w:val="00F55DFB"/>
    <w:rsid w:val="00F55EED"/>
    <w:rsid w:val="00F5622B"/>
    <w:rsid w:val="00F564FB"/>
    <w:rsid w:val="00F56CC2"/>
    <w:rsid w:val="00F56FAC"/>
    <w:rsid w:val="00F57004"/>
    <w:rsid w:val="00F573A7"/>
    <w:rsid w:val="00F573E1"/>
    <w:rsid w:val="00F575EE"/>
    <w:rsid w:val="00F57695"/>
    <w:rsid w:val="00F57EB1"/>
    <w:rsid w:val="00F605B9"/>
    <w:rsid w:val="00F605E5"/>
    <w:rsid w:val="00F60684"/>
    <w:rsid w:val="00F60E8C"/>
    <w:rsid w:val="00F612E7"/>
    <w:rsid w:val="00F61725"/>
    <w:rsid w:val="00F61BE2"/>
    <w:rsid w:val="00F61CAD"/>
    <w:rsid w:val="00F6261C"/>
    <w:rsid w:val="00F629ED"/>
    <w:rsid w:val="00F62B98"/>
    <w:rsid w:val="00F62BC4"/>
    <w:rsid w:val="00F62CFB"/>
    <w:rsid w:val="00F63136"/>
    <w:rsid w:val="00F632ED"/>
    <w:rsid w:val="00F6349E"/>
    <w:rsid w:val="00F635C4"/>
    <w:rsid w:val="00F63622"/>
    <w:rsid w:val="00F63AC1"/>
    <w:rsid w:val="00F63E5C"/>
    <w:rsid w:val="00F64121"/>
    <w:rsid w:val="00F641B7"/>
    <w:rsid w:val="00F6445D"/>
    <w:rsid w:val="00F6446D"/>
    <w:rsid w:val="00F64A57"/>
    <w:rsid w:val="00F64D6E"/>
    <w:rsid w:val="00F64F07"/>
    <w:rsid w:val="00F6509A"/>
    <w:rsid w:val="00F65295"/>
    <w:rsid w:val="00F652BE"/>
    <w:rsid w:val="00F6538D"/>
    <w:rsid w:val="00F6574F"/>
    <w:rsid w:val="00F6596B"/>
    <w:rsid w:val="00F6612B"/>
    <w:rsid w:val="00F66168"/>
    <w:rsid w:val="00F66503"/>
    <w:rsid w:val="00F66C49"/>
    <w:rsid w:val="00F66F62"/>
    <w:rsid w:val="00F67012"/>
    <w:rsid w:val="00F67470"/>
    <w:rsid w:val="00F6750E"/>
    <w:rsid w:val="00F6783A"/>
    <w:rsid w:val="00F678A0"/>
    <w:rsid w:val="00F701DE"/>
    <w:rsid w:val="00F70453"/>
    <w:rsid w:val="00F705A6"/>
    <w:rsid w:val="00F7077D"/>
    <w:rsid w:val="00F70BC9"/>
    <w:rsid w:val="00F70C96"/>
    <w:rsid w:val="00F70D08"/>
    <w:rsid w:val="00F713F9"/>
    <w:rsid w:val="00F714DB"/>
    <w:rsid w:val="00F7158C"/>
    <w:rsid w:val="00F721F3"/>
    <w:rsid w:val="00F722F3"/>
    <w:rsid w:val="00F722F9"/>
    <w:rsid w:val="00F726A1"/>
    <w:rsid w:val="00F72C7B"/>
    <w:rsid w:val="00F73339"/>
    <w:rsid w:val="00F737E1"/>
    <w:rsid w:val="00F739AF"/>
    <w:rsid w:val="00F73EF7"/>
    <w:rsid w:val="00F7409F"/>
    <w:rsid w:val="00F740F5"/>
    <w:rsid w:val="00F741DF"/>
    <w:rsid w:val="00F741F5"/>
    <w:rsid w:val="00F743ED"/>
    <w:rsid w:val="00F7451F"/>
    <w:rsid w:val="00F74706"/>
    <w:rsid w:val="00F74817"/>
    <w:rsid w:val="00F748C4"/>
    <w:rsid w:val="00F74F2F"/>
    <w:rsid w:val="00F75131"/>
    <w:rsid w:val="00F751AB"/>
    <w:rsid w:val="00F75214"/>
    <w:rsid w:val="00F75372"/>
    <w:rsid w:val="00F754F7"/>
    <w:rsid w:val="00F755CB"/>
    <w:rsid w:val="00F75621"/>
    <w:rsid w:val="00F75752"/>
    <w:rsid w:val="00F75764"/>
    <w:rsid w:val="00F75DD2"/>
    <w:rsid w:val="00F760F4"/>
    <w:rsid w:val="00F764EA"/>
    <w:rsid w:val="00F765F2"/>
    <w:rsid w:val="00F7692D"/>
    <w:rsid w:val="00F76A2E"/>
    <w:rsid w:val="00F76E4A"/>
    <w:rsid w:val="00F77007"/>
    <w:rsid w:val="00F770EC"/>
    <w:rsid w:val="00F77331"/>
    <w:rsid w:val="00F77D75"/>
    <w:rsid w:val="00F8002C"/>
    <w:rsid w:val="00F80070"/>
    <w:rsid w:val="00F80181"/>
    <w:rsid w:val="00F804D2"/>
    <w:rsid w:val="00F809B6"/>
    <w:rsid w:val="00F809E3"/>
    <w:rsid w:val="00F80A93"/>
    <w:rsid w:val="00F80FAE"/>
    <w:rsid w:val="00F81470"/>
    <w:rsid w:val="00F81ABC"/>
    <w:rsid w:val="00F81C57"/>
    <w:rsid w:val="00F81CD0"/>
    <w:rsid w:val="00F81EB3"/>
    <w:rsid w:val="00F8248E"/>
    <w:rsid w:val="00F82629"/>
    <w:rsid w:val="00F82ABF"/>
    <w:rsid w:val="00F82CCE"/>
    <w:rsid w:val="00F82DBA"/>
    <w:rsid w:val="00F82FD5"/>
    <w:rsid w:val="00F83065"/>
    <w:rsid w:val="00F83288"/>
    <w:rsid w:val="00F836C9"/>
    <w:rsid w:val="00F83B4F"/>
    <w:rsid w:val="00F83BFC"/>
    <w:rsid w:val="00F83DAF"/>
    <w:rsid w:val="00F83DFC"/>
    <w:rsid w:val="00F83EBB"/>
    <w:rsid w:val="00F8422E"/>
    <w:rsid w:val="00F842F6"/>
    <w:rsid w:val="00F84C61"/>
    <w:rsid w:val="00F85553"/>
    <w:rsid w:val="00F85724"/>
    <w:rsid w:val="00F857F5"/>
    <w:rsid w:val="00F85A28"/>
    <w:rsid w:val="00F85AFD"/>
    <w:rsid w:val="00F85B0C"/>
    <w:rsid w:val="00F86228"/>
    <w:rsid w:val="00F863E7"/>
    <w:rsid w:val="00F87238"/>
    <w:rsid w:val="00F8751B"/>
    <w:rsid w:val="00F8751F"/>
    <w:rsid w:val="00F875C5"/>
    <w:rsid w:val="00F90187"/>
    <w:rsid w:val="00F9019E"/>
    <w:rsid w:val="00F9019F"/>
    <w:rsid w:val="00F90440"/>
    <w:rsid w:val="00F9063B"/>
    <w:rsid w:val="00F90B43"/>
    <w:rsid w:val="00F90DF8"/>
    <w:rsid w:val="00F9111B"/>
    <w:rsid w:val="00F927CF"/>
    <w:rsid w:val="00F927E1"/>
    <w:rsid w:val="00F927F0"/>
    <w:rsid w:val="00F928B1"/>
    <w:rsid w:val="00F92A1B"/>
    <w:rsid w:val="00F93872"/>
    <w:rsid w:val="00F93AA8"/>
    <w:rsid w:val="00F93D11"/>
    <w:rsid w:val="00F93D8A"/>
    <w:rsid w:val="00F93E7B"/>
    <w:rsid w:val="00F940A1"/>
    <w:rsid w:val="00F9431E"/>
    <w:rsid w:val="00F94660"/>
    <w:rsid w:val="00F947EB"/>
    <w:rsid w:val="00F94827"/>
    <w:rsid w:val="00F94C71"/>
    <w:rsid w:val="00F94FE7"/>
    <w:rsid w:val="00F953BA"/>
    <w:rsid w:val="00F95449"/>
    <w:rsid w:val="00F95549"/>
    <w:rsid w:val="00F95D3F"/>
    <w:rsid w:val="00F95D8F"/>
    <w:rsid w:val="00F96369"/>
    <w:rsid w:val="00F9637A"/>
    <w:rsid w:val="00F9675D"/>
    <w:rsid w:val="00F96F19"/>
    <w:rsid w:val="00F976A4"/>
    <w:rsid w:val="00F976E1"/>
    <w:rsid w:val="00F97B23"/>
    <w:rsid w:val="00F97DA4"/>
    <w:rsid w:val="00FA00DA"/>
    <w:rsid w:val="00FA06BC"/>
    <w:rsid w:val="00FA072E"/>
    <w:rsid w:val="00FA0C4D"/>
    <w:rsid w:val="00FA10F3"/>
    <w:rsid w:val="00FA14AD"/>
    <w:rsid w:val="00FA1539"/>
    <w:rsid w:val="00FA159A"/>
    <w:rsid w:val="00FA17C1"/>
    <w:rsid w:val="00FA1B5C"/>
    <w:rsid w:val="00FA1BDC"/>
    <w:rsid w:val="00FA1DF2"/>
    <w:rsid w:val="00FA2178"/>
    <w:rsid w:val="00FA2277"/>
    <w:rsid w:val="00FA22E8"/>
    <w:rsid w:val="00FA235E"/>
    <w:rsid w:val="00FA24D2"/>
    <w:rsid w:val="00FA269B"/>
    <w:rsid w:val="00FA2725"/>
    <w:rsid w:val="00FA276E"/>
    <w:rsid w:val="00FA27B6"/>
    <w:rsid w:val="00FA29B9"/>
    <w:rsid w:val="00FA2B34"/>
    <w:rsid w:val="00FA2D43"/>
    <w:rsid w:val="00FA3031"/>
    <w:rsid w:val="00FA303A"/>
    <w:rsid w:val="00FA3758"/>
    <w:rsid w:val="00FA3E1A"/>
    <w:rsid w:val="00FA3EE1"/>
    <w:rsid w:val="00FA42C1"/>
    <w:rsid w:val="00FA4533"/>
    <w:rsid w:val="00FA4769"/>
    <w:rsid w:val="00FA4A3F"/>
    <w:rsid w:val="00FA4A9E"/>
    <w:rsid w:val="00FA4CD7"/>
    <w:rsid w:val="00FA4E32"/>
    <w:rsid w:val="00FA4FE4"/>
    <w:rsid w:val="00FA5D18"/>
    <w:rsid w:val="00FA5DFA"/>
    <w:rsid w:val="00FA5E0D"/>
    <w:rsid w:val="00FA65BE"/>
    <w:rsid w:val="00FA65EB"/>
    <w:rsid w:val="00FA6625"/>
    <w:rsid w:val="00FA6936"/>
    <w:rsid w:val="00FA6C34"/>
    <w:rsid w:val="00FA6FBF"/>
    <w:rsid w:val="00FA71BA"/>
    <w:rsid w:val="00FA7385"/>
    <w:rsid w:val="00FA7564"/>
    <w:rsid w:val="00FA7A25"/>
    <w:rsid w:val="00FA7A47"/>
    <w:rsid w:val="00FA7A48"/>
    <w:rsid w:val="00FA7DD1"/>
    <w:rsid w:val="00FA7E41"/>
    <w:rsid w:val="00FA7E86"/>
    <w:rsid w:val="00FB0210"/>
    <w:rsid w:val="00FB024E"/>
    <w:rsid w:val="00FB0253"/>
    <w:rsid w:val="00FB0470"/>
    <w:rsid w:val="00FB1285"/>
    <w:rsid w:val="00FB1372"/>
    <w:rsid w:val="00FB15DE"/>
    <w:rsid w:val="00FB1D02"/>
    <w:rsid w:val="00FB2476"/>
    <w:rsid w:val="00FB28FA"/>
    <w:rsid w:val="00FB2FF6"/>
    <w:rsid w:val="00FB312D"/>
    <w:rsid w:val="00FB323C"/>
    <w:rsid w:val="00FB32D9"/>
    <w:rsid w:val="00FB3416"/>
    <w:rsid w:val="00FB366F"/>
    <w:rsid w:val="00FB3679"/>
    <w:rsid w:val="00FB38BD"/>
    <w:rsid w:val="00FB4355"/>
    <w:rsid w:val="00FB4683"/>
    <w:rsid w:val="00FB4763"/>
    <w:rsid w:val="00FB4B50"/>
    <w:rsid w:val="00FB4BEE"/>
    <w:rsid w:val="00FB4D2D"/>
    <w:rsid w:val="00FB4D46"/>
    <w:rsid w:val="00FB5BA4"/>
    <w:rsid w:val="00FB6243"/>
    <w:rsid w:val="00FB6423"/>
    <w:rsid w:val="00FB6B63"/>
    <w:rsid w:val="00FB700B"/>
    <w:rsid w:val="00FB718C"/>
    <w:rsid w:val="00FB7207"/>
    <w:rsid w:val="00FB75E5"/>
    <w:rsid w:val="00FB7A82"/>
    <w:rsid w:val="00FB7C11"/>
    <w:rsid w:val="00FB7DBA"/>
    <w:rsid w:val="00FBF77D"/>
    <w:rsid w:val="00FC0488"/>
    <w:rsid w:val="00FC04E7"/>
    <w:rsid w:val="00FC0546"/>
    <w:rsid w:val="00FC0633"/>
    <w:rsid w:val="00FC0B1B"/>
    <w:rsid w:val="00FC0C7A"/>
    <w:rsid w:val="00FC0E91"/>
    <w:rsid w:val="00FC1A1C"/>
    <w:rsid w:val="00FC2432"/>
    <w:rsid w:val="00FC2637"/>
    <w:rsid w:val="00FC2A18"/>
    <w:rsid w:val="00FC2A91"/>
    <w:rsid w:val="00FC2D99"/>
    <w:rsid w:val="00FC3379"/>
    <w:rsid w:val="00FC345D"/>
    <w:rsid w:val="00FC3720"/>
    <w:rsid w:val="00FC3BE9"/>
    <w:rsid w:val="00FC4090"/>
    <w:rsid w:val="00FC4425"/>
    <w:rsid w:val="00FC44CA"/>
    <w:rsid w:val="00FC48BD"/>
    <w:rsid w:val="00FC4958"/>
    <w:rsid w:val="00FC497E"/>
    <w:rsid w:val="00FC4B18"/>
    <w:rsid w:val="00FC502A"/>
    <w:rsid w:val="00FC509B"/>
    <w:rsid w:val="00FC51D9"/>
    <w:rsid w:val="00FC553A"/>
    <w:rsid w:val="00FC5767"/>
    <w:rsid w:val="00FC5AB4"/>
    <w:rsid w:val="00FC5BC7"/>
    <w:rsid w:val="00FC63D3"/>
    <w:rsid w:val="00FC6D95"/>
    <w:rsid w:val="00FC767D"/>
    <w:rsid w:val="00FC77CA"/>
    <w:rsid w:val="00FC77E6"/>
    <w:rsid w:val="00FC78E8"/>
    <w:rsid w:val="00FC7C9F"/>
    <w:rsid w:val="00FC7F48"/>
    <w:rsid w:val="00FD00F5"/>
    <w:rsid w:val="00FD04A0"/>
    <w:rsid w:val="00FD081B"/>
    <w:rsid w:val="00FD0845"/>
    <w:rsid w:val="00FD08E8"/>
    <w:rsid w:val="00FD0AE0"/>
    <w:rsid w:val="00FD121F"/>
    <w:rsid w:val="00FD124A"/>
    <w:rsid w:val="00FD15B3"/>
    <w:rsid w:val="00FD18F0"/>
    <w:rsid w:val="00FD1AD8"/>
    <w:rsid w:val="00FD1B0B"/>
    <w:rsid w:val="00FD1E2F"/>
    <w:rsid w:val="00FD1FD8"/>
    <w:rsid w:val="00FD2023"/>
    <w:rsid w:val="00FD213C"/>
    <w:rsid w:val="00FD2451"/>
    <w:rsid w:val="00FD292A"/>
    <w:rsid w:val="00FD2DC3"/>
    <w:rsid w:val="00FD2FF5"/>
    <w:rsid w:val="00FD3B32"/>
    <w:rsid w:val="00FD3FB4"/>
    <w:rsid w:val="00FD3FE1"/>
    <w:rsid w:val="00FD468F"/>
    <w:rsid w:val="00FD48D5"/>
    <w:rsid w:val="00FD4A70"/>
    <w:rsid w:val="00FD4B45"/>
    <w:rsid w:val="00FD4C9A"/>
    <w:rsid w:val="00FD5233"/>
    <w:rsid w:val="00FD5245"/>
    <w:rsid w:val="00FD55B7"/>
    <w:rsid w:val="00FD562F"/>
    <w:rsid w:val="00FD582F"/>
    <w:rsid w:val="00FD5AC8"/>
    <w:rsid w:val="00FD5C30"/>
    <w:rsid w:val="00FD6116"/>
    <w:rsid w:val="00FD6CCE"/>
    <w:rsid w:val="00FD6D35"/>
    <w:rsid w:val="00FD6ECB"/>
    <w:rsid w:val="00FD6FB1"/>
    <w:rsid w:val="00FD6FC4"/>
    <w:rsid w:val="00FD704C"/>
    <w:rsid w:val="00FD726C"/>
    <w:rsid w:val="00FD731F"/>
    <w:rsid w:val="00FD7390"/>
    <w:rsid w:val="00FD7853"/>
    <w:rsid w:val="00FD7977"/>
    <w:rsid w:val="00FD7A66"/>
    <w:rsid w:val="00FD7DBD"/>
    <w:rsid w:val="00FE0072"/>
    <w:rsid w:val="00FE016D"/>
    <w:rsid w:val="00FE030D"/>
    <w:rsid w:val="00FE04C0"/>
    <w:rsid w:val="00FE0DF5"/>
    <w:rsid w:val="00FE0F52"/>
    <w:rsid w:val="00FE0F5D"/>
    <w:rsid w:val="00FE101B"/>
    <w:rsid w:val="00FE10E6"/>
    <w:rsid w:val="00FE140C"/>
    <w:rsid w:val="00FE1805"/>
    <w:rsid w:val="00FE18F9"/>
    <w:rsid w:val="00FE1A7D"/>
    <w:rsid w:val="00FE1F48"/>
    <w:rsid w:val="00FE213C"/>
    <w:rsid w:val="00FE238D"/>
    <w:rsid w:val="00FE2997"/>
    <w:rsid w:val="00FE2B9E"/>
    <w:rsid w:val="00FE2C97"/>
    <w:rsid w:val="00FE2EA7"/>
    <w:rsid w:val="00FE3167"/>
    <w:rsid w:val="00FE3185"/>
    <w:rsid w:val="00FE341B"/>
    <w:rsid w:val="00FE35A3"/>
    <w:rsid w:val="00FE3704"/>
    <w:rsid w:val="00FE3832"/>
    <w:rsid w:val="00FE40A1"/>
    <w:rsid w:val="00FE4197"/>
    <w:rsid w:val="00FE4759"/>
    <w:rsid w:val="00FE4932"/>
    <w:rsid w:val="00FE4B6B"/>
    <w:rsid w:val="00FE4D3E"/>
    <w:rsid w:val="00FE5104"/>
    <w:rsid w:val="00FE51AF"/>
    <w:rsid w:val="00FE528A"/>
    <w:rsid w:val="00FE55DE"/>
    <w:rsid w:val="00FE5694"/>
    <w:rsid w:val="00FE575E"/>
    <w:rsid w:val="00FE58DB"/>
    <w:rsid w:val="00FE5B6A"/>
    <w:rsid w:val="00FE5B7E"/>
    <w:rsid w:val="00FE5DDA"/>
    <w:rsid w:val="00FE5FC2"/>
    <w:rsid w:val="00FE6042"/>
    <w:rsid w:val="00FE6096"/>
    <w:rsid w:val="00FE68A0"/>
    <w:rsid w:val="00FE6A83"/>
    <w:rsid w:val="00FE6FF2"/>
    <w:rsid w:val="00FE72C1"/>
    <w:rsid w:val="00FE78AB"/>
    <w:rsid w:val="00FE79E0"/>
    <w:rsid w:val="00FE79F7"/>
    <w:rsid w:val="00FE7A3B"/>
    <w:rsid w:val="00FE7CC5"/>
    <w:rsid w:val="00FE7CF7"/>
    <w:rsid w:val="00FED76F"/>
    <w:rsid w:val="00FF001F"/>
    <w:rsid w:val="00FF00AC"/>
    <w:rsid w:val="00FF0435"/>
    <w:rsid w:val="00FF0490"/>
    <w:rsid w:val="00FF04AB"/>
    <w:rsid w:val="00FF04DF"/>
    <w:rsid w:val="00FF06F9"/>
    <w:rsid w:val="00FF081E"/>
    <w:rsid w:val="00FF0B5D"/>
    <w:rsid w:val="00FF0D10"/>
    <w:rsid w:val="00FF0F88"/>
    <w:rsid w:val="00FF11A4"/>
    <w:rsid w:val="00FF1295"/>
    <w:rsid w:val="00FF12FE"/>
    <w:rsid w:val="00FF16D1"/>
    <w:rsid w:val="00FF186E"/>
    <w:rsid w:val="00FF1AF5"/>
    <w:rsid w:val="00FF1CEF"/>
    <w:rsid w:val="00FF1CF5"/>
    <w:rsid w:val="00FF1FC9"/>
    <w:rsid w:val="00FF2025"/>
    <w:rsid w:val="00FF2112"/>
    <w:rsid w:val="00FF2146"/>
    <w:rsid w:val="00FF254E"/>
    <w:rsid w:val="00FF2568"/>
    <w:rsid w:val="00FF2948"/>
    <w:rsid w:val="00FF2C2A"/>
    <w:rsid w:val="00FF2D60"/>
    <w:rsid w:val="00FF3047"/>
    <w:rsid w:val="00FF3104"/>
    <w:rsid w:val="00FF310B"/>
    <w:rsid w:val="00FF320A"/>
    <w:rsid w:val="00FF35CF"/>
    <w:rsid w:val="00FF381B"/>
    <w:rsid w:val="00FF3A0F"/>
    <w:rsid w:val="00FF3F6F"/>
    <w:rsid w:val="00FF403D"/>
    <w:rsid w:val="00FF4196"/>
    <w:rsid w:val="00FF41B7"/>
    <w:rsid w:val="00FF4355"/>
    <w:rsid w:val="00FF4578"/>
    <w:rsid w:val="00FF46F4"/>
    <w:rsid w:val="00FF47D5"/>
    <w:rsid w:val="00FF49FE"/>
    <w:rsid w:val="00FF4F44"/>
    <w:rsid w:val="00FF5002"/>
    <w:rsid w:val="00FF51A8"/>
    <w:rsid w:val="00FF5672"/>
    <w:rsid w:val="00FF568A"/>
    <w:rsid w:val="00FF5696"/>
    <w:rsid w:val="00FF5A52"/>
    <w:rsid w:val="00FF5F5E"/>
    <w:rsid w:val="00FF643E"/>
    <w:rsid w:val="00FF6883"/>
    <w:rsid w:val="00FF6DA8"/>
    <w:rsid w:val="00FF6DF5"/>
    <w:rsid w:val="00FF6FDB"/>
    <w:rsid w:val="00FF7319"/>
    <w:rsid w:val="00FF77BE"/>
    <w:rsid w:val="01058083"/>
    <w:rsid w:val="010AC7B9"/>
    <w:rsid w:val="010FA068"/>
    <w:rsid w:val="0111A9BB"/>
    <w:rsid w:val="011871BC"/>
    <w:rsid w:val="011C9FD1"/>
    <w:rsid w:val="011CC6E9"/>
    <w:rsid w:val="011E3FF8"/>
    <w:rsid w:val="011E5EFA"/>
    <w:rsid w:val="0122094C"/>
    <w:rsid w:val="0122A7EC"/>
    <w:rsid w:val="0122EC61"/>
    <w:rsid w:val="012467A1"/>
    <w:rsid w:val="0124B8E2"/>
    <w:rsid w:val="01255054"/>
    <w:rsid w:val="0126D34C"/>
    <w:rsid w:val="0129AAD1"/>
    <w:rsid w:val="012A6221"/>
    <w:rsid w:val="012B3623"/>
    <w:rsid w:val="0131A8CB"/>
    <w:rsid w:val="0132B865"/>
    <w:rsid w:val="0136E46E"/>
    <w:rsid w:val="01378C1F"/>
    <w:rsid w:val="0138FC3D"/>
    <w:rsid w:val="01398C24"/>
    <w:rsid w:val="013B70F7"/>
    <w:rsid w:val="013B871E"/>
    <w:rsid w:val="013BCF40"/>
    <w:rsid w:val="013D2774"/>
    <w:rsid w:val="013F59F8"/>
    <w:rsid w:val="013FB905"/>
    <w:rsid w:val="01470F5D"/>
    <w:rsid w:val="01497CB2"/>
    <w:rsid w:val="014B913E"/>
    <w:rsid w:val="014E82BF"/>
    <w:rsid w:val="014EBC15"/>
    <w:rsid w:val="0150AC0E"/>
    <w:rsid w:val="0150B79E"/>
    <w:rsid w:val="01566795"/>
    <w:rsid w:val="01586F83"/>
    <w:rsid w:val="01587488"/>
    <w:rsid w:val="0159759B"/>
    <w:rsid w:val="015AD245"/>
    <w:rsid w:val="015B6231"/>
    <w:rsid w:val="015BD039"/>
    <w:rsid w:val="015F6527"/>
    <w:rsid w:val="0162EAB9"/>
    <w:rsid w:val="01659CC1"/>
    <w:rsid w:val="016717DE"/>
    <w:rsid w:val="01675EDF"/>
    <w:rsid w:val="01685F9E"/>
    <w:rsid w:val="0168B8EE"/>
    <w:rsid w:val="0168ECAB"/>
    <w:rsid w:val="016BCD22"/>
    <w:rsid w:val="016BFEF7"/>
    <w:rsid w:val="016CE0BC"/>
    <w:rsid w:val="016D1ACB"/>
    <w:rsid w:val="016DB650"/>
    <w:rsid w:val="016F64E3"/>
    <w:rsid w:val="01728B25"/>
    <w:rsid w:val="017F0286"/>
    <w:rsid w:val="01807D4C"/>
    <w:rsid w:val="01818BE0"/>
    <w:rsid w:val="018223A6"/>
    <w:rsid w:val="01822B98"/>
    <w:rsid w:val="01859235"/>
    <w:rsid w:val="01873C5B"/>
    <w:rsid w:val="01874FFC"/>
    <w:rsid w:val="018910A6"/>
    <w:rsid w:val="01899FB3"/>
    <w:rsid w:val="018A9CD2"/>
    <w:rsid w:val="018B21A6"/>
    <w:rsid w:val="018B3279"/>
    <w:rsid w:val="018C359D"/>
    <w:rsid w:val="018D3BF5"/>
    <w:rsid w:val="018D74DF"/>
    <w:rsid w:val="018DB4B7"/>
    <w:rsid w:val="018ED5D4"/>
    <w:rsid w:val="0190BCE3"/>
    <w:rsid w:val="0191D188"/>
    <w:rsid w:val="0196BE7C"/>
    <w:rsid w:val="01982B7A"/>
    <w:rsid w:val="019917F0"/>
    <w:rsid w:val="019B5917"/>
    <w:rsid w:val="019DCC02"/>
    <w:rsid w:val="019DE6D7"/>
    <w:rsid w:val="019DF8C0"/>
    <w:rsid w:val="01A26FD8"/>
    <w:rsid w:val="01A46BC6"/>
    <w:rsid w:val="01A6C516"/>
    <w:rsid w:val="01ADC1BE"/>
    <w:rsid w:val="01B321D0"/>
    <w:rsid w:val="01B37EC7"/>
    <w:rsid w:val="01B47E61"/>
    <w:rsid w:val="01B54486"/>
    <w:rsid w:val="01B67A66"/>
    <w:rsid w:val="01B8E850"/>
    <w:rsid w:val="01B9101A"/>
    <w:rsid w:val="01BCAD0A"/>
    <w:rsid w:val="01BEA98E"/>
    <w:rsid w:val="01C7798B"/>
    <w:rsid w:val="01C77C0E"/>
    <w:rsid w:val="01C822EA"/>
    <w:rsid w:val="01CEF3DB"/>
    <w:rsid w:val="01D08455"/>
    <w:rsid w:val="01D36347"/>
    <w:rsid w:val="01D64DCE"/>
    <w:rsid w:val="01DB911D"/>
    <w:rsid w:val="01E1D990"/>
    <w:rsid w:val="01E5DE8C"/>
    <w:rsid w:val="01E96A66"/>
    <w:rsid w:val="01E9FA2C"/>
    <w:rsid w:val="01ED1B9F"/>
    <w:rsid w:val="01ED7FE4"/>
    <w:rsid w:val="01EDF44F"/>
    <w:rsid w:val="01F62BE3"/>
    <w:rsid w:val="01F82EDE"/>
    <w:rsid w:val="01F8E205"/>
    <w:rsid w:val="01F98012"/>
    <w:rsid w:val="01FBC1AC"/>
    <w:rsid w:val="01FD32EB"/>
    <w:rsid w:val="01FEB121"/>
    <w:rsid w:val="01FFF8CC"/>
    <w:rsid w:val="020178A1"/>
    <w:rsid w:val="0202657C"/>
    <w:rsid w:val="02048E95"/>
    <w:rsid w:val="02096E23"/>
    <w:rsid w:val="0209A232"/>
    <w:rsid w:val="020D5C6F"/>
    <w:rsid w:val="02103AB2"/>
    <w:rsid w:val="02162D17"/>
    <w:rsid w:val="0218632B"/>
    <w:rsid w:val="021B1C04"/>
    <w:rsid w:val="021C500B"/>
    <w:rsid w:val="021E21D6"/>
    <w:rsid w:val="02291FBA"/>
    <w:rsid w:val="022A0EE7"/>
    <w:rsid w:val="022E9253"/>
    <w:rsid w:val="022F8DBC"/>
    <w:rsid w:val="02318F14"/>
    <w:rsid w:val="02319B88"/>
    <w:rsid w:val="0233C22F"/>
    <w:rsid w:val="023E7203"/>
    <w:rsid w:val="023FEE32"/>
    <w:rsid w:val="02437684"/>
    <w:rsid w:val="02445FC1"/>
    <w:rsid w:val="02463555"/>
    <w:rsid w:val="02497DFC"/>
    <w:rsid w:val="024A8220"/>
    <w:rsid w:val="024AF26C"/>
    <w:rsid w:val="024D4DB4"/>
    <w:rsid w:val="024F2C95"/>
    <w:rsid w:val="0251C257"/>
    <w:rsid w:val="02530637"/>
    <w:rsid w:val="0253CD4B"/>
    <w:rsid w:val="0254546E"/>
    <w:rsid w:val="02565180"/>
    <w:rsid w:val="025686B6"/>
    <w:rsid w:val="0257204F"/>
    <w:rsid w:val="025877FA"/>
    <w:rsid w:val="02590F2C"/>
    <w:rsid w:val="025920A6"/>
    <w:rsid w:val="025B1049"/>
    <w:rsid w:val="025D8A2B"/>
    <w:rsid w:val="02604B64"/>
    <w:rsid w:val="02606A4F"/>
    <w:rsid w:val="02658987"/>
    <w:rsid w:val="026D50E8"/>
    <w:rsid w:val="026D9A8A"/>
    <w:rsid w:val="026E7657"/>
    <w:rsid w:val="026F9971"/>
    <w:rsid w:val="0271EEBD"/>
    <w:rsid w:val="02748FDE"/>
    <w:rsid w:val="0275018B"/>
    <w:rsid w:val="0277B527"/>
    <w:rsid w:val="027954F9"/>
    <w:rsid w:val="027A6D51"/>
    <w:rsid w:val="027E08D9"/>
    <w:rsid w:val="02809017"/>
    <w:rsid w:val="02817948"/>
    <w:rsid w:val="0281CB69"/>
    <w:rsid w:val="0283F0F5"/>
    <w:rsid w:val="028430E2"/>
    <w:rsid w:val="0284BE3C"/>
    <w:rsid w:val="02861443"/>
    <w:rsid w:val="02879210"/>
    <w:rsid w:val="0287FEDB"/>
    <w:rsid w:val="02884620"/>
    <w:rsid w:val="0288ACCA"/>
    <w:rsid w:val="028933F9"/>
    <w:rsid w:val="0289F358"/>
    <w:rsid w:val="028A3ABF"/>
    <w:rsid w:val="028BECDB"/>
    <w:rsid w:val="029033B9"/>
    <w:rsid w:val="02906942"/>
    <w:rsid w:val="02941BE3"/>
    <w:rsid w:val="0294724C"/>
    <w:rsid w:val="029C2F5A"/>
    <w:rsid w:val="02A25DC5"/>
    <w:rsid w:val="02A76D97"/>
    <w:rsid w:val="02AE7B0E"/>
    <w:rsid w:val="02AEE7F2"/>
    <w:rsid w:val="02B20A21"/>
    <w:rsid w:val="02B6E3B6"/>
    <w:rsid w:val="02B7F7D2"/>
    <w:rsid w:val="02BC0389"/>
    <w:rsid w:val="02BC80A4"/>
    <w:rsid w:val="02C17245"/>
    <w:rsid w:val="02C2D059"/>
    <w:rsid w:val="02C31F67"/>
    <w:rsid w:val="02C68D7A"/>
    <w:rsid w:val="02C9B5AC"/>
    <w:rsid w:val="02CA7B12"/>
    <w:rsid w:val="02CB2BE9"/>
    <w:rsid w:val="02CBFB09"/>
    <w:rsid w:val="02CCEA24"/>
    <w:rsid w:val="02CE141B"/>
    <w:rsid w:val="02CE2B75"/>
    <w:rsid w:val="02CE38F6"/>
    <w:rsid w:val="02D01101"/>
    <w:rsid w:val="02D3D815"/>
    <w:rsid w:val="02D58472"/>
    <w:rsid w:val="02D60889"/>
    <w:rsid w:val="02D7A89E"/>
    <w:rsid w:val="02D89AFF"/>
    <w:rsid w:val="02D903F4"/>
    <w:rsid w:val="02DA3A30"/>
    <w:rsid w:val="02DACCAE"/>
    <w:rsid w:val="02DB2403"/>
    <w:rsid w:val="02DB2435"/>
    <w:rsid w:val="02DB7B9B"/>
    <w:rsid w:val="02DE1534"/>
    <w:rsid w:val="02DE1CD9"/>
    <w:rsid w:val="02E133BF"/>
    <w:rsid w:val="02E2F59B"/>
    <w:rsid w:val="02E30463"/>
    <w:rsid w:val="02E33559"/>
    <w:rsid w:val="02E49920"/>
    <w:rsid w:val="02E4E84A"/>
    <w:rsid w:val="02E74C05"/>
    <w:rsid w:val="02E7B6F9"/>
    <w:rsid w:val="02E8DDE2"/>
    <w:rsid w:val="02EA88E4"/>
    <w:rsid w:val="02EAFFA9"/>
    <w:rsid w:val="02EFBB13"/>
    <w:rsid w:val="02F0AECB"/>
    <w:rsid w:val="02F12C04"/>
    <w:rsid w:val="02F212DE"/>
    <w:rsid w:val="02F33A13"/>
    <w:rsid w:val="02F6A5D7"/>
    <w:rsid w:val="02F766BB"/>
    <w:rsid w:val="02F8A296"/>
    <w:rsid w:val="02FB4713"/>
    <w:rsid w:val="030056F4"/>
    <w:rsid w:val="03071846"/>
    <w:rsid w:val="0307B5EF"/>
    <w:rsid w:val="0307EC68"/>
    <w:rsid w:val="030CF2BF"/>
    <w:rsid w:val="030DC0B7"/>
    <w:rsid w:val="030EC978"/>
    <w:rsid w:val="0315C362"/>
    <w:rsid w:val="03199597"/>
    <w:rsid w:val="031BD46C"/>
    <w:rsid w:val="031C6FFD"/>
    <w:rsid w:val="031F222A"/>
    <w:rsid w:val="0321AFF8"/>
    <w:rsid w:val="0322E801"/>
    <w:rsid w:val="032738D6"/>
    <w:rsid w:val="0329234F"/>
    <w:rsid w:val="032A0FAC"/>
    <w:rsid w:val="033062ED"/>
    <w:rsid w:val="033229E9"/>
    <w:rsid w:val="0332F4D1"/>
    <w:rsid w:val="0337575C"/>
    <w:rsid w:val="033C7FE8"/>
    <w:rsid w:val="033EA51C"/>
    <w:rsid w:val="033F4046"/>
    <w:rsid w:val="033F6AE4"/>
    <w:rsid w:val="03410512"/>
    <w:rsid w:val="034656C3"/>
    <w:rsid w:val="0347CC6C"/>
    <w:rsid w:val="034A1B0A"/>
    <w:rsid w:val="034B6EE4"/>
    <w:rsid w:val="034C4E32"/>
    <w:rsid w:val="034CC175"/>
    <w:rsid w:val="034E8245"/>
    <w:rsid w:val="034EE6EC"/>
    <w:rsid w:val="03500147"/>
    <w:rsid w:val="03544BF7"/>
    <w:rsid w:val="03546350"/>
    <w:rsid w:val="0354A214"/>
    <w:rsid w:val="035A2A0A"/>
    <w:rsid w:val="035DA5A8"/>
    <w:rsid w:val="0360BE48"/>
    <w:rsid w:val="03611BA1"/>
    <w:rsid w:val="036616AA"/>
    <w:rsid w:val="0368587D"/>
    <w:rsid w:val="0369D9A6"/>
    <w:rsid w:val="036A8BE9"/>
    <w:rsid w:val="036B23B9"/>
    <w:rsid w:val="036B32F4"/>
    <w:rsid w:val="036B97D6"/>
    <w:rsid w:val="036CDAAA"/>
    <w:rsid w:val="037130D7"/>
    <w:rsid w:val="03723500"/>
    <w:rsid w:val="0373AB6D"/>
    <w:rsid w:val="0373BDD7"/>
    <w:rsid w:val="0373FA58"/>
    <w:rsid w:val="0379AF82"/>
    <w:rsid w:val="037A34AE"/>
    <w:rsid w:val="0380CFDE"/>
    <w:rsid w:val="03811A4A"/>
    <w:rsid w:val="03813E37"/>
    <w:rsid w:val="038565A4"/>
    <w:rsid w:val="0385DC7D"/>
    <w:rsid w:val="038749AA"/>
    <w:rsid w:val="0387CE6F"/>
    <w:rsid w:val="0388A572"/>
    <w:rsid w:val="03893F29"/>
    <w:rsid w:val="0389DE63"/>
    <w:rsid w:val="038D8EAA"/>
    <w:rsid w:val="038F7385"/>
    <w:rsid w:val="038FA100"/>
    <w:rsid w:val="039A8343"/>
    <w:rsid w:val="039CDC70"/>
    <w:rsid w:val="039D404E"/>
    <w:rsid w:val="039EE849"/>
    <w:rsid w:val="03A40BFD"/>
    <w:rsid w:val="03A5D16A"/>
    <w:rsid w:val="03AC515D"/>
    <w:rsid w:val="03AC82A1"/>
    <w:rsid w:val="03ADF1D0"/>
    <w:rsid w:val="03AFBB9E"/>
    <w:rsid w:val="03B0B94D"/>
    <w:rsid w:val="03B265A5"/>
    <w:rsid w:val="03B37AD7"/>
    <w:rsid w:val="03B6F193"/>
    <w:rsid w:val="03B8B718"/>
    <w:rsid w:val="03BFAA55"/>
    <w:rsid w:val="03C0E748"/>
    <w:rsid w:val="03C113A6"/>
    <w:rsid w:val="03C34931"/>
    <w:rsid w:val="03C4B124"/>
    <w:rsid w:val="03CA9EE0"/>
    <w:rsid w:val="03CB5673"/>
    <w:rsid w:val="03CC1B4D"/>
    <w:rsid w:val="03CE2020"/>
    <w:rsid w:val="03CECB08"/>
    <w:rsid w:val="03CF2D94"/>
    <w:rsid w:val="03D03181"/>
    <w:rsid w:val="03D153A4"/>
    <w:rsid w:val="03D240FB"/>
    <w:rsid w:val="03D38D84"/>
    <w:rsid w:val="03D54A06"/>
    <w:rsid w:val="03D574D2"/>
    <w:rsid w:val="03DA6BB3"/>
    <w:rsid w:val="03DB3E7C"/>
    <w:rsid w:val="03E10052"/>
    <w:rsid w:val="03E17F0D"/>
    <w:rsid w:val="03E1ABD5"/>
    <w:rsid w:val="03E25B73"/>
    <w:rsid w:val="03E56B14"/>
    <w:rsid w:val="03E7742D"/>
    <w:rsid w:val="03E7DC0A"/>
    <w:rsid w:val="03EA3189"/>
    <w:rsid w:val="03EAD136"/>
    <w:rsid w:val="03EEEB11"/>
    <w:rsid w:val="03F23E2D"/>
    <w:rsid w:val="03F3FBAB"/>
    <w:rsid w:val="03F48219"/>
    <w:rsid w:val="03F4A467"/>
    <w:rsid w:val="03F66E14"/>
    <w:rsid w:val="03F8704D"/>
    <w:rsid w:val="03FAE3DA"/>
    <w:rsid w:val="03FAE56E"/>
    <w:rsid w:val="03FB72B1"/>
    <w:rsid w:val="03FC0B29"/>
    <w:rsid w:val="04018CBE"/>
    <w:rsid w:val="0402D554"/>
    <w:rsid w:val="0405BAAD"/>
    <w:rsid w:val="04061F47"/>
    <w:rsid w:val="0407B75C"/>
    <w:rsid w:val="0407D9A5"/>
    <w:rsid w:val="040AB9E8"/>
    <w:rsid w:val="040FF0B5"/>
    <w:rsid w:val="0411245C"/>
    <w:rsid w:val="0413FAA6"/>
    <w:rsid w:val="04141DCB"/>
    <w:rsid w:val="0414EF12"/>
    <w:rsid w:val="0417800A"/>
    <w:rsid w:val="0417C334"/>
    <w:rsid w:val="0417D83B"/>
    <w:rsid w:val="04182D22"/>
    <w:rsid w:val="041B1F7C"/>
    <w:rsid w:val="041DC6FF"/>
    <w:rsid w:val="041E36D1"/>
    <w:rsid w:val="041F050A"/>
    <w:rsid w:val="041F4311"/>
    <w:rsid w:val="041FBB07"/>
    <w:rsid w:val="041FEDC3"/>
    <w:rsid w:val="0425EB4F"/>
    <w:rsid w:val="0426A8C9"/>
    <w:rsid w:val="0426CFA9"/>
    <w:rsid w:val="04298DF4"/>
    <w:rsid w:val="0429ACFE"/>
    <w:rsid w:val="042A1A90"/>
    <w:rsid w:val="042AFC59"/>
    <w:rsid w:val="0433B33C"/>
    <w:rsid w:val="04366235"/>
    <w:rsid w:val="0439B4AC"/>
    <w:rsid w:val="0439D88C"/>
    <w:rsid w:val="043C51F2"/>
    <w:rsid w:val="04408159"/>
    <w:rsid w:val="0441969C"/>
    <w:rsid w:val="04441C2F"/>
    <w:rsid w:val="04461E3A"/>
    <w:rsid w:val="0447F6F9"/>
    <w:rsid w:val="0448A773"/>
    <w:rsid w:val="04496507"/>
    <w:rsid w:val="044BE32F"/>
    <w:rsid w:val="044D88B5"/>
    <w:rsid w:val="044EE3D6"/>
    <w:rsid w:val="0450F582"/>
    <w:rsid w:val="0453C756"/>
    <w:rsid w:val="0453F55F"/>
    <w:rsid w:val="0454FD55"/>
    <w:rsid w:val="04581154"/>
    <w:rsid w:val="045A284B"/>
    <w:rsid w:val="045AA55C"/>
    <w:rsid w:val="045D1FD4"/>
    <w:rsid w:val="045DE07F"/>
    <w:rsid w:val="0460BBF8"/>
    <w:rsid w:val="04629EF2"/>
    <w:rsid w:val="04681D97"/>
    <w:rsid w:val="0468B6E3"/>
    <w:rsid w:val="046D1A53"/>
    <w:rsid w:val="0471BE5E"/>
    <w:rsid w:val="04784119"/>
    <w:rsid w:val="047E274D"/>
    <w:rsid w:val="047EF89A"/>
    <w:rsid w:val="047F2B4A"/>
    <w:rsid w:val="047FD56C"/>
    <w:rsid w:val="04804308"/>
    <w:rsid w:val="0481D50B"/>
    <w:rsid w:val="0481EA9A"/>
    <w:rsid w:val="04822EA7"/>
    <w:rsid w:val="0482B94A"/>
    <w:rsid w:val="048415F7"/>
    <w:rsid w:val="04865F9C"/>
    <w:rsid w:val="048886E5"/>
    <w:rsid w:val="048951F8"/>
    <w:rsid w:val="0489B9B3"/>
    <w:rsid w:val="048AED61"/>
    <w:rsid w:val="048B3B41"/>
    <w:rsid w:val="048BA38D"/>
    <w:rsid w:val="048FA31F"/>
    <w:rsid w:val="0492B585"/>
    <w:rsid w:val="049813B9"/>
    <w:rsid w:val="04982702"/>
    <w:rsid w:val="04982F22"/>
    <w:rsid w:val="0498FDCF"/>
    <w:rsid w:val="049BC484"/>
    <w:rsid w:val="049CCE14"/>
    <w:rsid w:val="049D0FC9"/>
    <w:rsid w:val="049EFF2C"/>
    <w:rsid w:val="049FA20B"/>
    <w:rsid w:val="049FCB5B"/>
    <w:rsid w:val="04A070E4"/>
    <w:rsid w:val="04A1E760"/>
    <w:rsid w:val="04AAC464"/>
    <w:rsid w:val="04AC0A5E"/>
    <w:rsid w:val="04AD3A17"/>
    <w:rsid w:val="04ADE0CF"/>
    <w:rsid w:val="04AEA588"/>
    <w:rsid w:val="04AF8A3D"/>
    <w:rsid w:val="04B22D0F"/>
    <w:rsid w:val="04B4591E"/>
    <w:rsid w:val="04B58D88"/>
    <w:rsid w:val="04B73355"/>
    <w:rsid w:val="04B7AB80"/>
    <w:rsid w:val="04BA0FDA"/>
    <w:rsid w:val="04BCA32A"/>
    <w:rsid w:val="04BD3CD4"/>
    <w:rsid w:val="04C0EC9A"/>
    <w:rsid w:val="04C21668"/>
    <w:rsid w:val="04C2B9DF"/>
    <w:rsid w:val="04C3BB1B"/>
    <w:rsid w:val="04C60F03"/>
    <w:rsid w:val="04C65CBF"/>
    <w:rsid w:val="04C731A7"/>
    <w:rsid w:val="04C8F3D8"/>
    <w:rsid w:val="04C9F943"/>
    <w:rsid w:val="04CD80CA"/>
    <w:rsid w:val="04CEBF56"/>
    <w:rsid w:val="04D0D86E"/>
    <w:rsid w:val="04D10E5C"/>
    <w:rsid w:val="04D126B8"/>
    <w:rsid w:val="04D1A709"/>
    <w:rsid w:val="04D45097"/>
    <w:rsid w:val="04D5C409"/>
    <w:rsid w:val="04D80EF3"/>
    <w:rsid w:val="04D9630A"/>
    <w:rsid w:val="04D9B743"/>
    <w:rsid w:val="04D9F4D3"/>
    <w:rsid w:val="04E0BAC0"/>
    <w:rsid w:val="04E16EF6"/>
    <w:rsid w:val="04E223F5"/>
    <w:rsid w:val="04E31E49"/>
    <w:rsid w:val="04E35441"/>
    <w:rsid w:val="04E76BBB"/>
    <w:rsid w:val="04E7969F"/>
    <w:rsid w:val="04EB26D8"/>
    <w:rsid w:val="04ECFC06"/>
    <w:rsid w:val="04EE4B7A"/>
    <w:rsid w:val="04F0B663"/>
    <w:rsid w:val="04F1CCC1"/>
    <w:rsid w:val="04F3695D"/>
    <w:rsid w:val="04F61AEE"/>
    <w:rsid w:val="04F6347D"/>
    <w:rsid w:val="04F79776"/>
    <w:rsid w:val="04FA9B8D"/>
    <w:rsid w:val="04FB7D69"/>
    <w:rsid w:val="04FC80EA"/>
    <w:rsid w:val="0503904B"/>
    <w:rsid w:val="0504C279"/>
    <w:rsid w:val="05061376"/>
    <w:rsid w:val="05064EDE"/>
    <w:rsid w:val="05067A78"/>
    <w:rsid w:val="0508E86B"/>
    <w:rsid w:val="05092EA4"/>
    <w:rsid w:val="05097BE5"/>
    <w:rsid w:val="0509AFD7"/>
    <w:rsid w:val="050B678E"/>
    <w:rsid w:val="051132F1"/>
    <w:rsid w:val="05130E3E"/>
    <w:rsid w:val="051432BC"/>
    <w:rsid w:val="05158324"/>
    <w:rsid w:val="0516101C"/>
    <w:rsid w:val="051965E6"/>
    <w:rsid w:val="051C538E"/>
    <w:rsid w:val="051D031E"/>
    <w:rsid w:val="051FB777"/>
    <w:rsid w:val="0521134C"/>
    <w:rsid w:val="0522DBC8"/>
    <w:rsid w:val="0526599E"/>
    <w:rsid w:val="05289A0D"/>
    <w:rsid w:val="052CB6A8"/>
    <w:rsid w:val="052D092C"/>
    <w:rsid w:val="052ED4F7"/>
    <w:rsid w:val="052F6C91"/>
    <w:rsid w:val="0530BEDF"/>
    <w:rsid w:val="0531ACF6"/>
    <w:rsid w:val="0531EE87"/>
    <w:rsid w:val="05337807"/>
    <w:rsid w:val="05342BF1"/>
    <w:rsid w:val="05346293"/>
    <w:rsid w:val="053608E9"/>
    <w:rsid w:val="053B2C48"/>
    <w:rsid w:val="053B94CB"/>
    <w:rsid w:val="053DA534"/>
    <w:rsid w:val="053ECB3C"/>
    <w:rsid w:val="0540A27C"/>
    <w:rsid w:val="054101E6"/>
    <w:rsid w:val="0542E13F"/>
    <w:rsid w:val="0543F8A0"/>
    <w:rsid w:val="0543F9F3"/>
    <w:rsid w:val="05478675"/>
    <w:rsid w:val="0547DDC3"/>
    <w:rsid w:val="0549E758"/>
    <w:rsid w:val="054A0673"/>
    <w:rsid w:val="0550B45B"/>
    <w:rsid w:val="05525072"/>
    <w:rsid w:val="05589CCC"/>
    <w:rsid w:val="055D1428"/>
    <w:rsid w:val="055EE447"/>
    <w:rsid w:val="055FB8FA"/>
    <w:rsid w:val="0560137B"/>
    <w:rsid w:val="05602CBB"/>
    <w:rsid w:val="05634A3D"/>
    <w:rsid w:val="0565EDA8"/>
    <w:rsid w:val="05699883"/>
    <w:rsid w:val="0569999E"/>
    <w:rsid w:val="056F2423"/>
    <w:rsid w:val="0573EA6A"/>
    <w:rsid w:val="0574D8BF"/>
    <w:rsid w:val="0574F46D"/>
    <w:rsid w:val="0578A590"/>
    <w:rsid w:val="057A831E"/>
    <w:rsid w:val="057C2666"/>
    <w:rsid w:val="057C8084"/>
    <w:rsid w:val="057F2E57"/>
    <w:rsid w:val="0581F8C4"/>
    <w:rsid w:val="05824414"/>
    <w:rsid w:val="0587B87C"/>
    <w:rsid w:val="05883BB9"/>
    <w:rsid w:val="0588A289"/>
    <w:rsid w:val="0589B730"/>
    <w:rsid w:val="058F25F3"/>
    <w:rsid w:val="058F2E4E"/>
    <w:rsid w:val="058F63D0"/>
    <w:rsid w:val="058F75D1"/>
    <w:rsid w:val="0590D245"/>
    <w:rsid w:val="0593A753"/>
    <w:rsid w:val="0594F46B"/>
    <w:rsid w:val="0598F7BE"/>
    <w:rsid w:val="059BF786"/>
    <w:rsid w:val="059FD260"/>
    <w:rsid w:val="05A18EB6"/>
    <w:rsid w:val="05A2259A"/>
    <w:rsid w:val="05A377B2"/>
    <w:rsid w:val="05A7FD98"/>
    <w:rsid w:val="05AB2249"/>
    <w:rsid w:val="05AC99CB"/>
    <w:rsid w:val="05AD52FA"/>
    <w:rsid w:val="05AEC463"/>
    <w:rsid w:val="05B54AC5"/>
    <w:rsid w:val="05B57CBE"/>
    <w:rsid w:val="05B71D47"/>
    <w:rsid w:val="05B8DED9"/>
    <w:rsid w:val="05B96FFA"/>
    <w:rsid w:val="05BCD0A6"/>
    <w:rsid w:val="05BE7C51"/>
    <w:rsid w:val="05BEBE0E"/>
    <w:rsid w:val="05BF2CEC"/>
    <w:rsid w:val="05BF3C39"/>
    <w:rsid w:val="05C06B3B"/>
    <w:rsid w:val="05C28CEF"/>
    <w:rsid w:val="05C3B052"/>
    <w:rsid w:val="05C4C6D6"/>
    <w:rsid w:val="05C8731E"/>
    <w:rsid w:val="05C873B3"/>
    <w:rsid w:val="05C90E5E"/>
    <w:rsid w:val="05C929BD"/>
    <w:rsid w:val="05CADAD6"/>
    <w:rsid w:val="05CBF222"/>
    <w:rsid w:val="05CD064D"/>
    <w:rsid w:val="05D0D276"/>
    <w:rsid w:val="05D55CE4"/>
    <w:rsid w:val="05D6F4DE"/>
    <w:rsid w:val="05D823B4"/>
    <w:rsid w:val="05D98137"/>
    <w:rsid w:val="05DCA521"/>
    <w:rsid w:val="05DE2623"/>
    <w:rsid w:val="05DEFC60"/>
    <w:rsid w:val="05E02450"/>
    <w:rsid w:val="05E3F24A"/>
    <w:rsid w:val="05E490AF"/>
    <w:rsid w:val="05E5630B"/>
    <w:rsid w:val="05E61BFB"/>
    <w:rsid w:val="05E68838"/>
    <w:rsid w:val="05F05418"/>
    <w:rsid w:val="05F16DD0"/>
    <w:rsid w:val="05F3BCEE"/>
    <w:rsid w:val="05F43A68"/>
    <w:rsid w:val="05F872C5"/>
    <w:rsid w:val="05F88A68"/>
    <w:rsid w:val="05F88FEB"/>
    <w:rsid w:val="05F97A3C"/>
    <w:rsid w:val="05FA61FB"/>
    <w:rsid w:val="0602A061"/>
    <w:rsid w:val="06039D7D"/>
    <w:rsid w:val="0603CC95"/>
    <w:rsid w:val="06070B35"/>
    <w:rsid w:val="060819EB"/>
    <w:rsid w:val="0609621A"/>
    <w:rsid w:val="060BDF23"/>
    <w:rsid w:val="060BF3B9"/>
    <w:rsid w:val="060EA801"/>
    <w:rsid w:val="060EFEAD"/>
    <w:rsid w:val="060F04B1"/>
    <w:rsid w:val="06148EBE"/>
    <w:rsid w:val="06178DD7"/>
    <w:rsid w:val="061806C9"/>
    <w:rsid w:val="061CD367"/>
    <w:rsid w:val="061E20D8"/>
    <w:rsid w:val="061F3166"/>
    <w:rsid w:val="061F6642"/>
    <w:rsid w:val="06220E71"/>
    <w:rsid w:val="06248BAD"/>
    <w:rsid w:val="0624C989"/>
    <w:rsid w:val="06272D5E"/>
    <w:rsid w:val="0629A04D"/>
    <w:rsid w:val="062B57C9"/>
    <w:rsid w:val="062D40E6"/>
    <w:rsid w:val="0632D919"/>
    <w:rsid w:val="06335753"/>
    <w:rsid w:val="0633598A"/>
    <w:rsid w:val="0634AED4"/>
    <w:rsid w:val="0637ECAB"/>
    <w:rsid w:val="0638513E"/>
    <w:rsid w:val="063A3B3B"/>
    <w:rsid w:val="063D70CC"/>
    <w:rsid w:val="0641616F"/>
    <w:rsid w:val="0642C53B"/>
    <w:rsid w:val="064366B0"/>
    <w:rsid w:val="06444E1C"/>
    <w:rsid w:val="0644538C"/>
    <w:rsid w:val="06455E45"/>
    <w:rsid w:val="0645EDE8"/>
    <w:rsid w:val="0646C9C8"/>
    <w:rsid w:val="0647DA70"/>
    <w:rsid w:val="0648C294"/>
    <w:rsid w:val="064D2934"/>
    <w:rsid w:val="064ED311"/>
    <w:rsid w:val="064F62A0"/>
    <w:rsid w:val="0650FA65"/>
    <w:rsid w:val="0653EBC1"/>
    <w:rsid w:val="0654A2E9"/>
    <w:rsid w:val="0654D410"/>
    <w:rsid w:val="0654D982"/>
    <w:rsid w:val="065D78E9"/>
    <w:rsid w:val="065EDAE5"/>
    <w:rsid w:val="066098BF"/>
    <w:rsid w:val="0661B899"/>
    <w:rsid w:val="066270DE"/>
    <w:rsid w:val="0663C155"/>
    <w:rsid w:val="0664AFE4"/>
    <w:rsid w:val="06681DE1"/>
    <w:rsid w:val="0668F139"/>
    <w:rsid w:val="06698938"/>
    <w:rsid w:val="066B8CAB"/>
    <w:rsid w:val="06710CB4"/>
    <w:rsid w:val="06723C5E"/>
    <w:rsid w:val="067274BA"/>
    <w:rsid w:val="0673FC86"/>
    <w:rsid w:val="067D55B6"/>
    <w:rsid w:val="067F7852"/>
    <w:rsid w:val="06809CE9"/>
    <w:rsid w:val="0681A35A"/>
    <w:rsid w:val="06831E04"/>
    <w:rsid w:val="06861EE0"/>
    <w:rsid w:val="06884487"/>
    <w:rsid w:val="06887400"/>
    <w:rsid w:val="068B5060"/>
    <w:rsid w:val="068BA4D9"/>
    <w:rsid w:val="068CA129"/>
    <w:rsid w:val="068D70A2"/>
    <w:rsid w:val="068DE547"/>
    <w:rsid w:val="0694C0E5"/>
    <w:rsid w:val="069523FA"/>
    <w:rsid w:val="0695FBEB"/>
    <w:rsid w:val="06965398"/>
    <w:rsid w:val="0696749B"/>
    <w:rsid w:val="06969E83"/>
    <w:rsid w:val="0697A18A"/>
    <w:rsid w:val="069B1B1A"/>
    <w:rsid w:val="069ED226"/>
    <w:rsid w:val="06A1623D"/>
    <w:rsid w:val="06A2E8F8"/>
    <w:rsid w:val="06A34939"/>
    <w:rsid w:val="06A47489"/>
    <w:rsid w:val="06A4FC26"/>
    <w:rsid w:val="06A625F4"/>
    <w:rsid w:val="06A8C32D"/>
    <w:rsid w:val="06A8FBAA"/>
    <w:rsid w:val="06AE4786"/>
    <w:rsid w:val="06B220F7"/>
    <w:rsid w:val="06B25204"/>
    <w:rsid w:val="06B726E5"/>
    <w:rsid w:val="06B8DE3D"/>
    <w:rsid w:val="06BD52F9"/>
    <w:rsid w:val="06BDEFE8"/>
    <w:rsid w:val="06C247D7"/>
    <w:rsid w:val="06C3C7BB"/>
    <w:rsid w:val="06C48266"/>
    <w:rsid w:val="06C52FC5"/>
    <w:rsid w:val="06C55BB0"/>
    <w:rsid w:val="06C5ECF9"/>
    <w:rsid w:val="06C7944C"/>
    <w:rsid w:val="06C7F6CE"/>
    <w:rsid w:val="06C7F8AB"/>
    <w:rsid w:val="06C8525C"/>
    <w:rsid w:val="06C9836E"/>
    <w:rsid w:val="06CA32AF"/>
    <w:rsid w:val="06CB1A04"/>
    <w:rsid w:val="06CE01E8"/>
    <w:rsid w:val="06CE0599"/>
    <w:rsid w:val="06D2E5E7"/>
    <w:rsid w:val="06D48CD5"/>
    <w:rsid w:val="06D5E917"/>
    <w:rsid w:val="06D8D67F"/>
    <w:rsid w:val="06DBAFE4"/>
    <w:rsid w:val="06DC9E75"/>
    <w:rsid w:val="06DE7327"/>
    <w:rsid w:val="06DFB042"/>
    <w:rsid w:val="06E0EEE4"/>
    <w:rsid w:val="06E1FBE7"/>
    <w:rsid w:val="06E3ED11"/>
    <w:rsid w:val="06E6CA33"/>
    <w:rsid w:val="06E6DA63"/>
    <w:rsid w:val="06E703CC"/>
    <w:rsid w:val="06E908DF"/>
    <w:rsid w:val="06E9CF63"/>
    <w:rsid w:val="06EA576E"/>
    <w:rsid w:val="06EAB15B"/>
    <w:rsid w:val="06EE58D8"/>
    <w:rsid w:val="06EFBB01"/>
    <w:rsid w:val="06F01C22"/>
    <w:rsid w:val="06F1571E"/>
    <w:rsid w:val="06F2B352"/>
    <w:rsid w:val="06F39ED3"/>
    <w:rsid w:val="06F4B8D8"/>
    <w:rsid w:val="06F6F87E"/>
    <w:rsid w:val="06F715A0"/>
    <w:rsid w:val="070351AB"/>
    <w:rsid w:val="070494B0"/>
    <w:rsid w:val="07078148"/>
    <w:rsid w:val="070E16C1"/>
    <w:rsid w:val="070EC2D2"/>
    <w:rsid w:val="0712408E"/>
    <w:rsid w:val="0716B2A7"/>
    <w:rsid w:val="0718D978"/>
    <w:rsid w:val="071ACA0A"/>
    <w:rsid w:val="071B766B"/>
    <w:rsid w:val="071FAA10"/>
    <w:rsid w:val="07202328"/>
    <w:rsid w:val="072193E9"/>
    <w:rsid w:val="0722A8E0"/>
    <w:rsid w:val="07234D05"/>
    <w:rsid w:val="0726B5EE"/>
    <w:rsid w:val="072703A9"/>
    <w:rsid w:val="072A905E"/>
    <w:rsid w:val="072FA6B4"/>
    <w:rsid w:val="07349816"/>
    <w:rsid w:val="07354759"/>
    <w:rsid w:val="0737312B"/>
    <w:rsid w:val="073A7FEA"/>
    <w:rsid w:val="073DEC6B"/>
    <w:rsid w:val="07416E16"/>
    <w:rsid w:val="0746B0D1"/>
    <w:rsid w:val="0747C848"/>
    <w:rsid w:val="074A2F04"/>
    <w:rsid w:val="074ACBE2"/>
    <w:rsid w:val="074E586F"/>
    <w:rsid w:val="074ED558"/>
    <w:rsid w:val="07522391"/>
    <w:rsid w:val="0752A7E1"/>
    <w:rsid w:val="0753394F"/>
    <w:rsid w:val="075507B8"/>
    <w:rsid w:val="07577826"/>
    <w:rsid w:val="07581B92"/>
    <w:rsid w:val="075A9988"/>
    <w:rsid w:val="075B5449"/>
    <w:rsid w:val="075C052E"/>
    <w:rsid w:val="07624643"/>
    <w:rsid w:val="0764BBD1"/>
    <w:rsid w:val="0765A1DE"/>
    <w:rsid w:val="076A6B37"/>
    <w:rsid w:val="076F8F11"/>
    <w:rsid w:val="077031C8"/>
    <w:rsid w:val="0770FD1F"/>
    <w:rsid w:val="0771F96F"/>
    <w:rsid w:val="07782B4F"/>
    <w:rsid w:val="077AC784"/>
    <w:rsid w:val="077BE21A"/>
    <w:rsid w:val="077CC0F6"/>
    <w:rsid w:val="077F48F4"/>
    <w:rsid w:val="07804280"/>
    <w:rsid w:val="07811A74"/>
    <w:rsid w:val="07857203"/>
    <w:rsid w:val="07868E9A"/>
    <w:rsid w:val="07889ED0"/>
    <w:rsid w:val="0789D2B2"/>
    <w:rsid w:val="078FE6D7"/>
    <w:rsid w:val="079608C9"/>
    <w:rsid w:val="079DEAAE"/>
    <w:rsid w:val="079EB189"/>
    <w:rsid w:val="079F5332"/>
    <w:rsid w:val="079FA0F4"/>
    <w:rsid w:val="07A3753D"/>
    <w:rsid w:val="07A644AA"/>
    <w:rsid w:val="07A67563"/>
    <w:rsid w:val="07A6B179"/>
    <w:rsid w:val="07A6D7DA"/>
    <w:rsid w:val="07A72D50"/>
    <w:rsid w:val="07A8A9E4"/>
    <w:rsid w:val="07A9138F"/>
    <w:rsid w:val="07B06966"/>
    <w:rsid w:val="07B29D67"/>
    <w:rsid w:val="07B53B91"/>
    <w:rsid w:val="07B97861"/>
    <w:rsid w:val="07BB1EB3"/>
    <w:rsid w:val="07BBF554"/>
    <w:rsid w:val="07BC4E63"/>
    <w:rsid w:val="07C7D9E7"/>
    <w:rsid w:val="07C8C181"/>
    <w:rsid w:val="07C92335"/>
    <w:rsid w:val="07CA555A"/>
    <w:rsid w:val="07CA8461"/>
    <w:rsid w:val="07CCC97E"/>
    <w:rsid w:val="07CE8AC4"/>
    <w:rsid w:val="07D22138"/>
    <w:rsid w:val="07D5561A"/>
    <w:rsid w:val="07D8C63D"/>
    <w:rsid w:val="07DB9BB3"/>
    <w:rsid w:val="07DBBA9E"/>
    <w:rsid w:val="07DC7879"/>
    <w:rsid w:val="07DE9A34"/>
    <w:rsid w:val="07DF12B5"/>
    <w:rsid w:val="07E10F25"/>
    <w:rsid w:val="07E25AAD"/>
    <w:rsid w:val="07E5D5A2"/>
    <w:rsid w:val="07EC8053"/>
    <w:rsid w:val="07F03324"/>
    <w:rsid w:val="07F08A98"/>
    <w:rsid w:val="07F0D97E"/>
    <w:rsid w:val="07F14EEC"/>
    <w:rsid w:val="07F65284"/>
    <w:rsid w:val="07FD22E6"/>
    <w:rsid w:val="07FFB9DF"/>
    <w:rsid w:val="07FFE196"/>
    <w:rsid w:val="07FFF752"/>
    <w:rsid w:val="08022BBE"/>
    <w:rsid w:val="08074B35"/>
    <w:rsid w:val="0807FFAF"/>
    <w:rsid w:val="080CE53E"/>
    <w:rsid w:val="080E7029"/>
    <w:rsid w:val="0814BF6E"/>
    <w:rsid w:val="0815E525"/>
    <w:rsid w:val="0817E529"/>
    <w:rsid w:val="08193FF1"/>
    <w:rsid w:val="081C7837"/>
    <w:rsid w:val="081FF691"/>
    <w:rsid w:val="0821F3A0"/>
    <w:rsid w:val="0823279A"/>
    <w:rsid w:val="0825A439"/>
    <w:rsid w:val="0826784A"/>
    <w:rsid w:val="0826D24A"/>
    <w:rsid w:val="082A6B4D"/>
    <w:rsid w:val="082E31C4"/>
    <w:rsid w:val="082EF29D"/>
    <w:rsid w:val="0831CEEE"/>
    <w:rsid w:val="08344546"/>
    <w:rsid w:val="0834887B"/>
    <w:rsid w:val="08363DB7"/>
    <w:rsid w:val="084633A4"/>
    <w:rsid w:val="084634B9"/>
    <w:rsid w:val="08464619"/>
    <w:rsid w:val="08496D3C"/>
    <w:rsid w:val="084DD795"/>
    <w:rsid w:val="084F4D39"/>
    <w:rsid w:val="0852BE69"/>
    <w:rsid w:val="0854E95A"/>
    <w:rsid w:val="0858AC50"/>
    <w:rsid w:val="0858F8C2"/>
    <w:rsid w:val="085B20FC"/>
    <w:rsid w:val="085B3DC3"/>
    <w:rsid w:val="085F6ABE"/>
    <w:rsid w:val="085F9E0F"/>
    <w:rsid w:val="0862D9FD"/>
    <w:rsid w:val="0862DDE7"/>
    <w:rsid w:val="08642835"/>
    <w:rsid w:val="0864B0BB"/>
    <w:rsid w:val="086510EA"/>
    <w:rsid w:val="0865A7D0"/>
    <w:rsid w:val="0866C80D"/>
    <w:rsid w:val="0866FC3A"/>
    <w:rsid w:val="0867B157"/>
    <w:rsid w:val="08685778"/>
    <w:rsid w:val="08687541"/>
    <w:rsid w:val="08690C28"/>
    <w:rsid w:val="086BADEC"/>
    <w:rsid w:val="086BCF38"/>
    <w:rsid w:val="086C2E75"/>
    <w:rsid w:val="086F262E"/>
    <w:rsid w:val="086FC979"/>
    <w:rsid w:val="08706F5D"/>
    <w:rsid w:val="08707E0F"/>
    <w:rsid w:val="087102C4"/>
    <w:rsid w:val="08714DB2"/>
    <w:rsid w:val="0872DAF3"/>
    <w:rsid w:val="0877DED7"/>
    <w:rsid w:val="087C0A3B"/>
    <w:rsid w:val="087D12E1"/>
    <w:rsid w:val="08888465"/>
    <w:rsid w:val="088DE749"/>
    <w:rsid w:val="088EDF50"/>
    <w:rsid w:val="08927035"/>
    <w:rsid w:val="089DA448"/>
    <w:rsid w:val="089F9980"/>
    <w:rsid w:val="089FE1EF"/>
    <w:rsid w:val="08A0F257"/>
    <w:rsid w:val="08A1AA9D"/>
    <w:rsid w:val="08A6327B"/>
    <w:rsid w:val="08A6AD57"/>
    <w:rsid w:val="08A71751"/>
    <w:rsid w:val="08A91E75"/>
    <w:rsid w:val="08A9E661"/>
    <w:rsid w:val="08AAF1A9"/>
    <w:rsid w:val="08AB4A73"/>
    <w:rsid w:val="08ADABAE"/>
    <w:rsid w:val="08B212D2"/>
    <w:rsid w:val="08B6D1D3"/>
    <w:rsid w:val="08B78C6A"/>
    <w:rsid w:val="08BA9942"/>
    <w:rsid w:val="08BC0FCD"/>
    <w:rsid w:val="08C04E80"/>
    <w:rsid w:val="08C23A29"/>
    <w:rsid w:val="08CA5D43"/>
    <w:rsid w:val="08CC39A4"/>
    <w:rsid w:val="08CE9151"/>
    <w:rsid w:val="08D34E36"/>
    <w:rsid w:val="08DA0F74"/>
    <w:rsid w:val="08DE27D7"/>
    <w:rsid w:val="08DE2CED"/>
    <w:rsid w:val="08E04D6A"/>
    <w:rsid w:val="08E19288"/>
    <w:rsid w:val="08E19E1A"/>
    <w:rsid w:val="08E2C7B1"/>
    <w:rsid w:val="08E58E2F"/>
    <w:rsid w:val="08E66306"/>
    <w:rsid w:val="08E869B1"/>
    <w:rsid w:val="08E9687B"/>
    <w:rsid w:val="08E96C01"/>
    <w:rsid w:val="08EC4C5A"/>
    <w:rsid w:val="08EDB491"/>
    <w:rsid w:val="08EE9DE0"/>
    <w:rsid w:val="08F1CC98"/>
    <w:rsid w:val="08F7DE47"/>
    <w:rsid w:val="08F8B2C4"/>
    <w:rsid w:val="08FA9A89"/>
    <w:rsid w:val="08FFEFAA"/>
    <w:rsid w:val="0900BFC4"/>
    <w:rsid w:val="0900DBBB"/>
    <w:rsid w:val="0900E02A"/>
    <w:rsid w:val="0904B39C"/>
    <w:rsid w:val="0904C64B"/>
    <w:rsid w:val="0908690C"/>
    <w:rsid w:val="090A0596"/>
    <w:rsid w:val="090AA76F"/>
    <w:rsid w:val="090DA93B"/>
    <w:rsid w:val="090E2AF4"/>
    <w:rsid w:val="090ED7BA"/>
    <w:rsid w:val="09119469"/>
    <w:rsid w:val="09158AC8"/>
    <w:rsid w:val="09159F7D"/>
    <w:rsid w:val="0916E2E0"/>
    <w:rsid w:val="0918BB1E"/>
    <w:rsid w:val="091AC548"/>
    <w:rsid w:val="091D00A6"/>
    <w:rsid w:val="0920D5EC"/>
    <w:rsid w:val="09220103"/>
    <w:rsid w:val="092522A5"/>
    <w:rsid w:val="0925D77C"/>
    <w:rsid w:val="09270772"/>
    <w:rsid w:val="092C12FE"/>
    <w:rsid w:val="092C1BB8"/>
    <w:rsid w:val="092C9290"/>
    <w:rsid w:val="092CFA9B"/>
    <w:rsid w:val="092D2DFF"/>
    <w:rsid w:val="092EC7DE"/>
    <w:rsid w:val="092F06DB"/>
    <w:rsid w:val="093080E8"/>
    <w:rsid w:val="0931F9C3"/>
    <w:rsid w:val="09324D89"/>
    <w:rsid w:val="0932792B"/>
    <w:rsid w:val="09365446"/>
    <w:rsid w:val="09377F7D"/>
    <w:rsid w:val="0938C9D8"/>
    <w:rsid w:val="0939CF4D"/>
    <w:rsid w:val="093E232F"/>
    <w:rsid w:val="093E69AE"/>
    <w:rsid w:val="093EAE9F"/>
    <w:rsid w:val="093FCBC5"/>
    <w:rsid w:val="094514B0"/>
    <w:rsid w:val="09459635"/>
    <w:rsid w:val="0945D17C"/>
    <w:rsid w:val="0945F961"/>
    <w:rsid w:val="0947EADA"/>
    <w:rsid w:val="0949C71A"/>
    <w:rsid w:val="094BE3EA"/>
    <w:rsid w:val="094CA702"/>
    <w:rsid w:val="094E1C86"/>
    <w:rsid w:val="094FADA1"/>
    <w:rsid w:val="0951BF50"/>
    <w:rsid w:val="09539601"/>
    <w:rsid w:val="0957017A"/>
    <w:rsid w:val="095B8DCE"/>
    <w:rsid w:val="095CA36E"/>
    <w:rsid w:val="09600277"/>
    <w:rsid w:val="096095DA"/>
    <w:rsid w:val="0962E65A"/>
    <w:rsid w:val="096375F6"/>
    <w:rsid w:val="09640843"/>
    <w:rsid w:val="0966E2A1"/>
    <w:rsid w:val="0968C239"/>
    <w:rsid w:val="0968C415"/>
    <w:rsid w:val="0969E111"/>
    <w:rsid w:val="096B7CF4"/>
    <w:rsid w:val="096C7425"/>
    <w:rsid w:val="096EAB0A"/>
    <w:rsid w:val="096ED93F"/>
    <w:rsid w:val="097106A2"/>
    <w:rsid w:val="0972351B"/>
    <w:rsid w:val="0972AE0D"/>
    <w:rsid w:val="0972C8F6"/>
    <w:rsid w:val="097331A6"/>
    <w:rsid w:val="09738EAB"/>
    <w:rsid w:val="097887D2"/>
    <w:rsid w:val="097C8BC7"/>
    <w:rsid w:val="097EAA1F"/>
    <w:rsid w:val="0980C677"/>
    <w:rsid w:val="098117ED"/>
    <w:rsid w:val="098144D6"/>
    <w:rsid w:val="09841C99"/>
    <w:rsid w:val="098732C5"/>
    <w:rsid w:val="098DF24F"/>
    <w:rsid w:val="098EA37E"/>
    <w:rsid w:val="0990BE97"/>
    <w:rsid w:val="0990EAC6"/>
    <w:rsid w:val="0991010F"/>
    <w:rsid w:val="0992FD63"/>
    <w:rsid w:val="099334B7"/>
    <w:rsid w:val="09933F58"/>
    <w:rsid w:val="09940359"/>
    <w:rsid w:val="099874B5"/>
    <w:rsid w:val="0999BADF"/>
    <w:rsid w:val="099B6214"/>
    <w:rsid w:val="099D08CF"/>
    <w:rsid w:val="099F8846"/>
    <w:rsid w:val="09A1D2B0"/>
    <w:rsid w:val="09A1E651"/>
    <w:rsid w:val="09A3C8F8"/>
    <w:rsid w:val="09A58019"/>
    <w:rsid w:val="09A6FD4B"/>
    <w:rsid w:val="09A76E68"/>
    <w:rsid w:val="09A7CDB8"/>
    <w:rsid w:val="09AB4CC2"/>
    <w:rsid w:val="09ABCC8B"/>
    <w:rsid w:val="09AC0438"/>
    <w:rsid w:val="09B0B285"/>
    <w:rsid w:val="09B146BE"/>
    <w:rsid w:val="09B27614"/>
    <w:rsid w:val="09B3FD38"/>
    <w:rsid w:val="09B64252"/>
    <w:rsid w:val="09B67284"/>
    <w:rsid w:val="09B7AA1B"/>
    <w:rsid w:val="09B98759"/>
    <w:rsid w:val="09BCC0D9"/>
    <w:rsid w:val="09BE1942"/>
    <w:rsid w:val="09BEE00B"/>
    <w:rsid w:val="09C1CD74"/>
    <w:rsid w:val="09C67D4D"/>
    <w:rsid w:val="09CB2B95"/>
    <w:rsid w:val="09CCCE10"/>
    <w:rsid w:val="09CFABEC"/>
    <w:rsid w:val="09D11115"/>
    <w:rsid w:val="09D711A1"/>
    <w:rsid w:val="09D8FD16"/>
    <w:rsid w:val="09DE6A62"/>
    <w:rsid w:val="09DF9C0E"/>
    <w:rsid w:val="09E5C016"/>
    <w:rsid w:val="09E74115"/>
    <w:rsid w:val="09E87618"/>
    <w:rsid w:val="09E92909"/>
    <w:rsid w:val="09EC2A42"/>
    <w:rsid w:val="09EDE0DB"/>
    <w:rsid w:val="09EEAB4A"/>
    <w:rsid w:val="09F2D0EB"/>
    <w:rsid w:val="09F425EC"/>
    <w:rsid w:val="09F8196B"/>
    <w:rsid w:val="09FA169F"/>
    <w:rsid w:val="09FDAFF1"/>
    <w:rsid w:val="0A025F59"/>
    <w:rsid w:val="0A0CA62D"/>
    <w:rsid w:val="0A0CFF5D"/>
    <w:rsid w:val="0A0F4F42"/>
    <w:rsid w:val="0A0FC5BA"/>
    <w:rsid w:val="0A106F88"/>
    <w:rsid w:val="0A118ED4"/>
    <w:rsid w:val="0A12B398"/>
    <w:rsid w:val="0A15975E"/>
    <w:rsid w:val="0A15AF3B"/>
    <w:rsid w:val="0A1903C0"/>
    <w:rsid w:val="0A1956A7"/>
    <w:rsid w:val="0A1C2CC7"/>
    <w:rsid w:val="0A1C4662"/>
    <w:rsid w:val="0A1FBC1E"/>
    <w:rsid w:val="0A225008"/>
    <w:rsid w:val="0A276B25"/>
    <w:rsid w:val="0A28704B"/>
    <w:rsid w:val="0A288DEC"/>
    <w:rsid w:val="0A2894CD"/>
    <w:rsid w:val="0A2B00BE"/>
    <w:rsid w:val="0A2B59F1"/>
    <w:rsid w:val="0A2BC44B"/>
    <w:rsid w:val="0A30F301"/>
    <w:rsid w:val="0A317516"/>
    <w:rsid w:val="0A3176C9"/>
    <w:rsid w:val="0A33CE9D"/>
    <w:rsid w:val="0A34327F"/>
    <w:rsid w:val="0A34BDFA"/>
    <w:rsid w:val="0A37A2F4"/>
    <w:rsid w:val="0A38A2CD"/>
    <w:rsid w:val="0A38BEAD"/>
    <w:rsid w:val="0A3F4460"/>
    <w:rsid w:val="0A3FD4C2"/>
    <w:rsid w:val="0A403BE6"/>
    <w:rsid w:val="0A410B89"/>
    <w:rsid w:val="0A46138D"/>
    <w:rsid w:val="0A473CA1"/>
    <w:rsid w:val="0A49EC92"/>
    <w:rsid w:val="0A4B48F3"/>
    <w:rsid w:val="0A4BCA5C"/>
    <w:rsid w:val="0A4CEACE"/>
    <w:rsid w:val="0A506103"/>
    <w:rsid w:val="0A507DEA"/>
    <w:rsid w:val="0A50BB38"/>
    <w:rsid w:val="0A5131F0"/>
    <w:rsid w:val="0A529BD3"/>
    <w:rsid w:val="0A52F9EB"/>
    <w:rsid w:val="0A5835F0"/>
    <w:rsid w:val="0A58A104"/>
    <w:rsid w:val="0A58D4B0"/>
    <w:rsid w:val="0A5951B7"/>
    <w:rsid w:val="0A598F3E"/>
    <w:rsid w:val="0A5C71B3"/>
    <w:rsid w:val="0A5CB8BA"/>
    <w:rsid w:val="0A616D81"/>
    <w:rsid w:val="0A650F36"/>
    <w:rsid w:val="0A656EB4"/>
    <w:rsid w:val="0A67D7CE"/>
    <w:rsid w:val="0A6A5949"/>
    <w:rsid w:val="0A6AAA4A"/>
    <w:rsid w:val="0A6C17FD"/>
    <w:rsid w:val="0A6D0557"/>
    <w:rsid w:val="0A6D495B"/>
    <w:rsid w:val="0A6DDC5C"/>
    <w:rsid w:val="0A6F4FEA"/>
    <w:rsid w:val="0A6F8397"/>
    <w:rsid w:val="0A715B53"/>
    <w:rsid w:val="0A7245FB"/>
    <w:rsid w:val="0A7446F1"/>
    <w:rsid w:val="0A761653"/>
    <w:rsid w:val="0A779223"/>
    <w:rsid w:val="0A790C71"/>
    <w:rsid w:val="0A79810B"/>
    <w:rsid w:val="0A7B9B94"/>
    <w:rsid w:val="0A7BB9F1"/>
    <w:rsid w:val="0A7BE356"/>
    <w:rsid w:val="0A7D1AE8"/>
    <w:rsid w:val="0A7D2310"/>
    <w:rsid w:val="0A7DFD75"/>
    <w:rsid w:val="0A7E7C84"/>
    <w:rsid w:val="0A7F1F1F"/>
    <w:rsid w:val="0A7FCD15"/>
    <w:rsid w:val="0A803419"/>
    <w:rsid w:val="0A80548F"/>
    <w:rsid w:val="0A81BD05"/>
    <w:rsid w:val="0A835E7D"/>
    <w:rsid w:val="0A83F49B"/>
    <w:rsid w:val="0A847FD1"/>
    <w:rsid w:val="0A88C216"/>
    <w:rsid w:val="0A8939BB"/>
    <w:rsid w:val="0A8B7E68"/>
    <w:rsid w:val="0A8EB134"/>
    <w:rsid w:val="0A91A888"/>
    <w:rsid w:val="0A929566"/>
    <w:rsid w:val="0A956BE4"/>
    <w:rsid w:val="0A958F28"/>
    <w:rsid w:val="0A9863C7"/>
    <w:rsid w:val="0A9961F5"/>
    <w:rsid w:val="0A9A9741"/>
    <w:rsid w:val="0A9F00AB"/>
    <w:rsid w:val="0AA3C0C2"/>
    <w:rsid w:val="0AA47745"/>
    <w:rsid w:val="0AA4A4FB"/>
    <w:rsid w:val="0AA6E721"/>
    <w:rsid w:val="0AA9B43E"/>
    <w:rsid w:val="0AAA2340"/>
    <w:rsid w:val="0AAA3D3F"/>
    <w:rsid w:val="0AAA54E3"/>
    <w:rsid w:val="0AAD03EC"/>
    <w:rsid w:val="0AAEBA84"/>
    <w:rsid w:val="0AAF8AE2"/>
    <w:rsid w:val="0AB092AC"/>
    <w:rsid w:val="0AB145A3"/>
    <w:rsid w:val="0AB1AF4D"/>
    <w:rsid w:val="0AB21220"/>
    <w:rsid w:val="0AB2A73E"/>
    <w:rsid w:val="0AB2F5B4"/>
    <w:rsid w:val="0AB63ABF"/>
    <w:rsid w:val="0ABAB93D"/>
    <w:rsid w:val="0ABC66CD"/>
    <w:rsid w:val="0ABCD47D"/>
    <w:rsid w:val="0ABCD974"/>
    <w:rsid w:val="0ABD87D0"/>
    <w:rsid w:val="0ABEB7E3"/>
    <w:rsid w:val="0ABFE38B"/>
    <w:rsid w:val="0AC07235"/>
    <w:rsid w:val="0AC1BDD0"/>
    <w:rsid w:val="0AC4B5D6"/>
    <w:rsid w:val="0ACAC03D"/>
    <w:rsid w:val="0ACC69AC"/>
    <w:rsid w:val="0AD3DDAE"/>
    <w:rsid w:val="0AD56647"/>
    <w:rsid w:val="0AD7A968"/>
    <w:rsid w:val="0ADA68C9"/>
    <w:rsid w:val="0ADBD6A0"/>
    <w:rsid w:val="0ADFF0AD"/>
    <w:rsid w:val="0AE033D6"/>
    <w:rsid w:val="0AE11F00"/>
    <w:rsid w:val="0AE15657"/>
    <w:rsid w:val="0AE89D09"/>
    <w:rsid w:val="0AE8F054"/>
    <w:rsid w:val="0AE958A8"/>
    <w:rsid w:val="0AEABB36"/>
    <w:rsid w:val="0AEDB792"/>
    <w:rsid w:val="0AF0A550"/>
    <w:rsid w:val="0AF169E0"/>
    <w:rsid w:val="0AF19231"/>
    <w:rsid w:val="0AF25E9C"/>
    <w:rsid w:val="0AF36137"/>
    <w:rsid w:val="0AF573C2"/>
    <w:rsid w:val="0AF8A3D2"/>
    <w:rsid w:val="0AFAD486"/>
    <w:rsid w:val="0AFB4D46"/>
    <w:rsid w:val="0B00FA19"/>
    <w:rsid w:val="0B060CC9"/>
    <w:rsid w:val="0B06F545"/>
    <w:rsid w:val="0B0B18DB"/>
    <w:rsid w:val="0B0B5410"/>
    <w:rsid w:val="0B0CB9C1"/>
    <w:rsid w:val="0B163806"/>
    <w:rsid w:val="0B174DF2"/>
    <w:rsid w:val="0B1B4853"/>
    <w:rsid w:val="0B210A97"/>
    <w:rsid w:val="0B230780"/>
    <w:rsid w:val="0B2651DA"/>
    <w:rsid w:val="0B2A4448"/>
    <w:rsid w:val="0B2ACB62"/>
    <w:rsid w:val="0B2ADFA8"/>
    <w:rsid w:val="0B2B0311"/>
    <w:rsid w:val="0B2C8E05"/>
    <w:rsid w:val="0B2DFF9D"/>
    <w:rsid w:val="0B2E80F1"/>
    <w:rsid w:val="0B2FA04F"/>
    <w:rsid w:val="0B41D91F"/>
    <w:rsid w:val="0B41DB56"/>
    <w:rsid w:val="0B43E2EF"/>
    <w:rsid w:val="0B458160"/>
    <w:rsid w:val="0B45A30A"/>
    <w:rsid w:val="0B462E47"/>
    <w:rsid w:val="0B474EC1"/>
    <w:rsid w:val="0B47B062"/>
    <w:rsid w:val="0B47D593"/>
    <w:rsid w:val="0B48087E"/>
    <w:rsid w:val="0B49845A"/>
    <w:rsid w:val="0B4A7003"/>
    <w:rsid w:val="0B4DC8E3"/>
    <w:rsid w:val="0B511EA6"/>
    <w:rsid w:val="0B571E56"/>
    <w:rsid w:val="0B5787E1"/>
    <w:rsid w:val="0B59909A"/>
    <w:rsid w:val="0B5ABE52"/>
    <w:rsid w:val="0B5BEDCC"/>
    <w:rsid w:val="0B5C7738"/>
    <w:rsid w:val="0B5FDE23"/>
    <w:rsid w:val="0B63C274"/>
    <w:rsid w:val="0B698754"/>
    <w:rsid w:val="0B6B76A0"/>
    <w:rsid w:val="0B6C21C0"/>
    <w:rsid w:val="0B72A297"/>
    <w:rsid w:val="0B737750"/>
    <w:rsid w:val="0B73A8CD"/>
    <w:rsid w:val="0B8A2571"/>
    <w:rsid w:val="0B8AF962"/>
    <w:rsid w:val="0B8DCCDD"/>
    <w:rsid w:val="0B8F0D9C"/>
    <w:rsid w:val="0B8F4F6D"/>
    <w:rsid w:val="0B924204"/>
    <w:rsid w:val="0B952620"/>
    <w:rsid w:val="0B96A6F6"/>
    <w:rsid w:val="0B97D740"/>
    <w:rsid w:val="0B9987EA"/>
    <w:rsid w:val="0B9B4A83"/>
    <w:rsid w:val="0B9BBDBB"/>
    <w:rsid w:val="0B9CB94E"/>
    <w:rsid w:val="0B9D46BC"/>
    <w:rsid w:val="0B9D5C72"/>
    <w:rsid w:val="0BA6992E"/>
    <w:rsid w:val="0BA76B95"/>
    <w:rsid w:val="0BA78820"/>
    <w:rsid w:val="0BA8FEA3"/>
    <w:rsid w:val="0BA909DD"/>
    <w:rsid w:val="0BAADD31"/>
    <w:rsid w:val="0BAEDFBF"/>
    <w:rsid w:val="0BB07B32"/>
    <w:rsid w:val="0BB4066D"/>
    <w:rsid w:val="0BB839B6"/>
    <w:rsid w:val="0BB8B044"/>
    <w:rsid w:val="0BB9733A"/>
    <w:rsid w:val="0BBAEDA1"/>
    <w:rsid w:val="0BBB8871"/>
    <w:rsid w:val="0BC06E50"/>
    <w:rsid w:val="0BC51A29"/>
    <w:rsid w:val="0BCA2657"/>
    <w:rsid w:val="0BCB887A"/>
    <w:rsid w:val="0BCD9CC8"/>
    <w:rsid w:val="0BCDD16F"/>
    <w:rsid w:val="0BCDD4E9"/>
    <w:rsid w:val="0BCEF437"/>
    <w:rsid w:val="0BD25BC5"/>
    <w:rsid w:val="0BD3B8F8"/>
    <w:rsid w:val="0BD783C8"/>
    <w:rsid w:val="0BD97A42"/>
    <w:rsid w:val="0BDA10B1"/>
    <w:rsid w:val="0BDAAAB1"/>
    <w:rsid w:val="0BDE24ED"/>
    <w:rsid w:val="0BDF5668"/>
    <w:rsid w:val="0BDF951A"/>
    <w:rsid w:val="0BE309F0"/>
    <w:rsid w:val="0BE37337"/>
    <w:rsid w:val="0BE51AE1"/>
    <w:rsid w:val="0BE72520"/>
    <w:rsid w:val="0BE795C6"/>
    <w:rsid w:val="0BE84FDC"/>
    <w:rsid w:val="0BEB0EE2"/>
    <w:rsid w:val="0BF224D1"/>
    <w:rsid w:val="0BF30730"/>
    <w:rsid w:val="0BF382DB"/>
    <w:rsid w:val="0BF3D6F3"/>
    <w:rsid w:val="0BF4A2C2"/>
    <w:rsid w:val="0BFCED85"/>
    <w:rsid w:val="0BFD0A08"/>
    <w:rsid w:val="0BFFBC8C"/>
    <w:rsid w:val="0C00F6F8"/>
    <w:rsid w:val="0C024994"/>
    <w:rsid w:val="0C0319AE"/>
    <w:rsid w:val="0C03E39A"/>
    <w:rsid w:val="0C04A801"/>
    <w:rsid w:val="0C085475"/>
    <w:rsid w:val="0C0DAD67"/>
    <w:rsid w:val="0C0DDD67"/>
    <w:rsid w:val="0C104A85"/>
    <w:rsid w:val="0C16E97E"/>
    <w:rsid w:val="0C1939F1"/>
    <w:rsid w:val="0C2050B2"/>
    <w:rsid w:val="0C21720D"/>
    <w:rsid w:val="0C2945C0"/>
    <w:rsid w:val="0C2B606F"/>
    <w:rsid w:val="0C2BB371"/>
    <w:rsid w:val="0C3114EF"/>
    <w:rsid w:val="0C32484A"/>
    <w:rsid w:val="0C32C40F"/>
    <w:rsid w:val="0C35F526"/>
    <w:rsid w:val="0C380F86"/>
    <w:rsid w:val="0C38A85B"/>
    <w:rsid w:val="0C3B81FA"/>
    <w:rsid w:val="0C3BCF00"/>
    <w:rsid w:val="0C3D0978"/>
    <w:rsid w:val="0C3D166F"/>
    <w:rsid w:val="0C42CEE5"/>
    <w:rsid w:val="0C4327F7"/>
    <w:rsid w:val="0C443C01"/>
    <w:rsid w:val="0C478D9A"/>
    <w:rsid w:val="0C4ACD33"/>
    <w:rsid w:val="0C4D3CA6"/>
    <w:rsid w:val="0C511275"/>
    <w:rsid w:val="0C51824A"/>
    <w:rsid w:val="0C55B844"/>
    <w:rsid w:val="0C572D44"/>
    <w:rsid w:val="0C5A5D23"/>
    <w:rsid w:val="0C5D30D0"/>
    <w:rsid w:val="0C5F7632"/>
    <w:rsid w:val="0C611C7E"/>
    <w:rsid w:val="0C61F293"/>
    <w:rsid w:val="0C63550D"/>
    <w:rsid w:val="0C64B347"/>
    <w:rsid w:val="0C664301"/>
    <w:rsid w:val="0C6C8654"/>
    <w:rsid w:val="0C6CB41C"/>
    <w:rsid w:val="0C6E9EEA"/>
    <w:rsid w:val="0C70E781"/>
    <w:rsid w:val="0C724100"/>
    <w:rsid w:val="0C7474F3"/>
    <w:rsid w:val="0C7E5510"/>
    <w:rsid w:val="0C7E6702"/>
    <w:rsid w:val="0C84E54D"/>
    <w:rsid w:val="0C8531BF"/>
    <w:rsid w:val="0C86BDB4"/>
    <w:rsid w:val="0C8795FA"/>
    <w:rsid w:val="0C879EE1"/>
    <w:rsid w:val="0C87FF86"/>
    <w:rsid w:val="0C8A542D"/>
    <w:rsid w:val="0C8C46D4"/>
    <w:rsid w:val="0C93D0BA"/>
    <w:rsid w:val="0C955112"/>
    <w:rsid w:val="0C987144"/>
    <w:rsid w:val="0C9B187B"/>
    <w:rsid w:val="0C9EFE7F"/>
    <w:rsid w:val="0CA316E7"/>
    <w:rsid w:val="0CA48F54"/>
    <w:rsid w:val="0CA4C6D9"/>
    <w:rsid w:val="0CAD5489"/>
    <w:rsid w:val="0CAD923E"/>
    <w:rsid w:val="0CAEA3AD"/>
    <w:rsid w:val="0CAFF262"/>
    <w:rsid w:val="0CB029DC"/>
    <w:rsid w:val="0CB0D8B2"/>
    <w:rsid w:val="0CB19EED"/>
    <w:rsid w:val="0CB60181"/>
    <w:rsid w:val="0CB70280"/>
    <w:rsid w:val="0CB81278"/>
    <w:rsid w:val="0CB9A765"/>
    <w:rsid w:val="0CBB2A77"/>
    <w:rsid w:val="0CBC52F1"/>
    <w:rsid w:val="0CBF0775"/>
    <w:rsid w:val="0CC12666"/>
    <w:rsid w:val="0CC3E9F9"/>
    <w:rsid w:val="0CC51C1F"/>
    <w:rsid w:val="0CCA70D3"/>
    <w:rsid w:val="0CCBF608"/>
    <w:rsid w:val="0CCDD557"/>
    <w:rsid w:val="0CCDF080"/>
    <w:rsid w:val="0CCE0BF0"/>
    <w:rsid w:val="0CCEEA01"/>
    <w:rsid w:val="0CD46572"/>
    <w:rsid w:val="0CD49DE8"/>
    <w:rsid w:val="0CD5A68C"/>
    <w:rsid w:val="0CD5EC90"/>
    <w:rsid w:val="0CD7ADEB"/>
    <w:rsid w:val="0CDD6293"/>
    <w:rsid w:val="0CDE2601"/>
    <w:rsid w:val="0CDE9D9A"/>
    <w:rsid w:val="0CE0A0DB"/>
    <w:rsid w:val="0CE286E6"/>
    <w:rsid w:val="0CE3CCB8"/>
    <w:rsid w:val="0CEA9609"/>
    <w:rsid w:val="0CEC42EA"/>
    <w:rsid w:val="0CEEA5DF"/>
    <w:rsid w:val="0CF19A6A"/>
    <w:rsid w:val="0CF280DF"/>
    <w:rsid w:val="0CF6E07B"/>
    <w:rsid w:val="0CF7704C"/>
    <w:rsid w:val="0CF91C7C"/>
    <w:rsid w:val="0CFCB6D9"/>
    <w:rsid w:val="0CFEA948"/>
    <w:rsid w:val="0D07B483"/>
    <w:rsid w:val="0D0F45E7"/>
    <w:rsid w:val="0D116DD4"/>
    <w:rsid w:val="0D1242A7"/>
    <w:rsid w:val="0D15A974"/>
    <w:rsid w:val="0D18F840"/>
    <w:rsid w:val="0D1925C3"/>
    <w:rsid w:val="0D1C8064"/>
    <w:rsid w:val="0D1D022C"/>
    <w:rsid w:val="0D228E32"/>
    <w:rsid w:val="0D2290F1"/>
    <w:rsid w:val="0D22ACA3"/>
    <w:rsid w:val="0D25B196"/>
    <w:rsid w:val="0D26D1EF"/>
    <w:rsid w:val="0D26EBF6"/>
    <w:rsid w:val="0D2961BE"/>
    <w:rsid w:val="0D2A37B0"/>
    <w:rsid w:val="0D2B1AD7"/>
    <w:rsid w:val="0D2C31E2"/>
    <w:rsid w:val="0D2E8133"/>
    <w:rsid w:val="0D2F0FA6"/>
    <w:rsid w:val="0D332EAE"/>
    <w:rsid w:val="0D35DF43"/>
    <w:rsid w:val="0D3721F9"/>
    <w:rsid w:val="0D3B5F1F"/>
    <w:rsid w:val="0D3D9E4E"/>
    <w:rsid w:val="0D401995"/>
    <w:rsid w:val="0D418184"/>
    <w:rsid w:val="0D42D66C"/>
    <w:rsid w:val="0D45483A"/>
    <w:rsid w:val="0D4778CC"/>
    <w:rsid w:val="0D4807A9"/>
    <w:rsid w:val="0D485E3A"/>
    <w:rsid w:val="0D4ADBA1"/>
    <w:rsid w:val="0D4E1F1C"/>
    <w:rsid w:val="0D525DDD"/>
    <w:rsid w:val="0D5292B6"/>
    <w:rsid w:val="0D55CFF4"/>
    <w:rsid w:val="0D571B0F"/>
    <w:rsid w:val="0D58EA7A"/>
    <w:rsid w:val="0D5A54C3"/>
    <w:rsid w:val="0D5D1765"/>
    <w:rsid w:val="0D6032B7"/>
    <w:rsid w:val="0D638EB2"/>
    <w:rsid w:val="0D642BE3"/>
    <w:rsid w:val="0D682599"/>
    <w:rsid w:val="0D6EFB25"/>
    <w:rsid w:val="0D71CBDE"/>
    <w:rsid w:val="0D75750C"/>
    <w:rsid w:val="0D77EA99"/>
    <w:rsid w:val="0D789BEA"/>
    <w:rsid w:val="0D78C788"/>
    <w:rsid w:val="0D7AD22A"/>
    <w:rsid w:val="0D7D3652"/>
    <w:rsid w:val="0D7D4385"/>
    <w:rsid w:val="0D7D73DA"/>
    <w:rsid w:val="0D7E8382"/>
    <w:rsid w:val="0D7F6B90"/>
    <w:rsid w:val="0D7FDC62"/>
    <w:rsid w:val="0D840428"/>
    <w:rsid w:val="0D884BA7"/>
    <w:rsid w:val="0D8C448E"/>
    <w:rsid w:val="0D8CF4A4"/>
    <w:rsid w:val="0D9136D4"/>
    <w:rsid w:val="0D916AC1"/>
    <w:rsid w:val="0D918810"/>
    <w:rsid w:val="0D91BCBF"/>
    <w:rsid w:val="0D926235"/>
    <w:rsid w:val="0D943768"/>
    <w:rsid w:val="0D990301"/>
    <w:rsid w:val="0D996F42"/>
    <w:rsid w:val="0D997CCC"/>
    <w:rsid w:val="0D9A7A33"/>
    <w:rsid w:val="0D9AD00C"/>
    <w:rsid w:val="0D9D00B9"/>
    <w:rsid w:val="0D9D894F"/>
    <w:rsid w:val="0DA03888"/>
    <w:rsid w:val="0DA11005"/>
    <w:rsid w:val="0DA28F09"/>
    <w:rsid w:val="0DA3FD84"/>
    <w:rsid w:val="0DA47C06"/>
    <w:rsid w:val="0DA61942"/>
    <w:rsid w:val="0DAC3CBD"/>
    <w:rsid w:val="0DACF332"/>
    <w:rsid w:val="0DAD9324"/>
    <w:rsid w:val="0DB224E2"/>
    <w:rsid w:val="0DB36B2E"/>
    <w:rsid w:val="0DB6736C"/>
    <w:rsid w:val="0DBA99E4"/>
    <w:rsid w:val="0DBB8DC4"/>
    <w:rsid w:val="0DBE7D54"/>
    <w:rsid w:val="0DBF1381"/>
    <w:rsid w:val="0DC2F491"/>
    <w:rsid w:val="0DC37991"/>
    <w:rsid w:val="0DC74AEB"/>
    <w:rsid w:val="0DCB8712"/>
    <w:rsid w:val="0DCBA5D4"/>
    <w:rsid w:val="0DD1A0FC"/>
    <w:rsid w:val="0DD1A2DF"/>
    <w:rsid w:val="0DD50635"/>
    <w:rsid w:val="0DD7DB64"/>
    <w:rsid w:val="0DDF9A62"/>
    <w:rsid w:val="0DE257FF"/>
    <w:rsid w:val="0DE2B9BD"/>
    <w:rsid w:val="0DE391D5"/>
    <w:rsid w:val="0DE78039"/>
    <w:rsid w:val="0DE9EFEC"/>
    <w:rsid w:val="0DEB92D6"/>
    <w:rsid w:val="0DEC4EAC"/>
    <w:rsid w:val="0DED836B"/>
    <w:rsid w:val="0DEF67C0"/>
    <w:rsid w:val="0DF24130"/>
    <w:rsid w:val="0DF33EFC"/>
    <w:rsid w:val="0DF34BFD"/>
    <w:rsid w:val="0DF38BFF"/>
    <w:rsid w:val="0DF7517C"/>
    <w:rsid w:val="0DFB4075"/>
    <w:rsid w:val="0DFC37C6"/>
    <w:rsid w:val="0DFD0228"/>
    <w:rsid w:val="0DFE64C1"/>
    <w:rsid w:val="0E00F3A5"/>
    <w:rsid w:val="0E028D91"/>
    <w:rsid w:val="0E04F966"/>
    <w:rsid w:val="0E051E13"/>
    <w:rsid w:val="0E09D500"/>
    <w:rsid w:val="0E0BD71D"/>
    <w:rsid w:val="0E0D1B94"/>
    <w:rsid w:val="0E0F708C"/>
    <w:rsid w:val="0E14556C"/>
    <w:rsid w:val="0E151DED"/>
    <w:rsid w:val="0E16E712"/>
    <w:rsid w:val="0E183367"/>
    <w:rsid w:val="0E1C78E3"/>
    <w:rsid w:val="0E2007B3"/>
    <w:rsid w:val="0E222C94"/>
    <w:rsid w:val="0E227757"/>
    <w:rsid w:val="0E23C61E"/>
    <w:rsid w:val="0E250EAF"/>
    <w:rsid w:val="0E26D0DB"/>
    <w:rsid w:val="0E282B2D"/>
    <w:rsid w:val="0E29C049"/>
    <w:rsid w:val="0E2BFDA4"/>
    <w:rsid w:val="0E2C2583"/>
    <w:rsid w:val="0E306332"/>
    <w:rsid w:val="0E32C649"/>
    <w:rsid w:val="0E38334D"/>
    <w:rsid w:val="0E38EAD2"/>
    <w:rsid w:val="0E398D08"/>
    <w:rsid w:val="0E3A4CD2"/>
    <w:rsid w:val="0E3A4F34"/>
    <w:rsid w:val="0E3BD119"/>
    <w:rsid w:val="0E3C3D2A"/>
    <w:rsid w:val="0E3E367C"/>
    <w:rsid w:val="0E47553A"/>
    <w:rsid w:val="0E4AF89B"/>
    <w:rsid w:val="0E4D2D5B"/>
    <w:rsid w:val="0E4E7DC9"/>
    <w:rsid w:val="0E4FF5DE"/>
    <w:rsid w:val="0E51D5FF"/>
    <w:rsid w:val="0E527268"/>
    <w:rsid w:val="0E53B53E"/>
    <w:rsid w:val="0E566974"/>
    <w:rsid w:val="0E567975"/>
    <w:rsid w:val="0E5B39ED"/>
    <w:rsid w:val="0E5C338E"/>
    <w:rsid w:val="0E5F67F0"/>
    <w:rsid w:val="0E612873"/>
    <w:rsid w:val="0E64B608"/>
    <w:rsid w:val="0E67DD24"/>
    <w:rsid w:val="0E68F416"/>
    <w:rsid w:val="0E6AE096"/>
    <w:rsid w:val="0E6CFA0C"/>
    <w:rsid w:val="0E6D0C81"/>
    <w:rsid w:val="0E6E45AA"/>
    <w:rsid w:val="0E70D61D"/>
    <w:rsid w:val="0E7605B4"/>
    <w:rsid w:val="0E77885B"/>
    <w:rsid w:val="0E77CCB2"/>
    <w:rsid w:val="0E7AF1CF"/>
    <w:rsid w:val="0E7BB4D5"/>
    <w:rsid w:val="0E7C33E2"/>
    <w:rsid w:val="0E7DB45D"/>
    <w:rsid w:val="0E84F4C8"/>
    <w:rsid w:val="0E8523D0"/>
    <w:rsid w:val="0E870740"/>
    <w:rsid w:val="0E87B49B"/>
    <w:rsid w:val="0E8B208E"/>
    <w:rsid w:val="0E916857"/>
    <w:rsid w:val="0E91B0E3"/>
    <w:rsid w:val="0E937BDA"/>
    <w:rsid w:val="0E97A580"/>
    <w:rsid w:val="0E9A19D4"/>
    <w:rsid w:val="0E9B5994"/>
    <w:rsid w:val="0E9E5438"/>
    <w:rsid w:val="0E9E84FA"/>
    <w:rsid w:val="0E9EE4CE"/>
    <w:rsid w:val="0EA331C2"/>
    <w:rsid w:val="0EA6ADE1"/>
    <w:rsid w:val="0EA9674C"/>
    <w:rsid w:val="0EAAC1F0"/>
    <w:rsid w:val="0EAD722D"/>
    <w:rsid w:val="0EAF557D"/>
    <w:rsid w:val="0EB0542A"/>
    <w:rsid w:val="0EB0F13F"/>
    <w:rsid w:val="0EB1FA3F"/>
    <w:rsid w:val="0EB2F2D2"/>
    <w:rsid w:val="0EB44263"/>
    <w:rsid w:val="0EB6C612"/>
    <w:rsid w:val="0EB9A2ED"/>
    <w:rsid w:val="0EBC0345"/>
    <w:rsid w:val="0EBDCD4C"/>
    <w:rsid w:val="0EC33776"/>
    <w:rsid w:val="0EC443D2"/>
    <w:rsid w:val="0EC5B5C5"/>
    <w:rsid w:val="0EC6938E"/>
    <w:rsid w:val="0EC70703"/>
    <w:rsid w:val="0EC86DB0"/>
    <w:rsid w:val="0EC8C7C8"/>
    <w:rsid w:val="0EC95B65"/>
    <w:rsid w:val="0ECD21F9"/>
    <w:rsid w:val="0ECE3681"/>
    <w:rsid w:val="0ECFB091"/>
    <w:rsid w:val="0ED5E5A4"/>
    <w:rsid w:val="0ED6F624"/>
    <w:rsid w:val="0EDA08BA"/>
    <w:rsid w:val="0EDAC50A"/>
    <w:rsid w:val="0EDB059C"/>
    <w:rsid w:val="0EE0A2C3"/>
    <w:rsid w:val="0EE488AA"/>
    <w:rsid w:val="0EE5F63B"/>
    <w:rsid w:val="0EE62E10"/>
    <w:rsid w:val="0EE64A3A"/>
    <w:rsid w:val="0EEA7757"/>
    <w:rsid w:val="0EEF7ACA"/>
    <w:rsid w:val="0EF08F36"/>
    <w:rsid w:val="0EF2D8BD"/>
    <w:rsid w:val="0EF3E514"/>
    <w:rsid w:val="0EF55784"/>
    <w:rsid w:val="0EF57283"/>
    <w:rsid w:val="0EFAFB45"/>
    <w:rsid w:val="0EFBBCD5"/>
    <w:rsid w:val="0F03EFEB"/>
    <w:rsid w:val="0F04D671"/>
    <w:rsid w:val="0F053FBC"/>
    <w:rsid w:val="0F06E080"/>
    <w:rsid w:val="0F0B015D"/>
    <w:rsid w:val="0F0BBFA0"/>
    <w:rsid w:val="0F0C01E8"/>
    <w:rsid w:val="0F0E30C6"/>
    <w:rsid w:val="0F0EB844"/>
    <w:rsid w:val="0F1100F0"/>
    <w:rsid w:val="0F110B34"/>
    <w:rsid w:val="0F160A3C"/>
    <w:rsid w:val="0F17C725"/>
    <w:rsid w:val="0F19C4BE"/>
    <w:rsid w:val="0F1F7F88"/>
    <w:rsid w:val="0F206B47"/>
    <w:rsid w:val="0F238DC3"/>
    <w:rsid w:val="0F26CB56"/>
    <w:rsid w:val="0F284200"/>
    <w:rsid w:val="0F2B7215"/>
    <w:rsid w:val="0F2C6F75"/>
    <w:rsid w:val="0F2CF7A4"/>
    <w:rsid w:val="0F2D2655"/>
    <w:rsid w:val="0F2F2E53"/>
    <w:rsid w:val="0F2F4291"/>
    <w:rsid w:val="0F302C38"/>
    <w:rsid w:val="0F320776"/>
    <w:rsid w:val="0F36EFA0"/>
    <w:rsid w:val="0F371C62"/>
    <w:rsid w:val="0F372D16"/>
    <w:rsid w:val="0F395B41"/>
    <w:rsid w:val="0F3C6972"/>
    <w:rsid w:val="0F3D7076"/>
    <w:rsid w:val="0F4286AF"/>
    <w:rsid w:val="0F443A96"/>
    <w:rsid w:val="0F463242"/>
    <w:rsid w:val="0F470FAA"/>
    <w:rsid w:val="0F47DF1B"/>
    <w:rsid w:val="0F482CCB"/>
    <w:rsid w:val="0F49C6C9"/>
    <w:rsid w:val="0F49D1D6"/>
    <w:rsid w:val="0F49DB21"/>
    <w:rsid w:val="0F4ED039"/>
    <w:rsid w:val="0F4FE768"/>
    <w:rsid w:val="0F518B60"/>
    <w:rsid w:val="0F53D724"/>
    <w:rsid w:val="0F575379"/>
    <w:rsid w:val="0F591615"/>
    <w:rsid w:val="0F5A417A"/>
    <w:rsid w:val="0F5D19E9"/>
    <w:rsid w:val="0F5E5F0E"/>
    <w:rsid w:val="0F6191E6"/>
    <w:rsid w:val="0F62553E"/>
    <w:rsid w:val="0F634131"/>
    <w:rsid w:val="0F66B18C"/>
    <w:rsid w:val="0F682D82"/>
    <w:rsid w:val="0F68E055"/>
    <w:rsid w:val="0F6A4CBE"/>
    <w:rsid w:val="0F6AA2FD"/>
    <w:rsid w:val="0F74C73A"/>
    <w:rsid w:val="0F750235"/>
    <w:rsid w:val="0F76AFF3"/>
    <w:rsid w:val="0F7774D6"/>
    <w:rsid w:val="0F7860F2"/>
    <w:rsid w:val="0F7B6FDE"/>
    <w:rsid w:val="0F7CC400"/>
    <w:rsid w:val="0F7F0C83"/>
    <w:rsid w:val="0F815B35"/>
    <w:rsid w:val="0F81645C"/>
    <w:rsid w:val="0F8167E6"/>
    <w:rsid w:val="0F819193"/>
    <w:rsid w:val="0F824CF4"/>
    <w:rsid w:val="0F853CE5"/>
    <w:rsid w:val="0F892216"/>
    <w:rsid w:val="0F8E89D1"/>
    <w:rsid w:val="0F932E8C"/>
    <w:rsid w:val="0F9381F8"/>
    <w:rsid w:val="0F982F7E"/>
    <w:rsid w:val="0F98BB4A"/>
    <w:rsid w:val="0F99B470"/>
    <w:rsid w:val="0F9AFC31"/>
    <w:rsid w:val="0FA46678"/>
    <w:rsid w:val="0FA48D01"/>
    <w:rsid w:val="0FA4C030"/>
    <w:rsid w:val="0FA8062E"/>
    <w:rsid w:val="0FA8AE02"/>
    <w:rsid w:val="0FA8EA0E"/>
    <w:rsid w:val="0FAAA052"/>
    <w:rsid w:val="0FAEBA64"/>
    <w:rsid w:val="0FB24CBD"/>
    <w:rsid w:val="0FB30767"/>
    <w:rsid w:val="0FB32F94"/>
    <w:rsid w:val="0FB343F5"/>
    <w:rsid w:val="0FB61010"/>
    <w:rsid w:val="0FBA6244"/>
    <w:rsid w:val="0FBAD3B9"/>
    <w:rsid w:val="0FBC6D18"/>
    <w:rsid w:val="0FBCE713"/>
    <w:rsid w:val="0FBD5AD9"/>
    <w:rsid w:val="0FBDB5FA"/>
    <w:rsid w:val="0FBDC4B4"/>
    <w:rsid w:val="0FBEC934"/>
    <w:rsid w:val="0FBF4403"/>
    <w:rsid w:val="0FC095EA"/>
    <w:rsid w:val="0FC1F0D7"/>
    <w:rsid w:val="0FC44A19"/>
    <w:rsid w:val="0FC60A88"/>
    <w:rsid w:val="0FCA880D"/>
    <w:rsid w:val="0FCB3FC9"/>
    <w:rsid w:val="0FD3F614"/>
    <w:rsid w:val="0FD59038"/>
    <w:rsid w:val="0FD5971D"/>
    <w:rsid w:val="0FD5E325"/>
    <w:rsid w:val="0FD70E64"/>
    <w:rsid w:val="0FD9D79B"/>
    <w:rsid w:val="0FDB7577"/>
    <w:rsid w:val="0FE1AC78"/>
    <w:rsid w:val="0FE55F15"/>
    <w:rsid w:val="0FE64BE4"/>
    <w:rsid w:val="0FEE3BBD"/>
    <w:rsid w:val="0FF0352C"/>
    <w:rsid w:val="0FF36C38"/>
    <w:rsid w:val="0FF72ED7"/>
    <w:rsid w:val="0FF75AA0"/>
    <w:rsid w:val="0FF89E2E"/>
    <w:rsid w:val="0FFD1107"/>
    <w:rsid w:val="10040CE6"/>
    <w:rsid w:val="100A3610"/>
    <w:rsid w:val="100C2CF5"/>
    <w:rsid w:val="100CF7E1"/>
    <w:rsid w:val="100DA110"/>
    <w:rsid w:val="100FDD35"/>
    <w:rsid w:val="100FE8D7"/>
    <w:rsid w:val="10116BE4"/>
    <w:rsid w:val="1011B9DE"/>
    <w:rsid w:val="10159E27"/>
    <w:rsid w:val="1017B966"/>
    <w:rsid w:val="10181A8A"/>
    <w:rsid w:val="1018B0E3"/>
    <w:rsid w:val="101C6096"/>
    <w:rsid w:val="101D9989"/>
    <w:rsid w:val="101FB177"/>
    <w:rsid w:val="102462A9"/>
    <w:rsid w:val="1024F15F"/>
    <w:rsid w:val="1026D027"/>
    <w:rsid w:val="10292210"/>
    <w:rsid w:val="102A5D1F"/>
    <w:rsid w:val="102EAF9C"/>
    <w:rsid w:val="10303263"/>
    <w:rsid w:val="103454DA"/>
    <w:rsid w:val="1036900D"/>
    <w:rsid w:val="10380A0D"/>
    <w:rsid w:val="103CA817"/>
    <w:rsid w:val="103D0C83"/>
    <w:rsid w:val="103E4D4D"/>
    <w:rsid w:val="103EB6F9"/>
    <w:rsid w:val="103FFE0E"/>
    <w:rsid w:val="1044377D"/>
    <w:rsid w:val="10467624"/>
    <w:rsid w:val="104B3014"/>
    <w:rsid w:val="104BEAE7"/>
    <w:rsid w:val="104C560B"/>
    <w:rsid w:val="104CAEF1"/>
    <w:rsid w:val="104D4BD6"/>
    <w:rsid w:val="10520FD3"/>
    <w:rsid w:val="1053924B"/>
    <w:rsid w:val="1054FD03"/>
    <w:rsid w:val="1055A979"/>
    <w:rsid w:val="1057765D"/>
    <w:rsid w:val="10594FDE"/>
    <w:rsid w:val="105D83AF"/>
    <w:rsid w:val="105DE801"/>
    <w:rsid w:val="105EA75A"/>
    <w:rsid w:val="1061B3B3"/>
    <w:rsid w:val="1062AE82"/>
    <w:rsid w:val="106338BC"/>
    <w:rsid w:val="1066F5BD"/>
    <w:rsid w:val="1067414A"/>
    <w:rsid w:val="1068C6A5"/>
    <w:rsid w:val="106B97E9"/>
    <w:rsid w:val="106F1BAC"/>
    <w:rsid w:val="10709B08"/>
    <w:rsid w:val="1071563F"/>
    <w:rsid w:val="1072EC07"/>
    <w:rsid w:val="1077F651"/>
    <w:rsid w:val="107846AF"/>
    <w:rsid w:val="1078E4B7"/>
    <w:rsid w:val="1079FDCB"/>
    <w:rsid w:val="107C26BE"/>
    <w:rsid w:val="10819E51"/>
    <w:rsid w:val="1084B9E2"/>
    <w:rsid w:val="108546CF"/>
    <w:rsid w:val="1087C399"/>
    <w:rsid w:val="10897818"/>
    <w:rsid w:val="108B9E54"/>
    <w:rsid w:val="108D9B3D"/>
    <w:rsid w:val="108E6E15"/>
    <w:rsid w:val="10923364"/>
    <w:rsid w:val="109A0FA4"/>
    <w:rsid w:val="109C8CBA"/>
    <w:rsid w:val="109CF205"/>
    <w:rsid w:val="109D37C1"/>
    <w:rsid w:val="109D679C"/>
    <w:rsid w:val="109F3340"/>
    <w:rsid w:val="10A4EC5F"/>
    <w:rsid w:val="10A4F42E"/>
    <w:rsid w:val="10A6D713"/>
    <w:rsid w:val="10AA16BC"/>
    <w:rsid w:val="10B246E1"/>
    <w:rsid w:val="10B779A8"/>
    <w:rsid w:val="10B7B3E3"/>
    <w:rsid w:val="10B8130F"/>
    <w:rsid w:val="10BA5D1E"/>
    <w:rsid w:val="10BBDDFE"/>
    <w:rsid w:val="10BD21F8"/>
    <w:rsid w:val="10BD60A5"/>
    <w:rsid w:val="10C40A16"/>
    <w:rsid w:val="10C580E0"/>
    <w:rsid w:val="10C88B4E"/>
    <w:rsid w:val="10CFD962"/>
    <w:rsid w:val="10D0276F"/>
    <w:rsid w:val="10D076FF"/>
    <w:rsid w:val="10D49A1D"/>
    <w:rsid w:val="10D4E864"/>
    <w:rsid w:val="10D62A69"/>
    <w:rsid w:val="10D8C874"/>
    <w:rsid w:val="10DB40AD"/>
    <w:rsid w:val="10DF09C2"/>
    <w:rsid w:val="10DF9DA7"/>
    <w:rsid w:val="10E033EB"/>
    <w:rsid w:val="10E33BF0"/>
    <w:rsid w:val="10E37CF9"/>
    <w:rsid w:val="10E37EFF"/>
    <w:rsid w:val="10EAABEA"/>
    <w:rsid w:val="10EC32EA"/>
    <w:rsid w:val="10EC4FA3"/>
    <w:rsid w:val="10ECFF7B"/>
    <w:rsid w:val="10EE1816"/>
    <w:rsid w:val="10EEFAB1"/>
    <w:rsid w:val="10F0B6D6"/>
    <w:rsid w:val="10F286ED"/>
    <w:rsid w:val="10F35E51"/>
    <w:rsid w:val="10F42E4F"/>
    <w:rsid w:val="10F5D5B1"/>
    <w:rsid w:val="10FCAA96"/>
    <w:rsid w:val="10FCF290"/>
    <w:rsid w:val="1102A736"/>
    <w:rsid w:val="11040819"/>
    <w:rsid w:val="11052BFE"/>
    <w:rsid w:val="1105E197"/>
    <w:rsid w:val="1108441B"/>
    <w:rsid w:val="1108D013"/>
    <w:rsid w:val="11093DDC"/>
    <w:rsid w:val="110C9A7B"/>
    <w:rsid w:val="110DA634"/>
    <w:rsid w:val="11104211"/>
    <w:rsid w:val="11111A49"/>
    <w:rsid w:val="11117173"/>
    <w:rsid w:val="1113D29E"/>
    <w:rsid w:val="11152589"/>
    <w:rsid w:val="111575D0"/>
    <w:rsid w:val="111725AD"/>
    <w:rsid w:val="11175CA1"/>
    <w:rsid w:val="1127F6F1"/>
    <w:rsid w:val="112D0E6E"/>
    <w:rsid w:val="112D4C58"/>
    <w:rsid w:val="112EC718"/>
    <w:rsid w:val="113074C2"/>
    <w:rsid w:val="11329943"/>
    <w:rsid w:val="1132E847"/>
    <w:rsid w:val="11399C2C"/>
    <w:rsid w:val="11402504"/>
    <w:rsid w:val="1142833E"/>
    <w:rsid w:val="11429343"/>
    <w:rsid w:val="114343F6"/>
    <w:rsid w:val="114385CF"/>
    <w:rsid w:val="114E0386"/>
    <w:rsid w:val="114EC80F"/>
    <w:rsid w:val="11516C94"/>
    <w:rsid w:val="1152538C"/>
    <w:rsid w:val="1152A041"/>
    <w:rsid w:val="115612CA"/>
    <w:rsid w:val="115640F5"/>
    <w:rsid w:val="115D9D43"/>
    <w:rsid w:val="1162CDDD"/>
    <w:rsid w:val="1163D1F6"/>
    <w:rsid w:val="116441B7"/>
    <w:rsid w:val="116AC6AE"/>
    <w:rsid w:val="116BA169"/>
    <w:rsid w:val="11705B13"/>
    <w:rsid w:val="117292B8"/>
    <w:rsid w:val="1172C754"/>
    <w:rsid w:val="1177353A"/>
    <w:rsid w:val="117C1875"/>
    <w:rsid w:val="117C6C25"/>
    <w:rsid w:val="1180C0B0"/>
    <w:rsid w:val="1181DB5A"/>
    <w:rsid w:val="1181E02B"/>
    <w:rsid w:val="11832C6A"/>
    <w:rsid w:val="1183CE92"/>
    <w:rsid w:val="11848FED"/>
    <w:rsid w:val="11854ACB"/>
    <w:rsid w:val="118608F1"/>
    <w:rsid w:val="11882AB5"/>
    <w:rsid w:val="1189F41E"/>
    <w:rsid w:val="118A788C"/>
    <w:rsid w:val="118E0D43"/>
    <w:rsid w:val="11905A44"/>
    <w:rsid w:val="11918492"/>
    <w:rsid w:val="1194E145"/>
    <w:rsid w:val="119502E7"/>
    <w:rsid w:val="11A5045F"/>
    <w:rsid w:val="11A6BCA5"/>
    <w:rsid w:val="11A72645"/>
    <w:rsid w:val="11AA01FF"/>
    <w:rsid w:val="11AA1B46"/>
    <w:rsid w:val="11AB8FA6"/>
    <w:rsid w:val="11AE718A"/>
    <w:rsid w:val="11B03D0E"/>
    <w:rsid w:val="11B04570"/>
    <w:rsid w:val="11B2AFB5"/>
    <w:rsid w:val="11B2CC87"/>
    <w:rsid w:val="11B744EF"/>
    <w:rsid w:val="11BA53B2"/>
    <w:rsid w:val="11BA60D5"/>
    <w:rsid w:val="11BB555F"/>
    <w:rsid w:val="11BBE8C0"/>
    <w:rsid w:val="11BC0C22"/>
    <w:rsid w:val="11BCF02A"/>
    <w:rsid w:val="11BE7AA9"/>
    <w:rsid w:val="11BF627F"/>
    <w:rsid w:val="11C0FB42"/>
    <w:rsid w:val="11C2703F"/>
    <w:rsid w:val="11C78E08"/>
    <w:rsid w:val="11CA5F8E"/>
    <w:rsid w:val="11CBE620"/>
    <w:rsid w:val="11CD37DB"/>
    <w:rsid w:val="11CEE41B"/>
    <w:rsid w:val="11D0D30A"/>
    <w:rsid w:val="11D0F2F4"/>
    <w:rsid w:val="11D2F792"/>
    <w:rsid w:val="11D3E72D"/>
    <w:rsid w:val="11D8C07E"/>
    <w:rsid w:val="11DA9AAB"/>
    <w:rsid w:val="11DD1DD5"/>
    <w:rsid w:val="11E48770"/>
    <w:rsid w:val="11E54177"/>
    <w:rsid w:val="11E61D1F"/>
    <w:rsid w:val="11EA8D41"/>
    <w:rsid w:val="11EA9AA5"/>
    <w:rsid w:val="11EAD55F"/>
    <w:rsid w:val="11EE5A5D"/>
    <w:rsid w:val="11F0CA9B"/>
    <w:rsid w:val="11F40B7F"/>
    <w:rsid w:val="11F53821"/>
    <w:rsid w:val="11F6C0D6"/>
    <w:rsid w:val="11F75193"/>
    <w:rsid w:val="11F8182B"/>
    <w:rsid w:val="11FB000F"/>
    <w:rsid w:val="11FB5A99"/>
    <w:rsid w:val="11FF8135"/>
    <w:rsid w:val="120027BD"/>
    <w:rsid w:val="1203B810"/>
    <w:rsid w:val="1203B816"/>
    <w:rsid w:val="1205C20E"/>
    <w:rsid w:val="12062366"/>
    <w:rsid w:val="1206A065"/>
    <w:rsid w:val="1207284F"/>
    <w:rsid w:val="1209983C"/>
    <w:rsid w:val="120999BD"/>
    <w:rsid w:val="1209C6FE"/>
    <w:rsid w:val="120AE90C"/>
    <w:rsid w:val="120C71C3"/>
    <w:rsid w:val="120D2423"/>
    <w:rsid w:val="120E66A1"/>
    <w:rsid w:val="1213A1B2"/>
    <w:rsid w:val="12158752"/>
    <w:rsid w:val="1215C47D"/>
    <w:rsid w:val="1216AE1F"/>
    <w:rsid w:val="1216E0D1"/>
    <w:rsid w:val="121ACFD3"/>
    <w:rsid w:val="121D6EBE"/>
    <w:rsid w:val="1221E083"/>
    <w:rsid w:val="1222E47F"/>
    <w:rsid w:val="12247DB2"/>
    <w:rsid w:val="1226AF27"/>
    <w:rsid w:val="1227B1DC"/>
    <w:rsid w:val="122BDD1B"/>
    <w:rsid w:val="122FA2F6"/>
    <w:rsid w:val="1231142A"/>
    <w:rsid w:val="1233ECCC"/>
    <w:rsid w:val="123504F5"/>
    <w:rsid w:val="123709EE"/>
    <w:rsid w:val="123A0472"/>
    <w:rsid w:val="123CA22C"/>
    <w:rsid w:val="123D6D24"/>
    <w:rsid w:val="12424D5B"/>
    <w:rsid w:val="1242E8F5"/>
    <w:rsid w:val="1244E2B6"/>
    <w:rsid w:val="1248A94E"/>
    <w:rsid w:val="12491506"/>
    <w:rsid w:val="1249EAFB"/>
    <w:rsid w:val="124E9016"/>
    <w:rsid w:val="124ED29A"/>
    <w:rsid w:val="124F2EDF"/>
    <w:rsid w:val="1251E129"/>
    <w:rsid w:val="1252933B"/>
    <w:rsid w:val="1256E2F5"/>
    <w:rsid w:val="12573E21"/>
    <w:rsid w:val="12586EEA"/>
    <w:rsid w:val="125A81A9"/>
    <w:rsid w:val="125EA4D5"/>
    <w:rsid w:val="125F3048"/>
    <w:rsid w:val="1260B764"/>
    <w:rsid w:val="12638AA7"/>
    <w:rsid w:val="12651828"/>
    <w:rsid w:val="12663E3C"/>
    <w:rsid w:val="126757B1"/>
    <w:rsid w:val="12679738"/>
    <w:rsid w:val="126A63AF"/>
    <w:rsid w:val="126C8B99"/>
    <w:rsid w:val="126F686A"/>
    <w:rsid w:val="127109BB"/>
    <w:rsid w:val="1271564E"/>
    <w:rsid w:val="1274FD49"/>
    <w:rsid w:val="1277E8EF"/>
    <w:rsid w:val="1277FFB7"/>
    <w:rsid w:val="12787094"/>
    <w:rsid w:val="127A8A20"/>
    <w:rsid w:val="1287818B"/>
    <w:rsid w:val="1289DFBF"/>
    <w:rsid w:val="128C3A5C"/>
    <w:rsid w:val="128D7CD0"/>
    <w:rsid w:val="128DB88F"/>
    <w:rsid w:val="1290B7AC"/>
    <w:rsid w:val="129361C6"/>
    <w:rsid w:val="12971930"/>
    <w:rsid w:val="129BF08A"/>
    <w:rsid w:val="129CD29D"/>
    <w:rsid w:val="129D71CC"/>
    <w:rsid w:val="129E3A3F"/>
    <w:rsid w:val="12A0AA5C"/>
    <w:rsid w:val="12A28964"/>
    <w:rsid w:val="12A65A7A"/>
    <w:rsid w:val="12A8076A"/>
    <w:rsid w:val="12AB0540"/>
    <w:rsid w:val="12AB124F"/>
    <w:rsid w:val="12AC2F1F"/>
    <w:rsid w:val="12AF8F09"/>
    <w:rsid w:val="12B14ECA"/>
    <w:rsid w:val="12B36576"/>
    <w:rsid w:val="12B8B8A2"/>
    <w:rsid w:val="12BEFD8B"/>
    <w:rsid w:val="12BF82A3"/>
    <w:rsid w:val="12C36453"/>
    <w:rsid w:val="12C3D112"/>
    <w:rsid w:val="12CAA228"/>
    <w:rsid w:val="12CBCDF4"/>
    <w:rsid w:val="12CCA791"/>
    <w:rsid w:val="12D00D3F"/>
    <w:rsid w:val="12D092CE"/>
    <w:rsid w:val="12D2984F"/>
    <w:rsid w:val="12D40493"/>
    <w:rsid w:val="12D4493F"/>
    <w:rsid w:val="12D4F7BE"/>
    <w:rsid w:val="12D9318F"/>
    <w:rsid w:val="12DF8CB5"/>
    <w:rsid w:val="12E04AEF"/>
    <w:rsid w:val="12E238C2"/>
    <w:rsid w:val="12E268A6"/>
    <w:rsid w:val="12E3620D"/>
    <w:rsid w:val="12EA2BF4"/>
    <w:rsid w:val="12EE6B74"/>
    <w:rsid w:val="12F01B37"/>
    <w:rsid w:val="12F04FBF"/>
    <w:rsid w:val="12F1462C"/>
    <w:rsid w:val="12F405FB"/>
    <w:rsid w:val="12F46BC2"/>
    <w:rsid w:val="12F6E887"/>
    <w:rsid w:val="12FB7A64"/>
    <w:rsid w:val="12FE064D"/>
    <w:rsid w:val="12FF541A"/>
    <w:rsid w:val="12FFA6D0"/>
    <w:rsid w:val="1300C9AD"/>
    <w:rsid w:val="1307BDCF"/>
    <w:rsid w:val="130CA108"/>
    <w:rsid w:val="1312A54B"/>
    <w:rsid w:val="13151349"/>
    <w:rsid w:val="13176D87"/>
    <w:rsid w:val="1317BA32"/>
    <w:rsid w:val="131A4984"/>
    <w:rsid w:val="131B1817"/>
    <w:rsid w:val="131B3496"/>
    <w:rsid w:val="131BF07A"/>
    <w:rsid w:val="131D5497"/>
    <w:rsid w:val="131F3357"/>
    <w:rsid w:val="13211A20"/>
    <w:rsid w:val="13213A7D"/>
    <w:rsid w:val="13262A17"/>
    <w:rsid w:val="13277FF2"/>
    <w:rsid w:val="13282340"/>
    <w:rsid w:val="132B18E2"/>
    <w:rsid w:val="132D5FB7"/>
    <w:rsid w:val="132E62A0"/>
    <w:rsid w:val="132FB7C3"/>
    <w:rsid w:val="13313D21"/>
    <w:rsid w:val="13354B08"/>
    <w:rsid w:val="1335E2FD"/>
    <w:rsid w:val="133645BD"/>
    <w:rsid w:val="1337166D"/>
    <w:rsid w:val="1338DD45"/>
    <w:rsid w:val="1339DEBB"/>
    <w:rsid w:val="133B2935"/>
    <w:rsid w:val="133E009B"/>
    <w:rsid w:val="133E98EB"/>
    <w:rsid w:val="13403ACA"/>
    <w:rsid w:val="1340B997"/>
    <w:rsid w:val="1341A396"/>
    <w:rsid w:val="1341B595"/>
    <w:rsid w:val="1343089D"/>
    <w:rsid w:val="1344C24F"/>
    <w:rsid w:val="1344CABA"/>
    <w:rsid w:val="13459126"/>
    <w:rsid w:val="1347872D"/>
    <w:rsid w:val="1347F75B"/>
    <w:rsid w:val="1348C513"/>
    <w:rsid w:val="13498C92"/>
    <w:rsid w:val="134A8856"/>
    <w:rsid w:val="134B5DB0"/>
    <w:rsid w:val="134B86F8"/>
    <w:rsid w:val="134EB175"/>
    <w:rsid w:val="13502A0F"/>
    <w:rsid w:val="13503719"/>
    <w:rsid w:val="1351D0BA"/>
    <w:rsid w:val="1352E45D"/>
    <w:rsid w:val="1353A382"/>
    <w:rsid w:val="135A7B47"/>
    <w:rsid w:val="135C3F7E"/>
    <w:rsid w:val="1361F429"/>
    <w:rsid w:val="1365FC73"/>
    <w:rsid w:val="13665C86"/>
    <w:rsid w:val="13675744"/>
    <w:rsid w:val="1368AFBA"/>
    <w:rsid w:val="1369FAB8"/>
    <w:rsid w:val="136AB457"/>
    <w:rsid w:val="1373E59E"/>
    <w:rsid w:val="1376D3D3"/>
    <w:rsid w:val="137B72E2"/>
    <w:rsid w:val="137C97EF"/>
    <w:rsid w:val="137E5BF9"/>
    <w:rsid w:val="138020D2"/>
    <w:rsid w:val="1383BBE7"/>
    <w:rsid w:val="1386B8BE"/>
    <w:rsid w:val="13898634"/>
    <w:rsid w:val="138A253A"/>
    <w:rsid w:val="138B466A"/>
    <w:rsid w:val="138B8B42"/>
    <w:rsid w:val="138DBA52"/>
    <w:rsid w:val="138E490A"/>
    <w:rsid w:val="1396378B"/>
    <w:rsid w:val="13966AE3"/>
    <w:rsid w:val="1398E29F"/>
    <w:rsid w:val="139B95C0"/>
    <w:rsid w:val="13A12E31"/>
    <w:rsid w:val="13A134FE"/>
    <w:rsid w:val="13A19BF0"/>
    <w:rsid w:val="13A34A26"/>
    <w:rsid w:val="13AD950E"/>
    <w:rsid w:val="13AEC9DC"/>
    <w:rsid w:val="13B68C45"/>
    <w:rsid w:val="13B694B4"/>
    <w:rsid w:val="13B6FE25"/>
    <w:rsid w:val="13B82CC3"/>
    <w:rsid w:val="13B90ADF"/>
    <w:rsid w:val="13B9BD4C"/>
    <w:rsid w:val="13BD5489"/>
    <w:rsid w:val="13BF0131"/>
    <w:rsid w:val="13C33DA1"/>
    <w:rsid w:val="13C59BA5"/>
    <w:rsid w:val="13C9BE4B"/>
    <w:rsid w:val="13CAEDDD"/>
    <w:rsid w:val="13D00BB9"/>
    <w:rsid w:val="13D0209F"/>
    <w:rsid w:val="13D137B0"/>
    <w:rsid w:val="13D71CD4"/>
    <w:rsid w:val="13D7874B"/>
    <w:rsid w:val="13D8F860"/>
    <w:rsid w:val="13D9131A"/>
    <w:rsid w:val="13DB40C2"/>
    <w:rsid w:val="13DB7D35"/>
    <w:rsid w:val="13DF43CA"/>
    <w:rsid w:val="13E48718"/>
    <w:rsid w:val="13E7591F"/>
    <w:rsid w:val="13EA2892"/>
    <w:rsid w:val="13EC360D"/>
    <w:rsid w:val="13F13970"/>
    <w:rsid w:val="13F869BC"/>
    <w:rsid w:val="13F9875F"/>
    <w:rsid w:val="1402CC52"/>
    <w:rsid w:val="1403DF6B"/>
    <w:rsid w:val="14089759"/>
    <w:rsid w:val="140932AE"/>
    <w:rsid w:val="1409D8AA"/>
    <w:rsid w:val="140A5EA9"/>
    <w:rsid w:val="140A8C97"/>
    <w:rsid w:val="140BBF87"/>
    <w:rsid w:val="140BE996"/>
    <w:rsid w:val="140D80A3"/>
    <w:rsid w:val="140E9D62"/>
    <w:rsid w:val="140FF78A"/>
    <w:rsid w:val="14114914"/>
    <w:rsid w:val="1412D149"/>
    <w:rsid w:val="1415889F"/>
    <w:rsid w:val="1416C908"/>
    <w:rsid w:val="141AC5EC"/>
    <w:rsid w:val="141B6DA5"/>
    <w:rsid w:val="141BB16C"/>
    <w:rsid w:val="141F947D"/>
    <w:rsid w:val="1420EFDB"/>
    <w:rsid w:val="1420F325"/>
    <w:rsid w:val="142128B2"/>
    <w:rsid w:val="142523DB"/>
    <w:rsid w:val="14285E69"/>
    <w:rsid w:val="1429DE49"/>
    <w:rsid w:val="142C0CD9"/>
    <w:rsid w:val="142CB511"/>
    <w:rsid w:val="142D30A7"/>
    <w:rsid w:val="142DE1F9"/>
    <w:rsid w:val="14302097"/>
    <w:rsid w:val="14327228"/>
    <w:rsid w:val="143376F1"/>
    <w:rsid w:val="14340ED8"/>
    <w:rsid w:val="1435DB81"/>
    <w:rsid w:val="1437022E"/>
    <w:rsid w:val="14370A6A"/>
    <w:rsid w:val="143A2F8C"/>
    <w:rsid w:val="143B69C3"/>
    <w:rsid w:val="143C205D"/>
    <w:rsid w:val="143C629D"/>
    <w:rsid w:val="143D248E"/>
    <w:rsid w:val="143E195D"/>
    <w:rsid w:val="143EFA4C"/>
    <w:rsid w:val="143F2F83"/>
    <w:rsid w:val="143F9F66"/>
    <w:rsid w:val="143FC4D7"/>
    <w:rsid w:val="14455069"/>
    <w:rsid w:val="1445CC6A"/>
    <w:rsid w:val="14470CD1"/>
    <w:rsid w:val="144C73C2"/>
    <w:rsid w:val="144DDE0D"/>
    <w:rsid w:val="144E306F"/>
    <w:rsid w:val="14505720"/>
    <w:rsid w:val="1451D86B"/>
    <w:rsid w:val="14523B94"/>
    <w:rsid w:val="1455A39B"/>
    <w:rsid w:val="1458CCF4"/>
    <w:rsid w:val="1459FD68"/>
    <w:rsid w:val="145B4B98"/>
    <w:rsid w:val="145B5E7B"/>
    <w:rsid w:val="145B8DD1"/>
    <w:rsid w:val="1460736E"/>
    <w:rsid w:val="14675A1E"/>
    <w:rsid w:val="146829E7"/>
    <w:rsid w:val="1468F295"/>
    <w:rsid w:val="146C85D4"/>
    <w:rsid w:val="146C99F2"/>
    <w:rsid w:val="146E7276"/>
    <w:rsid w:val="14731963"/>
    <w:rsid w:val="14736694"/>
    <w:rsid w:val="147776BB"/>
    <w:rsid w:val="147A74BD"/>
    <w:rsid w:val="147D86D1"/>
    <w:rsid w:val="147F5B42"/>
    <w:rsid w:val="14821006"/>
    <w:rsid w:val="1482B984"/>
    <w:rsid w:val="1483C262"/>
    <w:rsid w:val="14844A94"/>
    <w:rsid w:val="14849067"/>
    <w:rsid w:val="14850BE6"/>
    <w:rsid w:val="1486CB16"/>
    <w:rsid w:val="148B584D"/>
    <w:rsid w:val="148C650D"/>
    <w:rsid w:val="148CCFA6"/>
    <w:rsid w:val="148DEA28"/>
    <w:rsid w:val="148E95C8"/>
    <w:rsid w:val="149449E8"/>
    <w:rsid w:val="1498D241"/>
    <w:rsid w:val="1498DBEC"/>
    <w:rsid w:val="149CFDBC"/>
    <w:rsid w:val="149D5BF0"/>
    <w:rsid w:val="149EC436"/>
    <w:rsid w:val="149F0FC5"/>
    <w:rsid w:val="14A18FB5"/>
    <w:rsid w:val="14A3A125"/>
    <w:rsid w:val="14A3CA33"/>
    <w:rsid w:val="14ABD0B9"/>
    <w:rsid w:val="14AD8B3D"/>
    <w:rsid w:val="14AE9CEC"/>
    <w:rsid w:val="14AF7AEF"/>
    <w:rsid w:val="14B05D0C"/>
    <w:rsid w:val="14B1CABE"/>
    <w:rsid w:val="14B2734C"/>
    <w:rsid w:val="14B32DDE"/>
    <w:rsid w:val="14B4AC15"/>
    <w:rsid w:val="14B8F5E8"/>
    <w:rsid w:val="14BAABC6"/>
    <w:rsid w:val="14BD42A3"/>
    <w:rsid w:val="14C09F66"/>
    <w:rsid w:val="14C36CCE"/>
    <w:rsid w:val="14C561A1"/>
    <w:rsid w:val="14C5E3D9"/>
    <w:rsid w:val="14C637A2"/>
    <w:rsid w:val="14C7A576"/>
    <w:rsid w:val="14C7F8DF"/>
    <w:rsid w:val="14C835DB"/>
    <w:rsid w:val="14C86228"/>
    <w:rsid w:val="14D1CA07"/>
    <w:rsid w:val="14D2349E"/>
    <w:rsid w:val="14D64C5E"/>
    <w:rsid w:val="14D6AE70"/>
    <w:rsid w:val="14D6DD85"/>
    <w:rsid w:val="14DF8A16"/>
    <w:rsid w:val="14E34605"/>
    <w:rsid w:val="14E67B48"/>
    <w:rsid w:val="14E73B4D"/>
    <w:rsid w:val="14E850F5"/>
    <w:rsid w:val="14EB4D80"/>
    <w:rsid w:val="14F0014D"/>
    <w:rsid w:val="14F13FF0"/>
    <w:rsid w:val="14F6D17D"/>
    <w:rsid w:val="14F78D6E"/>
    <w:rsid w:val="14FAE931"/>
    <w:rsid w:val="14FF8C55"/>
    <w:rsid w:val="1502A3A8"/>
    <w:rsid w:val="1504D309"/>
    <w:rsid w:val="15069A64"/>
    <w:rsid w:val="1506A5A9"/>
    <w:rsid w:val="1509E72E"/>
    <w:rsid w:val="150B64E4"/>
    <w:rsid w:val="150E4F86"/>
    <w:rsid w:val="150FAA5B"/>
    <w:rsid w:val="150FF4BD"/>
    <w:rsid w:val="1510251F"/>
    <w:rsid w:val="1512ADE3"/>
    <w:rsid w:val="151BEFF2"/>
    <w:rsid w:val="1525768B"/>
    <w:rsid w:val="1525F763"/>
    <w:rsid w:val="15280AB5"/>
    <w:rsid w:val="15281DF2"/>
    <w:rsid w:val="15311A1E"/>
    <w:rsid w:val="15333714"/>
    <w:rsid w:val="1535BDA3"/>
    <w:rsid w:val="1538896F"/>
    <w:rsid w:val="1539801F"/>
    <w:rsid w:val="15398448"/>
    <w:rsid w:val="153A75F4"/>
    <w:rsid w:val="153B2D4D"/>
    <w:rsid w:val="153BB861"/>
    <w:rsid w:val="153E636A"/>
    <w:rsid w:val="153EB06F"/>
    <w:rsid w:val="153EEEEA"/>
    <w:rsid w:val="1545FF39"/>
    <w:rsid w:val="154A4672"/>
    <w:rsid w:val="154EB96C"/>
    <w:rsid w:val="15514B0D"/>
    <w:rsid w:val="1552F123"/>
    <w:rsid w:val="1555ADDC"/>
    <w:rsid w:val="1556AFE4"/>
    <w:rsid w:val="15570203"/>
    <w:rsid w:val="15598C90"/>
    <w:rsid w:val="155A260C"/>
    <w:rsid w:val="155E285D"/>
    <w:rsid w:val="155E57A0"/>
    <w:rsid w:val="155ED537"/>
    <w:rsid w:val="155F4072"/>
    <w:rsid w:val="15607090"/>
    <w:rsid w:val="1562C4E2"/>
    <w:rsid w:val="15641B63"/>
    <w:rsid w:val="1568574E"/>
    <w:rsid w:val="156EEC12"/>
    <w:rsid w:val="15702AA2"/>
    <w:rsid w:val="157106E0"/>
    <w:rsid w:val="1571EC82"/>
    <w:rsid w:val="1571EEF7"/>
    <w:rsid w:val="15736326"/>
    <w:rsid w:val="1573B84E"/>
    <w:rsid w:val="15750C27"/>
    <w:rsid w:val="15765282"/>
    <w:rsid w:val="15773278"/>
    <w:rsid w:val="157736F7"/>
    <w:rsid w:val="157842B7"/>
    <w:rsid w:val="1579B3C1"/>
    <w:rsid w:val="157A4F74"/>
    <w:rsid w:val="158493A0"/>
    <w:rsid w:val="15851CBD"/>
    <w:rsid w:val="158B35F9"/>
    <w:rsid w:val="158C2249"/>
    <w:rsid w:val="159065C5"/>
    <w:rsid w:val="159867C9"/>
    <w:rsid w:val="159D2FFD"/>
    <w:rsid w:val="159DF088"/>
    <w:rsid w:val="15A27C63"/>
    <w:rsid w:val="15A34185"/>
    <w:rsid w:val="15A496BC"/>
    <w:rsid w:val="15A4C60B"/>
    <w:rsid w:val="15A87982"/>
    <w:rsid w:val="15AC06DD"/>
    <w:rsid w:val="15AE51FB"/>
    <w:rsid w:val="15AE8BE4"/>
    <w:rsid w:val="15AEC57D"/>
    <w:rsid w:val="15B1B6A4"/>
    <w:rsid w:val="15B2E897"/>
    <w:rsid w:val="15B45EFB"/>
    <w:rsid w:val="15B67CEE"/>
    <w:rsid w:val="15BB0583"/>
    <w:rsid w:val="15BD085A"/>
    <w:rsid w:val="15BD38ED"/>
    <w:rsid w:val="15C197A9"/>
    <w:rsid w:val="15C2184B"/>
    <w:rsid w:val="15C4139F"/>
    <w:rsid w:val="15C6D73A"/>
    <w:rsid w:val="15CA1825"/>
    <w:rsid w:val="15CA1CE1"/>
    <w:rsid w:val="15CA5D3B"/>
    <w:rsid w:val="15CCE931"/>
    <w:rsid w:val="15CD95F3"/>
    <w:rsid w:val="15D07250"/>
    <w:rsid w:val="15D0C2B8"/>
    <w:rsid w:val="15D3772B"/>
    <w:rsid w:val="15D3D7E5"/>
    <w:rsid w:val="15D423AD"/>
    <w:rsid w:val="15D5F835"/>
    <w:rsid w:val="15D6CC84"/>
    <w:rsid w:val="15D8C895"/>
    <w:rsid w:val="15DE18CB"/>
    <w:rsid w:val="15E756C8"/>
    <w:rsid w:val="15E98FBF"/>
    <w:rsid w:val="15E9A322"/>
    <w:rsid w:val="15EA4E00"/>
    <w:rsid w:val="15EBB20B"/>
    <w:rsid w:val="15ED66C6"/>
    <w:rsid w:val="15EE05A8"/>
    <w:rsid w:val="15F16AF0"/>
    <w:rsid w:val="15F37500"/>
    <w:rsid w:val="15F70C94"/>
    <w:rsid w:val="15F7EA34"/>
    <w:rsid w:val="15F90AE1"/>
    <w:rsid w:val="15F9FF8D"/>
    <w:rsid w:val="15FB2981"/>
    <w:rsid w:val="15FC2676"/>
    <w:rsid w:val="15FD23C4"/>
    <w:rsid w:val="15FEC668"/>
    <w:rsid w:val="1601B6F6"/>
    <w:rsid w:val="16029D6C"/>
    <w:rsid w:val="16033EE0"/>
    <w:rsid w:val="160695E3"/>
    <w:rsid w:val="1606EC46"/>
    <w:rsid w:val="160C9E2C"/>
    <w:rsid w:val="160CBBE9"/>
    <w:rsid w:val="160D421D"/>
    <w:rsid w:val="160DB217"/>
    <w:rsid w:val="16149627"/>
    <w:rsid w:val="161A925C"/>
    <w:rsid w:val="161FD816"/>
    <w:rsid w:val="1621551C"/>
    <w:rsid w:val="16223136"/>
    <w:rsid w:val="16253BCD"/>
    <w:rsid w:val="1625E08D"/>
    <w:rsid w:val="16290944"/>
    <w:rsid w:val="1629C217"/>
    <w:rsid w:val="162F321E"/>
    <w:rsid w:val="16304E6B"/>
    <w:rsid w:val="1630E5BE"/>
    <w:rsid w:val="1630FA03"/>
    <w:rsid w:val="16344477"/>
    <w:rsid w:val="1636DD6D"/>
    <w:rsid w:val="1636ECB6"/>
    <w:rsid w:val="16382767"/>
    <w:rsid w:val="16393052"/>
    <w:rsid w:val="163E568A"/>
    <w:rsid w:val="16407D02"/>
    <w:rsid w:val="16418891"/>
    <w:rsid w:val="1642CF99"/>
    <w:rsid w:val="164353A5"/>
    <w:rsid w:val="1647013C"/>
    <w:rsid w:val="1649D065"/>
    <w:rsid w:val="164A05C1"/>
    <w:rsid w:val="164C2FDE"/>
    <w:rsid w:val="164D6479"/>
    <w:rsid w:val="16512A79"/>
    <w:rsid w:val="165242AD"/>
    <w:rsid w:val="16526E16"/>
    <w:rsid w:val="1653C616"/>
    <w:rsid w:val="165C778A"/>
    <w:rsid w:val="165EDFDE"/>
    <w:rsid w:val="166059C2"/>
    <w:rsid w:val="166196D6"/>
    <w:rsid w:val="1662BEA5"/>
    <w:rsid w:val="16660EF6"/>
    <w:rsid w:val="16679DD8"/>
    <w:rsid w:val="166AD494"/>
    <w:rsid w:val="166B4BA2"/>
    <w:rsid w:val="166BD432"/>
    <w:rsid w:val="1671855C"/>
    <w:rsid w:val="1677950C"/>
    <w:rsid w:val="1678EDE8"/>
    <w:rsid w:val="167A25C5"/>
    <w:rsid w:val="167B44E3"/>
    <w:rsid w:val="167B6DB9"/>
    <w:rsid w:val="167F7455"/>
    <w:rsid w:val="167F7B5C"/>
    <w:rsid w:val="16821D3D"/>
    <w:rsid w:val="16822412"/>
    <w:rsid w:val="1682FFBA"/>
    <w:rsid w:val="16841DBD"/>
    <w:rsid w:val="1684B291"/>
    <w:rsid w:val="168A62ED"/>
    <w:rsid w:val="168B674D"/>
    <w:rsid w:val="168C9A79"/>
    <w:rsid w:val="168DB1DB"/>
    <w:rsid w:val="168F1917"/>
    <w:rsid w:val="168FBFAF"/>
    <w:rsid w:val="1691A37C"/>
    <w:rsid w:val="1698263E"/>
    <w:rsid w:val="1698FE63"/>
    <w:rsid w:val="1699DD1D"/>
    <w:rsid w:val="169A4FBF"/>
    <w:rsid w:val="169AC88B"/>
    <w:rsid w:val="169CBD40"/>
    <w:rsid w:val="169CDDB6"/>
    <w:rsid w:val="169E6A0B"/>
    <w:rsid w:val="169F180E"/>
    <w:rsid w:val="169F660C"/>
    <w:rsid w:val="16A1545D"/>
    <w:rsid w:val="16A63899"/>
    <w:rsid w:val="16AA9C7E"/>
    <w:rsid w:val="16AC47B8"/>
    <w:rsid w:val="16AD55C6"/>
    <w:rsid w:val="16AE2252"/>
    <w:rsid w:val="16AE7DC7"/>
    <w:rsid w:val="16AE8E52"/>
    <w:rsid w:val="16B041A2"/>
    <w:rsid w:val="16B0CBA6"/>
    <w:rsid w:val="16B49880"/>
    <w:rsid w:val="16B63983"/>
    <w:rsid w:val="16B7C053"/>
    <w:rsid w:val="16B9BB07"/>
    <w:rsid w:val="16B9E378"/>
    <w:rsid w:val="16BA4D5D"/>
    <w:rsid w:val="16BA8493"/>
    <w:rsid w:val="16BCFA7B"/>
    <w:rsid w:val="16C0C1F5"/>
    <w:rsid w:val="16CA11EA"/>
    <w:rsid w:val="16CF208A"/>
    <w:rsid w:val="16D053DC"/>
    <w:rsid w:val="16D07B5B"/>
    <w:rsid w:val="16D29BA6"/>
    <w:rsid w:val="16D45907"/>
    <w:rsid w:val="16DBCE96"/>
    <w:rsid w:val="16DC0D09"/>
    <w:rsid w:val="16DD7482"/>
    <w:rsid w:val="16E04B03"/>
    <w:rsid w:val="16E0C22F"/>
    <w:rsid w:val="16E30B5C"/>
    <w:rsid w:val="16E7B36C"/>
    <w:rsid w:val="16EA0051"/>
    <w:rsid w:val="16EA58EF"/>
    <w:rsid w:val="16EC4904"/>
    <w:rsid w:val="16F48C9E"/>
    <w:rsid w:val="16F51522"/>
    <w:rsid w:val="16F660AA"/>
    <w:rsid w:val="16F8C997"/>
    <w:rsid w:val="16F91DBE"/>
    <w:rsid w:val="16F99E14"/>
    <w:rsid w:val="16FAC683"/>
    <w:rsid w:val="16FC4137"/>
    <w:rsid w:val="16FEBBD4"/>
    <w:rsid w:val="1704A09B"/>
    <w:rsid w:val="1706EE84"/>
    <w:rsid w:val="170760C3"/>
    <w:rsid w:val="17082FB7"/>
    <w:rsid w:val="170931B7"/>
    <w:rsid w:val="170AED00"/>
    <w:rsid w:val="170B1DD9"/>
    <w:rsid w:val="170DCCBB"/>
    <w:rsid w:val="1712155E"/>
    <w:rsid w:val="171231D2"/>
    <w:rsid w:val="17127429"/>
    <w:rsid w:val="1714F6AE"/>
    <w:rsid w:val="1715C019"/>
    <w:rsid w:val="17175C5E"/>
    <w:rsid w:val="17181C7C"/>
    <w:rsid w:val="171DA0DE"/>
    <w:rsid w:val="17200F39"/>
    <w:rsid w:val="17206F53"/>
    <w:rsid w:val="17239728"/>
    <w:rsid w:val="1726EF1E"/>
    <w:rsid w:val="1729264F"/>
    <w:rsid w:val="17333594"/>
    <w:rsid w:val="173401A3"/>
    <w:rsid w:val="17379326"/>
    <w:rsid w:val="1737EDFD"/>
    <w:rsid w:val="173C151E"/>
    <w:rsid w:val="173C75E4"/>
    <w:rsid w:val="174134D9"/>
    <w:rsid w:val="1741D93C"/>
    <w:rsid w:val="17420818"/>
    <w:rsid w:val="17426E46"/>
    <w:rsid w:val="17431D14"/>
    <w:rsid w:val="1743A7C7"/>
    <w:rsid w:val="17458956"/>
    <w:rsid w:val="17469588"/>
    <w:rsid w:val="174F7A2B"/>
    <w:rsid w:val="174F8A31"/>
    <w:rsid w:val="1750B2DB"/>
    <w:rsid w:val="1751E52C"/>
    <w:rsid w:val="175244D2"/>
    <w:rsid w:val="1755E623"/>
    <w:rsid w:val="17565D65"/>
    <w:rsid w:val="17585B0B"/>
    <w:rsid w:val="175861FD"/>
    <w:rsid w:val="175B1D16"/>
    <w:rsid w:val="17657F12"/>
    <w:rsid w:val="17671A4E"/>
    <w:rsid w:val="17688D46"/>
    <w:rsid w:val="176A02F0"/>
    <w:rsid w:val="176AA1F7"/>
    <w:rsid w:val="176AFCF5"/>
    <w:rsid w:val="176D322E"/>
    <w:rsid w:val="176F42DE"/>
    <w:rsid w:val="176FBCAE"/>
    <w:rsid w:val="17717402"/>
    <w:rsid w:val="1773D35E"/>
    <w:rsid w:val="1773ED46"/>
    <w:rsid w:val="17781B4D"/>
    <w:rsid w:val="1778E08D"/>
    <w:rsid w:val="177904E9"/>
    <w:rsid w:val="177967C6"/>
    <w:rsid w:val="17799606"/>
    <w:rsid w:val="1779C8B6"/>
    <w:rsid w:val="177A97D3"/>
    <w:rsid w:val="177B34E6"/>
    <w:rsid w:val="17801A14"/>
    <w:rsid w:val="1782E082"/>
    <w:rsid w:val="17843269"/>
    <w:rsid w:val="1784570A"/>
    <w:rsid w:val="1784B6D4"/>
    <w:rsid w:val="17868A12"/>
    <w:rsid w:val="178E445F"/>
    <w:rsid w:val="179066DB"/>
    <w:rsid w:val="1790FBFC"/>
    <w:rsid w:val="1791530C"/>
    <w:rsid w:val="1792133A"/>
    <w:rsid w:val="17936850"/>
    <w:rsid w:val="1795EB83"/>
    <w:rsid w:val="1796FE2C"/>
    <w:rsid w:val="179B92BC"/>
    <w:rsid w:val="179D2459"/>
    <w:rsid w:val="17A1A182"/>
    <w:rsid w:val="17A2BCC2"/>
    <w:rsid w:val="17A3C368"/>
    <w:rsid w:val="17A3CE8A"/>
    <w:rsid w:val="17A427DE"/>
    <w:rsid w:val="17A44B7C"/>
    <w:rsid w:val="17A6747D"/>
    <w:rsid w:val="17A7B22E"/>
    <w:rsid w:val="17A7B898"/>
    <w:rsid w:val="17AA3AB9"/>
    <w:rsid w:val="17AC6627"/>
    <w:rsid w:val="17AC6DBD"/>
    <w:rsid w:val="17ACDC47"/>
    <w:rsid w:val="17AF70DC"/>
    <w:rsid w:val="17B04A7E"/>
    <w:rsid w:val="17B05E37"/>
    <w:rsid w:val="17B3F4CB"/>
    <w:rsid w:val="17B3F6D6"/>
    <w:rsid w:val="17BBA0E8"/>
    <w:rsid w:val="17BC505A"/>
    <w:rsid w:val="17BD203B"/>
    <w:rsid w:val="17C16645"/>
    <w:rsid w:val="17C2DC78"/>
    <w:rsid w:val="17C703A1"/>
    <w:rsid w:val="17CA026D"/>
    <w:rsid w:val="17CA97FC"/>
    <w:rsid w:val="17CAA969"/>
    <w:rsid w:val="17CC23D7"/>
    <w:rsid w:val="17CC7509"/>
    <w:rsid w:val="17CD3944"/>
    <w:rsid w:val="17D2BBBD"/>
    <w:rsid w:val="17D4D886"/>
    <w:rsid w:val="17D93A3A"/>
    <w:rsid w:val="17DC6989"/>
    <w:rsid w:val="17DC7CE6"/>
    <w:rsid w:val="17DC9FBF"/>
    <w:rsid w:val="17E1A4AE"/>
    <w:rsid w:val="17E2AD7F"/>
    <w:rsid w:val="17E4E23A"/>
    <w:rsid w:val="17E4F84A"/>
    <w:rsid w:val="17E964C0"/>
    <w:rsid w:val="17EE33B9"/>
    <w:rsid w:val="17F298B3"/>
    <w:rsid w:val="17F3BE7D"/>
    <w:rsid w:val="17F3EB47"/>
    <w:rsid w:val="17F861EB"/>
    <w:rsid w:val="17F898DF"/>
    <w:rsid w:val="17FCE6D3"/>
    <w:rsid w:val="17FD9324"/>
    <w:rsid w:val="17FEC86C"/>
    <w:rsid w:val="17FF6465"/>
    <w:rsid w:val="180046D5"/>
    <w:rsid w:val="18004CCE"/>
    <w:rsid w:val="1801AB67"/>
    <w:rsid w:val="18058719"/>
    <w:rsid w:val="18085633"/>
    <w:rsid w:val="1808E28D"/>
    <w:rsid w:val="180C45FF"/>
    <w:rsid w:val="180C8E90"/>
    <w:rsid w:val="180E2308"/>
    <w:rsid w:val="1811F151"/>
    <w:rsid w:val="1812CABD"/>
    <w:rsid w:val="18179175"/>
    <w:rsid w:val="1817E3CF"/>
    <w:rsid w:val="1818F240"/>
    <w:rsid w:val="1819B207"/>
    <w:rsid w:val="181A8EC3"/>
    <w:rsid w:val="181B14D5"/>
    <w:rsid w:val="181BE815"/>
    <w:rsid w:val="181D0D6D"/>
    <w:rsid w:val="181F0277"/>
    <w:rsid w:val="181F98EA"/>
    <w:rsid w:val="1822CCC1"/>
    <w:rsid w:val="1824758B"/>
    <w:rsid w:val="18249652"/>
    <w:rsid w:val="1825F6E1"/>
    <w:rsid w:val="1826EDC4"/>
    <w:rsid w:val="18278A6D"/>
    <w:rsid w:val="1828BD96"/>
    <w:rsid w:val="182B0E46"/>
    <w:rsid w:val="182D465C"/>
    <w:rsid w:val="182FB6D5"/>
    <w:rsid w:val="183234C8"/>
    <w:rsid w:val="18332080"/>
    <w:rsid w:val="183621F9"/>
    <w:rsid w:val="18368CFB"/>
    <w:rsid w:val="183771DB"/>
    <w:rsid w:val="18386F5D"/>
    <w:rsid w:val="1839127A"/>
    <w:rsid w:val="1839B7D5"/>
    <w:rsid w:val="183ADB61"/>
    <w:rsid w:val="183C268A"/>
    <w:rsid w:val="183DF851"/>
    <w:rsid w:val="183F6775"/>
    <w:rsid w:val="183FE767"/>
    <w:rsid w:val="18438730"/>
    <w:rsid w:val="1844397C"/>
    <w:rsid w:val="1844E06A"/>
    <w:rsid w:val="1845D062"/>
    <w:rsid w:val="184ACED0"/>
    <w:rsid w:val="184CD349"/>
    <w:rsid w:val="184DFA0E"/>
    <w:rsid w:val="184E7408"/>
    <w:rsid w:val="184F0C27"/>
    <w:rsid w:val="185296E3"/>
    <w:rsid w:val="18537840"/>
    <w:rsid w:val="185390B4"/>
    <w:rsid w:val="185631F6"/>
    <w:rsid w:val="1857FF42"/>
    <w:rsid w:val="1858F2AD"/>
    <w:rsid w:val="18598B79"/>
    <w:rsid w:val="18598F81"/>
    <w:rsid w:val="185A2A5B"/>
    <w:rsid w:val="185BD997"/>
    <w:rsid w:val="185DF177"/>
    <w:rsid w:val="1862DCB6"/>
    <w:rsid w:val="186CEB27"/>
    <w:rsid w:val="186DDCEB"/>
    <w:rsid w:val="186E414F"/>
    <w:rsid w:val="1874C6E2"/>
    <w:rsid w:val="18792930"/>
    <w:rsid w:val="187948CD"/>
    <w:rsid w:val="187B1318"/>
    <w:rsid w:val="187BDBE1"/>
    <w:rsid w:val="1880C2B5"/>
    <w:rsid w:val="1881604F"/>
    <w:rsid w:val="18854BA8"/>
    <w:rsid w:val="1886FC1B"/>
    <w:rsid w:val="188B8D90"/>
    <w:rsid w:val="188BD505"/>
    <w:rsid w:val="188BD874"/>
    <w:rsid w:val="188F63A4"/>
    <w:rsid w:val="1890EEA2"/>
    <w:rsid w:val="1890F035"/>
    <w:rsid w:val="189145DB"/>
    <w:rsid w:val="1891D5EC"/>
    <w:rsid w:val="18930FD5"/>
    <w:rsid w:val="189360B0"/>
    <w:rsid w:val="1893B46B"/>
    <w:rsid w:val="189A6DF4"/>
    <w:rsid w:val="189AD68A"/>
    <w:rsid w:val="189D88DF"/>
    <w:rsid w:val="189D9F4E"/>
    <w:rsid w:val="189E996B"/>
    <w:rsid w:val="189F380A"/>
    <w:rsid w:val="189FBD73"/>
    <w:rsid w:val="18A2339B"/>
    <w:rsid w:val="18A24AFC"/>
    <w:rsid w:val="18A29B70"/>
    <w:rsid w:val="18A2AE0B"/>
    <w:rsid w:val="18A481E2"/>
    <w:rsid w:val="18AB2BFA"/>
    <w:rsid w:val="18ABDABF"/>
    <w:rsid w:val="18AC9DA9"/>
    <w:rsid w:val="18ACCEB3"/>
    <w:rsid w:val="18AEDB49"/>
    <w:rsid w:val="18B173B6"/>
    <w:rsid w:val="18B17456"/>
    <w:rsid w:val="18B3A7BA"/>
    <w:rsid w:val="18B5AA37"/>
    <w:rsid w:val="18B6D078"/>
    <w:rsid w:val="18B6D954"/>
    <w:rsid w:val="18B84E8E"/>
    <w:rsid w:val="18BBAAB4"/>
    <w:rsid w:val="18BC8439"/>
    <w:rsid w:val="18C03F43"/>
    <w:rsid w:val="18C18AF4"/>
    <w:rsid w:val="18C23E8B"/>
    <w:rsid w:val="18C49B4B"/>
    <w:rsid w:val="18C4E6E8"/>
    <w:rsid w:val="18C5786A"/>
    <w:rsid w:val="18CAB41F"/>
    <w:rsid w:val="18CB906F"/>
    <w:rsid w:val="18CF6E27"/>
    <w:rsid w:val="18D00E5E"/>
    <w:rsid w:val="18D1CF40"/>
    <w:rsid w:val="18D36410"/>
    <w:rsid w:val="18D42918"/>
    <w:rsid w:val="18D59BB2"/>
    <w:rsid w:val="18D60476"/>
    <w:rsid w:val="18DA3906"/>
    <w:rsid w:val="18DAA025"/>
    <w:rsid w:val="18DFECC2"/>
    <w:rsid w:val="18E0B28F"/>
    <w:rsid w:val="18E1226C"/>
    <w:rsid w:val="18E79FDF"/>
    <w:rsid w:val="18E9B2EF"/>
    <w:rsid w:val="18EAF83D"/>
    <w:rsid w:val="18EC80BD"/>
    <w:rsid w:val="18F0348D"/>
    <w:rsid w:val="18F12AAC"/>
    <w:rsid w:val="18F23C2E"/>
    <w:rsid w:val="18F25D82"/>
    <w:rsid w:val="18F3565B"/>
    <w:rsid w:val="18F3BF29"/>
    <w:rsid w:val="18F84126"/>
    <w:rsid w:val="18FA481D"/>
    <w:rsid w:val="18FB71C1"/>
    <w:rsid w:val="18FBFD83"/>
    <w:rsid w:val="18FEC06A"/>
    <w:rsid w:val="18FFEEA7"/>
    <w:rsid w:val="1903C83A"/>
    <w:rsid w:val="1905BB9B"/>
    <w:rsid w:val="19092732"/>
    <w:rsid w:val="190C5C90"/>
    <w:rsid w:val="190CB48B"/>
    <w:rsid w:val="1913482E"/>
    <w:rsid w:val="19139B75"/>
    <w:rsid w:val="19147EE4"/>
    <w:rsid w:val="1919F7AB"/>
    <w:rsid w:val="191A39E8"/>
    <w:rsid w:val="191B9EE6"/>
    <w:rsid w:val="19213307"/>
    <w:rsid w:val="19215BCA"/>
    <w:rsid w:val="192327ED"/>
    <w:rsid w:val="19233D4C"/>
    <w:rsid w:val="19234158"/>
    <w:rsid w:val="1924D7C6"/>
    <w:rsid w:val="1924E813"/>
    <w:rsid w:val="1925C818"/>
    <w:rsid w:val="192B8C48"/>
    <w:rsid w:val="192C6AFE"/>
    <w:rsid w:val="192CB5FF"/>
    <w:rsid w:val="192D162E"/>
    <w:rsid w:val="192FCAA1"/>
    <w:rsid w:val="1930EC81"/>
    <w:rsid w:val="193150F7"/>
    <w:rsid w:val="1939004B"/>
    <w:rsid w:val="1939380F"/>
    <w:rsid w:val="193961BC"/>
    <w:rsid w:val="193ACD0F"/>
    <w:rsid w:val="193C6DD9"/>
    <w:rsid w:val="193D273E"/>
    <w:rsid w:val="193D5C67"/>
    <w:rsid w:val="193E782C"/>
    <w:rsid w:val="1942F7C4"/>
    <w:rsid w:val="1944226E"/>
    <w:rsid w:val="19478C72"/>
    <w:rsid w:val="19495F42"/>
    <w:rsid w:val="194A5713"/>
    <w:rsid w:val="194AC0A3"/>
    <w:rsid w:val="194B0602"/>
    <w:rsid w:val="19508806"/>
    <w:rsid w:val="1953D1A6"/>
    <w:rsid w:val="1954C3AE"/>
    <w:rsid w:val="1954DF9E"/>
    <w:rsid w:val="1954ED7A"/>
    <w:rsid w:val="19563FDC"/>
    <w:rsid w:val="19565051"/>
    <w:rsid w:val="19579997"/>
    <w:rsid w:val="1958AE78"/>
    <w:rsid w:val="195A6B6F"/>
    <w:rsid w:val="195B7C28"/>
    <w:rsid w:val="195D5323"/>
    <w:rsid w:val="19601A14"/>
    <w:rsid w:val="19662E2B"/>
    <w:rsid w:val="1966AF15"/>
    <w:rsid w:val="196E3B7D"/>
    <w:rsid w:val="196F98F6"/>
    <w:rsid w:val="1975C93D"/>
    <w:rsid w:val="19773D7D"/>
    <w:rsid w:val="19799FBE"/>
    <w:rsid w:val="197B15E1"/>
    <w:rsid w:val="197B1766"/>
    <w:rsid w:val="197BDB38"/>
    <w:rsid w:val="197CEAEB"/>
    <w:rsid w:val="197EC5D0"/>
    <w:rsid w:val="197F1F97"/>
    <w:rsid w:val="19832203"/>
    <w:rsid w:val="19878E2F"/>
    <w:rsid w:val="1988860D"/>
    <w:rsid w:val="19896703"/>
    <w:rsid w:val="198AFBAE"/>
    <w:rsid w:val="198B1353"/>
    <w:rsid w:val="198C4746"/>
    <w:rsid w:val="198D1768"/>
    <w:rsid w:val="198DAEBE"/>
    <w:rsid w:val="198ECF54"/>
    <w:rsid w:val="1991C9F0"/>
    <w:rsid w:val="19993766"/>
    <w:rsid w:val="199A540B"/>
    <w:rsid w:val="199ABB35"/>
    <w:rsid w:val="199AEA90"/>
    <w:rsid w:val="199EC49D"/>
    <w:rsid w:val="199F7E1F"/>
    <w:rsid w:val="199F9EB0"/>
    <w:rsid w:val="199FE48C"/>
    <w:rsid w:val="199FEE18"/>
    <w:rsid w:val="19A096E8"/>
    <w:rsid w:val="19A395DA"/>
    <w:rsid w:val="19A52B1C"/>
    <w:rsid w:val="19A6D29D"/>
    <w:rsid w:val="19A78189"/>
    <w:rsid w:val="19ABB883"/>
    <w:rsid w:val="19ACCEAA"/>
    <w:rsid w:val="19AD3850"/>
    <w:rsid w:val="19AE83E6"/>
    <w:rsid w:val="19AF18B9"/>
    <w:rsid w:val="19AFAB28"/>
    <w:rsid w:val="19AFF14B"/>
    <w:rsid w:val="19B0F44F"/>
    <w:rsid w:val="19B2AC92"/>
    <w:rsid w:val="19B372BC"/>
    <w:rsid w:val="19B484C2"/>
    <w:rsid w:val="19B51694"/>
    <w:rsid w:val="19B53F26"/>
    <w:rsid w:val="19B6A4E1"/>
    <w:rsid w:val="19B70297"/>
    <w:rsid w:val="19B750C1"/>
    <w:rsid w:val="19B784DA"/>
    <w:rsid w:val="19B78B3E"/>
    <w:rsid w:val="19BA33B0"/>
    <w:rsid w:val="19BCA97E"/>
    <w:rsid w:val="19BDB058"/>
    <w:rsid w:val="19C22CD8"/>
    <w:rsid w:val="19C64B69"/>
    <w:rsid w:val="19C7441E"/>
    <w:rsid w:val="19C7CE84"/>
    <w:rsid w:val="19C7E395"/>
    <w:rsid w:val="19CD4C1E"/>
    <w:rsid w:val="19CE4311"/>
    <w:rsid w:val="19D0182C"/>
    <w:rsid w:val="19D02F2A"/>
    <w:rsid w:val="19D4476A"/>
    <w:rsid w:val="19D49379"/>
    <w:rsid w:val="19D51D18"/>
    <w:rsid w:val="19D60F3E"/>
    <w:rsid w:val="19D73DAC"/>
    <w:rsid w:val="19D77958"/>
    <w:rsid w:val="19D78A7A"/>
    <w:rsid w:val="19DABD0E"/>
    <w:rsid w:val="19DBE100"/>
    <w:rsid w:val="19DC12B3"/>
    <w:rsid w:val="19DC38B8"/>
    <w:rsid w:val="19DDBCE0"/>
    <w:rsid w:val="19DF9C46"/>
    <w:rsid w:val="19E035CF"/>
    <w:rsid w:val="19E1A8EE"/>
    <w:rsid w:val="19E4D0F5"/>
    <w:rsid w:val="19E83040"/>
    <w:rsid w:val="19E85B6A"/>
    <w:rsid w:val="19E8645F"/>
    <w:rsid w:val="19E8AE71"/>
    <w:rsid w:val="19E93A25"/>
    <w:rsid w:val="19E9412E"/>
    <w:rsid w:val="19E944A1"/>
    <w:rsid w:val="19E969C8"/>
    <w:rsid w:val="19EBA9C3"/>
    <w:rsid w:val="19EC16DC"/>
    <w:rsid w:val="19ECE83C"/>
    <w:rsid w:val="19ED9F8B"/>
    <w:rsid w:val="19EE5B8B"/>
    <w:rsid w:val="19F24E2D"/>
    <w:rsid w:val="19F50BC8"/>
    <w:rsid w:val="19F708E2"/>
    <w:rsid w:val="19F952A5"/>
    <w:rsid w:val="19F9C854"/>
    <w:rsid w:val="19FF6411"/>
    <w:rsid w:val="19FF8E2C"/>
    <w:rsid w:val="1A053CF6"/>
    <w:rsid w:val="1A06D94E"/>
    <w:rsid w:val="1A086601"/>
    <w:rsid w:val="1A0A4A4D"/>
    <w:rsid w:val="1A0A696D"/>
    <w:rsid w:val="1A0B7C2C"/>
    <w:rsid w:val="1A0BE6D4"/>
    <w:rsid w:val="1A0C202A"/>
    <w:rsid w:val="1A0C4D1C"/>
    <w:rsid w:val="1A0C6872"/>
    <w:rsid w:val="1A0D0707"/>
    <w:rsid w:val="1A0E3B2D"/>
    <w:rsid w:val="1A0F66D0"/>
    <w:rsid w:val="1A13F0EC"/>
    <w:rsid w:val="1A141402"/>
    <w:rsid w:val="1A1447BD"/>
    <w:rsid w:val="1A1609A8"/>
    <w:rsid w:val="1A162616"/>
    <w:rsid w:val="1A17CCCE"/>
    <w:rsid w:val="1A1862C8"/>
    <w:rsid w:val="1A1B25B0"/>
    <w:rsid w:val="1A1BAFA7"/>
    <w:rsid w:val="1A1D1893"/>
    <w:rsid w:val="1A1DE67D"/>
    <w:rsid w:val="1A1E5C36"/>
    <w:rsid w:val="1A209262"/>
    <w:rsid w:val="1A217E5A"/>
    <w:rsid w:val="1A230D4F"/>
    <w:rsid w:val="1A24F620"/>
    <w:rsid w:val="1A25C254"/>
    <w:rsid w:val="1A2767D0"/>
    <w:rsid w:val="1A29F480"/>
    <w:rsid w:val="1A29FC51"/>
    <w:rsid w:val="1A2BB0DE"/>
    <w:rsid w:val="1A2BD7EA"/>
    <w:rsid w:val="1A2C7E9B"/>
    <w:rsid w:val="1A2CEF02"/>
    <w:rsid w:val="1A2DDFC3"/>
    <w:rsid w:val="1A324982"/>
    <w:rsid w:val="1A33A00A"/>
    <w:rsid w:val="1A3578C0"/>
    <w:rsid w:val="1A3BC2D5"/>
    <w:rsid w:val="1A3DDE90"/>
    <w:rsid w:val="1A3E34B2"/>
    <w:rsid w:val="1A3F5B87"/>
    <w:rsid w:val="1A41D03E"/>
    <w:rsid w:val="1A42C5F7"/>
    <w:rsid w:val="1A4339D4"/>
    <w:rsid w:val="1A473192"/>
    <w:rsid w:val="1A4B75F9"/>
    <w:rsid w:val="1A4B7AC6"/>
    <w:rsid w:val="1A4C30B8"/>
    <w:rsid w:val="1A4F1088"/>
    <w:rsid w:val="1A514B00"/>
    <w:rsid w:val="1A5372F7"/>
    <w:rsid w:val="1A53DC35"/>
    <w:rsid w:val="1A57C195"/>
    <w:rsid w:val="1A59D3CC"/>
    <w:rsid w:val="1A5A2BC3"/>
    <w:rsid w:val="1A5A7419"/>
    <w:rsid w:val="1A5B0632"/>
    <w:rsid w:val="1A5F4173"/>
    <w:rsid w:val="1A63E867"/>
    <w:rsid w:val="1A64F8AE"/>
    <w:rsid w:val="1A65CA8D"/>
    <w:rsid w:val="1A66C221"/>
    <w:rsid w:val="1A68B760"/>
    <w:rsid w:val="1A68C339"/>
    <w:rsid w:val="1A68FA87"/>
    <w:rsid w:val="1A69C570"/>
    <w:rsid w:val="1A6C7ACC"/>
    <w:rsid w:val="1A6EA2CF"/>
    <w:rsid w:val="1A702651"/>
    <w:rsid w:val="1A7553E1"/>
    <w:rsid w:val="1A7D4B2F"/>
    <w:rsid w:val="1A7F68C8"/>
    <w:rsid w:val="1A7F94DE"/>
    <w:rsid w:val="1A7FA714"/>
    <w:rsid w:val="1A8346F1"/>
    <w:rsid w:val="1A847B7E"/>
    <w:rsid w:val="1A8990D0"/>
    <w:rsid w:val="1A91B410"/>
    <w:rsid w:val="1A97F2E8"/>
    <w:rsid w:val="1A98A86B"/>
    <w:rsid w:val="1A98ED2A"/>
    <w:rsid w:val="1A99C650"/>
    <w:rsid w:val="1A9FE65A"/>
    <w:rsid w:val="1AA17DA1"/>
    <w:rsid w:val="1AA3EB12"/>
    <w:rsid w:val="1AAA2CF6"/>
    <w:rsid w:val="1AACA219"/>
    <w:rsid w:val="1AADC2B2"/>
    <w:rsid w:val="1AB069F6"/>
    <w:rsid w:val="1AB3685F"/>
    <w:rsid w:val="1AB3B4EF"/>
    <w:rsid w:val="1AB53B3E"/>
    <w:rsid w:val="1AB8F1E0"/>
    <w:rsid w:val="1ABB8F1B"/>
    <w:rsid w:val="1ABBA43C"/>
    <w:rsid w:val="1ABEA7ED"/>
    <w:rsid w:val="1ABF2D3A"/>
    <w:rsid w:val="1AC20D31"/>
    <w:rsid w:val="1AC276DA"/>
    <w:rsid w:val="1AC34C5B"/>
    <w:rsid w:val="1AC37E76"/>
    <w:rsid w:val="1AC3963D"/>
    <w:rsid w:val="1AC3E946"/>
    <w:rsid w:val="1AC4BDD4"/>
    <w:rsid w:val="1AC6CFFF"/>
    <w:rsid w:val="1AC79C6D"/>
    <w:rsid w:val="1AC83115"/>
    <w:rsid w:val="1AC95331"/>
    <w:rsid w:val="1AC9B6EF"/>
    <w:rsid w:val="1ACAD501"/>
    <w:rsid w:val="1ACCA8FB"/>
    <w:rsid w:val="1ACCFCF8"/>
    <w:rsid w:val="1ACEDA99"/>
    <w:rsid w:val="1AD0324E"/>
    <w:rsid w:val="1AD152A7"/>
    <w:rsid w:val="1AD34F61"/>
    <w:rsid w:val="1AD65091"/>
    <w:rsid w:val="1AD82F40"/>
    <w:rsid w:val="1AD977E6"/>
    <w:rsid w:val="1ADA3C85"/>
    <w:rsid w:val="1ADB1580"/>
    <w:rsid w:val="1ADC658B"/>
    <w:rsid w:val="1AE0A180"/>
    <w:rsid w:val="1AE3569D"/>
    <w:rsid w:val="1AE734BF"/>
    <w:rsid w:val="1AEBDC0D"/>
    <w:rsid w:val="1AECC595"/>
    <w:rsid w:val="1AEE1D93"/>
    <w:rsid w:val="1AEE7E98"/>
    <w:rsid w:val="1AF12712"/>
    <w:rsid w:val="1AF73E36"/>
    <w:rsid w:val="1AF93835"/>
    <w:rsid w:val="1AFC146B"/>
    <w:rsid w:val="1AFC54E7"/>
    <w:rsid w:val="1AFCDE3B"/>
    <w:rsid w:val="1AFFAAD7"/>
    <w:rsid w:val="1AFFAC2B"/>
    <w:rsid w:val="1B01B0EF"/>
    <w:rsid w:val="1B056CD2"/>
    <w:rsid w:val="1B05C964"/>
    <w:rsid w:val="1B0DA286"/>
    <w:rsid w:val="1B0EC5A9"/>
    <w:rsid w:val="1B120F49"/>
    <w:rsid w:val="1B142F21"/>
    <w:rsid w:val="1B14E51E"/>
    <w:rsid w:val="1B162FAF"/>
    <w:rsid w:val="1B1635D5"/>
    <w:rsid w:val="1B16BC31"/>
    <w:rsid w:val="1B196CE5"/>
    <w:rsid w:val="1B1B29CC"/>
    <w:rsid w:val="1B1DC04F"/>
    <w:rsid w:val="1B2290BA"/>
    <w:rsid w:val="1B236F76"/>
    <w:rsid w:val="1B245C62"/>
    <w:rsid w:val="1B2ADF53"/>
    <w:rsid w:val="1B2B3494"/>
    <w:rsid w:val="1B2D79FA"/>
    <w:rsid w:val="1B2E1035"/>
    <w:rsid w:val="1B3072DF"/>
    <w:rsid w:val="1B370AE0"/>
    <w:rsid w:val="1B3AD6F9"/>
    <w:rsid w:val="1B3B28FF"/>
    <w:rsid w:val="1B3E1685"/>
    <w:rsid w:val="1B3EC7E2"/>
    <w:rsid w:val="1B40996D"/>
    <w:rsid w:val="1B40E0FA"/>
    <w:rsid w:val="1B43E6C1"/>
    <w:rsid w:val="1B4761F3"/>
    <w:rsid w:val="1B47AF77"/>
    <w:rsid w:val="1B4865FB"/>
    <w:rsid w:val="1B493234"/>
    <w:rsid w:val="1B4B6A6D"/>
    <w:rsid w:val="1B4F75E2"/>
    <w:rsid w:val="1B514718"/>
    <w:rsid w:val="1B5228C4"/>
    <w:rsid w:val="1B543931"/>
    <w:rsid w:val="1B56295D"/>
    <w:rsid w:val="1B585038"/>
    <w:rsid w:val="1B5A33AB"/>
    <w:rsid w:val="1B5B2CF0"/>
    <w:rsid w:val="1B5E15D7"/>
    <w:rsid w:val="1B5E8499"/>
    <w:rsid w:val="1B605959"/>
    <w:rsid w:val="1B60CB97"/>
    <w:rsid w:val="1B60E005"/>
    <w:rsid w:val="1B6237C0"/>
    <w:rsid w:val="1B637B46"/>
    <w:rsid w:val="1B644488"/>
    <w:rsid w:val="1B651DAC"/>
    <w:rsid w:val="1B65354C"/>
    <w:rsid w:val="1B677F3B"/>
    <w:rsid w:val="1B67C7DF"/>
    <w:rsid w:val="1B67ED75"/>
    <w:rsid w:val="1B69130B"/>
    <w:rsid w:val="1B6A61A7"/>
    <w:rsid w:val="1B6C417A"/>
    <w:rsid w:val="1B6C6016"/>
    <w:rsid w:val="1B6C68DA"/>
    <w:rsid w:val="1B6CE796"/>
    <w:rsid w:val="1B712239"/>
    <w:rsid w:val="1B73A082"/>
    <w:rsid w:val="1B7532FC"/>
    <w:rsid w:val="1B76E24E"/>
    <w:rsid w:val="1B799F0B"/>
    <w:rsid w:val="1B7AD611"/>
    <w:rsid w:val="1B7B10B3"/>
    <w:rsid w:val="1B7D19BA"/>
    <w:rsid w:val="1B808354"/>
    <w:rsid w:val="1B82D8BB"/>
    <w:rsid w:val="1B850B07"/>
    <w:rsid w:val="1B8597B6"/>
    <w:rsid w:val="1B8612F2"/>
    <w:rsid w:val="1B8B5669"/>
    <w:rsid w:val="1B8B9468"/>
    <w:rsid w:val="1B8D5A74"/>
    <w:rsid w:val="1B8EFA63"/>
    <w:rsid w:val="1B8F95BD"/>
    <w:rsid w:val="1B963C88"/>
    <w:rsid w:val="1B99B679"/>
    <w:rsid w:val="1B9E9436"/>
    <w:rsid w:val="1BA06033"/>
    <w:rsid w:val="1BA1E075"/>
    <w:rsid w:val="1BA3DA2A"/>
    <w:rsid w:val="1BA4BCA7"/>
    <w:rsid w:val="1BADA7DB"/>
    <w:rsid w:val="1BAE0DA6"/>
    <w:rsid w:val="1BB1B8F4"/>
    <w:rsid w:val="1BB1CDEE"/>
    <w:rsid w:val="1BB4341B"/>
    <w:rsid w:val="1BB55203"/>
    <w:rsid w:val="1BB5E1E8"/>
    <w:rsid w:val="1BB63745"/>
    <w:rsid w:val="1BB7C405"/>
    <w:rsid w:val="1BBA4C70"/>
    <w:rsid w:val="1BBA8FB7"/>
    <w:rsid w:val="1BBBB27F"/>
    <w:rsid w:val="1BBECDD8"/>
    <w:rsid w:val="1BC2A1FA"/>
    <w:rsid w:val="1BC2ED7F"/>
    <w:rsid w:val="1BC6B6A2"/>
    <w:rsid w:val="1BCED67E"/>
    <w:rsid w:val="1BD7425E"/>
    <w:rsid w:val="1BDAFD8F"/>
    <w:rsid w:val="1BDCC466"/>
    <w:rsid w:val="1BE07ED9"/>
    <w:rsid w:val="1BE510EB"/>
    <w:rsid w:val="1BED9AC7"/>
    <w:rsid w:val="1BEE1311"/>
    <w:rsid w:val="1BEE9CDB"/>
    <w:rsid w:val="1BF538BB"/>
    <w:rsid w:val="1BF711B1"/>
    <w:rsid w:val="1BF9C47A"/>
    <w:rsid w:val="1BFAF031"/>
    <w:rsid w:val="1BFBE17F"/>
    <w:rsid w:val="1C00945A"/>
    <w:rsid w:val="1C05552F"/>
    <w:rsid w:val="1C05BCD0"/>
    <w:rsid w:val="1C0610B0"/>
    <w:rsid w:val="1C09C9E1"/>
    <w:rsid w:val="1C0B5B84"/>
    <w:rsid w:val="1C111635"/>
    <w:rsid w:val="1C127247"/>
    <w:rsid w:val="1C178D11"/>
    <w:rsid w:val="1C17E559"/>
    <w:rsid w:val="1C18B193"/>
    <w:rsid w:val="1C196CA8"/>
    <w:rsid w:val="1C19F3FD"/>
    <w:rsid w:val="1C1C834E"/>
    <w:rsid w:val="1C2080FE"/>
    <w:rsid w:val="1C246AC2"/>
    <w:rsid w:val="1C25FC14"/>
    <w:rsid w:val="1C2720EB"/>
    <w:rsid w:val="1C27C982"/>
    <w:rsid w:val="1C28B97D"/>
    <w:rsid w:val="1C2B407B"/>
    <w:rsid w:val="1C2E11F4"/>
    <w:rsid w:val="1C3037F1"/>
    <w:rsid w:val="1C314C7C"/>
    <w:rsid w:val="1C35D03A"/>
    <w:rsid w:val="1C3665D6"/>
    <w:rsid w:val="1C394FBD"/>
    <w:rsid w:val="1C3C38F4"/>
    <w:rsid w:val="1C3C4AE9"/>
    <w:rsid w:val="1C407A91"/>
    <w:rsid w:val="1C41543D"/>
    <w:rsid w:val="1C42669D"/>
    <w:rsid w:val="1C446699"/>
    <w:rsid w:val="1C4546D1"/>
    <w:rsid w:val="1C46AD35"/>
    <w:rsid w:val="1C46BA82"/>
    <w:rsid w:val="1C4D1511"/>
    <w:rsid w:val="1C4D1AC7"/>
    <w:rsid w:val="1C4F9199"/>
    <w:rsid w:val="1C5162FD"/>
    <w:rsid w:val="1C52ECB5"/>
    <w:rsid w:val="1C56EAF1"/>
    <w:rsid w:val="1C575F7C"/>
    <w:rsid w:val="1C57F34C"/>
    <w:rsid w:val="1C5A9598"/>
    <w:rsid w:val="1C5B89D6"/>
    <w:rsid w:val="1C61F0F6"/>
    <w:rsid w:val="1C669A29"/>
    <w:rsid w:val="1C66FBD7"/>
    <w:rsid w:val="1C6713D1"/>
    <w:rsid w:val="1C6775E7"/>
    <w:rsid w:val="1C6AC763"/>
    <w:rsid w:val="1C6D9AFF"/>
    <w:rsid w:val="1C70C723"/>
    <w:rsid w:val="1C72FFA2"/>
    <w:rsid w:val="1C7DC9EC"/>
    <w:rsid w:val="1C7E925D"/>
    <w:rsid w:val="1C7FA279"/>
    <w:rsid w:val="1C85ADF5"/>
    <w:rsid w:val="1C871298"/>
    <w:rsid w:val="1C888ED6"/>
    <w:rsid w:val="1C90D381"/>
    <w:rsid w:val="1C910D4E"/>
    <w:rsid w:val="1C94614F"/>
    <w:rsid w:val="1C95D84E"/>
    <w:rsid w:val="1C971BC6"/>
    <w:rsid w:val="1C999AC8"/>
    <w:rsid w:val="1C9BDD18"/>
    <w:rsid w:val="1CA0FB37"/>
    <w:rsid w:val="1CA3E1B9"/>
    <w:rsid w:val="1CA4350E"/>
    <w:rsid w:val="1CA5EDDD"/>
    <w:rsid w:val="1CA9C082"/>
    <w:rsid w:val="1CAB3CB4"/>
    <w:rsid w:val="1CAC7BE7"/>
    <w:rsid w:val="1CAE5FB3"/>
    <w:rsid w:val="1CB5919B"/>
    <w:rsid w:val="1CB5BEB4"/>
    <w:rsid w:val="1CB63AF6"/>
    <w:rsid w:val="1CB9FBCA"/>
    <w:rsid w:val="1CBCC9D4"/>
    <w:rsid w:val="1CBE136B"/>
    <w:rsid w:val="1CBEE1B2"/>
    <w:rsid w:val="1CBFD0C6"/>
    <w:rsid w:val="1CC1563A"/>
    <w:rsid w:val="1CC29B7E"/>
    <w:rsid w:val="1CC2C1ED"/>
    <w:rsid w:val="1CC4F6B2"/>
    <w:rsid w:val="1CC78C44"/>
    <w:rsid w:val="1CC8097C"/>
    <w:rsid w:val="1CC9D1AB"/>
    <w:rsid w:val="1CCC01EB"/>
    <w:rsid w:val="1CCD5ABC"/>
    <w:rsid w:val="1CD11E06"/>
    <w:rsid w:val="1CD1ABD1"/>
    <w:rsid w:val="1CD35FE0"/>
    <w:rsid w:val="1CDA4C0E"/>
    <w:rsid w:val="1CDA6D4E"/>
    <w:rsid w:val="1CDC1519"/>
    <w:rsid w:val="1CDF99C0"/>
    <w:rsid w:val="1CE20307"/>
    <w:rsid w:val="1CE35452"/>
    <w:rsid w:val="1CEB09CE"/>
    <w:rsid w:val="1CEBD655"/>
    <w:rsid w:val="1CEBFC4E"/>
    <w:rsid w:val="1CEC94AA"/>
    <w:rsid w:val="1CED758F"/>
    <w:rsid w:val="1CEDCD05"/>
    <w:rsid w:val="1CEFE8FD"/>
    <w:rsid w:val="1CF43CA9"/>
    <w:rsid w:val="1CF49AFD"/>
    <w:rsid w:val="1CF651B2"/>
    <w:rsid w:val="1CF68343"/>
    <w:rsid w:val="1CF6D743"/>
    <w:rsid w:val="1CF6E880"/>
    <w:rsid w:val="1CF78B5D"/>
    <w:rsid w:val="1CF953B0"/>
    <w:rsid w:val="1CF9EEEF"/>
    <w:rsid w:val="1CFEF6BA"/>
    <w:rsid w:val="1D00398F"/>
    <w:rsid w:val="1D03A245"/>
    <w:rsid w:val="1D058B67"/>
    <w:rsid w:val="1D0CC5E3"/>
    <w:rsid w:val="1D147172"/>
    <w:rsid w:val="1D15469D"/>
    <w:rsid w:val="1D1575F8"/>
    <w:rsid w:val="1D170234"/>
    <w:rsid w:val="1D1ACB04"/>
    <w:rsid w:val="1D1CBD15"/>
    <w:rsid w:val="1D1D4546"/>
    <w:rsid w:val="1D1E3B42"/>
    <w:rsid w:val="1D204988"/>
    <w:rsid w:val="1D21FBD2"/>
    <w:rsid w:val="1D26554D"/>
    <w:rsid w:val="1D28D289"/>
    <w:rsid w:val="1D2A73C4"/>
    <w:rsid w:val="1D2D3D68"/>
    <w:rsid w:val="1D2DDE65"/>
    <w:rsid w:val="1D303A89"/>
    <w:rsid w:val="1D335552"/>
    <w:rsid w:val="1D37C20F"/>
    <w:rsid w:val="1D3A983B"/>
    <w:rsid w:val="1D3EF04B"/>
    <w:rsid w:val="1D42523D"/>
    <w:rsid w:val="1D4287DC"/>
    <w:rsid w:val="1D4354C6"/>
    <w:rsid w:val="1D45936C"/>
    <w:rsid w:val="1D489E6E"/>
    <w:rsid w:val="1D48A7D9"/>
    <w:rsid w:val="1D4ABA5C"/>
    <w:rsid w:val="1D4CC063"/>
    <w:rsid w:val="1D4E6740"/>
    <w:rsid w:val="1D4F5CCD"/>
    <w:rsid w:val="1D52EF37"/>
    <w:rsid w:val="1D53C2FF"/>
    <w:rsid w:val="1D547486"/>
    <w:rsid w:val="1D55D195"/>
    <w:rsid w:val="1D56C1BB"/>
    <w:rsid w:val="1D5800DC"/>
    <w:rsid w:val="1D58E339"/>
    <w:rsid w:val="1D5C0F0F"/>
    <w:rsid w:val="1D5D1C3C"/>
    <w:rsid w:val="1D5DC3E6"/>
    <w:rsid w:val="1D62FF60"/>
    <w:rsid w:val="1D632C02"/>
    <w:rsid w:val="1D64CED1"/>
    <w:rsid w:val="1D64FDC9"/>
    <w:rsid w:val="1D650F99"/>
    <w:rsid w:val="1D6546DF"/>
    <w:rsid w:val="1D6A4A5C"/>
    <w:rsid w:val="1D6A9ECE"/>
    <w:rsid w:val="1D6C4393"/>
    <w:rsid w:val="1D6C794E"/>
    <w:rsid w:val="1D7430B3"/>
    <w:rsid w:val="1D74FDEA"/>
    <w:rsid w:val="1D755667"/>
    <w:rsid w:val="1D75F077"/>
    <w:rsid w:val="1D7BAE80"/>
    <w:rsid w:val="1D81FF4C"/>
    <w:rsid w:val="1D845B1B"/>
    <w:rsid w:val="1D85DD04"/>
    <w:rsid w:val="1D8A9C8F"/>
    <w:rsid w:val="1D8B7B2D"/>
    <w:rsid w:val="1D8CD612"/>
    <w:rsid w:val="1D911A24"/>
    <w:rsid w:val="1D920522"/>
    <w:rsid w:val="1D938374"/>
    <w:rsid w:val="1D94365A"/>
    <w:rsid w:val="1D95E9BB"/>
    <w:rsid w:val="1D987AF0"/>
    <w:rsid w:val="1D9D99D2"/>
    <w:rsid w:val="1D9E3BA5"/>
    <w:rsid w:val="1D9E8C7B"/>
    <w:rsid w:val="1D9E923F"/>
    <w:rsid w:val="1DA28BBD"/>
    <w:rsid w:val="1DA2B688"/>
    <w:rsid w:val="1DA2D59D"/>
    <w:rsid w:val="1DA32D05"/>
    <w:rsid w:val="1DA4ECAC"/>
    <w:rsid w:val="1DAAA9B0"/>
    <w:rsid w:val="1DAB7AD6"/>
    <w:rsid w:val="1DADA27B"/>
    <w:rsid w:val="1DAEB412"/>
    <w:rsid w:val="1DAF0F35"/>
    <w:rsid w:val="1DB4F67E"/>
    <w:rsid w:val="1DB56294"/>
    <w:rsid w:val="1DB7C88D"/>
    <w:rsid w:val="1DBAEB81"/>
    <w:rsid w:val="1DBCD6C7"/>
    <w:rsid w:val="1DBEB8B2"/>
    <w:rsid w:val="1DBFC7CF"/>
    <w:rsid w:val="1DC15A47"/>
    <w:rsid w:val="1DC1E0E2"/>
    <w:rsid w:val="1DC36A9D"/>
    <w:rsid w:val="1DC513E7"/>
    <w:rsid w:val="1DC8E449"/>
    <w:rsid w:val="1DCBDF68"/>
    <w:rsid w:val="1DCCFEB0"/>
    <w:rsid w:val="1DCD6EB9"/>
    <w:rsid w:val="1DCDCF09"/>
    <w:rsid w:val="1DCF9F70"/>
    <w:rsid w:val="1DD0133A"/>
    <w:rsid w:val="1DD14B12"/>
    <w:rsid w:val="1DD212D9"/>
    <w:rsid w:val="1DD305DD"/>
    <w:rsid w:val="1DD321BB"/>
    <w:rsid w:val="1DD3CBB0"/>
    <w:rsid w:val="1DD68C25"/>
    <w:rsid w:val="1DD8C750"/>
    <w:rsid w:val="1DDAA081"/>
    <w:rsid w:val="1DDB25F1"/>
    <w:rsid w:val="1DDB6083"/>
    <w:rsid w:val="1DDCB1AF"/>
    <w:rsid w:val="1DDDE1C3"/>
    <w:rsid w:val="1DDE49AB"/>
    <w:rsid w:val="1DDE9FF8"/>
    <w:rsid w:val="1DDEC430"/>
    <w:rsid w:val="1DDEFF43"/>
    <w:rsid w:val="1DE01891"/>
    <w:rsid w:val="1DE24FD2"/>
    <w:rsid w:val="1DE367D4"/>
    <w:rsid w:val="1DE4286D"/>
    <w:rsid w:val="1DE8EEB4"/>
    <w:rsid w:val="1DEA9A75"/>
    <w:rsid w:val="1DEBDE28"/>
    <w:rsid w:val="1DED820D"/>
    <w:rsid w:val="1DEF8144"/>
    <w:rsid w:val="1DF6FABA"/>
    <w:rsid w:val="1DF8F602"/>
    <w:rsid w:val="1DF9D3B4"/>
    <w:rsid w:val="1DFC1CC4"/>
    <w:rsid w:val="1E015BDA"/>
    <w:rsid w:val="1E042866"/>
    <w:rsid w:val="1E053CA7"/>
    <w:rsid w:val="1E0A81A2"/>
    <w:rsid w:val="1E0BA6C1"/>
    <w:rsid w:val="1E0D4178"/>
    <w:rsid w:val="1E0D5C57"/>
    <w:rsid w:val="1E0E5181"/>
    <w:rsid w:val="1E0FA494"/>
    <w:rsid w:val="1E100D4F"/>
    <w:rsid w:val="1E137E56"/>
    <w:rsid w:val="1E15363D"/>
    <w:rsid w:val="1E155D31"/>
    <w:rsid w:val="1E1747C0"/>
    <w:rsid w:val="1E18A0A6"/>
    <w:rsid w:val="1E1B5771"/>
    <w:rsid w:val="1E1EEC1D"/>
    <w:rsid w:val="1E21BA9B"/>
    <w:rsid w:val="1E289514"/>
    <w:rsid w:val="1E2AE707"/>
    <w:rsid w:val="1E2C6223"/>
    <w:rsid w:val="1E2E1E39"/>
    <w:rsid w:val="1E309EE8"/>
    <w:rsid w:val="1E30F4A9"/>
    <w:rsid w:val="1E326C67"/>
    <w:rsid w:val="1E3458F0"/>
    <w:rsid w:val="1E3798CB"/>
    <w:rsid w:val="1E37F858"/>
    <w:rsid w:val="1E3C9876"/>
    <w:rsid w:val="1E440474"/>
    <w:rsid w:val="1E45183E"/>
    <w:rsid w:val="1E4DF1EB"/>
    <w:rsid w:val="1E4E687F"/>
    <w:rsid w:val="1E5299E3"/>
    <w:rsid w:val="1E530D50"/>
    <w:rsid w:val="1E56AC55"/>
    <w:rsid w:val="1E5C4B27"/>
    <w:rsid w:val="1E5C9CF6"/>
    <w:rsid w:val="1E5F2799"/>
    <w:rsid w:val="1E618E8E"/>
    <w:rsid w:val="1E62C6C2"/>
    <w:rsid w:val="1E63E8F5"/>
    <w:rsid w:val="1E66296E"/>
    <w:rsid w:val="1E6AE966"/>
    <w:rsid w:val="1E6E2097"/>
    <w:rsid w:val="1E710328"/>
    <w:rsid w:val="1E767CC9"/>
    <w:rsid w:val="1E789CC3"/>
    <w:rsid w:val="1E79FB0D"/>
    <w:rsid w:val="1E7A5376"/>
    <w:rsid w:val="1E7A5575"/>
    <w:rsid w:val="1E7ACEB4"/>
    <w:rsid w:val="1E7BEEE1"/>
    <w:rsid w:val="1E7CE779"/>
    <w:rsid w:val="1E7EA469"/>
    <w:rsid w:val="1E7EF42B"/>
    <w:rsid w:val="1E82F6C9"/>
    <w:rsid w:val="1E84392F"/>
    <w:rsid w:val="1E858AE0"/>
    <w:rsid w:val="1E85AA73"/>
    <w:rsid w:val="1E8672CA"/>
    <w:rsid w:val="1E88F5C2"/>
    <w:rsid w:val="1E89640F"/>
    <w:rsid w:val="1E8B4603"/>
    <w:rsid w:val="1E8C663D"/>
    <w:rsid w:val="1E8D8546"/>
    <w:rsid w:val="1E8E4719"/>
    <w:rsid w:val="1E903C6A"/>
    <w:rsid w:val="1E90E5BA"/>
    <w:rsid w:val="1E94BF3D"/>
    <w:rsid w:val="1E95DE3F"/>
    <w:rsid w:val="1E97F864"/>
    <w:rsid w:val="1E985ADF"/>
    <w:rsid w:val="1E99F6DF"/>
    <w:rsid w:val="1E9B3A87"/>
    <w:rsid w:val="1E9BC01C"/>
    <w:rsid w:val="1E9E20DB"/>
    <w:rsid w:val="1EA007BD"/>
    <w:rsid w:val="1EA169ED"/>
    <w:rsid w:val="1EA1CE0C"/>
    <w:rsid w:val="1EA6A5B9"/>
    <w:rsid w:val="1EB43E99"/>
    <w:rsid w:val="1EB77C55"/>
    <w:rsid w:val="1EB8728E"/>
    <w:rsid w:val="1EBB6C9C"/>
    <w:rsid w:val="1EC08F48"/>
    <w:rsid w:val="1EC28A69"/>
    <w:rsid w:val="1EC33CFF"/>
    <w:rsid w:val="1EC52A06"/>
    <w:rsid w:val="1EC56C11"/>
    <w:rsid w:val="1EC5D58D"/>
    <w:rsid w:val="1EC80A86"/>
    <w:rsid w:val="1EC8D8C3"/>
    <w:rsid w:val="1ECAB564"/>
    <w:rsid w:val="1ECE7E66"/>
    <w:rsid w:val="1ED0EF80"/>
    <w:rsid w:val="1ED15305"/>
    <w:rsid w:val="1ED514EE"/>
    <w:rsid w:val="1ED69E24"/>
    <w:rsid w:val="1ED7CE39"/>
    <w:rsid w:val="1ED7F9A0"/>
    <w:rsid w:val="1EDB7DB3"/>
    <w:rsid w:val="1EDC018F"/>
    <w:rsid w:val="1EDD7AE6"/>
    <w:rsid w:val="1EDEE212"/>
    <w:rsid w:val="1EDFE293"/>
    <w:rsid w:val="1EE035D1"/>
    <w:rsid w:val="1EEC4A2D"/>
    <w:rsid w:val="1EED4BA0"/>
    <w:rsid w:val="1EEE4CDA"/>
    <w:rsid w:val="1EEF30E1"/>
    <w:rsid w:val="1EF01D26"/>
    <w:rsid w:val="1EF178B5"/>
    <w:rsid w:val="1EF1A246"/>
    <w:rsid w:val="1EF26300"/>
    <w:rsid w:val="1EF54C60"/>
    <w:rsid w:val="1EF6A200"/>
    <w:rsid w:val="1EF732F3"/>
    <w:rsid w:val="1EF745F2"/>
    <w:rsid w:val="1EF9F3C3"/>
    <w:rsid w:val="1EFC30D8"/>
    <w:rsid w:val="1EFD58A6"/>
    <w:rsid w:val="1F02751C"/>
    <w:rsid w:val="1F031D45"/>
    <w:rsid w:val="1F07FA7D"/>
    <w:rsid w:val="1F093678"/>
    <w:rsid w:val="1F09EC26"/>
    <w:rsid w:val="1F0B3D38"/>
    <w:rsid w:val="1F0D856F"/>
    <w:rsid w:val="1F0EEEDD"/>
    <w:rsid w:val="1F141C55"/>
    <w:rsid w:val="1F156732"/>
    <w:rsid w:val="1F1A3D56"/>
    <w:rsid w:val="1F1AA99A"/>
    <w:rsid w:val="1F1B7DB8"/>
    <w:rsid w:val="1F1C2514"/>
    <w:rsid w:val="1F1E14D1"/>
    <w:rsid w:val="1F20C076"/>
    <w:rsid w:val="1F219F44"/>
    <w:rsid w:val="1F239CC1"/>
    <w:rsid w:val="1F2464E6"/>
    <w:rsid w:val="1F24E337"/>
    <w:rsid w:val="1F2613A3"/>
    <w:rsid w:val="1F2C7845"/>
    <w:rsid w:val="1F2EA2C6"/>
    <w:rsid w:val="1F30B449"/>
    <w:rsid w:val="1F30ED43"/>
    <w:rsid w:val="1F331268"/>
    <w:rsid w:val="1F33455A"/>
    <w:rsid w:val="1F37A52D"/>
    <w:rsid w:val="1F38E544"/>
    <w:rsid w:val="1F39C642"/>
    <w:rsid w:val="1F3C08A9"/>
    <w:rsid w:val="1F3E80E8"/>
    <w:rsid w:val="1F462CC5"/>
    <w:rsid w:val="1F479A9C"/>
    <w:rsid w:val="1F4B34BF"/>
    <w:rsid w:val="1F537B1F"/>
    <w:rsid w:val="1F5508B1"/>
    <w:rsid w:val="1F55EB44"/>
    <w:rsid w:val="1F567636"/>
    <w:rsid w:val="1F573CDA"/>
    <w:rsid w:val="1F574A1B"/>
    <w:rsid w:val="1F5AC099"/>
    <w:rsid w:val="1F5BEA8F"/>
    <w:rsid w:val="1F5EB985"/>
    <w:rsid w:val="1F5F329E"/>
    <w:rsid w:val="1F65E2E8"/>
    <w:rsid w:val="1F687590"/>
    <w:rsid w:val="1F69464F"/>
    <w:rsid w:val="1F69FA12"/>
    <w:rsid w:val="1F6CF60A"/>
    <w:rsid w:val="1F6DEAAA"/>
    <w:rsid w:val="1F7222EC"/>
    <w:rsid w:val="1F73501B"/>
    <w:rsid w:val="1F7CA8C7"/>
    <w:rsid w:val="1F7E867B"/>
    <w:rsid w:val="1F7ED8B6"/>
    <w:rsid w:val="1F81DDA6"/>
    <w:rsid w:val="1F81F7EA"/>
    <w:rsid w:val="1F829C3A"/>
    <w:rsid w:val="1F861B8F"/>
    <w:rsid w:val="1F879F75"/>
    <w:rsid w:val="1F8A2C76"/>
    <w:rsid w:val="1F8AE7B2"/>
    <w:rsid w:val="1F8BBDB0"/>
    <w:rsid w:val="1F8CF70A"/>
    <w:rsid w:val="1F94FA07"/>
    <w:rsid w:val="1F97CF4D"/>
    <w:rsid w:val="1F98EA60"/>
    <w:rsid w:val="1F9B92C5"/>
    <w:rsid w:val="1F9C23A5"/>
    <w:rsid w:val="1F9F3F79"/>
    <w:rsid w:val="1F9FC038"/>
    <w:rsid w:val="1FA0A7F7"/>
    <w:rsid w:val="1FA286A0"/>
    <w:rsid w:val="1FA3869D"/>
    <w:rsid w:val="1FA38E86"/>
    <w:rsid w:val="1FA3A9EB"/>
    <w:rsid w:val="1FA4B9D2"/>
    <w:rsid w:val="1FA758AA"/>
    <w:rsid w:val="1FA7693B"/>
    <w:rsid w:val="1FA9FBC6"/>
    <w:rsid w:val="1FACCE1D"/>
    <w:rsid w:val="1FB31F96"/>
    <w:rsid w:val="1FB490C3"/>
    <w:rsid w:val="1FB80929"/>
    <w:rsid w:val="1FB8A710"/>
    <w:rsid w:val="1FBE9B40"/>
    <w:rsid w:val="1FC0CA90"/>
    <w:rsid w:val="1FCA9FFA"/>
    <w:rsid w:val="1FCD75E4"/>
    <w:rsid w:val="1FCE39FE"/>
    <w:rsid w:val="1FCEE8CC"/>
    <w:rsid w:val="1FCFBB67"/>
    <w:rsid w:val="1FD107EB"/>
    <w:rsid w:val="1FD35991"/>
    <w:rsid w:val="1FD4036C"/>
    <w:rsid w:val="1FD45F1F"/>
    <w:rsid w:val="1FD6080E"/>
    <w:rsid w:val="1FD6E89D"/>
    <w:rsid w:val="1FD6F368"/>
    <w:rsid w:val="1FD776B5"/>
    <w:rsid w:val="1FD9295A"/>
    <w:rsid w:val="1FDA5C0F"/>
    <w:rsid w:val="1FDAD347"/>
    <w:rsid w:val="1FDC26E9"/>
    <w:rsid w:val="1FDCF39E"/>
    <w:rsid w:val="1FDCF642"/>
    <w:rsid w:val="1FDD9CD7"/>
    <w:rsid w:val="1FDE2A3A"/>
    <w:rsid w:val="1FDED428"/>
    <w:rsid w:val="1FE2CCAC"/>
    <w:rsid w:val="1FE2D8A3"/>
    <w:rsid w:val="1FE828DE"/>
    <w:rsid w:val="1FE84EB6"/>
    <w:rsid w:val="1FEC8538"/>
    <w:rsid w:val="1FED47FF"/>
    <w:rsid w:val="1FEE9620"/>
    <w:rsid w:val="1FF169F5"/>
    <w:rsid w:val="1FF39B62"/>
    <w:rsid w:val="1FF645DC"/>
    <w:rsid w:val="1FF819F3"/>
    <w:rsid w:val="1FF9E034"/>
    <w:rsid w:val="1FFA40DF"/>
    <w:rsid w:val="1FFB3451"/>
    <w:rsid w:val="1FFECCAD"/>
    <w:rsid w:val="20000584"/>
    <w:rsid w:val="20037C59"/>
    <w:rsid w:val="200415F1"/>
    <w:rsid w:val="200C237A"/>
    <w:rsid w:val="200D726B"/>
    <w:rsid w:val="200EF437"/>
    <w:rsid w:val="200FC866"/>
    <w:rsid w:val="2011464E"/>
    <w:rsid w:val="20138B30"/>
    <w:rsid w:val="2013DEF6"/>
    <w:rsid w:val="20159333"/>
    <w:rsid w:val="2015D859"/>
    <w:rsid w:val="20184039"/>
    <w:rsid w:val="201AD2B7"/>
    <w:rsid w:val="201C4CDB"/>
    <w:rsid w:val="201C95F5"/>
    <w:rsid w:val="2023EBEE"/>
    <w:rsid w:val="2023F29E"/>
    <w:rsid w:val="202504B3"/>
    <w:rsid w:val="202547B4"/>
    <w:rsid w:val="202696E9"/>
    <w:rsid w:val="2028E3A8"/>
    <w:rsid w:val="202A4D4A"/>
    <w:rsid w:val="202B4D16"/>
    <w:rsid w:val="202B843F"/>
    <w:rsid w:val="202BE90A"/>
    <w:rsid w:val="202DA7AA"/>
    <w:rsid w:val="202ECB11"/>
    <w:rsid w:val="202FD7C3"/>
    <w:rsid w:val="2031CF87"/>
    <w:rsid w:val="2033C065"/>
    <w:rsid w:val="2037F4FA"/>
    <w:rsid w:val="203B946E"/>
    <w:rsid w:val="203DFF13"/>
    <w:rsid w:val="203FF5D8"/>
    <w:rsid w:val="2043E975"/>
    <w:rsid w:val="20449D03"/>
    <w:rsid w:val="20478869"/>
    <w:rsid w:val="2050D48B"/>
    <w:rsid w:val="20514C12"/>
    <w:rsid w:val="20519AD2"/>
    <w:rsid w:val="205202E8"/>
    <w:rsid w:val="205270FF"/>
    <w:rsid w:val="205504D0"/>
    <w:rsid w:val="205652CC"/>
    <w:rsid w:val="20582928"/>
    <w:rsid w:val="205BB4B2"/>
    <w:rsid w:val="205BC704"/>
    <w:rsid w:val="205D0779"/>
    <w:rsid w:val="205D2023"/>
    <w:rsid w:val="2060978C"/>
    <w:rsid w:val="2061FF4A"/>
    <w:rsid w:val="20625DD5"/>
    <w:rsid w:val="206374BF"/>
    <w:rsid w:val="2066A7EA"/>
    <w:rsid w:val="2068DC9F"/>
    <w:rsid w:val="206B08F4"/>
    <w:rsid w:val="206CC52E"/>
    <w:rsid w:val="207065B4"/>
    <w:rsid w:val="207626A0"/>
    <w:rsid w:val="2076E8AE"/>
    <w:rsid w:val="2078A5BF"/>
    <w:rsid w:val="207A1B21"/>
    <w:rsid w:val="207D4461"/>
    <w:rsid w:val="207DF376"/>
    <w:rsid w:val="207F6825"/>
    <w:rsid w:val="208051AD"/>
    <w:rsid w:val="20809BBE"/>
    <w:rsid w:val="2086B3C0"/>
    <w:rsid w:val="2088D24D"/>
    <w:rsid w:val="20892ED4"/>
    <w:rsid w:val="208CC617"/>
    <w:rsid w:val="208D4C83"/>
    <w:rsid w:val="208FBA6D"/>
    <w:rsid w:val="20920CFB"/>
    <w:rsid w:val="209566EA"/>
    <w:rsid w:val="2095D65E"/>
    <w:rsid w:val="20A39F2B"/>
    <w:rsid w:val="20A5123D"/>
    <w:rsid w:val="20A8A6A4"/>
    <w:rsid w:val="20A9B479"/>
    <w:rsid w:val="20AC3E8C"/>
    <w:rsid w:val="20AD0680"/>
    <w:rsid w:val="20AEB74B"/>
    <w:rsid w:val="20AEE741"/>
    <w:rsid w:val="20AF3385"/>
    <w:rsid w:val="20B0D293"/>
    <w:rsid w:val="20B21609"/>
    <w:rsid w:val="20B24A55"/>
    <w:rsid w:val="20B67679"/>
    <w:rsid w:val="20B74434"/>
    <w:rsid w:val="20BFF3E3"/>
    <w:rsid w:val="20C14E38"/>
    <w:rsid w:val="20C1B5D2"/>
    <w:rsid w:val="20C23D32"/>
    <w:rsid w:val="20CAE753"/>
    <w:rsid w:val="20CCAD36"/>
    <w:rsid w:val="20CE3D4F"/>
    <w:rsid w:val="20D2B5A0"/>
    <w:rsid w:val="20D30CFB"/>
    <w:rsid w:val="20D4794B"/>
    <w:rsid w:val="20D489E2"/>
    <w:rsid w:val="20D590A2"/>
    <w:rsid w:val="20DC22AD"/>
    <w:rsid w:val="20DCA8B4"/>
    <w:rsid w:val="20DDEA13"/>
    <w:rsid w:val="20DEE944"/>
    <w:rsid w:val="20E05E78"/>
    <w:rsid w:val="20E5AF2E"/>
    <w:rsid w:val="20E7F8BE"/>
    <w:rsid w:val="20EAE751"/>
    <w:rsid w:val="20EF5A14"/>
    <w:rsid w:val="20F11493"/>
    <w:rsid w:val="20F13165"/>
    <w:rsid w:val="20F54597"/>
    <w:rsid w:val="20F5B3A2"/>
    <w:rsid w:val="20F98B7C"/>
    <w:rsid w:val="20FB6E9D"/>
    <w:rsid w:val="20FC8F6C"/>
    <w:rsid w:val="20FF4867"/>
    <w:rsid w:val="21009167"/>
    <w:rsid w:val="21021887"/>
    <w:rsid w:val="2103BF48"/>
    <w:rsid w:val="2104644E"/>
    <w:rsid w:val="210594E0"/>
    <w:rsid w:val="2107384B"/>
    <w:rsid w:val="2107CFB5"/>
    <w:rsid w:val="210A9C01"/>
    <w:rsid w:val="210C5105"/>
    <w:rsid w:val="21100637"/>
    <w:rsid w:val="2110B157"/>
    <w:rsid w:val="21111DE2"/>
    <w:rsid w:val="21144464"/>
    <w:rsid w:val="2115DCDF"/>
    <w:rsid w:val="2117509A"/>
    <w:rsid w:val="21196DDB"/>
    <w:rsid w:val="211C8F56"/>
    <w:rsid w:val="211D3D43"/>
    <w:rsid w:val="2121E6BC"/>
    <w:rsid w:val="2121F265"/>
    <w:rsid w:val="21236DD5"/>
    <w:rsid w:val="212398DF"/>
    <w:rsid w:val="21259B8F"/>
    <w:rsid w:val="2125B0F3"/>
    <w:rsid w:val="21289BEC"/>
    <w:rsid w:val="2128A283"/>
    <w:rsid w:val="212C4976"/>
    <w:rsid w:val="21388CF1"/>
    <w:rsid w:val="21397128"/>
    <w:rsid w:val="2139BD2A"/>
    <w:rsid w:val="213C4E45"/>
    <w:rsid w:val="213D4400"/>
    <w:rsid w:val="213D8689"/>
    <w:rsid w:val="213E1F6B"/>
    <w:rsid w:val="213F53B5"/>
    <w:rsid w:val="2140B998"/>
    <w:rsid w:val="214A10E1"/>
    <w:rsid w:val="214A8DB0"/>
    <w:rsid w:val="214ACB24"/>
    <w:rsid w:val="214D8038"/>
    <w:rsid w:val="214F0A25"/>
    <w:rsid w:val="214FCBA0"/>
    <w:rsid w:val="21501277"/>
    <w:rsid w:val="21514429"/>
    <w:rsid w:val="21522246"/>
    <w:rsid w:val="2155EFE9"/>
    <w:rsid w:val="215AEC9E"/>
    <w:rsid w:val="215BD5D9"/>
    <w:rsid w:val="215C63F5"/>
    <w:rsid w:val="215C78B0"/>
    <w:rsid w:val="215E07EC"/>
    <w:rsid w:val="215EFD13"/>
    <w:rsid w:val="216036A3"/>
    <w:rsid w:val="2163686F"/>
    <w:rsid w:val="21662E02"/>
    <w:rsid w:val="2167CA54"/>
    <w:rsid w:val="216A3197"/>
    <w:rsid w:val="216E060C"/>
    <w:rsid w:val="2170A71A"/>
    <w:rsid w:val="2171A34A"/>
    <w:rsid w:val="2173331C"/>
    <w:rsid w:val="21744825"/>
    <w:rsid w:val="217DD4E9"/>
    <w:rsid w:val="217EA220"/>
    <w:rsid w:val="21827519"/>
    <w:rsid w:val="21853E06"/>
    <w:rsid w:val="2186335F"/>
    <w:rsid w:val="2186EA23"/>
    <w:rsid w:val="2187C762"/>
    <w:rsid w:val="218903BA"/>
    <w:rsid w:val="218BF026"/>
    <w:rsid w:val="218CA08C"/>
    <w:rsid w:val="218CC150"/>
    <w:rsid w:val="218E5E33"/>
    <w:rsid w:val="218EE84A"/>
    <w:rsid w:val="218FE021"/>
    <w:rsid w:val="2190D797"/>
    <w:rsid w:val="21998456"/>
    <w:rsid w:val="219BA279"/>
    <w:rsid w:val="219EA671"/>
    <w:rsid w:val="21A0CDEB"/>
    <w:rsid w:val="21A1DA29"/>
    <w:rsid w:val="21A247B0"/>
    <w:rsid w:val="21A31F1B"/>
    <w:rsid w:val="21A7C3D8"/>
    <w:rsid w:val="21A913D0"/>
    <w:rsid w:val="21A9852C"/>
    <w:rsid w:val="21A9A1B0"/>
    <w:rsid w:val="21ABFE6D"/>
    <w:rsid w:val="21B29BFE"/>
    <w:rsid w:val="21B2D4A3"/>
    <w:rsid w:val="21B30094"/>
    <w:rsid w:val="21B3467F"/>
    <w:rsid w:val="21B545FF"/>
    <w:rsid w:val="21B56655"/>
    <w:rsid w:val="21B61DB0"/>
    <w:rsid w:val="21B70D6E"/>
    <w:rsid w:val="21BDCC2C"/>
    <w:rsid w:val="21BF29B1"/>
    <w:rsid w:val="21BF3E8B"/>
    <w:rsid w:val="21C20BE3"/>
    <w:rsid w:val="21C232D7"/>
    <w:rsid w:val="21C358B5"/>
    <w:rsid w:val="21C41409"/>
    <w:rsid w:val="21C53DB7"/>
    <w:rsid w:val="21CD28D5"/>
    <w:rsid w:val="21D06240"/>
    <w:rsid w:val="21D1791B"/>
    <w:rsid w:val="21D1C2F7"/>
    <w:rsid w:val="21D1F24B"/>
    <w:rsid w:val="21D2CE08"/>
    <w:rsid w:val="21D3AC53"/>
    <w:rsid w:val="21D4680E"/>
    <w:rsid w:val="21D5FE96"/>
    <w:rsid w:val="21D67187"/>
    <w:rsid w:val="21D6F81A"/>
    <w:rsid w:val="21D705BF"/>
    <w:rsid w:val="21D7913A"/>
    <w:rsid w:val="21D7AE24"/>
    <w:rsid w:val="21D80248"/>
    <w:rsid w:val="21DBE81B"/>
    <w:rsid w:val="21DEE3CA"/>
    <w:rsid w:val="21DFBB2F"/>
    <w:rsid w:val="21EB4721"/>
    <w:rsid w:val="21F106B4"/>
    <w:rsid w:val="21F49CA0"/>
    <w:rsid w:val="21F6437B"/>
    <w:rsid w:val="21F8BF89"/>
    <w:rsid w:val="21FB13CD"/>
    <w:rsid w:val="21FC2C5A"/>
    <w:rsid w:val="21FCF7A8"/>
    <w:rsid w:val="21FD316E"/>
    <w:rsid w:val="21FD3AF0"/>
    <w:rsid w:val="2201D9A4"/>
    <w:rsid w:val="2202A56B"/>
    <w:rsid w:val="22052816"/>
    <w:rsid w:val="22063145"/>
    <w:rsid w:val="220672EA"/>
    <w:rsid w:val="22069C43"/>
    <w:rsid w:val="22078D84"/>
    <w:rsid w:val="220CDDA3"/>
    <w:rsid w:val="221109D5"/>
    <w:rsid w:val="221298AC"/>
    <w:rsid w:val="22136058"/>
    <w:rsid w:val="22142CC9"/>
    <w:rsid w:val="22163173"/>
    <w:rsid w:val="2216A19C"/>
    <w:rsid w:val="22183D92"/>
    <w:rsid w:val="22207699"/>
    <w:rsid w:val="2220A210"/>
    <w:rsid w:val="22256DD1"/>
    <w:rsid w:val="2225BF50"/>
    <w:rsid w:val="222632A5"/>
    <w:rsid w:val="222662BD"/>
    <w:rsid w:val="2227CDF4"/>
    <w:rsid w:val="22289A43"/>
    <w:rsid w:val="222AB2A9"/>
    <w:rsid w:val="222AD744"/>
    <w:rsid w:val="222B8DAD"/>
    <w:rsid w:val="222D2237"/>
    <w:rsid w:val="222DD9C0"/>
    <w:rsid w:val="222FBF15"/>
    <w:rsid w:val="2230C846"/>
    <w:rsid w:val="2231CE80"/>
    <w:rsid w:val="22341BC1"/>
    <w:rsid w:val="2234FBEA"/>
    <w:rsid w:val="22390C6A"/>
    <w:rsid w:val="223AFAAF"/>
    <w:rsid w:val="223C3654"/>
    <w:rsid w:val="223CBD2E"/>
    <w:rsid w:val="223D0FF0"/>
    <w:rsid w:val="223D5FFC"/>
    <w:rsid w:val="223E96D9"/>
    <w:rsid w:val="2240B420"/>
    <w:rsid w:val="22412763"/>
    <w:rsid w:val="22419FD7"/>
    <w:rsid w:val="2241ACD3"/>
    <w:rsid w:val="22420763"/>
    <w:rsid w:val="22428B5C"/>
    <w:rsid w:val="224338F1"/>
    <w:rsid w:val="2245CB0A"/>
    <w:rsid w:val="224735CA"/>
    <w:rsid w:val="2247FA0F"/>
    <w:rsid w:val="224BA59B"/>
    <w:rsid w:val="224D56C3"/>
    <w:rsid w:val="224EDAA1"/>
    <w:rsid w:val="224FDE9E"/>
    <w:rsid w:val="22504EC2"/>
    <w:rsid w:val="2250C78C"/>
    <w:rsid w:val="225142ED"/>
    <w:rsid w:val="22582133"/>
    <w:rsid w:val="225864E4"/>
    <w:rsid w:val="22592C2E"/>
    <w:rsid w:val="2259DAFD"/>
    <w:rsid w:val="225A154F"/>
    <w:rsid w:val="225C53E4"/>
    <w:rsid w:val="225C9974"/>
    <w:rsid w:val="225D1416"/>
    <w:rsid w:val="225E62C8"/>
    <w:rsid w:val="225FD0EC"/>
    <w:rsid w:val="225FD981"/>
    <w:rsid w:val="22601CA9"/>
    <w:rsid w:val="226041A5"/>
    <w:rsid w:val="22633A09"/>
    <w:rsid w:val="226371CF"/>
    <w:rsid w:val="2265CFF3"/>
    <w:rsid w:val="22664989"/>
    <w:rsid w:val="226A9F93"/>
    <w:rsid w:val="226B41DE"/>
    <w:rsid w:val="226B9ECA"/>
    <w:rsid w:val="226F9FB8"/>
    <w:rsid w:val="2272ACEB"/>
    <w:rsid w:val="22736F1F"/>
    <w:rsid w:val="22759D7A"/>
    <w:rsid w:val="22775710"/>
    <w:rsid w:val="22788561"/>
    <w:rsid w:val="22788C80"/>
    <w:rsid w:val="22792812"/>
    <w:rsid w:val="2280A091"/>
    <w:rsid w:val="2280FE0E"/>
    <w:rsid w:val="22821501"/>
    <w:rsid w:val="2283549A"/>
    <w:rsid w:val="22845BAF"/>
    <w:rsid w:val="228668CB"/>
    <w:rsid w:val="228777A1"/>
    <w:rsid w:val="2288B83B"/>
    <w:rsid w:val="228B9F1B"/>
    <w:rsid w:val="228FA639"/>
    <w:rsid w:val="2290C7FA"/>
    <w:rsid w:val="2291EFB7"/>
    <w:rsid w:val="2292B59A"/>
    <w:rsid w:val="2293F2DB"/>
    <w:rsid w:val="229472B4"/>
    <w:rsid w:val="22954932"/>
    <w:rsid w:val="22975DD4"/>
    <w:rsid w:val="2298A23A"/>
    <w:rsid w:val="229D34F0"/>
    <w:rsid w:val="229EEA54"/>
    <w:rsid w:val="22A0218D"/>
    <w:rsid w:val="22A09065"/>
    <w:rsid w:val="22A09C57"/>
    <w:rsid w:val="22A1D237"/>
    <w:rsid w:val="22A34227"/>
    <w:rsid w:val="22A4684A"/>
    <w:rsid w:val="22A54E6E"/>
    <w:rsid w:val="22A72A7C"/>
    <w:rsid w:val="22A7E1F9"/>
    <w:rsid w:val="22AC59F9"/>
    <w:rsid w:val="22B02065"/>
    <w:rsid w:val="22B04333"/>
    <w:rsid w:val="22B0E592"/>
    <w:rsid w:val="22B30E76"/>
    <w:rsid w:val="22B35AEE"/>
    <w:rsid w:val="22B416FE"/>
    <w:rsid w:val="22B4FFB6"/>
    <w:rsid w:val="22B5E76C"/>
    <w:rsid w:val="22B759F3"/>
    <w:rsid w:val="22B82BFC"/>
    <w:rsid w:val="22BDD41B"/>
    <w:rsid w:val="22BDD63D"/>
    <w:rsid w:val="22C0E23C"/>
    <w:rsid w:val="22C10883"/>
    <w:rsid w:val="22C1AC7B"/>
    <w:rsid w:val="22C2404E"/>
    <w:rsid w:val="22C2C12B"/>
    <w:rsid w:val="22C3698C"/>
    <w:rsid w:val="22C47D3A"/>
    <w:rsid w:val="22CE3289"/>
    <w:rsid w:val="22D09E2C"/>
    <w:rsid w:val="22D39D30"/>
    <w:rsid w:val="22D3AC09"/>
    <w:rsid w:val="22D52193"/>
    <w:rsid w:val="22DA6E67"/>
    <w:rsid w:val="22DB21BD"/>
    <w:rsid w:val="22DC732D"/>
    <w:rsid w:val="22DDF0D6"/>
    <w:rsid w:val="22DE893A"/>
    <w:rsid w:val="22E41E3A"/>
    <w:rsid w:val="22E56C74"/>
    <w:rsid w:val="22E6421D"/>
    <w:rsid w:val="22EC7221"/>
    <w:rsid w:val="22F053E1"/>
    <w:rsid w:val="22F1ABA7"/>
    <w:rsid w:val="22F38F42"/>
    <w:rsid w:val="22F757EB"/>
    <w:rsid w:val="22F7EAB5"/>
    <w:rsid w:val="22FB4DC8"/>
    <w:rsid w:val="22FB8333"/>
    <w:rsid w:val="22FCF326"/>
    <w:rsid w:val="22FF4D78"/>
    <w:rsid w:val="22FFA2EC"/>
    <w:rsid w:val="22FFFFF6"/>
    <w:rsid w:val="230538AA"/>
    <w:rsid w:val="23066AD4"/>
    <w:rsid w:val="2307BC61"/>
    <w:rsid w:val="2308273C"/>
    <w:rsid w:val="23091660"/>
    <w:rsid w:val="23096ACC"/>
    <w:rsid w:val="2309FCB9"/>
    <w:rsid w:val="230A8C53"/>
    <w:rsid w:val="230B052B"/>
    <w:rsid w:val="230B441A"/>
    <w:rsid w:val="230CE83A"/>
    <w:rsid w:val="230D5D09"/>
    <w:rsid w:val="230DFC45"/>
    <w:rsid w:val="230F6BB9"/>
    <w:rsid w:val="2312903C"/>
    <w:rsid w:val="2314152A"/>
    <w:rsid w:val="231570D9"/>
    <w:rsid w:val="2316B73B"/>
    <w:rsid w:val="231C30E4"/>
    <w:rsid w:val="231D620B"/>
    <w:rsid w:val="232258AC"/>
    <w:rsid w:val="23237537"/>
    <w:rsid w:val="2323F706"/>
    <w:rsid w:val="232478F8"/>
    <w:rsid w:val="232A07E0"/>
    <w:rsid w:val="232C51A2"/>
    <w:rsid w:val="232C82B0"/>
    <w:rsid w:val="232DA9CC"/>
    <w:rsid w:val="232E2B81"/>
    <w:rsid w:val="23305792"/>
    <w:rsid w:val="2332D1ED"/>
    <w:rsid w:val="2336017F"/>
    <w:rsid w:val="233995BD"/>
    <w:rsid w:val="233D78CE"/>
    <w:rsid w:val="233E4C55"/>
    <w:rsid w:val="233EF853"/>
    <w:rsid w:val="2341BFCC"/>
    <w:rsid w:val="23446043"/>
    <w:rsid w:val="2346CC91"/>
    <w:rsid w:val="23491904"/>
    <w:rsid w:val="234C5AA4"/>
    <w:rsid w:val="234ED015"/>
    <w:rsid w:val="23509D7C"/>
    <w:rsid w:val="2354642B"/>
    <w:rsid w:val="2356D993"/>
    <w:rsid w:val="2357318B"/>
    <w:rsid w:val="2357AF84"/>
    <w:rsid w:val="23593C99"/>
    <w:rsid w:val="23599C53"/>
    <w:rsid w:val="235F4224"/>
    <w:rsid w:val="2360342B"/>
    <w:rsid w:val="2361FDE9"/>
    <w:rsid w:val="23636583"/>
    <w:rsid w:val="2364A70E"/>
    <w:rsid w:val="2364BE01"/>
    <w:rsid w:val="2364C4C4"/>
    <w:rsid w:val="23658F1A"/>
    <w:rsid w:val="23667EDB"/>
    <w:rsid w:val="2368EB39"/>
    <w:rsid w:val="236E2A58"/>
    <w:rsid w:val="23707550"/>
    <w:rsid w:val="237306FD"/>
    <w:rsid w:val="2373C716"/>
    <w:rsid w:val="23743D70"/>
    <w:rsid w:val="2374ED30"/>
    <w:rsid w:val="2378130F"/>
    <w:rsid w:val="2378DA70"/>
    <w:rsid w:val="237C2BB0"/>
    <w:rsid w:val="237E6E2E"/>
    <w:rsid w:val="2382FC7D"/>
    <w:rsid w:val="23839A26"/>
    <w:rsid w:val="23843F92"/>
    <w:rsid w:val="2384A47B"/>
    <w:rsid w:val="2385EB57"/>
    <w:rsid w:val="23876ACD"/>
    <w:rsid w:val="23877637"/>
    <w:rsid w:val="2388EF61"/>
    <w:rsid w:val="23890B83"/>
    <w:rsid w:val="238EBD8C"/>
    <w:rsid w:val="238FFE78"/>
    <w:rsid w:val="2399917B"/>
    <w:rsid w:val="239A8052"/>
    <w:rsid w:val="239E4464"/>
    <w:rsid w:val="23A204C5"/>
    <w:rsid w:val="23A21BB9"/>
    <w:rsid w:val="23A48E30"/>
    <w:rsid w:val="23A7F6B5"/>
    <w:rsid w:val="23AA9E9D"/>
    <w:rsid w:val="23AB01F3"/>
    <w:rsid w:val="23AB2B58"/>
    <w:rsid w:val="23AC5F0B"/>
    <w:rsid w:val="23AD1CF0"/>
    <w:rsid w:val="23AD71E4"/>
    <w:rsid w:val="23ADC859"/>
    <w:rsid w:val="23B0B47D"/>
    <w:rsid w:val="23B0D722"/>
    <w:rsid w:val="23B3EC25"/>
    <w:rsid w:val="23B5DB2E"/>
    <w:rsid w:val="23B805B7"/>
    <w:rsid w:val="23BACE00"/>
    <w:rsid w:val="23BF2794"/>
    <w:rsid w:val="23BF47F8"/>
    <w:rsid w:val="23C244AD"/>
    <w:rsid w:val="23C34E2B"/>
    <w:rsid w:val="23C499ED"/>
    <w:rsid w:val="23C796F0"/>
    <w:rsid w:val="23C8DE05"/>
    <w:rsid w:val="23CA2FE9"/>
    <w:rsid w:val="23CADDB3"/>
    <w:rsid w:val="23CC35B0"/>
    <w:rsid w:val="23CD2178"/>
    <w:rsid w:val="23CE7C4A"/>
    <w:rsid w:val="23CFC3CB"/>
    <w:rsid w:val="23D3F94E"/>
    <w:rsid w:val="23D46036"/>
    <w:rsid w:val="23D489DC"/>
    <w:rsid w:val="23D7EC0B"/>
    <w:rsid w:val="23DDD5C0"/>
    <w:rsid w:val="23DE77D0"/>
    <w:rsid w:val="23DF2DF7"/>
    <w:rsid w:val="23DF9060"/>
    <w:rsid w:val="23DFFB50"/>
    <w:rsid w:val="23E3A404"/>
    <w:rsid w:val="23E4114A"/>
    <w:rsid w:val="23E5B2C4"/>
    <w:rsid w:val="23E6583F"/>
    <w:rsid w:val="23E846D8"/>
    <w:rsid w:val="23EC3AC5"/>
    <w:rsid w:val="23ECA591"/>
    <w:rsid w:val="23F364FF"/>
    <w:rsid w:val="23F5C146"/>
    <w:rsid w:val="23F5E9B3"/>
    <w:rsid w:val="23F9BBE8"/>
    <w:rsid w:val="23FA955C"/>
    <w:rsid w:val="23FB7FC0"/>
    <w:rsid w:val="23FC8F56"/>
    <w:rsid w:val="23FC93D5"/>
    <w:rsid w:val="23FD6C86"/>
    <w:rsid w:val="23FE8675"/>
    <w:rsid w:val="23FF40A5"/>
    <w:rsid w:val="24027BBF"/>
    <w:rsid w:val="240443D4"/>
    <w:rsid w:val="24055FD7"/>
    <w:rsid w:val="2405C054"/>
    <w:rsid w:val="2406EAF3"/>
    <w:rsid w:val="24096DA5"/>
    <w:rsid w:val="2409EDD6"/>
    <w:rsid w:val="24109A5B"/>
    <w:rsid w:val="24125C8B"/>
    <w:rsid w:val="2415084B"/>
    <w:rsid w:val="241C0D2D"/>
    <w:rsid w:val="241F5371"/>
    <w:rsid w:val="242111DA"/>
    <w:rsid w:val="2421C7CA"/>
    <w:rsid w:val="2425D9A8"/>
    <w:rsid w:val="2427E68A"/>
    <w:rsid w:val="242C48E9"/>
    <w:rsid w:val="242E958B"/>
    <w:rsid w:val="243444EF"/>
    <w:rsid w:val="24353CE5"/>
    <w:rsid w:val="2437181A"/>
    <w:rsid w:val="24390B47"/>
    <w:rsid w:val="243A6EF2"/>
    <w:rsid w:val="243AECF0"/>
    <w:rsid w:val="243AEEDF"/>
    <w:rsid w:val="243B5E41"/>
    <w:rsid w:val="243DD4ED"/>
    <w:rsid w:val="243E29EF"/>
    <w:rsid w:val="243ED880"/>
    <w:rsid w:val="24406285"/>
    <w:rsid w:val="24414178"/>
    <w:rsid w:val="24415542"/>
    <w:rsid w:val="244270A6"/>
    <w:rsid w:val="2444B5FD"/>
    <w:rsid w:val="24490E67"/>
    <w:rsid w:val="244E7F43"/>
    <w:rsid w:val="244F4B1B"/>
    <w:rsid w:val="24510CF7"/>
    <w:rsid w:val="245221BE"/>
    <w:rsid w:val="245324B2"/>
    <w:rsid w:val="2459630B"/>
    <w:rsid w:val="245C2EC2"/>
    <w:rsid w:val="245D672C"/>
    <w:rsid w:val="245DA7C4"/>
    <w:rsid w:val="245F32AE"/>
    <w:rsid w:val="246072C6"/>
    <w:rsid w:val="2461FE09"/>
    <w:rsid w:val="246626B1"/>
    <w:rsid w:val="2466ECC2"/>
    <w:rsid w:val="246E6755"/>
    <w:rsid w:val="246F2A0C"/>
    <w:rsid w:val="2472812E"/>
    <w:rsid w:val="2472CF29"/>
    <w:rsid w:val="24749F67"/>
    <w:rsid w:val="24761F34"/>
    <w:rsid w:val="24767C0F"/>
    <w:rsid w:val="2478AC6C"/>
    <w:rsid w:val="24792903"/>
    <w:rsid w:val="24849FCD"/>
    <w:rsid w:val="2484F67B"/>
    <w:rsid w:val="24868DEF"/>
    <w:rsid w:val="2489D51E"/>
    <w:rsid w:val="248A8431"/>
    <w:rsid w:val="248CA282"/>
    <w:rsid w:val="2490267F"/>
    <w:rsid w:val="24902DEB"/>
    <w:rsid w:val="2490F779"/>
    <w:rsid w:val="24950159"/>
    <w:rsid w:val="249CE2D2"/>
    <w:rsid w:val="249EE768"/>
    <w:rsid w:val="24A11EBB"/>
    <w:rsid w:val="24A5C628"/>
    <w:rsid w:val="24A96327"/>
    <w:rsid w:val="24AAC14B"/>
    <w:rsid w:val="24AB6047"/>
    <w:rsid w:val="24AB82EC"/>
    <w:rsid w:val="24B036B2"/>
    <w:rsid w:val="24B23938"/>
    <w:rsid w:val="24B27B8E"/>
    <w:rsid w:val="24B37DB0"/>
    <w:rsid w:val="24B39A10"/>
    <w:rsid w:val="24B6E60A"/>
    <w:rsid w:val="24B767E7"/>
    <w:rsid w:val="24B93CB2"/>
    <w:rsid w:val="24BA4175"/>
    <w:rsid w:val="24BB9988"/>
    <w:rsid w:val="24BD1FB5"/>
    <w:rsid w:val="24BD6D90"/>
    <w:rsid w:val="24BDCF17"/>
    <w:rsid w:val="24BEA2F8"/>
    <w:rsid w:val="24BF1113"/>
    <w:rsid w:val="24BF7F43"/>
    <w:rsid w:val="24C00625"/>
    <w:rsid w:val="24C367FC"/>
    <w:rsid w:val="24C37A88"/>
    <w:rsid w:val="24C6B6E7"/>
    <w:rsid w:val="24C9DB0F"/>
    <w:rsid w:val="24CA700B"/>
    <w:rsid w:val="24D16A34"/>
    <w:rsid w:val="24D2AEC5"/>
    <w:rsid w:val="24D2F0D3"/>
    <w:rsid w:val="24D48C26"/>
    <w:rsid w:val="24D5EF37"/>
    <w:rsid w:val="24D60E19"/>
    <w:rsid w:val="24D65FB8"/>
    <w:rsid w:val="24D79F0C"/>
    <w:rsid w:val="24DA89D0"/>
    <w:rsid w:val="24DA970C"/>
    <w:rsid w:val="24DDDC2D"/>
    <w:rsid w:val="24DE6972"/>
    <w:rsid w:val="24DF6CA0"/>
    <w:rsid w:val="24DFE6E2"/>
    <w:rsid w:val="24E0F7CE"/>
    <w:rsid w:val="24E6A7EA"/>
    <w:rsid w:val="24E7C0DB"/>
    <w:rsid w:val="24E896AE"/>
    <w:rsid w:val="24ED99C6"/>
    <w:rsid w:val="24EE0C79"/>
    <w:rsid w:val="24EF27B3"/>
    <w:rsid w:val="24F15B9B"/>
    <w:rsid w:val="24F15CA3"/>
    <w:rsid w:val="24F2DD99"/>
    <w:rsid w:val="24F5D20C"/>
    <w:rsid w:val="24FA224D"/>
    <w:rsid w:val="24FCA7BA"/>
    <w:rsid w:val="24FD36D2"/>
    <w:rsid w:val="24FD76DF"/>
    <w:rsid w:val="24FEDE0A"/>
    <w:rsid w:val="250101D1"/>
    <w:rsid w:val="2504E819"/>
    <w:rsid w:val="25062F9B"/>
    <w:rsid w:val="25079E9F"/>
    <w:rsid w:val="2509A628"/>
    <w:rsid w:val="2509F0A2"/>
    <w:rsid w:val="250A40CD"/>
    <w:rsid w:val="250CEE36"/>
    <w:rsid w:val="250D24C1"/>
    <w:rsid w:val="250DB65F"/>
    <w:rsid w:val="25125FC3"/>
    <w:rsid w:val="2516090C"/>
    <w:rsid w:val="251611D3"/>
    <w:rsid w:val="25171242"/>
    <w:rsid w:val="2518D175"/>
    <w:rsid w:val="2518E8A2"/>
    <w:rsid w:val="251C6DAB"/>
    <w:rsid w:val="251E0C6B"/>
    <w:rsid w:val="251F9589"/>
    <w:rsid w:val="25256C99"/>
    <w:rsid w:val="2526C869"/>
    <w:rsid w:val="2527FB00"/>
    <w:rsid w:val="252E6887"/>
    <w:rsid w:val="253395A6"/>
    <w:rsid w:val="2533A43A"/>
    <w:rsid w:val="253601E6"/>
    <w:rsid w:val="253BAB31"/>
    <w:rsid w:val="253D1D6D"/>
    <w:rsid w:val="253F6C11"/>
    <w:rsid w:val="254276CA"/>
    <w:rsid w:val="2545308C"/>
    <w:rsid w:val="2547AFB1"/>
    <w:rsid w:val="25486294"/>
    <w:rsid w:val="25491D60"/>
    <w:rsid w:val="254A2B81"/>
    <w:rsid w:val="254B5C3A"/>
    <w:rsid w:val="254C4456"/>
    <w:rsid w:val="2553447E"/>
    <w:rsid w:val="2555E244"/>
    <w:rsid w:val="2555F3BA"/>
    <w:rsid w:val="25565B64"/>
    <w:rsid w:val="25596E13"/>
    <w:rsid w:val="255AAA75"/>
    <w:rsid w:val="255BBB23"/>
    <w:rsid w:val="255BC6BA"/>
    <w:rsid w:val="255C178F"/>
    <w:rsid w:val="255C60FE"/>
    <w:rsid w:val="255D5F86"/>
    <w:rsid w:val="255DF6A5"/>
    <w:rsid w:val="2562A31A"/>
    <w:rsid w:val="2564C2F9"/>
    <w:rsid w:val="2565815A"/>
    <w:rsid w:val="2566295D"/>
    <w:rsid w:val="2569781D"/>
    <w:rsid w:val="256BF43D"/>
    <w:rsid w:val="256CF66F"/>
    <w:rsid w:val="256F97AA"/>
    <w:rsid w:val="2570C145"/>
    <w:rsid w:val="2571BFAD"/>
    <w:rsid w:val="2571CE68"/>
    <w:rsid w:val="257A0912"/>
    <w:rsid w:val="257C810B"/>
    <w:rsid w:val="25832231"/>
    <w:rsid w:val="2583DE55"/>
    <w:rsid w:val="258795C1"/>
    <w:rsid w:val="2588938C"/>
    <w:rsid w:val="25894A59"/>
    <w:rsid w:val="25896F8A"/>
    <w:rsid w:val="258DC834"/>
    <w:rsid w:val="258E0A76"/>
    <w:rsid w:val="258E6ABE"/>
    <w:rsid w:val="258F7FE0"/>
    <w:rsid w:val="25909E45"/>
    <w:rsid w:val="2591EEA8"/>
    <w:rsid w:val="25933478"/>
    <w:rsid w:val="2594FEA0"/>
    <w:rsid w:val="259690C6"/>
    <w:rsid w:val="25988E0E"/>
    <w:rsid w:val="2598B47D"/>
    <w:rsid w:val="259B6617"/>
    <w:rsid w:val="259C014B"/>
    <w:rsid w:val="259CA8B8"/>
    <w:rsid w:val="259D6861"/>
    <w:rsid w:val="259F20BC"/>
    <w:rsid w:val="259FD391"/>
    <w:rsid w:val="25A4A546"/>
    <w:rsid w:val="25A69FDF"/>
    <w:rsid w:val="25AA7B3C"/>
    <w:rsid w:val="25AA84E1"/>
    <w:rsid w:val="25ACB9D8"/>
    <w:rsid w:val="25AE3B9D"/>
    <w:rsid w:val="25AEA9AD"/>
    <w:rsid w:val="25B09B3D"/>
    <w:rsid w:val="25B17F33"/>
    <w:rsid w:val="25B2536F"/>
    <w:rsid w:val="25B29EC0"/>
    <w:rsid w:val="25B50FD3"/>
    <w:rsid w:val="25B6181C"/>
    <w:rsid w:val="25B88A73"/>
    <w:rsid w:val="25B972D6"/>
    <w:rsid w:val="25C045AD"/>
    <w:rsid w:val="25C19208"/>
    <w:rsid w:val="25C35ED9"/>
    <w:rsid w:val="25C6983B"/>
    <w:rsid w:val="25C95F64"/>
    <w:rsid w:val="25C9D0F3"/>
    <w:rsid w:val="25CBFA50"/>
    <w:rsid w:val="25CC6FB8"/>
    <w:rsid w:val="25D1C46D"/>
    <w:rsid w:val="25D3972D"/>
    <w:rsid w:val="25DBE5BC"/>
    <w:rsid w:val="25DDCD77"/>
    <w:rsid w:val="25DE4772"/>
    <w:rsid w:val="25E1AF74"/>
    <w:rsid w:val="25E31143"/>
    <w:rsid w:val="25E48190"/>
    <w:rsid w:val="25E4B13A"/>
    <w:rsid w:val="25EDBC44"/>
    <w:rsid w:val="25EE63CB"/>
    <w:rsid w:val="25EEE052"/>
    <w:rsid w:val="25EF2DDD"/>
    <w:rsid w:val="25F2A61E"/>
    <w:rsid w:val="25F494B4"/>
    <w:rsid w:val="25F4AFE6"/>
    <w:rsid w:val="25F60D4C"/>
    <w:rsid w:val="25F8AAD5"/>
    <w:rsid w:val="25F90BC6"/>
    <w:rsid w:val="25FA6031"/>
    <w:rsid w:val="25FAD937"/>
    <w:rsid w:val="25FB4A25"/>
    <w:rsid w:val="25FCC7BC"/>
    <w:rsid w:val="26014D6F"/>
    <w:rsid w:val="26022146"/>
    <w:rsid w:val="26041053"/>
    <w:rsid w:val="26064194"/>
    <w:rsid w:val="260853ED"/>
    <w:rsid w:val="2608EF8A"/>
    <w:rsid w:val="260AB5EC"/>
    <w:rsid w:val="260CA118"/>
    <w:rsid w:val="260E0359"/>
    <w:rsid w:val="260EE5C7"/>
    <w:rsid w:val="260EF25A"/>
    <w:rsid w:val="26161F37"/>
    <w:rsid w:val="2619E04F"/>
    <w:rsid w:val="261BF905"/>
    <w:rsid w:val="261D85AA"/>
    <w:rsid w:val="26204F72"/>
    <w:rsid w:val="2625D884"/>
    <w:rsid w:val="262ACC9A"/>
    <w:rsid w:val="262BA877"/>
    <w:rsid w:val="262FF17E"/>
    <w:rsid w:val="26329F3C"/>
    <w:rsid w:val="26336F45"/>
    <w:rsid w:val="2636D1A5"/>
    <w:rsid w:val="2636EA20"/>
    <w:rsid w:val="2637F2A9"/>
    <w:rsid w:val="263B70E0"/>
    <w:rsid w:val="263BCD3B"/>
    <w:rsid w:val="263CAFA1"/>
    <w:rsid w:val="263CCABF"/>
    <w:rsid w:val="2640513B"/>
    <w:rsid w:val="2640A008"/>
    <w:rsid w:val="2641D614"/>
    <w:rsid w:val="2641DD85"/>
    <w:rsid w:val="2642687E"/>
    <w:rsid w:val="264A988F"/>
    <w:rsid w:val="264C1C56"/>
    <w:rsid w:val="264C394C"/>
    <w:rsid w:val="264C5ADA"/>
    <w:rsid w:val="264D8534"/>
    <w:rsid w:val="2650A0EB"/>
    <w:rsid w:val="26556C7F"/>
    <w:rsid w:val="2657D784"/>
    <w:rsid w:val="2658AFF4"/>
    <w:rsid w:val="26598E9E"/>
    <w:rsid w:val="265B4997"/>
    <w:rsid w:val="265D4E0C"/>
    <w:rsid w:val="2661646B"/>
    <w:rsid w:val="2661ADE7"/>
    <w:rsid w:val="2666C20F"/>
    <w:rsid w:val="266C246C"/>
    <w:rsid w:val="266D3E4E"/>
    <w:rsid w:val="266D6EB7"/>
    <w:rsid w:val="266E3525"/>
    <w:rsid w:val="2674C576"/>
    <w:rsid w:val="2677B0FE"/>
    <w:rsid w:val="26791370"/>
    <w:rsid w:val="267BAC92"/>
    <w:rsid w:val="267E63A8"/>
    <w:rsid w:val="2680C5AC"/>
    <w:rsid w:val="268376FA"/>
    <w:rsid w:val="26842166"/>
    <w:rsid w:val="26875C35"/>
    <w:rsid w:val="268B302F"/>
    <w:rsid w:val="268BD620"/>
    <w:rsid w:val="268CEC94"/>
    <w:rsid w:val="268DA4CD"/>
    <w:rsid w:val="268E8894"/>
    <w:rsid w:val="269155B3"/>
    <w:rsid w:val="2691EA95"/>
    <w:rsid w:val="2693FED9"/>
    <w:rsid w:val="26968E5B"/>
    <w:rsid w:val="26990251"/>
    <w:rsid w:val="269CA24F"/>
    <w:rsid w:val="269F0697"/>
    <w:rsid w:val="26A02659"/>
    <w:rsid w:val="26A1A5A5"/>
    <w:rsid w:val="26AA5562"/>
    <w:rsid w:val="26ADE6DF"/>
    <w:rsid w:val="26AF66C0"/>
    <w:rsid w:val="26B03324"/>
    <w:rsid w:val="26B0711A"/>
    <w:rsid w:val="26B0998E"/>
    <w:rsid w:val="26B519D1"/>
    <w:rsid w:val="26B553BF"/>
    <w:rsid w:val="26B56861"/>
    <w:rsid w:val="26B60DC0"/>
    <w:rsid w:val="26B6ADD7"/>
    <w:rsid w:val="26BA98B5"/>
    <w:rsid w:val="26BB8041"/>
    <w:rsid w:val="26C25B01"/>
    <w:rsid w:val="26C33230"/>
    <w:rsid w:val="26C3E2C6"/>
    <w:rsid w:val="26C6B635"/>
    <w:rsid w:val="26C81BF6"/>
    <w:rsid w:val="26C96C3B"/>
    <w:rsid w:val="26C9C3C4"/>
    <w:rsid w:val="26CF612B"/>
    <w:rsid w:val="26D0C99D"/>
    <w:rsid w:val="26D2BBC5"/>
    <w:rsid w:val="26D2ED91"/>
    <w:rsid w:val="26D3625A"/>
    <w:rsid w:val="26D3AD3D"/>
    <w:rsid w:val="26D54D27"/>
    <w:rsid w:val="26D78220"/>
    <w:rsid w:val="26D85260"/>
    <w:rsid w:val="26D873FB"/>
    <w:rsid w:val="26DA7E33"/>
    <w:rsid w:val="26DC3DF7"/>
    <w:rsid w:val="26DEA46F"/>
    <w:rsid w:val="26DFBF1C"/>
    <w:rsid w:val="26E05A40"/>
    <w:rsid w:val="26E0E4BA"/>
    <w:rsid w:val="26E1541C"/>
    <w:rsid w:val="26E382D4"/>
    <w:rsid w:val="26E39CFA"/>
    <w:rsid w:val="26E5199D"/>
    <w:rsid w:val="26E6AF4B"/>
    <w:rsid w:val="26EAAA9A"/>
    <w:rsid w:val="26ED8577"/>
    <w:rsid w:val="26EE282D"/>
    <w:rsid w:val="26F44686"/>
    <w:rsid w:val="26F48618"/>
    <w:rsid w:val="26F99BA0"/>
    <w:rsid w:val="26FA1537"/>
    <w:rsid w:val="26FAC628"/>
    <w:rsid w:val="26FB05A2"/>
    <w:rsid w:val="26FBBD2B"/>
    <w:rsid w:val="26FC06C9"/>
    <w:rsid w:val="26FC6001"/>
    <w:rsid w:val="26FD282D"/>
    <w:rsid w:val="27021C86"/>
    <w:rsid w:val="270551B3"/>
    <w:rsid w:val="2706B19D"/>
    <w:rsid w:val="270727F0"/>
    <w:rsid w:val="27073C48"/>
    <w:rsid w:val="270771E1"/>
    <w:rsid w:val="27092D88"/>
    <w:rsid w:val="270E8B1E"/>
    <w:rsid w:val="27137F7B"/>
    <w:rsid w:val="2714B246"/>
    <w:rsid w:val="2715AEAE"/>
    <w:rsid w:val="2718318C"/>
    <w:rsid w:val="271D5DB7"/>
    <w:rsid w:val="271DA73A"/>
    <w:rsid w:val="271DD213"/>
    <w:rsid w:val="27210541"/>
    <w:rsid w:val="2722A995"/>
    <w:rsid w:val="2724F42F"/>
    <w:rsid w:val="272555C4"/>
    <w:rsid w:val="27256E98"/>
    <w:rsid w:val="27264E6A"/>
    <w:rsid w:val="2727EBFF"/>
    <w:rsid w:val="27291E89"/>
    <w:rsid w:val="27295D02"/>
    <w:rsid w:val="2731121A"/>
    <w:rsid w:val="273159A9"/>
    <w:rsid w:val="2736BA6E"/>
    <w:rsid w:val="273E8B69"/>
    <w:rsid w:val="273F21D0"/>
    <w:rsid w:val="2741FF16"/>
    <w:rsid w:val="274364CB"/>
    <w:rsid w:val="2744F46C"/>
    <w:rsid w:val="274501BE"/>
    <w:rsid w:val="274682FF"/>
    <w:rsid w:val="2746CBAA"/>
    <w:rsid w:val="2747136A"/>
    <w:rsid w:val="274935CE"/>
    <w:rsid w:val="274B1385"/>
    <w:rsid w:val="274B2C80"/>
    <w:rsid w:val="274FADD7"/>
    <w:rsid w:val="27553A81"/>
    <w:rsid w:val="2758F8DA"/>
    <w:rsid w:val="2759F04A"/>
    <w:rsid w:val="275E2C4F"/>
    <w:rsid w:val="27607527"/>
    <w:rsid w:val="27610DE7"/>
    <w:rsid w:val="2761FFD3"/>
    <w:rsid w:val="27622066"/>
    <w:rsid w:val="2763791B"/>
    <w:rsid w:val="27653E6B"/>
    <w:rsid w:val="27670BD5"/>
    <w:rsid w:val="2769472A"/>
    <w:rsid w:val="276C86DF"/>
    <w:rsid w:val="276CBE98"/>
    <w:rsid w:val="276EA785"/>
    <w:rsid w:val="276F82DF"/>
    <w:rsid w:val="276FCF91"/>
    <w:rsid w:val="2773BB5E"/>
    <w:rsid w:val="2779E7FE"/>
    <w:rsid w:val="277A892B"/>
    <w:rsid w:val="277B5DF0"/>
    <w:rsid w:val="277BCEA2"/>
    <w:rsid w:val="277D76A3"/>
    <w:rsid w:val="277F6BE6"/>
    <w:rsid w:val="2780034D"/>
    <w:rsid w:val="2781995B"/>
    <w:rsid w:val="27823135"/>
    <w:rsid w:val="27835AD8"/>
    <w:rsid w:val="27858D60"/>
    <w:rsid w:val="2785CF18"/>
    <w:rsid w:val="27867FE5"/>
    <w:rsid w:val="2786BA7E"/>
    <w:rsid w:val="2788FE34"/>
    <w:rsid w:val="278CB28A"/>
    <w:rsid w:val="278CBBCB"/>
    <w:rsid w:val="278D42B8"/>
    <w:rsid w:val="278F972B"/>
    <w:rsid w:val="27905BBD"/>
    <w:rsid w:val="2790A456"/>
    <w:rsid w:val="2790D935"/>
    <w:rsid w:val="2796E10A"/>
    <w:rsid w:val="2798FA83"/>
    <w:rsid w:val="279A9518"/>
    <w:rsid w:val="279BB4D6"/>
    <w:rsid w:val="27A0F59E"/>
    <w:rsid w:val="27A26411"/>
    <w:rsid w:val="27A4F4B3"/>
    <w:rsid w:val="27A768EE"/>
    <w:rsid w:val="27A7D158"/>
    <w:rsid w:val="27AA88F8"/>
    <w:rsid w:val="27AB2753"/>
    <w:rsid w:val="27ACCD79"/>
    <w:rsid w:val="27AD525A"/>
    <w:rsid w:val="27B3C208"/>
    <w:rsid w:val="27B4C2BB"/>
    <w:rsid w:val="27B6CBB7"/>
    <w:rsid w:val="27B6E186"/>
    <w:rsid w:val="27B95C70"/>
    <w:rsid w:val="27BA6550"/>
    <w:rsid w:val="27BAD83A"/>
    <w:rsid w:val="27BE3896"/>
    <w:rsid w:val="27C39A25"/>
    <w:rsid w:val="27C46BB5"/>
    <w:rsid w:val="27C4CFEC"/>
    <w:rsid w:val="27CA8D60"/>
    <w:rsid w:val="27CC8118"/>
    <w:rsid w:val="27CE11FA"/>
    <w:rsid w:val="27CE9F44"/>
    <w:rsid w:val="27D201CC"/>
    <w:rsid w:val="27D54C3E"/>
    <w:rsid w:val="27D5E991"/>
    <w:rsid w:val="27D8556B"/>
    <w:rsid w:val="27DAFF0E"/>
    <w:rsid w:val="27DB2336"/>
    <w:rsid w:val="27DD72DF"/>
    <w:rsid w:val="27DD842F"/>
    <w:rsid w:val="27DF5ADC"/>
    <w:rsid w:val="27E07233"/>
    <w:rsid w:val="27E14D0C"/>
    <w:rsid w:val="27E68856"/>
    <w:rsid w:val="27E823DA"/>
    <w:rsid w:val="27EBDC4D"/>
    <w:rsid w:val="27EDB000"/>
    <w:rsid w:val="27EE5B92"/>
    <w:rsid w:val="27F19CCE"/>
    <w:rsid w:val="27F39242"/>
    <w:rsid w:val="27F4F7E4"/>
    <w:rsid w:val="27F5DE2F"/>
    <w:rsid w:val="27F940FC"/>
    <w:rsid w:val="27FAC1E1"/>
    <w:rsid w:val="27FBC078"/>
    <w:rsid w:val="27FEA8B7"/>
    <w:rsid w:val="27FF2C73"/>
    <w:rsid w:val="28087497"/>
    <w:rsid w:val="280DB879"/>
    <w:rsid w:val="2813849B"/>
    <w:rsid w:val="2813DCC9"/>
    <w:rsid w:val="2815C5AF"/>
    <w:rsid w:val="28183E8F"/>
    <w:rsid w:val="281875DC"/>
    <w:rsid w:val="281F43F7"/>
    <w:rsid w:val="28221D6D"/>
    <w:rsid w:val="28225757"/>
    <w:rsid w:val="28235B21"/>
    <w:rsid w:val="28239385"/>
    <w:rsid w:val="28248C60"/>
    <w:rsid w:val="2825CAB6"/>
    <w:rsid w:val="2826A51D"/>
    <w:rsid w:val="28283BFD"/>
    <w:rsid w:val="282AF06D"/>
    <w:rsid w:val="2832C6EE"/>
    <w:rsid w:val="2834C565"/>
    <w:rsid w:val="2834CF7B"/>
    <w:rsid w:val="2839367C"/>
    <w:rsid w:val="283C7128"/>
    <w:rsid w:val="283D8F4A"/>
    <w:rsid w:val="283E0A5A"/>
    <w:rsid w:val="283E53FB"/>
    <w:rsid w:val="283EF238"/>
    <w:rsid w:val="283FEC95"/>
    <w:rsid w:val="2847265D"/>
    <w:rsid w:val="2847C9BE"/>
    <w:rsid w:val="28484D34"/>
    <w:rsid w:val="28532205"/>
    <w:rsid w:val="2854178D"/>
    <w:rsid w:val="285442EA"/>
    <w:rsid w:val="2858946A"/>
    <w:rsid w:val="2860E977"/>
    <w:rsid w:val="2861391D"/>
    <w:rsid w:val="286CA8B3"/>
    <w:rsid w:val="286D7EED"/>
    <w:rsid w:val="286DBE28"/>
    <w:rsid w:val="28702882"/>
    <w:rsid w:val="28713E4D"/>
    <w:rsid w:val="28719344"/>
    <w:rsid w:val="2874AAED"/>
    <w:rsid w:val="2875B1F6"/>
    <w:rsid w:val="287651FC"/>
    <w:rsid w:val="287A654B"/>
    <w:rsid w:val="287F03EA"/>
    <w:rsid w:val="288195FE"/>
    <w:rsid w:val="28824B61"/>
    <w:rsid w:val="28846B49"/>
    <w:rsid w:val="2887D81B"/>
    <w:rsid w:val="288CAC57"/>
    <w:rsid w:val="288CEF8D"/>
    <w:rsid w:val="288EB29D"/>
    <w:rsid w:val="28924036"/>
    <w:rsid w:val="2893AC32"/>
    <w:rsid w:val="28954A31"/>
    <w:rsid w:val="2897D649"/>
    <w:rsid w:val="289BBBF1"/>
    <w:rsid w:val="28A0C07C"/>
    <w:rsid w:val="28A7A2B6"/>
    <w:rsid w:val="28A99034"/>
    <w:rsid w:val="28A9D89C"/>
    <w:rsid w:val="28A9E163"/>
    <w:rsid w:val="28A9F26F"/>
    <w:rsid w:val="28AA645F"/>
    <w:rsid w:val="28AC01AD"/>
    <w:rsid w:val="28B1624E"/>
    <w:rsid w:val="28B22371"/>
    <w:rsid w:val="28B2518B"/>
    <w:rsid w:val="28B3B936"/>
    <w:rsid w:val="28B45509"/>
    <w:rsid w:val="28B9204A"/>
    <w:rsid w:val="28BBE8FF"/>
    <w:rsid w:val="28C2EF01"/>
    <w:rsid w:val="28CA1454"/>
    <w:rsid w:val="28CB2FB7"/>
    <w:rsid w:val="28CBC97F"/>
    <w:rsid w:val="28CBFF99"/>
    <w:rsid w:val="28CD0805"/>
    <w:rsid w:val="28CD2959"/>
    <w:rsid w:val="28CD3F73"/>
    <w:rsid w:val="28CF6F88"/>
    <w:rsid w:val="28CF7206"/>
    <w:rsid w:val="28D94A84"/>
    <w:rsid w:val="28DB005A"/>
    <w:rsid w:val="28DC772C"/>
    <w:rsid w:val="28DF0374"/>
    <w:rsid w:val="28E8B74E"/>
    <w:rsid w:val="28E98180"/>
    <w:rsid w:val="28E9D2FA"/>
    <w:rsid w:val="28EB561F"/>
    <w:rsid w:val="28EBC959"/>
    <w:rsid w:val="28EBEB80"/>
    <w:rsid w:val="28EC7950"/>
    <w:rsid w:val="28EE1104"/>
    <w:rsid w:val="28EF2430"/>
    <w:rsid w:val="28EF2BA2"/>
    <w:rsid w:val="28F10FE1"/>
    <w:rsid w:val="28F1F35D"/>
    <w:rsid w:val="28F38634"/>
    <w:rsid w:val="28F77AFA"/>
    <w:rsid w:val="28FA4348"/>
    <w:rsid w:val="28FF5074"/>
    <w:rsid w:val="2901CD6B"/>
    <w:rsid w:val="29025FC3"/>
    <w:rsid w:val="2907770B"/>
    <w:rsid w:val="290977A1"/>
    <w:rsid w:val="290A2791"/>
    <w:rsid w:val="290A4153"/>
    <w:rsid w:val="290A757F"/>
    <w:rsid w:val="290D6CF6"/>
    <w:rsid w:val="290E514B"/>
    <w:rsid w:val="2912B055"/>
    <w:rsid w:val="2912BB74"/>
    <w:rsid w:val="29138A09"/>
    <w:rsid w:val="29152953"/>
    <w:rsid w:val="2916685A"/>
    <w:rsid w:val="291A3719"/>
    <w:rsid w:val="291AB6E0"/>
    <w:rsid w:val="292061B5"/>
    <w:rsid w:val="29210D33"/>
    <w:rsid w:val="29231E97"/>
    <w:rsid w:val="292349D5"/>
    <w:rsid w:val="2924637A"/>
    <w:rsid w:val="29259645"/>
    <w:rsid w:val="2927EC46"/>
    <w:rsid w:val="2929E64C"/>
    <w:rsid w:val="292CF411"/>
    <w:rsid w:val="29341F31"/>
    <w:rsid w:val="293502AA"/>
    <w:rsid w:val="2937C01D"/>
    <w:rsid w:val="29384033"/>
    <w:rsid w:val="29399216"/>
    <w:rsid w:val="293AE8B3"/>
    <w:rsid w:val="293F19F2"/>
    <w:rsid w:val="294342AA"/>
    <w:rsid w:val="29434735"/>
    <w:rsid w:val="29436D49"/>
    <w:rsid w:val="29437A3C"/>
    <w:rsid w:val="2943D969"/>
    <w:rsid w:val="2944801D"/>
    <w:rsid w:val="2944D47C"/>
    <w:rsid w:val="2946323C"/>
    <w:rsid w:val="2946512E"/>
    <w:rsid w:val="29480C0E"/>
    <w:rsid w:val="294AEF1F"/>
    <w:rsid w:val="294D008A"/>
    <w:rsid w:val="294DB637"/>
    <w:rsid w:val="294E72AF"/>
    <w:rsid w:val="294F1E02"/>
    <w:rsid w:val="294F6B84"/>
    <w:rsid w:val="295178C7"/>
    <w:rsid w:val="2953BBBB"/>
    <w:rsid w:val="2953C994"/>
    <w:rsid w:val="29542B60"/>
    <w:rsid w:val="29556865"/>
    <w:rsid w:val="29577DE3"/>
    <w:rsid w:val="29583F4F"/>
    <w:rsid w:val="295C487B"/>
    <w:rsid w:val="295C76F8"/>
    <w:rsid w:val="295E243F"/>
    <w:rsid w:val="296270C6"/>
    <w:rsid w:val="29641C57"/>
    <w:rsid w:val="29643B6D"/>
    <w:rsid w:val="2964E9D4"/>
    <w:rsid w:val="2967D503"/>
    <w:rsid w:val="2968F50F"/>
    <w:rsid w:val="296A2738"/>
    <w:rsid w:val="296AA782"/>
    <w:rsid w:val="296B472C"/>
    <w:rsid w:val="296BAB52"/>
    <w:rsid w:val="296CB732"/>
    <w:rsid w:val="296D38C4"/>
    <w:rsid w:val="296D7739"/>
    <w:rsid w:val="296D9E55"/>
    <w:rsid w:val="296F72D4"/>
    <w:rsid w:val="29726171"/>
    <w:rsid w:val="29727C65"/>
    <w:rsid w:val="2972D203"/>
    <w:rsid w:val="297439B3"/>
    <w:rsid w:val="297A0874"/>
    <w:rsid w:val="297ACA7A"/>
    <w:rsid w:val="297C5715"/>
    <w:rsid w:val="2980CDC0"/>
    <w:rsid w:val="29847BAE"/>
    <w:rsid w:val="298567E3"/>
    <w:rsid w:val="298588F1"/>
    <w:rsid w:val="298626BF"/>
    <w:rsid w:val="29883266"/>
    <w:rsid w:val="2989A9CC"/>
    <w:rsid w:val="298E7927"/>
    <w:rsid w:val="298F93EB"/>
    <w:rsid w:val="29923735"/>
    <w:rsid w:val="2992FE50"/>
    <w:rsid w:val="299610E8"/>
    <w:rsid w:val="2996D5F6"/>
    <w:rsid w:val="2997B939"/>
    <w:rsid w:val="299AE851"/>
    <w:rsid w:val="299C45AF"/>
    <w:rsid w:val="299F36DF"/>
    <w:rsid w:val="299F92C3"/>
    <w:rsid w:val="29A338B9"/>
    <w:rsid w:val="29A5A2AA"/>
    <w:rsid w:val="29AA0271"/>
    <w:rsid w:val="29AAD3CB"/>
    <w:rsid w:val="29ACB841"/>
    <w:rsid w:val="29B0A404"/>
    <w:rsid w:val="29B147C0"/>
    <w:rsid w:val="29B3D1C0"/>
    <w:rsid w:val="29B5B92E"/>
    <w:rsid w:val="29B63D07"/>
    <w:rsid w:val="29B6BDFA"/>
    <w:rsid w:val="29B6E4A8"/>
    <w:rsid w:val="29B87666"/>
    <w:rsid w:val="29BA8103"/>
    <w:rsid w:val="29BB6AF0"/>
    <w:rsid w:val="29BD6594"/>
    <w:rsid w:val="29BF1F90"/>
    <w:rsid w:val="29BFD062"/>
    <w:rsid w:val="29C0401A"/>
    <w:rsid w:val="29C0D8D2"/>
    <w:rsid w:val="29C0E345"/>
    <w:rsid w:val="29C40E7E"/>
    <w:rsid w:val="29C481C2"/>
    <w:rsid w:val="29C571B8"/>
    <w:rsid w:val="29C5FC85"/>
    <w:rsid w:val="29C623DA"/>
    <w:rsid w:val="29C6FEEF"/>
    <w:rsid w:val="29C9770C"/>
    <w:rsid w:val="29CB52CC"/>
    <w:rsid w:val="29CBF326"/>
    <w:rsid w:val="29CF377A"/>
    <w:rsid w:val="29CF9A92"/>
    <w:rsid w:val="29D1B2BD"/>
    <w:rsid w:val="29D2C5DF"/>
    <w:rsid w:val="29D6B695"/>
    <w:rsid w:val="29D70A03"/>
    <w:rsid w:val="29D7476A"/>
    <w:rsid w:val="29D802B7"/>
    <w:rsid w:val="29D98D4B"/>
    <w:rsid w:val="29DAFC98"/>
    <w:rsid w:val="29DDE1CF"/>
    <w:rsid w:val="29DF02E8"/>
    <w:rsid w:val="29DFF86A"/>
    <w:rsid w:val="29E1FE8A"/>
    <w:rsid w:val="29E3E988"/>
    <w:rsid w:val="29E64E1D"/>
    <w:rsid w:val="29E6C8AE"/>
    <w:rsid w:val="29E83583"/>
    <w:rsid w:val="29ECCA73"/>
    <w:rsid w:val="29ED2725"/>
    <w:rsid w:val="29EE6905"/>
    <w:rsid w:val="29F3B63E"/>
    <w:rsid w:val="29F49EB8"/>
    <w:rsid w:val="29F52011"/>
    <w:rsid w:val="29F5E681"/>
    <w:rsid w:val="29F702D9"/>
    <w:rsid w:val="29F7C5A8"/>
    <w:rsid w:val="29F8532A"/>
    <w:rsid w:val="29F9D4E4"/>
    <w:rsid w:val="29FA1E42"/>
    <w:rsid w:val="29FFFF99"/>
    <w:rsid w:val="2A0100F9"/>
    <w:rsid w:val="2A019673"/>
    <w:rsid w:val="2A024285"/>
    <w:rsid w:val="2A033694"/>
    <w:rsid w:val="2A03F4E3"/>
    <w:rsid w:val="2A0456EE"/>
    <w:rsid w:val="2A05021D"/>
    <w:rsid w:val="2A068839"/>
    <w:rsid w:val="2A0BF48F"/>
    <w:rsid w:val="2A0C7C47"/>
    <w:rsid w:val="2A109F18"/>
    <w:rsid w:val="2A12E876"/>
    <w:rsid w:val="2A135ED3"/>
    <w:rsid w:val="2A168C97"/>
    <w:rsid w:val="2A1C538B"/>
    <w:rsid w:val="2A1D6901"/>
    <w:rsid w:val="2A1EB134"/>
    <w:rsid w:val="2A1F3A76"/>
    <w:rsid w:val="2A1FB48F"/>
    <w:rsid w:val="2A22FC27"/>
    <w:rsid w:val="2A2EE86A"/>
    <w:rsid w:val="2A2F7D9A"/>
    <w:rsid w:val="2A321EBC"/>
    <w:rsid w:val="2A33BAD4"/>
    <w:rsid w:val="2A35A75D"/>
    <w:rsid w:val="2A3646C2"/>
    <w:rsid w:val="2A396F4E"/>
    <w:rsid w:val="2A3A25DB"/>
    <w:rsid w:val="2A3A6724"/>
    <w:rsid w:val="2A3FFD08"/>
    <w:rsid w:val="2A42A6A1"/>
    <w:rsid w:val="2A42FABE"/>
    <w:rsid w:val="2A43A9D6"/>
    <w:rsid w:val="2A460C76"/>
    <w:rsid w:val="2A48258D"/>
    <w:rsid w:val="2A48D8B3"/>
    <w:rsid w:val="2A493BBD"/>
    <w:rsid w:val="2A498BDA"/>
    <w:rsid w:val="2A4C28A1"/>
    <w:rsid w:val="2A4E1363"/>
    <w:rsid w:val="2A4F8CD8"/>
    <w:rsid w:val="2A537E3B"/>
    <w:rsid w:val="2A550B29"/>
    <w:rsid w:val="2A553E1A"/>
    <w:rsid w:val="2A572512"/>
    <w:rsid w:val="2A5778AF"/>
    <w:rsid w:val="2A57BDEF"/>
    <w:rsid w:val="2A593120"/>
    <w:rsid w:val="2A5B720C"/>
    <w:rsid w:val="2A5CBD3A"/>
    <w:rsid w:val="2A5CEDFE"/>
    <w:rsid w:val="2A5ED6FA"/>
    <w:rsid w:val="2A60C266"/>
    <w:rsid w:val="2A64A529"/>
    <w:rsid w:val="2A678756"/>
    <w:rsid w:val="2A67F341"/>
    <w:rsid w:val="2A6870FD"/>
    <w:rsid w:val="2A6DC978"/>
    <w:rsid w:val="2A6E271B"/>
    <w:rsid w:val="2A6E60CE"/>
    <w:rsid w:val="2A6F1D47"/>
    <w:rsid w:val="2A6FF229"/>
    <w:rsid w:val="2A709367"/>
    <w:rsid w:val="2A71DD5F"/>
    <w:rsid w:val="2A725AB7"/>
    <w:rsid w:val="2A74729F"/>
    <w:rsid w:val="2A7586FE"/>
    <w:rsid w:val="2A769B64"/>
    <w:rsid w:val="2A76B04A"/>
    <w:rsid w:val="2A793F22"/>
    <w:rsid w:val="2A7A9D60"/>
    <w:rsid w:val="2A7B385A"/>
    <w:rsid w:val="2A7B49C4"/>
    <w:rsid w:val="2A7E1528"/>
    <w:rsid w:val="2A8026E3"/>
    <w:rsid w:val="2A81F02B"/>
    <w:rsid w:val="2A829ED1"/>
    <w:rsid w:val="2A8504F9"/>
    <w:rsid w:val="2A869184"/>
    <w:rsid w:val="2A871557"/>
    <w:rsid w:val="2A886FFD"/>
    <w:rsid w:val="2A8A52FB"/>
    <w:rsid w:val="2A8C9A8D"/>
    <w:rsid w:val="2A8DAF25"/>
    <w:rsid w:val="2A8DF01C"/>
    <w:rsid w:val="2A91E37D"/>
    <w:rsid w:val="2A92A625"/>
    <w:rsid w:val="2A92C944"/>
    <w:rsid w:val="2A9572FA"/>
    <w:rsid w:val="2A9715CA"/>
    <w:rsid w:val="2A97F8E0"/>
    <w:rsid w:val="2A991727"/>
    <w:rsid w:val="2A9D7CFA"/>
    <w:rsid w:val="2AA1D04C"/>
    <w:rsid w:val="2AA3B6FE"/>
    <w:rsid w:val="2AA7B3B0"/>
    <w:rsid w:val="2AA7F950"/>
    <w:rsid w:val="2AA829B8"/>
    <w:rsid w:val="2AAA3941"/>
    <w:rsid w:val="2AABD459"/>
    <w:rsid w:val="2AAD900C"/>
    <w:rsid w:val="2AAE6BA9"/>
    <w:rsid w:val="2AAFA7A6"/>
    <w:rsid w:val="2AB0D3A7"/>
    <w:rsid w:val="2AB1C102"/>
    <w:rsid w:val="2AB1C331"/>
    <w:rsid w:val="2AB1EB94"/>
    <w:rsid w:val="2AB4CBFD"/>
    <w:rsid w:val="2AB55309"/>
    <w:rsid w:val="2ABCD96E"/>
    <w:rsid w:val="2ABD3B6E"/>
    <w:rsid w:val="2ABD91BE"/>
    <w:rsid w:val="2ABE7592"/>
    <w:rsid w:val="2ABEB814"/>
    <w:rsid w:val="2ABEC044"/>
    <w:rsid w:val="2ABFA5AF"/>
    <w:rsid w:val="2AC28DC7"/>
    <w:rsid w:val="2AC3B82B"/>
    <w:rsid w:val="2AC49DC4"/>
    <w:rsid w:val="2AC54F17"/>
    <w:rsid w:val="2AC5EAE8"/>
    <w:rsid w:val="2AC6918E"/>
    <w:rsid w:val="2AC79E4B"/>
    <w:rsid w:val="2AC8884A"/>
    <w:rsid w:val="2ACE60EE"/>
    <w:rsid w:val="2ACFE7FB"/>
    <w:rsid w:val="2AD0A34F"/>
    <w:rsid w:val="2AD2BDEF"/>
    <w:rsid w:val="2AD38FFF"/>
    <w:rsid w:val="2AD5A509"/>
    <w:rsid w:val="2AD8BB06"/>
    <w:rsid w:val="2ADC3580"/>
    <w:rsid w:val="2ADE59CE"/>
    <w:rsid w:val="2ADE93F2"/>
    <w:rsid w:val="2ADF7D85"/>
    <w:rsid w:val="2AE0C856"/>
    <w:rsid w:val="2AE2FDC4"/>
    <w:rsid w:val="2AE45A26"/>
    <w:rsid w:val="2AE67C98"/>
    <w:rsid w:val="2AE91D3C"/>
    <w:rsid w:val="2AEA2D4F"/>
    <w:rsid w:val="2AECF0C8"/>
    <w:rsid w:val="2AF471FF"/>
    <w:rsid w:val="2AF51980"/>
    <w:rsid w:val="2AF602B7"/>
    <w:rsid w:val="2AF6C195"/>
    <w:rsid w:val="2AF7354B"/>
    <w:rsid w:val="2AF920E9"/>
    <w:rsid w:val="2AFA5AA9"/>
    <w:rsid w:val="2AFA9DCF"/>
    <w:rsid w:val="2AFBF2FA"/>
    <w:rsid w:val="2AFF3BC2"/>
    <w:rsid w:val="2B016571"/>
    <w:rsid w:val="2B0498D1"/>
    <w:rsid w:val="2B080819"/>
    <w:rsid w:val="2B0B7F24"/>
    <w:rsid w:val="2B0E4CFD"/>
    <w:rsid w:val="2B0F5FB8"/>
    <w:rsid w:val="2B0F7CAE"/>
    <w:rsid w:val="2B10350F"/>
    <w:rsid w:val="2B151367"/>
    <w:rsid w:val="2B182A5E"/>
    <w:rsid w:val="2B18AA0B"/>
    <w:rsid w:val="2B1D96CC"/>
    <w:rsid w:val="2B1E6613"/>
    <w:rsid w:val="2B223780"/>
    <w:rsid w:val="2B247478"/>
    <w:rsid w:val="2B24A9E5"/>
    <w:rsid w:val="2B2507CC"/>
    <w:rsid w:val="2B255DE8"/>
    <w:rsid w:val="2B277566"/>
    <w:rsid w:val="2B278264"/>
    <w:rsid w:val="2B287A15"/>
    <w:rsid w:val="2B2A9F68"/>
    <w:rsid w:val="2B2C0680"/>
    <w:rsid w:val="2B2C4075"/>
    <w:rsid w:val="2B2F6B86"/>
    <w:rsid w:val="2B3073B8"/>
    <w:rsid w:val="2B30BC61"/>
    <w:rsid w:val="2B31D0B3"/>
    <w:rsid w:val="2B34E8C4"/>
    <w:rsid w:val="2B350035"/>
    <w:rsid w:val="2B37D8CF"/>
    <w:rsid w:val="2B382DFB"/>
    <w:rsid w:val="2B388589"/>
    <w:rsid w:val="2B39DD7F"/>
    <w:rsid w:val="2B3F0ECF"/>
    <w:rsid w:val="2B491B78"/>
    <w:rsid w:val="2B49F766"/>
    <w:rsid w:val="2B53CF30"/>
    <w:rsid w:val="2B55CC39"/>
    <w:rsid w:val="2B57EA17"/>
    <w:rsid w:val="2B592256"/>
    <w:rsid w:val="2B5CFD3B"/>
    <w:rsid w:val="2B5D2371"/>
    <w:rsid w:val="2B5D9510"/>
    <w:rsid w:val="2B5FA1B9"/>
    <w:rsid w:val="2B6108CE"/>
    <w:rsid w:val="2B66A973"/>
    <w:rsid w:val="2B69536E"/>
    <w:rsid w:val="2B6CB0AA"/>
    <w:rsid w:val="2B71EDDC"/>
    <w:rsid w:val="2B7241E6"/>
    <w:rsid w:val="2B726F9D"/>
    <w:rsid w:val="2B73BF0B"/>
    <w:rsid w:val="2B753059"/>
    <w:rsid w:val="2B76268F"/>
    <w:rsid w:val="2B77BF4B"/>
    <w:rsid w:val="2B7A3D6B"/>
    <w:rsid w:val="2B7A8CF4"/>
    <w:rsid w:val="2B7CF530"/>
    <w:rsid w:val="2B7E3336"/>
    <w:rsid w:val="2B7E9905"/>
    <w:rsid w:val="2B7F9CA5"/>
    <w:rsid w:val="2B8081E4"/>
    <w:rsid w:val="2B8212A3"/>
    <w:rsid w:val="2B86087C"/>
    <w:rsid w:val="2B86F252"/>
    <w:rsid w:val="2B878447"/>
    <w:rsid w:val="2B88BEF1"/>
    <w:rsid w:val="2B8A2E2B"/>
    <w:rsid w:val="2B929AEE"/>
    <w:rsid w:val="2B947F0B"/>
    <w:rsid w:val="2B9D188E"/>
    <w:rsid w:val="2B9E9297"/>
    <w:rsid w:val="2BA0740D"/>
    <w:rsid w:val="2BA0ABE9"/>
    <w:rsid w:val="2BA3DBB5"/>
    <w:rsid w:val="2BA45C73"/>
    <w:rsid w:val="2BA92889"/>
    <w:rsid w:val="2BAA25A4"/>
    <w:rsid w:val="2BAAA588"/>
    <w:rsid w:val="2BAD9172"/>
    <w:rsid w:val="2BB0E0A2"/>
    <w:rsid w:val="2BB139D7"/>
    <w:rsid w:val="2BB50847"/>
    <w:rsid w:val="2BB6BD1E"/>
    <w:rsid w:val="2BB9015B"/>
    <w:rsid w:val="2BBA6283"/>
    <w:rsid w:val="2BC03928"/>
    <w:rsid w:val="2BC4A29F"/>
    <w:rsid w:val="2BC993AF"/>
    <w:rsid w:val="2BCACA65"/>
    <w:rsid w:val="2BCC97EA"/>
    <w:rsid w:val="2BD0F980"/>
    <w:rsid w:val="2BD4D6BE"/>
    <w:rsid w:val="2BD9DFA2"/>
    <w:rsid w:val="2BDB01CE"/>
    <w:rsid w:val="2BDD1240"/>
    <w:rsid w:val="2BDF047A"/>
    <w:rsid w:val="2BE0D5E8"/>
    <w:rsid w:val="2BE2F8E2"/>
    <w:rsid w:val="2BE2FB39"/>
    <w:rsid w:val="2BE5C153"/>
    <w:rsid w:val="2BEC54AD"/>
    <w:rsid w:val="2BEEE303"/>
    <w:rsid w:val="2BF05CB0"/>
    <w:rsid w:val="2BF0E821"/>
    <w:rsid w:val="2BF1241A"/>
    <w:rsid w:val="2BF45C20"/>
    <w:rsid w:val="2BFA0867"/>
    <w:rsid w:val="2BFD6255"/>
    <w:rsid w:val="2C01CED4"/>
    <w:rsid w:val="2C0256F4"/>
    <w:rsid w:val="2C03B31E"/>
    <w:rsid w:val="2C03BE62"/>
    <w:rsid w:val="2C04954D"/>
    <w:rsid w:val="2C056B73"/>
    <w:rsid w:val="2C062714"/>
    <w:rsid w:val="2C065257"/>
    <w:rsid w:val="2C07AE64"/>
    <w:rsid w:val="2C07CB4D"/>
    <w:rsid w:val="2C09DC9C"/>
    <w:rsid w:val="2C0B13E6"/>
    <w:rsid w:val="2C0C8D42"/>
    <w:rsid w:val="2C0F4642"/>
    <w:rsid w:val="2C110D31"/>
    <w:rsid w:val="2C18249C"/>
    <w:rsid w:val="2C1D13C4"/>
    <w:rsid w:val="2C1D5C03"/>
    <w:rsid w:val="2C1DBE98"/>
    <w:rsid w:val="2C2119BF"/>
    <w:rsid w:val="2C21EBC1"/>
    <w:rsid w:val="2C22F74D"/>
    <w:rsid w:val="2C27044D"/>
    <w:rsid w:val="2C27AC5F"/>
    <w:rsid w:val="2C2AA8BA"/>
    <w:rsid w:val="2C2CE94E"/>
    <w:rsid w:val="2C320561"/>
    <w:rsid w:val="2C373A2E"/>
    <w:rsid w:val="2C381CB9"/>
    <w:rsid w:val="2C3B636A"/>
    <w:rsid w:val="2C3DA29B"/>
    <w:rsid w:val="2C3E3466"/>
    <w:rsid w:val="2C41C700"/>
    <w:rsid w:val="2C43A1BC"/>
    <w:rsid w:val="2C4924AC"/>
    <w:rsid w:val="2C49A793"/>
    <w:rsid w:val="2C4A3592"/>
    <w:rsid w:val="2C4A61B0"/>
    <w:rsid w:val="2C4A944D"/>
    <w:rsid w:val="2C4F549B"/>
    <w:rsid w:val="2C4FCAE9"/>
    <w:rsid w:val="2C50703A"/>
    <w:rsid w:val="2C52C3E1"/>
    <w:rsid w:val="2C559C1B"/>
    <w:rsid w:val="2C5C7707"/>
    <w:rsid w:val="2C5DFAEA"/>
    <w:rsid w:val="2C629379"/>
    <w:rsid w:val="2C62FB73"/>
    <w:rsid w:val="2C66F8CC"/>
    <w:rsid w:val="2C6985D9"/>
    <w:rsid w:val="2C6A2FED"/>
    <w:rsid w:val="2C7057F4"/>
    <w:rsid w:val="2C70C223"/>
    <w:rsid w:val="2C71CEB3"/>
    <w:rsid w:val="2C746D3F"/>
    <w:rsid w:val="2C768CCE"/>
    <w:rsid w:val="2C77C672"/>
    <w:rsid w:val="2C797383"/>
    <w:rsid w:val="2C79A8AF"/>
    <w:rsid w:val="2C7B4C93"/>
    <w:rsid w:val="2C7B7E7D"/>
    <w:rsid w:val="2C7C1ABD"/>
    <w:rsid w:val="2C7D052F"/>
    <w:rsid w:val="2C7E0A8A"/>
    <w:rsid w:val="2C804D12"/>
    <w:rsid w:val="2C81E73A"/>
    <w:rsid w:val="2C82CF11"/>
    <w:rsid w:val="2C838158"/>
    <w:rsid w:val="2C8412FA"/>
    <w:rsid w:val="2C843D87"/>
    <w:rsid w:val="2C89A005"/>
    <w:rsid w:val="2C8A55BF"/>
    <w:rsid w:val="2C8B1257"/>
    <w:rsid w:val="2C8B75FE"/>
    <w:rsid w:val="2C8C9138"/>
    <w:rsid w:val="2C8FF25D"/>
    <w:rsid w:val="2C909AE3"/>
    <w:rsid w:val="2C9296A0"/>
    <w:rsid w:val="2C92FEAE"/>
    <w:rsid w:val="2C9310CD"/>
    <w:rsid w:val="2C946798"/>
    <w:rsid w:val="2C94AC8E"/>
    <w:rsid w:val="2C955B86"/>
    <w:rsid w:val="2C9624D4"/>
    <w:rsid w:val="2C963F50"/>
    <w:rsid w:val="2C974687"/>
    <w:rsid w:val="2C98075B"/>
    <w:rsid w:val="2C9A3D5B"/>
    <w:rsid w:val="2C9B1121"/>
    <w:rsid w:val="2C9B5148"/>
    <w:rsid w:val="2C9B8FAE"/>
    <w:rsid w:val="2C9E6C15"/>
    <w:rsid w:val="2C9EDFAB"/>
    <w:rsid w:val="2CA1AB0D"/>
    <w:rsid w:val="2CA22BFA"/>
    <w:rsid w:val="2CA6A007"/>
    <w:rsid w:val="2CA6A969"/>
    <w:rsid w:val="2CB0E28B"/>
    <w:rsid w:val="2CB141DE"/>
    <w:rsid w:val="2CB1F575"/>
    <w:rsid w:val="2CB605C8"/>
    <w:rsid w:val="2CBADEB1"/>
    <w:rsid w:val="2CBFA606"/>
    <w:rsid w:val="2CC12450"/>
    <w:rsid w:val="2CC19A5D"/>
    <w:rsid w:val="2CC6CB51"/>
    <w:rsid w:val="2CC91438"/>
    <w:rsid w:val="2CC9719A"/>
    <w:rsid w:val="2CCA93B1"/>
    <w:rsid w:val="2CCB5CBF"/>
    <w:rsid w:val="2CCD36D6"/>
    <w:rsid w:val="2CCE6E5F"/>
    <w:rsid w:val="2CCF313D"/>
    <w:rsid w:val="2CCFAB6C"/>
    <w:rsid w:val="2CD15694"/>
    <w:rsid w:val="2CD486D9"/>
    <w:rsid w:val="2CD6E4FB"/>
    <w:rsid w:val="2CD74402"/>
    <w:rsid w:val="2CD857F2"/>
    <w:rsid w:val="2CD97FA1"/>
    <w:rsid w:val="2CDC016E"/>
    <w:rsid w:val="2CDDA85F"/>
    <w:rsid w:val="2CE17181"/>
    <w:rsid w:val="2CE1DEE3"/>
    <w:rsid w:val="2CE88249"/>
    <w:rsid w:val="2CE984CD"/>
    <w:rsid w:val="2CEB7992"/>
    <w:rsid w:val="2CEC065A"/>
    <w:rsid w:val="2CED7549"/>
    <w:rsid w:val="2CEE684E"/>
    <w:rsid w:val="2CF02AA2"/>
    <w:rsid w:val="2CF0AE13"/>
    <w:rsid w:val="2CF2BF32"/>
    <w:rsid w:val="2CF4CCAB"/>
    <w:rsid w:val="2CF5833E"/>
    <w:rsid w:val="2CF5BB1C"/>
    <w:rsid w:val="2CF68634"/>
    <w:rsid w:val="2CF83780"/>
    <w:rsid w:val="2CFB0452"/>
    <w:rsid w:val="2CFED6C4"/>
    <w:rsid w:val="2CFF3F4D"/>
    <w:rsid w:val="2D011D87"/>
    <w:rsid w:val="2D0354AA"/>
    <w:rsid w:val="2D09FC49"/>
    <w:rsid w:val="2D0C3896"/>
    <w:rsid w:val="2D0CC7E2"/>
    <w:rsid w:val="2D0D24BE"/>
    <w:rsid w:val="2D113D54"/>
    <w:rsid w:val="2D16A81C"/>
    <w:rsid w:val="2D182994"/>
    <w:rsid w:val="2D1C9DE3"/>
    <w:rsid w:val="2D1D421A"/>
    <w:rsid w:val="2D201E73"/>
    <w:rsid w:val="2D22F085"/>
    <w:rsid w:val="2D23C127"/>
    <w:rsid w:val="2D255FD7"/>
    <w:rsid w:val="2D2669BD"/>
    <w:rsid w:val="2D26FB16"/>
    <w:rsid w:val="2D282CEE"/>
    <w:rsid w:val="2D291A3F"/>
    <w:rsid w:val="2D2AC7C1"/>
    <w:rsid w:val="2D2E35E2"/>
    <w:rsid w:val="2D306B73"/>
    <w:rsid w:val="2D31B2F8"/>
    <w:rsid w:val="2D320C97"/>
    <w:rsid w:val="2D328946"/>
    <w:rsid w:val="2D32C300"/>
    <w:rsid w:val="2D354E4F"/>
    <w:rsid w:val="2D355762"/>
    <w:rsid w:val="2D376E1D"/>
    <w:rsid w:val="2D3963BF"/>
    <w:rsid w:val="2D3A3E7D"/>
    <w:rsid w:val="2D3CFF1C"/>
    <w:rsid w:val="2D3E1CD6"/>
    <w:rsid w:val="2D3F6A7D"/>
    <w:rsid w:val="2D4059AB"/>
    <w:rsid w:val="2D41EBBB"/>
    <w:rsid w:val="2D437DBD"/>
    <w:rsid w:val="2D453BF6"/>
    <w:rsid w:val="2D4551A7"/>
    <w:rsid w:val="2D461A25"/>
    <w:rsid w:val="2D471478"/>
    <w:rsid w:val="2D47A637"/>
    <w:rsid w:val="2D47CDED"/>
    <w:rsid w:val="2D482E28"/>
    <w:rsid w:val="2D4CABAF"/>
    <w:rsid w:val="2D4F9530"/>
    <w:rsid w:val="2D51407A"/>
    <w:rsid w:val="2D5645B6"/>
    <w:rsid w:val="2D56536D"/>
    <w:rsid w:val="2D5699E0"/>
    <w:rsid w:val="2D5899FD"/>
    <w:rsid w:val="2D5AD9C7"/>
    <w:rsid w:val="2D5B31F1"/>
    <w:rsid w:val="2D5C0E57"/>
    <w:rsid w:val="2D5C417B"/>
    <w:rsid w:val="2D5CDBD1"/>
    <w:rsid w:val="2D5F39D2"/>
    <w:rsid w:val="2D629201"/>
    <w:rsid w:val="2D654DFF"/>
    <w:rsid w:val="2D668858"/>
    <w:rsid w:val="2D67A8B4"/>
    <w:rsid w:val="2D68A1B8"/>
    <w:rsid w:val="2D6983FF"/>
    <w:rsid w:val="2D6D5E28"/>
    <w:rsid w:val="2D6F1CED"/>
    <w:rsid w:val="2D741222"/>
    <w:rsid w:val="2D74551B"/>
    <w:rsid w:val="2D750079"/>
    <w:rsid w:val="2D7544A0"/>
    <w:rsid w:val="2D77914D"/>
    <w:rsid w:val="2D7B687B"/>
    <w:rsid w:val="2D80B47A"/>
    <w:rsid w:val="2D8316CA"/>
    <w:rsid w:val="2D831FF8"/>
    <w:rsid w:val="2D835DBD"/>
    <w:rsid w:val="2D8431E0"/>
    <w:rsid w:val="2D856E34"/>
    <w:rsid w:val="2D85AECF"/>
    <w:rsid w:val="2D86ED68"/>
    <w:rsid w:val="2D87C8CA"/>
    <w:rsid w:val="2D88FADF"/>
    <w:rsid w:val="2D89C1F1"/>
    <w:rsid w:val="2D8BE5C5"/>
    <w:rsid w:val="2D8C7898"/>
    <w:rsid w:val="2D8D9FD4"/>
    <w:rsid w:val="2D8F15DE"/>
    <w:rsid w:val="2D92C3CA"/>
    <w:rsid w:val="2D95CFA5"/>
    <w:rsid w:val="2D96FA21"/>
    <w:rsid w:val="2D9761E5"/>
    <w:rsid w:val="2D9BA0BA"/>
    <w:rsid w:val="2D9E7C03"/>
    <w:rsid w:val="2DA085BE"/>
    <w:rsid w:val="2DA0B626"/>
    <w:rsid w:val="2DA0C951"/>
    <w:rsid w:val="2DA1AEBE"/>
    <w:rsid w:val="2DA9747B"/>
    <w:rsid w:val="2DB32CCA"/>
    <w:rsid w:val="2DB353F1"/>
    <w:rsid w:val="2DB578A0"/>
    <w:rsid w:val="2DB602DD"/>
    <w:rsid w:val="2DB7C6AC"/>
    <w:rsid w:val="2DB8F4FA"/>
    <w:rsid w:val="2DBA1533"/>
    <w:rsid w:val="2DBEBE5A"/>
    <w:rsid w:val="2DC0F01D"/>
    <w:rsid w:val="2DC1A32A"/>
    <w:rsid w:val="2DC4C0FF"/>
    <w:rsid w:val="2DC53F7D"/>
    <w:rsid w:val="2DC5500C"/>
    <w:rsid w:val="2DC65B72"/>
    <w:rsid w:val="2DCC8556"/>
    <w:rsid w:val="2DCCC0E2"/>
    <w:rsid w:val="2DCDCF9E"/>
    <w:rsid w:val="2DD02427"/>
    <w:rsid w:val="2DD5AA28"/>
    <w:rsid w:val="2DE18E30"/>
    <w:rsid w:val="2DE329CD"/>
    <w:rsid w:val="2DE4F192"/>
    <w:rsid w:val="2DE515BF"/>
    <w:rsid w:val="2DE56979"/>
    <w:rsid w:val="2DE70BB1"/>
    <w:rsid w:val="2DE8A945"/>
    <w:rsid w:val="2DEC5161"/>
    <w:rsid w:val="2DEC65BF"/>
    <w:rsid w:val="2DEDB1BF"/>
    <w:rsid w:val="2DEFDC6C"/>
    <w:rsid w:val="2DF20723"/>
    <w:rsid w:val="2DF3AAE6"/>
    <w:rsid w:val="2DF53C5D"/>
    <w:rsid w:val="2DF65CF8"/>
    <w:rsid w:val="2DF7109A"/>
    <w:rsid w:val="2DF7DA7C"/>
    <w:rsid w:val="2DF88C15"/>
    <w:rsid w:val="2DF9F3D9"/>
    <w:rsid w:val="2E02EB5F"/>
    <w:rsid w:val="2E078EB8"/>
    <w:rsid w:val="2E0A573C"/>
    <w:rsid w:val="2E0BAF11"/>
    <w:rsid w:val="2E0BB316"/>
    <w:rsid w:val="2E0FFCBD"/>
    <w:rsid w:val="2E1065FB"/>
    <w:rsid w:val="2E134482"/>
    <w:rsid w:val="2E141F17"/>
    <w:rsid w:val="2E17E2E7"/>
    <w:rsid w:val="2E18287D"/>
    <w:rsid w:val="2E18C2F9"/>
    <w:rsid w:val="2E1A0EB7"/>
    <w:rsid w:val="2E1AE87C"/>
    <w:rsid w:val="2E1F5234"/>
    <w:rsid w:val="2E21BD98"/>
    <w:rsid w:val="2E21F36A"/>
    <w:rsid w:val="2E2247C9"/>
    <w:rsid w:val="2E244068"/>
    <w:rsid w:val="2E27CD75"/>
    <w:rsid w:val="2E28780E"/>
    <w:rsid w:val="2E299427"/>
    <w:rsid w:val="2E2D1121"/>
    <w:rsid w:val="2E2FE94A"/>
    <w:rsid w:val="2E2FF201"/>
    <w:rsid w:val="2E33F58D"/>
    <w:rsid w:val="2E379D23"/>
    <w:rsid w:val="2E37B629"/>
    <w:rsid w:val="2E42C6D2"/>
    <w:rsid w:val="2E4BF89D"/>
    <w:rsid w:val="2E4C8757"/>
    <w:rsid w:val="2E4D7802"/>
    <w:rsid w:val="2E51E865"/>
    <w:rsid w:val="2E535631"/>
    <w:rsid w:val="2E57AC8E"/>
    <w:rsid w:val="2E588AA5"/>
    <w:rsid w:val="2E5A0B84"/>
    <w:rsid w:val="2E5B1BFD"/>
    <w:rsid w:val="2E5CF036"/>
    <w:rsid w:val="2E5DADE6"/>
    <w:rsid w:val="2E5E4ECE"/>
    <w:rsid w:val="2E5EA72D"/>
    <w:rsid w:val="2E601BE1"/>
    <w:rsid w:val="2E6074B0"/>
    <w:rsid w:val="2E61556D"/>
    <w:rsid w:val="2E634413"/>
    <w:rsid w:val="2E6728E0"/>
    <w:rsid w:val="2E679288"/>
    <w:rsid w:val="2E6998A5"/>
    <w:rsid w:val="2E69CCBC"/>
    <w:rsid w:val="2E700F1F"/>
    <w:rsid w:val="2E71C77F"/>
    <w:rsid w:val="2E72B064"/>
    <w:rsid w:val="2E731E25"/>
    <w:rsid w:val="2E737C92"/>
    <w:rsid w:val="2E7439D7"/>
    <w:rsid w:val="2E75CCEA"/>
    <w:rsid w:val="2E79CE7C"/>
    <w:rsid w:val="2E7DBDA5"/>
    <w:rsid w:val="2E856D08"/>
    <w:rsid w:val="2E86FAA0"/>
    <w:rsid w:val="2E8770D7"/>
    <w:rsid w:val="2E88DF32"/>
    <w:rsid w:val="2E899B61"/>
    <w:rsid w:val="2E8E2B60"/>
    <w:rsid w:val="2E934738"/>
    <w:rsid w:val="2E9453F9"/>
    <w:rsid w:val="2E95C6CF"/>
    <w:rsid w:val="2E9D0EC0"/>
    <w:rsid w:val="2EA02140"/>
    <w:rsid w:val="2EA1AF5E"/>
    <w:rsid w:val="2EAAA2C8"/>
    <w:rsid w:val="2EADF914"/>
    <w:rsid w:val="2EB0088C"/>
    <w:rsid w:val="2EB62956"/>
    <w:rsid w:val="2EB6ECC2"/>
    <w:rsid w:val="2EBACD66"/>
    <w:rsid w:val="2EBDFDFD"/>
    <w:rsid w:val="2EBE5FF6"/>
    <w:rsid w:val="2EBF15E9"/>
    <w:rsid w:val="2EBF1E55"/>
    <w:rsid w:val="2EBFA6AF"/>
    <w:rsid w:val="2EC02546"/>
    <w:rsid w:val="2EC0890F"/>
    <w:rsid w:val="2ECB42C7"/>
    <w:rsid w:val="2ECC7F09"/>
    <w:rsid w:val="2ECF952B"/>
    <w:rsid w:val="2ED3D28D"/>
    <w:rsid w:val="2ED5734C"/>
    <w:rsid w:val="2ED608E2"/>
    <w:rsid w:val="2ED742C2"/>
    <w:rsid w:val="2ED79F37"/>
    <w:rsid w:val="2ED8FCC4"/>
    <w:rsid w:val="2ED93BBA"/>
    <w:rsid w:val="2EDA35F9"/>
    <w:rsid w:val="2EDCD9D0"/>
    <w:rsid w:val="2EDE2B96"/>
    <w:rsid w:val="2EDE993C"/>
    <w:rsid w:val="2EE0315F"/>
    <w:rsid w:val="2EE10FC0"/>
    <w:rsid w:val="2EE1DED3"/>
    <w:rsid w:val="2EE20E60"/>
    <w:rsid w:val="2EE29AE1"/>
    <w:rsid w:val="2EE30137"/>
    <w:rsid w:val="2EE6C831"/>
    <w:rsid w:val="2EE7D4CA"/>
    <w:rsid w:val="2EEAC0C2"/>
    <w:rsid w:val="2EEADFA4"/>
    <w:rsid w:val="2EEBE2F2"/>
    <w:rsid w:val="2EEC119C"/>
    <w:rsid w:val="2EEDB6DF"/>
    <w:rsid w:val="2EF059BE"/>
    <w:rsid w:val="2EF21DA5"/>
    <w:rsid w:val="2EF2559B"/>
    <w:rsid w:val="2EF3404B"/>
    <w:rsid w:val="2EF3E754"/>
    <w:rsid w:val="2EF55CD5"/>
    <w:rsid w:val="2EF8F266"/>
    <w:rsid w:val="2EFE95F4"/>
    <w:rsid w:val="2EFF0073"/>
    <w:rsid w:val="2EFFE79C"/>
    <w:rsid w:val="2F0079DE"/>
    <w:rsid w:val="2F0210B8"/>
    <w:rsid w:val="2F09D516"/>
    <w:rsid w:val="2F0A0442"/>
    <w:rsid w:val="2F0AD0C8"/>
    <w:rsid w:val="2F0EA059"/>
    <w:rsid w:val="2F103F57"/>
    <w:rsid w:val="2F124E53"/>
    <w:rsid w:val="2F12B450"/>
    <w:rsid w:val="2F194752"/>
    <w:rsid w:val="2F1D12C5"/>
    <w:rsid w:val="2F22FE07"/>
    <w:rsid w:val="2F2385BF"/>
    <w:rsid w:val="2F23DDAA"/>
    <w:rsid w:val="2F280B90"/>
    <w:rsid w:val="2F289658"/>
    <w:rsid w:val="2F28D3E6"/>
    <w:rsid w:val="2F2C5D3C"/>
    <w:rsid w:val="2F2FC248"/>
    <w:rsid w:val="2F32E1BB"/>
    <w:rsid w:val="2F331E1C"/>
    <w:rsid w:val="2F33B236"/>
    <w:rsid w:val="2F34ADF8"/>
    <w:rsid w:val="2F3609AC"/>
    <w:rsid w:val="2F369D70"/>
    <w:rsid w:val="2F373F5A"/>
    <w:rsid w:val="2F377022"/>
    <w:rsid w:val="2F3B1533"/>
    <w:rsid w:val="2F3CEA71"/>
    <w:rsid w:val="2F3D3AEF"/>
    <w:rsid w:val="2F3EC18A"/>
    <w:rsid w:val="2F4186FD"/>
    <w:rsid w:val="2F42A775"/>
    <w:rsid w:val="2F464024"/>
    <w:rsid w:val="2F46ECA5"/>
    <w:rsid w:val="2F47D779"/>
    <w:rsid w:val="2F489768"/>
    <w:rsid w:val="2F499168"/>
    <w:rsid w:val="2F501747"/>
    <w:rsid w:val="2F527B0C"/>
    <w:rsid w:val="2F53F42B"/>
    <w:rsid w:val="2F56BAA9"/>
    <w:rsid w:val="2F5837F8"/>
    <w:rsid w:val="2F58AA28"/>
    <w:rsid w:val="2F5A1830"/>
    <w:rsid w:val="2F5AA35B"/>
    <w:rsid w:val="2F627220"/>
    <w:rsid w:val="2F62CB5E"/>
    <w:rsid w:val="2F64FF7C"/>
    <w:rsid w:val="2F654B48"/>
    <w:rsid w:val="2F68FFB4"/>
    <w:rsid w:val="2F6C45E3"/>
    <w:rsid w:val="2F6D9FD3"/>
    <w:rsid w:val="2F6F684E"/>
    <w:rsid w:val="2F708289"/>
    <w:rsid w:val="2F724798"/>
    <w:rsid w:val="2F72DDD6"/>
    <w:rsid w:val="2F748957"/>
    <w:rsid w:val="2F74DCD0"/>
    <w:rsid w:val="2F76A22C"/>
    <w:rsid w:val="2F7846B7"/>
    <w:rsid w:val="2F7CD1C7"/>
    <w:rsid w:val="2F7F5861"/>
    <w:rsid w:val="2F83F084"/>
    <w:rsid w:val="2F85AF47"/>
    <w:rsid w:val="2F877E34"/>
    <w:rsid w:val="2F897872"/>
    <w:rsid w:val="2F8CEFD1"/>
    <w:rsid w:val="2F8D01F9"/>
    <w:rsid w:val="2F8D2A19"/>
    <w:rsid w:val="2F8DE4A5"/>
    <w:rsid w:val="2F8E1FD6"/>
    <w:rsid w:val="2F8F8E76"/>
    <w:rsid w:val="2F9038E0"/>
    <w:rsid w:val="2F909DA0"/>
    <w:rsid w:val="2F92B566"/>
    <w:rsid w:val="2F9336C5"/>
    <w:rsid w:val="2F9582C0"/>
    <w:rsid w:val="2F95F325"/>
    <w:rsid w:val="2F98B5A1"/>
    <w:rsid w:val="2F99E8A6"/>
    <w:rsid w:val="2FA0C5A9"/>
    <w:rsid w:val="2FA1EC10"/>
    <w:rsid w:val="2FA20690"/>
    <w:rsid w:val="2FA68EB1"/>
    <w:rsid w:val="2FAA3442"/>
    <w:rsid w:val="2FABBA9A"/>
    <w:rsid w:val="2FAD1E65"/>
    <w:rsid w:val="2FAD600F"/>
    <w:rsid w:val="2FB48347"/>
    <w:rsid w:val="2FB67EAA"/>
    <w:rsid w:val="2FB7D7AA"/>
    <w:rsid w:val="2FB7E490"/>
    <w:rsid w:val="2FB8CB68"/>
    <w:rsid w:val="2FBBC323"/>
    <w:rsid w:val="2FBCEB26"/>
    <w:rsid w:val="2FBEABAB"/>
    <w:rsid w:val="2FBFBA85"/>
    <w:rsid w:val="2FC8522B"/>
    <w:rsid w:val="2FC8FD2C"/>
    <w:rsid w:val="2FC911B0"/>
    <w:rsid w:val="2FC998E2"/>
    <w:rsid w:val="2FCAAFC9"/>
    <w:rsid w:val="2FCB69BB"/>
    <w:rsid w:val="2FCCE586"/>
    <w:rsid w:val="2FCE9384"/>
    <w:rsid w:val="2FD17602"/>
    <w:rsid w:val="2FD2BCAE"/>
    <w:rsid w:val="2FD5024D"/>
    <w:rsid w:val="2FD799C8"/>
    <w:rsid w:val="2FD94B8B"/>
    <w:rsid w:val="2FD97567"/>
    <w:rsid w:val="2FDA0AB3"/>
    <w:rsid w:val="2FDA729C"/>
    <w:rsid w:val="2FDA937A"/>
    <w:rsid w:val="2FDB711A"/>
    <w:rsid w:val="2FDE1E8D"/>
    <w:rsid w:val="2FE186C8"/>
    <w:rsid w:val="2FE18D69"/>
    <w:rsid w:val="2FE2075E"/>
    <w:rsid w:val="2FE3E043"/>
    <w:rsid w:val="2FE64320"/>
    <w:rsid w:val="2FE6EAE1"/>
    <w:rsid w:val="2FEBCBF3"/>
    <w:rsid w:val="2FEEBBAA"/>
    <w:rsid w:val="2FF03976"/>
    <w:rsid w:val="2FF4D401"/>
    <w:rsid w:val="2FF66CFE"/>
    <w:rsid w:val="2FF8DE7C"/>
    <w:rsid w:val="2FF9BE80"/>
    <w:rsid w:val="2FFC7F74"/>
    <w:rsid w:val="2FFD1276"/>
    <w:rsid w:val="30071CD5"/>
    <w:rsid w:val="3008969D"/>
    <w:rsid w:val="30096F20"/>
    <w:rsid w:val="300DD745"/>
    <w:rsid w:val="300E0BE4"/>
    <w:rsid w:val="300F83F3"/>
    <w:rsid w:val="300FDE44"/>
    <w:rsid w:val="30139E9F"/>
    <w:rsid w:val="3014D886"/>
    <w:rsid w:val="3017ED5A"/>
    <w:rsid w:val="3017F638"/>
    <w:rsid w:val="30188BB2"/>
    <w:rsid w:val="301A33C8"/>
    <w:rsid w:val="301B8CD3"/>
    <w:rsid w:val="301F572A"/>
    <w:rsid w:val="30204179"/>
    <w:rsid w:val="3020CFA3"/>
    <w:rsid w:val="3022E658"/>
    <w:rsid w:val="30278CC2"/>
    <w:rsid w:val="302C4022"/>
    <w:rsid w:val="302C9972"/>
    <w:rsid w:val="302D0AD7"/>
    <w:rsid w:val="3032FB15"/>
    <w:rsid w:val="30353F49"/>
    <w:rsid w:val="3035E8E5"/>
    <w:rsid w:val="3036A59E"/>
    <w:rsid w:val="3036F375"/>
    <w:rsid w:val="30370095"/>
    <w:rsid w:val="30376D89"/>
    <w:rsid w:val="30379526"/>
    <w:rsid w:val="30388FD9"/>
    <w:rsid w:val="3039ADAF"/>
    <w:rsid w:val="303A441B"/>
    <w:rsid w:val="303C6F6E"/>
    <w:rsid w:val="303CBE27"/>
    <w:rsid w:val="303DEED2"/>
    <w:rsid w:val="303F1964"/>
    <w:rsid w:val="304402C4"/>
    <w:rsid w:val="30472631"/>
    <w:rsid w:val="304742D9"/>
    <w:rsid w:val="30496CCC"/>
    <w:rsid w:val="304D52EF"/>
    <w:rsid w:val="304D5969"/>
    <w:rsid w:val="304F0E7D"/>
    <w:rsid w:val="304F5CF5"/>
    <w:rsid w:val="305002F6"/>
    <w:rsid w:val="30505599"/>
    <w:rsid w:val="3050C550"/>
    <w:rsid w:val="3051B696"/>
    <w:rsid w:val="30534704"/>
    <w:rsid w:val="30547A0D"/>
    <w:rsid w:val="3054D055"/>
    <w:rsid w:val="305841B6"/>
    <w:rsid w:val="305C7985"/>
    <w:rsid w:val="305FC7CA"/>
    <w:rsid w:val="3062BEFD"/>
    <w:rsid w:val="3063AC28"/>
    <w:rsid w:val="30655089"/>
    <w:rsid w:val="3065804A"/>
    <w:rsid w:val="306647C5"/>
    <w:rsid w:val="3066F071"/>
    <w:rsid w:val="306A7484"/>
    <w:rsid w:val="306B0E47"/>
    <w:rsid w:val="306C224C"/>
    <w:rsid w:val="306D5684"/>
    <w:rsid w:val="3072186A"/>
    <w:rsid w:val="30754B96"/>
    <w:rsid w:val="30797C6E"/>
    <w:rsid w:val="3079AD1B"/>
    <w:rsid w:val="307C18DD"/>
    <w:rsid w:val="307C5D69"/>
    <w:rsid w:val="307D1B05"/>
    <w:rsid w:val="307DF931"/>
    <w:rsid w:val="307EB71A"/>
    <w:rsid w:val="30821BE4"/>
    <w:rsid w:val="3082A1E4"/>
    <w:rsid w:val="30851E45"/>
    <w:rsid w:val="30873333"/>
    <w:rsid w:val="308760EB"/>
    <w:rsid w:val="3088A94E"/>
    <w:rsid w:val="30891CAE"/>
    <w:rsid w:val="308A3B8F"/>
    <w:rsid w:val="308C0199"/>
    <w:rsid w:val="308E5068"/>
    <w:rsid w:val="309002F8"/>
    <w:rsid w:val="3091B7AB"/>
    <w:rsid w:val="30926DB8"/>
    <w:rsid w:val="30952787"/>
    <w:rsid w:val="30967A43"/>
    <w:rsid w:val="3099E041"/>
    <w:rsid w:val="309A591B"/>
    <w:rsid w:val="309C8CDF"/>
    <w:rsid w:val="309DECAB"/>
    <w:rsid w:val="309EF94B"/>
    <w:rsid w:val="30A202EB"/>
    <w:rsid w:val="30A21722"/>
    <w:rsid w:val="30A2E268"/>
    <w:rsid w:val="30A46A85"/>
    <w:rsid w:val="30A5313E"/>
    <w:rsid w:val="30A5C3F7"/>
    <w:rsid w:val="30A67E33"/>
    <w:rsid w:val="30A9161F"/>
    <w:rsid w:val="30A948BC"/>
    <w:rsid w:val="30A9B52E"/>
    <w:rsid w:val="30AACF2B"/>
    <w:rsid w:val="30AC844E"/>
    <w:rsid w:val="30AC8D55"/>
    <w:rsid w:val="30AE0165"/>
    <w:rsid w:val="30AE8F7F"/>
    <w:rsid w:val="30B19C31"/>
    <w:rsid w:val="30B3DA6C"/>
    <w:rsid w:val="30B87DC4"/>
    <w:rsid w:val="30BA9C78"/>
    <w:rsid w:val="30BAA8C1"/>
    <w:rsid w:val="30BCEDF2"/>
    <w:rsid w:val="30BDB92A"/>
    <w:rsid w:val="30BE4124"/>
    <w:rsid w:val="30C36C6E"/>
    <w:rsid w:val="30CBBEB1"/>
    <w:rsid w:val="30CD0DB5"/>
    <w:rsid w:val="30CD6556"/>
    <w:rsid w:val="30CE8106"/>
    <w:rsid w:val="30CF97B3"/>
    <w:rsid w:val="30D05427"/>
    <w:rsid w:val="30DE6E09"/>
    <w:rsid w:val="30E02C0F"/>
    <w:rsid w:val="30E366ED"/>
    <w:rsid w:val="30EAEFAE"/>
    <w:rsid w:val="30EEAB5C"/>
    <w:rsid w:val="30EF4E22"/>
    <w:rsid w:val="30EFF318"/>
    <w:rsid w:val="30F42F46"/>
    <w:rsid w:val="30F7FBCB"/>
    <w:rsid w:val="30F86857"/>
    <w:rsid w:val="30F94A79"/>
    <w:rsid w:val="30FECFDA"/>
    <w:rsid w:val="3101F578"/>
    <w:rsid w:val="3102C3C2"/>
    <w:rsid w:val="310363E8"/>
    <w:rsid w:val="31042479"/>
    <w:rsid w:val="310547CE"/>
    <w:rsid w:val="3105AD80"/>
    <w:rsid w:val="31072BFD"/>
    <w:rsid w:val="310881D1"/>
    <w:rsid w:val="31089EB5"/>
    <w:rsid w:val="310A1071"/>
    <w:rsid w:val="3113320B"/>
    <w:rsid w:val="3115C10B"/>
    <w:rsid w:val="3116479C"/>
    <w:rsid w:val="31165A15"/>
    <w:rsid w:val="311A0712"/>
    <w:rsid w:val="311E75F1"/>
    <w:rsid w:val="312187B8"/>
    <w:rsid w:val="31218AAF"/>
    <w:rsid w:val="3124798A"/>
    <w:rsid w:val="31251E81"/>
    <w:rsid w:val="31255281"/>
    <w:rsid w:val="31278F7D"/>
    <w:rsid w:val="3128241F"/>
    <w:rsid w:val="312B0138"/>
    <w:rsid w:val="312C908A"/>
    <w:rsid w:val="312D184C"/>
    <w:rsid w:val="312DADF5"/>
    <w:rsid w:val="312FA407"/>
    <w:rsid w:val="3132F0CB"/>
    <w:rsid w:val="3135F326"/>
    <w:rsid w:val="313A8179"/>
    <w:rsid w:val="313C550A"/>
    <w:rsid w:val="313D61E6"/>
    <w:rsid w:val="313E0DE5"/>
    <w:rsid w:val="31403E8D"/>
    <w:rsid w:val="31453CCC"/>
    <w:rsid w:val="3146A8AD"/>
    <w:rsid w:val="3147E791"/>
    <w:rsid w:val="31482C76"/>
    <w:rsid w:val="314E2964"/>
    <w:rsid w:val="31506946"/>
    <w:rsid w:val="31517410"/>
    <w:rsid w:val="315243DB"/>
    <w:rsid w:val="3155B51B"/>
    <w:rsid w:val="3157C00C"/>
    <w:rsid w:val="3158C27D"/>
    <w:rsid w:val="315DE981"/>
    <w:rsid w:val="315EC275"/>
    <w:rsid w:val="31626522"/>
    <w:rsid w:val="3162C071"/>
    <w:rsid w:val="3164CB18"/>
    <w:rsid w:val="3166EACB"/>
    <w:rsid w:val="3167E21D"/>
    <w:rsid w:val="31688E94"/>
    <w:rsid w:val="316A41BB"/>
    <w:rsid w:val="316A890B"/>
    <w:rsid w:val="316ED648"/>
    <w:rsid w:val="317183FC"/>
    <w:rsid w:val="317198FD"/>
    <w:rsid w:val="3177281A"/>
    <w:rsid w:val="317A183E"/>
    <w:rsid w:val="317C9E3D"/>
    <w:rsid w:val="317DEF43"/>
    <w:rsid w:val="317F4B3D"/>
    <w:rsid w:val="317FB2C6"/>
    <w:rsid w:val="31802D09"/>
    <w:rsid w:val="318AC67C"/>
    <w:rsid w:val="318B9460"/>
    <w:rsid w:val="318BE9C2"/>
    <w:rsid w:val="318D4A3B"/>
    <w:rsid w:val="3190635A"/>
    <w:rsid w:val="3192ECA7"/>
    <w:rsid w:val="3194039C"/>
    <w:rsid w:val="3194366D"/>
    <w:rsid w:val="3197B048"/>
    <w:rsid w:val="3199C13C"/>
    <w:rsid w:val="319A0A9A"/>
    <w:rsid w:val="319A6787"/>
    <w:rsid w:val="319E4F6A"/>
    <w:rsid w:val="319EF99B"/>
    <w:rsid w:val="319F50B5"/>
    <w:rsid w:val="319F59DF"/>
    <w:rsid w:val="31A4F417"/>
    <w:rsid w:val="31AD51C9"/>
    <w:rsid w:val="31AE18F3"/>
    <w:rsid w:val="31B33A39"/>
    <w:rsid w:val="31B412F5"/>
    <w:rsid w:val="31B45A99"/>
    <w:rsid w:val="31BA5233"/>
    <w:rsid w:val="31BEB174"/>
    <w:rsid w:val="31BEE030"/>
    <w:rsid w:val="31BFB803"/>
    <w:rsid w:val="31C4050A"/>
    <w:rsid w:val="31C9C199"/>
    <w:rsid w:val="31CB0309"/>
    <w:rsid w:val="31CCE9B9"/>
    <w:rsid w:val="31CF71B7"/>
    <w:rsid w:val="31CFC140"/>
    <w:rsid w:val="31D2D278"/>
    <w:rsid w:val="31D3949F"/>
    <w:rsid w:val="31D41D2E"/>
    <w:rsid w:val="31D57401"/>
    <w:rsid w:val="31DE0C8A"/>
    <w:rsid w:val="31DFBB31"/>
    <w:rsid w:val="31DFD549"/>
    <w:rsid w:val="31E2B024"/>
    <w:rsid w:val="31E34F20"/>
    <w:rsid w:val="31E93241"/>
    <w:rsid w:val="31EC59D1"/>
    <w:rsid w:val="31ED9088"/>
    <w:rsid w:val="31EE5DD8"/>
    <w:rsid w:val="31EE61F7"/>
    <w:rsid w:val="31EE8390"/>
    <w:rsid w:val="31EF3B47"/>
    <w:rsid w:val="31F3E562"/>
    <w:rsid w:val="31F61AFF"/>
    <w:rsid w:val="31F6FCF1"/>
    <w:rsid w:val="31F8010A"/>
    <w:rsid w:val="3205EE63"/>
    <w:rsid w:val="32079BD4"/>
    <w:rsid w:val="3209B0FF"/>
    <w:rsid w:val="320BA206"/>
    <w:rsid w:val="320BD652"/>
    <w:rsid w:val="3210AAAE"/>
    <w:rsid w:val="3212C940"/>
    <w:rsid w:val="32165202"/>
    <w:rsid w:val="3217ECF3"/>
    <w:rsid w:val="3218FD0C"/>
    <w:rsid w:val="321BA64F"/>
    <w:rsid w:val="321C2EA4"/>
    <w:rsid w:val="321FFB62"/>
    <w:rsid w:val="322050C5"/>
    <w:rsid w:val="3227F70D"/>
    <w:rsid w:val="32286496"/>
    <w:rsid w:val="3228F868"/>
    <w:rsid w:val="322E6887"/>
    <w:rsid w:val="32316B34"/>
    <w:rsid w:val="32318A36"/>
    <w:rsid w:val="323226BB"/>
    <w:rsid w:val="323339F3"/>
    <w:rsid w:val="32341AE5"/>
    <w:rsid w:val="3236E16A"/>
    <w:rsid w:val="32378EB9"/>
    <w:rsid w:val="323BAFC0"/>
    <w:rsid w:val="323C4A2D"/>
    <w:rsid w:val="323C7DB2"/>
    <w:rsid w:val="323C9341"/>
    <w:rsid w:val="323C9FC9"/>
    <w:rsid w:val="323D250F"/>
    <w:rsid w:val="323FA615"/>
    <w:rsid w:val="32409667"/>
    <w:rsid w:val="32425E15"/>
    <w:rsid w:val="324638FB"/>
    <w:rsid w:val="3247F365"/>
    <w:rsid w:val="3249918E"/>
    <w:rsid w:val="324A05B1"/>
    <w:rsid w:val="324D439A"/>
    <w:rsid w:val="324F06CE"/>
    <w:rsid w:val="32505200"/>
    <w:rsid w:val="32508F5B"/>
    <w:rsid w:val="3251FF40"/>
    <w:rsid w:val="325C26B6"/>
    <w:rsid w:val="325D53F3"/>
    <w:rsid w:val="325D77BC"/>
    <w:rsid w:val="3262A3D8"/>
    <w:rsid w:val="3263A8DB"/>
    <w:rsid w:val="326CB1BE"/>
    <w:rsid w:val="326E3ACA"/>
    <w:rsid w:val="3274E0B5"/>
    <w:rsid w:val="3275C37D"/>
    <w:rsid w:val="3278A05D"/>
    <w:rsid w:val="327D78CE"/>
    <w:rsid w:val="327DD5D5"/>
    <w:rsid w:val="327EAEE1"/>
    <w:rsid w:val="327ECCF7"/>
    <w:rsid w:val="3282223B"/>
    <w:rsid w:val="3282C184"/>
    <w:rsid w:val="328536A8"/>
    <w:rsid w:val="32876E6F"/>
    <w:rsid w:val="3288A62F"/>
    <w:rsid w:val="328A7392"/>
    <w:rsid w:val="328F9907"/>
    <w:rsid w:val="329090D3"/>
    <w:rsid w:val="32953A6D"/>
    <w:rsid w:val="3296192B"/>
    <w:rsid w:val="3296412A"/>
    <w:rsid w:val="32970958"/>
    <w:rsid w:val="329B6CF9"/>
    <w:rsid w:val="329EE39A"/>
    <w:rsid w:val="32A13456"/>
    <w:rsid w:val="32A405D4"/>
    <w:rsid w:val="32A4E134"/>
    <w:rsid w:val="32A52A6B"/>
    <w:rsid w:val="32A60A6A"/>
    <w:rsid w:val="32A76F32"/>
    <w:rsid w:val="32A8EA1E"/>
    <w:rsid w:val="32A8F876"/>
    <w:rsid w:val="32AA1A8C"/>
    <w:rsid w:val="32AADB28"/>
    <w:rsid w:val="32AE4871"/>
    <w:rsid w:val="32AEB8CF"/>
    <w:rsid w:val="32B02E86"/>
    <w:rsid w:val="32B26D4B"/>
    <w:rsid w:val="32B41AD6"/>
    <w:rsid w:val="32BBFA57"/>
    <w:rsid w:val="32BBFB84"/>
    <w:rsid w:val="32BDF586"/>
    <w:rsid w:val="32C5218B"/>
    <w:rsid w:val="32C52285"/>
    <w:rsid w:val="32CA2DA0"/>
    <w:rsid w:val="32CAF262"/>
    <w:rsid w:val="32CDBDF7"/>
    <w:rsid w:val="32CDFE28"/>
    <w:rsid w:val="32CE5178"/>
    <w:rsid w:val="32D6985E"/>
    <w:rsid w:val="32D7456E"/>
    <w:rsid w:val="32D9629B"/>
    <w:rsid w:val="32D98739"/>
    <w:rsid w:val="32DA4176"/>
    <w:rsid w:val="32DB6D8F"/>
    <w:rsid w:val="32DD0F97"/>
    <w:rsid w:val="32E0C8D0"/>
    <w:rsid w:val="32E36D8B"/>
    <w:rsid w:val="32EAEE3B"/>
    <w:rsid w:val="32F55DF7"/>
    <w:rsid w:val="32F59362"/>
    <w:rsid w:val="32F71E79"/>
    <w:rsid w:val="32F73A3B"/>
    <w:rsid w:val="32F7EB76"/>
    <w:rsid w:val="32F7EC5C"/>
    <w:rsid w:val="3300B68A"/>
    <w:rsid w:val="3301AE3B"/>
    <w:rsid w:val="330711E3"/>
    <w:rsid w:val="33088D16"/>
    <w:rsid w:val="330928FE"/>
    <w:rsid w:val="330ADE0E"/>
    <w:rsid w:val="330B46BB"/>
    <w:rsid w:val="330C0497"/>
    <w:rsid w:val="330D5C93"/>
    <w:rsid w:val="330E7971"/>
    <w:rsid w:val="330F9395"/>
    <w:rsid w:val="3313B62F"/>
    <w:rsid w:val="33150069"/>
    <w:rsid w:val="33150FB0"/>
    <w:rsid w:val="33151DA6"/>
    <w:rsid w:val="33156659"/>
    <w:rsid w:val="3317B463"/>
    <w:rsid w:val="331B7AC9"/>
    <w:rsid w:val="331DB3C4"/>
    <w:rsid w:val="331DD8FB"/>
    <w:rsid w:val="3320698E"/>
    <w:rsid w:val="33221A08"/>
    <w:rsid w:val="3322C16E"/>
    <w:rsid w:val="3328A8C5"/>
    <w:rsid w:val="3329D08F"/>
    <w:rsid w:val="332CC8C9"/>
    <w:rsid w:val="332D17C8"/>
    <w:rsid w:val="332DE2B1"/>
    <w:rsid w:val="333184F5"/>
    <w:rsid w:val="3333C584"/>
    <w:rsid w:val="3337BC2D"/>
    <w:rsid w:val="333A9862"/>
    <w:rsid w:val="333B4887"/>
    <w:rsid w:val="333EC8E7"/>
    <w:rsid w:val="3341766D"/>
    <w:rsid w:val="334274B9"/>
    <w:rsid w:val="3342E129"/>
    <w:rsid w:val="3347FF8C"/>
    <w:rsid w:val="334C2CD6"/>
    <w:rsid w:val="334DA47D"/>
    <w:rsid w:val="334E0D9A"/>
    <w:rsid w:val="3351BB19"/>
    <w:rsid w:val="3351F1A5"/>
    <w:rsid w:val="3355AE1C"/>
    <w:rsid w:val="335874DB"/>
    <w:rsid w:val="3359B4C3"/>
    <w:rsid w:val="3359E16A"/>
    <w:rsid w:val="335C5746"/>
    <w:rsid w:val="335F4FFA"/>
    <w:rsid w:val="3360D370"/>
    <w:rsid w:val="3363800B"/>
    <w:rsid w:val="3368A812"/>
    <w:rsid w:val="3369F90C"/>
    <w:rsid w:val="336B190E"/>
    <w:rsid w:val="336B4D10"/>
    <w:rsid w:val="336CF060"/>
    <w:rsid w:val="336ED9B2"/>
    <w:rsid w:val="3376609B"/>
    <w:rsid w:val="3377BE4B"/>
    <w:rsid w:val="3378FC0C"/>
    <w:rsid w:val="3379968F"/>
    <w:rsid w:val="3379B833"/>
    <w:rsid w:val="337DBA2D"/>
    <w:rsid w:val="337DDD91"/>
    <w:rsid w:val="337E73D9"/>
    <w:rsid w:val="33827401"/>
    <w:rsid w:val="3383C92E"/>
    <w:rsid w:val="33847493"/>
    <w:rsid w:val="33898CFD"/>
    <w:rsid w:val="3389DE33"/>
    <w:rsid w:val="338C20F1"/>
    <w:rsid w:val="338CF55F"/>
    <w:rsid w:val="338E782E"/>
    <w:rsid w:val="338EC4B5"/>
    <w:rsid w:val="338F8727"/>
    <w:rsid w:val="338FF727"/>
    <w:rsid w:val="339179F0"/>
    <w:rsid w:val="3391937D"/>
    <w:rsid w:val="3394AABC"/>
    <w:rsid w:val="33977426"/>
    <w:rsid w:val="3397E0FB"/>
    <w:rsid w:val="33999D0D"/>
    <w:rsid w:val="339A0CF2"/>
    <w:rsid w:val="339C135F"/>
    <w:rsid w:val="339F341D"/>
    <w:rsid w:val="339FCA15"/>
    <w:rsid w:val="33A25371"/>
    <w:rsid w:val="33A42945"/>
    <w:rsid w:val="33A496BA"/>
    <w:rsid w:val="33A53EBF"/>
    <w:rsid w:val="33A60D77"/>
    <w:rsid w:val="33A8E5D1"/>
    <w:rsid w:val="33AA9934"/>
    <w:rsid w:val="33AAA3CD"/>
    <w:rsid w:val="33AABEDA"/>
    <w:rsid w:val="33AEFB66"/>
    <w:rsid w:val="33AF81A9"/>
    <w:rsid w:val="33AF8DC7"/>
    <w:rsid w:val="33B041C3"/>
    <w:rsid w:val="33B2AEB5"/>
    <w:rsid w:val="33B523F7"/>
    <w:rsid w:val="33B5C039"/>
    <w:rsid w:val="33B63839"/>
    <w:rsid w:val="33B776B0"/>
    <w:rsid w:val="33B7F53F"/>
    <w:rsid w:val="33B80C76"/>
    <w:rsid w:val="33B910BC"/>
    <w:rsid w:val="33B91BFC"/>
    <w:rsid w:val="33BA018F"/>
    <w:rsid w:val="33BD6653"/>
    <w:rsid w:val="33BDE65B"/>
    <w:rsid w:val="33BE34CC"/>
    <w:rsid w:val="33BF05B5"/>
    <w:rsid w:val="33C53A90"/>
    <w:rsid w:val="33C88701"/>
    <w:rsid w:val="33CD73CD"/>
    <w:rsid w:val="33D50C50"/>
    <w:rsid w:val="33D7857A"/>
    <w:rsid w:val="33D80953"/>
    <w:rsid w:val="33D9B312"/>
    <w:rsid w:val="33DFFFDE"/>
    <w:rsid w:val="33E077C1"/>
    <w:rsid w:val="33E0FF2E"/>
    <w:rsid w:val="33E2DEE2"/>
    <w:rsid w:val="33E37AD2"/>
    <w:rsid w:val="33E48984"/>
    <w:rsid w:val="33E90303"/>
    <w:rsid w:val="33EC2741"/>
    <w:rsid w:val="33EC9610"/>
    <w:rsid w:val="33F35095"/>
    <w:rsid w:val="33F3EE1C"/>
    <w:rsid w:val="33F44260"/>
    <w:rsid w:val="33F4F7F7"/>
    <w:rsid w:val="33F7CAC4"/>
    <w:rsid w:val="33F7CE2D"/>
    <w:rsid w:val="33F9AAE8"/>
    <w:rsid w:val="33F9BCFE"/>
    <w:rsid w:val="33FA3FA8"/>
    <w:rsid w:val="33FB74C9"/>
    <w:rsid w:val="33FD3DEB"/>
    <w:rsid w:val="33FD6D4E"/>
    <w:rsid w:val="33FF236E"/>
    <w:rsid w:val="33FF5AE9"/>
    <w:rsid w:val="3400C80F"/>
    <w:rsid w:val="34019395"/>
    <w:rsid w:val="340715C7"/>
    <w:rsid w:val="3407D816"/>
    <w:rsid w:val="340803CF"/>
    <w:rsid w:val="340849B7"/>
    <w:rsid w:val="34090345"/>
    <w:rsid w:val="3409CD30"/>
    <w:rsid w:val="340C8A3C"/>
    <w:rsid w:val="340EAD44"/>
    <w:rsid w:val="340F23D7"/>
    <w:rsid w:val="341070C2"/>
    <w:rsid w:val="341536D1"/>
    <w:rsid w:val="3418A68D"/>
    <w:rsid w:val="341A8E04"/>
    <w:rsid w:val="341E7C8A"/>
    <w:rsid w:val="3420D519"/>
    <w:rsid w:val="342335F0"/>
    <w:rsid w:val="3424B2E6"/>
    <w:rsid w:val="34266DA2"/>
    <w:rsid w:val="3429465F"/>
    <w:rsid w:val="342A29AC"/>
    <w:rsid w:val="342D387A"/>
    <w:rsid w:val="342DC68B"/>
    <w:rsid w:val="34305DE0"/>
    <w:rsid w:val="34348387"/>
    <w:rsid w:val="3438F3C7"/>
    <w:rsid w:val="343EE8A3"/>
    <w:rsid w:val="343FB2D7"/>
    <w:rsid w:val="34427ED7"/>
    <w:rsid w:val="344476D4"/>
    <w:rsid w:val="3446EEC3"/>
    <w:rsid w:val="3449170C"/>
    <w:rsid w:val="34494355"/>
    <w:rsid w:val="344C1B81"/>
    <w:rsid w:val="344F0CBB"/>
    <w:rsid w:val="3450A240"/>
    <w:rsid w:val="34513354"/>
    <w:rsid w:val="34514247"/>
    <w:rsid w:val="34522922"/>
    <w:rsid w:val="34530313"/>
    <w:rsid w:val="34541925"/>
    <w:rsid w:val="3456A7A1"/>
    <w:rsid w:val="34595E89"/>
    <w:rsid w:val="345A1FD3"/>
    <w:rsid w:val="345BDEAD"/>
    <w:rsid w:val="345D1785"/>
    <w:rsid w:val="345DE206"/>
    <w:rsid w:val="345E6FC3"/>
    <w:rsid w:val="3460B19A"/>
    <w:rsid w:val="34631D70"/>
    <w:rsid w:val="34637ED8"/>
    <w:rsid w:val="3463C210"/>
    <w:rsid w:val="346A2A35"/>
    <w:rsid w:val="346D0320"/>
    <w:rsid w:val="346D77CA"/>
    <w:rsid w:val="346F06BB"/>
    <w:rsid w:val="347818D9"/>
    <w:rsid w:val="347ABD1D"/>
    <w:rsid w:val="34807570"/>
    <w:rsid w:val="3480D066"/>
    <w:rsid w:val="34838EE0"/>
    <w:rsid w:val="34860D5A"/>
    <w:rsid w:val="34896AED"/>
    <w:rsid w:val="3489A8D0"/>
    <w:rsid w:val="348BFFE7"/>
    <w:rsid w:val="348D2F3E"/>
    <w:rsid w:val="34941A35"/>
    <w:rsid w:val="34950B82"/>
    <w:rsid w:val="3495BD86"/>
    <w:rsid w:val="3499D109"/>
    <w:rsid w:val="349A5D75"/>
    <w:rsid w:val="349BE2FD"/>
    <w:rsid w:val="349C4243"/>
    <w:rsid w:val="349CC37F"/>
    <w:rsid w:val="349DF63B"/>
    <w:rsid w:val="34A01900"/>
    <w:rsid w:val="34A2705F"/>
    <w:rsid w:val="34A38006"/>
    <w:rsid w:val="34A7CE71"/>
    <w:rsid w:val="34A8F43D"/>
    <w:rsid w:val="34A9DF3E"/>
    <w:rsid w:val="34AC31DC"/>
    <w:rsid w:val="34AF1919"/>
    <w:rsid w:val="34B1A68C"/>
    <w:rsid w:val="34B2123E"/>
    <w:rsid w:val="34B6EB38"/>
    <w:rsid w:val="34B7172A"/>
    <w:rsid w:val="34B8D4E5"/>
    <w:rsid w:val="34B92E79"/>
    <w:rsid w:val="34BAF174"/>
    <w:rsid w:val="34BC32FA"/>
    <w:rsid w:val="34BC7054"/>
    <w:rsid w:val="34C2EAE1"/>
    <w:rsid w:val="34C36EE6"/>
    <w:rsid w:val="34C4E0C9"/>
    <w:rsid w:val="34C700CA"/>
    <w:rsid w:val="34C942E5"/>
    <w:rsid w:val="34CE3B77"/>
    <w:rsid w:val="34D11C64"/>
    <w:rsid w:val="34D16D24"/>
    <w:rsid w:val="34D6A21F"/>
    <w:rsid w:val="34D8A6B1"/>
    <w:rsid w:val="34DA6CD1"/>
    <w:rsid w:val="34DAA200"/>
    <w:rsid w:val="34DD3626"/>
    <w:rsid w:val="34DDAD00"/>
    <w:rsid w:val="34DEC43A"/>
    <w:rsid w:val="34DF238F"/>
    <w:rsid w:val="34DFC9A3"/>
    <w:rsid w:val="34E27BDB"/>
    <w:rsid w:val="34E37435"/>
    <w:rsid w:val="34E4DAC7"/>
    <w:rsid w:val="34E51297"/>
    <w:rsid w:val="34E58919"/>
    <w:rsid w:val="34E61FE3"/>
    <w:rsid w:val="34E63D75"/>
    <w:rsid w:val="34E7BE34"/>
    <w:rsid w:val="34E8211B"/>
    <w:rsid w:val="34E8694F"/>
    <w:rsid w:val="34E8A20C"/>
    <w:rsid w:val="34EFF6D1"/>
    <w:rsid w:val="34F2FBE7"/>
    <w:rsid w:val="34F43292"/>
    <w:rsid w:val="34F59D92"/>
    <w:rsid w:val="34F7D367"/>
    <w:rsid w:val="34F8CB85"/>
    <w:rsid w:val="34F8F90D"/>
    <w:rsid w:val="34F9536A"/>
    <w:rsid w:val="34FA0F68"/>
    <w:rsid w:val="34FEE590"/>
    <w:rsid w:val="3500FED8"/>
    <w:rsid w:val="35047BF8"/>
    <w:rsid w:val="3506F17A"/>
    <w:rsid w:val="35085D90"/>
    <w:rsid w:val="350A8159"/>
    <w:rsid w:val="350A854C"/>
    <w:rsid w:val="350BDF92"/>
    <w:rsid w:val="350D07C5"/>
    <w:rsid w:val="350F35EC"/>
    <w:rsid w:val="3512AAAF"/>
    <w:rsid w:val="35144760"/>
    <w:rsid w:val="35147969"/>
    <w:rsid w:val="3515D5AE"/>
    <w:rsid w:val="351780C7"/>
    <w:rsid w:val="351AF1ED"/>
    <w:rsid w:val="351BC50D"/>
    <w:rsid w:val="351E372B"/>
    <w:rsid w:val="3520C3A7"/>
    <w:rsid w:val="352819DD"/>
    <w:rsid w:val="352B2644"/>
    <w:rsid w:val="352DBCFB"/>
    <w:rsid w:val="352F1011"/>
    <w:rsid w:val="35325398"/>
    <w:rsid w:val="35346A3F"/>
    <w:rsid w:val="35387B65"/>
    <w:rsid w:val="3540FB11"/>
    <w:rsid w:val="3541A042"/>
    <w:rsid w:val="3549157E"/>
    <w:rsid w:val="354B5759"/>
    <w:rsid w:val="354FF159"/>
    <w:rsid w:val="35501DA1"/>
    <w:rsid w:val="355093ED"/>
    <w:rsid w:val="355389DE"/>
    <w:rsid w:val="3557D014"/>
    <w:rsid w:val="355BBCEB"/>
    <w:rsid w:val="355DB0ED"/>
    <w:rsid w:val="355E2554"/>
    <w:rsid w:val="355EE676"/>
    <w:rsid w:val="355F9D6D"/>
    <w:rsid w:val="3560DEE1"/>
    <w:rsid w:val="35635044"/>
    <w:rsid w:val="356370C8"/>
    <w:rsid w:val="3566947E"/>
    <w:rsid w:val="356729A7"/>
    <w:rsid w:val="3568A122"/>
    <w:rsid w:val="356B815E"/>
    <w:rsid w:val="356BC8B6"/>
    <w:rsid w:val="356D13BD"/>
    <w:rsid w:val="356EB935"/>
    <w:rsid w:val="356EDFE9"/>
    <w:rsid w:val="356F83F2"/>
    <w:rsid w:val="35709681"/>
    <w:rsid w:val="35711E55"/>
    <w:rsid w:val="35721FBA"/>
    <w:rsid w:val="35723390"/>
    <w:rsid w:val="3573FA8E"/>
    <w:rsid w:val="3576D407"/>
    <w:rsid w:val="3577FC7B"/>
    <w:rsid w:val="3577FD85"/>
    <w:rsid w:val="35788F32"/>
    <w:rsid w:val="357AD480"/>
    <w:rsid w:val="357BD039"/>
    <w:rsid w:val="357BE5F7"/>
    <w:rsid w:val="35811C02"/>
    <w:rsid w:val="3581811F"/>
    <w:rsid w:val="3582B5F2"/>
    <w:rsid w:val="35891152"/>
    <w:rsid w:val="358B2B2B"/>
    <w:rsid w:val="358C2E7F"/>
    <w:rsid w:val="358D18BF"/>
    <w:rsid w:val="3590FA83"/>
    <w:rsid w:val="3592CC66"/>
    <w:rsid w:val="35938B72"/>
    <w:rsid w:val="359812CC"/>
    <w:rsid w:val="359AB1F3"/>
    <w:rsid w:val="35A08FA6"/>
    <w:rsid w:val="35A58408"/>
    <w:rsid w:val="35A7A4CF"/>
    <w:rsid w:val="35A7F1E5"/>
    <w:rsid w:val="35AB7A64"/>
    <w:rsid w:val="35AF7202"/>
    <w:rsid w:val="35B09D90"/>
    <w:rsid w:val="35B41393"/>
    <w:rsid w:val="35B4763B"/>
    <w:rsid w:val="35B49F21"/>
    <w:rsid w:val="35B8BFFE"/>
    <w:rsid w:val="35B8F7FB"/>
    <w:rsid w:val="35B98DF2"/>
    <w:rsid w:val="35BDE4DF"/>
    <w:rsid w:val="35C1536E"/>
    <w:rsid w:val="35C1E8A9"/>
    <w:rsid w:val="35C51FC1"/>
    <w:rsid w:val="35C59ADC"/>
    <w:rsid w:val="35CF13C5"/>
    <w:rsid w:val="35CFB02B"/>
    <w:rsid w:val="35D242D0"/>
    <w:rsid w:val="35D464FD"/>
    <w:rsid w:val="35D7F4F2"/>
    <w:rsid w:val="35DAEE62"/>
    <w:rsid w:val="35DEE2A0"/>
    <w:rsid w:val="35DFFC3B"/>
    <w:rsid w:val="35E038DD"/>
    <w:rsid w:val="35E1FB85"/>
    <w:rsid w:val="35E56D6E"/>
    <w:rsid w:val="35E8BE84"/>
    <w:rsid w:val="35EA942C"/>
    <w:rsid w:val="35EBF1EB"/>
    <w:rsid w:val="35EF47CE"/>
    <w:rsid w:val="35EFE700"/>
    <w:rsid w:val="35F165A5"/>
    <w:rsid w:val="35F17C73"/>
    <w:rsid w:val="35F254D1"/>
    <w:rsid w:val="35F366F9"/>
    <w:rsid w:val="35F58474"/>
    <w:rsid w:val="35F72B99"/>
    <w:rsid w:val="35F8EC26"/>
    <w:rsid w:val="35FE5A72"/>
    <w:rsid w:val="35FE7DA8"/>
    <w:rsid w:val="35FF97F8"/>
    <w:rsid w:val="36001696"/>
    <w:rsid w:val="3600E926"/>
    <w:rsid w:val="36014E16"/>
    <w:rsid w:val="36015BFE"/>
    <w:rsid w:val="360185FF"/>
    <w:rsid w:val="360519C5"/>
    <w:rsid w:val="36053028"/>
    <w:rsid w:val="3605F915"/>
    <w:rsid w:val="36061231"/>
    <w:rsid w:val="360745D0"/>
    <w:rsid w:val="36092C92"/>
    <w:rsid w:val="360AA84A"/>
    <w:rsid w:val="360ADB76"/>
    <w:rsid w:val="360AF769"/>
    <w:rsid w:val="360DD8B0"/>
    <w:rsid w:val="360E9CB4"/>
    <w:rsid w:val="3614DD0B"/>
    <w:rsid w:val="3618EACE"/>
    <w:rsid w:val="361E04F2"/>
    <w:rsid w:val="361EB100"/>
    <w:rsid w:val="36213B2F"/>
    <w:rsid w:val="3623EDC9"/>
    <w:rsid w:val="3629BCC2"/>
    <w:rsid w:val="362AD101"/>
    <w:rsid w:val="362AF21E"/>
    <w:rsid w:val="362BFA52"/>
    <w:rsid w:val="362EDE1A"/>
    <w:rsid w:val="3631560B"/>
    <w:rsid w:val="3633A02C"/>
    <w:rsid w:val="3636EF4C"/>
    <w:rsid w:val="3636F4C4"/>
    <w:rsid w:val="36387B3C"/>
    <w:rsid w:val="3639EA09"/>
    <w:rsid w:val="363BA69A"/>
    <w:rsid w:val="363DE1F3"/>
    <w:rsid w:val="363E540B"/>
    <w:rsid w:val="363E6C7E"/>
    <w:rsid w:val="36411866"/>
    <w:rsid w:val="3644800A"/>
    <w:rsid w:val="3648F741"/>
    <w:rsid w:val="364CE419"/>
    <w:rsid w:val="364D311D"/>
    <w:rsid w:val="364DA777"/>
    <w:rsid w:val="36503D5E"/>
    <w:rsid w:val="365081AE"/>
    <w:rsid w:val="36526929"/>
    <w:rsid w:val="365636EA"/>
    <w:rsid w:val="365BAF59"/>
    <w:rsid w:val="365DC028"/>
    <w:rsid w:val="365EF25F"/>
    <w:rsid w:val="3660164E"/>
    <w:rsid w:val="36614CBF"/>
    <w:rsid w:val="36648868"/>
    <w:rsid w:val="366C02B0"/>
    <w:rsid w:val="36708997"/>
    <w:rsid w:val="3672400A"/>
    <w:rsid w:val="3672E2AB"/>
    <w:rsid w:val="3673A83A"/>
    <w:rsid w:val="36754664"/>
    <w:rsid w:val="3676C7C3"/>
    <w:rsid w:val="36771230"/>
    <w:rsid w:val="36776CA0"/>
    <w:rsid w:val="367797FE"/>
    <w:rsid w:val="3679D840"/>
    <w:rsid w:val="367B3847"/>
    <w:rsid w:val="367BA1E6"/>
    <w:rsid w:val="367D516A"/>
    <w:rsid w:val="36804390"/>
    <w:rsid w:val="36806765"/>
    <w:rsid w:val="36807C55"/>
    <w:rsid w:val="368180E5"/>
    <w:rsid w:val="368222ED"/>
    <w:rsid w:val="36826981"/>
    <w:rsid w:val="36829D04"/>
    <w:rsid w:val="368402C6"/>
    <w:rsid w:val="3686398E"/>
    <w:rsid w:val="3686FDAB"/>
    <w:rsid w:val="368713A4"/>
    <w:rsid w:val="368A9B4D"/>
    <w:rsid w:val="368ACC12"/>
    <w:rsid w:val="368B0952"/>
    <w:rsid w:val="368B366E"/>
    <w:rsid w:val="368C6122"/>
    <w:rsid w:val="368DB54A"/>
    <w:rsid w:val="368E2C72"/>
    <w:rsid w:val="368E5A5C"/>
    <w:rsid w:val="3690FE3F"/>
    <w:rsid w:val="369173EA"/>
    <w:rsid w:val="36918BCF"/>
    <w:rsid w:val="3693B63B"/>
    <w:rsid w:val="3695B7BF"/>
    <w:rsid w:val="3697DAD9"/>
    <w:rsid w:val="36998644"/>
    <w:rsid w:val="369B0CB8"/>
    <w:rsid w:val="36A4D573"/>
    <w:rsid w:val="36A538F7"/>
    <w:rsid w:val="36A96AA9"/>
    <w:rsid w:val="36AB75C0"/>
    <w:rsid w:val="36AC0D5F"/>
    <w:rsid w:val="36AC9701"/>
    <w:rsid w:val="36AD2EBD"/>
    <w:rsid w:val="36AE6927"/>
    <w:rsid w:val="36AF4479"/>
    <w:rsid w:val="36AF9604"/>
    <w:rsid w:val="36B2D784"/>
    <w:rsid w:val="36B5EEFD"/>
    <w:rsid w:val="36B6DECF"/>
    <w:rsid w:val="36B70092"/>
    <w:rsid w:val="36B8E6CE"/>
    <w:rsid w:val="36BA781B"/>
    <w:rsid w:val="36BCD63C"/>
    <w:rsid w:val="36BEA7D4"/>
    <w:rsid w:val="36BF1581"/>
    <w:rsid w:val="36C0208D"/>
    <w:rsid w:val="36C0C3E6"/>
    <w:rsid w:val="36C2FA9A"/>
    <w:rsid w:val="36C58A6A"/>
    <w:rsid w:val="36C6BD23"/>
    <w:rsid w:val="36CA6660"/>
    <w:rsid w:val="36CCDB48"/>
    <w:rsid w:val="36D089A1"/>
    <w:rsid w:val="36D18B73"/>
    <w:rsid w:val="36D561E7"/>
    <w:rsid w:val="36D68DA1"/>
    <w:rsid w:val="36D7FB12"/>
    <w:rsid w:val="36D89C44"/>
    <w:rsid w:val="36D979D3"/>
    <w:rsid w:val="36D9D41C"/>
    <w:rsid w:val="36DB96E9"/>
    <w:rsid w:val="36DB9F40"/>
    <w:rsid w:val="36DC06BE"/>
    <w:rsid w:val="36E05AAA"/>
    <w:rsid w:val="36E37507"/>
    <w:rsid w:val="36E50729"/>
    <w:rsid w:val="36E6EDA3"/>
    <w:rsid w:val="36E92990"/>
    <w:rsid w:val="36E9FA25"/>
    <w:rsid w:val="36EA0388"/>
    <w:rsid w:val="36F05633"/>
    <w:rsid w:val="36F1AFD0"/>
    <w:rsid w:val="36F231E1"/>
    <w:rsid w:val="36F2D067"/>
    <w:rsid w:val="36F4F014"/>
    <w:rsid w:val="36F600F7"/>
    <w:rsid w:val="36F64B61"/>
    <w:rsid w:val="36FAC591"/>
    <w:rsid w:val="36FC6C67"/>
    <w:rsid w:val="36FF8768"/>
    <w:rsid w:val="3701755E"/>
    <w:rsid w:val="37041D89"/>
    <w:rsid w:val="3707CED7"/>
    <w:rsid w:val="3707D99D"/>
    <w:rsid w:val="37094FDB"/>
    <w:rsid w:val="37096237"/>
    <w:rsid w:val="370B7348"/>
    <w:rsid w:val="370C35A5"/>
    <w:rsid w:val="370E2528"/>
    <w:rsid w:val="37104C71"/>
    <w:rsid w:val="37171109"/>
    <w:rsid w:val="3717B0FE"/>
    <w:rsid w:val="3718DFE3"/>
    <w:rsid w:val="37192142"/>
    <w:rsid w:val="371BFD90"/>
    <w:rsid w:val="371DB0DE"/>
    <w:rsid w:val="3724C911"/>
    <w:rsid w:val="372586C4"/>
    <w:rsid w:val="372686B8"/>
    <w:rsid w:val="37276616"/>
    <w:rsid w:val="372885CB"/>
    <w:rsid w:val="37294552"/>
    <w:rsid w:val="372A731B"/>
    <w:rsid w:val="372A7368"/>
    <w:rsid w:val="372A743F"/>
    <w:rsid w:val="372FA1EB"/>
    <w:rsid w:val="3736277C"/>
    <w:rsid w:val="37369096"/>
    <w:rsid w:val="3736F1B7"/>
    <w:rsid w:val="3737BE17"/>
    <w:rsid w:val="3739C4E3"/>
    <w:rsid w:val="373B2851"/>
    <w:rsid w:val="373DCDE0"/>
    <w:rsid w:val="3740660F"/>
    <w:rsid w:val="374427CB"/>
    <w:rsid w:val="3751056D"/>
    <w:rsid w:val="3753034D"/>
    <w:rsid w:val="375427FF"/>
    <w:rsid w:val="3754A3B9"/>
    <w:rsid w:val="3754CDAF"/>
    <w:rsid w:val="375602B7"/>
    <w:rsid w:val="3756FA27"/>
    <w:rsid w:val="3757B7D4"/>
    <w:rsid w:val="3759D69C"/>
    <w:rsid w:val="375C3107"/>
    <w:rsid w:val="375D817D"/>
    <w:rsid w:val="375FA70A"/>
    <w:rsid w:val="37612A54"/>
    <w:rsid w:val="3766E51B"/>
    <w:rsid w:val="3766E8F3"/>
    <w:rsid w:val="37686D5E"/>
    <w:rsid w:val="376C44DE"/>
    <w:rsid w:val="376D8C26"/>
    <w:rsid w:val="376D9507"/>
    <w:rsid w:val="3773EF81"/>
    <w:rsid w:val="37741EFE"/>
    <w:rsid w:val="3775399C"/>
    <w:rsid w:val="3775B2CC"/>
    <w:rsid w:val="377737A9"/>
    <w:rsid w:val="37784956"/>
    <w:rsid w:val="37797249"/>
    <w:rsid w:val="377A6A95"/>
    <w:rsid w:val="377E1EAF"/>
    <w:rsid w:val="377EBBBD"/>
    <w:rsid w:val="377FBB34"/>
    <w:rsid w:val="378033E2"/>
    <w:rsid w:val="37805157"/>
    <w:rsid w:val="3780BCE0"/>
    <w:rsid w:val="3781C564"/>
    <w:rsid w:val="3784E209"/>
    <w:rsid w:val="37896C4F"/>
    <w:rsid w:val="378C8A41"/>
    <w:rsid w:val="378D0913"/>
    <w:rsid w:val="378D0B88"/>
    <w:rsid w:val="378D7A72"/>
    <w:rsid w:val="378E2D24"/>
    <w:rsid w:val="378E6A59"/>
    <w:rsid w:val="378FEE7E"/>
    <w:rsid w:val="3790B49C"/>
    <w:rsid w:val="3790D049"/>
    <w:rsid w:val="3794117C"/>
    <w:rsid w:val="3794705A"/>
    <w:rsid w:val="3795B268"/>
    <w:rsid w:val="379605C5"/>
    <w:rsid w:val="3797D705"/>
    <w:rsid w:val="379820F8"/>
    <w:rsid w:val="3798B97D"/>
    <w:rsid w:val="37994D71"/>
    <w:rsid w:val="379BD92A"/>
    <w:rsid w:val="379BE0CC"/>
    <w:rsid w:val="379E044C"/>
    <w:rsid w:val="37A1DE09"/>
    <w:rsid w:val="37AAA750"/>
    <w:rsid w:val="37AABF7D"/>
    <w:rsid w:val="37AB5A31"/>
    <w:rsid w:val="37AC433E"/>
    <w:rsid w:val="37B0D242"/>
    <w:rsid w:val="37B0F84D"/>
    <w:rsid w:val="37B14AFA"/>
    <w:rsid w:val="37B1CF48"/>
    <w:rsid w:val="37B431D5"/>
    <w:rsid w:val="37B88AD6"/>
    <w:rsid w:val="37BA0F7E"/>
    <w:rsid w:val="37BCE8D0"/>
    <w:rsid w:val="37BD7712"/>
    <w:rsid w:val="37BE9A2B"/>
    <w:rsid w:val="37C1FDFF"/>
    <w:rsid w:val="37C42712"/>
    <w:rsid w:val="37C7746F"/>
    <w:rsid w:val="37C7DC77"/>
    <w:rsid w:val="37C9CD04"/>
    <w:rsid w:val="37CD97F4"/>
    <w:rsid w:val="37CDC751"/>
    <w:rsid w:val="37CE44BA"/>
    <w:rsid w:val="37CEDD85"/>
    <w:rsid w:val="37D1E2FA"/>
    <w:rsid w:val="37D30F99"/>
    <w:rsid w:val="37D318F3"/>
    <w:rsid w:val="37D79A54"/>
    <w:rsid w:val="37D7A3E3"/>
    <w:rsid w:val="37D80311"/>
    <w:rsid w:val="37DA7C99"/>
    <w:rsid w:val="37DACAC5"/>
    <w:rsid w:val="37DCBD87"/>
    <w:rsid w:val="37DD6B86"/>
    <w:rsid w:val="37DD9FF9"/>
    <w:rsid w:val="37DE4F73"/>
    <w:rsid w:val="37E0E389"/>
    <w:rsid w:val="37E40265"/>
    <w:rsid w:val="37E44E2E"/>
    <w:rsid w:val="37E47B08"/>
    <w:rsid w:val="37E8E38B"/>
    <w:rsid w:val="37E93E2C"/>
    <w:rsid w:val="37EA0893"/>
    <w:rsid w:val="37EAE72B"/>
    <w:rsid w:val="37F48130"/>
    <w:rsid w:val="37F85A93"/>
    <w:rsid w:val="37F9D4D0"/>
    <w:rsid w:val="37FABB97"/>
    <w:rsid w:val="37FAFA99"/>
    <w:rsid w:val="37FE66A3"/>
    <w:rsid w:val="37FEDA91"/>
    <w:rsid w:val="38000370"/>
    <w:rsid w:val="380035D8"/>
    <w:rsid w:val="3801D4F0"/>
    <w:rsid w:val="38044C7E"/>
    <w:rsid w:val="3806B3BA"/>
    <w:rsid w:val="38073CA1"/>
    <w:rsid w:val="380DE446"/>
    <w:rsid w:val="380F78F2"/>
    <w:rsid w:val="380F91CC"/>
    <w:rsid w:val="3810FEB2"/>
    <w:rsid w:val="3812FC21"/>
    <w:rsid w:val="3813104D"/>
    <w:rsid w:val="3813D7DB"/>
    <w:rsid w:val="381536C3"/>
    <w:rsid w:val="38185F62"/>
    <w:rsid w:val="3819B86A"/>
    <w:rsid w:val="381BC305"/>
    <w:rsid w:val="381BFED4"/>
    <w:rsid w:val="381C0347"/>
    <w:rsid w:val="381C9A84"/>
    <w:rsid w:val="381DAE84"/>
    <w:rsid w:val="381E18E8"/>
    <w:rsid w:val="381F1354"/>
    <w:rsid w:val="382AE570"/>
    <w:rsid w:val="38311C3A"/>
    <w:rsid w:val="38312348"/>
    <w:rsid w:val="3831AA00"/>
    <w:rsid w:val="3833386E"/>
    <w:rsid w:val="3834A2AD"/>
    <w:rsid w:val="3834E383"/>
    <w:rsid w:val="38353956"/>
    <w:rsid w:val="383ACA1F"/>
    <w:rsid w:val="383E369E"/>
    <w:rsid w:val="383FE69B"/>
    <w:rsid w:val="3842C036"/>
    <w:rsid w:val="38499701"/>
    <w:rsid w:val="38499AF2"/>
    <w:rsid w:val="384CE698"/>
    <w:rsid w:val="384E9315"/>
    <w:rsid w:val="384F432D"/>
    <w:rsid w:val="3852A2CC"/>
    <w:rsid w:val="38537F06"/>
    <w:rsid w:val="3853B40C"/>
    <w:rsid w:val="3854671D"/>
    <w:rsid w:val="3856204A"/>
    <w:rsid w:val="385701F9"/>
    <w:rsid w:val="38587A9B"/>
    <w:rsid w:val="3858EB1A"/>
    <w:rsid w:val="385C03EC"/>
    <w:rsid w:val="385C15CD"/>
    <w:rsid w:val="385FAFBE"/>
    <w:rsid w:val="386006A5"/>
    <w:rsid w:val="3860EE4F"/>
    <w:rsid w:val="38665372"/>
    <w:rsid w:val="386A8A90"/>
    <w:rsid w:val="386B936B"/>
    <w:rsid w:val="386CB2D1"/>
    <w:rsid w:val="386D4BA7"/>
    <w:rsid w:val="386DC3C3"/>
    <w:rsid w:val="3873054A"/>
    <w:rsid w:val="3873B4C0"/>
    <w:rsid w:val="3873E3EC"/>
    <w:rsid w:val="387762EB"/>
    <w:rsid w:val="38776FDF"/>
    <w:rsid w:val="387823D1"/>
    <w:rsid w:val="387A2132"/>
    <w:rsid w:val="387B1130"/>
    <w:rsid w:val="387D5A72"/>
    <w:rsid w:val="3880ABDF"/>
    <w:rsid w:val="3884AF5E"/>
    <w:rsid w:val="3885C7AF"/>
    <w:rsid w:val="38864401"/>
    <w:rsid w:val="38879BDB"/>
    <w:rsid w:val="3888A420"/>
    <w:rsid w:val="3888FF96"/>
    <w:rsid w:val="38895A49"/>
    <w:rsid w:val="388A495A"/>
    <w:rsid w:val="388A6A24"/>
    <w:rsid w:val="388AE96E"/>
    <w:rsid w:val="388B1411"/>
    <w:rsid w:val="388C2515"/>
    <w:rsid w:val="388D1351"/>
    <w:rsid w:val="388E538E"/>
    <w:rsid w:val="388ED383"/>
    <w:rsid w:val="389456B3"/>
    <w:rsid w:val="38951E4D"/>
    <w:rsid w:val="38962F72"/>
    <w:rsid w:val="3897E5D1"/>
    <w:rsid w:val="389C2A61"/>
    <w:rsid w:val="389D35E4"/>
    <w:rsid w:val="389E5577"/>
    <w:rsid w:val="389F9CA8"/>
    <w:rsid w:val="38A0E642"/>
    <w:rsid w:val="38A3A527"/>
    <w:rsid w:val="38A3B6BB"/>
    <w:rsid w:val="38A4DFED"/>
    <w:rsid w:val="38A55F0B"/>
    <w:rsid w:val="38A62B9B"/>
    <w:rsid w:val="38A6342B"/>
    <w:rsid w:val="38AB8CF4"/>
    <w:rsid w:val="38AEB121"/>
    <w:rsid w:val="38B39508"/>
    <w:rsid w:val="38B40F8B"/>
    <w:rsid w:val="38B4B7D7"/>
    <w:rsid w:val="38B4D880"/>
    <w:rsid w:val="38B7DB01"/>
    <w:rsid w:val="38B8188F"/>
    <w:rsid w:val="38B8D81F"/>
    <w:rsid w:val="38B9DBDF"/>
    <w:rsid w:val="38BB3772"/>
    <w:rsid w:val="38BE2179"/>
    <w:rsid w:val="38BFE49F"/>
    <w:rsid w:val="38C19453"/>
    <w:rsid w:val="38C30405"/>
    <w:rsid w:val="38C5BB22"/>
    <w:rsid w:val="38C77813"/>
    <w:rsid w:val="38CA1656"/>
    <w:rsid w:val="38CA4D2C"/>
    <w:rsid w:val="38CCDADB"/>
    <w:rsid w:val="38CD9D52"/>
    <w:rsid w:val="38D47F72"/>
    <w:rsid w:val="38D67185"/>
    <w:rsid w:val="38D817AF"/>
    <w:rsid w:val="38D8EB68"/>
    <w:rsid w:val="38DBBCD4"/>
    <w:rsid w:val="38DD2822"/>
    <w:rsid w:val="38DD3277"/>
    <w:rsid w:val="38DD3CF6"/>
    <w:rsid w:val="38DDBA95"/>
    <w:rsid w:val="38E0E6C8"/>
    <w:rsid w:val="38E3CFEE"/>
    <w:rsid w:val="38E57CD2"/>
    <w:rsid w:val="38E7C63B"/>
    <w:rsid w:val="38E85424"/>
    <w:rsid w:val="38EAF587"/>
    <w:rsid w:val="38EC7CF3"/>
    <w:rsid w:val="38EF2C8A"/>
    <w:rsid w:val="38F7B17C"/>
    <w:rsid w:val="38F7FA8C"/>
    <w:rsid w:val="38F91FE0"/>
    <w:rsid w:val="38FB9637"/>
    <w:rsid w:val="38FC878B"/>
    <w:rsid w:val="38FFB95F"/>
    <w:rsid w:val="38FFC0D8"/>
    <w:rsid w:val="3902C141"/>
    <w:rsid w:val="39036A0F"/>
    <w:rsid w:val="3909C316"/>
    <w:rsid w:val="390C17D1"/>
    <w:rsid w:val="390CF9F3"/>
    <w:rsid w:val="390DB055"/>
    <w:rsid w:val="390DE920"/>
    <w:rsid w:val="390F1A41"/>
    <w:rsid w:val="39117146"/>
    <w:rsid w:val="391290D7"/>
    <w:rsid w:val="39130F12"/>
    <w:rsid w:val="3914A17F"/>
    <w:rsid w:val="3916C0E7"/>
    <w:rsid w:val="391D02AC"/>
    <w:rsid w:val="391E65EA"/>
    <w:rsid w:val="391F236A"/>
    <w:rsid w:val="391F2DDD"/>
    <w:rsid w:val="39225E17"/>
    <w:rsid w:val="3924116A"/>
    <w:rsid w:val="39247115"/>
    <w:rsid w:val="3926770B"/>
    <w:rsid w:val="3927404A"/>
    <w:rsid w:val="3928FFA3"/>
    <w:rsid w:val="392C5086"/>
    <w:rsid w:val="392DA499"/>
    <w:rsid w:val="392F15B6"/>
    <w:rsid w:val="39350A5F"/>
    <w:rsid w:val="3935C2FC"/>
    <w:rsid w:val="3936167A"/>
    <w:rsid w:val="3936FCF1"/>
    <w:rsid w:val="3937C373"/>
    <w:rsid w:val="393848B8"/>
    <w:rsid w:val="393C172B"/>
    <w:rsid w:val="393DF6C2"/>
    <w:rsid w:val="39412343"/>
    <w:rsid w:val="3941BA04"/>
    <w:rsid w:val="3942343C"/>
    <w:rsid w:val="39425386"/>
    <w:rsid w:val="39468D78"/>
    <w:rsid w:val="394BF679"/>
    <w:rsid w:val="394D5595"/>
    <w:rsid w:val="394FF11C"/>
    <w:rsid w:val="3950C7D8"/>
    <w:rsid w:val="395220CA"/>
    <w:rsid w:val="39525736"/>
    <w:rsid w:val="3952E3F6"/>
    <w:rsid w:val="3954EFE7"/>
    <w:rsid w:val="395C898A"/>
    <w:rsid w:val="395FA4E2"/>
    <w:rsid w:val="3960385A"/>
    <w:rsid w:val="3965D919"/>
    <w:rsid w:val="39688C8A"/>
    <w:rsid w:val="396B0D0E"/>
    <w:rsid w:val="396BD681"/>
    <w:rsid w:val="396D2035"/>
    <w:rsid w:val="396F20E3"/>
    <w:rsid w:val="39714044"/>
    <w:rsid w:val="39714A7F"/>
    <w:rsid w:val="39774A94"/>
    <w:rsid w:val="397778D7"/>
    <w:rsid w:val="397781B7"/>
    <w:rsid w:val="3979C584"/>
    <w:rsid w:val="397A1895"/>
    <w:rsid w:val="397D9085"/>
    <w:rsid w:val="39804DC8"/>
    <w:rsid w:val="3985E684"/>
    <w:rsid w:val="3987216E"/>
    <w:rsid w:val="398A019E"/>
    <w:rsid w:val="398B8C4A"/>
    <w:rsid w:val="398BEDF5"/>
    <w:rsid w:val="398D9598"/>
    <w:rsid w:val="399436E9"/>
    <w:rsid w:val="3997DCAB"/>
    <w:rsid w:val="3998F0C4"/>
    <w:rsid w:val="39991648"/>
    <w:rsid w:val="399D417C"/>
    <w:rsid w:val="39A09306"/>
    <w:rsid w:val="39A3AC01"/>
    <w:rsid w:val="39A6298B"/>
    <w:rsid w:val="39A799E9"/>
    <w:rsid w:val="39AA582E"/>
    <w:rsid w:val="39ADD04E"/>
    <w:rsid w:val="39AF318A"/>
    <w:rsid w:val="39B15B84"/>
    <w:rsid w:val="39B22475"/>
    <w:rsid w:val="39B6A70B"/>
    <w:rsid w:val="39B76633"/>
    <w:rsid w:val="39C0A327"/>
    <w:rsid w:val="39C1B81D"/>
    <w:rsid w:val="39C1BB0D"/>
    <w:rsid w:val="39C33750"/>
    <w:rsid w:val="39C35A34"/>
    <w:rsid w:val="39C368A6"/>
    <w:rsid w:val="39C7925E"/>
    <w:rsid w:val="39C90784"/>
    <w:rsid w:val="39C9B1B9"/>
    <w:rsid w:val="39CAEF83"/>
    <w:rsid w:val="39CCC1F3"/>
    <w:rsid w:val="39CE3EB7"/>
    <w:rsid w:val="39CF5750"/>
    <w:rsid w:val="39CFF081"/>
    <w:rsid w:val="39D02148"/>
    <w:rsid w:val="39D4A2A8"/>
    <w:rsid w:val="39D96367"/>
    <w:rsid w:val="39D97B62"/>
    <w:rsid w:val="39DB0286"/>
    <w:rsid w:val="39DF2F0A"/>
    <w:rsid w:val="39E07179"/>
    <w:rsid w:val="39E1D88E"/>
    <w:rsid w:val="39E24139"/>
    <w:rsid w:val="39E27420"/>
    <w:rsid w:val="39E4AC46"/>
    <w:rsid w:val="39E5051C"/>
    <w:rsid w:val="39E55E48"/>
    <w:rsid w:val="39E5BF81"/>
    <w:rsid w:val="39E6291E"/>
    <w:rsid w:val="39E6A223"/>
    <w:rsid w:val="39E9D67C"/>
    <w:rsid w:val="39EAB3D2"/>
    <w:rsid w:val="39EBE7B3"/>
    <w:rsid w:val="39EC6C70"/>
    <w:rsid w:val="39EF7156"/>
    <w:rsid w:val="39EF8915"/>
    <w:rsid w:val="39F112CD"/>
    <w:rsid w:val="39F296C4"/>
    <w:rsid w:val="39F2A316"/>
    <w:rsid w:val="39F39297"/>
    <w:rsid w:val="39F687C4"/>
    <w:rsid w:val="39FA41E3"/>
    <w:rsid w:val="39FDC68C"/>
    <w:rsid w:val="3A00EC3D"/>
    <w:rsid w:val="3A032CA7"/>
    <w:rsid w:val="3A0339BC"/>
    <w:rsid w:val="3A047698"/>
    <w:rsid w:val="3A050C99"/>
    <w:rsid w:val="3A0595C7"/>
    <w:rsid w:val="3A061561"/>
    <w:rsid w:val="3A07102F"/>
    <w:rsid w:val="3A07AE5E"/>
    <w:rsid w:val="3A08BAD6"/>
    <w:rsid w:val="3A0C1253"/>
    <w:rsid w:val="3A11F1DB"/>
    <w:rsid w:val="3A1382B4"/>
    <w:rsid w:val="3A13ADD5"/>
    <w:rsid w:val="3A1A46F4"/>
    <w:rsid w:val="3A1AA008"/>
    <w:rsid w:val="3A1E1937"/>
    <w:rsid w:val="3A218D35"/>
    <w:rsid w:val="3A21CE6B"/>
    <w:rsid w:val="3A248DE0"/>
    <w:rsid w:val="3A24CBFF"/>
    <w:rsid w:val="3A27F2DB"/>
    <w:rsid w:val="3A312287"/>
    <w:rsid w:val="3A3195C2"/>
    <w:rsid w:val="3A35310C"/>
    <w:rsid w:val="3A387C16"/>
    <w:rsid w:val="3A394814"/>
    <w:rsid w:val="3A3AE047"/>
    <w:rsid w:val="3A3BEC11"/>
    <w:rsid w:val="3A3EA0B0"/>
    <w:rsid w:val="3A400956"/>
    <w:rsid w:val="3A4354CA"/>
    <w:rsid w:val="3A4A91D3"/>
    <w:rsid w:val="3A4B13BB"/>
    <w:rsid w:val="3A53EB71"/>
    <w:rsid w:val="3A5637B1"/>
    <w:rsid w:val="3A5AC72F"/>
    <w:rsid w:val="3A5E1E1D"/>
    <w:rsid w:val="3A61204A"/>
    <w:rsid w:val="3A65C558"/>
    <w:rsid w:val="3A69182E"/>
    <w:rsid w:val="3A6A8438"/>
    <w:rsid w:val="3A6B95CE"/>
    <w:rsid w:val="3A6C8F02"/>
    <w:rsid w:val="3A6D3C94"/>
    <w:rsid w:val="3A7308AC"/>
    <w:rsid w:val="3A74F41C"/>
    <w:rsid w:val="3A754323"/>
    <w:rsid w:val="3A78E5BF"/>
    <w:rsid w:val="3A7ADD2D"/>
    <w:rsid w:val="3A7C2A4C"/>
    <w:rsid w:val="3A7D3FEC"/>
    <w:rsid w:val="3A7D458B"/>
    <w:rsid w:val="3A7DA848"/>
    <w:rsid w:val="3A7FDD73"/>
    <w:rsid w:val="3A810D47"/>
    <w:rsid w:val="3A842BAD"/>
    <w:rsid w:val="3A870D84"/>
    <w:rsid w:val="3A87E3DD"/>
    <w:rsid w:val="3A8A10EE"/>
    <w:rsid w:val="3A8A4E60"/>
    <w:rsid w:val="3A8A7296"/>
    <w:rsid w:val="3A8CC8DA"/>
    <w:rsid w:val="3A8DC09B"/>
    <w:rsid w:val="3A8E6430"/>
    <w:rsid w:val="3A8FFB62"/>
    <w:rsid w:val="3A906C26"/>
    <w:rsid w:val="3A920486"/>
    <w:rsid w:val="3A93BA48"/>
    <w:rsid w:val="3A951111"/>
    <w:rsid w:val="3A96CA8C"/>
    <w:rsid w:val="3A979EB3"/>
    <w:rsid w:val="3A9828FA"/>
    <w:rsid w:val="3A9847BB"/>
    <w:rsid w:val="3A98DBD8"/>
    <w:rsid w:val="3A99D1C2"/>
    <w:rsid w:val="3A9BBBD0"/>
    <w:rsid w:val="3A9C5818"/>
    <w:rsid w:val="3AA01BB7"/>
    <w:rsid w:val="3AA1C130"/>
    <w:rsid w:val="3AA2ED2A"/>
    <w:rsid w:val="3AA408D7"/>
    <w:rsid w:val="3AA41961"/>
    <w:rsid w:val="3AA471BE"/>
    <w:rsid w:val="3AA828A3"/>
    <w:rsid w:val="3AA9640A"/>
    <w:rsid w:val="3AA97C4D"/>
    <w:rsid w:val="3AAC4460"/>
    <w:rsid w:val="3AAD5840"/>
    <w:rsid w:val="3AAEAB49"/>
    <w:rsid w:val="3AAF214A"/>
    <w:rsid w:val="3AB02A1B"/>
    <w:rsid w:val="3AB2B5E3"/>
    <w:rsid w:val="3AB39359"/>
    <w:rsid w:val="3AB45C69"/>
    <w:rsid w:val="3AB8798B"/>
    <w:rsid w:val="3ABA5139"/>
    <w:rsid w:val="3ABA5229"/>
    <w:rsid w:val="3ABB2431"/>
    <w:rsid w:val="3ABBEB4C"/>
    <w:rsid w:val="3ABC94D0"/>
    <w:rsid w:val="3ABCC780"/>
    <w:rsid w:val="3ABD9F4D"/>
    <w:rsid w:val="3ABFF6BB"/>
    <w:rsid w:val="3AC2C9C2"/>
    <w:rsid w:val="3AC5CDCE"/>
    <w:rsid w:val="3AC5CE2A"/>
    <w:rsid w:val="3AC6E27F"/>
    <w:rsid w:val="3AC73587"/>
    <w:rsid w:val="3AC93F18"/>
    <w:rsid w:val="3ACA4DD5"/>
    <w:rsid w:val="3ACB637B"/>
    <w:rsid w:val="3ACD70FC"/>
    <w:rsid w:val="3ACDDFC8"/>
    <w:rsid w:val="3ACF11B1"/>
    <w:rsid w:val="3AD4AF47"/>
    <w:rsid w:val="3AD63826"/>
    <w:rsid w:val="3AD78295"/>
    <w:rsid w:val="3AD80B18"/>
    <w:rsid w:val="3ADCE07E"/>
    <w:rsid w:val="3ADD4789"/>
    <w:rsid w:val="3ADE791B"/>
    <w:rsid w:val="3ADED189"/>
    <w:rsid w:val="3ADF89A5"/>
    <w:rsid w:val="3AE03D7A"/>
    <w:rsid w:val="3AE1918C"/>
    <w:rsid w:val="3AE2AD17"/>
    <w:rsid w:val="3AE52E34"/>
    <w:rsid w:val="3AE65FFF"/>
    <w:rsid w:val="3AF0A7CB"/>
    <w:rsid w:val="3AF4E3A1"/>
    <w:rsid w:val="3AF4EF9F"/>
    <w:rsid w:val="3AF842CD"/>
    <w:rsid w:val="3AFAAD80"/>
    <w:rsid w:val="3AFB4B33"/>
    <w:rsid w:val="3AFEEA29"/>
    <w:rsid w:val="3AFF3284"/>
    <w:rsid w:val="3AFFCB5D"/>
    <w:rsid w:val="3B033224"/>
    <w:rsid w:val="3B04983A"/>
    <w:rsid w:val="3B0B60DE"/>
    <w:rsid w:val="3B0B6ADC"/>
    <w:rsid w:val="3B0C91AC"/>
    <w:rsid w:val="3B0DADBD"/>
    <w:rsid w:val="3B136ADA"/>
    <w:rsid w:val="3B13B8D1"/>
    <w:rsid w:val="3B14603D"/>
    <w:rsid w:val="3B150702"/>
    <w:rsid w:val="3B16AC58"/>
    <w:rsid w:val="3B177A0A"/>
    <w:rsid w:val="3B18075E"/>
    <w:rsid w:val="3B1819E5"/>
    <w:rsid w:val="3B19CE6B"/>
    <w:rsid w:val="3B201CD9"/>
    <w:rsid w:val="3B2725A3"/>
    <w:rsid w:val="3B2A86EF"/>
    <w:rsid w:val="3B2C2A82"/>
    <w:rsid w:val="3B2E18FF"/>
    <w:rsid w:val="3B31C7F7"/>
    <w:rsid w:val="3B32E534"/>
    <w:rsid w:val="3B38FBB9"/>
    <w:rsid w:val="3B3BD2B3"/>
    <w:rsid w:val="3B3DAA29"/>
    <w:rsid w:val="3B4C4738"/>
    <w:rsid w:val="3B4CBE48"/>
    <w:rsid w:val="3B5212F6"/>
    <w:rsid w:val="3B568871"/>
    <w:rsid w:val="3B5C48B4"/>
    <w:rsid w:val="3B5F1E7C"/>
    <w:rsid w:val="3B5F4CF1"/>
    <w:rsid w:val="3B60FE3E"/>
    <w:rsid w:val="3B620BBB"/>
    <w:rsid w:val="3B6405B0"/>
    <w:rsid w:val="3B65D945"/>
    <w:rsid w:val="3B67299D"/>
    <w:rsid w:val="3B6735CC"/>
    <w:rsid w:val="3B6B013B"/>
    <w:rsid w:val="3B6DD199"/>
    <w:rsid w:val="3B6F2727"/>
    <w:rsid w:val="3B755633"/>
    <w:rsid w:val="3B75A142"/>
    <w:rsid w:val="3B7747A1"/>
    <w:rsid w:val="3B78ABE6"/>
    <w:rsid w:val="3B797557"/>
    <w:rsid w:val="3B7989DA"/>
    <w:rsid w:val="3B7D7851"/>
    <w:rsid w:val="3B7F28A4"/>
    <w:rsid w:val="3B806664"/>
    <w:rsid w:val="3B83E3DD"/>
    <w:rsid w:val="3B85F91C"/>
    <w:rsid w:val="3B876726"/>
    <w:rsid w:val="3B881E34"/>
    <w:rsid w:val="3B88F0CA"/>
    <w:rsid w:val="3B8C138A"/>
    <w:rsid w:val="3B8C93F7"/>
    <w:rsid w:val="3B8EB85C"/>
    <w:rsid w:val="3B92DB5D"/>
    <w:rsid w:val="3B95828B"/>
    <w:rsid w:val="3B96B84D"/>
    <w:rsid w:val="3B976A5B"/>
    <w:rsid w:val="3B999DAD"/>
    <w:rsid w:val="3B9BB7F1"/>
    <w:rsid w:val="3B9D4E81"/>
    <w:rsid w:val="3B9FA1AD"/>
    <w:rsid w:val="3BA02C32"/>
    <w:rsid w:val="3BA2DE66"/>
    <w:rsid w:val="3BA57B18"/>
    <w:rsid w:val="3BA5DCD3"/>
    <w:rsid w:val="3BA65DB5"/>
    <w:rsid w:val="3BA6881A"/>
    <w:rsid w:val="3BA8E15E"/>
    <w:rsid w:val="3BA901E6"/>
    <w:rsid w:val="3BA9FB70"/>
    <w:rsid w:val="3BAA0D7B"/>
    <w:rsid w:val="3BABF479"/>
    <w:rsid w:val="3BACB520"/>
    <w:rsid w:val="3BACC5A6"/>
    <w:rsid w:val="3BAF94C6"/>
    <w:rsid w:val="3BB00D46"/>
    <w:rsid w:val="3BB1CA90"/>
    <w:rsid w:val="3BB5CFBD"/>
    <w:rsid w:val="3BB6D8ED"/>
    <w:rsid w:val="3BB7E40A"/>
    <w:rsid w:val="3BB9DC7B"/>
    <w:rsid w:val="3BBA0035"/>
    <w:rsid w:val="3BBADE82"/>
    <w:rsid w:val="3BBBA9BF"/>
    <w:rsid w:val="3BBE9005"/>
    <w:rsid w:val="3BC3AA60"/>
    <w:rsid w:val="3BC57A9B"/>
    <w:rsid w:val="3BC5EC8D"/>
    <w:rsid w:val="3BC81147"/>
    <w:rsid w:val="3BCA2537"/>
    <w:rsid w:val="3BCBDD6D"/>
    <w:rsid w:val="3BCD6BCF"/>
    <w:rsid w:val="3BD23254"/>
    <w:rsid w:val="3BD3574F"/>
    <w:rsid w:val="3BD44550"/>
    <w:rsid w:val="3BD6C6FE"/>
    <w:rsid w:val="3BD98278"/>
    <w:rsid w:val="3BDC4ECA"/>
    <w:rsid w:val="3BDEBCE8"/>
    <w:rsid w:val="3BE39FDD"/>
    <w:rsid w:val="3BE71350"/>
    <w:rsid w:val="3BE89C22"/>
    <w:rsid w:val="3BE9A9C9"/>
    <w:rsid w:val="3BEC2460"/>
    <w:rsid w:val="3BEDCF3B"/>
    <w:rsid w:val="3BEFB08C"/>
    <w:rsid w:val="3BF0B0BE"/>
    <w:rsid w:val="3BF1796F"/>
    <w:rsid w:val="3BF5B929"/>
    <w:rsid w:val="3BF6EE88"/>
    <w:rsid w:val="3BF7E557"/>
    <w:rsid w:val="3BF8A122"/>
    <w:rsid w:val="3BF9CD90"/>
    <w:rsid w:val="3BFA7528"/>
    <w:rsid w:val="3BFA9650"/>
    <w:rsid w:val="3BFB258B"/>
    <w:rsid w:val="3BFBF426"/>
    <w:rsid w:val="3BFD03F5"/>
    <w:rsid w:val="3BFD348A"/>
    <w:rsid w:val="3BFF5690"/>
    <w:rsid w:val="3C00B81E"/>
    <w:rsid w:val="3C015FFA"/>
    <w:rsid w:val="3C020336"/>
    <w:rsid w:val="3C045CD1"/>
    <w:rsid w:val="3C056BD4"/>
    <w:rsid w:val="3C091A19"/>
    <w:rsid w:val="3C0AF0FE"/>
    <w:rsid w:val="3C110441"/>
    <w:rsid w:val="3C12C98A"/>
    <w:rsid w:val="3C172C1E"/>
    <w:rsid w:val="3C19B84B"/>
    <w:rsid w:val="3C1B1B2C"/>
    <w:rsid w:val="3C1B29A2"/>
    <w:rsid w:val="3C1BA1F3"/>
    <w:rsid w:val="3C20AB78"/>
    <w:rsid w:val="3C20FB96"/>
    <w:rsid w:val="3C210536"/>
    <w:rsid w:val="3C2466BD"/>
    <w:rsid w:val="3C2498F9"/>
    <w:rsid w:val="3C281B15"/>
    <w:rsid w:val="3C2A2CA8"/>
    <w:rsid w:val="3C2A3E01"/>
    <w:rsid w:val="3C2CD09F"/>
    <w:rsid w:val="3C2E257D"/>
    <w:rsid w:val="3C2E9ED8"/>
    <w:rsid w:val="3C30A710"/>
    <w:rsid w:val="3C33FA32"/>
    <w:rsid w:val="3C366BE7"/>
    <w:rsid w:val="3C371EE3"/>
    <w:rsid w:val="3C38204D"/>
    <w:rsid w:val="3C3C0773"/>
    <w:rsid w:val="3C430CFD"/>
    <w:rsid w:val="3C4335E8"/>
    <w:rsid w:val="3C43B1CA"/>
    <w:rsid w:val="3C4711E2"/>
    <w:rsid w:val="3C48CA07"/>
    <w:rsid w:val="3C497503"/>
    <w:rsid w:val="3C498428"/>
    <w:rsid w:val="3C4BA3BD"/>
    <w:rsid w:val="3C4C56C7"/>
    <w:rsid w:val="3C4F04DF"/>
    <w:rsid w:val="3C56947F"/>
    <w:rsid w:val="3C56F189"/>
    <w:rsid w:val="3C59081C"/>
    <w:rsid w:val="3C591A09"/>
    <w:rsid w:val="3C59CA17"/>
    <w:rsid w:val="3C5A5FE8"/>
    <w:rsid w:val="3C5C8CF0"/>
    <w:rsid w:val="3C5D9B7F"/>
    <w:rsid w:val="3C5E0CCA"/>
    <w:rsid w:val="3C6021CF"/>
    <w:rsid w:val="3C636478"/>
    <w:rsid w:val="3C6751EE"/>
    <w:rsid w:val="3C68D5EC"/>
    <w:rsid w:val="3C6AC3AC"/>
    <w:rsid w:val="3C6E9E7C"/>
    <w:rsid w:val="3C718660"/>
    <w:rsid w:val="3C74DAD6"/>
    <w:rsid w:val="3C766B84"/>
    <w:rsid w:val="3C7689E1"/>
    <w:rsid w:val="3C76B2FF"/>
    <w:rsid w:val="3C790C3A"/>
    <w:rsid w:val="3C7AD22D"/>
    <w:rsid w:val="3C7F6CEE"/>
    <w:rsid w:val="3C80D9E4"/>
    <w:rsid w:val="3C83233A"/>
    <w:rsid w:val="3C83BECD"/>
    <w:rsid w:val="3C857F46"/>
    <w:rsid w:val="3C893B17"/>
    <w:rsid w:val="3C8B2F52"/>
    <w:rsid w:val="3C8D24EE"/>
    <w:rsid w:val="3C8F4623"/>
    <w:rsid w:val="3C930DFC"/>
    <w:rsid w:val="3C952211"/>
    <w:rsid w:val="3C9A38C4"/>
    <w:rsid w:val="3C9A5CE7"/>
    <w:rsid w:val="3CA3AF5D"/>
    <w:rsid w:val="3CA4D947"/>
    <w:rsid w:val="3CA542F9"/>
    <w:rsid w:val="3CA93010"/>
    <w:rsid w:val="3CA95079"/>
    <w:rsid w:val="3CB00D1A"/>
    <w:rsid w:val="3CB2B38F"/>
    <w:rsid w:val="3CB71B0B"/>
    <w:rsid w:val="3CB8B305"/>
    <w:rsid w:val="3CBB7BF3"/>
    <w:rsid w:val="3CBE5504"/>
    <w:rsid w:val="3CC412AD"/>
    <w:rsid w:val="3CC56EF5"/>
    <w:rsid w:val="3CC73694"/>
    <w:rsid w:val="3CC75525"/>
    <w:rsid w:val="3CCD4C34"/>
    <w:rsid w:val="3CCE6C1B"/>
    <w:rsid w:val="3CCF5C95"/>
    <w:rsid w:val="3CD0C5DF"/>
    <w:rsid w:val="3CD256F0"/>
    <w:rsid w:val="3CD37E49"/>
    <w:rsid w:val="3CD57BE4"/>
    <w:rsid w:val="3CE18C33"/>
    <w:rsid w:val="3CE3DFFB"/>
    <w:rsid w:val="3CE3ED07"/>
    <w:rsid w:val="3CE4C074"/>
    <w:rsid w:val="3CE6D452"/>
    <w:rsid w:val="3CE8546C"/>
    <w:rsid w:val="3CEC46E7"/>
    <w:rsid w:val="3CEDD2E8"/>
    <w:rsid w:val="3CEFB98E"/>
    <w:rsid w:val="3CF01C6A"/>
    <w:rsid w:val="3CF07162"/>
    <w:rsid w:val="3CF3F023"/>
    <w:rsid w:val="3CF5070D"/>
    <w:rsid w:val="3CF567B6"/>
    <w:rsid w:val="3CF880EA"/>
    <w:rsid w:val="3CF98DA5"/>
    <w:rsid w:val="3CFB0F71"/>
    <w:rsid w:val="3CFBF835"/>
    <w:rsid w:val="3CFD769B"/>
    <w:rsid w:val="3D0157D2"/>
    <w:rsid w:val="3D01ACE8"/>
    <w:rsid w:val="3D01F20E"/>
    <w:rsid w:val="3D059062"/>
    <w:rsid w:val="3D09A77D"/>
    <w:rsid w:val="3D0AA614"/>
    <w:rsid w:val="3D0C4084"/>
    <w:rsid w:val="3D0CE0AB"/>
    <w:rsid w:val="3D0DFB0B"/>
    <w:rsid w:val="3D13AB6D"/>
    <w:rsid w:val="3D1A1F60"/>
    <w:rsid w:val="3D1B13D9"/>
    <w:rsid w:val="3D22CA7B"/>
    <w:rsid w:val="3D26592D"/>
    <w:rsid w:val="3D2D7951"/>
    <w:rsid w:val="3D2E6C5B"/>
    <w:rsid w:val="3D303A3A"/>
    <w:rsid w:val="3D307826"/>
    <w:rsid w:val="3D3165AF"/>
    <w:rsid w:val="3D3251EC"/>
    <w:rsid w:val="3D33A868"/>
    <w:rsid w:val="3D33B6D1"/>
    <w:rsid w:val="3D358852"/>
    <w:rsid w:val="3D3652EA"/>
    <w:rsid w:val="3D369BC1"/>
    <w:rsid w:val="3D38DA09"/>
    <w:rsid w:val="3D38E5F9"/>
    <w:rsid w:val="3D39F49F"/>
    <w:rsid w:val="3D3A60B2"/>
    <w:rsid w:val="3D3E1D5E"/>
    <w:rsid w:val="3D3E7FD9"/>
    <w:rsid w:val="3D41648D"/>
    <w:rsid w:val="3D4AEAC4"/>
    <w:rsid w:val="3D4BA476"/>
    <w:rsid w:val="3D4BDCBB"/>
    <w:rsid w:val="3D4D5547"/>
    <w:rsid w:val="3D4DFDA1"/>
    <w:rsid w:val="3D4E1DFA"/>
    <w:rsid w:val="3D4E2C3C"/>
    <w:rsid w:val="3D4ED814"/>
    <w:rsid w:val="3D50B449"/>
    <w:rsid w:val="3D52714D"/>
    <w:rsid w:val="3D535436"/>
    <w:rsid w:val="3D53DB4C"/>
    <w:rsid w:val="3D547A98"/>
    <w:rsid w:val="3D5BDA66"/>
    <w:rsid w:val="3D5F985A"/>
    <w:rsid w:val="3D6467FB"/>
    <w:rsid w:val="3D67CD66"/>
    <w:rsid w:val="3D6C4BC7"/>
    <w:rsid w:val="3D6D22AB"/>
    <w:rsid w:val="3D6DAA66"/>
    <w:rsid w:val="3D6DC5AE"/>
    <w:rsid w:val="3D736B68"/>
    <w:rsid w:val="3D75A376"/>
    <w:rsid w:val="3D7D5476"/>
    <w:rsid w:val="3D7EB0FA"/>
    <w:rsid w:val="3D7ED414"/>
    <w:rsid w:val="3D80ACDE"/>
    <w:rsid w:val="3D82DA99"/>
    <w:rsid w:val="3D82FE74"/>
    <w:rsid w:val="3D845ACD"/>
    <w:rsid w:val="3D863E0A"/>
    <w:rsid w:val="3D866715"/>
    <w:rsid w:val="3D89AB25"/>
    <w:rsid w:val="3D8A4B37"/>
    <w:rsid w:val="3D8A53D5"/>
    <w:rsid w:val="3D8B573A"/>
    <w:rsid w:val="3D8DF78D"/>
    <w:rsid w:val="3D8EED57"/>
    <w:rsid w:val="3D9012F0"/>
    <w:rsid w:val="3D90521F"/>
    <w:rsid w:val="3D91CBFA"/>
    <w:rsid w:val="3D91FE81"/>
    <w:rsid w:val="3D93960E"/>
    <w:rsid w:val="3D940381"/>
    <w:rsid w:val="3D942C7F"/>
    <w:rsid w:val="3D9535ED"/>
    <w:rsid w:val="3D96AE9E"/>
    <w:rsid w:val="3D9A6DDD"/>
    <w:rsid w:val="3DA21A1A"/>
    <w:rsid w:val="3DA33DBE"/>
    <w:rsid w:val="3DA50A5F"/>
    <w:rsid w:val="3DA52D93"/>
    <w:rsid w:val="3DA5FA12"/>
    <w:rsid w:val="3DA67AEE"/>
    <w:rsid w:val="3DA74C93"/>
    <w:rsid w:val="3DA7853B"/>
    <w:rsid w:val="3DA8ACBA"/>
    <w:rsid w:val="3DA8B1CD"/>
    <w:rsid w:val="3DAC9131"/>
    <w:rsid w:val="3DAD0A09"/>
    <w:rsid w:val="3DAD82CF"/>
    <w:rsid w:val="3DADCEED"/>
    <w:rsid w:val="3DB04B4F"/>
    <w:rsid w:val="3DB0804F"/>
    <w:rsid w:val="3DB1DAF1"/>
    <w:rsid w:val="3DB74A31"/>
    <w:rsid w:val="3DB94AB8"/>
    <w:rsid w:val="3DBA3A5D"/>
    <w:rsid w:val="3DBA3CD9"/>
    <w:rsid w:val="3DBB36FB"/>
    <w:rsid w:val="3DBC00F5"/>
    <w:rsid w:val="3DBD29E7"/>
    <w:rsid w:val="3DBDE6F6"/>
    <w:rsid w:val="3DBE0110"/>
    <w:rsid w:val="3DC3DF78"/>
    <w:rsid w:val="3DCB2499"/>
    <w:rsid w:val="3DCD0141"/>
    <w:rsid w:val="3DD46ABF"/>
    <w:rsid w:val="3DD4BD3D"/>
    <w:rsid w:val="3DD6F60B"/>
    <w:rsid w:val="3DD76FA9"/>
    <w:rsid w:val="3DD8C2D5"/>
    <w:rsid w:val="3DDDA61D"/>
    <w:rsid w:val="3DDDB995"/>
    <w:rsid w:val="3DE33B5B"/>
    <w:rsid w:val="3DE5B1F4"/>
    <w:rsid w:val="3DE649AC"/>
    <w:rsid w:val="3DE9E766"/>
    <w:rsid w:val="3DEA41B1"/>
    <w:rsid w:val="3DEC9956"/>
    <w:rsid w:val="3DEE21C3"/>
    <w:rsid w:val="3DEF4EDC"/>
    <w:rsid w:val="3DF1A1FD"/>
    <w:rsid w:val="3DF37104"/>
    <w:rsid w:val="3DF46AE4"/>
    <w:rsid w:val="3DF8E260"/>
    <w:rsid w:val="3DFE1683"/>
    <w:rsid w:val="3E018291"/>
    <w:rsid w:val="3E01B482"/>
    <w:rsid w:val="3E02FB83"/>
    <w:rsid w:val="3E030DF6"/>
    <w:rsid w:val="3E03AADB"/>
    <w:rsid w:val="3E041D69"/>
    <w:rsid w:val="3E04C0D8"/>
    <w:rsid w:val="3E06F6EE"/>
    <w:rsid w:val="3E072FE2"/>
    <w:rsid w:val="3E075CE6"/>
    <w:rsid w:val="3E0861BD"/>
    <w:rsid w:val="3E09E670"/>
    <w:rsid w:val="3E0B2C0D"/>
    <w:rsid w:val="3E0CF80B"/>
    <w:rsid w:val="3E0D2603"/>
    <w:rsid w:val="3E0D7857"/>
    <w:rsid w:val="3E0E67C1"/>
    <w:rsid w:val="3E0ECBF6"/>
    <w:rsid w:val="3E12E3EA"/>
    <w:rsid w:val="3E13D60A"/>
    <w:rsid w:val="3E171699"/>
    <w:rsid w:val="3E187965"/>
    <w:rsid w:val="3E1D1B39"/>
    <w:rsid w:val="3E1DD3C0"/>
    <w:rsid w:val="3E1FDD81"/>
    <w:rsid w:val="3E204B1C"/>
    <w:rsid w:val="3E20580F"/>
    <w:rsid w:val="3E2444DF"/>
    <w:rsid w:val="3E26484A"/>
    <w:rsid w:val="3E26DF0D"/>
    <w:rsid w:val="3E287FEB"/>
    <w:rsid w:val="3E28B3EA"/>
    <w:rsid w:val="3E2C7081"/>
    <w:rsid w:val="3E2D12C8"/>
    <w:rsid w:val="3E325873"/>
    <w:rsid w:val="3E33550F"/>
    <w:rsid w:val="3E345BC5"/>
    <w:rsid w:val="3E34B6F5"/>
    <w:rsid w:val="3E35C9E1"/>
    <w:rsid w:val="3E376C81"/>
    <w:rsid w:val="3E38BDF3"/>
    <w:rsid w:val="3E39471B"/>
    <w:rsid w:val="3E3978B4"/>
    <w:rsid w:val="3E3B72E5"/>
    <w:rsid w:val="3E3D0F99"/>
    <w:rsid w:val="3E406354"/>
    <w:rsid w:val="3E41D3B3"/>
    <w:rsid w:val="3E41E414"/>
    <w:rsid w:val="3E42517F"/>
    <w:rsid w:val="3E4368F7"/>
    <w:rsid w:val="3E44CD39"/>
    <w:rsid w:val="3E4A72FC"/>
    <w:rsid w:val="3E4AC17A"/>
    <w:rsid w:val="3E4BC612"/>
    <w:rsid w:val="3E4C27FB"/>
    <w:rsid w:val="3E4D78A5"/>
    <w:rsid w:val="3E4F841E"/>
    <w:rsid w:val="3E50BF86"/>
    <w:rsid w:val="3E5110E2"/>
    <w:rsid w:val="3E52E4F8"/>
    <w:rsid w:val="3E53FD8D"/>
    <w:rsid w:val="3E580BBD"/>
    <w:rsid w:val="3E5C06DB"/>
    <w:rsid w:val="3E5F7956"/>
    <w:rsid w:val="3E650119"/>
    <w:rsid w:val="3E6C386C"/>
    <w:rsid w:val="3E6CE543"/>
    <w:rsid w:val="3E75CB1F"/>
    <w:rsid w:val="3E78126A"/>
    <w:rsid w:val="3E78CED2"/>
    <w:rsid w:val="3E7DC4E7"/>
    <w:rsid w:val="3E80FDFA"/>
    <w:rsid w:val="3E82626A"/>
    <w:rsid w:val="3E834787"/>
    <w:rsid w:val="3E884933"/>
    <w:rsid w:val="3E8C973E"/>
    <w:rsid w:val="3E8E1532"/>
    <w:rsid w:val="3E8E4A1D"/>
    <w:rsid w:val="3E8F80EE"/>
    <w:rsid w:val="3E911F28"/>
    <w:rsid w:val="3E94E11E"/>
    <w:rsid w:val="3E966E7C"/>
    <w:rsid w:val="3E977E95"/>
    <w:rsid w:val="3E9935A3"/>
    <w:rsid w:val="3E993D6A"/>
    <w:rsid w:val="3E9BAE9D"/>
    <w:rsid w:val="3E9CA122"/>
    <w:rsid w:val="3EA1E522"/>
    <w:rsid w:val="3EA22943"/>
    <w:rsid w:val="3EA3BEA6"/>
    <w:rsid w:val="3EA3DF66"/>
    <w:rsid w:val="3EA43E68"/>
    <w:rsid w:val="3EA57A90"/>
    <w:rsid w:val="3EA6EDB1"/>
    <w:rsid w:val="3EA848D9"/>
    <w:rsid w:val="3EAA56FF"/>
    <w:rsid w:val="3EAC7818"/>
    <w:rsid w:val="3EACF1AE"/>
    <w:rsid w:val="3EAE769B"/>
    <w:rsid w:val="3EB0535F"/>
    <w:rsid w:val="3EB125CB"/>
    <w:rsid w:val="3EB717B6"/>
    <w:rsid w:val="3EB7D8AF"/>
    <w:rsid w:val="3EBB1060"/>
    <w:rsid w:val="3EBC18C0"/>
    <w:rsid w:val="3EBD1CA2"/>
    <w:rsid w:val="3EBD7873"/>
    <w:rsid w:val="3EBD8054"/>
    <w:rsid w:val="3EBF2FF2"/>
    <w:rsid w:val="3EBFC668"/>
    <w:rsid w:val="3EC20DC7"/>
    <w:rsid w:val="3EC3B107"/>
    <w:rsid w:val="3EC5FED3"/>
    <w:rsid w:val="3EC63E0E"/>
    <w:rsid w:val="3EC6526E"/>
    <w:rsid w:val="3EC6CFFC"/>
    <w:rsid w:val="3ECAD82A"/>
    <w:rsid w:val="3ECC94F1"/>
    <w:rsid w:val="3ECDCD55"/>
    <w:rsid w:val="3ED005E5"/>
    <w:rsid w:val="3ED12D61"/>
    <w:rsid w:val="3ED26393"/>
    <w:rsid w:val="3ED300AE"/>
    <w:rsid w:val="3ED4314F"/>
    <w:rsid w:val="3ED7D2EC"/>
    <w:rsid w:val="3EDC39A8"/>
    <w:rsid w:val="3EDCF56D"/>
    <w:rsid w:val="3EDE8CC5"/>
    <w:rsid w:val="3EDF091A"/>
    <w:rsid w:val="3EDF9595"/>
    <w:rsid w:val="3EDF9ED3"/>
    <w:rsid w:val="3EE21DA8"/>
    <w:rsid w:val="3EE2625C"/>
    <w:rsid w:val="3EE3222E"/>
    <w:rsid w:val="3EE88015"/>
    <w:rsid w:val="3EEBCCA6"/>
    <w:rsid w:val="3EF05014"/>
    <w:rsid w:val="3EF366A1"/>
    <w:rsid w:val="3EF3C7B1"/>
    <w:rsid w:val="3EF53219"/>
    <w:rsid w:val="3EF5C035"/>
    <w:rsid w:val="3EF803E2"/>
    <w:rsid w:val="3EF912F9"/>
    <w:rsid w:val="3EFB40F7"/>
    <w:rsid w:val="3EFC4A0F"/>
    <w:rsid w:val="3EFE453F"/>
    <w:rsid w:val="3F0220F5"/>
    <w:rsid w:val="3F04E6FF"/>
    <w:rsid w:val="3F06AC03"/>
    <w:rsid w:val="3F07E1C4"/>
    <w:rsid w:val="3F085C3A"/>
    <w:rsid w:val="3F0D3F11"/>
    <w:rsid w:val="3F0DC992"/>
    <w:rsid w:val="3F11BC63"/>
    <w:rsid w:val="3F11CE49"/>
    <w:rsid w:val="3F1508C3"/>
    <w:rsid w:val="3F1613DF"/>
    <w:rsid w:val="3F16AB25"/>
    <w:rsid w:val="3F18784D"/>
    <w:rsid w:val="3F1B631B"/>
    <w:rsid w:val="3F1C09AA"/>
    <w:rsid w:val="3F2490DA"/>
    <w:rsid w:val="3F25B5F7"/>
    <w:rsid w:val="3F2B26B3"/>
    <w:rsid w:val="3F30AEAD"/>
    <w:rsid w:val="3F315866"/>
    <w:rsid w:val="3F3193D3"/>
    <w:rsid w:val="3F32C07F"/>
    <w:rsid w:val="3F35C440"/>
    <w:rsid w:val="3F387F92"/>
    <w:rsid w:val="3F3C37D4"/>
    <w:rsid w:val="3F3DBA80"/>
    <w:rsid w:val="3F3E7132"/>
    <w:rsid w:val="3F3EFAAF"/>
    <w:rsid w:val="3F3F465F"/>
    <w:rsid w:val="3F400ACC"/>
    <w:rsid w:val="3F43B932"/>
    <w:rsid w:val="3F456ADB"/>
    <w:rsid w:val="3F495AAE"/>
    <w:rsid w:val="3F4AA2D0"/>
    <w:rsid w:val="3F4B4789"/>
    <w:rsid w:val="3F4B5073"/>
    <w:rsid w:val="3F4C1821"/>
    <w:rsid w:val="3F4CB9EF"/>
    <w:rsid w:val="3F4CFBEF"/>
    <w:rsid w:val="3F4D6FE2"/>
    <w:rsid w:val="3F4E51E8"/>
    <w:rsid w:val="3F4FA12A"/>
    <w:rsid w:val="3F52ECF6"/>
    <w:rsid w:val="3F53C36F"/>
    <w:rsid w:val="3F55D36C"/>
    <w:rsid w:val="3F587265"/>
    <w:rsid w:val="3F5888EA"/>
    <w:rsid w:val="3F5DA527"/>
    <w:rsid w:val="3F62EFDE"/>
    <w:rsid w:val="3F6316E6"/>
    <w:rsid w:val="3F65B3CC"/>
    <w:rsid w:val="3F666AE1"/>
    <w:rsid w:val="3F68B780"/>
    <w:rsid w:val="3F693111"/>
    <w:rsid w:val="3F6955EE"/>
    <w:rsid w:val="3F6A9B9E"/>
    <w:rsid w:val="3F6B7035"/>
    <w:rsid w:val="3F6C440D"/>
    <w:rsid w:val="3F6C71FD"/>
    <w:rsid w:val="3F73C3B9"/>
    <w:rsid w:val="3F75CA85"/>
    <w:rsid w:val="3F75E835"/>
    <w:rsid w:val="3F7647B3"/>
    <w:rsid w:val="3F770CF1"/>
    <w:rsid w:val="3F7923CB"/>
    <w:rsid w:val="3F7BB4DD"/>
    <w:rsid w:val="3F7C6D69"/>
    <w:rsid w:val="3F7DEE53"/>
    <w:rsid w:val="3F7F30CA"/>
    <w:rsid w:val="3F7F5844"/>
    <w:rsid w:val="3F816219"/>
    <w:rsid w:val="3F843EC3"/>
    <w:rsid w:val="3F876B3B"/>
    <w:rsid w:val="3F8C72FF"/>
    <w:rsid w:val="3F8CBA9E"/>
    <w:rsid w:val="3F8F72EF"/>
    <w:rsid w:val="3F907347"/>
    <w:rsid w:val="3F911CF4"/>
    <w:rsid w:val="3F94EC68"/>
    <w:rsid w:val="3F986FF8"/>
    <w:rsid w:val="3F9973C0"/>
    <w:rsid w:val="3F997CB6"/>
    <w:rsid w:val="3F99C886"/>
    <w:rsid w:val="3F9AE66B"/>
    <w:rsid w:val="3F9BC3D7"/>
    <w:rsid w:val="3F9C29E1"/>
    <w:rsid w:val="3F9D98F0"/>
    <w:rsid w:val="3FA45617"/>
    <w:rsid w:val="3FA520F6"/>
    <w:rsid w:val="3FA6EB30"/>
    <w:rsid w:val="3FA8E97E"/>
    <w:rsid w:val="3FA9AF6A"/>
    <w:rsid w:val="3FAB43D3"/>
    <w:rsid w:val="3FAC1BCE"/>
    <w:rsid w:val="3FAD2F29"/>
    <w:rsid w:val="3FAD7D4F"/>
    <w:rsid w:val="3FB4B751"/>
    <w:rsid w:val="3FB4D0A3"/>
    <w:rsid w:val="3FB5BA80"/>
    <w:rsid w:val="3FB630BE"/>
    <w:rsid w:val="3FB99E15"/>
    <w:rsid w:val="3FBD83D6"/>
    <w:rsid w:val="3FBDE1FE"/>
    <w:rsid w:val="3FBE4562"/>
    <w:rsid w:val="3FBE9313"/>
    <w:rsid w:val="3FC1C82D"/>
    <w:rsid w:val="3FC1E9FB"/>
    <w:rsid w:val="3FC379C7"/>
    <w:rsid w:val="3FC4BCA1"/>
    <w:rsid w:val="3FC7748B"/>
    <w:rsid w:val="3FC7B08C"/>
    <w:rsid w:val="3FC7BE41"/>
    <w:rsid w:val="3FC7D176"/>
    <w:rsid w:val="3FC88280"/>
    <w:rsid w:val="3FC974C6"/>
    <w:rsid w:val="3FCD2EB8"/>
    <w:rsid w:val="3FCE1CDB"/>
    <w:rsid w:val="3FD35C11"/>
    <w:rsid w:val="3FD3966E"/>
    <w:rsid w:val="3FD39C39"/>
    <w:rsid w:val="3FD3DAF0"/>
    <w:rsid w:val="3FD46262"/>
    <w:rsid w:val="3FDC3E78"/>
    <w:rsid w:val="3FDE8B50"/>
    <w:rsid w:val="3FDFCEA0"/>
    <w:rsid w:val="3FE9BF20"/>
    <w:rsid w:val="3FEE3FCB"/>
    <w:rsid w:val="3FEEAAE3"/>
    <w:rsid w:val="3FF07136"/>
    <w:rsid w:val="3FF13F4D"/>
    <w:rsid w:val="3FF1A517"/>
    <w:rsid w:val="3FF2228D"/>
    <w:rsid w:val="3FF28DC9"/>
    <w:rsid w:val="3FF6AAD9"/>
    <w:rsid w:val="3FF94804"/>
    <w:rsid w:val="3FFC3978"/>
    <w:rsid w:val="3FFE7003"/>
    <w:rsid w:val="3FFFBECC"/>
    <w:rsid w:val="40001242"/>
    <w:rsid w:val="400199A4"/>
    <w:rsid w:val="400BBFC4"/>
    <w:rsid w:val="400BE7F9"/>
    <w:rsid w:val="400CF728"/>
    <w:rsid w:val="4010A7B4"/>
    <w:rsid w:val="40124F43"/>
    <w:rsid w:val="40160082"/>
    <w:rsid w:val="40162977"/>
    <w:rsid w:val="4016CC96"/>
    <w:rsid w:val="401ACE30"/>
    <w:rsid w:val="401BAFC9"/>
    <w:rsid w:val="401DEEEF"/>
    <w:rsid w:val="401EAFA7"/>
    <w:rsid w:val="40212C33"/>
    <w:rsid w:val="4021F5B9"/>
    <w:rsid w:val="4022DF9F"/>
    <w:rsid w:val="402706FF"/>
    <w:rsid w:val="4027687E"/>
    <w:rsid w:val="4028BA70"/>
    <w:rsid w:val="402B8BCA"/>
    <w:rsid w:val="402C8E72"/>
    <w:rsid w:val="402DBE9A"/>
    <w:rsid w:val="402E35EC"/>
    <w:rsid w:val="402F20C9"/>
    <w:rsid w:val="402F6048"/>
    <w:rsid w:val="40319556"/>
    <w:rsid w:val="4033D314"/>
    <w:rsid w:val="40371D32"/>
    <w:rsid w:val="40371E54"/>
    <w:rsid w:val="40377C39"/>
    <w:rsid w:val="4038A234"/>
    <w:rsid w:val="40398987"/>
    <w:rsid w:val="403A81BD"/>
    <w:rsid w:val="403D06A0"/>
    <w:rsid w:val="403F63E5"/>
    <w:rsid w:val="404199B2"/>
    <w:rsid w:val="4044D359"/>
    <w:rsid w:val="40451C89"/>
    <w:rsid w:val="40454369"/>
    <w:rsid w:val="404569E4"/>
    <w:rsid w:val="404581DA"/>
    <w:rsid w:val="4045BC3F"/>
    <w:rsid w:val="4048145C"/>
    <w:rsid w:val="40496C4A"/>
    <w:rsid w:val="4049CEEE"/>
    <w:rsid w:val="405050B8"/>
    <w:rsid w:val="4052CF81"/>
    <w:rsid w:val="4054F483"/>
    <w:rsid w:val="40550AD8"/>
    <w:rsid w:val="40565167"/>
    <w:rsid w:val="4056DA3D"/>
    <w:rsid w:val="405881B6"/>
    <w:rsid w:val="40588971"/>
    <w:rsid w:val="405BA76C"/>
    <w:rsid w:val="405BA94B"/>
    <w:rsid w:val="405C15A2"/>
    <w:rsid w:val="405D4A58"/>
    <w:rsid w:val="405D8616"/>
    <w:rsid w:val="405DA004"/>
    <w:rsid w:val="405F853F"/>
    <w:rsid w:val="40600E83"/>
    <w:rsid w:val="40616EAD"/>
    <w:rsid w:val="4062BF49"/>
    <w:rsid w:val="4067014B"/>
    <w:rsid w:val="406B90C8"/>
    <w:rsid w:val="406C3D3C"/>
    <w:rsid w:val="406EC630"/>
    <w:rsid w:val="40742C79"/>
    <w:rsid w:val="4074940F"/>
    <w:rsid w:val="4074F2C2"/>
    <w:rsid w:val="4079EF0D"/>
    <w:rsid w:val="4082A470"/>
    <w:rsid w:val="4082EF45"/>
    <w:rsid w:val="40831871"/>
    <w:rsid w:val="4086466F"/>
    <w:rsid w:val="4086B130"/>
    <w:rsid w:val="40874F7B"/>
    <w:rsid w:val="4088C582"/>
    <w:rsid w:val="40895D8C"/>
    <w:rsid w:val="4089B042"/>
    <w:rsid w:val="4089C239"/>
    <w:rsid w:val="408CBCF2"/>
    <w:rsid w:val="408E21F9"/>
    <w:rsid w:val="40919A42"/>
    <w:rsid w:val="40944F37"/>
    <w:rsid w:val="4094CD8E"/>
    <w:rsid w:val="4095A4CC"/>
    <w:rsid w:val="4095C25F"/>
    <w:rsid w:val="409A16C6"/>
    <w:rsid w:val="409E0CEB"/>
    <w:rsid w:val="409E6C75"/>
    <w:rsid w:val="409EFC23"/>
    <w:rsid w:val="40A02EBF"/>
    <w:rsid w:val="40A09C7C"/>
    <w:rsid w:val="40A6C1F8"/>
    <w:rsid w:val="40A93524"/>
    <w:rsid w:val="40AA7384"/>
    <w:rsid w:val="40AC9551"/>
    <w:rsid w:val="40B0E7D2"/>
    <w:rsid w:val="40B13896"/>
    <w:rsid w:val="40B3D560"/>
    <w:rsid w:val="40BB8AAD"/>
    <w:rsid w:val="40C0CA76"/>
    <w:rsid w:val="40C12530"/>
    <w:rsid w:val="40C221A0"/>
    <w:rsid w:val="40C38724"/>
    <w:rsid w:val="40C77A12"/>
    <w:rsid w:val="40C86AD5"/>
    <w:rsid w:val="40C98017"/>
    <w:rsid w:val="40CBF552"/>
    <w:rsid w:val="40CCBA01"/>
    <w:rsid w:val="40CD0DF8"/>
    <w:rsid w:val="40D075F7"/>
    <w:rsid w:val="40D505B2"/>
    <w:rsid w:val="40D59EF2"/>
    <w:rsid w:val="40D783B3"/>
    <w:rsid w:val="40D825D2"/>
    <w:rsid w:val="40D8F98E"/>
    <w:rsid w:val="40D93FAD"/>
    <w:rsid w:val="40D9C593"/>
    <w:rsid w:val="40DB5583"/>
    <w:rsid w:val="40DBB551"/>
    <w:rsid w:val="40DC1045"/>
    <w:rsid w:val="40DCC4AE"/>
    <w:rsid w:val="40DE2112"/>
    <w:rsid w:val="40DEC1A2"/>
    <w:rsid w:val="40E32AB1"/>
    <w:rsid w:val="40E3E661"/>
    <w:rsid w:val="40E6060C"/>
    <w:rsid w:val="40E6A8A2"/>
    <w:rsid w:val="40E8F55F"/>
    <w:rsid w:val="40E93C8B"/>
    <w:rsid w:val="40EA31C7"/>
    <w:rsid w:val="40ECD3E1"/>
    <w:rsid w:val="40F48C63"/>
    <w:rsid w:val="40F4F404"/>
    <w:rsid w:val="410004F7"/>
    <w:rsid w:val="410017C0"/>
    <w:rsid w:val="4102A7D0"/>
    <w:rsid w:val="41033F05"/>
    <w:rsid w:val="4105D6FB"/>
    <w:rsid w:val="41069D51"/>
    <w:rsid w:val="41082EDC"/>
    <w:rsid w:val="410833E0"/>
    <w:rsid w:val="4108B36F"/>
    <w:rsid w:val="4109734D"/>
    <w:rsid w:val="4109C9D4"/>
    <w:rsid w:val="410BA96E"/>
    <w:rsid w:val="410BEF89"/>
    <w:rsid w:val="410C37CD"/>
    <w:rsid w:val="410D9357"/>
    <w:rsid w:val="410FAA3F"/>
    <w:rsid w:val="41106E86"/>
    <w:rsid w:val="4114988E"/>
    <w:rsid w:val="4115C157"/>
    <w:rsid w:val="4115CABA"/>
    <w:rsid w:val="4117C1FF"/>
    <w:rsid w:val="411A972E"/>
    <w:rsid w:val="411B2DBF"/>
    <w:rsid w:val="411ED2CD"/>
    <w:rsid w:val="41236C59"/>
    <w:rsid w:val="4125035F"/>
    <w:rsid w:val="4128977A"/>
    <w:rsid w:val="412A0333"/>
    <w:rsid w:val="412A76DF"/>
    <w:rsid w:val="412B1FF8"/>
    <w:rsid w:val="412BCF2E"/>
    <w:rsid w:val="412CBBC8"/>
    <w:rsid w:val="412E47F3"/>
    <w:rsid w:val="41343DDE"/>
    <w:rsid w:val="4135AE67"/>
    <w:rsid w:val="41371803"/>
    <w:rsid w:val="41372089"/>
    <w:rsid w:val="413BC82B"/>
    <w:rsid w:val="413D51BB"/>
    <w:rsid w:val="413E9FCD"/>
    <w:rsid w:val="413F7708"/>
    <w:rsid w:val="4141CED0"/>
    <w:rsid w:val="41456ECA"/>
    <w:rsid w:val="414602D4"/>
    <w:rsid w:val="41478940"/>
    <w:rsid w:val="4149522D"/>
    <w:rsid w:val="414FFA01"/>
    <w:rsid w:val="41525307"/>
    <w:rsid w:val="4152FAE4"/>
    <w:rsid w:val="415428D8"/>
    <w:rsid w:val="4157868D"/>
    <w:rsid w:val="415CA012"/>
    <w:rsid w:val="415DFE50"/>
    <w:rsid w:val="415E07E1"/>
    <w:rsid w:val="415F6E3D"/>
    <w:rsid w:val="4162FC40"/>
    <w:rsid w:val="4164D9F3"/>
    <w:rsid w:val="41662EDB"/>
    <w:rsid w:val="41663FB8"/>
    <w:rsid w:val="41679013"/>
    <w:rsid w:val="4167F200"/>
    <w:rsid w:val="41689C30"/>
    <w:rsid w:val="4168F05A"/>
    <w:rsid w:val="4169A22A"/>
    <w:rsid w:val="416B713C"/>
    <w:rsid w:val="416C651D"/>
    <w:rsid w:val="416F81D9"/>
    <w:rsid w:val="41705158"/>
    <w:rsid w:val="41716498"/>
    <w:rsid w:val="41722471"/>
    <w:rsid w:val="417738D9"/>
    <w:rsid w:val="41796460"/>
    <w:rsid w:val="417E2CDB"/>
    <w:rsid w:val="417E4980"/>
    <w:rsid w:val="41807246"/>
    <w:rsid w:val="4180D8F7"/>
    <w:rsid w:val="4181D7E5"/>
    <w:rsid w:val="4182A14A"/>
    <w:rsid w:val="4182E4E2"/>
    <w:rsid w:val="41876C1B"/>
    <w:rsid w:val="4187A18A"/>
    <w:rsid w:val="41889C2E"/>
    <w:rsid w:val="41894EA4"/>
    <w:rsid w:val="418B25AA"/>
    <w:rsid w:val="418B5BEE"/>
    <w:rsid w:val="418C9731"/>
    <w:rsid w:val="418CD2B5"/>
    <w:rsid w:val="418E0421"/>
    <w:rsid w:val="41931EE1"/>
    <w:rsid w:val="4193C4C6"/>
    <w:rsid w:val="419578C6"/>
    <w:rsid w:val="4195DD50"/>
    <w:rsid w:val="4195EBB6"/>
    <w:rsid w:val="4197F8E1"/>
    <w:rsid w:val="4199A9BD"/>
    <w:rsid w:val="419C285B"/>
    <w:rsid w:val="41A02AB9"/>
    <w:rsid w:val="41A18185"/>
    <w:rsid w:val="41A2375A"/>
    <w:rsid w:val="41A37328"/>
    <w:rsid w:val="41A621F9"/>
    <w:rsid w:val="41A67827"/>
    <w:rsid w:val="41A7E355"/>
    <w:rsid w:val="41A8077C"/>
    <w:rsid w:val="41AB35F5"/>
    <w:rsid w:val="41AD2193"/>
    <w:rsid w:val="41AFA109"/>
    <w:rsid w:val="41AFCB12"/>
    <w:rsid w:val="41B1613B"/>
    <w:rsid w:val="41B1B920"/>
    <w:rsid w:val="41B4A6EF"/>
    <w:rsid w:val="41BD0C7C"/>
    <w:rsid w:val="41BF906B"/>
    <w:rsid w:val="41C5D4D1"/>
    <w:rsid w:val="41C9086B"/>
    <w:rsid w:val="41CAFE1C"/>
    <w:rsid w:val="41CC8DF5"/>
    <w:rsid w:val="41CE98C3"/>
    <w:rsid w:val="41D1B7C5"/>
    <w:rsid w:val="41D24485"/>
    <w:rsid w:val="41D2A659"/>
    <w:rsid w:val="41D2E014"/>
    <w:rsid w:val="41D600E2"/>
    <w:rsid w:val="41DA358F"/>
    <w:rsid w:val="41DB8E9D"/>
    <w:rsid w:val="41DC1970"/>
    <w:rsid w:val="41DEBF2C"/>
    <w:rsid w:val="41E0AC02"/>
    <w:rsid w:val="41E3A388"/>
    <w:rsid w:val="41E5A2B5"/>
    <w:rsid w:val="41E5A7AE"/>
    <w:rsid w:val="41E9A9C1"/>
    <w:rsid w:val="41EC4371"/>
    <w:rsid w:val="41ED5B2C"/>
    <w:rsid w:val="41F030EC"/>
    <w:rsid w:val="41F24EBC"/>
    <w:rsid w:val="41F50C55"/>
    <w:rsid w:val="41F6780E"/>
    <w:rsid w:val="41F82352"/>
    <w:rsid w:val="41F99EA9"/>
    <w:rsid w:val="41F9C121"/>
    <w:rsid w:val="41FA6F14"/>
    <w:rsid w:val="41FBD15B"/>
    <w:rsid w:val="41FD50A6"/>
    <w:rsid w:val="41FDCD15"/>
    <w:rsid w:val="42052480"/>
    <w:rsid w:val="420A98DB"/>
    <w:rsid w:val="420D2C19"/>
    <w:rsid w:val="420E9286"/>
    <w:rsid w:val="420ED5F4"/>
    <w:rsid w:val="420F4A53"/>
    <w:rsid w:val="420F7E3A"/>
    <w:rsid w:val="4210026B"/>
    <w:rsid w:val="4211DA07"/>
    <w:rsid w:val="42130F5E"/>
    <w:rsid w:val="4213389F"/>
    <w:rsid w:val="4216928A"/>
    <w:rsid w:val="421BF422"/>
    <w:rsid w:val="421C6FF2"/>
    <w:rsid w:val="421CC039"/>
    <w:rsid w:val="422619AC"/>
    <w:rsid w:val="422AC54B"/>
    <w:rsid w:val="422B223E"/>
    <w:rsid w:val="422C39D6"/>
    <w:rsid w:val="422C686C"/>
    <w:rsid w:val="422DA5D1"/>
    <w:rsid w:val="422E8B1D"/>
    <w:rsid w:val="422F07D6"/>
    <w:rsid w:val="422FF4BA"/>
    <w:rsid w:val="423383EE"/>
    <w:rsid w:val="4233A888"/>
    <w:rsid w:val="42343D29"/>
    <w:rsid w:val="423855DE"/>
    <w:rsid w:val="42387E80"/>
    <w:rsid w:val="4238DE2C"/>
    <w:rsid w:val="423F0FC4"/>
    <w:rsid w:val="424356BF"/>
    <w:rsid w:val="42465DEB"/>
    <w:rsid w:val="4246CD63"/>
    <w:rsid w:val="42486A64"/>
    <w:rsid w:val="424AC6C7"/>
    <w:rsid w:val="424AE0B1"/>
    <w:rsid w:val="424B4A65"/>
    <w:rsid w:val="424B8157"/>
    <w:rsid w:val="424E053A"/>
    <w:rsid w:val="42525B44"/>
    <w:rsid w:val="42570665"/>
    <w:rsid w:val="42573545"/>
    <w:rsid w:val="4258A870"/>
    <w:rsid w:val="425A1474"/>
    <w:rsid w:val="425A424A"/>
    <w:rsid w:val="425D55A9"/>
    <w:rsid w:val="42602B6D"/>
    <w:rsid w:val="426161D8"/>
    <w:rsid w:val="42617285"/>
    <w:rsid w:val="4264AEB6"/>
    <w:rsid w:val="4266D10E"/>
    <w:rsid w:val="426928B1"/>
    <w:rsid w:val="426A4682"/>
    <w:rsid w:val="426E81E4"/>
    <w:rsid w:val="426E98CD"/>
    <w:rsid w:val="426FC677"/>
    <w:rsid w:val="4270E593"/>
    <w:rsid w:val="4270F480"/>
    <w:rsid w:val="42746E51"/>
    <w:rsid w:val="427645D9"/>
    <w:rsid w:val="42774474"/>
    <w:rsid w:val="427B33B0"/>
    <w:rsid w:val="427B9A73"/>
    <w:rsid w:val="427C5338"/>
    <w:rsid w:val="427D5C40"/>
    <w:rsid w:val="428013E8"/>
    <w:rsid w:val="428027C4"/>
    <w:rsid w:val="4280AD70"/>
    <w:rsid w:val="42833A15"/>
    <w:rsid w:val="42866158"/>
    <w:rsid w:val="4288241A"/>
    <w:rsid w:val="4289696F"/>
    <w:rsid w:val="428A8FFD"/>
    <w:rsid w:val="428C769C"/>
    <w:rsid w:val="428CACC9"/>
    <w:rsid w:val="428E33FF"/>
    <w:rsid w:val="428F51A5"/>
    <w:rsid w:val="4290B3A5"/>
    <w:rsid w:val="4292C12A"/>
    <w:rsid w:val="4296CAB5"/>
    <w:rsid w:val="42978563"/>
    <w:rsid w:val="4299CBB3"/>
    <w:rsid w:val="429B8796"/>
    <w:rsid w:val="429BD93F"/>
    <w:rsid w:val="42A15C24"/>
    <w:rsid w:val="42A15F16"/>
    <w:rsid w:val="42A2A345"/>
    <w:rsid w:val="42A2D917"/>
    <w:rsid w:val="42A3AEC2"/>
    <w:rsid w:val="42A3F1EC"/>
    <w:rsid w:val="42A563B7"/>
    <w:rsid w:val="42A69024"/>
    <w:rsid w:val="42A79AE7"/>
    <w:rsid w:val="42AAE226"/>
    <w:rsid w:val="42AC9458"/>
    <w:rsid w:val="42B18ED5"/>
    <w:rsid w:val="42B28900"/>
    <w:rsid w:val="42BA8F1D"/>
    <w:rsid w:val="42BD15E7"/>
    <w:rsid w:val="42BD1AC1"/>
    <w:rsid w:val="42C01FF3"/>
    <w:rsid w:val="42C11D54"/>
    <w:rsid w:val="42C4D37C"/>
    <w:rsid w:val="42C4D66D"/>
    <w:rsid w:val="42C55E11"/>
    <w:rsid w:val="42C7DF4C"/>
    <w:rsid w:val="42C8172A"/>
    <w:rsid w:val="42C827C9"/>
    <w:rsid w:val="42C8618F"/>
    <w:rsid w:val="42C95268"/>
    <w:rsid w:val="42CB494A"/>
    <w:rsid w:val="42CB76DA"/>
    <w:rsid w:val="42CBB485"/>
    <w:rsid w:val="42CC840D"/>
    <w:rsid w:val="42CCEEA5"/>
    <w:rsid w:val="42CE1358"/>
    <w:rsid w:val="42CF0F59"/>
    <w:rsid w:val="42CF2ED6"/>
    <w:rsid w:val="42D1E732"/>
    <w:rsid w:val="42D2D7AF"/>
    <w:rsid w:val="42D3B4B8"/>
    <w:rsid w:val="42D45875"/>
    <w:rsid w:val="42D46961"/>
    <w:rsid w:val="42D6A111"/>
    <w:rsid w:val="42DA69EF"/>
    <w:rsid w:val="42E1EC7D"/>
    <w:rsid w:val="42E351B4"/>
    <w:rsid w:val="42E5A523"/>
    <w:rsid w:val="42E791D6"/>
    <w:rsid w:val="42E7BD94"/>
    <w:rsid w:val="42E8C16E"/>
    <w:rsid w:val="42EA1883"/>
    <w:rsid w:val="42EB8844"/>
    <w:rsid w:val="42EDAF4E"/>
    <w:rsid w:val="42EE739D"/>
    <w:rsid w:val="42EE8C48"/>
    <w:rsid w:val="42EEAF19"/>
    <w:rsid w:val="42F21A67"/>
    <w:rsid w:val="42F3B7AA"/>
    <w:rsid w:val="42F58962"/>
    <w:rsid w:val="42F74736"/>
    <w:rsid w:val="42F91F12"/>
    <w:rsid w:val="42FD2344"/>
    <w:rsid w:val="4301F25D"/>
    <w:rsid w:val="430270B8"/>
    <w:rsid w:val="43072BA7"/>
    <w:rsid w:val="4307EE51"/>
    <w:rsid w:val="43080CCA"/>
    <w:rsid w:val="430E80C8"/>
    <w:rsid w:val="4312D689"/>
    <w:rsid w:val="4312DA6E"/>
    <w:rsid w:val="4314B7C4"/>
    <w:rsid w:val="4314BF49"/>
    <w:rsid w:val="431553F4"/>
    <w:rsid w:val="43172F3B"/>
    <w:rsid w:val="431749F1"/>
    <w:rsid w:val="4318B8CA"/>
    <w:rsid w:val="431965E4"/>
    <w:rsid w:val="431B966D"/>
    <w:rsid w:val="431D1DD5"/>
    <w:rsid w:val="431FC65E"/>
    <w:rsid w:val="4324B480"/>
    <w:rsid w:val="43262AE3"/>
    <w:rsid w:val="4328A434"/>
    <w:rsid w:val="4328BF70"/>
    <w:rsid w:val="432A3DCF"/>
    <w:rsid w:val="432B0A4F"/>
    <w:rsid w:val="432B312A"/>
    <w:rsid w:val="43302D93"/>
    <w:rsid w:val="4330BDBD"/>
    <w:rsid w:val="4331335B"/>
    <w:rsid w:val="4334FA27"/>
    <w:rsid w:val="4338C456"/>
    <w:rsid w:val="433CC3CD"/>
    <w:rsid w:val="434034CC"/>
    <w:rsid w:val="43467AE3"/>
    <w:rsid w:val="43470DDF"/>
    <w:rsid w:val="434B9DE6"/>
    <w:rsid w:val="434C6CAB"/>
    <w:rsid w:val="434EA99F"/>
    <w:rsid w:val="43555532"/>
    <w:rsid w:val="43597D86"/>
    <w:rsid w:val="435CFD9F"/>
    <w:rsid w:val="435D59D3"/>
    <w:rsid w:val="435EDB52"/>
    <w:rsid w:val="435F1A30"/>
    <w:rsid w:val="436080E8"/>
    <w:rsid w:val="4361E630"/>
    <w:rsid w:val="43626210"/>
    <w:rsid w:val="43642F9E"/>
    <w:rsid w:val="4364994B"/>
    <w:rsid w:val="43687234"/>
    <w:rsid w:val="4369D08C"/>
    <w:rsid w:val="437061A5"/>
    <w:rsid w:val="43713C1E"/>
    <w:rsid w:val="437214FD"/>
    <w:rsid w:val="4375A253"/>
    <w:rsid w:val="43771159"/>
    <w:rsid w:val="43771D9D"/>
    <w:rsid w:val="43787478"/>
    <w:rsid w:val="4379F297"/>
    <w:rsid w:val="437AA7FC"/>
    <w:rsid w:val="437C9EE5"/>
    <w:rsid w:val="437F47A8"/>
    <w:rsid w:val="437F8EEC"/>
    <w:rsid w:val="4383A5A2"/>
    <w:rsid w:val="43843C35"/>
    <w:rsid w:val="4384BDB5"/>
    <w:rsid w:val="4386A47F"/>
    <w:rsid w:val="43880361"/>
    <w:rsid w:val="43892EA1"/>
    <w:rsid w:val="43895E79"/>
    <w:rsid w:val="4389DD9F"/>
    <w:rsid w:val="438AFD97"/>
    <w:rsid w:val="438BE183"/>
    <w:rsid w:val="438C1170"/>
    <w:rsid w:val="438DF8EC"/>
    <w:rsid w:val="4390F12E"/>
    <w:rsid w:val="43923D5F"/>
    <w:rsid w:val="439B8EEF"/>
    <w:rsid w:val="439DC5B0"/>
    <w:rsid w:val="43A179BC"/>
    <w:rsid w:val="43A24C40"/>
    <w:rsid w:val="43A703EF"/>
    <w:rsid w:val="43AA9CA7"/>
    <w:rsid w:val="43ABB6E9"/>
    <w:rsid w:val="43ABD46C"/>
    <w:rsid w:val="43AC4DE5"/>
    <w:rsid w:val="43AE549D"/>
    <w:rsid w:val="43AFB225"/>
    <w:rsid w:val="43B06B2F"/>
    <w:rsid w:val="43B0CC78"/>
    <w:rsid w:val="43B0E620"/>
    <w:rsid w:val="43B10035"/>
    <w:rsid w:val="43B150DE"/>
    <w:rsid w:val="43B1DA13"/>
    <w:rsid w:val="43B40FCE"/>
    <w:rsid w:val="43B7980B"/>
    <w:rsid w:val="43B8E766"/>
    <w:rsid w:val="43BB09C2"/>
    <w:rsid w:val="43BD67C6"/>
    <w:rsid w:val="43BF156C"/>
    <w:rsid w:val="43BF1E41"/>
    <w:rsid w:val="43C20F24"/>
    <w:rsid w:val="43C5B197"/>
    <w:rsid w:val="43CB113A"/>
    <w:rsid w:val="43CE4637"/>
    <w:rsid w:val="43D19040"/>
    <w:rsid w:val="43D31392"/>
    <w:rsid w:val="43D317BB"/>
    <w:rsid w:val="43D3546D"/>
    <w:rsid w:val="43D669F5"/>
    <w:rsid w:val="43DB9BF9"/>
    <w:rsid w:val="43DF642A"/>
    <w:rsid w:val="43E10DA8"/>
    <w:rsid w:val="43E1385F"/>
    <w:rsid w:val="43E384DC"/>
    <w:rsid w:val="43E4E283"/>
    <w:rsid w:val="43E6B61F"/>
    <w:rsid w:val="43E83E59"/>
    <w:rsid w:val="43E9C944"/>
    <w:rsid w:val="43EBF6FD"/>
    <w:rsid w:val="43F50146"/>
    <w:rsid w:val="43FAB07B"/>
    <w:rsid w:val="43FC3CD8"/>
    <w:rsid w:val="44000472"/>
    <w:rsid w:val="44041EC3"/>
    <w:rsid w:val="44067BBF"/>
    <w:rsid w:val="4409C2EC"/>
    <w:rsid w:val="4410C97B"/>
    <w:rsid w:val="4412A0F6"/>
    <w:rsid w:val="4413124F"/>
    <w:rsid w:val="44180429"/>
    <w:rsid w:val="44186E6D"/>
    <w:rsid w:val="4419B403"/>
    <w:rsid w:val="441B73C8"/>
    <w:rsid w:val="441D7B58"/>
    <w:rsid w:val="441D89DF"/>
    <w:rsid w:val="44210699"/>
    <w:rsid w:val="4421CA5F"/>
    <w:rsid w:val="4423B5EF"/>
    <w:rsid w:val="4424D6E2"/>
    <w:rsid w:val="4427F661"/>
    <w:rsid w:val="44286007"/>
    <w:rsid w:val="44293322"/>
    <w:rsid w:val="4429F685"/>
    <w:rsid w:val="443BAF66"/>
    <w:rsid w:val="443BCF20"/>
    <w:rsid w:val="443D2393"/>
    <w:rsid w:val="443EE02F"/>
    <w:rsid w:val="443EE0E8"/>
    <w:rsid w:val="443F3787"/>
    <w:rsid w:val="443FBF8D"/>
    <w:rsid w:val="4440EA48"/>
    <w:rsid w:val="444257B2"/>
    <w:rsid w:val="4442FC16"/>
    <w:rsid w:val="44441A25"/>
    <w:rsid w:val="4446B5AD"/>
    <w:rsid w:val="444BB5F7"/>
    <w:rsid w:val="444D0A5F"/>
    <w:rsid w:val="444D0ADC"/>
    <w:rsid w:val="444D7B35"/>
    <w:rsid w:val="444DE21F"/>
    <w:rsid w:val="444E62B4"/>
    <w:rsid w:val="444EFE67"/>
    <w:rsid w:val="445064F5"/>
    <w:rsid w:val="44541BF5"/>
    <w:rsid w:val="445851A6"/>
    <w:rsid w:val="445975B1"/>
    <w:rsid w:val="445AE516"/>
    <w:rsid w:val="445C5BA9"/>
    <w:rsid w:val="445C7E35"/>
    <w:rsid w:val="445F0281"/>
    <w:rsid w:val="4461E8DB"/>
    <w:rsid w:val="4465FAB3"/>
    <w:rsid w:val="44661C29"/>
    <w:rsid w:val="446F61EE"/>
    <w:rsid w:val="4470D28D"/>
    <w:rsid w:val="44713F18"/>
    <w:rsid w:val="44716251"/>
    <w:rsid w:val="44744C55"/>
    <w:rsid w:val="44784DA2"/>
    <w:rsid w:val="447922B2"/>
    <w:rsid w:val="447BAF61"/>
    <w:rsid w:val="447DE203"/>
    <w:rsid w:val="447E88A4"/>
    <w:rsid w:val="448340DC"/>
    <w:rsid w:val="4486FF49"/>
    <w:rsid w:val="448A0C65"/>
    <w:rsid w:val="448C59AE"/>
    <w:rsid w:val="448CB863"/>
    <w:rsid w:val="44927364"/>
    <w:rsid w:val="44964D13"/>
    <w:rsid w:val="44969248"/>
    <w:rsid w:val="44980A79"/>
    <w:rsid w:val="449E8D2E"/>
    <w:rsid w:val="44A084C0"/>
    <w:rsid w:val="44A09C56"/>
    <w:rsid w:val="44A394AA"/>
    <w:rsid w:val="44A6084E"/>
    <w:rsid w:val="44AA065D"/>
    <w:rsid w:val="44AA4A65"/>
    <w:rsid w:val="44AA7134"/>
    <w:rsid w:val="44ACE37D"/>
    <w:rsid w:val="44ACF91F"/>
    <w:rsid w:val="44AE3300"/>
    <w:rsid w:val="44B045DF"/>
    <w:rsid w:val="44B26611"/>
    <w:rsid w:val="44B2C896"/>
    <w:rsid w:val="44B7E6A1"/>
    <w:rsid w:val="44B84A4E"/>
    <w:rsid w:val="44B893F2"/>
    <w:rsid w:val="44BDBA48"/>
    <w:rsid w:val="44C1967B"/>
    <w:rsid w:val="44C4935F"/>
    <w:rsid w:val="44C58B72"/>
    <w:rsid w:val="44C8E7C2"/>
    <w:rsid w:val="44CCCB62"/>
    <w:rsid w:val="44CF478B"/>
    <w:rsid w:val="44D20D08"/>
    <w:rsid w:val="44D21C2C"/>
    <w:rsid w:val="44D2ECE8"/>
    <w:rsid w:val="44D40852"/>
    <w:rsid w:val="44D4E45A"/>
    <w:rsid w:val="44DB70DD"/>
    <w:rsid w:val="44DBE518"/>
    <w:rsid w:val="44DBEDF1"/>
    <w:rsid w:val="44DC9170"/>
    <w:rsid w:val="44DF19F8"/>
    <w:rsid w:val="44DF809C"/>
    <w:rsid w:val="44E07E19"/>
    <w:rsid w:val="44E12FD2"/>
    <w:rsid w:val="44E5DD91"/>
    <w:rsid w:val="44E68B9E"/>
    <w:rsid w:val="44E75523"/>
    <w:rsid w:val="44F061B2"/>
    <w:rsid w:val="44F087F0"/>
    <w:rsid w:val="44F0F536"/>
    <w:rsid w:val="44F0F5FA"/>
    <w:rsid w:val="44F7BED0"/>
    <w:rsid w:val="44F981C1"/>
    <w:rsid w:val="44FBB08B"/>
    <w:rsid w:val="44FCAE71"/>
    <w:rsid w:val="44FCE38F"/>
    <w:rsid w:val="450145D1"/>
    <w:rsid w:val="45027437"/>
    <w:rsid w:val="45030B14"/>
    <w:rsid w:val="450384D8"/>
    <w:rsid w:val="4503F302"/>
    <w:rsid w:val="4506CA8D"/>
    <w:rsid w:val="4507C4FC"/>
    <w:rsid w:val="45088C7B"/>
    <w:rsid w:val="4508C86F"/>
    <w:rsid w:val="450A7F5C"/>
    <w:rsid w:val="450CA3A6"/>
    <w:rsid w:val="450CC918"/>
    <w:rsid w:val="450DECB5"/>
    <w:rsid w:val="45117EDA"/>
    <w:rsid w:val="45145CFB"/>
    <w:rsid w:val="45148B3E"/>
    <w:rsid w:val="45171F53"/>
    <w:rsid w:val="4518459F"/>
    <w:rsid w:val="451D762D"/>
    <w:rsid w:val="451E606C"/>
    <w:rsid w:val="451ED00C"/>
    <w:rsid w:val="4520FD1E"/>
    <w:rsid w:val="452174F0"/>
    <w:rsid w:val="4521C8D9"/>
    <w:rsid w:val="4521FA79"/>
    <w:rsid w:val="452223CB"/>
    <w:rsid w:val="45250137"/>
    <w:rsid w:val="4526188E"/>
    <w:rsid w:val="452765B5"/>
    <w:rsid w:val="4528FA73"/>
    <w:rsid w:val="452D4181"/>
    <w:rsid w:val="452F7A2A"/>
    <w:rsid w:val="452F9CF8"/>
    <w:rsid w:val="45308A6A"/>
    <w:rsid w:val="4533EDFF"/>
    <w:rsid w:val="45341F47"/>
    <w:rsid w:val="4534CAB3"/>
    <w:rsid w:val="453500C8"/>
    <w:rsid w:val="45351067"/>
    <w:rsid w:val="4535363D"/>
    <w:rsid w:val="45369884"/>
    <w:rsid w:val="45374C37"/>
    <w:rsid w:val="4538D3A6"/>
    <w:rsid w:val="4538FAF2"/>
    <w:rsid w:val="4539B690"/>
    <w:rsid w:val="453C0536"/>
    <w:rsid w:val="453DB919"/>
    <w:rsid w:val="453E04A0"/>
    <w:rsid w:val="453F502C"/>
    <w:rsid w:val="45446611"/>
    <w:rsid w:val="4544687B"/>
    <w:rsid w:val="45450E69"/>
    <w:rsid w:val="45467936"/>
    <w:rsid w:val="454C793A"/>
    <w:rsid w:val="454CB2E3"/>
    <w:rsid w:val="454CB5DB"/>
    <w:rsid w:val="454F7EC3"/>
    <w:rsid w:val="455008E6"/>
    <w:rsid w:val="45504707"/>
    <w:rsid w:val="455349C5"/>
    <w:rsid w:val="455511F0"/>
    <w:rsid w:val="455594B6"/>
    <w:rsid w:val="455795C9"/>
    <w:rsid w:val="455B987B"/>
    <w:rsid w:val="455BD54C"/>
    <w:rsid w:val="455BD6A9"/>
    <w:rsid w:val="455BED6D"/>
    <w:rsid w:val="455C94CC"/>
    <w:rsid w:val="455F2828"/>
    <w:rsid w:val="455F2B08"/>
    <w:rsid w:val="45617C04"/>
    <w:rsid w:val="45647C6B"/>
    <w:rsid w:val="4565FAFA"/>
    <w:rsid w:val="45672798"/>
    <w:rsid w:val="4568CEAA"/>
    <w:rsid w:val="4568D92D"/>
    <w:rsid w:val="4568EEA1"/>
    <w:rsid w:val="456CBD49"/>
    <w:rsid w:val="456EB49E"/>
    <w:rsid w:val="456FAA32"/>
    <w:rsid w:val="456FD07F"/>
    <w:rsid w:val="457316A0"/>
    <w:rsid w:val="457728A9"/>
    <w:rsid w:val="4578B80C"/>
    <w:rsid w:val="45798495"/>
    <w:rsid w:val="4579D863"/>
    <w:rsid w:val="4579DC4C"/>
    <w:rsid w:val="4583881D"/>
    <w:rsid w:val="4586008C"/>
    <w:rsid w:val="4588CD67"/>
    <w:rsid w:val="4588E81D"/>
    <w:rsid w:val="4589FA98"/>
    <w:rsid w:val="458A5103"/>
    <w:rsid w:val="458B9960"/>
    <w:rsid w:val="458CBC22"/>
    <w:rsid w:val="45920972"/>
    <w:rsid w:val="45924494"/>
    <w:rsid w:val="4592CE64"/>
    <w:rsid w:val="4597FB71"/>
    <w:rsid w:val="459902DB"/>
    <w:rsid w:val="459AB03F"/>
    <w:rsid w:val="459D4274"/>
    <w:rsid w:val="45A092BA"/>
    <w:rsid w:val="45A093FB"/>
    <w:rsid w:val="45A0A9D9"/>
    <w:rsid w:val="45A0C5CB"/>
    <w:rsid w:val="45A7C97D"/>
    <w:rsid w:val="45A8E09E"/>
    <w:rsid w:val="45AAABE0"/>
    <w:rsid w:val="45AD545D"/>
    <w:rsid w:val="45B0BA06"/>
    <w:rsid w:val="45B5678B"/>
    <w:rsid w:val="45B93454"/>
    <w:rsid w:val="45BC0662"/>
    <w:rsid w:val="45BD206A"/>
    <w:rsid w:val="45BDB67D"/>
    <w:rsid w:val="45C03F51"/>
    <w:rsid w:val="45C705EF"/>
    <w:rsid w:val="45CB48A1"/>
    <w:rsid w:val="45CEF0D6"/>
    <w:rsid w:val="45CFCF9C"/>
    <w:rsid w:val="45D4BB53"/>
    <w:rsid w:val="45D5BA1C"/>
    <w:rsid w:val="45D5C9B1"/>
    <w:rsid w:val="45D7DE0F"/>
    <w:rsid w:val="45D80740"/>
    <w:rsid w:val="45D966F9"/>
    <w:rsid w:val="45DB8565"/>
    <w:rsid w:val="45DC933D"/>
    <w:rsid w:val="45DDFBCC"/>
    <w:rsid w:val="45DED139"/>
    <w:rsid w:val="45E0C725"/>
    <w:rsid w:val="45E11056"/>
    <w:rsid w:val="45E265E1"/>
    <w:rsid w:val="45E7ACB5"/>
    <w:rsid w:val="45E9D002"/>
    <w:rsid w:val="45EA1308"/>
    <w:rsid w:val="45EB2820"/>
    <w:rsid w:val="45ED0962"/>
    <w:rsid w:val="45EE567E"/>
    <w:rsid w:val="45EEA0A5"/>
    <w:rsid w:val="45EEDD32"/>
    <w:rsid w:val="45F0023F"/>
    <w:rsid w:val="45F112E7"/>
    <w:rsid w:val="45F32C1C"/>
    <w:rsid w:val="45F67F4D"/>
    <w:rsid w:val="45F733A1"/>
    <w:rsid w:val="45F87941"/>
    <w:rsid w:val="45FCA76F"/>
    <w:rsid w:val="4600C80C"/>
    <w:rsid w:val="46015DCB"/>
    <w:rsid w:val="46019FE2"/>
    <w:rsid w:val="4601F605"/>
    <w:rsid w:val="4601FFF0"/>
    <w:rsid w:val="4603060E"/>
    <w:rsid w:val="4603CA0A"/>
    <w:rsid w:val="46073F78"/>
    <w:rsid w:val="46086313"/>
    <w:rsid w:val="46086883"/>
    <w:rsid w:val="4608FDCF"/>
    <w:rsid w:val="460F4919"/>
    <w:rsid w:val="4610CAD9"/>
    <w:rsid w:val="461696DC"/>
    <w:rsid w:val="461D17BD"/>
    <w:rsid w:val="461F5302"/>
    <w:rsid w:val="461F5921"/>
    <w:rsid w:val="461FC95B"/>
    <w:rsid w:val="4626BC4F"/>
    <w:rsid w:val="462819B2"/>
    <w:rsid w:val="46282C71"/>
    <w:rsid w:val="462DA4B0"/>
    <w:rsid w:val="462F9E0D"/>
    <w:rsid w:val="463032F0"/>
    <w:rsid w:val="4633C9EC"/>
    <w:rsid w:val="46345C67"/>
    <w:rsid w:val="4636B9B5"/>
    <w:rsid w:val="463B4989"/>
    <w:rsid w:val="463BF343"/>
    <w:rsid w:val="463C26DB"/>
    <w:rsid w:val="463CAD8C"/>
    <w:rsid w:val="463DE12D"/>
    <w:rsid w:val="463EBD4C"/>
    <w:rsid w:val="463EF4CE"/>
    <w:rsid w:val="463F2E63"/>
    <w:rsid w:val="46431D8E"/>
    <w:rsid w:val="46448248"/>
    <w:rsid w:val="4645077A"/>
    <w:rsid w:val="46486B95"/>
    <w:rsid w:val="46492253"/>
    <w:rsid w:val="464C5EB3"/>
    <w:rsid w:val="4650BEE1"/>
    <w:rsid w:val="4651D137"/>
    <w:rsid w:val="4652CF78"/>
    <w:rsid w:val="4652FD4E"/>
    <w:rsid w:val="46552166"/>
    <w:rsid w:val="4656DAF7"/>
    <w:rsid w:val="46581AC8"/>
    <w:rsid w:val="4659C770"/>
    <w:rsid w:val="465A2070"/>
    <w:rsid w:val="465B9E5D"/>
    <w:rsid w:val="46607D21"/>
    <w:rsid w:val="46625C50"/>
    <w:rsid w:val="4662A624"/>
    <w:rsid w:val="466B221F"/>
    <w:rsid w:val="466ED7E4"/>
    <w:rsid w:val="466FFB29"/>
    <w:rsid w:val="46713B7C"/>
    <w:rsid w:val="46744521"/>
    <w:rsid w:val="46777D2C"/>
    <w:rsid w:val="46792B1F"/>
    <w:rsid w:val="467BE0BE"/>
    <w:rsid w:val="467D1AC4"/>
    <w:rsid w:val="467D2C84"/>
    <w:rsid w:val="4681631A"/>
    <w:rsid w:val="46827232"/>
    <w:rsid w:val="468288C2"/>
    <w:rsid w:val="468584EE"/>
    <w:rsid w:val="46876BA5"/>
    <w:rsid w:val="4687BBDB"/>
    <w:rsid w:val="4689D641"/>
    <w:rsid w:val="4689E6A9"/>
    <w:rsid w:val="468B02FA"/>
    <w:rsid w:val="468B8F41"/>
    <w:rsid w:val="468DFA5C"/>
    <w:rsid w:val="4693F1F6"/>
    <w:rsid w:val="469441D9"/>
    <w:rsid w:val="46959820"/>
    <w:rsid w:val="469652D7"/>
    <w:rsid w:val="4699A1C6"/>
    <w:rsid w:val="469A1A4B"/>
    <w:rsid w:val="469BE4FA"/>
    <w:rsid w:val="469C3A61"/>
    <w:rsid w:val="469CB196"/>
    <w:rsid w:val="469F0A1B"/>
    <w:rsid w:val="46A0A660"/>
    <w:rsid w:val="46A19159"/>
    <w:rsid w:val="46A2CBDD"/>
    <w:rsid w:val="46A3E9FC"/>
    <w:rsid w:val="46A7EFAF"/>
    <w:rsid w:val="46A8BA1C"/>
    <w:rsid w:val="46A90E39"/>
    <w:rsid w:val="46AFD579"/>
    <w:rsid w:val="46B05494"/>
    <w:rsid w:val="46B4EE8C"/>
    <w:rsid w:val="46B64BE3"/>
    <w:rsid w:val="46B6BF86"/>
    <w:rsid w:val="46B6C080"/>
    <w:rsid w:val="46B797A4"/>
    <w:rsid w:val="46BD8E50"/>
    <w:rsid w:val="46BF83B4"/>
    <w:rsid w:val="46C154C7"/>
    <w:rsid w:val="46C3A99C"/>
    <w:rsid w:val="46C4AF2B"/>
    <w:rsid w:val="46C5F70A"/>
    <w:rsid w:val="46C6B9A0"/>
    <w:rsid w:val="46CA08C4"/>
    <w:rsid w:val="46CC4285"/>
    <w:rsid w:val="46CE7BD8"/>
    <w:rsid w:val="46CE8A54"/>
    <w:rsid w:val="46CF4903"/>
    <w:rsid w:val="46CF82A4"/>
    <w:rsid w:val="46CFE756"/>
    <w:rsid w:val="46D0AEC1"/>
    <w:rsid w:val="46DA307B"/>
    <w:rsid w:val="46DA89B7"/>
    <w:rsid w:val="46DA90B6"/>
    <w:rsid w:val="46DAC1B3"/>
    <w:rsid w:val="46DCA2FF"/>
    <w:rsid w:val="46DD4782"/>
    <w:rsid w:val="46DE719D"/>
    <w:rsid w:val="46E39913"/>
    <w:rsid w:val="46E3AB25"/>
    <w:rsid w:val="46E487F0"/>
    <w:rsid w:val="46E509AF"/>
    <w:rsid w:val="46E5BC6D"/>
    <w:rsid w:val="46E73625"/>
    <w:rsid w:val="46EE438D"/>
    <w:rsid w:val="46EFD959"/>
    <w:rsid w:val="46F58A9E"/>
    <w:rsid w:val="46F757C2"/>
    <w:rsid w:val="46F931D0"/>
    <w:rsid w:val="46FAA844"/>
    <w:rsid w:val="46FB5578"/>
    <w:rsid w:val="46FD51FA"/>
    <w:rsid w:val="46FE51AE"/>
    <w:rsid w:val="46FED20B"/>
    <w:rsid w:val="46FEE5A2"/>
    <w:rsid w:val="46FF4222"/>
    <w:rsid w:val="470041F2"/>
    <w:rsid w:val="47005A48"/>
    <w:rsid w:val="4702D880"/>
    <w:rsid w:val="470503DC"/>
    <w:rsid w:val="47086A70"/>
    <w:rsid w:val="470E0F34"/>
    <w:rsid w:val="470F1698"/>
    <w:rsid w:val="470FCFED"/>
    <w:rsid w:val="47107A08"/>
    <w:rsid w:val="47109B7A"/>
    <w:rsid w:val="47110D85"/>
    <w:rsid w:val="471929B5"/>
    <w:rsid w:val="4725283C"/>
    <w:rsid w:val="4726142D"/>
    <w:rsid w:val="4726AF14"/>
    <w:rsid w:val="47273781"/>
    <w:rsid w:val="472761C2"/>
    <w:rsid w:val="47293506"/>
    <w:rsid w:val="47296DD4"/>
    <w:rsid w:val="472C23EC"/>
    <w:rsid w:val="47326C83"/>
    <w:rsid w:val="4732A217"/>
    <w:rsid w:val="4732EB9A"/>
    <w:rsid w:val="473416D0"/>
    <w:rsid w:val="47363341"/>
    <w:rsid w:val="47374F83"/>
    <w:rsid w:val="473B0FB7"/>
    <w:rsid w:val="473B6C80"/>
    <w:rsid w:val="473D39DB"/>
    <w:rsid w:val="473D5267"/>
    <w:rsid w:val="473D98EF"/>
    <w:rsid w:val="473DB07F"/>
    <w:rsid w:val="473DC011"/>
    <w:rsid w:val="473E1F79"/>
    <w:rsid w:val="473EA006"/>
    <w:rsid w:val="473F9693"/>
    <w:rsid w:val="4740730E"/>
    <w:rsid w:val="4741C8D6"/>
    <w:rsid w:val="4742F56C"/>
    <w:rsid w:val="4746BF4A"/>
    <w:rsid w:val="47496D86"/>
    <w:rsid w:val="474A301F"/>
    <w:rsid w:val="474A93FC"/>
    <w:rsid w:val="474AA8F0"/>
    <w:rsid w:val="474F995A"/>
    <w:rsid w:val="47540869"/>
    <w:rsid w:val="475504B5"/>
    <w:rsid w:val="47566A47"/>
    <w:rsid w:val="475741F0"/>
    <w:rsid w:val="475860B7"/>
    <w:rsid w:val="4758D5ED"/>
    <w:rsid w:val="47598563"/>
    <w:rsid w:val="47599816"/>
    <w:rsid w:val="475A4850"/>
    <w:rsid w:val="475AA8F6"/>
    <w:rsid w:val="475DF424"/>
    <w:rsid w:val="47647B3D"/>
    <w:rsid w:val="4764BAEF"/>
    <w:rsid w:val="477228A4"/>
    <w:rsid w:val="4775AAFE"/>
    <w:rsid w:val="4778BFF7"/>
    <w:rsid w:val="477BAEBE"/>
    <w:rsid w:val="477FB6CD"/>
    <w:rsid w:val="47810DBB"/>
    <w:rsid w:val="47825DC1"/>
    <w:rsid w:val="4782DA0E"/>
    <w:rsid w:val="4783381F"/>
    <w:rsid w:val="478639B7"/>
    <w:rsid w:val="478651EA"/>
    <w:rsid w:val="478B43D0"/>
    <w:rsid w:val="478B9A5C"/>
    <w:rsid w:val="478D18F7"/>
    <w:rsid w:val="478DDEB9"/>
    <w:rsid w:val="4790C383"/>
    <w:rsid w:val="4790CB6A"/>
    <w:rsid w:val="4792744B"/>
    <w:rsid w:val="47967136"/>
    <w:rsid w:val="47975E7C"/>
    <w:rsid w:val="4798DC79"/>
    <w:rsid w:val="4799B9D8"/>
    <w:rsid w:val="479C3A49"/>
    <w:rsid w:val="479DF9AD"/>
    <w:rsid w:val="479E0B26"/>
    <w:rsid w:val="479EA87B"/>
    <w:rsid w:val="47A1153B"/>
    <w:rsid w:val="47A1EE21"/>
    <w:rsid w:val="47A36EE6"/>
    <w:rsid w:val="47A48E18"/>
    <w:rsid w:val="47A74424"/>
    <w:rsid w:val="47AB90C4"/>
    <w:rsid w:val="47B04CD2"/>
    <w:rsid w:val="47B156AB"/>
    <w:rsid w:val="47B16A6B"/>
    <w:rsid w:val="47B37712"/>
    <w:rsid w:val="47B8793F"/>
    <w:rsid w:val="47B9D2A3"/>
    <w:rsid w:val="47BA7EC1"/>
    <w:rsid w:val="47BABB80"/>
    <w:rsid w:val="47BC9938"/>
    <w:rsid w:val="47BCFBCE"/>
    <w:rsid w:val="47BF342F"/>
    <w:rsid w:val="47C01F25"/>
    <w:rsid w:val="47C05CDE"/>
    <w:rsid w:val="47C0BEC0"/>
    <w:rsid w:val="47C0E1EA"/>
    <w:rsid w:val="47C45CF9"/>
    <w:rsid w:val="47C62DB2"/>
    <w:rsid w:val="47C8737E"/>
    <w:rsid w:val="47CACEB2"/>
    <w:rsid w:val="47CBEE43"/>
    <w:rsid w:val="47CDAC01"/>
    <w:rsid w:val="47CDD02B"/>
    <w:rsid w:val="47CEB151"/>
    <w:rsid w:val="47D0159C"/>
    <w:rsid w:val="47D2EE0B"/>
    <w:rsid w:val="47D3383F"/>
    <w:rsid w:val="47D5356B"/>
    <w:rsid w:val="47D717B1"/>
    <w:rsid w:val="47DA0BEA"/>
    <w:rsid w:val="47DA8846"/>
    <w:rsid w:val="47DFCADB"/>
    <w:rsid w:val="47E040B0"/>
    <w:rsid w:val="47E7C764"/>
    <w:rsid w:val="47EB2375"/>
    <w:rsid w:val="47EC2AFC"/>
    <w:rsid w:val="47F1D74C"/>
    <w:rsid w:val="47F694D6"/>
    <w:rsid w:val="47F7BF18"/>
    <w:rsid w:val="47FA1341"/>
    <w:rsid w:val="47FABE64"/>
    <w:rsid w:val="47FB9673"/>
    <w:rsid w:val="47FC4FDF"/>
    <w:rsid w:val="47FDE4EE"/>
    <w:rsid w:val="48006879"/>
    <w:rsid w:val="4803E464"/>
    <w:rsid w:val="4804FF97"/>
    <w:rsid w:val="480769BA"/>
    <w:rsid w:val="480AC8FA"/>
    <w:rsid w:val="480D9743"/>
    <w:rsid w:val="480D9C88"/>
    <w:rsid w:val="480E2E27"/>
    <w:rsid w:val="480ED1F4"/>
    <w:rsid w:val="48127C04"/>
    <w:rsid w:val="4812D165"/>
    <w:rsid w:val="4812EB5B"/>
    <w:rsid w:val="48138E13"/>
    <w:rsid w:val="481A4002"/>
    <w:rsid w:val="481A52D5"/>
    <w:rsid w:val="481BF97B"/>
    <w:rsid w:val="481DFB75"/>
    <w:rsid w:val="481F5B2E"/>
    <w:rsid w:val="4822BADB"/>
    <w:rsid w:val="48247FC8"/>
    <w:rsid w:val="4824A488"/>
    <w:rsid w:val="4825785A"/>
    <w:rsid w:val="48284205"/>
    <w:rsid w:val="482B8384"/>
    <w:rsid w:val="482F39A9"/>
    <w:rsid w:val="482F8ADA"/>
    <w:rsid w:val="4832685B"/>
    <w:rsid w:val="48327311"/>
    <w:rsid w:val="4834E0FB"/>
    <w:rsid w:val="4834EB08"/>
    <w:rsid w:val="483704A2"/>
    <w:rsid w:val="483D53BB"/>
    <w:rsid w:val="48420BB3"/>
    <w:rsid w:val="48423F0D"/>
    <w:rsid w:val="48435A2E"/>
    <w:rsid w:val="48441A17"/>
    <w:rsid w:val="4844C0A4"/>
    <w:rsid w:val="48491F79"/>
    <w:rsid w:val="484B708B"/>
    <w:rsid w:val="484E8A1F"/>
    <w:rsid w:val="48508CA3"/>
    <w:rsid w:val="4852A7AE"/>
    <w:rsid w:val="4853796E"/>
    <w:rsid w:val="4854238B"/>
    <w:rsid w:val="4857ED2B"/>
    <w:rsid w:val="485CDDDA"/>
    <w:rsid w:val="48602064"/>
    <w:rsid w:val="4863FD3B"/>
    <w:rsid w:val="48662392"/>
    <w:rsid w:val="486C770B"/>
    <w:rsid w:val="486E48F8"/>
    <w:rsid w:val="487070AE"/>
    <w:rsid w:val="4872B07A"/>
    <w:rsid w:val="4879CA81"/>
    <w:rsid w:val="487BB391"/>
    <w:rsid w:val="487C1A02"/>
    <w:rsid w:val="487CE9EE"/>
    <w:rsid w:val="4880A4CB"/>
    <w:rsid w:val="4881F46E"/>
    <w:rsid w:val="48850BFD"/>
    <w:rsid w:val="48863E1A"/>
    <w:rsid w:val="48884EDA"/>
    <w:rsid w:val="488ADF96"/>
    <w:rsid w:val="488BAF87"/>
    <w:rsid w:val="488BBFD6"/>
    <w:rsid w:val="488FD45C"/>
    <w:rsid w:val="48907928"/>
    <w:rsid w:val="48918C18"/>
    <w:rsid w:val="48948809"/>
    <w:rsid w:val="4895E80E"/>
    <w:rsid w:val="489E56AE"/>
    <w:rsid w:val="489F0FE3"/>
    <w:rsid w:val="48A2C2AC"/>
    <w:rsid w:val="48A5064C"/>
    <w:rsid w:val="48A578A8"/>
    <w:rsid w:val="48A71369"/>
    <w:rsid w:val="48A8788A"/>
    <w:rsid w:val="48A9C30F"/>
    <w:rsid w:val="48A9DB4D"/>
    <w:rsid w:val="48AB4605"/>
    <w:rsid w:val="48AB5C31"/>
    <w:rsid w:val="48AC6365"/>
    <w:rsid w:val="48B0D665"/>
    <w:rsid w:val="48B19216"/>
    <w:rsid w:val="48B3F67C"/>
    <w:rsid w:val="48B46558"/>
    <w:rsid w:val="48B8A00E"/>
    <w:rsid w:val="48BBC9DF"/>
    <w:rsid w:val="48BC70DD"/>
    <w:rsid w:val="48BDDF8A"/>
    <w:rsid w:val="48BFB47D"/>
    <w:rsid w:val="48C1756B"/>
    <w:rsid w:val="48C3BB0F"/>
    <w:rsid w:val="48C3D3B2"/>
    <w:rsid w:val="48C5715C"/>
    <w:rsid w:val="48C732C4"/>
    <w:rsid w:val="48C74FEC"/>
    <w:rsid w:val="48C8C7CB"/>
    <w:rsid w:val="48C9EFA1"/>
    <w:rsid w:val="48D1B456"/>
    <w:rsid w:val="48D22253"/>
    <w:rsid w:val="48D33AAA"/>
    <w:rsid w:val="48D46F07"/>
    <w:rsid w:val="48D5F93D"/>
    <w:rsid w:val="48DC7FB4"/>
    <w:rsid w:val="48E12E3B"/>
    <w:rsid w:val="48E1951E"/>
    <w:rsid w:val="48E25895"/>
    <w:rsid w:val="48E2E9A8"/>
    <w:rsid w:val="48E396CE"/>
    <w:rsid w:val="48E415C4"/>
    <w:rsid w:val="48E74D97"/>
    <w:rsid w:val="48EBB8DF"/>
    <w:rsid w:val="48EC53BC"/>
    <w:rsid w:val="48F0D516"/>
    <w:rsid w:val="48F54D01"/>
    <w:rsid w:val="4901A2A7"/>
    <w:rsid w:val="4902BF02"/>
    <w:rsid w:val="490342A7"/>
    <w:rsid w:val="490539C1"/>
    <w:rsid w:val="4906E4E6"/>
    <w:rsid w:val="49070EF3"/>
    <w:rsid w:val="490CCB50"/>
    <w:rsid w:val="490E3EE9"/>
    <w:rsid w:val="49115527"/>
    <w:rsid w:val="4917D69A"/>
    <w:rsid w:val="49189551"/>
    <w:rsid w:val="491A4A64"/>
    <w:rsid w:val="491B047E"/>
    <w:rsid w:val="491E1D82"/>
    <w:rsid w:val="491F279D"/>
    <w:rsid w:val="4922AF92"/>
    <w:rsid w:val="4924EEA2"/>
    <w:rsid w:val="49271335"/>
    <w:rsid w:val="492D763D"/>
    <w:rsid w:val="492E18D1"/>
    <w:rsid w:val="492E229B"/>
    <w:rsid w:val="492E3638"/>
    <w:rsid w:val="49310627"/>
    <w:rsid w:val="4931B022"/>
    <w:rsid w:val="493203F8"/>
    <w:rsid w:val="49324A59"/>
    <w:rsid w:val="49333040"/>
    <w:rsid w:val="493A6E72"/>
    <w:rsid w:val="493C1CC1"/>
    <w:rsid w:val="49474C5B"/>
    <w:rsid w:val="494B44F1"/>
    <w:rsid w:val="494C9237"/>
    <w:rsid w:val="494ECCB5"/>
    <w:rsid w:val="49523D4A"/>
    <w:rsid w:val="49526BD7"/>
    <w:rsid w:val="495DDEC2"/>
    <w:rsid w:val="49611D10"/>
    <w:rsid w:val="49660B75"/>
    <w:rsid w:val="4966CC55"/>
    <w:rsid w:val="49696119"/>
    <w:rsid w:val="49696A2F"/>
    <w:rsid w:val="496BE5FD"/>
    <w:rsid w:val="496CCA12"/>
    <w:rsid w:val="496FC921"/>
    <w:rsid w:val="4970C800"/>
    <w:rsid w:val="4971DBA2"/>
    <w:rsid w:val="49726D49"/>
    <w:rsid w:val="4973891C"/>
    <w:rsid w:val="49748ED6"/>
    <w:rsid w:val="49756B9D"/>
    <w:rsid w:val="497606DB"/>
    <w:rsid w:val="4978508A"/>
    <w:rsid w:val="497C3F34"/>
    <w:rsid w:val="497D84CD"/>
    <w:rsid w:val="49827C9F"/>
    <w:rsid w:val="4983D83A"/>
    <w:rsid w:val="49859760"/>
    <w:rsid w:val="49860FA4"/>
    <w:rsid w:val="4986E402"/>
    <w:rsid w:val="4986E54C"/>
    <w:rsid w:val="4987A9FE"/>
    <w:rsid w:val="4987C293"/>
    <w:rsid w:val="49898513"/>
    <w:rsid w:val="498D07EB"/>
    <w:rsid w:val="49904F26"/>
    <w:rsid w:val="49907DC5"/>
    <w:rsid w:val="4991CA9D"/>
    <w:rsid w:val="499236B0"/>
    <w:rsid w:val="49928D5A"/>
    <w:rsid w:val="49943CCE"/>
    <w:rsid w:val="499E1725"/>
    <w:rsid w:val="499E3E79"/>
    <w:rsid w:val="49A20138"/>
    <w:rsid w:val="49A21D31"/>
    <w:rsid w:val="49A41B25"/>
    <w:rsid w:val="49A4CB83"/>
    <w:rsid w:val="49A5143E"/>
    <w:rsid w:val="49A5D696"/>
    <w:rsid w:val="49A81DED"/>
    <w:rsid w:val="49A8BB44"/>
    <w:rsid w:val="49ADEDAA"/>
    <w:rsid w:val="49B07A55"/>
    <w:rsid w:val="49B0D224"/>
    <w:rsid w:val="49B2C0C7"/>
    <w:rsid w:val="49B47E6A"/>
    <w:rsid w:val="49B75277"/>
    <w:rsid w:val="49B7AE10"/>
    <w:rsid w:val="49B81FA0"/>
    <w:rsid w:val="49BB24C5"/>
    <w:rsid w:val="49BC7B99"/>
    <w:rsid w:val="49BDB586"/>
    <w:rsid w:val="49C208FE"/>
    <w:rsid w:val="49C97EC0"/>
    <w:rsid w:val="49CA28C4"/>
    <w:rsid w:val="49CD8399"/>
    <w:rsid w:val="49CE52C8"/>
    <w:rsid w:val="49D0AF15"/>
    <w:rsid w:val="49D39C88"/>
    <w:rsid w:val="49D4CB32"/>
    <w:rsid w:val="49D9202B"/>
    <w:rsid w:val="49DBE031"/>
    <w:rsid w:val="49E27117"/>
    <w:rsid w:val="49E60599"/>
    <w:rsid w:val="49E609C8"/>
    <w:rsid w:val="49EA48F8"/>
    <w:rsid w:val="49EA4A03"/>
    <w:rsid w:val="49EBF7CC"/>
    <w:rsid w:val="49EDD564"/>
    <w:rsid w:val="49EE46E3"/>
    <w:rsid w:val="49EF0DFB"/>
    <w:rsid w:val="49F0E75A"/>
    <w:rsid w:val="49F68939"/>
    <w:rsid w:val="49F93367"/>
    <w:rsid w:val="49FC3A57"/>
    <w:rsid w:val="49FDD88A"/>
    <w:rsid w:val="49FE5199"/>
    <w:rsid w:val="4A0130B0"/>
    <w:rsid w:val="4A05616E"/>
    <w:rsid w:val="4A067772"/>
    <w:rsid w:val="4A0D5640"/>
    <w:rsid w:val="4A0E6133"/>
    <w:rsid w:val="4A128C8D"/>
    <w:rsid w:val="4A131099"/>
    <w:rsid w:val="4A141A62"/>
    <w:rsid w:val="4A17A35D"/>
    <w:rsid w:val="4A1B4C69"/>
    <w:rsid w:val="4A1B6118"/>
    <w:rsid w:val="4A1D9830"/>
    <w:rsid w:val="4A2023AB"/>
    <w:rsid w:val="4A2049D2"/>
    <w:rsid w:val="4A204F0A"/>
    <w:rsid w:val="4A20B733"/>
    <w:rsid w:val="4A2227A0"/>
    <w:rsid w:val="4A23DB65"/>
    <w:rsid w:val="4A265713"/>
    <w:rsid w:val="4A27DA5A"/>
    <w:rsid w:val="4A29A9E2"/>
    <w:rsid w:val="4A306519"/>
    <w:rsid w:val="4A3091C4"/>
    <w:rsid w:val="4A3190ED"/>
    <w:rsid w:val="4A38CEC9"/>
    <w:rsid w:val="4A3AEAB9"/>
    <w:rsid w:val="4A40AC89"/>
    <w:rsid w:val="4A41B918"/>
    <w:rsid w:val="4A41C760"/>
    <w:rsid w:val="4A42BCEC"/>
    <w:rsid w:val="4A42CBB4"/>
    <w:rsid w:val="4A465C73"/>
    <w:rsid w:val="4A473837"/>
    <w:rsid w:val="4A482D25"/>
    <w:rsid w:val="4A4E440E"/>
    <w:rsid w:val="4A4E7B94"/>
    <w:rsid w:val="4A519D49"/>
    <w:rsid w:val="4A51A19A"/>
    <w:rsid w:val="4A546720"/>
    <w:rsid w:val="4A55E097"/>
    <w:rsid w:val="4A562A09"/>
    <w:rsid w:val="4A56C6EB"/>
    <w:rsid w:val="4A5BF52D"/>
    <w:rsid w:val="4A5C321E"/>
    <w:rsid w:val="4A5CD4B8"/>
    <w:rsid w:val="4A6051F5"/>
    <w:rsid w:val="4A60F2A6"/>
    <w:rsid w:val="4A62E410"/>
    <w:rsid w:val="4A65C75C"/>
    <w:rsid w:val="4A675225"/>
    <w:rsid w:val="4A67A323"/>
    <w:rsid w:val="4A67EDCA"/>
    <w:rsid w:val="4A68DE20"/>
    <w:rsid w:val="4A68E838"/>
    <w:rsid w:val="4A74CDD2"/>
    <w:rsid w:val="4A7692AF"/>
    <w:rsid w:val="4A7B74BB"/>
    <w:rsid w:val="4A7BA33F"/>
    <w:rsid w:val="4A7D1199"/>
    <w:rsid w:val="4A7E1A94"/>
    <w:rsid w:val="4A7EC2F1"/>
    <w:rsid w:val="4A7F0FE9"/>
    <w:rsid w:val="4A80B8D9"/>
    <w:rsid w:val="4A837CAC"/>
    <w:rsid w:val="4A83D252"/>
    <w:rsid w:val="4A864C4E"/>
    <w:rsid w:val="4A896B4C"/>
    <w:rsid w:val="4A898CEB"/>
    <w:rsid w:val="4A89CD19"/>
    <w:rsid w:val="4A8E5E0D"/>
    <w:rsid w:val="4A8F7504"/>
    <w:rsid w:val="4A912FDE"/>
    <w:rsid w:val="4A94197F"/>
    <w:rsid w:val="4A957355"/>
    <w:rsid w:val="4A9AF37C"/>
    <w:rsid w:val="4A9C7EBB"/>
    <w:rsid w:val="4A9CEF33"/>
    <w:rsid w:val="4A9EEE0E"/>
    <w:rsid w:val="4AA23E4A"/>
    <w:rsid w:val="4AA552B3"/>
    <w:rsid w:val="4AA74C4C"/>
    <w:rsid w:val="4AAB0EA6"/>
    <w:rsid w:val="4AAB513E"/>
    <w:rsid w:val="4AAB8385"/>
    <w:rsid w:val="4AAC4B9D"/>
    <w:rsid w:val="4AAE90FE"/>
    <w:rsid w:val="4AAEC485"/>
    <w:rsid w:val="4AB07889"/>
    <w:rsid w:val="4AB203DF"/>
    <w:rsid w:val="4AB2A445"/>
    <w:rsid w:val="4ABB9181"/>
    <w:rsid w:val="4ABC9770"/>
    <w:rsid w:val="4AC0BF65"/>
    <w:rsid w:val="4AC1A198"/>
    <w:rsid w:val="4AC2AF63"/>
    <w:rsid w:val="4AC55C2C"/>
    <w:rsid w:val="4AC64F3F"/>
    <w:rsid w:val="4AC68DBC"/>
    <w:rsid w:val="4AC907D6"/>
    <w:rsid w:val="4AC9935D"/>
    <w:rsid w:val="4ACB1522"/>
    <w:rsid w:val="4AD1C8F9"/>
    <w:rsid w:val="4AD42961"/>
    <w:rsid w:val="4AD90E51"/>
    <w:rsid w:val="4AD9E065"/>
    <w:rsid w:val="4AD9EF45"/>
    <w:rsid w:val="4ADED67D"/>
    <w:rsid w:val="4AE1E225"/>
    <w:rsid w:val="4AE2D787"/>
    <w:rsid w:val="4AE4403D"/>
    <w:rsid w:val="4AE6D3C6"/>
    <w:rsid w:val="4AE6E896"/>
    <w:rsid w:val="4AE7387D"/>
    <w:rsid w:val="4AE99337"/>
    <w:rsid w:val="4AED3723"/>
    <w:rsid w:val="4AEE8E01"/>
    <w:rsid w:val="4AF247A3"/>
    <w:rsid w:val="4AFD66E2"/>
    <w:rsid w:val="4B016A31"/>
    <w:rsid w:val="4B092A5E"/>
    <w:rsid w:val="4B0B3F5F"/>
    <w:rsid w:val="4B0BD46E"/>
    <w:rsid w:val="4B10637D"/>
    <w:rsid w:val="4B1495A3"/>
    <w:rsid w:val="4B14A9F2"/>
    <w:rsid w:val="4B16731A"/>
    <w:rsid w:val="4B167AEB"/>
    <w:rsid w:val="4B170A02"/>
    <w:rsid w:val="4B17F6BC"/>
    <w:rsid w:val="4B193444"/>
    <w:rsid w:val="4B1D30C6"/>
    <w:rsid w:val="4B1DD31F"/>
    <w:rsid w:val="4B22286A"/>
    <w:rsid w:val="4B22D088"/>
    <w:rsid w:val="4B24690A"/>
    <w:rsid w:val="4B250D50"/>
    <w:rsid w:val="4B283F81"/>
    <w:rsid w:val="4B2D3D77"/>
    <w:rsid w:val="4B2D5137"/>
    <w:rsid w:val="4B2F4E14"/>
    <w:rsid w:val="4B374319"/>
    <w:rsid w:val="4B3B496A"/>
    <w:rsid w:val="4B3C115C"/>
    <w:rsid w:val="4B3E3ECE"/>
    <w:rsid w:val="4B3F7C53"/>
    <w:rsid w:val="4B3F9271"/>
    <w:rsid w:val="4B3FC941"/>
    <w:rsid w:val="4B404954"/>
    <w:rsid w:val="4B412716"/>
    <w:rsid w:val="4B42393B"/>
    <w:rsid w:val="4B435B4A"/>
    <w:rsid w:val="4B44931E"/>
    <w:rsid w:val="4B458B86"/>
    <w:rsid w:val="4B465723"/>
    <w:rsid w:val="4B48159D"/>
    <w:rsid w:val="4B487C47"/>
    <w:rsid w:val="4B4A8EC4"/>
    <w:rsid w:val="4B4AC1BC"/>
    <w:rsid w:val="4B4ED433"/>
    <w:rsid w:val="4B4F18F3"/>
    <w:rsid w:val="4B4F366F"/>
    <w:rsid w:val="4B5058F1"/>
    <w:rsid w:val="4B5177A4"/>
    <w:rsid w:val="4B54A76B"/>
    <w:rsid w:val="4B54E506"/>
    <w:rsid w:val="4B56E005"/>
    <w:rsid w:val="4B5A7C50"/>
    <w:rsid w:val="4B5B2B88"/>
    <w:rsid w:val="4B65F533"/>
    <w:rsid w:val="4B68971C"/>
    <w:rsid w:val="4B7191F5"/>
    <w:rsid w:val="4B71EF92"/>
    <w:rsid w:val="4B724098"/>
    <w:rsid w:val="4B73C50F"/>
    <w:rsid w:val="4B772287"/>
    <w:rsid w:val="4B7846D6"/>
    <w:rsid w:val="4B785296"/>
    <w:rsid w:val="4B79B360"/>
    <w:rsid w:val="4B7A6CF5"/>
    <w:rsid w:val="4B7AC21B"/>
    <w:rsid w:val="4B7D3965"/>
    <w:rsid w:val="4B82C58C"/>
    <w:rsid w:val="4B83A191"/>
    <w:rsid w:val="4B849C0C"/>
    <w:rsid w:val="4B867F9E"/>
    <w:rsid w:val="4B87AA12"/>
    <w:rsid w:val="4B8DE73C"/>
    <w:rsid w:val="4B8ED55F"/>
    <w:rsid w:val="4B8FD49F"/>
    <w:rsid w:val="4B8FE7F5"/>
    <w:rsid w:val="4B919596"/>
    <w:rsid w:val="4B964153"/>
    <w:rsid w:val="4B9DA307"/>
    <w:rsid w:val="4B9EFD79"/>
    <w:rsid w:val="4BA0326A"/>
    <w:rsid w:val="4BA68D3D"/>
    <w:rsid w:val="4BAF410A"/>
    <w:rsid w:val="4BB02C54"/>
    <w:rsid w:val="4BB0703C"/>
    <w:rsid w:val="4BB15783"/>
    <w:rsid w:val="4BB18A01"/>
    <w:rsid w:val="4BB37881"/>
    <w:rsid w:val="4BB48DD9"/>
    <w:rsid w:val="4BB6EC89"/>
    <w:rsid w:val="4BB8DF47"/>
    <w:rsid w:val="4BBB8098"/>
    <w:rsid w:val="4BBDC39A"/>
    <w:rsid w:val="4BC263DB"/>
    <w:rsid w:val="4BC32540"/>
    <w:rsid w:val="4BC34815"/>
    <w:rsid w:val="4BC94D92"/>
    <w:rsid w:val="4BC9F2E0"/>
    <w:rsid w:val="4BCE13D6"/>
    <w:rsid w:val="4BD02782"/>
    <w:rsid w:val="4BD07F4C"/>
    <w:rsid w:val="4BD0F1AA"/>
    <w:rsid w:val="4BD1B1F0"/>
    <w:rsid w:val="4BD1F943"/>
    <w:rsid w:val="4BD2E15D"/>
    <w:rsid w:val="4BD30D9E"/>
    <w:rsid w:val="4BD41A84"/>
    <w:rsid w:val="4BD4D785"/>
    <w:rsid w:val="4BD783EA"/>
    <w:rsid w:val="4BD9A20A"/>
    <w:rsid w:val="4BDB9155"/>
    <w:rsid w:val="4BDC1B5B"/>
    <w:rsid w:val="4BDC9B48"/>
    <w:rsid w:val="4BDEEA33"/>
    <w:rsid w:val="4BDFFB7D"/>
    <w:rsid w:val="4BE01006"/>
    <w:rsid w:val="4BE160D4"/>
    <w:rsid w:val="4BE1B852"/>
    <w:rsid w:val="4BE51556"/>
    <w:rsid w:val="4BF2B745"/>
    <w:rsid w:val="4BF35179"/>
    <w:rsid w:val="4BF37EEB"/>
    <w:rsid w:val="4BF41ABB"/>
    <w:rsid w:val="4BF68620"/>
    <w:rsid w:val="4BF8B294"/>
    <w:rsid w:val="4BF8F11D"/>
    <w:rsid w:val="4BFBF0EB"/>
    <w:rsid w:val="4BFD0F60"/>
    <w:rsid w:val="4BFD46C3"/>
    <w:rsid w:val="4BFE4C97"/>
    <w:rsid w:val="4C0153C3"/>
    <w:rsid w:val="4C01EF5A"/>
    <w:rsid w:val="4C025392"/>
    <w:rsid w:val="4C0481A8"/>
    <w:rsid w:val="4C04CC67"/>
    <w:rsid w:val="4C065A42"/>
    <w:rsid w:val="4C0A2DAD"/>
    <w:rsid w:val="4C0AAE3C"/>
    <w:rsid w:val="4C0B9095"/>
    <w:rsid w:val="4C0C370D"/>
    <w:rsid w:val="4C0EFA12"/>
    <w:rsid w:val="4C144E1E"/>
    <w:rsid w:val="4C1566CD"/>
    <w:rsid w:val="4C193FBD"/>
    <w:rsid w:val="4C1B72FE"/>
    <w:rsid w:val="4C1BB674"/>
    <w:rsid w:val="4C1F72F8"/>
    <w:rsid w:val="4C20BDEF"/>
    <w:rsid w:val="4C214E30"/>
    <w:rsid w:val="4C2617B5"/>
    <w:rsid w:val="4C2AF243"/>
    <w:rsid w:val="4C3214E8"/>
    <w:rsid w:val="4C3345D2"/>
    <w:rsid w:val="4C36D5FE"/>
    <w:rsid w:val="4C386C98"/>
    <w:rsid w:val="4C38DAAE"/>
    <w:rsid w:val="4C39F015"/>
    <w:rsid w:val="4C3BB011"/>
    <w:rsid w:val="4C41F0D3"/>
    <w:rsid w:val="4C4339B2"/>
    <w:rsid w:val="4C461AE5"/>
    <w:rsid w:val="4C467F76"/>
    <w:rsid w:val="4C4CAC47"/>
    <w:rsid w:val="4C4DCF0C"/>
    <w:rsid w:val="4C50CC5E"/>
    <w:rsid w:val="4C526340"/>
    <w:rsid w:val="4C5447CE"/>
    <w:rsid w:val="4C54D396"/>
    <w:rsid w:val="4C54F11A"/>
    <w:rsid w:val="4C594451"/>
    <w:rsid w:val="4C5BD22E"/>
    <w:rsid w:val="4C5CFE1C"/>
    <w:rsid w:val="4C613659"/>
    <w:rsid w:val="4C65EF59"/>
    <w:rsid w:val="4C66A2D7"/>
    <w:rsid w:val="4C677B05"/>
    <w:rsid w:val="4C678566"/>
    <w:rsid w:val="4C68DA3B"/>
    <w:rsid w:val="4C69B68A"/>
    <w:rsid w:val="4C6A21FD"/>
    <w:rsid w:val="4C77D24D"/>
    <w:rsid w:val="4C77F4E4"/>
    <w:rsid w:val="4C7CBA34"/>
    <w:rsid w:val="4C833C68"/>
    <w:rsid w:val="4C83B7CF"/>
    <w:rsid w:val="4C878C51"/>
    <w:rsid w:val="4C89B17B"/>
    <w:rsid w:val="4C8A1727"/>
    <w:rsid w:val="4C8A4C19"/>
    <w:rsid w:val="4C8EC323"/>
    <w:rsid w:val="4C8F2F5D"/>
    <w:rsid w:val="4C93A8A4"/>
    <w:rsid w:val="4C953E14"/>
    <w:rsid w:val="4C97DC37"/>
    <w:rsid w:val="4C988622"/>
    <w:rsid w:val="4C9C2967"/>
    <w:rsid w:val="4C9C2FE7"/>
    <w:rsid w:val="4C9FAC75"/>
    <w:rsid w:val="4CA34191"/>
    <w:rsid w:val="4CA378B7"/>
    <w:rsid w:val="4CA3E963"/>
    <w:rsid w:val="4CA4426C"/>
    <w:rsid w:val="4CA6CA8B"/>
    <w:rsid w:val="4CA91401"/>
    <w:rsid w:val="4CAA7A5E"/>
    <w:rsid w:val="4CAB2E0A"/>
    <w:rsid w:val="4CAC99DD"/>
    <w:rsid w:val="4CAD50A4"/>
    <w:rsid w:val="4CB1BE15"/>
    <w:rsid w:val="4CB36B24"/>
    <w:rsid w:val="4CB6C537"/>
    <w:rsid w:val="4CBE1726"/>
    <w:rsid w:val="4CC00117"/>
    <w:rsid w:val="4CC0279C"/>
    <w:rsid w:val="4CC2D235"/>
    <w:rsid w:val="4CC697F2"/>
    <w:rsid w:val="4CCC54E2"/>
    <w:rsid w:val="4CCE1EB9"/>
    <w:rsid w:val="4CD529B1"/>
    <w:rsid w:val="4CD5343F"/>
    <w:rsid w:val="4CDEE905"/>
    <w:rsid w:val="4CE240ED"/>
    <w:rsid w:val="4CE2EC6F"/>
    <w:rsid w:val="4CE2F860"/>
    <w:rsid w:val="4CE59C44"/>
    <w:rsid w:val="4CE62F15"/>
    <w:rsid w:val="4CE6C8A0"/>
    <w:rsid w:val="4CE735C8"/>
    <w:rsid w:val="4CE73F67"/>
    <w:rsid w:val="4CE8737C"/>
    <w:rsid w:val="4CEA2ED5"/>
    <w:rsid w:val="4CEC9A3A"/>
    <w:rsid w:val="4CF1584C"/>
    <w:rsid w:val="4CF1C61A"/>
    <w:rsid w:val="4CF5E55B"/>
    <w:rsid w:val="4CF67561"/>
    <w:rsid w:val="4CF80B75"/>
    <w:rsid w:val="4CF8BA5E"/>
    <w:rsid w:val="4CFB8818"/>
    <w:rsid w:val="4CFF9368"/>
    <w:rsid w:val="4CFFB580"/>
    <w:rsid w:val="4CFFD16F"/>
    <w:rsid w:val="4D008C18"/>
    <w:rsid w:val="4D036D4B"/>
    <w:rsid w:val="4D03B876"/>
    <w:rsid w:val="4D03D222"/>
    <w:rsid w:val="4D06A799"/>
    <w:rsid w:val="4D097EAA"/>
    <w:rsid w:val="4D0FF70A"/>
    <w:rsid w:val="4D10C20E"/>
    <w:rsid w:val="4D112CDA"/>
    <w:rsid w:val="4D123B8E"/>
    <w:rsid w:val="4D12DA65"/>
    <w:rsid w:val="4D1381A8"/>
    <w:rsid w:val="4D14C9FD"/>
    <w:rsid w:val="4D19CC56"/>
    <w:rsid w:val="4D1A3C3B"/>
    <w:rsid w:val="4D1B1183"/>
    <w:rsid w:val="4D1D93B4"/>
    <w:rsid w:val="4D1F825F"/>
    <w:rsid w:val="4D2151E8"/>
    <w:rsid w:val="4D25355A"/>
    <w:rsid w:val="4D263964"/>
    <w:rsid w:val="4D268CF9"/>
    <w:rsid w:val="4D2776FE"/>
    <w:rsid w:val="4D27B44C"/>
    <w:rsid w:val="4D285CAE"/>
    <w:rsid w:val="4D288D98"/>
    <w:rsid w:val="4D2C6449"/>
    <w:rsid w:val="4D2F864C"/>
    <w:rsid w:val="4D3100B4"/>
    <w:rsid w:val="4D31D21A"/>
    <w:rsid w:val="4D3805F4"/>
    <w:rsid w:val="4D3AF8CD"/>
    <w:rsid w:val="4D3B9002"/>
    <w:rsid w:val="4D3DA1D8"/>
    <w:rsid w:val="4D3DC694"/>
    <w:rsid w:val="4D3FC353"/>
    <w:rsid w:val="4D40287B"/>
    <w:rsid w:val="4D42CB93"/>
    <w:rsid w:val="4D49E441"/>
    <w:rsid w:val="4D4DE91B"/>
    <w:rsid w:val="4D4EEFE5"/>
    <w:rsid w:val="4D513BED"/>
    <w:rsid w:val="4D5459E2"/>
    <w:rsid w:val="4D55C057"/>
    <w:rsid w:val="4D5B1A20"/>
    <w:rsid w:val="4D5E605E"/>
    <w:rsid w:val="4D60EC18"/>
    <w:rsid w:val="4D613DBB"/>
    <w:rsid w:val="4D61F39D"/>
    <w:rsid w:val="4D638A9C"/>
    <w:rsid w:val="4D64A685"/>
    <w:rsid w:val="4D6A2FAF"/>
    <w:rsid w:val="4D6BB35A"/>
    <w:rsid w:val="4D6E7451"/>
    <w:rsid w:val="4D6EBF3B"/>
    <w:rsid w:val="4D6FF4EA"/>
    <w:rsid w:val="4D7442DA"/>
    <w:rsid w:val="4D764619"/>
    <w:rsid w:val="4D78DB65"/>
    <w:rsid w:val="4D7A74F5"/>
    <w:rsid w:val="4D7D2650"/>
    <w:rsid w:val="4D7E86C7"/>
    <w:rsid w:val="4D820E60"/>
    <w:rsid w:val="4D84DC56"/>
    <w:rsid w:val="4D86C847"/>
    <w:rsid w:val="4D8802AA"/>
    <w:rsid w:val="4D8EF45B"/>
    <w:rsid w:val="4D909627"/>
    <w:rsid w:val="4D929B65"/>
    <w:rsid w:val="4D959F23"/>
    <w:rsid w:val="4D96E326"/>
    <w:rsid w:val="4D97167B"/>
    <w:rsid w:val="4D9B903F"/>
    <w:rsid w:val="4D9F67C6"/>
    <w:rsid w:val="4D9F6838"/>
    <w:rsid w:val="4DA2B484"/>
    <w:rsid w:val="4DA3B9FB"/>
    <w:rsid w:val="4DB28A62"/>
    <w:rsid w:val="4DB4E18A"/>
    <w:rsid w:val="4DB635AA"/>
    <w:rsid w:val="4DB67371"/>
    <w:rsid w:val="4DB97CA5"/>
    <w:rsid w:val="4DB98F31"/>
    <w:rsid w:val="4DBD049B"/>
    <w:rsid w:val="4DC0C0C5"/>
    <w:rsid w:val="4DC0F94B"/>
    <w:rsid w:val="4DC1535C"/>
    <w:rsid w:val="4DC2785B"/>
    <w:rsid w:val="4DC298EB"/>
    <w:rsid w:val="4DC45564"/>
    <w:rsid w:val="4DC915A4"/>
    <w:rsid w:val="4DCB8A2E"/>
    <w:rsid w:val="4DCFCCCD"/>
    <w:rsid w:val="4DD08CF0"/>
    <w:rsid w:val="4DD319BF"/>
    <w:rsid w:val="4DD4F540"/>
    <w:rsid w:val="4DD606DF"/>
    <w:rsid w:val="4DDC4B89"/>
    <w:rsid w:val="4DE3AAF0"/>
    <w:rsid w:val="4DE517D2"/>
    <w:rsid w:val="4DE53B67"/>
    <w:rsid w:val="4DE62737"/>
    <w:rsid w:val="4DE8CA97"/>
    <w:rsid w:val="4DEC98AB"/>
    <w:rsid w:val="4DEDFF37"/>
    <w:rsid w:val="4DF066B5"/>
    <w:rsid w:val="4DF2C969"/>
    <w:rsid w:val="4DF2D6DD"/>
    <w:rsid w:val="4DF69230"/>
    <w:rsid w:val="4DF96E5E"/>
    <w:rsid w:val="4E012F07"/>
    <w:rsid w:val="4E023102"/>
    <w:rsid w:val="4E03E9DF"/>
    <w:rsid w:val="4E05E8AC"/>
    <w:rsid w:val="4E07113A"/>
    <w:rsid w:val="4E075181"/>
    <w:rsid w:val="4E07E013"/>
    <w:rsid w:val="4E089031"/>
    <w:rsid w:val="4E0C8AE3"/>
    <w:rsid w:val="4E12E26F"/>
    <w:rsid w:val="4E16BC9D"/>
    <w:rsid w:val="4E19F72F"/>
    <w:rsid w:val="4E1A7BAF"/>
    <w:rsid w:val="4E1F99C5"/>
    <w:rsid w:val="4E216074"/>
    <w:rsid w:val="4E29265F"/>
    <w:rsid w:val="4E2A2E55"/>
    <w:rsid w:val="4E2A55AB"/>
    <w:rsid w:val="4E2CB9D3"/>
    <w:rsid w:val="4E326DAA"/>
    <w:rsid w:val="4E355707"/>
    <w:rsid w:val="4E371928"/>
    <w:rsid w:val="4E3B45A7"/>
    <w:rsid w:val="4E405C66"/>
    <w:rsid w:val="4E43D27D"/>
    <w:rsid w:val="4E45009A"/>
    <w:rsid w:val="4E46009A"/>
    <w:rsid w:val="4E467EDC"/>
    <w:rsid w:val="4E48A713"/>
    <w:rsid w:val="4E49D9CE"/>
    <w:rsid w:val="4E4C51E3"/>
    <w:rsid w:val="4E4E60AF"/>
    <w:rsid w:val="4E53F86A"/>
    <w:rsid w:val="4E54190A"/>
    <w:rsid w:val="4E548805"/>
    <w:rsid w:val="4E551D77"/>
    <w:rsid w:val="4E55B45F"/>
    <w:rsid w:val="4E56700F"/>
    <w:rsid w:val="4E57FA91"/>
    <w:rsid w:val="4E5827D2"/>
    <w:rsid w:val="4E59DEEF"/>
    <w:rsid w:val="4E5A2C8A"/>
    <w:rsid w:val="4E5B515A"/>
    <w:rsid w:val="4E5BCA54"/>
    <w:rsid w:val="4E5F9AEA"/>
    <w:rsid w:val="4E5FEAA3"/>
    <w:rsid w:val="4E60783E"/>
    <w:rsid w:val="4E614857"/>
    <w:rsid w:val="4E649205"/>
    <w:rsid w:val="4E672C36"/>
    <w:rsid w:val="4E678C58"/>
    <w:rsid w:val="4E68573E"/>
    <w:rsid w:val="4E6A0A3C"/>
    <w:rsid w:val="4E6E9BF4"/>
    <w:rsid w:val="4E70CE4E"/>
    <w:rsid w:val="4E711016"/>
    <w:rsid w:val="4E766E45"/>
    <w:rsid w:val="4E776157"/>
    <w:rsid w:val="4E778DC8"/>
    <w:rsid w:val="4E78B47A"/>
    <w:rsid w:val="4E79A36D"/>
    <w:rsid w:val="4E7A1D45"/>
    <w:rsid w:val="4E84C5D7"/>
    <w:rsid w:val="4E852F3E"/>
    <w:rsid w:val="4E87FB20"/>
    <w:rsid w:val="4E8B6952"/>
    <w:rsid w:val="4E8C3030"/>
    <w:rsid w:val="4E8DE853"/>
    <w:rsid w:val="4E8F9206"/>
    <w:rsid w:val="4E99686D"/>
    <w:rsid w:val="4E9A2D05"/>
    <w:rsid w:val="4E9CD9CC"/>
    <w:rsid w:val="4E9D5985"/>
    <w:rsid w:val="4EA04B5D"/>
    <w:rsid w:val="4EA09831"/>
    <w:rsid w:val="4EA1B86A"/>
    <w:rsid w:val="4EA1BD2A"/>
    <w:rsid w:val="4EA3A12B"/>
    <w:rsid w:val="4EA40D31"/>
    <w:rsid w:val="4EA4B75F"/>
    <w:rsid w:val="4EA4D041"/>
    <w:rsid w:val="4EAC7603"/>
    <w:rsid w:val="4EAE0328"/>
    <w:rsid w:val="4EAE90DE"/>
    <w:rsid w:val="4EAF2991"/>
    <w:rsid w:val="4EB018F9"/>
    <w:rsid w:val="4EB11FD0"/>
    <w:rsid w:val="4EB34A1B"/>
    <w:rsid w:val="4EB4B20B"/>
    <w:rsid w:val="4EB81003"/>
    <w:rsid w:val="4EB81AD0"/>
    <w:rsid w:val="4EB82BA8"/>
    <w:rsid w:val="4EBE311F"/>
    <w:rsid w:val="4EC03529"/>
    <w:rsid w:val="4EC518BF"/>
    <w:rsid w:val="4EC60433"/>
    <w:rsid w:val="4EC7EBF4"/>
    <w:rsid w:val="4EC7FD12"/>
    <w:rsid w:val="4EC836BC"/>
    <w:rsid w:val="4EC85DC6"/>
    <w:rsid w:val="4EC8D1D6"/>
    <w:rsid w:val="4ECE4A1C"/>
    <w:rsid w:val="4ECF046B"/>
    <w:rsid w:val="4ED1C196"/>
    <w:rsid w:val="4ED24117"/>
    <w:rsid w:val="4ED27BE3"/>
    <w:rsid w:val="4ED45507"/>
    <w:rsid w:val="4ED45950"/>
    <w:rsid w:val="4ED65680"/>
    <w:rsid w:val="4ED7C713"/>
    <w:rsid w:val="4ED7D65D"/>
    <w:rsid w:val="4EDA947D"/>
    <w:rsid w:val="4EDAB51A"/>
    <w:rsid w:val="4EDB1D8B"/>
    <w:rsid w:val="4EDD385C"/>
    <w:rsid w:val="4EDDE246"/>
    <w:rsid w:val="4EE26D6B"/>
    <w:rsid w:val="4EE389E5"/>
    <w:rsid w:val="4EE9B6A8"/>
    <w:rsid w:val="4EE9FF6F"/>
    <w:rsid w:val="4EEC01B9"/>
    <w:rsid w:val="4EEE884F"/>
    <w:rsid w:val="4EF102ED"/>
    <w:rsid w:val="4EF1C99C"/>
    <w:rsid w:val="4EF21AAF"/>
    <w:rsid w:val="4EF3005B"/>
    <w:rsid w:val="4EF7F538"/>
    <w:rsid w:val="4EF93613"/>
    <w:rsid w:val="4EFD865B"/>
    <w:rsid w:val="4EFF0BC1"/>
    <w:rsid w:val="4F01EA6F"/>
    <w:rsid w:val="4F024323"/>
    <w:rsid w:val="4F04A92A"/>
    <w:rsid w:val="4F051A8A"/>
    <w:rsid w:val="4F0680EF"/>
    <w:rsid w:val="4F06CA35"/>
    <w:rsid w:val="4F0A685C"/>
    <w:rsid w:val="4F0ADB4E"/>
    <w:rsid w:val="4F0BCCE2"/>
    <w:rsid w:val="4F133B52"/>
    <w:rsid w:val="4F1434E7"/>
    <w:rsid w:val="4F1649E9"/>
    <w:rsid w:val="4F1942B4"/>
    <w:rsid w:val="4F19CC1D"/>
    <w:rsid w:val="4F1B44C9"/>
    <w:rsid w:val="4F1DACC6"/>
    <w:rsid w:val="4F1F40AC"/>
    <w:rsid w:val="4F212440"/>
    <w:rsid w:val="4F2229AD"/>
    <w:rsid w:val="4F24455F"/>
    <w:rsid w:val="4F2483EB"/>
    <w:rsid w:val="4F27104C"/>
    <w:rsid w:val="4F28BE65"/>
    <w:rsid w:val="4F2A36D4"/>
    <w:rsid w:val="4F2B01A4"/>
    <w:rsid w:val="4F2B9239"/>
    <w:rsid w:val="4F2B9B2B"/>
    <w:rsid w:val="4F30A88B"/>
    <w:rsid w:val="4F314FDE"/>
    <w:rsid w:val="4F35EEB7"/>
    <w:rsid w:val="4F3664EC"/>
    <w:rsid w:val="4F366902"/>
    <w:rsid w:val="4F3E74F0"/>
    <w:rsid w:val="4F4071AF"/>
    <w:rsid w:val="4F43B74E"/>
    <w:rsid w:val="4F440489"/>
    <w:rsid w:val="4F45C95E"/>
    <w:rsid w:val="4F477588"/>
    <w:rsid w:val="4F4AA50D"/>
    <w:rsid w:val="4F4B4183"/>
    <w:rsid w:val="4F4D26EE"/>
    <w:rsid w:val="4F4F01C4"/>
    <w:rsid w:val="4F502AA0"/>
    <w:rsid w:val="4F505493"/>
    <w:rsid w:val="4F5074DB"/>
    <w:rsid w:val="4F50B300"/>
    <w:rsid w:val="4F51086A"/>
    <w:rsid w:val="4F512442"/>
    <w:rsid w:val="4F51A163"/>
    <w:rsid w:val="4F5948D2"/>
    <w:rsid w:val="4F5B913C"/>
    <w:rsid w:val="4F5E3E5B"/>
    <w:rsid w:val="4F5ED085"/>
    <w:rsid w:val="4F5EF2F8"/>
    <w:rsid w:val="4F5F7878"/>
    <w:rsid w:val="4F613CBE"/>
    <w:rsid w:val="4F625083"/>
    <w:rsid w:val="4F657D4D"/>
    <w:rsid w:val="4F65D724"/>
    <w:rsid w:val="4F66C7B9"/>
    <w:rsid w:val="4F6C6DA7"/>
    <w:rsid w:val="4F6FF96A"/>
    <w:rsid w:val="4F70B686"/>
    <w:rsid w:val="4F73ADB9"/>
    <w:rsid w:val="4F75851F"/>
    <w:rsid w:val="4F7587D9"/>
    <w:rsid w:val="4F76977B"/>
    <w:rsid w:val="4F7EA56F"/>
    <w:rsid w:val="4F820E30"/>
    <w:rsid w:val="4F85A673"/>
    <w:rsid w:val="4F884964"/>
    <w:rsid w:val="4F897351"/>
    <w:rsid w:val="4F89D335"/>
    <w:rsid w:val="4F8EAB18"/>
    <w:rsid w:val="4F8FEBB3"/>
    <w:rsid w:val="4F9134CC"/>
    <w:rsid w:val="4F9245C8"/>
    <w:rsid w:val="4F937654"/>
    <w:rsid w:val="4F9789A5"/>
    <w:rsid w:val="4F9B50FF"/>
    <w:rsid w:val="4F9D7E60"/>
    <w:rsid w:val="4F9EA035"/>
    <w:rsid w:val="4FA0D15C"/>
    <w:rsid w:val="4FA5E2D4"/>
    <w:rsid w:val="4FA6E8ED"/>
    <w:rsid w:val="4FA70A18"/>
    <w:rsid w:val="4FA712D6"/>
    <w:rsid w:val="4FA7182E"/>
    <w:rsid w:val="4FABB84D"/>
    <w:rsid w:val="4FAD8551"/>
    <w:rsid w:val="4FAE4D15"/>
    <w:rsid w:val="4FAE884F"/>
    <w:rsid w:val="4FB01CDC"/>
    <w:rsid w:val="4FB19C5A"/>
    <w:rsid w:val="4FB2EE72"/>
    <w:rsid w:val="4FB3CAD5"/>
    <w:rsid w:val="4FB4234C"/>
    <w:rsid w:val="4FB4D088"/>
    <w:rsid w:val="4FB4E9B0"/>
    <w:rsid w:val="4FBA2B8F"/>
    <w:rsid w:val="4FBA441F"/>
    <w:rsid w:val="4FBD0E76"/>
    <w:rsid w:val="4FBD4E52"/>
    <w:rsid w:val="4FBDEF42"/>
    <w:rsid w:val="4FC0551A"/>
    <w:rsid w:val="4FC94FB9"/>
    <w:rsid w:val="4FCFE5A1"/>
    <w:rsid w:val="4FD33714"/>
    <w:rsid w:val="4FD6495A"/>
    <w:rsid w:val="4FD80002"/>
    <w:rsid w:val="4FDD0145"/>
    <w:rsid w:val="4FDE4A07"/>
    <w:rsid w:val="4FDE8A98"/>
    <w:rsid w:val="4FE0EBD2"/>
    <w:rsid w:val="4FE14496"/>
    <w:rsid w:val="4FE1BDBC"/>
    <w:rsid w:val="4FE2115D"/>
    <w:rsid w:val="4FE2C02F"/>
    <w:rsid w:val="4FE57B4B"/>
    <w:rsid w:val="4FE5BE4A"/>
    <w:rsid w:val="4FE946A9"/>
    <w:rsid w:val="4FEA50DB"/>
    <w:rsid w:val="4FEAAFF7"/>
    <w:rsid w:val="4FEB1904"/>
    <w:rsid w:val="4FEC3228"/>
    <w:rsid w:val="4FEE8755"/>
    <w:rsid w:val="4FF68698"/>
    <w:rsid w:val="4FF6C350"/>
    <w:rsid w:val="4FF70843"/>
    <w:rsid w:val="4FFA6D0F"/>
    <w:rsid w:val="4FFA9451"/>
    <w:rsid w:val="4FFD4BD5"/>
    <w:rsid w:val="500134A2"/>
    <w:rsid w:val="5001D067"/>
    <w:rsid w:val="5004CA09"/>
    <w:rsid w:val="500AB6F9"/>
    <w:rsid w:val="500CA797"/>
    <w:rsid w:val="50160E82"/>
    <w:rsid w:val="5016F07C"/>
    <w:rsid w:val="5017995E"/>
    <w:rsid w:val="5018F97F"/>
    <w:rsid w:val="5019D989"/>
    <w:rsid w:val="501A1944"/>
    <w:rsid w:val="501A419E"/>
    <w:rsid w:val="501A5E5D"/>
    <w:rsid w:val="501D6398"/>
    <w:rsid w:val="501E5697"/>
    <w:rsid w:val="501EE120"/>
    <w:rsid w:val="501F2FC6"/>
    <w:rsid w:val="50209CFC"/>
    <w:rsid w:val="5025E48F"/>
    <w:rsid w:val="5026CE7E"/>
    <w:rsid w:val="502BA5DC"/>
    <w:rsid w:val="502D2CB1"/>
    <w:rsid w:val="50304537"/>
    <w:rsid w:val="5031EF27"/>
    <w:rsid w:val="5033CEA1"/>
    <w:rsid w:val="503584E7"/>
    <w:rsid w:val="503B9C97"/>
    <w:rsid w:val="503DEA5C"/>
    <w:rsid w:val="5040D057"/>
    <w:rsid w:val="50445D25"/>
    <w:rsid w:val="5048895E"/>
    <w:rsid w:val="504B9176"/>
    <w:rsid w:val="504CE310"/>
    <w:rsid w:val="504E3B94"/>
    <w:rsid w:val="504F4FC2"/>
    <w:rsid w:val="5051082D"/>
    <w:rsid w:val="50510AE9"/>
    <w:rsid w:val="5053FEA3"/>
    <w:rsid w:val="505CB966"/>
    <w:rsid w:val="50605C40"/>
    <w:rsid w:val="50626F39"/>
    <w:rsid w:val="50636FBB"/>
    <w:rsid w:val="5063C52C"/>
    <w:rsid w:val="506629B3"/>
    <w:rsid w:val="5066AC44"/>
    <w:rsid w:val="5068AAC5"/>
    <w:rsid w:val="5068C989"/>
    <w:rsid w:val="506D9496"/>
    <w:rsid w:val="506DF1B9"/>
    <w:rsid w:val="506EF8FF"/>
    <w:rsid w:val="506F9D70"/>
    <w:rsid w:val="506FE994"/>
    <w:rsid w:val="507239E4"/>
    <w:rsid w:val="5074BE1D"/>
    <w:rsid w:val="50757F42"/>
    <w:rsid w:val="50763272"/>
    <w:rsid w:val="5076F305"/>
    <w:rsid w:val="5076FE77"/>
    <w:rsid w:val="507890E5"/>
    <w:rsid w:val="50795093"/>
    <w:rsid w:val="507C1AFD"/>
    <w:rsid w:val="507D3395"/>
    <w:rsid w:val="507FB48A"/>
    <w:rsid w:val="50812459"/>
    <w:rsid w:val="50849205"/>
    <w:rsid w:val="508678CD"/>
    <w:rsid w:val="508C46E3"/>
    <w:rsid w:val="508DAAD1"/>
    <w:rsid w:val="508E7304"/>
    <w:rsid w:val="508FC331"/>
    <w:rsid w:val="50917D56"/>
    <w:rsid w:val="5093B9EC"/>
    <w:rsid w:val="509569F7"/>
    <w:rsid w:val="509A266A"/>
    <w:rsid w:val="509B8D99"/>
    <w:rsid w:val="509F560E"/>
    <w:rsid w:val="50A0DD11"/>
    <w:rsid w:val="50A46731"/>
    <w:rsid w:val="50A5C0B0"/>
    <w:rsid w:val="50A6ED7A"/>
    <w:rsid w:val="50A95B00"/>
    <w:rsid w:val="50A96FA9"/>
    <w:rsid w:val="50ABF549"/>
    <w:rsid w:val="50ACBDB1"/>
    <w:rsid w:val="50ACF66E"/>
    <w:rsid w:val="50AE9A50"/>
    <w:rsid w:val="50B35BF5"/>
    <w:rsid w:val="50B63643"/>
    <w:rsid w:val="50B7FF12"/>
    <w:rsid w:val="50B8B8D9"/>
    <w:rsid w:val="50BB55E9"/>
    <w:rsid w:val="50C0F886"/>
    <w:rsid w:val="50C36429"/>
    <w:rsid w:val="50C37C12"/>
    <w:rsid w:val="50C99B1D"/>
    <w:rsid w:val="50CA457C"/>
    <w:rsid w:val="50CAFC4F"/>
    <w:rsid w:val="50CBA0CF"/>
    <w:rsid w:val="50D16CAD"/>
    <w:rsid w:val="50DDF1B6"/>
    <w:rsid w:val="50E01759"/>
    <w:rsid w:val="50E132C6"/>
    <w:rsid w:val="50E38BA5"/>
    <w:rsid w:val="50E49948"/>
    <w:rsid w:val="50E4A173"/>
    <w:rsid w:val="50E84E21"/>
    <w:rsid w:val="50E976D9"/>
    <w:rsid w:val="50E9D0DF"/>
    <w:rsid w:val="50EA59ED"/>
    <w:rsid w:val="50EEE0B0"/>
    <w:rsid w:val="50F2700F"/>
    <w:rsid w:val="50F2B0DE"/>
    <w:rsid w:val="50F46320"/>
    <w:rsid w:val="50F8C454"/>
    <w:rsid w:val="50FD8DFB"/>
    <w:rsid w:val="50FE250B"/>
    <w:rsid w:val="50FEDFBD"/>
    <w:rsid w:val="50FF59B2"/>
    <w:rsid w:val="50FF715F"/>
    <w:rsid w:val="50FFAFC2"/>
    <w:rsid w:val="5102BF0D"/>
    <w:rsid w:val="5102ED53"/>
    <w:rsid w:val="5103308E"/>
    <w:rsid w:val="51057758"/>
    <w:rsid w:val="51066D15"/>
    <w:rsid w:val="510803F1"/>
    <w:rsid w:val="5108861C"/>
    <w:rsid w:val="510F21E0"/>
    <w:rsid w:val="510FED39"/>
    <w:rsid w:val="5111296C"/>
    <w:rsid w:val="51136900"/>
    <w:rsid w:val="51155059"/>
    <w:rsid w:val="5115547C"/>
    <w:rsid w:val="51180DEB"/>
    <w:rsid w:val="511C9667"/>
    <w:rsid w:val="511CFE84"/>
    <w:rsid w:val="511FC8D6"/>
    <w:rsid w:val="5125EC3C"/>
    <w:rsid w:val="5128787C"/>
    <w:rsid w:val="512964BC"/>
    <w:rsid w:val="512C639C"/>
    <w:rsid w:val="512C7730"/>
    <w:rsid w:val="512D2FC7"/>
    <w:rsid w:val="512DD1E8"/>
    <w:rsid w:val="512E5A85"/>
    <w:rsid w:val="512F48B8"/>
    <w:rsid w:val="51321FE0"/>
    <w:rsid w:val="51342182"/>
    <w:rsid w:val="513691E8"/>
    <w:rsid w:val="51370728"/>
    <w:rsid w:val="51370C25"/>
    <w:rsid w:val="51374A11"/>
    <w:rsid w:val="5137BC62"/>
    <w:rsid w:val="513B3121"/>
    <w:rsid w:val="513E3469"/>
    <w:rsid w:val="513F9651"/>
    <w:rsid w:val="51410C82"/>
    <w:rsid w:val="51423A96"/>
    <w:rsid w:val="51465572"/>
    <w:rsid w:val="5146AEB8"/>
    <w:rsid w:val="5148BE99"/>
    <w:rsid w:val="5148CC94"/>
    <w:rsid w:val="514A283F"/>
    <w:rsid w:val="51511225"/>
    <w:rsid w:val="5151D5EB"/>
    <w:rsid w:val="51528070"/>
    <w:rsid w:val="515324AF"/>
    <w:rsid w:val="515373BA"/>
    <w:rsid w:val="515606BD"/>
    <w:rsid w:val="51585FB5"/>
    <w:rsid w:val="51593A21"/>
    <w:rsid w:val="515D41E0"/>
    <w:rsid w:val="515E5959"/>
    <w:rsid w:val="515E6323"/>
    <w:rsid w:val="515F8514"/>
    <w:rsid w:val="51600C60"/>
    <w:rsid w:val="5160319D"/>
    <w:rsid w:val="516183D4"/>
    <w:rsid w:val="516290F8"/>
    <w:rsid w:val="5167C380"/>
    <w:rsid w:val="516A15D4"/>
    <w:rsid w:val="516AD281"/>
    <w:rsid w:val="516C0CB1"/>
    <w:rsid w:val="516C3BEA"/>
    <w:rsid w:val="516D99D1"/>
    <w:rsid w:val="51718942"/>
    <w:rsid w:val="51734F5A"/>
    <w:rsid w:val="51737C9B"/>
    <w:rsid w:val="5175E0FC"/>
    <w:rsid w:val="517642F1"/>
    <w:rsid w:val="51764338"/>
    <w:rsid w:val="517BA835"/>
    <w:rsid w:val="517CEED0"/>
    <w:rsid w:val="51801D2D"/>
    <w:rsid w:val="51826DFB"/>
    <w:rsid w:val="518309F1"/>
    <w:rsid w:val="51832F02"/>
    <w:rsid w:val="5189AF0D"/>
    <w:rsid w:val="518CC87B"/>
    <w:rsid w:val="5193CBE2"/>
    <w:rsid w:val="51942A98"/>
    <w:rsid w:val="519C8BAF"/>
    <w:rsid w:val="519F3330"/>
    <w:rsid w:val="51A17853"/>
    <w:rsid w:val="51A2C904"/>
    <w:rsid w:val="51A3FDBE"/>
    <w:rsid w:val="51B08739"/>
    <w:rsid w:val="51B233F5"/>
    <w:rsid w:val="51B7A021"/>
    <w:rsid w:val="51BA2128"/>
    <w:rsid w:val="51BEE50F"/>
    <w:rsid w:val="51C0178D"/>
    <w:rsid w:val="51C15A80"/>
    <w:rsid w:val="51C20619"/>
    <w:rsid w:val="51C646CD"/>
    <w:rsid w:val="51C6A9A7"/>
    <w:rsid w:val="51C8E867"/>
    <w:rsid w:val="51C9DE2C"/>
    <w:rsid w:val="51CABBA1"/>
    <w:rsid w:val="51CADA24"/>
    <w:rsid w:val="51CC8721"/>
    <w:rsid w:val="51CD49A0"/>
    <w:rsid w:val="51CE6413"/>
    <w:rsid w:val="51CF83E6"/>
    <w:rsid w:val="51D02F40"/>
    <w:rsid w:val="51D082BF"/>
    <w:rsid w:val="51D09156"/>
    <w:rsid w:val="51D219B0"/>
    <w:rsid w:val="51D3F9AA"/>
    <w:rsid w:val="51D900BA"/>
    <w:rsid w:val="51D9BFF4"/>
    <w:rsid w:val="51DB19A3"/>
    <w:rsid w:val="51E48326"/>
    <w:rsid w:val="51E6E32E"/>
    <w:rsid w:val="51EA78DD"/>
    <w:rsid w:val="51EF616B"/>
    <w:rsid w:val="51F26DDF"/>
    <w:rsid w:val="51F2E11A"/>
    <w:rsid w:val="51F31628"/>
    <w:rsid w:val="51F4DFB7"/>
    <w:rsid w:val="51F77E5F"/>
    <w:rsid w:val="51FA118C"/>
    <w:rsid w:val="51FC6F4C"/>
    <w:rsid w:val="51FE1BEF"/>
    <w:rsid w:val="51FE6719"/>
    <w:rsid w:val="51FE79A9"/>
    <w:rsid w:val="520399F3"/>
    <w:rsid w:val="520CB63E"/>
    <w:rsid w:val="52130BA8"/>
    <w:rsid w:val="5214319C"/>
    <w:rsid w:val="521432FE"/>
    <w:rsid w:val="5214687F"/>
    <w:rsid w:val="52146E64"/>
    <w:rsid w:val="521A3F36"/>
    <w:rsid w:val="521C1089"/>
    <w:rsid w:val="521C82FF"/>
    <w:rsid w:val="521C8C00"/>
    <w:rsid w:val="521E91B5"/>
    <w:rsid w:val="521F6969"/>
    <w:rsid w:val="521FD619"/>
    <w:rsid w:val="52218F71"/>
    <w:rsid w:val="5223072A"/>
    <w:rsid w:val="52242CA1"/>
    <w:rsid w:val="5224A0C9"/>
    <w:rsid w:val="52251EE7"/>
    <w:rsid w:val="52267852"/>
    <w:rsid w:val="5226E70B"/>
    <w:rsid w:val="52271F8F"/>
    <w:rsid w:val="522799A7"/>
    <w:rsid w:val="5227CD9F"/>
    <w:rsid w:val="5229FA84"/>
    <w:rsid w:val="522B0DDE"/>
    <w:rsid w:val="522CA0B7"/>
    <w:rsid w:val="522F57FE"/>
    <w:rsid w:val="5231DC01"/>
    <w:rsid w:val="523225D4"/>
    <w:rsid w:val="52327DB1"/>
    <w:rsid w:val="52345112"/>
    <w:rsid w:val="5236506A"/>
    <w:rsid w:val="5237739C"/>
    <w:rsid w:val="5237DFC3"/>
    <w:rsid w:val="524317EE"/>
    <w:rsid w:val="5245922C"/>
    <w:rsid w:val="5252139E"/>
    <w:rsid w:val="525A63EE"/>
    <w:rsid w:val="525B1130"/>
    <w:rsid w:val="525BE00E"/>
    <w:rsid w:val="525C5EB2"/>
    <w:rsid w:val="525E91BD"/>
    <w:rsid w:val="52624827"/>
    <w:rsid w:val="526B9549"/>
    <w:rsid w:val="52715705"/>
    <w:rsid w:val="52772FEC"/>
    <w:rsid w:val="5277D517"/>
    <w:rsid w:val="5279B45A"/>
    <w:rsid w:val="527A2652"/>
    <w:rsid w:val="527AC6F9"/>
    <w:rsid w:val="527FF137"/>
    <w:rsid w:val="52803DB1"/>
    <w:rsid w:val="5282BE32"/>
    <w:rsid w:val="528664DC"/>
    <w:rsid w:val="5287E43F"/>
    <w:rsid w:val="52882BA9"/>
    <w:rsid w:val="52898421"/>
    <w:rsid w:val="528E9EBF"/>
    <w:rsid w:val="528ED7CB"/>
    <w:rsid w:val="528F81E1"/>
    <w:rsid w:val="5291BB18"/>
    <w:rsid w:val="5293E215"/>
    <w:rsid w:val="52989D9F"/>
    <w:rsid w:val="529AAB3D"/>
    <w:rsid w:val="529ADD76"/>
    <w:rsid w:val="529BB616"/>
    <w:rsid w:val="529C5420"/>
    <w:rsid w:val="529EC78E"/>
    <w:rsid w:val="529FC7C3"/>
    <w:rsid w:val="52A01AA5"/>
    <w:rsid w:val="52A15614"/>
    <w:rsid w:val="52A2AD57"/>
    <w:rsid w:val="52A50BE1"/>
    <w:rsid w:val="52A6F6FF"/>
    <w:rsid w:val="52A9A6C7"/>
    <w:rsid w:val="52AA8C7F"/>
    <w:rsid w:val="52AFA9DB"/>
    <w:rsid w:val="52B0BEA1"/>
    <w:rsid w:val="52B1132C"/>
    <w:rsid w:val="52B20938"/>
    <w:rsid w:val="52B2FBD0"/>
    <w:rsid w:val="52B446D5"/>
    <w:rsid w:val="52B99D8D"/>
    <w:rsid w:val="52BAE185"/>
    <w:rsid w:val="52BAF697"/>
    <w:rsid w:val="52BDCEC1"/>
    <w:rsid w:val="52BE4FC2"/>
    <w:rsid w:val="52C02567"/>
    <w:rsid w:val="52C274F6"/>
    <w:rsid w:val="52C492CA"/>
    <w:rsid w:val="52C5F9C4"/>
    <w:rsid w:val="52C82068"/>
    <w:rsid w:val="52CA235F"/>
    <w:rsid w:val="52CEBC64"/>
    <w:rsid w:val="52D28437"/>
    <w:rsid w:val="52D28F3B"/>
    <w:rsid w:val="52D54958"/>
    <w:rsid w:val="52D6A1BB"/>
    <w:rsid w:val="52D8F7AE"/>
    <w:rsid w:val="52D990F2"/>
    <w:rsid w:val="52DD4EE5"/>
    <w:rsid w:val="52DF89C8"/>
    <w:rsid w:val="52E1A91A"/>
    <w:rsid w:val="52E2D80A"/>
    <w:rsid w:val="52E52BFF"/>
    <w:rsid w:val="52E67A34"/>
    <w:rsid w:val="52E7C29B"/>
    <w:rsid w:val="52E91BCE"/>
    <w:rsid w:val="52EA4F5B"/>
    <w:rsid w:val="52EA87C7"/>
    <w:rsid w:val="52EC0B59"/>
    <w:rsid w:val="52EE8C52"/>
    <w:rsid w:val="52EF0785"/>
    <w:rsid w:val="52F34A27"/>
    <w:rsid w:val="52F3B987"/>
    <w:rsid w:val="52F72DD7"/>
    <w:rsid w:val="52F8335B"/>
    <w:rsid w:val="52F97895"/>
    <w:rsid w:val="52F9BACF"/>
    <w:rsid w:val="52F9F939"/>
    <w:rsid w:val="53003197"/>
    <w:rsid w:val="530705C2"/>
    <w:rsid w:val="530D2450"/>
    <w:rsid w:val="530FEC19"/>
    <w:rsid w:val="53131339"/>
    <w:rsid w:val="5315CC72"/>
    <w:rsid w:val="53162209"/>
    <w:rsid w:val="531719A3"/>
    <w:rsid w:val="53177EAC"/>
    <w:rsid w:val="5319F47A"/>
    <w:rsid w:val="531CE415"/>
    <w:rsid w:val="5324B629"/>
    <w:rsid w:val="5325B861"/>
    <w:rsid w:val="5325C40A"/>
    <w:rsid w:val="5326D47F"/>
    <w:rsid w:val="5327076C"/>
    <w:rsid w:val="532952A5"/>
    <w:rsid w:val="532CDC6A"/>
    <w:rsid w:val="532DD1DD"/>
    <w:rsid w:val="532E4392"/>
    <w:rsid w:val="532F607C"/>
    <w:rsid w:val="5333C6AE"/>
    <w:rsid w:val="5334CDEB"/>
    <w:rsid w:val="53368940"/>
    <w:rsid w:val="533C0CBC"/>
    <w:rsid w:val="5340A0F1"/>
    <w:rsid w:val="5340A482"/>
    <w:rsid w:val="5343BDA6"/>
    <w:rsid w:val="53467AF3"/>
    <w:rsid w:val="5347592F"/>
    <w:rsid w:val="53478220"/>
    <w:rsid w:val="5348A777"/>
    <w:rsid w:val="5349FB03"/>
    <w:rsid w:val="534A84A0"/>
    <w:rsid w:val="534EE907"/>
    <w:rsid w:val="5354EF80"/>
    <w:rsid w:val="53564044"/>
    <w:rsid w:val="5357022A"/>
    <w:rsid w:val="5358E9C8"/>
    <w:rsid w:val="53598166"/>
    <w:rsid w:val="535BF215"/>
    <w:rsid w:val="535C2C5C"/>
    <w:rsid w:val="535C3562"/>
    <w:rsid w:val="535C9984"/>
    <w:rsid w:val="535CEEF9"/>
    <w:rsid w:val="535DB882"/>
    <w:rsid w:val="535F8A31"/>
    <w:rsid w:val="535FB44F"/>
    <w:rsid w:val="535FD3D0"/>
    <w:rsid w:val="536058CD"/>
    <w:rsid w:val="5360B968"/>
    <w:rsid w:val="536543F9"/>
    <w:rsid w:val="5369C336"/>
    <w:rsid w:val="536BFCC0"/>
    <w:rsid w:val="536ED013"/>
    <w:rsid w:val="5370F38C"/>
    <w:rsid w:val="53723B99"/>
    <w:rsid w:val="53784A61"/>
    <w:rsid w:val="537873BA"/>
    <w:rsid w:val="5379C586"/>
    <w:rsid w:val="537A0E8D"/>
    <w:rsid w:val="537CE8D4"/>
    <w:rsid w:val="537D28F7"/>
    <w:rsid w:val="537F4346"/>
    <w:rsid w:val="538504DA"/>
    <w:rsid w:val="5388148C"/>
    <w:rsid w:val="5388F8F7"/>
    <w:rsid w:val="538B721D"/>
    <w:rsid w:val="538DCF3D"/>
    <w:rsid w:val="538DFC78"/>
    <w:rsid w:val="53905D61"/>
    <w:rsid w:val="5390730D"/>
    <w:rsid w:val="53908B74"/>
    <w:rsid w:val="53913D39"/>
    <w:rsid w:val="539795C2"/>
    <w:rsid w:val="5398E376"/>
    <w:rsid w:val="539B2939"/>
    <w:rsid w:val="539C8891"/>
    <w:rsid w:val="539CB446"/>
    <w:rsid w:val="539F83DB"/>
    <w:rsid w:val="53A1AAC5"/>
    <w:rsid w:val="53A3A5BE"/>
    <w:rsid w:val="53A5216D"/>
    <w:rsid w:val="53A5EB6A"/>
    <w:rsid w:val="53A84DFE"/>
    <w:rsid w:val="53AC91D8"/>
    <w:rsid w:val="53ACE2FA"/>
    <w:rsid w:val="53ADB279"/>
    <w:rsid w:val="53B16CA5"/>
    <w:rsid w:val="53B2EF22"/>
    <w:rsid w:val="53B547C3"/>
    <w:rsid w:val="53B6EEF6"/>
    <w:rsid w:val="53BC3679"/>
    <w:rsid w:val="53BE7996"/>
    <w:rsid w:val="53C15884"/>
    <w:rsid w:val="53C2AE8F"/>
    <w:rsid w:val="53C853D9"/>
    <w:rsid w:val="53CBB936"/>
    <w:rsid w:val="53CFE42F"/>
    <w:rsid w:val="53D4B794"/>
    <w:rsid w:val="53D5B2D4"/>
    <w:rsid w:val="53D82422"/>
    <w:rsid w:val="53D8B1CB"/>
    <w:rsid w:val="53DA238A"/>
    <w:rsid w:val="53DC3DD3"/>
    <w:rsid w:val="53DED2FB"/>
    <w:rsid w:val="53DEDB9C"/>
    <w:rsid w:val="53E21F11"/>
    <w:rsid w:val="53E86255"/>
    <w:rsid w:val="53E90572"/>
    <w:rsid w:val="53EA0F5D"/>
    <w:rsid w:val="53EE1813"/>
    <w:rsid w:val="53EF1DEE"/>
    <w:rsid w:val="53F76C1E"/>
    <w:rsid w:val="53F7F35B"/>
    <w:rsid w:val="53F815B2"/>
    <w:rsid w:val="53F91DFC"/>
    <w:rsid w:val="53FBF25C"/>
    <w:rsid w:val="5407C516"/>
    <w:rsid w:val="540830D3"/>
    <w:rsid w:val="5408CCBB"/>
    <w:rsid w:val="5408E686"/>
    <w:rsid w:val="5409201D"/>
    <w:rsid w:val="540B4361"/>
    <w:rsid w:val="540EBC59"/>
    <w:rsid w:val="540F3ECB"/>
    <w:rsid w:val="54102904"/>
    <w:rsid w:val="5410B82B"/>
    <w:rsid w:val="5411AF09"/>
    <w:rsid w:val="5411B4CF"/>
    <w:rsid w:val="541496B5"/>
    <w:rsid w:val="54158B6F"/>
    <w:rsid w:val="54193E14"/>
    <w:rsid w:val="541B2666"/>
    <w:rsid w:val="541BA4A7"/>
    <w:rsid w:val="54232CE9"/>
    <w:rsid w:val="54241599"/>
    <w:rsid w:val="542666B2"/>
    <w:rsid w:val="542841AB"/>
    <w:rsid w:val="5428B7DC"/>
    <w:rsid w:val="542928EB"/>
    <w:rsid w:val="542C1BCC"/>
    <w:rsid w:val="54352495"/>
    <w:rsid w:val="54359C1E"/>
    <w:rsid w:val="54388D9D"/>
    <w:rsid w:val="54390A23"/>
    <w:rsid w:val="5439CEA7"/>
    <w:rsid w:val="543AAB6E"/>
    <w:rsid w:val="543B24EB"/>
    <w:rsid w:val="543BCF2D"/>
    <w:rsid w:val="543D434E"/>
    <w:rsid w:val="543E263B"/>
    <w:rsid w:val="543E93B3"/>
    <w:rsid w:val="5441434D"/>
    <w:rsid w:val="54434EE2"/>
    <w:rsid w:val="54450760"/>
    <w:rsid w:val="5448B221"/>
    <w:rsid w:val="544DDDC4"/>
    <w:rsid w:val="544F0B3D"/>
    <w:rsid w:val="544F5DDE"/>
    <w:rsid w:val="544FE384"/>
    <w:rsid w:val="5453EDC3"/>
    <w:rsid w:val="545407CE"/>
    <w:rsid w:val="545473D7"/>
    <w:rsid w:val="545495B9"/>
    <w:rsid w:val="5456A5A3"/>
    <w:rsid w:val="5456EE8D"/>
    <w:rsid w:val="545BC70D"/>
    <w:rsid w:val="545EF133"/>
    <w:rsid w:val="5460BF06"/>
    <w:rsid w:val="546320D8"/>
    <w:rsid w:val="5464A837"/>
    <w:rsid w:val="5465E2D2"/>
    <w:rsid w:val="5468D177"/>
    <w:rsid w:val="546CF37C"/>
    <w:rsid w:val="546D53A4"/>
    <w:rsid w:val="546FBEB0"/>
    <w:rsid w:val="546FF8BF"/>
    <w:rsid w:val="5470ABD2"/>
    <w:rsid w:val="547171A3"/>
    <w:rsid w:val="5472F788"/>
    <w:rsid w:val="54761BFD"/>
    <w:rsid w:val="547C0217"/>
    <w:rsid w:val="547C2389"/>
    <w:rsid w:val="547CAD61"/>
    <w:rsid w:val="547E74F1"/>
    <w:rsid w:val="547FFB22"/>
    <w:rsid w:val="5484B135"/>
    <w:rsid w:val="5485DD77"/>
    <w:rsid w:val="54891ADD"/>
    <w:rsid w:val="54896AAA"/>
    <w:rsid w:val="548EEA2E"/>
    <w:rsid w:val="54908048"/>
    <w:rsid w:val="54931508"/>
    <w:rsid w:val="5497F7AD"/>
    <w:rsid w:val="54996D0D"/>
    <w:rsid w:val="54997E22"/>
    <w:rsid w:val="549A0D89"/>
    <w:rsid w:val="549A4110"/>
    <w:rsid w:val="549D31BB"/>
    <w:rsid w:val="549F89DC"/>
    <w:rsid w:val="54A02339"/>
    <w:rsid w:val="54A377E1"/>
    <w:rsid w:val="54A97ED6"/>
    <w:rsid w:val="54A9CCCC"/>
    <w:rsid w:val="54AFC14F"/>
    <w:rsid w:val="54AFFD6F"/>
    <w:rsid w:val="54B0A134"/>
    <w:rsid w:val="54B18085"/>
    <w:rsid w:val="54B3AD9D"/>
    <w:rsid w:val="54B3F828"/>
    <w:rsid w:val="54B60254"/>
    <w:rsid w:val="54B624BC"/>
    <w:rsid w:val="54BDDC42"/>
    <w:rsid w:val="54BDF68F"/>
    <w:rsid w:val="54C1776C"/>
    <w:rsid w:val="54C21A10"/>
    <w:rsid w:val="54C34249"/>
    <w:rsid w:val="54C3F5FF"/>
    <w:rsid w:val="54CA9A38"/>
    <w:rsid w:val="54CBF3B8"/>
    <w:rsid w:val="54CC56E2"/>
    <w:rsid w:val="54CF1CE5"/>
    <w:rsid w:val="54CF9555"/>
    <w:rsid w:val="54D10E4C"/>
    <w:rsid w:val="54D2A855"/>
    <w:rsid w:val="54D64723"/>
    <w:rsid w:val="54D78835"/>
    <w:rsid w:val="54D7959A"/>
    <w:rsid w:val="54D82FF8"/>
    <w:rsid w:val="54D85666"/>
    <w:rsid w:val="54DBF353"/>
    <w:rsid w:val="54DDC2DB"/>
    <w:rsid w:val="54DEDDC3"/>
    <w:rsid w:val="54DF8F5B"/>
    <w:rsid w:val="54E1ECBD"/>
    <w:rsid w:val="54E28978"/>
    <w:rsid w:val="54E518E9"/>
    <w:rsid w:val="54E5926F"/>
    <w:rsid w:val="54E6C4F0"/>
    <w:rsid w:val="54EA81D8"/>
    <w:rsid w:val="54EB5A80"/>
    <w:rsid w:val="54ECCC9B"/>
    <w:rsid w:val="54EE3464"/>
    <w:rsid w:val="54EFD0D4"/>
    <w:rsid w:val="54F1F264"/>
    <w:rsid w:val="54F28EBE"/>
    <w:rsid w:val="54F50E84"/>
    <w:rsid w:val="54F68E84"/>
    <w:rsid w:val="54FC24D1"/>
    <w:rsid w:val="54FC812D"/>
    <w:rsid w:val="54FCC1EB"/>
    <w:rsid w:val="54FD5BC6"/>
    <w:rsid w:val="54FD6604"/>
    <w:rsid w:val="54FDAF42"/>
    <w:rsid w:val="5501F829"/>
    <w:rsid w:val="550ABEB7"/>
    <w:rsid w:val="550AC941"/>
    <w:rsid w:val="550AD055"/>
    <w:rsid w:val="550F800E"/>
    <w:rsid w:val="55133531"/>
    <w:rsid w:val="5516C664"/>
    <w:rsid w:val="55186BB4"/>
    <w:rsid w:val="5518E8B5"/>
    <w:rsid w:val="5519A3B9"/>
    <w:rsid w:val="551A526E"/>
    <w:rsid w:val="551CCA63"/>
    <w:rsid w:val="5523156A"/>
    <w:rsid w:val="55236E18"/>
    <w:rsid w:val="552CBA66"/>
    <w:rsid w:val="552D597D"/>
    <w:rsid w:val="552FB98B"/>
    <w:rsid w:val="553031F0"/>
    <w:rsid w:val="55326411"/>
    <w:rsid w:val="55392EE1"/>
    <w:rsid w:val="553A2F93"/>
    <w:rsid w:val="553AA481"/>
    <w:rsid w:val="553E5BD6"/>
    <w:rsid w:val="5542C60F"/>
    <w:rsid w:val="5543053B"/>
    <w:rsid w:val="5543B331"/>
    <w:rsid w:val="55452927"/>
    <w:rsid w:val="5548D46D"/>
    <w:rsid w:val="554A16FF"/>
    <w:rsid w:val="554C5AD2"/>
    <w:rsid w:val="554DAA0C"/>
    <w:rsid w:val="555139FA"/>
    <w:rsid w:val="555176D6"/>
    <w:rsid w:val="555252EF"/>
    <w:rsid w:val="55536035"/>
    <w:rsid w:val="55577BF8"/>
    <w:rsid w:val="555A7049"/>
    <w:rsid w:val="555B484E"/>
    <w:rsid w:val="555ED232"/>
    <w:rsid w:val="55602B46"/>
    <w:rsid w:val="5560CA6D"/>
    <w:rsid w:val="55610973"/>
    <w:rsid w:val="5562C1E3"/>
    <w:rsid w:val="5562EE4C"/>
    <w:rsid w:val="55668B09"/>
    <w:rsid w:val="55673A8F"/>
    <w:rsid w:val="55676CB2"/>
    <w:rsid w:val="556B47AA"/>
    <w:rsid w:val="556BD725"/>
    <w:rsid w:val="556E748A"/>
    <w:rsid w:val="556EE9FD"/>
    <w:rsid w:val="556EF8E9"/>
    <w:rsid w:val="55702B12"/>
    <w:rsid w:val="5572827B"/>
    <w:rsid w:val="5576B095"/>
    <w:rsid w:val="55792D62"/>
    <w:rsid w:val="5579FEFF"/>
    <w:rsid w:val="557BF0EC"/>
    <w:rsid w:val="557D7631"/>
    <w:rsid w:val="557F1FD4"/>
    <w:rsid w:val="558055B2"/>
    <w:rsid w:val="5580D4EA"/>
    <w:rsid w:val="5588A9B9"/>
    <w:rsid w:val="5589F4BC"/>
    <w:rsid w:val="558B214F"/>
    <w:rsid w:val="558B6D32"/>
    <w:rsid w:val="558EE9E8"/>
    <w:rsid w:val="558FB0B7"/>
    <w:rsid w:val="5590E1F9"/>
    <w:rsid w:val="55935C3F"/>
    <w:rsid w:val="5594A5C1"/>
    <w:rsid w:val="5594DA85"/>
    <w:rsid w:val="55957143"/>
    <w:rsid w:val="559B866C"/>
    <w:rsid w:val="559C27F8"/>
    <w:rsid w:val="55A03B99"/>
    <w:rsid w:val="55A1575D"/>
    <w:rsid w:val="55AB9AA0"/>
    <w:rsid w:val="55ACF48E"/>
    <w:rsid w:val="55AE4A59"/>
    <w:rsid w:val="55AEF829"/>
    <w:rsid w:val="55AF48F8"/>
    <w:rsid w:val="55AFD8CE"/>
    <w:rsid w:val="55B03F10"/>
    <w:rsid w:val="55B0CB59"/>
    <w:rsid w:val="55B4FCDD"/>
    <w:rsid w:val="55B5B426"/>
    <w:rsid w:val="55B61D91"/>
    <w:rsid w:val="55B70642"/>
    <w:rsid w:val="55B7925E"/>
    <w:rsid w:val="55B9E6D8"/>
    <w:rsid w:val="55BC9FB1"/>
    <w:rsid w:val="55BD439B"/>
    <w:rsid w:val="55C22149"/>
    <w:rsid w:val="55C230E6"/>
    <w:rsid w:val="55C29FDE"/>
    <w:rsid w:val="55C677DD"/>
    <w:rsid w:val="55C70099"/>
    <w:rsid w:val="55CA390C"/>
    <w:rsid w:val="55CBB654"/>
    <w:rsid w:val="55CCC111"/>
    <w:rsid w:val="55D1070F"/>
    <w:rsid w:val="55D1CB52"/>
    <w:rsid w:val="55D28A92"/>
    <w:rsid w:val="55D3B202"/>
    <w:rsid w:val="55D62CC6"/>
    <w:rsid w:val="55DAC0A9"/>
    <w:rsid w:val="55DAE571"/>
    <w:rsid w:val="55DC4CEB"/>
    <w:rsid w:val="55DE869F"/>
    <w:rsid w:val="55E14836"/>
    <w:rsid w:val="55E7E544"/>
    <w:rsid w:val="55EA6E12"/>
    <w:rsid w:val="55EA72C7"/>
    <w:rsid w:val="55EAE5A0"/>
    <w:rsid w:val="55ECB107"/>
    <w:rsid w:val="55ECBCFD"/>
    <w:rsid w:val="55ED3E9D"/>
    <w:rsid w:val="55EE01B2"/>
    <w:rsid w:val="55F13A9D"/>
    <w:rsid w:val="55F69424"/>
    <w:rsid w:val="55F802DC"/>
    <w:rsid w:val="55F85712"/>
    <w:rsid w:val="55FC12EE"/>
    <w:rsid w:val="55FD8DD2"/>
    <w:rsid w:val="56025BE9"/>
    <w:rsid w:val="56058211"/>
    <w:rsid w:val="560620EC"/>
    <w:rsid w:val="5607FF82"/>
    <w:rsid w:val="5608E2EB"/>
    <w:rsid w:val="56093782"/>
    <w:rsid w:val="560C2867"/>
    <w:rsid w:val="560DE088"/>
    <w:rsid w:val="560ECAC8"/>
    <w:rsid w:val="56120F00"/>
    <w:rsid w:val="5612893A"/>
    <w:rsid w:val="5614D544"/>
    <w:rsid w:val="5614DC06"/>
    <w:rsid w:val="5614EAF2"/>
    <w:rsid w:val="561529A7"/>
    <w:rsid w:val="5615882D"/>
    <w:rsid w:val="5616EDFB"/>
    <w:rsid w:val="5617732E"/>
    <w:rsid w:val="561EAE81"/>
    <w:rsid w:val="5622989E"/>
    <w:rsid w:val="56239FF0"/>
    <w:rsid w:val="562643CF"/>
    <w:rsid w:val="56269904"/>
    <w:rsid w:val="5627C327"/>
    <w:rsid w:val="56286951"/>
    <w:rsid w:val="5628FFEC"/>
    <w:rsid w:val="562907C9"/>
    <w:rsid w:val="562923ED"/>
    <w:rsid w:val="56315793"/>
    <w:rsid w:val="56320AFC"/>
    <w:rsid w:val="5633FF12"/>
    <w:rsid w:val="56373C8F"/>
    <w:rsid w:val="5638E783"/>
    <w:rsid w:val="5639091F"/>
    <w:rsid w:val="563A4A6B"/>
    <w:rsid w:val="563AE2A2"/>
    <w:rsid w:val="563BBE79"/>
    <w:rsid w:val="563D8B80"/>
    <w:rsid w:val="563E17EF"/>
    <w:rsid w:val="563E2FB5"/>
    <w:rsid w:val="563E4F19"/>
    <w:rsid w:val="563EDDF9"/>
    <w:rsid w:val="563FCABA"/>
    <w:rsid w:val="564193D4"/>
    <w:rsid w:val="56420917"/>
    <w:rsid w:val="56435699"/>
    <w:rsid w:val="564B8F03"/>
    <w:rsid w:val="564DD624"/>
    <w:rsid w:val="564E7AA6"/>
    <w:rsid w:val="564FD652"/>
    <w:rsid w:val="5655A68B"/>
    <w:rsid w:val="5656F3E2"/>
    <w:rsid w:val="5659B013"/>
    <w:rsid w:val="565A4E8A"/>
    <w:rsid w:val="565C712F"/>
    <w:rsid w:val="565F262A"/>
    <w:rsid w:val="565F8748"/>
    <w:rsid w:val="566170FE"/>
    <w:rsid w:val="5664E20D"/>
    <w:rsid w:val="566826E7"/>
    <w:rsid w:val="566CC6FC"/>
    <w:rsid w:val="566DF11E"/>
    <w:rsid w:val="566F272B"/>
    <w:rsid w:val="5671188C"/>
    <w:rsid w:val="567234DE"/>
    <w:rsid w:val="5678F607"/>
    <w:rsid w:val="5679A30D"/>
    <w:rsid w:val="567B4ED8"/>
    <w:rsid w:val="567C9146"/>
    <w:rsid w:val="567D5071"/>
    <w:rsid w:val="567EFA00"/>
    <w:rsid w:val="567FCEF9"/>
    <w:rsid w:val="5684C4EA"/>
    <w:rsid w:val="568B72CC"/>
    <w:rsid w:val="568BD33B"/>
    <w:rsid w:val="568D6664"/>
    <w:rsid w:val="56903306"/>
    <w:rsid w:val="5690F65F"/>
    <w:rsid w:val="5691A5BE"/>
    <w:rsid w:val="56932D6F"/>
    <w:rsid w:val="5694A3C8"/>
    <w:rsid w:val="569D52DA"/>
    <w:rsid w:val="569E2FC1"/>
    <w:rsid w:val="56A1A0FC"/>
    <w:rsid w:val="56A3F6BF"/>
    <w:rsid w:val="56A9EE36"/>
    <w:rsid w:val="56ADBFBD"/>
    <w:rsid w:val="56AFF4E9"/>
    <w:rsid w:val="56B38F59"/>
    <w:rsid w:val="56B83679"/>
    <w:rsid w:val="56B9C050"/>
    <w:rsid w:val="56B9C1E2"/>
    <w:rsid w:val="56BA6EA6"/>
    <w:rsid w:val="56BD73E6"/>
    <w:rsid w:val="56C7B77A"/>
    <w:rsid w:val="56C81740"/>
    <w:rsid w:val="56C94A98"/>
    <w:rsid w:val="56CCE21A"/>
    <w:rsid w:val="56CEB4A1"/>
    <w:rsid w:val="56D00CC6"/>
    <w:rsid w:val="56D1C36B"/>
    <w:rsid w:val="56D288C9"/>
    <w:rsid w:val="56D66A7C"/>
    <w:rsid w:val="56D79D63"/>
    <w:rsid w:val="56D9B9FE"/>
    <w:rsid w:val="56DBB204"/>
    <w:rsid w:val="56DC6E29"/>
    <w:rsid w:val="56E1FE96"/>
    <w:rsid w:val="56E2D641"/>
    <w:rsid w:val="56E319DF"/>
    <w:rsid w:val="56E861E6"/>
    <w:rsid w:val="56EA3F63"/>
    <w:rsid w:val="56EAC07E"/>
    <w:rsid w:val="56EB9335"/>
    <w:rsid w:val="56F0944D"/>
    <w:rsid w:val="56F20FE8"/>
    <w:rsid w:val="56F65665"/>
    <w:rsid w:val="56F68644"/>
    <w:rsid w:val="56F6D32E"/>
    <w:rsid w:val="56F70211"/>
    <w:rsid w:val="56F71018"/>
    <w:rsid w:val="56F8E1D1"/>
    <w:rsid w:val="56FA707C"/>
    <w:rsid w:val="57012951"/>
    <w:rsid w:val="57015514"/>
    <w:rsid w:val="57029E87"/>
    <w:rsid w:val="57049907"/>
    <w:rsid w:val="57053FF5"/>
    <w:rsid w:val="57071882"/>
    <w:rsid w:val="57092DCE"/>
    <w:rsid w:val="57095FB1"/>
    <w:rsid w:val="570A9375"/>
    <w:rsid w:val="570DC1BD"/>
    <w:rsid w:val="570EDC0F"/>
    <w:rsid w:val="570EED6E"/>
    <w:rsid w:val="570FC4FB"/>
    <w:rsid w:val="5712DCC4"/>
    <w:rsid w:val="57130E44"/>
    <w:rsid w:val="57152DFD"/>
    <w:rsid w:val="5715BCE9"/>
    <w:rsid w:val="571823E4"/>
    <w:rsid w:val="5719CB3F"/>
    <w:rsid w:val="571ABBD1"/>
    <w:rsid w:val="57214964"/>
    <w:rsid w:val="5721A2CD"/>
    <w:rsid w:val="57250BB5"/>
    <w:rsid w:val="5727CF3F"/>
    <w:rsid w:val="572A42D7"/>
    <w:rsid w:val="572B7157"/>
    <w:rsid w:val="572C077E"/>
    <w:rsid w:val="572D7236"/>
    <w:rsid w:val="572DEEE6"/>
    <w:rsid w:val="572E85D3"/>
    <w:rsid w:val="5736C70E"/>
    <w:rsid w:val="573761D4"/>
    <w:rsid w:val="5737D8BC"/>
    <w:rsid w:val="57381C6F"/>
    <w:rsid w:val="573D66C2"/>
    <w:rsid w:val="573FEE06"/>
    <w:rsid w:val="5740F1D7"/>
    <w:rsid w:val="574216CB"/>
    <w:rsid w:val="5743FC46"/>
    <w:rsid w:val="5744763C"/>
    <w:rsid w:val="574550F4"/>
    <w:rsid w:val="57457123"/>
    <w:rsid w:val="57469880"/>
    <w:rsid w:val="5748A7BD"/>
    <w:rsid w:val="574BB8C3"/>
    <w:rsid w:val="574D5B30"/>
    <w:rsid w:val="574DA083"/>
    <w:rsid w:val="5751BA52"/>
    <w:rsid w:val="5753D3AA"/>
    <w:rsid w:val="575509D1"/>
    <w:rsid w:val="5757F784"/>
    <w:rsid w:val="575C359D"/>
    <w:rsid w:val="576020D5"/>
    <w:rsid w:val="57602C05"/>
    <w:rsid w:val="5762869F"/>
    <w:rsid w:val="57644162"/>
    <w:rsid w:val="5768510A"/>
    <w:rsid w:val="57686DFB"/>
    <w:rsid w:val="576999E4"/>
    <w:rsid w:val="576AC679"/>
    <w:rsid w:val="576CBCFB"/>
    <w:rsid w:val="5770585E"/>
    <w:rsid w:val="5771B343"/>
    <w:rsid w:val="57772A3D"/>
    <w:rsid w:val="5779437F"/>
    <w:rsid w:val="577A6096"/>
    <w:rsid w:val="577E918B"/>
    <w:rsid w:val="578059D2"/>
    <w:rsid w:val="57819A5C"/>
    <w:rsid w:val="578228EF"/>
    <w:rsid w:val="57830BA3"/>
    <w:rsid w:val="5784FBB9"/>
    <w:rsid w:val="5786FA97"/>
    <w:rsid w:val="578810FF"/>
    <w:rsid w:val="5788DC7A"/>
    <w:rsid w:val="578939D0"/>
    <w:rsid w:val="578977DC"/>
    <w:rsid w:val="5789FAD4"/>
    <w:rsid w:val="578C054E"/>
    <w:rsid w:val="578F8B25"/>
    <w:rsid w:val="57909BE5"/>
    <w:rsid w:val="5792AB83"/>
    <w:rsid w:val="5792F92B"/>
    <w:rsid w:val="5793A544"/>
    <w:rsid w:val="5798726F"/>
    <w:rsid w:val="5798813F"/>
    <w:rsid w:val="579EEFA4"/>
    <w:rsid w:val="57A02949"/>
    <w:rsid w:val="57A105E1"/>
    <w:rsid w:val="57A4BFFF"/>
    <w:rsid w:val="57A62AFD"/>
    <w:rsid w:val="57A8149D"/>
    <w:rsid w:val="57AA4B9C"/>
    <w:rsid w:val="57AD27DA"/>
    <w:rsid w:val="57AFB978"/>
    <w:rsid w:val="57B02679"/>
    <w:rsid w:val="57B02E57"/>
    <w:rsid w:val="57B17955"/>
    <w:rsid w:val="57B53A27"/>
    <w:rsid w:val="57B65F82"/>
    <w:rsid w:val="57B773C3"/>
    <w:rsid w:val="57B8313D"/>
    <w:rsid w:val="57BB2B0A"/>
    <w:rsid w:val="57BCD4C1"/>
    <w:rsid w:val="57BD183A"/>
    <w:rsid w:val="57BE7512"/>
    <w:rsid w:val="57C1A4B6"/>
    <w:rsid w:val="57C1FCFA"/>
    <w:rsid w:val="57C3CAA0"/>
    <w:rsid w:val="57C5B95C"/>
    <w:rsid w:val="57C6D532"/>
    <w:rsid w:val="57C8BF29"/>
    <w:rsid w:val="57C8C2B7"/>
    <w:rsid w:val="57CADFB5"/>
    <w:rsid w:val="57CB888A"/>
    <w:rsid w:val="57D1CE6F"/>
    <w:rsid w:val="57D45E2B"/>
    <w:rsid w:val="57D53E89"/>
    <w:rsid w:val="57D63552"/>
    <w:rsid w:val="57D6C9E9"/>
    <w:rsid w:val="57D93A00"/>
    <w:rsid w:val="57DBBECB"/>
    <w:rsid w:val="57DD2300"/>
    <w:rsid w:val="57DD5F68"/>
    <w:rsid w:val="57E245F7"/>
    <w:rsid w:val="57E30684"/>
    <w:rsid w:val="57E5DD7D"/>
    <w:rsid w:val="57EA21CF"/>
    <w:rsid w:val="57EF7FD2"/>
    <w:rsid w:val="57F21E66"/>
    <w:rsid w:val="57F34146"/>
    <w:rsid w:val="57F8929C"/>
    <w:rsid w:val="57FAB3DC"/>
    <w:rsid w:val="57FADDCF"/>
    <w:rsid w:val="57FB6A06"/>
    <w:rsid w:val="57FC37EB"/>
    <w:rsid w:val="57FC4FBA"/>
    <w:rsid w:val="57FD6FA8"/>
    <w:rsid w:val="57FF5D18"/>
    <w:rsid w:val="580410C1"/>
    <w:rsid w:val="58065AE7"/>
    <w:rsid w:val="580775E5"/>
    <w:rsid w:val="580C1BCB"/>
    <w:rsid w:val="580C3389"/>
    <w:rsid w:val="580CADE5"/>
    <w:rsid w:val="580DB783"/>
    <w:rsid w:val="580E299A"/>
    <w:rsid w:val="580E9D58"/>
    <w:rsid w:val="580F6725"/>
    <w:rsid w:val="58108C74"/>
    <w:rsid w:val="58143906"/>
    <w:rsid w:val="5815F935"/>
    <w:rsid w:val="58170995"/>
    <w:rsid w:val="5819BF7D"/>
    <w:rsid w:val="581A4A9A"/>
    <w:rsid w:val="581B07F5"/>
    <w:rsid w:val="581B7292"/>
    <w:rsid w:val="581D801A"/>
    <w:rsid w:val="581DE7C7"/>
    <w:rsid w:val="581FAF88"/>
    <w:rsid w:val="58205884"/>
    <w:rsid w:val="582127B8"/>
    <w:rsid w:val="58218006"/>
    <w:rsid w:val="58220573"/>
    <w:rsid w:val="582E7340"/>
    <w:rsid w:val="582EAD6F"/>
    <w:rsid w:val="582EE966"/>
    <w:rsid w:val="582F3A19"/>
    <w:rsid w:val="582FED36"/>
    <w:rsid w:val="58328E31"/>
    <w:rsid w:val="58347185"/>
    <w:rsid w:val="5834F79E"/>
    <w:rsid w:val="58354994"/>
    <w:rsid w:val="5836FF18"/>
    <w:rsid w:val="5838AF27"/>
    <w:rsid w:val="5846CC51"/>
    <w:rsid w:val="5847D4B4"/>
    <w:rsid w:val="584D19FC"/>
    <w:rsid w:val="584D3B50"/>
    <w:rsid w:val="584D9C04"/>
    <w:rsid w:val="584E2636"/>
    <w:rsid w:val="584E7241"/>
    <w:rsid w:val="5853303F"/>
    <w:rsid w:val="5855C0DE"/>
    <w:rsid w:val="5857B04C"/>
    <w:rsid w:val="58581368"/>
    <w:rsid w:val="58584E3B"/>
    <w:rsid w:val="585ADD55"/>
    <w:rsid w:val="585B03E9"/>
    <w:rsid w:val="585C3C58"/>
    <w:rsid w:val="585D1BEC"/>
    <w:rsid w:val="585E2E78"/>
    <w:rsid w:val="585FA32A"/>
    <w:rsid w:val="5860EBB4"/>
    <w:rsid w:val="58626152"/>
    <w:rsid w:val="58632539"/>
    <w:rsid w:val="5865731D"/>
    <w:rsid w:val="5865BC69"/>
    <w:rsid w:val="5867376D"/>
    <w:rsid w:val="586752CE"/>
    <w:rsid w:val="587026D0"/>
    <w:rsid w:val="5870ABA3"/>
    <w:rsid w:val="5870AF46"/>
    <w:rsid w:val="5873AD2A"/>
    <w:rsid w:val="5873FE4C"/>
    <w:rsid w:val="58751D6B"/>
    <w:rsid w:val="587768B0"/>
    <w:rsid w:val="58792045"/>
    <w:rsid w:val="58796DBA"/>
    <w:rsid w:val="5879A857"/>
    <w:rsid w:val="587E75C8"/>
    <w:rsid w:val="587F1AB3"/>
    <w:rsid w:val="588132F2"/>
    <w:rsid w:val="5884FAB3"/>
    <w:rsid w:val="58856091"/>
    <w:rsid w:val="58859AC8"/>
    <w:rsid w:val="5886DC0C"/>
    <w:rsid w:val="5889EF17"/>
    <w:rsid w:val="588D699F"/>
    <w:rsid w:val="588E1736"/>
    <w:rsid w:val="588F58A0"/>
    <w:rsid w:val="5890124E"/>
    <w:rsid w:val="5891D459"/>
    <w:rsid w:val="58957C92"/>
    <w:rsid w:val="5895A38B"/>
    <w:rsid w:val="5897DE5E"/>
    <w:rsid w:val="589F3FA8"/>
    <w:rsid w:val="589F4414"/>
    <w:rsid w:val="58A0B33C"/>
    <w:rsid w:val="58A43FA4"/>
    <w:rsid w:val="58A44B4B"/>
    <w:rsid w:val="58A4F3C0"/>
    <w:rsid w:val="58AB960A"/>
    <w:rsid w:val="58AF07D0"/>
    <w:rsid w:val="58B4B294"/>
    <w:rsid w:val="58B53E76"/>
    <w:rsid w:val="58B660DE"/>
    <w:rsid w:val="58B7541C"/>
    <w:rsid w:val="58B87185"/>
    <w:rsid w:val="58BC166D"/>
    <w:rsid w:val="58C4D1F9"/>
    <w:rsid w:val="58C73A45"/>
    <w:rsid w:val="58C87913"/>
    <w:rsid w:val="58C9542F"/>
    <w:rsid w:val="58C95B01"/>
    <w:rsid w:val="58CBF86B"/>
    <w:rsid w:val="58CEDEA2"/>
    <w:rsid w:val="58CF958F"/>
    <w:rsid w:val="58CFE127"/>
    <w:rsid w:val="58D1880C"/>
    <w:rsid w:val="58D2015B"/>
    <w:rsid w:val="58D4444C"/>
    <w:rsid w:val="58D4484F"/>
    <w:rsid w:val="58D5219A"/>
    <w:rsid w:val="58D97909"/>
    <w:rsid w:val="58DD3AFC"/>
    <w:rsid w:val="58DDF039"/>
    <w:rsid w:val="58DE45F8"/>
    <w:rsid w:val="58DF1CFB"/>
    <w:rsid w:val="58E0237C"/>
    <w:rsid w:val="58E04D3D"/>
    <w:rsid w:val="58E06943"/>
    <w:rsid w:val="58E11338"/>
    <w:rsid w:val="58E1944C"/>
    <w:rsid w:val="58E3088D"/>
    <w:rsid w:val="58E8BB7C"/>
    <w:rsid w:val="58ED1E38"/>
    <w:rsid w:val="58EF7325"/>
    <w:rsid w:val="58F263F4"/>
    <w:rsid w:val="58F75AA9"/>
    <w:rsid w:val="58FD819B"/>
    <w:rsid w:val="58FDAB06"/>
    <w:rsid w:val="58FDCA8E"/>
    <w:rsid w:val="58FE13ED"/>
    <w:rsid w:val="5900BAB5"/>
    <w:rsid w:val="59036179"/>
    <w:rsid w:val="59041D72"/>
    <w:rsid w:val="59075428"/>
    <w:rsid w:val="590A9EEC"/>
    <w:rsid w:val="590D2772"/>
    <w:rsid w:val="590F7050"/>
    <w:rsid w:val="590FDF8E"/>
    <w:rsid w:val="5911619B"/>
    <w:rsid w:val="59143D87"/>
    <w:rsid w:val="59149CCE"/>
    <w:rsid w:val="5915E04F"/>
    <w:rsid w:val="59160E81"/>
    <w:rsid w:val="59161F1F"/>
    <w:rsid w:val="591A1AC8"/>
    <w:rsid w:val="591C0CD8"/>
    <w:rsid w:val="591C663B"/>
    <w:rsid w:val="591DF53D"/>
    <w:rsid w:val="5928F72B"/>
    <w:rsid w:val="592C4975"/>
    <w:rsid w:val="592D06B7"/>
    <w:rsid w:val="59303535"/>
    <w:rsid w:val="593314C3"/>
    <w:rsid w:val="5934FF8F"/>
    <w:rsid w:val="59356235"/>
    <w:rsid w:val="593E3054"/>
    <w:rsid w:val="593FE765"/>
    <w:rsid w:val="5945D4D0"/>
    <w:rsid w:val="5945FEB8"/>
    <w:rsid w:val="5947E438"/>
    <w:rsid w:val="594CDA2C"/>
    <w:rsid w:val="594F10BE"/>
    <w:rsid w:val="5954AC49"/>
    <w:rsid w:val="5959F9BC"/>
    <w:rsid w:val="595B86C7"/>
    <w:rsid w:val="595C372E"/>
    <w:rsid w:val="595DEE8E"/>
    <w:rsid w:val="595F2716"/>
    <w:rsid w:val="5961BA44"/>
    <w:rsid w:val="5961DA1B"/>
    <w:rsid w:val="59623A80"/>
    <w:rsid w:val="5962D484"/>
    <w:rsid w:val="5962D7E1"/>
    <w:rsid w:val="5964B464"/>
    <w:rsid w:val="5965315B"/>
    <w:rsid w:val="59692B7A"/>
    <w:rsid w:val="596E38D2"/>
    <w:rsid w:val="59741FEF"/>
    <w:rsid w:val="59746E31"/>
    <w:rsid w:val="59758082"/>
    <w:rsid w:val="5975AD77"/>
    <w:rsid w:val="597711FC"/>
    <w:rsid w:val="5977807D"/>
    <w:rsid w:val="5979BF20"/>
    <w:rsid w:val="597BA877"/>
    <w:rsid w:val="597C5589"/>
    <w:rsid w:val="597CA4A1"/>
    <w:rsid w:val="597D1853"/>
    <w:rsid w:val="598091F6"/>
    <w:rsid w:val="5982E623"/>
    <w:rsid w:val="59854A46"/>
    <w:rsid w:val="5985E0AD"/>
    <w:rsid w:val="598714FA"/>
    <w:rsid w:val="598DAD24"/>
    <w:rsid w:val="598FC6B9"/>
    <w:rsid w:val="59905EB6"/>
    <w:rsid w:val="599074B3"/>
    <w:rsid w:val="5990FC7A"/>
    <w:rsid w:val="59941A38"/>
    <w:rsid w:val="5995DF39"/>
    <w:rsid w:val="59962592"/>
    <w:rsid w:val="59982A3B"/>
    <w:rsid w:val="599AEFE6"/>
    <w:rsid w:val="599DCC02"/>
    <w:rsid w:val="599E5E2A"/>
    <w:rsid w:val="599EB6C6"/>
    <w:rsid w:val="599F95A1"/>
    <w:rsid w:val="59A1313F"/>
    <w:rsid w:val="59A1C364"/>
    <w:rsid w:val="59A3B4DF"/>
    <w:rsid w:val="59A90F75"/>
    <w:rsid w:val="59AB9B00"/>
    <w:rsid w:val="59B14206"/>
    <w:rsid w:val="59B35C4B"/>
    <w:rsid w:val="59B469A4"/>
    <w:rsid w:val="59B49299"/>
    <w:rsid w:val="59B5E5DB"/>
    <w:rsid w:val="59B7625A"/>
    <w:rsid w:val="59B7C9A2"/>
    <w:rsid w:val="59BA453C"/>
    <w:rsid w:val="59BA7AD1"/>
    <w:rsid w:val="59BB0B45"/>
    <w:rsid w:val="59BFCA1D"/>
    <w:rsid w:val="59C0BDA5"/>
    <w:rsid w:val="59C1CEA9"/>
    <w:rsid w:val="59C5156A"/>
    <w:rsid w:val="59CE5EEC"/>
    <w:rsid w:val="59CFD6A9"/>
    <w:rsid w:val="59D0302C"/>
    <w:rsid w:val="59D0E0FD"/>
    <w:rsid w:val="59D20FDE"/>
    <w:rsid w:val="59D819A7"/>
    <w:rsid w:val="59DBFC7F"/>
    <w:rsid w:val="59DE2192"/>
    <w:rsid w:val="59DE3518"/>
    <w:rsid w:val="59E07E98"/>
    <w:rsid w:val="59E2C91E"/>
    <w:rsid w:val="59E35D9B"/>
    <w:rsid w:val="59E56398"/>
    <w:rsid w:val="59E68058"/>
    <w:rsid w:val="59E735F7"/>
    <w:rsid w:val="59E7B207"/>
    <w:rsid w:val="59E8EB24"/>
    <w:rsid w:val="59E9C620"/>
    <w:rsid w:val="59EC868A"/>
    <w:rsid w:val="59ECCEEB"/>
    <w:rsid w:val="59EF7D60"/>
    <w:rsid w:val="59EF9E02"/>
    <w:rsid w:val="59EFF3AB"/>
    <w:rsid w:val="59F22351"/>
    <w:rsid w:val="59F439E0"/>
    <w:rsid w:val="59F57934"/>
    <w:rsid w:val="59F618FF"/>
    <w:rsid w:val="59F744E3"/>
    <w:rsid w:val="59F749B0"/>
    <w:rsid w:val="59F7EA6D"/>
    <w:rsid w:val="59FB8088"/>
    <w:rsid w:val="59FD9BF3"/>
    <w:rsid w:val="59FDFADB"/>
    <w:rsid w:val="59FE5443"/>
    <w:rsid w:val="59FEFB86"/>
    <w:rsid w:val="59FF5039"/>
    <w:rsid w:val="5A03E1E9"/>
    <w:rsid w:val="5A07701B"/>
    <w:rsid w:val="5A07A32D"/>
    <w:rsid w:val="5A07EEC1"/>
    <w:rsid w:val="5A081BA4"/>
    <w:rsid w:val="5A0BCB7C"/>
    <w:rsid w:val="5A0C6078"/>
    <w:rsid w:val="5A0D12CB"/>
    <w:rsid w:val="5A0FF28B"/>
    <w:rsid w:val="5A1065EF"/>
    <w:rsid w:val="5A10B94E"/>
    <w:rsid w:val="5A11ACDE"/>
    <w:rsid w:val="5A146437"/>
    <w:rsid w:val="5A17569E"/>
    <w:rsid w:val="5A1A0DED"/>
    <w:rsid w:val="5A1F894B"/>
    <w:rsid w:val="5A204A67"/>
    <w:rsid w:val="5A287744"/>
    <w:rsid w:val="5A288A2B"/>
    <w:rsid w:val="5A2BD491"/>
    <w:rsid w:val="5A2CACA8"/>
    <w:rsid w:val="5A2D2488"/>
    <w:rsid w:val="5A350DE6"/>
    <w:rsid w:val="5A35F9DC"/>
    <w:rsid w:val="5A3826F6"/>
    <w:rsid w:val="5A39F8D4"/>
    <w:rsid w:val="5A3BCB0E"/>
    <w:rsid w:val="5A3E0301"/>
    <w:rsid w:val="5A3E3B26"/>
    <w:rsid w:val="5A3F0BE0"/>
    <w:rsid w:val="5A3F995C"/>
    <w:rsid w:val="5A3FD7D0"/>
    <w:rsid w:val="5A40ED6B"/>
    <w:rsid w:val="5A44BD72"/>
    <w:rsid w:val="5A454B6B"/>
    <w:rsid w:val="5A460C1B"/>
    <w:rsid w:val="5A4650ED"/>
    <w:rsid w:val="5A4806A5"/>
    <w:rsid w:val="5A4DBC1F"/>
    <w:rsid w:val="5A4FEF9B"/>
    <w:rsid w:val="5A503D2C"/>
    <w:rsid w:val="5A503E7F"/>
    <w:rsid w:val="5A53BB90"/>
    <w:rsid w:val="5A56DC3A"/>
    <w:rsid w:val="5A57BDF3"/>
    <w:rsid w:val="5A59F20F"/>
    <w:rsid w:val="5A5AC34A"/>
    <w:rsid w:val="5A5AD531"/>
    <w:rsid w:val="5A5C25B8"/>
    <w:rsid w:val="5A5C3F88"/>
    <w:rsid w:val="5A5F5D88"/>
    <w:rsid w:val="5A60C64A"/>
    <w:rsid w:val="5A6137AD"/>
    <w:rsid w:val="5A636292"/>
    <w:rsid w:val="5A661A6B"/>
    <w:rsid w:val="5A6895A7"/>
    <w:rsid w:val="5A69CDE7"/>
    <w:rsid w:val="5A6A8D9E"/>
    <w:rsid w:val="5A709BC6"/>
    <w:rsid w:val="5A7219C1"/>
    <w:rsid w:val="5A73D92B"/>
    <w:rsid w:val="5A78881F"/>
    <w:rsid w:val="5A7A0B4C"/>
    <w:rsid w:val="5A7A99E5"/>
    <w:rsid w:val="5A7B18CC"/>
    <w:rsid w:val="5A7FDBFE"/>
    <w:rsid w:val="5A8044E9"/>
    <w:rsid w:val="5A804953"/>
    <w:rsid w:val="5A828E1E"/>
    <w:rsid w:val="5A841DA4"/>
    <w:rsid w:val="5A854CF2"/>
    <w:rsid w:val="5A86FF48"/>
    <w:rsid w:val="5A8A9849"/>
    <w:rsid w:val="5A8AC3C1"/>
    <w:rsid w:val="5A8D1FC3"/>
    <w:rsid w:val="5A8EC2F1"/>
    <w:rsid w:val="5A8EFBCD"/>
    <w:rsid w:val="5A8F6F6A"/>
    <w:rsid w:val="5A902084"/>
    <w:rsid w:val="5A9151CD"/>
    <w:rsid w:val="5A91A545"/>
    <w:rsid w:val="5A9763E2"/>
    <w:rsid w:val="5A97B6DD"/>
    <w:rsid w:val="5A983EB8"/>
    <w:rsid w:val="5A9CC0C2"/>
    <w:rsid w:val="5A9DAA52"/>
    <w:rsid w:val="5AA0DF1A"/>
    <w:rsid w:val="5AA13EA2"/>
    <w:rsid w:val="5AA1B4A8"/>
    <w:rsid w:val="5AA1BFD3"/>
    <w:rsid w:val="5AA37E13"/>
    <w:rsid w:val="5AA38F66"/>
    <w:rsid w:val="5AA3962B"/>
    <w:rsid w:val="5AA3B37E"/>
    <w:rsid w:val="5AA4545E"/>
    <w:rsid w:val="5AA46E5F"/>
    <w:rsid w:val="5AA6D76C"/>
    <w:rsid w:val="5AA70965"/>
    <w:rsid w:val="5AA794EF"/>
    <w:rsid w:val="5AA7CFE6"/>
    <w:rsid w:val="5AA7D109"/>
    <w:rsid w:val="5AA7FCD7"/>
    <w:rsid w:val="5AA80202"/>
    <w:rsid w:val="5AAF3412"/>
    <w:rsid w:val="5AAFAEF5"/>
    <w:rsid w:val="5AB55217"/>
    <w:rsid w:val="5AB62621"/>
    <w:rsid w:val="5AB70939"/>
    <w:rsid w:val="5ABB2E91"/>
    <w:rsid w:val="5ABBB9C4"/>
    <w:rsid w:val="5ABCF042"/>
    <w:rsid w:val="5ABFE5F7"/>
    <w:rsid w:val="5ABFF197"/>
    <w:rsid w:val="5AC00F94"/>
    <w:rsid w:val="5AC02A37"/>
    <w:rsid w:val="5AC066E8"/>
    <w:rsid w:val="5AC14A68"/>
    <w:rsid w:val="5AC154C4"/>
    <w:rsid w:val="5AC63B87"/>
    <w:rsid w:val="5AC79959"/>
    <w:rsid w:val="5AC7C5F4"/>
    <w:rsid w:val="5AC801FE"/>
    <w:rsid w:val="5AC82B2F"/>
    <w:rsid w:val="5AC8529A"/>
    <w:rsid w:val="5ACA325E"/>
    <w:rsid w:val="5ACC9C91"/>
    <w:rsid w:val="5ACD42E1"/>
    <w:rsid w:val="5ACDDA2F"/>
    <w:rsid w:val="5ACEC398"/>
    <w:rsid w:val="5ACF2298"/>
    <w:rsid w:val="5AD0250E"/>
    <w:rsid w:val="5AD5F082"/>
    <w:rsid w:val="5AD843DE"/>
    <w:rsid w:val="5ADB27DA"/>
    <w:rsid w:val="5AE3F785"/>
    <w:rsid w:val="5AEC5123"/>
    <w:rsid w:val="5AEDA249"/>
    <w:rsid w:val="5AEECCC3"/>
    <w:rsid w:val="5AF34D0C"/>
    <w:rsid w:val="5AFB154D"/>
    <w:rsid w:val="5AFB49D6"/>
    <w:rsid w:val="5AFBDAB8"/>
    <w:rsid w:val="5AFC22ED"/>
    <w:rsid w:val="5AFD6204"/>
    <w:rsid w:val="5AFFB413"/>
    <w:rsid w:val="5B0269BE"/>
    <w:rsid w:val="5B04313C"/>
    <w:rsid w:val="5B08439E"/>
    <w:rsid w:val="5B098824"/>
    <w:rsid w:val="5B098BF6"/>
    <w:rsid w:val="5B0CC26F"/>
    <w:rsid w:val="5B0EB5E1"/>
    <w:rsid w:val="5B0EBB0A"/>
    <w:rsid w:val="5B1B9EBF"/>
    <w:rsid w:val="5B1C5984"/>
    <w:rsid w:val="5B1CF2AF"/>
    <w:rsid w:val="5B1E35A1"/>
    <w:rsid w:val="5B205BE4"/>
    <w:rsid w:val="5B211DC2"/>
    <w:rsid w:val="5B23FB24"/>
    <w:rsid w:val="5B24D8CD"/>
    <w:rsid w:val="5B279239"/>
    <w:rsid w:val="5B27F4F0"/>
    <w:rsid w:val="5B29A167"/>
    <w:rsid w:val="5B29C394"/>
    <w:rsid w:val="5B2AECBC"/>
    <w:rsid w:val="5B2B9641"/>
    <w:rsid w:val="5B2BE09D"/>
    <w:rsid w:val="5B2EF52F"/>
    <w:rsid w:val="5B2F37CA"/>
    <w:rsid w:val="5B30BB23"/>
    <w:rsid w:val="5B32486A"/>
    <w:rsid w:val="5B332E86"/>
    <w:rsid w:val="5B36186C"/>
    <w:rsid w:val="5B36F72A"/>
    <w:rsid w:val="5B3738F3"/>
    <w:rsid w:val="5B386C62"/>
    <w:rsid w:val="5B3B832F"/>
    <w:rsid w:val="5B3BAC14"/>
    <w:rsid w:val="5B3C9DB9"/>
    <w:rsid w:val="5B3CB8D6"/>
    <w:rsid w:val="5B3EEF82"/>
    <w:rsid w:val="5B3F4CDA"/>
    <w:rsid w:val="5B3FD6F7"/>
    <w:rsid w:val="5B40F50A"/>
    <w:rsid w:val="5B41030F"/>
    <w:rsid w:val="5B427CDD"/>
    <w:rsid w:val="5B439C64"/>
    <w:rsid w:val="5B448806"/>
    <w:rsid w:val="5B44961E"/>
    <w:rsid w:val="5B449B2C"/>
    <w:rsid w:val="5B45553D"/>
    <w:rsid w:val="5B4DCF13"/>
    <w:rsid w:val="5B4E5294"/>
    <w:rsid w:val="5B5340C4"/>
    <w:rsid w:val="5B53C12C"/>
    <w:rsid w:val="5B551985"/>
    <w:rsid w:val="5B588447"/>
    <w:rsid w:val="5B58A5BE"/>
    <w:rsid w:val="5B5963ED"/>
    <w:rsid w:val="5B5A0611"/>
    <w:rsid w:val="5B5AF09B"/>
    <w:rsid w:val="5B61825A"/>
    <w:rsid w:val="5B62D3C1"/>
    <w:rsid w:val="5B635368"/>
    <w:rsid w:val="5B66B57E"/>
    <w:rsid w:val="5B68A888"/>
    <w:rsid w:val="5B69B6FC"/>
    <w:rsid w:val="5B6AED0F"/>
    <w:rsid w:val="5B74C327"/>
    <w:rsid w:val="5B7C3CE1"/>
    <w:rsid w:val="5B7CA32B"/>
    <w:rsid w:val="5B7F822F"/>
    <w:rsid w:val="5B874C8E"/>
    <w:rsid w:val="5B8BFB5A"/>
    <w:rsid w:val="5B8E0E51"/>
    <w:rsid w:val="5B8EA24A"/>
    <w:rsid w:val="5B92F645"/>
    <w:rsid w:val="5B93CC4E"/>
    <w:rsid w:val="5B9475EF"/>
    <w:rsid w:val="5B95D4C6"/>
    <w:rsid w:val="5B95E0A7"/>
    <w:rsid w:val="5B97E62C"/>
    <w:rsid w:val="5B98DF28"/>
    <w:rsid w:val="5B990E45"/>
    <w:rsid w:val="5B993CD9"/>
    <w:rsid w:val="5B9B399E"/>
    <w:rsid w:val="5B9EF3EC"/>
    <w:rsid w:val="5B9FEDDC"/>
    <w:rsid w:val="5BA059C2"/>
    <w:rsid w:val="5BA0F2B7"/>
    <w:rsid w:val="5BA1E9AB"/>
    <w:rsid w:val="5BA255D2"/>
    <w:rsid w:val="5BA25FD9"/>
    <w:rsid w:val="5BA6DB02"/>
    <w:rsid w:val="5BA717B8"/>
    <w:rsid w:val="5BA7E2B4"/>
    <w:rsid w:val="5BA93917"/>
    <w:rsid w:val="5BA9D1AE"/>
    <w:rsid w:val="5BB188A6"/>
    <w:rsid w:val="5BB27207"/>
    <w:rsid w:val="5BB67EA7"/>
    <w:rsid w:val="5BB764F2"/>
    <w:rsid w:val="5BB77A4A"/>
    <w:rsid w:val="5BBB52BE"/>
    <w:rsid w:val="5BBBAB3D"/>
    <w:rsid w:val="5BBCB340"/>
    <w:rsid w:val="5BBE2BD2"/>
    <w:rsid w:val="5BBF6CD5"/>
    <w:rsid w:val="5BC17D49"/>
    <w:rsid w:val="5BC1DF39"/>
    <w:rsid w:val="5BC4D4A0"/>
    <w:rsid w:val="5BC97021"/>
    <w:rsid w:val="5BC9D098"/>
    <w:rsid w:val="5BCCC4B7"/>
    <w:rsid w:val="5BCD322D"/>
    <w:rsid w:val="5BCEAEAA"/>
    <w:rsid w:val="5BCFBAE9"/>
    <w:rsid w:val="5BD2FB74"/>
    <w:rsid w:val="5BD54939"/>
    <w:rsid w:val="5BD92ADD"/>
    <w:rsid w:val="5BDAFC21"/>
    <w:rsid w:val="5BE3998E"/>
    <w:rsid w:val="5BE52890"/>
    <w:rsid w:val="5BE9EA69"/>
    <w:rsid w:val="5BF358BA"/>
    <w:rsid w:val="5BF4E6C4"/>
    <w:rsid w:val="5BFE3F2D"/>
    <w:rsid w:val="5C01A23C"/>
    <w:rsid w:val="5C043FA1"/>
    <w:rsid w:val="5C05784A"/>
    <w:rsid w:val="5C08B108"/>
    <w:rsid w:val="5C0A88FC"/>
    <w:rsid w:val="5C0BAC0D"/>
    <w:rsid w:val="5C0D8D40"/>
    <w:rsid w:val="5C0E5F90"/>
    <w:rsid w:val="5C0FC013"/>
    <w:rsid w:val="5C104CAB"/>
    <w:rsid w:val="5C119F7A"/>
    <w:rsid w:val="5C11B2F7"/>
    <w:rsid w:val="5C12188F"/>
    <w:rsid w:val="5C131905"/>
    <w:rsid w:val="5C172187"/>
    <w:rsid w:val="5C186722"/>
    <w:rsid w:val="5C192EE4"/>
    <w:rsid w:val="5C1A1694"/>
    <w:rsid w:val="5C1A6D59"/>
    <w:rsid w:val="5C1BD84E"/>
    <w:rsid w:val="5C1BE366"/>
    <w:rsid w:val="5C1D034E"/>
    <w:rsid w:val="5C1D404B"/>
    <w:rsid w:val="5C1E942C"/>
    <w:rsid w:val="5C1F410C"/>
    <w:rsid w:val="5C22ED4F"/>
    <w:rsid w:val="5C234A99"/>
    <w:rsid w:val="5C254F9E"/>
    <w:rsid w:val="5C26D2A4"/>
    <w:rsid w:val="5C2C1FD8"/>
    <w:rsid w:val="5C31ADF8"/>
    <w:rsid w:val="5C31F084"/>
    <w:rsid w:val="5C347C08"/>
    <w:rsid w:val="5C34B4A5"/>
    <w:rsid w:val="5C34E362"/>
    <w:rsid w:val="5C35C28B"/>
    <w:rsid w:val="5C35D149"/>
    <w:rsid w:val="5C39D25B"/>
    <w:rsid w:val="5C3B4AEF"/>
    <w:rsid w:val="5C3CE20B"/>
    <w:rsid w:val="5C40FA23"/>
    <w:rsid w:val="5C414CB5"/>
    <w:rsid w:val="5C42F440"/>
    <w:rsid w:val="5C4319E1"/>
    <w:rsid w:val="5C4381B1"/>
    <w:rsid w:val="5C43FA34"/>
    <w:rsid w:val="5C44FA70"/>
    <w:rsid w:val="5C450143"/>
    <w:rsid w:val="5C4591B3"/>
    <w:rsid w:val="5C46821B"/>
    <w:rsid w:val="5C46A871"/>
    <w:rsid w:val="5C4AD99C"/>
    <w:rsid w:val="5C4C89D3"/>
    <w:rsid w:val="5C4FE67A"/>
    <w:rsid w:val="5C51A836"/>
    <w:rsid w:val="5C51ABF7"/>
    <w:rsid w:val="5C521340"/>
    <w:rsid w:val="5C52DCD2"/>
    <w:rsid w:val="5C538ABA"/>
    <w:rsid w:val="5C557366"/>
    <w:rsid w:val="5C5754E0"/>
    <w:rsid w:val="5C581E1E"/>
    <w:rsid w:val="5C596772"/>
    <w:rsid w:val="5C5D9358"/>
    <w:rsid w:val="5C62A93C"/>
    <w:rsid w:val="5C639BDE"/>
    <w:rsid w:val="5C65E6A8"/>
    <w:rsid w:val="5C67DBDB"/>
    <w:rsid w:val="5C6815E1"/>
    <w:rsid w:val="5C689910"/>
    <w:rsid w:val="5C6B2222"/>
    <w:rsid w:val="5C6F5ACD"/>
    <w:rsid w:val="5C7082B0"/>
    <w:rsid w:val="5C70E2B3"/>
    <w:rsid w:val="5C730D19"/>
    <w:rsid w:val="5C7A73E4"/>
    <w:rsid w:val="5C80CD10"/>
    <w:rsid w:val="5C8164EA"/>
    <w:rsid w:val="5C81FFFF"/>
    <w:rsid w:val="5C861394"/>
    <w:rsid w:val="5C86F434"/>
    <w:rsid w:val="5C876238"/>
    <w:rsid w:val="5C8A6605"/>
    <w:rsid w:val="5C8B02BD"/>
    <w:rsid w:val="5C8CC0DD"/>
    <w:rsid w:val="5C8CE09F"/>
    <w:rsid w:val="5C8CE885"/>
    <w:rsid w:val="5C8E1636"/>
    <w:rsid w:val="5C8F4572"/>
    <w:rsid w:val="5C91A450"/>
    <w:rsid w:val="5C92E273"/>
    <w:rsid w:val="5C96362D"/>
    <w:rsid w:val="5C98F26C"/>
    <w:rsid w:val="5C98FAD9"/>
    <w:rsid w:val="5C9EAD49"/>
    <w:rsid w:val="5CA2A97C"/>
    <w:rsid w:val="5CA4405F"/>
    <w:rsid w:val="5CA685F8"/>
    <w:rsid w:val="5CA6A279"/>
    <w:rsid w:val="5CA8A104"/>
    <w:rsid w:val="5CA93C05"/>
    <w:rsid w:val="5CAAE372"/>
    <w:rsid w:val="5CAB5B8A"/>
    <w:rsid w:val="5CAB9882"/>
    <w:rsid w:val="5CABA065"/>
    <w:rsid w:val="5CB1E82B"/>
    <w:rsid w:val="5CB27197"/>
    <w:rsid w:val="5CB581CD"/>
    <w:rsid w:val="5CB87C6E"/>
    <w:rsid w:val="5CB9B82F"/>
    <w:rsid w:val="5CBB3397"/>
    <w:rsid w:val="5CC15A31"/>
    <w:rsid w:val="5CC22A08"/>
    <w:rsid w:val="5CC5C11F"/>
    <w:rsid w:val="5CC6E129"/>
    <w:rsid w:val="5CC6FD27"/>
    <w:rsid w:val="5CC7AEDB"/>
    <w:rsid w:val="5CC9B1FC"/>
    <w:rsid w:val="5CC9F68B"/>
    <w:rsid w:val="5CCA5824"/>
    <w:rsid w:val="5CCC08B5"/>
    <w:rsid w:val="5CCD47BF"/>
    <w:rsid w:val="5CCD80FF"/>
    <w:rsid w:val="5CCEEC17"/>
    <w:rsid w:val="5CD142CF"/>
    <w:rsid w:val="5CD35ECA"/>
    <w:rsid w:val="5CD464DC"/>
    <w:rsid w:val="5CD50088"/>
    <w:rsid w:val="5CD5AA0B"/>
    <w:rsid w:val="5CD8A73B"/>
    <w:rsid w:val="5CD9C73B"/>
    <w:rsid w:val="5CDBC421"/>
    <w:rsid w:val="5CE19671"/>
    <w:rsid w:val="5CE1FDE9"/>
    <w:rsid w:val="5CE36EF2"/>
    <w:rsid w:val="5CE38105"/>
    <w:rsid w:val="5CE62923"/>
    <w:rsid w:val="5CE6CE65"/>
    <w:rsid w:val="5CE7E551"/>
    <w:rsid w:val="5CEC0A6F"/>
    <w:rsid w:val="5CED5D1B"/>
    <w:rsid w:val="5CEF0FC1"/>
    <w:rsid w:val="5CF00EE0"/>
    <w:rsid w:val="5CF20EFC"/>
    <w:rsid w:val="5CF28A30"/>
    <w:rsid w:val="5CF39D1C"/>
    <w:rsid w:val="5CF5C0F9"/>
    <w:rsid w:val="5CFA2ABF"/>
    <w:rsid w:val="5CFAA4E8"/>
    <w:rsid w:val="5D048AAE"/>
    <w:rsid w:val="5D078C97"/>
    <w:rsid w:val="5D0A6941"/>
    <w:rsid w:val="5D0CA4BD"/>
    <w:rsid w:val="5D0DD801"/>
    <w:rsid w:val="5D0F3470"/>
    <w:rsid w:val="5D122B93"/>
    <w:rsid w:val="5D1A2918"/>
    <w:rsid w:val="5D1CD2BA"/>
    <w:rsid w:val="5D1DB922"/>
    <w:rsid w:val="5D1DFCA9"/>
    <w:rsid w:val="5D1E5D70"/>
    <w:rsid w:val="5D1E62D9"/>
    <w:rsid w:val="5D212E20"/>
    <w:rsid w:val="5D22AB5A"/>
    <w:rsid w:val="5D232BE4"/>
    <w:rsid w:val="5D24003B"/>
    <w:rsid w:val="5D25AE96"/>
    <w:rsid w:val="5D277078"/>
    <w:rsid w:val="5D2AF93A"/>
    <w:rsid w:val="5D2FB25E"/>
    <w:rsid w:val="5D31D1E1"/>
    <w:rsid w:val="5D352FEA"/>
    <w:rsid w:val="5D361472"/>
    <w:rsid w:val="5D3A1D2F"/>
    <w:rsid w:val="5D426565"/>
    <w:rsid w:val="5D43F47B"/>
    <w:rsid w:val="5D45201A"/>
    <w:rsid w:val="5D4769FD"/>
    <w:rsid w:val="5D492996"/>
    <w:rsid w:val="5D4C733E"/>
    <w:rsid w:val="5D4DD38F"/>
    <w:rsid w:val="5D5293B0"/>
    <w:rsid w:val="5D558E44"/>
    <w:rsid w:val="5D592540"/>
    <w:rsid w:val="5D5B64D6"/>
    <w:rsid w:val="5D629C25"/>
    <w:rsid w:val="5D6527DB"/>
    <w:rsid w:val="5D66BE8D"/>
    <w:rsid w:val="5D686189"/>
    <w:rsid w:val="5D68715E"/>
    <w:rsid w:val="5D690532"/>
    <w:rsid w:val="5D6B0087"/>
    <w:rsid w:val="5D6CC395"/>
    <w:rsid w:val="5D70A66C"/>
    <w:rsid w:val="5D73A2F3"/>
    <w:rsid w:val="5D73A33C"/>
    <w:rsid w:val="5D74FE20"/>
    <w:rsid w:val="5D7B1CC2"/>
    <w:rsid w:val="5D8530BC"/>
    <w:rsid w:val="5D861649"/>
    <w:rsid w:val="5D882030"/>
    <w:rsid w:val="5D8966C4"/>
    <w:rsid w:val="5D8A099D"/>
    <w:rsid w:val="5D8B4646"/>
    <w:rsid w:val="5D8C3A51"/>
    <w:rsid w:val="5D8CC880"/>
    <w:rsid w:val="5D8CDCEC"/>
    <w:rsid w:val="5D8CEDDB"/>
    <w:rsid w:val="5D8FC347"/>
    <w:rsid w:val="5D920310"/>
    <w:rsid w:val="5D936524"/>
    <w:rsid w:val="5D94FD13"/>
    <w:rsid w:val="5D97122A"/>
    <w:rsid w:val="5D97A0B1"/>
    <w:rsid w:val="5D98840A"/>
    <w:rsid w:val="5D99D9D4"/>
    <w:rsid w:val="5D9AD852"/>
    <w:rsid w:val="5D9AFCC9"/>
    <w:rsid w:val="5DA025C2"/>
    <w:rsid w:val="5DA24DFC"/>
    <w:rsid w:val="5DA56440"/>
    <w:rsid w:val="5DA675AC"/>
    <w:rsid w:val="5DA6CA23"/>
    <w:rsid w:val="5DA8D43C"/>
    <w:rsid w:val="5DA93152"/>
    <w:rsid w:val="5DA98045"/>
    <w:rsid w:val="5DAAB000"/>
    <w:rsid w:val="5DAB310D"/>
    <w:rsid w:val="5DAEC20A"/>
    <w:rsid w:val="5DAEF8FB"/>
    <w:rsid w:val="5DAFB011"/>
    <w:rsid w:val="5DB0A62A"/>
    <w:rsid w:val="5DB2688E"/>
    <w:rsid w:val="5DB28FBF"/>
    <w:rsid w:val="5DB3C6F0"/>
    <w:rsid w:val="5DB4090C"/>
    <w:rsid w:val="5DB60B56"/>
    <w:rsid w:val="5DB7A8C1"/>
    <w:rsid w:val="5DB95D84"/>
    <w:rsid w:val="5DBAC708"/>
    <w:rsid w:val="5DBB2E73"/>
    <w:rsid w:val="5DBC5B4E"/>
    <w:rsid w:val="5DBD8445"/>
    <w:rsid w:val="5DC7FAA3"/>
    <w:rsid w:val="5DCA760C"/>
    <w:rsid w:val="5DCADC8C"/>
    <w:rsid w:val="5DCC509D"/>
    <w:rsid w:val="5DCDFA19"/>
    <w:rsid w:val="5DD07076"/>
    <w:rsid w:val="5DD1A994"/>
    <w:rsid w:val="5DD2BEBD"/>
    <w:rsid w:val="5DD4A780"/>
    <w:rsid w:val="5DD4AD3F"/>
    <w:rsid w:val="5DD6DE05"/>
    <w:rsid w:val="5DDC9901"/>
    <w:rsid w:val="5DDD39F2"/>
    <w:rsid w:val="5DE57E43"/>
    <w:rsid w:val="5DE740EE"/>
    <w:rsid w:val="5DE86666"/>
    <w:rsid w:val="5DE975D7"/>
    <w:rsid w:val="5DEF4E61"/>
    <w:rsid w:val="5DEFFA9E"/>
    <w:rsid w:val="5DF100B3"/>
    <w:rsid w:val="5DF27C51"/>
    <w:rsid w:val="5DF61C49"/>
    <w:rsid w:val="5DF78040"/>
    <w:rsid w:val="5DFAAF78"/>
    <w:rsid w:val="5DFAB548"/>
    <w:rsid w:val="5DFB4C9D"/>
    <w:rsid w:val="5DFBE5DE"/>
    <w:rsid w:val="5DFE90AD"/>
    <w:rsid w:val="5E0683B1"/>
    <w:rsid w:val="5E06A2E5"/>
    <w:rsid w:val="5E0745CF"/>
    <w:rsid w:val="5E07599C"/>
    <w:rsid w:val="5E07A10C"/>
    <w:rsid w:val="5E08720B"/>
    <w:rsid w:val="5E0922F2"/>
    <w:rsid w:val="5E097021"/>
    <w:rsid w:val="5E0B19CD"/>
    <w:rsid w:val="5E0B8705"/>
    <w:rsid w:val="5E0B8A10"/>
    <w:rsid w:val="5E0CF04A"/>
    <w:rsid w:val="5E0D2C85"/>
    <w:rsid w:val="5E0E6383"/>
    <w:rsid w:val="5E112E22"/>
    <w:rsid w:val="5E11C428"/>
    <w:rsid w:val="5E179E46"/>
    <w:rsid w:val="5E182578"/>
    <w:rsid w:val="5E194561"/>
    <w:rsid w:val="5E19F5A7"/>
    <w:rsid w:val="5E1BE0CD"/>
    <w:rsid w:val="5E1DD5C4"/>
    <w:rsid w:val="5E23C832"/>
    <w:rsid w:val="5E24DB08"/>
    <w:rsid w:val="5E25A797"/>
    <w:rsid w:val="5E27C3CF"/>
    <w:rsid w:val="5E2ABA7D"/>
    <w:rsid w:val="5E2D3BD5"/>
    <w:rsid w:val="5E2DD879"/>
    <w:rsid w:val="5E2FA60A"/>
    <w:rsid w:val="5E33E71D"/>
    <w:rsid w:val="5E359F17"/>
    <w:rsid w:val="5E35AA4D"/>
    <w:rsid w:val="5E379299"/>
    <w:rsid w:val="5E38AFBD"/>
    <w:rsid w:val="5E3A2B63"/>
    <w:rsid w:val="5E415EA8"/>
    <w:rsid w:val="5E418621"/>
    <w:rsid w:val="5E41CEBE"/>
    <w:rsid w:val="5E41D523"/>
    <w:rsid w:val="5E464A24"/>
    <w:rsid w:val="5E4B3767"/>
    <w:rsid w:val="5E4DBC98"/>
    <w:rsid w:val="5E567DBB"/>
    <w:rsid w:val="5E58D0A5"/>
    <w:rsid w:val="5E5BA28D"/>
    <w:rsid w:val="5E5C237D"/>
    <w:rsid w:val="5E5D77C6"/>
    <w:rsid w:val="5E5EA55F"/>
    <w:rsid w:val="5E601249"/>
    <w:rsid w:val="5E61B182"/>
    <w:rsid w:val="5E61D212"/>
    <w:rsid w:val="5E627C31"/>
    <w:rsid w:val="5E628655"/>
    <w:rsid w:val="5E6970FE"/>
    <w:rsid w:val="5E6EF898"/>
    <w:rsid w:val="5E749B32"/>
    <w:rsid w:val="5E751385"/>
    <w:rsid w:val="5E7942FF"/>
    <w:rsid w:val="5E7BC2B6"/>
    <w:rsid w:val="5E7C28BE"/>
    <w:rsid w:val="5E7C76BC"/>
    <w:rsid w:val="5E7DFB22"/>
    <w:rsid w:val="5E8021A2"/>
    <w:rsid w:val="5E80BB89"/>
    <w:rsid w:val="5E851E11"/>
    <w:rsid w:val="5E85542E"/>
    <w:rsid w:val="5E87177F"/>
    <w:rsid w:val="5E88A993"/>
    <w:rsid w:val="5E8D2672"/>
    <w:rsid w:val="5E90D867"/>
    <w:rsid w:val="5E91753B"/>
    <w:rsid w:val="5E91F17E"/>
    <w:rsid w:val="5E928787"/>
    <w:rsid w:val="5E92AA73"/>
    <w:rsid w:val="5E94C717"/>
    <w:rsid w:val="5E95459F"/>
    <w:rsid w:val="5E99A7B9"/>
    <w:rsid w:val="5E99FA94"/>
    <w:rsid w:val="5E9D347B"/>
    <w:rsid w:val="5EA2DBEE"/>
    <w:rsid w:val="5EA396CE"/>
    <w:rsid w:val="5EA3D94F"/>
    <w:rsid w:val="5EA6E72D"/>
    <w:rsid w:val="5EA948CE"/>
    <w:rsid w:val="5EA95174"/>
    <w:rsid w:val="5EA9708E"/>
    <w:rsid w:val="5EAAE58B"/>
    <w:rsid w:val="5EAB1199"/>
    <w:rsid w:val="5EAFFD20"/>
    <w:rsid w:val="5EB17561"/>
    <w:rsid w:val="5EB2DBD6"/>
    <w:rsid w:val="5EB4DB31"/>
    <w:rsid w:val="5EB59784"/>
    <w:rsid w:val="5EB5AFAD"/>
    <w:rsid w:val="5EB64063"/>
    <w:rsid w:val="5EBE2630"/>
    <w:rsid w:val="5EBF0E91"/>
    <w:rsid w:val="5EBF53FF"/>
    <w:rsid w:val="5EC0149E"/>
    <w:rsid w:val="5EC01981"/>
    <w:rsid w:val="5EC0E72C"/>
    <w:rsid w:val="5EC111C0"/>
    <w:rsid w:val="5EC1A934"/>
    <w:rsid w:val="5EC2879E"/>
    <w:rsid w:val="5EC71399"/>
    <w:rsid w:val="5EC8CC10"/>
    <w:rsid w:val="5ECA43E8"/>
    <w:rsid w:val="5ECCDB85"/>
    <w:rsid w:val="5ECDD883"/>
    <w:rsid w:val="5ED07CE5"/>
    <w:rsid w:val="5ED1531D"/>
    <w:rsid w:val="5ED42F1D"/>
    <w:rsid w:val="5ED58181"/>
    <w:rsid w:val="5ED58C51"/>
    <w:rsid w:val="5ED702DA"/>
    <w:rsid w:val="5EDA9867"/>
    <w:rsid w:val="5EDCF906"/>
    <w:rsid w:val="5EDF2CFC"/>
    <w:rsid w:val="5EE0A844"/>
    <w:rsid w:val="5EE1B802"/>
    <w:rsid w:val="5EE44CA1"/>
    <w:rsid w:val="5EE57250"/>
    <w:rsid w:val="5EE842B1"/>
    <w:rsid w:val="5EEA4087"/>
    <w:rsid w:val="5EEC0AAF"/>
    <w:rsid w:val="5EEEFCC2"/>
    <w:rsid w:val="5EF0810B"/>
    <w:rsid w:val="5EF57A3B"/>
    <w:rsid w:val="5EF8EA77"/>
    <w:rsid w:val="5EFAA745"/>
    <w:rsid w:val="5EFBBBD7"/>
    <w:rsid w:val="5EFC6BBF"/>
    <w:rsid w:val="5F03959B"/>
    <w:rsid w:val="5F03A1B9"/>
    <w:rsid w:val="5F06A3FF"/>
    <w:rsid w:val="5F082BA2"/>
    <w:rsid w:val="5F0F7893"/>
    <w:rsid w:val="5F149A6E"/>
    <w:rsid w:val="5F15E851"/>
    <w:rsid w:val="5F16E53D"/>
    <w:rsid w:val="5F17CB45"/>
    <w:rsid w:val="5F1C6F38"/>
    <w:rsid w:val="5F218B1E"/>
    <w:rsid w:val="5F21B354"/>
    <w:rsid w:val="5F220D3E"/>
    <w:rsid w:val="5F2541FB"/>
    <w:rsid w:val="5F26E32A"/>
    <w:rsid w:val="5F2A8D15"/>
    <w:rsid w:val="5F2E3D14"/>
    <w:rsid w:val="5F2E5C32"/>
    <w:rsid w:val="5F317FE2"/>
    <w:rsid w:val="5F31E7F4"/>
    <w:rsid w:val="5F33D3AA"/>
    <w:rsid w:val="5F34C549"/>
    <w:rsid w:val="5F3526A4"/>
    <w:rsid w:val="5F38AC26"/>
    <w:rsid w:val="5F39DC6C"/>
    <w:rsid w:val="5F3CD9B9"/>
    <w:rsid w:val="5F4099B4"/>
    <w:rsid w:val="5F415BD3"/>
    <w:rsid w:val="5F41B4ED"/>
    <w:rsid w:val="5F43F1FF"/>
    <w:rsid w:val="5F45D996"/>
    <w:rsid w:val="5F476294"/>
    <w:rsid w:val="5F49343E"/>
    <w:rsid w:val="5F4A7394"/>
    <w:rsid w:val="5F4CDFE5"/>
    <w:rsid w:val="5F507209"/>
    <w:rsid w:val="5F571017"/>
    <w:rsid w:val="5F57D932"/>
    <w:rsid w:val="5F58A6D9"/>
    <w:rsid w:val="5F5A35D9"/>
    <w:rsid w:val="5F5ABC9D"/>
    <w:rsid w:val="5F5DD9A9"/>
    <w:rsid w:val="5F5E457A"/>
    <w:rsid w:val="5F618DBF"/>
    <w:rsid w:val="5F61E37C"/>
    <w:rsid w:val="5F621348"/>
    <w:rsid w:val="5F63E0C4"/>
    <w:rsid w:val="5F651433"/>
    <w:rsid w:val="5F6B5CC4"/>
    <w:rsid w:val="5F6BE3C9"/>
    <w:rsid w:val="5F6E408C"/>
    <w:rsid w:val="5F6EA760"/>
    <w:rsid w:val="5F6F1B61"/>
    <w:rsid w:val="5F702E48"/>
    <w:rsid w:val="5F75B183"/>
    <w:rsid w:val="5F770303"/>
    <w:rsid w:val="5F7932B9"/>
    <w:rsid w:val="5F7937A1"/>
    <w:rsid w:val="5F79ECAE"/>
    <w:rsid w:val="5F7C4E3B"/>
    <w:rsid w:val="5F7C53C4"/>
    <w:rsid w:val="5F7CB9C7"/>
    <w:rsid w:val="5F7FF2DC"/>
    <w:rsid w:val="5F805BE2"/>
    <w:rsid w:val="5F817D8E"/>
    <w:rsid w:val="5F8831F1"/>
    <w:rsid w:val="5F8936A5"/>
    <w:rsid w:val="5F9330A1"/>
    <w:rsid w:val="5F942174"/>
    <w:rsid w:val="5F9512E4"/>
    <w:rsid w:val="5F95278D"/>
    <w:rsid w:val="5F975305"/>
    <w:rsid w:val="5F9A72F6"/>
    <w:rsid w:val="5F9CC5D2"/>
    <w:rsid w:val="5F9E27A8"/>
    <w:rsid w:val="5FA0FC7B"/>
    <w:rsid w:val="5FA16D3B"/>
    <w:rsid w:val="5FA3CEDA"/>
    <w:rsid w:val="5FA68C3B"/>
    <w:rsid w:val="5FAB5A5E"/>
    <w:rsid w:val="5FAFBC4A"/>
    <w:rsid w:val="5FB36366"/>
    <w:rsid w:val="5FB753D8"/>
    <w:rsid w:val="5FB7FA13"/>
    <w:rsid w:val="5FB8A4C5"/>
    <w:rsid w:val="5FB9A0CA"/>
    <w:rsid w:val="5FBD4CCB"/>
    <w:rsid w:val="5FBE2A79"/>
    <w:rsid w:val="5FBF0090"/>
    <w:rsid w:val="5FC145E8"/>
    <w:rsid w:val="5FC2724C"/>
    <w:rsid w:val="5FC3926C"/>
    <w:rsid w:val="5FC40BC4"/>
    <w:rsid w:val="5FC4705A"/>
    <w:rsid w:val="5FC519AF"/>
    <w:rsid w:val="5FC9B05D"/>
    <w:rsid w:val="5FCA468E"/>
    <w:rsid w:val="5FD0E245"/>
    <w:rsid w:val="5FD19934"/>
    <w:rsid w:val="5FD27EBB"/>
    <w:rsid w:val="5FD68991"/>
    <w:rsid w:val="5FD813C0"/>
    <w:rsid w:val="5FDC5859"/>
    <w:rsid w:val="5FDCD3A3"/>
    <w:rsid w:val="5FE1C66B"/>
    <w:rsid w:val="5FE1F6D4"/>
    <w:rsid w:val="5FE24E78"/>
    <w:rsid w:val="5FE40946"/>
    <w:rsid w:val="5FE9D00A"/>
    <w:rsid w:val="5FF42BA1"/>
    <w:rsid w:val="5FF43965"/>
    <w:rsid w:val="5FF4DFC9"/>
    <w:rsid w:val="5FF8B357"/>
    <w:rsid w:val="5FF90EFA"/>
    <w:rsid w:val="5FFCB967"/>
    <w:rsid w:val="5FFF5BFE"/>
    <w:rsid w:val="5FFF8B31"/>
    <w:rsid w:val="5FFF9A64"/>
    <w:rsid w:val="5FFFDD06"/>
    <w:rsid w:val="6000A972"/>
    <w:rsid w:val="6000D0AC"/>
    <w:rsid w:val="60022816"/>
    <w:rsid w:val="6002E62E"/>
    <w:rsid w:val="6003D793"/>
    <w:rsid w:val="600727A9"/>
    <w:rsid w:val="600955EA"/>
    <w:rsid w:val="600A79FE"/>
    <w:rsid w:val="600AC93C"/>
    <w:rsid w:val="600DF419"/>
    <w:rsid w:val="60100831"/>
    <w:rsid w:val="601534FB"/>
    <w:rsid w:val="60229B3B"/>
    <w:rsid w:val="60243074"/>
    <w:rsid w:val="60261D4D"/>
    <w:rsid w:val="6027C839"/>
    <w:rsid w:val="602E0695"/>
    <w:rsid w:val="602E37D3"/>
    <w:rsid w:val="602E6983"/>
    <w:rsid w:val="602FE0AB"/>
    <w:rsid w:val="6031764D"/>
    <w:rsid w:val="603296E2"/>
    <w:rsid w:val="60354563"/>
    <w:rsid w:val="60379787"/>
    <w:rsid w:val="6038078E"/>
    <w:rsid w:val="603E1FF9"/>
    <w:rsid w:val="603E7B80"/>
    <w:rsid w:val="6040E1DA"/>
    <w:rsid w:val="6043869D"/>
    <w:rsid w:val="60449D19"/>
    <w:rsid w:val="6044D717"/>
    <w:rsid w:val="6046BF35"/>
    <w:rsid w:val="604915CB"/>
    <w:rsid w:val="604F3D26"/>
    <w:rsid w:val="6051ED48"/>
    <w:rsid w:val="6052A535"/>
    <w:rsid w:val="6053C3AC"/>
    <w:rsid w:val="6053EDF3"/>
    <w:rsid w:val="60550BE2"/>
    <w:rsid w:val="605809FD"/>
    <w:rsid w:val="6059D949"/>
    <w:rsid w:val="605A40CC"/>
    <w:rsid w:val="605A4237"/>
    <w:rsid w:val="605AB8C1"/>
    <w:rsid w:val="605D4EBD"/>
    <w:rsid w:val="60603A2E"/>
    <w:rsid w:val="6064BA16"/>
    <w:rsid w:val="60684D35"/>
    <w:rsid w:val="6068A9FE"/>
    <w:rsid w:val="60699CC2"/>
    <w:rsid w:val="6070B05C"/>
    <w:rsid w:val="60755469"/>
    <w:rsid w:val="607D0860"/>
    <w:rsid w:val="607DC40A"/>
    <w:rsid w:val="607EE444"/>
    <w:rsid w:val="607EFF7F"/>
    <w:rsid w:val="6081DB92"/>
    <w:rsid w:val="60825963"/>
    <w:rsid w:val="6082F044"/>
    <w:rsid w:val="608368A3"/>
    <w:rsid w:val="60866C14"/>
    <w:rsid w:val="60867B86"/>
    <w:rsid w:val="6089215A"/>
    <w:rsid w:val="608BED75"/>
    <w:rsid w:val="608DB622"/>
    <w:rsid w:val="608E3090"/>
    <w:rsid w:val="6091122A"/>
    <w:rsid w:val="6091395D"/>
    <w:rsid w:val="609282BA"/>
    <w:rsid w:val="60932112"/>
    <w:rsid w:val="609495E9"/>
    <w:rsid w:val="6094D541"/>
    <w:rsid w:val="609637C3"/>
    <w:rsid w:val="6098A158"/>
    <w:rsid w:val="609A9C3B"/>
    <w:rsid w:val="609B5E7C"/>
    <w:rsid w:val="609DCCF6"/>
    <w:rsid w:val="609DF9A3"/>
    <w:rsid w:val="609F1CC0"/>
    <w:rsid w:val="60A2BB57"/>
    <w:rsid w:val="60A51FF0"/>
    <w:rsid w:val="60A5B55E"/>
    <w:rsid w:val="60A87671"/>
    <w:rsid w:val="60ACA5AD"/>
    <w:rsid w:val="60AD8370"/>
    <w:rsid w:val="60AD8B97"/>
    <w:rsid w:val="60ADFC12"/>
    <w:rsid w:val="60B0CA49"/>
    <w:rsid w:val="60B1F52B"/>
    <w:rsid w:val="60B69261"/>
    <w:rsid w:val="60B7FD7F"/>
    <w:rsid w:val="60B80B6D"/>
    <w:rsid w:val="60B80ED1"/>
    <w:rsid w:val="60B869AF"/>
    <w:rsid w:val="60B88E59"/>
    <w:rsid w:val="60BA6083"/>
    <w:rsid w:val="60BACF32"/>
    <w:rsid w:val="60BAD438"/>
    <w:rsid w:val="60BB0939"/>
    <w:rsid w:val="60BDCD11"/>
    <w:rsid w:val="60BE09B7"/>
    <w:rsid w:val="60C181B9"/>
    <w:rsid w:val="60C1CB34"/>
    <w:rsid w:val="60C21B1B"/>
    <w:rsid w:val="60C41F58"/>
    <w:rsid w:val="60C41F7A"/>
    <w:rsid w:val="60C71BE6"/>
    <w:rsid w:val="60C75643"/>
    <w:rsid w:val="60C77CD7"/>
    <w:rsid w:val="60C9F6A4"/>
    <w:rsid w:val="60CCB9DB"/>
    <w:rsid w:val="60D13211"/>
    <w:rsid w:val="60D24E2A"/>
    <w:rsid w:val="60D25065"/>
    <w:rsid w:val="60D29272"/>
    <w:rsid w:val="60D3A39A"/>
    <w:rsid w:val="60D8807E"/>
    <w:rsid w:val="60D94304"/>
    <w:rsid w:val="60DE0912"/>
    <w:rsid w:val="60DF9B33"/>
    <w:rsid w:val="60E2B1EB"/>
    <w:rsid w:val="60E3AF53"/>
    <w:rsid w:val="60E46DB2"/>
    <w:rsid w:val="60E586FA"/>
    <w:rsid w:val="60E637E1"/>
    <w:rsid w:val="60EA35DA"/>
    <w:rsid w:val="60EC1312"/>
    <w:rsid w:val="60EC847C"/>
    <w:rsid w:val="60ED8C4E"/>
    <w:rsid w:val="60EECA5B"/>
    <w:rsid w:val="60F09849"/>
    <w:rsid w:val="60F0EAB5"/>
    <w:rsid w:val="60F20926"/>
    <w:rsid w:val="60F4F2FA"/>
    <w:rsid w:val="60F5EF22"/>
    <w:rsid w:val="60F7D4DB"/>
    <w:rsid w:val="60FBF7FD"/>
    <w:rsid w:val="60FE7BAA"/>
    <w:rsid w:val="60FFCB61"/>
    <w:rsid w:val="6100EE96"/>
    <w:rsid w:val="6101B774"/>
    <w:rsid w:val="6103F29E"/>
    <w:rsid w:val="6106CBF4"/>
    <w:rsid w:val="6109632D"/>
    <w:rsid w:val="6109BA02"/>
    <w:rsid w:val="610DD179"/>
    <w:rsid w:val="610E7669"/>
    <w:rsid w:val="61111A4F"/>
    <w:rsid w:val="61127BCA"/>
    <w:rsid w:val="611285D9"/>
    <w:rsid w:val="6114AEB4"/>
    <w:rsid w:val="6119B560"/>
    <w:rsid w:val="611A0C07"/>
    <w:rsid w:val="611A5BC1"/>
    <w:rsid w:val="611BF218"/>
    <w:rsid w:val="611FD634"/>
    <w:rsid w:val="612034D5"/>
    <w:rsid w:val="6122EE48"/>
    <w:rsid w:val="61230D66"/>
    <w:rsid w:val="612600E1"/>
    <w:rsid w:val="61268176"/>
    <w:rsid w:val="6126B7AC"/>
    <w:rsid w:val="612B7F06"/>
    <w:rsid w:val="612F5825"/>
    <w:rsid w:val="6131AA6A"/>
    <w:rsid w:val="6132E972"/>
    <w:rsid w:val="6132F4DF"/>
    <w:rsid w:val="6133FD75"/>
    <w:rsid w:val="61344055"/>
    <w:rsid w:val="61346426"/>
    <w:rsid w:val="6134987B"/>
    <w:rsid w:val="613BC061"/>
    <w:rsid w:val="613E96DA"/>
    <w:rsid w:val="613F43CE"/>
    <w:rsid w:val="613F9D79"/>
    <w:rsid w:val="61468ED6"/>
    <w:rsid w:val="6146B1AE"/>
    <w:rsid w:val="614AB004"/>
    <w:rsid w:val="614C72D5"/>
    <w:rsid w:val="614D01B4"/>
    <w:rsid w:val="614EF5F2"/>
    <w:rsid w:val="615111B0"/>
    <w:rsid w:val="61534619"/>
    <w:rsid w:val="61544E86"/>
    <w:rsid w:val="6156818E"/>
    <w:rsid w:val="6157B79B"/>
    <w:rsid w:val="61593022"/>
    <w:rsid w:val="615CE4DF"/>
    <w:rsid w:val="6162A56C"/>
    <w:rsid w:val="6162B34A"/>
    <w:rsid w:val="6164CC87"/>
    <w:rsid w:val="616518C6"/>
    <w:rsid w:val="6165EF09"/>
    <w:rsid w:val="6166EFA8"/>
    <w:rsid w:val="616773D9"/>
    <w:rsid w:val="616A7FFE"/>
    <w:rsid w:val="616B0E1E"/>
    <w:rsid w:val="616B2502"/>
    <w:rsid w:val="616C0711"/>
    <w:rsid w:val="616D1839"/>
    <w:rsid w:val="616EE972"/>
    <w:rsid w:val="616FEB96"/>
    <w:rsid w:val="61705923"/>
    <w:rsid w:val="6170C231"/>
    <w:rsid w:val="6176E6FF"/>
    <w:rsid w:val="617BA4EA"/>
    <w:rsid w:val="617F1F05"/>
    <w:rsid w:val="6180ABC7"/>
    <w:rsid w:val="6180CD89"/>
    <w:rsid w:val="6182394E"/>
    <w:rsid w:val="61878E38"/>
    <w:rsid w:val="618CFB17"/>
    <w:rsid w:val="61928EEC"/>
    <w:rsid w:val="6192D222"/>
    <w:rsid w:val="61937D09"/>
    <w:rsid w:val="6193FA90"/>
    <w:rsid w:val="61941555"/>
    <w:rsid w:val="61949704"/>
    <w:rsid w:val="6194FFEF"/>
    <w:rsid w:val="619AB986"/>
    <w:rsid w:val="619B5E1B"/>
    <w:rsid w:val="619EA16A"/>
    <w:rsid w:val="619FE435"/>
    <w:rsid w:val="61A127E4"/>
    <w:rsid w:val="61A15251"/>
    <w:rsid w:val="61A3EDC0"/>
    <w:rsid w:val="61A40905"/>
    <w:rsid w:val="61A724EF"/>
    <w:rsid w:val="61A74732"/>
    <w:rsid w:val="61A91229"/>
    <w:rsid w:val="61AD2AA9"/>
    <w:rsid w:val="61AFD7DD"/>
    <w:rsid w:val="61B04A51"/>
    <w:rsid w:val="61B09EBF"/>
    <w:rsid w:val="61B1CAD7"/>
    <w:rsid w:val="61B7BF10"/>
    <w:rsid w:val="61B90C09"/>
    <w:rsid w:val="61BB80A2"/>
    <w:rsid w:val="61BC0F60"/>
    <w:rsid w:val="61BC5E97"/>
    <w:rsid w:val="61BE5E36"/>
    <w:rsid w:val="61BF6A3A"/>
    <w:rsid w:val="61BF8FF8"/>
    <w:rsid w:val="61C31A1F"/>
    <w:rsid w:val="61C627D4"/>
    <w:rsid w:val="61C7102D"/>
    <w:rsid w:val="61C80431"/>
    <w:rsid w:val="61C90D31"/>
    <w:rsid w:val="61C9A65F"/>
    <w:rsid w:val="61CA6C76"/>
    <w:rsid w:val="61CB7735"/>
    <w:rsid w:val="61D40E52"/>
    <w:rsid w:val="61D8DBE1"/>
    <w:rsid w:val="61D9B52F"/>
    <w:rsid w:val="61DA7B0A"/>
    <w:rsid w:val="61DAC93D"/>
    <w:rsid w:val="61DB6029"/>
    <w:rsid w:val="61DFC1BB"/>
    <w:rsid w:val="61E1FA19"/>
    <w:rsid w:val="61E52CA5"/>
    <w:rsid w:val="61E69C78"/>
    <w:rsid w:val="61E9611D"/>
    <w:rsid w:val="61ED0CDA"/>
    <w:rsid w:val="61ED1B19"/>
    <w:rsid w:val="61F2E3C8"/>
    <w:rsid w:val="61F2FC40"/>
    <w:rsid w:val="61F3332B"/>
    <w:rsid w:val="61F3BE53"/>
    <w:rsid w:val="61F692D4"/>
    <w:rsid w:val="61F84EBA"/>
    <w:rsid w:val="61F8B330"/>
    <w:rsid w:val="61FA9F58"/>
    <w:rsid w:val="61FCDAAF"/>
    <w:rsid w:val="61FE7832"/>
    <w:rsid w:val="61FF99C9"/>
    <w:rsid w:val="62032448"/>
    <w:rsid w:val="62034692"/>
    <w:rsid w:val="6206BA91"/>
    <w:rsid w:val="6206C77C"/>
    <w:rsid w:val="6208C73F"/>
    <w:rsid w:val="6208FFC7"/>
    <w:rsid w:val="6209EA13"/>
    <w:rsid w:val="620B1013"/>
    <w:rsid w:val="620B9C28"/>
    <w:rsid w:val="620D17FE"/>
    <w:rsid w:val="6212F54B"/>
    <w:rsid w:val="621BD457"/>
    <w:rsid w:val="621C0D3E"/>
    <w:rsid w:val="621E5B2C"/>
    <w:rsid w:val="6226818E"/>
    <w:rsid w:val="622C80D4"/>
    <w:rsid w:val="622F1C83"/>
    <w:rsid w:val="622F422F"/>
    <w:rsid w:val="62338789"/>
    <w:rsid w:val="62380497"/>
    <w:rsid w:val="623B0BC0"/>
    <w:rsid w:val="623F32EF"/>
    <w:rsid w:val="62402FEB"/>
    <w:rsid w:val="62423078"/>
    <w:rsid w:val="624344EA"/>
    <w:rsid w:val="62461889"/>
    <w:rsid w:val="62479D7F"/>
    <w:rsid w:val="624858B5"/>
    <w:rsid w:val="6248A28E"/>
    <w:rsid w:val="624955B0"/>
    <w:rsid w:val="624D27FC"/>
    <w:rsid w:val="624DB561"/>
    <w:rsid w:val="624E203F"/>
    <w:rsid w:val="624E6065"/>
    <w:rsid w:val="6250C842"/>
    <w:rsid w:val="6252A93B"/>
    <w:rsid w:val="62538B44"/>
    <w:rsid w:val="6254068B"/>
    <w:rsid w:val="62573E05"/>
    <w:rsid w:val="625787A6"/>
    <w:rsid w:val="62587605"/>
    <w:rsid w:val="62594218"/>
    <w:rsid w:val="6259DFF3"/>
    <w:rsid w:val="625C6561"/>
    <w:rsid w:val="625D0156"/>
    <w:rsid w:val="625E078C"/>
    <w:rsid w:val="625F6482"/>
    <w:rsid w:val="6260DE30"/>
    <w:rsid w:val="6262D576"/>
    <w:rsid w:val="6263B0EA"/>
    <w:rsid w:val="6264DD1B"/>
    <w:rsid w:val="62656912"/>
    <w:rsid w:val="626635B8"/>
    <w:rsid w:val="62688E17"/>
    <w:rsid w:val="626F18CA"/>
    <w:rsid w:val="626F46CF"/>
    <w:rsid w:val="627256C2"/>
    <w:rsid w:val="6273CF04"/>
    <w:rsid w:val="6277BF41"/>
    <w:rsid w:val="62780882"/>
    <w:rsid w:val="6278454D"/>
    <w:rsid w:val="6278D6F6"/>
    <w:rsid w:val="6279FBCD"/>
    <w:rsid w:val="627AE277"/>
    <w:rsid w:val="62815D3B"/>
    <w:rsid w:val="62837F72"/>
    <w:rsid w:val="62845AF1"/>
    <w:rsid w:val="62871407"/>
    <w:rsid w:val="6288FC16"/>
    <w:rsid w:val="6289C72D"/>
    <w:rsid w:val="6289DBC9"/>
    <w:rsid w:val="628A83D9"/>
    <w:rsid w:val="628AC633"/>
    <w:rsid w:val="628BD38D"/>
    <w:rsid w:val="628CEEEA"/>
    <w:rsid w:val="628E3920"/>
    <w:rsid w:val="629321E9"/>
    <w:rsid w:val="62963206"/>
    <w:rsid w:val="6296B7AF"/>
    <w:rsid w:val="629816C8"/>
    <w:rsid w:val="629B418B"/>
    <w:rsid w:val="629D0143"/>
    <w:rsid w:val="629D5D59"/>
    <w:rsid w:val="62A45462"/>
    <w:rsid w:val="62A5B41F"/>
    <w:rsid w:val="62A6C7E0"/>
    <w:rsid w:val="62AA12D2"/>
    <w:rsid w:val="62AAA8D3"/>
    <w:rsid w:val="62AC0D66"/>
    <w:rsid w:val="62ACA91F"/>
    <w:rsid w:val="62AE3CC6"/>
    <w:rsid w:val="62AF085F"/>
    <w:rsid w:val="62B1250C"/>
    <w:rsid w:val="62B1ADBA"/>
    <w:rsid w:val="62B1FDD6"/>
    <w:rsid w:val="62B2A057"/>
    <w:rsid w:val="62B2A834"/>
    <w:rsid w:val="62B2DD4F"/>
    <w:rsid w:val="62B2F40B"/>
    <w:rsid w:val="62B5970B"/>
    <w:rsid w:val="62B670DF"/>
    <w:rsid w:val="62BE9648"/>
    <w:rsid w:val="62C0BB56"/>
    <w:rsid w:val="62C0F4DE"/>
    <w:rsid w:val="62C203E9"/>
    <w:rsid w:val="62C5AD7C"/>
    <w:rsid w:val="62C637CB"/>
    <w:rsid w:val="62C81567"/>
    <w:rsid w:val="62CC72C1"/>
    <w:rsid w:val="62D2BBED"/>
    <w:rsid w:val="62E2157C"/>
    <w:rsid w:val="62E502C7"/>
    <w:rsid w:val="62E617A2"/>
    <w:rsid w:val="62E694F6"/>
    <w:rsid w:val="62E71FC3"/>
    <w:rsid w:val="62E96A83"/>
    <w:rsid w:val="62EA4FAD"/>
    <w:rsid w:val="62EAB5D2"/>
    <w:rsid w:val="62EC3875"/>
    <w:rsid w:val="62EDC613"/>
    <w:rsid w:val="62EFE059"/>
    <w:rsid w:val="62F01941"/>
    <w:rsid w:val="62F0C2E2"/>
    <w:rsid w:val="62F4F1CB"/>
    <w:rsid w:val="62F5D12B"/>
    <w:rsid w:val="62F6B6C9"/>
    <w:rsid w:val="62F70047"/>
    <w:rsid w:val="62F9DD89"/>
    <w:rsid w:val="62FBA9C7"/>
    <w:rsid w:val="62FC0538"/>
    <w:rsid w:val="62FCE360"/>
    <w:rsid w:val="6300A14E"/>
    <w:rsid w:val="6300DA19"/>
    <w:rsid w:val="6304BD5A"/>
    <w:rsid w:val="6305D5D6"/>
    <w:rsid w:val="6306A5FE"/>
    <w:rsid w:val="630892E7"/>
    <w:rsid w:val="630BF0BD"/>
    <w:rsid w:val="630F6EB8"/>
    <w:rsid w:val="63107C2F"/>
    <w:rsid w:val="6311DA12"/>
    <w:rsid w:val="6312D714"/>
    <w:rsid w:val="6315903D"/>
    <w:rsid w:val="6317C18C"/>
    <w:rsid w:val="6318F0B0"/>
    <w:rsid w:val="631BE725"/>
    <w:rsid w:val="631CEFF5"/>
    <w:rsid w:val="63216A80"/>
    <w:rsid w:val="6326233B"/>
    <w:rsid w:val="63292084"/>
    <w:rsid w:val="632B8522"/>
    <w:rsid w:val="632D3DC7"/>
    <w:rsid w:val="632ECEE7"/>
    <w:rsid w:val="632FC8FE"/>
    <w:rsid w:val="632FCFB7"/>
    <w:rsid w:val="63306439"/>
    <w:rsid w:val="6330CF2D"/>
    <w:rsid w:val="6330EE07"/>
    <w:rsid w:val="6334542F"/>
    <w:rsid w:val="63358AA3"/>
    <w:rsid w:val="6336500D"/>
    <w:rsid w:val="6339BFF5"/>
    <w:rsid w:val="633F70DB"/>
    <w:rsid w:val="63418CB7"/>
    <w:rsid w:val="6341A34B"/>
    <w:rsid w:val="63456594"/>
    <w:rsid w:val="634B5FDC"/>
    <w:rsid w:val="634F7F37"/>
    <w:rsid w:val="6352994C"/>
    <w:rsid w:val="63538DD0"/>
    <w:rsid w:val="635E6BF1"/>
    <w:rsid w:val="6360E90B"/>
    <w:rsid w:val="63622CD3"/>
    <w:rsid w:val="6364A915"/>
    <w:rsid w:val="636731EA"/>
    <w:rsid w:val="6369D63B"/>
    <w:rsid w:val="6369FB6A"/>
    <w:rsid w:val="636B599B"/>
    <w:rsid w:val="636B851C"/>
    <w:rsid w:val="636D7218"/>
    <w:rsid w:val="637247D5"/>
    <w:rsid w:val="63781881"/>
    <w:rsid w:val="637DEECF"/>
    <w:rsid w:val="637E33BA"/>
    <w:rsid w:val="637E5D66"/>
    <w:rsid w:val="637F84D9"/>
    <w:rsid w:val="638156A5"/>
    <w:rsid w:val="63843C1D"/>
    <w:rsid w:val="63846E7E"/>
    <w:rsid w:val="638691AC"/>
    <w:rsid w:val="63876162"/>
    <w:rsid w:val="638E0D5D"/>
    <w:rsid w:val="6390DEA1"/>
    <w:rsid w:val="6391A34B"/>
    <w:rsid w:val="6392B8D7"/>
    <w:rsid w:val="6393B0BA"/>
    <w:rsid w:val="63948E83"/>
    <w:rsid w:val="6395B454"/>
    <w:rsid w:val="6396D545"/>
    <w:rsid w:val="6397525D"/>
    <w:rsid w:val="639A698C"/>
    <w:rsid w:val="639B005E"/>
    <w:rsid w:val="639B2931"/>
    <w:rsid w:val="639C0852"/>
    <w:rsid w:val="639CDDCA"/>
    <w:rsid w:val="639F568F"/>
    <w:rsid w:val="63A066C0"/>
    <w:rsid w:val="63A25989"/>
    <w:rsid w:val="63A42EF7"/>
    <w:rsid w:val="63A5C130"/>
    <w:rsid w:val="63A6E8A5"/>
    <w:rsid w:val="63AAC208"/>
    <w:rsid w:val="63AB5FE6"/>
    <w:rsid w:val="63AE73E1"/>
    <w:rsid w:val="63AF250E"/>
    <w:rsid w:val="63AF70B2"/>
    <w:rsid w:val="63AFAC69"/>
    <w:rsid w:val="63B324B7"/>
    <w:rsid w:val="63B5040D"/>
    <w:rsid w:val="63B59CA8"/>
    <w:rsid w:val="63B68E90"/>
    <w:rsid w:val="63B95B1F"/>
    <w:rsid w:val="63BD0C8F"/>
    <w:rsid w:val="63BF7CD6"/>
    <w:rsid w:val="63C1A4CC"/>
    <w:rsid w:val="63C2EAC5"/>
    <w:rsid w:val="63C5D7CB"/>
    <w:rsid w:val="63C6D0C7"/>
    <w:rsid w:val="63C83DC1"/>
    <w:rsid w:val="63CD137B"/>
    <w:rsid w:val="63CEDFBB"/>
    <w:rsid w:val="63D76000"/>
    <w:rsid w:val="63D7D4C7"/>
    <w:rsid w:val="63DC6E75"/>
    <w:rsid w:val="63DE9636"/>
    <w:rsid w:val="63DF252E"/>
    <w:rsid w:val="63E028F6"/>
    <w:rsid w:val="63E26289"/>
    <w:rsid w:val="63E3B08B"/>
    <w:rsid w:val="63E45BFD"/>
    <w:rsid w:val="63E68FB4"/>
    <w:rsid w:val="63E7C165"/>
    <w:rsid w:val="63EC0107"/>
    <w:rsid w:val="63EF5D26"/>
    <w:rsid w:val="63F02CCD"/>
    <w:rsid w:val="63F65CC2"/>
    <w:rsid w:val="63FC764F"/>
    <w:rsid w:val="63FCDCDC"/>
    <w:rsid w:val="63FE6385"/>
    <w:rsid w:val="63FF9BAC"/>
    <w:rsid w:val="64015D0A"/>
    <w:rsid w:val="6403322B"/>
    <w:rsid w:val="6405CB94"/>
    <w:rsid w:val="64060BA4"/>
    <w:rsid w:val="64075587"/>
    <w:rsid w:val="640A3DC7"/>
    <w:rsid w:val="640B9C77"/>
    <w:rsid w:val="640ED884"/>
    <w:rsid w:val="64136F2D"/>
    <w:rsid w:val="64177ED6"/>
    <w:rsid w:val="6419BE90"/>
    <w:rsid w:val="641EB555"/>
    <w:rsid w:val="641F9AF9"/>
    <w:rsid w:val="641FF4AB"/>
    <w:rsid w:val="642298A1"/>
    <w:rsid w:val="6422F9C5"/>
    <w:rsid w:val="64234458"/>
    <w:rsid w:val="64278030"/>
    <w:rsid w:val="6427FB41"/>
    <w:rsid w:val="6428C50F"/>
    <w:rsid w:val="64305B2E"/>
    <w:rsid w:val="643433CC"/>
    <w:rsid w:val="64373FEC"/>
    <w:rsid w:val="643AF06E"/>
    <w:rsid w:val="643B5208"/>
    <w:rsid w:val="643C1EAB"/>
    <w:rsid w:val="6440E83C"/>
    <w:rsid w:val="6441D080"/>
    <w:rsid w:val="644403DE"/>
    <w:rsid w:val="6444299B"/>
    <w:rsid w:val="64469B14"/>
    <w:rsid w:val="644DEC19"/>
    <w:rsid w:val="6451D18A"/>
    <w:rsid w:val="64524334"/>
    <w:rsid w:val="64537DEA"/>
    <w:rsid w:val="6453E635"/>
    <w:rsid w:val="64564E20"/>
    <w:rsid w:val="6458822F"/>
    <w:rsid w:val="6459B6EF"/>
    <w:rsid w:val="645B6E2D"/>
    <w:rsid w:val="645C098A"/>
    <w:rsid w:val="645C5E2D"/>
    <w:rsid w:val="645D3AA8"/>
    <w:rsid w:val="645EB788"/>
    <w:rsid w:val="645ED8A0"/>
    <w:rsid w:val="645F5E53"/>
    <w:rsid w:val="64615D36"/>
    <w:rsid w:val="64620A37"/>
    <w:rsid w:val="64629E16"/>
    <w:rsid w:val="6468A925"/>
    <w:rsid w:val="646B2F88"/>
    <w:rsid w:val="646CE8D8"/>
    <w:rsid w:val="646CEBC0"/>
    <w:rsid w:val="646CFB62"/>
    <w:rsid w:val="646FC3B5"/>
    <w:rsid w:val="6470C2EA"/>
    <w:rsid w:val="64735664"/>
    <w:rsid w:val="64749C01"/>
    <w:rsid w:val="6476111B"/>
    <w:rsid w:val="6476987C"/>
    <w:rsid w:val="647A2C9B"/>
    <w:rsid w:val="647DE20D"/>
    <w:rsid w:val="647F73CD"/>
    <w:rsid w:val="647FD235"/>
    <w:rsid w:val="6485732E"/>
    <w:rsid w:val="6486A4DA"/>
    <w:rsid w:val="648B8719"/>
    <w:rsid w:val="648DC985"/>
    <w:rsid w:val="648EE3FC"/>
    <w:rsid w:val="648F0BB5"/>
    <w:rsid w:val="648F2B9F"/>
    <w:rsid w:val="64907CE1"/>
    <w:rsid w:val="6490E295"/>
    <w:rsid w:val="64923F78"/>
    <w:rsid w:val="64946AFE"/>
    <w:rsid w:val="64947DD7"/>
    <w:rsid w:val="649791C0"/>
    <w:rsid w:val="6498289C"/>
    <w:rsid w:val="64988DA6"/>
    <w:rsid w:val="6498D466"/>
    <w:rsid w:val="6499D75F"/>
    <w:rsid w:val="649EF5E9"/>
    <w:rsid w:val="649F785C"/>
    <w:rsid w:val="64A073A0"/>
    <w:rsid w:val="64A29E14"/>
    <w:rsid w:val="64A5015E"/>
    <w:rsid w:val="64A74431"/>
    <w:rsid w:val="64A74C2B"/>
    <w:rsid w:val="64A90006"/>
    <w:rsid w:val="64AA8F2E"/>
    <w:rsid w:val="64AE5928"/>
    <w:rsid w:val="64B15366"/>
    <w:rsid w:val="64B1E3FC"/>
    <w:rsid w:val="64B9267D"/>
    <w:rsid w:val="64BC08E8"/>
    <w:rsid w:val="64BE594A"/>
    <w:rsid w:val="64C15572"/>
    <w:rsid w:val="64C30F5C"/>
    <w:rsid w:val="64CC4D47"/>
    <w:rsid w:val="64CC531B"/>
    <w:rsid w:val="64CCDE37"/>
    <w:rsid w:val="64CEF3F4"/>
    <w:rsid w:val="64D057CA"/>
    <w:rsid w:val="64D1BFB0"/>
    <w:rsid w:val="64D2A43E"/>
    <w:rsid w:val="64D3EFCF"/>
    <w:rsid w:val="64D40E7A"/>
    <w:rsid w:val="64D4D806"/>
    <w:rsid w:val="64D60698"/>
    <w:rsid w:val="64D74D8D"/>
    <w:rsid w:val="64DA8353"/>
    <w:rsid w:val="64DB8B97"/>
    <w:rsid w:val="64DC057E"/>
    <w:rsid w:val="64DFCDA4"/>
    <w:rsid w:val="64E09666"/>
    <w:rsid w:val="64E13663"/>
    <w:rsid w:val="64E535EA"/>
    <w:rsid w:val="64E9782B"/>
    <w:rsid w:val="64EA8325"/>
    <w:rsid w:val="64EB0797"/>
    <w:rsid w:val="64EC8AD6"/>
    <w:rsid w:val="64ED6746"/>
    <w:rsid w:val="64EDE90E"/>
    <w:rsid w:val="64EE6292"/>
    <w:rsid w:val="64EEF831"/>
    <w:rsid w:val="64F2A8A6"/>
    <w:rsid w:val="64F3F04B"/>
    <w:rsid w:val="64F725BC"/>
    <w:rsid w:val="64F9B4FE"/>
    <w:rsid w:val="64FA2512"/>
    <w:rsid w:val="64FAF36A"/>
    <w:rsid w:val="64FC736E"/>
    <w:rsid w:val="64FCC876"/>
    <w:rsid w:val="64FE857A"/>
    <w:rsid w:val="6500F79D"/>
    <w:rsid w:val="6501BB73"/>
    <w:rsid w:val="6505E775"/>
    <w:rsid w:val="650746D3"/>
    <w:rsid w:val="6509B910"/>
    <w:rsid w:val="6509E272"/>
    <w:rsid w:val="650E7AA0"/>
    <w:rsid w:val="651055E2"/>
    <w:rsid w:val="6512E520"/>
    <w:rsid w:val="651987E0"/>
    <w:rsid w:val="651ADA57"/>
    <w:rsid w:val="651E0D5C"/>
    <w:rsid w:val="651F15E5"/>
    <w:rsid w:val="65206061"/>
    <w:rsid w:val="65209117"/>
    <w:rsid w:val="65211032"/>
    <w:rsid w:val="652734C8"/>
    <w:rsid w:val="6527CA34"/>
    <w:rsid w:val="65282DFC"/>
    <w:rsid w:val="652C0BA3"/>
    <w:rsid w:val="652F020A"/>
    <w:rsid w:val="652F7283"/>
    <w:rsid w:val="65394BA1"/>
    <w:rsid w:val="65398FF5"/>
    <w:rsid w:val="653A3F55"/>
    <w:rsid w:val="65401D3D"/>
    <w:rsid w:val="65402860"/>
    <w:rsid w:val="65418372"/>
    <w:rsid w:val="65445ADD"/>
    <w:rsid w:val="6547521E"/>
    <w:rsid w:val="65489FF6"/>
    <w:rsid w:val="65505593"/>
    <w:rsid w:val="65552364"/>
    <w:rsid w:val="65591B81"/>
    <w:rsid w:val="655C1163"/>
    <w:rsid w:val="6560C391"/>
    <w:rsid w:val="6563067E"/>
    <w:rsid w:val="65635272"/>
    <w:rsid w:val="6564CB6C"/>
    <w:rsid w:val="6566D39F"/>
    <w:rsid w:val="65695C3A"/>
    <w:rsid w:val="656A0814"/>
    <w:rsid w:val="656CD3B3"/>
    <w:rsid w:val="656D472B"/>
    <w:rsid w:val="656DA2C3"/>
    <w:rsid w:val="657021A9"/>
    <w:rsid w:val="65709103"/>
    <w:rsid w:val="65758EB0"/>
    <w:rsid w:val="6577F58A"/>
    <w:rsid w:val="6578097A"/>
    <w:rsid w:val="65791AEF"/>
    <w:rsid w:val="657C4219"/>
    <w:rsid w:val="658219F2"/>
    <w:rsid w:val="65862EA7"/>
    <w:rsid w:val="65885425"/>
    <w:rsid w:val="65897348"/>
    <w:rsid w:val="658A76C8"/>
    <w:rsid w:val="658FEB70"/>
    <w:rsid w:val="65903185"/>
    <w:rsid w:val="659302D0"/>
    <w:rsid w:val="659A44FB"/>
    <w:rsid w:val="659AA95F"/>
    <w:rsid w:val="659BF830"/>
    <w:rsid w:val="659D4A2D"/>
    <w:rsid w:val="659E6BA3"/>
    <w:rsid w:val="65A0D723"/>
    <w:rsid w:val="65A18895"/>
    <w:rsid w:val="65A18D22"/>
    <w:rsid w:val="65A216B8"/>
    <w:rsid w:val="65A3EDDD"/>
    <w:rsid w:val="65A5D7B8"/>
    <w:rsid w:val="65A709C8"/>
    <w:rsid w:val="65AE3B1E"/>
    <w:rsid w:val="65AF80A7"/>
    <w:rsid w:val="65AFC11F"/>
    <w:rsid w:val="65B16742"/>
    <w:rsid w:val="65B1AAC7"/>
    <w:rsid w:val="65B41D6E"/>
    <w:rsid w:val="65B463D8"/>
    <w:rsid w:val="65B4ED5C"/>
    <w:rsid w:val="65B5840C"/>
    <w:rsid w:val="65B6EC16"/>
    <w:rsid w:val="65B70F58"/>
    <w:rsid w:val="65B72D5C"/>
    <w:rsid w:val="65B84C08"/>
    <w:rsid w:val="65BA184B"/>
    <w:rsid w:val="65BA9E12"/>
    <w:rsid w:val="65BE1CB3"/>
    <w:rsid w:val="65BFED4D"/>
    <w:rsid w:val="65C60C00"/>
    <w:rsid w:val="65CB8616"/>
    <w:rsid w:val="65CDA8BB"/>
    <w:rsid w:val="65CF3856"/>
    <w:rsid w:val="65D0B29A"/>
    <w:rsid w:val="65D0F4D6"/>
    <w:rsid w:val="65D0FE34"/>
    <w:rsid w:val="65D1C3BD"/>
    <w:rsid w:val="65D409D1"/>
    <w:rsid w:val="65D5335F"/>
    <w:rsid w:val="65D9518C"/>
    <w:rsid w:val="65DA3BF8"/>
    <w:rsid w:val="65DB262A"/>
    <w:rsid w:val="65DC9AA5"/>
    <w:rsid w:val="65DCBE3E"/>
    <w:rsid w:val="65DEB77E"/>
    <w:rsid w:val="65E06F9F"/>
    <w:rsid w:val="65E35EAB"/>
    <w:rsid w:val="65E83237"/>
    <w:rsid w:val="65E9758C"/>
    <w:rsid w:val="65E9B663"/>
    <w:rsid w:val="65EAA7F3"/>
    <w:rsid w:val="65ECBB49"/>
    <w:rsid w:val="65F2FE28"/>
    <w:rsid w:val="65F5BD41"/>
    <w:rsid w:val="65F8DF19"/>
    <w:rsid w:val="65F9CDA5"/>
    <w:rsid w:val="65FC13CD"/>
    <w:rsid w:val="65FC1E64"/>
    <w:rsid w:val="65FE8032"/>
    <w:rsid w:val="6601A019"/>
    <w:rsid w:val="6605F135"/>
    <w:rsid w:val="6606893C"/>
    <w:rsid w:val="6607A787"/>
    <w:rsid w:val="660C7598"/>
    <w:rsid w:val="660D328C"/>
    <w:rsid w:val="660DE0E9"/>
    <w:rsid w:val="660E23A5"/>
    <w:rsid w:val="6610720A"/>
    <w:rsid w:val="6612AA15"/>
    <w:rsid w:val="6615D9CD"/>
    <w:rsid w:val="66161414"/>
    <w:rsid w:val="66161A10"/>
    <w:rsid w:val="66164644"/>
    <w:rsid w:val="66181999"/>
    <w:rsid w:val="66187C17"/>
    <w:rsid w:val="6619611A"/>
    <w:rsid w:val="661A8F34"/>
    <w:rsid w:val="661D0D49"/>
    <w:rsid w:val="6621AEE9"/>
    <w:rsid w:val="662691C4"/>
    <w:rsid w:val="6628F66D"/>
    <w:rsid w:val="6629CB60"/>
    <w:rsid w:val="662ACE49"/>
    <w:rsid w:val="662B4101"/>
    <w:rsid w:val="662E2B7F"/>
    <w:rsid w:val="662F5225"/>
    <w:rsid w:val="662FF1F3"/>
    <w:rsid w:val="66301B73"/>
    <w:rsid w:val="663188D6"/>
    <w:rsid w:val="66337446"/>
    <w:rsid w:val="66372BB8"/>
    <w:rsid w:val="663749E4"/>
    <w:rsid w:val="663A9722"/>
    <w:rsid w:val="663BFC74"/>
    <w:rsid w:val="663D1EEC"/>
    <w:rsid w:val="663DF9B2"/>
    <w:rsid w:val="6642DC08"/>
    <w:rsid w:val="66437BF6"/>
    <w:rsid w:val="66451A8E"/>
    <w:rsid w:val="66459B94"/>
    <w:rsid w:val="664684AE"/>
    <w:rsid w:val="6648EEC3"/>
    <w:rsid w:val="66494276"/>
    <w:rsid w:val="664CE76C"/>
    <w:rsid w:val="6650BDD9"/>
    <w:rsid w:val="66519B71"/>
    <w:rsid w:val="66525DE5"/>
    <w:rsid w:val="6652A3AC"/>
    <w:rsid w:val="6652A7B4"/>
    <w:rsid w:val="6652C152"/>
    <w:rsid w:val="6657B325"/>
    <w:rsid w:val="665FE666"/>
    <w:rsid w:val="66605E66"/>
    <w:rsid w:val="666656B4"/>
    <w:rsid w:val="666675F0"/>
    <w:rsid w:val="6667FBE4"/>
    <w:rsid w:val="666F2513"/>
    <w:rsid w:val="66725511"/>
    <w:rsid w:val="6676B34F"/>
    <w:rsid w:val="6677714D"/>
    <w:rsid w:val="667787B0"/>
    <w:rsid w:val="6677B79A"/>
    <w:rsid w:val="6679999B"/>
    <w:rsid w:val="667A4190"/>
    <w:rsid w:val="667EFA96"/>
    <w:rsid w:val="6680799E"/>
    <w:rsid w:val="668594D4"/>
    <w:rsid w:val="6687DCF5"/>
    <w:rsid w:val="668A9B9C"/>
    <w:rsid w:val="668AFE1A"/>
    <w:rsid w:val="668C0684"/>
    <w:rsid w:val="668C8842"/>
    <w:rsid w:val="668E43F5"/>
    <w:rsid w:val="668FD6D8"/>
    <w:rsid w:val="6692A712"/>
    <w:rsid w:val="66931FD7"/>
    <w:rsid w:val="6696E482"/>
    <w:rsid w:val="66976490"/>
    <w:rsid w:val="6698021B"/>
    <w:rsid w:val="669A8FB4"/>
    <w:rsid w:val="669AD5E2"/>
    <w:rsid w:val="669C14FA"/>
    <w:rsid w:val="669E0824"/>
    <w:rsid w:val="66A29E68"/>
    <w:rsid w:val="66A7CD06"/>
    <w:rsid w:val="66A90B57"/>
    <w:rsid w:val="66A9233E"/>
    <w:rsid w:val="66A9D5A4"/>
    <w:rsid w:val="66AC13D7"/>
    <w:rsid w:val="66AD0D48"/>
    <w:rsid w:val="66AD5D46"/>
    <w:rsid w:val="66AD9752"/>
    <w:rsid w:val="66B02972"/>
    <w:rsid w:val="66B0CA49"/>
    <w:rsid w:val="66B2F723"/>
    <w:rsid w:val="66B308AC"/>
    <w:rsid w:val="66B324A9"/>
    <w:rsid w:val="66B4A25F"/>
    <w:rsid w:val="66B6524D"/>
    <w:rsid w:val="66BC56DD"/>
    <w:rsid w:val="66BD3905"/>
    <w:rsid w:val="66BDD615"/>
    <w:rsid w:val="66C0AF95"/>
    <w:rsid w:val="66C1A21E"/>
    <w:rsid w:val="66C4F78A"/>
    <w:rsid w:val="66C67834"/>
    <w:rsid w:val="66C747F2"/>
    <w:rsid w:val="66C88171"/>
    <w:rsid w:val="66C97668"/>
    <w:rsid w:val="66CA540E"/>
    <w:rsid w:val="66CBC39F"/>
    <w:rsid w:val="66CE9832"/>
    <w:rsid w:val="66CF4037"/>
    <w:rsid w:val="66D01160"/>
    <w:rsid w:val="66D0DA9A"/>
    <w:rsid w:val="66D1CF9E"/>
    <w:rsid w:val="66D21BAF"/>
    <w:rsid w:val="66D5C0CA"/>
    <w:rsid w:val="66D5CF18"/>
    <w:rsid w:val="66D75941"/>
    <w:rsid w:val="66DD7639"/>
    <w:rsid w:val="66DE5355"/>
    <w:rsid w:val="66DF7255"/>
    <w:rsid w:val="66E1307D"/>
    <w:rsid w:val="66E20997"/>
    <w:rsid w:val="66E2764B"/>
    <w:rsid w:val="66E5F729"/>
    <w:rsid w:val="66E807EE"/>
    <w:rsid w:val="66EAF0F4"/>
    <w:rsid w:val="66EBC993"/>
    <w:rsid w:val="66EF8CE7"/>
    <w:rsid w:val="66F0B469"/>
    <w:rsid w:val="66FE46E0"/>
    <w:rsid w:val="67007AE1"/>
    <w:rsid w:val="6703D6F8"/>
    <w:rsid w:val="670409A8"/>
    <w:rsid w:val="67047BD6"/>
    <w:rsid w:val="670661E1"/>
    <w:rsid w:val="67085B46"/>
    <w:rsid w:val="670940F9"/>
    <w:rsid w:val="670BA7EA"/>
    <w:rsid w:val="670DDB25"/>
    <w:rsid w:val="670E99A4"/>
    <w:rsid w:val="670F1EF7"/>
    <w:rsid w:val="670F21D1"/>
    <w:rsid w:val="67103CC2"/>
    <w:rsid w:val="6710D823"/>
    <w:rsid w:val="6712C3E0"/>
    <w:rsid w:val="6712DB8A"/>
    <w:rsid w:val="671532C2"/>
    <w:rsid w:val="671D7309"/>
    <w:rsid w:val="671E73BF"/>
    <w:rsid w:val="6720E1B8"/>
    <w:rsid w:val="6721FF08"/>
    <w:rsid w:val="67224F9C"/>
    <w:rsid w:val="67227AC4"/>
    <w:rsid w:val="67252DEE"/>
    <w:rsid w:val="6725F46B"/>
    <w:rsid w:val="672E50C3"/>
    <w:rsid w:val="672EEAD6"/>
    <w:rsid w:val="6735EE1E"/>
    <w:rsid w:val="673806EC"/>
    <w:rsid w:val="67384B66"/>
    <w:rsid w:val="6738D491"/>
    <w:rsid w:val="673A10CF"/>
    <w:rsid w:val="673B5DC1"/>
    <w:rsid w:val="673DD312"/>
    <w:rsid w:val="673FB28E"/>
    <w:rsid w:val="6741B5CB"/>
    <w:rsid w:val="674360F1"/>
    <w:rsid w:val="6746D537"/>
    <w:rsid w:val="674CC984"/>
    <w:rsid w:val="675185D4"/>
    <w:rsid w:val="67519EDE"/>
    <w:rsid w:val="67528BFB"/>
    <w:rsid w:val="6757EFEF"/>
    <w:rsid w:val="675A008A"/>
    <w:rsid w:val="675A091E"/>
    <w:rsid w:val="675DB014"/>
    <w:rsid w:val="67601AA1"/>
    <w:rsid w:val="67635089"/>
    <w:rsid w:val="67649440"/>
    <w:rsid w:val="676718C0"/>
    <w:rsid w:val="67684329"/>
    <w:rsid w:val="676D67B9"/>
    <w:rsid w:val="676E791B"/>
    <w:rsid w:val="67715CEF"/>
    <w:rsid w:val="6771F26E"/>
    <w:rsid w:val="677740F5"/>
    <w:rsid w:val="6777FC20"/>
    <w:rsid w:val="677874A1"/>
    <w:rsid w:val="6779B7A0"/>
    <w:rsid w:val="677CAB16"/>
    <w:rsid w:val="677EBE43"/>
    <w:rsid w:val="677FB89A"/>
    <w:rsid w:val="677FFFD4"/>
    <w:rsid w:val="67807FC5"/>
    <w:rsid w:val="67820389"/>
    <w:rsid w:val="678208F9"/>
    <w:rsid w:val="6787AE9C"/>
    <w:rsid w:val="6788EE3C"/>
    <w:rsid w:val="6789A411"/>
    <w:rsid w:val="678DD322"/>
    <w:rsid w:val="678EDEFA"/>
    <w:rsid w:val="6791E2F5"/>
    <w:rsid w:val="67926214"/>
    <w:rsid w:val="67938155"/>
    <w:rsid w:val="6793C662"/>
    <w:rsid w:val="6793C8DC"/>
    <w:rsid w:val="67942CAA"/>
    <w:rsid w:val="67955470"/>
    <w:rsid w:val="67990250"/>
    <w:rsid w:val="679A1C44"/>
    <w:rsid w:val="67A6F34A"/>
    <w:rsid w:val="67A7F9BB"/>
    <w:rsid w:val="67A9F749"/>
    <w:rsid w:val="67AB6B28"/>
    <w:rsid w:val="67AC94DA"/>
    <w:rsid w:val="67B0302D"/>
    <w:rsid w:val="67B06089"/>
    <w:rsid w:val="67B11343"/>
    <w:rsid w:val="67B34CC3"/>
    <w:rsid w:val="67B3968F"/>
    <w:rsid w:val="67B45444"/>
    <w:rsid w:val="67B79EBE"/>
    <w:rsid w:val="67B7ABCA"/>
    <w:rsid w:val="67B887D2"/>
    <w:rsid w:val="67B9B50D"/>
    <w:rsid w:val="67B9E9FB"/>
    <w:rsid w:val="67BA3D12"/>
    <w:rsid w:val="67BC578C"/>
    <w:rsid w:val="67BF1278"/>
    <w:rsid w:val="67C104E3"/>
    <w:rsid w:val="67C1F07E"/>
    <w:rsid w:val="67C38203"/>
    <w:rsid w:val="67C38B2D"/>
    <w:rsid w:val="67C4D29E"/>
    <w:rsid w:val="67C4F948"/>
    <w:rsid w:val="67C581D4"/>
    <w:rsid w:val="67CCB025"/>
    <w:rsid w:val="67D263A1"/>
    <w:rsid w:val="67D4A5FF"/>
    <w:rsid w:val="67D5CFF2"/>
    <w:rsid w:val="67D897CC"/>
    <w:rsid w:val="67DCA327"/>
    <w:rsid w:val="67DDA8BD"/>
    <w:rsid w:val="67DE6FFF"/>
    <w:rsid w:val="67DEE13A"/>
    <w:rsid w:val="67E2454E"/>
    <w:rsid w:val="67E894B2"/>
    <w:rsid w:val="67E91ABB"/>
    <w:rsid w:val="67ED1026"/>
    <w:rsid w:val="67EE1E2C"/>
    <w:rsid w:val="67EE2119"/>
    <w:rsid w:val="67EE3908"/>
    <w:rsid w:val="67EEED6F"/>
    <w:rsid w:val="67F20D87"/>
    <w:rsid w:val="67F2E3F6"/>
    <w:rsid w:val="67F3143F"/>
    <w:rsid w:val="67F605E2"/>
    <w:rsid w:val="67F6EE4B"/>
    <w:rsid w:val="67F766E8"/>
    <w:rsid w:val="67F82254"/>
    <w:rsid w:val="67F82D18"/>
    <w:rsid w:val="67F886C0"/>
    <w:rsid w:val="67F96F2E"/>
    <w:rsid w:val="67FD616C"/>
    <w:rsid w:val="67FDAC10"/>
    <w:rsid w:val="67FFA765"/>
    <w:rsid w:val="68006247"/>
    <w:rsid w:val="6802000C"/>
    <w:rsid w:val="6803E7C8"/>
    <w:rsid w:val="6804404C"/>
    <w:rsid w:val="68053C94"/>
    <w:rsid w:val="6806EF74"/>
    <w:rsid w:val="680780B7"/>
    <w:rsid w:val="680EB9B3"/>
    <w:rsid w:val="680F84BB"/>
    <w:rsid w:val="681049F6"/>
    <w:rsid w:val="68127765"/>
    <w:rsid w:val="68135C24"/>
    <w:rsid w:val="681436C9"/>
    <w:rsid w:val="681A23F7"/>
    <w:rsid w:val="681A8EE5"/>
    <w:rsid w:val="681C3629"/>
    <w:rsid w:val="681E074A"/>
    <w:rsid w:val="68200756"/>
    <w:rsid w:val="68244414"/>
    <w:rsid w:val="6827A159"/>
    <w:rsid w:val="68283D41"/>
    <w:rsid w:val="68295E4B"/>
    <w:rsid w:val="682DF66A"/>
    <w:rsid w:val="6830E6D9"/>
    <w:rsid w:val="6833EB8B"/>
    <w:rsid w:val="683551CA"/>
    <w:rsid w:val="683678F3"/>
    <w:rsid w:val="68379440"/>
    <w:rsid w:val="6839E829"/>
    <w:rsid w:val="683A4EF4"/>
    <w:rsid w:val="683A8005"/>
    <w:rsid w:val="68409E0A"/>
    <w:rsid w:val="6840C59D"/>
    <w:rsid w:val="6842C469"/>
    <w:rsid w:val="6847BE9B"/>
    <w:rsid w:val="684883B5"/>
    <w:rsid w:val="684A2DCA"/>
    <w:rsid w:val="684C9BC7"/>
    <w:rsid w:val="684D35F3"/>
    <w:rsid w:val="684E4C44"/>
    <w:rsid w:val="6851DF9C"/>
    <w:rsid w:val="6853B06F"/>
    <w:rsid w:val="6855C104"/>
    <w:rsid w:val="6856D41C"/>
    <w:rsid w:val="68583FA0"/>
    <w:rsid w:val="685A3AED"/>
    <w:rsid w:val="685B000C"/>
    <w:rsid w:val="685C76BE"/>
    <w:rsid w:val="685C95C4"/>
    <w:rsid w:val="685D021C"/>
    <w:rsid w:val="685DFF50"/>
    <w:rsid w:val="686100DC"/>
    <w:rsid w:val="68617232"/>
    <w:rsid w:val="6862E4B8"/>
    <w:rsid w:val="6867E4A0"/>
    <w:rsid w:val="686B7ECA"/>
    <w:rsid w:val="686B870D"/>
    <w:rsid w:val="686CA6FC"/>
    <w:rsid w:val="686EE1A3"/>
    <w:rsid w:val="68702285"/>
    <w:rsid w:val="6876C125"/>
    <w:rsid w:val="6877A93F"/>
    <w:rsid w:val="6877FF30"/>
    <w:rsid w:val="6879A6EE"/>
    <w:rsid w:val="687BA482"/>
    <w:rsid w:val="687DCC0C"/>
    <w:rsid w:val="687F3249"/>
    <w:rsid w:val="687FFC0A"/>
    <w:rsid w:val="6882D2F9"/>
    <w:rsid w:val="68892AF3"/>
    <w:rsid w:val="688E6633"/>
    <w:rsid w:val="688FC33A"/>
    <w:rsid w:val="6892F726"/>
    <w:rsid w:val="68930D4E"/>
    <w:rsid w:val="68960937"/>
    <w:rsid w:val="6896CE22"/>
    <w:rsid w:val="6897153E"/>
    <w:rsid w:val="68978035"/>
    <w:rsid w:val="689C4B42"/>
    <w:rsid w:val="689E8CAE"/>
    <w:rsid w:val="68A10A37"/>
    <w:rsid w:val="68A157AC"/>
    <w:rsid w:val="68A1A316"/>
    <w:rsid w:val="68A24BF9"/>
    <w:rsid w:val="68A27FE3"/>
    <w:rsid w:val="68A3581E"/>
    <w:rsid w:val="68A53E60"/>
    <w:rsid w:val="68A56BE7"/>
    <w:rsid w:val="68A58DC7"/>
    <w:rsid w:val="68A5F472"/>
    <w:rsid w:val="68AB7849"/>
    <w:rsid w:val="68ACBB3C"/>
    <w:rsid w:val="68B2EEAF"/>
    <w:rsid w:val="68B39FE0"/>
    <w:rsid w:val="68B7D428"/>
    <w:rsid w:val="68B8B36A"/>
    <w:rsid w:val="68B8C559"/>
    <w:rsid w:val="68B90A68"/>
    <w:rsid w:val="68BAA4E1"/>
    <w:rsid w:val="68BBF457"/>
    <w:rsid w:val="68C0A2D3"/>
    <w:rsid w:val="68C0A6FC"/>
    <w:rsid w:val="68C9D652"/>
    <w:rsid w:val="68CDD4F2"/>
    <w:rsid w:val="68CEABA8"/>
    <w:rsid w:val="68CEDA3E"/>
    <w:rsid w:val="68CEF590"/>
    <w:rsid w:val="68D19BCF"/>
    <w:rsid w:val="68D2446F"/>
    <w:rsid w:val="68D34C21"/>
    <w:rsid w:val="68D449B0"/>
    <w:rsid w:val="68D7BAF9"/>
    <w:rsid w:val="68D7CDBC"/>
    <w:rsid w:val="68D7D71E"/>
    <w:rsid w:val="68D95081"/>
    <w:rsid w:val="68DEC31C"/>
    <w:rsid w:val="68E3A290"/>
    <w:rsid w:val="68E6FD21"/>
    <w:rsid w:val="68E73227"/>
    <w:rsid w:val="68EB20A6"/>
    <w:rsid w:val="68EC53B1"/>
    <w:rsid w:val="68EEC65C"/>
    <w:rsid w:val="68F1D33D"/>
    <w:rsid w:val="68F398FB"/>
    <w:rsid w:val="68F526C1"/>
    <w:rsid w:val="68F530C8"/>
    <w:rsid w:val="68F6DDE9"/>
    <w:rsid w:val="68FB68FD"/>
    <w:rsid w:val="69016390"/>
    <w:rsid w:val="69027F1E"/>
    <w:rsid w:val="690553C9"/>
    <w:rsid w:val="6907361A"/>
    <w:rsid w:val="69086D34"/>
    <w:rsid w:val="690885BF"/>
    <w:rsid w:val="69091A04"/>
    <w:rsid w:val="690C87FD"/>
    <w:rsid w:val="690DDF85"/>
    <w:rsid w:val="690E4025"/>
    <w:rsid w:val="690E8B7A"/>
    <w:rsid w:val="690F85F9"/>
    <w:rsid w:val="6911993B"/>
    <w:rsid w:val="6913789F"/>
    <w:rsid w:val="69139F7F"/>
    <w:rsid w:val="6916ACDE"/>
    <w:rsid w:val="6918431E"/>
    <w:rsid w:val="691D4AD8"/>
    <w:rsid w:val="691D521C"/>
    <w:rsid w:val="6921AD43"/>
    <w:rsid w:val="6923B0B4"/>
    <w:rsid w:val="69245877"/>
    <w:rsid w:val="692860C4"/>
    <w:rsid w:val="692902CA"/>
    <w:rsid w:val="692A9C77"/>
    <w:rsid w:val="692B5355"/>
    <w:rsid w:val="692EBEE2"/>
    <w:rsid w:val="6932EF53"/>
    <w:rsid w:val="69364F38"/>
    <w:rsid w:val="693822EC"/>
    <w:rsid w:val="6939DA36"/>
    <w:rsid w:val="693A9263"/>
    <w:rsid w:val="693BAB05"/>
    <w:rsid w:val="69414497"/>
    <w:rsid w:val="6945042C"/>
    <w:rsid w:val="69469124"/>
    <w:rsid w:val="6946948E"/>
    <w:rsid w:val="694963D2"/>
    <w:rsid w:val="694AFE09"/>
    <w:rsid w:val="694D6BE5"/>
    <w:rsid w:val="69555B78"/>
    <w:rsid w:val="6955A0C0"/>
    <w:rsid w:val="69598456"/>
    <w:rsid w:val="695E1E90"/>
    <w:rsid w:val="6962C51D"/>
    <w:rsid w:val="6964B39D"/>
    <w:rsid w:val="696855B6"/>
    <w:rsid w:val="696C9376"/>
    <w:rsid w:val="696F3F0E"/>
    <w:rsid w:val="69751A22"/>
    <w:rsid w:val="6975696B"/>
    <w:rsid w:val="6975C2D7"/>
    <w:rsid w:val="69771E3C"/>
    <w:rsid w:val="6977C337"/>
    <w:rsid w:val="6978306A"/>
    <w:rsid w:val="6978D654"/>
    <w:rsid w:val="697934A9"/>
    <w:rsid w:val="6979657B"/>
    <w:rsid w:val="697A1E4B"/>
    <w:rsid w:val="697CA2DE"/>
    <w:rsid w:val="697E26AF"/>
    <w:rsid w:val="697F4A86"/>
    <w:rsid w:val="697F5F61"/>
    <w:rsid w:val="697F7F07"/>
    <w:rsid w:val="69821985"/>
    <w:rsid w:val="69826D89"/>
    <w:rsid w:val="69848FDE"/>
    <w:rsid w:val="698B6C66"/>
    <w:rsid w:val="698E5447"/>
    <w:rsid w:val="69902129"/>
    <w:rsid w:val="699146F0"/>
    <w:rsid w:val="6992584E"/>
    <w:rsid w:val="69938FF4"/>
    <w:rsid w:val="69991B09"/>
    <w:rsid w:val="699D2A6F"/>
    <w:rsid w:val="699F6D89"/>
    <w:rsid w:val="69A086CE"/>
    <w:rsid w:val="69A10B74"/>
    <w:rsid w:val="69A1FEC4"/>
    <w:rsid w:val="69A21306"/>
    <w:rsid w:val="69A42B86"/>
    <w:rsid w:val="69A435DF"/>
    <w:rsid w:val="69A64D65"/>
    <w:rsid w:val="69A854FD"/>
    <w:rsid w:val="69A8BB24"/>
    <w:rsid w:val="69A9F450"/>
    <w:rsid w:val="69AB342D"/>
    <w:rsid w:val="69ABB848"/>
    <w:rsid w:val="69AF8D49"/>
    <w:rsid w:val="69B2D738"/>
    <w:rsid w:val="69B2F9C0"/>
    <w:rsid w:val="69B409F5"/>
    <w:rsid w:val="69B48A8B"/>
    <w:rsid w:val="69B6C365"/>
    <w:rsid w:val="69B6CA4B"/>
    <w:rsid w:val="69B6FC72"/>
    <w:rsid w:val="69B7B903"/>
    <w:rsid w:val="69B89F28"/>
    <w:rsid w:val="69BAA229"/>
    <w:rsid w:val="69BDB5A8"/>
    <w:rsid w:val="69C077B5"/>
    <w:rsid w:val="69C490C9"/>
    <w:rsid w:val="69C86CD7"/>
    <w:rsid w:val="69CD7782"/>
    <w:rsid w:val="69CDF99E"/>
    <w:rsid w:val="69CEE8BC"/>
    <w:rsid w:val="69CF0030"/>
    <w:rsid w:val="69D084DC"/>
    <w:rsid w:val="69D10674"/>
    <w:rsid w:val="69D6DDF6"/>
    <w:rsid w:val="69DA8ADC"/>
    <w:rsid w:val="69DE0026"/>
    <w:rsid w:val="69E3CDDE"/>
    <w:rsid w:val="69E65A12"/>
    <w:rsid w:val="69E8ADD5"/>
    <w:rsid w:val="69EBE913"/>
    <w:rsid w:val="69F0A2AE"/>
    <w:rsid w:val="69F2D02A"/>
    <w:rsid w:val="69F4D0B1"/>
    <w:rsid w:val="69F55DF6"/>
    <w:rsid w:val="69F5F8C3"/>
    <w:rsid w:val="69F7C850"/>
    <w:rsid w:val="69FB09F3"/>
    <w:rsid w:val="69FFEFB2"/>
    <w:rsid w:val="6A0E8A1A"/>
    <w:rsid w:val="6A125D16"/>
    <w:rsid w:val="6A13C23A"/>
    <w:rsid w:val="6A18B348"/>
    <w:rsid w:val="6A194514"/>
    <w:rsid w:val="6A19EDA8"/>
    <w:rsid w:val="6A1CA626"/>
    <w:rsid w:val="6A20E716"/>
    <w:rsid w:val="6A21DDF8"/>
    <w:rsid w:val="6A22F025"/>
    <w:rsid w:val="6A284576"/>
    <w:rsid w:val="6A2927E2"/>
    <w:rsid w:val="6A2E9084"/>
    <w:rsid w:val="6A314132"/>
    <w:rsid w:val="6A35E7A2"/>
    <w:rsid w:val="6A369021"/>
    <w:rsid w:val="6A37FB76"/>
    <w:rsid w:val="6A381BA3"/>
    <w:rsid w:val="6A3953BB"/>
    <w:rsid w:val="6A39E53E"/>
    <w:rsid w:val="6A3A29C6"/>
    <w:rsid w:val="6A3C2149"/>
    <w:rsid w:val="6A403F57"/>
    <w:rsid w:val="6A40D763"/>
    <w:rsid w:val="6A42A64D"/>
    <w:rsid w:val="6A4418EB"/>
    <w:rsid w:val="6A449727"/>
    <w:rsid w:val="6A45690D"/>
    <w:rsid w:val="6A4717ED"/>
    <w:rsid w:val="6A4C1993"/>
    <w:rsid w:val="6A4DE9DE"/>
    <w:rsid w:val="6A4EDA3D"/>
    <w:rsid w:val="6A4F7C00"/>
    <w:rsid w:val="6A505C56"/>
    <w:rsid w:val="6A51F4C3"/>
    <w:rsid w:val="6A55CC68"/>
    <w:rsid w:val="6A5718E1"/>
    <w:rsid w:val="6A5887F0"/>
    <w:rsid w:val="6A58AC14"/>
    <w:rsid w:val="6A5A6F4B"/>
    <w:rsid w:val="6A5C0F3F"/>
    <w:rsid w:val="6A5D1813"/>
    <w:rsid w:val="6A5F1EE3"/>
    <w:rsid w:val="6A64EA3D"/>
    <w:rsid w:val="6A662183"/>
    <w:rsid w:val="6A671FA3"/>
    <w:rsid w:val="6A68C1F6"/>
    <w:rsid w:val="6A693388"/>
    <w:rsid w:val="6A6C866E"/>
    <w:rsid w:val="6A747891"/>
    <w:rsid w:val="6A759616"/>
    <w:rsid w:val="6A7DB320"/>
    <w:rsid w:val="6A7EAEB4"/>
    <w:rsid w:val="6A8060BD"/>
    <w:rsid w:val="6A82CC37"/>
    <w:rsid w:val="6A8B002E"/>
    <w:rsid w:val="6A8B3F2D"/>
    <w:rsid w:val="6A8C3C7C"/>
    <w:rsid w:val="6A8CCDBE"/>
    <w:rsid w:val="6A8D2C27"/>
    <w:rsid w:val="6A9070AE"/>
    <w:rsid w:val="6A90CF6C"/>
    <w:rsid w:val="6A952D05"/>
    <w:rsid w:val="6A990B46"/>
    <w:rsid w:val="6A99AD9D"/>
    <w:rsid w:val="6A9BB83F"/>
    <w:rsid w:val="6A9C5D62"/>
    <w:rsid w:val="6A9D8038"/>
    <w:rsid w:val="6A9DF608"/>
    <w:rsid w:val="6A9EA18B"/>
    <w:rsid w:val="6A9EF66C"/>
    <w:rsid w:val="6A9FD21E"/>
    <w:rsid w:val="6AA1DEA0"/>
    <w:rsid w:val="6AA382D5"/>
    <w:rsid w:val="6AA39470"/>
    <w:rsid w:val="6AA6CF26"/>
    <w:rsid w:val="6AA6F842"/>
    <w:rsid w:val="6AAEA621"/>
    <w:rsid w:val="6AAFED02"/>
    <w:rsid w:val="6AB22316"/>
    <w:rsid w:val="6AB56FAC"/>
    <w:rsid w:val="6ABAFBCB"/>
    <w:rsid w:val="6ABC2E93"/>
    <w:rsid w:val="6ABC4B78"/>
    <w:rsid w:val="6ABEFF18"/>
    <w:rsid w:val="6ABFF9B9"/>
    <w:rsid w:val="6AC032E5"/>
    <w:rsid w:val="6AC18548"/>
    <w:rsid w:val="6AC1A988"/>
    <w:rsid w:val="6AC3DF47"/>
    <w:rsid w:val="6ACA0409"/>
    <w:rsid w:val="6ACD923E"/>
    <w:rsid w:val="6AD2CB69"/>
    <w:rsid w:val="6AD3615F"/>
    <w:rsid w:val="6AD596D7"/>
    <w:rsid w:val="6AD63084"/>
    <w:rsid w:val="6AD80799"/>
    <w:rsid w:val="6ADB4982"/>
    <w:rsid w:val="6ADDCB8E"/>
    <w:rsid w:val="6AE0C550"/>
    <w:rsid w:val="6AE1F0FA"/>
    <w:rsid w:val="6AE524CB"/>
    <w:rsid w:val="6AE88A6B"/>
    <w:rsid w:val="6AEDBD65"/>
    <w:rsid w:val="6AEFB416"/>
    <w:rsid w:val="6AF1F9E1"/>
    <w:rsid w:val="6AF369AA"/>
    <w:rsid w:val="6AF3864B"/>
    <w:rsid w:val="6AF7DD08"/>
    <w:rsid w:val="6AFAFE21"/>
    <w:rsid w:val="6AFCA391"/>
    <w:rsid w:val="6AFE4E24"/>
    <w:rsid w:val="6AFE6BF2"/>
    <w:rsid w:val="6AFF6075"/>
    <w:rsid w:val="6B04AADC"/>
    <w:rsid w:val="6B0506EA"/>
    <w:rsid w:val="6B058CA0"/>
    <w:rsid w:val="6B0610C8"/>
    <w:rsid w:val="6B06655C"/>
    <w:rsid w:val="6B06852D"/>
    <w:rsid w:val="6B0D203C"/>
    <w:rsid w:val="6B0E4E39"/>
    <w:rsid w:val="6B1075A1"/>
    <w:rsid w:val="6B15E0BB"/>
    <w:rsid w:val="6B18B8E4"/>
    <w:rsid w:val="6B1A7C94"/>
    <w:rsid w:val="6B1B61D3"/>
    <w:rsid w:val="6B1B6433"/>
    <w:rsid w:val="6B1D9B47"/>
    <w:rsid w:val="6B2081F4"/>
    <w:rsid w:val="6B2250C6"/>
    <w:rsid w:val="6B236DA6"/>
    <w:rsid w:val="6B23902A"/>
    <w:rsid w:val="6B23920D"/>
    <w:rsid w:val="6B249521"/>
    <w:rsid w:val="6B2832F6"/>
    <w:rsid w:val="6B29DC9B"/>
    <w:rsid w:val="6B2C5712"/>
    <w:rsid w:val="6B2DD324"/>
    <w:rsid w:val="6B33832D"/>
    <w:rsid w:val="6B351727"/>
    <w:rsid w:val="6B3BE203"/>
    <w:rsid w:val="6B3D149C"/>
    <w:rsid w:val="6B3DAD45"/>
    <w:rsid w:val="6B3FE603"/>
    <w:rsid w:val="6B417431"/>
    <w:rsid w:val="6B41B06B"/>
    <w:rsid w:val="6B42237A"/>
    <w:rsid w:val="6B44098B"/>
    <w:rsid w:val="6B48B707"/>
    <w:rsid w:val="6B4DE1A4"/>
    <w:rsid w:val="6B4E1AD9"/>
    <w:rsid w:val="6B4FBD11"/>
    <w:rsid w:val="6B50DED3"/>
    <w:rsid w:val="6B521C06"/>
    <w:rsid w:val="6B522356"/>
    <w:rsid w:val="6B53B364"/>
    <w:rsid w:val="6B53D040"/>
    <w:rsid w:val="6B562A7F"/>
    <w:rsid w:val="6B571851"/>
    <w:rsid w:val="6B5A6509"/>
    <w:rsid w:val="6B5A7DEE"/>
    <w:rsid w:val="6B5BB01A"/>
    <w:rsid w:val="6B5C707E"/>
    <w:rsid w:val="6B5EA030"/>
    <w:rsid w:val="6B61604D"/>
    <w:rsid w:val="6B63AADC"/>
    <w:rsid w:val="6B648012"/>
    <w:rsid w:val="6B67696F"/>
    <w:rsid w:val="6B678426"/>
    <w:rsid w:val="6B6FD121"/>
    <w:rsid w:val="6B7199A6"/>
    <w:rsid w:val="6B71C480"/>
    <w:rsid w:val="6B73441F"/>
    <w:rsid w:val="6B764F22"/>
    <w:rsid w:val="6B7687C5"/>
    <w:rsid w:val="6B76AC11"/>
    <w:rsid w:val="6B7804B2"/>
    <w:rsid w:val="6B7A24EA"/>
    <w:rsid w:val="6B7A802D"/>
    <w:rsid w:val="6B7B205F"/>
    <w:rsid w:val="6B7DF82C"/>
    <w:rsid w:val="6B83F563"/>
    <w:rsid w:val="6B854D36"/>
    <w:rsid w:val="6B860FD7"/>
    <w:rsid w:val="6B867847"/>
    <w:rsid w:val="6B88BE2F"/>
    <w:rsid w:val="6B90AEFF"/>
    <w:rsid w:val="6B93B078"/>
    <w:rsid w:val="6B940C8F"/>
    <w:rsid w:val="6B97B760"/>
    <w:rsid w:val="6B9C2578"/>
    <w:rsid w:val="6B9D384A"/>
    <w:rsid w:val="6BA12444"/>
    <w:rsid w:val="6BA25118"/>
    <w:rsid w:val="6BA26AA7"/>
    <w:rsid w:val="6BA3AFD1"/>
    <w:rsid w:val="6BAAF52C"/>
    <w:rsid w:val="6BAB4F0C"/>
    <w:rsid w:val="6BABA130"/>
    <w:rsid w:val="6BAE4F63"/>
    <w:rsid w:val="6BB189B4"/>
    <w:rsid w:val="6BB2F799"/>
    <w:rsid w:val="6BB7A422"/>
    <w:rsid w:val="6BBA7237"/>
    <w:rsid w:val="6BBAF96A"/>
    <w:rsid w:val="6BBD417B"/>
    <w:rsid w:val="6BBF6DAA"/>
    <w:rsid w:val="6BC12899"/>
    <w:rsid w:val="6BC2BA70"/>
    <w:rsid w:val="6BC362D3"/>
    <w:rsid w:val="6BC4BD35"/>
    <w:rsid w:val="6BC4DEA1"/>
    <w:rsid w:val="6BC57AE1"/>
    <w:rsid w:val="6BC5C94B"/>
    <w:rsid w:val="6BCD6C70"/>
    <w:rsid w:val="6BCF452B"/>
    <w:rsid w:val="6BD048CA"/>
    <w:rsid w:val="6BD137D1"/>
    <w:rsid w:val="6BD58CD4"/>
    <w:rsid w:val="6BD90AE1"/>
    <w:rsid w:val="6BDB7946"/>
    <w:rsid w:val="6BDF1914"/>
    <w:rsid w:val="6BE05A1D"/>
    <w:rsid w:val="6BE3DB80"/>
    <w:rsid w:val="6BE56E09"/>
    <w:rsid w:val="6BE58D1C"/>
    <w:rsid w:val="6BE76175"/>
    <w:rsid w:val="6BEE7D0C"/>
    <w:rsid w:val="6BF4285B"/>
    <w:rsid w:val="6BF67486"/>
    <w:rsid w:val="6BFC6342"/>
    <w:rsid w:val="6BFF3253"/>
    <w:rsid w:val="6C011FE0"/>
    <w:rsid w:val="6C01A150"/>
    <w:rsid w:val="6C02D3F2"/>
    <w:rsid w:val="6C0A1D14"/>
    <w:rsid w:val="6C0B4FE5"/>
    <w:rsid w:val="6C0B542E"/>
    <w:rsid w:val="6C0D6279"/>
    <w:rsid w:val="6C0E64F8"/>
    <w:rsid w:val="6C1077D7"/>
    <w:rsid w:val="6C150E12"/>
    <w:rsid w:val="6C170189"/>
    <w:rsid w:val="6C182CB8"/>
    <w:rsid w:val="6C25429A"/>
    <w:rsid w:val="6C2555C6"/>
    <w:rsid w:val="6C26349C"/>
    <w:rsid w:val="6C27410B"/>
    <w:rsid w:val="6C274263"/>
    <w:rsid w:val="6C277B37"/>
    <w:rsid w:val="6C27F0DA"/>
    <w:rsid w:val="6C2A424C"/>
    <w:rsid w:val="6C2B1FF0"/>
    <w:rsid w:val="6C2B51A1"/>
    <w:rsid w:val="6C2B7586"/>
    <w:rsid w:val="6C2D2083"/>
    <w:rsid w:val="6C31BB87"/>
    <w:rsid w:val="6C31EF12"/>
    <w:rsid w:val="6C326EFE"/>
    <w:rsid w:val="6C3392FE"/>
    <w:rsid w:val="6C37642D"/>
    <w:rsid w:val="6C3B0860"/>
    <w:rsid w:val="6C3D6CDC"/>
    <w:rsid w:val="6C3EEC29"/>
    <w:rsid w:val="6C4162EA"/>
    <w:rsid w:val="6C43EFAC"/>
    <w:rsid w:val="6C45FCF1"/>
    <w:rsid w:val="6C462373"/>
    <w:rsid w:val="6C4B2A96"/>
    <w:rsid w:val="6C4F4453"/>
    <w:rsid w:val="6C520E2B"/>
    <w:rsid w:val="6C53882D"/>
    <w:rsid w:val="6C542E08"/>
    <w:rsid w:val="6C551143"/>
    <w:rsid w:val="6C56012F"/>
    <w:rsid w:val="6C565F1B"/>
    <w:rsid w:val="6C58EA53"/>
    <w:rsid w:val="6C599BDD"/>
    <w:rsid w:val="6C5A303B"/>
    <w:rsid w:val="6C5D1845"/>
    <w:rsid w:val="6C5D566C"/>
    <w:rsid w:val="6C5E1279"/>
    <w:rsid w:val="6C5EF298"/>
    <w:rsid w:val="6C601DE7"/>
    <w:rsid w:val="6C6238B2"/>
    <w:rsid w:val="6C644B6F"/>
    <w:rsid w:val="6C682CB1"/>
    <w:rsid w:val="6C6B8227"/>
    <w:rsid w:val="6C6CF278"/>
    <w:rsid w:val="6C6F4CF2"/>
    <w:rsid w:val="6C73C733"/>
    <w:rsid w:val="6C73DCB2"/>
    <w:rsid w:val="6C752635"/>
    <w:rsid w:val="6C75372B"/>
    <w:rsid w:val="6C767705"/>
    <w:rsid w:val="6C79F03A"/>
    <w:rsid w:val="6C7A8829"/>
    <w:rsid w:val="6C7FC173"/>
    <w:rsid w:val="6C8030B1"/>
    <w:rsid w:val="6C89BE49"/>
    <w:rsid w:val="6C8BC382"/>
    <w:rsid w:val="6C8C694F"/>
    <w:rsid w:val="6C8D8E1A"/>
    <w:rsid w:val="6C8EB5B8"/>
    <w:rsid w:val="6C8FE54B"/>
    <w:rsid w:val="6C960483"/>
    <w:rsid w:val="6C96C247"/>
    <w:rsid w:val="6C96C29F"/>
    <w:rsid w:val="6C98E81B"/>
    <w:rsid w:val="6C9E0E23"/>
    <w:rsid w:val="6C9FD439"/>
    <w:rsid w:val="6CA43E8E"/>
    <w:rsid w:val="6CA4FABC"/>
    <w:rsid w:val="6CAA79BC"/>
    <w:rsid w:val="6CACA781"/>
    <w:rsid w:val="6CADAE5A"/>
    <w:rsid w:val="6CAED261"/>
    <w:rsid w:val="6CAFFB04"/>
    <w:rsid w:val="6CB03A1A"/>
    <w:rsid w:val="6CB0D98B"/>
    <w:rsid w:val="6CB23400"/>
    <w:rsid w:val="6CB39EBC"/>
    <w:rsid w:val="6CB8F9B0"/>
    <w:rsid w:val="6CBC8E22"/>
    <w:rsid w:val="6CC00FF9"/>
    <w:rsid w:val="6CC0A64D"/>
    <w:rsid w:val="6CC25039"/>
    <w:rsid w:val="6CC3E217"/>
    <w:rsid w:val="6CC4ADEA"/>
    <w:rsid w:val="6CC90E83"/>
    <w:rsid w:val="6CCB4805"/>
    <w:rsid w:val="6CCC1FF1"/>
    <w:rsid w:val="6CCDB8B4"/>
    <w:rsid w:val="6CCDC54C"/>
    <w:rsid w:val="6CCFBC72"/>
    <w:rsid w:val="6CCFE097"/>
    <w:rsid w:val="6CD19E72"/>
    <w:rsid w:val="6CD1FC11"/>
    <w:rsid w:val="6CD27909"/>
    <w:rsid w:val="6CD30757"/>
    <w:rsid w:val="6CD6B33F"/>
    <w:rsid w:val="6CD814C0"/>
    <w:rsid w:val="6CD90D46"/>
    <w:rsid w:val="6CDC8A40"/>
    <w:rsid w:val="6CDCAA7F"/>
    <w:rsid w:val="6CDE159C"/>
    <w:rsid w:val="6CE0529D"/>
    <w:rsid w:val="6CE11C8C"/>
    <w:rsid w:val="6CE4F81E"/>
    <w:rsid w:val="6CE68D04"/>
    <w:rsid w:val="6CE6A68B"/>
    <w:rsid w:val="6CE72455"/>
    <w:rsid w:val="6CE9100B"/>
    <w:rsid w:val="6CE94149"/>
    <w:rsid w:val="6CEAD7F4"/>
    <w:rsid w:val="6CEB96EB"/>
    <w:rsid w:val="6CEBBDC0"/>
    <w:rsid w:val="6CEF00FE"/>
    <w:rsid w:val="6CEFB07F"/>
    <w:rsid w:val="6CF28CF0"/>
    <w:rsid w:val="6CF3AF32"/>
    <w:rsid w:val="6CF3D80B"/>
    <w:rsid w:val="6CF5B4D7"/>
    <w:rsid w:val="6CF6F88B"/>
    <w:rsid w:val="6CF704AF"/>
    <w:rsid w:val="6CF82FCF"/>
    <w:rsid w:val="6CF87C68"/>
    <w:rsid w:val="6CF94745"/>
    <w:rsid w:val="6CF98581"/>
    <w:rsid w:val="6CFA82A6"/>
    <w:rsid w:val="6CFC377F"/>
    <w:rsid w:val="6CFDF491"/>
    <w:rsid w:val="6CFE1812"/>
    <w:rsid w:val="6CFFB0A5"/>
    <w:rsid w:val="6D004278"/>
    <w:rsid w:val="6D008B79"/>
    <w:rsid w:val="6D0276DA"/>
    <w:rsid w:val="6D045FA3"/>
    <w:rsid w:val="6D05E9F5"/>
    <w:rsid w:val="6D06BAB8"/>
    <w:rsid w:val="6D07DBDE"/>
    <w:rsid w:val="6D0C3924"/>
    <w:rsid w:val="6D0C7C71"/>
    <w:rsid w:val="6D0D15E5"/>
    <w:rsid w:val="6D0E3EF0"/>
    <w:rsid w:val="6D163C82"/>
    <w:rsid w:val="6D164C7C"/>
    <w:rsid w:val="6D17870D"/>
    <w:rsid w:val="6D186B13"/>
    <w:rsid w:val="6D192687"/>
    <w:rsid w:val="6D1BE3C2"/>
    <w:rsid w:val="6D1CA372"/>
    <w:rsid w:val="6D1EB1E1"/>
    <w:rsid w:val="6D21B542"/>
    <w:rsid w:val="6D222501"/>
    <w:rsid w:val="6D23BF6E"/>
    <w:rsid w:val="6D23E835"/>
    <w:rsid w:val="6D26347A"/>
    <w:rsid w:val="6D29923A"/>
    <w:rsid w:val="6D29D832"/>
    <w:rsid w:val="6D2B0D8B"/>
    <w:rsid w:val="6D305653"/>
    <w:rsid w:val="6D355874"/>
    <w:rsid w:val="6D35951B"/>
    <w:rsid w:val="6D361BFA"/>
    <w:rsid w:val="6D37BBC5"/>
    <w:rsid w:val="6D3803C0"/>
    <w:rsid w:val="6D397DB0"/>
    <w:rsid w:val="6D3AA2B8"/>
    <w:rsid w:val="6D3AEA39"/>
    <w:rsid w:val="6D3CED00"/>
    <w:rsid w:val="6D3F64F4"/>
    <w:rsid w:val="6D40559A"/>
    <w:rsid w:val="6D4250FF"/>
    <w:rsid w:val="6D438701"/>
    <w:rsid w:val="6D44DD94"/>
    <w:rsid w:val="6D4866A4"/>
    <w:rsid w:val="6D491DF8"/>
    <w:rsid w:val="6D492CAB"/>
    <w:rsid w:val="6D49B147"/>
    <w:rsid w:val="6D4C283A"/>
    <w:rsid w:val="6D4D9183"/>
    <w:rsid w:val="6D4E434A"/>
    <w:rsid w:val="6D4EDAEE"/>
    <w:rsid w:val="6D52F517"/>
    <w:rsid w:val="6D54C4B2"/>
    <w:rsid w:val="6D598DBB"/>
    <w:rsid w:val="6D5D6744"/>
    <w:rsid w:val="6D5DFA2B"/>
    <w:rsid w:val="6D5F700D"/>
    <w:rsid w:val="6D624E36"/>
    <w:rsid w:val="6D630764"/>
    <w:rsid w:val="6D6650AE"/>
    <w:rsid w:val="6D669132"/>
    <w:rsid w:val="6D681F01"/>
    <w:rsid w:val="6D694F0D"/>
    <w:rsid w:val="6D69AE11"/>
    <w:rsid w:val="6D6A03BF"/>
    <w:rsid w:val="6D6A2A18"/>
    <w:rsid w:val="6D6FF1F1"/>
    <w:rsid w:val="6D710A82"/>
    <w:rsid w:val="6D74DD6C"/>
    <w:rsid w:val="6D7657DD"/>
    <w:rsid w:val="6D787A5D"/>
    <w:rsid w:val="6D80917F"/>
    <w:rsid w:val="6D81C0F0"/>
    <w:rsid w:val="6D86BFE7"/>
    <w:rsid w:val="6D874D26"/>
    <w:rsid w:val="6D883298"/>
    <w:rsid w:val="6D898AB2"/>
    <w:rsid w:val="6D8B5C23"/>
    <w:rsid w:val="6D8B9DB4"/>
    <w:rsid w:val="6D8BFA5B"/>
    <w:rsid w:val="6D9172D2"/>
    <w:rsid w:val="6D932549"/>
    <w:rsid w:val="6D946D26"/>
    <w:rsid w:val="6D95577B"/>
    <w:rsid w:val="6D96B2CB"/>
    <w:rsid w:val="6D981F13"/>
    <w:rsid w:val="6D987F59"/>
    <w:rsid w:val="6D98F356"/>
    <w:rsid w:val="6D9A7384"/>
    <w:rsid w:val="6D9AA4FA"/>
    <w:rsid w:val="6D9BFF16"/>
    <w:rsid w:val="6D9D915C"/>
    <w:rsid w:val="6D9FDEBB"/>
    <w:rsid w:val="6DA06D4E"/>
    <w:rsid w:val="6DA90EBE"/>
    <w:rsid w:val="6DA9F298"/>
    <w:rsid w:val="6DAB3C96"/>
    <w:rsid w:val="6DAB7B89"/>
    <w:rsid w:val="6DAFF1F2"/>
    <w:rsid w:val="6DB1A1FF"/>
    <w:rsid w:val="6DB6271B"/>
    <w:rsid w:val="6DB65424"/>
    <w:rsid w:val="6DB7404B"/>
    <w:rsid w:val="6DB75AEC"/>
    <w:rsid w:val="6DB7E7BB"/>
    <w:rsid w:val="6DB9EF0A"/>
    <w:rsid w:val="6DBBCB46"/>
    <w:rsid w:val="6DBF9442"/>
    <w:rsid w:val="6DBFE3F5"/>
    <w:rsid w:val="6DC0F89D"/>
    <w:rsid w:val="6DC2CBBE"/>
    <w:rsid w:val="6DC4C847"/>
    <w:rsid w:val="6DC747DD"/>
    <w:rsid w:val="6DC82673"/>
    <w:rsid w:val="6DC9F73B"/>
    <w:rsid w:val="6DCE9705"/>
    <w:rsid w:val="6DCFA303"/>
    <w:rsid w:val="6DCFB510"/>
    <w:rsid w:val="6DD2A4B9"/>
    <w:rsid w:val="6DD307F2"/>
    <w:rsid w:val="6DD58969"/>
    <w:rsid w:val="6DD7B321"/>
    <w:rsid w:val="6DD8B12D"/>
    <w:rsid w:val="6DD8CD78"/>
    <w:rsid w:val="6DDF132C"/>
    <w:rsid w:val="6DDF4D3B"/>
    <w:rsid w:val="6DDFF6EA"/>
    <w:rsid w:val="6DE9A8ED"/>
    <w:rsid w:val="6DEABC1C"/>
    <w:rsid w:val="6DEC964B"/>
    <w:rsid w:val="6DF30B3B"/>
    <w:rsid w:val="6DF4A7CE"/>
    <w:rsid w:val="6DF4F6A1"/>
    <w:rsid w:val="6DF9E19D"/>
    <w:rsid w:val="6DFA5B82"/>
    <w:rsid w:val="6DFBC7A6"/>
    <w:rsid w:val="6DFCCEE2"/>
    <w:rsid w:val="6DFD1E54"/>
    <w:rsid w:val="6DFDB506"/>
    <w:rsid w:val="6DFDC1A9"/>
    <w:rsid w:val="6DFDF682"/>
    <w:rsid w:val="6DFEDB91"/>
    <w:rsid w:val="6E000F59"/>
    <w:rsid w:val="6E004261"/>
    <w:rsid w:val="6E0B1F5B"/>
    <w:rsid w:val="6E0B3BB5"/>
    <w:rsid w:val="6E0D262B"/>
    <w:rsid w:val="6E0E44C5"/>
    <w:rsid w:val="6E0ED9F1"/>
    <w:rsid w:val="6E1213DE"/>
    <w:rsid w:val="6E128CC9"/>
    <w:rsid w:val="6E156636"/>
    <w:rsid w:val="6E157DF9"/>
    <w:rsid w:val="6E15B06E"/>
    <w:rsid w:val="6E174746"/>
    <w:rsid w:val="6E17E712"/>
    <w:rsid w:val="6E1D1A3D"/>
    <w:rsid w:val="6E1EBF87"/>
    <w:rsid w:val="6E222382"/>
    <w:rsid w:val="6E253F52"/>
    <w:rsid w:val="6E255DB5"/>
    <w:rsid w:val="6E27C2AC"/>
    <w:rsid w:val="6E2A16E8"/>
    <w:rsid w:val="6E2A3AB0"/>
    <w:rsid w:val="6E2BADEB"/>
    <w:rsid w:val="6E2BB76E"/>
    <w:rsid w:val="6E2F4176"/>
    <w:rsid w:val="6E310F1A"/>
    <w:rsid w:val="6E3C7576"/>
    <w:rsid w:val="6E3D48B5"/>
    <w:rsid w:val="6E4446A4"/>
    <w:rsid w:val="6E444D8C"/>
    <w:rsid w:val="6E4856D4"/>
    <w:rsid w:val="6E496506"/>
    <w:rsid w:val="6E4A0BCD"/>
    <w:rsid w:val="6E4AC3A4"/>
    <w:rsid w:val="6E4BD87D"/>
    <w:rsid w:val="6E4DA467"/>
    <w:rsid w:val="6E54DFCA"/>
    <w:rsid w:val="6E550954"/>
    <w:rsid w:val="6E5776C5"/>
    <w:rsid w:val="6E5A1C24"/>
    <w:rsid w:val="6E5B2A10"/>
    <w:rsid w:val="6E5E61BE"/>
    <w:rsid w:val="6E61AAA8"/>
    <w:rsid w:val="6E638646"/>
    <w:rsid w:val="6E66050D"/>
    <w:rsid w:val="6E666302"/>
    <w:rsid w:val="6E69EC6A"/>
    <w:rsid w:val="6E69F666"/>
    <w:rsid w:val="6E69F856"/>
    <w:rsid w:val="6E6DCB1A"/>
    <w:rsid w:val="6E6EBE98"/>
    <w:rsid w:val="6E6FB9D4"/>
    <w:rsid w:val="6E702184"/>
    <w:rsid w:val="6E712F48"/>
    <w:rsid w:val="6E737D69"/>
    <w:rsid w:val="6E74B577"/>
    <w:rsid w:val="6E750909"/>
    <w:rsid w:val="6E757826"/>
    <w:rsid w:val="6E772198"/>
    <w:rsid w:val="6E776ED6"/>
    <w:rsid w:val="6E77DED7"/>
    <w:rsid w:val="6E78277C"/>
    <w:rsid w:val="6E7A7E92"/>
    <w:rsid w:val="6E7E469D"/>
    <w:rsid w:val="6E7F5382"/>
    <w:rsid w:val="6E805754"/>
    <w:rsid w:val="6E80C351"/>
    <w:rsid w:val="6E8321F2"/>
    <w:rsid w:val="6E86CC88"/>
    <w:rsid w:val="6E878185"/>
    <w:rsid w:val="6E88F6C9"/>
    <w:rsid w:val="6E8A4FC3"/>
    <w:rsid w:val="6E8C5776"/>
    <w:rsid w:val="6E8C9261"/>
    <w:rsid w:val="6E8D9FE0"/>
    <w:rsid w:val="6E8EAD72"/>
    <w:rsid w:val="6E933871"/>
    <w:rsid w:val="6E936F9F"/>
    <w:rsid w:val="6E9423BD"/>
    <w:rsid w:val="6E983DAE"/>
    <w:rsid w:val="6E99E4D9"/>
    <w:rsid w:val="6E9B16AD"/>
    <w:rsid w:val="6E9B203F"/>
    <w:rsid w:val="6E9B5FA2"/>
    <w:rsid w:val="6E9BA569"/>
    <w:rsid w:val="6E9BBCC7"/>
    <w:rsid w:val="6E9CB9F1"/>
    <w:rsid w:val="6E9F5C9F"/>
    <w:rsid w:val="6EA1C226"/>
    <w:rsid w:val="6EA49269"/>
    <w:rsid w:val="6EA49AD9"/>
    <w:rsid w:val="6EA50A48"/>
    <w:rsid w:val="6EA58942"/>
    <w:rsid w:val="6EA64CC0"/>
    <w:rsid w:val="6EA6FF3C"/>
    <w:rsid w:val="6EA8C339"/>
    <w:rsid w:val="6EAEF441"/>
    <w:rsid w:val="6EB010B0"/>
    <w:rsid w:val="6EB3E4E5"/>
    <w:rsid w:val="6EB580F2"/>
    <w:rsid w:val="6EB9C2C2"/>
    <w:rsid w:val="6EC6CBA3"/>
    <w:rsid w:val="6EC7ED55"/>
    <w:rsid w:val="6ECA7DFF"/>
    <w:rsid w:val="6ECB9B8D"/>
    <w:rsid w:val="6ECEAA1D"/>
    <w:rsid w:val="6ECF6808"/>
    <w:rsid w:val="6ED20CFF"/>
    <w:rsid w:val="6ED60AD2"/>
    <w:rsid w:val="6ED73E35"/>
    <w:rsid w:val="6EDE3814"/>
    <w:rsid w:val="6EDE8F96"/>
    <w:rsid w:val="6EE2FB67"/>
    <w:rsid w:val="6EE3BE62"/>
    <w:rsid w:val="6EE4A565"/>
    <w:rsid w:val="6EE6BBD9"/>
    <w:rsid w:val="6EE89D37"/>
    <w:rsid w:val="6EE9ED8C"/>
    <w:rsid w:val="6EEC43A7"/>
    <w:rsid w:val="6EECC16D"/>
    <w:rsid w:val="6EECF24B"/>
    <w:rsid w:val="6EEF8C07"/>
    <w:rsid w:val="6EF217F9"/>
    <w:rsid w:val="6EF28FD4"/>
    <w:rsid w:val="6EF3F115"/>
    <w:rsid w:val="6EFA3EF1"/>
    <w:rsid w:val="6EFC8586"/>
    <w:rsid w:val="6EFCE3E1"/>
    <w:rsid w:val="6EFEF5F0"/>
    <w:rsid w:val="6F009C9B"/>
    <w:rsid w:val="6F021F66"/>
    <w:rsid w:val="6F029DFA"/>
    <w:rsid w:val="6F0716E6"/>
    <w:rsid w:val="6F09E221"/>
    <w:rsid w:val="6F0DB850"/>
    <w:rsid w:val="6F122B8E"/>
    <w:rsid w:val="6F1247AB"/>
    <w:rsid w:val="6F147112"/>
    <w:rsid w:val="6F14A2EE"/>
    <w:rsid w:val="6F1654CE"/>
    <w:rsid w:val="6F168DB1"/>
    <w:rsid w:val="6F1A8FEE"/>
    <w:rsid w:val="6F1AD507"/>
    <w:rsid w:val="6F1C0E85"/>
    <w:rsid w:val="6F1DCDB6"/>
    <w:rsid w:val="6F1EBBB5"/>
    <w:rsid w:val="6F1EE255"/>
    <w:rsid w:val="6F233670"/>
    <w:rsid w:val="6F241783"/>
    <w:rsid w:val="6F2BB01A"/>
    <w:rsid w:val="6F2CF07D"/>
    <w:rsid w:val="6F2E36D1"/>
    <w:rsid w:val="6F302502"/>
    <w:rsid w:val="6F31974D"/>
    <w:rsid w:val="6F349911"/>
    <w:rsid w:val="6F368E71"/>
    <w:rsid w:val="6F3698A8"/>
    <w:rsid w:val="6F38AFCF"/>
    <w:rsid w:val="6F3A695C"/>
    <w:rsid w:val="6F3AED44"/>
    <w:rsid w:val="6F3DF68C"/>
    <w:rsid w:val="6F3E33E6"/>
    <w:rsid w:val="6F3E88FE"/>
    <w:rsid w:val="6F40B006"/>
    <w:rsid w:val="6F41D1C0"/>
    <w:rsid w:val="6F440065"/>
    <w:rsid w:val="6F445889"/>
    <w:rsid w:val="6F448734"/>
    <w:rsid w:val="6F448BD8"/>
    <w:rsid w:val="6F452F18"/>
    <w:rsid w:val="6F477064"/>
    <w:rsid w:val="6F4B55EB"/>
    <w:rsid w:val="6F4B865A"/>
    <w:rsid w:val="6F4D1233"/>
    <w:rsid w:val="6F4DF7BC"/>
    <w:rsid w:val="6F508A16"/>
    <w:rsid w:val="6F51C4AB"/>
    <w:rsid w:val="6F5656FB"/>
    <w:rsid w:val="6F59D2BA"/>
    <w:rsid w:val="6F5A3331"/>
    <w:rsid w:val="6F5AC501"/>
    <w:rsid w:val="6F5FE899"/>
    <w:rsid w:val="6F60B652"/>
    <w:rsid w:val="6F60D8C5"/>
    <w:rsid w:val="6F6B0FEB"/>
    <w:rsid w:val="6F6C3365"/>
    <w:rsid w:val="6F726C88"/>
    <w:rsid w:val="6F72FE06"/>
    <w:rsid w:val="6F747EAC"/>
    <w:rsid w:val="6F768A62"/>
    <w:rsid w:val="6F81AD56"/>
    <w:rsid w:val="6F82C945"/>
    <w:rsid w:val="6F85C4E8"/>
    <w:rsid w:val="6F86A540"/>
    <w:rsid w:val="6F889F0C"/>
    <w:rsid w:val="6F88FD2B"/>
    <w:rsid w:val="6F89C79C"/>
    <w:rsid w:val="6F8D19FF"/>
    <w:rsid w:val="6F8DA6A0"/>
    <w:rsid w:val="6F8ED26B"/>
    <w:rsid w:val="6F8FA8E2"/>
    <w:rsid w:val="6F90209C"/>
    <w:rsid w:val="6F903977"/>
    <w:rsid w:val="6F90F854"/>
    <w:rsid w:val="6F94673F"/>
    <w:rsid w:val="6F95A5DF"/>
    <w:rsid w:val="6F96DFBD"/>
    <w:rsid w:val="6F99EDAD"/>
    <w:rsid w:val="6F9C435D"/>
    <w:rsid w:val="6F9DE931"/>
    <w:rsid w:val="6F9E915D"/>
    <w:rsid w:val="6FA0540D"/>
    <w:rsid w:val="6FA123E6"/>
    <w:rsid w:val="6FA25182"/>
    <w:rsid w:val="6FA75D7F"/>
    <w:rsid w:val="6FAA0732"/>
    <w:rsid w:val="6FAAE605"/>
    <w:rsid w:val="6FAB2A88"/>
    <w:rsid w:val="6FAB9871"/>
    <w:rsid w:val="6FAC720B"/>
    <w:rsid w:val="6FACEF09"/>
    <w:rsid w:val="6FAF6378"/>
    <w:rsid w:val="6FB368E7"/>
    <w:rsid w:val="6FB3B3D5"/>
    <w:rsid w:val="6FB85480"/>
    <w:rsid w:val="6FB97FB6"/>
    <w:rsid w:val="6FBA05F0"/>
    <w:rsid w:val="6FBD217C"/>
    <w:rsid w:val="6FBEB197"/>
    <w:rsid w:val="6FBF1D7E"/>
    <w:rsid w:val="6FBF843B"/>
    <w:rsid w:val="6FC25A6F"/>
    <w:rsid w:val="6FC34C66"/>
    <w:rsid w:val="6FC5B460"/>
    <w:rsid w:val="6FC5C531"/>
    <w:rsid w:val="6FC8DF63"/>
    <w:rsid w:val="6FC8F9E1"/>
    <w:rsid w:val="6FC969BC"/>
    <w:rsid w:val="6FCB3B7B"/>
    <w:rsid w:val="6FCD3245"/>
    <w:rsid w:val="6FCDC0A7"/>
    <w:rsid w:val="6FCEAC5F"/>
    <w:rsid w:val="6FCEC8FF"/>
    <w:rsid w:val="6FCED0A2"/>
    <w:rsid w:val="6FCF11DF"/>
    <w:rsid w:val="6FD2146C"/>
    <w:rsid w:val="6FD58FE7"/>
    <w:rsid w:val="6FDA0DA3"/>
    <w:rsid w:val="6FDA1D01"/>
    <w:rsid w:val="6FDA5051"/>
    <w:rsid w:val="6FDC5B19"/>
    <w:rsid w:val="6FDEA4FB"/>
    <w:rsid w:val="6FE002C9"/>
    <w:rsid w:val="6FE0569B"/>
    <w:rsid w:val="6FE3DC7D"/>
    <w:rsid w:val="6FE523BE"/>
    <w:rsid w:val="6FE6E67E"/>
    <w:rsid w:val="6FE9D10D"/>
    <w:rsid w:val="6FEB3C33"/>
    <w:rsid w:val="6FEBB6DB"/>
    <w:rsid w:val="6FEC8DF3"/>
    <w:rsid w:val="6FEE6F42"/>
    <w:rsid w:val="6FEEC2E2"/>
    <w:rsid w:val="6FEFB8BD"/>
    <w:rsid w:val="6FF42C4A"/>
    <w:rsid w:val="6FF4BA6C"/>
    <w:rsid w:val="6FF85F8E"/>
    <w:rsid w:val="6FFAD13E"/>
    <w:rsid w:val="6FFBA14F"/>
    <w:rsid w:val="6FFDD20A"/>
    <w:rsid w:val="6FFED0C3"/>
    <w:rsid w:val="6FFFFACD"/>
    <w:rsid w:val="700B8867"/>
    <w:rsid w:val="700CD44E"/>
    <w:rsid w:val="700F4E39"/>
    <w:rsid w:val="700F598F"/>
    <w:rsid w:val="700F8558"/>
    <w:rsid w:val="7010A59D"/>
    <w:rsid w:val="70122410"/>
    <w:rsid w:val="70136BD9"/>
    <w:rsid w:val="70136EEC"/>
    <w:rsid w:val="70142623"/>
    <w:rsid w:val="7014DCAA"/>
    <w:rsid w:val="7015A6C8"/>
    <w:rsid w:val="7017A30F"/>
    <w:rsid w:val="701C0D68"/>
    <w:rsid w:val="701F9DC9"/>
    <w:rsid w:val="70213956"/>
    <w:rsid w:val="7021BDD4"/>
    <w:rsid w:val="702318DC"/>
    <w:rsid w:val="70241457"/>
    <w:rsid w:val="7025D93A"/>
    <w:rsid w:val="70297EF0"/>
    <w:rsid w:val="702A57FC"/>
    <w:rsid w:val="702A7D5B"/>
    <w:rsid w:val="702D3EAE"/>
    <w:rsid w:val="702EDBD4"/>
    <w:rsid w:val="70375B6F"/>
    <w:rsid w:val="70391873"/>
    <w:rsid w:val="703C5AE2"/>
    <w:rsid w:val="703D2429"/>
    <w:rsid w:val="703D4D35"/>
    <w:rsid w:val="7040DD10"/>
    <w:rsid w:val="704605B7"/>
    <w:rsid w:val="7046721B"/>
    <w:rsid w:val="70478F45"/>
    <w:rsid w:val="7049905A"/>
    <w:rsid w:val="7049CCB9"/>
    <w:rsid w:val="704A3203"/>
    <w:rsid w:val="704AB625"/>
    <w:rsid w:val="704D54BF"/>
    <w:rsid w:val="704E53DF"/>
    <w:rsid w:val="704F3C44"/>
    <w:rsid w:val="7051A291"/>
    <w:rsid w:val="7053E03A"/>
    <w:rsid w:val="7053F444"/>
    <w:rsid w:val="70581EBF"/>
    <w:rsid w:val="705AF065"/>
    <w:rsid w:val="705BE149"/>
    <w:rsid w:val="705C3654"/>
    <w:rsid w:val="705E4D66"/>
    <w:rsid w:val="70628B48"/>
    <w:rsid w:val="7063370B"/>
    <w:rsid w:val="7065CE29"/>
    <w:rsid w:val="7065F60E"/>
    <w:rsid w:val="7067ACF4"/>
    <w:rsid w:val="70685CC1"/>
    <w:rsid w:val="706A5941"/>
    <w:rsid w:val="706B2AD1"/>
    <w:rsid w:val="706E7C50"/>
    <w:rsid w:val="706F179B"/>
    <w:rsid w:val="70719F1F"/>
    <w:rsid w:val="7072158F"/>
    <w:rsid w:val="7072F7CC"/>
    <w:rsid w:val="70740185"/>
    <w:rsid w:val="7076BBA4"/>
    <w:rsid w:val="707AAA05"/>
    <w:rsid w:val="707DCA80"/>
    <w:rsid w:val="707FE284"/>
    <w:rsid w:val="708076BD"/>
    <w:rsid w:val="7080EB21"/>
    <w:rsid w:val="708121AB"/>
    <w:rsid w:val="70861F16"/>
    <w:rsid w:val="7086E882"/>
    <w:rsid w:val="708825B5"/>
    <w:rsid w:val="70920C0F"/>
    <w:rsid w:val="7096434D"/>
    <w:rsid w:val="70970B22"/>
    <w:rsid w:val="70981301"/>
    <w:rsid w:val="709977CD"/>
    <w:rsid w:val="709B7083"/>
    <w:rsid w:val="709C3C00"/>
    <w:rsid w:val="709CC450"/>
    <w:rsid w:val="709D3073"/>
    <w:rsid w:val="70A0A2C0"/>
    <w:rsid w:val="70A3CA08"/>
    <w:rsid w:val="70A851ED"/>
    <w:rsid w:val="70AC1833"/>
    <w:rsid w:val="70ACA568"/>
    <w:rsid w:val="70ADA9E0"/>
    <w:rsid w:val="70ADB3D2"/>
    <w:rsid w:val="70B0B4BC"/>
    <w:rsid w:val="70B1F17F"/>
    <w:rsid w:val="70B3E976"/>
    <w:rsid w:val="70B5F2AB"/>
    <w:rsid w:val="70B64800"/>
    <w:rsid w:val="70B7AAFF"/>
    <w:rsid w:val="70B7C7C5"/>
    <w:rsid w:val="70BA01B1"/>
    <w:rsid w:val="70BAF3C0"/>
    <w:rsid w:val="70BCAF2D"/>
    <w:rsid w:val="70BCD26C"/>
    <w:rsid w:val="70BED374"/>
    <w:rsid w:val="70BFD0D5"/>
    <w:rsid w:val="70C09207"/>
    <w:rsid w:val="70C4600F"/>
    <w:rsid w:val="70C50DAD"/>
    <w:rsid w:val="70C667CD"/>
    <w:rsid w:val="70C82AA9"/>
    <w:rsid w:val="70C99AF7"/>
    <w:rsid w:val="70CC4BD7"/>
    <w:rsid w:val="70CCD415"/>
    <w:rsid w:val="70D28730"/>
    <w:rsid w:val="70D540F4"/>
    <w:rsid w:val="70D7F1EF"/>
    <w:rsid w:val="70DA097A"/>
    <w:rsid w:val="70DD5779"/>
    <w:rsid w:val="70E253BC"/>
    <w:rsid w:val="70E5BFCD"/>
    <w:rsid w:val="70E5CC5F"/>
    <w:rsid w:val="70E691F5"/>
    <w:rsid w:val="70E83B94"/>
    <w:rsid w:val="70EAF84B"/>
    <w:rsid w:val="70EC7F96"/>
    <w:rsid w:val="70EC86D9"/>
    <w:rsid w:val="70EEF4D5"/>
    <w:rsid w:val="70EF506F"/>
    <w:rsid w:val="70F659D7"/>
    <w:rsid w:val="70F6F316"/>
    <w:rsid w:val="70F77944"/>
    <w:rsid w:val="70FAE725"/>
    <w:rsid w:val="70FD2970"/>
    <w:rsid w:val="7101AC58"/>
    <w:rsid w:val="710213EC"/>
    <w:rsid w:val="7102183D"/>
    <w:rsid w:val="71035F9F"/>
    <w:rsid w:val="7104ADD5"/>
    <w:rsid w:val="7104C9D4"/>
    <w:rsid w:val="710664DF"/>
    <w:rsid w:val="71069C8D"/>
    <w:rsid w:val="7106DC37"/>
    <w:rsid w:val="710C0524"/>
    <w:rsid w:val="71112C13"/>
    <w:rsid w:val="711269F6"/>
    <w:rsid w:val="7113CC46"/>
    <w:rsid w:val="7115A377"/>
    <w:rsid w:val="71163F50"/>
    <w:rsid w:val="7118BC39"/>
    <w:rsid w:val="711ACCB4"/>
    <w:rsid w:val="7120E4D7"/>
    <w:rsid w:val="7125AF34"/>
    <w:rsid w:val="7126E350"/>
    <w:rsid w:val="712850C1"/>
    <w:rsid w:val="7129C2F7"/>
    <w:rsid w:val="712D7A3C"/>
    <w:rsid w:val="712D7ACF"/>
    <w:rsid w:val="7135CDAD"/>
    <w:rsid w:val="71378F28"/>
    <w:rsid w:val="713942EF"/>
    <w:rsid w:val="71396FE6"/>
    <w:rsid w:val="7139FC4F"/>
    <w:rsid w:val="713C62BA"/>
    <w:rsid w:val="713DA25F"/>
    <w:rsid w:val="713DCE4A"/>
    <w:rsid w:val="7140B689"/>
    <w:rsid w:val="7140E597"/>
    <w:rsid w:val="71410920"/>
    <w:rsid w:val="7144010C"/>
    <w:rsid w:val="7144DEDA"/>
    <w:rsid w:val="7145E270"/>
    <w:rsid w:val="71474CB6"/>
    <w:rsid w:val="71480CF4"/>
    <w:rsid w:val="7148F003"/>
    <w:rsid w:val="7149EFE7"/>
    <w:rsid w:val="7150CD2F"/>
    <w:rsid w:val="715578BE"/>
    <w:rsid w:val="71560F5C"/>
    <w:rsid w:val="715F264F"/>
    <w:rsid w:val="716B7619"/>
    <w:rsid w:val="716C571A"/>
    <w:rsid w:val="716E77AF"/>
    <w:rsid w:val="716F2C68"/>
    <w:rsid w:val="716FFF7D"/>
    <w:rsid w:val="717210F9"/>
    <w:rsid w:val="7172846B"/>
    <w:rsid w:val="71732EC7"/>
    <w:rsid w:val="717393D1"/>
    <w:rsid w:val="7174BE8E"/>
    <w:rsid w:val="7176A421"/>
    <w:rsid w:val="717ADAB4"/>
    <w:rsid w:val="717D642D"/>
    <w:rsid w:val="717D8BC7"/>
    <w:rsid w:val="718435A8"/>
    <w:rsid w:val="71853BCB"/>
    <w:rsid w:val="7188D8F3"/>
    <w:rsid w:val="71891BA9"/>
    <w:rsid w:val="718B7239"/>
    <w:rsid w:val="718C80A4"/>
    <w:rsid w:val="718EED8D"/>
    <w:rsid w:val="718F216B"/>
    <w:rsid w:val="7190D850"/>
    <w:rsid w:val="71938D02"/>
    <w:rsid w:val="71948512"/>
    <w:rsid w:val="7194BA87"/>
    <w:rsid w:val="7195E0DE"/>
    <w:rsid w:val="7197EB06"/>
    <w:rsid w:val="719A8870"/>
    <w:rsid w:val="719C0BF8"/>
    <w:rsid w:val="719EAE0E"/>
    <w:rsid w:val="719FE28A"/>
    <w:rsid w:val="71A0D4B8"/>
    <w:rsid w:val="71A13CC3"/>
    <w:rsid w:val="71A55006"/>
    <w:rsid w:val="71A80056"/>
    <w:rsid w:val="71A934D8"/>
    <w:rsid w:val="71AD4E4A"/>
    <w:rsid w:val="71ADB984"/>
    <w:rsid w:val="71AEEDDA"/>
    <w:rsid w:val="71B075EB"/>
    <w:rsid w:val="71B156B1"/>
    <w:rsid w:val="71B3A7F6"/>
    <w:rsid w:val="71B43400"/>
    <w:rsid w:val="71B5F87E"/>
    <w:rsid w:val="71B75790"/>
    <w:rsid w:val="71B7956E"/>
    <w:rsid w:val="71B8422E"/>
    <w:rsid w:val="71B9732F"/>
    <w:rsid w:val="71BBC69B"/>
    <w:rsid w:val="71C1DA6F"/>
    <w:rsid w:val="71C20ACC"/>
    <w:rsid w:val="71C2B061"/>
    <w:rsid w:val="71C6292F"/>
    <w:rsid w:val="71C6734F"/>
    <w:rsid w:val="71CAD6AD"/>
    <w:rsid w:val="71CDB9C0"/>
    <w:rsid w:val="71CE58E6"/>
    <w:rsid w:val="71CF5A3F"/>
    <w:rsid w:val="71D08B66"/>
    <w:rsid w:val="71DAA396"/>
    <w:rsid w:val="71DB6C41"/>
    <w:rsid w:val="71DC6448"/>
    <w:rsid w:val="71E3962F"/>
    <w:rsid w:val="71E498BD"/>
    <w:rsid w:val="71E60E24"/>
    <w:rsid w:val="71E6210D"/>
    <w:rsid w:val="71E66E87"/>
    <w:rsid w:val="71E71DE5"/>
    <w:rsid w:val="71E863FC"/>
    <w:rsid w:val="71EA102D"/>
    <w:rsid w:val="71EA1498"/>
    <w:rsid w:val="71EA369C"/>
    <w:rsid w:val="71EA71C5"/>
    <w:rsid w:val="71EB8199"/>
    <w:rsid w:val="71EDFB32"/>
    <w:rsid w:val="71EF6127"/>
    <w:rsid w:val="71F12E76"/>
    <w:rsid w:val="71FA0AF6"/>
    <w:rsid w:val="71FA9F51"/>
    <w:rsid w:val="71FC57E3"/>
    <w:rsid w:val="71FD43B8"/>
    <w:rsid w:val="71FD7D1D"/>
    <w:rsid w:val="71FEAA8B"/>
    <w:rsid w:val="7205695A"/>
    <w:rsid w:val="7206BF53"/>
    <w:rsid w:val="7208B825"/>
    <w:rsid w:val="72090654"/>
    <w:rsid w:val="720A6756"/>
    <w:rsid w:val="720BA4F9"/>
    <w:rsid w:val="720F8FDF"/>
    <w:rsid w:val="7212AE33"/>
    <w:rsid w:val="7213DD6E"/>
    <w:rsid w:val="7213E40B"/>
    <w:rsid w:val="72148B6F"/>
    <w:rsid w:val="721583AD"/>
    <w:rsid w:val="7219BD3D"/>
    <w:rsid w:val="721DC523"/>
    <w:rsid w:val="72259850"/>
    <w:rsid w:val="722639A8"/>
    <w:rsid w:val="722F3DA0"/>
    <w:rsid w:val="723007FB"/>
    <w:rsid w:val="7230DF22"/>
    <w:rsid w:val="72316A37"/>
    <w:rsid w:val="7235114D"/>
    <w:rsid w:val="7236872A"/>
    <w:rsid w:val="7236D59A"/>
    <w:rsid w:val="723BCB6B"/>
    <w:rsid w:val="723C23F0"/>
    <w:rsid w:val="72416CC8"/>
    <w:rsid w:val="7241D91B"/>
    <w:rsid w:val="7241FF5A"/>
    <w:rsid w:val="72438008"/>
    <w:rsid w:val="7243EDC2"/>
    <w:rsid w:val="7247F5C9"/>
    <w:rsid w:val="7249CAC8"/>
    <w:rsid w:val="724A6D50"/>
    <w:rsid w:val="724AAAB4"/>
    <w:rsid w:val="724CF189"/>
    <w:rsid w:val="724F756D"/>
    <w:rsid w:val="72513F5E"/>
    <w:rsid w:val="72556490"/>
    <w:rsid w:val="7256C0E0"/>
    <w:rsid w:val="725BA746"/>
    <w:rsid w:val="725BDE1D"/>
    <w:rsid w:val="725BED5F"/>
    <w:rsid w:val="72607709"/>
    <w:rsid w:val="72611294"/>
    <w:rsid w:val="72629528"/>
    <w:rsid w:val="7262FDF1"/>
    <w:rsid w:val="7267153B"/>
    <w:rsid w:val="7269DCDB"/>
    <w:rsid w:val="726A0701"/>
    <w:rsid w:val="726A9D85"/>
    <w:rsid w:val="726CBA70"/>
    <w:rsid w:val="726DB285"/>
    <w:rsid w:val="726E42FB"/>
    <w:rsid w:val="7274038A"/>
    <w:rsid w:val="727CA225"/>
    <w:rsid w:val="727E23DA"/>
    <w:rsid w:val="727E6F44"/>
    <w:rsid w:val="727EBC9A"/>
    <w:rsid w:val="72812136"/>
    <w:rsid w:val="7281EC50"/>
    <w:rsid w:val="7283327E"/>
    <w:rsid w:val="72846D3C"/>
    <w:rsid w:val="7285BA4E"/>
    <w:rsid w:val="7288DA98"/>
    <w:rsid w:val="7289D34C"/>
    <w:rsid w:val="728A47E1"/>
    <w:rsid w:val="728B40D9"/>
    <w:rsid w:val="728C3ED5"/>
    <w:rsid w:val="728D9204"/>
    <w:rsid w:val="728E8535"/>
    <w:rsid w:val="728F53E1"/>
    <w:rsid w:val="7290D833"/>
    <w:rsid w:val="729215E8"/>
    <w:rsid w:val="7292C967"/>
    <w:rsid w:val="7294B12E"/>
    <w:rsid w:val="729DA7DF"/>
    <w:rsid w:val="72A34F23"/>
    <w:rsid w:val="72A4717B"/>
    <w:rsid w:val="72A563FA"/>
    <w:rsid w:val="72A92B76"/>
    <w:rsid w:val="72A98CB4"/>
    <w:rsid w:val="72AA3CE6"/>
    <w:rsid w:val="72AAB31B"/>
    <w:rsid w:val="72ADEBEB"/>
    <w:rsid w:val="72B3C44F"/>
    <w:rsid w:val="72B53B94"/>
    <w:rsid w:val="72B8F7CB"/>
    <w:rsid w:val="72BACF72"/>
    <w:rsid w:val="72BB2560"/>
    <w:rsid w:val="72BB520D"/>
    <w:rsid w:val="72C06106"/>
    <w:rsid w:val="72C138AE"/>
    <w:rsid w:val="72C25D4F"/>
    <w:rsid w:val="72C4488B"/>
    <w:rsid w:val="72C9C6E2"/>
    <w:rsid w:val="72CA8A0D"/>
    <w:rsid w:val="72CD7C6F"/>
    <w:rsid w:val="72D089D3"/>
    <w:rsid w:val="72D0AAE5"/>
    <w:rsid w:val="72DACB10"/>
    <w:rsid w:val="72DB0BBC"/>
    <w:rsid w:val="72DB875C"/>
    <w:rsid w:val="72DFDB89"/>
    <w:rsid w:val="72E2435F"/>
    <w:rsid w:val="72E8A12B"/>
    <w:rsid w:val="72E94E8F"/>
    <w:rsid w:val="72EBC08C"/>
    <w:rsid w:val="72ED04C4"/>
    <w:rsid w:val="72EE59E7"/>
    <w:rsid w:val="72EF4AFA"/>
    <w:rsid w:val="72EF773C"/>
    <w:rsid w:val="72EF98FB"/>
    <w:rsid w:val="72F243AC"/>
    <w:rsid w:val="72F2C142"/>
    <w:rsid w:val="72F3525B"/>
    <w:rsid w:val="72F400EB"/>
    <w:rsid w:val="72F42BE9"/>
    <w:rsid w:val="72F49FF8"/>
    <w:rsid w:val="72F6048B"/>
    <w:rsid w:val="72F7FA68"/>
    <w:rsid w:val="72FAA72E"/>
    <w:rsid w:val="72FAF533"/>
    <w:rsid w:val="72FD2A6F"/>
    <w:rsid w:val="7303829E"/>
    <w:rsid w:val="730410B2"/>
    <w:rsid w:val="73045D3E"/>
    <w:rsid w:val="730517A1"/>
    <w:rsid w:val="730521C3"/>
    <w:rsid w:val="7305C870"/>
    <w:rsid w:val="7305CB10"/>
    <w:rsid w:val="7305E962"/>
    <w:rsid w:val="73064497"/>
    <w:rsid w:val="730852A4"/>
    <w:rsid w:val="73087FA8"/>
    <w:rsid w:val="730B29CC"/>
    <w:rsid w:val="730B520A"/>
    <w:rsid w:val="730D7223"/>
    <w:rsid w:val="730FA731"/>
    <w:rsid w:val="73102C28"/>
    <w:rsid w:val="7310ED26"/>
    <w:rsid w:val="7314C15B"/>
    <w:rsid w:val="731C8316"/>
    <w:rsid w:val="731CBC0A"/>
    <w:rsid w:val="73210FBA"/>
    <w:rsid w:val="7322E737"/>
    <w:rsid w:val="73262492"/>
    <w:rsid w:val="73276E77"/>
    <w:rsid w:val="732AC3F4"/>
    <w:rsid w:val="732D4AD3"/>
    <w:rsid w:val="732DF0A4"/>
    <w:rsid w:val="732EE3C4"/>
    <w:rsid w:val="733146D1"/>
    <w:rsid w:val="7332F0F2"/>
    <w:rsid w:val="733789C0"/>
    <w:rsid w:val="7339B860"/>
    <w:rsid w:val="733B40BC"/>
    <w:rsid w:val="733BD3FF"/>
    <w:rsid w:val="733F24E6"/>
    <w:rsid w:val="733F54AE"/>
    <w:rsid w:val="73407FE7"/>
    <w:rsid w:val="73457F47"/>
    <w:rsid w:val="7345AB0D"/>
    <w:rsid w:val="7348A761"/>
    <w:rsid w:val="734B7F8C"/>
    <w:rsid w:val="734BFADA"/>
    <w:rsid w:val="734CD42E"/>
    <w:rsid w:val="734CD57D"/>
    <w:rsid w:val="734DC815"/>
    <w:rsid w:val="734F8A06"/>
    <w:rsid w:val="7351A94A"/>
    <w:rsid w:val="7353EE75"/>
    <w:rsid w:val="735A7DDB"/>
    <w:rsid w:val="735AE88E"/>
    <w:rsid w:val="735C10FB"/>
    <w:rsid w:val="735E59D7"/>
    <w:rsid w:val="736183E0"/>
    <w:rsid w:val="7366A141"/>
    <w:rsid w:val="7366D706"/>
    <w:rsid w:val="7367B4CE"/>
    <w:rsid w:val="736B6D54"/>
    <w:rsid w:val="736BAF18"/>
    <w:rsid w:val="736C5BB9"/>
    <w:rsid w:val="736DD859"/>
    <w:rsid w:val="736F1D63"/>
    <w:rsid w:val="73720D1E"/>
    <w:rsid w:val="7373F401"/>
    <w:rsid w:val="73749846"/>
    <w:rsid w:val="73753AEB"/>
    <w:rsid w:val="7376B99B"/>
    <w:rsid w:val="7376E0B8"/>
    <w:rsid w:val="73798145"/>
    <w:rsid w:val="7379AD40"/>
    <w:rsid w:val="737B1439"/>
    <w:rsid w:val="737C36B5"/>
    <w:rsid w:val="737E1F6A"/>
    <w:rsid w:val="7382728B"/>
    <w:rsid w:val="7382E000"/>
    <w:rsid w:val="73831756"/>
    <w:rsid w:val="73838EA0"/>
    <w:rsid w:val="73840A07"/>
    <w:rsid w:val="73853411"/>
    <w:rsid w:val="73869784"/>
    <w:rsid w:val="738801A3"/>
    <w:rsid w:val="738B8EBA"/>
    <w:rsid w:val="738E5167"/>
    <w:rsid w:val="7391DC1B"/>
    <w:rsid w:val="739A19A4"/>
    <w:rsid w:val="739A2B83"/>
    <w:rsid w:val="739AE3FD"/>
    <w:rsid w:val="739BB17B"/>
    <w:rsid w:val="739EDA47"/>
    <w:rsid w:val="73A303E5"/>
    <w:rsid w:val="73A4B054"/>
    <w:rsid w:val="73A61C43"/>
    <w:rsid w:val="73A75951"/>
    <w:rsid w:val="73A7E749"/>
    <w:rsid w:val="73B1A250"/>
    <w:rsid w:val="73B34374"/>
    <w:rsid w:val="73B9839C"/>
    <w:rsid w:val="73C19E96"/>
    <w:rsid w:val="73C3ADEF"/>
    <w:rsid w:val="73C427B2"/>
    <w:rsid w:val="73C71FFA"/>
    <w:rsid w:val="73C73526"/>
    <w:rsid w:val="73CA9E85"/>
    <w:rsid w:val="73CC67AE"/>
    <w:rsid w:val="73CC7A8B"/>
    <w:rsid w:val="73CD81CE"/>
    <w:rsid w:val="73CDDDDF"/>
    <w:rsid w:val="73CE512D"/>
    <w:rsid w:val="73CE76E6"/>
    <w:rsid w:val="73D29997"/>
    <w:rsid w:val="73D4991A"/>
    <w:rsid w:val="73D51137"/>
    <w:rsid w:val="73D615CA"/>
    <w:rsid w:val="73D7F620"/>
    <w:rsid w:val="73D9F8DC"/>
    <w:rsid w:val="73DA9FC3"/>
    <w:rsid w:val="73DB2914"/>
    <w:rsid w:val="73DCB8D2"/>
    <w:rsid w:val="73DD1478"/>
    <w:rsid w:val="73DFDC2A"/>
    <w:rsid w:val="73E066DF"/>
    <w:rsid w:val="73E29524"/>
    <w:rsid w:val="73E5870A"/>
    <w:rsid w:val="73E78AB6"/>
    <w:rsid w:val="73E8369F"/>
    <w:rsid w:val="73E96A62"/>
    <w:rsid w:val="73EB9DEF"/>
    <w:rsid w:val="73EC8A54"/>
    <w:rsid w:val="73EEC41B"/>
    <w:rsid w:val="73F10CCF"/>
    <w:rsid w:val="73F11AEB"/>
    <w:rsid w:val="73F53CA2"/>
    <w:rsid w:val="73F86EBA"/>
    <w:rsid w:val="73FAA8F0"/>
    <w:rsid w:val="73FAFEE6"/>
    <w:rsid w:val="73FD8912"/>
    <w:rsid w:val="73FE5F6A"/>
    <w:rsid w:val="73FE69EE"/>
    <w:rsid w:val="7401B5A5"/>
    <w:rsid w:val="74040F04"/>
    <w:rsid w:val="7405102F"/>
    <w:rsid w:val="740A2A43"/>
    <w:rsid w:val="740ECFF7"/>
    <w:rsid w:val="74110ECB"/>
    <w:rsid w:val="741492AB"/>
    <w:rsid w:val="7418B733"/>
    <w:rsid w:val="74190C52"/>
    <w:rsid w:val="74197619"/>
    <w:rsid w:val="741A0286"/>
    <w:rsid w:val="741E107D"/>
    <w:rsid w:val="7428C23B"/>
    <w:rsid w:val="742AB9E4"/>
    <w:rsid w:val="742AE311"/>
    <w:rsid w:val="742B7127"/>
    <w:rsid w:val="742F300A"/>
    <w:rsid w:val="742F3602"/>
    <w:rsid w:val="743124BE"/>
    <w:rsid w:val="743568A2"/>
    <w:rsid w:val="74356CC6"/>
    <w:rsid w:val="743DEB5C"/>
    <w:rsid w:val="743F5AA9"/>
    <w:rsid w:val="7440EE03"/>
    <w:rsid w:val="7443CDB3"/>
    <w:rsid w:val="7443FBA2"/>
    <w:rsid w:val="74449085"/>
    <w:rsid w:val="74465239"/>
    <w:rsid w:val="7446C5B9"/>
    <w:rsid w:val="7447CF4B"/>
    <w:rsid w:val="7448027B"/>
    <w:rsid w:val="74491520"/>
    <w:rsid w:val="744AE994"/>
    <w:rsid w:val="744C8FEE"/>
    <w:rsid w:val="744CBA2A"/>
    <w:rsid w:val="744CDA13"/>
    <w:rsid w:val="74517ADF"/>
    <w:rsid w:val="745481D9"/>
    <w:rsid w:val="74568E1C"/>
    <w:rsid w:val="74589334"/>
    <w:rsid w:val="7458E4E1"/>
    <w:rsid w:val="745D531A"/>
    <w:rsid w:val="745D9A13"/>
    <w:rsid w:val="745F1686"/>
    <w:rsid w:val="7460D24F"/>
    <w:rsid w:val="7460F01C"/>
    <w:rsid w:val="74642919"/>
    <w:rsid w:val="7469EC91"/>
    <w:rsid w:val="746B6A1B"/>
    <w:rsid w:val="746C67CB"/>
    <w:rsid w:val="746DA832"/>
    <w:rsid w:val="746ECD37"/>
    <w:rsid w:val="746F424B"/>
    <w:rsid w:val="7470432E"/>
    <w:rsid w:val="74731F44"/>
    <w:rsid w:val="747979C9"/>
    <w:rsid w:val="747C5AB5"/>
    <w:rsid w:val="747EE000"/>
    <w:rsid w:val="7482EC91"/>
    <w:rsid w:val="7484231D"/>
    <w:rsid w:val="74852CE3"/>
    <w:rsid w:val="7487C876"/>
    <w:rsid w:val="748BF83D"/>
    <w:rsid w:val="748DF69D"/>
    <w:rsid w:val="74902CD3"/>
    <w:rsid w:val="7492103C"/>
    <w:rsid w:val="749583A5"/>
    <w:rsid w:val="74968E1A"/>
    <w:rsid w:val="749A88A6"/>
    <w:rsid w:val="749E6165"/>
    <w:rsid w:val="74A061A2"/>
    <w:rsid w:val="74A20447"/>
    <w:rsid w:val="74A347AE"/>
    <w:rsid w:val="74A7CB30"/>
    <w:rsid w:val="74AC62E9"/>
    <w:rsid w:val="74AF38FE"/>
    <w:rsid w:val="74AFA746"/>
    <w:rsid w:val="74AFE2DC"/>
    <w:rsid w:val="74B05CE0"/>
    <w:rsid w:val="74B618DE"/>
    <w:rsid w:val="74B9B89E"/>
    <w:rsid w:val="74BD383F"/>
    <w:rsid w:val="74BD90CD"/>
    <w:rsid w:val="74C1459B"/>
    <w:rsid w:val="74C848AA"/>
    <w:rsid w:val="74CA02B1"/>
    <w:rsid w:val="74CA35E9"/>
    <w:rsid w:val="74CD681A"/>
    <w:rsid w:val="74CDCAF1"/>
    <w:rsid w:val="74CE2BAD"/>
    <w:rsid w:val="74D3D929"/>
    <w:rsid w:val="74D6DE13"/>
    <w:rsid w:val="74D73871"/>
    <w:rsid w:val="74DAC717"/>
    <w:rsid w:val="74DBC915"/>
    <w:rsid w:val="74DC606C"/>
    <w:rsid w:val="74DF7C22"/>
    <w:rsid w:val="74E1E22F"/>
    <w:rsid w:val="74E40727"/>
    <w:rsid w:val="74E51085"/>
    <w:rsid w:val="74E547CF"/>
    <w:rsid w:val="74E5A107"/>
    <w:rsid w:val="74E726D7"/>
    <w:rsid w:val="74E8C822"/>
    <w:rsid w:val="74E8E658"/>
    <w:rsid w:val="74ECB9C5"/>
    <w:rsid w:val="74EF3E89"/>
    <w:rsid w:val="74F268F5"/>
    <w:rsid w:val="74F869A0"/>
    <w:rsid w:val="75052193"/>
    <w:rsid w:val="75067C18"/>
    <w:rsid w:val="75074830"/>
    <w:rsid w:val="7507D7AD"/>
    <w:rsid w:val="7508F473"/>
    <w:rsid w:val="750CC28E"/>
    <w:rsid w:val="750F1ACD"/>
    <w:rsid w:val="750FDFE7"/>
    <w:rsid w:val="75121E8E"/>
    <w:rsid w:val="75155C8D"/>
    <w:rsid w:val="75178570"/>
    <w:rsid w:val="75178CF8"/>
    <w:rsid w:val="7518E45F"/>
    <w:rsid w:val="751A6BBF"/>
    <w:rsid w:val="751B45EF"/>
    <w:rsid w:val="75206162"/>
    <w:rsid w:val="7524C1D3"/>
    <w:rsid w:val="7524D563"/>
    <w:rsid w:val="75250B26"/>
    <w:rsid w:val="7528951C"/>
    <w:rsid w:val="7528CF01"/>
    <w:rsid w:val="752DBCD7"/>
    <w:rsid w:val="752E9238"/>
    <w:rsid w:val="753105CC"/>
    <w:rsid w:val="753777A8"/>
    <w:rsid w:val="753AF83F"/>
    <w:rsid w:val="753D5E28"/>
    <w:rsid w:val="753EDE37"/>
    <w:rsid w:val="753F514D"/>
    <w:rsid w:val="754341D0"/>
    <w:rsid w:val="75434715"/>
    <w:rsid w:val="75439CEC"/>
    <w:rsid w:val="7544BB0D"/>
    <w:rsid w:val="75450312"/>
    <w:rsid w:val="7547C52D"/>
    <w:rsid w:val="754A0DC4"/>
    <w:rsid w:val="754B279B"/>
    <w:rsid w:val="754C0D01"/>
    <w:rsid w:val="754CF3F8"/>
    <w:rsid w:val="7550555A"/>
    <w:rsid w:val="7552A924"/>
    <w:rsid w:val="755300EF"/>
    <w:rsid w:val="7555AEC3"/>
    <w:rsid w:val="75581640"/>
    <w:rsid w:val="755838FE"/>
    <w:rsid w:val="7559209C"/>
    <w:rsid w:val="7560E17F"/>
    <w:rsid w:val="75628748"/>
    <w:rsid w:val="7564B42C"/>
    <w:rsid w:val="7566049F"/>
    <w:rsid w:val="7566B02D"/>
    <w:rsid w:val="7567C115"/>
    <w:rsid w:val="75684181"/>
    <w:rsid w:val="7568E18A"/>
    <w:rsid w:val="75690388"/>
    <w:rsid w:val="756A47A0"/>
    <w:rsid w:val="756D64FF"/>
    <w:rsid w:val="75714738"/>
    <w:rsid w:val="7575B432"/>
    <w:rsid w:val="7578AA56"/>
    <w:rsid w:val="757ABBA0"/>
    <w:rsid w:val="757BF29D"/>
    <w:rsid w:val="757DFEB2"/>
    <w:rsid w:val="757F43CD"/>
    <w:rsid w:val="7582592C"/>
    <w:rsid w:val="758450B0"/>
    <w:rsid w:val="75850EBB"/>
    <w:rsid w:val="7587112A"/>
    <w:rsid w:val="7587443A"/>
    <w:rsid w:val="758F9AE4"/>
    <w:rsid w:val="7592A7E7"/>
    <w:rsid w:val="7592C405"/>
    <w:rsid w:val="7595D919"/>
    <w:rsid w:val="759694A1"/>
    <w:rsid w:val="7599DFB7"/>
    <w:rsid w:val="759A2782"/>
    <w:rsid w:val="759A4E04"/>
    <w:rsid w:val="759D5C8F"/>
    <w:rsid w:val="759EE8D2"/>
    <w:rsid w:val="75A00433"/>
    <w:rsid w:val="75A177D7"/>
    <w:rsid w:val="75A2B9C4"/>
    <w:rsid w:val="75A43FF7"/>
    <w:rsid w:val="75A549FE"/>
    <w:rsid w:val="75A65FD0"/>
    <w:rsid w:val="75A951C3"/>
    <w:rsid w:val="75AEEC86"/>
    <w:rsid w:val="75AF67E3"/>
    <w:rsid w:val="75B11407"/>
    <w:rsid w:val="75B29C92"/>
    <w:rsid w:val="75B2E534"/>
    <w:rsid w:val="75B37451"/>
    <w:rsid w:val="75B7D232"/>
    <w:rsid w:val="75BB11A1"/>
    <w:rsid w:val="75BD02A4"/>
    <w:rsid w:val="75BE1D77"/>
    <w:rsid w:val="75BFB8DD"/>
    <w:rsid w:val="75BFD9F0"/>
    <w:rsid w:val="75C0A6E1"/>
    <w:rsid w:val="75C183C5"/>
    <w:rsid w:val="75C1D24C"/>
    <w:rsid w:val="75C21AD4"/>
    <w:rsid w:val="75C42B0F"/>
    <w:rsid w:val="75C48F38"/>
    <w:rsid w:val="75C78724"/>
    <w:rsid w:val="75C7BD6D"/>
    <w:rsid w:val="75CEE4BA"/>
    <w:rsid w:val="75D10D7C"/>
    <w:rsid w:val="75D324B0"/>
    <w:rsid w:val="75D8A5BB"/>
    <w:rsid w:val="75D9BA29"/>
    <w:rsid w:val="75DACE32"/>
    <w:rsid w:val="75DBE91B"/>
    <w:rsid w:val="75DC61B8"/>
    <w:rsid w:val="75E6B06D"/>
    <w:rsid w:val="75E86316"/>
    <w:rsid w:val="75ED1A77"/>
    <w:rsid w:val="75EE7499"/>
    <w:rsid w:val="75EFB61C"/>
    <w:rsid w:val="75F108B8"/>
    <w:rsid w:val="75F2005C"/>
    <w:rsid w:val="75F560A9"/>
    <w:rsid w:val="75FC99A9"/>
    <w:rsid w:val="75FF9F64"/>
    <w:rsid w:val="7600A1D6"/>
    <w:rsid w:val="76012DD5"/>
    <w:rsid w:val="76024AA5"/>
    <w:rsid w:val="7606C767"/>
    <w:rsid w:val="760A8A79"/>
    <w:rsid w:val="760AA40A"/>
    <w:rsid w:val="760BC7BA"/>
    <w:rsid w:val="760D3EB2"/>
    <w:rsid w:val="76101B95"/>
    <w:rsid w:val="7611A160"/>
    <w:rsid w:val="7614CF75"/>
    <w:rsid w:val="76187ECC"/>
    <w:rsid w:val="7618AD34"/>
    <w:rsid w:val="761D3DCA"/>
    <w:rsid w:val="761D801A"/>
    <w:rsid w:val="761EB0B7"/>
    <w:rsid w:val="76227C49"/>
    <w:rsid w:val="76230EA6"/>
    <w:rsid w:val="76252784"/>
    <w:rsid w:val="7628089E"/>
    <w:rsid w:val="763086E6"/>
    <w:rsid w:val="7630D261"/>
    <w:rsid w:val="7636263A"/>
    <w:rsid w:val="763677E5"/>
    <w:rsid w:val="7636FA8E"/>
    <w:rsid w:val="76370F91"/>
    <w:rsid w:val="763D24E8"/>
    <w:rsid w:val="763DC8EF"/>
    <w:rsid w:val="763F424C"/>
    <w:rsid w:val="763FFBFE"/>
    <w:rsid w:val="7640619A"/>
    <w:rsid w:val="7640B8C4"/>
    <w:rsid w:val="76419F8C"/>
    <w:rsid w:val="7643AC01"/>
    <w:rsid w:val="76448468"/>
    <w:rsid w:val="76462D4B"/>
    <w:rsid w:val="76484D1C"/>
    <w:rsid w:val="764A2726"/>
    <w:rsid w:val="764E0EFC"/>
    <w:rsid w:val="764FAAA3"/>
    <w:rsid w:val="76503004"/>
    <w:rsid w:val="76516A1C"/>
    <w:rsid w:val="7652C87A"/>
    <w:rsid w:val="7653BAF5"/>
    <w:rsid w:val="7654185E"/>
    <w:rsid w:val="765C172C"/>
    <w:rsid w:val="765D1F5E"/>
    <w:rsid w:val="765DB6EB"/>
    <w:rsid w:val="765E5380"/>
    <w:rsid w:val="7660413C"/>
    <w:rsid w:val="76613A78"/>
    <w:rsid w:val="7661E3D3"/>
    <w:rsid w:val="76623FFE"/>
    <w:rsid w:val="7665DD71"/>
    <w:rsid w:val="766C6BBB"/>
    <w:rsid w:val="766CD303"/>
    <w:rsid w:val="7671A928"/>
    <w:rsid w:val="7671E047"/>
    <w:rsid w:val="76733F34"/>
    <w:rsid w:val="767474A4"/>
    <w:rsid w:val="7678DF9A"/>
    <w:rsid w:val="767949A8"/>
    <w:rsid w:val="767CCEEC"/>
    <w:rsid w:val="76840107"/>
    <w:rsid w:val="76842F7E"/>
    <w:rsid w:val="768761E7"/>
    <w:rsid w:val="768D18CE"/>
    <w:rsid w:val="768F5470"/>
    <w:rsid w:val="768FB59B"/>
    <w:rsid w:val="76903F99"/>
    <w:rsid w:val="7690E6BE"/>
    <w:rsid w:val="76913115"/>
    <w:rsid w:val="76927823"/>
    <w:rsid w:val="76934FF0"/>
    <w:rsid w:val="7693A42F"/>
    <w:rsid w:val="7693E832"/>
    <w:rsid w:val="7694855F"/>
    <w:rsid w:val="769605E3"/>
    <w:rsid w:val="769608F2"/>
    <w:rsid w:val="769C0E1D"/>
    <w:rsid w:val="769C93CE"/>
    <w:rsid w:val="769FC487"/>
    <w:rsid w:val="76A390F1"/>
    <w:rsid w:val="76A48755"/>
    <w:rsid w:val="76A4AEBA"/>
    <w:rsid w:val="76A8C7A9"/>
    <w:rsid w:val="76A8D022"/>
    <w:rsid w:val="76AA4984"/>
    <w:rsid w:val="76AC0083"/>
    <w:rsid w:val="76AD0123"/>
    <w:rsid w:val="76AE18A1"/>
    <w:rsid w:val="76B00EE2"/>
    <w:rsid w:val="76B37127"/>
    <w:rsid w:val="76B41EF7"/>
    <w:rsid w:val="76B5886B"/>
    <w:rsid w:val="76B70DE1"/>
    <w:rsid w:val="76B8066F"/>
    <w:rsid w:val="76BE01C6"/>
    <w:rsid w:val="76BE88B2"/>
    <w:rsid w:val="76BF6120"/>
    <w:rsid w:val="76C2FE9B"/>
    <w:rsid w:val="76C308CD"/>
    <w:rsid w:val="76C41330"/>
    <w:rsid w:val="76C42FDB"/>
    <w:rsid w:val="76C69D7A"/>
    <w:rsid w:val="76CDEBB7"/>
    <w:rsid w:val="76CE3F76"/>
    <w:rsid w:val="76CF645E"/>
    <w:rsid w:val="76D3B236"/>
    <w:rsid w:val="76D8585B"/>
    <w:rsid w:val="76D9C347"/>
    <w:rsid w:val="76DB77A7"/>
    <w:rsid w:val="76DBA579"/>
    <w:rsid w:val="76DE9280"/>
    <w:rsid w:val="76E0421A"/>
    <w:rsid w:val="76E64BDD"/>
    <w:rsid w:val="76E7BC6E"/>
    <w:rsid w:val="76E92CD7"/>
    <w:rsid w:val="76EBC888"/>
    <w:rsid w:val="76EFC9FD"/>
    <w:rsid w:val="76F21250"/>
    <w:rsid w:val="76F5B9CB"/>
    <w:rsid w:val="76F81AF4"/>
    <w:rsid w:val="76F83A71"/>
    <w:rsid w:val="770263EB"/>
    <w:rsid w:val="77037EA2"/>
    <w:rsid w:val="7705E0BA"/>
    <w:rsid w:val="77094B0E"/>
    <w:rsid w:val="7709EC54"/>
    <w:rsid w:val="770C4766"/>
    <w:rsid w:val="770CCA03"/>
    <w:rsid w:val="770D3B62"/>
    <w:rsid w:val="7711B82E"/>
    <w:rsid w:val="7712D059"/>
    <w:rsid w:val="7714AD3E"/>
    <w:rsid w:val="77183844"/>
    <w:rsid w:val="771C1037"/>
    <w:rsid w:val="771EA5A0"/>
    <w:rsid w:val="77206973"/>
    <w:rsid w:val="7720A5FB"/>
    <w:rsid w:val="772386BB"/>
    <w:rsid w:val="77268683"/>
    <w:rsid w:val="77277319"/>
    <w:rsid w:val="772F1FF1"/>
    <w:rsid w:val="773142DB"/>
    <w:rsid w:val="77325BAD"/>
    <w:rsid w:val="7732BD26"/>
    <w:rsid w:val="773324E0"/>
    <w:rsid w:val="77346F6D"/>
    <w:rsid w:val="77365BAE"/>
    <w:rsid w:val="773B2076"/>
    <w:rsid w:val="773B3D51"/>
    <w:rsid w:val="773CBFE0"/>
    <w:rsid w:val="774171D6"/>
    <w:rsid w:val="7741E775"/>
    <w:rsid w:val="7742352D"/>
    <w:rsid w:val="77476885"/>
    <w:rsid w:val="77491C5C"/>
    <w:rsid w:val="7749449F"/>
    <w:rsid w:val="774AED9F"/>
    <w:rsid w:val="774BA1D7"/>
    <w:rsid w:val="774BCE62"/>
    <w:rsid w:val="774E3B9B"/>
    <w:rsid w:val="774E7C78"/>
    <w:rsid w:val="774FC9FE"/>
    <w:rsid w:val="77542D64"/>
    <w:rsid w:val="7754CFC6"/>
    <w:rsid w:val="775687F4"/>
    <w:rsid w:val="7756F4D0"/>
    <w:rsid w:val="77587A58"/>
    <w:rsid w:val="77597568"/>
    <w:rsid w:val="775B92A2"/>
    <w:rsid w:val="775F8800"/>
    <w:rsid w:val="7760A533"/>
    <w:rsid w:val="77614804"/>
    <w:rsid w:val="77629779"/>
    <w:rsid w:val="7763BDA7"/>
    <w:rsid w:val="77653B6F"/>
    <w:rsid w:val="7765F280"/>
    <w:rsid w:val="77676CC3"/>
    <w:rsid w:val="7767955E"/>
    <w:rsid w:val="776850F1"/>
    <w:rsid w:val="7768BA89"/>
    <w:rsid w:val="776D17F0"/>
    <w:rsid w:val="776D313E"/>
    <w:rsid w:val="777145A4"/>
    <w:rsid w:val="7771FB46"/>
    <w:rsid w:val="7771FB9C"/>
    <w:rsid w:val="777327A7"/>
    <w:rsid w:val="777A0DFD"/>
    <w:rsid w:val="777BEDCC"/>
    <w:rsid w:val="777C2EC3"/>
    <w:rsid w:val="777C760C"/>
    <w:rsid w:val="77805450"/>
    <w:rsid w:val="77809065"/>
    <w:rsid w:val="7780B65E"/>
    <w:rsid w:val="7781374A"/>
    <w:rsid w:val="77815F17"/>
    <w:rsid w:val="7783A3D5"/>
    <w:rsid w:val="7788F413"/>
    <w:rsid w:val="778F2E9F"/>
    <w:rsid w:val="7790F478"/>
    <w:rsid w:val="7790F909"/>
    <w:rsid w:val="77910BF3"/>
    <w:rsid w:val="77951D21"/>
    <w:rsid w:val="779681A2"/>
    <w:rsid w:val="77977ED9"/>
    <w:rsid w:val="7798E84A"/>
    <w:rsid w:val="779989A7"/>
    <w:rsid w:val="779BEBE6"/>
    <w:rsid w:val="779C9BEC"/>
    <w:rsid w:val="779CA0BE"/>
    <w:rsid w:val="779CFEB5"/>
    <w:rsid w:val="779DEF72"/>
    <w:rsid w:val="779FD1C7"/>
    <w:rsid w:val="77A16EBF"/>
    <w:rsid w:val="77A3884C"/>
    <w:rsid w:val="77A5FEEF"/>
    <w:rsid w:val="77A6C6D5"/>
    <w:rsid w:val="77AAB7A3"/>
    <w:rsid w:val="77ADA5B9"/>
    <w:rsid w:val="77AEE507"/>
    <w:rsid w:val="77B46776"/>
    <w:rsid w:val="77B50AA1"/>
    <w:rsid w:val="77B69F22"/>
    <w:rsid w:val="77B6D884"/>
    <w:rsid w:val="77B8EFD6"/>
    <w:rsid w:val="77B92E25"/>
    <w:rsid w:val="77BB0705"/>
    <w:rsid w:val="77BC7AD6"/>
    <w:rsid w:val="77BEFD5B"/>
    <w:rsid w:val="77C3CBE5"/>
    <w:rsid w:val="77C6D6C2"/>
    <w:rsid w:val="77C86EF5"/>
    <w:rsid w:val="77CEED72"/>
    <w:rsid w:val="77CF1526"/>
    <w:rsid w:val="77CF16E4"/>
    <w:rsid w:val="77D2542A"/>
    <w:rsid w:val="77D32BD9"/>
    <w:rsid w:val="77D4F5CC"/>
    <w:rsid w:val="77DAD134"/>
    <w:rsid w:val="77DB4851"/>
    <w:rsid w:val="77DBBFCE"/>
    <w:rsid w:val="77DE9D40"/>
    <w:rsid w:val="77DEF27D"/>
    <w:rsid w:val="77E06828"/>
    <w:rsid w:val="77E10AE3"/>
    <w:rsid w:val="77E2DF95"/>
    <w:rsid w:val="77E3281F"/>
    <w:rsid w:val="77E3C16B"/>
    <w:rsid w:val="77E3F5EA"/>
    <w:rsid w:val="77E54353"/>
    <w:rsid w:val="77EA5247"/>
    <w:rsid w:val="77EBF15C"/>
    <w:rsid w:val="77EF25CC"/>
    <w:rsid w:val="77EFEB18"/>
    <w:rsid w:val="77F0D4CC"/>
    <w:rsid w:val="77F60E2B"/>
    <w:rsid w:val="77F9301A"/>
    <w:rsid w:val="77FBAF8B"/>
    <w:rsid w:val="77FBF545"/>
    <w:rsid w:val="77FC665B"/>
    <w:rsid w:val="77FED0BC"/>
    <w:rsid w:val="780690DA"/>
    <w:rsid w:val="7806C99E"/>
    <w:rsid w:val="780A0721"/>
    <w:rsid w:val="780A30BE"/>
    <w:rsid w:val="780B3C37"/>
    <w:rsid w:val="780E2D7D"/>
    <w:rsid w:val="780E74ED"/>
    <w:rsid w:val="780F8458"/>
    <w:rsid w:val="7810A3FE"/>
    <w:rsid w:val="78111141"/>
    <w:rsid w:val="78164496"/>
    <w:rsid w:val="781A0BF3"/>
    <w:rsid w:val="781A1A06"/>
    <w:rsid w:val="781AC968"/>
    <w:rsid w:val="781C95AB"/>
    <w:rsid w:val="7821BC0E"/>
    <w:rsid w:val="7821ED0E"/>
    <w:rsid w:val="7822F67C"/>
    <w:rsid w:val="7825231A"/>
    <w:rsid w:val="78260043"/>
    <w:rsid w:val="78267207"/>
    <w:rsid w:val="7826AB76"/>
    <w:rsid w:val="782C17DA"/>
    <w:rsid w:val="782E8168"/>
    <w:rsid w:val="782FE9C2"/>
    <w:rsid w:val="78306F41"/>
    <w:rsid w:val="78354CA3"/>
    <w:rsid w:val="7836F672"/>
    <w:rsid w:val="783CE96B"/>
    <w:rsid w:val="78412019"/>
    <w:rsid w:val="78456616"/>
    <w:rsid w:val="7847EA0C"/>
    <w:rsid w:val="784816C8"/>
    <w:rsid w:val="78490BD7"/>
    <w:rsid w:val="78494134"/>
    <w:rsid w:val="7849603A"/>
    <w:rsid w:val="784C655E"/>
    <w:rsid w:val="784C96C0"/>
    <w:rsid w:val="784CCBC4"/>
    <w:rsid w:val="784E7DA8"/>
    <w:rsid w:val="78527817"/>
    <w:rsid w:val="7853B3A2"/>
    <w:rsid w:val="78573A79"/>
    <w:rsid w:val="78587405"/>
    <w:rsid w:val="7858CBFC"/>
    <w:rsid w:val="7858E0F9"/>
    <w:rsid w:val="7858EEF2"/>
    <w:rsid w:val="78591D86"/>
    <w:rsid w:val="785C8876"/>
    <w:rsid w:val="785CDA84"/>
    <w:rsid w:val="785E9212"/>
    <w:rsid w:val="785EC31F"/>
    <w:rsid w:val="7860C983"/>
    <w:rsid w:val="78614C79"/>
    <w:rsid w:val="78661FF6"/>
    <w:rsid w:val="7867C31D"/>
    <w:rsid w:val="78682055"/>
    <w:rsid w:val="786ACF49"/>
    <w:rsid w:val="786B70AC"/>
    <w:rsid w:val="786F1D89"/>
    <w:rsid w:val="78723D5F"/>
    <w:rsid w:val="7877A4CE"/>
    <w:rsid w:val="787F6ED5"/>
    <w:rsid w:val="7880977C"/>
    <w:rsid w:val="788294F1"/>
    <w:rsid w:val="78839FB8"/>
    <w:rsid w:val="7887B866"/>
    <w:rsid w:val="78895DF2"/>
    <w:rsid w:val="788A275A"/>
    <w:rsid w:val="788B2596"/>
    <w:rsid w:val="788BEA88"/>
    <w:rsid w:val="788D5A79"/>
    <w:rsid w:val="788D7AA5"/>
    <w:rsid w:val="78904D47"/>
    <w:rsid w:val="7893B366"/>
    <w:rsid w:val="7894AA75"/>
    <w:rsid w:val="7894D55D"/>
    <w:rsid w:val="7897B0A7"/>
    <w:rsid w:val="789B1F4C"/>
    <w:rsid w:val="789B732D"/>
    <w:rsid w:val="789B84BF"/>
    <w:rsid w:val="789B9DCA"/>
    <w:rsid w:val="789B9E0E"/>
    <w:rsid w:val="789BCD80"/>
    <w:rsid w:val="789D9E84"/>
    <w:rsid w:val="78A0F0C5"/>
    <w:rsid w:val="78A23A4A"/>
    <w:rsid w:val="78A377CD"/>
    <w:rsid w:val="78A38662"/>
    <w:rsid w:val="78A3F272"/>
    <w:rsid w:val="78A6376A"/>
    <w:rsid w:val="78A7D7D0"/>
    <w:rsid w:val="78A7F12C"/>
    <w:rsid w:val="78AED405"/>
    <w:rsid w:val="78AF533E"/>
    <w:rsid w:val="78B3B813"/>
    <w:rsid w:val="78B60DE2"/>
    <w:rsid w:val="78B64790"/>
    <w:rsid w:val="78B92F0D"/>
    <w:rsid w:val="78BBD911"/>
    <w:rsid w:val="78BCCAA8"/>
    <w:rsid w:val="78BD7D6C"/>
    <w:rsid w:val="78BFF799"/>
    <w:rsid w:val="78C1AC3E"/>
    <w:rsid w:val="78C52663"/>
    <w:rsid w:val="78C69B8B"/>
    <w:rsid w:val="78C6EE01"/>
    <w:rsid w:val="78C742EB"/>
    <w:rsid w:val="78C863E0"/>
    <w:rsid w:val="78CAF607"/>
    <w:rsid w:val="78CE8116"/>
    <w:rsid w:val="78D05025"/>
    <w:rsid w:val="78D274B4"/>
    <w:rsid w:val="78D371CA"/>
    <w:rsid w:val="78D38680"/>
    <w:rsid w:val="78D4B160"/>
    <w:rsid w:val="78D51D72"/>
    <w:rsid w:val="78D60D9D"/>
    <w:rsid w:val="78D77A10"/>
    <w:rsid w:val="78DC1C8A"/>
    <w:rsid w:val="78DCACA8"/>
    <w:rsid w:val="78DD7296"/>
    <w:rsid w:val="78DFCA85"/>
    <w:rsid w:val="78DFE857"/>
    <w:rsid w:val="78E186F8"/>
    <w:rsid w:val="78E38930"/>
    <w:rsid w:val="78E41347"/>
    <w:rsid w:val="78E6B7DA"/>
    <w:rsid w:val="78E8EFD1"/>
    <w:rsid w:val="78F279A3"/>
    <w:rsid w:val="78F352F2"/>
    <w:rsid w:val="78F3F3E7"/>
    <w:rsid w:val="78F50BFA"/>
    <w:rsid w:val="78F9E74D"/>
    <w:rsid w:val="78FEEB8D"/>
    <w:rsid w:val="78FF0DA1"/>
    <w:rsid w:val="7902053D"/>
    <w:rsid w:val="790568A1"/>
    <w:rsid w:val="7905C4C4"/>
    <w:rsid w:val="7905EB84"/>
    <w:rsid w:val="79090507"/>
    <w:rsid w:val="790AA4C9"/>
    <w:rsid w:val="790ADFAE"/>
    <w:rsid w:val="790BAF06"/>
    <w:rsid w:val="790BB7DA"/>
    <w:rsid w:val="790EDFEF"/>
    <w:rsid w:val="7911A7A0"/>
    <w:rsid w:val="791209EE"/>
    <w:rsid w:val="7912FDE2"/>
    <w:rsid w:val="7913A93F"/>
    <w:rsid w:val="7915D381"/>
    <w:rsid w:val="7916E873"/>
    <w:rsid w:val="79173DE1"/>
    <w:rsid w:val="7917E98C"/>
    <w:rsid w:val="7917EEAB"/>
    <w:rsid w:val="79184D9D"/>
    <w:rsid w:val="7918AA9E"/>
    <w:rsid w:val="7919CACB"/>
    <w:rsid w:val="791B138B"/>
    <w:rsid w:val="791CF589"/>
    <w:rsid w:val="791E686E"/>
    <w:rsid w:val="79211FEA"/>
    <w:rsid w:val="7921372B"/>
    <w:rsid w:val="792863A8"/>
    <w:rsid w:val="7928FEE3"/>
    <w:rsid w:val="792AB976"/>
    <w:rsid w:val="792BD3D6"/>
    <w:rsid w:val="792C4C58"/>
    <w:rsid w:val="792E5B60"/>
    <w:rsid w:val="792F6F0E"/>
    <w:rsid w:val="79342A03"/>
    <w:rsid w:val="7935097D"/>
    <w:rsid w:val="793831E7"/>
    <w:rsid w:val="79383FAB"/>
    <w:rsid w:val="79395875"/>
    <w:rsid w:val="793B2758"/>
    <w:rsid w:val="79405F46"/>
    <w:rsid w:val="794071B8"/>
    <w:rsid w:val="794305D8"/>
    <w:rsid w:val="7945580F"/>
    <w:rsid w:val="7947EA1A"/>
    <w:rsid w:val="7947F1BA"/>
    <w:rsid w:val="7948D4B2"/>
    <w:rsid w:val="79490245"/>
    <w:rsid w:val="794BD75F"/>
    <w:rsid w:val="795259C7"/>
    <w:rsid w:val="79593E8B"/>
    <w:rsid w:val="795B80ED"/>
    <w:rsid w:val="795C9E86"/>
    <w:rsid w:val="795DB3ED"/>
    <w:rsid w:val="795E511F"/>
    <w:rsid w:val="795EEAAE"/>
    <w:rsid w:val="796038E0"/>
    <w:rsid w:val="79698D78"/>
    <w:rsid w:val="796B5A99"/>
    <w:rsid w:val="796C2F54"/>
    <w:rsid w:val="796DBBF1"/>
    <w:rsid w:val="796EBA06"/>
    <w:rsid w:val="796F49E1"/>
    <w:rsid w:val="7971B8C7"/>
    <w:rsid w:val="7976F896"/>
    <w:rsid w:val="797D2E0C"/>
    <w:rsid w:val="7981ACF5"/>
    <w:rsid w:val="798229D8"/>
    <w:rsid w:val="79846DC0"/>
    <w:rsid w:val="7984CC88"/>
    <w:rsid w:val="7986E021"/>
    <w:rsid w:val="79883C08"/>
    <w:rsid w:val="7989B33F"/>
    <w:rsid w:val="798B09BF"/>
    <w:rsid w:val="798D261C"/>
    <w:rsid w:val="798EE720"/>
    <w:rsid w:val="7993D9BE"/>
    <w:rsid w:val="79947181"/>
    <w:rsid w:val="7995B3B2"/>
    <w:rsid w:val="7996E674"/>
    <w:rsid w:val="79987646"/>
    <w:rsid w:val="799901D7"/>
    <w:rsid w:val="799A54EC"/>
    <w:rsid w:val="799A9001"/>
    <w:rsid w:val="799C3FB0"/>
    <w:rsid w:val="799E58C8"/>
    <w:rsid w:val="799EAD9F"/>
    <w:rsid w:val="799FFFE0"/>
    <w:rsid w:val="79A07F0D"/>
    <w:rsid w:val="79A1E4C5"/>
    <w:rsid w:val="79A28949"/>
    <w:rsid w:val="79A2A59D"/>
    <w:rsid w:val="79A30D61"/>
    <w:rsid w:val="79A6C0A8"/>
    <w:rsid w:val="79A6C5C6"/>
    <w:rsid w:val="79A7AA94"/>
    <w:rsid w:val="79A85B10"/>
    <w:rsid w:val="79AADCDD"/>
    <w:rsid w:val="79ABACEA"/>
    <w:rsid w:val="79AD306A"/>
    <w:rsid w:val="79AD3E64"/>
    <w:rsid w:val="79AE9975"/>
    <w:rsid w:val="79AF72B6"/>
    <w:rsid w:val="79B18D1C"/>
    <w:rsid w:val="79B28C05"/>
    <w:rsid w:val="79B7485D"/>
    <w:rsid w:val="79B807DF"/>
    <w:rsid w:val="79B81187"/>
    <w:rsid w:val="79B8CB81"/>
    <w:rsid w:val="79BB0791"/>
    <w:rsid w:val="79BC2E58"/>
    <w:rsid w:val="79BE8839"/>
    <w:rsid w:val="79BEE07D"/>
    <w:rsid w:val="79C1B379"/>
    <w:rsid w:val="79C314D9"/>
    <w:rsid w:val="79C796DC"/>
    <w:rsid w:val="79C7DD33"/>
    <w:rsid w:val="79C7ECCC"/>
    <w:rsid w:val="79C9B4D3"/>
    <w:rsid w:val="79C9C0DE"/>
    <w:rsid w:val="79CBF161"/>
    <w:rsid w:val="79CC575E"/>
    <w:rsid w:val="79CC600A"/>
    <w:rsid w:val="79D184FD"/>
    <w:rsid w:val="79D229EF"/>
    <w:rsid w:val="79D558B8"/>
    <w:rsid w:val="79D6A483"/>
    <w:rsid w:val="79D9FD8A"/>
    <w:rsid w:val="79DC1A8B"/>
    <w:rsid w:val="79DE926F"/>
    <w:rsid w:val="79DEC6C0"/>
    <w:rsid w:val="79E09154"/>
    <w:rsid w:val="79E2E037"/>
    <w:rsid w:val="79E5B108"/>
    <w:rsid w:val="79E8532D"/>
    <w:rsid w:val="79EAEED3"/>
    <w:rsid w:val="79EEC7C4"/>
    <w:rsid w:val="79F35362"/>
    <w:rsid w:val="79F5C7C9"/>
    <w:rsid w:val="79F5D564"/>
    <w:rsid w:val="79F76382"/>
    <w:rsid w:val="79F90B42"/>
    <w:rsid w:val="79F9278E"/>
    <w:rsid w:val="79FD4A9F"/>
    <w:rsid w:val="79FE55C4"/>
    <w:rsid w:val="7A063B33"/>
    <w:rsid w:val="7A071791"/>
    <w:rsid w:val="7A074725"/>
    <w:rsid w:val="7A080EA0"/>
    <w:rsid w:val="7A0A6EBB"/>
    <w:rsid w:val="7A0E4F80"/>
    <w:rsid w:val="7A0EECE4"/>
    <w:rsid w:val="7A0FEA22"/>
    <w:rsid w:val="7A1285BA"/>
    <w:rsid w:val="7A13F5E5"/>
    <w:rsid w:val="7A1447E8"/>
    <w:rsid w:val="7A1671FE"/>
    <w:rsid w:val="7A179FCC"/>
    <w:rsid w:val="7A19F23D"/>
    <w:rsid w:val="7A1B8D09"/>
    <w:rsid w:val="7A1F5ED7"/>
    <w:rsid w:val="7A207933"/>
    <w:rsid w:val="7A244CB6"/>
    <w:rsid w:val="7A26E29A"/>
    <w:rsid w:val="7A2A966F"/>
    <w:rsid w:val="7A2B1F44"/>
    <w:rsid w:val="7A2DC6EF"/>
    <w:rsid w:val="7A2F7816"/>
    <w:rsid w:val="7A2FD71D"/>
    <w:rsid w:val="7A3081DA"/>
    <w:rsid w:val="7A385216"/>
    <w:rsid w:val="7A39D28E"/>
    <w:rsid w:val="7A3DD8F6"/>
    <w:rsid w:val="7A407D4B"/>
    <w:rsid w:val="7A412D88"/>
    <w:rsid w:val="7A4315F1"/>
    <w:rsid w:val="7A4370A2"/>
    <w:rsid w:val="7A43D61D"/>
    <w:rsid w:val="7A43EFA1"/>
    <w:rsid w:val="7A43FE9C"/>
    <w:rsid w:val="7A4A782F"/>
    <w:rsid w:val="7A4B7CE4"/>
    <w:rsid w:val="7A4F1A8D"/>
    <w:rsid w:val="7A52F65E"/>
    <w:rsid w:val="7A542B4D"/>
    <w:rsid w:val="7A54E294"/>
    <w:rsid w:val="7A581A10"/>
    <w:rsid w:val="7A581AB0"/>
    <w:rsid w:val="7A5B09AF"/>
    <w:rsid w:val="7A5DD117"/>
    <w:rsid w:val="7A616F88"/>
    <w:rsid w:val="7A61EFCC"/>
    <w:rsid w:val="7A632BF6"/>
    <w:rsid w:val="7A6497FD"/>
    <w:rsid w:val="7A65C0F1"/>
    <w:rsid w:val="7A6A0A2C"/>
    <w:rsid w:val="7A6C6A91"/>
    <w:rsid w:val="7A6FC47A"/>
    <w:rsid w:val="7A70A693"/>
    <w:rsid w:val="7A72A0DA"/>
    <w:rsid w:val="7A7891DD"/>
    <w:rsid w:val="7A7A183E"/>
    <w:rsid w:val="7A8063AA"/>
    <w:rsid w:val="7A80B5FC"/>
    <w:rsid w:val="7A811942"/>
    <w:rsid w:val="7A82C1EA"/>
    <w:rsid w:val="7A83234F"/>
    <w:rsid w:val="7A879947"/>
    <w:rsid w:val="7A884871"/>
    <w:rsid w:val="7A89D2E7"/>
    <w:rsid w:val="7A8DDCA8"/>
    <w:rsid w:val="7A8F7759"/>
    <w:rsid w:val="7A8FCFF8"/>
    <w:rsid w:val="7A939175"/>
    <w:rsid w:val="7A93FDF9"/>
    <w:rsid w:val="7A94DB05"/>
    <w:rsid w:val="7A9EBC31"/>
    <w:rsid w:val="7AA11F60"/>
    <w:rsid w:val="7AA2BA4D"/>
    <w:rsid w:val="7AA3CE20"/>
    <w:rsid w:val="7AA68912"/>
    <w:rsid w:val="7AA7FB17"/>
    <w:rsid w:val="7AAA03BA"/>
    <w:rsid w:val="7AAB4D86"/>
    <w:rsid w:val="7AACA60F"/>
    <w:rsid w:val="7AAD886B"/>
    <w:rsid w:val="7AB1377E"/>
    <w:rsid w:val="7AB3B419"/>
    <w:rsid w:val="7AB45B47"/>
    <w:rsid w:val="7AB54930"/>
    <w:rsid w:val="7AB93EF0"/>
    <w:rsid w:val="7ABB26DE"/>
    <w:rsid w:val="7ABE01ED"/>
    <w:rsid w:val="7AC00E46"/>
    <w:rsid w:val="7AC025DC"/>
    <w:rsid w:val="7AC37B37"/>
    <w:rsid w:val="7AC55CD4"/>
    <w:rsid w:val="7AC74593"/>
    <w:rsid w:val="7AC90BED"/>
    <w:rsid w:val="7AC92ABC"/>
    <w:rsid w:val="7AD10D25"/>
    <w:rsid w:val="7AD23DF5"/>
    <w:rsid w:val="7AD33A18"/>
    <w:rsid w:val="7AD51919"/>
    <w:rsid w:val="7AD6F01B"/>
    <w:rsid w:val="7ADC365F"/>
    <w:rsid w:val="7ADE84A7"/>
    <w:rsid w:val="7ADF2E17"/>
    <w:rsid w:val="7AE3F65C"/>
    <w:rsid w:val="7AE51699"/>
    <w:rsid w:val="7AE60165"/>
    <w:rsid w:val="7AE6AD86"/>
    <w:rsid w:val="7AE9E785"/>
    <w:rsid w:val="7AEA7A89"/>
    <w:rsid w:val="7AEAC0D6"/>
    <w:rsid w:val="7AEBC418"/>
    <w:rsid w:val="7AEF6C4C"/>
    <w:rsid w:val="7AF025F8"/>
    <w:rsid w:val="7AF1E107"/>
    <w:rsid w:val="7AF3AC1B"/>
    <w:rsid w:val="7AF67668"/>
    <w:rsid w:val="7AF7C497"/>
    <w:rsid w:val="7AF7CECE"/>
    <w:rsid w:val="7AFB1E69"/>
    <w:rsid w:val="7AFBAABA"/>
    <w:rsid w:val="7AFCC9B5"/>
    <w:rsid w:val="7AFCD5AC"/>
    <w:rsid w:val="7AFD4F5B"/>
    <w:rsid w:val="7AFD63A7"/>
    <w:rsid w:val="7AFEB5F3"/>
    <w:rsid w:val="7AFEFCD0"/>
    <w:rsid w:val="7AFF6146"/>
    <w:rsid w:val="7B00CF7F"/>
    <w:rsid w:val="7B035F74"/>
    <w:rsid w:val="7B06EEC9"/>
    <w:rsid w:val="7B0912AA"/>
    <w:rsid w:val="7B0941F7"/>
    <w:rsid w:val="7B0A2585"/>
    <w:rsid w:val="7B0B28C2"/>
    <w:rsid w:val="7B0BAB25"/>
    <w:rsid w:val="7B0E9D1E"/>
    <w:rsid w:val="7B10B015"/>
    <w:rsid w:val="7B1172EF"/>
    <w:rsid w:val="7B11E99F"/>
    <w:rsid w:val="7B15DA50"/>
    <w:rsid w:val="7B1783F7"/>
    <w:rsid w:val="7B17BF0E"/>
    <w:rsid w:val="7B191A84"/>
    <w:rsid w:val="7B2191C6"/>
    <w:rsid w:val="7B244832"/>
    <w:rsid w:val="7B246DB3"/>
    <w:rsid w:val="7B24DC9C"/>
    <w:rsid w:val="7B2640E4"/>
    <w:rsid w:val="7B26DE91"/>
    <w:rsid w:val="7B2A7B75"/>
    <w:rsid w:val="7B2AC171"/>
    <w:rsid w:val="7B2BF487"/>
    <w:rsid w:val="7B2CAE00"/>
    <w:rsid w:val="7B30D3A3"/>
    <w:rsid w:val="7B35DE78"/>
    <w:rsid w:val="7B3B6FC1"/>
    <w:rsid w:val="7B3E3532"/>
    <w:rsid w:val="7B3E7B7D"/>
    <w:rsid w:val="7B41AB8F"/>
    <w:rsid w:val="7B41EA20"/>
    <w:rsid w:val="7B42B2CE"/>
    <w:rsid w:val="7B4A59C4"/>
    <w:rsid w:val="7B4BEAF2"/>
    <w:rsid w:val="7B4CB108"/>
    <w:rsid w:val="7B4F1F58"/>
    <w:rsid w:val="7B503FE8"/>
    <w:rsid w:val="7B52D422"/>
    <w:rsid w:val="7B532C79"/>
    <w:rsid w:val="7B56B096"/>
    <w:rsid w:val="7B586521"/>
    <w:rsid w:val="7B5982A8"/>
    <w:rsid w:val="7B5B942C"/>
    <w:rsid w:val="7B5E21D8"/>
    <w:rsid w:val="7B5F86C1"/>
    <w:rsid w:val="7B62C073"/>
    <w:rsid w:val="7B645E13"/>
    <w:rsid w:val="7B64B45A"/>
    <w:rsid w:val="7B6971A8"/>
    <w:rsid w:val="7B697D9D"/>
    <w:rsid w:val="7B6C0D2B"/>
    <w:rsid w:val="7B6CFBC7"/>
    <w:rsid w:val="7B6E3E99"/>
    <w:rsid w:val="7B6E4ED0"/>
    <w:rsid w:val="7B6ECD09"/>
    <w:rsid w:val="7B6FB388"/>
    <w:rsid w:val="7B7394E5"/>
    <w:rsid w:val="7B749956"/>
    <w:rsid w:val="7B7666B9"/>
    <w:rsid w:val="7B7686F0"/>
    <w:rsid w:val="7B7781D5"/>
    <w:rsid w:val="7B7B0F20"/>
    <w:rsid w:val="7B7E8792"/>
    <w:rsid w:val="7B7F5EB3"/>
    <w:rsid w:val="7B820C96"/>
    <w:rsid w:val="7B82E343"/>
    <w:rsid w:val="7B841D24"/>
    <w:rsid w:val="7B84A0F3"/>
    <w:rsid w:val="7B850360"/>
    <w:rsid w:val="7B86D688"/>
    <w:rsid w:val="7B8DA23D"/>
    <w:rsid w:val="7B8FC453"/>
    <w:rsid w:val="7B919148"/>
    <w:rsid w:val="7B91A161"/>
    <w:rsid w:val="7B98C002"/>
    <w:rsid w:val="7B98DF75"/>
    <w:rsid w:val="7B9B1452"/>
    <w:rsid w:val="7B9BCDAC"/>
    <w:rsid w:val="7B9C4AE8"/>
    <w:rsid w:val="7B9CE2C1"/>
    <w:rsid w:val="7B9E2D78"/>
    <w:rsid w:val="7B9E9B78"/>
    <w:rsid w:val="7B9FD92F"/>
    <w:rsid w:val="7BA13E71"/>
    <w:rsid w:val="7BAAE755"/>
    <w:rsid w:val="7BABF6D0"/>
    <w:rsid w:val="7BAC68A9"/>
    <w:rsid w:val="7BB08F60"/>
    <w:rsid w:val="7BB2B603"/>
    <w:rsid w:val="7BB2CEA1"/>
    <w:rsid w:val="7BB64219"/>
    <w:rsid w:val="7BB85D82"/>
    <w:rsid w:val="7BBB7AF3"/>
    <w:rsid w:val="7BBBBD77"/>
    <w:rsid w:val="7BBC108C"/>
    <w:rsid w:val="7BBC6349"/>
    <w:rsid w:val="7BC0CD60"/>
    <w:rsid w:val="7BC0DCF2"/>
    <w:rsid w:val="7BC0F3EA"/>
    <w:rsid w:val="7BC309DF"/>
    <w:rsid w:val="7BC345BB"/>
    <w:rsid w:val="7BC3C166"/>
    <w:rsid w:val="7BC7B233"/>
    <w:rsid w:val="7BC89CBF"/>
    <w:rsid w:val="7BC95E76"/>
    <w:rsid w:val="7BCB83DC"/>
    <w:rsid w:val="7BCBD62E"/>
    <w:rsid w:val="7BCEB862"/>
    <w:rsid w:val="7BD5C51B"/>
    <w:rsid w:val="7BD70047"/>
    <w:rsid w:val="7BD8F3C9"/>
    <w:rsid w:val="7BD8F520"/>
    <w:rsid w:val="7BDC58FB"/>
    <w:rsid w:val="7BE0DE24"/>
    <w:rsid w:val="7BE1D41F"/>
    <w:rsid w:val="7BE306F4"/>
    <w:rsid w:val="7BE3E28D"/>
    <w:rsid w:val="7BE405C2"/>
    <w:rsid w:val="7BE71B9E"/>
    <w:rsid w:val="7BEF8D79"/>
    <w:rsid w:val="7BEFAC55"/>
    <w:rsid w:val="7BF00C1D"/>
    <w:rsid w:val="7BF3BF3D"/>
    <w:rsid w:val="7BF531E0"/>
    <w:rsid w:val="7BF6736C"/>
    <w:rsid w:val="7BF6C7A4"/>
    <w:rsid w:val="7BFA4EBC"/>
    <w:rsid w:val="7BFEF50D"/>
    <w:rsid w:val="7BFF778E"/>
    <w:rsid w:val="7BFF8ECD"/>
    <w:rsid w:val="7C020254"/>
    <w:rsid w:val="7C03E143"/>
    <w:rsid w:val="7C065807"/>
    <w:rsid w:val="7C078C65"/>
    <w:rsid w:val="7C085AEF"/>
    <w:rsid w:val="7C094DA2"/>
    <w:rsid w:val="7C0B1B8D"/>
    <w:rsid w:val="7C0CAC95"/>
    <w:rsid w:val="7C0CED58"/>
    <w:rsid w:val="7C0E71F3"/>
    <w:rsid w:val="7C0F1546"/>
    <w:rsid w:val="7C107D03"/>
    <w:rsid w:val="7C10901D"/>
    <w:rsid w:val="7C149020"/>
    <w:rsid w:val="7C15266E"/>
    <w:rsid w:val="7C155D2B"/>
    <w:rsid w:val="7C15C9F9"/>
    <w:rsid w:val="7C15EA41"/>
    <w:rsid w:val="7C18A8B0"/>
    <w:rsid w:val="7C19C57C"/>
    <w:rsid w:val="7C1D29D9"/>
    <w:rsid w:val="7C1E27E0"/>
    <w:rsid w:val="7C21075C"/>
    <w:rsid w:val="7C2253B3"/>
    <w:rsid w:val="7C274858"/>
    <w:rsid w:val="7C275D37"/>
    <w:rsid w:val="7C2792D5"/>
    <w:rsid w:val="7C287AC2"/>
    <w:rsid w:val="7C2BE4E5"/>
    <w:rsid w:val="7C2E6A43"/>
    <w:rsid w:val="7C2EE867"/>
    <w:rsid w:val="7C31512F"/>
    <w:rsid w:val="7C31CE58"/>
    <w:rsid w:val="7C325BB0"/>
    <w:rsid w:val="7C326079"/>
    <w:rsid w:val="7C328C0C"/>
    <w:rsid w:val="7C33224B"/>
    <w:rsid w:val="7C3528A7"/>
    <w:rsid w:val="7C366387"/>
    <w:rsid w:val="7C370134"/>
    <w:rsid w:val="7C385F51"/>
    <w:rsid w:val="7C3ABCCC"/>
    <w:rsid w:val="7C3B64F5"/>
    <w:rsid w:val="7C3C64A3"/>
    <w:rsid w:val="7C3FF12A"/>
    <w:rsid w:val="7C45401E"/>
    <w:rsid w:val="7C4AA09A"/>
    <w:rsid w:val="7C4DAFCC"/>
    <w:rsid w:val="7C4F3745"/>
    <w:rsid w:val="7C4FF02B"/>
    <w:rsid w:val="7C514D43"/>
    <w:rsid w:val="7C52013E"/>
    <w:rsid w:val="7C537851"/>
    <w:rsid w:val="7C572A02"/>
    <w:rsid w:val="7C5AD998"/>
    <w:rsid w:val="7C5B57C3"/>
    <w:rsid w:val="7C5F5F7E"/>
    <w:rsid w:val="7C5FEDFA"/>
    <w:rsid w:val="7C61C922"/>
    <w:rsid w:val="7C6243BE"/>
    <w:rsid w:val="7C63DE46"/>
    <w:rsid w:val="7C658868"/>
    <w:rsid w:val="7C65AEAC"/>
    <w:rsid w:val="7C65CB2E"/>
    <w:rsid w:val="7C6C53FA"/>
    <w:rsid w:val="7C6D4AFE"/>
    <w:rsid w:val="7C6F85E2"/>
    <w:rsid w:val="7C6FB924"/>
    <w:rsid w:val="7C722BF9"/>
    <w:rsid w:val="7C72C884"/>
    <w:rsid w:val="7C74407A"/>
    <w:rsid w:val="7C7734C1"/>
    <w:rsid w:val="7C773937"/>
    <w:rsid w:val="7C78048E"/>
    <w:rsid w:val="7C782E32"/>
    <w:rsid w:val="7C7846CD"/>
    <w:rsid w:val="7C7A3D03"/>
    <w:rsid w:val="7C7AB19E"/>
    <w:rsid w:val="7C7AD377"/>
    <w:rsid w:val="7C828D42"/>
    <w:rsid w:val="7C82A182"/>
    <w:rsid w:val="7C83B9C7"/>
    <w:rsid w:val="7C85D1C5"/>
    <w:rsid w:val="7C87EA5E"/>
    <w:rsid w:val="7C88F1EE"/>
    <w:rsid w:val="7C894C8B"/>
    <w:rsid w:val="7C8A2765"/>
    <w:rsid w:val="7C8E1FE3"/>
    <w:rsid w:val="7C90CB6D"/>
    <w:rsid w:val="7C910B36"/>
    <w:rsid w:val="7C91C3C6"/>
    <w:rsid w:val="7C92DCB5"/>
    <w:rsid w:val="7C95D35F"/>
    <w:rsid w:val="7C968C41"/>
    <w:rsid w:val="7C9869AC"/>
    <w:rsid w:val="7C9A47AF"/>
    <w:rsid w:val="7C9A54D4"/>
    <w:rsid w:val="7C9ABB26"/>
    <w:rsid w:val="7C9CA89A"/>
    <w:rsid w:val="7C9D0CB4"/>
    <w:rsid w:val="7C9D14FF"/>
    <w:rsid w:val="7C9EAE7E"/>
    <w:rsid w:val="7CA21777"/>
    <w:rsid w:val="7CA2C36E"/>
    <w:rsid w:val="7CA307D6"/>
    <w:rsid w:val="7CA537D6"/>
    <w:rsid w:val="7CA6039C"/>
    <w:rsid w:val="7CA614D3"/>
    <w:rsid w:val="7CA712D9"/>
    <w:rsid w:val="7CA8DA1D"/>
    <w:rsid w:val="7CAA1C33"/>
    <w:rsid w:val="7CAA2216"/>
    <w:rsid w:val="7CAB94B4"/>
    <w:rsid w:val="7CACF40C"/>
    <w:rsid w:val="7CADE40B"/>
    <w:rsid w:val="7CAF0C51"/>
    <w:rsid w:val="7CAF9A4F"/>
    <w:rsid w:val="7CB17FB0"/>
    <w:rsid w:val="7CB37A8D"/>
    <w:rsid w:val="7CB74729"/>
    <w:rsid w:val="7CB7DEA1"/>
    <w:rsid w:val="7CB81678"/>
    <w:rsid w:val="7CB8CA08"/>
    <w:rsid w:val="7CB9BEF3"/>
    <w:rsid w:val="7CBB906B"/>
    <w:rsid w:val="7CBD2220"/>
    <w:rsid w:val="7CBDB3C3"/>
    <w:rsid w:val="7CBE8C86"/>
    <w:rsid w:val="7CC22A61"/>
    <w:rsid w:val="7CC51950"/>
    <w:rsid w:val="7CC6DA20"/>
    <w:rsid w:val="7CC9CE7F"/>
    <w:rsid w:val="7CCA3CE0"/>
    <w:rsid w:val="7CCC2217"/>
    <w:rsid w:val="7CCC2ACA"/>
    <w:rsid w:val="7CCC2DBB"/>
    <w:rsid w:val="7CCC44E2"/>
    <w:rsid w:val="7CCD0394"/>
    <w:rsid w:val="7CCDA5EB"/>
    <w:rsid w:val="7CD26F19"/>
    <w:rsid w:val="7CD50AAF"/>
    <w:rsid w:val="7CD60288"/>
    <w:rsid w:val="7CD61DA6"/>
    <w:rsid w:val="7CD7B8DC"/>
    <w:rsid w:val="7CD7BE1E"/>
    <w:rsid w:val="7CD93D24"/>
    <w:rsid w:val="7CDA37A9"/>
    <w:rsid w:val="7CDB491C"/>
    <w:rsid w:val="7CDBFC2C"/>
    <w:rsid w:val="7CDC7A68"/>
    <w:rsid w:val="7CDDACA8"/>
    <w:rsid w:val="7CDFBAB7"/>
    <w:rsid w:val="7CE10608"/>
    <w:rsid w:val="7CE2BB13"/>
    <w:rsid w:val="7CE51E39"/>
    <w:rsid w:val="7CF43FE0"/>
    <w:rsid w:val="7CF52652"/>
    <w:rsid w:val="7CF5BB6C"/>
    <w:rsid w:val="7CF76863"/>
    <w:rsid w:val="7CF9FCEA"/>
    <w:rsid w:val="7CFA6C84"/>
    <w:rsid w:val="7CFD059B"/>
    <w:rsid w:val="7CFFECE5"/>
    <w:rsid w:val="7D00D277"/>
    <w:rsid w:val="7D012F97"/>
    <w:rsid w:val="7D0353A8"/>
    <w:rsid w:val="7D0536EC"/>
    <w:rsid w:val="7D068CB1"/>
    <w:rsid w:val="7D07DB8D"/>
    <w:rsid w:val="7D087D64"/>
    <w:rsid w:val="7D0C618C"/>
    <w:rsid w:val="7D120007"/>
    <w:rsid w:val="7D125D22"/>
    <w:rsid w:val="7D1322A8"/>
    <w:rsid w:val="7D1477BA"/>
    <w:rsid w:val="7D14F825"/>
    <w:rsid w:val="7D154914"/>
    <w:rsid w:val="7D15B1A6"/>
    <w:rsid w:val="7D1BA2B5"/>
    <w:rsid w:val="7D1F11FE"/>
    <w:rsid w:val="7D2680C3"/>
    <w:rsid w:val="7D29CC7F"/>
    <w:rsid w:val="7D2D86F6"/>
    <w:rsid w:val="7D2D8F00"/>
    <w:rsid w:val="7D2E290F"/>
    <w:rsid w:val="7D2F053E"/>
    <w:rsid w:val="7D31B9B0"/>
    <w:rsid w:val="7D325065"/>
    <w:rsid w:val="7D35D543"/>
    <w:rsid w:val="7D388B17"/>
    <w:rsid w:val="7D3A4CAD"/>
    <w:rsid w:val="7D40438B"/>
    <w:rsid w:val="7D459B5E"/>
    <w:rsid w:val="7D462F0F"/>
    <w:rsid w:val="7D4A8216"/>
    <w:rsid w:val="7D4B967A"/>
    <w:rsid w:val="7D4DD6AC"/>
    <w:rsid w:val="7D4DE8CB"/>
    <w:rsid w:val="7D4FD018"/>
    <w:rsid w:val="7D50C5F2"/>
    <w:rsid w:val="7D53539B"/>
    <w:rsid w:val="7D5A23D4"/>
    <w:rsid w:val="7D5DF91F"/>
    <w:rsid w:val="7D5E65C3"/>
    <w:rsid w:val="7D63CB5C"/>
    <w:rsid w:val="7D667A31"/>
    <w:rsid w:val="7D6820F8"/>
    <w:rsid w:val="7D6BF718"/>
    <w:rsid w:val="7D6CAB90"/>
    <w:rsid w:val="7D6CE444"/>
    <w:rsid w:val="7D6DE395"/>
    <w:rsid w:val="7D6E9486"/>
    <w:rsid w:val="7D6F4139"/>
    <w:rsid w:val="7D6F494D"/>
    <w:rsid w:val="7D70E098"/>
    <w:rsid w:val="7D711275"/>
    <w:rsid w:val="7D71AD3D"/>
    <w:rsid w:val="7D77EA4C"/>
    <w:rsid w:val="7D785B11"/>
    <w:rsid w:val="7D78C579"/>
    <w:rsid w:val="7D7CBEF0"/>
    <w:rsid w:val="7D823085"/>
    <w:rsid w:val="7D83F4A1"/>
    <w:rsid w:val="7D84E520"/>
    <w:rsid w:val="7D8649E1"/>
    <w:rsid w:val="7D8920E6"/>
    <w:rsid w:val="7D89392B"/>
    <w:rsid w:val="7D8AA82D"/>
    <w:rsid w:val="7D8B3327"/>
    <w:rsid w:val="7D8BB3B6"/>
    <w:rsid w:val="7D8D514D"/>
    <w:rsid w:val="7D8E9705"/>
    <w:rsid w:val="7D917E15"/>
    <w:rsid w:val="7D97340F"/>
    <w:rsid w:val="7D9B062A"/>
    <w:rsid w:val="7D9EF95B"/>
    <w:rsid w:val="7D9F62F6"/>
    <w:rsid w:val="7DA08425"/>
    <w:rsid w:val="7DA0D9FD"/>
    <w:rsid w:val="7DA2C4DF"/>
    <w:rsid w:val="7DAC2378"/>
    <w:rsid w:val="7DAC50C2"/>
    <w:rsid w:val="7DB3C7EE"/>
    <w:rsid w:val="7DB561D3"/>
    <w:rsid w:val="7DB5AA69"/>
    <w:rsid w:val="7DB5F043"/>
    <w:rsid w:val="7DB7EF0A"/>
    <w:rsid w:val="7DBBDA0D"/>
    <w:rsid w:val="7DBCF3C1"/>
    <w:rsid w:val="7DBEFE9A"/>
    <w:rsid w:val="7DC04EA2"/>
    <w:rsid w:val="7DC1171F"/>
    <w:rsid w:val="7DC93E8C"/>
    <w:rsid w:val="7DCBD302"/>
    <w:rsid w:val="7DCBD50D"/>
    <w:rsid w:val="7DCD8C1F"/>
    <w:rsid w:val="7DCF46B6"/>
    <w:rsid w:val="7DD04880"/>
    <w:rsid w:val="7DD1AB60"/>
    <w:rsid w:val="7DD2C966"/>
    <w:rsid w:val="7DD424D9"/>
    <w:rsid w:val="7DD4B8D5"/>
    <w:rsid w:val="7DDBBAA9"/>
    <w:rsid w:val="7DDDB3CE"/>
    <w:rsid w:val="7DDE18B0"/>
    <w:rsid w:val="7DDED8B2"/>
    <w:rsid w:val="7DE4BFBE"/>
    <w:rsid w:val="7DE50D16"/>
    <w:rsid w:val="7DE72DFB"/>
    <w:rsid w:val="7DEBBA85"/>
    <w:rsid w:val="7DEEA8C9"/>
    <w:rsid w:val="7DEF0722"/>
    <w:rsid w:val="7DF2A7FF"/>
    <w:rsid w:val="7DF317BF"/>
    <w:rsid w:val="7DF4B2F3"/>
    <w:rsid w:val="7DF66304"/>
    <w:rsid w:val="7DF6B587"/>
    <w:rsid w:val="7DF79E02"/>
    <w:rsid w:val="7DF7F978"/>
    <w:rsid w:val="7DF831FD"/>
    <w:rsid w:val="7DFAD107"/>
    <w:rsid w:val="7DFD3E04"/>
    <w:rsid w:val="7E0113EB"/>
    <w:rsid w:val="7E037505"/>
    <w:rsid w:val="7E046486"/>
    <w:rsid w:val="7E04695B"/>
    <w:rsid w:val="7E0496FC"/>
    <w:rsid w:val="7E0767E0"/>
    <w:rsid w:val="7E08C21F"/>
    <w:rsid w:val="7E098745"/>
    <w:rsid w:val="7E09ADF0"/>
    <w:rsid w:val="7E0B6310"/>
    <w:rsid w:val="7E0DAAC8"/>
    <w:rsid w:val="7E0ECC44"/>
    <w:rsid w:val="7E0F1881"/>
    <w:rsid w:val="7E130011"/>
    <w:rsid w:val="7E13083C"/>
    <w:rsid w:val="7E13A1D9"/>
    <w:rsid w:val="7E172AE2"/>
    <w:rsid w:val="7E181227"/>
    <w:rsid w:val="7E19366B"/>
    <w:rsid w:val="7E198858"/>
    <w:rsid w:val="7E1B6A84"/>
    <w:rsid w:val="7E1CE599"/>
    <w:rsid w:val="7E1D0CBF"/>
    <w:rsid w:val="7E1D2B26"/>
    <w:rsid w:val="7E1DE84C"/>
    <w:rsid w:val="7E1F9113"/>
    <w:rsid w:val="7E2108A7"/>
    <w:rsid w:val="7E2183FD"/>
    <w:rsid w:val="7E252935"/>
    <w:rsid w:val="7E25D604"/>
    <w:rsid w:val="7E275F02"/>
    <w:rsid w:val="7E2B33FA"/>
    <w:rsid w:val="7E2EB04B"/>
    <w:rsid w:val="7E2EE9AB"/>
    <w:rsid w:val="7E306A92"/>
    <w:rsid w:val="7E312E3B"/>
    <w:rsid w:val="7E390937"/>
    <w:rsid w:val="7E3ED559"/>
    <w:rsid w:val="7E401438"/>
    <w:rsid w:val="7E42E41A"/>
    <w:rsid w:val="7E44D787"/>
    <w:rsid w:val="7E4A0157"/>
    <w:rsid w:val="7E4B085E"/>
    <w:rsid w:val="7E4BC882"/>
    <w:rsid w:val="7E4EC127"/>
    <w:rsid w:val="7E51806B"/>
    <w:rsid w:val="7E51D644"/>
    <w:rsid w:val="7E525A41"/>
    <w:rsid w:val="7E54EA65"/>
    <w:rsid w:val="7E57CBD4"/>
    <w:rsid w:val="7E5AEF75"/>
    <w:rsid w:val="7E5E15F7"/>
    <w:rsid w:val="7E5ED72F"/>
    <w:rsid w:val="7E60C256"/>
    <w:rsid w:val="7E624FC7"/>
    <w:rsid w:val="7E6368D3"/>
    <w:rsid w:val="7E6562FD"/>
    <w:rsid w:val="7E669E14"/>
    <w:rsid w:val="7E671339"/>
    <w:rsid w:val="7E674E79"/>
    <w:rsid w:val="7E6A3A71"/>
    <w:rsid w:val="7E6DDFDF"/>
    <w:rsid w:val="7E708643"/>
    <w:rsid w:val="7E742DE2"/>
    <w:rsid w:val="7E74CE8F"/>
    <w:rsid w:val="7E756513"/>
    <w:rsid w:val="7E762557"/>
    <w:rsid w:val="7E78E6F9"/>
    <w:rsid w:val="7E7A1A2D"/>
    <w:rsid w:val="7E7A5E09"/>
    <w:rsid w:val="7E7B6209"/>
    <w:rsid w:val="7E7C8CAD"/>
    <w:rsid w:val="7E7CBB8E"/>
    <w:rsid w:val="7E7DD36A"/>
    <w:rsid w:val="7E7EA4D8"/>
    <w:rsid w:val="7E82F731"/>
    <w:rsid w:val="7E831792"/>
    <w:rsid w:val="7E849BA4"/>
    <w:rsid w:val="7E84A94B"/>
    <w:rsid w:val="7E84BE5F"/>
    <w:rsid w:val="7E853836"/>
    <w:rsid w:val="7E86DB41"/>
    <w:rsid w:val="7E892E74"/>
    <w:rsid w:val="7E895363"/>
    <w:rsid w:val="7E8A49B2"/>
    <w:rsid w:val="7E8D569E"/>
    <w:rsid w:val="7E906704"/>
    <w:rsid w:val="7E92EE11"/>
    <w:rsid w:val="7E943437"/>
    <w:rsid w:val="7E9461A9"/>
    <w:rsid w:val="7E947490"/>
    <w:rsid w:val="7E95564A"/>
    <w:rsid w:val="7E96381E"/>
    <w:rsid w:val="7E976B44"/>
    <w:rsid w:val="7E9A6C77"/>
    <w:rsid w:val="7E9ADC69"/>
    <w:rsid w:val="7E9B9F3B"/>
    <w:rsid w:val="7E9E224D"/>
    <w:rsid w:val="7E9F0341"/>
    <w:rsid w:val="7E9F54F3"/>
    <w:rsid w:val="7EA1D7FB"/>
    <w:rsid w:val="7EA27BDC"/>
    <w:rsid w:val="7EA2E1E3"/>
    <w:rsid w:val="7EA32755"/>
    <w:rsid w:val="7EA6D259"/>
    <w:rsid w:val="7EAB5929"/>
    <w:rsid w:val="7EB00EE4"/>
    <w:rsid w:val="7EB06166"/>
    <w:rsid w:val="7EB11E35"/>
    <w:rsid w:val="7EB2B426"/>
    <w:rsid w:val="7EB88E02"/>
    <w:rsid w:val="7EB9BE44"/>
    <w:rsid w:val="7EBD14FF"/>
    <w:rsid w:val="7EBE1AB8"/>
    <w:rsid w:val="7EBE5257"/>
    <w:rsid w:val="7EC0928D"/>
    <w:rsid w:val="7EC1A636"/>
    <w:rsid w:val="7EC669F5"/>
    <w:rsid w:val="7EC67715"/>
    <w:rsid w:val="7EC805F6"/>
    <w:rsid w:val="7EC8C825"/>
    <w:rsid w:val="7ECA9E0C"/>
    <w:rsid w:val="7ECB48D6"/>
    <w:rsid w:val="7ECD2CB4"/>
    <w:rsid w:val="7ECE8B80"/>
    <w:rsid w:val="7ED08602"/>
    <w:rsid w:val="7ED1432C"/>
    <w:rsid w:val="7ED234D3"/>
    <w:rsid w:val="7ED466EB"/>
    <w:rsid w:val="7ED6F9E2"/>
    <w:rsid w:val="7EDB0DCF"/>
    <w:rsid w:val="7EDF47E9"/>
    <w:rsid w:val="7EE10E65"/>
    <w:rsid w:val="7EE13F5C"/>
    <w:rsid w:val="7EEE79D9"/>
    <w:rsid w:val="7EEFFC80"/>
    <w:rsid w:val="7EF0576B"/>
    <w:rsid w:val="7EF0F14A"/>
    <w:rsid w:val="7EF1DA75"/>
    <w:rsid w:val="7EF3054F"/>
    <w:rsid w:val="7EF49DA5"/>
    <w:rsid w:val="7EF91EE7"/>
    <w:rsid w:val="7EF9B701"/>
    <w:rsid w:val="7EFBD5DD"/>
    <w:rsid w:val="7EFC4C69"/>
    <w:rsid w:val="7EFC9AE3"/>
    <w:rsid w:val="7EFE7AF5"/>
    <w:rsid w:val="7EFF8D1B"/>
    <w:rsid w:val="7F06BCE3"/>
    <w:rsid w:val="7F079942"/>
    <w:rsid w:val="7F08E12E"/>
    <w:rsid w:val="7F0B48EC"/>
    <w:rsid w:val="7F10C58F"/>
    <w:rsid w:val="7F111C0F"/>
    <w:rsid w:val="7F1149D6"/>
    <w:rsid w:val="7F11DE81"/>
    <w:rsid w:val="7F143C26"/>
    <w:rsid w:val="7F189700"/>
    <w:rsid w:val="7F18DD9F"/>
    <w:rsid w:val="7F1A8D4E"/>
    <w:rsid w:val="7F1C2BCD"/>
    <w:rsid w:val="7F1C2C50"/>
    <w:rsid w:val="7F1C8113"/>
    <w:rsid w:val="7F1DC496"/>
    <w:rsid w:val="7F1E948C"/>
    <w:rsid w:val="7F1EAE5A"/>
    <w:rsid w:val="7F1ECC77"/>
    <w:rsid w:val="7F21E1D7"/>
    <w:rsid w:val="7F260C47"/>
    <w:rsid w:val="7F2942DA"/>
    <w:rsid w:val="7F29E3E3"/>
    <w:rsid w:val="7F2B7BA1"/>
    <w:rsid w:val="7F2C7CD1"/>
    <w:rsid w:val="7F2F74DE"/>
    <w:rsid w:val="7F2FAFF0"/>
    <w:rsid w:val="7F327E66"/>
    <w:rsid w:val="7F35D272"/>
    <w:rsid w:val="7F377228"/>
    <w:rsid w:val="7F37E07F"/>
    <w:rsid w:val="7F3986B7"/>
    <w:rsid w:val="7F3C71A0"/>
    <w:rsid w:val="7F3E3F2A"/>
    <w:rsid w:val="7F40BDF7"/>
    <w:rsid w:val="7F40FEA6"/>
    <w:rsid w:val="7F417C03"/>
    <w:rsid w:val="7F42D761"/>
    <w:rsid w:val="7F442EB9"/>
    <w:rsid w:val="7F44AA79"/>
    <w:rsid w:val="7F46A7AC"/>
    <w:rsid w:val="7F48EA58"/>
    <w:rsid w:val="7F497C91"/>
    <w:rsid w:val="7F517F15"/>
    <w:rsid w:val="7F524A6B"/>
    <w:rsid w:val="7F53B735"/>
    <w:rsid w:val="7F5875DF"/>
    <w:rsid w:val="7F5A7A73"/>
    <w:rsid w:val="7F5B4BAC"/>
    <w:rsid w:val="7F5B85CD"/>
    <w:rsid w:val="7F5CF2EB"/>
    <w:rsid w:val="7F5D01BE"/>
    <w:rsid w:val="7F5D406C"/>
    <w:rsid w:val="7F5F7FE5"/>
    <w:rsid w:val="7F623235"/>
    <w:rsid w:val="7F62C17C"/>
    <w:rsid w:val="7F67CE3C"/>
    <w:rsid w:val="7F6C124A"/>
    <w:rsid w:val="7F6CB80B"/>
    <w:rsid w:val="7F6D7FE6"/>
    <w:rsid w:val="7F71969E"/>
    <w:rsid w:val="7F71E762"/>
    <w:rsid w:val="7F738682"/>
    <w:rsid w:val="7F7696DF"/>
    <w:rsid w:val="7F77E382"/>
    <w:rsid w:val="7F77FF4A"/>
    <w:rsid w:val="7F7A0735"/>
    <w:rsid w:val="7F7B65EA"/>
    <w:rsid w:val="7F7CAFAE"/>
    <w:rsid w:val="7F7CB8F2"/>
    <w:rsid w:val="7F7CD6A4"/>
    <w:rsid w:val="7F7E2E8C"/>
    <w:rsid w:val="7F818D6D"/>
    <w:rsid w:val="7F81CABB"/>
    <w:rsid w:val="7F830E42"/>
    <w:rsid w:val="7F8406CD"/>
    <w:rsid w:val="7F86BD69"/>
    <w:rsid w:val="7F891D68"/>
    <w:rsid w:val="7F8B658C"/>
    <w:rsid w:val="7F91050B"/>
    <w:rsid w:val="7F91683D"/>
    <w:rsid w:val="7F91DEBA"/>
    <w:rsid w:val="7F934D79"/>
    <w:rsid w:val="7F93D4E3"/>
    <w:rsid w:val="7F970984"/>
    <w:rsid w:val="7F9AA2A6"/>
    <w:rsid w:val="7F9EFE4D"/>
    <w:rsid w:val="7FA1289E"/>
    <w:rsid w:val="7FA2B0D1"/>
    <w:rsid w:val="7FA44BA2"/>
    <w:rsid w:val="7FA4AF22"/>
    <w:rsid w:val="7FA56633"/>
    <w:rsid w:val="7FA6916C"/>
    <w:rsid w:val="7FA74DFC"/>
    <w:rsid w:val="7FA8474C"/>
    <w:rsid w:val="7FA9F2EF"/>
    <w:rsid w:val="7FAABFFE"/>
    <w:rsid w:val="7FABA895"/>
    <w:rsid w:val="7FAC9321"/>
    <w:rsid w:val="7FACC145"/>
    <w:rsid w:val="7FB06A54"/>
    <w:rsid w:val="7FB5F97F"/>
    <w:rsid w:val="7FB8B119"/>
    <w:rsid w:val="7FBA857D"/>
    <w:rsid w:val="7FBACEFD"/>
    <w:rsid w:val="7FBD3E1E"/>
    <w:rsid w:val="7FBF462A"/>
    <w:rsid w:val="7FBF8E13"/>
    <w:rsid w:val="7FC2E96D"/>
    <w:rsid w:val="7FC4170E"/>
    <w:rsid w:val="7FC8B222"/>
    <w:rsid w:val="7FCBF194"/>
    <w:rsid w:val="7FCD680F"/>
    <w:rsid w:val="7FCF1859"/>
    <w:rsid w:val="7FD0E486"/>
    <w:rsid w:val="7FD22372"/>
    <w:rsid w:val="7FD33512"/>
    <w:rsid w:val="7FD513A2"/>
    <w:rsid w:val="7FD5554E"/>
    <w:rsid w:val="7FDBCEB3"/>
    <w:rsid w:val="7FDE8579"/>
    <w:rsid w:val="7FDFC3CC"/>
    <w:rsid w:val="7FDFF170"/>
    <w:rsid w:val="7FE1B9D7"/>
    <w:rsid w:val="7FE2773F"/>
    <w:rsid w:val="7FE3F95B"/>
    <w:rsid w:val="7FE53E49"/>
    <w:rsid w:val="7FE552FB"/>
    <w:rsid w:val="7FE98170"/>
    <w:rsid w:val="7FE9C9DB"/>
    <w:rsid w:val="7FED9F33"/>
    <w:rsid w:val="7FEEB97C"/>
    <w:rsid w:val="7FF0B544"/>
    <w:rsid w:val="7FF15EF2"/>
    <w:rsid w:val="7FF1CDAC"/>
    <w:rsid w:val="7FF1DE17"/>
    <w:rsid w:val="7FF237D8"/>
    <w:rsid w:val="7FF6AFDD"/>
    <w:rsid w:val="7FF89ADE"/>
    <w:rsid w:val="7FFD03E7"/>
    <w:rsid w:val="7FFD4F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F3E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1CB"/>
    <w:rPr>
      <w:rFonts w:ascii="Times New Roman" w:hAnsi="Times New Roman"/>
      <w:sz w:val="24"/>
    </w:rPr>
  </w:style>
  <w:style w:type="paragraph" w:styleId="Heading1">
    <w:name w:val="heading 1"/>
    <w:basedOn w:val="Normal"/>
    <w:next w:val="Normal"/>
    <w:link w:val="Heading1Char"/>
    <w:autoRedefine/>
    <w:uiPriority w:val="9"/>
    <w:qFormat/>
    <w:rsid w:val="004A2F17"/>
    <w:pPr>
      <w:keepNext/>
      <w:keepLines/>
      <w:numPr>
        <w:numId w:val="31"/>
      </w:numPr>
      <w:spacing w:after="120" w:line="259" w:lineRule="auto"/>
      <w:jc w:val="both"/>
      <w:outlineLvl w:val="0"/>
    </w:pPr>
    <w:rPr>
      <w:rFonts w:ascii="Times New Roman Bold" w:eastAsiaTheme="majorEastAsia" w:hAnsi="Times New Roman Bold" w:cs="Times New Roman"/>
      <w:b/>
      <w:smallCaps/>
      <w:szCs w:val="24"/>
    </w:rPr>
  </w:style>
  <w:style w:type="paragraph" w:styleId="Heading2">
    <w:name w:val="heading 2"/>
    <w:basedOn w:val="Normal"/>
    <w:next w:val="Normal"/>
    <w:link w:val="Heading2Char"/>
    <w:uiPriority w:val="9"/>
    <w:unhideWhenUsed/>
    <w:qFormat/>
    <w:rsid w:val="009A7397"/>
    <w:pPr>
      <w:keepNext/>
      <w:keepLines/>
      <w:numPr>
        <w:numId w:val="30"/>
      </w:numPr>
      <w:spacing w:before="240" w:after="120" w:line="259" w:lineRule="auto"/>
      <w:outlineLvl w:val="1"/>
    </w:pPr>
    <w:rPr>
      <w:rFonts w:eastAsiaTheme="majorEastAsia" w:cstheme="majorBidi"/>
      <w:b/>
      <w:i/>
      <w:sz w:val="28"/>
      <w:szCs w:val="26"/>
    </w:rPr>
  </w:style>
  <w:style w:type="paragraph" w:styleId="Heading3">
    <w:name w:val="heading 3"/>
    <w:basedOn w:val="Normal"/>
    <w:next w:val="Normal"/>
    <w:link w:val="Heading3Char"/>
    <w:uiPriority w:val="9"/>
    <w:unhideWhenUsed/>
    <w:qFormat/>
    <w:rsid w:val="005D1FFA"/>
    <w:pPr>
      <w:keepNext/>
      <w:keepLines/>
      <w:numPr>
        <w:ilvl w:val="2"/>
        <w:numId w:val="28"/>
      </w:numPr>
      <w:spacing w:before="40" w:after="0" w:line="259" w:lineRule="auto"/>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5D1FFA"/>
    <w:pPr>
      <w:keepNext/>
      <w:keepLines/>
      <w:numPr>
        <w:ilvl w:val="3"/>
        <w:numId w:val="28"/>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27DE7"/>
    <w:pPr>
      <w:keepNext/>
      <w:keepLines/>
      <w:numPr>
        <w:ilvl w:val="4"/>
        <w:numId w:val="28"/>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27DE7"/>
    <w:pPr>
      <w:keepNext/>
      <w:keepLines/>
      <w:numPr>
        <w:ilvl w:val="5"/>
        <w:numId w:val="2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27DE7"/>
    <w:pPr>
      <w:keepNext/>
      <w:keepLines/>
      <w:numPr>
        <w:ilvl w:val="6"/>
        <w:numId w:val="2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27DE7"/>
    <w:pPr>
      <w:keepNext/>
      <w:keepLines/>
      <w:numPr>
        <w:ilvl w:val="7"/>
        <w:numId w:val="2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27DE7"/>
    <w:pPr>
      <w:keepNext/>
      <w:keepLines/>
      <w:numPr>
        <w:ilvl w:val="8"/>
        <w:numId w:val="2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473235"/>
    <w:rPr>
      <w:color w:val="0000FF"/>
      <w:shd w:val="clear" w:color="auto" w:fill="auto"/>
    </w:rPr>
  </w:style>
  <w:style w:type="paragraph" w:styleId="Header">
    <w:name w:val="header"/>
    <w:basedOn w:val="Normal"/>
    <w:link w:val="HeaderChar"/>
    <w:uiPriority w:val="99"/>
    <w:unhideWhenUsed/>
    <w:rsid w:val="00473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235"/>
  </w:style>
  <w:style w:type="paragraph" w:styleId="Footer">
    <w:name w:val="footer"/>
    <w:basedOn w:val="Normal"/>
    <w:link w:val="FooterChar"/>
    <w:uiPriority w:val="99"/>
    <w:unhideWhenUsed/>
    <w:rsid w:val="00473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235"/>
  </w:style>
  <w:style w:type="paragraph" w:customStyle="1" w:styleId="Pagedecouverture">
    <w:name w:val="Page de couverture"/>
    <w:basedOn w:val="Normal"/>
    <w:next w:val="Normal"/>
    <w:rsid w:val="00473235"/>
    <w:pPr>
      <w:spacing w:after="0" w:line="240" w:lineRule="auto"/>
    </w:pPr>
    <w:rPr>
      <w:rFonts w:cs="Times New Roman"/>
    </w:rPr>
  </w:style>
  <w:style w:type="paragraph" w:customStyle="1" w:styleId="FooterCoverPage">
    <w:name w:val="Footer Cover Page"/>
    <w:basedOn w:val="Normal"/>
    <w:link w:val="FooterCoverPageChar"/>
    <w:rsid w:val="00473235"/>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473235"/>
    <w:rPr>
      <w:rFonts w:ascii="Times New Roman" w:hAnsi="Times New Roman"/>
      <w:sz w:val="24"/>
    </w:rPr>
  </w:style>
  <w:style w:type="paragraph" w:customStyle="1" w:styleId="FooterSensitivity">
    <w:name w:val="Footer Sensitivity"/>
    <w:basedOn w:val="Normal"/>
    <w:link w:val="FooterSensitivityChar"/>
    <w:rsid w:val="0047323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473235"/>
    <w:rPr>
      <w:rFonts w:ascii="Times New Roman" w:hAnsi="Times New Roman"/>
      <w:b/>
      <w:sz w:val="32"/>
    </w:rPr>
  </w:style>
  <w:style w:type="paragraph" w:customStyle="1" w:styleId="HeaderCoverPage">
    <w:name w:val="Header Cover Page"/>
    <w:basedOn w:val="Normal"/>
    <w:link w:val="HeaderCoverPageChar"/>
    <w:rsid w:val="00473235"/>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473235"/>
    <w:rPr>
      <w:rFonts w:ascii="Times New Roman" w:hAnsi="Times New Roman"/>
      <w:sz w:val="24"/>
    </w:rPr>
  </w:style>
  <w:style w:type="paragraph" w:customStyle="1" w:styleId="HeaderSensitivity">
    <w:name w:val="Header Sensitivity"/>
    <w:basedOn w:val="Normal"/>
    <w:link w:val="HeaderSensitivityChar"/>
    <w:rsid w:val="00473235"/>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473235"/>
    <w:rPr>
      <w:rFonts w:ascii="Times New Roman" w:hAnsi="Times New Roman"/>
      <w:b/>
      <w:sz w:val="32"/>
    </w:rPr>
  </w:style>
  <w:style w:type="paragraph" w:customStyle="1" w:styleId="HeaderSensitivityRight">
    <w:name w:val="Header Sensitivity Right"/>
    <w:basedOn w:val="Normal"/>
    <w:link w:val="HeaderSensitivityRightChar"/>
    <w:rsid w:val="000C17CE"/>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473235"/>
    <w:rPr>
      <w:rFonts w:ascii="Times New Roman" w:hAnsi="Times New Roman"/>
      <w:sz w:val="28"/>
    </w:rPr>
  </w:style>
  <w:style w:type="character" w:customStyle="1" w:styleId="Heading1Char">
    <w:name w:val="Heading 1 Char"/>
    <w:basedOn w:val="DefaultParagraphFont"/>
    <w:link w:val="Heading1"/>
    <w:uiPriority w:val="9"/>
    <w:rsid w:val="004A2F17"/>
    <w:rPr>
      <w:rFonts w:ascii="Times New Roman Bold" w:eastAsiaTheme="majorEastAsia" w:hAnsi="Times New Roman Bold" w:cs="Times New Roman"/>
      <w:b/>
      <w:smallCaps/>
      <w:sz w:val="24"/>
      <w:szCs w:val="24"/>
    </w:rPr>
  </w:style>
  <w:style w:type="character" w:customStyle="1" w:styleId="Heading2Char">
    <w:name w:val="Heading 2 Char"/>
    <w:basedOn w:val="DefaultParagraphFont"/>
    <w:link w:val="Heading2"/>
    <w:uiPriority w:val="9"/>
    <w:rsid w:val="009A7397"/>
    <w:rPr>
      <w:rFonts w:ascii="Times New Roman" w:eastAsiaTheme="majorEastAsia" w:hAnsi="Times New Roman" w:cstheme="majorBidi"/>
      <w:b/>
      <w:i/>
      <w:sz w:val="28"/>
      <w:szCs w:val="26"/>
      <w:lang w:val="fr-FR"/>
    </w:rPr>
  </w:style>
  <w:style w:type="character" w:customStyle="1" w:styleId="Heading3Char">
    <w:name w:val="Heading 3 Char"/>
    <w:basedOn w:val="DefaultParagraphFont"/>
    <w:link w:val="Heading3"/>
    <w:uiPriority w:val="9"/>
    <w:rsid w:val="005D1FFA"/>
    <w:rPr>
      <w:rFonts w:asciiTheme="majorHAnsi" w:eastAsiaTheme="majorEastAsia" w:hAnsiTheme="majorHAnsi" w:cstheme="majorBidi"/>
      <w:color w:val="243F60" w:themeColor="accent1" w:themeShade="7F"/>
      <w:sz w:val="24"/>
      <w:szCs w:val="24"/>
      <w:lang w:val="fr-FR"/>
    </w:rPr>
  </w:style>
  <w:style w:type="character" w:customStyle="1" w:styleId="Heading4Char">
    <w:name w:val="Heading 4 Char"/>
    <w:basedOn w:val="DefaultParagraphFont"/>
    <w:link w:val="Heading4"/>
    <w:uiPriority w:val="9"/>
    <w:rsid w:val="005D1FFA"/>
    <w:rPr>
      <w:rFonts w:asciiTheme="majorHAnsi" w:eastAsiaTheme="majorEastAsia" w:hAnsiTheme="majorHAnsi" w:cstheme="majorBidi"/>
      <w:i/>
      <w:iCs/>
      <w:color w:val="365F91" w:themeColor="accent1" w:themeShade="BF"/>
      <w:sz w:val="24"/>
      <w:lang w:val="fr-FR"/>
    </w:rPr>
  </w:style>
  <w:style w:type="paragraph" w:styleId="ListParagraph">
    <w:name w:val="List Paragraph"/>
    <w:aliases w:val="Bullets Level 1,Recommendatio,Recommendation,OBC Bullet,Dot pt,F5 List Paragraph,List Paragraph1,No Spacing1,List Paragraph Char Char Char,Indicator Text,Colorful List - Accent 11,Numbered Para 1,Bullet 1,Bullet Points,List Paragraph2,L,3"/>
    <w:basedOn w:val="Normal"/>
    <w:link w:val="ListParagraphChar"/>
    <w:uiPriority w:val="34"/>
    <w:qFormat/>
    <w:rsid w:val="005D1FFA"/>
    <w:pPr>
      <w:spacing w:after="160" w:line="259" w:lineRule="auto"/>
      <w:ind w:left="720"/>
      <w:contextualSpacing/>
    </w:p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Schriftart: 9 pt,fn"/>
    <w:basedOn w:val="Normal"/>
    <w:link w:val="FootnoteTextChar"/>
    <w:uiPriority w:val="99"/>
    <w:unhideWhenUsed/>
    <w:qFormat/>
    <w:rsid w:val="005D1FFA"/>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link w:val="FootnoteText"/>
    <w:uiPriority w:val="99"/>
    <w:rsid w:val="005D1FFA"/>
    <w:rPr>
      <w:sz w:val="20"/>
      <w:szCs w:val="20"/>
      <w:lang w:val="fr-FR"/>
    </w:rPr>
  </w:style>
  <w:style w:type="character" w:styleId="Hyperlink">
    <w:name w:val="Hyperlink"/>
    <w:aliases w:val="Hyperlink Nivel"/>
    <w:uiPriority w:val="99"/>
    <w:rsid w:val="005D1FFA"/>
    <w:rPr>
      <w:color w:val="0000FF"/>
      <w:u w:val="single"/>
    </w:rPr>
  </w:style>
  <w:style w:type="character" w:customStyle="1" w:styleId="numberCharChar1">
    <w:name w:val="number Char Char1"/>
    <w:link w:val="ftrefCharCharCharCharCharCharCharCharChar"/>
    <w:uiPriority w:val="99"/>
    <w:qFormat/>
    <w:rsid w:val="005D1FFA"/>
    <w:rPr>
      <w:rFonts w:ascii="Calibri" w:hAnsi="Calibri"/>
      <w:sz w:val="16"/>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numberCharChar1"/>
    <w:uiPriority w:val="99"/>
    <w:rsid w:val="005D1FFA"/>
    <w:pPr>
      <w:spacing w:after="160" w:line="240" w:lineRule="exact"/>
    </w:pPr>
    <w:rPr>
      <w:rFonts w:ascii="Calibri" w:hAnsi="Calibri"/>
      <w:sz w:val="16"/>
      <w:vertAlign w:val="superscript"/>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w:basedOn w:val="DefaultParagraphFont"/>
    <w:link w:val="BVIfnrCarCarCarCarCharCharCharChar"/>
    <w:uiPriority w:val="99"/>
    <w:unhideWhenUsed/>
    <w:qFormat/>
    <w:rsid w:val="005D1FFA"/>
    <w:rPr>
      <w:vertAlign w:val="superscript"/>
    </w:rPr>
  </w:style>
  <w:style w:type="character" w:styleId="CommentReference">
    <w:name w:val="annotation reference"/>
    <w:basedOn w:val="DefaultParagraphFont"/>
    <w:uiPriority w:val="99"/>
    <w:semiHidden/>
    <w:unhideWhenUsed/>
    <w:rsid w:val="005D1FFA"/>
    <w:rPr>
      <w:sz w:val="16"/>
      <w:szCs w:val="16"/>
    </w:rPr>
  </w:style>
  <w:style w:type="paragraph" w:styleId="CommentText">
    <w:name w:val="annotation text"/>
    <w:basedOn w:val="Normal"/>
    <w:link w:val="CommentTextChar"/>
    <w:uiPriority w:val="99"/>
    <w:unhideWhenUsed/>
    <w:rsid w:val="005D1FFA"/>
    <w:pPr>
      <w:spacing w:after="160" w:line="240" w:lineRule="auto"/>
    </w:pPr>
    <w:rPr>
      <w:sz w:val="20"/>
      <w:szCs w:val="20"/>
    </w:rPr>
  </w:style>
  <w:style w:type="character" w:customStyle="1" w:styleId="CommentTextChar">
    <w:name w:val="Comment Text Char"/>
    <w:basedOn w:val="DefaultParagraphFont"/>
    <w:link w:val="CommentText"/>
    <w:uiPriority w:val="99"/>
    <w:rsid w:val="005D1FFA"/>
    <w:rPr>
      <w:sz w:val="20"/>
      <w:szCs w:val="20"/>
      <w:lang w:val="fr-FR"/>
    </w:rPr>
  </w:style>
  <w:style w:type="character" w:customStyle="1" w:styleId="ListParagraphChar">
    <w:name w:val="List Paragraph Char"/>
    <w:aliases w:val="Bullets Level 1 Char,Recommendatio Char,Recommendation Char,OBC Bullet Char,Dot pt Char,F5 List Paragraph Char,List Paragraph1 Char,No Spacing1 Char,List Paragraph Char Char Char Char,Indicator Text Char,Numbered Para 1 Char,L Char"/>
    <w:basedOn w:val="DefaultParagraphFont"/>
    <w:link w:val="ListParagraph"/>
    <w:uiPriority w:val="34"/>
    <w:qFormat/>
    <w:locked/>
    <w:rsid w:val="005D1FFA"/>
    <w:rPr>
      <w:lang w:val="fr-FR"/>
    </w:rPr>
  </w:style>
  <w:style w:type="paragraph" w:customStyle="1" w:styleId="Style1">
    <w:name w:val="Style1"/>
    <w:basedOn w:val="Heading1"/>
    <w:link w:val="Style1Char"/>
    <w:autoRedefine/>
    <w:qFormat/>
    <w:rsid w:val="003F056F"/>
    <w:pPr>
      <w:spacing w:after="240"/>
    </w:pPr>
    <w:rPr>
      <w:rFonts w:asciiTheme="minorHAnsi" w:hAnsiTheme="minorHAnsi" w:cstheme="minorHAnsi"/>
      <w:b w:val="0"/>
      <w:bCs/>
      <w:i/>
      <w:iCs/>
      <w:color w:val="548DD4" w:themeColor="text2" w:themeTint="99"/>
      <w:sz w:val="22"/>
    </w:rPr>
  </w:style>
  <w:style w:type="paragraph" w:styleId="NoSpacing">
    <w:name w:val="No Spacing"/>
    <w:uiPriority w:val="1"/>
    <w:qFormat/>
    <w:rsid w:val="00095FA0"/>
    <w:pPr>
      <w:spacing w:after="0" w:line="240" w:lineRule="auto"/>
      <w:jc w:val="both"/>
    </w:pPr>
    <w:rPr>
      <w:rFonts w:ascii="Times New Roman" w:hAnsi="Times New Roman"/>
      <w:sz w:val="24"/>
    </w:rPr>
  </w:style>
  <w:style w:type="character" w:customStyle="1" w:styleId="Style1Char">
    <w:name w:val="Style1 Char"/>
    <w:basedOn w:val="Heading1Char"/>
    <w:link w:val="Style1"/>
    <w:rsid w:val="003F056F"/>
    <w:rPr>
      <w:rFonts w:ascii="Times New Roman Bold" w:eastAsiaTheme="majorEastAsia" w:hAnsi="Times New Roman Bold" w:cstheme="minorHAnsi"/>
      <w:b w:val="0"/>
      <w:bCs/>
      <w:i/>
      <w:iCs/>
      <w:smallCaps/>
      <w:color w:val="548DD4" w:themeColor="text2" w:themeTint="99"/>
      <w:sz w:val="24"/>
      <w:szCs w:val="24"/>
    </w:rPr>
  </w:style>
  <w:style w:type="paragraph" w:styleId="Revision">
    <w:name w:val="Revision"/>
    <w:hidden/>
    <w:uiPriority w:val="99"/>
    <w:semiHidden/>
    <w:rsid w:val="00F765F2"/>
    <w:pPr>
      <w:spacing w:after="0" w:line="240" w:lineRule="auto"/>
    </w:pPr>
    <w:rPr>
      <w:rFonts w:ascii="Times New Roman" w:hAnsi="Times New Roman"/>
      <w:sz w:val="24"/>
    </w:rPr>
  </w:style>
  <w:style w:type="paragraph" w:styleId="NormalWeb">
    <w:name w:val="Normal (Web)"/>
    <w:basedOn w:val="Normal"/>
    <w:uiPriority w:val="99"/>
    <w:semiHidden/>
    <w:unhideWhenUsed/>
    <w:rsid w:val="00170431"/>
    <w:pPr>
      <w:spacing w:before="100" w:beforeAutospacing="1" w:after="100" w:afterAutospacing="1" w:line="240" w:lineRule="auto"/>
    </w:pPr>
    <w:rPr>
      <w:rFonts w:eastAsia="Times New Roman" w:cs="Times New Roman"/>
      <w:szCs w:val="24"/>
      <w:lang w:eastAsia="en-IE"/>
    </w:rPr>
  </w:style>
  <w:style w:type="character" w:customStyle="1" w:styleId="UnresolvedMention1">
    <w:name w:val="Unresolved Mention1"/>
    <w:basedOn w:val="DefaultParagraphFont"/>
    <w:uiPriority w:val="99"/>
    <w:semiHidden/>
    <w:unhideWhenUsed/>
    <w:rsid w:val="000B3BF5"/>
    <w:rPr>
      <w:color w:val="605E5C"/>
      <w:shd w:val="clear" w:color="auto" w:fill="E1DFDD"/>
    </w:rPr>
  </w:style>
  <w:style w:type="paragraph" w:customStyle="1" w:styleId="Style2">
    <w:name w:val="Style2"/>
    <w:basedOn w:val="Normal"/>
    <w:link w:val="Style2Char"/>
    <w:qFormat/>
    <w:rsid w:val="00BE7515"/>
    <w:pPr>
      <w:numPr>
        <w:numId w:val="27"/>
      </w:numPr>
    </w:pPr>
    <w:rPr>
      <w:rFonts w:cs="Times New Roman"/>
      <w:u w:val="single"/>
    </w:rPr>
  </w:style>
  <w:style w:type="character" w:customStyle="1" w:styleId="Heading5Char">
    <w:name w:val="Heading 5 Char"/>
    <w:basedOn w:val="DefaultParagraphFont"/>
    <w:link w:val="Heading5"/>
    <w:uiPriority w:val="9"/>
    <w:semiHidden/>
    <w:rsid w:val="00327DE7"/>
    <w:rPr>
      <w:rFonts w:asciiTheme="majorHAnsi" w:eastAsiaTheme="majorEastAsia" w:hAnsiTheme="majorHAnsi" w:cstheme="majorBidi"/>
      <w:color w:val="365F91" w:themeColor="accent1" w:themeShade="BF"/>
      <w:sz w:val="24"/>
    </w:rPr>
  </w:style>
  <w:style w:type="character" w:customStyle="1" w:styleId="Style2Char">
    <w:name w:val="Style2 Char"/>
    <w:basedOn w:val="DefaultParagraphFont"/>
    <w:link w:val="Style2"/>
    <w:rsid w:val="00BE7515"/>
    <w:rPr>
      <w:rFonts w:ascii="Times New Roman" w:hAnsi="Times New Roman" w:cs="Times New Roman"/>
      <w:sz w:val="24"/>
      <w:u w:val="single"/>
    </w:rPr>
  </w:style>
  <w:style w:type="character" w:customStyle="1" w:styleId="Heading6Char">
    <w:name w:val="Heading 6 Char"/>
    <w:basedOn w:val="DefaultParagraphFont"/>
    <w:link w:val="Heading6"/>
    <w:uiPriority w:val="9"/>
    <w:semiHidden/>
    <w:rsid w:val="00327DE7"/>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327DE7"/>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327DE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27DE7"/>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233B1A"/>
    <w:rPr>
      <w:b/>
      <w:bCs/>
    </w:rPr>
  </w:style>
  <w:style w:type="character" w:styleId="FollowedHyperlink">
    <w:name w:val="FollowedHyperlink"/>
    <w:basedOn w:val="DefaultParagraphFont"/>
    <w:uiPriority w:val="99"/>
    <w:semiHidden/>
    <w:unhideWhenUsed/>
    <w:rsid w:val="002E68D1"/>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D6313D"/>
    <w:pPr>
      <w:spacing w:after="200"/>
    </w:pPr>
    <w:rPr>
      <w:b/>
      <w:bCs/>
    </w:rPr>
  </w:style>
  <w:style w:type="character" w:customStyle="1" w:styleId="CommentSubjectChar">
    <w:name w:val="Comment Subject Char"/>
    <w:basedOn w:val="CommentTextChar"/>
    <w:link w:val="CommentSubject"/>
    <w:uiPriority w:val="99"/>
    <w:semiHidden/>
    <w:rsid w:val="00D6313D"/>
    <w:rPr>
      <w:rFonts w:ascii="Times New Roman" w:hAnsi="Times New Roman"/>
      <w:b/>
      <w:bCs/>
      <w:sz w:val="20"/>
      <w:szCs w:val="20"/>
      <w:lang w:val="fr-FR"/>
    </w:rPr>
  </w:style>
  <w:style w:type="character" w:customStyle="1" w:styleId="Mention1">
    <w:name w:val="Mention1"/>
    <w:basedOn w:val="DefaultParagraphFont"/>
    <w:uiPriority w:val="99"/>
    <w:unhideWhenUsed/>
    <w:rsid w:val="00F740F5"/>
    <w:rPr>
      <w:color w:val="2B579A"/>
      <w:shd w:val="clear" w:color="auto" w:fill="E6E6E6"/>
    </w:rPr>
  </w:style>
  <w:style w:type="table" w:styleId="TableGrid">
    <w:name w:val="Table Grid"/>
    <w:basedOn w:val="TableNormal"/>
    <w:uiPriority w:val="39"/>
    <w:rsid w:val="009C13A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C13A7"/>
    <w:rPr>
      <w:i/>
      <w:iCs/>
    </w:rPr>
  </w:style>
  <w:style w:type="character" w:customStyle="1" w:styleId="normaltextrun">
    <w:name w:val="normaltextrun"/>
    <w:basedOn w:val="DefaultParagraphFont"/>
    <w:rsid w:val="000B3DE4"/>
  </w:style>
  <w:style w:type="character" w:customStyle="1" w:styleId="eop">
    <w:name w:val="eop"/>
    <w:basedOn w:val="DefaultParagraphFont"/>
    <w:rsid w:val="00A11454"/>
  </w:style>
  <w:style w:type="paragraph" w:styleId="BalloonText">
    <w:name w:val="Balloon Text"/>
    <w:basedOn w:val="Normal"/>
    <w:link w:val="BalloonTextChar"/>
    <w:uiPriority w:val="99"/>
    <w:semiHidden/>
    <w:unhideWhenUsed/>
    <w:rsid w:val="007E3F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FFE"/>
    <w:rPr>
      <w:rFonts w:ascii="Segoe UI" w:hAnsi="Segoe UI" w:cs="Segoe UI"/>
      <w:sz w:val="18"/>
      <w:szCs w:val="18"/>
    </w:rPr>
  </w:style>
  <w:style w:type="character" w:customStyle="1" w:styleId="UnresolvedMention2">
    <w:name w:val="Unresolved Mention2"/>
    <w:basedOn w:val="DefaultParagraphFont"/>
    <w:uiPriority w:val="99"/>
    <w:semiHidden/>
    <w:unhideWhenUsed/>
    <w:rsid w:val="007469CA"/>
    <w:rPr>
      <w:color w:val="605E5C"/>
      <w:shd w:val="clear" w:color="auto" w:fill="E1DFDD"/>
    </w:rPr>
  </w:style>
  <w:style w:type="character" w:customStyle="1" w:styleId="UnresolvedMention3">
    <w:name w:val="Unresolved Mention3"/>
    <w:basedOn w:val="DefaultParagraphFont"/>
    <w:uiPriority w:val="99"/>
    <w:semiHidden/>
    <w:unhideWhenUsed/>
    <w:rsid w:val="00C36D6A"/>
    <w:rPr>
      <w:color w:val="605E5C"/>
      <w:shd w:val="clear" w:color="auto" w:fill="E1DFDD"/>
    </w:rPr>
  </w:style>
  <w:style w:type="character" w:customStyle="1" w:styleId="markedcontent">
    <w:name w:val="markedcontent"/>
    <w:basedOn w:val="DefaultParagraphFont"/>
    <w:rsid w:val="00F66503"/>
  </w:style>
  <w:style w:type="character" w:customStyle="1" w:styleId="superscript">
    <w:name w:val="superscript"/>
    <w:basedOn w:val="DefaultParagraphFont"/>
    <w:rsid w:val="002666CF"/>
  </w:style>
  <w:style w:type="paragraph" w:customStyle="1" w:styleId="paragraph">
    <w:name w:val="paragraph"/>
    <w:basedOn w:val="Normal"/>
    <w:rsid w:val="004D61B2"/>
    <w:pPr>
      <w:spacing w:before="100" w:beforeAutospacing="1" w:after="100" w:afterAutospacing="1" w:line="240" w:lineRule="auto"/>
    </w:pPr>
    <w:rPr>
      <w:rFonts w:eastAsia="Times New Roman" w:cs="Times New Roman"/>
      <w:szCs w:val="24"/>
      <w:lang w:eastAsia="en-IE"/>
    </w:rPr>
  </w:style>
  <w:style w:type="character" w:customStyle="1" w:styleId="UnresolvedMention4">
    <w:name w:val="Unresolved Mention4"/>
    <w:basedOn w:val="DefaultParagraphFont"/>
    <w:uiPriority w:val="99"/>
    <w:semiHidden/>
    <w:unhideWhenUsed/>
    <w:rsid w:val="00F05CB6"/>
    <w:rPr>
      <w:color w:val="605E5C"/>
      <w:shd w:val="clear" w:color="auto" w:fill="E1DFDD"/>
    </w:rPr>
  </w:style>
  <w:style w:type="paragraph" w:customStyle="1" w:styleId="Briefinglist1">
    <w:name w:val="Briefing list 1"/>
    <w:basedOn w:val="Normal"/>
    <w:link w:val="Briefinglist1Char"/>
    <w:rsid w:val="00E022F7"/>
    <w:pPr>
      <w:keepLines/>
      <w:numPr>
        <w:numId w:val="87"/>
      </w:numPr>
      <w:spacing w:after="120" w:line="240" w:lineRule="auto"/>
    </w:pPr>
    <w:rPr>
      <w:rFonts w:ascii="Arial" w:eastAsia="Times New Roman" w:hAnsi="Arial" w:cs="Arial"/>
      <w:sz w:val="22"/>
      <w:szCs w:val="24"/>
    </w:rPr>
  </w:style>
  <w:style w:type="character" w:customStyle="1" w:styleId="Briefinglist1Char">
    <w:name w:val="Briefing list 1 Char"/>
    <w:link w:val="Briefinglist1"/>
    <w:locked/>
    <w:rsid w:val="00E022F7"/>
    <w:rPr>
      <w:rFonts w:ascii="Arial" w:eastAsia="Times New Roman" w:hAnsi="Arial" w:cs="Arial"/>
      <w:szCs w:val="24"/>
    </w:rPr>
  </w:style>
  <w:style w:type="character" w:customStyle="1" w:styleId="UnresolvedMention5">
    <w:name w:val="Unresolved Mention5"/>
    <w:basedOn w:val="DefaultParagraphFont"/>
    <w:uiPriority w:val="99"/>
    <w:semiHidden/>
    <w:unhideWhenUsed/>
    <w:rsid w:val="00CC7579"/>
    <w:rPr>
      <w:color w:val="605E5C"/>
      <w:shd w:val="clear" w:color="auto" w:fill="E1DFDD"/>
    </w:rPr>
  </w:style>
  <w:style w:type="paragraph" w:customStyle="1" w:styleId="Disclaimer">
    <w:name w:val="Disclaimer"/>
    <w:basedOn w:val="Normal"/>
    <w:rsid w:val="0013415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134158"/>
    <w:pPr>
      <w:spacing w:after="0"/>
      <w:ind w:left="5103"/>
    </w:pPr>
    <w:rPr>
      <w:rFonts w:cs="Times New Roman"/>
      <w:sz w:val="28"/>
    </w:rPr>
  </w:style>
  <w:style w:type="paragraph" w:customStyle="1" w:styleId="DateMarking">
    <w:name w:val="DateMarking"/>
    <w:basedOn w:val="Normal"/>
    <w:rsid w:val="00134158"/>
    <w:pPr>
      <w:spacing w:after="0"/>
      <w:ind w:left="5103"/>
    </w:pPr>
    <w:rPr>
      <w:rFonts w:cs="Times New Roman"/>
      <w:i/>
      <w:sz w:val="28"/>
    </w:rPr>
  </w:style>
  <w:style w:type="paragraph" w:customStyle="1" w:styleId="ReleasableTo">
    <w:name w:val="ReleasableTo"/>
    <w:basedOn w:val="Normal"/>
    <w:rsid w:val="00134158"/>
    <w:pPr>
      <w:spacing w:after="0"/>
      <w:ind w:left="5103"/>
    </w:pPr>
    <w:rPr>
      <w:rFonts w:cs="Times New Roman"/>
      <w:i/>
      <w:sz w:val="28"/>
    </w:rPr>
  </w:style>
  <w:style w:type="character" w:customStyle="1" w:styleId="UnresolvedMention6">
    <w:name w:val="Unresolved Mention6"/>
    <w:basedOn w:val="DefaultParagraphFont"/>
    <w:uiPriority w:val="99"/>
    <w:semiHidden/>
    <w:unhideWhenUsed/>
    <w:rsid w:val="004A2F17"/>
    <w:rPr>
      <w:color w:val="605E5C"/>
      <w:shd w:val="clear" w:color="auto" w:fill="E1DFDD"/>
    </w:rPr>
  </w:style>
  <w:style w:type="character" w:customStyle="1" w:styleId="UnresolvedMention7">
    <w:name w:val="Unresolved Mention7"/>
    <w:basedOn w:val="DefaultParagraphFont"/>
    <w:uiPriority w:val="99"/>
    <w:semiHidden/>
    <w:unhideWhenUsed/>
    <w:rsid w:val="00D97A9D"/>
    <w:rPr>
      <w:color w:val="605E5C"/>
      <w:shd w:val="clear" w:color="auto" w:fill="E1DFDD"/>
    </w:rPr>
  </w:style>
  <w:style w:type="paragraph" w:customStyle="1" w:styleId="BVIfnrCarCarCarCarCharCharCharChar">
    <w:name w:val="BVI fnr Car Car Car Car Char Char Char Char"/>
    <w:basedOn w:val="Normal"/>
    <w:link w:val="FootnoteReference"/>
    <w:uiPriority w:val="99"/>
    <w:rsid w:val="005A1EC8"/>
    <w:pPr>
      <w:spacing w:before="200" w:after="160" w:line="240" w:lineRule="exact"/>
      <w:jc w:val="both"/>
    </w:pPr>
    <w:rPr>
      <w:rFonts w:asciiTheme="minorHAnsi" w:hAnsiTheme="minorHAnsi"/>
      <w:sz w:val="22"/>
      <w:vertAlign w:val="superscript"/>
    </w:rPr>
  </w:style>
  <w:style w:type="character" w:customStyle="1" w:styleId="ui-provider">
    <w:name w:val="ui-provider"/>
    <w:basedOn w:val="DefaultParagraphFont"/>
    <w:rsid w:val="00666078"/>
  </w:style>
  <w:style w:type="character" w:customStyle="1" w:styleId="UnresolvedMention8">
    <w:name w:val="Unresolved Mention8"/>
    <w:basedOn w:val="DefaultParagraphFont"/>
    <w:uiPriority w:val="99"/>
    <w:semiHidden/>
    <w:unhideWhenUsed/>
    <w:rsid w:val="002B6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47766">
      <w:bodyDiv w:val="1"/>
      <w:marLeft w:val="0"/>
      <w:marRight w:val="0"/>
      <w:marTop w:val="0"/>
      <w:marBottom w:val="0"/>
      <w:divBdr>
        <w:top w:val="none" w:sz="0" w:space="0" w:color="auto"/>
        <w:left w:val="none" w:sz="0" w:space="0" w:color="auto"/>
        <w:bottom w:val="none" w:sz="0" w:space="0" w:color="auto"/>
        <w:right w:val="none" w:sz="0" w:space="0" w:color="auto"/>
      </w:divBdr>
    </w:div>
    <w:div w:id="114716596">
      <w:bodyDiv w:val="1"/>
      <w:marLeft w:val="0"/>
      <w:marRight w:val="0"/>
      <w:marTop w:val="0"/>
      <w:marBottom w:val="0"/>
      <w:divBdr>
        <w:top w:val="none" w:sz="0" w:space="0" w:color="auto"/>
        <w:left w:val="none" w:sz="0" w:space="0" w:color="auto"/>
        <w:bottom w:val="none" w:sz="0" w:space="0" w:color="auto"/>
        <w:right w:val="none" w:sz="0" w:space="0" w:color="auto"/>
      </w:divBdr>
    </w:div>
    <w:div w:id="189807492">
      <w:bodyDiv w:val="1"/>
      <w:marLeft w:val="0"/>
      <w:marRight w:val="0"/>
      <w:marTop w:val="0"/>
      <w:marBottom w:val="0"/>
      <w:divBdr>
        <w:top w:val="none" w:sz="0" w:space="0" w:color="auto"/>
        <w:left w:val="none" w:sz="0" w:space="0" w:color="auto"/>
        <w:bottom w:val="none" w:sz="0" w:space="0" w:color="auto"/>
        <w:right w:val="none" w:sz="0" w:space="0" w:color="auto"/>
      </w:divBdr>
    </w:div>
    <w:div w:id="256060893">
      <w:bodyDiv w:val="1"/>
      <w:marLeft w:val="0"/>
      <w:marRight w:val="0"/>
      <w:marTop w:val="0"/>
      <w:marBottom w:val="0"/>
      <w:divBdr>
        <w:top w:val="none" w:sz="0" w:space="0" w:color="auto"/>
        <w:left w:val="none" w:sz="0" w:space="0" w:color="auto"/>
        <w:bottom w:val="none" w:sz="0" w:space="0" w:color="auto"/>
        <w:right w:val="none" w:sz="0" w:space="0" w:color="auto"/>
      </w:divBdr>
    </w:div>
    <w:div w:id="351230528">
      <w:bodyDiv w:val="1"/>
      <w:marLeft w:val="0"/>
      <w:marRight w:val="0"/>
      <w:marTop w:val="0"/>
      <w:marBottom w:val="0"/>
      <w:divBdr>
        <w:top w:val="none" w:sz="0" w:space="0" w:color="auto"/>
        <w:left w:val="none" w:sz="0" w:space="0" w:color="auto"/>
        <w:bottom w:val="none" w:sz="0" w:space="0" w:color="auto"/>
        <w:right w:val="none" w:sz="0" w:space="0" w:color="auto"/>
      </w:divBdr>
    </w:div>
    <w:div w:id="414715511">
      <w:bodyDiv w:val="1"/>
      <w:marLeft w:val="0"/>
      <w:marRight w:val="0"/>
      <w:marTop w:val="0"/>
      <w:marBottom w:val="0"/>
      <w:divBdr>
        <w:top w:val="none" w:sz="0" w:space="0" w:color="auto"/>
        <w:left w:val="none" w:sz="0" w:space="0" w:color="auto"/>
        <w:bottom w:val="none" w:sz="0" w:space="0" w:color="auto"/>
        <w:right w:val="none" w:sz="0" w:space="0" w:color="auto"/>
      </w:divBdr>
    </w:div>
    <w:div w:id="450168859">
      <w:bodyDiv w:val="1"/>
      <w:marLeft w:val="0"/>
      <w:marRight w:val="0"/>
      <w:marTop w:val="0"/>
      <w:marBottom w:val="0"/>
      <w:divBdr>
        <w:top w:val="none" w:sz="0" w:space="0" w:color="auto"/>
        <w:left w:val="none" w:sz="0" w:space="0" w:color="auto"/>
        <w:bottom w:val="none" w:sz="0" w:space="0" w:color="auto"/>
        <w:right w:val="none" w:sz="0" w:space="0" w:color="auto"/>
      </w:divBdr>
    </w:div>
    <w:div w:id="454718978">
      <w:bodyDiv w:val="1"/>
      <w:marLeft w:val="0"/>
      <w:marRight w:val="0"/>
      <w:marTop w:val="0"/>
      <w:marBottom w:val="0"/>
      <w:divBdr>
        <w:top w:val="none" w:sz="0" w:space="0" w:color="auto"/>
        <w:left w:val="none" w:sz="0" w:space="0" w:color="auto"/>
        <w:bottom w:val="none" w:sz="0" w:space="0" w:color="auto"/>
        <w:right w:val="none" w:sz="0" w:space="0" w:color="auto"/>
      </w:divBdr>
    </w:div>
    <w:div w:id="455297844">
      <w:bodyDiv w:val="1"/>
      <w:marLeft w:val="0"/>
      <w:marRight w:val="0"/>
      <w:marTop w:val="0"/>
      <w:marBottom w:val="0"/>
      <w:divBdr>
        <w:top w:val="none" w:sz="0" w:space="0" w:color="auto"/>
        <w:left w:val="none" w:sz="0" w:space="0" w:color="auto"/>
        <w:bottom w:val="none" w:sz="0" w:space="0" w:color="auto"/>
        <w:right w:val="none" w:sz="0" w:space="0" w:color="auto"/>
      </w:divBdr>
    </w:div>
    <w:div w:id="471361777">
      <w:bodyDiv w:val="1"/>
      <w:marLeft w:val="0"/>
      <w:marRight w:val="0"/>
      <w:marTop w:val="0"/>
      <w:marBottom w:val="0"/>
      <w:divBdr>
        <w:top w:val="none" w:sz="0" w:space="0" w:color="auto"/>
        <w:left w:val="none" w:sz="0" w:space="0" w:color="auto"/>
        <w:bottom w:val="none" w:sz="0" w:space="0" w:color="auto"/>
        <w:right w:val="none" w:sz="0" w:space="0" w:color="auto"/>
      </w:divBdr>
      <w:divsChild>
        <w:div w:id="852958157">
          <w:marLeft w:val="0"/>
          <w:marRight w:val="0"/>
          <w:marTop w:val="0"/>
          <w:marBottom w:val="0"/>
          <w:divBdr>
            <w:top w:val="none" w:sz="0" w:space="0" w:color="auto"/>
            <w:left w:val="none" w:sz="0" w:space="0" w:color="auto"/>
            <w:bottom w:val="none" w:sz="0" w:space="0" w:color="auto"/>
            <w:right w:val="none" w:sz="0" w:space="0" w:color="auto"/>
          </w:divBdr>
        </w:div>
        <w:div w:id="391734927">
          <w:marLeft w:val="0"/>
          <w:marRight w:val="0"/>
          <w:marTop w:val="0"/>
          <w:marBottom w:val="0"/>
          <w:divBdr>
            <w:top w:val="none" w:sz="0" w:space="0" w:color="auto"/>
            <w:left w:val="none" w:sz="0" w:space="0" w:color="auto"/>
            <w:bottom w:val="none" w:sz="0" w:space="0" w:color="auto"/>
            <w:right w:val="none" w:sz="0" w:space="0" w:color="auto"/>
          </w:divBdr>
        </w:div>
      </w:divsChild>
    </w:div>
    <w:div w:id="491067433">
      <w:bodyDiv w:val="1"/>
      <w:marLeft w:val="0"/>
      <w:marRight w:val="0"/>
      <w:marTop w:val="0"/>
      <w:marBottom w:val="0"/>
      <w:divBdr>
        <w:top w:val="none" w:sz="0" w:space="0" w:color="auto"/>
        <w:left w:val="none" w:sz="0" w:space="0" w:color="auto"/>
        <w:bottom w:val="none" w:sz="0" w:space="0" w:color="auto"/>
        <w:right w:val="none" w:sz="0" w:space="0" w:color="auto"/>
      </w:divBdr>
    </w:div>
    <w:div w:id="510334341">
      <w:bodyDiv w:val="1"/>
      <w:marLeft w:val="0"/>
      <w:marRight w:val="0"/>
      <w:marTop w:val="0"/>
      <w:marBottom w:val="0"/>
      <w:divBdr>
        <w:top w:val="none" w:sz="0" w:space="0" w:color="auto"/>
        <w:left w:val="none" w:sz="0" w:space="0" w:color="auto"/>
        <w:bottom w:val="none" w:sz="0" w:space="0" w:color="auto"/>
        <w:right w:val="none" w:sz="0" w:space="0" w:color="auto"/>
      </w:divBdr>
    </w:div>
    <w:div w:id="527522786">
      <w:bodyDiv w:val="1"/>
      <w:marLeft w:val="0"/>
      <w:marRight w:val="0"/>
      <w:marTop w:val="0"/>
      <w:marBottom w:val="0"/>
      <w:divBdr>
        <w:top w:val="none" w:sz="0" w:space="0" w:color="auto"/>
        <w:left w:val="none" w:sz="0" w:space="0" w:color="auto"/>
        <w:bottom w:val="none" w:sz="0" w:space="0" w:color="auto"/>
        <w:right w:val="none" w:sz="0" w:space="0" w:color="auto"/>
      </w:divBdr>
    </w:div>
    <w:div w:id="655035445">
      <w:bodyDiv w:val="1"/>
      <w:marLeft w:val="0"/>
      <w:marRight w:val="0"/>
      <w:marTop w:val="0"/>
      <w:marBottom w:val="0"/>
      <w:divBdr>
        <w:top w:val="none" w:sz="0" w:space="0" w:color="auto"/>
        <w:left w:val="none" w:sz="0" w:space="0" w:color="auto"/>
        <w:bottom w:val="none" w:sz="0" w:space="0" w:color="auto"/>
        <w:right w:val="none" w:sz="0" w:space="0" w:color="auto"/>
      </w:divBdr>
    </w:div>
    <w:div w:id="744884849">
      <w:bodyDiv w:val="1"/>
      <w:marLeft w:val="0"/>
      <w:marRight w:val="0"/>
      <w:marTop w:val="0"/>
      <w:marBottom w:val="0"/>
      <w:divBdr>
        <w:top w:val="none" w:sz="0" w:space="0" w:color="auto"/>
        <w:left w:val="none" w:sz="0" w:space="0" w:color="auto"/>
        <w:bottom w:val="none" w:sz="0" w:space="0" w:color="auto"/>
        <w:right w:val="none" w:sz="0" w:space="0" w:color="auto"/>
      </w:divBdr>
    </w:div>
    <w:div w:id="784544315">
      <w:bodyDiv w:val="1"/>
      <w:marLeft w:val="0"/>
      <w:marRight w:val="0"/>
      <w:marTop w:val="0"/>
      <w:marBottom w:val="0"/>
      <w:divBdr>
        <w:top w:val="none" w:sz="0" w:space="0" w:color="auto"/>
        <w:left w:val="none" w:sz="0" w:space="0" w:color="auto"/>
        <w:bottom w:val="none" w:sz="0" w:space="0" w:color="auto"/>
        <w:right w:val="none" w:sz="0" w:space="0" w:color="auto"/>
      </w:divBdr>
      <w:divsChild>
        <w:div w:id="1079525235">
          <w:marLeft w:val="720"/>
          <w:marRight w:val="0"/>
          <w:marTop w:val="200"/>
          <w:marBottom w:val="0"/>
          <w:divBdr>
            <w:top w:val="none" w:sz="0" w:space="0" w:color="auto"/>
            <w:left w:val="none" w:sz="0" w:space="0" w:color="auto"/>
            <w:bottom w:val="none" w:sz="0" w:space="0" w:color="auto"/>
            <w:right w:val="none" w:sz="0" w:space="0" w:color="auto"/>
          </w:divBdr>
        </w:div>
        <w:div w:id="1831561487">
          <w:marLeft w:val="720"/>
          <w:marRight w:val="0"/>
          <w:marTop w:val="200"/>
          <w:marBottom w:val="0"/>
          <w:divBdr>
            <w:top w:val="none" w:sz="0" w:space="0" w:color="auto"/>
            <w:left w:val="none" w:sz="0" w:space="0" w:color="auto"/>
            <w:bottom w:val="none" w:sz="0" w:space="0" w:color="auto"/>
            <w:right w:val="none" w:sz="0" w:space="0" w:color="auto"/>
          </w:divBdr>
        </w:div>
      </w:divsChild>
    </w:div>
    <w:div w:id="844058013">
      <w:bodyDiv w:val="1"/>
      <w:marLeft w:val="0"/>
      <w:marRight w:val="0"/>
      <w:marTop w:val="0"/>
      <w:marBottom w:val="0"/>
      <w:divBdr>
        <w:top w:val="none" w:sz="0" w:space="0" w:color="auto"/>
        <w:left w:val="none" w:sz="0" w:space="0" w:color="auto"/>
        <w:bottom w:val="none" w:sz="0" w:space="0" w:color="auto"/>
        <w:right w:val="none" w:sz="0" w:space="0" w:color="auto"/>
      </w:divBdr>
    </w:div>
    <w:div w:id="907031083">
      <w:bodyDiv w:val="1"/>
      <w:marLeft w:val="0"/>
      <w:marRight w:val="0"/>
      <w:marTop w:val="0"/>
      <w:marBottom w:val="0"/>
      <w:divBdr>
        <w:top w:val="none" w:sz="0" w:space="0" w:color="auto"/>
        <w:left w:val="none" w:sz="0" w:space="0" w:color="auto"/>
        <w:bottom w:val="none" w:sz="0" w:space="0" w:color="auto"/>
        <w:right w:val="none" w:sz="0" w:space="0" w:color="auto"/>
      </w:divBdr>
    </w:div>
    <w:div w:id="925462662">
      <w:bodyDiv w:val="1"/>
      <w:marLeft w:val="0"/>
      <w:marRight w:val="0"/>
      <w:marTop w:val="0"/>
      <w:marBottom w:val="0"/>
      <w:divBdr>
        <w:top w:val="none" w:sz="0" w:space="0" w:color="auto"/>
        <w:left w:val="none" w:sz="0" w:space="0" w:color="auto"/>
        <w:bottom w:val="none" w:sz="0" w:space="0" w:color="auto"/>
        <w:right w:val="none" w:sz="0" w:space="0" w:color="auto"/>
      </w:divBdr>
    </w:div>
    <w:div w:id="937449347">
      <w:bodyDiv w:val="1"/>
      <w:marLeft w:val="0"/>
      <w:marRight w:val="0"/>
      <w:marTop w:val="0"/>
      <w:marBottom w:val="0"/>
      <w:divBdr>
        <w:top w:val="none" w:sz="0" w:space="0" w:color="auto"/>
        <w:left w:val="none" w:sz="0" w:space="0" w:color="auto"/>
        <w:bottom w:val="none" w:sz="0" w:space="0" w:color="auto"/>
        <w:right w:val="none" w:sz="0" w:space="0" w:color="auto"/>
      </w:divBdr>
    </w:div>
    <w:div w:id="942571190">
      <w:bodyDiv w:val="1"/>
      <w:marLeft w:val="0"/>
      <w:marRight w:val="0"/>
      <w:marTop w:val="0"/>
      <w:marBottom w:val="0"/>
      <w:divBdr>
        <w:top w:val="none" w:sz="0" w:space="0" w:color="auto"/>
        <w:left w:val="none" w:sz="0" w:space="0" w:color="auto"/>
        <w:bottom w:val="none" w:sz="0" w:space="0" w:color="auto"/>
        <w:right w:val="none" w:sz="0" w:space="0" w:color="auto"/>
      </w:divBdr>
      <w:divsChild>
        <w:div w:id="871377647">
          <w:marLeft w:val="0"/>
          <w:marRight w:val="0"/>
          <w:marTop w:val="0"/>
          <w:marBottom w:val="0"/>
          <w:divBdr>
            <w:top w:val="none" w:sz="0" w:space="0" w:color="auto"/>
            <w:left w:val="none" w:sz="0" w:space="0" w:color="auto"/>
            <w:bottom w:val="none" w:sz="0" w:space="0" w:color="auto"/>
            <w:right w:val="none" w:sz="0" w:space="0" w:color="auto"/>
          </w:divBdr>
          <w:divsChild>
            <w:div w:id="199256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449938">
      <w:bodyDiv w:val="1"/>
      <w:marLeft w:val="0"/>
      <w:marRight w:val="0"/>
      <w:marTop w:val="0"/>
      <w:marBottom w:val="0"/>
      <w:divBdr>
        <w:top w:val="none" w:sz="0" w:space="0" w:color="auto"/>
        <w:left w:val="none" w:sz="0" w:space="0" w:color="auto"/>
        <w:bottom w:val="none" w:sz="0" w:space="0" w:color="auto"/>
        <w:right w:val="none" w:sz="0" w:space="0" w:color="auto"/>
      </w:divBdr>
    </w:div>
    <w:div w:id="957680168">
      <w:bodyDiv w:val="1"/>
      <w:marLeft w:val="0"/>
      <w:marRight w:val="0"/>
      <w:marTop w:val="0"/>
      <w:marBottom w:val="0"/>
      <w:divBdr>
        <w:top w:val="none" w:sz="0" w:space="0" w:color="auto"/>
        <w:left w:val="none" w:sz="0" w:space="0" w:color="auto"/>
        <w:bottom w:val="none" w:sz="0" w:space="0" w:color="auto"/>
        <w:right w:val="none" w:sz="0" w:space="0" w:color="auto"/>
      </w:divBdr>
    </w:div>
    <w:div w:id="966664826">
      <w:bodyDiv w:val="1"/>
      <w:marLeft w:val="0"/>
      <w:marRight w:val="0"/>
      <w:marTop w:val="0"/>
      <w:marBottom w:val="0"/>
      <w:divBdr>
        <w:top w:val="none" w:sz="0" w:space="0" w:color="auto"/>
        <w:left w:val="none" w:sz="0" w:space="0" w:color="auto"/>
        <w:bottom w:val="none" w:sz="0" w:space="0" w:color="auto"/>
        <w:right w:val="none" w:sz="0" w:space="0" w:color="auto"/>
      </w:divBdr>
    </w:div>
    <w:div w:id="1007946170">
      <w:bodyDiv w:val="1"/>
      <w:marLeft w:val="0"/>
      <w:marRight w:val="0"/>
      <w:marTop w:val="0"/>
      <w:marBottom w:val="0"/>
      <w:divBdr>
        <w:top w:val="none" w:sz="0" w:space="0" w:color="auto"/>
        <w:left w:val="none" w:sz="0" w:space="0" w:color="auto"/>
        <w:bottom w:val="none" w:sz="0" w:space="0" w:color="auto"/>
        <w:right w:val="none" w:sz="0" w:space="0" w:color="auto"/>
      </w:divBdr>
    </w:div>
    <w:div w:id="1048533689">
      <w:bodyDiv w:val="1"/>
      <w:marLeft w:val="0"/>
      <w:marRight w:val="0"/>
      <w:marTop w:val="0"/>
      <w:marBottom w:val="0"/>
      <w:divBdr>
        <w:top w:val="none" w:sz="0" w:space="0" w:color="auto"/>
        <w:left w:val="none" w:sz="0" w:space="0" w:color="auto"/>
        <w:bottom w:val="none" w:sz="0" w:space="0" w:color="auto"/>
        <w:right w:val="none" w:sz="0" w:space="0" w:color="auto"/>
      </w:divBdr>
    </w:div>
    <w:div w:id="1057164528">
      <w:bodyDiv w:val="1"/>
      <w:marLeft w:val="0"/>
      <w:marRight w:val="0"/>
      <w:marTop w:val="0"/>
      <w:marBottom w:val="0"/>
      <w:divBdr>
        <w:top w:val="none" w:sz="0" w:space="0" w:color="auto"/>
        <w:left w:val="none" w:sz="0" w:space="0" w:color="auto"/>
        <w:bottom w:val="none" w:sz="0" w:space="0" w:color="auto"/>
        <w:right w:val="none" w:sz="0" w:space="0" w:color="auto"/>
      </w:divBdr>
    </w:div>
    <w:div w:id="1253590961">
      <w:bodyDiv w:val="1"/>
      <w:marLeft w:val="0"/>
      <w:marRight w:val="0"/>
      <w:marTop w:val="0"/>
      <w:marBottom w:val="0"/>
      <w:divBdr>
        <w:top w:val="none" w:sz="0" w:space="0" w:color="auto"/>
        <w:left w:val="none" w:sz="0" w:space="0" w:color="auto"/>
        <w:bottom w:val="none" w:sz="0" w:space="0" w:color="auto"/>
        <w:right w:val="none" w:sz="0" w:space="0" w:color="auto"/>
      </w:divBdr>
    </w:div>
    <w:div w:id="1259367990">
      <w:bodyDiv w:val="1"/>
      <w:marLeft w:val="0"/>
      <w:marRight w:val="0"/>
      <w:marTop w:val="0"/>
      <w:marBottom w:val="0"/>
      <w:divBdr>
        <w:top w:val="none" w:sz="0" w:space="0" w:color="auto"/>
        <w:left w:val="none" w:sz="0" w:space="0" w:color="auto"/>
        <w:bottom w:val="none" w:sz="0" w:space="0" w:color="auto"/>
        <w:right w:val="none" w:sz="0" w:space="0" w:color="auto"/>
      </w:divBdr>
    </w:div>
    <w:div w:id="1335838424">
      <w:bodyDiv w:val="1"/>
      <w:marLeft w:val="0"/>
      <w:marRight w:val="0"/>
      <w:marTop w:val="0"/>
      <w:marBottom w:val="0"/>
      <w:divBdr>
        <w:top w:val="none" w:sz="0" w:space="0" w:color="auto"/>
        <w:left w:val="none" w:sz="0" w:space="0" w:color="auto"/>
        <w:bottom w:val="none" w:sz="0" w:space="0" w:color="auto"/>
        <w:right w:val="none" w:sz="0" w:space="0" w:color="auto"/>
      </w:divBdr>
    </w:div>
    <w:div w:id="1380784546">
      <w:bodyDiv w:val="1"/>
      <w:marLeft w:val="0"/>
      <w:marRight w:val="0"/>
      <w:marTop w:val="0"/>
      <w:marBottom w:val="0"/>
      <w:divBdr>
        <w:top w:val="none" w:sz="0" w:space="0" w:color="auto"/>
        <w:left w:val="none" w:sz="0" w:space="0" w:color="auto"/>
        <w:bottom w:val="none" w:sz="0" w:space="0" w:color="auto"/>
        <w:right w:val="none" w:sz="0" w:space="0" w:color="auto"/>
      </w:divBdr>
      <w:divsChild>
        <w:div w:id="177738418">
          <w:marLeft w:val="0"/>
          <w:marRight w:val="0"/>
          <w:marTop w:val="0"/>
          <w:marBottom w:val="0"/>
          <w:divBdr>
            <w:top w:val="none" w:sz="0" w:space="0" w:color="auto"/>
            <w:left w:val="none" w:sz="0" w:space="0" w:color="auto"/>
            <w:bottom w:val="none" w:sz="0" w:space="0" w:color="auto"/>
            <w:right w:val="none" w:sz="0" w:space="0" w:color="auto"/>
          </w:divBdr>
        </w:div>
        <w:div w:id="1906066358">
          <w:marLeft w:val="0"/>
          <w:marRight w:val="0"/>
          <w:marTop w:val="0"/>
          <w:marBottom w:val="0"/>
          <w:divBdr>
            <w:top w:val="none" w:sz="0" w:space="0" w:color="auto"/>
            <w:left w:val="none" w:sz="0" w:space="0" w:color="auto"/>
            <w:bottom w:val="none" w:sz="0" w:space="0" w:color="auto"/>
            <w:right w:val="none" w:sz="0" w:space="0" w:color="auto"/>
          </w:divBdr>
        </w:div>
        <w:div w:id="1969043910">
          <w:marLeft w:val="0"/>
          <w:marRight w:val="0"/>
          <w:marTop w:val="0"/>
          <w:marBottom w:val="0"/>
          <w:divBdr>
            <w:top w:val="none" w:sz="0" w:space="0" w:color="auto"/>
            <w:left w:val="none" w:sz="0" w:space="0" w:color="auto"/>
            <w:bottom w:val="none" w:sz="0" w:space="0" w:color="auto"/>
            <w:right w:val="none" w:sz="0" w:space="0" w:color="auto"/>
          </w:divBdr>
        </w:div>
      </w:divsChild>
    </w:div>
    <w:div w:id="1396391787">
      <w:bodyDiv w:val="1"/>
      <w:marLeft w:val="0"/>
      <w:marRight w:val="0"/>
      <w:marTop w:val="0"/>
      <w:marBottom w:val="0"/>
      <w:divBdr>
        <w:top w:val="none" w:sz="0" w:space="0" w:color="auto"/>
        <w:left w:val="none" w:sz="0" w:space="0" w:color="auto"/>
        <w:bottom w:val="none" w:sz="0" w:space="0" w:color="auto"/>
        <w:right w:val="none" w:sz="0" w:space="0" w:color="auto"/>
      </w:divBdr>
    </w:div>
    <w:div w:id="1399937809">
      <w:bodyDiv w:val="1"/>
      <w:marLeft w:val="0"/>
      <w:marRight w:val="0"/>
      <w:marTop w:val="0"/>
      <w:marBottom w:val="0"/>
      <w:divBdr>
        <w:top w:val="none" w:sz="0" w:space="0" w:color="auto"/>
        <w:left w:val="none" w:sz="0" w:space="0" w:color="auto"/>
        <w:bottom w:val="none" w:sz="0" w:space="0" w:color="auto"/>
        <w:right w:val="none" w:sz="0" w:space="0" w:color="auto"/>
      </w:divBdr>
    </w:div>
    <w:div w:id="1410688645">
      <w:bodyDiv w:val="1"/>
      <w:marLeft w:val="0"/>
      <w:marRight w:val="0"/>
      <w:marTop w:val="0"/>
      <w:marBottom w:val="0"/>
      <w:divBdr>
        <w:top w:val="none" w:sz="0" w:space="0" w:color="auto"/>
        <w:left w:val="none" w:sz="0" w:space="0" w:color="auto"/>
        <w:bottom w:val="none" w:sz="0" w:space="0" w:color="auto"/>
        <w:right w:val="none" w:sz="0" w:space="0" w:color="auto"/>
      </w:divBdr>
    </w:div>
    <w:div w:id="1411345771">
      <w:bodyDiv w:val="1"/>
      <w:marLeft w:val="0"/>
      <w:marRight w:val="0"/>
      <w:marTop w:val="0"/>
      <w:marBottom w:val="0"/>
      <w:divBdr>
        <w:top w:val="none" w:sz="0" w:space="0" w:color="auto"/>
        <w:left w:val="none" w:sz="0" w:space="0" w:color="auto"/>
        <w:bottom w:val="none" w:sz="0" w:space="0" w:color="auto"/>
        <w:right w:val="none" w:sz="0" w:space="0" w:color="auto"/>
      </w:divBdr>
    </w:div>
    <w:div w:id="1429958452">
      <w:bodyDiv w:val="1"/>
      <w:marLeft w:val="0"/>
      <w:marRight w:val="0"/>
      <w:marTop w:val="0"/>
      <w:marBottom w:val="0"/>
      <w:divBdr>
        <w:top w:val="none" w:sz="0" w:space="0" w:color="auto"/>
        <w:left w:val="none" w:sz="0" w:space="0" w:color="auto"/>
        <w:bottom w:val="none" w:sz="0" w:space="0" w:color="auto"/>
        <w:right w:val="none" w:sz="0" w:space="0" w:color="auto"/>
      </w:divBdr>
    </w:div>
    <w:div w:id="1486237263">
      <w:bodyDiv w:val="1"/>
      <w:marLeft w:val="0"/>
      <w:marRight w:val="0"/>
      <w:marTop w:val="0"/>
      <w:marBottom w:val="0"/>
      <w:divBdr>
        <w:top w:val="none" w:sz="0" w:space="0" w:color="auto"/>
        <w:left w:val="none" w:sz="0" w:space="0" w:color="auto"/>
        <w:bottom w:val="none" w:sz="0" w:space="0" w:color="auto"/>
        <w:right w:val="none" w:sz="0" w:space="0" w:color="auto"/>
      </w:divBdr>
    </w:div>
    <w:div w:id="1501193563">
      <w:bodyDiv w:val="1"/>
      <w:marLeft w:val="0"/>
      <w:marRight w:val="0"/>
      <w:marTop w:val="0"/>
      <w:marBottom w:val="0"/>
      <w:divBdr>
        <w:top w:val="none" w:sz="0" w:space="0" w:color="auto"/>
        <w:left w:val="none" w:sz="0" w:space="0" w:color="auto"/>
        <w:bottom w:val="none" w:sz="0" w:space="0" w:color="auto"/>
        <w:right w:val="none" w:sz="0" w:space="0" w:color="auto"/>
      </w:divBdr>
    </w:div>
    <w:div w:id="1526333500">
      <w:bodyDiv w:val="1"/>
      <w:marLeft w:val="0"/>
      <w:marRight w:val="0"/>
      <w:marTop w:val="0"/>
      <w:marBottom w:val="0"/>
      <w:divBdr>
        <w:top w:val="none" w:sz="0" w:space="0" w:color="auto"/>
        <w:left w:val="none" w:sz="0" w:space="0" w:color="auto"/>
        <w:bottom w:val="none" w:sz="0" w:space="0" w:color="auto"/>
        <w:right w:val="none" w:sz="0" w:space="0" w:color="auto"/>
      </w:divBdr>
    </w:div>
    <w:div w:id="1547260571">
      <w:bodyDiv w:val="1"/>
      <w:marLeft w:val="0"/>
      <w:marRight w:val="0"/>
      <w:marTop w:val="0"/>
      <w:marBottom w:val="0"/>
      <w:divBdr>
        <w:top w:val="none" w:sz="0" w:space="0" w:color="auto"/>
        <w:left w:val="none" w:sz="0" w:space="0" w:color="auto"/>
        <w:bottom w:val="none" w:sz="0" w:space="0" w:color="auto"/>
        <w:right w:val="none" w:sz="0" w:space="0" w:color="auto"/>
      </w:divBdr>
    </w:div>
    <w:div w:id="1590387044">
      <w:bodyDiv w:val="1"/>
      <w:marLeft w:val="0"/>
      <w:marRight w:val="0"/>
      <w:marTop w:val="0"/>
      <w:marBottom w:val="0"/>
      <w:divBdr>
        <w:top w:val="none" w:sz="0" w:space="0" w:color="auto"/>
        <w:left w:val="none" w:sz="0" w:space="0" w:color="auto"/>
        <w:bottom w:val="none" w:sz="0" w:space="0" w:color="auto"/>
        <w:right w:val="none" w:sz="0" w:space="0" w:color="auto"/>
      </w:divBdr>
    </w:div>
    <w:div w:id="1620261172">
      <w:bodyDiv w:val="1"/>
      <w:marLeft w:val="0"/>
      <w:marRight w:val="0"/>
      <w:marTop w:val="0"/>
      <w:marBottom w:val="0"/>
      <w:divBdr>
        <w:top w:val="none" w:sz="0" w:space="0" w:color="auto"/>
        <w:left w:val="none" w:sz="0" w:space="0" w:color="auto"/>
        <w:bottom w:val="none" w:sz="0" w:space="0" w:color="auto"/>
        <w:right w:val="none" w:sz="0" w:space="0" w:color="auto"/>
      </w:divBdr>
    </w:div>
    <w:div w:id="1632243960">
      <w:bodyDiv w:val="1"/>
      <w:marLeft w:val="0"/>
      <w:marRight w:val="0"/>
      <w:marTop w:val="0"/>
      <w:marBottom w:val="0"/>
      <w:divBdr>
        <w:top w:val="none" w:sz="0" w:space="0" w:color="auto"/>
        <w:left w:val="none" w:sz="0" w:space="0" w:color="auto"/>
        <w:bottom w:val="none" w:sz="0" w:space="0" w:color="auto"/>
        <w:right w:val="none" w:sz="0" w:space="0" w:color="auto"/>
      </w:divBdr>
    </w:div>
    <w:div w:id="1634284778">
      <w:bodyDiv w:val="1"/>
      <w:marLeft w:val="0"/>
      <w:marRight w:val="0"/>
      <w:marTop w:val="0"/>
      <w:marBottom w:val="0"/>
      <w:divBdr>
        <w:top w:val="none" w:sz="0" w:space="0" w:color="auto"/>
        <w:left w:val="none" w:sz="0" w:space="0" w:color="auto"/>
        <w:bottom w:val="none" w:sz="0" w:space="0" w:color="auto"/>
        <w:right w:val="none" w:sz="0" w:space="0" w:color="auto"/>
      </w:divBdr>
    </w:div>
    <w:div w:id="1697148105">
      <w:bodyDiv w:val="1"/>
      <w:marLeft w:val="0"/>
      <w:marRight w:val="0"/>
      <w:marTop w:val="0"/>
      <w:marBottom w:val="0"/>
      <w:divBdr>
        <w:top w:val="none" w:sz="0" w:space="0" w:color="auto"/>
        <w:left w:val="none" w:sz="0" w:space="0" w:color="auto"/>
        <w:bottom w:val="none" w:sz="0" w:space="0" w:color="auto"/>
        <w:right w:val="none" w:sz="0" w:space="0" w:color="auto"/>
      </w:divBdr>
    </w:div>
    <w:div w:id="1745682660">
      <w:bodyDiv w:val="1"/>
      <w:marLeft w:val="0"/>
      <w:marRight w:val="0"/>
      <w:marTop w:val="0"/>
      <w:marBottom w:val="0"/>
      <w:divBdr>
        <w:top w:val="none" w:sz="0" w:space="0" w:color="auto"/>
        <w:left w:val="none" w:sz="0" w:space="0" w:color="auto"/>
        <w:bottom w:val="none" w:sz="0" w:space="0" w:color="auto"/>
        <w:right w:val="none" w:sz="0" w:space="0" w:color="auto"/>
      </w:divBdr>
    </w:div>
    <w:div w:id="1752313696">
      <w:bodyDiv w:val="1"/>
      <w:marLeft w:val="0"/>
      <w:marRight w:val="0"/>
      <w:marTop w:val="0"/>
      <w:marBottom w:val="0"/>
      <w:divBdr>
        <w:top w:val="none" w:sz="0" w:space="0" w:color="auto"/>
        <w:left w:val="none" w:sz="0" w:space="0" w:color="auto"/>
        <w:bottom w:val="none" w:sz="0" w:space="0" w:color="auto"/>
        <w:right w:val="none" w:sz="0" w:space="0" w:color="auto"/>
      </w:divBdr>
    </w:div>
    <w:div w:id="1769302185">
      <w:bodyDiv w:val="1"/>
      <w:marLeft w:val="0"/>
      <w:marRight w:val="0"/>
      <w:marTop w:val="0"/>
      <w:marBottom w:val="0"/>
      <w:divBdr>
        <w:top w:val="none" w:sz="0" w:space="0" w:color="auto"/>
        <w:left w:val="none" w:sz="0" w:space="0" w:color="auto"/>
        <w:bottom w:val="none" w:sz="0" w:space="0" w:color="auto"/>
        <w:right w:val="none" w:sz="0" w:space="0" w:color="auto"/>
      </w:divBdr>
    </w:div>
    <w:div w:id="1804303928">
      <w:bodyDiv w:val="1"/>
      <w:marLeft w:val="0"/>
      <w:marRight w:val="0"/>
      <w:marTop w:val="0"/>
      <w:marBottom w:val="0"/>
      <w:divBdr>
        <w:top w:val="none" w:sz="0" w:space="0" w:color="auto"/>
        <w:left w:val="none" w:sz="0" w:space="0" w:color="auto"/>
        <w:bottom w:val="none" w:sz="0" w:space="0" w:color="auto"/>
        <w:right w:val="none" w:sz="0" w:space="0" w:color="auto"/>
      </w:divBdr>
    </w:div>
    <w:div w:id="1854109588">
      <w:bodyDiv w:val="1"/>
      <w:marLeft w:val="0"/>
      <w:marRight w:val="0"/>
      <w:marTop w:val="0"/>
      <w:marBottom w:val="0"/>
      <w:divBdr>
        <w:top w:val="none" w:sz="0" w:space="0" w:color="auto"/>
        <w:left w:val="none" w:sz="0" w:space="0" w:color="auto"/>
        <w:bottom w:val="none" w:sz="0" w:space="0" w:color="auto"/>
        <w:right w:val="none" w:sz="0" w:space="0" w:color="auto"/>
      </w:divBdr>
    </w:div>
    <w:div w:id="1858542445">
      <w:bodyDiv w:val="1"/>
      <w:marLeft w:val="0"/>
      <w:marRight w:val="0"/>
      <w:marTop w:val="0"/>
      <w:marBottom w:val="0"/>
      <w:divBdr>
        <w:top w:val="none" w:sz="0" w:space="0" w:color="auto"/>
        <w:left w:val="none" w:sz="0" w:space="0" w:color="auto"/>
        <w:bottom w:val="none" w:sz="0" w:space="0" w:color="auto"/>
        <w:right w:val="none" w:sz="0" w:space="0" w:color="auto"/>
      </w:divBdr>
    </w:div>
    <w:div w:id="1873613112">
      <w:bodyDiv w:val="1"/>
      <w:marLeft w:val="0"/>
      <w:marRight w:val="0"/>
      <w:marTop w:val="0"/>
      <w:marBottom w:val="0"/>
      <w:divBdr>
        <w:top w:val="none" w:sz="0" w:space="0" w:color="auto"/>
        <w:left w:val="none" w:sz="0" w:space="0" w:color="auto"/>
        <w:bottom w:val="none" w:sz="0" w:space="0" w:color="auto"/>
        <w:right w:val="none" w:sz="0" w:space="0" w:color="auto"/>
      </w:divBdr>
    </w:div>
    <w:div w:id="1881474994">
      <w:bodyDiv w:val="1"/>
      <w:marLeft w:val="0"/>
      <w:marRight w:val="0"/>
      <w:marTop w:val="0"/>
      <w:marBottom w:val="0"/>
      <w:divBdr>
        <w:top w:val="none" w:sz="0" w:space="0" w:color="auto"/>
        <w:left w:val="none" w:sz="0" w:space="0" w:color="auto"/>
        <w:bottom w:val="none" w:sz="0" w:space="0" w:color="auto"/>
        <w:right w:val="none" w:sz="0" w:space="0" w:color="auto"/>
      </w:divBdr>
    </w:div>
    <w:div w:id="1911234379">
      <w:bodyDiv w:val="1"/>
      <w:marLeft w:val="0"/>
      <w:marRight w:val="0"/>
      <w:marTop w:val="0"/>
      <w:marBottom w:val="0"/>
      <w:divBdr>
        <w:top w:val="none" w:sz="0" w:space="0" w:color="auto"/>
        <w:left w:val="none" w:sz="0" w:space="0" w:color="auto"/>
        <w:bottom w:val="none" w:sz="0" w:space="0" w:color="auto"/>
        <w:right w:val="none" w:sz="0" w:space="0" w:color="auto"/>
      </w:divBdr>
    </w:div>
    <w:div w:id="1927568306">
      <w:bodyDiv w:val="1"/>
      <w:marLeft w:val="0"/>
      <w:marRight w:val="0"/>
      <w:marTop w:val="0"/>
      <w:marBottom w:val="0"/>
      <w:divBdr>
        <w:top w:val="none" w:sz="0" w:space="0" w:color="auto"/>
        <w:left w:val="none" w:sz="0" w:space="0" w:color="auto"/>
        <w:bottom w:val="none" w:sz="0" w:space="0" w:color="auto"/>
        <w:right w:val="none" w:sz="0" w:space="0" w:color="auto"/>
      </w:divBdr>
    </w:div>
    <w:div w:id="1934363570">
      <w:bodyDiv w:val="1"/>
      <w:marLeft w:val="0"/>
      <w:marRight w:val="0"/>
      <w:marTop w:val="0"/>
      <w:marBottom w:val="0"/>
      <w:divBdr>
        <w:top w:val="none" w:sz="0" w:space="0" w:color="auto"/>
        <w:left w:val="none" w:sz="0" w:space="0" w:color="auto"/>
        <w:bottom w:val="none" w:sz="0" w:space="0" w:color="auto"/>
        <w:right w:val="none" w:sz="0" w:space="0" w:color="auto"/>
      </w:divBdr>
    </w:div>
    <w:div w:id="1983538103">
      <w:bodyDiv w:val="1"/>
      <w:marLeft w:val="0"/>
      <w:marRight w:val="0"/>
      <w:marTop w:val="0"/>
      <w:marBottom w:val="0"/>
      <w:divBdr>
        <w:top w:val="none" w:sz="0" w:space="0" w:color="auto"/>
        <w:left w:val="none" w:sz="0" w:space="0" w:color="auto"/>
        <w:bottom w:val="none" w:sz="0" w:space="0" w:color="auto"/>
        <w:right w:val="none" w:sz="0" w:space="0" w:color="auto"/>
      </w:divBdr>
    </w:div>
    <w:div w:id="2056077384">
      <w:bodyDiv w:val="1"/>
      <w:marLeft w:val="0"/>
      <w:marRight w:val="0"/>
      <w:marTop w:val="0"/>
      <w:marBottom w:val="0"/>
      <w:divBdr>
        <w:top w:val="none" w:sz="0" w:space="0" w:color="auto"/>
        <w:left w:val="none" w:sz="0" w:space="0" w:color="auto"/>
        <w:bottom w:val="none" w:sz="0" w:space="0" w:color="auto"/>
        <w:right w:val="none" w:sz="0" w:space="0" w:color="auto"/>
      </w:divBdr>
    </w:div>
    <w:div w:id="2099860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c.europa.eu/social/main.jsp?catId=148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ncbi.nlm.nih.gov/pmc/articles/PMC8129854/" TargetMode="External"/><Relationship Id="rId117" Type="http://schemas.openxmlformats.org/officeDocument/2006/relationships/hyperlink" Target="https://health.ec.europa.eu/system/files/2022-07/com_2022-5436_annex2_en.pdf" TargetMode="External"/><Relationship Id="rId21" Type="http://schemas.openxmlformats.org/officeDocument/2006/relationships/hyperlink" Target="https://ted.europa.eu/udl?uri=TED:NOTICE:277537-2023:TEXT:FR:HTML&amp;tabId=0" TargetMode="External"/><Relationship Id="rId42" Type="http://schemas.openxmlformats.org/officeDocument/2006/relationships/hyperlink" Target="https://eur-lex.europa.eu/legal-content/FR/TXT/?uri=celex%3A32022R2065" TargetMode="External"/><Relationship Id="rId47" Type="http://schemas.openxmlformats.org/officeDocument/2006/relationships/hyperlink" Target="https://www.who.int/publications/i/item/9789240064751" TargetMode="External"/><Relationship Id="rId63" Type="http://schemas.openxmlformats.org/officeDocument/2006/relationships/hyperlink" Target="https://eur-lex.europa.eu/legal-content/FR/TXT/?uri=CELEX%3A52022PC0105" TargetMode="External"/><Relationship Id="rId68" Type="http://schemas.openxmlformats.org/officeDocument/2006/relationships/hyperlink" Target="https://eur-lex.europa.eu/legal-content/FR/TXT/?uri=CELEX:52020DC0698" TargetMode="External"/><Relationship Id="rId84" Type="http://schemas.openxmlformats.org/officeDocument/2006/relationships/hyperlink" Target="https://osha.europa.eu/fr" TargetMode="External"/><Relationship Id="rId89" Type="http://schemas.openxmlformats.org/officeDocument/2006/relationships/hyperlink" Target="https://ec.europa.eu/social/main.jsp?langId=fr&amp;catId=89&amp;furtherNews=yes&amp;newsId=10382" TargetMode="External"/><Relationship Id="rId112" Type="http://schemas.openxmlformats.org/officeDocument/2006/relationships/hyperlink" Target="https://www.thelancet.com/journals/lancet/article/PIIS0140-6736(19)30934-1/fulltext" TargetMode="External"/><Relationship Id="rId16" Type="http://schemas.openxmlformats.org/officeDocument/2006/relationships/hyperlink" Target="https://eaad-best.eu/projects/" TargetMode="External"/><Relationship Id="rId107" Type="http://schemas.openxmlformats.org/officeDocument/2006/relationships/hyperlink" Target="https://www.unwomen.org/fr/what-we-do/ending-violence-against-women/spotlight-initiative" TargetMode="External"/><Relationship Id="rId11" Type="http://schemas.openxmlformats.org/officeDocument/2006/relationships/hyperlink" Target="https://commission.europa.eu/strategy-and-policy/policies/justice-and-fundamental-rights/combatting-discrimination/lesbian-gay-bi-trans-and-intersex-equality/lgbtiq-equality-strategy-2020-2025_en" TargetMode="External"/><Relationship Id="rId32" Type="http://schemas.openxmlformats.org/officeDocument/2006/relationships/hyperlink" Target="https://research-and-innovation.ec.europa.eu/strategy/strategy-2020-2024/our-digital-future/european-research-infrastructures_en" TargetMode="External"/><Relationship Id="rId37" Type="http://schemas.openxmlformats.org/officeDocument/2006/relationships/hyperlink" Target="https://health.ec.europa.eu/system/files/2022-12/2022_healthatglance_rep_en_0.pdf" TargetMode="External"/><Relationship Id="rId53" Type="http://schemas.openxmlformats.org/officeDocument/2006/relationships/hyperlink" Target="https://health.ec.europa.eu/funding/eu4health-programme-2021-2027-vision-healthier-european-union_fr" TargetMode="External"/><Relationship Id="rId58" Type="http://schemas.openxmlformats.org/officeDocument/2006/relationships/hyperlink" Target="https://data.consilium.europa.eu/doc/document/ST-6976-2021-INIT/fr/pdf" TargetMode="External"/><Relationship Id="rId74" Type="http://schemas.openxmlformats.org/officeDocument/2006/relationships/hyperlink" Target="https://pubmed.ncbi.nlm.nih.gov/36643576/" TargetMode="External"/><Relationship Id="rId79" Type="http://schemas.openxmlformats.org/officeDocument/2006/relationships/hyperlink" Target="https://research-and-innovation.ec.europa.eu/funding/funding-opportunities/funding-programmes-and-open-calls/horizon-europe/eu-missions-horizon-europe/eu-mission-cancer_en" TargetMode="External"/><Relationship Id="rId102" Type="http://schemas.openxmlformats.org/officeDocument/2006/relationships/hyperlink" Target="https://www.cultureforhealth.eu/app/uploads/2023/04/C4H_SummaryReport_V11LP_shortsmall.pdf" TargetMode="External"/><Relationship Id="rId123" Type="http://schemas.openxmlformats.org/officeDocument/2006/relationships/hyperlink" Target="https://health.ec.europa.eu/system/files/2022-11/wp2023_annex_en.pdf" TargetMode="External"/><Relationship Id="rId5" Type="http://schemas.openxmlformats.org/officeDocument/2006/relationships/hyperlink" Target="https://www.unicef.org/media/108121/file/SOWC-2021-Europe-regional-brief.pdf" TargetMode="External"/><Relationship Id="rId61" Type="http://schemas.openxmlformats.org/officeDocument/2006/relationships/hyperlink" Target="https://apps.who.int/iris/bitstream/handle/10665/66539/WHO_MSD_MDP_00.1.pdf%3bsequence=1" TargetMode="External"/><Relationship Id="rId82" Type="http://schemas.openxmlformats.org/officeDocument/2006/relationships/hyperlink" Target="https://osha.europa.eu/fr/safety-and-health-legislation" TargetMode="External"/><Relationship Id="rId90" Type="http://schemas.openxmlformats.org/officeDocument/2006/relationships/hyperlink" Target="https://osha.europa.eu/en/legislation/guidelines/labour-inspectors-guide-assessing-quality-risk-assessments-and-risk-management-measures-regard-prevention-msds" TargetMode="External"/><Relationship Id="rId95" Type="http://schemas.openxmlformats.org/officeDocument/2006/relationships/hyperlink" Target="https://eur-lex.europa.eu/legal-content/EN/TXT/?uri=celex:52012SC0414" TargetMode="External"/><Relationship Id="rId19" Type="http://schemas.openxmlformats.org/officeDocument/2006/relationships/hyperlink" Target="file:///C:\Users\furtaar\AppData\Local\Microsoft\Windows\INetCache\Content.Outlook\7ODGDVLW\com_2022-5436_annex2_en.pdf%20(europa.eu)" TargetMode="External"/><Relationship Id="rId14" Type="http://schemas.openxmlformats.org/officeDocument/2006/relationships/hyperlink" Target="https://commission.europa.eu/strategy-and-policy/policies/justice-and-fundamental-rights/rights-child/eu-strategy-rights-child-and-european-child-guarantee_fr" TargetMode="External"/><Relationship Id="rId22" Type="http://schemas.openxmlformats.org/officeDocument/2006/relationships/hyperlink" Target="https://knowledge4policy.ec.europa.eu/health-promotion-knowledge-gateway/topic/mental-health-promotion_en?etrans=fr" TargetMode="External"/><Relationship Id="rId27" Type="http://schemas.openxmlformats.org/officeDocument/2006/relationships/hyperlink" Target="https://eur-lex.europa.eu/legal-content/fr/TXT/?uri=CELEX%3A32022H1209%2801%29&amp;qid=1671106078506" TargetMode="External"/><Relationship Id="rId30" Type="http://schemas.openxmlformats.org/officeDocument/2006/relationships/hyperlink" Target="https://health.ec.europa.eu/publications/2022-eu4health-work-programme_fr?etrans=fr" TargetMode="External"/><Relationship Id="rId35" Type="http://schemas.openxmlformats.org/officeDocument/2006/relationships/hyperlink" Target="https://health.ec.europa.eu/publications/2023-eu4health-work-programme_en" TargetMode="External"/><Relationship Id="rId43" Type="http://schemas.openxmlformats.org/officeDocument/2006/relationships/hyperlink" Target="https://home-affairs.ec.europa.eu/policies/internal-security/child-sexual-abuse/eu-strategy-more-effective-fight-against-child-sexual-abuse_fr?etrans=fr" TargetMode="External"/><Relationship Id="rId48" Type="http://schemas.openxmlformats.org/officeDocument/2006/relationships/hyperlink" Target="https://childhelplineinternational.org/" TargetMode="External"/><Relationship Id="rId56" Type="http://schemas.openxmlformats.org/officeDocument/2006/relationships/hyperlink" Target="https://eur-lex.europa.eu/legal-content/FR/TXT/?uri=COM:2022:212:FIN" TargetMode="External"/><Relationship Id="rId64" Type="http://schemas.openxmlformats.org/officeDocument/2006/relationships/hyperlink" Target="https://commission.europa.eu/strategy-documents/commission-work-programme/commission-work-programme-2023_en" TargetMode="External"/><Relationship Id="rId69" Type="http://schemas.openxmlformats.org/officeDocument/2006/relationships/hyperlink" Target="https://op.europa.eu/en/publication-detail/-/publication/373138c5-0ea4-11eb-bc07-01aa75ed71a1/language-en/format-PDF/source-256067425" TargetMode="External"/><Relationship Id="rId77" Type="http://schemas.openxmlformats.org/officeDocument/2006/relationships/hyperlink" Target="https://commission.europa.eu/system/files/2021-01/eu_roma_strategic_framework_for_equality_inclusion_and_participation_for_2020_-_2030_0.pdf" TargetMode="External"/><Relationship Id="rId100" Type="http://schemas.openxmlformats.org/officeDocument/2006/relationships/hyperlink" Target="https://osha.europa.eu/fr/tools-and-publications/infographics/osh-pulse-occupational-safety-health-post-pandemic-workplaces" TargetMode="External"/><Relationship Id="rId105" Type="http://schemas.openxmlformats.org/officeDocument/2006/relationships/hyperlink" Target="https://international-partnerships.ec.europa.eu/policies/youth/youth-action-plan_fr" TargetMode="External"/><Relationship Id="rId113" Type="http://schemas.openxmlformats.org/officeDocument/2006/relationships/hyperlink" Target="https://interagencystandingcommittee.org/iasc-reference-group-mental-health-and-psychosocial-support-emergency-settings/iasc-minimum-service-package-mental-health-and-psychosocial-support" TargetMode="External"/><Relationship Id="rId118" Type="http://schemas.openxmlformats.org/officeDocument/2006/relationships/hyperlink" Target="https://civil-protection-humanitarian-aid.ec.europa.eu/what/humanitarian-aid/capacity-building_fr" TargetMode="External"/><Relationship Id="rId126" Type="http://schemas.openxmlformats.org/officeDocument/2006/relationships/hyperlink" Target="https://commission.europa.eu/system/files/2022-12/c_2022_8588_1_en_annexe_acte_autonome_cp_part1_v2.pdf" TargetMode="External"/><Relationship Id="rId8" Type="http://schemas.openxmlformats.org/officeDocument/2006/relationships/hyperlink" Target="https://www.thelancet.com/journals/lanpub/article/PIIS2468-2667%2820%2930144-4/fulltext" TargetMode="External"/><Relationship Id="rId51" Type="http://schemas.openxmlformats.org/officeDocument/2006/relationships/hyperlink" Target="https://osha.europa.eu/en/publications/occupational-safety-and-health-and-education-whole-school-approach" TargetMode="External"/><Relationship Id="rId72" Type="http://schemas.openxmlformats.org/officeDocument/2006/relationships/hyperlink" Target="https://eur-lex.europa.eu/legal-content/EN/TXT/?uri=celex%3A52021DC0101" TargetMode="External"/><Relationship Id="rId80" Type="http://schemas.openxmlformats.org/officeDocument/2006/relationships/hyperlink" Target="https://eur-lex.europa.eu/legal-content/FR/TXT/?uri=OJ%3AJOC_2021_093_R_0001" TargetMode="External"/><Relationship Id="rId85" Type="http://schemas.openxmlformats.org/officeDocument/2006/relationships/hyperlink" Target="https://osha.europa.eu/fr/publications/healthy-workers-thriving-companies-practical-guide-wellbeing-work" TargetMode="External"/><Relationship Id="rId93" Type="http://schemas.openxmlformats.org/officeDocument/2006/relationships/hyperlink" Target="https://pubmed.ncbi.nlm.nih.gov/36207017/" TargetMode="External"/><Relationship Id="rId98" Type="http://schemas.openxmlformats.org/officeDocument/2006/relationships/hyperlink" Target="https://reform-support.ec.europa.eu/tsi-2024-flagship-mental-health-fostering-well-being-and-mental-health_fr" TargetMode="External"/><Relationship Id="rId121" Type="http://schemas.openxmlformats.org/officeDocument/2006/relationships/hyperlink" Target="https://eur-lex.europa.eu/legal-content/FR/TXT/HTML/?uri=CELEX:32021R0522" TargetMode="External"/><Relationship Id="rId3" Type="http://schemas.openxmlformats.org/officeDocument/2006/relationships/hyperlink" Target="https://joint-research-centre.ec.europa.eu/jrc-news-and-updates/new-report-loneliness-doubles-europe-during-pandemic-2021-07-26_en" TargetMode="External"/><Relationship Id="rId12" Type="http://schemas.openxmlformats.org/officeDocument/2006/relationships/hyperlink" Target="https://commission.europa.eu/publications/new-eu-roma-strategic-framework-equality-inclusion-and-participation-full-package_en" TargetMode="External"/><Relationship Id="rId17" Type="http://schemas.openxmlformats.org/officeDocument/2006/relationships/hyperlink" Target="https://health.ec.europa.eu/non-communicable-diseases/expert-group-public-health_fr" TargetMode="External"/><Relationship Id="rId25" Type="http://schemas.openxmlformats.org/officeDocument/2006/relationships/hyperlink" Target="https://hadea.ec.europa.eu/calls-proposals/horizon-europe-health-calls-2023-silver-deal-person-centred-health-and-care-european-regions_fr?etrans=fr" TargetMode="External"/><Relationship Id="rId33" Type="http://schemas.openxmlformats.org/officeDocument/2006/relationships/hyperlink" Target="https://health.ec.europa.eu/non-communicable-diseases/expert-group-public-health_fr" TargetMode="External"/><Relationship Id="rId38" Type="http://schemas.openxmlformats.org/officeDocument/2006/relationships/hyperlink" Target="https://joint-research-centre.ec.europa.eu/loneliness/loneliness-publications_en" TargetMode="External"/><Relationship Id="rId46" Type="http://schemas.openxmlformats.org/officeDocument/2006/relationships/hyperlink" Target="https://www.who.int/publications/i/item/9789240064751" TargetMode="External"/><Relationship Id="rId59" Type="http://schemas.openxmlformats.org/officeDocument/2006/relationships/hyperlink" Target="https://data.consilium.europa.eu/doc/document/ST-11717-2020-REV-2/fr/pdf" TargetMode="External"/><Relationship Id="rId67" Type="http://schemas.openxmlformats.org/officeDocument/2006/relationships/hyperlink" Target="https://eur-lex.europa.eu/legal-content/FR/TXT/?uri=CELEX:52020DC0698" TargetMode="External"/><Relationship Id="rId103" Type="http://schemas.openxmlformats.org/officeDocument/2006/relationships/hyperlink" Target="https://health.ec.europa.eu/funding/eu4health-programme-2021-2027-vision-healthier-european-union_fr" TargetMode="External"/><Relationship Id="rId108" Type="http://schemas.openxmlformats.org/officeDocument/2006/relationships/hyperlink" Target="https://www.unwomen.org/fr/what-we-do/ending-violence-against-women/spotlight-initiative" TargetMode="External"/><Relationship Id="rId116" Type="http://schemas.openxmlformats.org/officeDocument/2006/relationships/hyperlink" Target="https://ifightdepression.com/fr/" TargetMode="External"/><Relationship Id="rId124" Type="http://schemas.openxmlformats.org/officeDocument/2006/relationships/hyperlink" Target="https://research-and-innovation.ec.europa.eu/funding/funding-opportunities/funding-programmes-and-open-calls/horizon-europe_fr" TargetMode="External"/><Relationship Id="rId20" Type="http://schemas.openxmlformats.org/officeDocument/2006/relationships/hyperlink" Target="file:///C:/Users/furtaar/AppData/Local/Microsoft/Windows/INetCache/Content.Outlook/7ODGDVLW/com_2022-5436_annex2_en.pdf%20(europa.eu)" TargetMode="External"/><Relationship Id="rId41" Type="http://schemas.openxmlformats.org/officeDocument/2006/relationships/hyperlink" Target="https://digital-strategy.ec.europa.eu/fr/policies/better-internet-kids" TargetMode="External"/><Relationship Id="rId54" Type="http://schemas.openxmlformats.org/officeDocument/2006/relationships/hyperlink" Target="https://commission.europa.eu/funding-tenders/find-funding/eu-funding-programmes/technical-support-instrument/technical-support-instrument-tsi_fr" TargetMode="External"/><Relationship Id="rId62" Type="http://schemas.openxmlformats.org/officeDocument/2006/relationships/hyperlink" Target="https://coe.int/fr/web/istanbul-convention" TargetMode="External"/><Relationship Id="rId70" Type="http://schemas.openxmlformats.org/officeDocument/2006/relationships/hyperlink" Target="https://home-affairs.ec.europa.eu/policies/internal-security/organised-crime-and-human-trafficking/eu-strategy-combatting-trafficking-human-beings-2021-2025_en" TargetMode="External"/><Relationship Id="rId75" Type="http://schemas.openxmlformats.org/officeDocument/2006/relationships/hyperlink" Target="https://pubmed.ncbi.nlm.nih.gov/36643576/" TargetMode="External"/><Relationship Id="rId83" Type="http://schemas.openxmlformats.org/officeDocument/2006/relationships/hyperlink" Target="https://osha.europa.eu/fr/safety-and-health-legislation" TargetMode="External"/><Relationship Id="rId88" Type="http://schemas.openxmlformats.org/officeDocument/2006/relationships/hyperlink" Target="https://eur-lex.europa.eu/legal-content/FR/TXT/?uri=celex:31990L0270" TargetMode="External"/><Relationship Id="rId91" Type="http://schemas.openxmlformats.org/officeDocument/2006/relationships/hyperlink" Target="https://pubmed.ncbi.nlm.nih.gov/35577392/" TargetMode="External"/><Relationship Id="rId96" Type="http://schemas.openxmlformats.org/officeDocument/2006/relationships/hyperlink" Target="https://commission.europa.eu/strategy-and-policy/strategic-planning/strategic-foresight_fr" TargetMode="External"/><Relationship Id="rId111" Type="http://schemas.openxmlformats.org/officeDocument/2006/relationships/hyperlink" Target="https://www.thelancet.com/journals/lancet/article/PIIS0140-6736(19)30934-1/fulltext" TargetMode="External"/><Relationship Id="rId1" Type="http://schemas.openxmlformats.org/officeDocument/2006/relationships/hyperlink" Target="https://health.ec.europa.eu/state-health-eu/health-glance-europe/health-glance-europe-2018_en" TargetMode="External"/><Relationship Id="rId6" Type="http://schemas.openxmlformats.org/officeDocument/2006/relationships/hyperlink" Target="https://www.unicef.org/media/108121/file/SOWC-2021-Europe-regional-brief.pdf" TargetMode="External"/><Relationship Id="rId15" Type="http://schemas.openxmlformats.org/officeDocument/2006/relationships/hyperlink" Target="https://eur-lex.europa.eu/legal-content/FR/TXT/?uri=celex%3A32022R2065" TargetMode="External"/><Relationship Id="rId23" Type="http://schemas.openxmlformats.org/officeDocument/2006/relationships/hyperlink" Target="https://osha.europa.eu/fr/safety-and-health-legislation/eu-strategic-framework-health-and-safety-work-2021-2027" TargetMode="External"/><Relationship Id="rId28" Type="http://schemas.openxmlformats.org/officeDocument/2006/relationships/hyperlink" Target="https://webgate.ec.europa.eu/dyna/bp-portal/submission" TargetMode="External"/><Relationship Id="rId36" Type="http://schemas.openxmlformats.org/officeDocument/2006/relationships/hyperlink" Target="https://health.ec.europa.eu/system/files/2022-12/2022_healthatglance_rep_en_0.pdf" TargetMode="External"/><Relationship Id="rId49" Type="http://schemas.openxmlformats.org/officeDocument/2006/relationships/hyperlink" Target="https://eur-lex.europa.eu/legal-content/FR/TXT/?uri=celex%3A42018Y1218%2801%29" TargetMode="External"/><Relationship Id="rId57" Type="http://schemas.openxmlformats.org/officeDocument/2006/relationships/hyperlink" Target="https://www.who.int/teams/maternal-newborn-child-adolescent-health-and-ageing/ageing-and-health/integrated-care-for-older-people-icope" TargetMode="External"/><Relationship Id="rId106" Type="http://schemas.openxmlformats.org/officeDocument/2006/relationships/hyperlink" Target="https://www.theglobalfund.org/fr/" TargetMode="External"/><Relationship Id="rId114" Type="http://schemas.openxmlformats.org/officeDocument/2006/relationships/hyperlink" Target="https://www.eeas.europa.eu/eeas/eastern-partnership_en" TargetMode="External"/><Relationship Id="rId119" Type="http://schemas.openxmlformats.org/officeDocument/2006/relationships/hyperlink" Target="https://mhpssmsp.org/en" TargetMode="External"/><Relationship Id="rId10" Type="http://schemas.openxmlformats.org/officeDocument/2006/relationships/hyperlink" Target="https://commission.europa.eu/strategy-and-policy/policies/justice-and-fundamental-rights/gender-equality/gender-equality-strategy_fr" TargetMode="External"/><Relationship Id="rId31" Type="http://schemas.openxmlformats.org/officeDocument/2006/relationships/hyperlink" Target="https://eur-lex.europa.eu/legal-content/fr/TXT/?uri=CELEX%3A52022PC0197" TargetMode="External"/><Relationship Id="rId44" Type="http://schemas.openxmlformats.org/officeDocument/2006/relationships/hyperlink" Target="https://sport.ec.europa.eu/initiatives/healthylifestyle4all" TargetMode="External"/><Relationship Id="rId52" Type="http://schemas.openxmlformats.org/officeDocument/2006/relationships/hyperlink" Target="https://health.ec.europa.eu/funding/eu4health-programme-2021-2027-vision-healthier-european-union_fr" TargetMode="External"/><Relationship Id="rId60" Type="http://schemas.openxmlformats.org/officeDocument/2006/relationships/hyperlink" Target="https://joint-research-centre.ec.europa.eu/loneliness_fr" TargetMode="External"/><Relationship Id="rId65" Type="http://schemas.openxmlformats.org/officeDocument/2006/relationships/hyperlink" Target="https://cordis.europa.eu/project/id/101057390" TargetMode="External"/><Relationship Id="rId73" Type="http://schemas.openxmlformats.org/officeDocument/2006/relationships/hyperlink" Target="https://ec.europa.eu/social/main.jsp?catId=1597&amp;langId=fr" TargetMode="External"/><Relationship Id="rId78" Type="http://schemas.openxmlformats.org/officeDocument/2006/relationships/hyperlink" Target="https://research-and-innovation.ec.europa.eu/funding/funding-opportunities/funding-programmes-and-open-calls/horizon-europe/eu-missions-horizon-europe/eu-mission-cancer_en" TargetMode="External"/><Relationship Id="rId81" Type="http://schemas.openxmlformats.org/officeDocument/2006/relationships/hyperlink" Target="https://osha.europa.eu/fr/publications/osh-pulse-occupational-safety-and-health-post-pandemic-workplaces" TargetMode="External"/><Relationship Id="rId86" Type="http://schemas.openxmlformats.org/officeDocument/2006/relationships/hyperlink" Target="https://ec.europa.eu/social/main.jsp?langId=en&amp;catId=89&amp;furtherNews=yes&amp;newsId=10582" TargetMode="External"/><Relationship Id="rId94" Type="http://schemas.openxmlformats.org/officeDocument/2006/relationships/hyperlink" Target="https://pubmed.ncbi.nlm.nih.gov/36207017/" TargetMode="External"/><Relationship Id="rId99" Type="http://schemas.openxmlformats.org/officeDocument/2006/relationships/hyperlink" Target="https://www.un.org/development/desa/disabilities/convention-on-the-rights-of-persons-with-disabilities/convention-on-the-rights-of-persons-with-disabilities-2.html" TargetMode="External"/><Relationship Id="rId101" Type="http://schemas.openxmlformats.org/officeDocument/2006/relationships/hyperlink" Target="https://www.who.int/campaigns/world-mental-health-day" TargetMode="External"/><Relationship Id="rId122" Type="http://schemas.openxmlformats.org/officeDocument/2006/relationships/hyperlink" Target="https://health.ec.europa.eu/system/files/2022-07/com_2022-5436_annex2_en.pdf" TargetMode="External"/><Relationship Id="rId4" Type="http://schemas.openxmlformats.org/officeDocument/2006/relationships/hyperlink" Target="https://www.cambridge.org/core/journals/european-psychiatry/article/consequences-of-the-covid19-pandemic-on-mental-health-and-implications-for-clinical-practice/E2826D643255F9D51896673F205ABF28" TargetMode="External"/><Relationship Id="rId9" Type="http://schemas.openxmlformats.org/officeDocument/2006/relationships/hyperlink" Target="https://www.oecd-ilibrary.org/social-issues-migration-health/fitter-minds-fitter-jobs_a0815d0f-en" TargetMode="External"/><Relationship Id="rId13" Type="http://schemas.openxmlformats.org/officeDocument/2006/relationships/hyperlink" Target="https://ec.europa.eu/social/main.jsp?catId=1484&amp;langId=fr" TargetMode="External"/><Relationship Id="rId18" Type="http://schemas.openxmlformats.org/officeDocument/2006/relationships/hyperlink" Target="https://health.ec.europa.eu/publications/2021-eu4health-work-programme_fr" TargetMode="External"/><Relationship Id="rId39" Type="http://schemas.openxmlformats.org/officeDocument/2006/relationships/hyperlink" Target="https://eur-lex.europa.eu/legal-content/FR/TXT/?uri=uriserv%3AOJ.L_.2021.223.01.0014.01.FRA&amp;toc=OJ%3AL%3A2021%3A223%3ATOC" TargetMode="External"/><Relationship Id="rId109" Type="http://schemas.openxmlformats.org/officeDocument/2006/relationships/hyperlink" Target="https://www.unwomen.org/fr/what-we-do/ending-violence-against-women/spotlight-initiative" TargetMode="External"/><Relationship Id="rId34" Type="http://schemas.openxmlformats.org/officeDocument/2006/relationships/hyperlink" Target="https://webgate.ec.europa.eu/dyna/bp-portal/" TargetMode="External"/><Relationship Id="rId50" Type="http://schemas.openxmlformats.org/officeDocument/2006/relationships/hyperlink" Target="https://eur-lex.europa.eu/legal-content/fr/TXT/?uri=CELEX%3A32022H1209%2801%29&amp;qid=1671106078506" TargetMode="External"/><Relationship Id="rId55" Type="http://schemas.openxmlformats.org/officeDocument/2006/relationships/hyperlink" Target="https://reform-support.ec.europa.eu/system/files/2022-05/2023%20Flagships%20Techical%20Support%20projects%20-%20youth.pdf" TargetMode="External"/><Relationship Id="rId76" Type="http://schemas.openxmlformats.org/officeDocument/2006/relationships/hyperlink" Target="https://home-affairs.ec.europa.eu/funding/asylum-migration-and-integration-funds/asylum-migration-and-integration-fund-2021-2027_fr" TargetMode="External"/><Relationship Id="rId97" Type="http://schemas.openxmlformats.org/officeDocument/2006/relationships/hyperlink" Target="https://reform-support.ec.europa.eu/tsi-2024-flagship-mental-health-fostering-well-being-and-mental-health_fr" TargetMode="External"/><Relationship Id="rId104" Type="http://schemas.openxmlformats.org/officeDocument/2006/relationships/hyperlink" Target="https://health.ec.europa.eu/latest-updates/eu-global-health-strategy-improve-global-health-security-and-deliver-better-health-all-2022-11-30_fr" TargetMode="External"/><Relationship Id="rId120" Type="http://schemas.openxmlformats.org/officeDocument/2006/relationships/hyperlink" Target="https://commission.europa.eu/business-economy-euro/economic-recovery/recovery-and-resilience-facility_fr" TargetMode="External"/><Relationship Id="rId125" Type="http://schemas.openxmlformats.org/officeDocument/2006/relationships/hyperlink" Target="https://www.eacea.ec.europa.eu/grants/2021-2027/citizens-equality-rights-and-values-cerv_fr" TargetMode="External"/><Relationship Id="rId7" Type="http://schemas.openxmlformats.org/officeDocument/2006/relationships/hyperlink" Target="https://www.who.int/teams/noncommunicable-diseases/on-the-road-to-2025" TargetMode="External"/><Relationship Id="rId71" Type="http://schemas.openxmlformats.org/officeDocument/2006/relationships/hyperlink" Target="https://home-affairs.ec.europa.eu/funding/asylum-migration-and-integration-funds/asylum-migration-and-integration-fund-2021-2027_en" TargetMode="External"/><Relationship Id="rId92" Type="http://schemas.openxmlformats.org/officeDocument/2006/relationships/hyperlink" Target="https://pubmed.ncbi.nlm.nih.gov/36207017/" TargetMode="External"/><Relationship Id="rId2" Type="http://schemas.openxmlformats.org/officeDocument/2006/relationships/hyperlink" Target="https://ec.europa.eu/eurostat/en/web/products-eurostat-news/-/edn-20210910-1" TargetMode="External"/><Relationship Id="rId29" Type="http://schemas.openxmlformats.org/officeDocument/2006/relationships/hyperlink" Target="https://health.ec.europa.eu/funding/eu4health-programme-2021-2027-vision-healthier-european-union_fr" TargetMode="External"/><Relationship Id="rId24" Type="http://schemas.openxmlformats.org/officeDocument/2006/relationships/hyperlink" Target="https://www.annualreviews.org/doi/full/10.1146/annurev-publhealth-040617-013629" TargetMode="External"/><Relationship Id="rId40" Type="http://schemas.openxmlformats.org/officeDocument/2006/relationships/hyperlink" Target="https://education.ec.europa.eu/fr/education-levels/school-education/well-being-at-school" TargetMode="External"/><Relationship Id="rId45" Type="http://schemas.openxmlformats.org/officeDocument/2006/relationships/hyperlink" Target="https://www.who.int/publications/i/item/9789240064751" TargetMode="External"/><Relationship Id="rId66" Type="http://schemas.openxmlformats.org/officeDocument/2006/relationships/hyperlink" Target="https://cordis.europa.eu/project/id/101057390" TargetMode="External"/><Relationship Id="rId87" Type="http://schemas.openxmlformats.org/officeDocument/2006/relationships/hyperlink" Target="https://eur-lex.europa.eu/eli/dir/1989/654/" TargetMode="External"/><Relationship Id="rId110" Type="http://schemas.openxmlformats.org/officeDocument/2006/relationships/hyperlink" Target="https://www.unwomen.org/fr/what-we-do/ending-violence-against-women/spotlight-initiative" TargetMode="External"/><Relationship Id="rId115" Type="http://schemas.openxmlformats.org/officeDocument/2006/relationships/hyperlink" Target="https://hadea.ec.europa.eu/news/eu4health-projects-provide-mental-health-support-ukrainian-refugees-2022-12-21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A9062EACDD346A205950B04F12AAC" ma:contentTypeVersion="3" ma:contentTypeDescription="Create a new document." ma:contentTypeScope="" ma:versionID="9a8ca333f34197c428addf3aa78a54ce">
  <xsd:schema xmlns:xsd="http://www.w3.org/2001/XMLSchema" xmlns:xs="http://www.w3.org/2001/XMLSchema" xmlns:p="http://schemas.microsoft.com/office/2006/metadata/properties" xmlns:ns2="26349085-4abb-4ce3-96c9-f14665167c5b" targetNamespace="http://schemas.microsoft.com/office/2006/metadata/properties" ma:root="true" ma:fieldsID="d0cbf8977c446c344a0aca2f21c6f8cd" ns2:_="">
    <xsd:import namespace="26349085-4abb-4ce3-96c9-f14665167c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49085-4abb-4ce3-96c9-f14665167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11607-28C3-45D3-A2F3-8A72D5AE7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49085-4abb-4ce3-96c9-f14665167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126B61-A50C-43AD-8ED1-3C0EB799E13D}">
  <ds:schemaRefs>
    <ds:schemaRef ds:uri="http://schemas.microsoft.com/sharepoint/v3/contenttype/forms"/>
  </ds:schemaRefs>
</ds:datastoreItem>
</file>

<file path=customXml/itemProps3.xml><?xml version="1.0" encoding="utf-8"?>
<ds:datastoreItem xmlns:ds="http://schemas.openxmlformats.org/officeDocument/2006/customXml" ds:itemID="{17BC51C6-544C-4FEE-B377-56C767BA7D28}">
  <ds:schemaRef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purl.org/dc/dcmitype/"/>
    <ds:schemaRef ds:uri="26349085-4abb-4ce3-96c9-f14665167c5b"/>
    <ds:schemaRef ds:uri="http://www.w3.org/XML/1998/namespace"/>
  </ds:schemaRefs>
</ds:datastoreItem>
</file>

<file path=customXml/itemProps4.xml><?xml version="1.0" encoding="utf-8"?>
<ds:datastoreItem xmlns:ds="http://schemas.openxmlformats.org/officeDocument/2006/customXml" ds:itemID="{CF958CBA-3667-4EA6-8747-D1E6B95B0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13436</Words>
  <Characters>72829</Characters>
  <Application>Microsoft Office Word</Application>
  <DocSecurity>0</DocSecurity>
  <Lines>1120</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86044</CharactersWithSpaces>
  <SharedDoc>false</SharedDoc>
  <HLinks>
    <vt:vector size="876" baseType="variant">
      <vt:variant>
        <vt:i4>8323127</vt:i4>
      </vt:variant>
      <vt:variant>
        <vt:i4>0</vt:i4>
      </vt:variant>
      <vt:variant>
        <vt:i4>0</vt:i4>
      </vt:variant>
      <vt:variant>
        <vt:i4>5</vt:i4>
      </vt:variant>
      <vt:variant>
        <vt:lpwstr>https://ec.europa.eu/social/main.jsp?catId=1484</vt:lpwstr>
      </vt:variant>
      <vt:variant>
        <vt:lpwstr/>
      </vt:variant>
      <vt:variant>
        <vt:i4>1114232</vt:i4>
      </vt:variant>
      <vt:variant>
        <vt:i4>432</vt:i4>
      </vt:variant>
      <vt:variant>
        <vt:i4>0</vt:i4>
      </vt:variant>
      <vt:variant>
        <vt:i4>5</vt:i4>
      </vt:variant>
      <vt:variant>
        <vt:lpwstr>https://health.ec.europa.eu/eu-health-policy/interest-groups/eu-health-policy-platform_en</vt:lpwstr>
      </vt:variant>
      <vt:variant>
        <vt:lpwstr/>
      </vt:variant>
      <vt:variant>
        <vt:i4>3342397</vt:i4>
      </vt:variant>
      <vt:variant>
        <vt:i4>429</vt:i4>
      </vt:variant>
      <vt:variant>
        <vt:i4>0</vt:i4>
      </vt:variant>
      <vt:variant>
        <vt:i4>5</vt:i4>
      </vt:variant>
      <vt:variant>
        <vt:lpwstr>https://fra.europa.eu/en/eu-charter/article/35-health-care</vt:lpwstr>
      </vt:variant>
      <vt:variant>
        <vt:lpwstr/>
      </vt:variant>
      <vt:variant>
        <vt:i4>327704</vt:i4>
      </vt:variant>
      <vt:variant>
        <vt:i4>426</vt:i4>
      </vt:variant>
      <vt:variant>
        <vt:i4>0</vt:i4>
      </vt:variant>
      <vt:variant>
        <vt:i4>5</vt:i4>
      </vt:variant>
      <vt:variant>
        <vt:lpwstr>https://commission.europa.eu/system/files/2022-12/c_2022_8588_1_en_annexe_acte_autonome_cp_part1_v2.pdf</vt:lpwstr>
      </vt:variant>
      <vt:variant>
        <vt:lpwstr/>
      </vt:variant>
      <vt:variant>
        <vt:i4>7274510</vt:i4>
      </vt:variant>
      <vt:variant>
        <vt:i4>423</vt:i4>
      </vt:variant>
      <vt:variant>
        <vt:i4>0</vt:i4>
      </vt:variant>
      <vt:variant>
        <vt:i4>5</vt:i4>
      </vt:variant>
      <vt:variant>
        <vt:lpwstr>https://www.eacea.ec.europa.eu/grants/2021-2027/citizens-equality-rights-and-values-cerv_en</vt:lpwstr>
      </vt:variant>
      <vt:variant>
        <vt:lpwstr>:~:text=The%20Citizens%2C%20Equality%2C%20Rights%20and%20Values%20programme%20%28CERV%29,inclusive%20societies%20based%20on%20the%20rule%20of%20law.</vt:lpwstr>
      </vt:variant>
      <vt:variant>
        <vt:i4>720914</vt:i4>
      </vt:variant>
      <vt:variant>
        <vt:i4>420</vt:i4>
      </vt:variant>
      <vt:variant>
        <vt:i4>0</vt:i4>
      </vt:variant>
      <vt:variant>
        <vt:i4>5</vt:i4>
      </vt:variant>
      <vt:variant>
        <vt:lpwstr>https://health.ec.europa.eu/system/files/2022-11/wp2023_annex_en.pdf</vt:lpwstr>
      </vt:variant>
      <vt:variant>
        <vt:lpwstr/>
      </vt:variant>
      <vt:variant>
        <vt:i4>7864389</vt:i4>
      </vt:variant>
      <vt:variant>
        <vt:i4>417</vt:i4>
      </vt:variant>
      <vt:variant>
        <vt:i4>0</vt:i4>
      </vt:variant>
      <vt:variant>
        <vt:i4>5</vt:i4>
      </vt:variant>
      <vt:variant>
        <vt:lpwstr>https://health.ec.europa.eu/system/files/2022-07/com_2022-5436_annex2_en.pdf</vt:lpwstr>
      </vt:variant>
      <vt:variant>
        <vt:lpwstr/>
      </vt:variant>
      <vt:variant>
        <vt:i4>262196</vt:i4>
      </vt:variant>
      <vt:variant>
        <vt:i4>414</vt:i4>
      </vt:variant>
      <vt:variant>
        <vt:i4>0</vt:i4>
      </vt:variant>
      <vt:variant>
        <vt:i4>5</vt:i4>
      </vt:variant>
      <vt:variant>
        <vt:lpwstr>https://eur-lex.europa.eu/legal-content/EN/TXT/?toc=OJ%3AL%3A2021%3A107%3ATOC&amp;uri=uriserv%3AOJ.L_.2021.107.01.0001.01.ENG</vt:lpwstr>
      </vt:variant>
      <vt:variant>
        <vt:lpwstr/>
      </vt:variant>
      <vt:variant>
        <vt:i4>2293787</vt:i4>
      </vt:variant>
      <vt:variant>
        <vt:i4>411</vt:i4>
      </vt:variant>
      <vt:variant>
        <vt:i4>0</vt:i4>
      </vt:variant>
      <vt:variant>
        <vt:i4>5</vt:i4>
      </vt:variant>
      <vt:variant>
        <vt:lpwstr>https://commission.europa.eu/business-economy-euro/economic-recovery/recovery-and-resilience-facility_en</vt:lpwstr>
      </vt:variant>
      <vt:variant>
        <vt:lpwstr/>
      </vt:variant>
      <vt:variant>
        <vt:i4>1048662</vt:i4>
      </vt:variant>
      <vt:variant>
        <vt:i4>408</vt:i4>
      </vt:variant>
      <vt:variant>
        <vt:i4>0</vt:i4>
      </vt:variant>
      <vt:variant>
        <vt:i4>5</vt:i4>
      </vt:variant>
      <vt:variant>
        <vt:lpwstr>https://www.refworld.org/docid/634969224.html</vt:lpwstr>
      </vt:variant>
      <vt:variant>
        <vt:lpwstr/>
      </vt:variant>
      <vt:variant>
        <vt:i4>1769508</vt:i4>
      </vt:variant>
      <vt:variant>
        <vt:i4>405</vt:i4>
      </vt:variant>
      <vt:variant>
        <vt:i4>0</vt:i4>
      </vt:variant>
      <vt:variant>
        <vt:i4>5</vt:i4>
      </vt:variant>
      <vt:variant>
        <vt:lpwstr>https://civil-protection-humanitarian-aid.ec.europa.eu/what/humanitarian-aid/capacity-building_en</vt:lpwstr>
      </vt:variant>
      <vt:variant>
        <vt:lpwstr/>
      </vt:variant>
      <vt:variant>
        <vt:i4>7995438</vt:i4>
      </vt:variant>
      <vt:variant>
        <vt:i4>402</vt:i4>
      </vt:variant>
      <vt:variant>
        <vt:i4>0</vt:i4>
      </vt:variant>
      <vt:variant>
        <vt:i4>5</vt:i4>
      </vt:variant>
      <vt:variant>
        <vt:lpwstr>https://mhpssmsp.org/en</vt:lpwstr>
      </vt:variant>
      <vt:variant>
        <vt:lpwstr/>
      </vt:variant>
      <vt:variant>
        <vt:i4>7864389</vt:i4>
      </vt:variant>
      <vt:variant>
        <vt:i4>399</vt:i4>
      </vt:variant>
      <vt:variant>
        <vt:i4>0</vt:i4>
      </vt:variant>
      <vt:variant>
        <vt:i4>5</vt:i4>
      </vt:variant>
      <vt:variant>
        <vt:lpwstr>https://health.ec.europa.eu/system/files/2022-07/com_2022-5436_annex2_en.pdf</vt:lpwstr>
      </vt:variant>
      <vt:variant>
        <vt:lpwstr/>
      </vt:variant>
      <vt:variant>
        <vt:i4>4390981</vt:i4>
      </vt:variant>
      <vt:variant>
        <vt:i4>396</vt:i4>
      </vt:variant>
      <vt:variant>
        <vt:i4>0</vt:i4>
      </vt:variant>
      <vt:variant>
        <vt:i4>5</vt:i4>
      </vt:variant>
      <vt:variant>
        <vt:lpwstr>https://ifightdepression.com/en/</vt:lpwstr>
      </vt:variant>
      <vt:variant>
        <vt:lpwstr/>
      </vt:variant>
      <vt:variant>
        <vt:i4>458809</vt:i4>
      </vt:variant>
      <vt:variant>
        <vt:i4>393</vt:i4>
      </vt:variant>
      <vt:variant>
        <vt:i4>0</vt:i4>
      </vt:variant>
      <vt:variant>
        <vt:i4>5</vt:i4>
      </vt:variant>
      <vt:variant>
        <vt:lpwstr>https://civil-protection-humanitarian-aid.ec.europa.eu/funding-evaluations/funding-humanitarian-aid_en</vt:lpwstr>
      </vt:variant>
      <vt:variant>
        <vt:lpwstr/>
      </vt:variant>
      <vt:variant>
        <vt:i4>5767219</vt:i4>
      </vt:variant>
      <vt:variant>
        <vt:i4>390</vt:i4>
      </vt:variant>
      <vt:variant>
        <vt:i4>0</vt:i4>
      </vt:variant>
      <vt:variant>
        <vt:i4>5</vt:i4>
      </vt:variant>
      <vt:variant>
        <vt:lpwstr>https://www.eeas.europa.eu/eeas/eastern-partnership_en</vt:lpwstr>
      </vt:variant>
      <vt:variant>
        <vt:lpwstr/>
      </vt:variant>
      <vt:variant>
        <vt:i4>6422573</vt:i4>
      </vt:variant>
      <vt:variant>
        <vt:i4>387</vt:i4>
      </vt:variant>
      <vt:variant>
        <vt:i4>0</vt:i4>
      </vt:variant>
      <vt:variant>
        <vt:i4>5</vt:i4>
      </vt:variant>
      <vt:variant>
        <vt:lpwstr>https://interagencystandingcommittee.org/iasc-reference-group-mental-health-and-psychosocial-support-emergency-settings/iasc-minimum-service-package-mental-health-and-psychosocial-support</vt:lpwstr>
      </vt:variant>
      <vt:variant>
        <vt:lpwstr/>
      </vt:variant>
      <vt:variant>
        <vt:i4>3145770</vt:i4>
      </vt:variant>
      <vt:variant>
        <vt:i4>384</vt:i4>
      </vt:variant>
      <vt:variant>
        <vt:i4>0</vt:i4>
      </vt:variant>
      <vt:variant>
        <vt:i4>5</vt:i4>
      </vt:variant>
      <vt:variant>
        <vt:lpwstr>https://www.thelancet.com/journals/lancet/article/PIIS0140-6736(19)30934-1/fulltext</vt:lpwstr>
      </vt:variant>
      <vt:variant>
        <vt:lpwstr/>
      </vt:variant>
      <vt:variant>
        <vt:i4>2424858</vt:i4>
      </vt:variant>
      <vt:variant>
        <vt:i4>381</vt:i4>
      </vt:variant>
      <vt:variant>
        <vt:i4>0</vt:i4>
      </vt:variant>
      <vt:variant>
        <vt:i4>5</vt:i4>
      </vt:variant>
      <vt:variant>
        <vt:lpwstr>https://civil-protection-humanitarian-aid.ec.europa.eu/what/humanitarian-aid_en</vt:lpwstr>
      </vt:variant>
      <vt:variant>
        <vt:lpwstr/>
      </vt:variant>
      <vt:variant>
        <vt:i4>6029312</vt:i4>
      </vt:variant>
      <vt:variant>
        <vt:i4>378</vt:i4>
      </vt:variant>
      <vt:variant>
        <vt:i4>0</vt:i4>
      </vt:variant>
      <vt:variant>
        <vt:i4>5</vt:i4>
      </vt:variant>
      <vt:variant>
        <vt:lpwstr>https://www.unwomen.org/en/what-we-do/ending-violence-against-women/spotlight-initiative</vt:lpwstr>
      </vt:variant>
      <vt:variant>
        <vt:lpwstr/>
      </vt:variant>
      <vt:variant>
        <vt:i4>6029391</vt:i4>
      </vt:variant>
      <vt:variant>
        <vt:i4>375</vt:i4>
      </vt:variant>
      <vt:variant>
        <vt:i4>0</vt:i4>
      </vt:variant>
      <vt:variant>
        <vt:i4>5</vt:i4>
      </vt:variant>
      <vt:variant>
        <vt:lpwstr>https://www.theglobalfund.org/en/</vt:lpwstr>
      </vt:variant>
      <vt:variant>
        <vt:lpwstr/>
      </vt:variant>
      <vt:variant>
        <vt:i4>7077967</vt:i4>
      </vt:variant>
      <vt:variant>
        <vt:i4>372</vt:i4>
      </vt:variant>
      <vt:variant>
        <vt:i4>0</vt:i4>
      </vt:variant>
      <vt:variant>
        <vt:i4>5</vt:i4>
      </vt:variant>
      <vt:variant>
        <vt:lpwstr>https://international-partnerships.ec.europa.eu/policies/youth/youth-action-plan_en</vt:lpwstr>
      </vt:variant>
      <vt:variant>
        <vt:lpwstr/>
      </vt:variant>
      <vt:variant>
        <vt:i4>2883587</vt:i4>
      </vt:variant>
      <vt:variant>
        <vt:i4>369</vt:i4>
      </vt:variant>
      <vt:variant>
        <vt:i4>0</vt:i4>
      </vt:variant>
      <vt:variant>
        <vt:i4>5</vt:i4>
      </vt:variant>
      <vt:variant>
        <vt:lpwstr>https://health.ec.europa.eu/latest-updates/eu-global-health-strategy-improve-global-health-security-and-deliver-better-health-all-2022-11-30_en</vt:lpwstr>
      </vt:variant>
      <vt:variant>
        <vt:lpwstr/>
      </vt:variant>
      <vt:variant>
        <vt:i4>7602269</vt:i4>
      </vt:variant>
      <vt:variant>
        <vt:i4>366</vt:i4>
      </vt:variant>
      <vt:variant>
        <vt:i4>0</vt:i4>
      </vt:variant>
      <vt:variant>
        <vt:i4>5</vt:i4>
      </vt:variant>
      <vt:variant>
        <vt:lpwstr>https://health.ec.europa.eu/funding/eu4health-programme-2021-2027-vision-healthier-european-union_en</vt:lpwstr>
      </vt:variant>
      <vt:variant>
        <vt:lpwstr/>
      </vt:variant>
      <vt:variant>
        <vt:i4>7012359</vt:i4>
      </vt:variant>
      <vt:variant>
        <vt:i4>363</vt:i4>
      </vt:variant>
      <vt:variant>
        <vt:i4>0</vt:i4>
      </vt:variant>
      <vt:variant>
        <vt:i4>5</vt:i4>
      </vt:variant>
      <vt:variant>
        <vt:lpwstr>https://joint-research-centre.ec.europa.eu/loneliness_en</vt:lpwstr>
      </vt:variant>
      <vt:variant>
        <vt:lpwstr/>
      </vt:variant>
      <vt:variant>
        <vt:i4>5046384</vt:i4>
      </vt:variant>
      <vt:variant>
        <vt:i4>360</vt:i4>
      </vt:variant>
      <vt:variant>
        <vt:i4>0</vt:i4>
      </vt:variant>
      <vt:variant>
        <vt:i4>5</vt:i4>
      </vt:variant>
      <vt:variant>
        <vt:lpwstr>https://www.cultureforhealth.eu/app/uploads/2023/04/C4H_SummaryReport_V11LP_shortsmall.pdf</vt:lpwstr>
      </vt:variant>
      <vt:variant>
        <vt:lpwstr/>
      </vt:variant>
      <vt:variant>
        <vt:i4>3604519</vt:i4>
      </vt:variant>
      <vt:variant>
        <vt:i4>357</vt:i4>
      </vt:variant>
      <vt:variant>
        <vt:i4>0</vt:i4>
      </vt:variant>
      <vt:variant>
        <vt:i4>5</vt:i4>
      </vt:variant>
      <vt:variant>
        <vt:lpwstr>https://osha.europa.eu/en/tools-and-publications/infographics/osh-pulse-occupational-safety-health-post-pandemic-workplaces</vt:lpwstr>
      </vt:variant>
      <vt:variant>
        <vt:lpwstr/>
      </vt:variant>
      <vt:variant>
        <vt:i4>2883710</vt:i4>
      </vt:variant>
      <vt:variant>
        <vt:i4>354</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3080237</vt:i4>
      </vt:variant>
      <vt:variant>
        <vt:i4>351</vt:i4>
      </vt:variant>
      <vt:variant>
        <vt:i4>0</vt:i4>
      </vt:variant>
      <vt:variant>
        <vt:i4>5</vt:i4>
      </vt:variant>
      <vt:variant>
        <vt:lpwstr>https://www.eupap.org/</vt:lpwstr>
      </vt:variant>
      <vt:variant>
        <vt:lpwstr/>
      </vt:variant>
      <vt:variant>
        <vt:i4>1376274</vt:i4>
      </vt:variant>
      <vt:variant>
        <vt:i4>348</vt:i4>
      </vt:variant>
      <vt:variant>
        <vt:i4>0</vt:i4>
      </vt:variant>
      <vt:variant>
        <vt:i4>5</vt:i4>
      </vt:variant>
      <vt:variant>
        <vt:lpwstr>https://eur-lex.europa.eu/legal-content/EN/TXT/?uri=celex:52012SC0414</vt:lpwstr>
      </vt:variant>
      <vt:variant>
        <vt:lpwstr/>
      </vt:variant>
      <vt:variant>
        <vt:i4>720896</vt:i4>
      </vt:variant>
      <vt:variant>
        <vt:i4>345</vt:i4>
      </vt:variant>
      <vt:variant>
        <vt:i4>0</vt:i4>
      </vt:variant>
      <vt:variant>
        <vt:i4>5</vt:i4>
      </vt:variant>
      <vt:variant>
        <vt:lpwstr>https://pubmed.ncbi.nlm.nih.gov/36207017/</vt:lpwstr>
      </vt:variant>
      <vt:variant>
        <vt:lpwstr/>
      </vt:variant>
      <vt:variant>
        <vt:i4>7864443</vt:i4>
      </vt:variant>
      <vt:variant>
        <vt:i4>342</vt:i4>
      </vt:variant>
      <vt:variant>
        <vt:i4>0</vt:i4>
      </vt:variant>
      <vt:variant>
        <vt:i4>5</vt:i4>
      </vt:variant>
      <vt:variant>
        <vt:lpwstr>https://www.sciencedirect.com/science/article/pii/S2666623521000349?via%3Dihub</vt:lpwstr>
      </vt:variant>
      <vt:variant>
        <vt:lpwstr/>
      </vt:variant>
      <vt:variant>
        <vt:i4>589839</vt:i4>
      </vt:variant>
      <vt:variant>
        <vt:i4>339</vt:i4>
      </vt:variant>
      <vt:variant>
        <vt:i4>0</vt:i4>
      </vt:variant>
      <vt:variant>
        <vt:i4>5</vt:i4>
      </vt:variant>
      <vt:variant>
        <vt:lpwstr>https://pubmed.ncbi.nlm.nih.gov/35577392/</vt:lpwstr>
      </vt:variant>
      <vt:variant>
        <vt:lpwstr/>
      </vt:variant>
      <vt:variant>
        <vt:i4>1638468</vt:i4>
      </vt:variant>
      <vt:variant>
        <vt:i4>336</vt:i4>
      </vt:variant>
      <vt:variant>
        <vt:i4>0</vt:i4>
      </vt:variant>
      <vt:variant>
        <vt:i4>5</vt:i4>
      </vt:variant>
      <vt:variant>
        <vt:lpwstr>https://www.who.int/publications/i/item/9789290619765</vt:lpwstr>
      </vt:variant>
      <vt:variant>
        <vt:lpwstr/>
      </vt:variant>
      <vt:variant>
        <vt:i4>3145826</vt:i4>
      </vt:variant>
      <vt:variant>
        <vt:i4>333</vt:i4>
      </vt:variant>
      <vt:variant>
        <vt:i4>0</vt:i4>
      </vt:variant>
      <vt:variant>
        <vt:i4>5</vt:i4>
      </vt:variant>
      <vt:variant>
        <vt:lpwstr>https://ec.europa.eu/social/main.jsp?catId=738&amp;langId=en&amp;pubId=8376&amp;furtherPubs=yes</vt:lpwstr>
      </vt:variant>
      <vt:variant>
        <vt:lpwstr/>
      </vt:variant>
      <vt:variant>
        <vt:i4>458753</vt:i4>
      </vt:variant>
      <vt:variant>
        <vt:i4>330</vt:i4>
      </vt:variant>
      <vt:variant>
        <vt:i4>0</vt:i4>
      </vt:variant>
      <vt:variant>
        <vt:i4>5</vt:i4>
      </vt:variant>
      <vt:variant>
        <vt:lpwstr>https://osha.europa.eu/en/legislation/guidelines/labour-inspectors-guide-assessing-quality-risk-assessments-</vt:lpwstr>
      </vt:variant>
      <vt:variant>
        <vt:lpwstr/>
      </vt:variant>
      <vt:variant>
        <vt:i4>131151</vt:i4>
      </vt:variant>
      <vt:variant>
        <vt:i4>327</vt:i4>
      </vt:variant>
      <vt:variant>
        <vt:i4>0</vt:i4>
      </vt:variant>
      <vt:variant>
        <vt:i4>5</vt:i4>
      </vt:variant>
      <vt:variant>
        <vt:lpwstr>https://eur-lex.europa.eu/legal-content/EN/TXT/?uri=celex:31990L0270</vt:lpwstr>
      </vt:variant>
      <vt:variant>
        <vt:lpwstr/>
      </vt:variant>
      <vt:variant>
        <vt:i4>3407990</vt:i4>
      </vt:variant>
      <vt:variant>
        <vt:i4>324</vt:i4>
      </vt:variant>
      <vt:variant>
        <vt:i4>0</vt:i4>
      </vt:variant>
      <vt:variant>
        <vt:i4>5</vt:i4>
      </vt:variant>
      <vt:variant>
        <vt:lpwstr>https://eur-lex.europa.eu/eli/dir/1989/654/</vt:lpwstr>
      </vt:variant>
      <vt:variant>
        <vt:lpwstr/>
      </vt:variant>
      <vt:variant>
        <vt:i4>5701709</vt:i4>
      </vt:variant>
      <vt:variant>
        <vt:i4>321</vt:i4>
      </vt:variant>
      <vt:variant>
        <vt:i4>0</vt:i4>
      </vt:variant>
      <vt:variant>
        <vt:i4>5</vt:i4>
      </vt:variant>
      <vt:variant>
        <vt:lpwstr>https://ec.europa.eu/social/main.jsp?langId=en&amp;catId=89&amp;furtherNews=yes&amp;newsId=10582</vt:lpwstr>
      </vt:variant>
      <vt:variant>
        <vt:lpwstr>navItem-1</vt:lpwstr>
      </vt:variant>
      <vt:variant>
        <vt:i4>5832730</vt:i4>
      </vt:variant>
      <vt:variant>
        <vt:i4>318</vt:i4>
      </vt:variant>
      <vt:variant>
        <vt:i4>0</vt:i4>
      </vt:variant>
      <vt:variant>
        <vt:i4>5</vt:i4>
      </vt:variant>
      <vt:variant>
        <vt:lpwstr>https://osha.europa.eu/en/publications/healthy-workers-thriving-companies-practical-guide-wellbeing-work</vt:lpwstr>
      </vt:variant>
      <vt:variant>
        <vt:lpwstr/>
      </vt:variant>
      <vt:variant>
        <vt:i4>5898328</vt:i4>
      </vt:variant>
      <vt:variant>
        <vt:i4>315</vt:i4>
      </vt:variant>
      <vt:variant>
        <vt:i4>0</vt:i4>
      </vt:variant>
      <vt:variant>
        <vt:i4>5</vt:i4>
      </vt:variant>
      <vt:variant>
        <vt:lpwstr>https://osha.europa.eu/en</vt:lpwstr>
      </vt:variant>
      <vt:variant>
        <vt:lpwstr/>
      </vt:variant>
      <vt:variant>
        <vt:i4>2490408</vt:i4>
      </vt:variant>
      <vt:variant>
        <vt:i4>312</vt:i4>
      </vt:variant>
      <vt:variant>
        <vt:i4>0</vt:i4>
      </vt:variant>
      <vt:variant>
        <vt:i4>5</vt:i4>
      </vt:variant>
      <vt:variant>
        <vt:lpwstr>https://osha.europa.eu/en/safety-and-health-legislation</vt:lpwstr>
      </vt:variant>
      <vt:variant>
        <vt:lpwstr/>
      </vt:variant>
      <vt:variant>
        <vt:i4>6881390</vt:i4>
      </vt:variant>
      <vt:variant>
        <vt:i4>309</vt:i4>
      </vt:variant>
      <vt:variant>
        <vt:i4>0</vt:i4>
      </vt:variant>
      <vt:variant>
        <vt:i4>5</vt:i4>
      </vt:variant>
      <vt:variant>
        <vt:lpwstr>https://eur-lex.europa.eu/legal-content/EN/TXT/?uri=OJ%3AJOC_2021_093_R_0001</vt:lpwstr>
      </vt:variant>
      <vt:variant>
        <vt:lpwstr/>
      </vt:variant>
      <vt:variant>
        <vt:i4>2621529</vt:i4>
      </vt:variant>
      <vt:variant>
        <vt:i4>306</vt:i4>
      </vt:variant>
      <vt:variant>
        <vt:i4>0</vt:i4>
      </vt:variant>
      <vt:variant>
        <vt:i4>5</vt:i4>
      </vt:variant>
      <vt:variant>
        <vt:lpwstr>https://research-and-innovation.ec.europa.eu/funding/funding-opportunities/funding-programmes-and-open-calls/horizon-europe/eu-missions-horizon-europe/eu-mission-cancer_en</vt:lpwstr>
      </vt:variant>
      <vt:variant>
        <vt:lpwstr/>
      </vt:variant>
      <vt:variant>
        <vt:i4>4653128</vt:i4>
      </vt:variant>
      <vt:variant>
        <vt:i4>303</vt:i4>
      </vt:variant>
      <vt:variant>
        <vt:i4>0</vt:i4>
      </vt:variant>
      <vt:variant>
        <vt:i4>5</vt:i4>
      </vt:variant>
      <vt:variant>
        <vt:lpwstr>https://ec.europa.eu/social/main.jsp?langId=en&amp;catId=89&amp;furtherNews=yes&amp;newsId=10382</vt:lpwstr>
      </vt:variant>
      <vt:variant>
        <vt:lpwstr>navItem-relatedDocuments</vt:lpwstr>
      </vt:variant>
      <vt:variant>
        <vt:i4>2359301</vt:i4>
      </vt:variant>
      <vt:variant>
        <vt:i4>300</vt:i4>
      </vt:variant>
      <vt:variant>
        <vt:i4>0</vt:i4>
      </vt:variant>
      <vt:variant>
        <vt:i4>5</vt:i4>
      </vt:variant>
      <vt:variant>
        <vt:lpwstr>https://commission.europa.eu/strategy-documents/commission-work-programme/commission-work-programme-2023_en</vt:lpwstr>
      </vt:variant>
      <vt:variant>
        <vt:lpwstr/>
      </vt:variant>
      <vt:variant>
        <vt:i4>3211316</vt:i4>
      </vt:variant>
      <vt:variant>
        <vt:i4>297</vt:i4>
      </vt:variant>
      <vt:variant>
        <vt:i4>0</vt:i4>
      </vt:variant>
      <vt:variant>
        <vt:i4>5</vt:i4>
      </vt:variant>
      <vt:variant>
        <vt:lpwstr>https://coe.int/en/web/istanbul-convention</vt:lpwstr>
      </vt:variant>
      <vt:variant>
        <vt:lpwstr/>
      </vt:variant>
      <vt:variant>
        <vt:i4>3342378</vt:i4>
      </vt:variant>
      <vt:variant>
        <vt:i4>294</vt:i4>
      </vt:variant>
      <vt:variant>
        <vt:i4>0</vt:i4>
      </vt:variant>
      <vt:variant>
        <vt:i4>5</vt:i4>
      </vt:variant>
      <vt:variant>
        <vt:lpwstr>https://www.nature.com/articles/s41467-022-30836-0</vt:lpwstr>
      </vt:variant>
      <vt:variant>
        <vt:lpwstr/>
      </vt:variant>
      <vt:variant>
        <vt:i4>720902</vt:i4>
      </vt:variant>
      <vt:variant>
        <vt:i4>291</vt:i4>
      </vt:variant>
      <vt:variant>
        <vt:i4>0</vt:i4>
      </vt:variant>
      <vt:variant>
        <vt:i4>5</vt:i4>
      </vt:variant>
      <vt:variant>
        <vt:lpwstr>https://pubmed.ncbi.nlm.nih.gov/36643576/</vt:lpwstr>
      </vt:variant>
      <vt:variant>
        <vt:lpwstr/>
      </vt:variant>
      <vt:variant>
        <vt:i4>1376345</vt:i4>
      </vt:variant>
      <vt:variant>
        <vt:i4>288</vt:i4>
      </vt:variant>
      <vt:variant>
        <vt:i4>0</vt:i4>
      </vt:variant>
      <vt:variant>
        <vt:i4>5</vt:i4>
      </vt:variant>
      <vt:variant>
        <vt:lpwstr>https://www.who.int/europe/news-room/fact-sheets/item/post-covid-19-condition</vt:lpwstr>
      </vt:variant>
      <vt:variant>
        <vt:lpwstr/>
      </vt:variant>
      <vt:variant>
        <vt:i4>1441887</vt:i4>
      </vt:variant>
      <vt:variant>
        <vt:i4>285</vt:i4>
      </vt:variant>
      <vt:variant>
        <vt:i4>0</vt:i4>
      </vt:variant>
      <vt:variant>
        <vt:i4>5</vt:i4>
      </vt:variant>
      <vt:variant>
        <vt:lpwstr>https://eur-lex.europa.eu/legal-content/EN/TXT/PDF/?uri=CELEX:52021DC0101</vt:lpwstr>
      </vt:variant>
      <vt:variant>
        <vt:lpwstr/>
      </vt:variant>
      <vt:variant>
        <vt:i4>6226007</vt:i4>
      </vt:variant>
      <vt:variant>
        <vt:i4>282</vt:i4>
      </vt:variant>
      <vt:variant>
        <vt:i4>0</vt:i4>
      </vt:variant>
      <vt:variant>
        <vt:i4>5</vt:i4>
      </vt:variant>
      <vt:variant>
        <vt:lpwstr>https://ec.europa.eu/social/main.jsp?catId=1597&amp;langId=en</vt:lpwstr>
      </vt:variant>
      <vt:variant>
        <vt:lpwstr/>
      </vt:variant>
      <vt:variant>
        <vt:i4>8257575</vt:i4>
      </vt:variant>
      <vt:variant>
        <vt:i4>279</vt:i4>
      </vt:variant>
      <vt:variant>
        <vt:i4>0</vt:i4>
      </vt:variant>
      <vt:variant>
        <vt:i4>5</vt:i4>
      </vt:variant>
      <vt:variant>
        <vt:lpwstr>https://eur-lex.europa.eu/legal-content/EN/TXT/?uri=celex%3A52021DC0101</vt:lpwstr>
      </vt:variant>
      <vt:variant>
        <vt:lpwstr/>
      </vt:variant>
      <vt:variant>
        <vt:i4>7274569</vt:i4>
      </vt:variant>
      <vt:variant>
        <vt:i4>276</vt:i4>
      </vt:variant>
      <vt:variant>
        <vt:i4>0</vt:i4>
      </vt:variant>
      <vt:variant>
        <vt:i4>5</vt:i4>
      </vt:variant>
      <vt:variant>
        <vt:lpwstr>https://home-affairs.ec.europa.eu/funding/asylum-migration-and-integration-funds/asylum-migration-and-integration-fund-2021-2027_en</vt:lpwstr>
      </vt:variant>
      <vt:variant>
        <vt:lpwstr/>
      </vt:variant>
      <vt:variant>
        <vt:i4>7143443</vt:i4>
      </vt:variant>
      <vt:variant>
        <vt:i4>273</vt:i4>
      </vt:variant>
      <vt:variant>
        <vt:i4>0</vt:i4>
      </vt:variant>
      <vt:variant>
        <vt:i4>5</vt:i4>
      </vt:variant>
      <vt:variant>
        <vt:lpwstr>https://home-affairs.ec.europa.eu/policies/internal-security/organised-crime-and-human-trafficking/eu-strategy-combatting-trafficking-human-beings-2021-2025_en</vt:lpwstr>
      </vt:variant>
      <vt:variant>
        <vt:lpwstr/>
      </vt:variant>
      <vt:variant>
        <vt:i4>852035</vt:i4>
      </vt:variant>
      <vt:variant>
        <vt:i4>270</vt:i4>
      </vt:variant>
      <vt:variant>
        <vt:i4>0</vt:i4>
      </vt:variant>
      <vt:variant>
        <vt:i4>5</vt:i4>
      </vt:variant>
      <vt:variant>
        <vt:lpwstr>https://eur-lex.europa.eu/legal-content/EN/TXT/?uri=CELEX:32011L0036</vt:lpwstr>
      </vt:variant>
      <vt:variant>
        <vt:lpwstr/>
      </vt:variant>
      <vt:variant>
        <vt:i4>87</vt:i4>
      </vt:variant>
      <vt:variant>
        <vt:i4>267</vt:i4>
      </vt:variant>
      <vt:variant>
        <vt:i4>0</vt:i4>
      </vt:variant>
      <vt:variant>
        <vt:i4>5</vt:i4>
      </vt:variant>
      <vt:variant>
        <vt:lpwstr>https://eur-lex.europa.eu/legal-content/EN/ALL/?uri=CELEX:32011L0036</vt:lpwstr>
      </vt:variant>
      <vt:variant>
        <vt:lpwstr/>
      </vt:variant>
      <vt:variant>
        <vt:i4>1572880</vt:i4>
      </vt:variant>
      <vt:variant>
        <vt:i4>264</vt:i4>
      </vt:variant>
      <vt:variant>
        <vt:i4>0</vt:i4>
      </vt:variant>
      <vt:variant>
        <vt:i4>5</vt:i4>
      </vt:variant>
      <vt:variant>
        <vt:lpwstr>https://op.europa.eu/en/publication-detail/-/publication/373138c5-0ea4-11eb-bc07-01aa75ed71a1/language-en/format-PDF/source-256067425</vt:lpwstr>
      </vt:variant>
      <vt:variant>
        <vt:lpwstr/>
      </vt:variant>
      <vt:variant>
        <vt:i4>589842</vt:i4>
      </vt:variant>
      <vt:variant>
        <vt:i4>261</vt:i4>
      </vt:variant>
      <vt:variant>
        <vt:i4>0</vt:i4>
      </vt:variant>
      <vt:variant>
        <vt:i4>5</vt:i4>
      </vt:variant>
      <vt:variant>
        <vt:lpwstr>https://eur-lex.europa.eu/legal-content/EN/TXT/?uri=CELEX:52020DC0698</vt:lpwstr>
      </vt:variant>
      <vt:variant>
        <vt:lpwstr/>
      </vt:variant>
      <vt:variant>
        <vt:i4>7733309</vt:i4>
      </vt:variant>
      <vt:variant>
        <vt:i4>258</vt:i4>
      </vt:variant>
      <vt:variant>
        <vt:i4>0</vt:i4>
      </vt:variant>
      <vt:variant>
        <vt:i4>5</vt:i4>
      </vt:variant>
      <vt:variant>
        <vt:lpwstr>https://www.ilga-europe.org/topics/health/</vt:lpwstr>
      </vt:variant>
      <vt:variant>
        <vt:lpwstr/>
      </vt:variant>
      <vt:variant>
        <vt:i4>1507364</vt:i4>
      </vt:variant>
      <vt:variant>
        <vt:i4>255</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3014687</vt:i4>
      </vt:variant>
      <vt:variant>
        <vt:i4>252</vt:i4>
      </vt:variant>
      <vt:variant>
        <vt:i4>0</vt:i4>
      </vt:variant>
      <vt:variant>
        <vt:i4>5</vt:i4>
      </vt:variant>
      <vt:variant>
        <vt:lpwstr>https://commission.europa.eu/system/files/2020-11/lgbtiq_factsheet_2020-2025_en.pdf</vt:lpwstr>
      </vt:variant>
      <vt:variant>
        <vt:lpwstr/>
      </vt:variant>
      <vt:variant>
        <vt:i4>1245201</vt:i4>
      </vt:variant>
      <vt:variant>
        <vt:i4>249</vt:i4>
      </vt:variant>
      <vt:variant>
        <vt:i4>0</vt:i4>
      </vt:variant>
      <vt:variant>
        <vt:i4>5</vt:i4>
      </vt:variant>
      <vt:variant>
        <vt:lpwstr>https://cordis.europa.eu/project/id/101057390</vt:lpwstr>
      </vt:variant>
      <vt:variant>
        <vt:lpwstr/>
      </vt:variant>
      <vt:variant>
        <vt:i4>1245201</vt:i4>
      </vt:variant>
      <vt:variant>
        <vt:i4>246</vt:i4>
      </vt:variant>
      <vt:variant>
        <vt:i4>0</vt:i4>
      </vt:variant>
      <vt:variant>
        <vt:i4>5</vt:i4>
      </vt:variant>
      <vt:variant>
        <vt:lpwstr>https://cordis.europa.eu/project/id/101057390</vt:lpwstr>
      </vt:variant>
      <vt:variant>
        <vt:lpwstr/>
      </vt:variant>
      <vt:variant>
        <vt:i4>6422584</vt:i4>
      </vt:variant>
      <vt:variant>
        <vt:i4>243</vt:i4>
      </vt:variant>
      <vt:variant>
        <vt:i4>0</vt:i4>
      </vt:variant>
      <vt:variant>
        <vt:i4>5</vt:i4>
      </vt:variant>
      <vt:variant>
        <vt:lpwstr>https://research-and-innovation.ec.europa.eu/system/files/2021-11/ec_rtd_era-policy-agenda-2021.pdf</vt:lpwstr>
      </vt:variant>
      <vt:variant>
        <vt:lpwstr/>
      </vt:variant>
      <vt:variant>
        <vt:i4>4391016</vt:i4>
      </vt:variant>
      <vt:variant>
        <vt:i4>240</vt:i4>
      </vt:variant>
      <vt:variant>
        <vt:i4>0</vt:i4>
      </vt:variant>
      <vt:variant>
        <vt:i4>5</vt:i4>
      </vt:variant>
      <vt:variant>
        <vt:lpwstr>https://apps.who.int/iris/bitstream/handle/10665/66539/WHO_MSD_MDP_00.1.pdf%3bsequence=1</vt:lpwstr>
      </vt:variant>
      <vt:variant>
        <vt:lpwstr/>
      </vt:variant>
      <vt:variant>
        <vt:i4>1441860</vt:i4>
      </vt:variant>
      <vt:variant>
        <vt:i4>237</vt:i4>
      </vt:variant>
      <vt:variant>
        <vt:i4>0</vt:i4>
      </vt:variant>
      <vt:variant>
        <vt:i4>5</vt:i4>
      </vt:variant>
      <vt:variant>
        <vt:lpwstr>https://data.consilium.europa.eu/doc/document/ST-11717-2020-REV-2/en/pdf</vt:lpwstr>
      </vt:variant>
      <vt:variant>
        <vt:lpwstr/>
      </vt:variant>
      <vt:variant>
        <vt:i4>7274599</vt:i4>
      </vt:variant>
      <vt:variant>
        <vt:i4>234</vt:i4>
      </vt:variant>
      <vt:variant>
        <vt:i4>0</vt:i4>
      </vt:variant>
      <vt:variant>
        <vt:i4>5</vt:i4>
      </vt:variant>
      <vt:variant>
        <vt:lpwstr>https://data.consilium.europa.eu/doc/document/ST-6976-2021-INIT/en/pdf</vt:lpwstr>
      </vt:variant>
      <vt:variant>
        <vt:lpwstr/>
      </vt:variant>
      <vt:variant>
        <vt:i4>7078007</vt:i4>
      </vt:variant>
      <vt:variant>
        <vt:i4>231</vt:i4>
      </vt:variant>
      <vt:variant>
        <vt:i4>0</vt:i4>
      </vt:variant>
      <vt:variant>
        <vt:i4>5</vt:i4>
      </vt:variant>
      <vt:variant>
        <vt:lpwstr>https://www.who.int/teams/maternal-newborn-child-adolescent-health-and-ageing/ageing-and-health/integrated-care-for-older-people-icope</vt:lpwstr>
      </vt:variant>
      <vt:variant>
        <vt:lpwstr/>
      </vt:variant>
      <vt:variant>
        <vt:i4>4390989</vt:i4>
      </vt:variant>
      <vt:variant>
        <vt:i4>228</vt:i4>
      </vt:variant>
      <vt:variant>
        <vt:i4>0</vt:i4>
      </vt:variant>
      <vt:variant>
        <vt:i4>5</vt:i4>
      </vt:variant>
      <vt:variant>
        <vt:lpwstr>https://reform-support.ec.europa.eu/system/files/2022-05/2023 Flagships Techical Support projects - youth.pdf</vt:lpwstr>
      </vt:variant>
      <vt:variant>
        <vt:lpwstr/>
      </vt:variant>
      <vt:variant>
        <vt:i4>8060943</vt:i4>
      </vt:variant>
      <vt:variant>
        <vt:i4>225</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7602269</vt:i4>
      </vt:variant>
      <vt:variant>
        <vt:i4>222</vt:i4>
      </vt:variant>
      <vt:variant>
        <vt:i4>0</vt:i4>
      </vt:variant>
      <vt:variant>
        <vt:i4>5</vt:i4>
      </vt:variant>
      <vt:variant>
        <vt:lpwstr>https://health.ec.europa.eu/funding/eu4health-programme-2021-2027-vision-healthier-european-union_en</vt:lpwstr>
      </vt:variant>
      <vt:variant>
        <vt:lpwstr/>
      </vt:variant>
      <vt:variant>
        <vt:i4>7602269</vt:i4>
      </vt:variant>
      <vt:variant>
        <vt:i4>219</vt:i4>
      </vt:variant>
      <vt:variant>
        <vt:i4>0</vt:i4>
      </vt:variant>
      <vt:variant>
        <vt:i4>5</vt:i4>
      </vt:variant>
      <vt:variant>
        <vt:lpwstr>https://health.ec.europa.eu/funding/eu4health-programme-2021-2027-vision-healthier-european-union_en</vt:lpwstr>
      </vt:variant>
      <vt:variant>
        <vt:lpwstr/>
      </vt:variant>
      <vt:variant>
        <vt:i4>4849779</vt:i4>
      </vt:variant>
      <vt:variant>
        <vt:i4>216</vt:i4>
      </vt:variant>
      <vt:variant>
        <vt:i4>0</vt:i4>
      </vt:variant>
      <vt:variant>
        <vt:i4>5</vt:i4>
      </vt:variant>
      <vt:variant>
        <vt:lpwstr>https://rural-vision.europa.eu/action-plan_en</vt:lpwstr>
      </vt:variant>
      <vt:variant>
        <vt:lpwstr/>
      </vt:variant>
      <vt:variant>
        <vt:i4>1966127</vt:i4>
      </vt:variant>
      <vt:variant>
        <vt:i4>213</vt:i4>
      </vt:variant>
      <vt:variant>
        <vt:i4>0</vt:i4>
      </vt:variant>
      <vt:variant>
        <vt:i4>5</vt:i4>
      </vt:variant>
      <vt:variant>
        <vt:lpwstr>https://home-affairs.ec.europa.eu/policies/internal-security/child-sexual-abuse/eu-strategy-more-effective-fight-against-child-sexual-abuse_en</vt:lpwstr>
      </vt:variant>
      <vt:variant>
        <vt:lpwstr/>
      </vt:variant>
      <vt:variant>
        <vt:i4>3604586</vt:i4>
      </vt:variant>
      <vt:variant>
        <vt:i4>210</vt:i4>
      </vt:variant>
      <vt:variant>
        <vt:i4>0</vt:i4>
      </vt:variant>
      <vt:variant>
        <vt:i4>5</vt:i4>
      </vt:variant>
      <vt:variant>
        <vt:lpwstr>https://education.ec.europa.eu/sites/default/files/2022-01/communication-european-strategy-for-universities-graphic-version.pdf</vt:lpwstr>
      </vt:variant>
      <vt:variant>
        <vt:lpwstr>:~:text=The%20European%20strategy%20for%20universities%20aims%20at%20supporting,higher%20education%20institutions%20across%20Europe%20to%20join%20forces.</vt:lpwstr>
      </vt:variant>
      <vt:variant>
        <vt:i4>262216</vt:i4>
      </vt:variant>
      <vt:variant>
        <vt:i4>207</vt:i4>
      </vt:variant>
      <vt:variant>
        <vt:i4>0</vt:i4>
      </vt:variant>
      <vt:variant>
        <vt:i4>5</vt:i4>
      </vt:variant>
      <vt:variant>
        <vt:lpwstr>https://osha.europa.eu/en/publications/occupational-safety-and-health-and-education-whole-school-approach</vt:lpwstr>
      </vt:variant>
      <vt:variant>
        <vt:lpwstr>:~:text=A%20Whole%2DSchool%20Approach%20to,pupils%20in%20school%20safety%20management</vt:lpwstr>
      </vt:variant>
      <vt:variant>
        <vt:i4>6291510</vt:i4>
      </vt:variant>
      <vt:variant>
        <vt:i4>204</vt:i4>
      </vt:variant>
      <vt:variant>
        <vt:i4>0</vt:i4>
      </vt:variant>
      <vt:variant>
        <vt:i4>5</vt:i4>
      </vt:variant>
      <vt:variant>
        <vt:lpwstr>https://education.ec.europa.eu/news/apply-to-become-a-member-of-the-commission-expert-group-on-supporting-well-being-at-school</vt:lpwstr>
      </vt:variant>
      <vt:variant>
        <vt:lpwstr/>
      </vt:variant>
      <vt:variant>
        <vt:i4>4849689</vt:i4>
      </vt:variant>
      <vt:variant>
        <vt:i4>201</vt:i4>
      </vt:variant>
      <vt:variant>
        <vt:i4>0</vt:i4>
      </vt:variant>
      <vt:variant>
        <vt:i4>5</vt:i4>
      </vt:variant>
      <vt:variant>
        <vt:lpwstr>https://ec.europa.eu/transparency/expert-groups-register/screen/expert-groups/consult?lang=en&amp;groupID=3873&amp;fromCallsApplication=true</vt:lpwstr>
      </vt:variant>
      <vt:variant>
        <vt:lpwstr/>
      </vt:variant>
      <vt:variant>
        <vt:i4>4653074</vt:i4>
      </vt:variant>
      <vt:variant>
        <vt:i4>198</vt:i4>
      </vt:variant>
      <vt:variant>
        <vt:i4>0</vt:i4>
      </vt:variant>
      <vt:variant>
        <vt:i4>5</vt:i4>
      </vt:variant>
      <vt:variant>
        <vt:lpwstr>https://eur-lex.europa.eu/legal-content/EN/TXT/?uri=CELEX%3A32022H1209%2801%29&amp;qid=1671106078506</vt:lpwstr>
      </vt:variant>
      <vt:variant>
        <vt:lpwstr/>
      </vt:variant>
      <vt:variant>
        <vt:i4>6946890</vt:i4>
      </vt:variant>
      <vt:variant>
        <vt:i4>195</vt:i4>
      </vt:variant>
      <vt:variant>
        <vt:i4>0</vt:i4>
      </vt:variant>
      <vt:variant>
        <vt:i4>5</vt:i4>
      </vt:variant>
      <vt:variant>
        <vt:lpwstr>https://youth.europa.eu/year-of-youth_en</vt:lpwstr>
      </vt:variant>
      <vt:variant>
        <vt:lpwstr/>
      </vt:variant>
      <vt:variant>
        <vt:i4>7602275</vt:i4>
      </vt:variant>
      <vt:variant>
        <vt:i4>192</vt:i4>
      </vt:variant>
      <vt:variant>
        <vt:i4>0</vt:i4>
      </vt:variant>
      <vt:variant>
        <vt:i4>5</vt:i4>
      </vt:variant>
      <vt:variant>
        <vt:lpwstr>https://eur-lex.europa.eu/legal-content/EN/TXT/?uri=celex%3A42018Y1218%2801%29</vt:lpwstr>
      </vt:variant>
      <vt:variant>
        <vt:lpwstr/>
      </vt:variant>
      <vt:variant>
        <vt:i4>8257652</vt:i4>
      </vt:variant>
      <vt:variant>
        <vt:i4>189</vt:i4>
      </vt:variant>
      <vt:variant>
        <vt:i4>0</vt:i4>
      </vt:variant>
      <vt:variant>
        <vt:i4>5</vt:i4>
      </vt:variant>
      <vt:variant>
        <vt:lpwstr>https://childhelplineinternational.org/</vt:lpwstr>
      </vt:variant>
      <vt:variant>
        <vt:lpwstr/>
      </vt:variant>
      <vt:variant>
        <vt:i4>1900608</vt:i4>
      </vt:variant>
      <vt:variant>
        <vt:i4>186</vt:i4>
      </vt:variant>
      <vt:variant>
        <vt:i4>0</vt:i4>
      </vt:variant>
      <vt:variant>
        <vt:i4>5</vt:i4>
      </vt:variant>
      <vt:variant>
        <vt:lpwstr>https://www.who.int/publications/i/item/9789240025059</vt:lpwstr>
      </vt:variant>
      <vt:variant>
        <vt:lpwstr/>
      </vt:variant>
      <vt:variant>
        <vt:i4>1835075</vt:i4>
      </vt:variant>
      <vt:variant>
        <vt:i4>183</vt:i4>
      </vt:variant>
      <vt:variant>
        <vt:i4>0</vt:i4>
      </vt:variant>
      <vt:variant>
        <vt:i4>5</vt:i4>
      </vt:variant>
      <vt:variant>
        <vt:lpwstr>https://www.who.int/publications/i/item/9789240064751</vt:lpwstr>
      </vt:variant>
      <vt:variant>
        <vt:lpwstr/>
      </vt:variant>
      <vt:variant>
        <vt:i4>3276911</vt:i4>
      </vt:variant>
      <vt:variant>
        <vt:i4>180</vt:i4>
      </vt:variant>
      <vt:variant>
        <vt:i4>0</vt:i4>
      </vt:variant>
      <vt:variant>
        <vt:i4>5</vt:i4>
      </vt:variant>
      <vt:variant>
        <vt:lpwstr>https://sport.ec.europa.eu/initiatives/healthylifestyle4all</vt:lpwstr>
      </vt:variant>
      <vt:variant>
        <vt:lpwstr/>
      </vt:variant>
      <vt:variant>
        <vt:i4>4849779</vt:i4>
      </vt:variant>
      <vt:variant>
        <vt:i4>177</vt:i4>
      </vt:variant>
      <vt:variant>
        <vt:i4>0</vt:i4>
      </vt:variant>
      <vt:variant>
        <vt:i4>5</vt:i4>
      </vt:variant>
      <vt:variant>
        <vt:lpwstr>https://rural-vision.europa.eu/action-plan_en</vt:lpwstr>
      </vt:variant>
      <vt:variant>
        <vt:lpwstr/>
      </vt:variant>
      <vt:variant>
        <vt:i4>1966127</vt:i4>
      </vt:variant>
      <vt:variant>
        <vt:i4>174</vt:i4>
      </vt:variant>
      <vt:variant>
        <vt:i4>0</vt:i4>
      </vt:variant>
      <vt:variant>
        <vt:i4>5</vt:i4>
      </vt:variant>
      <vt:variant>
        <vt:lpwstr>https://home-affairs.ec.europa.eu/policies/internal-security/child-sexual-abuse/eu-strategy-more-effective-fight-against-child-sexual-abuse_en</vt:lpwstr>
      </vt:variant>
      <vt:variant>
        <vt:lpwstr/>
      </vt:variant>
      <vt:variant>
        <vt:i4>7143540</vt:i4>
      </vt:variant>
      <vt:variant>
        <vt:i4>171</vt:i4>
      </vt:variant>
      <vt:variant>
        <vt:i4>0</vt:i4>
      </vt:variant>
      <vt:variant>
        <vt:i4>5</vt:i4>
      </vt:variant>
      <vt:variant>
        <vt:lpwstr>https://eur-lex.europa.eu/legal-content/EN/TXT/?uri=celex%3A32022R2065</vt:lpwstr>
      </vt:variant>
      <vt:variant>
        <vt:lpwstr/>
      </vt:variant>
      <vt:variant>
        <vt:i4>6225920</vt:i4>
      </vt:variant>
      <vt:variant>
        <vt:i4>168</vt:i4>
      </vt:variant>
      <vt:variant>
        <vt:i4>0</vt:i4>
      </vt:variant>
      <vt:variant>
        <vt:i4>5</vt:i4>
      </vt:variant>
      <vt:variant>
        <vt:lpwstr>C:\Users\furtaar\AppData\Local\Microsoft\Windows\INetCache\Content.Outlook\7ODGDVLW\Supporting young people with climate anxiety: mitigation, adaptation, and resilience - The Lancet Planetary Health</vt:lpwstr>
      </vt:variant>
      <vt:variant>
        <vt:lpwstr/>
      </vt:variant>
      <vt:variant>
        <vt:i4>5570625</vt:i4>
      </vt:variant>
      <vt:variant>
        <vt:i4>165</vt:i4>
      </vt:variant>
      <vt:variant>
        <vt:i4>0</vt:i4>
      </vt:variant>
      <vt:variant>
        <vt:i4>5</vt:i4>
      </vt:variant>
      <vt:variant>
        <vt:lpwstr>https://education.ec.europa.eu/education-levels/school-education/well-being-at-school</vt:lpwstr>
      </vt:variant>
      <vt:variant>
        <vt:lpwstr/>
      </vt:variant>
      <vt:variant>
        <vt:i4>262196</vt:i4>
      </vt:variant>
      <vt:variant>
        <vt:i4>162</vt:i4>
      </vt:variant>
      <vt:variant>
        <vt:i4>0</vt:i4>
      </vt:variant>
      <vt:variant>
        <vt:i4>5</vt:i4>
      </vt:variant>
      <vt:variant>
        <vt:lpwstr>https://eur-lex.europa.eu/legal-content/EN/TXT/?uri=uriserv%3AOJ.L_.2021.223.01.0014.01.ENG&amp;toc=OJ%3AL%3A2021%3A223%3ATOC</vt:lpwstr>
      </vt:variant>
      <vt:variant>
        <vt:lpwstr/>
      </vt:variant>
      <vt:variant>
        <vt:i4>2162796</vt:i4>
      </vt:variant>
      <vt:variant>
        <vt:i4>159</vt:i4>
      </vt:variant>
      <vt:variant>
        <vt:i4>0</vt:i4>
      </vt:variant>
      <vt:variant>
        <vt:i4>5</vt:i4>
      </vt:variant>
      <vt:variant>
        <vt:lpwstr>https://www.who.int/news-room/fact-sheets/detail/violence-against-children</vt:lpwstr>
      </vt:variant>
      <vt:variant>
        <vt:lpwstr/>
      </vt:variant>
      <vt:variant>
        <vt:i4>2883659</vt:i4>
      </vt:variant>
      <vt:variant>
        <vt:i4>156</vt:i4>
      </vt:variant>
      <vt:variant>
        <vt:i4>0</vt:i4>
      </vt:variant>
      <vt:variant>
        <vt:i4>5</vt:i4>
      </vt:variant>
      <vt:variant>
        <vt:lpwstr>https://joint-research-centre.ec.europa.eu/loneliness/loneliness-publications_en</vt:lpwstr>
      </vt:variant>
      <vt:variant>
        <vt:lpwstr/>
      </vt:variant>
      <vt:variant>
        <vt:i4>5439497</vt:i4>
      </vt:variant>
      <vt:variant>
        <vt:i4>153</vt:i4>
      </vt:variant>
      <vt:variant>
        <vt:i4>0</vt:i4>
      </vt:variant>
      <vt:variant>
        <vt:i4>5</vt:i4>
      </vt:variant>
      <vt:variant>
        <vt:lpwstr>https://health.ec.europa.eu/system/files/2022-12/2022_healthatglance_rep_en_0.pdf</vt:lpwstr>
      </vt:variant>
      <vt:variant>
        <vt:lpwstr/>
      </vt:variant>
      <vt:variant>
        <vt:i4>4784239</vt:i4>
      </vt:variant>
      <vt:variant>
        <vt:i4>150</vt:i4>
      </vt:variant>
      <vt:variant>
        <vt:i4>0</vt:i4>
      </vt:variant>
      <vt:variant>
        <vt:i4>5</vt:i4>
      </vt:variant>
      <vt:variant>
        <vt:lpwstr>https://research-and-innovation.ec.europa.eu/funding/funding-opportunities/funding-programmes-and-open-calls/horizon-europe_en</vt:lpwstr>
      </vt:variant>
      <vt:variant>
        <vt:lpwstr/>
      </vt:variant>
      <vt:variant>
        <vt:i4>720914</vt:i4>
      </vt:variant>
      <vt:variant>
        <vt:i4>147</vt:i4>
      </vt:variant>
      <vt:variant>
        <vt:i4>0</vt:i4>
      </vt:variant>
      <vt:variant>
        <vt:i4>5</vt:i4>
      </vt:variant>
      <vt:variant>
        <vt:lpwstr>https://health.ec.europa.eu/system/files/2022-11/wp2023_annex_en.pdf</vt:lpwstr>
      </vt:variant>
      <vt:variant>
        <vt:lpwstr/>
      </vt:variant>
      <vt:variant>
        <vt:i4>983051</vt:i4>
      </vt:variant>
      <vt:variant>
        <vt:i4>144</vt:i4>
      </vt:variant>
      <vt:variant>
        <vt:i4>0</vt:i4>
      </vt:variant>
      <vt:variant>
        <vt:i4>5</vt:i4>
      </vt:variant>
      <vt:variant>
        <vt:lpwstr>https://webgate.ec.europa.eu/dyna/bp-portal/</vt:lpwstr>
      </vt:variant>
      <vt:variant>
        <vt:lpwstr/>
      </vt:variant>
      <vt:variant>
        <vt:i4>3342342</vt:i4>
      </vt:variant>
      <vt:variant>
        <vt:i4>141</vt:i4>
      </vt:variant>
      <vt:variant>
        <vt:i4>0</vt:i4>
      </vt:variant>
      <vt:variant>
        <vt:i4>5</vt:i4>
      </vt:variant>
      <vt:variant>
        <vt:lpwstr>https://health.ec.europa.eu/non-communicable-diseases/expert-group-public-health_en</vt:lpwstr>
      </vt:variant>
      <vt:variant>
        <vt:lpwstr>:~:text=The%20Expert%20Group%20on%20Public%20Health%20advises%20the,to%20address%20challenges%20concerning%20vaccination%20and%20antimicrobial%20resistance.</vt:lpwstr>
      </vt:variant>
      <vt:variant>
        <vt:i4>2162710</vt:i4>
      </vt:variant>
      <vt:variant>
        <vt:i4>138</vt:i4>
      </vt:variant>
      <vt:variant>
        <vt:i4>0</vt:i4>
      </vt:variant>
      <vt:variant>
        <vt:i4>5</vt:i4>
      </vt:variant>
      <vt:variant>
        <vt:lpwstr>https://research-and-innovation.ec.europa.eu/strategy/strategy-2020-2024/our-digital-future/european-research-infrastructures_en</vt:lpwstr>
      </vt:variant>
      <vt:variant>
        <vt:lpwstr/>
      </vt:variant>
      <vt:variant>
        <vt:i4>6488100</vt:i4>
      </vt:variant>
      <vt:variant>
        <vt:i4>135</vt:i4>
      </vt:variant>
      <vt:variant>
        <vt:i4>0</vt:i4>
      </vt:variant>
      <vt:variant>
        <vt:i4>5</vt:i4>
      </vt:variant>
      <vt:variant>
        <vt:lpwstr>https://eur-lex.europa.eu/legal-content/EN/TXT/?uri=CELEX%3A52022PC0197</vt:lpwstr>
      </vt:variant>
      <vt:variant>
        <vt:lpwstr/>
      </vt:variant>
      <vt:variant>
        <vt:i4>1310754</vt:i4>
      </vt:variant>
      <vt:variant>
        <vt:i4>132</vt:i4>
      </vt:variant>
      <vt:variant>
        <vt:i4>0</vt:i4>
      </vt:variant>
      <vt:variant>
        <vt:i4>5</vt:i4>
      </vt:variant>
      <vt:variant>
        <vt:lpwstr>https://health.ec.europa.eu/publications/2022-eu4health-work-programme_en</vt:lpwstr>
      </vt:variant>
      <vt:variant>
        <vt:lpwstr/>
      </vt:variant>
      <vt:variant>
        <vt:i4>7602269</vt:i4>
      </vt:variant>
      <vt:variant>
        <vt:i4>129</vt:i4>
      </vt:variant>
      <vt:variant>
        <vt:i4>0</vt:i4>
      </vt:variant>
      <vt:variant>
        <vt:i4>5</vt:i4>
      </vt:variant>
      <vt:variant>
        <vt:lpwstr>https://health.ec.europa.eu/funding/eu4health-programme-2021-2027-vision-healthier-european-union_en</vt:lpwstr>
      </vt:variant>
      <vt:variant>
        <vt:lpwstr/>
      </vt:variant>
      <vt:variant>
        <vt:i4>7602269</vt:i4>
      </vt:variant>
      <vt:variant>
        <vt:i4>126</vt:i4>
      </vt:variant>
      <vt:variant>
        <vt:i4>0</vt:i4>
      </vt:variant>
      <vt:variant>
        <vt:i4>5</vt:i4>
      </vt:variant>
      <vt:variant>
        <vt:lpwstr>https://health.ec.europa.eu/funding/eu4health-programme-2021-2027-vision-healthier-european-union_en</vt:lpwstr>
      </vt:variant>
      <vt:variant>
        <vt:lpwstr/>
      </vt:variant>
      <vt:variant>
        <vt:i4>6488175</vt:i4>
      </vt:variant>
      <vt:variant>
        <vt:i4>123</vt:i4>
      </vt:variant>
      <vt:variant>
        <vt:i4>0</vt:i4>
      </vt:variant>
      <vt:variant>
        <vt:i4>5</vt:i4>
      </vt:variant>
      <vt:variant>
        <vt:lpwstr>https://webgate.ec.europa.eu/dyna/bp-portal/submission</vt:lpwstr>
      </vt:variant>
      <vt:variant>
        <vt:lpwstr/>
      </vt:variant>
      <vt:variant>
        <vt:i4>4653074</vt:i4>
      </vt:variant>
      <vt:variant>
        <vt:i4>120</vt:i4>
      </vt:variant>
      <vt:variant>
        <vt:i4>0</vt:i4>
      </vt:variant>
      <vt:variant>
        <vt:i4>5</vt:i4>
      </vt:variant>
      <vt:variant>
        <vt:lpwstr>https://eur-lex.europa.eu/legal-content/EN/TXT/?uri=CELEX%3A32022H1209%2801%29&amp;qid=1671106078506</vt:lpwstr>
      </vt:variant>
      <vt:variant>
        <vt:lpwstr/>
      </vt:variant>
      <vt:variant>
        <vt:i4>1179727</vt:i4>
      </vt:variant>
      <vt:variant>
        <vt:i4>117</vt:i4>
      </vt:variant>
      <vt:variant>
        <vt:i4>0</vt:i4>
      </vt:variant>
      <vt:variant>
        <vt:i4>5</vt:i4>
      </vt:variant>
      <vt:variant>
        <vt:lpwstr>https://www.ncbi.nlm.nih.gov/pmc/articles/PMC8129854/</vt:lpwstr>
      </vt:variant>
      <vt:variant>
        <vt:lpwstr/>
      </vt:variant>
      <vt:variant>
        <vt:i4>2031710</vt:i4>
      </vt:variant>
      <vt:variant>
        <vt:i4>114</vt:i4>
      </vt:variant>
      <vt:variant>
        <vt:i4>0</vt:i4>
      </vt:variant>
      <vt:variant>
        <vt:i4>5</vt:i4>
      </vt:variant>
      <vt:variant>
        <vt:lpwstr>https://sport.ec.europa.eu/initiatives/european-week-of-sport</vt:lpwstr>
      </vt:variant>
      <vt:variant>
        <vt:lpwstr/>
      </vt:variant>
      <vt:variant>
        <vt:i4>5111881</vt:i4>
      </vt:variant>
      <vt:variant>
        <vt:i4>111</vt:i4>
      </vt:variant>
      <vt:variant>
        <vt:i4>0</vt:i4>
      </vt:variant>
      <vt:variant>
        <vt:i4>5</vt:i4>
      </vt:variant>
      <vt:variant>
        <vt:lpwstr>https://eur-lex.europa.eu/legal-content/EN/TXT/PDF/?uri=CELEX:42020Y1204(01)&amp;from=EN</vt:lpwstr>
      </vt:variant>
      <vt:variant>
        <vt:lpwstr/>
      </vt:variant>
      <vt:variant>
        <vt:i4>4653167</vt:i4>
      </vt:variant>
      <vt:variant>
        <vt:i4>108</vt:i4>
      </vt:variant>
      <vt:variant>
        <vt:i4>0</vt:i4>
      </vt:variant>
      <vt:variant>
        <vt:i4>5</vt:i4>
      </vt:variant>
      <vt:variant>
        <vt:lpwstr>https://hadea.ec.europa.eu/calls-proposals/horizon-europe-health-calls-2023-silver-deal-person-centred-health-and-care-european-regions_en</vt:lpwstr>
      </vt:variant>
      <vt:variant>
        <vt:lpwstr/>
      </vt:variant>
      <vt:variant>
        <vt:i4>3866678</vt:i4>
      </vt:variant>
      <vt:variant>
        <vt:i4>105</vt:i4>
      </vt:variant>
      <vt:variant>
        <vt:i4>0</vt:i4>
      </vt:variant>
      <vt:variant>
        <vt:i4>5</vt:i4>
      </vt:variant>
      <vt:variant>
        <vt:lpwstr>https://www.annualreviews.org/doi/full/10.1146/annurev-publhealth-040617-013629</vt:lpwstr>
      </vt:variant>
      <vt:variant>
        <vt:lpwstr/>
      </vt:variant>
      <vt:variant>
        <vt:i4>262155</vt:i4>
      </vt:variant>
      <vt:variant>
        <vt:i4>102</vt:i4>
      </vt:variant>
      <vt:variant>
        <vt:i4>0</vt:i4>
      </vt:variant>
      <vt:variant>
        <vt:i4>5</vt:i4>
      </vt:variant>
      <vt:variant>
        <vt:lpwstr>https://ec.europa.eu/eurostat/web/microdata/european-health-interview-survey</vt:lpwstr>
      </vt:variant>
      <vt:variant>
        <vt:lpwstr/>
      </vt:variant>
      <vt:variant>
        <vt:i4>6225972</vt:i4>
      </vt:variant>
      <vt:variant>
        <vt:i4>99</vt:i4>
      </vt:variant>
      <vt:variant>
        <vt:i4>0</vt:i4>
      </vt:variant>
      <vt:variant>
        <vt:i4>5</vt:i4>
      </vt:variant>
      <vt:variant>
        <vt:lpwstr>C:\Users\furtaar\AppData\Local\Microsoft\Windows\INetCache\Content.Outlook\7ODGDVLW\com_2022-5436_annex2_en.pdf (europa.eu)</vt:lpwstr>
      </vt:variant>
      <vt:variant>
        <vt:lpwstr/>
      </vt:variant>
      <vt:variant>
        <vt:i4>6225972</vt:i4>
      </vt:variant>
      <vt:variant>
        <vt:i4>96</vt:i4>
      </vt:variant>
      <vt:variant>
        <vt:i4>0</vt:i4>
      </vt:variant>
      <vt:variant>
        <vt:i4>5</vt:i4>
      </vt:variant>
      <vt:variant>
        <vt:lpwstr>C:\Users\furtaar\AppData\Local\Microsoft\Windows\INetCache\Content.Outlook\7ODGDVLW\com_2022-5436_annex2_en.pdf (europa.eu)</vt:lpwstr>
      </vt:variant>
      <vt:variant>
        <vt:lpwstr/>
      </vt:variant>
      <vt:variant>
        <vt:i4>7274611</vt:i4>
      </vt:variant>
      <vt:variant>
        <vt:i4>93</vt:i4>
      </vt:variant>
      <vt:variant>
        <vt:i4>0</vt:i4>
      </vt:variant>
      <vt:variant>
        <vt:i4>5</vt:i4>
      </vt:variant>
      <vt:variant>
        <vt:lpwstr>https://ted.europa.eu/udl?uri=TED:NOTICE:277537-2023:TEXT:EN:HTML&amp;src=0</vt:lpwstr>
      </vt:variant>
      <vt:variant>
        <vt:lpwstr/>
      </vt:variant>
      <vt:variant>
        <vt:i4>2883644</vt:i4>
      </vt:variant>
      <vt:variant>
        <vt:i4>90</vt:i4>
      </vt:variant>
      <vt:variant>
        <vt:i4>0</vt:i4>
      </vt:variant>
      <vt:variant>
        <vt:i4>5</vt:i4>
      </vt:variant>
      <vt:variant>
        <vt:lpwstr>https://osha.europa.eu/en/safety-and-health-legislation/eu-strategic-framework-health-and-safety-work-2021-2027</vt:lpwstr>
      </vt:variant>
      <vt:variant>
        <vt:lpwstr/>
      </vt:variant>
      <vt:variant>
        <vt:i4>131197</vt:i4>
      </vt:variant>
      <vt:variant>
        <vt:i4>87</vt:i4>
      </vt:variant>
      <vt:variant>
        <vt:i4>0</vt:i4>
      </vt:variant>
      <vt:variant>
        <vt:i4>5</vt:i4>
      </vt:variant>
      <vt:variant>
        <vt:lpwstr>https://knowledge4policy.ec.europa.eu/health-promotion-knowledge-gateway/topic/mental-health-promotion_en</vt:lpwstr>
      </vt:variant>
      <vt:variant>
        <vt:lpwstr/>
      </vt:variant>
      <vt:variant>
        <vt:i4>1310753</vt:i4>
      </vt:variant>
      <vt:variant>
        <vt:i4>84</vt:i4>
      </vt:variant>
      <vt:variant>
        <vt:i4>0</vt:i4>
      </vt:variant>
      <vt:variant>
        <vt:i4>5</vt:i4>
      </vt:variant>
      <vt:variant>
        <vt:lpwstr>https://health.ec.europa.eu/publications/2021-eu4health-work-programme_en</vt:lpwstr>
      </vt:variant>
      <vt:variant>
        <vt:lpwstr/>
      </vt:variant>
      <vt:variant>
        <vt:i4>4128842</vt:i4>
      </vt:variant>
      <vt:variant>
        <vt:i4>81</vt:i4>
      </vt:variant>
      <vt:variant>
        <vt:i4>0</vt:i4>
      </vt:variant>
      <vt:variant>
        <vt:i4>5</vt:i4>
      </vt:variant>
      <vt:variant>
        <vt:lpwstr>https://health.ec.europa.eu/non-communicable-diseases/expert-group-public-health_en</vt:lpwstr>
      </vt:variant>
      <vt:variant>
        <vt:lpwstr/>
      </vt:variant>
      <vt:variant>
        <vt:i4>8323130</vt:i4>
      </vt:variant>
      <vt:variant>
        <vt:i4>78</vt:i4>
      </vt:variant>
      <vt:variant>
        <vt:i4>0</vt:i4>
      </vt:variant>
      <vt:variant>
        <vt:i4>5</vt:i4>
      </vt:variant>
      <vt:variant>
        <vt:lpwstr>https://eaad-best.eu/projects/</vt:lpwstr>
      </vt:variant>
      <vt:variant>
        <vt:lpwstr/>
      </vt:variant>
      <vt:variant>
        <vt:i4>1638432</vt:i4>
      </vt:variant>
      <vt:variant>
        <vt:i4>75</vt:i4>
      </vt:variant>
      <vt:variant>
        <vt:i4>0</vt:i4>
      </vt:variant>
      <vt:variant>
        <vt:i4>5</vt:i4>
      </vt:variant>
      <vt:variant>
        <vt:lpwstr>https://commission.europa.eu/strategy-and-policy/strategic-planning/strategic-foresight_en</vt:lpwstr>
      </vt:variant>
      <vt:variant>
        <vt:lpwstr/>
      </vt:variant>
      <vt:variant>
        <vt:i4>7667793</vt:i4>
      </vt:variant>
      <vt:variant>
        <vt:i4>72</vt:i4>
      </vt:variant>
      <vt:variant>
        <vt:i4>0</vt:i4>
      </vt:variant>
      <vt:variant>
        <vt:i4>5</vt:i4>
      </vt:variant>
      <vt:variant>
        <vt:lpwstr>https://environment.ec.europa.eu/strategy/biodiversity-strategy-2030_en</vt:lpwstr>
      </vt:variant>
      <vt:variant>
        <vt:lpwstr/>
      </vt:variant>
      <vt:variant>
        <vt:i4>8192029</vt:i4>
      </vt:variant>
      <vt:variant>
        <vt:i4>69</vt:i4>
      </vt:variant>
      <vt:variant>
        <vt:i4>0</vt:i4>
      </vt:variant>
      <vt:variant>
        <vt:i4>5</vt:i4>
      </vt:variant>
      <vt:variant>
        <vt:lpwstr>https://environment.ec.europa.eu/strategy/chemicals-strategy_en</vt:lpwstr>
      </vt:variant>
      <vt:variant>
        <vt:lpwstr/>
      </vt:variant>
      <vt:variant>
        <vt:i4>6422551</vt:i4>
      </vt:variant>
      <vt:variant>
        <vt:i4>66</vt:i4>
      </vt:variant>
      <vt:variant>
        <vt:i4>0</vt:i4>
      </vt:variant>
      <vt:variant>
        <vt:i4>5</vt:i4>
      </vt:variant>
      <vt:variant>
        <vt:lpwstr>https://environment.ec.europa.eu/strategy/zero-pollution-action-plan_en</vt:lpwstr>
      </vt:variant>
      <vt:variant>
        <vt:lpwstr/>
      </vt:variant>
      <vt:variant>
        <vt:i4>1245234</vt:i4>
      </vt:variant>
      <vt:variant>
        <vt:i4>63</vt:i4>
      </vt:variant>
      <vt:variant>
        <vt:i4>0</vt:i4>
      </vt:variant>
      <vt:variant>
        <vt:i4>5</vt:i4>
      </vt:variant>
      <vt:variant>
        <vt:lpwstr>https://year-of-skills.europa.eu/about_en</vt:lpwstr>
      </vt:variant>
      <vt:variant>
        <vt:lpwstr/>
      </vt:variant>
      <vt:variant>
        <vt:i4>6946890</vt:i4>
      </vt:variant>
      <vt:variant>
        <vt:i4>60</vt:i4>
      </vt:variant>
      <vt:variant>
        <vt:i4>0</vt:i4>
      </vt:variant>
      <vt:variant>
        <vt:i4>5</vt:i4>
      </vt:variant>
      <vt:variant>
        <vt:lpwstr>https://youth.europa.eu/year-of-youth_en</vt:lpwstr>
      </vt:variant>
      <vt:variant>
        <vt:lpwstr/>
      </vt:variant>
      <vt:variant>
        <vt:i4>6160469</vt:i4>
      </vt:variant>
      <vt:variant>
        <vt:i4>57</vt:i4>
      </vt:variant>
      <vt:variant>
        <vt:i4>0</vt:i4>
      </vt:variant>
      <vt:variant>
        <vt:i4>5</vt:i4>
      </vt:variant>
      <vt:variant>
        <vt:lpwstr>https://ec.europa.eu/social/main.jsp?catId=1484&amp;langId=en</vt:lpwstr>
      </vt:variant>
      <vt:variant>
        <vt:lpwstr/>
      </vt:variant>
      <vt:variant>
        <vt:i4>458864</vt:i4>
      </vt:variant>
      <vt:variant>
        <vt:i4>54</vt:i4>
      </vt:variant>
      <vt:variant>
        <vt:i4>0</vt:i4>
      </vt:variant>
      <vt:variant>
        <vt:i4>5</vt:i4>
      </vt:variant>
      <vt:variant>
        <vt:lpwstr>https://commission.europa.eu/publications/new-eu-roma-strategic-framework-equality-inclusion-and-participation-full-package_en</vt:lpwstr>
      </vt:variant>
      <vt:variant>
        <vt:lpwstr/>
      </vt:variant>
      <vt:variant>
        <vt:i4>6684683</vt:i4>
      </vt:variant>
      <vt:variant>
        <vt:i4>51</vt:i4>
      </vt:variant>
      <vt:variant>
        <vt:i4>0</vt:i4>
      </vt:variant>
      <vt:variant>
        <vt:i4>5</vt:i4>
      </vt:variant>
      <vt:variant>
        <vt:lpwstr>https://commission.europa.eu/strategy-and-policy/policies/justice-and-fundamental-rights/combatting-discrimination/lesbian-gay-bi-trans-and-intersex-equality/lgbtiq-equality-strategy-2020-2025_en</vt:lpwstr>
      </vt:variant>
      <vt:variant>
        <vt:lpwstr/>
      </vt:variant>
      <vt:variant>
        <vt:i4>7209024</vt:i4>
      </vt:variant>
      <vt:variant>
        <vt:i4>48</vt:i4>
      </vt:variant>
      <vt:variant>
        <vt:i4>0</vt:i4>
      </vt:variant>
      <vt:variant>
        <vt:i4>5</vt:i4>
      </vt:variant>
      <vt:variant>
        <vt:lpwstr>https://commission.europa.eu/strategy-and-policy/policies/justice-and-fundamental-rights/gender-equality/gender-equality-strategy_en</vt:lpwstr>
      </vt:variant>
      <vt:variant>
        <vt:lpwstr/>
      </vt:variant>
      <vt:variant>
        <vt:i4>6946880</vt:i4>
      </vt:variant>
      <vt:variant>
        <vt:i4>45</vt:i4>
      </vt:variant>
      <vt:variant>
        <vt:i4>0</vt:i4>
      </vt:variant>
      <vt:variant>
        <vt:i4>5</vt:i4>
      </vt:variant>
      <vt:variant>
        <vt:lpwstr>https://www.oecd-ilibrary.org/social-issues-migration-health/fitter-minds-fitter-jobs_a0815d0f-en</vt:lpwstr>
      </vt:variant>
      <vt:variant>
        <vt:lpwstr/>
      </vt:variant>
      <vt:variant>
        <vt:i4>4259909</vt:i4>
      </vt:variant>
      <vt:variant>
        <vt:i4>42</vt:i4>
      </vt:variant>
      <vt:variant>
        <vt:i4>0</vt:i4>
      </vt:variant>
      <vt:variant>
        <vt:i4>5</vt:i4>
      </vt:variant>
      <vt:variant>
        <vt:lpwstr>https://apps.who.int/iris/rest/bitstreams/516560/retrieve</vt:lpwstr>
      </vt:variant>
      <vt:variant>
        <vt:lpwstr/>
      </vt:variant>
      <vt:variant>
        <vt:i4>3080236</vt:i4>
      </vt:variant>
      <vt:variant>
        <vt:i4>39</vt:i4>
      </vt:variant>
      <vt:variant>
        <vt:i4>0</vt:i4>
      </vt:variant>
      <vt:variant>
        <vt:i4>5</vt:i4>
      </vt:variant>
      <vt:variant>
        <vt:lpwstr>https://www.thelancet.com/journals/lanpub/article/PIIS2468-2667%2820%2930144-4/fulltext</vt:lpwstr>
      </vt:variant>
      <vt:variant>
        <vt:lpwstr/>
      </vt:variant>
      <vt:variant>
        <vt:i4>6881337</vt:i4>
      </vt:variant>
      <vt:variant>
        <vt:i4>36</vt:i4>
      </vt:variant>
      <vt:variant>
        <vt:i4>0</vt:i4>
      </vt:variant>
      <vt:variant>
        <vt:i4>5</vt:i4>
      </vt:variant>
      <vt:variant>
        <vt:lpwstr>https://www.who.int/teams/noncommunicable-diseases/on-the-road-to-2025</vt:lpwstr>
      </vt:variant>
      <vt:variant>
        <vt:lpwstr/>
      </vt:variant>
      <vt:variant>
        <vt:i4>6488084</vt:i4>
      </vt:variant>
      <vt:variant>
        <vt:i4>33</vt:i4>
      </vt:variant>
      <vt:variant>
        <vt:i4>0</vt:i4>
      </vt:variant>
      <vt:variant>
        <vt:i4>5</vt:i4>
      </vt:variant>
      <vt:variant>
        <vt:lpwstr>https://commission.europa.eu/aid-development-cooperation-fundamental-rights/your-rights-eu/eu-charter-fundamental-rights_en</vt:lpwstr>
      </vt:variant>
      <vt:variant>
        <vt:lpwstr/>
      </vt:variant>
      <vt:variant>
        <vt:i4>3997704</vt:i4>
      </vt:variant>
      <vt:variant>
        <vt:i4>30</vt:i4>
      </vt:variant>
      <vt:variant>
        <vt:i4>0</vt:i4>
      </vt:variant>
      <vt:variant>
        <vt:i4>5</vt:i4>
      </vt:variant>
      <vt:variant>
        <vt:lpwstr>https://commission.europa.eu/strategy-and-policy_en</vt:lpwstr>
      </vt:variant>
      <vt:variant>
        <vt:lpwstr/>
      </vt:variant>
      <vt:variant>
        <vt:i4>2162783</vt:i4>
      </vt:variant>
      <vt:variant>
        <vt:i4>27</vt:i4>
      </vt:variant>
      <vt:variant>
        <vt:i4>0</vt:i4>
      </vt:variant>
      <vt:variant>
        <vt:i4>5</vt:i4>
      </vt:variant>
      <vt:variant>
        <vt:lpwstr>https://state-of-the-union.ec.europa.eu/system/files/2022-09/SOTEU_2022_Address_EN.pdf</vt:lpwstr>
      </vt:variant>
      <vt:variant>
        <vt:lpwstr/>
      </vt:variant>
      <vt:variant>
        <vt:i4>1048701</vt:i4>
      </vt:variant>
      <vt:variant>
        <vt:i4>24</vt:i4>
      </vt:variant>
      <vt:variant>
        <vt:i4>0</vt:i4>
      </vt:variant>
      <vt:variant>
        <vt:i4>5</vt:i4>
      </vt:variant>
      <vt:variant>
        <vt:lpwstr>https://commission.europa.eu/strategy-and-policy/priorities-2019-2024/new-push-european-democracy/conference-future-europe_en</vt:lpwstr>
      </vt:variant>
      <vt:variant>
        <vt:lpwstr>:~:text=The%20Conference%20on%20the%20Future%20of%20Europe%20was,their%20ideas%20and%20help%20shape%20our%20common%20future.</vt:lpwstr>
      </vt:variant>
      <vt:variant>
        <vt:i4>4980809</vt:i4>
      </vt:variant>
      <vt:variant>
        <vt:i4>21</vt:i4>
      </vt:variant>
      <vt:variant>
        <vt:i4>0</vt:i4>
      </vt:variant>
      <vt:variant>
        <vt:i4>5</vt:i4>
      </vt:variant>
      <vt:variant>
        <vt:lpwstr>https://www.unicef.org/media/108121/file/SOWC-2021-Europe-regional-brief.pdf</vt:lpwstr>
      </vt:variant>
      <vt:variant>
        <vt:lpwstr/>
      </vt:variant>
      <vt:variant>
        <vt:i4>4980809</vt:i4>
      </vt:variant>
      <vt:variant>
        <vt:i4>18</vt:i4>
      </vt:variant>
      <vt:variant>
        <vt:i4>0</vt:i4>
      </vt:variant>
      <vt:variant>
        <vt:i4>5</vt:i4>
      </vt:variant>
      <vt:variant>
        <vt:lpwstr>https://www.unicef.org/media/108121/file/SOWC-2021-Europe-regional-brief.pdf</vt:lpwstr>
      </vt:variant>
      <vt:variant>
        <vt:lpwstr/>
      </vt:variant>
      <vt:variant>
        <vt:i4>1507416</vt:i4>
      </vt:variant>
      <vt:variant>
        <vt:i4>15</vt:i4>
      </vt:variant>
      <vt:variant>
        <vt:i4>0</vt:i4>
      </vt:variant>
      <vt:variant>
        <vt:i4>5</vt:i4>
      </vt:variant>
      <vt:variant>
        <vt:lpwstr>https://www.cambridge.org/core/journals/european-psychiatry/article/consequences-of-the-covid19-pandemic-on-mental-health-and-implications-for-clinical-practice/E2826D643255F9D51896673F205ABF28</vt:lpwstr>
      </vt:variant>
      <vt:variant>
        <vt:lpwstr/>
      </vt:variant>
      <vt:variant>
        <vt:i4>1638451</vt:i4>
      </vt:variant>
      <vt:variant>
        <vt:i4>12</vt:i4>
      </vt:variant>
      <vt:variant>
        <vt:i4>0</vt:i4>
      </vt:variant>
      <vt:variant>
        <vt:i4>5</vt:i4>
      </vt:variant>
      <vt:variant>
        <vt:lpwstr>https://joint-research-centre.ec.europa.eu/jrc-news-and-updates/new-report-loneliness-doubles-europe-during-pandemic-2021-07-26_en</vt:lpwstr>
      </vt:variant>
      <vt:variant>
        <vt:lpwstr/>
      </vt:variant>
      <vt:variant>
        <vt:i4>5505089</vt:i4>
      </vt:variant>
      <vt:variant>
        <vt:i4>9</vt:i4>
      </vt:variant>
      <vt:variant>
        <vt:i4>0</vt:i4>
      </vt:variant>
      <vt:variant>
        <vt:i4>5</vt:i4>
      </vt:variant>
      <vt:variant>
        <vt:lpwstr>https://national-policies.eacea.ec.europa.eu/youthwiki/publications/the-impact-of-the-covid-19-pandemic-on-the-mental-health-of-young-people</vt:lpwstr>
      </vt:variant>
      <vt:variant>
        <vt:lpwstr/>
      </vt:variant>
      <vt:variant>
        <vt:i4>6225938</vt:i4>
      </vt:variant>
      <vt:variant>
        <vt:i4>6</vt:i4>
      </vt:variant>
      <vt:variant>
        <vt:i4>0</vt:i4>
      </vt:variant>
      <vt:variant>
        <vt:i4>5</vt:i4>
      </vt:variant>
      <vt:variant>
        <vt:lpwstr>https://ec.europa.eu/eurostat/en/web/products-eurostat-news/-/edn-20210910-1</vt:lpwstr>
      </vt:variant>
      <vt:variant>
        <vt:lpwstr/>
      </vt:variant>
      <vt:variant>
        <vt:i4>4849771</vt:i4>
      </vt:variant>
      <vt:variant>
        <vt:i4>3</vt:i4>
      </vt:variant>
      <vt:variant>
        <vt:i4>0</vt:i4>
      </vt:variant>
      <vt:variant>
        <vt:i4>5</vt:i4>
      </vt:variant>
      <vt:variant>
        <vt:lpwstr>https://health.ec.europa.eu/state-health-eu/health-glance-europe/health-glance-europe-2018_en</vt:lpwstr>
      </vt:variant>
      <vt:variant>
        <vt:lpwstr/>
      </vt:variant>
      <vt:variant>
        <vt:i4>5636174</vt:i4>
      </vt:variant>
      <vt:variant>
        <vt:i4>0</vt:i4>
      </vt:variant>
      <vt:variant>
        <vt:i4>0</vt:i4>
      </vt:variant>
      <vt:variant>
        <vt:i4>5</vt:i4>
      </vt:variant>
      <vt:variant>
        <vt:lpwstr>https://www.who.int/data/gho/data/themes/theme-details/GHO/mental-health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2023-06-06T13:53:00Z</dcterms:created>
  <dcterms:modified xsi:type="dcterms:W3CDTF">2023-06-06T15:26:00Z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2023-05-18T14:32:15Z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ede5554c-1a15-4218-ae8d-8c3bdd77c5d1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ContentTypeId">
    <vt:lpwstr>0x010100558A9062EACDD346A205950B04F12AAC</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