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CBEA28" w14:textId="7143AAF0" w:rsidR="00AC0378" w:rsidRPr="000E4437" w:rsidRDefault="00321324" w:rsidP="00321324">
      <w:pPr>
        <w:pStyle w:val="Pagedecouverture"/>
        <w:rPr>
          <w:noProof/>
        </w:rPr>
      </w:pPr>
      <w:bookmarkStart w:id="0" w:name="LW_BM_COVERPAGE"/>
      <w:r>
        <w:rPr>
          <w:noProof/>
        </w:rPr>
        <w:pict w14:anchorId="6A701D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B36C8CA4-1C51-4355-ACC6-C7D2B4718885" style="width:455.25pt;height:310.5pt">
            <v:imagedata r:id="rId8" o:title=""/>
          </v:shape>
        </w:pict>
      </w:r>
    </w:p>
    <w:bookmarkEnd w:id="0"/>
    <w:p w14:paraId="4CE3005C" w14:textId="77777777" w:rsidR="00AC0378" w:rsidRPr="000E4437" w:rsidRDefault="00AC0378">
      <w:pPr>
        <w:rPr>
          <w:noProof/>
        </w:rPr>
        <w:sectPr w:rsidR="00AC0378" w:rsidRPr="000E4437" w:rsidSect="0032132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E248BF3" w14:textId="29C49EC3" w:rsidR="000E4437" w:rsidRPr="000E4437" w:rsidRDefault="000E4437" w:rsidP="000E4437">
      <w:pPr>
        <w:pStyle w:val="Typedudocument"/>
        <w:rPr>
          <w:noProof/>
        </w:rPr>
      </w:pPr>
      <w:bookmarkStart w:id="1" w:name="_GoBack"/>
      <w:bookmarkEnd w:id="1"/>
      <w:r w:rsidRPr="000E4437">
        <w:rPr>
          <w:noProof/>
        </w:rPr>
        <w:lastRenderedPageBreak/>
        <w:t>COMUNICARE A COMISIEI CĂTRE PARLAMENTUL EUROPEAN ȘI CONSILIU</w:t>
      </w:r>
    </w:p>
    <w:p w14:paraId="1C629EE9" w14:textId="2F8CDACC" w:rsidR="000E4437" w:rsidRPr="000E4437" w:rsidRDefault="000E4437" w:rsidP="000E4437">
      <w:pPr>
        <w:pStyle w:val="Titreobjet"/>
        <w:rPr>
          <w:noProof/>
        </w:rPr>
      </w:pPr>
      <w:r w:rsidRPr="000E4437">
        <w:rPr>
          <w:noProof/>
        </w:rPr>
        <w:t>Pescuit sustenabil în UE: situația actuală și orientări pentru 2024</w:t>
      </w:r>
    </w:p>
    <w:p w14:paraId="35E7F7BE" w14:textId="064190F4" w:rsidR="00AC0378" w:rsidRPr="000E4437" w:rsidRDefault="001D6309">
      <w:pPr>
        <w:pStyle w:val="Heading1"/>
        <w:rPr>
          <w:noProof/>
        </w:rPr>
      </w:pPr>
      <w:r w:rsidRPr="000E4437">
        <w:rPr>
          <w:noProof/>
        </w:rPr>
        <w:t>Introducere</w:t>
      </w:r>
    </w:p>
    <w:p w14:paraId="1F181342" w14:textId="2953CC3F" w:rsidR="00AC0378" w:rsidRPr="000E4437" w:rsidRDefault="001D6309" w:rsidP="0003019D">
      <w:pPr>
        <w:jc w:val="both"/>
        <w:rPr>
          <w:rFonts w:ascii="Times New Roman" w:hAnsi="Times New Roman" w:cs="Times New Roman"/>
          <w:noProof/>
          <w:sz w:val="24"/>
          <w:szCs w:val="24"/>
        </w:rPr>
      </w:pPr>
      <w:r w:rsidRPr="000E4437">
        <w:rPr>
          <w:rFonts w:ascii="Times New Roman" w:hAnsi="Times New Roman"/>
          <w:noProof/>
          <w:sz w:val="24"/>
        </w:rPr>
        <w:t>Prezenta comunicare oferă detalii suplimentare cu privire la situația activităților de pescuit din Europa, monitorizate în 2022. De asemenea, sunt prezentate propunerile Comisiei și consultările cu țările terțe cu privire la posibilitățile de pescuit pentru 2024. Scopul este de a îmbunătăți reziliența pescarilor, de a stimula refacerea stocurilor în vederea atingerii producției maxime sustenabile (MSY) și de a menține stocuri sănătoase la nivelul MSY.</w:t>
      </w:r>
    </w:p>
    <w:p w14:paraId="79A79FA4" w14:textId="0A3D2B9A" w:rsidR="00A12484" w:rsidRPr="000E4437" w:rsidRDefault="00C70F89" w:rsidP="0003019D">
      <w:pPr>
        <w:jc w:val="both"/>
        <w:rPr>
          <w:rFonts w:ascii="Times New Roman" w:hAnsi="Times New Roman" w:cs="Times New Roman"/>
          <w:noProof/>
          <w:sz w:val="24"/>
          <w:szCs w:val="24"/>
        </w:rPr>
      </w:pPr>
      <w:r w:rsidRPr="000E4437">
        <w:rPr>
          <w:rFonts w:ascii="Times New Roman" w:hAnsi="Times New Roman"/>
          <w:b/>
          <w:noProof/>
          <w:sz w:val="24"/>
        </w:rPr>
        <w:t>Mult mai puține stocuri de pește sunt în prezent pescuite în mod excesiv, iar pescarii înregistrează câștiguri socioeconomice din anumite stocuri care sunt gestionate la niveluri mai sănătoase de ceva timp</w:t>
      </w:r>
      <w:r w:rsidRPr="000E4437">
        <w:rPr>
          <w:rFonts w:ascii="Times New Roman" w:hAnsi="Times New Roman"/>
          <w:noProof/>
          <w:sz w:val="24"/>
        </w:rPr>
        <w:t xml:space="preserve">. Cu toate acestea, prețurile ridicate ale combustibililor au subminat câștigurile obținute, ceea ce a demonstrat necesitatea de a consolida reziliența, făcând flota de pescuit a UE mai puțin dependentă de combustibilii fosili și de a conserva stocurile de pește. Pentru a aborda principalele provocări și a îmbunătăți reziliența pescuitului din UE, Comisia a lansat un proces de cooperare cuprinzător și constructiv în cadrul </w:t>
      </w:r>
      <w:r w:rsidRPr="000E4437">
        <w:rPr>
          <w:rFonts w:ascii="Times New Roman" w:hAnsi="Times New Roman"/>
          <w:b/>
          <w:noProof/>
          <w:sz w:val="24"/>
        </w:rPr>
        <w:t>pachetului privind pescuitul și oceanele</w:t>
      </w:r>
      <w:r w:rsidRPr="000E4437">
        <w:rPr>
          <w:rFonts w:ascii="Times New Roman" w:hAnsi="Times New Roman" w:cs="Times New Roman"/>
          <w:noProof/>
          <w:sz w:val="24"/>
          <w:szCs w:val="24"/>
          <w:vertAlign w:val="superscript"/>
        </w:rPr>
        <w:footnoteReference w:id="2"/>
      </w:r>
      <w:r w:rsidRPr="000E4437">
        <w:rPr>
          <w:rFonts w:ascii="Times New Roman" w:hAnsi="Times New Roman"/>
          <w:noProof/>
          <w:sz w:val="24"/>
        </w:rPr>
        <w:t>. Este esențial să se continue acest angajament și acest dialog.</w:t>
      </w:r>
    </w:p>
    <w:p w14:paraId="1333789C" w14:textId="02611977" w:rsidR="00183614" w:rsidRPr="000E4437" w:rsidRDefault="007A15CD" w:rsidP="0003019D">
      <w:pPr>
        <w:jc w:val="both"/>
        <w:rPr>
          <w:rFonts w:ascii="Times New Roman" w:hAnsi="Times New Roman"/>
          <w:noProof/>
          <w:sz w:val="24"/>
        </w:rPr>
      </w:pPr>
      <w:bookmarkStart w:id="2" w:name="_Hlk132741266"/>
      <w:r w:rsidRPr="000E4437">
        <w:rPr>
          <w:rFonts w:ascii="Times New Roman" w:hAnsi="Times New Roman"/>
          <w:noProof/>
          <w:sz w:val="24"/>
        </w:rPr>
        <w:t>Începând din februarie 2022, agresiunea militară a Rusiei împotriva Ucrainei a avut un impact asupra pescuitului din UE în mai multe moduri, în special în Marea Neagră. Aceasta a condus la perturbări continue ale activităților de pescuit și ale fluxurilor comerciale, a avut un impact asupra avizelor științifice și asupra anumitor negocieri la nivel internațional.</w:t>
      </w:r>
      <w:r w:rsidRPr="000E4437">
        <w:rPr>
          <w:noProof/>
        </w:rPr>
        <w:t xml:space="preserve"> </w:t>
      </w:r>
      <w:r w:rsidRPr="000E4437">
        <w:rPr>
          <w:rFonts w:ascii="Times New Roman" w:hAnsi="Times New Roman"/>
          <w:noProof/>
          <w:sz w:val="24"/>
        </w:rPr>
        <w:t>Acest lucru demonstrează importanța stimulării rezilienței pentru a asigura securitatea alimentară în Europa, a îndeplinirii obiectivelor Pactului verde</w:t>
      </w:r>
      <w:r w:rsidRPr="000E4437">
        <w:rPr>
          <w:rStyle w:val="FootnoteReference"/>
          <w:rFonts w:ascii="Times New Roman" w:hAnsi="Times New Roman"/>
          <w:noProof/>
          <w:sz w:val="24"/>
        </w:rPr>
        <w:footnoteReference w:id="3"/>
      </w:r>
      <w:r w:rsidRPr="000E4437">
        <w:rPr>
          <w:rFonts w:ascii="Times New Roman" w:hAnsi="Times New Roman"/>
          <w:noProof/>
          <w:sz w:val="24"/>
        </w:rPr>
        <w:t xml:space="preserve"> și a luării de măsuri suplimentare în ceea ce privește inovarea și tranziția energetică, astfel cum se subliniază în pachetul privind pescuitul și oceanele. </w:t>
      </w:r>
    </w:p>
    <w:bookmarkEnd w:id="2"/>
    <w:p w14:paraId="7317B796" w14:textId="77777777" w:rsidR="00616704" w:rsidRPr="000E4437" w:rsidRDefault="001D6309" w:rsidP="00616704">
      <w:pPr>
        <w:pStyle w:val="Heading1"/>
        <w:rPr>
          <w:noProof/>
        </w:rPr>
      </w:pPr>
      <w:r w:rsidRPr="000E4437">
        <w:rPr>
          <w:noProof/>
        </w:rPr>
        <w:t>Progresele înregistrate în direcția realizării unui pescuit sustenabil în UE</w:t>
      </w:r>
    </w:p>
    <w:p w14:paraId="6FEAFD8F" w14:textId="2EC2B3FA" w:rsidR="009E6411" w:rsidRPr="000E4437" w:rsidRDefault="00183614">
      <w:pPr>
        <w:pStyle w:val="Text2"/>
        <w:ind w:left="0"/>
        <w:rPr>
          <w:noProof/>
          <w:color w:val="000000"/>
          <w:szCs w:val="24"/>
        </w:rPr>
      </w:pPr>
      <w:r w:rsidRPr="000E4437">
        <w:rPr>
          <w:noProof/>
          <w:color w:val="000000"/>
        </w:rPr>
        <w:t xml:space="preserve">Pescuitul sustenabil înseamnă să nu se captureze un volum de pește mai mare decât cel pe care îl pot reproduce </w:t>
      </w:r>
      <w:r w:rsidR="000E4437" w:rsidRPr="000E4437">
        <w:rPr>
          <w:noProof/>
          <w:color w:val="000000"/>
        </w:rPr>
        <w:t xml:space="preserve">stocurile </w:t>
      </w:r>
      <w:r w:rsidRPr="000E4437">
        <w:rPr>
          <w:noProof/>
          <w:color w:val="000000"/>
        </w:rPr>
        <w:t>în fiecare an. Un stoc este pescuit în mod sustenabil la nivelul MSY atunci când raportul dintre mortalitatea prin pescuit efectivă (F) și mortalitatea prin pescuit la nivelul MSY (F</w:t>
      </w:r>
      <w:r w:rsidRPr="000E4437">
        <w:rPr>
          <w:noProof/>
          <w:color w:val="000000"/>
          <w:vertAlign w:val="subscript"/>
        </w:rPr>
        <w:t>MSY</w:t>
      </w:r>
      <w:r w:rsidRPr="000E4437">
        <w:rPr>
          <w:noProof/>
          <w:color w:val="000000"/>
        </w:rPr>
        <w:t>) este mai mic sau egal cu 1</w:t>
      </w:r>
      <w:r w:rsidRPr="000E4437">
        <w:rPr>
          <w:rStyle w:val="FootnoteReference"/>
          <w:noProof/>
          <w:color w:val="000000"/>
          <w:szCs w:val="24"/>
        </w:rPr>
        <w:footnoteReference w:id="4"/>
      </w:r>
      <w:r w:rsidRPr="000E4437">
        <w:rPr>
          <w:noProof/>
          <w:color w:val="000000"/>
        </w:rPr>
        <w:t xml:space="preserve">. </w:t>
      </w:r>
    </w:p>
    <w:p w14:paraId="250E51C2" w14:textId="63A3EC5F" w:rsidR="00B26833" w:rsidRPr="000E4437" w:rsidRDefault="00B26833">
      <w:pPr>
        <w:pStyle w:val="Text2"/>
        <w:ind w:left="0"/>
        <w:rPr>
          <w:noProof/>
        </w:rPr>
      </w:pPr>
      <w:r w:rsidRPr="000E4437">
        <w:rPr>
          <w:noProof/>
        </w:rPr>
        <w:t xml:space="preserve">Datorită investițiilor realizate de pescari și de administrațiile naționale și a angajamentului pe care și l-au asumat Parlamentul European, Consiliul și Comisia de a gestiona pescuitul în mod responsabil, pescuitul a devenit mai sustenabil și în prezent mult mai puține stocuri sunt supraexploatate în UE. </w:t>
      </w:r>
    </w:p>
    <w:p w14:paraId="6D8042A7" w14:textId="1EF0163A" w:rsidR="00047D5C" w:rsidRPr="000E4437" w:rsidRDefault="001D6309">
      <w:pPr>
        <w:pStyle w:val="Text2"/>
        <w:ind w:left="0"/>
        <w:rPr>
          <w:noProof/>
        </w:rPr>
      </w:pPr>
      <w:r w:rsidRPr="000E4437">
        <w:rPr>
          <w:noProof/>
        </w:rPr>
        <w:t xml:space="preserve">În 2003, majoritatea stocurilor de interes pentru UE erau puternic supraexploatate, iar rata medie a mortalității prin pescuit în </w:t>
      </w:r>
      <w:r w:rsidRPr="000E4437">
        <w:rPr>
          <w:b/>
          <w:noProof/>
        </w:rPr>
        <w:t>Atlanticul de Nord-Est</w:t>
      </w:r>
      <w:r w:rsidRPr="000E4437">
        <w:rPr>
          <w:noProof/>
        </w:rPr>
        <w:t xml:space="preserve"> era de 1,68 F</w:t>
      </w:r>
      <w:r w:rsidRPr="000E4437">
        <w:rPr>
          <w:noProof/>
          <w:vertAlign w:val="subscript"/>
        </w:rPr>
        <w:t xml:space="preserve">MSY. </w:t>
      </w:r>
      <w:r w:rsidRPr="000E4437">
        <w:rPr>
          <w:noProof/>
        </w:rPr>
        <w:t>De atunci, rata a scăzut, atingând în 2021 cea mai scăzută valoare de 0,76</w:t>
      </w:r>
      <w:r w:rsidRPr="000E4437">
        <w:rPr>
          <w:noProof/>
          <w:vertAlign w:val="subscript"/>
        </w:rPr>
        <w:t xml:space="preserve">. </w:t>
      </w:r>
      <w:r w:rsidRPr="000E4437">
        <w:rPr>
          <w:noProof/>
        </w:rPr>
        <w:t xml:space="preserve">În </w:t>
      </w:r>
      <w:r w:rsidRPr="000E4437">
        <w:rPr>
          <w:b/>
          <w:noProof/>
        </w:rPr>
        <w:t>Marea Mediterană și în Marea Neagră,</w:t>
      </w:r>
      <w:r w:rsidRPr="000E4437">
        <w:rPr>
          <w:noProof/>
        </w:rPr>
        <w:t xml:space="preserve"> rata medie a mortalității a scăzut de la 2,06 F</w:t>
      </w:r>
      <w:r w:rsidRPr="000E4437">
        <w:rPr>
          <w:noProof/>
          <w:vertAlign w:val="subscript"/>
        </w:rPr>
        <w:t>MSY</w:t>
      </w:r>
      <w:r w:rsidRPr="000E4437">
        <w:rPr>
          <w:noProof/>
        </w:rPr>
        <w:t xml:space="preserve"> în 2003 la 1,7 în 2020</w:t>
      </w:r>
      <w:r w:rsidRPr="000E4437">
        <w:rPr>
          <w:rStyle w:val="FootnoteReference"/>
          <w:noProof/>
        </w:rPr>
        <w:footnoteReference w:id="5"/>
      </w:r>
      <w:r w:rsidRPr="000E4437">
        <w:rPr>
          <w:noProof/>
        </w:rPr>
        <w:t xml:space="preserve">, iar situația s-a îmbunătățit, în prezent fiind disponibile mai multe evaluări ale stocurilor în comparație cu anul precedent. Rata mortalității prin pescuit a scăzut cel mai mult în estul Mării Mediterane, urmată de Marea Neagră și vestul Mării Mediterane. În zona centrală a Mării Mediterane nu s-au înregistrat multe schimbări. </w:t>
      </w:r>
    </w:p>
    <w:p w14:paraId="0DF49ED0" w14:textId="752DCD8A" w:rsidR="008B5A0D" w:rsidRPr="000E4437" w:rsidRDefault="008B5A0D" w:rsidP="008B5A0D">
      <w:pPr>
        <w:jc w:val="both"/>
        <w:rPr>
          <w:rFonts w:ascii="Times New Roman" w:hAnsi="Times New Roman" w:cs="Times New Roman"/>
          <w:noProof/>
          <w:sz w:val="24"/>
          <w:szCs w:val="24"/>
        </w:rPr>
      </w:pPr>
      <w:r w:rsidRPr="000E4437">
        <w:rPr>
          <w:rFonts w:ascii="Times New Roman" w:hAnsi="Times New Roman"/>
          <w:noProof/>
          <w:sz w:val="24"/>
        </w:rPr>
        <w:t>În zonele în care rata mortalității prin pescuit a scăzut, biomasa stocului de pește este în creștere</w:t>
      </w:r>
      <w:r w:rsidRPr="000E4437">
        <w:rPr>
          <w:rStyle w:val="FootnoteReference"/>
          <w:rFonts w:ascii="Times New Roman" w:hAnsi="Times New Roman" w:cs="Times New Roman"/>
          <w:noProof/>
          <w:sz w:val="24"/>
          <w:szCs w:val="24"/>
        </w:rPr>
        <w:footnoteReference w:id="6"/>
      </w:r>
      <w:r w:rsidRPr="000E4437">
        <w:rPr>
          <w:rFonts w:ascii="Times New Roman" w:hAnsi="Times New Roman"/>
          <w:noProof/>
          <w:sz w:val="24"/>
        </w:rPr>
        <w:t>. Acest lucru contribuie la îmbunătățirea capturilor și a profitabilității activităților de pescuit, precum și la creșterea eficienței acestora în ceea ce privește emisiile de carbon (exprimate în kg de pește capturat per kg de carbon emis). Pentru a ilustra valoarea unei bune gestionări, în Golful Biscaya, pentru prima dată în cadrul politicii comune în domeniul pescuitului</w:t>
      </w:r>
      <w:r w:rsidRPr="000E4437">
        <w:rPr>
          <w:rStyle w:val="FootnoteReference"/>
          <w:rFonts w:ascii="Times New Roman" w:hAnsi="Times New Roman" w:cs="Times New Roman"/>
          <w:noProof/>
          <w:sz w:val="24"/>
          <w:szCs w:val="24"/>
        </w:rPr>
        <w:footnoteReference w:id="7"/>
      </w:r>
      <w:r w:rsidRPr="000E4437">
        <w:rPr>
          <w:rFonts w:ascii="Times New Roman" w:hAnsi="Times New Roman"/>
          <w:noProof/>
          <w:sz w:val="24"/>
        </w:rPr>
        <w:t xml:space="preserve"> (PCP), niciun stoc nu a fost supraexploatat în 2021. Creșterea populațiilor de pești din acea zonă a fost remarcabilă, atingând un nivel de abundență de peste trei ori mai mare față de cel înregistrat în 2003.</w:t>
      </w:r>
    </w:p>
    <w:p w14:paraId="01034E38" w14:textId="2594B601" w:rsidR="005670EA" w:rsidRPr="000E4437" w:rsidRDefault="007E1D5F" w:rsidP="005670EA">
      <w:pPr>
        <w:pBdr>
          <w:top w:val="nil"/>
          <w:left w:val="nil"/>
          <w:bottom w:val="nil"/>
          <w:right w:val="nil"/>
          <w:between w:val="nil"/>
        </w:pBdr>
        <w:spacing w:before="200"/>
        <w:jc w:val="both"/>
        <w:rPr>
          <w:rFonts w:ascii="Times New Roman" w:hAnsi="Times New Roman"/>
          <w:noProof/>
          <w:color w:val="000000" w:themeColor="text1"/>
          <w:sz w:val="24"/>
          <w:szCs w:val="24"/>
        </w:rPr>
      </w:pPr>
      <w:r w:rsidRPr="000E4437">
        <w:rPr>
          <w:rFonts w:ascii="Times New Roman" w:hAnsi="Times New Roman"/>
          <w:noProof/>
          <w:color w:val="000000" w:themeColor="text1"/>
          <w:sz w:val="24"/>
        </w:rPr>
        <w:t xml:space="preserve">Declarațiile de debarcare și notele de vânzare sunt esențiale pentru monitorizarea utilizării cotelor și pentru raportarea datelor agregate privind capturile. Raportarea exactă este esențială, deoarece reprezintă baza pentru un pescuit sustenabil și pentru date științifice de încredere. Cu toate acestea, există în continuare probleme în a asigura înregistrarea corespunzătoare a tuturor capturilor și deducerea acestora din cote, având în vedere deficiențele în ceea ce privește modul în care statele membre cântăresc toate produsele pescărești debarcate și le înregistrează cu exactitate în documentele de înregistrare a capturilor. Aceasta este o constatare recurentă în evaluările efectuate de Comisie în mai multe bazine maritime în anii precedenți. Comisia a urmărit cazurile de nerespectare prin deschiderea unui alt ciclu de evaluare în 2022 și prin proceduri de constatare a neîndeplinirii obligațiilor care impun statelor membre să adopte măsuri pentru a-și raporta cu exactitate capturile. </w:t>
      </w:r>
    </w:p>
    <w:p w14:paraId="76DC72E9" w14:textId="06169CD2" w:rsidR="00AC0378" w:rsidRPr="000E4437" w:rsidRDefault="001D6309" w:rsidP="008E21AB">
      <w:pPr>
        <w:jc w:val="both"/>
        <w:rPr>
          <w:rFonts w:ascii="Times New Roman" w:hAnsi="Times New Roman" w:cs="Times New Roman"/>
          <w:noProof/>
          <w:sz w:val="24"/>
          <w:szCs w:val="24"/>
        </w:rPr>
      </w:pPr>
      <w:r w:rsidRPr="000E4437">
        <w:rPr>
          <w:rFonts w:ascii="Times New Roman" w:hAnsi="Times New Roman"/>
          <w:noProof/>
          <w:sz w:val="24"/>
        </w:rPr>
        <w:t>În medie, stocurile din Atlanticul de Nord-Est se încadrează în prezent în intervalul compatibil cu obiectivele PCP privind rata mortalității prin pescuit. Deși în 2022 s-au înregistrat progrese satisfăcătoare în direcția îndeplinirii obiectivelor stabilite în cadrul PCP, sunt necesare progrese suplimentare, în special în Marea Mediterană și în Marea Neagră.</w:t>
      </w:r>
    </w:p>
    <w:p w14:paraId="3A5CFCDD" w14:textId="3C9EFA43" w:rsidR="00AC0378" w:rsidRPr="000E4437" w:rsidRDefault="00616704" w:rsidP="00616704">
      <w:pPr>
        <w:pStyle w:val="Heading2"/>
        <w:rPr>
          <w:noProof/>
        </w:rPr>
      </w:pPr>
      <w:r w:rsidRPr="000E4437">
        <w:rPr>
          <w:noProof/>
        </w:rPr>
        <w:t>2.1. Posibilități de pescuit în 2023</w:t>
      </w:r>
    </w:p>
    <w:p w14:paraId="1C5D6A94" w14:textId="6085FC01" w:rsidR="00AC0378" w:rsidRPr="000E4437" w:rsidRDefault="001D6309">
      <w:pPr>
        <w:spacing w:after="120"/>
        <w:jc w:val="both"/>
        <w:rPr>
          <w:rFonts w:ascii="Times New Roman" w:hAnsi="Times New Roman"/>
          <w:noProof/>
          <w:color w:val="000000" w:themeColor="text1"/>
          <w:sz w:val="24"/>
          <w:szCs w:val="24"/>
        </w:rPr>
      </w:pPr>
      <w:r w:rsidRPr="000E4437">
        <w:rPr>
          <w:rFonts w:ascii="Times New Roman" w:hAnsi="Times New Roman"/>
          <w:noProof/>
          <w:sz w:val="24"/>
        </w:rPr>
        <w:t xml:space="preserve">Posibilitățile de pescuit reprezintă </w:t>
      </w:r>
      <w:r w:rsidRPr="000E4437">
        <w:rPr>
          <w:rFonts w:ascii="Times New Roman" w:hAnsi="Times New Roman"/>
          <w:noProof/>
          <w:color w:val="000000" w:themeColor="text1"/>
          <w:sz w:val="24"/>
        </w:rPr>
        <w:t>un pas important în gestionarea sustenabilă a pescuitului.</w:t>
      </w:r>
      <w:r w:rsidRPr="000E4437">
        <w:rPr>
          <w:noProof/>
        </w:rPr>
        <w:t xml:space="preserve"> </w:t>
      </w:r>
      <w:r w:rsidRPr="000E4437">
        <w:rPr>
          <w:rFonts w:ascii="Times New Roman" w:hAnsi="Times New Roman"/>
          <w:noProof/>
          <w:color w:val="000000" w:themeColor="text1"/>
          <w:sz w:val="24"/>
        </w:rPr>
        <w:t>În Oceanul Atlantic, Marea Baltică și zona Skagerrak/Kattegat, posibilitățile de pescuit sunt definite, în principal, ca limite de captură [cunoscute sub denumirea de capturi totale admisibile (TAC-uri)].</w:t>
      </w:r>
    </w:p>
    <w:p w14:paraId="46CE7466" w14:textId="56F71A2F" w:rsidR="00AC0378" w:rsidRPr="000E4437" w:rsidRDefault="0091430F" w:rsidP="00616704">
      <w:pPr>
        <w:spacing w:after="120"/>
        <w:jc w:val="both"/>
        <w:rPr>
          <w:rFonts w:ascii="Times New Roman" w:eastAsia="Times New Roman" w:hAnsi="Times New Roman" w:cs="Times New Roman"/>
          <w:noProof/>
          <w:sz w:val="24"/>
          <w:szCs w:val="24"/>
        </w:rPr>
      </w:pPr>
      <w:r w:rsidRPr="000E4437">
        <w:rPr>
          <w:rFonts w:ascii="Times New Roman" w:hAnsi="Times New Roman"/>
          <w:b/>
          <w:noProof/>
          <w:sz w:val="24"/>
        </w:rPr>
        <w:t xml:space="preserve">Situația de mediu extrem de diferită </w:t>
      </w:r>
      <w:r w:rsidRPr="000E4437">
        <w:rPr>
          <w:rFonts w:ascii="Times New Roman" w:hAnsi="Times New Roman"/>
          <w:noProof/>
          <w:sz w:val="24"/>
        </w:rPr>
        <w:t xml:space="preserve">din </w:t>
      </w:r>
      <w:r w:rsidRPr="000E4437">
        <w:rPr>
          <w:rFonts w:ascii="Times New Roman" w:hAnsi="Times New Roman"/>
          <w:b/>
          <w:noProof/>
          <w:sz w:val="24"/>
        </w:rPr>
        <w:t>Marea Baltică și din râurile sale</w:t>
      </w:r>
      <w:r w:rsidRPr="000E4437">
        <w:rPr>
          <w:rFonts w:ascii="Times New Roman" w:hAnsi="Times New Roman"/>
          <w:noProof/>
          <w:sz w:val="24"/>
        </w:rPr>
        <w:t xml:space="preserve"> continuă să afecteze stocurile de pește și dezvoltarea acestora. Astăzi există diverse presiuni în </w:t>
      </w:r>
      <w:r w:rsidRPr="000E4437">
        <w:rPr>
          <w:rFonts w:ascii="Times New Roman" w:hAnsi="Times New Roman"/>
          <w:b/>
          <w:noProof/>
          <w:sz w:val="24"/>
        </w:rPr>
        <w:t>Marea Baltică</w:t>
      </w:r>
      <w:r w:rsidRPr="000E4437">
        <w:rPr>
          <w:rFonts w:ascii="Times New Roman" w:hAnsi="Times New Roman"/>
          <w:noProof/>
          <w:sz w:val="24"/>
        </w:rPr>
        <w:t>, care au dus la degradarea biodiversității. În prezent, aceste presiuni includ o poluare ridicată cauzată de intrările de nutrienți și niveluri constant ridicate de contaminanți. Acest lucru rezultă, în parte, din nepunerea în aplicare a legislației UE</w:t>
      </w:r>
      <w:r w:rsidRPr="000E4437">
        <w:rPr>
          <w:rStyle w:val="FootnoteReference"/>
          <w:rFonts w:ascii="Times New Roman" w:eastAsia="Times New Roman" w:hAnsi="Times New Roman" w:cs="Times New Roman"/>
          <w:bCs/>
          <w:noProof/>
          <w:sz w:val="24"/>
          <w:szCs w:val="24"/>
        </w:rPr>
        <w:footnoteReference w:id="8"/>
      </w:r>
      <w:r w:rsidRPr="000E4437">
        <w:rPr>
          <w:rFonts w:ascii="Times New Roman" w:hAnsi="Times New Roman"/>
          <w:noProof/>
          <w:sz w:val="24"/>
        </w:rPr>
        <w:t>.</w:t>
      </w:r>
      <w:r w:rsidRPr="000E4437">
        <w:rPr>
          <w:rFonts w:ascii="Times New Roman" w:hAnsi="Times New Roman"/>
          <w:b/>
          <w:noProof/>
          <w:sz w:val="24"/>
        </w:rPr>
        <w:t xml:space="preserve"> </w:t>
      </w:r>
      <w:r w:rsidRPr="000E4437">
        <w:rPr>
          <w:rFonts w:ascii="Times New Roman" w:hAnsi="Times New Roman"/>
          <w:noProof/>
          <w:sz w:val="24"/>
        </w:rPr>
        <w:t>Pescuitul nu mai este direcționat pentru patru din zece specii (stocul de hering din vestul Mării Baltice, cele două stocuri de cod și stocul de somon din bazinul principal), capturile din aceste specii putând fi debarcate doar sub formă de capturi accidentale. Restul activităților de pescuit direcționat vizează celelalte specii pelagice (șprotul și heringul din zona centrală a Mării Baltice, Golful Botnic și Golful Riga) și cambula de Baltica, cu limite de captură stabilite în conformitate cu MSY, precum și somonul din Golful Botnic și din Golful Finlandei, cu limite de captură stabilite în conformitate cu abordarea precaută. Planul multianual pentru Marea Baltică</w:t>
      </w:r>
      <w:r w:rsidRPr="000E4437">
        <w:rPr>
          <w:rStyle w:val="FootnoteReference"/>
          <w:rFonts w:ascii="Times New Roman" w:eastAsia="Times New Roman" w:hAnsi="Times New Roman" w:cs="Times New Roman"/>
          <w:noProof/>
          <w:sz w:val="24"/>
          <w:szCs w:val="24"/>
        </w:rPr>
        <w:footnoteReference w:id="9"/>
      </w:r>
      <w:r w:rsidRPr="000E4437">
        <w:rPr>
          <w:rFonts w:ascii="Times New Roman" w:hAnsi="Times New Roman"/>
          <w:noProof/>
          <w:sz w:val="24"/>
        </w:rPr>
        <w:t xml:space="preserve"> utilizează toate instrumentele, și anume suspendarea activităților de pescuit direcționat, stabilirea TAC-urilor sub nivelurile maxime recomandate, închiderea zonelor de reproducere și limitarea pescuitului recreativ, pentru a ajuta la refacerea stocurilor de pește. </w:t>
      </w:r>
      <w:bookmarkStart w:id="4" w:name="_Hlk136090368"/>
      <w:r w:rsidRPr="000E4437">
        <w:rPr>
          <w:rFonts w:ascii="Times New Roman" w:hAnsi="Times New Roman"/>
          <w:noProof/>
          <w:sz w:val="24"/>
        </w:rPr>
        <w:t>Cu toate acestea, dacă statele membre nu aplică și nu pun în aplicare pe deplin legislația UE</w:t>
      </w:r>
      <w:bookmarkEnd w:id="4"/>
      <w:r w:rsidRPr="000E4437">
        <w:rPr>
          <w:rFonts w:ascii="Times New Roman" w:hAnsi="Times New Roman"/>
          <w:noProof/>
          <w:sz w:val="24"/>
        </w:rPr>
        <w:t xml:space="preserve">, aceste instrumente nu vor fi suficiente pentru a permite refacerea tuturor stocurilor de pește. În Declarația ministerială a Conferinței </w:t>
      </w:r>
      <w:r w:rsidRPr="000E4437">
        <w:rPr>
          <w:rFonts w:ascii="Times New Roman" w:hAnsi="Times New Roman"/>
          <w:i/>
          <w:noProof/>
          <w:sz w:val="24"/>
        </w:rPr>
        <w:t>Baltica noastră</w:t>
      </w:r>
      <w:r w:rsidRPr="000E4437">
        <w:rPr>
          <w:rFonts w:ascii="Times New Roman" w:hAnsi="Times New Roman"/>
          <w:noProof/>
          <w:sz w:val="24"/>
        </w:rPr>
        <w:t xml:space="preserve"> s-a luat angajamentul de a pune în aplicare pe deplin legislația UE; este esențial să se facă acest lucru</w:t>
      </w:r>
      <w:r w:rsidRPr="000E4437">
        <w:rPr>
          <w:rStyle w:val="FootnoteReference"/>
          <w:rFonts w:ascii="Times New Roman" w:eastAsia="Times New Roman" w:hAnsi="Times New Roman" w:cs="Times New Roman"/>
          <w:noProof/>
          <w:sz w:val="24"/>
          <w:szCs w:val="24"/>
        </w:rPr>
        <w:footnoteReference w:id="10"/>
      </w:r>
      <w:r w:rsidRPr="000E4437">
        <w:rPr>
          <w:rFonts w:ascii="Times New Roman" w:hAnsi="Times New Roman"/>
          <w:noProof/>
          <w:sz w:val="24"/>
        </w:rPr>
        <w:t xml:space="preserve">. </w:t>
      </w:r>
    </w:p>
    <w:p w14:paraId="25CEF99B" w14:textId="1ABF9870" w:rsidR="00F80B85" w:rsidRPr="000E4437" w:rsidRDefault="00F80B85" w:rsidP="00616704">
      <w:pPr>
        <w:spacing w:after="120"/>
        <w:jc w:val="both"/>
        <w:rPr>
          <w:rFonts w:ascii="Times New Roman" w:hAnsi="Times New Roman" w:cs="Times New Roman"/>
          <w:noProof/>
          <w:sz w:val="24"/>
          <w:szCs w:val="24"/>
        </w:rPr>
      </w:pPr>
      <w:r w:rsidRPr="000E4437">
        <w:rPr>
          <w:rFonts w:ascii="Times New Roman" w:hAnsi="Times New Roman"/>
          <w:noProof/>
          <w:sz w:val="24"/>
        </w:rPr>
        <w:t>Acțiunile pentru depășirea provocărilor legate de presiunile exercitate de poluare, eutrofizare și schimbările climatice asupra ecosistemelor marine, pescuitului și acvaculturii încep cu contribuția comunității științifice. Știința le permite responsabililor de elaborarea politicilor să ia decizii în cunoștință de cauză și să pună pe deplin în aplicare abordarea ecosistemică a gestionării pescuitului și acvaculturii, unul dintre principiile-cheie ale politicii comune în domeniul pescuitului.</w:t>
      </w:r>
    </w:p>
    <w:p w14:paraId="79545594" w14:textId="0A6DA1C6" w:rsidR="00AC0378" w:rsidRPr="000E4437" w:rsidRDefault="001D6309">
      <w:pPr>
        <w:spacing w:after="120"/>
        <w:jc w:val="both"/>
        <w:rPr>
          <w:rFonts w:ascii="Times New Roman" w:eastAsia="Times New Roman" w:hAnsi="Times New Roman" w:cs="Times New Roman"/>
          <w:noProof/>
          <w:sz w:val="24"/>
          <w:szCs w:val="24"/>
        </w:rPr>
      </w:pPr>
      <w:r w:rsidRPr="000E4437">
        <w:rPr>
          <w:rFonts w:ascii="Times New Roman" w:hAnsi="Times New Roman"/>
          <w:noProof/>
          <w:sz w:val="24"/>
        </w:rPr>
        <w:t xml:space="preserve">În apele din zona </w:t>
      </w:r>
      <w:r w:rsidRPr="000E4437">
        <w:rPr>
          <w:rFonts w:ascii="Times New Roman" w:hAnsi="Times New Roman"/>
          <w:b/>
          <w:noProof/>
          <w:sz w:val="24"/>
        </w:rPr>
        <w:t>Skagerrak/Atlantic</w:t>
      </w:r>
      <w:r w:rsidRPr="000E4437">
        <w:rPr>
          <w:rFonts w:ascii="Times New Roman" w:hAnsi="Times New Roman"/>
          <w:noProof/>
          <w:sz w:val="24"/>
        </w:rPr>
        <w:t xml:space="preserve"> presiunile exercitate asupra stocurilor de pește sunt mai reduse, iar condițiile de mediu sunt diferite. În aceste bazine maritime, prin gestionarea sustenabilă a 29 de stocuri s-au obținut rezultate pozitive, înregistrându-se creșteri majore ale TAC în cadrul principalelor activități de pescuit comercial pentru 2023. </w:t>
      </w:r>
    </w:p>
    <w:p w14:paraId="3363F784" w14:textId="76EA9376" w:rsidR="00AC0378" w:rsidRPr="000E4437" w:rsidRDefault="001D6309">
      <w:pPr>
        <w:spacing w:after="120"/>
        <w:jc w:val="both"/>
        <w:rPr>
          <w:rFonts w:ascii="Times New Roman" w:hAnsi="Times New Roman"/>
          <w:noProof/>
          <w:sz w:val="24"/>
          <w:szCs w:val="24"/>
        </w:rPr>
      </w:pPr>
      <w:r w:rsidRPr="000E4437">
        <w:rPr>
          <w:rFonts w:ascii="Times New Roman" w:hAnsi="Times New Roman"/>
          <w:b/>
          <w:noProof/>
          <w:sz w:val="24"/>
        </w:rPr>
        <w:t xml:space="preserve">Pentru stocurile comune cu Regatul Unit, </w:t>
      </w:r>
      <w:r w:rsidRPr="000E4437">
        <w:rPr>
          <w:rFonts w:ascii="Times New Roman" w:hAnsi="Times New Roman"/>
          <w:noProof/>
          <w:sz w:val="24"/>
        </w:rPr>
        <w:t>ambele părți au convenit TAC-uri, în termenul stabilit în Acordul comercial și de cooperare</w:t>
      </w:r>
      <w:r w:rsidRPr="000E4437">
        <w:rPr>
          <w:rStyle w:val="FootnoteReference"/>
          <w:rFonts w:ascii="Times New Roman" w:hAnsi="Times New Roman"/>
          <w:noProof/>
          <w:sz w:val="24"/>
          <w:szCs w:val="24"/>
        </w:rPr>
        <w:footnoteReference w:id="11"/>
      </w:r>
      <w:r w:rsidRPr="000E4437">
        <w:rPr>
          <w:rFonts w:ascii="Times New Roman" w:hAnsi="Times New Roman"/>
          <w:noProof/>
          <w:sz w:val="24"/>
        </w:rPr>
        <w:t>, în conformitate cu MSY pentru cele mai multe stocuri pentru care au fost disponibile avize. În cazul a șapte stocuri (pentru care avizele au fost de zero capturi), părțile au convenit să stabilească o limită a capturilor scăzută pentru șase stocuri, care să acopere numai capturile accidentale, pentru a preveni blocajul în cadrul activităților de pescuit mixt, în conformitate cu Regulamentul privind PCP</w:t>
      </w:r>
      <w:r w:rsidRPr="000E4437">
        <w:rPr>
          <w:rStyle w:val="FootnoteReference"/>
          <w:rFonts w:ascii="Times New Roman" w:hAnsi="Times New Roman"/>
          <w:noProof/>
          <w:sz w:val="24"/>
          <w:szCs w:val="24"/>
        </w:rPr>
        <w:footnoteReference w:id="12"/>
      </w:r>
      <w:r w:rsidRPr="000E4437">
        <w:rPr>
          <w:rFonts w:ascii="Times New Roman" w:hAnsi="Times New Roman"/>
          <w:noProof/>
          <w:sz w:val="24"/>
        </w:rPr>
        <w:t>. În cazul unui stoc, părțile au convenit să monitorizeze TAC-ul, în urma avizului Consiliului Internațional pentru Explorarea Apelor Maritime (ICES) privind nivelul TAC</w:t>
      </w:r>
      <w:r w:rsidRPr="000E4437">
        <w:rPr>
          <w:rStyle w:val="FootnoteReference"/>
          <w:rFonts w:ascii="Times New Roman" w:hAnsi="Times New Roman"/>
          <w:noProof/>
          <w:sz w:val="24"/>
          <w:szCs w:val="24"/>
        </w:rPr>
        <w:footnoteReference w:id="13"/>
      </w:r>
      <w:r w:rsidRPr="000E4437">
        <w:rPr>
          <w:rFonts w:ascii="Times New Roman" w:hAnsi="Times New Roman"/>
          <w:noProof/>
          <w:sz w:val="24"/>
        </w:rPr>
        <w:t>. Discuțiile care au avut loc între cele două părți în cadrul Comitetului specializat privind pescuitul au avut un rol esențial în eficientizarea consultărilor anuale și în stabilirea unui calendar și ajungerea la un acord satisfăcător</w:t>
      </w:r>
      <w:r w:rsidRPr="000E4437">
        <w:rPr>
          <w:rStyle w:val="FootnoteReference"/>
          <w:rFonts w:ascii="Times New Roman" w:hAnsi="Times New Roman"/>
          <w:noProof/>
          <w:sz w:val="24"/>
          <w:szCs w:val="24"/>
        </w:rPr>
        <w:footnoteReference w:id="14"/>
      </w:r>
      <w:r w:rsidRPr="000E4437">
        <w:rPr>
          <w:rFonts w:ascii="Times New Roman" w:hAnsi="Times New Roman"/>
          <w:noProof/>
          <w:sz w:val="24"/>
        </w:rPr>
        <w:t>.</w:t>
      </w:r>
    </w:p>
    <w:p w14:paraId="1D1B5A66" w14:textId="61B6EE59" w:rsidR="00AC0378" w:rsidRPr="000E4437" w:rsidRDefault="001D6309">
      <w:pPr>
        <w:spacing w:after="120"/>
        <w:jc w:val="both"/>
        <w:rPr>
          <w:rFonts w:ascii="Times New Roman" w:hAnsi="Times New Roman"/>
          <w:noProof/>
          <w:sz w:val="24"/>
          <w:szCs w:val="24"/>
        </w:rPr>
      </w:pPr>
      <w:r w:rsidRPr="000E4437">
        <w:rPr>
          <w:rFonts w:ascii="Times New Roman" w:hAnsi="Times New Roman"/>
          <w:noProof/>
          <w:sz w:val="24"/>
        </w:rPr>
        <w:t xml:space="preserve">În ceea ce privește </w:t>
      </w:r>
      <w:r w:rsidRPr="000E4437">
        <w:rPr>
          <w:rFonts w:ascii="Times New Roman" w:hAnsi="Times New Roman"/>
          <w:b/>
          <w:noProof/>
          <w:sz w:val="24"/>
        </w:rPr>
        <w:t>stocurile exploatate în comun de UE, Norvegia și Regatul Unit</w:t>
      </w:r>
      <w:r w:rsidRPr="000E4437">
        <w:rPr>
          <w:rFonts w:ascii="Times New Roman" w:hAnsi="Times New Roman"/>
          <w:noProof/>
          <w:sz w:val="24"/>
        </w:rPr>
        <w:t>, cele trei părți au convenit să stabilească TAC-urile în conformitate cu avizele MSY. Pentru refacerea continuă a codului din Marea Nordului, părțile au prelungit măsurile de remediere și au stabilit TAC-uri sub cele din avizele științifice pentru două stocuri din cauza interacțiunii lor cu codul în cadrul pescuitului mixt. TAC-urile pentru heringul din Marea Nordului au fost stabilite în conformitate cu avizele științifice, iar părțile au convenit să mențină în continuare limitele de captură pentru a atenua impactul asupra stocului epuizat de hering din vestul Mării Baltice. Părțile au convenit să revizuiască, în 2023, actualul model de gestionare și abordarea privind stabilirea TAC-urilor pentru heringul din Marea Nordului</w:t>
      </w:r>
      <w:r w:rsidRPr="000E4437">
        <w:rPr>
          <w:rStyle w:val="FootnoteReference"/>
          <w:rFonts w:ascii="Times New Roman" w:hAnsi="Times New Roman"/>
          <w:noProof/>
          <w:sz w:val="24"/>
          <w:szCs w:val="24"/>
        </w:rPr>
        <w:footnoteReference w:id="15"/>
      </w:r>
      <w:r w:rsidRPr="000E4437">
        <w:rPr>
          <w:rFonts w:ascii="Times New Roman" w:hAnsi="Times New Roman"/>
          <w:noProof/>
          <w:sz w:val="24"/>
        </w:rPr>
        <w:t xml:space="preserve">. Singurul </w:t>
      </w:r>
      <w:r w:rsidRPr="000E4437">
        <w:rPr>
          <w:rFonts w:ascii="Times New Roman" w:hAnsi="Times New Roman"/>
          <w:b/>
          <w:noProof/>
          <w:sz w:val="24"/>
        </w:rPr>
        <w:t xml:space="preserve">stoc evaluat exploatat în comun cu Norvegia </w:t>
      </w:r>
      <w:r w:rsidRPr="000E4437">
        <w:rPr>
          <w:rFonts w:ascii="Times New Roman" w:hAnsi="Times New Roman"/>
          <w:noProof/>
          <w:sz w:val="24"/>
        </w:rPr>
        <w:t>a fost stabilit la nivelul MSY</w:t>
      </w:r>
      <w:r w:rsidRPr="000E4437">
        <w:rPr>
          <w:rStyle w:val="FootnoteReference"/>
          <w:rFonts w:ascii="Times New Roman" w:hAnsi="Times New Roman"/>
          <w:noProof/>
          <w:sz w:val="24"/>
          <w:szCs w:val="24"/>
        </w:rPr>
        <w:footnoteReference w:id="16"/>
      </w:r>
      <w:r w:rsidRPr="000E4437">
        <w:rPr>
          <w:rFonts w:ascii="Times New Roman" w:hAnsi="Times New Roman"/>
          <w:noProof/>
          <w:sz w:val="24"/>
        </w:rPr>
        <w:t>. În acest context, abaterea de la acordurile de partajare existente pentru stocurile gestionate în comun ar putea avea un impact negativ asupra stării acestora și ar putea pune în pericol obiectivul de stabilire a TAC-urilor la nivelurile MSY.</w:t>
      </w:r>
    </w:p>
    <w:p w14:paraId="3D67AD8F" w14:textId="4DA77612" w:rsidR="00AC0378" w:rsidRPr="000E4437" w:rsidRDefault="00EF18A3">
      <w:pPr>
        <w:spacing w:after="120"/>
        <w:jc w:val="both"/>
        <w:rPr>
          <w:rFonts w:ascii="Times New Roman" w:hAnsi="Times New Roman"/>
          <w:noProof/>
          <w:sz w:val="24"/>
          <w:szCs w:val="24"/>
        </w:rPr>
      </w:pPr>
      <w:r w:rsidRPr="000E4437">
        <w:rPr>
          <w:rFonts w:ascii="Times New Roman" w:hAnsi="Times New Roman"/>
          <w:noProof/>
          <w:sz w:val="24"/>
        </w:rPr>
        <w:t xml:space="preserve">În ceea ce privește </w:t>
      </w:r>
      <w:r w:rsidRPr="000E4437">
        <w:rPr>
          <w:rFonts w:ascii="Times New Roman" w:hAnsi="Times New Roman"/>
          <w:b/>
          <w:noProof/>
          <w:sz w:val="24"/>
        </w:rPr>
        <w:t>stocurile repartizate pe o zonă extinsă</w:t>
      </w:r>
      <w:r w:rsidRPr="000E4437">
        <w:rPr>
          <w:rStyle w:val="FootnoteReference"/>
          <w:rFonts w:ascii="Times New Roman" w:hAnsi="Times New Roman"/>
          <w:b/>
          <w:bCs/>
          <w:noProof/>
          <w:sz w:val="24"/>
          <w:szCs w:val="24"/>
        </w:rPr>
        <w:footnoteReference w:id="17"/>
      </w:r>
      <w:r w:rsidRPr="000E4437">
        <w:rPr>
          <w:rFonts w:ascii="Times New Roman" w:hAnsi="Times New Roman"/>
          <w:noProof/>
          <w:sz w:val="24"/>
        </w:rPr>
        <w:t xml:space="preserve"> de macrou, putasu și hering atlantico-scandinav, statele de coastă</w:t>
      </w:r>
      <w:r w:rsidRPr="000E4437">
        <w:rPr>
          <w:rStyle w:val="FootnoteReference"/>
          <w:rFonts w:ascii="Times New Roman" w:hAnsi="Times New Roman"/>
          <w:noProof/>
          <w:sz w:val="24"/>
          <w:szCs w:val="24"/>
        </w:rPr>
        <w:footnoteReference w:id="18"/>
      </w:r>
      <w:r w:rsidRPr="000E4437">
        <w:rPr>
          <w:rFonts w:ascii="Times New Roman" w:hAnsi="Times New Roman"/>
          <w:noProof/>
          <w:sz w:val="24"/>
        </w:rPr>
        <w:t xml:space="preserve"> au convenit să stabilească TAC-uri generale la nivelul MSY.</w:t>
      </w:r>
      <w:r w:rsidRPr="000E4437">
        <w:rPr>
          <w:noProof/>
        </w:rPr>
        <w:t xml:space="preserve"> </w:t>
      </w:r>
      <w:r w:rsidRPr="000E4437">
        <w:rPr>
          <w:rFonts w:ascii="Times New Roman" w:hAnsi="Times New Roman"/>
          <w:noProof/>
          <w:sz w:val="24"/>
        </w:rPr>
        <w:t xml:space="preserve">Cu toate acestea, în absența unor acorduri de partajare, suma cotelor statelor de coastă continuă să depășească TAC-urile generale convenite. </w:t>
      </w:r>
      <w:bookmarkStart w:id="5" w:name="_Hlk135661612"/>
      <w:r w:rsidRPr="000E4437">
        <w:rPr>
          <w:rFonts w:ascii="Times New Roman" w:hAnsi="Times New Roman"/>
          <w:noProof/>
          <w:sz w:val="24"/>
        </w:rPr>
        <w:t xml:space="preserve">UE a adoptat o abordare responsabilă, fără creșteri unilaterale dincolo de ultimele cote convenite, care nu a fost urmată de toate statele de coastă. </w:t>
      </w:r>
      <w:bookmarkEnd w:id="5"/>
      <w:r w:rsidRPr="000E4437">
        <w:rPr>
          <w:rFonts w:ascii="Times New Roman" w:hAnsi="Times New Roman"/>
          <w:noProof/>
          <w:sz w:val="24"/>
        </w:rPr>
        <w:t>Această situație pune deja presiune pe sustenabilitatea acestor stocuri. Comisia poartă discuții active cu alte state de coastă cu scopul de a încheia noi acorduri de partajare privind gestionarea sustenabilă a stocurilor.</w:t>
      </w:r>
    </w:p>
    <w:p w14:paraId="4D7A0AC2" w14:textId="042CA639" w:rsidR="00AC0378" w:rsidRPr="000E4437" w:rsidRDefault="00240F02">
      <w:pPr>
        <w:spacing w:after="120"/>
        <w:jc w:val="both"/>
        <w:rPr>
          <w:rFonts w:ascii="Times New Roman" w:hAnsi="Times New Roman"/>
          <w:noProof/>
          <w:sz w:val="24"/>
          <w:szCs w:val="24"/>
        </w:rPr>
      </w:pPr>
      <w:r w:rsidRPr="000E4437">
        <w:rPr>
          <w:rFonts w:ascii="Times New Roman" w:hAnsi="Times New Roman"/>
          <w:b/>
          <w:noProof/>
          <w:sz w:val="24"/>
        </w:rPr>
        <w:t>Marea Mediterană și Marea Neagră</w:t>
      </w:r>
      <w:r w:rsidRPr="000E4437">
        <w:rPr>
          <w:rFonts w:ascii="Times New Roman" w:hAnsi="Times New Roman"/>
          <w:noProof/>
          <w:sz w:val="24"/>
        </w:rPr>
        <w:t xml:space="preserve"> găzduiesc activități de pescuit care implică mai multe specii, multe stocuri fiind exploatate în comun cu țări terțe. Rata mortalității prin pescuit s-a apropiat de nivelul sustenabil pentru unele stocuri, șapte dintre acestea atingând F</w:t>
      </w:r>
      <w:r w:rsidRPr="000E4437">
        <w:rPr>
          <w:rFonts w:ascii="Times New Roman" w:hAnsi="Times New Roman"/>
          <w:noProof/>
          <w:sz w:val="24"/>
          <w:vertAlign w:val="subscript"/>
        </w:rPr>
        <w:t>MSY</w:t>
      </w:r>
      <w:r w:rsidRPr="000E4437">
        <w:rPr>
          <w:rFonts w:ascii="Times New Roman" w:hAnsi="Times New Roman"/>
          <w:noProof/>
          <w:sz w:val="24"/>
        </w:rPr>
        <w:t xml:space="preserve"> în 2020, dar multe stocuri sunt încă pescuite peste nivelurile sustenabile. </w:t>
      </w:r>
      <w:bookmarkStart w:id="6" w:name="_Hlk132739563"/>
      <w:bookmarkStart w:id="7" w:name="_Hlk135596938"/>
      <w:r w:rsidRPr="000E4437">
        <w:rPr>
          <w:rFonts w:ascii="Times New Roman" w:hAnsi="Times New Roman"/>
          <w:noProof/>
          <w:sz w:val="24"/>
        </w:rPr>
        <w:t xml:space="preserve">Trebuie continuate acțiunile de reducere a efortului de pescuit </w:t>
      </w:r>
      <w:bookmarkEnd w:id="6"/>
      <w:r w:rsidRPr="000E4437">
        <w:rPr>
          <w:rFonts w:ascii="Times New Roman" w:hAnsi="Times New Roman"/>
          <w:noProof/>
          <w:sz w:val="24"/>
        </w:rPr>
        <w:t>și de atingere a obiectivului MSY, în special prin aplicarea planului multianual pentru vestul Mării Mediterane</w:t>
      </w:r>
      <w:r w:rsidRPr="000E4437">
        <w:rPr>
          <w:rStyle w:val="FootnoteReference"/>
          <w:rFonts w:ascii="Times New Roman" w:hAnsi="Times New Roman"/>
          <w:noProof/>
          <w:sz w:val="24"/>
          <w:szCs w:val="24"/>
        </w:rPr>
        <w:footnoteReference w:id="19"/>
      </w:r>
      <w:r w:rsidRPr="000E4437">
        <w:rPr>
          <w:rFonts w:ascii="Times New Roman" w:hAnsi="Times New Roman"/>
          <w:noProof/>
          <w:sz w:val="24"/>
        </w:rPr>
        <w:t xml:space="preserve"> (vestul Mării Mediterane) și a Strategiei pentru 2030 a Consiliului General pentru Pescuit în Marea Mediterană (CGPM)</w:t>
      </w:r>
      <w:r w:rsidRPr="000E4437">
        <w:rPr>
          <w:rStyle w:val="FootnoteReference"/>
          <w:rFonts w:ascii="Times New Roman" w:hAnsi="Times New Roman"/>
          <w:noProof/>
          <w:sz w:val="24"/>
          <w:szCs w:val="24"/>
        </w:rPr>
        <w:footnoteReference w:id="20"/>
      </w:r>
      <w:r w:rsidRPr="000E4437">
        <w:rPr>
          <w:rFonts w:ascii="Times New Roman" w:hAnsi="Times New Roman"/>
          <w:noProof/>
          <w:sz w:val="24"/>
        </w:rPr>
        <w:t xml:space="preserve">. </w:t>
      </w:r>
      <w:bookmarkEnd w:id="7"/>
      <w:r w:rsidRPr="000E4437">
        <w:rPr>
          <w:rFonts w:ascii="Times New Roman" w:hAnsi="Times New Roman"/>
          <w:noProof/>
          <w:sz w:val="24"/>
        </w:rPr>
        <w:t>Posibilitățile de pescuit pentru 2023 sunt în conformitate cu un set substanțial de măsuri adoptate în 2022.</w:t>
      </w:r>
    </w:p>
    <w:p w14:paraId="5DFB9D13" w14:textId="1AA5D763" w:rsidR="00AC0378" w:rsidRPr="000E4437" w:rsidRDefault="00D05CEC">
      <w:pPr>
        <w:spacing w:after="120"/>
        <w:jc w:val="both"/>
        <w:rPr>
          <w:rFonts w:ascii="Times New Roman" w:hAnsi="Times New Roman"/>
          <w:noProof/>
          <w:sz w:val="24"/>
          <w:szCs w:val="24"/>
        </w:rPr>
      </w:pPr>
      <w:r w:rsidRPr="000E4437">
        <w:rPr>
          <w:rFonts w:ascii="Times New Roman" w:hAnsi="Times New Roman"/>
          <w:noProof/>
          <w:sz w:val="24"/>
        </w:rPr>
        <w:t xml:space="preserve">Pentru a atinge obiectivul MSY până în 2025 în cadrul planului multianual pentru </w:t>
      </w:r>
      <w:r w:rsidRPr="000E4437">
        <w:rPr>
          <w:rFonts w:ascii="Times New Roman" w:hAnsi="Times New Roman"/>
          <w:b/>
          <w:noProof/>
          <w:sz w:val="24"/>
        </w:rPr>
        <w:t>vestul Mării Mediterane</w:t>
      </w:r>
      <w:r w:rsidRPr="000E4437">
        <w:rPr>
          <w:rFonts w:ascii="Times New Roman" w:hAnsi="Times New Roman"/>
          <w:noProof/>
          <w:sz w:val="24"/>
        </w:rPr>
        <w:t>, posibilitățile de pescuit</w:t>
      </w:r>
      <w:r w:rsidRPr="000E4437">
        <w:rPr>
          <w:rStyle w:val="FootnoteReference"/>
          <w:rFonts w:ascii="Times New Roman" w:hAnsi="Times New Roman"/>
          <w:noProof/>
          <w:sz w:val="24"/>
          <w:szCs w:val="24"/>
        </w:rPr>
        <w:footnoteReference w:id="21"/>
      </w:r>
      <w:r w:rsidRPr="000E4437">
        <w:rPr>
          <w:rFonts w:ascii="Times New Roman" w:hAnsi="Times New Roman"/>
          <w:noProof/>
          <w:sz w:val="24"/>
        </w:rPr>
        <w:t xml:space="preserve"> adoptă o abordare integrată, bazându-se pe instrumente de gestionare și dezvoltând mecanismul de compensare care încurajează utilizarea unor unelte mai selective și a zonelor de interzicere a pescuitului. Statele membre sunt încurajate să continue să ia măsuri în cadrul acestui mecanism. De asemenea, Consiliul a stabilit limite maxime de captură pentru creveții de adâncime pescuiți în mod excesiv și a menținut plafoane de efort pentru navele de pescuit cu paragate.</w:t>
      </w:r>
    </w:p>
    <w:p w14:paraId="18C5D1A0" w14:textId="2BEA6C3F" w:rsidR="00AC0378" w:rsidRPr="000E4437" w:rsidRDefault="001D6309">
      <w:pPr>
        <w:spacing w:after="120"/>
        <w:jc w:val="both"/>
        <w:rPr>
          <w:rFonts w:ascii="Times New Roman" w:hAnsi="Times New Roman"/>
          <w:noProof/>
          <w:sz w:val="24"/>
          <w:szCs w:val="24"/>
        </w:rPr>
      </w:pPr>
      <w:r w:rsidRPr="000E4437">
        <w:rPr>
          <w:rFonts w:ascii="Times New Roman" w:hAnsi="Times New Roman"/>
          <w:noProof/>
          <w:sz w:val="24"/>
        </w:rPr>
        <w:t xml:space="preserve">Activitatea intensă desfășurată în cadrul </w:t>
      </w:r>
      <w:r w:rsidRPr="000E4437">
        <w:rPr>
          <w:rFonts w:ascii="Times New Roman" w:hAnsi="Times New Roman"/>
          <w:b/>
          <w:noProof/>
          <w:sz w:val="24"/>
        </w:rPr>
        <w:t>CGPM</w:t>
      </w:r>
      <w:r w:rsidRPr="000E4437">
        <w:rPr>
          <w:rFonts w:ascii="Times New Roman" w:hAnsi="Times New Roman"/>
          <w:noProof/>
          <w:sz w:val="24"/>
        </w:rPr>
        <w:t>, sprijinită de poziția consecventă a UE la nivelul organizațiilor regionale de gestionare a pescuitului (ORGP), a condus la adoptarea unor decizii semnificative. În primul rând, din această activitate au rezultat cinci planuri multianuale de gestionare, bazate pe principiile politicii comune în domeniul pescuitului. Acest lucru a condus la adoptarea unor limite maxime de captură pentru creveții de adâncime în Marea Ionică, Marea Levantului și Strâmtoarea Siciliei (inclusiv dispoziții privind merluciul) și a nivelului maxim al capturilor de pagel argintiu în Marea Alboran. A fost convenit un plan de gestionare pe termen lung al CGPM pentru speciile pelagice de talie mică din Marea Adriatică pentru a asigura randamente ridicate pe termen lung compatibile cu MSY, cu limite de captură reduse în 2023 pentru hamsii și sardine și cu o înghețare a capacității pentru traulerele pelagice și navele de pescuit cu plasă-pungă. CGPM a continuat, de asemenea, să pună în aplicare planul multianual pentru stocurile demersale din Marea Adriatică, stabilind o limită maximă a efortului de pescuit atât pentru traulerele de fund, cât și pentru beam-traulere, pentru a atinge obiectivul MSY în 2026 pentru toate stocurile principale. Acesta a adoptat limite de recoltă pentru coralul roșu și un plafon al efortului de pescuit pentru corifena comună în apele internaționale ale Mării Mediterane. Pentru Marea Neagră, au fost stabilite TAC-ul pentru calcan în cadrul planului CGPM și o cotă autonomă a Uniunii pentru șprot.</w:t>
      </w:r>
    </w:p>
    <w:p w14:paraId="1E50E8E2" w14:textId="2BB1EE3E" w:rsidR="00DF660B" w:rsidRPr="000E4437" w:rsidRDefault="00DF660B">
      <w:pPr>
        <w:spacing w:after="120"/>
        <w:jc w:val="both"/>
        <w:rPr>
          <w:rFonts w:ascii="Times New Roman" w:eastAsia="Times New Roman" w:hAnsi="Times New Roman" w:cs="Times New Roman"/>
          <w:noProof/>
          <w:sz w:val="24"/>
          <w:szCs w:val="24"/>
        </w:rPr>
      </w:pPr>
      <w:r w:rsidRPr="000E4437">
        <w:rPr>
          <w:rFonts w:ascii="Times New Roman" w:hAnsi="Times New Roman"/>
          <w:noProof/>
          <w:sz w:val="24"/>
        </w:rPr>
        <w:t xml:space="preserve">De asemenea, UE a convenit asupra unor măsuri ambițioase pentru </w:t>
      </w:r>
      <w:r w:rsidRPr="000E4437">
        <w:rPr>
          <w:rFonts w:ascii="Times New Roman" w:hAnsi="Times New Roman"/>
          <w:b/>
          <w:noProof/>
          <w:sz w:val="24"/>
        </w:rPr>
        <w:t>pescuitul</w:t>
      </w:r>
      <w:r w:rsidRPr="000E4437">
        <w:rPr>
          <w:rFonts w:ascii="Times New Roman" w:hAnsi="Times New Roman"/>
          <w:noProof/>
          <w:sz w:val="24"/>
        </w:rPr>
        <w:t xml:space="preserve"> </w:t>
      </w:r>
      <w:r w:rsidRPr="000E4437">
        <w:rPr>
          <w:rFonts w:ascii="Times New Roman" w:hAnsi="Times New Roman"/>
          <w:b/>
          <w:noProof/>
          <w:sz w:val="24"/>
        </w:rPr>
        <w:t>marin</w:t>
      </w:r>
      <w:r w:rsidRPr="000E4437">
        <w:rPr>
          <w:rFonts w:ascii="Times New Roman" w:hAnsi="Times New Roman"/>
          <w:noProof/>
          <w:sz w:val="24"/>
        </w:rPr>
        <w:t xml:space="preserve"> </w:t>
      </w:r>
      <w:r w:rsidRPr="000E4437">
        <w:rPr>
          <w:rFonts w:ascii="Times New Roman" w:hAnsi="Times New Roman"/>
          <w:b/>
          <w:noProof/>
          <w:sz w:val="24"/>
        </w:rPr>
        <w:t>de</w:t>
      </w:r>
      <w:r w:rsidRPr="000E4437">
        <w:rPr>
          <w:rFonts w:ascii="Times New Roman" w:hAnsi="Times New Roman"/>
          <w:noProof/>
          <w:sz w:val="24"/>
        </w:rPr>
        <w:t xml:space="preserve"> </w:t>
      </w:r>
      <w:r w:rsidRPr="000E4437">
        <w:rPr>
          <w:rFonts w:ascii="Times New Roman" w:hAnsi="Times New Roman"/>
          <w:b/>
          <w:noProof/>
          <w:sz w:val="24"/>
        </w:rPr>
        <w:t>anghilă</w:t>
      </w:r>
      <w:r w:rsidRPr="000E4437">
        <w:rPr>
          <w:rFonts w:ascii="Times New Roman" w:hAnsi="Times New Roman"/>
          <w:noProof/>
          <w:sz w:val="24"/>
        </w:rPr>
        <w:t xml:space="preserve"> </w:t>
      </w:r>
      <w:r w:rsidRPr="000E4437">
        <w:rPr>
          <w:rFonts w:ascii="Times New Roman" w:hAnsi="Times New Roman"/>
          <w:b/>
          <w:noProof/>
          <w:sz w:val="24"/>
        </w:rPr>
        <w:t>europeană</w:t>
      </w:r>
      <w:r w:rsidRPr="000E4437">
        <w:rPr>
          <w:rStyle w:val="FootnoteReference"/>
          <w:rFonts w:ascii="Times New Roman" w:eastAsia="Times New Roman" w:hAnsi="Times New Roman" w:cs="Times New Roman"/>
          <w:b/>
          <w:bCs/>
          <w:noProof/>
          <w:sz w:val="24"/>
          <w:szCs w:val="24"/>
        </w:rPr>
        <w:footnoteReference w:id="22"/>
      </w:r>
      <w:r w:rsidRPr="000E4437">
        <w:rPr>
          <w:rFonts w:ascii="Times New Roman" w:hAnsi="Times New Roman"/>
          <w:noProof/>
          <w:sz w:val="24"/>
        </w:rPr>
        <w:t xml:space="preserve">, inclusiv extinderea perioadei de interzicere a pescuitului pe mare de la trei la șase luni, pentru a coincide cu perioada de migrație a puietului de anghilă și cu perioada în care anghilele mature înoată între mare și râuri. Aceste măsuri vor face obiectul unei monitorizări sporite a punerii lor în aplicare în cursul anului 2023. Comisia va monitoriza îndeaproape progresele înregistrate în punerea în aplicare a măsurilor din declarația comună privind consolidarea refacerii anghilei europene, semnată de Comisie și de unele state membre. </w:t>
      </w:r>
    </w:p>
    <w:p w14:paraId="55C30320" w14:textId="77777777" w:rsidR="00AC0378" w:rsidRPr="000E4437" w:rsidRDefault="001D6309">
      <w:pPr>
        <w:pStyle w:val="Heading1"/>
        <w:rPr>
          <w:noProof/>
        </w:rPr>
      </w:pPr>
      <w:r w:rsidRPr="000E4437">
        <w:rPr>
          <w:noProof/>
        </w:rPr>
        <w:t>Situația flotei UE</w:t>
      </w:r>
    </w:p>
    <w:p w14:paraId="355BD198" w14:textId="45EBB568" w:rsidR="00AC0378" w:rsidRPr="000E4437" w:rsidRDefault="001D6309">
      <w:pPr>
        <w:jc w:val="both"/>
        <w:rPr>
          <w:rFonts w:ascii="Times New Roman" w:hAnsi="Times New Roman"/>
          <w:noProof/>
          <w:sz w:val="24"/>
          <w:szCs w:val="24"/>
        </w:rPr>
      </w:pPr>
      <w:r w:rsidRPr="000E4437">
        <w:rPr>
          <w:rFonts w:ascii="Times New Roman" w:hAnsi="Times New Roman"/>
          <w:noProof/>
          <w:sz w:val="24"/>
        </w:rPr>
        <w:t>Statele membre trebuie să mențină flotele sub plafoanele naționale stabilite pentru capacitatea navelor [tonaj brut (TB)] și puterea motorului (kW). Acestea trebuie să reducă capacitatea flotelor care nu sunt echilibrate prin raportarea anuală cu privire la sustenabilitatea biologică și economică a flotelor. În cazul în care există dovezi ale unui dezechilibru, statele membre trebuie să prezinte planuri de acțiune pentru remedierea acestui dezechilibru într-un interval de timp clar. Nicio capacitate retrasă cu ajutor public nu poate fi înlocuită.</w:t>
      </w:r>
    </w:p>
    <w:p w14:paraId="1E848E6F" w14:textId="40C56CBA" w:rsidR="00AC0378" w:rsidRPr="000E4437" w:rsidRDefault="006351D7">
      <w:pPr>
        <w:jc w:val="both"/>
        <w:rPr>
          <w:rFonts w:ascii="Times New Roman" w:hAnsi="Times New Roman"/>
          <w:noProof/>
          <w:sz w:val="24"/>
          <w:szCs w:val="24"/>
        </w:rPr>
      </w:pPr>
      <w:r w:rsidRPr="000E4437">
        <w:rPr>
          <w:rFonts w:ascii="Times New Roman" w:hAnsi="Times New Roman"/>
          <w:noProof/>
          <w:sz w:val="24"/>
        </w:rPr>
        <w:t>Din 2022, numărul navelor, TB și puterea motorului au scăzut cu 0,3 %, 0,7 % și, respectiv, 0,5 %. Ca urmare, în decembrie 2022, flota înregistrată a UE</w:t>
      </w:r>
      <w:r w:rsidRPr="000E4437">
        <w:rPr>
          <w:rStyle w:val="FootnoteReference"/>
          <w:rFonts w:ascii="Times New Roman" w:hAnsi="Times New Roman"/>
          <w:noProof/>
          <w:sz w:val="24"/>
          <w:szCs w:val="24"/>
        </w:rPr>
        <w:footnoteReference w:id="23"/>
      </w:r>
      <w:r w:rsidRPr="000E4437">
        <w:rPr>
          <w:rFonts w:ascii="Times New Roman" w:hAnsi="Times New Roman"/>
          <w:noProof/>
          <w:sz w:val="24"/>
        </w:rPr>
        <w:t xml:space="preserve"> era formată din 72 472 de nave cu 1 321 454 TB și 5 264 658 kW.</w:t>
      </w:r>
    </w:p>
    <w:p w14:paraId="52AA3BEC" w14:textId="5FD7E3F6" w:rsidR="00030A2D" w:rsidRPr="000E4437" w:rsidRDefault="001D6309">
      <w:pPr>
        <w:jc w:val="both"/>
        <w:rPr>
          <w:rFonts w:ascii="Times New Roman" w:hAnsi="Times New Roman"/>
          <w:noProof/>
          <w:sz w:val="24"/>
          <w:szCs w:val="24"/>
        </w:rPr>
      </w:pPr>
      <w:r w:rsidRPr="000E4437">
        <w:rPr>
          <w:rFonts w:ascii="Times New Roman" w:hAnsi="Times New Roman"/>
          <w:noProof/>
          <w:sz w:val="24"/>
        </w:rPr>
        <w:t>Statele membre indică, în rapoartele din 2022, că flotele lor se situează sub plafoane și îndeplinesc cerințele prevăzute la articolul 22 din Regulamentul privind PCP. Totuși, există preocupări serioase legate de acuratețea și fiabilitatea datelor care stau la baza rapoartelor naționale și de existența sau acuratețea planurilor de acțiune ale statelor membre. În Comunicarea privind PCP</w:t>
      </w:r>
      <w:r w:rsidRPr="000E4437">
        <w:rPr>
          <w:rStyle w:val="FootnoteReference"/>
          <w:rFonts w:ascii="Times New Roman" w:hAnsi="Times New Roman"/>
          <w:noProof/>
          <w:sz w:val="24"/>
          <w:szCs w:val="24"/>
        </w:rPr>
        <w:footnoteReference w:id="24"/>
      </w:r>
      <w:r w:rsidRPr="000E4437">
        <w:rPr>
          <w:rFonts w:ascii="Times New Roman" w:hAnsi="Times New Roman"/>
          <w:noProof/>
          <w:sz w:val="24"/>
        </w:rPr>
        <w:t xml:space="preserve">, Comisia invită statele membre să sporească transparența și flexibilitatea gestionării capacității lor de pescuit și să faciliteze posibila realocare a capacității neutilizate pentru investiții structurale la bord. </w:t>
      </w:r>
    </w:p>
    <w:p w14:paraId="185A3B1B" w14:textId="77777777" w:rsidR="00AC0378" w:rsidRPr="000E4437" w:rsidRDefault="001D6309">
      <w:pPr>
        <w:pStyle w:val="Heading1"/>
        <w:rPr>
          <w:noProof/>
        </w:rPr>
      </w:pPr>
      <w:r w:rsidRPr="000E4437">
        <w:rPr>
          <w:noProof/>
        </w:rPr>
        <w:t>Performanța socioeconomică</w:t>
      </w:r>
    </w:p>
    <w:p w14:paraId="589A4AE8" w14:textId="4D302593" w:rsidR="00AC0378" w:rsidRPr="000E4437" w:rsidRDefault="001D6309">
      <w:pPr>
        <w:jc w:val="both"/>
        <w:rPr>
          <w:rFonts w:ascii="Times New Roman" w:hAnsi="Times New Roman"/>
          <w:bCs/>
          <w:noProof/>
          <w:sz w:val="24"/>
        </w:rPr>
      </w:pPr>
      <w:bookmarkStart w:id="8" w:name="_Hlk135663424"/>
      <w:r w:rsidRPr="000E4437">
        <w:rPr>
          <w:rFonts w:ascii="Times New Roman" w:hAnsi="Times New Roman"/>
          <w:noProof/>
          <w:sz w:val="24"/>
        </w:rPr>
        <w:t>Energia este unul dintre principalele elemente de cost ale flotei de pescuit a UE. Nivelul maxim al prețurilor combustibililor</w:t>
      </w:r>
      <w:r w:rsidRPr="000E4437">
        <w:rPr>
          <w:rStyle w:val="FootnoteReference"/>
          <w:rFonts w:ascii="Times New Roman" w:hAnsi="Times New Roman"/>
          <w:bCs/>
          <w:noProof/>
          <w:sz w:val="24"/>
        </w:rPr>
        <w:footnoteReference w:id="25"/>
      </w:r>
      <w:r w:rsidRPr="000E4437">
        <w:rPr>
          <w:rFonts w:ascii="Times New Roman" w:hAnsi="Times New Roman"/>
          <w:noProof/>
          <w:sz w:val="24"/>
        </w:rPr>
        <w:t xml:space="preserve"> a avut un impact puternic asupra performanței socioeconomice a flotei de pescuit a UE în 2022. Acest impact survine după întreruperea tendințelor pozitive anterioare în materie de performanță economică ca urmare a izbucnirii pandemiei de COVID-19 în 2020 și a perturbării pieței cauzate de agresiunea militară a Rusiei împotriva Ucrainei. Se estimează că, pentru întreaga flotă de pescuit a UE, o creștere cu 10 eurocenți a prețului combustibilului reduce profitul brut anual cu 185 de milioane EUR (sau 16 % din profitul brut anual pe 2020). </w:t>
      </w:r>
      <w:bookmarkEnd w:id="8"/>
      <w:r w:rsidRPr="000E4437">
        <w:rPr>
          <w:rFonts w:ascii="Times New Roman" w:hAnsi="Times New Roman"/>
          <w:noProof/>
          <w:sz w:val="24"/>
        </w:rPr>
        <w:t>În mai multe segmente de flotă care utilizează unelte cu consum mare de combustibil, costurile cu energia pot reprezenta până la jumătate din valoarea totală a debarcărilor.</w:t>
      </w:r>
    </w:p>
    <w:p w14:paraId="061F1371" w14:textId="71E6E069" w:rsidR="00A9525E" w:rsidRPr="000E4437" w:rsidRDefault="00A9525E">
      <w:pPr>
        <w:jc w:val="both"/>
        <w:rPr>
          <w:rFonts w:ascii="Times New Roman" w:hAnsi="Times New Roman" w:cs="Times New Roman"/>
          <w:bCs/>
          <w:noProof/>
          <w:sz w:val="24"/>
          <w:szCs w:val="24"/>
        </w:rPr>
      </w:pPr>
      <w:r w:rsidRPr="000E4437">
        <w:rPr>
          <w:rFonts w:ascii="Times New Roman" w:hAnsi="Times New Roman"/>
          <w:noProof/>
          <w:sz w:val="24"/>
        </w:rPr>
        <w:t>Ca urmare, flota de pescuit a UE a înregistrat o pierdere globală pentru prima dată din 2008. Cu toate acestea, după ce au atins un nivel maxim de 1,2 EUR pe litru în vara anului 2022, prețurile combustibililor au scăzut treptat la 0,8-0,9 EUR pe litru</w:t>
      </w:r>
      <w:r w:rsidRPr="000E4437">
        <w:rPr>
          <w:rStyle w:val="FootnoteReference"/>
          <w:rFonts w:ascii="Times New Roman" w:hAnsi="Times New Roman"/>
          <w:noProof/>
          <w:sz w:val="24"/>
        </w:rPr>
        <w:t xml:space="preserve"> </w:t>
      </w:r>
      <w:r w:rsidRPr="000E4437">
        <w:rPr>
          <w:rFonts w:ascii="Times New Roman" w:hAnsi="Times New Roman"/>
          <w:noProof/>
          <w:sz w:val="24"/>
        </w:rPr>
        <w:t>în primul trimestru al anului 2023. Se preconizează că, la prețurile actuale ale combustibililor, flota de pescuit a UE poate produce o valoare adăugată brută de aproximativ 2,5 miliarde EUR, un profit brut de aproape 300 de milioane EUR, își poate acoperi costurile de funcționare și poate menține locuri de muncă și salarii pentru 125 000 de pescari în 2023. Aceasta reprezintă o îmbunătățire semnificativă în comparație cu 2022, când majoritatea flotelor de pescuit ale UE nu au reușit să își acopere costurile de funcționare. Cu toate acestea, prețurile actuale ale combustibililor, care rămân cu 70 % mai mari decât prețurile din 2021, ar genera, în medie, un profit net foarte mic, aproape de zero, în 2023.</w:t>
      </w:r>
    </w:p>
    <w:p w14:paraId="3D97CB6D" w14:textId="3BC25890" w:rsidR="00AC0378" w:rsidRPr="000E4437" w:rsidRDefault="00491714">
      <w:pPr>
        <w:jc w:val="both"/>
        <w:rPr>
          <w:rFonts w:ascii="Times New Roman" w:hAnsi="Times New Roman" w:cs="Times New Roman"/>
          <w:noProof/>
          <w:color w:val="000000"/>
          <w:sz w:val="24"/>
          <w:szCs w:val="24"/>
        </w:rPr>
      </w:pPr>
      <w:r w:rsidRPr="000E4437">
        <w:rPr>
          <w:rFonts w:ascii="Times New Roman" w:hAnsi="Times New Roman"/>
          <w:noProof/>
          <w:color w:val="000000"/>
          <w:sz w:val="24"/>
        </w:rPr>
        <w:t xml:space="preserve">Impactul acestei performanțe nu este uniform la nivelul tuturor segmentelor de flotă. În general, segmentele de flotă </w:t>
      </w:r>
      <w:bookmarkStart w:id="9" w:name="_Hlk135825387"/>
      <w:r w:rsidRPr="000E4437">
        <w:rPr>
          <w:rFonts w:ascii="Times New Roman" w:hAnsi="Times New Roman"/>
          <w:noProof/>
          <w:color w:val="000000"/>
          <w:sz w:val="24"/>
        </w:rPr>
        <w:t>care depind de stocurile exploatate în mod sustenabil și care și-au sporit eficiența energetică (sau și-au redus intensitatea consumului de combustibil) tind să înregistreze performanțe mai bune și să genereze salarii mai mari pentru echipajele lor, în pofida condițiilor economice nefavorabile actuale</w:t>
      </w:r>
      <w:bookmarkEnd w:id="9"/>
      <w:r w:rsidRPr="000E4437">
        <w:rPr>
          <w:rFonts w:ascii="Times New Roman" w:hAnsi="Times New Roman"/>
          <w:noProof/>
          <w:color w:val="000000"/>
          <w:sz w:val="24"/>
        </w:rPr>
        <w:t xml:space="preserve">. Acest lucru ilustrează </w:t>
      </w:r>
      <w:r w:rsidRPr="000E4437">
        <w:rPr>
          <w:rFonts w:ascii="Times New Roman" w:hAnsi="Times New Roman"/>
          <w:b/>
          <w:noProof/>
          <w:color w:val="000000"/>
          <w:sz w:val="24"/>
        </w:rPr>
        <w:t>importantele câștiguri socioeconomice ale flotelor de pescuit ale UE în ceea ce privește conservarea stocurilor și eficiența energetică.</w:t>
      </w:r>
      <w:r w:rsidRPr="000E4437">
        <w:rPr>
          <w:rFonts w:ascii="Times New Roman" w:hAnsi="Times New Roman"/>
          <w:noProof/>
          <w:color w:val="000000"/>
          <w:sz w:val="24"/>
        </w:rPr>
        <w:t xml:space="preserve"> </w:t>
      </w:r>
    </w:p>
    <w:p w14:paraId="0363D87D" w14:textId="0DC514DE" w:rsidR="00AC0378" w:rsidRPr="000E4437" w:rsidRDefault="00E7278C">
      <w:pPr>
        <w:jc w:val="both"/>
        <w:rPr>
          <w:rFonts w:ascii="Times New Roman" w:hAnsi="Times New Roman" w:cs="Times New Roman"/>
          <w:noProof/>
          <w:color w:val="000000"/>
          <w:sz w:val="24"/>
          <w:szCs w:val="24"/>
        </w:rPr>
      </w:pPr>
      <w:r w:rsidRPr="000E4437">
        <w:rPr>
          <w:rFonts w:ascii="Times New Roman" w:hAnsi="Times New Roman"/>
          <w:noProof/>
          <w:sz w:val="24"/>
        </w:rPr>
        <w:t xml:space="preserve">Se preconizează că flota de pescuit a UE își va acoperi costurile de funcționare și va menține locurile de muncă în 2023, dar va rămâne vulnerabilă din punct de vedere financiar. </w:t>
      </w:r>
      <w:r w:rsidRPr="000E4437">
        <w:rPr>
          <w:rFonts w:ascii="Times New Roman" w:hAnsi="Times New Roman"/>
          <w:noProof/>
          <w:color w:val="000000"/>
          <w:sz w:val="24"/>
        </w:rPr>
        <w:t>Această vulnerabilitate este rezultatul nivelului ridicat de intensitate energetică și al dependenței de combustibilii fosili. Inițiativa privind tranziția energetică</w:t>
      </w:r>
      <w:r w:rsidRPr="000E4437">
        <w:rPr>
          <w:rStyle w:val="FootnoteReference"/>
          <w:rFonts w:ascii="Times New Roman" w:hAnsi="Times New Roman" w:cs="Times New Roman"/>
          <w:noProof/>
          <w:color w:val="000000"/>
          <w:sz w:val="24"/>
          <w:szCs w:val="24"/>
        </w:rPr>
        <w:footnoteReference w:id="26"/>
      </w:r>
      <w:r w:rsidRPr="000E4437">
        <w:rPr>
          <w:rFonts w:ascii="Times New Roman" w:hAnsi="Times New Roman"/>
          <w:noProof/>
          <w:color w:val="000000"/>
          <w:sz w:val="24"/>
        </w:rPr>
        <w:t xml:space="preserve"> propune mai multe măsuri pentru a ajuta sectorul să își accelereze tranziția energetică și să atingă obiectivul neutralității climatice până în 2050. Aceasta include acțiuni menite să îndrume statele membre cu privire la modul optim de utilizare a finanțării disponibile în cadrul Fondului european pentru afaceri maritime, pescuit și acvacultură</w:t>
      </w:r>
      <w:r w:rsidRPr="000E4437">
        <w:rPr>
          <w:rStyle w:val="FootnoteReference"/>
          <w:rFonts w:ascii="Times New Roman" w:hAnsi="Times New Roman" w:cs="Times New Roman"/>
          <w:noProof/>
          <w:color w:val="000000"/>
          <w:sz w:val="24"/>
          <w:szCs w:val="24"/>
        </w:rPr>
        <w:footnoteReference w:id="27"/>
      </w:r>
      <w:r w:rsidRPr="000E4437">
        <w:rPr>
          <w:rFonts w:ascii="Times New Roman" w:hAnsi="Times New Roman"/>
          <w:noProof/>
          <w:color w:val="000000"/>
          <w:sz w:val="24"/>
        </w:rPr>
        <w:t xml:space="preserve"> (FEAMPA) pentru a sprijini realizarea tranziției energetice.</w:t>
      </w:r>
    </w:p>
    <w:p w14:paraId="281CA952" w14:textId="17D333C3" w:rsidR="00744522" w:rsidRPr="000E4437" w:rsidRDefault="00981FD5">
      <w:pPr>
        <w:jc w:val="both"/>
        <w:rPr>
          <w:rFonts w:ascii="Times New Roman" w:hAnsi="Times New Roman" w:cs="Times New Roman"/>
          <w:noProof/>
          <w:sz w:val="24"/>
          <w:szCs w:val="24"/>
        </w:rPr>
      </w:pPr>
      <w:bookmarkStart w:id="10" w:name="_Hlk132740797"/>
      <w:r w:rsidRPr="000E4437">
        <w:rPr>
          <w:rFonts w:ascii="Times New Roman" w:hAnsi="Times New Roman"/>
          <w:noProof/>
          <w:sz w:val="24"/>
        </w:rPr>
        <w:t>Pentru a atenua consecințele imediate pentru UE în 2022 ca urmare a agresiunii militare a Rusiei împotriva Ucrainei, Comisia a luat măsuri rapide în 2022 pentru a declanșa Fondul european pentru pescuit și afaceri maritime</w:t>
      </w:r>
      <w:r w:rsidRPr="000E4437">
        <w:rPr>
          <w:rStyle w:val="FootnoteReference"/>
          <w:rFonts w:ascii="Times New Roman" w:hAnsi="Times New Roman" w:cs="Times New Roman"/>
          <w:noProof/>
          <w:sz w:val="24"/>
          <w:szCs w:val="24"/>
        </w:rPr>
        <w:footnoteReference w:id="28"/>
      </w:r>
      <w:r w:rsidRPr="000E4437">
        <w:rPr>
          <w:rFonts w:ascii="Times New Roman" w:hAnsi="Times New Roman"/>
          <w:noProof/>
          <w:sz w:val="24"/>
        </w:rPr>
        <w:t xml:space="preserve"> (FEPAM) și FEAMPA în scopul punerii în aplicare de măsuri de sprijin pentru criză</w:t>
      </w:r>
      <w:r w:rsidRPr="000E4437">
        <w:rPr>
          <w:rStyle w:val="FootnoteReference"/>
          <w:rFonts w:ascii="Times New Roman" w:hAnsi="Times New Roman" w:cs="Times New Roman"/>
          <w:noProof/>
          <w:sz w:val="24"/>
          <w:szCs w:val="24"/>
        </w:rPr>
        <w:footnoteReference w:id="29"/>
      </w:r>
      <w:r w:rsidRPr="000E4437">
        <w:rPr>
          <w:rFonts w:ascii="Times New Roman" w:hAnsi="Times New Roman"/>
          <w:noProof/>
          <w:sz w:val="24"/>
        </w:rPr>
        <w:t>. În ceea ce privește FEPAM, 14 state membre au înregistrat progrese în ceea ce privește modificările programelor lor operaționale pentru a debloca acest sprijin</w:t>
      </w:r>
      <w:bookmarkEnd w:id="10"/>
      <w:r w:rsidRPr="000E4437">
        <w:rPr>
          <w:rFonts w:ascii="Times New Roman" w:hAnsi="Times New Roman"/>
          <w:noProof/>
          <w:sz w:val="24"/>
        </w:rPr>
        <w:t>. Sprijinul poate fi combinat cu alte pachete de criză, în special cu cadrul temporar de criză pentru măsurile de ajutor de stat</w:t>
      </w:r>
      <w:r w:rsidRPr="000E4437">
        <w:rPr>
          <w:rStyle w:val="FootnoteReference"/>
          <w:rFonts w:ascii="Times New Roman" w:hAnsi="Times New Roman" w:cs="Times New Roman"/>
          <w:noProof/>
          <w:sz w:val="24"/>
          <w:szCs w:val="24"/>
        </w:rPr>
        <w:footnoteReference w:id="30"/>
      </w:r>
      <w:r w:rsidRPr="000E4437">
        <w:rPr>
          <w:rFonts w:ascii="Times New Roman" w:hAnsi="Times New Roman"/>
          <w:noProof/>
          <w:sz w:val="24"/>
        </w:rPr>
        <w:t xml:space="preserve">, cu o sumă de până la 300 000 EUR disponibilă pentru întreprinderile din sectorul pescuitului și acvaculturii până la sfârșitul anului 2023. </w:t>
      </w:r>
    </w:p>
    <w:p w14:paraId="254C40D9" w14:textId="77777777" w:rsidR="00AC0378" w:rsidRPr="000E4437" w:rsidRDefault="001D6309">
      <w:pPr>
        <w:pStyle w:val="Heading1"/>
        <w:rPr>
          <w:noProof/>
        </w:rPr>
      </w:pPr>
      <w:r w:rsidRPr="000E4437">
        <w:rPr>
          <w:noProof/>
        </w:rPr>
        <w:t>Obligația de debarcare</w:t>
      </w:r>
    </w:p>
    <w:p w14:paraId="79609860" w14:textId="25F467A6" w:rsidR="00AC0378" w:rsidRPr="000E4437" w:rsidRDefault="003551F5">
      <w:pPr>
        <w:pBdr>
          <w:top w:val="nil"/>
          <w:left w:val="nil"/>
          <w:bottom w:val="nil"/>
          <w:right w:val="nil"/>
          <w:between w:val="nil"/>
        </w:pBdr>
        <w:spacing w:before="200"/>
        <w:jc w:val="both"/>
        <w:rPr>
          <w:rFonts w:ascii="Times New Roman" w:eastAsia="Calibri" w:hAnsi="Times New Roman" w:cs="Times New Roman"/>
          <w:noProof/>
          <w:sz w:val="24"/>
          <w:szCs w:val="24"/>
        </w:rPr>
      </w:pPr>
      <w:r w:rsidRPr="000E4437">
        <w:rPr>
          <w:rFonts w:ascii="Times New Roman" w:hAnsi="Times New Roman"/>
          <w:noProof/>
          <w:sz w:val="24"/>
        </w:rPr>
        <w:t xml:space="preserve">Proiectele de cercetare și cooperarea dintre toate părțile interesate au generat lecții valoroase privind gestionarea capturilor aruncate înapoi în mare în temeiul normelor privind obligația de debarcare și privind cooperarea cu părțile interesate. Acestea au sporit cunoștințele în ceea ce privește instrumentele (de atenuare), situația capturilor în diferite zone de pescuit și bazine maritime și modul de evitare a capturilor nedorite prin utilizarea unor unelte sau tehnici de pescuit mai selective, prin luarea de măsuri specifice zonei sau perioadei ori prin acțiuni de interzicere a pescuitului în timp real. </w:t>
      </w:r>
    </w:p>
    <w:p w14:paraId="09C28906" w14:textId="1B05C9F0" w:rsidR="00AC0378" w:rsidRPr="000E4437" w:rsidRDefault="001D6309" w:rsidP="00C32043">
      <w:pPr>
        <w:pBdr>
          <w:top w:val="nil"/>
          <w:left w:val="nil"/>
          <w:bottom w:val="nil"/>
          <w:right w:val="nil"/>
          <w:between w:val="nil"/>
        </w:pBdr>
        <w:spacing w:before="200"/>
        <w:jc w:val="both"/>
        <w:rPr>
          <w:rFonts w:ascii="Times New Roman" w:hAnsi="Times New Roman"/>
          <w:noProof/>
          <w:color w:val="000000"/>
          <w:sz w:val="24"/>
          <w:szCs w:val="24"/>
        </w:rPr>
      </w:pPr>
      <w:bookmarkStart w:id="12" w:name="_Hlk135643723"/>
      <w:r w:rsidRPr="000E4437">
        <w:rPr>
          <w:rFonts w:ascii="Times New Roman" w:hAnsi="Times New Roman"/>
          <w:b/>
          <w:noProof/>
          <w:color w:val="000000"/>
          <w:sz w:val="24"/>
        </w:rPr>
        <w:t>FEPAM și FEAMPA</w:t>
      </w:r>
      <w:r w:rsidRPr="000E4437">
        <w:rPr>
          <w:rFonts w:ascii="Times New Roman" w:hAnsi="Times New Roman"/>
          <w:noProof/>
          <w:color w:val="000000"/>
          <w:sz w:val="24"/>
        </w:rPr>
        <w:t xml:space="preserve"> (cu o rată ridicată a ajutorului public) oferă sprijin pentru punerea în aplicare a obligației de debarcare. La sfârșitul anului 2022</w:t>
      </w:r>
      <w:r w:rsidRPr="000E4437">
        <w:rPr>
          <w:rStyle w:val="FootnoteReference"/>
          <w:rFonts w:ascii="Times New Roman" w:hAnsi="Times New Roman"/>
          <w:noProof/>
          <w:color w:val="000000"/>
          <w:sz w:val="24"/>
          <w:szCs w:val="24"/>
        </w:rPr>
        <w:footnoteReference w:id="31"/>
      </w:r>
      <w:r w:rsidRPr="000E4437">
        <w:rPr>
          <w:rFonts w:ascii="Times New Roman" w:hAnsi="Times New Roman"/>
          <w:noProof/>
          <w:color w:val="000000"/>
          <w:sz w:val="24"/>
        </w:rPr>
        <w:t xml:space="preserve">, statele membre au selectat 5 160 de operațiuni cu o finanțare totală din FEPAM în valoare de 180,7 milioane EUR pentru obligația de debarcare (în creștere față de 4 762 de operațiuni și 169,2 milioane EUR în anul precedent). </w:t>
      </w:r>
      <w:bookmarkEnd w:id="12"/>
      <w:r w:rsidRPr="000E4437">
        <w:rPr>
          <w:rFonts w:ascii="Times New Roman" w:hAnsi="Times New Roman"/>
          <w:noProof/>
          <w:color w:val="000000"/>
          <w:sz w:val="24"/>
        </w:rPr>
        <w:t>Majoritatea operațiunilor au vizat creșterea valorii adăugate sau a calității capturilor nedorite</w:t>
      </w:r>
      <w:r w:rsidRPr="000E4437">
        <w:rPr>
          <w:rStyle w:val="FootnoteReference"/>
          <w:rFonts w:ascii="Times New Roman" w:hAnsi="Times New Roman"/>
          <w:noProof/>
          <w:color w:val="000000"/>
          <w:sz w:val="24"/>
          <w:szCs w:val="24"/>
        </w:rPr>
        <w:footnoteReference w:id="32"/>
      </w:r>
      <w:r w:rsidRPr="000E4437">
        <w:rPr>
          <w:rFonts w:ascii="Times New Roman" w:hAnsi="Times New Roman"/>
          <w:noProof/>
          <w:color w:val="000000"/>
          <w:sz w:val="24"/>
        </w:rPr>
        <w:t>, reducerea impactului pescuitului asupra mediului marin și eliminarea practicii de aruncare înapoi în mare a capturilor</w:t>
      </w:r>
      <w:r w:rsidRPr="000E4437">
        <w:rPr>
          <w:rStyle w:val="FootnoteReference"/>
          <w:rFonts w:ascii="Times New Roman" w:hAnsi="Times New Roman"/>
          <w:noProof/>
          <w:color w:val="000000"/>
          <w:sz w:val="24"/>
          <w:szCs w:val="24"/>
        </w:rPr>
        <w:footnoteReference w:id="33"/>
      </w:r>
      <w:r w:rsidRPr="000E4437">
        <w:rPr>
          <w:rFonts w:ascii="Times New Roman" w:hAnsi="Times New Roman"/>
          <w:noProof/>
          <w:color w:val="000000"/>
          <w:sz w:val="24"/>
        </w:rPr>
        <w:t xml:space="preserve">. </w:t>
      </w:r>
    </w:p>
    <w:p w14:paraId="070F5F42" w14:textId="5118F6AF" w:rsidR="00AC0378" w:rsidRPr="000E4437" w:rsidRDefault="00981FD5" w:rsidP="008E21AB">
      <w:pPr>
        <w:spacing w:after="0"/>
        <w:jc w:val="both"/>
        <w:rPr>
          <w:noProof/>
        </w:rPr>
      </w:pPr>
      <w:r w:rsidRPr="000E4437">
        <w:rPr>
          <w:rFonts w:ascii="Times New Roman" w:hAnsi="Times New Roman"/>
          <w:b/>
          <w:noProof/>
          <w:sz w:val="24"/>
        </w:rPr>
        <w:t xml:space="preserve">Cu toate acestea, măsurile luate de statele membre pentru a monitoriza și a pune în aplicare obligația de debarcare rămân insuficiente. </w:t>
      </w:r>
      <w:r w:rsidRPr="000E4437">
        <w:rPr>
          <w:rFonts w:ascii="Times New Roman" w:hAnsi="Times New Roman"/>
          <w:noProof/>
          <w:sz w:val="24"/>
        </w:rPr>
        <w:t>Principalele riscuri asociate obligației de debarcare, cum ar fi aruncarea ilegală și nedocumentată a capturilor înapoi în mare pe parcursul activităților de pescuit pe mare, nu sunt atenuate suficient. Este necesar să se prevină și să se descurajeze stimulentele actuale pentru neconformitate</w:t>
      </w:r>
      <w:r w:rsidRPr="000E4437">
        <w:rPr>
          <w:rFonts w:ascii="Times New Roman" w:hAnsi="Times New Roman" w:cs="Times New Roman"/>
          <w:noProof/>
          <w:sz w:val="24"/>
          <w:szCs w:val="24"/>
          <w:vertAlign w:val="superscript"/>
        </w:rPr>
        <w:footnoteReference w:id="34"/>
      </w:r>
      <w:r w:rsidRPr="000E4437">
        <w:rPr>
          <w:rFonts w:ascii="Times New Roman" w:hAnsi="Times New Roman"/>
          <w:noProof/>
          <w:sz w:val="24"/>
        </w:rPr>
        <w:t xml:space="preserve"> prin monitorizare și prin asigurarea respectării legii. Regulamentul privind PCP recunoaște dificultatea punerii în aplicare a obligației de debarcare în cadrul pescuitului mixt în cursul căruia sunt prezente mai multe specii și este probabilă capturarea unor specii diferite prin aceleiași operațiuni de pescuit și în cazul căruia sunt disponibile instrumente precum schimburile de cote.</w:t>
      </w:r>
    </w:p>
    <w:p w14:paraId="73C623AA" w14:textId="25182D42" w:rsidR="00AC0378" w:rsidRPr="000E4437" w:rsidRDefault="007E4F92" w:rsidP="003974B3">
      <w:pPr>
        <w:pBdr>
          <w:top w:val="nil"/>
          <w:left w:val="nil"/>
          <w:bottom w:val="nil"/>
          <w:right w:val="nil"/>
          <w:between w:val="nil"/>
        </w:pBdr>
        <w:spacing w:before="200"/>
        <w:jc w:val="both"/>
        <w:rPr>
          <w:rFonts w:ascii="Times New Roman" w:hAnsi="Times New Roman"/>
          <w:noProof/>
          <w:sz w:val="24"/>
          <w:szCs w:val="24"/>
        </w:rPr>
      </w:pPr>
      <w:r w:rsidRPr="000E4437">
        <w:rPr>
          <w:rFonts w:ascii="Times New Roman" w:hAnsi="Times New Roman"/>
          <w:noProof/>
          <w:sz w:val="24"/>
        </w:rPr>
        <w:t>În prezent, statele membre utilizează în principal tehnici tradiționale de monitorizare</w:t>
      </w:r>
      <w:r w:rsidRPr="000E4437">
        <w:rPr>
          <w:rStyle w:val="FootnoteReference"/>
          <w:rFonts w:ascii="Times New Roman" w:hAnsi="Times New Roman" w:cs="Times New Roman"/>
          <w:noProof/>
          <w:sz w:val="24"/>
          <w:szCs w:val="24"/>
        </w:rPr>
        <w:footnoteReference w:id="35"/>
      </w:r>
      <w:r w:rsidRPr="000E4437">
        <w:rPr>
          <w:rFonts w:ascii="Times New Roman" w:hAnsi="Times New Roman"/>
          <w:noProof/>
          <w:sz w:val="24"/>
        </w:rPr>
        <w:t>, care sunt insuficiente</w:t>
      </w:r>
      <w:r w:rsidRPr="000E4437">
        <w:rPr>
          <w:rFonts w:ascii="Times New Roman" w:hAnsi="Times New Roman" w:cs="Times New Roman"/>
          <w:noProof/>
          <w:sz w:val="24"/>
          <w:szCs w:val="24"/>
          <w:vertAlign w:val="superscript"/>
        </w:rPr>
        <w:footnoteReference w:id="36"/>
      </w:r>
      <w:r w:rsidRPr="000E4437">
        <w:rPr>
          <w:rFonts w:ascii="Times New Roman" w:hAnsi="Times New Roman"/>
          <w:noProof/>
          <w:sz w:val="24"/>
        </w:rPr>
        <w:t>. Parlamentul și Consiliul au convenit recent asupra unui sistem revizuit de control al pescuitului pe baza unei propuneri a Comisiei, în special pentru a mandata utilizarea instrumentelor de monitorizare electronică la distanță (REM). Agenția Europeană pentru Controlul Pescuitului asistă statele membre în pregătirea planurilor operaționale privind REM pentru proiecte-pilot la nivel regional și național și în identificarea celor mai bune strategii posibile de monitorizare a conformității.</w:t>
      </w:r>
    </w:p>
    <w:p w14:paraId="135335E9" w14:textId="5AC4B2D4" w:rsidR="00C32043" w:rsidRPr="000E4437" w:rsidRDefault="00D262CC" w:rsidP="00C32043">
      <w:pPr>
        <w:pBdr>
          <w:top w:val="nil"/>
          <w:left w:val="nil"/>
          <w:bottom w:val="nil"/>
          <w:right w:val="nil"/>
          <w:between w:val="nil"/>
        </w:pBdr>
        <w:spacing w:before="200"/>
        <w:jc w:val="both"/>
        <w:rPr>
          <w:rFonts w:ascii="Times New Roman" w:hAnsi="Times New Roman"/>
          <w:noProof/>
          <w:color w:val="000000"/>
          <w:sz w:val="24"/>
          <w:szCs w:val="24"/>
        </w:rPr>
      </w:pPr>
      <w:r w:rsidRPr="000E4437">
        <w:rPr>
          <w:rFonts w:ascii="Times New Roman" w:hAnsi="Times New Roman"/>
          <w:noProof/>
          <w:color w:val="000000"/>
          <w:sz w:val="24"/>
        </w:rPr>
        <w:t>Nivelul scăzut de respectare a normelor, aruncarea nedocumentată a capturilor înapoi în mare și raportarea eronată a capturilor subminează acuratețea datelor privind capturile (debarcări, capturi nedorite și capturi aruncate înapoi în mare) și a raportării, care stau la baza calității avizelor științifice. Statele membre și Comisia colaborează în 2023 cu Comitetul științific, tehnic și economic pentru pescuit</w:t>
      </w:r>
      <w:r w:rsidRPr="000E4437">
        <w:rPr>
          <w:rFonts w:ascii="Times New Roman" w:hAnsi="Times New Roman"/>
          <w:b/>
          <w:noProof/>
          <w:color w:val="000000"/>
          <w:sz w:val="24"/>
        </w:rPr>
        <w:t xml:space="preserve"> (</w:t>
      </w:r>
      <w:r w:rsidRPr="000E4437">
        <w:rPr>
          <w:rFonts w:ascii="Times New Roman" w:hAnsi="Times New Roman"/>
          <w:noProof/>
          <w:color w:val="000000"/>
          <w:sz w:val="24"/>
        </w:rPr>
        <w:t>CSTEP) pentru a revizui excepțiile de la obligația de debarcare în vederea îmbunătățirii datelor. De asemenea, Comisia a efectuat un studiu prin intermediul CINEA</w:t>
      </w:r>
      <w:r w:rsidRPr="000E4437">
        <w:rPr>
          <w:rStyle w:val="FootnoteReference"/>
          <w:rFonts w:ascii="Times New Roman" w:hAnsi="Times New Roman"/>
          <w:noProof/>
          <w:color w:val="000000"/>
          <w:sz w:val="24"/>
          <w:szCs w:val="24"/>
        </w:rPr>
        <w:footnoteReference w:id="37"/>
      </w:r>
      <w:r w:rsidRPr="000E4437">
        <w:rPr>
          <w:rFonts w:ascii="Times New Roman" w:hAnsi="Times New Roman"/>
          <w:noProof/>
          <w:color w:val="000000"/>
          <w:sz w:val="24"/>
        </w:rPr>
        <w:t>, care monitorizează punerea în aplicare a obligației de debarcare pentru activitățile de pescuit ale statelor membre în Marea Baltică, Marea Nordului și apele occidentale ale Atlanticului. Este esențial să se îmbunătățească monitorizarea și aplicarea legii pentru a se asigura că datele privind capturile sunt exacte, având în vedere că oamenii de știință utilizează datele raportate în jurnalele de bord și colectate în cadrul de colectare a datelor</w:t>
      </w:r>
      <w:r w:rsidRPr="000E4437">
        <w:rPr>
          <w:rStyle w:val="FootnoteReference"/>
          <w:rFonts w:ascii="Times New Roman" w:hAnsi="Times New Roman"/>
          <w:noProof/>
          <w:color w:val="000000"/>
          <w:sz w:val="24"/>
          <w:szCs w:val="24"/>
        </w:rPr>
        <w:footnoteReference w:id="38"/>
      </w:r>
      <w:r w:rsidRPr="000E4437">
        <w:rPr>
          <w:rFonts w:ascii="Times New Roman" w:hAnsi="Times New Roman"/>
          <w:noProof/>
          <w:color w:val="000000"/>
          <w:sz w:val="24"/>
        </w:rPr>
        <w:t xml:space="preserve"> pentru a susține avizele științifice. Astfel cum s-a subliniat în Comunicarea privind PCP</w:t>
      </w:r>
      <w:r w:rsidRPr="000E4437">
        <w:rPr>
          <w:rStyle w:val="FootnoteReference"/>
          <w:rFonts w:ascii="Times New Roman" w:hAnsi="Times New Roman"/>
          <w:noProof/>
          <w:color w:val="000000"/>
          <w:sz w:val="24"/>
          <w:szCs w:val="24"/>
        </w:rPr>
        <w:footnoteReference w:id="39"/>
      </w:r>
      <w:r w:rsidRPr="000E4437">
        <w:rPr>
          <w:rFonts w:ascii="Times New Roman" w:hAnsi="Times New Roman"/>
          <w:noProof/>
          <w:color w:val="000000"/>
          <w:sz w:val="24"/>
        </w:rPr>
        <w:t xml:space="preserve">, acuratețea datelor este esențială pentru evaluările care ajută Comisia să decidă dacă acțiunea UE ar trebui continuată sau ajustată. </w:t>
      </w:r>
    </w:p>
    <w:p w14:paraId="7A47D693" w14:textId="517E3AA3" w:rsidR="00AC0378" w:rsidRPr="000E4437" w:rsidRDefault="001D6309">
      <w:pPr>
        <w:pStyle w:val="Heading1"/>
        <w:rPr>
          <w:noProof/>
        </w:rPr>
      </w:pPr>
      <w:r w:rsidRPr="000E4437">
        <w:rPr>
          <w:noProof/>
        </w:rPr>
        <w:t>Principalele mesaje și orientări pentru propunerile privind posibilitățile de pescuit pentru 2024</w:t>
      </w:r>
    </w:p>
    <w:p w14:paraId="30FFC8AE" w14:textId="72CFBF44" w:rsidR="00AC0378" w:rsidRPr="000E4437" w:rsidRDefault="001D6309">
      <w:pPr>
        <w:pStyle w:val="Heading2"/>
        <w:spacing w:after="120"/>
        <w:ind w:left="360"/>
        <w:rPr>
          <w:noProof/>
        </w:rPr>
      </w:pPr>
      <w:r w:rsidRPr="000E4437">
        <w:rPr>
          <w:noProof/>
        </w:rPr>
        <w:t>6.1. Principalele etape în stabilirea următoarelor posibilități de pescuit</w:t>
      </w:r>
    </w:p>
    <w:p w14:paraId="5FC277AD" w14:textId="45AA5CE4" w:rsidR="00AC0378" w:rsidRPr="000E4437" w:rsidRDefault="00F7261E" w:rsidP="003974B3">
      <w:pPr>
        <w:jc w:val="both"/>
        <w:rPr>
          <w:rFonts w:ascii="Times New Roman" w:hAnsi="Times New Roman"/>
          <w:noProof/>
          <w:sz w:val="24"/>
          <w:szCs w:val="24"/>
        </w:rPr>
      </w:pPr>
      <w:r w:rsidRPr="000E4437">
        <w:rPr>
          <w:rFonts w:ascii="Times New Roman" w:hAnsi="Times New Roman"/>
          <w:noProof/>
          <w:sz w:val="24"/>
        </w:rPr>
        <w:t>Comisia își va baza propunerile din 2024 pentru organizațiile de pescuit pe avizele științifice emise de ICES și CSTEP, inclusiv pe aspecte ecosistemice, pe decizii luate în cursul negocierilor internaționale cu țări terțe, pe deciziile luate de ORGP în 2023 și pe o analiză socioeconomică.</w:t>
      </w:r>
    </w:p>
    <w:p w14:paraId="42761817" w14:textId="6EC88B6E" w:rsidR="00AC0378" w:rsidRPr="000E4437" w:rsidRDefault="001D6309" w:rsidP="003974B3">
      <w:pPr>
        <w:jc w:val="both"/>
        <w:rPr>
          <w:rFonts w:ascii="Times New Roman" w:hAnsi="Times New Roman"/>
          <w:noProof/>
          <w:sz w:val="24"/>
          <w:szCs w:val="24"/>
        </w:rPr>
      </w:pPr>
      <w:bookmarkStart w:id="13" w:name="_Hlk135826214"/>
      <w:r w:rsidRPr="000E4437">
        <w:rPr>
          <w:rFonts w:ascii="Times New Roman" w:hAnsi="Times New Roman"/>
          <w:noProof/>
          <w:sz w:val="24"/>
        </w:rPr>
        <w:t>Comisia va include cât mai multe stocuri posibil în propunerile sale inițiale, ținând seama de necesitatea furnizării la timp a avizelor științifice.</w:t>
      </w:r>
    </w:p>
    <w:bookmarkEnd w:id="13"/>
    <w:p w14:paraId="478707F1" w14:textId="423E77E8" w:rsidR="00AC0378" w:rsidRPr="000E4437" w:rsidRDefault="001D6309" w:rsidP="003974B3">
      <w:pPr>
        <w:jc w:val="both"/>
        <w:rPr>
          <w:rFonts w:ascii="Times New Roman" w:hAnsi="Times New Roman"/>
          <w:noProof/>
          <w:sz w:val="24"/>
          <w:szCs w:val="24"/>
        </w:rPr>
      </w:pPr>
      <w:r w:rsidRPr="000E4437">
        <w:rPr>
          <w:rFonts w:ascii="Times New Roman" w:hAnsi="Times New Roman"/>
          <w:noProof/>
          <w:sz w:val="24"/>
        </w:rPr>
        <w:t xml:space="preserve">Comisia invită statele membre și părțile interesate să analizeze avizele științifice de îndată ce acestea vor fi puse la dispoziția publicului. Părțile interesate pot, de asemenea, să formuleze recomandări prin intermediul consiliilor consultative, al autorităților naționale și în mod individual. </w:t>
      </w:r>
    </w:p>
    <w:p w14:paraId="22487D5F" w14:textId="470D5285" w:rsidR="00AC0378" w:rsidRPr="000E4437" w:rsidRDefault="001D6309" w:rsidP="003974B3">
      <w:pPr>
        <w:jc w:val="both"/>
        <w:rPr>
          <w:rFonts w:ascii="Times New Roman" w:hAnsi="Times New Roman"/>
          <w:noProof/>
          <w:sz w:val="24"/>
          <w:szCs w:val="24"/>
        </w:rPr>
      </w:pPr>
      <w:r w:rsidRPr="000E4437">
        <w:rPr>
          <w:rFonts w:ascii="Times New Roman" w:hAnsi="Times New Roman"/>
          <w:noProof/>
          <w:sz w:val="24"/>
        </w:rPr>
        <w:t xml:space="preserve">Comisia va desfășura diverse consultări cu Regatul Unit, Norvegia și alte state de coastă începând cu luna octombrie, cu scopul de a ajunge la o concluzie la timp pentru a aborda rezultatul în cadrul Consiliului din decembrie. </w:t>
      </w:r>
    </w:p>
    <w:p w14:paraId="730A937D" w14:textId="5F8FD093" w:rsidR="004820AD" w:rsidRPr="000E4437" w:rsidRDefault="001D6309" w:rsidP="003974B3">
      <w:pPr>
        <w:jc w:val="both"/>
        <w:rPr>
          <w:rFonts w:ascii="Times New Roman" w:hAnsi="Times New Roman"/>
          <w:noProof/>
          <w:sz w:val="24"/>
          <w:szCs w:val="24"/>
        </w:rPr>
      </w:pPr>
      <w:r w:rsidRPr="000E4437">
        <w:rPr>
          <w:rFonts w:ascii="Times New Roman" w:hAnsi="Times New Roman"/>
          <w:noProof/>
          <w:sz w:val="24"/>
        </w:rPr>
        <w:t>Pe lângă stabilirea</w:t>
      </w:r>
      <w:r w:rsidRPr="000E4437">
        <w:rPr>
          <w:noProof/>
        </w:rPr>
        <w:t xml:space="preserve"> </w:t>
      </w:r>
      <w:r w:rsidRPr="000E4437">
        <w:rPr>
          <w:rFonts w:ascii="Times New Roman" w:hAnsi="Times New Roman"/>
          <w:noProof/>
          <w:sz w:val="24"/>
        </w:rPr>
        <w:t>posibilităților de pescuit, Comisia va depune eforturi pe tot parcursul anului pentru a realiza progrese în ceea ce privește mecanismele de partajare a stocurilor repartizate pe o zonă extinsă cu țările terțe în care nu există în prezent astfel de mecanisme, pentru a asigura că stocurile comune sunt pescuite în mod durabil.</w:t>
      </w:r>
    </w:p>
    <w:p w14:paraId="29350AB7" w14:textId="7055F9FE" w:rsidR="00AC0378" w:rsidRPr="000E4437" w:rsidRDefault="001D6309">
      <w:pPr>
        <w:pStyle w:val="Heading2"/>
        <w:spacing w:after="120"/>
        <w:ind w:left="360"/>
        <w:rPr>
          <w:noProof/>
        </w:rPr>
      </w:pPr>
      <w:r w:rsidRPr="000E4437">
        <w:rPr>
          <w:noProof/>
        </w:rPr>
        <w:t>6.2. Stabilirea posibilităților de pescuit pentru diferite bazine maritime</w:t>
      </w:r>
    </w:p>
    <w:p w14:paraId="4361E70D" w14:textId="232D8B0F" w:rsidR="0011434B" w:rsidRPr="000E4437" w:rsidRDefault="001D6309">
      <w:pPr>
        <w:jc w:val="both"/>
        <w:rPr>
          <w:rFonts w:ascii="Times New Roman" w:hAnsi="Times New Roman"/>
          <w:noProof/>
          <w:sz w:val="24"/>
          <w:szCs w:val="24"/>
        </w:rPr>
      </w:pPr>
      <w:r w:rsidRPr="000E4437">
        <w:rPr>
          <w:rFonts w:ascii="Times New Roman" w:hAnsi="Times New Roman"/>
          <w:noProof/>
          <w:sz w:val="24"/>
        </w:rPr>
        <w:t xml:space="preserve">Pentru stocurile gestionate numai de UE în </w:t>
      </w:r>
      <w:r w:rsidRPr="000E4437">
        <w:rPr>
          <w:rFonts w:ascii="Times New Roman" w:hAnsi="Times New Roman"/>
          <w:b/>
          <w:noProof/>
          <w:sz w:val="24"/>
        </w:rPr>
        <w:t>Marea Baltică, zona Skagerrak/Kattegat și Atlantic</w:t>
      </w:r>
      <w:r w:rsidRPr="000E4437">
        <w:rPr>
          <w:rFonts w:ascii="Times New Roman" w:hAnsi="Times New Roman"/>
          <w:noProof/>
          <w:sz w:val="24"/>
        </w:rPr>
        <w:t>, Comisia va propune cote în conformitate cu MSY atunci când acest aviz va fi disponibil. În cazul în care planurile de gestionare oferă o mai mare flexibilitate în stabilirea limitelor de captură, Comisia poate propune utilizarea intervalului superior al MSY pentru stocurile sănătoase, cu condiția ca avizul științific să considere acest lucru necesar pentru atingerea obiectivelor din cadrul planurilor multianuale, în special pentru pescuitul mixt. Pentru stocurile pentru care avizele științifice sunt de zero capturi sau pentru care biomasa a scăzut atât de mult încât se situează sub o limită sigură, Comisia va propune măsuri de remediere</w:t>
      </w:r>
      <w:bookmarkStart w:id="14" w:name="_Hlk135726625"/>
      <w:r w:rsidRPr="000E4437">
        <w:rPr>
          <w:rFonts w:ascii="Times New Roman" w:hAnsi="Times New Roman"/>
          <w:noProof/>
          <w:sz w:val="24"/>
        </w:rPr>
        <w:t xml:space="preserve">, astfel cum se subliniază în fiecare plan multianual </w:t>
      </w:r>
      <w:bookmarkEnd w:id="14"/>
      <w:r w:rsidRPr="000E4437">
        <w:rPr>
          <w:rFonts w:ascii="Times New Roman" w:hAnsi="Times New Roman"/>
          <w:noProof/>
          <w:sz w:val="24"/>
        </w:rPr>
        <w:t xml:space="preserve">pentru refacerea stocurilor. Aceasta se va concentra asupra obținerii unei evaluări științifice complete din perspectiva MSY pentru alte stocuri-cheie, cât mai curând posibil. </w:t>
      </w:r>
    </w:p>
    <w:p w14:paraId="72E8E9F7" w14:textId="49FE0A42" w:rsidR="00AC0378" w:rsidRPr="000E4437" w:rsidRDefault="003F735F">
      <w:pPr>
        <w:jc w:val="both"/>
        <w:rPr>
          <w:rFonts w:ascii="Times New Roman" w:hAnsi="Times New Roman"/>
          <w:noProof/>
          <w:sz w:val="24"/>
          <w:szCs w:val="24"/>
        </w:rPr>
      </w:pPr>
      <w:r w:rsidRPr="000E4437">
        <w:rPr>
          <w:rFonts w:ascii="Times New Roman" w:hAnsi="Times New Roman"/>
          <w:noProof/>
          <w:sz w:val="24"/>
        </w:rPr>
        <w:t xml:space="preserve">În ceea ce privește obligația de debarcare, Comisia va deduce excepțiile </w:t>
      </w:r>
      <w:r w:rsidRPr="000E4437">
        <w:rPr>
          <w:rFonts w:ascii="Times New Roman" w:hAnsi="Times New Roman"/>
          <w:i/>
          <w:noProof/>
          <w:sz w:val="24"/>
        </w:rPr>
        <w:t>de minimis</w:t>
      </w:r>
      <w:r w:rsidRPr="000E4437">
        <w:rPr>
          <w:rFonts w:ascii="Times New Roman" w:hAnsi="Times New Roman"/>
          <w:noProof/>
          <w:sz w:val="24"/>
        </w:rPr>
        <w:t xml:space="preserve"> sau excepțiile legate de rata ridicată de supraviețuire din avizul ICES, după caz. Comisia va evalua și progresele înregistrate de statele membre în ceea ce privește punerea în aplicare a măsurilor actuale de reducere a capturilor accidentale </w:t>
      </w:r>
      <w:bookmarkStart w:id="15" w:name="_Hlk135726678"/>
      <w:r w:rsidRPr="000E4437">
        <w:rPr>
          <w:rFonts w:ascii="Times New Roman" w:hAnsi="Times New Roman"/>
          <w:noProof/>
          <w:sz w:val="24"/>
        </w:rPr>
        <w:t>care însoțesc numai TAC-urile aferente capturilor accidentale inevitabile adoptate pentru a atenua potențialele situații de blocaj.</w:t>
      </w:r>
      <w:bookmarkEnd w:id="15"/>
    </w:p>
    <w:p w14:paraId="6C64A09D" w14:textId="171A3CBC" w:rsidR="00D07FD0" w:rsidRPr="000E4437" w:rsidRDefault="00211EC8">
      <w:pPr>
        <w:jc w:val="both"/>
        <w:rPr>
          <w:rFonts w:ascii="Times New Roman" w:hAnsi="Times New Roman"/>
          <w:noProof/>
          <w:sz w:val="24"/>
          <w:szCs w:val="24"/>
        </w:rPr>
      </w:pPr>
      <w:r w:rsidRPr="000E4437">
        <w:rPr>
          <w:rFonts w:ascii="Times New Roman" w:hAnsi="Times New Roman"/>
          <w:noProof/>
          <w:sz w:val="24"/>
        </w:rPr>
        <w:t xml:space="preserve">Comisia intenționează să treacă, acolo unde este posibil, la un sistem de TAC-uri multianuale pentru stocurile gestionate exclusiv de UE. Astfel va spori eficiența și previzibilitatea pentru întreprinderile din sectorul pescuitului din UE pentru stocurile selectate în strânsă consultare cu statele membre, cu părțile interesate și cu ICES. Statelor membre li se solicită să enumere stocurile prioritare pentru care recomandă TAC-uri pentru o perioadă de doi ani. În urma unei evaluări, Comisia va solicita ICES să evalueze stocurile identificate: </w:t>
      </w:r>
    </w:p>
    <w:p w14:paraId="6B7298D9" w14:textId="2A5DCE43" w:rsidR="00D07FD0" w:rsidRPr="000E4437" w:rsidRDefault="00E1074E" w:rsidP="00D07FD0">
      <w:pPr>
        <w:pStyle w:val="ListParagraph"/>
        <w:numPr>
          <w:ilvl w:val="5"/>
          <w:numId w:val="22"/>
        </w:numPr>
        <w:tabs>
          <w:tab w:val="clear" w:pos="2160"/>
        </w:tabs>
        <w:ind w:left="993"/>
        <w:jc w:val="both"/>
        <w:rPr>
          <w:rFonts w:ascii="Times New Roman" w:hAnsi="Times New Roman"/>
          <w:noProof/>
          <w:sz w:val="24"/>
          <w:szCs w:val="24"/>
        </w:rPr>
      </w:pPr>
      <w:r w:rsidRPr="000E4437">
        <w:rPr>
          <w:rFonts w:ascii="Times New Roman" w:hAnsi="Times New Roman"/>
          <w:noProof/>
          <w:sz w:val="24"/>
        </w:rPr>
        <w:t xml:space="preserve">în raport cu criteriile din avizele multianuale ale ICES; </w:t>
      </w:r>
    </w:p>
    <w:p w14:paraId="265EB9BD" w14:textId="6BBEA51F" w:rsidR="00D07FD0" w:rsidRPr="000E4437" w:rsidRDefault="001D6309" w:rsidP="00D07FD0">
      <w:pPr>
        <w:pStyle w:val="ListParagraph"/>
        <w:numPr>
          <w:ilvl w:val="5"/>
          <w:numId w:val="22"/>
        </w:numPr>
        <w:tabs>
          <w:tab w:val="clear" w:pos="2160"/>
        </w:tabs>
        <w:ind w:left="993"/>
        <w:jc w:val="both"/>
        <w:rPr>
          <w:rFonts w:ascii="Times New Roman" w:hAnsi="Times New Roman"/>
          <w:noProof/>
          <w:sz w:val="24"/>
          <w:szCs w:val="24"/>
        </w:rPr>
      </w:pPr>
      <w:r w:rsidRPr="000E4437">
        <w:rPr>
          <w:rFonts w:ascii="Times New Roman" w:hAnsi="Times New Roman"/>
          <w:noProof/>
          <w:sz w:val="24"/>
        </w:rPr>
        <w:t xml:space="preserve">în ceea ce privește fezabilitatea avizelor multianuale și </w:t>
      </w:r>
    </w:p>
    <w:p w14:paraId="1B0859B6" w14:textId="0BD18CBA" w:rsidR="00AC0378" w:rsidRPr="000E4437" w:rsidRDefault="001D6309" w:rsidP="00D07FD0">
      <w:pPr>
        <w:pStyle w:val="ListParagraph"/>
        <w:numPr>
          <w:ilvl w:val="5"/>
          <w:numId w:val="22"/>
        </w:numPr>
        <w:tabs>
          <w:tab w:val="clear" w:pos="2160"/>
        </w:tabs>
        <w:ind w:left="993"/>
        <w:jc w:val="both"/>
        <w:rPr>
          <w:rFonts w:ascii="Times New Roman" w:hAnsi="Times New Roman"/>
          <w:noProof/>
          <w:sz w:val="24"/>
          <w:szCs w:val="24"/>
        </w:rPr>
      </w:pPr>
      <w:r w:rsidRPr="000E4437">
        <w:rPr>
          <w:rFonts w:ascii="Times New Roman" w:hAnsi="Times New Roman"/>
          <w:noProof/>
          <w:sz w:val="24"/>
        </w:rPr>
        <w:t xml:space="preserve"> în ceea ce privește posibilele implicații ale unor astfel de avize multianuale.</w:t>
      </w:r>
    </w:p>
    <w:p w14:paraId="2A664AA0" w14:textId="77777777" w:rsidR="00D07FD0" w:rsidRPr="000E4437" w:rsidRDefault="00D07FD0" w:rsidP="00D07FD0">
      <w:pPr>
        <w:pStyle w:val="ListParagraph"/>
        <w:ind w:left="2160"/>
        <w:jc w:val="both"/>
        <w:rPr>
          <w:rFonts w:ascii="Times New Roman" w:hAnsi="Times New Roman"/>
          <w:noProof/>
          <w:sz w:val="24"/>
          <w:szCs w:val="24"/>
        </w:rPr>
      </w:pPr>
    </w:p>
    <w:p w14:paraId="6F028E03" w14:textId="6D3DE8E6" w:rsidR="00AC0378" w:rsidRPr="000E4437" w:rsidRDefault="001D6309">
      <w:pPr>
        <w:jc w:val="both"/>
        <w:rPr>
          <w:rFonts w:ascii="Times New Roman" w:hAnsi="Times New Roman"/>
          <w:noProof/>
          <w:sz w:val="24"/>
          <w:szCs w:val="24"/>
        </w:rPr>
      </w:pPr>
      <w:r w:rsidRPr="000E4437">
        <w:rPr>
          <w:rFonts w:ascii="Times New Roman" w:hAnsi="Times New Roman"/>
          <w:noProof/>
          <w:sz w:val="24"/>
        </w:rPr>
        <w:t xml:space="preserve">În ceea ce privește stocurile comune gestionate cu </w:t>
      </w:r>
      <w:r w:rsidRPr="000E4437">
        <w:rPr>
          <w:rFonts w:ascii="Times New Roman" w:hAnsi="Times New Roman"/>
          <w:b/>
          <w:noProof/>
          <w:sz w:val="24"/>
        </w:rPr>
        <w:t>Regatul Unit, Norvegia și alte state de coastă</w:t>
      </w:r>
      <w:r w:rsidRPr="000E4437">
        <w:rPr>
          <w:rFonts w:ascii="Times New Roman" w:hAnsi="Times New Roman"/>
          <w:noProof/>
          <w:sz w:val="24"/>
        </w:rPr>
        <w:t>, UE va continua să își bazeze poziția pe cele mai bune avize științifice disponibile, cu obiectivul de a stabili posibilități de pescuit în conformitate cu MSY. UE va monitoriza angajamentele comune dintre UE și Regatul Unit în cadrul Comitetului specializat privind pescuitul, cu scopul de a realiza un pescuit sustenabil și de a gestiona stocurile comune de pește. Aceasta va urmări angajamente similare din cadrul trilateral (UE, Regatul Unit, Norvegia) și va căuta acorduri sustenabile și cuprinzătoare de partajare pentru stocurile statelor de coastă. Această activitate face parte din dimensiunea externă a politicii comune în domeniul pescuitului și acoperă aproximativ 70 % din totalul TAC-urilor stabilite în Atlanticul de Nord-Est. Comisia va depune eforturi pentru a îmbunătăți cooperarea și climatul acestor consultări.</w:t>
      </w:r>
    </w:p>
    <w:p w14:paraId="500EE9D2" w14:textId="71450CB7" w:rsidR="00AC0378" w:rsidRPr="000E4437" w:rsidRDefault="001D6309">
      <w:pPr>
        <w:jc w:val="both"/>
        <w:rPr>
          <w:rFonts w:ascii="Times New Roman" w:hAnsi="Times New Roman"/>
          <w:noProof/>
          <w:sz w:val="24"/>
          <w:szCs w:val="24"/>
        </w:rPr>
      </w:pPr>
      <w:r w:rsidRPr="000E4437">
        <w:rPr>
          <w:rFonts w:ascii="Times New Roman" w:hAnsi="Times New Roman"/>
          <w:noProof/>
          <w:sz w:val="24"/>
        </w:rPr>
        <w:t xml:space="preserve">În ceea ce privește </w:t>
      </w:r>
      <w:r w:rsidRPr="000E4437">
        <w:rPr>
          <w:rFonts w:ascii="Times New Roman" w:hAnsi="Times New Roman"/>
          <w:b/>
          <w:noProof/>
          <w:sz w:val="24"/>
        </w:rPr>
        <w:t>Marea Mediterană și Marea Neagră</w:t>
      </w:r>
      <w:r w:rsidRPr="000E4437">
        <w:rPr>
          <w:rFonts w:ascii="Times New Roman" w:hAnsi="Times New Roman"/>
          <w:noProof/>
          <w:sz w:val="24"/>
        </w:rPr>
        <w:t>, este esențial ca statele membre să continue să urmărească obiectivele planului multianual pentru Mediterana de Vest și ale CGPM în cadrul strategiei pentru 2030. Comisia încurajează statele membre să pună în aplicare măsuri de însoțire în cadrul programelor finanțate din FEAMPA. Întrucât acesta este ultimul an din perioada de tranziție a planului multianual, propunerea privind posibilitățile de pescuit va urmări punerea în aplicare deplină pentru a atinge MSY până cel târziu la 1 ianuarie 2025 pentru toate stocurile, urmând o abordare holistică. În special, aceasta ar trebui să includă instrumentele de gestionare disponibile și mecanismul de compensare pentru a îmbunătăți selectivitatea uneltelor de pescuit și interdicțiile de pescuit în anumite zone. CSTEP evaluează anual punerea în aplicare a planului multianual. De asemenea, Comisia a lansat activități legate de fiecare aspect al sustenabilității în vederea raportării, în iulie 2024, cu privire la rezultatele și impactul planului asupra stocurilor și activităților de pescuit vizate.</w:t>
      </w:r>
    </w:p>
    <w:p w14:paraId="672D0A4F" w14:textId="0784BA22" w:rsidR="00AC0378" w:rsidRPr="000E4437" w:rsidRDefault="00036EF1">
      <w:pPr>
        <w:jc w:val="both"/>
        <w:rPr>
          <w:rFonts w:ascii="Times New Roman" w:hAnsi="Times New Roman"/>
          <w:noProof/>
          <w:sz w:val="24"/>
          <w:szCs w:val="24"/>
        </w:rPr>
      </w:pPr>
      <w:r w:rsidRPr="000E4437">
        <w:rPr>
          <w:rFonts w:ascii="Times New Roman" w:hAnsi="Times New Roman"/>
          <w:noProof/>
          <w:sz w:val="24"/>
        </w:rPr>
        <w:t xml:space="preserve">Gestionarea stocurilor comune este, de asemenea, necesară pentru a asigura sustenabilitatea în apele internaționale și condiții de concurență echitabile în Marea Mediterană și în Marea Neagră. În acest scop, propunerea privind posibilitățile de pescuit pentru 2024 va include măsurile care decurg din măsurile CGPM aflate deja în vigoare și măsuri suplimentare care urmează să fie adoptate în cadrul sesiunii anuale a CGPM din noiembrie. Pentru speciile din Marea Neagră, Comisia va propune TAC-uri și cote pentru calcan în conformitate cu măsurile care urmează să fie adoptate în cadrul sesiunii anuale, precum și pentru șprot. </w:t>
      </w:r>
    </w:p>
    <w:p w14:paraId="24F38A11" w14:textId="212B6D77" w:rsidR="009E6D96" w:rsidRPr="000E4437" w:rsidRDefault="009E6D96">
      <w:pPr>
        <w:jc w:val="both"/>
        <w:rPr>
          <w:rFonts w:ascii="Times New Roman" w:hAnsi="Times New Roman"/>
          <w:noProof/>
          <w:sz w:val="24"/>
          <w:szCs w:val="24"/>
        </w:rPr>
      </w:pPr>
      <w:r w:rsidRPr="000E4437">
        <w:rPr>
          <w:rFonts w:ascii="Times New Roman" w:hAnsi="Times New Roman"/>
          <w:noProof/>
          <w:sz w:val="24"/>
        </w:rPr>
        <w:t>Progresele înregistrate în Marea Mediterană și în Marea Neagră trebuie să continue și să se accelereze în cadrul conferinței la nivel înalt a CGPM care va avea loc în Malta în perioada 3-4 octombrie 2023. Toate statele membre trebuie să continue acțiunile de asigurare a sustenabilității stocurilor, deoarece aceasta reprezintă baza pentru un sector al pescuitului rezilient și pentru protejarea ecosistemelor din aceste bazine maritime.</w:t>
      </w:r>
    </w:p>
    <w:p w14:paraId="39DC44B4" w14:textId="52FB22BF" w:rsidR="00C76199" w:rsidRPr="000E4437" w:rsidRDefault="00C17E92">
      <w:pPr>
        <w:spacing w:after="120"/>
        <w:jc w:val="both"/>
        <w:rPr>
          <w:rFonts w:ascii="Times New Roman" w:hAnsi="Times New Roman"/>
          <w:b/>
          <w:noProof/>
          <w:sz w:val="24"/>
          <w:szCs w:val="24"/>
        </w:rPr>
      </w:pPr>
      <w:r w:rsidRPr="000E4437">
        <w:rPr>
          <w:rFonts w:ascii="Times New Roman" w:hAnsi="Times New Roman"/>
          <w:noProof/>
          <w:sz w:val="24"/>
        </w:rPr>
        <w:t xml:space="preserve">Având în vedere necesitatea de a îmbunătăți protecția </w:t>
      </w:r>
      <w:r w:rsidRPr="000E4437">
        <w:rPr>
          <w:rFonts w:ascii="Times New Roman" w:hAnsi="Times New Roman"/>
          <w:b/>
          <w:noProof/>
          <w:sz w:val="24"/>
        </w:rPr>
        <w:t>anghilei europene</w:t>
      </w:r>
      <w:r w:rsidRPr="000E4437">
        <w:rPr>
          <w:rFonts w:ascii="Times New Roman" w:hAnsi="Times New Roman"/>
          <w:noProof/>
          <w:sz w:val="24"/>
        </w:rPr>
        <w:t>, pe lângă monitorizarea îndeaproape a punerii în aplicare a posibilităților de pescuit pentru 2023 și evaluarea măsurilor pentru 2024 pentru apele marine, Comisia invită statele membre să își îmbunătățească planurile de gestionare a rezervelor de anghilă în temeiul Regulamentului privind rezervele de anghilă, în conformitate cu obligațiile lor privind mediul</w:t>
      </w:r>
      <w:r w:rsidRPr="000E4437">
        <w:rPr>
          <w:rStyle w:val="FootnoteReference"/>
          <w:rFonts w:ascii="Times New Roman" w:eastAsia="Times New Roman" w:hAnsi="Times New Roman" w:cs="Times New Roman"/>
          <w:noProof/>
          <w:sz w:val="24"/>
          <w:szCs w:val="24"/>
        </w:rPr>
        <w:footnoteReference w:id="40"/>
      </w:r>
      <w:r w:rsidRPr="000E4437">
        <w:rPr>
          <w:rFonts w:ascii="Times New Roman" w:hAnsi="Times New Roman"/>
          <w:noProof/>
          <w:sz w:val="24"/>
        </w:rPr>
        <w:t>. Este important să se intensifice măsurile în apele continentale pentru a crea condiții de concurență echitabile, având în vedere că rata mortalității anghilei în apele continentale este semnificativă și impune luarea unor măsuri urgente de remediere. CGPM lucrează în prezent la viitoarele planuri de gestionare pe termen lung, în special pentru</w:t>
      </w:r>
      <w:r w:rsidRPr="000E4437">
        <w:rPr>
          <w:noProof/>
        </w:rPr>
        <w:t xml:space="preserve"> </w:t>
      </w:r>
      <w:r w:rsidRPr="000E4437">
        <w:rPr>
          <w:rFonts w:ascii="Times New Roman" w:hAnsi="Times New Roman"/>
          <w:noProof/>
          <w:sz w:val="24"/>
        </w:rPr>
        <w:t>anghila europeană și corifena comună</w:t>
      </w:r>
      <w:bookmarkStart w:id="16" w:name="_Hlk135827375"/>
      <w:r w:rsidRPr="000E4437">
        <w:rPr>
          <w:rFonts w:ascii="Times New Roman" w:hAnsi="Times New Roman"/>
          <w:noProof/>
          <w:sz w:val="24"/>
        </w:rPr>
        <w:t>, pentru care măsurile actuale se încheie în 2023.</w:t>
      </w:r>
      <w:bookmarkEnd w:id="16"/>
    </w:p>
    <w:p w14:paraId="579ED6CB" w14:textId="77777777" w:rsidR="00AC0378" w:rsidRPr="000E4437" w:rsidRDefault="001D6309">
      <w:pPr>
        <w:pStyle w:val="Heading1"/>
        <w:rPr>
          <w:noProof/>
        </w:rPr>
      </w:pPr>
      <w:r w:rsidRPr="000E4437">
        <w:rPr>
          <w:noProof/>
        </w:rPr>
        <w:t>Concluzie</w:t>
      </w:r>
    </w:p>
    <w:p w14:paraId="34A83049" w14:textId="68BDF997" w:rsidR="00BC1D89" w:rsidRPr="000E4437" w:rsidRDefault="00817478">
      <w:pPr>
        <w:spacing w:after="120"/>
        <w:jc w:val="both"/>
        <w:rPr>
          <w:rFonts w:ascii="Times New Roman" w:hAnsi="Times New Roman"/>
          <w:noProof/>
          <w:sz w:val="24"/>
          <w:szCs w:val="24"/>
        </w:rPr>
      </w:pPr>
      <w:r w:rsidRPr="000E4437">
        <w:rPr>
          <w:rFonts w:ascii="Times New Roman" w:hAnsi="Times New Roman"/>
          <w:noProof/>
          <w:sz w:val="24"/>
        </w:rPr>
        <w:t xml:space="preserve">Sustenabilitatea pescuitului în UE s-a îmbunătățit în 2022. Cu toate acestea, situația rămâne dificilă în Marea Baltică, unde unele stocuri comerciale anterior importante sunt în scădere din cauza diferitelor presiuni. </w:t>
      </w:r>
      <w:bookmarkStart w:id="17" w:name="_Hlk135727121"/>
      <w:r w:rsidRPr="000E4437">
        <w:rPr>
          <w:rFonts w:ascii="Times New Roman" w:hAnsi="Times New Roman"/>
          <w:noProof/>
          <w:sz w:val="24"/>
        </w:rPr>
        <w:t xml:space="preserve">Schimbările climatice afectează activitățile umane, intensitatea presiunilor și anumite aspecte legate de starea mării, precum și legăturile dintre acestea. </w:t>
      </w:r>
      <w:bookmarkEnd w:id="17"/>
      <w:r w:rsidRPr="000E4437">
        <w:rPr>
          <w:rFonts w:ascii="Times New Roman" w:hAnsi="Times New Roman"/>
          <w:noProof/>
          <w:sz w:val="24"/>
        </w:rPr>
        <w:t xml:space="preserve">Sunt necesare mai multe acțiuni și un angajament mai ferm pentru a aborda situația din Marea Mediterană și din Marea Neagră. </w:t>
      </w:r>
    </w:p>
    <w:p w14:paraId="3B95F46C" w14:textId="043F8C68" w:rsidR="00792531" w:rsidRPr="000E4437" w:rsidRDefault="00C8377B">
      <w:pPr>
        <w:spacing w:after="120"/>
        <w:jc w:val="both"/>
        <w:rPr>
          <w:rFonts w:ascii="Times New Roman" w:hAnsi="Times New Roman"/>
          <w:noProof/>
          <w:sz w:val="24"/>
          <w:szCs w:val="24"/>
        </w:rPr>
      </w:pPr>
      <w:r w:rsidRPr="000E4437">
        <w:rPr>
          <w:rFonts w:ascii="Times New Roman" w:hAnsi="Times New Roman"/>
          <w:noProof/>
          <w:sz w:val="24"/>
        </w:rPr>
        <w:t>Propunerile Comisiei privind posibilitățile de pescuit pentru 2024 vor urmări să permită refacerea stocurilor și consolidarea stocurilor de pește care au atins niveluri sustenabile. Astfel se va stimula reziliența pescarilor. Este important să se continue punerea în aplicare de către statele membre a legislației UE, precum și eforturile susținute ale Comisiei în ceea ce privește acțiunile de abordare a celorlalte presiuni asupra stocurilor de pește.</w:t>
      </w:r>
      <w:r w:rsidRPr="000E4437">
        <w:rPr>
          <w:noProof/>
        </w:rPr>
        <w:t xml:space="preserve"> </w:t>
      </w:r>
      <w:bookmarkStart w:id="18" w:name="_Hlk135727195"/>
      <w:r w:rsidRPr="000E4437">
        <w:rPr>
          <w:rFonts w:ascii="Times New Roman" w:hAnsi="Times New Roman"/>
          <w:noProof/>
          <w:sz w:val="24"/>
        </w:rPr>
        <w:t>UE depune eforturi pentru a combate poluarea marină printr-o serie de inițiative legislative și de politică în cadrul mai larg al planului de acțiune privind reducerea la zero a poluării</w:t>
      </w:r>
      <w:r w:rsidRPr="000E4437">
        <w:rPr>
          <w:rStyle w:val="FootnoteReference"/>
          <w:rFonts w:ascii="Times New Roman" w:hAnsi="Times New Roman"/>
          <w:noProof/>
          <w:sz w:val="24"/>
          <w:szCs w:val="24"/>
        </w:rPr>
        <w:footnoteReference w:id="41"/>
      </w:r>
      <w:r w:rsidRPr="000E4437">
        <w:rPr>
          <w:rFonts w:ascii="Times New Roman" w:hAnsi="Times New Roman"/>
          <w:noProof/>
          <w:sz w:val="24"/>
        </w:rPr>
        <w:t>.</w:t>
      </w:r>
      <w:bookmarkEnd w:id="18"/>
    </w:p>
    <w:p w14:paraId="03A30B28" w14:textId="635BC479" w:rsidR="00AC0378" w:rsidRPr="000E4437" w:rsidRDefault="008A38F5">
      <w:pPr>
        <w:spacing w:after="120"/>
        <w:jc w:val="both"/>
        <w:rPr>
          <w:rFonts w:ascii="Times New Roman" w:hAnsi="Times New Roman"/>
          <w:noProof/>
          <w:sz w:val="24"/>
          <w:szCs w:val="24"/>
        </w:rPr>
      </w:pPr>
      <w:bookmarkStart w:id="20" w:name="_Hlk133352959"/>
      <w:r w:rsidRPr="000E4437">
        <w:rPr>
          <w:rFonts w:ascii="Times New Roman" w:hAnsi="Times New Roman"/>
          <w:noProof/>
          <w:sz w:val="24"/>
        </w:rPr>
        <w:t>Astfel cum se menționează în pachetul privind pescuitul și oceanele, acum trebuie să ne asumăm un angajament mai ferm pentru ca zonele noastre marine și pescuitul european să fie pregătite pentru viitor. Un sector al pescuitului prosper este esențial pentru conservarea comunităților costiere europene și pentru gestionarea tranziției către sisteme alimentare mai sustenabile.</w:t>
      </w:r>
    </w:p>
    <w:bookmarkEnd w:id="20"/>
    <w:p w14:paraId="20EFB61B" w14:textId="08BBA3C5" w:rsidR="00AC0378" w:rsidRPr="000E4437" w:rsidRDefault="001D6309">
      <w:pPr>
        <w:spacing w:after="120"/>
        <w:jc w:val="both"/>
        <w:rPr>
          <w:rFonts w:ascii="Times New Roman" w:hAnsi="Times New Roman"/>
          <w:noProof/>
          <w:sz w:val="24"/>
          <w:szCs w:val="24"/>
        </w:rPr>
      </w:pPr>
      <w:r w:rsidRPr="000E4437">
        <w:rPr>
          <w:rFonts w:ascii="Times New Roman" w:hAnsi="Times New Roman"/>
          <w:noProof/>
          <w:sz w:val="24"/>
        </w:rPr>
        <w:t>Comisia invită statele membre, consiliile consultative, părțile interesate și publicul să trimită un feedback privind prezenta comunicare până la data de 31 august 2023.</w:t>
      </w:r>
    </w:p>
    <w:p w14:paraId="2729E29B" w14:textId="77777777" w:rsidR="00AC0378" w:rsidRPr="000E4437" w:rsidRDefault="001D6309">
      <w:pPr>
        <w:spacing w:after="120"/>
        <w:jc w:val="both"/>
        <w:rPr>
          <w:rFonts w:ascii="Times New Roman" w:hAnsi="Times New Roman"/>
          <w:noProof/>
          <w:sz w:val="24"/>
        </w:rPr>
      </w:pPr>
      <w:r w:rsidRPr="000E4437">
        <w:rPr>
          <w:noProof/>
        </w:rPr>
        <w:br w:type="page"/>
      </w:r>
    </w:p>
    <w:p w14:paraId="0CE72203" w14:textId="61EACD76" w:rsidR="00AC0378" w:rsidRPr="000E4437" w:rsidRDefault="001D6309">
      <w:pPr>
        <w:keepNext/>
        <w:tabs>
          <w:tab w:val="num" w:pos="850"/>
        </w:tabs>
        <w:spacing w:before="240" w:after="120"/>
        <w:ind w:left="851" w:hanging="851"/>
        <w:jc w:val="both"/>
        <w:outlineLvl w:val="0"/>
        <w:rPr>
          <w:rFonts w:ascii="Times New Roman" w:hAnsi="Times New Roman"/>
          <w:noProof/>
          <w:sz w:val="24"/>
          <w:szCs w:val="24"/>
        </w:rPr>
      </w:pPr>
      <w:r w:rsidRPr="000E4437">
        <w:rPr>
          <w:rFonts w:ascii="Times New Roman" w:hAnsi="Times New Roman"/>
          <w:b/>
          <w:smallCaps/>
          <w:noProof/>
          <w:sz w:val="24"/>
        </w:rPr>
        <w:t>Calendarul de lucru planificat</w:t>
      </w:r>
      <w:r w:rsidRPr="000E4437">
        <w:rPr>
          <w:rStyle w:val="FootnoteReference"/>
          <w:rFonts w:ascii="Times New Roman" w:hAnsi="Times New Roman"/>
          <w:noProof/>
          <w:sz w:val="24"/>
          <w:szCs w:val="24"/>
        </w:rPr>
        <w:footnoteReference w:id="42"/>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662"/>
      </w:tblGrid>
      <w:tr w:rsidR="00AC0378" w:rsidRPr="000E4437" w14:paraId="6DC6117E" w14:textId="77777777">
        <w:tc>
          <w:tcPr>
            <w:tcW w:w="2436" w:type="dxa"/>
            <w:shd w:val="clear" w:color="auto" w:fill="auto"/>
          </w:tcPr>
          <w:p w14:paraId="1A108E6E" w14:textId="77777777" w:rsidR="00AC0378" w:rsidRPr="000E4437" w:rsidRDefault="001D6309">
            <w:pPr>
              <w:spacing w:before="120" w:after="60"/>
              <w:jc w:val="both"/>
              <w:rPr>
                <w:rFonts w:ascii="Times New Roman" w:hAnsi="Times New Roman"/>
                <w:b/>
                <w:bCs/>
                <w:noProof/>
                <w:sz w:val="24"/>
                <w:szCs w:val="24"/>
              </w:rPr>
            </w:pPr>
            <w:r w:rsidRPr="000E4437">
              <w:rPr>
                <w:rFonts w:ascii="Times New Roman" w:hAnsi="Times New Roman"/>
                <w:b/>
                <w:noProof/>
                <w:sz w:val="24"/>
              </w:rPr>
              <w:t>Când</w:t>
            </w:r>
          </w:p>
        </w:tc>
        <w:tc>
          <w:tcPr>
            <w:tcW w:w="6744" w:type="dxa"/>
            <w:shd w:val="clear" w:color="auto" w:fill="auto"/>
          </w:tcPr>
          <w:p w14:paraId="0834D46D" w14:textId="77777777" w:rsidR="00AC0378" w:rsidRPr="000E4437" w:rsidRDefault="001D6309">
            <w:pPr>
              <w:spacing w:before="120" w:after="60"/>
              <w:jc w:val="both"/>
              <w:rPr>
                <w:rFonts w:ascii="Times New Roman" w:hAnsi="Times New Roman"/>
                <w:b/>
                <w:bCs/>
                <w:noProof/>
                <w:sz w:val="24"/>
                <w:szCs w:val="24"/>
              </w:rPr>
            </w:pPr>
            <w:r w:rsidRPr="000E4437">
              <w:rPr>
                <w:rFonts w:ascii="Times New Roman" w:hAnsi="Times New Roman"/>
                <w:b/>
                <w:noProof/>
                <w:sz w:val="24"/>
              </w:rPr>
              <w:t>Ce anume</w:t>
            </w:r>
          </w:p>
        </w:tc>
      </w:tr>
      <w:tr w:rsidR="00AC0378" w:rsidRPr="000E4437" w14:paraId="2284B0CF" w14:textId="77777777">
        <w:tc>
          <w:tcPr>
            <w:tcW w:w="0" w:type="auto"/>
            <w:shd w:val="clear" w:color="auto" w:fill="auto"/>
          </w:tcPr>
          <w:p w14:paraId="6299FBF1" w14:textId="77777777" w:rsidR="00AC0378" w:rsidRPr="000E4437" w:rsidRDefault="001D6309">
            <w:pPr>
              <w:spacing w:before="120" w:after="60"/>
              <w:jc w:val="both"/>
              <w:rPr>
                <w:rFonts w:ascii="Times New Roman" w:hAnsi="Times New Roman"/>
                <w:noProof/>
                <w:sz w:val="24"/>
                <w:szCs w:val="24"/>
              </w:rPr>
            </w:pPr>
            <w:r w:rsidRPr="000E4437">
              <w:rPr>
                <w:rFonts w:ascii="Times New Roman" w:hAnsi="Times New Roman"/>
                <w:noProof/>
                <w:sz w:val="24"/>
              </w:rPr>
              <w:t>mai-noiembrie 2023</w:t>
            </w:r>
          </w:p>
        </w:tc>
        <w:tc>
          <w:tcPr>
            <w:tcW w:w="0" w:type="auto"/>
            <w:shd w:val="clear" w:color="auto" w:fill="auto"/>
          </w:tcPr>
          <w:p w14:paraId="48633F6A" w14:textId="77777777" w:rsidR="00AC0378" w:rsidRPr="000E4437" w:rsidRDefault="001D6309">
            <w:pPr>
              <w:spacing w:before="120" w:after="60"/>
              <w:jc w:val="both"/>
              <w:rPr>
                <w:rFonts w:ascii="Times New Roman" w:hAnsi="Times New Roman"/>
                <w:noProof/>
                <w:sz w:val="24"/>
                <w:szCs w:val="24"/>
              </w:rPr>
            </w:pPr>
            <w:r w:rsidRPr="000E4437">
              <w:rPr>
                <w:rFonts w:ascii="Times New Roman" w:hAnsi="Times New Roman"/>
                <w:noProof/>
                <w:sz w:val="24"/>
              </w:rPr>
              <w:t>Avizul științific al ICES</w:t>
            </w:r>
          </w:p>
        </w:tc>
      </w:tr>
      <w:tr w:rsidR="00AC0378" w:rsidRPr="000E4437" w14:paraId="2211DF96" w14:textId="77777777">
        <w:tc>
          <w:tcPr>
            <w:tcW w:w="0" w:type="auto"/>
            <w:shd w:val="clear" w:color="auto" w:fill="auto"/>
          </w:tcPr>
          <w:p w14:paraId="577FACDF" w14:textId="77777777" w:rsidR="00AC0378" w:rsidRPr="000E4437" w:rsidRDefault="001D6309">
            <w:pPr>
              <w:spacing w:before="120" w:after="60"/>
              <w:jc w:val="both"/>
              <w:rPr>
                <w:rFonts w:ascii="Times New Roman" w:hAnsi="Times New Roman"/>
                <w:noProof/>
                <w:sz w:val="24"/>
                <w:szCs w:val="24"/>
              </w:rPr>
            </w:pPr>
            <w:r w:rsidRPr="000E4437">
              <w:rPr>
                <w:rFonts w:ascii="Times New Roman" w:hAnsi="Times New Roman"/>
                <w:noProof/>
                <w:sz w:val="24"/>
              </w:rPr>
              <w:t>iunie-sfârșitul lunii august 2023</w:t>
            </w:r>
          </w:p>
        </w:tc>
        <w:tc>
          <w:tcPr>
            <w:tcW w:w="0" w:type="auto"/>
            <w:shd w:val="clear" w:color="auto" w:fill="auto"/>
          </w:tcPr>
          <w:p w14:paraId="5817BF47" w14:textId="77777777" w:rsidR="00AC0378" w:rsidRPr="000E4437" w:rsidRDefault="001D6309">
            <w:pPr>
              <w:spacing w:before="120" w:after="60"/>
              <w:jc w:val="both"/>
              <w:rPr>
                <w:rFonts w:ascii="Times New Roman" w:hAnsi="Times New Roman"/>
                <w:noProof/>
                <w:sz w:val="24"/>
                <w:szCs w:val="24"/>
              </w:rPr>
            </w:pPr>
            <w:r w:rsidRPr="000E4437">
              <w:rPr>
                <w:rFonts w:ascii="Times New Roman" w:hAnsi="Times New Roman"/>
                <w:noProof/>
                <w:sz w:val="24"/>
              </w:rPr>
              <w:t>Consultare publică privind comunicarea</w:t>
            </w:r>
          </w:p>
        </w:tc>
      </w:tr>
      <w:tr w:rsidR="00AC0378" w:rsidRPr="000E4437" w14:paraId="075ECBEE" w14:textId="77777777">
        <w:tc>
          <w:tcPr>
            <w:tcW w:w="0" w:type="auto"/>
            <w:shd w:val="clear" w:color="auto" w:fill="auto"/>
          </w:tcPr>
          <w:p w14:paraId="22BB3A56" w14:textId="77777777" w:rsidR="00AC0378" w:rsidRPr="000E4437" w:rsidRDefault="001D6309">
            <w:pPr>
              <w:spacing w:before="120" w:after="60"/>
              <w:jc w:val="both"/>
              <w:rPr>
                <w:rFonts w:ascii="Times New Roman" w:hAnsi="Times New Roman"/>
                <w:noProof/>
                <w:sz w:val="24"/>
                <w:szCs w:val="24"/>
              </w:rPr>
            </w:pPr>
            <w:r w:rsidRPr="000E4437">
              <w:rPr>
                <w:rFonts w:ascii="Times New Roman" w:hAnsi="Times New Roman"/>
                <w:noProof/>
                <w:sz w:val="24"/>
              </w:rPr>
              <w:t>sfârșitul lunii august 2023</w:t>
            </w:r>
          </w:p>
        </w:tc>
        <w:tc>
          <w:tcPr>
            <w:tcW w:w="0" w:type="auto"/>
            <w:shd w:val="clear" w:color="auto" w:fill="auto"/>
          </w:tcPr>
          <w:p w14:paraId="03B9BB9B" w14:textId="55A247C5" w:rsidR="00AC0378" w:rsidRPr="000E4437" w:rsidRDefault="001D6309">
            <w:pPr>
              <w:spacing w:before="120" w:after="60"/>
              <w:jc w:val="both"/>
              <w:rPr>
                <w:rFonts w:ascii="Times New Roman" w:hAnsi="Times New Roman"/>
                <w:noProof/>
                <w:sz w:val="24"/>
                <w:szCs w:val="24"/>
              </w:rPr>
            </w:pPr>
            <w:r w:rsidRPr="000E4437">
              <w:rPr>
                <w:rFonts w:ascii="Times New Roman" w:hAnsi="Times New Roman"/>
                <w:noProof/>
                <w:sz w:val="24"/>
              </w:rPr>
              <w:t>Comisia adoptă propunerea privind posibilitățile de pescuit în Marea Baltică</w:t>
            </w:r>
          </w:p>
        </w:tc>
      </w:tr>
      <w:tr w:rsidR="00AC0378" w:rsidRPr="000E4437" w14:paraId="171D15E8" w14:textId="77777777">
        <w:tc>
          <w:tcPr>
            <w:tcW w:w="0" w:type="auto"/>
            <w:shd w:val="clear" w:color="auto" w:fill="auto"/>
          </w:tcPr>
          <w:p w14:paraId="5AC219CA" w14:textId="04C37735" w:rsidR="00AC0378" w:rsidRPr="000E4437" w:rsidRDefault="0011434B">
            <w:pPr>
              <w:spacing w:before="120" w:after="60"/>
              <w:jc w:val="both"/>
              <w:rPr>
                <w:rFonts w:ascii="Times New Roman" w:hAnsi="Times New Roman"/>
                <w:noProof/>
                <w:sz w:val="24"/>
                <w:szCs w:val="24"/>
              </w:rPr>
            </w:pPr>
            <w:r w:rsidRPr="000E4437">
              <w:rPr>
                <w:rFonts w:ascii="Times New Roman" w:hAnsi="Times New Roman"/>
                <w:noProof/>
                <w:sz w:val="24"/>
              </w:rPr>
              <w:t>octombrie-decembrie 2023</w:t>
            </w:r>
          </w:p>
        </w:tc>
        <w:tc>
          <w:tcPr>
            <w:tcW w:w="0" w:type="auto"/>
            <w:shd w:val="clear" w:color="auto" w:fill="auto"/>
          </w:tcPr>
          <w:p w14:paraId="63643A4A" w14:textId="494CD3FC" w:rsidR="00AC0378" w:rsidRPr="000E4437" w:rsidRDefault="001D6309">
            <w:pPr>
              <w:spacing w:before="120" w:after="60"/>
              <w:jc w:val="both"/>
              <w:rPr>
                <w:rFonts w:ascii="Times New Roman" w:hAnsi="Times New Roman"/>
                <w:noProof/>
                <w:sz w:val="24"/>
                <w:szCs w:val="24"/>
              </w:rPr>
            </w:pPr>
            <w:r w:rsidRPr="000E4437">
              <w:rPr>
                <w:rFonts w:ascii="Times New Roman" w:hAnsi="Times New Roman"/>
                <w:noProof/>
                <w:sz w:val="24"/>
              </w:rPr>
              <w:t>Consultări anuale privind posibilitățile de pescuit cu Regatul Unit, cu Regatul Unit și Norvegia, precum și cu Norvegia</w:t>
            </w:r>
          </w:p>
        </w:tc>
      </w:tr>
      <w:tr w:rsidR="00AC0378" w:rsidRPr="000E4437" w14:paraId="2AAA0520" w14:textId="77777777">
        <w:tc>
          <w:tcPr>
            <w:tcW w:w="0" w:type="auto"/>
            <w:shd w:val="clear" w:color="auto" w:fill="auto"/>
          </w:tcPr>
          <w:p w14:paraId="51DE23C5" w14:textId="77777777" w:rsidR="00AC0378" w:rsidRPr="000E4437" w:rsidRDefault="001D6309">
            <w:pPr>
              <w:spacing w:before="120" w:after="60"/>
              <w:jc w:val="both"/>
              <w:rPr>
                <w:rFonts w:ascii="Times New Roman" w:hAnsi="Times New Roman"/>
                <w:noProof/>
                <w:sz w:val="24"/>
                <w:szCs w:val="24"/>
              </w:rPr>
            </w:pPr>
            <w:r w:rsidRPr="000E4437">
              <w:rPr>
                <w:rFonts w:ascii="Times New Roman" w:hAnsi="Times New Roman"/>
                <w:noProof/>
                <w:sz w:val="24"/>
              </w:rPr>
              <w:t>jumătatea lunii septembrie 2023</w:t>
            </w:r>
          </w:p>
        </w:tc>
        <w:tc>
          <w:tcPr>
            <w:tcW w:w="0" w:type="auto"/>
            <w:shd w:val="clear" w:color="auto" w:fill="auto"/>
          </w:tcPr>
          <w:p w14:paraId="520F2923" w14:textId="32CB514B" w:rsidR="00AC0378" w:rsidRPr="000E4437" w:rsidRDefault="001D6309">
            <w:pPr>
              <w:spacing w:before="120" w:after="60"/>
              <w:jc w:val="both"/>
              <w:rPr>
                <w:rFonts w:ascii="Times New Roman" w:hAnsi="Times New Roman"/>
                <w:noProof/>
                <w:sz w:val="24"/>
                <w:szCs w:val="24"/>
              </w:rPr>
            </w:pPr>
            <w:r w:rsidRPr="000E4437">
              <w:rPr>
                <w:rFonts w:ascii="Times New Roman" w:hAnsi="Times New Roman"/>
                <w:noProof/>
                <w:sz w:val="24"/>
              </w:rPr>
              <w:t>Comisia adoptă propunerea privind posibilitățile de pescuit în Marea Mediterană și în Marea Neagră</w:t>
            </w:r>
          </w:p>
        </w:tc>
      </w:tr>
      <w:tr w:rsidR="00AC0378" w:rsidRPr="000E4437" w14:paraId="405569E5" w14:textId="77777777">
        <w:tc>
          <w:tcPr>
            <w:tcW w:w="0" w:type="auto"/>
            <w:shd w:val="clear" w:color="auto" w:fill="auto"/>
          </w:tcPr>
          <w:p w14:paraId="57935532" w14:textId="77777777" w:rsidR="00AC0378" w:rsidRPr="000E4437" w:rsidRDefault="001D6309">
            <w:pPr>
              <w:spacing w:before="120" w:after="60"/>
              <w:jc w:val="both"/>
              <w:rPr>
                <w:rFonts w:ascii="Times New Roman" w:hAnsi="Times New Roman"/>
                <w:noProof/>
                <w:sz w:val="24"/>
                <w:szCs w:val="24"/>
              </w:rPr>
            </w:pPr>
            <w:r w:rsidRPr="000E4437">
              <w:rPr>
                <w:rFonts w:ascii="Times New Roman" w:hAnsi="Times New Roman"/>
                <w:noProof/>
                <w:sz w:val="24"/>
              </w:rPr>
              <w:t>octombrie 2023</w:t>
            </w:r>
          </w:p>
        </w:tc>
        <w:tc>
          <w:tcPr>
            <w:tcW w:w="0" w:type="auto"/>
            <w:shd w:val="clear" w:color="auto" w:fill="auto"/>
          </w:tcPr>
          <w:p w14:paraId="4A383E53" w14:textId="6E2EF9C1" w:rsidR="00AC0378" w:rsidRPr="000E4437" w:rsidRDefault="001D6309">
            <w:pPr>
              <w:spacing w:before="120" w:after="60"/>
              <w:jc w:val="both"/>
              <w:rPr>
                <w:rFonts w:ascii="Times New Roman" w:hAnsi="Times New Roman"/>
                <w:noProof/>
                <w:sz w:val="24"/>
                <w:szCs w:val="24"/>
              </w:rPr>
            </w:pPr>
            <w:r w:rsidRPr="000E4437">
              <w:rPr>
                <w:rFonts w:ascii="Times New Roman" w:hAnsi="Times New Roman"/>
                <w:noProof/>
                <w:sz w:val="24"/>
              </w:rPr>
              <w:t>Reuniunea Consiliului privind posibilitățile de pescuit pentru Marea Baltică</w:t>
            </w:r>
          </w:p>
          <w:p w14:paraId="6ABBC3DA" w14:textId="46078D72" w:rsidR="00AC0378" w:rsidRPr="000E4437" w:rsidRDefault="001D6309">
            <w:pPr>
              <w:spacing w:before="120" w:after="60"/>
              <w:jc w:val="both"/>
              <w:rPr>
                <w:rFonts w:ascii="Times New Roman" w:hAnsi="Times New Roman"/>
                <w:noProof/>
                <w:sz w:val="24"/>
                <w:szCs w:val="24"/>
              </w:rPr>
            </w:pPr>
            <w:r w:rsidRPr="000E4437">
              <w:rPr>
                <w:rFonts w:ascii="Times New Roman" w:hAnsi="Times New Roman"/>
                <w:noProof/>
                <w:sz w:val="24"/>
              </w:rPr>
              <w:t>Consultări cu statele de coastă cu privire la stocurile repartizate pe o zonă extinsă din Atlanticul de Nord-Est</w:t>
            </w:r>
          </w:p>
        </w:tc>
      </w:tr>
      <w:tr w:rsidR="00AC0378" w:rsidRPr="000E4437" w14:paraId="71500549" w14:textId="77777777">
        <w:tc>
          <w:tcPr>
            <w:tcW w:w="0" w:type="auto"/>
            <w:shd w:val="clear" w:color="auto" w:fill="auto"/>
          </w:tcPr>
          <w:p w14:paraId="27CC5F05" w14:textId="77777777" w:rsidR="00AC0378" w:rsidRPr="000E4437" w:rsidRDefault="001D6309">
            <w:pPr>
              <w:spacing w:before="120" w:after="60"/>
              <w:jc w:val="both"/>
              <w:rPr>
                <w:rFonts w:ascii="Times New Roman" w:hAnsi="Times New Roman"/>
                <w:noProof/>
                <w:sz w:val="24"/>
                <w:szCs w:val="24"/>
              </w:rPr>
            </w:pPr>
            <w:r w:rsidRPr="000E4437">
              <w:rPr>
                <w:rFonts w:ascii="Times New Roman" w:hAnsi="Times New Roman"/>
                <w:noProof/>
                <w:sz w:val="24"/>
              </w:rPr>
              <w:t>sfârșitul lunii octombrie 2023</w:t>
            </w:r>
          </w:p>
        </w:tc>
        <w:tc>
          <w:tcPr>
            <w:tcW w:w="0" w:type="auto"/>
            <w:shd w:val="clear" w:color="auto" w:fill="auto"/>
          </w:tcPr>
          <w:p w14:paraId="6665FAB6" w14:textId="25FBE140" w:rsidR="00AC0378" w:rsidRPr="000E4437" w:rsidRDefault="001D6309">
            <w:pPr>
              <w:spacing w:before="120" w:after="60"/>
              <w:jc w:val="both"/>
              <w:rPr>
                <w:rFonts w:ascii="Times New Roman" w:hAnsi="Times New Roman"/>
                <w:noProof/>
                <w:sz w:val="24"/>
                <w:szCs w:val="24"/>
              </w:rPr>
            </w:pPr>
            <w:r w:rsidRPr="000E4437">
              <w:rPr>
                <w:rFonts w:ascii="Times New Roman" w:hAnsi="Times New Roman"/>
                <w:noProof/>
                <w:sz w:val="24"/>
              </w:rPr>
              <w:t>Comisia adoptă propunerea</w:t>
            </w:r>
            <w:r w:rsidRPr="000E4437">
              <w:rPr>
                <w:noProof/>
              </w:rPr>
              <w:t xml:space="preserve"> </w:t>
            </w:r>
            <w:r w:rsidRPr="000E4437">
              <w:rPr>
                <w:rFonts w:ascii="Times New Roman" w:hAnsi="Times New Roman"/>
                <w:noProof/>
                <w:sz w:val="24"/>
              </w:rPr>
              <w:t xml:space="preserve">privind posibilitățile de pescuit în Oceanul Atlantic/Marea Nordului </w:t>
            </w:r>
          </w:p>
        </w:tc>
      </w:tr>
      <w:tr w:rsidR="00AC0378" w:rsidRPr="000E4437" w14:paraId="3D9C31B3" w14:textId="77777777">
        <w:tc>
          <w:tcPr>
            <w:tcW w:w="0" w:type="auto"/>
            <w:shd w:val="clear" w:color="auto" w:fill="auto"/>
          </w:tcPr>
          <w:p w14:paraId="25E7B450" w14:textId="61061AB4" w:rsidR="00AC0378" w:rsidRPr="000E4437" w:rsidRDefault="001D6309">
            <w:pPr>
              <w:spacing w:before="120" w:after="60"/>
              <w:jc w:val="both"/>
              <w:rPr>
                <w:rFonts w:ascii="Times New Roman" w:hAnsi="Times New Roman"/>
                <w:noProof/>
                <w:sz w:val="24"/>
                <w:szCs w:val="24"/>
              </w:rPr>
            </w:pPr>
            <w:r w:rsidRPr="000E4437">
              <w:rPr>
                <w:rFonts w:ascii="Times New Roman" w:hAnsi="Times New Roman"/>
                <w:noProof/>
                <w:sz w:val="24"/>
              </w:rPr>
              <w:t>7-11 noiembrie 2023</w:t>
            </w:r>
          </w:p>
        </w:tc>
        <w:tc>
          <w:tcPr>
            <w:tcW w:w="0" w:type="auto"/>
            <w:shd w:val="clear" w:color="auto" w:fill="auto"/>
          </w:tcPr>
          <w:p w14:paraId="44FD1F07" w14:textId="77777777" w:rsidR="00AC0378" w:rsidRPr="000E4437" w:rsidRDefault="001D6309">
            <w:pPr>
              <w:spacing w:before="120" w:after="60"/>
              <w:jc w:val="both"/>
              <w:rPr>
                <w:rFonts w:ascii="Times New Roman" w:hAnsi="Times New Roman"/>
                <w:noProof/>
                <w:sz w:val="24"/>
                <w:szCs w:val="24"/>
              </w:rPr>
            </w:pPr>
            <w:r w:rsidRPr="000E4437">
              <w:rPr>
                <w:rFonts w:ascii="Times New Roman" w:hAnsi="Times New Roman"/>
                <w:noProof/>
                <w:sz w:val="24"/>
              </w:rPr>
              <w:t xml:space="preserve">Reuniunea anuală a CGPM </w:t>
            </w:r>
          </w:p>
        </w:tc>
      </w:tr>
      <w:tr w:rsidR="00AC0378" w:rsidRPr="000E4437" w14:paraId="2C6B6106" w14:textId="77777777">
        <w:tc>
          <w:tcPr>
            <w:tcW w:w="0" w:type="auto"/>
            <w:shd w:val="clear" w:color="auto" w:fill="auto"/>
          </w:tcPr>
          <w:p w14:paraId="2C2B77EB" w14:textId="26536AB2" w:rsidR="00AC0378" w:rsidRPr="000E4437" w:rsidRDefault="001D6309">
            <w:pPr>
              <w:spacing w:before="120" w:after="60"/>
              <w:jc w:val="both"/>
              <w:rPr>
                <w:rFonts w:ascii="Times New Roman" w:hAnsi="Times New Roman"/>
                <w:noProof/>
                <w:sz w:val="24"/>
                <w:szCs w:val="24"/>
              </w:rPr>
            </w:pPr>
            <w:r w:rsidRPr="000E4437">
              <w:rPr>
                <w:rFonts w:ascii="Times New Roman" w:hAnsi="Times New Roman"/>
                <w:noProof/>
                <w:sz w:val="24"/>
              </w:rPr>
              <w:t>1 decembrie 2023</w:t>
            </w:r>
          </w:p>
        </w:tc>
        <w:tc>
          <w:tcPr>
            <w:tcW w:w="0" w:type="auto"/>
            <w:shd w:val="clear" w:color="auto" w:fill="auto"/>
          </w:tcPr>
          <w:p w14:paraId="1AA44EAF" w14:textId="77777777" w:rsidR="00AC0378" w:rsidRPr="000E4437" w:rsidRDefault="001D6309">
            <w:pPr>
              <w:spacing w:before="120" w:after="60"/>
              <w:jc w:val="both"/>
              <w:rPr>
                <w:rFonts w:ascii="Times New Roman" w:hAnsi="Times New Roman"/>
                <w:noProof/>
                <w:sz w:val="24"/>
                <w:szCs w:val="24"/>
              </w:rPr>
            </w:pPr>
            <w:r w:rsidRPr="000E4437">
              <w:rPr>
                <w:rFonts w:ascii="Times New Roman" w:hAnsi="Times New Roman"/>
                <w:noProof/>
                <w:sz w:val="24"/>
              </w:rPr>
              <w:t>Evaluarea stocurilor și aviz în materie de gestionare din partea CSTEP</w:t>
            </w:r>
          </w:p>
        </w:tc>
      </w:tr>
      <w:tr w:rsidR="00AC0378" w:rsidRPr="000E4437" w14:paraId="0750CAEA" w14:textId="77777777">
        <w:tc>
          <w:tcPr>
            <w:tcW w:w="0" w:type="auto"/>
            <w:shd w:val="clear" w:color="auto" w:fill="auto"/>
          </w:tcPr>
          <w:p w14:paraId="2E75E7AA" w14:textId="77777777" w:rsidR="00AC0378" w:rsidRPr="000E4437" w:rsidRDefault="001D6309">
            <w:pPr>
              <w:spacing w:before="120" w:after="60"/>
              <w:jc w:val="both"/>
              <w:rPr>
                <w:rFonts w:ascii="Times New Roman" w:hAnsi="Times New Roman"/>
                <w:noProof/>
                <w:sz w:val="24"/>
                <w:szCs w:val="24"/>
              </w:rPr>
            </w:pPr>
            <w:r w:rsidRPr="000E4437">
              <w:rPr>
                <w:rFonts w:ascii="Times New Roman" w:hAnsi="Times New Roman"/>
                <w:noProof/>
                <w:sz w:val="24"/>
              </w:rPr>
              <w:t>decembrie 2023</w:t>
            </w:r>
          </w:p>
        </w:tc>
        <w:tc>
          <w:tcPr>
            <w:tcW w:w="0" w:type="auto"/>
            <w:shd w:val="clear" w:color="auto" w:fill="auto"/>
          </w:tcPr>
          <w:p w14:paraId="7C453F58" w14:textId="69ADCA43" w:rsidR="00AC0378" w:rsidRPr="000E4437" w:rsidRDefault="001D6309">
            <w:pPr>
              <w:spacing w:before="120" w:after="60"/>
              <w:jc w:val="both"/>
              <w:rPr>
                <w:rFonts w:ascii="Times New Roman" w:hAnsi="Times New Roman"/>
                <w:noProof/>
                <w:sz w:val="24"/>
                <w:szCs w:val="24"/>
              </w:rPr>
            </w:pPr>
            <w:r w:rsidRPr="000E4437">
              <w:rPr>
                <w:rFonts w:ascii="Times New Roman" w:hAnsi="Times New Roman"/>
                <w:noProof/>
                <w:sz w:val="24"/>
              </w:rPr>
              <w:t>Reuniunea Consiliului privind posibilitățile de pescuit în Oceanul Atlantic/Marea Nordului</w:t>
            </w:r>
          </w:p>
          <w:p w14:paraId="079C03F7" w14:textId="5BE53E6B" w:rsidR="00AC0378" w:rsidRPr="000E4437" w:rsidRDefault="001D6309">
            <w:pPr>
              <w:spacing w:before="120" w:after="60"/>
              <w:jc w:val="both"/>
              <w:rPr>
                <w:rFonts w:ascii="Times New Roman" w:hAnsi="Times New Roman"/>
                <w:noProof/>
                <w:sz w:val="24"/>
                <w:szCs w:val="24"/>
              </w:rPr>
            </w:pPr>
            <w:r w:rsidRPr="000E4437">
              <w:rPr>
                <w:rFonts w:ascii="Times New Roman" w:hAnsi="Times New Roman"/>
                <w:noProof/>
                <w:sz w:val="24"/>
              </w:rPr>
              <w:t>Reuniunea Consiliului privind posibilitățile de pescuit în Marea Mediterană și în Marea Neagră</w:t>
            </w:r>
          </w:p>
        </w:tc>
      </w:tr>
    </w:tbl>
    <w:p w14:paraId="41851E9E" w14:textId="77777777" w:rsidR="00AC0378" w:rsidRPr="000E4437" w:rsidRDefault="00AC0378">
      <w:pPr>
        <w:spacing w:after="0"/>
        <w:jc w:val="both"/>
        <w:rPr>
          <w:rFonts w:ascii="Times New Roman" w:hAnsi="Times New Roman"/>
          <w:noProof/>
          <w:sz w:val="24"/>
        </w:rPr>
      </w:pPr>
    </w:p>
    <w:p w14:paraId="2AF4624D" w14:textId="77777777" w:rsidR="00AC0378" w:rsidRPr="000E4437" w:rsidRDefault="00AC0378">
      <w:pPr>
        <w:jc w:val="both"/>
        <w:rPr>
          <w:rFonts w:ascii="Times New Roman" w:hAnsi="Times New Roman"/>
          <w:noProof/>
          <w:sz w:val="24"/>
        </w:rPr>
      </w:pPr>
    </w:p>
    <w:p w14:paraId="7C6BE1B6" w14:textId="77777777" w:rsidR="00AC0378" w:rsidRPr="000E4437" w:rsidRDefault="00AC0378">
      <w:pPr>
        <w:jc w:val="both"/>
        <w:rPr>
          <w:rFonts w:ascii="Times New Roman" w:hAnsi="Times New Roman"/>
          <w:noProof/>
          <w:sz w:val="24"/>
        </w:rPr>
      </w:pPr>
    </w:p>
    <w:p w14:paraId="51BEF6BB" w14:textId="77777777" w:rsidR="00AC0378" w:rsidRPr="000E4437" w:rsidRDefault="00AC0378">
      <w:pPr>
        <w:jc w:val="both"/>
        <w:rPr>
          <w:rFonts w:ascii="Times New Roman" w:hAnsi="Times New Roman" w:cs="Times New Roman"/>
          <w:noProof/>
          <w:sz w:val="24"/>
          <w:szCs w:val="24"/>
        </w:rPr>
      </w:pPr>
    </w:p>
    <w:p w14:paraId="260C4844" w14:textId="77777777" w:rsidR="00AC0378" w:rsidRPr="000E4437" w:rsidRDefault="00AC0378">
      <w:pPr>
        <w:rPr>
          <w:rFonts w:ascii="Times New Roman" w:hAnsi="Times New Roman"/>
          <w:noProof/>
          <w:sz w:val="24"/>
        </w:rPr>
      </w:pPr>
    </w:p>
    <w:sectPr w:rsidR="00AC0378" w:rsidRPr="000E4437">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A9464B" w14:textId="77777777" w:rsidR="00F8247D" w:rsidRPr="003C0701" w:rsidRDefault="00F8247D">
      <w:pPr>
        <w:spacing w:after="0" w:line="240" w:lineRule="auto"/>
      </w:pPr>
      <w:r>
        <w:separator/>
      </w:r>
    </w:p>
  </w:endnote>
  <w:endnote w:type="continuationSeparator" w:id="0">
    <w:p w14:paraId="56231CDF" w14:textId="77777777" w:rsidR="00F8247D" w:rsidRPr="003C0701" w:rsidRDefault="00F8247D">
      <w:pPr>
        <w:spacing w:after="0" w:line="240" w:lineRule="auto"/>
      </w:pPr>
      <w:r>
        <w:continuationSeparator/>
      </w:r>
    </w:p>
  </w:endnote>
  <w:endnote w:type="continuationNotice" w:id="1">
    <w:p w14:paraId="4DF1A318" w14:textId="77777777" w:rsidR="00F8247D" w:rsidRPr="003C0701" w:rsidRDefault="00F824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B77D7" w14:textId="77777777" w:rsidR="00321324" w:rsidRPr="00321324" w:rsidRDefault="00321324" w:rsidP="003213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6A40D" w14:textId="722297DD" w:rsidR="000E4437" w:rsidRPr="00321324" w:rsidRDefault="00321324" w:rsidP="00321324">
    <w:pPr>
      <w:pStyle w:val="FooterCoverPage"/>
      <w:rPr>
        <w:rFonts w:ascii="Arial" w:hAnsi="Arial" w:cs="Arial"/>
        <w:b/>
        <w:sz w:val="48"/>
      </w:rPr>
    </w:pPr>
    <w:r w:rsidRPr="00321324">
      <w:rPr>
        <w:rFonts w:ascii="Arial" w:hAnsi="Arial" w:cs="Arial"/>
        <w:b/>
        <w:sz w:val="48"/>
      </w:rPr>
      <w:t>RO</w:t>
    </w:r>
    <w:r w:rsidRPr="00321324">
      <w:rPr>
        <w:rFonts w:ascii="Arial" w:hAnsi="Arial" w:cs="Arial"/>
        <w:b/>
        <w:sz w:val="48"/>
      </w:rPr>
      <w:tab/>
    </w:r>
    <w:r w:rsidRPr="00321324">
      <w:rPr>
        <w:rFonts w:ascii="Arial" w:hAnsi="Arial" w:cs="Arial"/>
        <w:b/>
        <w:sz w:val="48"/>
      </w:rPr>
      <w:tab/>
    </w:r>
    <w:r w:rsidRPr="00321324">
      <w:tab/>
    </w:r>
    <w:r w:rsidRPr="0032132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15D45" w14:textId="77777777" w:rsidR="00321324" w:rsidRPr="00321324" w:rsidRDefault="00321324" w:rsidP="0032132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BDBAF" w14:textId="77777777" w:rsidR="00AC0378" w:rsidRDefault="00AC037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6967334"/>
      <w:docPartObj>
        <w:docPartGallery w:val="Page Numbers (Bottom of Page)"/>
        <w:docPartUnique/>
      </w:docPartObj>
    </w:sdtPr>
    <w:sdtEndPr/>
    <w:sdtContent>
      <w:p w14:paraId="2132775D" w14:textId="3FC1ADC2" w:rsidR="00AC0378" w:rsidRPr="003C0701" w:rsidRDefault="001D6309">
        <w:pPr>
          <w:pStyle w:val="Footer"/>
          <w:jc w:val="center"/>
        </w:pPr>
        <w:r>
          <w:fldChar w:fldCharType="begin"/>
        </w:r>
        <w:r>
          <w:instrText xml:space="preserve"> PAGE   \* MERGEFORMAT </w:instrText>
        </w:r>
        <w:r>
          <w:fldChar w:fldCharType="separate"/>
        </w:r>
        <w:r w:rsidR="00321324">
          <w:rPr>
            <w:noProof/>
          </w:rPr>
          <w:t>1</w:t>
        </w:r>
        <w:r>
          <w:fldChar w:fldCharType="end"/>
        </w:r>
      </w:p>
    </w:sdtContent>
  </w:sdt>
  <w:p w14:paraId="2819F5DD" w14:textId="77777777" w:rsidR="00AC0378" w:rsidRPr="003C0701" w:rsidRDefault="00AC037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8B9A2" w14:textId="77777777" w:rsidR="00AC0378" w:rsidRDefault="00AC03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A9FD47" w14:textId="77777777" w:rsidR="00F8247D" w:rsidRPr="003C0701" w:rsidRDefault="00F8247D">
      <w:pPr>
        <w:spacing w:after="0" w:line="240" w:lineRule="auto"/>
      </w:pPr>
      <w:r>
        <w:separator/>
      </w:r>
    </w:p>
  </w:footnote>
  <w:footnote w:type="continuationSeparator" w:id="0">
    <w:p w14:paraId="78593C8C" w14:textId="77777777" w:rsidR="00F8247D" w:rsidRPr="003C0701" w:rsidRDefault="00F8247D">
      <w:pPr>
        <w:spacing w:after="0" w:line="240" w:lineRule="auto"/>
      </w:pPr>
      <w:r>
        <w:continuationSeparator/>
      </w:r>
    </w:p>
  </w:footnote>
  <w:footnote w:type="continuationNotice" w:id="1">
    <w:p w14:paraId="2156ACFB" w14:textId="77777777" w:rsidR="00F8247D" w:rsidRPr="003C0701" w:rsidRDefault="00F8247D">
      <w:pPr>
        <w:spacing w:after="0" w:line="240" w:lineRule="auto"/>
      </w:pPr>
    </w:p>
  </w:footnote>
  <w:footnote w:id="2">
    <w:p w14:paraId="586FDCAE" w14:textId="23B11AA7" w:rsidR="005826F5" w:rsidRPr="003C0701" w:rsidRDefault="005826F5" w:rsidP="00663BFF">
      <w:pPr>
        <w:pStyle w:val="FootnoteText"/>
        <w:spacing w:after="0"/>
      </w:pPr>
      <w:r>
        <w:rPr>
          <w:rStyle w:val="FootnoteReference"/>
        </w:rPr>
        <w:footnoteRef/>
      </w:r>
      <w:r>
        <w:t xml:space="preserve"> </w:t>
      </w:r>
      <w:r>
        <w:tab/>
        <w:t>COM(2023) 100 final, COM(2023) 101 final, COM(2023) 102 final și COM(2023) 103 final.</w:t>
      </w:r>
    </w:p>
  </w:footnote>
  <w:footnote w:id="3">
    <w:p w14:paraId="54CF1092" w14:textId="4DF88A1F" w:rsidR="00635302" w:rsidRPr="00635302" w:rsidRDefault="00635302" w:rsidP="00663BFF">
      <w:pPr>
        <w:pStyle w:val="FootnoteText"/>
        <w:spacing w:after="0"/>
      </w:pPr>
      <w:r>
        <w:rPr>
          <w:rStyle w:val="FootnoteReference"/>
        </w:rPr>
        <w:footnoteRef/>
      </w:r>
      <w:r>
        <w:t xml:space="preserve"> </w:t>
      </w:r>
      <w:r>
        <w:tab/>
        <w:t>COM(2019) 640 final/3.</w:t>
      </w:r>
    </w:p>
  </w:footnote>
  <w:footnote w:id="4">
    <w:p w14:paraId="5671D6E0" w14:textId="792F981D" w:rsidR="0045793D" w:rsidRPr="003C0701" w:rsidRDefault="0045793D" w:rsidP="00663BFF">
      <w:pPr>
        <w:pStyle w:val="FootnoteText"/>
        <w:spacing w:after="0"/>
      </w:pPr>
      <w:r>
        <w:rPr>
          <w:rStyle w:val="FootnoteReference"/>
        </w:rPr>
        <w:footnoteRef/>
      </w:r>
      <w:r>
        <w:t xml:space="preserve"> </w:t>
      </w:r>
      <w:bookmarkStart w:id="3" w:name="_Hlk132736636"/>
      <w:r>
        <w:tab/>
        <w:t>Pentru o analiză detaliată a F</w:t>
      </w:r>
      <w:r>
        <w:rPr>
          <w:vertAlign w:val="subscript"/>
        </w:rPr>
        <w:t>MSY</w:t>
      </w:r>
      <w:r>
        <w:t xml:space="preserve"> și a stării biomasei stocurilor de pește din toate bazinele maritime, a se vedea secțiunea 1 din documentul de lucru însoțitor al serviciilor Comisiei</w:t>
      </w:r>
      <w:bookmarkEnd w:id="3"/>
      <w:r>
        <w:t>.</w:t>
      </w:r>
    </w:p>
  </w:footnote>
  <w:footnote w:id="5">
    <w:p w14:paraId="684D3D25" w14:textId="0AA66F92" w:rsidR="00D320AA" w:rsidRPr="003C0701" w:rsidRDefault="00D320AA" w:rsidP="005826F5">
      <w:pPr>
        <w:pStyle w:val="FootnoteText"/>
        <w:spacing w:after="0"/>
      </w:pPr>
      <w:r>
        <w:rPr>
          <w:rStyle w:val="FootnoteReference"/>
        </w:rPr>
        <w:footnoteRef/>
      </w:r>
      <w:r>
        <w:t xml:space="preserve"> </w:t>
      </w:r>
      <w:r>
        <w:tab/>
        <w:t>Valoarea din 2021 nu este încă disponibilă, deoarece evaluările CGPM au fost efectuate cu date până în 2020.</w:t>
      </w:r>
    </w:p>
  </w:footnote>
  <w:footnote w:id="6">
    <w:p w14:paraId="7C7D5BD0" w14:textId="77777777" w:rsidR="008B5A0D" w:rsidRPr="003C0701" w:rsidRDefault="008B5A0D" w:rsidP="008B5A0D">
      <w:pPr>
        <w:pStyle w:val="FootnoteText"/>
        <w:spacing w:after="0"/>
      </w:pPr>
      <w:r>
        <w:rPr>
          <w:rStyle w:val="FootnoteReference"/>
        </w:rPr>
        <w:footnoteRef/>
      </w:r>
      <w:r>
        <w:t xml:space="preserve"> </w:t>
      </w:r>
      <w:r>
        <w:tab/>
        <w:t>(+ 18 % per ansamblu, + 39 % în Atlanticul de Nord-Est, + 6 % în Marea Mediterană și în Marea Neagră începând din 2003).</w:t>
      </w:r>
    </w:p>
  </w:footnote>
  <w:footnote w:id="7">
    <w:p w14:paraId="4A57B588" w14:textId="25686485" w:rsidR="00651CD1" w:rsidRPr="00651CD1" w:rsidRDefault="00651CD1">
      <w:pPr>
        <w:pStyle w:val="FootnoteText"/>
      </w:pPr>
      <w:r>
        <w:rPr>
          <w:rStyle w:val="FootnoteReference"/>
        </w:rPr>
        <w:footnoteRef/>
      </w:r>
      <w:r>
        <w:t xml:space="preserve"> </w:t>
      </w:r>
      <w:r>
        <w:tab/>
        <w:t>Regulamentul (UE) nr. 1380/2013 al Parlamentului European și al Consiliului din 11 decembrie 2013 privind politica comună în domeniul pescuitului.</w:t>
      </w:r>
    </w:p>
  </w:footnote>
  <w:footnote w:id="8">
    <w:p w14:paraId="1A0A8AFA" w14:textId="7D6FEF13" w:rsidR="00E8087A" w:rsidRPr="003C0701" w:rsidRDefault="00E8087A" w:rsidP="00166034">
      <w:pPr>
        <w:pStyle w:val="FootnoteText"/>
        <w:spacing w:after="0"/>
      </w:pPr>
      <w:r>
        <w:rPr>
          <w:rStyle w:val="FootnoteReference"/>
        </w:rPr>
        <w:footnoteRef/>
      </w:r>
      <w:r>
        <w:t xml:space="preserve"> </w:t>
      </w:r>
      <w:r>
        <w:tab/>
        <w:t>În special Directiva privind nitrații, Directiva privind epurarea apelor uzate urbane, Directiva-cadru „Strategia pentru mediul marin”, Directiva-cadru privind apa, Directiva privind habitatele și Directiva privind păsările, Directiva-cadru privind deșeurile, Directiva privind amenajarea spațiului maritim, Directiva privind materialele plastice de unică folosință, Regulamentul privind politica comună în domeniul pescuitului, politica maritimă integrată și politica agricolă comună.</w:t>
      </w:r>
    </w:p>
  </w:footnote>
  <w:footnote w:id="9">
    <w:p w14:paraId="218257B0" w14:textId="0A60D381" w:rsidR="00AC0378" w:rsidRPr="003C0701" w:rsidRDefault="001D6309" w:rsidP="00166034">
      <w:pPr>
        <w:pStyle w:val="FootnoteText"/>
        <w:spacing w:after="0"/>
      </w:pPr>
      <w:r>
        <w:rPr>
          <w:rStyle w:val="FootnoteReference"/>
        </w:rPr>
        <w:footnoteRef/>
      </w:r>
      <w:r>
        <w:t xml:space="preserve"> </w:t>
      </w:r>
      <w:r>
        <w:tab/>
        <w:t>Regulamentul (UE) 2016/1139 al Parlamentului European și al Consiliului din 6 iulie 2016 de stabilire a unui plan multianual pentru stocurile de cod, hering și șprot din Marea Baltică și pentru activitățile de pescuit care exploatează stocurile respective.</w:t>
      </w:r>
    </w:p>
  </w:footnote>
  <w:footnote w:id="10">
    <w:p w14:paraId="5E8E7CB6" w14:textId="4C8ACECF" w:rsidR="000D5CE8" w:rsidRPr="003C0701" w:rsidRDefault="00E8087A" w:rsidP="00166034">
      <w:pPr>
        <w:pStyle w:val="FootnoteText"/>
        <w:spacing w:after="0"/>
      </w:pPr>
      <w:r>
        <w:rPr>
          <w:rStyle w:val="FootnoteReference"/>
        </w:rPr>
        <w:footnoteRef/>
      </w:r>
      <w:r>
        <w:t xml:space="preserve"> </w:t>
      </w:r>
      <w:r>
        <w:tab/>
      </w:r>
      <w:hyperlink r:id="rId1" w:history="1">
        <w:r>
          <w:rPr>
            <w:rStyle w:val="Hyperlink"/>
          </w:rPr>
          <w:t>https://commission.europa.eu/system/files/2020-09/ministerial_declaration_our_baltic_conference.pdf</w:t>
        </w:r>
      </w:hyperlink>
    </w:p>
  </w:footnote>
  <w:footnote w:id="11">
    <w:p w14:paraId="365056D8" w14:textId="2103BA19" w:rsidR="00166034" w:rsidRPr="00166034" w:rsidRDefault="00166034" w:rsidP="00166034">
      <w:pPr>
        <w:pStyle w:val="FootnoteText"/>
        <w:spacing w:after="0"/>
      </w:pPr>
      <w:r>
        <w:rPr>
          <w:rStyle w:val="FootnoteReference"/>
        </w:rPr>
        <w:footnoteRef/>
      </w:r>
      <w:r>
        <w:t xml:space="preserve"> </w:t>
      </w:r>
      <w:r>
        <w:tab/>
        <w:t>Acord comercial și de cooperare între Uniunea Europeană și Comunitatea Europeană a Energiei Atomice, pe de o parte, și Regatul Unit al Marii Britanii și Irlandei de Nord, pe de altă parte, ST/5198/2021/INIT (JO L 149, 30.4.2021, p. 10).</w:t>
      </w:r>
    </w:p>
  </w:footnote>
  <w:footnote w:id="12">
    <w:p w14:paraId="04A7E5C7" w14:textId="03D304B7" w:rsidR="00986854" w:rsidRPr="00986854" w:rsidRDefault="00986854" w:rsidP="00166034">
      <w:pPr>
        <w:pStyle w:val="FootnoteText"/>
        <w:spacing w:after="0"/>
      </w:pPr>
      <w:r>
        <w:rPr>
          <w:rStyle w:val="FootnoteReference"/>
        </w:rPr>
        <w:footnoteRef/>
      </w:r>
      <w:r>
        <w:t xml:space="preserve"> </w:t>
      </w:r>
      <w:r>
        <w:tab/>
        <w:t>Considerentul 51 din Regulamentul (UE) 2023/194 al Consiliului din 30 ianuarie 2023 de stabilire, pentru anul 2023, a posibilităților de pescuit pentru anumite stocuri de pește, aplicabile în apele Uniunii și, pentru navele de pescuit ale Uniunii, în anumite ape din afara Uniunii, precum și de stabilire, pentru anii 2023 și 2024, a acestor posibilități de pescuit pentru anumite stocuri de pești de adâncime.</w:t>
      </w:r>
    </w:p>
  </w:footnote>
  <w:footnote w:id="13">
    <w:p w14:paraId="7C286344" w14:textId="04F25BFE" w:rsidR="00D9697D" w:rsidRPr="003C0701" w:rsidRDefault="00D9697D" w:rsidP="00A6185B">
      <w:pPr>
        <w:pStyle w:val="FootnoteText"/>
        <w:spacing w:after="0"/>
      </w:pPr>
      <w:r>
        <w:rPr>
          <w:rStyle w:val="FootnoteReference"/>
        </w:rPr>
        <w:footnoteRef/>
      </w:r>
      <w:r>
        <w:t xml:space="preserve"> </w:t>
      </w:r>
      <w:r>
        <w:tab/>
        <w:t xml:space="preserve">Proces-verbal al consultărilor în domeniul pescuitului dintre Regatul Unit și Uniunea Europeană pentru 2023: </w:t>
      </w:r>
      <w:hyperlink r:id="rId2" w:history="1">
        <w:r>
          <w:rPr>
            <w:rStyle w:val="Hyperlink"/>
          </w:rPr>
          <w:t>https://oceans-and-fisheries.ec.europa.eu/system/files/2022-12/2023-eu-uk-fisheries-consultations_en.pdf</w:t>
        </w:r>
      </w:hyperlink>
      <w:r>
        <w:rPr>
          <w:rStyle w:val="Hyperlink"/>
          <w:color w:val="auto"/>
          <w:u w:val="none"/>
        </w:rPr>
        <w:t>.</w:t>
      </w:r>
    </w:p>
  </w:footnote>
  <w:footnote w:id="14">
    <w:p w14:paraId="52047C47" w14:textId="506DE3DC" w:rsidR="00D9697D" w:rsidRPr="003C0701" w:rsidRDefault="00D9697D" w:rsidP="00A6185B">
      <w:pPr>
        <w:pStyle w:val="FootnoteText"/>
        <w:spacing w:after="0"/>
      </w:pPr>
      <w:r>
        <w:rPr>
          <w:rStyle w:val="FootnoteReference"/>
        </w:rPr>
        <w:footnoteRef/>
      </w:r>
      <w:r>
        <w:t xml:space="preserve"> </w:t>
      </w:r>
      <w:r>
        <w:tab/>
        <w:t xml:space="preserve">Pentru procesele-verbale ale reuniunilor Comitetului specializat privind pescuitul, a se vedea: </w:t>
      </w:r>
      <w:hyperlink r:id="rId3" w:history="1">
        <w:r>
          <w:rPr>
            <w:rStyle w:val="Hyperlink"/>
          </w:rPr>
          <w:t>https://commission.europa.eu/strategy-and-policy/relations-non-eu-countries/relations-united-kingdom/eu-uk-trade-and-cooperation-agreement/meetings-eu-uk-partnership-council-and-specialised-committees-under-trade-and-cooperation-agreement/specialised-committee-fisheries_en</w:t>
        </w:r>
      </w:hyperlink>
      <w:r>
        <w:t>.</w:t>
      </w:r>
    </w:p>
  </w:footnote>
  <w:footnote w:id="15">
    <w:p w14:paraId="38D69B04" w14:textId="12C5EA77" w:rsidR="00D9697D" w:rsidRPr="003C0701" w:rsidRDefault="00D9697D" w:rsidP="00A6185B">
      <w:pPr>
        <w:pStyle w:val="FootnoteText"/>
        <w:spacing w:after="0"/>
      </w:pPr>
      <w:r>
        <w:rPr>
          <w:rStyle w:val="FootnoteReference"/>
        </w:rPr>
        <w:footnoteRef/>
      </w:r>
      <w:r>
        <w:t xml:space="preserve"> </w:t>
      </w:r>
      <w:r>
        <w:tab/>
        <w:t xml:space="preserve">Procesul-verbal al consultărilor în domeniul pescuitului dintre Uniunea Europeană, Norvegia și Regatul Unit pentru 2023: </w:t>
      </w:r>
      <w:hyperlink r:id="rId4" w:history="1">
        <w:r>
          <w:rPr>
            <w:rStyle w:val="Hyperlink"/>
          </w:rPr>
          <w:t>https://oceans-and-fisheries.ec.europa.eu/system/files/2022-12/2023-eu-no-uk-fisheries-consultations_en.pdf</w:t>
        </w:r>
      </w:hyperlink>
      <w:r>
        <w:t>.</w:t>
      </w:r>
    </w:p>
  </w:footnote>
  <w:footnote w:id="16">
    <w:p w14:paraId="57120326" w14:textId="1689890E" w:rsidR="00D9697D" w:rsidRPr="003C0701" w:rsidRDefault="00D9697D" w:rsidP="00541AF7">
      <w:pPr>
        <w:pStyle w:val="FootnoteText"/>
        <w:spacing w:after="0"/>
      </w:pPr>
      <w:r>
        <w:rPr>
          <w:rStyle w:val="FootnoteReference"/>
        </w:rPr>
        <w:footnoteRef/>
      </w:r>
      <w:r>
        <w:t xml:space="preserve"> </w:t>
      </w:r>
      <w:r>
        <w:tab/>
        <w:t xml:space="preserve">Procesul-verbal al încheierii consultării în domeniul pescuitului dintre Norvegia și Uniunea Europeană privind reglementarea pescuitului în Skagerrak și Kattegat pentru 2023: </w:t>
      </w:r>
      <w:hyperlink r:id="rId5" w:history="1">
        <w:r>
          <w:rPr>
            <w:rStyle w:val="Hyperlink"/>
          </w:rPr>
          <w:t>https://oceans-and-fisheries.ec.europa.eu/system/files/2023-03/2023-eu-norway-skagerrak-fisheries-consultations_en.pdf</w:t>
        </w:r>
      </w:hyperlink>
      <w:r>
        <w:t>.</w:t>
      </w:r>
    </w:p>
  </w:footnote>
  <w:footnote w:id="17">
    <w:p w14:paraId="2C697BFD" w14:textId="3498B76D" w:rsidR="00541AF7" w:rsidRPr="00541AF7" w:rsidRDefault="00541AF7" w:rsidP="00541AF7">
      <w:pPr>
        <w:pStyle w:val="FootnoteText"/>
        <w:spacing w:after="0"/>
      </w:pPr>
      <w:r>
        <w:rPr>
          <w:rStyle w:val="FootnoteReference"/>
        </w:rPr>
        <w:footnoteRef/>
      </w:r>
      <w:r>
        <w:t xml:space="preserve"> </w:t>
      </w:r>
      <w:r>
        <w:tab/>
        <w:t>https://www.ices.dk/community/groups/pages/wgwide.aspx Grupul de lucru privind stocurile repartizate pe o zonă extinsă (WGWIDE) compilează și analizează date privind stocurile mari de specii pelagice, precum și alte specii mari migratoare și repartizate pe o zonă extinsă.</w:t>
      </w:r>
    </w:p>
  </w:footnote>
  <w:footnote w:id="18">
    <w:p w14:paraId="34D3BE92" w14:textId="3A88D951" w:rsidR="00370512" w:rsidRPr="00370512" w:rsidRDefault="00370512" w:rsidP="00541AF7">
      <w:pPr>
        <w:pStyle w:val="FootnoteText"/>
        <w:spacing w:after="0"/>
      </w:pPr>
      <w:r>
        <w:rPr>
          <w:rStyle w:val="FootnoteReference"/>
        </w:rPr>
        <w:footnoteRef/>
      </w:r>
      <w:r>
        <w:t xml:space="preserve"> </w:t>
      </w:r>
      <w:r>
        <w:tab/>
        <w:t>Statele de coastă din Atlanticul de Nord-Est pentru stocurile relevante sunt Uniunea Europeană, Regatul Unit, Norvegia, Islanda, Insulele Feroe, Groenlanda și Federația Rusă.</w:t>
      </w:r>
    </w:p>
  </w:footnote>
  <w:footnote w:id="19">
    <w:p w14:paraId="27670CD5" w14:textId="00115DCE" w:rsidR="009A34D1" w:rsidRPr="003C0701" w:rsidRDefault="009A34D1" w:rsidP="00B42797">
      <w:pPr>
        <w:pStyle w:val="FootnoteText"/>
        <w:spacing w:after="0"/>
      </w:pPr>
      <w:r>
        <w:rPr>
          <w:rStyle w:val="FootnoteReference"/>
        </w:rPr>
        <w:footnoteRef/>
      </w:r>
      <w:r>
        <w:t xml:space="preserve"> </w:t>
      </w:r>
      <w:r>
        <w:tab/>
        <w:t>Regulamentul (UE) 2019/1022 al Parlamentului European și al Consiliului din 20 iunie 2019 privind instituirea unui plan multianual pentru activitățile de pescuit care exploatează stocuri demersale în vestul Mării Mediterane și de modificare a Regulamentului (UE) nr. 508/2014.</w:t>
      </w:r>
    </w:p>
  </w:footnote>
  <w:footnote w:id="20">
    <w:p w14:paraId="37642125" w14:textId="1E10FD9D" w:rsidR="009A34D1" w:rsidRPr="003C0701" w:rsidRDefault="009A34D1" w:rsidP="00B42797">
      <w:pPr>
        <w:pStyle w:val="FootnoteText"/>
        <w:spacing w:after="0"/>
      </w:pPr>
      <w:r>
        <w:rPr>
          <w:rStyle w:val="FootnoteReference"/>
        </w:rPr>
        <w:footnoteRef/>
      </w:r>
      <w:r>
        <w:t xml:space="preserve"> </w:t>
      </w:r>
      <w:r>
        <w:tab/>
        <w:t xml:space="preserve">Strategia CGPM pentru 2030 pentru pescuit și acvacultură sustenabile în Marea Mediterană și Marea Neagră. </w:t>
      </w:r>
      <w:hyperlink r:id="rId6" w:history="1">
        <w:r>
          <w:rPr>
            <w:rStyle w:val="Hyperlink"/>
          </w:rPr>
          <w:t>https://www.fao.org/documents/card/en/c/cb7562en</w:t>
        </w:r>
      </w:hyperlink>
      <w:r>
        <w:rPr>
          <w:rStyle w:val="Hyperlink"/>
        </w:rPr>
        <w:t>.</w:t>
      </w:r>
    </w:p>
  </w:footnote>
  <w:footnote w:id="21">
    <w:p w14:paraId="484D1EE9" w14:textId="328580BF" w:rsidR="00541AF7" w:rsidRPr="00541AF7" w:rsidRDefault="00541AF7" w:rsidP="00166034">
      <w:pPr>
        <w:pStyle w:val="FootnoteText"/>
        <w:spacing w:after="0"/>
      </w:pPr>
      <w:r>
        <w:rPr>
          <w:rStyle w:val="FootnoteReference"/>
        </w:rPr>
        <w:footnoteRef/>
      </w:r>
      <w:r>
        <w:t xml:space="preserve"> </w:t>
      </w:r>
      <w:r>
        <w:tab/>
        <w:t>Regulamentul (UE) 2023/195 al Consiliului din 30 ianuarie 2023 de stabilire a posibilităților de pescuit pentru anumite stocuri de pește și grupuri de stocuri de pește aplicabile, pentru anul 2023, în Marea Mediterană și în Marea Neagră.</w:t>
      </w:r>
    </w:p>
  </w:footnote>
  <w:footnote w:id="22">
    <w:p w14:paraId="640D97D0" w14:textId="056F5D6B" w:rsidR="00B42797" w:rsidRPr="00B42797" w:rsidRDefault="00B42797" w:rsidP="00166034">
      <w:pPr>
        <w:pStyle w:val="FootnoteText"/>
        <w:spacing w:after="0"/>
      </w:pPr>
      <w:r>
        <w:rPr>
          <w:rStyle w:val="FootnoteReference"/>
        </w:rPr>
        <w:footnoteRef/>
      </w:r>
      <w:r>
        <w:t xml:space="preserve"> </w:t>
      </w:r>
      <w:r>
        <w:tab/>
        <w:t>Articolul 13 din Regulamentul (UE) 2023/195.</w:t>
      </w:r>
    </w:p>
  </w:footnote>
  <w:footnote w:id="23">
    <w:p w14:paraId="17585326" w14:textId="72825394" w:rsidR="0043036C" w:rsidRPr="003C0701" w:rsidRDefault="0043036C" w:rsidP="008D1720">
      <w:pPr>
        <w:pStyle w:val="FootnoteText"/>
        <w:spacing w:after="0"/>
      </w:pPr>
      <w:r>
        <w:rPr>
          <w:rStyle w:val="FootnoteReference"/>
        </w:rPr>
        <w:footnoteRef/>
      </w:r>
      <w:r>
        <w:t xml:space="preserve"> </w:t>
      </w:r>
      <w:r>
        <w:tab/>
        <w:t>Inclusiv flota activă în regiunile ultraperiferice.</w:t>
      </w:r>
    </w:p>
  </w:footnote>
  <w:footnote w:id="24">
    <w:p w14:paraId="327A8FF4" w14:textId="5F967BEC" w:rsidR="008D1720" w:rsidRPr="003C0701" w:rsidRDefault="008D1720" w:rsidP="008D1720">
      <w:pPr>
        <w:pStyle w:val="FootnoteText"/>
        <w:spacing w:after="0"/>
      </w:pPr>
      <w:r>
        <w:rPr>
          <w:rStyle w:val="FootnoteReference"/>
        </w:rPr>
        <w:footnoteRef/>
      </w:r>
      <w:r>
        <w:t xml:space="preserve"> </w:t>
      </w:r>
      <w:r>
        <w:tab/>
        <w:t>COM/2023/103 final.</w:t>
      </w:r>
    </w:p>
  </w:footnote>
  <w:footnote w:id="25">
    <w:p w14:paraId="22F1517E" w14:textId="479F68EE" w:rsidR="003D4BB7" w:rsidRPr="003C0701" w:rsidRDefault="003D4BB7" w:rsidP="008D1720">
      <w:pPr>
        <w:pStyle w:val="FootnoteText"/>
        <w:spacing w:after="0"/>
      </w:pPr>
      <w:r>
        <w:rPr>
          <w:rStyle w:val="FootnoteReference"/>
        </w:rPr>
        <w:footnoteRef/>
      </w:r>
      <w:r>
        <w:t xml:space="preserve"> </w:t>
      </w:r>
      <w:r>
        <w:tab/>
        <w:t>Mai mult decât dublu în 2022, în comparație cu prețurile medii din 2021.</w:t>
      </w:r>
    </w:p>
  </w:footnote>
  <w:footnote w:id="26">
    <w:p w14:paraId="1ED01E0D" w14:textId="38E90B6C" w:rsidR="008F6D92" w:rsidRPr="003C0701" w:rsidRDefault="008F6D92" w:rsidP="0056268A">
      <w:pPr>
        <w:pStyle w:val="FootnoteText"/>
        <w:spacing w:after="0"/>
      </w:pPr>
      <w:r>
        <w:rPr>
          <w:rStyle w:val="FootnoteReference"/>
        </w:rPr>
        <w:footnoteRef/>
      </w:r>
      <w:r>
        <w:t xml:space="preserve"> </w:t>
      </w:r>
      <w:r>
        <w:tab/>
        <w:t>Comunicare a Comisiei către Parlamentul European, Consiliu, Comitetul Economic și Social European și Comitetul Regiunilor, „Tranziția energetică a sectorului pescuitului și acvaculturii din UE”, COM(2023) 100 final.</w:t>
      </w:r>
    </w:p>
  </w:footnote>
  <w:footnote w:id="27">
    <w:p w14:paraId="5B108475" w14:textId="1A64339A" w:rsidR="0056268A" w:rsidRPr="0056268A" w:rsidRDefault="0056268A" w:rsidP="0056268A">
      <w:pPr>
        <w:pStyle w:val="FootnoteText"/>
        <w:spacing w:after="0"/>
      </w:pPr>
      <w:r>
        <w:rPr>
          <w:rStyle w:val="FootnoteReference"/>
        </w:rPr>
        <w:footnoteRef/>
      </w:r>
      <w:r>
        <w:t xml:space="preserve"> </w:t>
      </w:r>
      <w:r>
        <w:tab/>
        <w:t>Regulamentul (UE) 2021/1139.</w:t>
      </w:r>
    </w:p>
  </w:footnote>
  <w:footnote w:id="28">
    <w:p w14:paraId="1845911F" w14:textId="463151BF" w:rsidR="0056268A" w:rsidRPr="0056268A" w:rsidRDefault="0056268A" w:rsidP="0056268A">
      <w:pPr>
        <w:pStyle w:val="FootnoteText"/>
        <w:spacing w:after="0"/>
      </w:pPr>
      <w:r>
        <w:rPr>
          <w:rStyle w:val="FootnoteReference"/>
        </w:rPr>
        <w:footnoteRef/>
      </w:r>
      <w:r>
        <w:t xml:space="preserve"> </w:t>
      </w:r>
      <w:r>
        <w:tab/>
        <w:t>Regulamentul (UE) nr. 508/2014.</w:t>
      </w:r>
    </w:p>
  </w:footnote>
  <w:footnote w:id="29">
    <w:p w14:paraId="311D92F1" w14:textId="4EC945E5" w:rsidR="00503C6C" w:rsidRPr="003C0701" w:rsidRDefault="00503C6C" w:rsidP="0056268A">
      <w:pPr>
        <w:pStyle w:val="FootnoteText"/>
        <w:spacing w:after="0"/>
      </w:pPr>
      <w:r>
        <w:rPr>
          <w:rStyle w:val="FootnoteReference"/>
        </w:rPr>
        <w:footnoteRef/>
      </w:r>
      <w:r>
        <w:t xml:space="preserve"> </w:t>
      </w:r>
      <w:r>
        <w:tab/>
        <w:t>Regulamentul (UE) 2022/1278 și Decizia de punere în aplicare (UE) 2022/500 a Comisiei.</w:t>
      </w:r>
    </w:p>
  </w:footnote>
  <w:footnote w:id="30">
    <w:p w14:paraId="569B068F" w14:textId="0F011BD7" w:rsidR="003974B3" w:rsidRPr="003C0701" w:rsidRDefault="003974B3" w:rsidP="0056268A">
      <w:pPr>
        <w:pStyle w:val="FootnoteText"/>
        <w:spacing w:after="0"/>
        <w:rPr>
          <w:highlight w:val="yellow"/>
        </w:rPr>
      </w:pPr>
      <w:r>
        <w:rPr>
          <w:rStyle w:val="FootnoteReference"/>
        </w:rPr>
        <w:footnoteRef/>
      </w:r>
      <w:r>
        <w:t xml:space="preserve"> </w:t>
      </w:r>
      <w:bookmarkStart w:id="11" w:name="_Hlk133393964"/>
      <w:r>
        <w:tab/>
        <w:t>Comunicare a Comisiei, „Cadru temporar de criză pentru măsuri de ajutor de stat de sprijinire a economiei ca urmare a agresiunii Rusiei împotriva Ucrainei”, 2022/C 131 I/01.</w:t>
      </w:r>
    </w:p>
    <w:bookmarkEnd w:id="11"/>
  </w:footnote>
  <w:footnote w:id="31">
    <w:p w14:paraId="7C2602D8" w14:textId="2E0E418D" w:rsidR="00AC0378" w:rsidRPr="003C0701" w:rsidRDefault="001D6309" w:rsidP="0056268A">
      <w:pPr>
        <w:pStyle w:val="FootnoteText"/>
        <w:spacing w:after="0"/>
      </w:pPr>
      <w:r>
        <w:rPr>
          <w:rStyle w:val="FootnoteReference"/>
        </w:rPr>
        <w:footnoteRef/>
      </w:r>
      <w:r>
        <w:t xml:space="preserve"> </w:t>
      </w:r>
      <w:r>
        <w:tab/>
        <w:t>Va urma raportul pe 2022 privind punerea în aplicare a FEPAM, publicat de Direcția Generală Afaceri Maritime și Pescuit.</w:t>
      </w:r>
    </w:p>
  </w:footnote>
  <w:footnote w:id="32">
    <w:p w14:paraId="5948008B" w14:textId="69B6FE10" w:rsidR="00AC0378" w:rsidRPr="003C0701" w:rsidRDefault="001D6309" w:rsidP="008D18AB">
      <w:pPr>
        <w:pStyle w:val="FootnoteText"/>
        <w:spacing w:after="0"/>
      </w:pPr>
      <w:r>
        <w:rPr>
          <w:rStyle w:val="FootnoteReference"/>
        </w:rPr>
        <w:footnoteRef/>
      </w:r>
      <w:r>
        <w:t xml:space="preserve"> </w:t>
      </w:r>
      <w:r>
        <w:tab/>
        <w:t>Articolul 42 din Regulamentul privind FEPAM.</w:t>
      </w:r>
    </w:p>
  </w:footnote>
  <w:footnote w:id="33">
    <w:p w14:paraId="3A49B9E0" w14:textId="000BD447" w:rsidR="00AC0378" w:rsidRPr="003C0701" w:rsidRDefault="001D6309" w:rsidP="008D18AB">
      <w:pPr>
        <w:pStyle w:val="FootnoteText"/>
        <w:spacing w:after="0"/>
      </w:pPr>
      <w:r>
        <w:rPr>
          <w:rStyle w:val="FootnoteReference"/>
        </w:rPr>
        <w:footnoteRef/>
      </w:r>
      <w:r>
        <w:t xml:space="preserve"> </w:t>
      </w:r>
      <w:r>
        <w:tab/>
        <w:t>Articolele 38 și 39 din Regulamentul privind FEPAM.</w:t>
      </w:r>
    </w:p>
  </w:footnote>
  <w:footnote w:id="34">
    <w:p w14:paraId="396C9700" w14:textId="24EF1815" w:rsidR="00AC0378" w:rsidRPr="003C0701" w:rsidRDefault="001D6309" w:rsidP="008D18AB">
      <w:pPr>
        <w:pStyle w:val="FootnoteText"/>
        <w:spacing w:after="0"/>
      </w:pPr>
      <w:r>
        <w:rPr>
          <w:rStyle w:val="FootnoteReference"/>
        </w:rPr>
        <w:footnoteRef/>
      </w:r>
      <w:r>
        <w:t xml:space="preserve"> </w:t>
      </w:r>
      <w:r>
        <w:tab/>
        <w:t>Printre acestea se numără aruncarea ilegală și nedocumentată a capturilor înapoi în mare pentru a se evita situațiile de „blocaj”, pentru a se maximiza profitul („respingere selectivă”) și pentru a se reduce costurile de manipulare și stocare a capturilor cu valoare scăzută.</w:t>
      </w:r>
    </w:p>
  </w:footnote>
  <w:footnote w:id="35">
    <w:p w14:paraId="15E99F90" w14:textId="1D151D35" w:rsidR="00FE320A" w:rsidRPr="003C0701" w:rsidRDefault="00FE320A" w:rsidP="00FE320A">
      <w:pPr>
        <w:pStyle w:val="FootnoteText"/>
        <w:spacing w:after="0"/>
      </w:pPr>
      <w:r>
        <w:rPr>
          <w:rStyle w:val="FootnoteReference"/>
        </w:rPr>
        <w:footnoteRef/>
      </w:r>
      <w:r>
        <w:t xml:space="preserve"> </w:t>
      </w:r>
      <w:r>
        <w:tab/>
        <w:t>De exemplu, inspecții pe mare, inspecții la debarcare, analiza datelor și supravegherea aeriană.</w:t>
      </w:r>
    </w:p>
  </w:footnote>
  <w:footnote w:id="36">
    <w:p w14:paraId="3E9B1282" w14:textId="37B4CBAC" w:rsidR="00AC0378" w:rsidRPr="003C0701" w:rsidRDefault="001D6309" w:rsidP="00FE320A">
      <w:pPr>
        <w:pStyle w:val="FootnoteText"/>
        <w:spacing w:after="0"/>
      </w:pPr>
      <w:r>
        <w:rPr>
          <w:rStyle w:val="FootnoteReference"/>
        </w:rPr>
        <w:footnoteRef/>
      </w:r>
      <w:r>
        <w:t xml:space="preserve"> </w:t>
      </w:r>
      <w:r>
        <w:tab/>
        <w:t>Mai multe state membre au convenit să participe la un proiect-pilot privind REM coordonat de EFCA pentru a învăța cele mai bune practici privind controalele REM (una sau două nave pentru fiecare stat membru). Danemarca utilizează REM în flota de langustină care operează în Kattegat, iar Țările de Jos desfășoară un program de activități de pescuit documentate integral pe câteva nave din Marea Nordului. Niciunul dintre proiecte nu este utilizat în scopuri de control și de asigurare a respectării legii.</w:t>
      </w:r>
    </w:p>
  </w:footnote>
  <w:footnote w:id="37">
    <w:p w14:paraId="0A4919DB" w14:textId="77777777" w:rsidR="00CE6B89" w:rsidRPr="003C0701" w:rsidRDefault="00CE6B89" w:rsidP="00CE6B89">
      <w:pPr>
        <w:pStyle w:val="FootnoteText"/>
        <w:spacing w:after="0"/>
      </w:pPr>
      <w:r>
        <w:rPr>
          <w:rStyle w:val="FootnoteReference"/>
        </w:rPr>
        <w:footnoteRef/>
      </w:r>
      <w:r>
        <w:t xml:space="preserve"> </w:t>
      </w:r>
      <w:r>
        <w:tab/>
      </w:r>
      <w:hyperlink r:id="rId7" w:history="1">
        <w:r>
          <w:rPr>
            <w:rStyle w:val="Hyperlink"/>
          </w:rPr>
          <w:t>https://op.europa.eu/en/publication-detail/-/publication/89868cc6-015f-11ec-8f47-01aa75ed71a1</w:t>
        </w:r>
      </w:hyperlink>
    </w:p>
  </w:footnote>
  <w:footnote w:id="38">
    <w:p w14:paraId="26EF8A34" w14:textId="5419C477" w:rsidR="00103E7F" w:rsidRPr="00103E7F" w:rsidRDefault="00103E7F" w:rsidP="00103E7F">
      <w:pPr>
        <w:pStyle w:val="FootnoteText"/>
        <w:spacing w:after="0"/>
      </w:pPr>
      <w:r>
        <w:rPr>
          <w:rStyle w:val="FootnoteReference"/>
        </w:rPr>
        <w:footnoteRef/>
      </w:r>
      <w:r>
        <w:t xml:space="preserve"> </w:t>
      </w:r>
      <w:r>
        <w:tab/>
        <w:t>Regulamentul (UE) 2017/1004.</w:t>
      </w:r>
    </w:p>
  </w:footnote>
  <w:footnote w:id="39">
    <w:p w14:paraId="77360A9E" w14:textId="23B6EF10" w:rsidR="003551F5" w:rsidRPr="003C0701" w:rsidRDefault="003551F5" w:rsidP="002D3619">
      <w:pPr>
        <w:pStyle w:val="FootnoteText"/>
        <w:spacing w:after="0"/>
      </w:pPr>
      <w:r>
        <w:rPr>
          <w:rStyle w:val="FootnoteReference"/>
        </w:rPr>
        <w:footnoteRef/>
      </w:r>
      <w:r>
        <w:t xml:space="preserve"> </w:t>
      </w:r>
      <w:r>
        <w:tab/>
        <w:t>Comunicare a Comisiei către Parlamentul European și Consiliu, „Politica comună în domeniul pescuitului în prezent și în viitor: un pact privind pescuitul și oceanele pentru o gestionare a pescuitului sustenabilă, bazată pe date științifice, inovatoare și favorabilă incluziunii”, COM(2023)103 final.</w:t>
      </w:r>
    </w:p>
  </w:footnote>
  <w:footnote w:id="40">
    <w:p w14:paraId="55D036C2" w14:textId="785F0756" w:rsidR="00C17E92" w:rsidRPr="003C0701" w:rsidRDefault="00C17E92" w:rsidP="0058417F">
      <w:pPr>
        <w:pStyle w:val="FootnoteText"/>
        <w:spacing w:after="0"/>
      </w:pPr>
      <w:r>
        <w:rPr>
          <w:rStyle w:val="FootnoteReference"/>
        </w:rPr>
        <w:footnoteRef/>
      </w:r>
      <w:r>
        <w:t xml:space="preserve"> </w:t>
      </w:r>
      <w:r>
        <w:tab/>
        <w:t>COM(2023) 102.</w:t>
      </w:r>
    </w:p>
  </w:footnote>
  <w:footnote w:id="41">
    <w:p w14:paraId="39B59424" w14:textId="5C652C9E" w:rsidR="0058417F" w:rsidRPr="0058417F" w:rsidRDefault="0058417F">
      <w:pPr>
        <w:pStyle w:val="FootnoteText"/>
      </w:pPr>
      <w:r>
        <w:rPr>
          <w:rStyle w:val="FootnoteReference"/>
        </w:rPr>
        <w:footnoteRef/>
      </w:r>
      <w:r>
        <w:t xml:space="preserve"> </w:t>
      </w:r>
      <w:r>
        <w:tab/>
      </w:r>
      <w:bookmarkStart w:id="19" w:name="_Hlk135727235"/>
      <w:r>
        <w:t xml:space="preserve">Printre acestea se numără stabilirea unor limite pentru deșeurile marine, zgomotul subacvatic, nutrienții și contaminanții în temeiul Directivei-cadru „Strategia pentru mediul marin” și punerea în aplicare a unor măsuri pentru realizarea acestora. COM/2021/400 final. </w:t>
      </w:r>
      <w:bookmarkEnd w:id="19"/>
    </w:p>
  </w:footnote>
  <w:footnote w:id="42">
    <w:p w14:paraId="6F423560" w14:textId="3F48735D" w:rsidR="00AC0378" w:rsidRPr="003C0701" w:rsidRDefault="001D6309">
      <w:pPr>
        <w:pStyle w:val="FootnoteText"/>
        <w:ind w:left="142" w:hanging="142"/>
      </w:pPr>
      <w:r>
        <w:rPr>
          <w:rStyle w:val="FootnoteReference"/>
        </w:rPr>
        <w:footnoteRef/>
      </w:r>
      <w:r>
        <w:t xml:space="preserve"> Pentru stocurile gestionate de ORGP în apele UE și în anumite ape din afara UE, posibilitățile de pescuit sunt adoptate după reuniunea anuală a ORGP, prin revizuirea regulamentului Consiliului de stabilire a posibilităților de pescuit.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B910A" w14:textId="77777777" w:rsidR="00321324" w:rsidRPr="00321324" w:rsidRDefault="00321324" w:rsidP="003213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C8EB2" w14:textId="77777777" w:rsidR="00321324" w:rsidRPr="00321324" w:rsidRDefault="00321324" w:rsidP="0032132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3B9CF" w14:textId="77777777" w:rsidR="00321324" w:rsidRPr="00321324" w:rsidRDefault="00321324" w:rsidP="0032132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A05CF" w14:textId="77777777" w:rsidR="00AC0378" w:rsidRDefault="00AC037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F900C" w14:textId="77777777" w:rsidR="00AC0378" w:rsidRDefault="00AC037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CD20A" w14:textId="77777777" w:rsidR="00AC0378" w:rsidRDefault="00AC03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097C1B3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8E97351"/>
    <w:multiLevelType w:val="multilevel"/>
    <w:tmpl w:val="D318EE7C"/>
    <w:lvl w:ilvl="0">
      <w:start w:val="1"/>
      <w:numFmt w:val="decimal"/>
      <w:lvlText w:val="%1."/>
      <w:lvlJc w:val="left"/>
      <w:pPr>
        <w:tabs>
          <w:tab w:val="num" w:pos="480"/>
        </w:tabs>
        <w:ind w:left="480" w:hanging="480"/>
      </w:pPr>
      <w:rPr>
        <w:rFonts w:hint="default"/>
      </w:rPr>
    </w:lvl>
    <w:lvl w:ilvl="1">
      <w:numFmt w:val="decimal"/>
      <w:lvlText w:val="%1.%2."/>
      <w:lvlJc w:val="left"/>
      <w:pPr>
        <w:tabs>
          <w:tab w:val="num" w:pos="1428"/>
        </w:tabs>
        <w:ind w:left="1428" w:hanging="720"/>
      </w:pPr>
      <w:rPr>
        <w:rFonts w:hint="default"/>
        <w:b/>
        <w:i w:val="0"/>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9B46CF5"/>
    <w:multiLevelType w:val="hybridMultilevel"/>
    <w:tmpl w:val="94C4D2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00CF3"/>
    <w:multiLevelType w:val="hybridMultilevel"/>
    <w:tmpl w:val="167605F4"/>
    <w:lvl w:ilvl="0" w:tplc="361C5CF2">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287E0D"/>
    <w:multiLevelType w:val="hybridMultilevel"/>
    <w:tmpl w:val="0248EB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960341D"/>
    <w:multiLevelType w:val="hybridMultilevel"/>
    <w:tmpl w:val="DAF0A4A4"/>
    <w:lvl w:ilvl="0" w:tplc="D14AA5B0">
      <w:start w:val="2"/>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BCE5E8C"/>
    <w:multiLevelType w:val="hybridMultilevel"/>
    <w:tmpl w:val="CDE8D290"/>
    <w:lvl w:ilvl="0" w:tplc="79D2CEE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833137"/>
    <w:multiLevelType w:val="hybridMultilevel"/>
    <w:tmpl w:val="AC46A35E"/>
    <w:lvl w:ilvl="0" w:tplc="FE42B91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734306"/>
    <w:multiLevelType w:val="multilevel"/>
    <w:tmpl w:val="40FA0C42"/>
    <w:lvl w:ilvl="0">
      <w:start w:val="1"/>
      <w:numFmt w:val="decimal"/>
      <w:lvlText w:val="%1."/>
      <w:lvlJc w:val="left"/>
      <w:pPr>
        <w:tabs>
          <w:tab w:val="num" w:pos="480"/>
        </w:tabs>
        <w:ind w:left="480" w:hanging="480"/>
      </w:pPr>
      <w:rPr>
        <w:rFonts w:hint="default"/>
      </w:rPr>
    </w:lvl>
    <w:lvl w:ilvl="1">
      <w:numFmt w:val="decimal"/>
      <w:lvlText w:val="%1.%2."/>
      <w:lvlJc w:val="left"/>
      <w:pPr>
        <w:tabs>
          <w:tab w:val="num" w:pos="1428"/>
        </w:tabs>
        <w:ind w:left="1428" w:hanging="720"/>
      </w:pPr>
      <w:rPr>
        <w:rFonts w:hint="default"/>
        <w:b/>
        <w:i w:val="0"/>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06B60E8"/>
    <w:multiLevelType w:val="hybridMultilevel"/>
    <w:tmpl w:val="5FF4895C"/>
    <w:lvl w:ilvl="0" w:tplc="182EFC1C">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E55F4E"/>
    <w:multiLevelType w:val="hybridMultilevel"/>
    <w:tmpl w:val="D6923C78"/>
    <w:lvl w:ilvl="0" w:tplc="1A78CFF6">
      <w:start w:val="1"/>
      <w:numFmt w:val="bullet"/>
      <w:lvlText w:val="·"/>
      <w:lvlJc w:val="left"/>
      <w:pPr>
        <w:ind w:left="720" w:hanging="360"/>
      </w:pPr>
      <w:rPr>
        <w:rFonts w:ascii="Symbol" w:hAnsi="Symbol" w:hint="default"/>
      </w:rPr>
    </w:lvl>
    <w:lvl w:ilvl="1" w:tplc="A860F134">
      <w:start w:val="1"/>
      <w:numFmt w:val="bullet"/>
      <w:lvlText w:val="o"/>
      <w:lvlJc w:val="left"/>
      <w:pPr>
        <w:ind w:left="1440" w:hanging="360"/>
      </w:pPr>
      <w:rPr>
        <w:rFonts w:ascii="Courier New" w:hAnsi="Courier New" w:hint="default"/>
      </w:rPr>
    </w:lvl>
    <w:lvl w:ilvl="2" w:tplc="1E9495C4">
      <w:start w:val="1"/>
      <w:numFmt w:val="bullet"/>
      <w:lvlText w:val=""/>
      <w:lvlJc w:val="left"/>
      <w:pPr>
        <w:ind w:left="2160" w:hanging="360"/>
      </w:pPr>
      <w:rPr>
        <w:rFonts w:ascii="Wingdings" w:hAnsi="Wingdings" w:hint="default"/>
      </w:rPr>
    </w:lvl>
    <w:lvl w:ilvl="3" w:tplc="FC249A0A">
      <w:start w:val="1"/>
      <w:numFmt w:val="bullet"/>
      <w:lvlText w:val=""/>
      <w:lvlJc w:val="left"/>
      <w:pPr>
        <w:ind w:left="2880" w:hanging="360"/>
      </w:pPr>
      <w:rPr>
        <w:rFonts w:ascii="Symbol" w:hAnsi="Symbol" w:hint="default"/>
      </w:rPr>
    </w:lvl>
    <w:lvl w:ilvl="4" w:tplc="196A650C">
      <w:start w:val="1"/>
      <w:numFmt w:val="bullet"/>
      <w:lvlText w:val="o"/>
      <w:lvlJc w:val="left"/>
      <w:pPr>
        <w:ind w:left="3600" w:hanging="360"/>
      </w:pPr>
      <w:rPr>
        <w:rFonts w:ascii="Courier New" w:hAnsi="Courier New" w:hint="default"/>
      </w:rPr>
    </w:lvl>
    <w:lvl w:ilvl="5" w:tplc="0C4AC20E">
      <w:start w:val="1"/>
      <w:numFmt w:val="bullet"/>
      <w:lvlText w:val=""/>
      <w:lvlJc w:val="left"/>
      <w:pPr>
        <w:ind w:left="4320" w:hanging="360"/>
      </w:pPr>
      <w:rPr>
        <w:rFonts w:ascii="Wingdings" w:hAnsi="Wingdings" w:hint="default"/>
      </w:rPr>
    </w:lvl>
    <w:lvl w:ilvl="6" w:tplc="1488F45A">
      <w:start w:val="1"/>
      <w:numFmt w:val="bullet"/>
      <w:lvlText w:val=""/>
      <w:lvlJc w:val="left"/>
      <w:pPr>
        <w:ind w:left="5040" w:hanging="360"/>
      </w:pPr>
      <w:rPr>
        <w:rFonts w:ascii="Symbol" w:hAnsi="Symbol" w:hint="default"/>
      </w:rPr>
    </w:lvl>
    <w:lvl w:ilvl="7" w:tplc="E144A6D0">
      <w:start w:val="1"/>
      <w:numFmt w:val="bullet"/>
      <w:lvlText w:val="o"/>
      <w:lvlJc w:val="left"/>
      <w:pPr>
        <w:ind w:left="5760" w:hanging="360"/>
      </w:pPr>
      <w:rPr>
        <w:rFonts w:ascii="Courier New" w:hAnsi="Courier New" w:hint="default"/>
      </w:rPr>
    </w:lvl>
    <w:lvl w:ilvl="8" w:tplc="05F87A8C">
      <w:start w:val="1"/>
      <w:numFmt w:val="bullet"/>
      <w:lvlText w:val=""/>
      <w:lvlJc w:val="left"/>
      <w:pPr>
        <w:ind w:left="6480" w:hanging="360"/>
      </w:pPr>
      <w:rPr>
        <w:rFonts w:ascii="Wingdings" w:hAnsi="Wingdings" w:hint="default"/>
      </w:rPr>
    </w:lvl>
  </w:abstractNum>
  <w:abstractNum w:abstractNumId="12" w15:restartNumberingAfterBreak="0">
    <w:nsid w:val="34D22C19"/>
    <w:multiLevelType w:val="hybridMultilevel"/>
    <w:tmpl w:val="8A8CACD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68077FC"/>
    <w:multiLevelType w:val="hybridMultilevel"/>
    <w:tmpl w:val="FB78BA16"/>
    <w:lvl w:ilvl="0" w:tplc="4C38806A">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A145132"/>
    <w:multiLevelType w:val="hybridMultilevel"/>
    <w:tmpl w:val="BECC2A82"/>
    <w:lvl w:ilvl="0" w:tplc="63423056">
      <w:start w:val="1"/>
      <w:numFmt w:val="decimal"/>
      <w:lvlText w:val="%1)"/>
      <w:lvlJc w:val="left"/>
      <w:pPr>
        <w:ind w:left="410" w:hanging="360"/>
      </w:pPr>
      <w:rPr>
        <w:rFonts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15" w15:restartNumberingAfterBreak="0">
    <w:nsid w:val="437F32D7"/>
    <w:multiLevelType w:val="hybridMultilevel"/>
    <w:tmpl w:val="880466AC"/>
    <w:lvl w:ilvl="0" w:tplc="CAE6655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6FB4B6E"/>
    <w:multiLevelType w:val="hybridMultilevel"/>
    <w:tmpl w:val="B3BEF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2F7B2C"/>
    <w:multiLevelType w:val="hybridMultilevel"/>
    <w:tmpl w:val="12A6BFD2"/>
    <w:lvl w:ilvl="0" w:tplc="093817E8">
      <w:numFmt w:val="bullet"/>
      <w:lvlText w:val="-"/>
      <w:lvlJc w:val="left"/>
      <w:pPr>
        <w:ind w:left="357" w:hanging="360"/>
      </w:pPr>
      <w:rPr>
        <w:rFonts w:ascii="Times New Roman" w:eastAsia="Times New Roman" w:hAnsi="Times New Roman" w:cs="Times New Roman" w:hint="default"/>
      </w:rPr>
    </w:lvl>
    <w:lvl w:ilvl="1" w:tplc="08090003">
      <w:start w:val="1"/>
      <w:numFmt w:val="bullet"/>
      <w:lvlText w:val="o"/>
      <w:lvlJc w:val="left"/>
      <w:pPr>
        <w:ind w:left="1077" w:hanging="360"/>
      </w:pPr>
      <w:rPr>
        <w:rFonts w:ascii="Courier New" w:hAnsi="Courier New" w:cs="Courier New" w:hint="default"/>
      </w:rPr>
    </w:lvl>
    <w:lvl w:ilvl="2" w:tplc="08090005" w:tentative="1">
      <w:start w:val="1"/>
      <w:numFmt w:val="bullet"/>
      <w:lvlText w:val=""/>
      <w:lvlJc w:val="left"/>
      <w:pPr>
        <w:ind w:left="1797" w:hanging="360"/>
      </w:pPr>
      <w:rPr>
        <w:rFonts w:ascii="Wingdings" w:hAnsi="Wingdings" w:hint="default"/>
      </w:rPr>
    </w:lvl>
    <w:lvl w:ilvl="3" w:tplc="08090001" w:tentative="1">
      <w:start w:val="1"/>
      <w:numFmt w:val="bullet"/>
      <w:lvlText w:val=""/>
      <w:lvlJc w:val="left"/>
      <w:pPr>
        <w:ind w:left="2517" w:hanging="360"/>
      </w:pPr>
      <w:rPr>
        <w:rFonts w:ascii="Symbol" w:hAnsi="Symbol" w:hint="default"/>
      </w:rPr>
    </w:lvl>
    <w:lvl w:ilvl="4" w:tplc="08090003" w:tentative="1">
      <w:start w:val="1"/>
      <w:numFmt w:val="bullet"/>
      <w:lvlText w:val="o"/>
      <w:lvlJc w:val="left"/>
      <w:pPr>
        <w:ind w:left="3237" w:hanging="360"/>
      </w:pPr>
      <w:rPr>
        <w:rFonts w:ascii="Courier New" w:hAnsi="Courier New" w:cs="Courier New" w:hint="default"/>
      </w:rPr>
    </w:lvl>
    <w:lvl w:ilvl="5" w:tplc="08090005" w:tentative="1">
      <w:start w:val="1"/>
      <w:numFmt w:val="bullet"/>
      <w:lvlText w:val=""/>
      <w:lvlJc w:val="left"/>
      <w:pPr>
        <w:ind w:left="3957" w:hanging="360"/>
      </w:pPr>
      <w:rPr>
        <w:rFonts w:ascii="Wingdings" w:hAnsi="Wingdings" w:hint="default"/>
      </w:rPr>
    </w:lvl>
    <w:lvl w:ilvl="6" w:tplc="08090001" w:tentative="1">
      <w:start w:val="1"/>
      <w:numFmt w:val="bullet"/>
      <w:lvlText w:val=""/>
      <w:lvlJc w:val="left"/>
      <w:pPr>
        <w:ind w:left="4677" w:hanging="360"/>
      </w:pPr>
      <w:rPr>
        <w:rFonts w:ascii="Symbol" w:hAnsi="Symbol" w:hint="default"/>
      </w:rPr>
    </w:lvl>
    <w:lvl w:ilvl="7" w:tplc="08090003" w:tentative="1">
      <w:start w:val="1"/>
      <w:numFmt w:val="bullet"/>
      <w:lvlText w:val="o"/>
      <w:lvlJc w:val="left"/>
      <w:pPr>
        <w:ind w:left="5397" w:hanging="360"/>
      </w:pPr>
      <w:rPr>
        <w:rFonts w:ascii="Courier New" w:hAnsi="Courier New" w:cs="Courier New" w:hint="default"/>
      </w:rPr>
    </w:lvl>
    <w:lvl w:ilvl="8" w:tplc="08090005" w:tentative="1">
      <w:start w:val="1"/>
      <w:numFmt w:val="bullet"/>
      <w:lvlText w:val=""/>
      <w:lvlJc w:val="left"/>
      <w:pPr>
        <w:ind w:left="6117" w:hanging="360"/>
      </w:pPr>
      <w:rPr>
        <w:rFonts w:ascii="Wingdings" w:hAnsi="Wingdings" w:hint="default"/>
      </w:rPr>
    </w:lvl>
  </w:abstractNum>
  <w:abstractNum w:abstractNumId="18" w15:restartNumberingAfterBreak="0">
    <w:nsid w:val="4D5506FC"/>
    <w:multiLevelType w:val="multilevel"/>
    <w:tmpl w:val="3F3C41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4384079"/>
    <w:multiLevelType w:val="hybridMultilevel"/>
    <w:tmpl w:val="6D1E7CDA"/>
    <w:lvl w:ilvl="0" w:tplc="14382560">
      <w:start w:val="1"/>
      <w:numFmt w:val="decimal"/>
      <w:lvlText w:val="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5FD197D"/>
    <w:multiLevelType w:val="hybridMultilevel"/>
    <w:tmpl w:val="32A8C71A"/>
    <w:lvl w:ilvl="0" w:tplc="AE50E0A8">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AA1FC9"/>
    <w:multiLevelType w:val="hybridMultilevel"/>
    <w:tmpl w:val="4BAC9C52"/>
    <w:lvl w:ilvl="0" w:tplc="3660575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2A4B7F"/>
    <w:multiLevelType w:val="multilevel"/>
    <w:tmpl w:val="67F497B6"/>
    <w:lvl w:ilvl="0">
      <w:start w:val="1"/>
      <w:numFmt w:val="decimal"/>
      <w:pStyle w:val="Heading1"/>
      <w:lvlText w:val="%1."/>
      <w:lvlJc w:val="left"/>
      <w:pPr>
        <w:tabs>
          <w:tab w:val="num" w:pos="480"/>
        </w:tabs>
        <w:ind w:left="480" w:hanging="480"/>
      </w:pPr>
      <w:rPr>
        <w:rFonts w:hint="default"/>
      </w:rPr>
    </w:lvl>
    <w:lvl w:ilvl="1">
      <w:numFmt w:val="decimal"/>
      <w:lvlText w:val="%1.%2."/>
      <w:lvlJc w:val="left"/>
      <w:pPr>
        <w:tabs>
          <w:tab w:val="num" w:pos="1428"/>
        </w:tabs>
        <w:ind w:left="1428" w:hanging="720"/>
      </w:pPr>
      <w:rPr>
        <w:rFonts w:hint="default"/>
        <w:b/>
        <w:i w:val="0"/>
      </w:rPr>
    </w:lvl>
    <w:lvl w:ilvl="2">
      <w:start w:val="1"/>
      <w:numFmt w:val="decimal"/>
      <w:pStyle w:val="Heading3"/>
      <w:lvlText w:val="%1.%2.%3."/>
      <w:lvlJc w:val="left"/>
      <w:pPr>
        <w:tabs>
          <w:tab w:val="num" w:pos="1920"/>
        </w:tabs>
        <w:ind w:left="1920" w:hanging="720"/>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704F5006"/>
    <w:multiLevelType w:val="hybridMultilevel"/>
    <w:tmpl w:val="E56A94B6"/>
    <w:lvl w:ilvl="0" w:tplc="063EBF5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0B0B54"/>
    <w:multiLevelType w:val="multilevel"/>
    <w:tmpl w:val="7EE8253A"/>
    <w:lvl w:ilvl="0">
      <w:start w:val="2"/>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num w:numId="1">
    <w:abstractNumId w:val="11"/>
  </w:num>
  <w:num w:numId="2">
    <w:abstractNumId w:val="9"/>
  </w:num>
  <w:num w:numId="3">
    <w:abstractNumId w:val="8"/>
  </w:num>
  <w:num w:numId="4">
    <w:abstractNumId w:val="3"/>
  </w:num>
  <w:num w:numId="5">
    <w:abstractNumId w:val="7"/>
  </w:num>
  <w:num w:numId="6">
    <w:abstractNumId w:val="20"/>
  </w:num>
  <w:num w:numId="7">
    <w:abstractNumId w:val="4"/>
  </w:num>
  <w:num w:numId="8">
    <w:abstractNumId w:val="17"/>
  </w:num>
  <w:num w:numId="9">
    <w:abstractNumId w:val="9"/>
  </w:num>
  <w:num w:numId="10">
    <w:abstractNumId w:val="9"/>
    <w:lvlOverride w:ilvl="0">
      <w:startOverride w:val="3"/>
    </w:lvlOverride>
    <w:lvlOverride w:ilvl="1"/>
  </w:num>
  <w:num w:numId="11">
    <w:abstractNumId w:val="0"/>
  </w:num>
  <w:num w:numId="12">
    <w:abstractNumId w:val="9"/>
  </w:num>
  <w:num w:numId="13">
    <w:abstractNumId w:val="24"/>
  </w:num>
  <w:num w:numId="14">
    <w:abstractNumId w:val="14"/>
  </w:num>
  <w:num w:numId="15">
    <w:abstractNumId w:val="10"/>
  </w:num>
  <w:num w:numId="16">
    <w:abstractNumId w:val="6"/>
  </w:num>
  <w:num w:numId="17">
    <w:abstractNumId w:val="21"/>
  </w:num>
  <w:num w:numId="18">
    <w:abstractNumId w:val="15"/>
  </w:num>
  <w:num w:numId="19">
    <w:abstractNumId w:val="9"/>
  </w:num>
  <w:num w:numId="20">
    <w:abstractNumId w:val="19"/>
  </w:num>
  <w:num w:numId="21">
    <w:abstractNumId w:val="2"/>
  </w:num>
  <w:num w:numId="22">
    <w:abstractNumId w:val="22"/>
  </w:num>
  <w:num w:numId="23">
    <w:abstractNumId w:val="22"/>
    <w:lvlOverride w:ilvl="0">
      <w:startOverride w:val="2"/>
    </w:lvlOverride>
    <w:lvlOverride w:ilvl="1">
      <w:startOverride w:val="1"/>
    </w:lvlOverride>
  </w:num>
  <w:num w:numId="24">
    <w:abstractNumId w:val="22"/>
  </w:num>
  <w:num w:numId="25">
    <w:abstractNumId w:val="22"/>
  </w:num>
  <w:num w:numId="26">
    <w:abstractNumId w:val="22"/>
  </w:num>
  <w:num w:numId="27">
    <w:abstractNumId w:val="18"/>
  </w:num>
  <w:num w:numId="28">
    <w:abstractNumId w:val="13"/>
  </w:num>
  <w:num w:numId="29">
    <w:abstractNumId w:val="1"/>
  </w:num>
  <w:num w:numId="30">
    <w:abstractNumId w:val="16"/>
  </w:num>
  <w:num w:numId="31">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num>
  <w:num w:numId="33">
    <w:abstractNumId w:val="22"/>
  </w:num>
  <w:num w:numId="34">
    <w:abstractNumId w:val="5"/>
  </w:num>
  <w:num w:numId="35">
    <w:abstractNumId w:val="23"/>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revisionView w:markup="0"/>
  <w:defaultTabStop w:val="720"/>
  <w:hyphenationZone w:val="425"/>
  <w:characterSpacingControl w:val="doNotCompress"/>
  <w:hdrShapeDefaults>
    <o:shapedefaults v:ext="edit" spidmax="9011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36C8CA4-1C51-4355-ACC6-C7D2B4718885"/>
    <w:docVar w:name="LW_COVERPAGE_TYPE" w:val="1"/>
    <w:docVar w:name="LW_CROSSREFERENCE" w:val="{SWD(2023) 172 final}"/>
    <w:docVar w:name="LW_DocType" w:val="NORMAL"/>
    <w:docVar w:name="LW_EMISSION" w:val="14.6.2023"/>
    <w:docVar w:name="LW_EMISSION_ISODATE" w:val="2023-06-14"/>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3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escuit sustenabil în UE: situația actuală și orientări pentru 2024"/>
    <w:docVar w:name="LW_TYPE.DOC.CP" w:val="COMUNICARE A COMISIEI CĂTRE PARLAMENTUL EUROPEAN ȘI CONSILIU"/>
    <w:docVar w:name="LW_TYPE.DOC.CP.USERTEXT" w:val="&lt;EMPTY&gt;"/>
    <w:docVar w:name="LwApiVersions" w:val="LW4CoDe 1.23.2.0; LW 8.0, Build 20211117"/>
  </w:docVars>
  <w:rsids>
    <w:rsidRoot w:val="00AC0378"/>
    <w:rsid w:val="00000D5F"/>
    <w:rsid w:val="00004EFE"/>
    <w:rsid w:val="0002166F"/>
    <w:rsid w:val="0003019D"/>
    <w:rsid w:val="00030A2D"/>
    <w:rsid w:val="00036EF1"/>
    <w:rsid w:val="00040FD7"/>
    <w:rsid w:val="00047D5C"/>
    <w:rsid w:val="00054668"/>
    <w:rsid w:val="000574E8"/>
    <w:rsid w:val="00080490"/>
    <w:rsid w:val="000816D4"/>
    <w:rsid w:val="00091A73"/>
    <w:rsid w:val="00097B36"/>
    <w:rsid w:val="000A6B4B"/>
    <w:rsid w:val="000D4BD4"/>
    <w:rsid w:val="000D5CE8"/>
    <w:rsid w:val="000D655F"/>
    <w:rsid w:val="000E0794"/>
    <w:rsid w:val="000E4437"/>
    <w:rsid w:val="000F0324"/>
    <w:rsid w:val="000F41CA"/>
    <w:rsid w:val="000F6076"/>
    <w:rsid w:val="000F7950"/>
    <w:rsid w:val="00101EFD"/>
    <w:rsid w:val="001039E8"/>
    <w:rsid w:val="00103E7F"/>
    <w:rsid w:val="0011434B"/>
    <w:rsid w:val="00116B53"/>
    <w:rsid w:val="00117220"/>
    <w:rsid w:val="00121040"/>
    <w:rsid w:val="00131028"/>
    <w:rsid w:val="001372F6"/>
    <w:rsid w:val="0015630A"/>
    <w:rsid w:val="00157534"/>
    <w:rsid w:val="00162773"/>
    <w:rsid w:val="001630BC"/>
    <w:rsid w:val="00166034"/>
    <w:rsid w:val="001729EE"/>
    <w:rsid w:val="00183614"/>
    <w:rsid w:val="00186CDB"/>
    <w:rsid w:val="001942DA"/>
    <w:rsid w:val="00197A75"/>
    <w:rsid w:val="001B1AC1"/>
    <w:rsid w:val="001C3A18"/>
    <w:rsid w:val="001D0EF5"/>
    <w:rsid w:val="001D28B8"/>
    <w:rsid w:val="001D6309"/>
    <w:rsid w:val="001E59EF"/>
    <w:rsid w:val="001F4654"/>
    <w:rsid w:val="00211EC8"/>
    <w:rsid w:val="002211ED"/>
    <w:rsid w:val="002227E2"/>
    <w:rsid w:val="00227349"/>
    <w:rsid w:val="00234A14"/>
    <w:rsid w:val="002358EF"/>
    <w:rsid w:val="00240F02"/>
    <w:rsid w:val="00247259"/>
    <w:rsid w:val="00252E1F"/>
    <w:rsid w:val="00260B16"/>
    <w:rsid w:val="00263AF2"/>
    <w:rsid w:val="0027561A"/>
    <w:rsid w:val="00291D25"/>
    <w:rsid w:val="002A6D71"/>
    <w:rsid w:val="002D3619"/>
    <w:rsid w:val="002E1431"/>
    <w:rsid w:val="002E62B3"/>
    <w:rsid w:val="002F2A99"/>
    <w:rsid w:val="00301515"/>
    <w:rsid w:val="00301BAB"/>
    <w:rsid w:val="00316C2B"/>
    <w:rsid w:val="00321324"/>
    <w:rsid w:val="003259F3"/>
    <w:rsid w:val="00336959"/>
    <w:rsid w:val="00341E85"/>
    <w:rsid w:val="0034228F"/>
    <w:rsid w:val="003551F5"/>
    <w:rsid w:val="00370512"/>
    <w:rsid w:val="00387290"/>
    <w:rsid w:val="00393A88"/>
    <w:rsid w:val="00394742"/>
    <w:rsid w:val="003967D7"/>
    <w:rsid w:val="003974B3"/>
    <w:rsid w:val="003A0948"/>
    <w:rsid w:val="003A7507"/>
    <w:rsid w:val="003B2D5D"/>
    <w:rsid w:val="003C0701"/>
    <w:rsid w:val="003C75D3"/>
    <w:rsid w:val="003D17B1"/>
    <w:rsid w:val="003D3E9E"/>
    <w:rsid w:val="003D4BB7"/>
    <w:rsid w:val="003F66B8"/>
    <w:rsid w:val="003F735F"/>
    <w:rsid w:val="003F7B78"/>
    <w:rsid w:val="004078AC"/>
    <w:rsid w:val="0043036C"/>
    <w:rsid w:val="004349EC"/>
    <w:rsid w:val="00453216"/>
    <w:rsid w:val="004549B0"/>
    <w:rsid w:val="0045793D"/>
    <w:rsid w:val="004641FA"/>
    <w:rsid w:val="004820AD"/>
    <w:rsid w:val="00484BDE"/>
    <w:rsid w:val="0048644C"/>
    <w:rsid w:val="00491714"/>
    <w:rsid w:val="00492BF8"/>
    <w:rsid w:val="004A32F2"/>
    <w:rsid w:val="004A6DB8"/>
    <w:rsid w:val="004B0D49"/>
    <w:rsid w:val="004B2EC9"/>
    <w:rsid w:val="004C13CF"/>
    <w:rsid w:val="004D7099"/>
    <w:rsid w:val="004E48A3"/>
    <w:rsid w:val="004F08C0"/>
    <w:rsid w:val="00503C6C"/>
    <w:rsid w:val="00507F8D"/>
    <w:rsid w:val="00521CD3"/>
    <w:rsid w:val="00521CFC"/>
    <w:rsid w:val="005245AE"/>
    <w:rsid w:val="00526EE1"/>
    <w:rsid w:val="00530204"/>
    <w:rsid w:val="00531C20"/>
    <w:rsid w:val="00536E9B"/>
    <w:rsid w:val="00541AF7"/>
    <w:rsid w:val="0056268A"/>
    <w:rsid w:val="00564655"/>
    <w:rsid w:val="00564CCF"/>
    <w:rsid w:val="005670EA"/>
    <w:rsid w:val="005826F5"/>
    <w:rsid w:val="0058417F"/>
    <w:rsid w:val="005902C2"/>
    <w:rsid w:val="005B111C"/>
    <w:rsid w:val="005C5C3A"/>
    <w:rsid w:val="005C64B9"/>
    <w:rsid w:val="005D44CB"/>
    <w:rsid w:val="005D789D"/>
    <w:rsid w:val="005E7D1E"/>
    <w:rsid w:val="005F7928"/>
    <w:rsid w:val="00603BA3"/>
    <w:rsid w:val="00613A02"/>
    <w:rsid w:val="00616704"/>
    <w:rsid w:val="0063046A"/>
    <w:rsid w:val="00631149"/>
    <w:rsid w:val="006351D7"/>
    <w:rsid w:val="00635302"/>
    <w:rsid w:val="00640B0F"/>
    <w:rsid w:val="00651442"/>
    <w:rsid w:val="00651CD1"/>
    <w:rsid w:val="00656DBB"/>
    <w:rsid w:val="00663BFF"/>
    <w:rsid w:val="00680BD0"/>
    <w:rsid w:val="00680DB2"/>
    <w:rsid w:val="006822DD"/>
    <w:rsid w:val="00685875"/>
    <w:rsid w:val="006933EB"/>
    <w:rsid w:val="006A0101"/>
    <w:rsid w:val="006A12D0"/>
    <w:rsid w:val="006A3BF2"/>
    <w:rsid w:val="006B2262"/>
    <w:rsid w:val="006C5DB6"/>
    <w:rsid w:val="006D5151"/>
    <w:rsid w:val="006F34C5"/>
    <w:rsid w:val="00710C6F"/>
    <w:rsid w:val="007217C9"/>
    <w:rsid w:val="00724A75"/>
    <w:rsid w:val="0073005E"/>
    <w:rsid w:val="007306B1"/>
    <w:rsid w:val="007352A6"/>
    <w:rsid w:val="007430BE"/>
    <w:rsid w:val="00744522"/>
    <w:rsid w:val="00780B65"/>
    <w:rsid w:val="00792531"/>
    <w:rsid w:val="00796D46"/>
    <w:rsid w:val="007972CD"/>
    <w:rsid w:val="007A0D32"/>
    <w:rsid w:val="007A15CD"/>
    <w:rsid w:val="007A745D"/>
    <w:rsid w:val="007B11B1"/>
    <w:rsid w:val="007B3EC8"/>
    <w:rsid w:val="007B4718"/>
    <w:rsid w:val="007C16C2"/>
    <w:rsid w:val="007D2EB6"/>
    <w:rsid w:val="007E1D5F"/>
    <w:rsid w:val="007E3A84"/>
    <w:rsid w:val="007E4F92"/>
    <w:rsid w:val="00801A0E"/>
    <w:rsid w:val="00802D61"/>
    <w:rsid w:val="008060C8"/>
    <w:rsid w:val="00817478"/>
    <w:rsid w:val="00830503"/>
    <w:rsid w:val="00844C1B"/>
    <w:rsid w:val="00867CD6"/>
    <w:rsid w:val="00871947"/>
    <w:rsid w:val="00874DD8"/>
    <w:rsid w:val="00882A1D"/>
    <w:rsid w:val="008A322F"/>
    <w:rsid w:val="008A38F5"/>
    <w:rsid w:val="008A3A37"/>
    <w:rsid w:val="008B2BE2"/>
    <w:rsid w:val="008B5A0D"/>
    <w:rsid w:val="008C7C95"/>
    <w:rsid w:val="008C7FA0"/>
    <w:rsid w:val="008D1720"/>
    <w:rsid w:val="008D18AB"/>
    <w:rsid w:val="008E21AB"/>
    <w:rsid w:val="008F23B2"/>
    <w:rsid w:val="008F6D92"/>
    <w:rsid w:val="0091430F"/>
    <w:rsid w:val="00947837"/>
    <w:rsid w:val="009530CC"/>
    <w:rsid w:val="009534BF"/>
    <w:rsid w:val="00961660"/>
    <w:rsid w:val="00964B6C"/>
    <w:rsid w:val="00965776"/>
    <w:rsid w:val="00981FD5"/>
    <w:rsid w:val="00982B58"/>
    <w:rsid w:val="00986854"/>
    <w:rsid w:val="0099199E"/>
    <w:rsid w:val="00993885"/>
    <w:rsid w:val="00997801"/>
    <w:rsid w:val="009A34D1"/>
    <w:rsid w:val="009B3716"/>
    <w:rsid w:val="009B57B8"/>
    <w:rsid w:val="009D606F"/>
    <w:rsid w:val="009E6411"/>
    <w:rsid w:val="009E6D96"/>
    <w:rsid w:val="00A01DE7"/>
    <w:rsid w:val="00A03F14"/>
    <w:rsid w:val="00A10BBE"/>
    <w:rsid w:val="00A12484"/>
    <w:rsid w:val="00A14DDD"/>
    <w:rsid w:val="00A23A4C"/>
    <w:rsid w:val="00A23CB6"/>
    <w:rsid w:val="00A30E50"/>
    <w:rsid w:val="00A5168C"/>
    <w:rsid w:val="00A529B6"/>
    <w:rsid w:val="00A6185B"/>
    <w:rsid w:val="00A63AAA"/>
    <w:rsid w:val="00A66C91"/>
    <w:rsid w:val="00A9525E"/>
    <w:rsid w:val="00AA7E99"/>
    <w:rsid w:val="00AB7072"/>
    <w:rsid w:val="00AC0378"/>
    <w:rsid w:val="00AD071D"/>
    <w:rsid w:val="00B26833"/>
    <w:rsid w:val="00B42797"/>
    <w:rsid w:val="00B5190C"/>
    <w:rsid w:val="00B57034"/>
    <w:rsid w:val="00B60EFC"/>
    <w:rsid w:val="00B64698"/>
    <w:rsid w:val="00B64A8F"/>
    <w:rsid w:val="00B76278"/>
    <w:rsid w:val="00B958BF"/>
    <w:rsid w:val="00BA1E12"/>
    <w:rsid w:val="00BB5231"/>
    <w:rsid w:val="00BC0686"/>
    <w:rsid w:val="00BC1D89"/>
    <w:rsid w:val="00BC634E"/>
    <w:rsid w:val="00BD6981"/>
    <w:rsid w:val="00C078F9"/>
    <w:rsid w:val="00C156CC"/>
    <w:rsid w:val="00C17E92"/>
    <w:rsid w:val="00C2103B"/>
    <w:rsid w:val="00C27F16"/>
    <w:rsid w:val="00C303BA"/>
    <w:rsid w:val="00C32043"/>
    <w:rsid w:val="00C377A1"/>
    <w:rsid w:val="00C415D1"/>
    <w:rsid w:val="00C46775"/>
    <w:rsid w:val="00C606BA"/>
    <w:rsid w:val="00C64998"/>
    <w:rsid w:val="00C67A0B"/>
    <w:rsid w:val="00C70351"/>
    <w:rsid w:val="00C70F0B"/>
    <w:rsid w:val="00C70F89"/>
    <w:rsid w:val="00C74F88"/>
    <w:rsid w:val="00C76199"/>
    <w:rsid w:val="00C776F1"/>
    <w:rsid w:val="00C8377B"/>
    <w:rsid w:val="00C83873"/>
    <w:rsid w:val="00CA6E76"/>
    <w:rsid w:val="00CB371A"/>
    <w:rsid w:val="00CB3C6B"/>
    <w:rsid w:val="00CB447A"/>
    <w:rsid w:val="00CD7059"/>
    <w:rsid w:val="00CE2989"/>
    <w:rsid w:val="00CE6B89"/>
    <w:rsid w:val="00CF39BC"/>
    <w:rsid w:val="00D05CEC"/>
    <w:rsid w:val="00D07FD0"/>
    <w:rsid w:val="00D13D95"/>
    <w:rsid w:val="00D22123"/>
    <w:rsid w:val="00D262CC"/>
    <w:rsid w:val="00D3026E"/>
    <w:rsid w:val="00D320AA"/>
    <w:rsid w:val="00D349A1"/>
    <w:rsid w:val="00D61BDE"/>
    <w:rsid w:val="00D65097"/>
    <w:rsid w:val="00D703B8"/>
    <w:rsid w:val="00D741EB"/>
    <w:rsid w:val="00D81BF9"/>
    <w:rsid w:val="00D9697D"/>
    <w:rsid w:val="00DB0B44"/>
    <w:rsid w:val="00DB1BE6"/>
    <w:rsid w:val="00DB75E2"/>
    <w:rsid w:val="00DD72EA"/>
    <w:rsid w:val="00DF3685"/>
    <w:rsid w:val="00DF660B"/>
    <w:rsid w:val="00E0689B"/>
    <w:rsid w:val="00E073BB"/>
    <w:rsid w:val="00E1074E"/>
    <w:rsid w:val="00E17FD6"/>
    <w:rsid w:val="00E27131"/>
    <w:rsid w:val="00E44E97"/>
    <w:rsid w:val="00E467C8"/>
    <w:rsid w:val="00E54DB0"/>
    <w:rsid w:val="00E7039A"/>
    <w:rsid w:val="00E71BAB"/>
    <w:rsid w:val="00E7278C"/>
    <w:rsid w:val="00E74C34"/>
    <w:rsid w:val="00E8087A"/>
    <w:rsid w:val="00E8172C"/>
    <w:rsid w:val="00E83022"/>
    <w:rsid w:val="00E91F86"/>
    <w:rsid w:val="00ED1F56"/>
    <w:rsid w:val="00ED2440"/>
    <w:rsid w:val="00ED6ABC"/>
    <w:rsid w:val="00EE1E3B"/>
    <w:rsid w:val="00EE6A3F"/>
    <w:rsid w:val="00EF0E5D"/>
    <w:rsid w:val="00EF18A3"/>
    <w:rsid w:val="00F0052A"/>
    <w:rsid w:val="00F32E00"/>
    <w:rsid w:val="00F40777"/>
    <w:rsid w:val="00F505A7"/>
    <w:rsid w:val="00F66B48"/>
    <w:rsid w:val="00F7261E"/>
    <w:rsid w:val="00F80B85"/>
    <w:rsid w:val="00F8247D"/>
    <w:rsid w:val="00F85BA6"/>
    <w:rsid w:val="00FA408C"/>
    <w:rsid w:val="00FB2CDA"/>
    <w:rsid w:val="00FB2E03"/>
    <w:rsid w:val="00FC01C0"/>
    <w:rsid w:val="00FC2E28"/>
    <w:rsid w:val="00FD3F4A"/>
    <w:rsid w:val="00FE320A"/>
    <w:rsid w:val="00FF51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4:docId w14:val="108ABC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pPr>
      <w:keepNext/>
      <w:numPr>
        <w:numId w:val="22"/>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qFormat/>
    <w:pPr>
      <w:keepNext/>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pPr>
      <w:keepNext/>
      <w:numPr>
        <w:ilvl w:val="2"/>
        <w:numId w:val="22"/>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qFormat/>
    <w:pPr>
      <w:keepNext/>
      <w:numPr>
        <w:ilvl w:val="3"/>
        <w:numId w:val="22"/>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rsid w:val="00040FD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styleId="FootnoteText">
    <w:name w:val="footnote text"/>
    <w:aliases w:val="Footnote text,Char,Char1,Char1 Char,Char2,Char3,Char11,Char1 Char2,Char21,Char4,Char12,Char1 Char3,Char22,Char5,Char13,Char1 Char4,Char23,Char6,Char14,Char1 Char5,Char24,Char7,Char15,Char1 Char6,Char25,Char8,fn,ft, Char, Char1, Char1 Char"/>
    <w:basedOn w:val="Normal"/>
    <w:link w:val="FootnoteTextChar"/>
    <w:uiPriority w:val="99"/>
    <w:qFormat/>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ootnote text Char,Char Char,Char1 Char1,Char1 Char Char,Char2 Char,Char3 Char,Char11 Char,Char1 Char2 Char,Char21 Char,Char4 Char,Char12 Char,Char1 Char3 Char,Char22 Char,Char5 Char,Char13 Char,Char1 Char4 Char,Char23 Char,Char6 Char"/>
    <w:basedOn w:val="DefaultParagraphFont"/>
    <w:link w:val="FootnoteText"/>
    <w:uiPriority w:val="99"/>
    <w:qFormat/>
    <w:rPr>
      <w:rFonts w:ascii="Times New Roman" w:eastAsia="Times New Roman" w:hAnsi="Times New Roman" w:cs="Times New Roman"/>
      <w:sz w:val="20"/>
      <w:szCs w:val="20"/>
    </w:rPr>
  </w:style>
  <w:style w:type="character" w:styleId="FootnoteReference">
    <w:name w:val="footnote reference"/>
    <w:aliases w:val="stylish,Appel note de bas de page,16 Point,Superscript 6 Point,Ref,de nota al pie,Footnote Reference Superscript,Footnote symbol,Footnote Reference Number,E FNZ,-E Fußnotenzeichen,Footnote#,Footnote,Times 10 Point,Exposant 3 Point,fr"/>
    <w:link w:val="CharCharChar"/>
    <w:uiPriority w:val="99"/>
    <w:qFormat/>
    <w:rPr>
      <w:shd w:val="clear" w:color="auto" w:fill="auto"/>
      <w:vertAlign w:val="superscript"/>
    </w:rPr>
  </w:style>
  <w:style w:type="paragraph" w:styleId="ListParagraph">
    <w:name w:val="List Paragraph"/>
    <w:aliases w:val="Listaszerű bekezdés1,List Paragraph à moi,Colorful List - Accent 11,Medium Grid 1 - Accent 21,Listaszeru bekezdés1,Colorful List - Accent 111,Dot pt,F5 List Paragraph,List Paragraph1,No Spacing1,List Paragraph Char Char Char,Bullets,lp1,L"/>
    <w:basedOn w:val="Normal"/>
    <w:link w:val="ListParagraphChar"/>
    <w:uiPriority w:val="34"/>
    <w:qFormat/>
    <w:pPr>
      <w:spacing w:after="0" w:line="240" w:lineRule="auto"/>
      <w:ind w:left="720"/>
    </w:pPr>
    <w:rPr>
      <w:rFonts w:ascii="Calibri" w:eastAsia="Times New Roman" w:hAnsi="Calibri" w:cs="Times New Roman"/>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Bullet5">
    <w:name w:val="List Bullet 5"/>
    <w:basedOn w:val="Normal"/>
    <w:autoRedefine/>
    <w:pPr>
      <w:numPr>
        <w:numId w:val="11"/>
      </w:numPr>
      <w:spacing w:after="240" w:line="240" w:lineRule="auto"/>
      <w:jc w:val="both"/>
    </w:pPr>
    <w:rPr>
      <w:rFonts w:ascii="Times New Roman" w:eastAsia="Times New Roman" w:hAnsi="Times New Roman" w:cs="Times New Roman"/>
      <w:sz w:val="24"/>
      <w:szCs w:val="20"/>
    </w:r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acopre">
    <w:name w:val="acopre"/>
    <w:basedOn w:val="DefaultParagraphFont"/>
  </w:style>
  <w:style w:type="paragraph" w:customStyle="1" w:styleId="Normal1">
    <w:name w:val="Normal1"/>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rmal2">
    <w:name w:val="Normal2"/>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customStyle="1" w:styleId="Mention1">
    <w:name w:val="Mention1"/>
    <w:basedOn w:val="DefaultParagraphFont"/>
    <w:uiPriority w:val="99"/>
    <w:unhideWhenUsed/>
    <w:rPr>
      <w:color w:val="2B579A"/>
      <w:shd w:val="clear" w:color="auto" w:fill="E6E6E6"/>
    </w:rPr>
  </w:style>
  <w:style w:type="character" w:customStyle="1" w:styleId="normaltextrun">
    <w:name w:val="normaltextrun"/>
    <w:basedOn w:val="DefaultParagraphFont"/>
  </w:style>
  <w:style w:type="paragraph" w:styleId="ListBullet">
    <w:name w:val="List Bullet"/>
    <w:basedOn w:val="Normal"/>
    <w:uiPriority w:val="99"/>
    <w:semiHidden/>
    <w:unhideWhenUsed/>
    <w:pPr>
      <w:numPr>
        <w:numId w:val="29"/>
      </w:numPr>
      <w:contextualSpacing/>
    </w:pPr>
  </w:style>
  <w:style w:type="character" w:customStyle="1" w:styleId="markedcontent">
    <w:name w:val="markedcontent"/>
    <w:basedOn w:val="DefaultParagraphFont"/>
  </w:style>
  <w:style w:type="character" w:customStyle="1" w:styleId="st">
    <w:name w:val="st"/>
    <w:basedOn w:val="DefaultParagraphFont"/>
  </w:style>
  <w:style w:type="character" w:customStyle="1" w:styleId="ListParagraphChar">
    <w:name w:val="List Paragraph Char"/>
    <w:aliases w:val="Listaszerű bekezdés1 Char,List Paragraph à moi Char,Colorful List - Accent 11 Char,Medium Grid 1 - Accent 21 Char,Listaszeru bekezdés1 Char,Colorful List - Accent 111 Char,Dot pt Char,F5 List Paragraph Char,List Paragraph1 Char"/>
    <w:basedOn w:val="DefaultParagraphFont"/>
    <w:link w:val="ListParagraph"/>
    <w:uiPriority w:val="34"/>
    <w:locked/>
    <w:rPr>
      <w:rFonts w:ascii="Calibri" w:eastAsia="Times New Roman" w:hAnsi="Calibri" w:cs="Times New Roman"/>
    </w:rPr>
  </w:style>
  <w:style w:type="paragraph" w:customStyle="1" w:styleId="CharCharChar">
    <w:name w:val="Char Char Char"/>
    <w:basedOn w:val="Normal"/>
    <w:link w:val="FootnoteReference"/>
    <w:uiPriority w:val="99"/>
    <w:pPr>
      <w:spacing w:after="160" w:line="240" w:lineRule="exact"/>
    </w:pPr>
    <w:rPr>
      <w:vertAlign w:val="superscript"/>
    </w:rPr>
  </w:style>
  <w:style w:type="paragraph" w:styleId="Caption">
    <w:name w:val="caption"/>
    <w:basedOn w:val="Normal"/>
    <w:next w:val="Normal"/>
    <w:qFormat/>
    <w:pPr>
      <w:widowControl w:val="0"/>
      <w:spacing w:before="120" w:after="120" w:line="240" w:lineRule="auto"/>
      <w:jc w:val="center"/>
    </w:pPr>
    <w:rPr>
      <w:rFonts w:ascii="Verdana" w:eastAsia="Times New Roman" w:hAnsi="Verdana" w:cs="Times New Roman"/>
      <w:b/>
      <w:sz w:val="20"/>
      <w:szCs w:val="20"/>
    </w:rPr>
  </w:style>
  <w:style w:type="character" w:styleId="Emphasis">
    <w:name w:val="Emphasis"/>
    <w:basedOn w:val="DefaultParagraphFont"/>
    <w:uiPriority w:val="20"/>
    <w:qFormat/>
    <w:rPr>
      <w:i/>
      <w:iCs/>
    </w:rPr>
  </w:style>
  <w:style w:type="paragraph" w:customStyle="1" w:styleId="Text1">
    <w:name w:val="Text 1"/>
    <w:basedOn w:val="Normal"/>
    <w:uiPriority w:val="1"/>
    <w:pPr>
      <w:spacing w:after="240" w:line="240" w:lineRule="auto"/>
      <w:ind w:left="482"/>
      <w:jc w:val="both"/>
    </w:pPr>
    <w:rPr>
      <w:rFonts w:ascii="Times New Roman" w:hAnsi="Times New Roman" w:cs="Times New Roman"/>
      <w:sz w:val="24"/>
      <w:szCs w:val="24"/>
      <w:lang w:eastAsia="en-GB"/>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Text2">
    <w:name w:val="Text 2"/>
    <w:basedOn w:val="Normal"/>
    <w:pPr>
      <w:tabs>
        <w:tab w:val="left" w:pos="2302"/>
      </w:tabs>
      <w:spacing w:after="240" w:line="240" w:lineRule="auto"/>
      <w:ind w:left="1202"/>
      <w:jc w:val="both"/>
    </w:pPr>
    <w:rPr>
      <w:rFonts w:ascii="Times New Roman" w:eastAsia="Times New Roman" w:hAnsi="Times New Roman" w:cs="Times New Roman"/>
      <w:sz w:val="24"/>
      <w:szCs w:val="20"/>
    </w:rPr>
  </w:style>
  <w:style w:type="character" w:customStyle="1" w:styleId="UnresolvedMention1">
    <w:name w:val="Unresolved Mention1"/>
    <w:basedOn w:val="DefaultParagraphFont"/>
    <w:uiPriority w:val="99"/>
    <w:semiHidden/>
    <w:unhideWhenUsed/>
    <w:rsid w:val="004D7099"/>
    <w:rPr>
      <w:color w:val="605E5C"/>
      <w:shd w:val="clear" w:color="auto" w:fill="E1DFDD"/>
    </w:rPr>
  </w:style>
  <w:style w:type="character" w:customStyle="1" w:styleId="UnresolvedMention2">
    <w:name w:val="Unresolved Mention2"/>
    <w:basedOn w:val="DefaultParagraphFont"/>
    <w:uiPriority w:val="99"/>
    <w:semiHidden/>
    <w:unhideWhenUsed/>
    <w:rsid w:val="00260B16"/>
    <w:rPr>
      <w:color w:val="605E5C"/>
      <w:shd w:val="clear" w:color="auto" w:fill="E1DFDD"/>
    </w:rPr>
  </w:style>
  <w:style w:type="table" w:styleId="TableGrid">
    <w:name w:val="Table Grid"/>
    <w:basedOn w:val="TableNormal"/>
    <w:uiPriority w:val="39"/>
    <w:rsid w:val="0034228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rsid w:val="00040FD7"/>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040FD7"/>
    <w:pPr>
      <w:spacing w:after="0"/>
      <w:ind w:left="5103"/>
    </w:pPr>
    <w:rPr>
      <w:rFonts w:ascii="Times New Roman" w:hAnsi="Times New Roman" w:cs="Times New Roman"/>
      <w:sz w:val="28"/>
    </w:rPr>
  </w:style>
  <w:style w:type="paragraph" w:customStyle="1" w:styleId="DateMarking">
    <w:name w:val="DateMarking"/>
    <w:basedOn w:val="Normal"/>
    <w:rsid w:val="00040FD7"/>
    <w:pPr>
      <w:spacing w:after="0"/>
      <w:ind w:left="5103"/>
    </w:pPr>
    <w:rPr>
      <w:rFonts w:ascii="Times New Roman" w:hAnsi="Times New Roman" w:cs="Times New Roman"/>
      <w:i/>
      <w:sz w:val="28"/>
    </w:rPr>
  </w:style>
  <w:style w:type="paragraph" w:customStyle="1" w:styleId="ReleasableTo">
    <w:name w:val="ReleasableTo"/>
    <w:basedOn w:val="Normal"/>
    <w:rsid w:val="00040FD7"/>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3383">
      <w:bodyDiv w:val="1"/>
      <w:marLeft w:val="0"/>
      <w:marRight w:val="0"/>
      <w:marTop w:val="0"/>
      <w:marBottom w:val="0"/>
      <w:divBdr>
        <w:top w:val="none" w:sz="0" w:space="0" w:color="auto"/>
        <w:left w:val="none" w:sz="0" w:space="0" w:color="auto"/>
        <w:bottom w:val="none" w:sz="0" w:space="0" w:color="auto"/>
        <w:right w:val="none" w:sz="0" w:space="0" w:color="auto"/>
      </w:divBdr>
    </w:div>
    <w:div w:id="122579248">
      <w:bodyDiv w:val="1"/>
      <w:marLeft w:val="0"/>
      <w:marRight w:val="0"/>
      <w:marTop w:val="0"/>
      <w:marBottom w:val="0"/>
      <w:divBdr>
        <w:top w:val="none" w:sz="0" w:space="0" w:color="auto"/>
        <w:left w:val="none" w:sz="0" w:space="0" w:color="auto"/>
        <w:bottom w:val="none" w:sz="0" w:space="0" w:color="auto"/>
        <w:right w:val="none" w:sz="0" w:space="0" w:color="auto"/>
      </w:divBdr>
    </w:div>
    <w:div w:id="251666390">
      <w:bodyDiv w:val="1"/>
      <w:marLeft w:val="0"/>
      <w:marRight w:val="0"/>
      <w:marTop w:val="0"/>
      <w:marBottom w:val="0"/>
      <w:divBdr>
        <w:top w:val="none" w:sz="0" w:space="0" w:color="auto"/>
        <w:left w:val="none" w:sz="0" w:space="0" w:color="auto"/>
        <w:bottom w:val="none" w:sz="0" w:space="0" w:color="auto"/>
        <w:right w:val="none" w:sz="0" w:space="0" w:color="auto"/>
      </w:divBdr>
    </w:div>
    <w:div w:id="261303843">
      <w:bodyDiv w:val="1"/>
      <w:marLeft w:val="0"/>
      <w:marRight w:val="0"/>
      <w:marTop w:val="0"/>
      <w:marBottom w:val="0"/>
      <w:divBdr>
        <w:top w:val="none" w:sz="0" w:space="0" w:color="auto"/>
        <w:left w:val="none" w:sz="0" w:space="0" w:color="auto"/>
        <w:bottom w:val="none" w:sz="0" w:space="0" w:color="auto"/>
        <w:right w:val="none" w:sz="0" w:space="0" w:color="auto"/>
      </w:divBdr>
    </w:div>
    <w:div w:id="270556874">
      <w:bodyDiv w:val="1"/>
      <w:marLeft w:val="0"/>
      <w:marRight w:val="0"/>
      <w:marTop w:val="0"/>
      <w:marBottom w:val="0"/>
      <w:divBdr>
        <w:top w:val="none" w:sz="0" w:space="0" w:color="auto"/>
        <w:left w:val="none" w:sz="0" w:space="0" w:color="auto"/>
        <w:bottom w:val="none" w:sz="0" w:space="0" w:color="auto"/>
        <w:right w:val="none" w:sz="0" w:space="0" w:color="auto"/>
      </w:divBdr>
    </w:div>
    <w:div w:id="322203173">
      <w:bodyDiv w:val="1"/>
      <w:marLeft w:val="0"/>
      <w:marRight w:val="0"/>
      <w:marTop w:val="0"/>
      <w:marBottom w:val="0"/>
      <w:divBdr>
        <w:top w:val="none" w:sz="0" w:space="0" w:color="auto"/>
        <w:left w:val="none" w:sz="0" w:space="0" w:color="auto"/>
        <w:bottom w:val="none" w:sz="0" w:space="0" w:color="auto"/>
        <w:right w:val="none" w:sz="0" w:space="0" w:color="auto"/>
      </w:divBdr>
    </w:div>
    <w:div w:id="323776394">
      <w:bodyDiv w:val="1"/>
      <w:marLeft w:val="0"/>
      <w:marRight w:val="0"/>
      <w:marTop w:val="0"/>
      <w:marBottom w:val="0"/>
      <w:divBdr>
        <w:top w:val="none" w:sz="0" w:space="0" w:color="auto"/>
        <w:left w:val="none" w:sz="0" w:space="0" w:color="auto"/>
        <w:bottom w:val="none" w:sz="0" w:space="0" w:color="auto"/>
        <w:right w:val="none" w:sz="0" w:space="0" w:color="auto"/>
      </w:divBdr>
    </w:div>
    <w:div w:id="451871096">
      <w:bodyDiv w:val="1"/>
      <w:marLeft w:val="0"/>
      <w:marRight w:val="0"/>
      <w:marTop w:val="0"/>
      <w:marBottom w:val="0"/>
      <w:divBdr>
        <w:top w:val="none" w:sz="0" w:space="0" w:color="auto"/>
        <w:left w:val="none" w:sz="0" w:space="0" w:color="auto"/>
        <w:bottom w:val="none" w:sz="0" w:space="0" w:color="auto"/>
        <w:right w:val="none" w:sz="0" w:space="0" w:color="auto"/>
      </w:divBdr>
    </w:div>
    <w:div w:id="477184491">
      <w:bodyDiv w:val="1"/>
      <w:marLeft w:val="0"/>
      <w:marRight w:val="0"/>
      <w:marTop w:val="0"/>
      <w:marBottom w:val="0"/>
      <w:divBdr>
        <w:top w:val="none" w:sz="0" w:space="0" w:color="auto"/>
        <w:left w:val="none" w:sz="0" w:space="0" w:color="auto"/>
        <w:bottom w:val="none" w:sz="0" w:space="0" w:color="auto"/>
        <w:right w:val="none" w:sz="0" w:space="0" w:color="auto"/>
      </w:divBdr>
    </w:div>
    <w:div w:id="616060094">
      <w:bodyDiv w:val="1"/>
      <w:marLeft w:val="0"/>
      <w:marRight w:val="0"/>
      <w:marTop w:val="0"/>
      <w:marBottom w:val="0"/>
      <w:divBdr>
        <w:top w:val="none" w:sz="0" w:space="0" w:color="auto"/>
        <w:left w:val="none" w:sz="0" w:space="0" w:color="auto"/>
        <w:bottom w:val="none" w:sz="0" w:space="0" w:color="auto"/>
        <w:right w:val="none" w:sz="0" w:space="0" w:color="auto"/>
      </w:divBdr>
    </w:div>
    <w:div w:id="883060483">
      <w:bodyDiv w:val="1"/>
      <w:marLeft w:val="0"/>
      <w:marRight w:val="0"/>
      <w:marTop w:val="0"/>
      <w:marBottom w:val="0"/>
      <w:divBdr>
        <w:top w:val="none" w:sz="0" w:space="0" w:color="auto"/>
        <w:left w:val="none" w:sz="0" w:space="0" w:color="auto"/>
        <w:bottom w:val="none" w:sz="0" w:space="0" w:color="auto"/>
        <w:right w:val="none" w:sz="0" w:space="0" w:color="auto"/>
      </w:divBdr>
    </w:div>
    <w:div w:id="904952954">
      <w:bodyDiv w:val="1"/>
      <w:marLeft w:val="0"/>
      <w:marRight w:val="0"/>
      <w:marTop w:val="0"/>
      <w:marBottom w:val="0"/>
      <w:divBdr>
        <w:top w:val="none" w:sz="0" w:space="0" w:color="auto"/>
        <w:left w:val="none" w:sz="0" w:space="0" w:color="auto"/>
        <w:bottom w:val="none" w:sz="0" w:space="0" w:color="auto"/>
        <w:right w:val="none" w:sz="0" w:space="0" w:color="auto"/>
      </w:divBdr>
    </w:div>
    <w:div w:id="992413310">
      <w:bodyDiv w:val="1"/>
      <w:marLeft w:val="0"/>
      <w:marRight w:val="0"/>
      <w:marTop w:val="0"/>
      <w:marBottom w:val="0"/>
      <w:divBdr>
        <w:top w:val="none" w:sz="0" w:space="0" w:color="auto"/>
        <w:left w:val="none" w:sz="0" w:space="0" w:color="auto"/>
        <w:bottom w:val="none" w:sz="0" w:space="0" w:color="auto"/>
        <w:right w:val="none" w:sz="0" w:space="0" w:color="auto"/>
      </w:divBdr>
    </w:div>
    <w:div w:id="1017847862">
      <w:bodyDiv w:val="1"/>
      <w:marLeft w:val="0"/>
      <w:marRight w:val="0"/>
      <w:marTop w:val="0"/>
      <w:marBottom w:val="0"/>
      <w:divBdr>
        <w:top w:val="none" w:sz="0" w:space="0" w:color="auto"/>
        <w:left w:val="none" w:sz="0" w:space="0" w:color="auto"/>
        <w:bottom w:val="none" w:sz="0" w:space="0" w:color="auto"/>
        <w:right w:val="none" w:sz="0" w:space="0" w:color="auto"/>
      </w:divBdr>
    </w:div>
    <w:div w:id="1057974876">
      <w:bodyDiv w:val="1"/>
      <w:marLeft w:val="0"/>
      <w:marRight w:val="0"/>
      <w:marTop w:val="0"/>
      <w:marBottom w:val="0"/>
      <w:divBdr>
        <w:top w:val="none" w:sz="0" w:space="0" w:color="auto"/>
        <w:left w:val="none" w:sz="0" w:space="0" w:color="auto"/>
        <w:bottom w:val="none" w:sz="0" w:space="0" w:color="auto"/>
        <w:right w:val="none" w:sz="0" w:space="0" w:color="auto"/>
      </w:divBdr>
    </w:div>
    <w:div w:id="1103763751">
      <w:bodyDiv w:val="1"/>
      <w:marLeft w:val="0"/>
      <w:marRight w:val="0"/>
      <w:marTop w:val="0"/>
      <w:marBottom w:val="0"/>
      <w:divBdr>
        <w:top w:val="none" w:sz="0" w:space="0" w:color="auto"/>
        <w:left w:val="none" w:sz="0" w:space="0" w:color="auto"/>
        <w:bottom w:val="none" w:sz="0" w:space="0" w:color="auto"/>
        <w:right w:val="none" w:sz="0" w:space="0" w:color="auto"/>
      </w:divBdr>
    </w:div>
    <w:div w:id="1125074455">
      <w:bodyDiv w:val="1"/>
      <w:marLeft w:val="0"/>
      <w:marRight w:val="0"/>
      <w:marTop w:val="0"/>
      <w:marBottom w:val="0"/>
      <w:divBdr>
        <w:top w:val="none" w:sz="0" w:space="0" w:color="auto"/>
        <w:left w:val="none" w:sz="0" w:space="0" w:color="auto"/>
        <w:bottom w:val="none" w:sz="0" w:space="0" w:color="auto"/>
        <w:right w:val="none" w:sz="0" w:space="0" w:color="auto"/>
      </w:divBdr>
    </w:div>
    <w:div w:id="1197081627">
      <w:bodyDiv w:val="1"/>
      <w:marLeft w:val="0"/>
      <w:marRight w:val="0"/>
      <w:marTop w:val="0"/>
      <w:marBottom w:val="0"/>
      <w:divBdr>
        <w:top w:val="none" w:sz="0" w:space="0" w:color="auto"/>
        <w:left w:val="none" w:sz="0" w:space="0" w:color="auto"/>
        <w:bottom w:val="none" w:sz="0" w:space="0" w:color="auto"/>
        <w:right w:val="none" w:sz="0" w:space="0" w:color="auto"/>
      </w:divBdr>
    </w:div>
    <w:div w:id="1283925164">
      <w:bodyDiv w:val="1"/>
      <w:marLeft w:val="0"/>
      <w:marRight w:val="0"/>
      <w:marTop w:val="0"/>
      <w:marBottom w:val="0"/>
      <w:divBdr>
        <w:top w:val="none" w:sz="0" w:space="0" w:color="auto"/>
        <w:left w:val="none" w:sz="0" w:space="0" w:color="auto"/>
        <w:bottom w:val="none" w:sz="0" w:space="0" w:color="auto"/>
        <w:right w:val="none" w:sz="0" w:space="0" w:color="auto"/>
      </w:divBdr>
    </w:div>
    <w:div w:id="1313369724">
      <w:bodyDiv w:val="1"/>
      <w:marLeft w:val="0"/>
      <w:marRight w:val="0"/>
      <w:marTop w:val="0"/>
      <w:marBottom w:val="0"/>
      <w:divBdr>
        <w:top w:val="none" w:sz="0" w:space="0" w:color="auto"/>
        <w:left w:val="none" w:sz="0" w:space="0" w:color="auto"/>
        <w:bottom w:val="none" w:sz="0" w:space="0" w:color="auto"/>
        <w:right w:val="none" w:sz="0" w:space="0" w:color="auto"/>
      </w:divBdr>
    </w:div>
    <w:div w:id="1528906502">
      <w:bodyDiv w:val="1"/>
      <w:marLeft w:val="0"/>
      <w:marRight w:val="0"/>
      <w:marTop w:val="0"/>
      <w:marBottom w:val="0"/>
      <w:divBdr>
        <w:top w:val="none" w:sz="0" w:space="0" w:color="auto"/>
        <w:left w:val="none" w:sz="0" w:space="0" w:color="auto"/>
        <w:bottom w:val="none" w:sz="0" w:space="0" w:color="auto"/>
        <w:right w:val="none" w:sz="0" w:space="0" w:color="auto"/>
      </w:divBdr>
    </w:div>
    <w:div w:id="1548838931">
      <w:bodyDiv w:val="1"/>
      <w:marLeft w:val="0"/>
      <w:marRight w:val="0"/>
      <w:marTop w:val="0"/>
      <w:marBottom w:val="0"/>
      <w:divBdr>
        <w:top w:val="none" w:sz="0" w:space="0" w:color="auto"/>
        <w:left w:val="none" w:sz="0" w:space="0" w:color="auto"/>
        <w:bottom w:val="none" w:sz="0" w:space="0" w:color="auto"/>
        <w:right w:val="none" w:sz="0" w:space="0" w:color="auto"/>
      </w:divBdr>
    </w:div>
    <w:div w:id="1565796316">
      <w:bodyDiv w:val="1"/>
      <w:marLeft w:val="0"/>
      <w:marRight w:val="0"/>
      <w:marTop w:val="0"/>
      <w:marBottom w:val="0"/>
      <w:divBdr>
        <w:top w:val="none" w:sz="0" w:space="0" w:color="auto"/>
        <w:left w:val="none" w:sz="0" w:space="0" w:color="auto"/>
        <w:bottom w:val="none" w:sz="0" w:space="0" w:color="auto"/>
        <w:right w:val="none" w:sz="0" w:space="0" w:color="auto"/>
      </w:divBdr>
    </w:div>
    <w:div w:id="1779791607">
      <w:bodyDiv w:val="1"/>
      <w:marLeft w:val="0"/>
      <w:marRight w:val="0"/>
      <w:marTop w:val="0"/>
      <w:marBottom w:val="0"/>
      <w:divBdr>
        <w:top w:val="none" w:sz="0" w:space="0" w:color="auto"/>
        <w:left w:val="none" w:sz="0" w:space="0" w:color="auto"/>
        <w:bottom w:val="none" w:sz="0" w:space="0" w:color="auto"/>
        <w:right w:val="none" w:sz="0" w:space="0" w:color="auto"/>
      </w:divBdr>
    </w:div>
    <w:div w:id="1864635533">
      <w:bodyDiv w:val="1"/>
      <w:marLeft w:val="0"/>
      <w:marRight w:val="0"/>
      <w:marTop w:val="0"/>
      <w:marBottom w:val="0"/>
      <w:divBdr>
        <w:top w:val="none" w:sz="0" w:space="0" w:color="auto"/>
        <w:left w:val="none" w:sz="0" w:space="0" w:color="auto"/>
        <w:bottom w:val="none" w:sz="0" w:space="0" w:color="auto"/>
        <w:right w:val="none" w:sz="0" w:space="0" w:color="auto"/>
      </w:divBdr>
    </w:div>
    <w:div w:id="1915387771">
      <w:bodyDiv w:val="1"/>
      <w:marLeft w:val="0"/>
      <w:marRight w:val="0"/>
      <w:marTop w:val="0"/>
      <w:marBottom w:val="0"/>
      <w:divBdr>
        <w:top w:val="none" w:sz="0" w:space="0" w:color="auto"/>
        <w:left w:val="none" w:sz="0" w:space="0" w:color="auto"/>
        <w:bottom w:val="none" w:sz="0" w:space="0" w:color="auto"/>
        <w:right w:val="none" w:sz="0" w:space="0" w:color="auto"/>
      </w:divBdr>
    </w:div>
    <w:div w:id="1917784057">
      <w:bodyDiv w:val="1"/>
      <w:marLeft w:val="0"/>
      <w:marRight w:val="0"/>
      <w:marTop w:val="0"/>
      <w:marBottom w:val="0"/>
      <w:divBdr>
        <w:top w:val="none" w:sz="0" w:space="0" w:color="auto"/>
        <w:left w:val="none" w:sz="0" w:space="0" w:color="auto"/>
        <w:bottom w:val="none" w:sz="0" w:space="0" w:color="auto"/>
        <w:right w:val="none" w:sz="0" w:space="0" w:color="auto"/>
      </w:divBdr>
    </w:div>
    <w:div w:id="1932081391">
      <w:bodyDiv w:val="1"/>
      <w:marLeft w:val="0"/>
      <w:marRight w:val="0"/>
      <w:marTop w:val="0"/>
      <w:marBottom w:val="0"/>
      <w:divBdr>
        <w:top w:val="none" w:sz="0" w:space="0" w:color="auto"/>
        <w:left w:val="none" w:sz="0" w:space="0" w:color="auto"/>
        <w:bottom w:val="none" w:sz="0" w:space="0" w:color="auto"/>
        <w:right w:val="none" w:sz="0" w:space="0" w:color="auto"/>
      </w:divBdr>
    </w:div>
    <w:div w:id="2052681612">
      <w:bodyDiv w:val="1"/>
      <w:marLeft w:val="0"/>
      <w:marRight w:val="0"/>
      <w:marTop w:val="0"/>
      <w:marBottom w:val="0"/>
      <w:divBdr>
        <w:top w:val="none" w:sz="0" w:space="0" w:color="auto"/>
        <w:left w:val="none" w:sz="0" w:space="0" w:color="auto"/>
        <w:bottom w:val="none" w:sz="0" w:space="0" w:color="auto"/>
        <w:right w:val="none" w:sz="0" w:space="0" w:color="auto"/>
      </w:divBdr>
    </w:div>
    <w:div w:id="2083676498">
      <w:bodyDiv w:val="1"/>
      <w:marLeft w:val="0"/>
      <w:marRight w:val="0"/>
      <w:marTop w:val="0"/>
      <w:marBottom w:val="0"/>
      <w:divBdr>
        <w:top w:val="none" w:sz="0" w:space="0" w:color="auto"/>
        <w:left w:val="none" w:sz="0" w:space="0" w:color="auto"/>
        <w:bottom w:val="none" w:sz="0" w:space="0" w:color="auto"/>
        <w:right w:val="none" w:sz="0" w:space="0" w:color="auto"/>
      </w:divBdr>
    </w:div>
    <w:div w:id="209381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strategy-and-policy/relations-non-eu-countries/relations-united-kingdom/eu-uk-trade-and-cooperation-agreement/meetings-eu-uk-partnership-council-and-specialised-committees-under-trade-and-cooperation-agreement/specialised-committee-fisheries_en" TargetMode="External"/><Relationship Id="rId7" Type="http://schemas.openxmlformats.org/officeDocument/2006/relationships/hyperlink" Target="https://op.europa.eu/en/publication-detail/-/publication/89868cc6-015f-11ec-8f47-01aa75ed71a1" TargetMode="External"/><Relationship Id="rId2" Type="http://schemas.openxmlformats.org/officeDocument/2006/relationships/hyperlink" Target="https://oceans-and-fisheries.ec.europa.eu/system/files/2022-12/2023-eu-uk-fisheries-consultations_en.pdf" TargetMode="External"/><Relationship Id="rId1" Type="http://schemas.openxmlformats.org/officeDocument/2006/relationships/hyperlink" Target="https://commission.europa.eu/system/files/2020-09/ministerial_declaration_our_baltic_conference.pdf" TargetMode="External"/><Relationship Id="rId6" Type="http://schemas.openxmlformats.org/officeDocument/2006/relationships/hyperlink" Target="https://www.fao.org/documents/card/en/c/cb7562en" TargetMode="External"/><Relationship Id="rId5" Type="http://schemas.openxmlformats.org/officeDocument/2006/relationships/hyperlink" Target="https://oceans-and-fisheries.ec.europa.eu/system/files/2023-03/2023-eu-norway-skagerrak-fisheries-consultations_en.pdf" TargetMode="External"/><Relationship Id="rId4" Type="http://schemas.openxmlformats.org/officeDocument/2006/relationships/hyperlink" Target="https://oceans-and-fisheries.ec.europa.eu/system/files/2022-12/2023-eu-no-uk-fisheries-consultation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BDF48-4672-4C57-83B3-F13C776F9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5121</Words>
  <Characters>29550</Characters>
  <Application>Microsoft Office Word</Application>
  <DocSecurity>0</DocSecurity>
  <Lines>441</Lines>
  <Paragraphs>105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2023-06-02T14:57:00Z</dcterms:created>
  <dcterms:modified xsi:type="dcterms:W3CDTF">2023-06-14T06:25:00Z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2023-05-30T11:26:04Z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6df8216d-0247-4534-8c05-91006c7c82d1</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CP-012</vt:lpwstr>
  </property>
</Properties>
</file>