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7E06D" w14:textId="10FF645E" w:rsidR="00BF3E18" w:rsidRPr="00271DD4" w:rsidRDefault="00865C0F" w:rsidP="00865C0F">
      <w:pPr>
        <w:pStyle w:val="Pagedecouverture"/>
        <w:rPr>
          <w:noProof/>
          <w:lang w:val="en-IE"/>
        </w:rPr>
      </w:pPr>
      <w:bookmarkStart w:id="0" w:name="LW_BM_COVERPAGE"/>
      <w:r>
        <w:rPr>
          <w:noProof/>
          <w:lang w:val="en-IE"/>
        </w:rPr>
        <w:pict w14:anchorId="442E6D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alt="D962BFA5-24E0-4BC7-A7A7-4334F99A0FAC" style="width:455.25pt;height:336.75pt">
            <v:imagedata r:id="rId8" o:title=""/>
          </v:shape>
        </w:pict>
      </w:r>
    </w:p>
    <w:bookmarkEnd w:id="0"/>
    <w:p w14:paraId="753983E5" w14:textId="77777777" w:rsidR="00BF3E18" w:rsidRPr="00271DD4" w:rsidRDefault="00BF3E18" w:rsidP="00BF3E18">
      <w:pPr>
        <w:rPr>
          <w:noProof/>
          <w:lang w:val="en-IE"/>
        </w:rPr>
        <w:sectPr w:rsidR="00BF3E18" w:rsidRPr="00271DD4" w:rsidSect="00865C0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3A85E147" w14:textId="77777777" w:rsidR="007527C5" w:rsidRPr="00271DD4" w:rsidRDefault="007527C5" w:rsidP="006C677A">
      <w:pPr>
        <w:pStyle w:val="ListParagraph"/>
        <w:numPr>
          <w:ilvl w:val="0"/>
          <w:numId w:val="1"/>
        </w:numPr>
        <w:spacing w:after="120" w:line="276" w:lineRule="auto"/>
        <w:contextualSpacing w:val="0"/>
        <w:jc w:val="both"/>
        <w:outlineLvl w:val="0"/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</w:pPr>
      <w:bookmarkStart w:id="1" w:name="_GoBack"/>
      <w:bookmarkEnd w:id="1"/>
      <w:r w:rsidRPr="00271DD4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lastRenderedPageBreak/>
        <w:t>Introduction</w:t>
      </w:r>
    </w:p>
    <w:p w14:paraId="42C1BF81" w14:textId="693C0AA5" w:rsidR="00CD64AD" w:rsidRDefault="007527C5" w:rsidP="006C677A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In 1972</w:t>
      </w:r>
      <w:r w:rsidR="00BA213E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,</w:t>
      </w: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the Club of Rome’s report</w:t>
      </w:r>
      <w:r w:rsidR="00BA213E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,</w:t>
      </w: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</w:t>
      </w:r>
      <w:r w:rsidR="00CC5346" w:rsidRPr="006C677A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  <w:t xml:space="preserve">The </w:t>
      </w:r>
      <w:r w:rsidRPr="006C677A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  <w:t>Limits to Growth</w:t>
      </w:r>
      <w:r w:rsidR="00BA213E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, </w:t>
      </w:r>
      <w:r w:rsidR="0099472C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warned about the</w:t>
      </w:r>
      <w:r w:rsidR="00897334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</w:t>
      </w: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environmental and climate consequences of </w:t>
      </w:r>
      <w:r w:rsidR="00200D68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th</w:t>
      </w:r>
      <w:r w:rsidR="0099472C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e current</w:t>
      </w:r>
      <w:r w:rsidR="00200D68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unsustainable </w:t>
      </w: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growth</w:t>
      </w:r>
      <w:r w:rsidR="00200D68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model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, which </w:t>
      </w:r>
      <w:r w:rsidR="003E0569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was based on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the global consumption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of 28.6 billion tonnes of materials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every year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. 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In the 50 years since the publication of </w:t>
      </w:r>
      <w:r w:rsidR="00C359B2" w:rsidRPr="00C359B2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this report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, t</w:t>
      </w:r>
      <w:r w:rsidR="00200D68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he trend of ever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-</w:t>
      </w:r>
      <w:r w:rsidR="00200D68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increasing demand for resources has 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become even more </w:t>
      </w:r>
      <w:r w:rsidR="00250DA3" w:rsidRPr="00250DA3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worrisome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 Since 1972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, </w:t>
      </w:r>
      <w:r w:rsidR="0099472C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the 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global use of materials has nearly quadrupled</w:t>
      </w:r>
      <w:r w:rsidR="00A97937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, 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rising</w:t>
      </w:r>
      <w:r w:rsidR="00A97937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to 54.9 billion tonnes 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per year </w:t>
      </w:r>
      <w:r w:rsidR="00A97937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in 2000 and surpassing 100 billion tonnes in 2019.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Worldwide material use</w:t>
      </w:r>
      <w:r w:rsidR="00334D5F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is projected to reach 167 billion tonnes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per year</w:t>
      </w:r>
      <w:r w:rsidR="00334D5F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in 2060</w:t>
      </w:r>
      <w:r w:rsidR="00334D5F" w:rsidRPr="00271DD4"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val="en-IE"/>
        </w:rPr>
        <w:footnoteReference w:id="2"/>
      </w:r>
      <w:r w:rsidR="00334D5F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</w:p>
    <w:p w14:paraId="3D2028A6" w14:textId="5C3F152A" w:rsidR="007527C5" w:rsidRDefault="00C95977" w:rsidP="006C677A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The natural regeneration capacity of the planet has not been able to absorb th</w:t>
      </w:r>
      <w:r w:rsidR="00CD64AD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e</w:t>
      </w: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</w:t>
      </w:r>
      <w:r w:rsidR="007C2AC9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exponential rise in the extraction of resources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, which are then quickly 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discarded 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in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to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our atmosphere, water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bodie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s and land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vertAlign w:val="superscript"/>
          <w:lang w:val="en-IE"/>
        </w:rPr>
        <w:footnoteReference w:id="3"/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. 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Nature’s 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global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and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interconnected 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system 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has been 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knocked 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off balance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, and is now reaching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breaking point</w:t>
      </w:r>
      <w:r w:rsidR="00BA213E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, as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the 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devastating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impacts of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climate change and biodiversity loss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are severely felt around the globe</w:t>
      </w:r>
      <w:r w:rsidR="007C2AC9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</w:t>
      </w:r>
    </w:p>
    <w:p w14:paraId="2646EA50" w14:textId="0B243AA1" w:rsidR="007527C5" w:rsidRPr="00271DD4" w:rsidRDefault="007527C5" w:rsidP="006C677A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942A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Resource extraction and </w:t>
      </w:r>
      <w:r w:rsidR="00BA213E" w:rsidRPr="00942A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resource </w:t>
      </w:r>
      <w:r w:rsidRPr="00942A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processing</w:t>
      </w: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are responsible for half of total greenhouse</w:t>
      </w:r>
      <w:r w:rsidR="00BA213E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-</w:t>
      </w: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gas </w:t>
      </w:r>
      <w:r w:rsidR="00BA213E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(GHG) </w:t>
      </w: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emissions and more than 90% of biodiversity loss and water stress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vertAlign w:val="superscript"/>
          <w:lang w:val="en-IE"/>
        </w:rPr>
        <w:footnoteReference w:id="4"/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. </w:t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Cutting GHG emissions and reducing primary material use</w:t>
      </w:r>
      <w:r w:rsidRPr="00F0633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are two sides of the same coin</w:t>
      </w:r>
      <w:r w:rsidR="00BE30ED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 T</w:t>
      </w:r>
      <w:r w:rsidR="0099472C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he </w:t>
      </w:r>
      <w:r w:rsidR="00BE30ED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important </w:t>
      </w:r>
      <w:r w:rsidR="0099472C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link between </w:t>
      </w:r>
      <w:r w:rsidR="009F3F64" w:rsidRPr="00F0633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biodiversity </w:t>
      </w:r>
      <w:r w:rsidR="0099472C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and the circular economy</w:t>
      </w:r>
      <w:r w:rsidR="00BE30ED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in increasingly recognised</w:t>
      </w:r>
      <w:r w:rsidRPr="005D06AC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 U</w:t>
      </w:r>
      <w:r w:rsidRPr="005D06AC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>nless</w:t>
      </w:r>
      <w:r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 we radically transform the way we use materials to </w:t>
      </w:r>
      <w:r w:rsidR="00DB0FB5"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meet </w:t>
      </w:r>
      <w:r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our needs, </w:t>
      </w:r>
      <w:r w:rsidR="00BA213E"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promoting change throughout our </w:t>
      </w:r>
      <w:r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>system</w:t>
      </w:r>
      <w:r w:rsidR="00BA213E"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s of </w:t>
      </w:r>
      <w:r w:rsidR="008119EC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production and </w:t>
      </w:r>
      <w:r w:rsidR="00BA213E"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consumption, </w:t>
      </w:r>
      <w:r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>we can</w:t>
      </w:r>
      <w:r w:rsidR="009F3F6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 neither</w:t>
      </w:r>
      <w:r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 substantially </w:t>
      </w:r>
      <w:r w:rsidR="00DB0FB5"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reduce </w:t>
      </w:r>
      <w:r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>our emissions</w:t>
      </w:r>
      <w:r w:rsidR="009F3F6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>, nor preserve nature for the current and future generations</w:t>
      </w:r>
      <w:r w:rsidRPr="00271DD4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>.</w:t>
      </w:r>
    </w:p>
    <w:p w14:paraId="6C3F337F" w14:textId="254CD758" w:rsidR="005D06AC" w:rsidRPr="002C3297" w:rsidRDefault="005D06AC" w:rsidP="006C677A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Most materials, together with the embedded energy and other resources used in their production, are lost at the end of their initial economic cycle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: global material circularity</w:t>
      </w:r>
      <w:r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val="en-IE"/>
        </w:rPr>
        <w:footnoteReference w:id="5"/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decreased from 9.1% in 2018 to 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7.2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% 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currently</w:t>
      </w:r>
      <w:r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val="en-IE"/>
        </w:rPr>
        <w:footnoteReference w:id="6"/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. </w:t>
      </w:r>
      <w:r w:rsidR="007650E6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In the EU,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8.1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billion tonnes of materials are processed into </w:t>
      </w:r>
      <w:r w:rsidRPr="00F06334">
        <w:rPr>
          <w:rFonts w:ascii="Times New Roman" w:eastAsia="Calibri" w:hAnsi="Times New Roman" w:cs="Times New Roman"/>
          <w:noProof/>
          <w:sz w:val="24"/>
          <w:lang w:val="en-IE"/>
        </w:rPr>
        <w:t>energy or products annually</w:t>
      </w:r>
      <w:r w:rsidR="00CD6BC9" w:rsidRPr="00F06334">
        <w:rPr>
          <w:rFonts w:ascii="Times New Roman" w:eastAsia="Calibri" w:hAnsi="Times New Roman" w:cs="Times New Roman"/>
          <w:noProof/>
          <w:sz w:val="24"/>
          <w:lang w:val="en-IE"/>
        </w:rPr>
        <w:t xml:space="preserve">, but </w:t>
      </w:r>
      <w:r w:rsidR="00CD6BC9" w:rsidRPr="00DB17E4">
        <w:rPr>
          <w:rFonts w:ascii="Times New Roman" w:eastAsia="Calibri" w:hAnsi="Times New Roman" w:cs="Times New Roman"/>
          <w:noProof/>
          <w:sz w:val="24"/>
          <w:lang w:val="en-IE"/>
        </w:rPr>
        <w:t>o</w:t>
      </w:r>
      <w:r w:rsidRPr="00B43F48">
        <w:rPr>
          <w:rFonts w:ascii="Times New Roman" w:eastAsia="Calibri" w:hAnsi="Times New Roman" w:cs="Times New Roman"/>
          <w:noProof/>
          <w:sz w:val="24"/>
          <w:lang w:val="en-IE"/>
        </w:rPr>
        <w:t xml:space="preserve">nly 0.8 billion tonnes </w:t>
      </w:r>
      <w:r w:rsidRPr="00CD6BC9">
        <w:rPr>
          <w:rFonts w:ascii="Times New Roman" w:eastAsia="Calibri" w:hAnsi="Times New Roman" w:cs="Times New Roman"/>
          <w:noProof/>
          <w:sz w:val="24"/>
          <w:lang w:val="en-IE"/>
        </w:rPr>
        <w:t xml:space="preserve">of this originate from recycling. </w:t>
      </w:r>
      <w:r w:rsidR="00CD6BC9" w:rsidRPr="00CD6BC9">
        <w:rPr>
          <w:rFonts w:ascii="Times New Roman" w:eastAsia="Calibri" w:hAnsi="Times New Roman" w:cs="Times New Roman"/>
          <w:noProof/>
          <w:sz w:val="24"/>
          <w:lang w:val="en-IE"/>
        </w:rPr>
        <w:t xml:space="preserve">Although 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the rate of circularity of material use in the EU </w:t>
      </w:r>
      <w:r w:rsidR="00CD6BC9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has been increasing and in 2021 was at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11.7%,</w:t>
      </w:r>
      <w:r w:rsidRPr="00F06334">
        <w:rPr>
          <w:rFonts w:ascii="Times New Roman" w:eastAsia="Calibri" w:hAnsi="Times New Roman" w:cs="Times New Roman"/>
          <w:noProof/>
          <w:sz w:val="24"/>
          <w:lang w:val="en-IE"/>
        </w:rPr>
        <w:t xml:space="preserve"> 3.4</w:t>
      </w:r>
      <w:r w:rsidRPr="00DB17E4">
        <w:rPr>
          <w:rFonts w:ascii="Times New Roman" w:eastAsia="Calibri" w:hAnsi="Times New Roman" w:cs="Times New Roman"/>
          <w:noProof/>
          <w:sz w:val="24"/>
          <w:lang w:val="en-IE"/>
        </w:rPr>
        <w:t xml:space="preserve"> percentage points </w:t>
      </w:r>
      <w:r w:rsidRPr="00B43F48">
        <w:rPr>
          <w:rFonts w:ascii="Times New Roman" w:eastAsia="Calibri" w:hAnsi="Times New Roman" w:cs="Times New Roman"/>
          <w:noProof/>
          <w:sz w:val="24"/>
          <w:lang w:val="en-IE"/>
        </w:rPr>
        <w:t>up from 2004</w:t>
      </w:r>
      <w:r w:rsidR="00CD6BC9" w:rsidRPr="00CD6BC9">
        <w:rPr>
          <w:rFonts w:ascii="Times New Roman" w:eastAsia="Calibri" w:hAnsi="Times New Roman" w:cs="Times New Roman"/>
          <w:noProof/>
          <w:sz w:val="24"/>
          <w:lang w:val="en-IE"/>
        </w:rPr>
        <w:t>, t</w:t>
      </w:r>
      <w:r w:rsidRPr="00CD6BC9">
        <w:rPr>
          <w:rFonts w:ascii="Times New Roman" w:eastAsia="Calibri" w:hAnsi="Times New Roman" w:cs="Times New Roman"/>
          <w:noProof/>
          <w:sz w:val="24"/>
          <w:lang w:val="en-IE"/>
        </w:rPr>
        <w:t xml:space="preserve">here is 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significant potential for improvement,</w:t>
      </w:r>
      <w:r w:rsidRPr="00F06334">
        <w:rPr>
          <w:rFonts w:ascii="Times New Roman" w:eastAsia="Calibri" w:hAnsi="Times New Roman" w:cs="Times New Roman"/>
          <w:noProof/>
          <w:sz w:val="24"/>
          <w:lang w:val="en-IE"/>
        </w:rPr>
        <w:t xml:space="preserve"> in particular by increasing the </w:t>
      </w:r>
      <w:r w:rsidR="00CD6BC9" w:rsidRPr="00F06334">
        <w:rPr>
          <w:rFonts w:ascii="Times New Roman" w:eastAsia="Calibri" w:hAnsi="Times New Roman" w:cs="Times New Roman"/>
          <w:noProof/>
          <w:sz w:val="24"/>
          <w:lang w:val="en-IE"/>
        </w:rPr>
        <w:t>u</w:t>
      </w:r>
      <w:r w:rsidR="00CD6BC9" w:rsidRPr="00DB17E4">
        <w:rPr>
          <w:rFonts w:ascii="Times New Roman" w:eastAsia="Calibri" w:hAnsi="Times New Roman" w:cs="Times New Roman"/>
          <w:noProof/>
          <w:sz w:val="24"/>
          <w:lang w:val="en-IE"/>
        </w:rPr>
        <w:t>se</w:t>
      </w:r>
      <w:r w:rsidRPr="00B43F48">
        <w:rPr>
          <w:rFonts w:ascii="Times New Roman" w:eastAsia="Calibri" w:hAnsi="Times New Roman" w:cs="Times New Roman"/>
          <w:noProof/>
          <w:sz w:val="24"/>
          <w:lang w:val="en-IE"/>
        </w:rPr>
        <w:t xml:space="preserve"> of </w:t>
      </w:r>
      <w:r w:rsidRPr="00CD6BC9">
        <w:rPr>
          <w:rFonts w:ascii="Times New Roman" w:eastAsia="Calibri" w:hAnsi="Times New Roman" w:cs="Times New Roman"/>
          <w:noProof/>
          <w:sz w:val="24"/>
          <w:lang w:val="en-IE"/>
        </w:rPr>
        <w:t>recycled materials and reducing the amount of materials used in the economy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>.</w:t>
      </w:r>
    </w:p>
    <w:p w14:paraId="0DD9F181" w14:textId="000535E1" w:rsidR="00CD64AD" w:rsidRDefault="00BA213E" w:rsidP="00D53242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 w:rsidRPr="00271DD4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The </w:t>
      </w:r>
      <w:r w:rsidR="007527C5" w:rsidRPr="00271DD4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EU economy depends on raw materials from the rest of the world</w:t>
      </w:r>
      <w:r w:rsidR="007527C5" w:rsidRPr="00271DD4">
        <w:rPr>
          <w:rFonts w:ascii="Times New Roman" w:eastAsia="Calibri" w:hAnsi="Times New Roman" w:cs="Times New Roman"/>
          <w:noProof/>
          <w:sz w:val="24"/>
          <w:lang w:val="en-IE"/>
        </w:rPr>
        <w:t>. In 2021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>,</w:t>
      </w:r>
      <w:r w:rsidR="007527C5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the EU imported </w:t>
      </w:r>
      <w:r w:rsidR="007D0D05" w:rsidRPr="00271DD4">
        <w:rPr>
          <w:rFonts w:ascii="Times New Roman" w:eastAsia="Calibri" w:hAnsi="Times New Roman" w:cs="Times New Roman"/>
          <w:noProof/>
          <w:sz w:val="24"/>
          <w:lang w:val="en-IE"/>
        </w:rPr>
        <w:t>1</w:t>
      </w:r>
      <w:r w:rsidR="009370FF" w:rsidRPr="00271DD4"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="007D0D05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6 </w:t>
      </w:r>
      <w:r w:rsidR="009370FF" w:rsidRPr="00271DD4">
        <w:rPr>
          <w:rFonts w:ascii="Times New Roman" w:eastAsia="Calibri" w:hAnsi="Times New Roman" w:cs="Times New Roman"/>
          <w:noProof/>
          <w:sz w:val="24"/>
          <w:lang w:val="en-IE"/>
        </w:rPr>
        <w:t>b</w:t>
      </w:r>
      <w:r w:rsidR="007527C5" w:rsidRPr="00271DD4">
        <w:rPr>
          <w:rFonts w:ascii="Times New Roman" w:eastAsia="Calibri" w:hAnsi="Times New Roman" w:cs="Times New Roman"/>
          <w:noProof/>
          <w:sz w:val="24"/>
          <w:lang w:val="en-IE"/>
        </w:rPr>
        <w:t>illion tonnes of materials from the rest of the world</w:t>
      </w:r>
      <w:r w:rsidR="007527C5" w:rsidRPr="00271DD4">
        <w:rPr>
          <w:rFonts w:ascii="Times New Roman" w:eastAsia="Calibri" w:hAnsi="Times New Roman" w:cs="Times New Roman"/>
          <w:noProof/>
          <w:sz w:val="24"/>
          <w:vertAlign w:val="superscript"/>
          <w:lang w:val="en-IE"/>
        </w:rPr>
        <w:footnoteReference w:id="7"/>
      </w:r>
      <w:r w:rsidR="009370FF" w:rsidRPr="00271DD4"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="007527C5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9370FF" w:rsidRPr="00271DD4">
        <w:rPr>
          <w:rFonts w:ascii="Times New Roman" w:eastAsia="Calibri" w:hAnsi="Times New Roman" w:cs="Times New Roman"/>
          <w:noProof/>
          <w:sz w:val="24"/>
          <w:lang w:val="en-IE"/>
        </w:rPr>
        <w:t>M</w:t>
      </w:r>
      <w:r w:rsidR="007527C5" w:rsidRPr="00271DD4">
        <w:rPr>
          <w:rFonts w:ascii="Times New Roman" w:eastAsia="Calibri" w:hAnsi="Times New Roman" w:cs="Times New Roman"/>
          <w:noProof/>
          <w:sz w:val="24"/>
          <w:lang w:val="en-IE"/>
        </w:rPr>
        <w:t>etal ores and fossil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>-</w:t>
      </w:r>
      <w:r w:rsidR="007527C5" w:rsidRPr="00271DD4">
        <w:rPr>
          <w:rFonts w:ascii="Times New Roman" w:eastAsia="Calibri" w:hAnsi="Times New Roman" w:cs="Times New Roman"/>
          <w:noProof/>
          <w:sz w:val="24"/>
          <w:lang w:val="en-IE"/>
        </w:rPr>
        <w:t>energy materials</w:t>
      </w:r>
      <w:r w:rsidR="009370FF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account</w:t>
      </w:r>
      <w:r w:rsidR="00F85019" w:rsidRPr="00271DD4">
        <w:rPr>
          <w:rFonts w:ascii="Times New Roman" w:eastAsia="Calibri" w:hAnsi="Times New Roman" w:cs="Times New Roman"/>
          <w:noProof/>
          <w:sz w:val="24"/>
          <w:lang w:val="en-IE"/>
        </w:rPr>
        <w:t>ed</w:t>
      </w:r>
      <w:r w:rsidR="009370FF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for 58% of th</w:t>
      </w:r>
      <w:r w:rsidR="00F85019" w:rsidRPr="00271DD4">
        <w:rPr>
          <w:rFonts w:ascii="Times New Roman" w:eastAsia="Calibri" w:hAnsi="Times New Roman" w:cs="Times New Roman"/>
          <w:noProof/>
          <w:sz w:val="24"/>
          <w:lang w:val="en-IE"/>
        </w:rPr>
        <w:t>e</w:t>
      </w:r>
      <w:r w:rsidR="009370FF" w:rsidRPr="00271DD4">
        <w:rPr>
          <w:rFonts w:ascii="Times New Roman" w:eastAsia="Calibri" w:hAnsi="Times New Roman" w:cs="Times New Roman"/>
          <w:noProof/>
          <w:sz w:val="24"/>
          <w:lang w:val="en-IE"/>
        </w:rPr>
        <w:t>s</w:t>
      </w:r>
      <w:r w:rsidR="00F85019" w:rsidRPr="00271DD4">
        <w:rPr>
          <w:rFonts w:ascii="Times New Roman" w:eastAsia="Calibri" w:hAnsi="Times New Roman" w:cs="Times New Roman"/>
          <w:noProof/>
          <w:sz w:val="24"/>
          <w:lang w:val="en-IE"/>
        </w:rPr>
        <w:t>e</w:t>
      </w:r>
      <w:r w:rsidR="009370FF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import</w:t>
      </w:r>
      <w:r w:rsidR="00F85019" w:rsidRPr="00271DD4">
        <w:rPr>
          <w:rFonts w:ascii="Times New Roman" w:eastAsia="Calibri" w:hAnsi="Times New Roman" w:cs="Times New Roman"/>
          <w:noProof/>
          <w:sz w:val="24"/>
          <w:lang w:val="en-IE"/>
        </w:rPr>
        <w:t>s</w:t>
      </w:r>
      <w:r w:rsidR="007527C5" w:rsidRPr="00271DD4">
        <w:rPr>
          <w:rFonts w:ascii="Times New Roman" w:eastAsia="Calibri" w:hAnsi="Times New Roman" w:cs="Times New Roman"/>
          <w:noProof/>
          <w:sz w:val="24"/>
          <w:vertAlign w:val="superscript"/>
          <w:lang w:val="en-IE"/>
        </w:rPr>
        <w:footnoteReference w:id="8"/>
      </w:r>
      <w:r w:rsidR="003345D8"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="003E0569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757B48" w:rsidRPr="00757B48">
        <w:rPr>
          <w:rFonts w:ascii="Times New Roman" w:eastAsia="Calibri" w:hAnsi="Times New Roman" w:cs="Times New Roman"/>
          <w:noProof/>
          <w:sz w:val="24"/>
          <w:lang w:val="en-IE"/>
        </w:rPr>
        <w:t xml:space="preserve">Moreover, the EU’s supply of critical raw materials, </w:t>
      </w:r>
      <w:r w:rsidR="003345D8">
        <w:rPr>
          <w:rFonts w:ascii="Times New Roman" w:eastAsia="Calibri" w:hAnsi="Times New Roman" w:cs="Times New Roman"/>
          <w:noProof/>
          <w:sz w:val="24"/>
          <w:lang w:val="en-IE"/>
        </w:rPr>
        <w:t xml:space="preserve">which are </w:t>
      </w:r>
      <w:r w:rsidR="00757B48" w:rsidRPr="00757B48">
        <w:rPr>
          <w:rFonts w:ascii="Times New Roman" w:eastAsia="Calibri" w:hAnsi="Times New Roman" w:cs="Times New Roman"/>
          <w:noProof/>
          <w:sz w:val="24"/>
          <w:lang w:val="en-IE"/>
        </w:rPr>
        <w:t xml:space="preserve">required for the green transition, is exposed to significant risk and often associated with adverse environmental impacts in third countries. </w:t>
      </w:r>
      <w:r w:rsidR="002A2C92">
        <w:rPr>
          <w:rFonts w:ascii="Times New Roman" w:eastAsia="Calibri" w:hAnsi="Times New Roman" w:cs="Times New Roman"/>
          <w:noProof/>
          <w:sz w:val="24"/>
          <w:lang w:val="en-IE"/>
        </w:rPr>
        <w:t>As part of its recent initiatives on critical raw materials, t</w:t>
      </w:r>
      <w:r w:rsidR="00D53242">
        <w:rPr>
          <w:rFonts w:ascii="Times New Roman" w:eastAsia="Calibri" w:hAnsi="Times New Roman" w:cs="Times New Roman"/>
          <w:noProof/>
          <w:sz w:val="24"/>
          <w:lang w:val="en-IE"/>
        </w:rPr>
        <w:t xml:space="preserve">he EU is stepping </w:t>
      </w:r>
      <w:r w:rsidR="00D53242" w:rsidRPr="00D53242">
        <w:rPr>
          <w:rFonts w:ascii="Times New Roman" w:eastAsia="Calibri" w:hAnsi="Times New Roman" w:cs="Times New Roman"/>
          <w:noProof/>
          <w:sz w:val="24"/>
          <w:lang w:val="en-IE"/>
        </w:rPr>
        <w:t xml:space="preserve">up </w:t>
      </w:r>
      <w:r w:rsidR="00D53242">
        <w:rPr>
          <w:rFonts w:ascii="Times New Roman" w:eastAsia="Calibri" w:hAnsi="Times New Roman" w:cs="Times New Roman"/>
          <w:noProof/>
          <w:sz w:val="24"/>
          <w:lang w:val="en-IE"/>
        </w:rPr>
        <w:t xml:space="preserve">efforts </w:t>
      </w:r>
      <w:r w:rsidR="00D53242" w:rsidRPr="00D53242">
        <w:rPr>
          <w:rFonts w:ascii="Times New Roman" w:eastAsia="Calibri" w:hAnsi="Times New Roman" w:cs="Times New Roman"/>
          <w:noProof/>
          <w:sz w:val="24"/>
          <w:lang w:val="en-IE"/>
        </w:rPr>
        <w:t xml:space="preserve">in assuring </w:t>
      </w:r>
      <w:r w:rsidR="00D53242">
        <w:rPr>
          <w:rFonts w:ascii="Times New Roman" w:eastAsia="Calibri" w:hAnsi="Times New Roman" w:cs="Times New Roman"/>
          <w:noProof/>
          <w:sz w:val="24"/>
          <w:lang w:val="en-IE"/>
        </w:rPr>
        <w:t>the</w:t>
      </w:r>
      <w:r w:rsidR="002A2C92">
        <w:rPr>
          <w:rFonts w:ascii="Times New Roman" w:eastAsia="Calibri" w:hAnsi="Times New Roman" w:cs="Times New Roman"/>
          <w:noProof/>
          <w:sz w:val="24"/>
          <w:lang w:val="en-IE"/>
        </w:rPr>
        <w:t>ir</w:t>
      </w:r>
      <w:r w:rsidR="00D53242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D53242" w:rsidRPr="00D53242">
        <w:rPr>
          <w:rFonts w:ascii="Times New Roman" w:eastAsia="Calibri" w:hAnsi="Times New Roman" w:cs="Times New Roman"/>
          <w:noProof/>
          <w:sz w:val="24"/>
          <w:lang w:val="en-IE"/>
        </w:rPr>
        <w:t>circularity in the broad sense</w:t>
      </w:r>
      <w:r w:rsidR="002A2C92">
        <w:rPr>
          <w:rStyle w:val="FootnoteReference"/>
          <w:rFonts w:ascii="Times New Roman" w:eastAsia="Calibri" w:hAnsi="Times New Roman" w:cs="Times New Roman"/>
          <w:noProof/>
          <w:sz w:val="24"/>
          <w:lang w:val="en-IE"/>
        </w:rPr>
        <w:footnoteReference w:id="9"/>
      </w:r>
      <w:r w:rsidR="00D53242" w:rsidRPr="00D53242">
        <w:rPr>
          <w:rFonts w:ascii="Times New Roman" w:eastAsia="Calibri" w:hAnsi="Times New Roman" w:cs="Times New Roman"/>
          <w:noProof/>
          <w:sz w:val="24"/>
          <w:lang w:val="en-IE"/>
        </w:rPr>
        <w:t xml:space="preserve">, </w:t>
      </w:r>
      <w:r w:rsidR="00387A1D">
        <w:rPr>
          <w:rFonts w:ascii="Times New Roman" w:eastAsia="Calibri" w:hAnsi="Times New Roman" w:cs="Times New Roman"/>
          <w:noProof/>
          <w:sz w:val="24"/>
          <w:lang w:val="en-IE"/>
        </w:rPr>
        <w:t>and in particular</w:t>
      </w:r>
      <w:r w:rsidR="00C00258">
        <w:rPr>
          <w:rFonts w:ascii="Times New Roman" w:eastAsia="Calibri" w:hAnsi="Times New Roman" w:cs="Times New Roman"/>
          <w:noProof/>
          <w:sz w:val="24"/>
          <w:lang w:val="en-IE"/>
        </w:rPr>
        <w:t xml:space="preserve"> strengthening</w:t>
      </w:r>
      <w:r w:rsidR="002A2C92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D53242">
        <w:rPr>
          <w:rFonts w:ascii="Times New Roman" w:eastAsia="Calibri" w:hAnsi="Times New Roman" w:cs="Times New Roman"/>
          <w:noProof/>
          <w:sz w:val="24"/>
          <w:lang w:val="en-IE"/>
        </w:rPr>
        <w:t xml:space="preserve">the </w:t>
      </w:r>
      <w:r w:rsidR="00D53242" w:rsidRPr="00D53242">
        <w:rPr>
          <w:rFonts w:ascii="Times New Roman" w:eastAsia="Calibri" w:hAnsi="Times New Roman" w:cs="Times New Roman"/>
          <w:noProof/>
          <w:sz w:val="24"/>
          <w:lang w:val="en-IE"/>
        </w:rPr>
        <w:t>recycling capacities, systems and technologies</w:t>
      </w:r>
      <w:r w:rsidR="00D53242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D53242" w:rsidRPr="00D53242">
        <w:rPr>
          <w:rFonts w:ascii="Times New Roman" w:eastAsia="Calibri" w:hAnsi="Times New Roman" w:cs="Times New Roman"/>
          <w:noProof/>
          <w:sz w:val="24"/>
          <w:lang w:val="en-IE"/>
        </w:rPr>
        <w:t xml:space="preserve">to produce secondary materials </w:t>
      </w:r>
      <w:r w:rsidR="002A2C92">
        <w:rPr>
          <w:rFonts w:ascii="Times New Roman" w:eastAsia="Calibri" w:hAnsi="Times New Roman" w:cs="Times New Roman"/>
          <w:noProof/>
          <w:sz w:val="24"/>
          <w:lang w:val="en-IE"/>
        </w:rPr>
        <w:t>in the EU</w:t>
      </w:r>
      <w:r w:rsidR="00C00258">
        <w:rPr>
          <w:rStyle w:val="FootnoteReference"/>
          <w:rFonts w:ascii="Times New Roman" w:eastAsia="Calibri" w:hAnsi="Times New Roman" w:cs="Times New Roman"/>
          <w:noProof/>
          <w:sz w:val="24"/>
          <w:lang w:val="en-IE"/>
        </w:rPr>
        <w:footnoteReference w:id="10"/>
      </w:r>
      <w:r w:rsidR="00BE7FDA" w:rsidRPr="00BE7FDA">
        <w:rPr>
          <w:rFonts w:ascii="Times New Roman" w:eastAsia="Calibri" w:hAnsi="Times New Roman" w:cs="Times New Roman"/>
          <w:noProof/>
          <w:sz w:val="24"/>
          <w:lang w:val="en-IE"/>
        </w:rPr>
        <w:t>.</w:t>
      </w:r>
    </w:p>
    <w:p w14:paraId="7E523CFE" w14:textId="7464AA14" w:rsidR="007527C5" w:rsidRDefault="008C4A18" w:rsidP="006C677A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 w:rsidRPr="006C677A">
        <w:rPr>
          <w:rFonts w:ascii="Times New Roman" w:eastAsia="Calibri" w:hAnsi="Times New Roman" w:cs="Times New Roman"/>
          <w:b/>
          <w:noProof/>
          <w:sz w:val="24"/>
          <w:lang w:val="en-IE"/>
        </w:rPr>
        <w:t>By</w:t>
      </w:r>
      <w:r w:rsidR="007527C5"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reduc</w:t>
      </w:r>
      <w:r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ing</w:t>
      </w:r>
      <w:r w:rsidR="007527C5"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EU demand for primary resources and energy</w:t>
      </w:r>
      <w:r w:rsidR="007527C5" w:rsidRPr="006C677A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, </w:t>
      </w:r>
      <w:r w:rsidRPr="006C677A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the transition to a more circular economy </w:t>
      </w:r>
      <w:r w:rsidR="00E91B03" w:rsidRPr="006C677A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has the potential to</w:t>
      </w:r>
      <w:r w:rsidR="00630D09" w:rsidRPr="006C677A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</w:t>
      </w:r>
      <w:r w:rsidR="00C76A9E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increase our resilience, </w:t>
      </w:r>
      <w:r w:rsidR="007527C5"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reduc</w:t>
      </w:r>
      <w:r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e</w:t>
      </w:r>
      <w:r w:rsidR="007527C5"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our dependenc</w:t>
      </w:r>
      <w:r w:rsidR="007F3146" w:rsidRPr="001A2B5D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ies</w:t>
      </w:r>
      <w:r w:rsidR="007527C5" w:rsidRPr="001A2B5D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on </w:t>
      </w:r>
      <w:r w:rsidR="00F85019" w:rsidRPr="001A2B5D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imports of </w:t>
      </w:r>
      <w:r w:rsidR="007527C5" w:rsidRPr="001A2B5D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energy and materials</w:t>
      </w:r>
      <w:r w:rsidR="00C76A9E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,</w:t>
      </w:r>
      <w:r w:rsidR="009309BF" w:rsidRPr="006C677A">
        <w:rPr>
          <w:b/>
          <w:noProof/>
        </w:rPr>
        <w:t xml:space="preserve"> </w:t>
      </w:r>
      <w:r w:rsidR="009309BF"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while contributing to the clean energy transition</w:t>
      </w:r>
      <w:r w:rsidR="007527C5" w:rsidRPr="007F3146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. </w:t>
      </w:r>
      <w:r w:rsidR="00F85019" w:rsidRPr="00271DD4">
        <w:rPr>
          <w:rFonts w:ascii="Times New Roman" w:eastAsia="Calibri" w:hAnsi="Times New Roman" w:cs="Times New Roman"/>
          <w:noProof/>
          <w:sz w:val="24"/>
          <w:lang w:val="en-IE"/>
        </w:rPr>
        <w:t>This</w:t>
      </w:r>
      <w:r w:rsidR="007527C5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>is even more imp</w:t>
      </w:r>
      <w:r w:rsidR="00676902" w:rsidRPr="00271DD4">
        <w:rPr>
          <w:rFonts w:ascii="Times New Roman" w:eastAsia="Calibri" w:hAnsi="Times New Roman" w:cs="Times New Roman"/>
          <w:noProof/>
          <w:sz w:val="24"/>
          <w:lang w:val="en-IE"/>
        </w:rPr>
        <w:t>o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rtant in the wake of </w:t>
      </w:r>
      <w:r w:rsidR="007527C5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the COVID-19 crisis and 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in the context of the ongoing brutal war of </w:t>
      </w:r>
      <w:r w:rsidR="00250DA3" w:rsidRPr="00250DA3">
        <w:rPr>
          <w:rFonts w:ascii="Times New Roman" w:eastAsia="Calibri" w:hAnsi="Times New Roman" w:cs="Times New Roman"/>
          <w:noProof/>
          <w:sz w:val="24"/>
          <w:lang w:val="en-IE"/>
        </w:rPr>
        <w:t>aggression</w:t>
      </w:r>
      <w:r w:rsidR="00F85019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by </w:t>
      </w:r>
      <w:r w:rsidR="007527C5" w:rsidRPr="00271DD4">
        <w:rPr>
          <w:rFonts w:ascii="Times New Roman" w:eastAsia="Calibri" w:hAnsi="Times New Roman" w:cs="Times New Roman"/>
          <w:noProof/>
          <w:sz w:val="24"/>
          <w:lang w:val="en-IE"/>
        </w:rPr>
        <w:t>Russia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against </w:t>
      </w:r>
      <w:r w:rsidR="007527C5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Ukraine. </w:t>
      </w:r>
      <w:r w:rsidR="00904056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The </w:t>
      </w:r>
      <w:r w:rsidR="00904056" w:rsidRPr="003E11BF">
        <w:rPr>
          <w:rFonts w:ascii="Times New Roman" w:eastAsia="Calibri" w:hAnsi="Times New Roman" w:cs="Times New Roman"/>
          <w:noProof/>
          <w:sz w:val="24"/>
          <w:lang w:val="en-IE"/>
        </w:rPr>
        <w:t xml:space="preserve">contribution of the circular economy to security of supply </w:t>
      </w:r>
      <w:r w:rsidR="007527C5" w:rsidRPr="001A2B5D">
        <w:rPr>
          <w:rFonts w:ascii="Times New Roman" w:eastAsia="Calibri" w:hAnsi="Times New Roman" w:cs="Times New Roman"/>
          <w:noProof/>
          <w:sz w:val="24"/>
          <w:lang w:val="en-IE"/>
        </w:rPr>
        <w:t xml:space="preserve">is particularly important as the </w:t>
      </w:r>
      <w:r w:rsidR="007527C5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demand for key raw materials </w:t>
      </w:r>
      <w:r w:rsidR="003E0569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from the </w:t>
      </w:r>
      <w:r w:rsidR="007527C5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renewable</w:t>
      </w:r>
      <w:r w:rsidR="003E0569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-energy</w:t>
      </w:r>
      <w:r w:rsidR="007527C5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and e-mobility</w:t>
      </w:r>
      <w:r w:rsidR="003E0569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sectors</w:t>
      </w:r>
      <w:r w:rsidR="007527C5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will increase </w:t>
      </w:r>
      <w:r w:rsidR="00031A3B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greatly between</w:t>
      </w:r>
      <w:r w:rsidR="007527C5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2030 </w:t>
      </w:r>
      <w:r w:rsidR="00031A3B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and </w:t>
      </w:r>
      <w:r w:rsidR="007527C5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2050</w:t>
      </w:r>
      <w:r w:rsidR="007527C5" w:rsidRPr="006C677A">
        <w:rPr>
          <w:rFonts w:ascii="Times New Roman" w:eastAsia="Calibri" w:hAnsi="Times New Roman" w:cs="Times New Roman"/>
          <w:bCs/>
          <w:noProof/>
          <w:sz w:val="24"/>
          <w:vertAlign w:val="superscript"/>
          <w:lang w:val="en-IE"/>
        </w:rPr>
        <w:footnoteReference w:id="11"/>
      </w:r>
      <w:r w:rsidR="007527C5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. </w:t>
      </w:r>
    </w:p>
    <w:p w14:paraId="1A2CDD48" w14:textId="0DC03F80" w:rsidR="001A2B5D" w:rsidRPr="00271DD4" w:rsidRDefault="00942A7A" w:rsidP="00817890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6C677A">
        <w:rPr>
          <w:rFonts w:ascii="Times New Roman" w:eastAsia="Calibri" w:hAnsi="Times New Roman" w:cs="Times New Roman"/>
          <w:b/>
          <w:noProof/>
          <w:sz w:val="24"/>
          <w:lang w:val="en-IE"/>
        </w:rPr>
        <w:t xml:space="preserve">The transition to a </w:t>
      </w:r>
      <w:r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circular economy</w:t>
      </w:r>
      <w:r w:rsidRPr="006C677A">
        <w:rPr>
          <w:rFonts w:ascii="Times New Roman" w:eastAsia="Calibri" w:hAnsi="Times New Roman" w:cs="Times New Roman"/>
          <w:b/>
          <w:noProof/>
          <w:sz w:val="24"/>
          <w:lang w:val="en-IE"/>
        </w:rPr>
        <w:t xml:space="preserve"> is</w:t>
      </w:r>
      <w:r w:rsidR="007F3146" w:rsidRPr="006C677A">
        <w:rPr>
          <w:rFonts w:ascii="Times New Roman" w:eastAsia="Calibri" w:hAnsi="Times New Roman" w:cs="Times New Roman"/>
          <w:b/>
          <w:noProof/>
          <w:sz w:val="24"/>
          <w:lang w:val="en-IE"/>
        </w:rPr>
        <w:t xml:space="preserve"> therefore</w:t>
      </w:r>
      <w:r w:rsidRPr="006C677A">
        <w:rPr>
          <w:rFonts w:ascii="Times New Roman" w:eastAsia="Calibri" w:hAnsi="Times New Roman" w:cs="Times New Roman"/>
          <w:b/>
          <w:noProof/>
          <w:sz w:val="24"/>
          <w:lang w:val="en-IE"/>
        </w:rPr>
        <w:t xml:space="preserve"> a unique </w:t>
      </w:r>
      <w:r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opportunity</w:t>
      </w:r>
      <w:r w:rsidRPr="006C677A">
        <w:rPr>
          <w:rFonts w:ascii="Times New Roman" w:eastAsia="Calibri" w:hAnsi="Times New Roman" w:cs="Times New Roman"/>
          <w:b/>
          <w:noProof/>
          <w:sz w:val="24"/>
          <w:lang w:val="en-IE"/>
        </w:rPr>
        <w:t xml:space="preserve"> to make our economy </w:t>
      </w:r>
      <w:r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more sustainable</w:t>
      </w:r>
      <w:r w:rsidR="00387A1D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, competitive</w:t>
      </w:r>
      <w:r w:rsidR="007F3146"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and </w:t>
      </w:r>
      <w:r w:rsidR="003345D8" w:rsidRPr="003E11B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resilient</w:t>
      </w:r>
      <w:r w:rsidR="005D7F1B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:</w:t>
      </w:r>
      <w:r w:rsidRPr="001A2B5D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5D7F1B">
        <w:rPr>
          <w:rFonts w:ascii="Times New Roman" w:eastAsia="Calibri" w:hAnsi="Times New Roman" w:cs="Times New Roman"/>
          <w:noProof/>
          <w:sz w:val="24"/>
          <w:lang w:val="en-IE"/>
        </w:rPr>
        <w:t xml:space="preserve">it </w:t>
      </w:r>
      <w:r w:rsidRPr="001A2B5D">
        <w:rPr>
          <w:rFonts w:ascii="Times New Roman" w:eastAsia="Calibri" w:hAnsi="Times New Roman" w:cs="Times New Roman"/>
          <w:noProof/>
          <w:sz w:val="24"/>
          <w:lang w:val="en-IE"/>
        </w:rPr>
        <w:t>contribute</w:t>
      </w:r>
      <w:r w:rsidR="005D7F1B">
        <w:rPr>
          <w:rFonts w:ascii="Times New Roman" w:eastAsia="Calibri" w:hAnsi="Times New Roman" w:cs="Times New Roman"/>
          <w:noProof/>
          <w:sz w:val="24"/>
          <w:lang w:val="en-IE"/>
        </w:rPr>
        <w:t>s</w:t>
      </w:r>
      <w:r w:rsidRPr="001A2B5D">
        <w:rPr>
          <w:rFonts w:ascii="Times New Roman" w:eastAsia="Calibri" w:hAnsi="Times New Roman" w:cs="Times New Roman"/>
          <w:noProof/>
          <w:sz w:val="24"/>
          <w:lang w:val="en-IE"/>
        </w:rPr>
        <w:t xml:space="preserve"> to 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climate neutrality;</w:t>
      </w:r>
      <w:r w:rsidRPr="003E11BF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preserve</w:t>
      </w:r>
      <w:r w:rsidR="005D7F1B">
        <w:rPr>
          <w:rFonts w:ascii="Times New Roman" w:eastAsia="Calibri" w:hAnsi="Times New Roman" w:cs="Times New Roman"/>
          <w:bCs/>
          <w:noProof/>
          <w:sz w:val="24"/>
          <w:lang w:val="en-IE"/>
        </w:rPr>
        <w:t>s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</w:t>
      </w:r>
      <w:r w:rsidR="003345D8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biodiversity and 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ecosystems</w:t>
      </w:r>
      <w:r w:rsidRPr="003E11BF">
        <w:rPr>
          <w:rFonts w:ascii="Times New Roman" w:eastAsia="Calibri" w:hAnsi="Times New Roman" w:cs="Times New Roman"/>
          <w:noProof/>
          <w:sz w:val="24"/>
          <w:lang w:val="en-IE"/>
        </w:rPr>
        <w:t>;</w:t>
      </w:r>
      <w:r w:rsidR="007F3146" w:rsidRPr="003E11BF">
        <w:rPr>
          <w:rFonts w:ascii="Times New Roman" w:eastAsia="Calibri" w:hAnsi="Times New Roman" w:cs="Times New Roman"/>
          <w:noProof/>
          <w:sz w:val="24"/>
          <w:lang w:val="en-IE"/>
        </w:rPr>
        <w:t xml:space="preserve"> improve</w:t>
      </w:r>
      <w:r w:rsidR="005D7F1B">
        <w:rPr>
          <w:rFonts w:ascii="Times New Roman" w:eastAsia="Calibri" w:hAnsi="Times New Roman" w:cs="Times New Roman"/>
          <w:noProof/>
          <w:sz w:val="24"/>
          <w:lang w:val="en-IE"/>
        </w:rPr>
        <w:t>s</w:t>
      </w:r>
      <w:r w:rsidR="007F3146" w:rsidRPr="003E11BF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7F3146" w:rsidRPr="001A2B5D">
        <w:rPr>
          <w:rFonts w:ascii="Times New Roman" w:eastAsia="Calibri" w:hAnsi="Times New Roman" w:cs="Times New Roman"/>
          <w:noProof/>
          <w:sz w:val="24"/>
          <w:lang w:val="en-IE"/>
        </w:rPr>
        <w:t>security of supply and alleviate</w:t>
      </w:r>
      <w:r w:rsidR="005D7F1B">
        <w:rPr>
          <w:rFonts w:ascii="Times New Roman" w:eastAsia="Calibri" w:hAnsi="Times New Roman" w:cs="Times New Roman"/>
          <w:noProof/>
          <w:sz w:val="24"/>
          <w:lang w:val="en-IE"/>
        </w:rPr>
        <w:t>s</w:t>
      </w:r>
      <w:r w:rsidR="007F3146" w:rsidRPr="001A2B5D">
        <w:rPr>
          <w:rFonts w:ascii="Times New Roman" w:eastAsia="Calibri" w:hAnsi="Times New Roman" w:cs="Times New Roman"/>
          <w:noProof/>
          <w:sz w:val="24"/>
          <w:lang w:val="en-IE"/>
        </w:rPr>
        <w:t xml:space="preserve"> strategic </w:t>
      </w:r>
      <w:r w:rsidR="007F3146" w:rsidRPr="006C677A">
        <w:rPr>
          <w:rFonts w:ascii="Times New Roman" w:eastAsia="Calibri" w:hAnsi="Times New Roman" w:cs="Times New Roman"/>
          <w:noProof/>
          <w:sz w:val="24"/>
          <w:lang w:val="en-IE"/>
        </w:rPr>
        <w:t>dependencies</w:t>
      </w:r>
      <w:r w:rsidR="007F3146" w:rsidRPr="003E11BF">
        <w:rPr>
          <w:rFonts w:ascii="Times New Roman" w:eastAsia="Calibri" w:hAnsi="Times New Roman" w:cs="Times New Roman"/>
          <w:noProof/>
          <w:sz w:val="24"/>
          <w:lang w:val="en-IE"/>
        </w:rPr>
        <w:t xml:space="preserve"> on raw materials;</w:t>
      </w:r>
      <w:r w:rsidRPr="001A2B5D">
        <w:rPr>
          <w:rFonts w:ascii="Times New Roman" w:eastAsia="Calibri" w:hAnsi="Times New Roman" w:cs="Times New Roman"/>
          <w:noProof/>
          <w:sz w:val="24"/>
          <w:lang w:val="en-IE"/>
        </w:rPr>
        <w:t xml:space="preserve"> create</w:t>
      </w:r>
      <w:r w:rsidR="005D7F1B">
        <w:rPr>
          <w:rFonts w:ascii="Times New Roman" w:eastAsia="Calibri" w:hAnsi="Times New Roman" w:cs="Times New Roman"/>
          <w:noProof/>
          <w:sz w:val="24"/>
          <w:lang w:val="en-IE"/>
        </w:rPr>
        <w:t>s</w:t>
      </w:r>
      <w:r w:rsidRPr="001A2B5D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local decent and green jobs; </w:t>
      </w:r>
      <w:r w:rsidRPr="003E11BF">
        <w:rPr>
          <w:rFonts w:ascii="Times New Roman" w:eastAsia="Calibri" w:hAnsi="Times New Roman" w:cs="Times New Roman"/>
          <w:noProof/>
          <w:sz w:val="24"/>
          <w:lang w:val="en-IE"/>
        </w:rPr>
        <w:t>and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boost</w:t>
      </w:r>
      <w:r w:rsidR="005D7F1B">
        <w:rPr>
          <w:rFonts w:ascii="Times New Roman" w:eastAsia="Calibri" w:hAnsi="Times New Roman" w:cs="Times New Roman"/>
          <w:bCs/>
          <w:noProof/>
          <w:sz w:val="24"/>
          <w:lang w:val="en-IE"/>
        </w:rPr>
        <w:t>s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innovation</w:t>
      </w:r>
      <w:r w:rsidRPr="003E11BF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. </w:t>
      </w:r>
      <w:r w:rsidR="005D7F1B">
        <w:rPr>
          <w:rFonts w:ascii="Times New Roman" w:eastAsia="Calibri" w:hAnsi="Times New Roman" w:cs="Times New Roman"/>
          <w:bCs/>
          <w:noProof/>
          <w:sz w:val="24"/>
          <w:lang w:val="en-IE"/>
        </w:rPr>
        <w:t>Circularity</w:t>
      </w:r>
      <w:r w:rsidR="00F27669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is </w:t>
      </w:r>
      <w:r w:rsidR="00F27669" w:rsidRPr="00F27669">
        <w:rPr>
          <w:rFonts w:ascii="Times New Roman" w:eastAsia="Calibri" w:hAnsi="Times New Roman" w:cs="Times New Roman"/>
          <w:bCs/>
          <w:noProof/>
          <w:sz w:val="24"/>
          <w:lang w:val="en-IE"/>
        </w:rPr>
        <w:t>a key in</w:t>
      </w:r>
      <w:r w:rsidR="00F27669" w:rsidRPr="00F27669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strument to foster competitiveness </w:t>
      </w:r>
      <w:r w:rsidR="00817890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and </w:t>
      </w:r>
      <w:r w:rsidR="00817890" w:rsidRPr="00817890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>offers a major opportunity to increase resource productivity, employment and growth</w:t>
      </w:r>
      <w:r w:rsidR="00817890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 </w:t>
      </w:r>
      <w:r w:rsidR="00F27669" w:rsidRPr="00F27669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as </w:t>
      </w:r>
      <w:r w:rsidR="00817890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highlighted </w:t>
      </w:r>
      <w:r w:rsidR="00F27669" w:rsidRPr="00F27669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 xml:space="preserve">in the </w:t>
      </w:r>
      <w:r w:rsidR="00F27669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>l</w:t>
      </w:r>
      <w:r w:rsidR="00F27669" w:rsidRPr="00F27669">
        <w:rPr>
          <w:rFonts w:ascii="Times New Roman" w:hAnsi="Times New Roman" w:cs="Times New Roman"/>
          <w:noProof/>
          <w:sz w:val="24"/>
          <w:szCs w:val="24"/>
        </w:rPr>
        <w:t xml:space="preserve">ong-term competitiveness </w:t>
      </w:r>
      <w:r w:rsidR="00F27669">
        <w:rPr>
          <w:rFonts w:ascii="Times New Roman" w:hAnsi="Times New Roman" w:cs="Times New Roman"/>
          <w:noProof/>
          <w:sz w:val="24"/>
          <w:szCs w:val="24"/>
        </w:rPr>
        <w:t>strategy</w:t>
      </w:r>
      <w:r w:rsidR="00E0199C" w:rsidRPr="00E0199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0199C" w:rsidRPr="00F27669">
        <w:rPr>
          <w:rFonts w:ascii="Times New Roman" w:hAnsi="Times New Roman" w:cs="Times New Roman"/>
          <w:noProof/>
          <w:sz w:val="24"/>
          <w:szCs w:val="24"/>
        </w:rPr>
        <w:t>of the EU</w:t>
      </w:r>
      <w:r w:rsidR="00E0199C">
        <w:rPr>
          <w:rFonts w:ascii="Times New Roman" w:hAnsi="Times New Roman" w:cs="Times New Roman"/>
          <w:noProof/>
          <w:sz w:val="24"/>
          <w:szCs w:val="24"/>
        </w:rPr>
        <w:t xml:space="preserve"> looking beyond 2030</w:t>
      </w:r>
      <w:r w:rsidR="00F27669" w:rsidRPr="00A83C28">
        <w:rPr>
          <w:rStyle w:val="FootnoteReference"/>
          <w:rFonts w:ascii="Times New Roman" w:eastAsia="Calibri" w:hAnsi="Times New Roman" w:cs="Times New Roman"/>
          <w:bCs/>
          <w:noProof/>
          <w:sz w:val="24"/>
          <w:lang w:val="en-IE"/>
        </w:rPr>
        <w:footnoteReference w:id="12"/>
      </w:r>
      <w:r w:rsidR="00F27669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3E11BF">
        <w:rPr>
          <w:rFonts w:ascii="Times New Roman" w:eastAsia="Calibri" w:hAnsi="Times New Roman" w:cs="Times New Roman"/>
          <w:bCs/>
          <w:noProof/>
          <w:sz w:val="24"/>
          <w:lang w:val="en-IE"/>
        </w:rPr>
        <w:t>Doing this will also help achieve the UN’s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sustainable development goals</w:t>
      </w:r>
      <w:r w:rsidRPr="006C677A">
        <w:rPr>
          <w:rFonts w:ascii="Times New Roman" w:eastAsia="Calibri" w:hAnsi="Times New Roman" w:cs="Times New Roman"/>
          <w:bCs/>
          <w:noProof/>
          <w:sz w:val="24"/>
          <w:vertAlign w:val="superscript"/>
          <w:lang w:val="en-IE"/>
        </w:rPr>
        <w:footnoteReference w:id="13"/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.</w:t>
      </w:r>
      <w:r w:rsidR="001A2B5D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Therefore, m</w:t>
      </w:r>
      <w:r w:rsidR="001A2B5D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onitoring trends in areas related to</w:t>
      </w:r>
      <w:r w:rsidR="001A2B5D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the</w:t>
      </w:r>
      <w:r w:rsidR="001A2B5D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circular economy is </w:t>
      </w:r>
      <w:r w:rsidR="001A2B5D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needed in order </w:t>
      </w:r>
      <w:r w:rsidR="001A2B5D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to assess </w:t>
      </w:r>
      <w:r w:rsidR="001A2B5D" w:rsidRPr="00F0633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the </w:t>
      </w:r>
      <w:r w:rsidR="001A2B5D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effectiveness of policies and actions</w:t>
      </w:r>
      <w:r w:rsidR="001A2B5D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and help identify gaps and success stories </w:t>
      </w:r>
      <w:hyperlink r:id="rId15" w:history="1">
        <w:r w:rsidR="001A2B5D" w:rsidRPr="00A83C28">
          <w:rPr>
            <w:rFonts w:ascii="Times New Roman" w:eastAsia="Calibri" w:hAnsi="Times New Roman" w:cs="Times New Roman"/>
            <w:noProof/>
            <w:sz w:val="24"/>
            <w:szCs w:val="24"/>
            <w:lang w:val="en-IE"/>
          </w:rPr>
          <w:t>across</w:t>
        </w:r>
      </w:hyperlink>
      <w:r w:rsidR="001A2B5D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the EU. </w:t>
      </w:r>
    </w:p>
    <w:p w14:paraId="43C2175E" w14:textId="0AA8906E" w:rsidR="00E13C55" w:rsidRDefault="001A2B5D" w:rsidP="006C677A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 w:rsidRPr="006C677A">
        <w:rPr>
          <w:rFonts w:ascii="Times New Roman" w:eastAsia="Calibri" w:hAnsi="Times New Roman" w:cs="Times New Roman"/>
          <w:noProof/>
          <w:sz w:val="24"/>
          <w:lang w:val="en-IE"/>
        </w:rPr>
        <w:t xml:space="preserve">In January 2018, the European Commission adopted </w:t>
      </w:r>
      <w:r w:rsidRPr="006C677A">
        <w:rPr>
          <w:rFonts w:ascii="Times New Roman" w:eastAsia="Calibri" w:hAnsi="Times New Roman" w:cs="Times New Roman"/>
          <w:b/>
          <w:noProof/>
          <w:sz w:val="24"/>
          <w:lang w:val="en-IE"/>
        </w:rPr>
        <w:t xml:space="preserve">the </w:t>
      </w:r>
      <w:r w:rsidRPr="006C677A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EU monitoring framework </w:t>
      </w:r>
      <w:r w:rsidRPr="006C677A">
        <w:rPr>
          <w:rFonts w:ascii="Times New Roman" w:eastAsia="Calibri" w:hAnsi="Times New Roman" w:cs="Times New Roman"/>
          <w:b/>
          <w:noProof/>
          <w:sz w:val="24"/>
          <w:lang w:val="en-IE"/>
        </w:rPr>
        <w:t>for the circular economy</w:t>
      </w:r>
      <w:r w:rsidRPr="006C677A">
        <w:rPr>
          <w:rFonts w:ascii="Times New Roman" w:eastAsia="Calibri" w:hAnsi="Times New Roman" w:cs="Times New Roman"/>
          <w:noProof/>
          <w:sz w:val="24"/>
          <w:vertAlign w:val="superscript"/>
          <w:lang w:val="en-IE"/>
        </w:rPr>
        <w:footnoteReference w:id="14"/>
      </w:r>
      <w:r w:rsidRPr="006C677A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C64342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composed of a set of key indicators</w:t>
      </w:r>
      <w:r w:rsidR="00C64342" w:rsidRPr="006C677A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6C677A">
        <w:rPr>
          <w:rFonts w:ascii="Times New Roman" w:eastAsia="Calibri" w:hAnsi="Times New Roman" w:cs="Times New Roman"/>
          <w:noProof/>
          <w:sz w:val="24"/>
          <w:lang w:val="en-IE"/>
        </w:rPr>
        <w:t>to track progress in the EU and in Member States</w:t>
      </w:r>
      <w:r w:rsidR="00BF70A2" w:rsidRPr="006C677A"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="00105850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AC5569">
        <w:rPr>
          <w:rFonts w:ascii="Times New Roman" w:eastAsia="Calibri" w:hAnsi="Times New Roman" w:cs="Times New Roman"/>
          <w:noProof/>
          <w:sz w:val="24"/>
          <w:lang w:val="en-IE"/>
        </w:rPr>
        <w:t xml:space="preserve">Other </w:t>
      </w:r>
      <w:r w:rsidR="00AC5569" w:rsidRPr="008B6AE6">
        <w:rPr>
          <w:rFonts w:ascii="Times New Roman" w:eastAsia="Calibri" w:hAnsi="Times New Roman" w:cs="Times New Roman"/>
          <w:noProof/>
          <w:sz w:val="24"/>
          <w:lang w:val="en-IE"/>
        </w:rPr>
        <w:t>EU institutions</w:t>
      </w:r>
      <w:r w:rsidR="00AC5569">
        <w:rPr>
          <w:rFonts w:ascii="Times New Roman" w:eastAsia="Calibri" w:hAnsi="Times New Roman" w:cs="Times New Roman"/>
          <w:noProof/>
          <w:sz w:val="24"/>
          <w:lang w:val="en-IE"/>
        </w:rPr>
        <w:t xml:space="preserve"> we</w:t>
      </w:r>
      <w:r w:rsidR="00E13C55">
        <w:rPr>
          <w:rFonts w:ascii="Times New Roman" w:eastAsia="Calibri" w:hAnsi="Times New Roman" w:cs="Times New Roman"/>
          <w:noProof/>
          <w:sz w:val="24"/>
          <w:lang w:val="en-IE"/>
        </w:rPr>
        <w:t xml:space="preserve">lcomed the monitoring framework and in </w:t>
      </w:r>
      <w:r w:rsidR="00AC5569">
        <w:rPr>
          <w:rFonts w:ascii="Times New Roman" w:eastAsia="Calibri" w:hAnsi="Times New Roman" w:cs="Times New Roman"/>
          <w:noProof/>
          <w:sz w:val="24"/>
          <w:lang w:val="en-IE"/>
        </w:rPr>
        <w:t xml:space="preserve">the context of its revision they have emphasised the need to put a </w:t>
      </w:r>
      <w:r w:rsidR="00AC5569" w:rsidRPr="00271DD4">
        <w:rPr>
          <w:rFonts w:ascii="Times New Roman" w:eastAsia="Calibri" w:hAnsi="Times New Roman" w:cs="Times New Roman"/>
          <w:noProof/>
          <w:sz w:val="24"/>
          <w:lang w:val="en-IE"/>
        </w:rPr>
        <w:t>greater focus on the production side rather than focusing</w:t>
      </w:r>
      <w:r w:rsidR="00AC5569">
        <w:rPr>
          <w:rFonts w:ascii="Times New Roman" w:eastAsia="Calibri" w:hAnsi="Times New Roman" w:cs="Times New Roman"/>
          <w:noProof/>
          <w:sz w:val="24"/>
          <w:lang w:val="en-IE"/>
        </w:rPr>
        <w:t xml:space="preserve"> on waste and to use </w:t>
      </w:r>
      <w:r w:rsidR="00AC5569" w:rsidRPr="00271DD4">
        <w:rPr>
          <w:rFonts w:ascii="Times New Roman" w:eastAsia="Calibri" w:hAnsi="Times New Roman" w:cs="Times New Roman"/>
          <w:noProof/>
          <w:sz w:val="24"/>
          <w:lang w:val="en-IE"/>
        </w:rPr>
        <w:t>footprint</w:t>
      </w:r>
      <w:r w:rsidR="00AC5569" w:rsidDel="00051BBA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AC5569">
        <w:rPr>
          <w:rFonts w:ascii="Times New Roman" w:eastAsia="Calibri" w:hAnsi="Times New Roman" w:cs="Times New Roman"/>
          <w:noProof/>
          <w:sz w:val="24"/>
          <w:lang w:val="en-IE"/>
        </w:rPr>
        <w:t>indicators</w:t>
      </w:r>
      <w:r w:rsidR="00AC5569"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. </w:t>
      </w:r>
    </w:p>
    <w:p w14:paraId="3479A03A" w14:textId="3484455A" w:rsidR="00942A7A" w:rsidRDefault="00455BE0" w:rsidP="006C677A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6C677A">
        <w:rPr>
          <w:rFonts w:ascii="Times New Roman" w:eastAsia="Calibri" w:hAnsi="Times New Roman" w:cs="Times New Roman"/>
          <w:noProof/>
          <w:sz w:val="24"/>
          <w:lang w:val="en-IE"/>
        </w:rPr>
        <w:t>In line with the commitment in</w:t>
      </w:r>
      <w:r w:rsidR="00B04B00" w:rsidRPr="006C677A">
        <w:rPr>
          <w:rFonts w:ascii="Times New Roman" w:eastAsia="Calibri" w:hAnsi="Times New Roman" w:cs="Times New Roman"/>
          <w:noProof/>
          <w:sz w:val="24"/>
          <w:lang w:val="en-IE"/>
        </w:rPr>
        <w:t xml:space="preserve"> the </w:t>
      </w:r>
      <w:r w:rsidR="00A25D9F" w:rsidRPr="006C677A">
        <w:rPr>
          <w:rFonts w:ascii="Times New Roman" w:eastAsia="Calibri" w:hAnsi="Times New Roman" w:cs="Times New Roman"/>
          <w:noProof/>
          <w:sz w:val="24"/>
          <w:lang w:val="en-IE"/>
        </w:rPr>
        <w:t xml:space="preserve">new </w:t>
      </w:r>
      <w:r w:rsidR="00B04B00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circular</w:t>
      </w:r>
      <w:r w:rsidR="00105850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</w:t>
      </w:r>
      <w:r w:rsidR="00B04B00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economy action plan for a cleaner and more competitive Europe</w:t>
      </w:r>
      <w:r w:rsidRPr="006C677A">
        <w:rPr>
          <w:rStyle w:val="FootnoteReference"/>
          <w:rFonts w:ascii="Times New Roman" w:eastAsia="Calibri" w:hAnsi="Times New Roman" w:cs="Times New Roman"/>
          <w:bCs/>
          <w:noProof/>
          <w:sz w:val="24"/>
          <w:lang w:val="en-IE"/>
        </w:rPr>
        <w:footnoteReference w:id="15"/>
      </w:r>
      <w:r w:rsidR="00B04B00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>,</w:t>
      </w:r>
      <w:r w:rsidR="00B04B00" w:rsidRPr="006C677A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6C677A">
        <w:rPr>
          <w:rFonts w:ascii="Times New Roman" w:eastAsia="Calibri" w:hAnsi="Times New Roman" w:cs="Times New Roman"/>
          <w:noProof/>
          <w:sz w:val="24"/>
          <w:lang w:val="en-IE"/>
        </w:rPr>
        <w:t>t</w:t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his c</w:t>
      </w:r>
      <w:r w:rsidR="00B04B00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ommunication presents</w:t>
      </w:r>
      <w:r w:rsidR="00B04B00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a revised </w:t>
      </w: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monitoring framework</w:t>
      </w:r>
      <w:r w:rsidR="00C64342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that</w:t>
      </w:r>
      <w:r w:rsidR="00B04B00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</w:t>
      </w:r>
      <w:r w:rsidR="00A645E4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captures</w:t>
      </w:r>
      <w:r w:rsidR="00A25D9F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the</w:t>
      </w:r>
      <w:r w:rsidR="00E13C55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circular economy</w:t>
      </w:r>
      <w:r w:rsidR="00A25D9F"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focus areas and the interlinkages between circularity, climate neutrality and the zero pollution ambition</w:t>
      </w:r>
      <w:r w:rsidR="00A25D9F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 This</w:t>
      </w:r>
      <w:r w:rsidR="00A645E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monitoring</w:t>
      </w:r>
      <w:r w:rsidR="00A25D9F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framework </w:t>
      </w:r>
      <w:r w:rsidR="00A645E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takes account</w:t>
      </w:r>
      <w:r w:rsidR="00B04B00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of </w:t>
      </w:r>
      <w:r w:rsidR="00A645E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the circular economy </w:t>
      </w:r>
      <w:r w:rsidR="00B73918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priorities</w:t>
      </w:r>
      <w:r w:rsidR="00A645E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in the context of </w:t>
      </w:r>
      <w:r w:rsidR="00E13C55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the European Green Deal, </w:t>
      </w:r>
      <w:r w:rsidR="00B04B00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the 8</w:t>
      </w:r>
      <w:r w:rsidR="00B04B00" w:rsidRPr="006C677A">
        <w:rPr>
          <w:rFonts w:ascii="Times New Roman" w:eastAsia="Calibri" w:hAnsi="Times New Roman" w:cs="Times New Roman"/>
          <w:noProof/>
          <w:sz w:val="24"/>
          <w:szCs w:val="24"/>
          <w:vertAlign w:val="superscript"/>
          <w:lang w:val="en-IE"/>
        </w:rPr>
        <w:t>th</w:t>
      </w:r>
      <w:r w:rsidR="00E13C5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="00B04B00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environment action programme, the 2030 agenda for sustainable development and the EU’s security of supply </w:t>
      </w:r>
      <w:r w:rsidR="006E44F8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and resilience objectives</w:t>
      </w:r>
      <w:r w:rsidR="00B04B00"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</w:t>
      </w:r>
    </w:p>
    <w:p w14:paraId="64D7229B" w14:textId="77777777" w:rsidR="00B73918" w:rsidRDefault="00B73918" w:rsidP="006C677A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</w:p>
    <w:p w14:paraId="6CBCECE5" w14:textId="0AEE947A" w:rsidR="00662549" w:rsidRPr="006C677A" w:rsidRDefault="00662549" w:rsidP="006C677A">
      <w:pPr>
        <w:pStyle w:val="ListParagraph"/>
        <w:numPr>
          <w:ilvl w:val="0"/>
          <w:numId w:val="1"/>
        </w:numPr>
        <w:spacing w:after="120" w:line="276" w:lineRule="auto"/>
        <w:contextualSpacing w:val="0"/>
        <w:jc w:val="both"/>
        <w:outlineLvl w:val="0"/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</w:pPr>
      <w:r w:rsidRPr="006C677A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Revision of the EU monitoring framework for the circular economy</w:t>
      </w:r>
    </w:p>
    <w:p w14:paraId="0B18357C" w14:textId="77777777" w:rsidR="00B95398" w:rsidRPr="00271DD4" w:rsidRDefault="00B95398" w:rsidP="00B95398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The </w:t>
      </w:r>
      <w:r w:rsidRPr="00271DD4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IE"/>
        </w:rPr>
        <w:t xml:space="preserve">new monitoring framework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IE"/>
        </w:rPr>
        <w:t xml:space="preserve">aims to </w:t>
      </w:r>
      <w:r w:rsidRPr="00271DD4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IE"/>
        </w:rPr>
        <w:t xml:space="preserve">provide a comprehensive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IE"/>
        </w:rPr>
        <w:t>over</w:t>
      </w:r>
      <w:r w:rsidRPr="00271DD4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IE"/>
        </w:rPr>
        <w:t>view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by measuring</w:t>
      </w:r>
      <w:r w:rsidRPr="00F0633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Pr="00952DC3">
        <w:rPr>
          <w:rFonts w:ascii="Times New Roman" w:eastAsia="Calibri" w:hAnsi="Times New Roman" w:cs="Times New Roman"/>
          <w:bCs/>
          <w:noProof/>
          <w:sz w:val="24"/>
          <w:szCs w:val="24"/>
          <w:lang w:val="en-IE"/>
        </w:rPr>
        <w:t>direct and indirect benefits of increasing circularity</w:t>
      </w:r>
      <w:r w:rsidRPr="00F0633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It</w:t>
      </w:r>
      <w:r w:rsidRPr="00250DA3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comprises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Pr="00F06334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11 indicators</w:t>
      </w:r>
      <w:r w:rsidRPr="00952DC3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grouped into </w:t>
      </w:r>
      <w:r w:rsidRPr="00F06334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5 dimensions</w:t>
      </w:r>
      <w:r w:rsidRPr="00271DD4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: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(1) production and consumption; (2) waste management; (3) secondary raw materials; (4) competitiveness and innovation; and (5) global sustainability and resilience. 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It </w:t>
      </w:r>
      <w:r w:rsidRPr="00271D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includes some new indicators,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notably:</w:t>
      </w:r>
    </w:p>
    <w:p w14:paraId="3AC89E94" w14:textId="21007E4E" w:rsidR="00B95398" w:rsidRDefault="00B95398" w:rsidP="00B95398">
      <w:pPr>
        <w:pStyle w:val="ListParagraph"/>
        <w:numPr>
          <w:ilvl w:val="0"/>
          <w:numId w:val="4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M</w:t>
      </w:r>
      <w:r w:rsidRPr="00271DD4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aterial footprint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, </w:t>
      </w:r>
      <w:r w:rsidR="00D70999">
        <w:rPr>
          <w:rFonts w:ascii="Times New Roman" w:eastAsia="Calibri" w:hAnsi="Times New Roman" w:cs="Times New Roman"/>
          <w:noProof/>
          <w:sz w:val="24"/>
          <w:lang w:val="en-IE"/>
        </w:rPr>
        <w:t xml:space="preserve">measuring </w:t>
      </w:r>
      <w:r w:rsidR="00EC0DEF">
        <w:rPr>
          <w:rFonts w:ascii="Times New Roman" w:eastAsia="Calibri" w:hAnsi="Times New Roman" w:cs="Times New Roman"/>
          <w:noProof/>
          <w:sz w:val="24"/>
          <w:lang w:val="en-IE"/>
        </w:rPr>
        <w:t>the overall use of materials</w:t>
      </w:r>
      <w:r w:rsidR="00D70999">
        <w:rPr>
          <w:rFonts w:ascii="Times New Roman" w:eastAsia="Calibri" w:hAnsi="Times New Roman" w:cs="Times New Roman"/>
          <w:noProof/>
          <w:sz w:val="24"/>
          <w:lang w:val="en-IE"/>
        </w:rPr>
        <w:t xml:space="preserve"> and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reflecting 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>the amount of materials embedded in overal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l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consumption, including imported goods; </w:t>
      </w:r>
    </w:p>
    <w:p w14:paraId="3D786703" w14:textId="2AFA38F3" w:rsidR="00B95398" w:rsidRPr="00271DD4" w:rsidRDefault="00B95398" w:rsidP="00B95398">
      <w:pPr>
        <w:pStyle w:val="ListParagraph"/>
        <w:numPr>
          <w:ilvl w:val="0"/>
          <w:numId w:val="4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R</w:t>
      </w:r>
      <w:r w:rsidRPr="00271DD4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esource productivity</w:t>
      </w:r>
      <w:r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,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D70999">
        <w:rPr>
          <w:rFonts w:ascii="Times New Roman" w:eastAsia="Calibri" w:hAnsi="Times New Roman" w:cs="Times New Roman"/>
          <w:noProof/>
          <w:sz w:val="24"/>
          <w:lang w:val="en-IE"/>
        </w:rPr>
        <w:t xml:space="preserve">measuring </w:t>
      </w:r>
      <w:r w:rsidR="00EC0DEF">
        <w:rPr>
          <w:rFonts w:ascii="Times New Roman" w:eastAsia="Calibri" w:hAnsi="Times New Roman" w:cs="Times New Roman"/>
          <w:noProof/>
          <w:sz w:val="24"/>
          <w:lang w:val="en-IE"/>
        </w:rPr>
        <w:t>the amount of GDP from materials use</w:t>
      </w:r>
      <w:r w:rsidR="00D70999">
        <w:rPr>
          <w:rFonts w:ascii="Times New Roman" w:eastAsia="Calibri" w:hAnsi="Times New Roman" w:cs="Times New Roman"/>
          <w:noProof/>
          <w:sz w:val="24"/>
          <w:lang w:val="en-IE"/>
        </w:rPr>
        <w:t xml:space="preserve"> and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demonstrating 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>the efficiency in using materials in the production of goods and services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;</w:t>
      </w:r>
    </w:p>
    <w:p w14:paraId="4F14B05C" w14:textId="77777777" w:rsidR="00B95398" w:rsidRPr="00952DC3" w:rsidRDefault="00B95398" w:rsidP="00B95398">
      <w:pPr>
        <w:pStyle w:val="ListParagraph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C</w:t>
      </w:r>
      <w:r w:rsidRPr="00271DD4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onsumption footprint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, 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>compar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ing consumption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to the planetary boundaries for 16 impact categories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based on a life-cycle assessment 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and according to the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5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main areas of consumption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1551A5">
        <w:rPr>
          <w:rFonts w:ascii="Times New Roman" w:eastAsia="Calibri" w:hAnsi="Times New Roman" w:cs="Times New Roman"/>
          <w:noProof/>
          <w:sz w:val="24"/>
          <w:lang w:val="en-IE"/>
        </w:rPr>
        <w:t>(food, mobility, housing, households goods and appliances)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;</w:t>
      </w:r>
    </w:p>
    <w:p w14:paraId="67BEA431" w14:textId="5C67881C" w:rsidR="00B95398" w:rsidRPr="00271DD4" w:rsidRDefault="00B95398" w:rsidP="00B95398">
      <w:pPr>
        <w:pStyle w:val="ListParagraph"/>
        <w:numPr>
          <w:ilvl w:val="0"/>
          <w:numId w:val="4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</w:pPr>
      <w:r w:rsidRPr="00271DD4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GHG emissions from production activities</w:t>
      </w:r>
      <w:r w:rsidRPr="00952DC3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, </w:t>
      </w:r>
      <w:r w:rsidR="00102F6C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measuring </w:t>
      </w:r>
      <w:r w:rsidR="00EC0DEF">
        <w:rPr>
          <w:rFonts w:ascii="Times New Roman" w:eastAsia="Calibri" w:hAnsi="Times New Roman" w:cs="Times New Roman"/>
          <w:bCs/>
          <w:noProof/>
          <w:sz w:val="24"/>
          <w:lang w:val="en-IE"/>
        </w:rPr>
        <w:t>the GHG emissions produced by production sectors (therefore excluding emissions from households)</w:t>
      </w:r>
      <w:r w:rsidR="00102F6C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and </w:t>
      </w:r>
      <w:r w:rsidRPr="00952DC3">
        <w:rPr>
          <w:rFonts w:ascii="Times New Roman" w:eastAsia="Calibri" w:hAnsi="Times New Roman" w:cs="Times New Roman"/>
          <w:bCs/>
          <w:noProof/>
          <w:sz w:val="24"/>
          <w:lang w:val="en-IE"/>
        </w:rPr>
        <w:t>reflecting the contribution of the circular economy to climate neutrality</w:t>
      </w:r>
      <w:r>
        <w:rPr>
          <w:rFonts w:ascii="Times New Roman" w:eastAsia="Calibri" w:hAnsi="Times New Roman" w:cs="Times New Roman"/>
          <w:bCs/>
          <w:noProof/>
          <w:sz w:val="24"/>
          <w:lang w:val="en-IE"/>
        </w:rPr>
        <w:t>;</w:t>
      </w:r>
    </w:p>
    <w:p w14:paraId="17ADE5C9" w14:textId="0ADD7F1B" w:rsidR="00B95398" w:rsidRPr="00271DD4" w:rsidRDefault="00B95398" w:rsidP="00B95398">
      <w:pPr>
        <w:pStyle w:val="ListParagraph"/>
        <w:numPr>
          <w:ilvl w:val="0"/>
          <w:numId w:val="4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M</w:t>
      </w:r>
      <w:r w:rsidRPr="00271DD4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aterial dependency</w:t>
      </w:r>
      <w:r w:rsidR="00102F6C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, </w:t>
      </w:r>
      <w:r w:rsidR="00102F6C"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measuring </w:t>
      </w:r>
      <w:r w:rsidR="00EC0DEF">
        <w:rPr>
          <w:rFonts w:ascii="Times New Roman" w:eastAsia="Calibri" w:hAnsi="Times New Roman" w:cs="Times New Roman"/>
          <w:bCs/>
          <w:noProof/>
          <w:sz w:val="24"/>
          <w:lang w:val="en-IE"/>
        </w:rPr>
        <w:t>the share of imported materials on overall material use,</w:t>
      </w:r>
      <w:r w:rsidRPr="006C677A">
        <w:rPr>
          <w:rFonts w:ascii="Times New Roman" w:eastAsia="Calibri" w:hAnsi="Times New Roman" w:cs="Times New Roman"/>
          <w:bCs/>
          <w:noProof/>
          <w:sz w:val="24"/>
          <w:lang w:val="en-IE"/>
        </w:rPr>
        <w:t xml:space="preserve"> </w:t>
      </w:r>
      <w:r w:rsidRPr="006C677A">
        <w:rPr>
          <w:rFonts w:ascii="Times New Roman" w:eastAsia="Calibri" w:hAnsi="Times New Roman" w:cs="Times New Roman"/>
          <w:noProof/>
          <w:sz w:val="24"/>
          <w:lang w:val="en-IE"/>
        </w:rPr>
        <w:t>describing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how much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the 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>EU depends on imports of materials</w:t>
      </w:r>
      <w:r w:rsidRPr="00DB17E4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and reflects the contribution of the circular economy to security of supply of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materials and energy and to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the 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>EU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’s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open strategic autonomy</w:t>
      </w:r>
      <w:r w:rsidRPr="00271DD4">
        <w:rPr>
          <w:noProof/>
          <w:vertAlign w:val="superscript"/>
          <w:lang w:val="en-IE"/>
        </w:rPr>
        <w:footnoteReference w:id="16"/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.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An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indicator on self-sufficiency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for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raw materials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has been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used since 2018.</w:t>
      </w:r>
    </w:p>
    <w:p w14:paraId="05551EC6" w14:textId="77777777" w:rsidR="00B95398" w:rsidRDefault="00B95398" w:rsidP="00B95398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 w:rsidRPr="00952DC3">
        <w:rPr>
          <w:rFonts w:ascii="Times New Roman" w:eastAsia="Calibri" w:hAnsi="Times New Roman" w:cs="Times New Roman"/>
          <w:noProof/>
          <w:sz w:val="24"/>
          <w:lang w:val="en-IE"/>
        </w:rPr>
        <w:t xml:space="preserve">Further </w:t>
      </w:r>
      <w:r w:rsidRPr="00952DC3">
        <w:rPr>
          <w:rFonts w:ascii="Times New Roman" w:eastAsia="Calibri" w:hAnsi="Times New Roman" w:cs="Times New Roman"/>
          <w:bCs/>
          <w:noProof/>
          <w:sz w:val="24"/>
          <w:lang w:val="en-IE"/>
        </w:rPr>
        <w:t>changes in the sub-indicators</w:t>
      </w:r>
      <w:r w:rsidRPr="00952DC3">
        <w:rPr>
          <w:rFonts w:ascii="Times New Roman" w:eastAsia="Calibri" w:hAnsi="Times New Roman" w:cs="Times New Roman"/>
          <w:noProof/>
          <w:sz w:val="24"/>
          <w:lang w:val="en-IE"/>
        </w:rPr>
        <w:t xml:space="preserve"> are made to reflect</w:t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 xml:space="preserve"> methodological changes in some indicators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 or further align them with policy developments</w:t>
      </w:r>
      <w:r w:rsidRPr="00271DD4">
        <w:rPr>
          <w:rFonts w:ascii="Times New Roman" w:eastAsia="Calibri" w:hAnsi="Times New Roman" w:cs="Times New Roman"/>
          <w:noProof/>
          <w:sz w:val="24"/>
          <w:vertAlign w:val="superscript"/>
          <w:lang w:val="en-IE"/>
        </w:rPr>
        <w:footnoteReference w:id="17"/>
      </w:r>
      <w:r w:rsidRPr="00271DD4">
        <w:rPr>
          <w:rFonts w:ascii="Times New Roman" w:eastAsia="Calibri" w:hAnsi="Times New Roman" w:cs="Times New Roman"/>
          <w:noProof/>
          <w:sz w:val="24"/>
          <w:lang w:val="en-IE"/>
        </w:rPr>
        <w:t>.</w:t>
      </w:r>
    </w:p>
    <w:p w14:paraId="087B8FA5" w14:textId="766081D7" w:rsidR="00FF2F9A" w:rsidRPr="00450685" w:rsidRDefault="00E13C55" w:rsidP="006C677A">
      <w:pPr>
        <w:spacing w:after="12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T</w:t>
      </w:r>
      <w:r w:rsidR="00FF2F9A"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he </w:t>
      </w:r>
      <w:r w:rsidR="00FF2F9A">
        <w:rPr>
          <w:rFonts w:ascii="Times New Roman" w:eastAsia="Calibri" w:hAnsi="Times New Roman" w:cs="Times New Roman"/>
          <w:noProof/>
          <w:sz w:val="24"/>
          <w:lang w:val="en-IE"/>
        </w:rPr>
        <w:t>revision of the monitoring framework</w:t>
      </w:r>
      <w:r w:rsidR="00FF2F9A"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FF2F9A">
        <w:rPr>
          <w:rFonts w:ascii="Times New Roman" w:eastAsia="Calibri" w:hAnsi="Times New Roman" w:cs="Times New Roman"/>
          <w:noProof/>
          <w:sz w:val="24"/>
          <w:lang w:val="en-IE"/>
        </w:rPr>
        <w:t xml:space="preserve">has </w:t>
      </w:r>
      <w:r w:rsidR="00FF2F9A" w:rsidRPr="00450685">
        <w:rPr>
          <w:rFonts w:ascii="Times New Roman" w:eastAsia="Calibri" w:hAnsi="Times New Roman" w:cs="Times New Roman"/>
          <w:noProof/>
          <w:sz w:val="24"/>
          <w:lang w:val="en-IE"/>
        </w:rPr>
        <w:t>t</w:t>
      </w:r>
      <w:r w:rsidR="00BC53C8">
        <w:rPr>
          <w:rFonts w:ascii="Times New Roman" w:eastAsia="Calibri" w:hAnsi="Times New Roman" w:cs="Times New Roman"/>
          <w:noProof/>
          <w:sz w:val="24"/>
          <w:lang w:val="en-IE"/>
        </w:rPr>
        <w:t>aken</w:t>
      </w:r>
      <w:r w:rsidR="00FF2F9A"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 into account</w:t>
      </w:r>
      <w:r w:rsidR="00FF2F9A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FF2F9A" w:rsidRPr="00450685">
        <w:rPr>
          <w:rFonts w:ascii="Times New Roman" w:eastAsia="Calibri" w:hAnsi="Times New Roman" w:cs="Times New Roman"/>
          <w:noProof/>
          <w:sz w:val="24"/>
          <w:lang w:val="en-IE"/>
        </w:rPr>
        <w:t>the responses to the public consultation on the call for evidence</w:t>
      </w:r>
      <w:r w:rsidR="00FF2F9A" w:rsidRPr="00450685">
        <w:rPr>
          <w:rFonts w:ascii="Times New Roman" w:eastAsia="Calibri" w:hAnsi="Times New Roman" w:cs="Times New Roman"/>
          <w:noProof/>
          <w:sz w:val="24"/>
          <w:vertAlign w:val="superscript"/>
          <w:lang w:val="en-IE"/>
        </w:rPr>
        <w:footnoteReference w:id="18"/>
      </w:r>
      <w:r>
        <w:rPr>
          <w:rFonts w:ascii="Times New Roman" w:eastAsia="Calibri" w:hAnsi="Times New Roman" w:cs="Times New Roman"/>
          <w:noProof/>
          <w:sz w:val="24"/>
          <w:lang w:val="en-IE"/>
        </w:rPr>
        <w:t>, as well as</w:t>
      </w:r>
      <w:r w:rsidR="00FF2F9A"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 discussions with Member State representatives and stakeholder experts. The indicators also consider national, international</w:t>
      </w:r>
      <w:r w:rsidR="00FF2F9A" w:rsidRPr="00450685">
        <w:rPr>
          <w:rFonts w:ascii="Times New Roman" w:eastAsia="Calibri" w:hAnsi="Times New Roman" w:cs="Times New Roman"/>
          <w:noProof/>
          <w:sz w:val="24"/>
          <w:vertAlign w:val="superscript"/>
          <w:lang w:val="en-IE"/>
        </w:rPr>
        <w:footnoteReference w:id="19"/>
      </w:r>
      <w:r w:rsidR="00FF2F9A"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 and stakeholder</w:t>
      </w:r>
      <w:r w:rsidR="00FF2F9A" w:rsidRPr="00450685">
        <w:rPr>
          <w:rFonts w:ascii="Times New Roman" w:eastAsia="Calibri" w:hAnsi="Times New Roman" w:cs="Times New Roman"/>
          <w:noProof/>
          <w:sz w:val="24"/>
          <w:vertAlign w:val="superscript"/>
          <w:lang w:val="en-IE"/>
        </w:rPr>
        <w:footnoteReference w:id="20"/>
      </w:r>
      <w:r w:rsidR="00FF2F9A"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 actions on monitoring </w:t>
      </w:r>
      <w:r w:rsidR="00FF2F9A">
        <w:rPr>
          <w:rFonts w:ascii="Times New Roman" w:eastAsia="Calibri" w:hAnsi="Times New Roman" w:cs="Times New Roman"/>
          <w:noProof/>
          <w:sz w:val="24"/>
          <w:lang w:val="en-IE"/>
        </w:rPr>
        <w:t xml:space="preserve">the </w:t>
      </w:r>
      <w:r w:rsidR="00FF2F9A" w:rsidRPr="00450685">
        <w:rPr>
          <w:rFonts w:ascii="Times New Roman" w:eastAsia="Calibri" w:hAnsi="Times New Roman" w:cs="Times New Roman"/>
          <w:noProof/>
          <w:sz w:val="24"/>
          <w:lang w:val="en-IE"/>
        </w:rPr>
        <w:t>circular economy and sustainability</w:t>
      </w:r>
      <w:r w:rsidR="00B73918">
        <w:rPr>
          <w:rStyle w:val="FootnoteReference"/>
          <w:rFonts w:ascii="Times New Roman" w:eastAsia="Calibri" w:hAnsi="Times New Roman" w:cs="Times New Roman"/>
          <w:noProof/>
          <w:sz w:val="24"/>
          <w:lang w:val="en-IE"/>
        </w:rPr>
        <w:footnoteReference w:id="21"/>
      </w:r>
      <w:r w:rsidR="00FF2F9A" w:rsidRPr="00450685">
        <w:rPr>
          <w:rFonts w:ascii="Times New Roman" w:eastAsia="Calibri" w:hAnsi="Times New Roman" w:cs="Times New Roman"/>
          <w:noProof/>
          <w:sz w:val="24"/>
          <w:lang w:val="en-IE"/>
        </w:rPr>
        <w:t>.</w:t>
      </w:r>
    </w:p>
    <w:p w14:paraId="7F7AF37D" w14:textId="2DE0D6B1" w:rsidR="00BC53C8" w:rsidRDefault="00BC53C8" w:rsidP="00BC53C8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>
        <w:rPr>
          <w:rFonts w:ascii="Times New Roman" w:eastAsia="Calibri" w:hAnsi="Times New Roman" w:cs="Times New Roman"/>
          <w:noProof/>
          <w:sz w:val="24"/>
          <w:lang w:val="en-IE"/>
        </w:rPr>
        <w:t>T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>he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 indicators </w:t>
      </w:r>
      <w:r w:rsidR="00011D40">
        <w:rPr>
          <w:rFonts w:ascii="Times New Roman" w:eastAsia="Calibri" w:hAnsi="Times New Roman" w:cs="Times New Roman"/>
          <w:noProof/>
          <w:sz w:val="24"/>
          <w:lang w:val="en-IE"/>
        </w:rPr>
        <w:t xml:space="preserve">in the revised framework 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are consistent with other EU monitoring tools, in particular the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monitoring framework for the 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8th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e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nvironment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a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ction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p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>rogramme</w:t>
      </w:r>
      <w:r>
        <w:rPr>
          <w:rStyle w:val="FootnoteReference"/>
          <w:rFonts w:ascii="Times New Roman" w:eastAsia="Calibri" w:hAnsi="Times New Roman" w:cs="Times New Roman"/>
          <w:noProof/>
          <w:sz w:val="24"/>
          <w:lang w:val="en-IE"/>
        </w:rPr>
        <w:footnoteReference w:id="22"/>
      </w:r>
      <w:r>
        <w:rPr>
          <w:rFonts w:ascii="Times New Roman" w:eastAsia="Calibri" w:hAnsi="Times New Roman" w:cs="Times New Roman"/>
          <w:noProof/>
          <w:sz w:val="24"/>
          <w:lang w:val="en-IE"/>
        </w:rPr>
        <w:t>;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 the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z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>ero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-p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ollution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m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onitoring and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o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>utlook</w:t>
      </w:r>
      <w:r>
        <w:rPr>
          <w:rStyle w:val="FootnoteReference"/>
          <w:rFonts w:ascii="Times New Roman" w:eastAsia="Calibri" w:hAnsi="Times New Roman" w:cs="Times New Roman"/>
          <w:noProof/>
          <w:sz w:val="24"/>
          <w:lang w:val="en-IE"/>
        </w:rPr>
        <w:footnoteReference w:id="23"/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>; the EU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 indicators for the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s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ustainable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d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evelopment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g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>oals</w:t>
      </w:r>
      <w:r>
        <w:rPr>
          <w:rStyle w:val="FootnoteReference"/>
          <w:rFonts w:ascii="Times New Roman" w:eastAsia="Calibri" w:hAnsi="Times New Roman" w:cs="Times New Roman"/>
          <w:noProof/>
          <w:sz w:val="24"/>
          <w:lang w:val="en-IE"/>
        </w:rPr>
        <w:footnoteReference w:id="24"/>
      </w:r>
      <w:r>
        <w:rPr>
          <w:rFonts w:ascii="Times New Roman" w:eastAsia="Calibri" w:hAnsi="Times New Roman" w:cs="Times New Roman"/>
          <w:noProof/>
          <w:sz w:val="24"/>
          <w:lang w:val="en-IE"/>
        </w:rPr>
        <w:t>;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 and the resilience dashboard</w:t>
      </w:r>
      <w:r>
        <w:rPr>
          <w:rStyle w:val="FootnoteReference"/>
          <w:rFonts w:ascii="Times New Roman" w:eastAsia="Calibri" w:hAnsi="Times New Roman" w:cs="Times New Roman"/>
          <w:noProof/>
          <w:sz w:val="24"/>
          <w:lang w:val="en-IE"/>
        </w:rPr>
        <w:footnoteReference w:id="25"/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Pr="00BC53C8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</w:p>
    <w:p w14:paraId="2ADBFD85" w14:textId="61548078" w:rsidR="00BC53C8" w:rsidRDefault="00BC53C8" w:rsidP="00BC53C8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Most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– 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but not all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– 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indicators are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based on 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official statistics sourced by Eurostat. All indicators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meet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 the criteria of relevance, acceptance, credibility, ease of use and robustness</w:t>
      </w:r>
      <w:r w:rsidRPr="00450685">
        <w:rPr>
          <w:rFonts w:ascii="Times New Roman" w:eastAsia="Calibri" w:hAnsi="Times New Roman" w:cs="Times New Roman"/>
          <w:noProof/>
          <w:sz w:val="24"/>
          <w:vertAlign w:val="superscript"/>
          <w:lang w:val="en-IE"/>
        </w:rPr>
        <w:footnoteReference w:id="26"/>
      </w:r>
      <w:r>
        <w:rPr>
          <w:rFonts w:ascii="Times New Roman" w:eastAsia="Calibri" w:hAnsi="Times New Roman" w:cs="Times New Roman"/>
          <w:noProof/>
          <w:sz w:val="24"/>
          <w:lang w:val="en-IE"/>
        </w:rPr>
        <w:t>,</w:t>
      </w: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 and are based on existing data as much as possible. </w:t>
      </w:r>
    </w:p>
    <w:p w14:paraId="1FBAA290" w14:textId="77777777" w:rsidR="00E13C55" w:rsidRPr="009375D3" w:rsidRDefault="00E13C55" w:rsidP="00E13C55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9375D3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The framework relies to a large extent on high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-</w:t>
      </w:r>
      <w:r w:rsidRPr="009375D3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quality statistics that are available for all EU Member States, mostly using data from the European Statistical System and the research community. 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When appropriate, t</w:t>
      </w:r>
      <w:r w:rsidRPr="009375D3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he Commission, in cooperation with the relevant stakeholders, will investigate the use of new data sources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Pr="009375D3">
        <w:rPr>
          <w:rFonts w:ascii="Times New Roman" w:eastAsia="Calibri" w:hAnsi="Times New Roman" w:cs="Arial"/>
          <w:noProof/>
          <w:sz w:val="24"/>
          <w:lang w:val="en-IE"/>
        </w:rPr>
        <w:t xml:space="preserve">to further improve the monitoring framework in the future. </w:t>
      </w:r>
    </w:p>
    <w:p w14:paraId="0FB5BE10" w14:textId="01C544C5" w:rsidR="00B73918" w:rsidRPr="006C677A" w:rsidRDefault="00011D40" w:rsidP="006C677A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Eurostat will publish and maintain the new monitoring framework on its website</w:t>
      </w:r>
      <w:r w:rsidR="00AC5569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, continuously updating the indicators</w:t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 This website will continue to serve as the Commission’s entry point for finding all information about it, including indicators, time series and visualisation tools</w:t>
      </w:r>
      <w:r w:rsidRPr="006C677A">
        <w:rPr>
          <w:rStyle w:val="FootnoteReference"/>
          <w:rFonts w:ascii="Times New Roman" w:eastAsia="Calibri" w:hAnsi="Times New Roman" w:cs="Times New Roman"/>
          <w:noProof/>
          <w:sz w:val="24"/>
          <w:lang w:val="en-IE"/>
        </w:rPr>
        <w:footnoteReference w:id="27"/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</w:t>
      </w:r>
      <w:r w:rsidR="00AC5569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</w:p>
    <w:p w14:paraId="16737A20" w14:textId="00EEB0CE" w:rsidR="007527C5" w:rsidRPr="00450685" w:rsidRDefault="007527C5" w:rsidP="006C677A">
      <w:pPr>
        <w:pStyle w:val="ListParagraph"/>
        <w:numPr>
          <w:ilvl w:val="0"/>
          <w:numId w:val="1"/>
        </w:numPr>
        <w:spacing w:after="120" w:line="276" w:lineRule="auto"/>
        <w:contextualSpacing w:val="0"/>
        <w:jc w:val="both"/>
        <w:outlineLvl w:val="0"/>
        <w:rPr>
          <w:rFonts w:ascii="Times New Roman" w:eastAsia="Calibri" w:hAnsi="Times New Roman" w:cs="Times New Roman"/>
          <w:b/>
          <w:noProof/>
          <w:sz w:val="20"/>
          <w:szCs w:val="24"/>
          <w:lang w:val="en-IE"/>
        </w:rPr>
      </w:pPr>
      <w:r w:rsidRPr="00271DD4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Indicators in the monitoring framework for </w:t>
      </w:r>
      <w:r w:rsidR="00311BFD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the </w:t>
      </w:r>
      <w:r w:rsidRPr="00450685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circular economy 202</w:t>
      </w:r>
      <w:r w:rsidR="00450685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3</w:t>
      </w:r>
      <w:r w:rsidRPr="00450685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 </w:t>
      </w:r>
    </w:p>
    <w:tbl>
      <w:tblPr>
        <w:tblStyle w:val="TableGrid1"/>
        <w:tblW w:w="9464" w:type="dxa"/>
        <w:tblLook w:val="04A0" w:firstRow="1" w:lastRow="0" w:firstColumn="1" w:lastColumn="0" w:noHBand="0" w:noVBand="1"/>
      </w:tblPr>
      <w:tblGrid>
        <w:gridCol w:w="675"/>
        <w:gridCol w:w="3762"/>
        <w:gridCol w:w="3799"/>
        <w:gridCol w:w="1228"/>
      </w:tblGrid>
      <w:tr w:rsidR="00B3487B" w:rsidRPr="006C677A" w14:paraId="696364DA" w14:textId="77777777" w:rsidTr="00A83C28">
        <w:trPr>
          <w:cantSplit/>
        </w:trPr>
        <w:tc>
          <w:tcPr>
            <w:tcW w:w="675" w:type="dxa"/>
            <w:shd w:val="clear" w:color="auto" w:fill="C4BC96"/>
          </w:tcPr>
          <w:p w14:paraId="6720ED59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 xml:space="preserve">No </w:t>
            </w:r>
          </w:p>
        </w:tc>
        <w:tc>
          <w:tcPr>
            <w:tcW w:w="3762" w:type="dxa"/>
            <w:shd w:val="clear" w:color="auto" w:fill="C4BC96"/>
          </w:tcPr>
          <w:p w14:paraId="753E535C" w14:textId="5EC45E73" w:rsidR="007527C5" w:rsidRPr="006C677A" w:rsidRDefault="00B3487B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Indicator</w:t>
            </w:r>
          </w:p>
        </w:tc>
        <w:tc>
          <w:tcPr>
            <w:tcW w:w="3799" w:type="dxa"/>
            <w:shd w:val="clear" w:color="auto" w:fill="C4BC96"/>
          </w:tcPr>
          <w:p w14:paraId="7310DD11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Relevance</w:t>
            </w:r>
          </w:p>
        </w:tc>
        <w:tc>
          <w:tcPr>
            <w:tcW w:w="1228" w:type="dxa"/>
            <w:shd w:val="clear" w:color="auto" w:fill="C4BC96"/>
          </w:tcPr>
          <w:p w14:paraId="68FDBDB3" w14:textId="098B355C" w:rsidR="007527C5" w:rsidRPr="006C677A" w:rsidRDefault="00B3487B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Source</w:t>
            </w:r>
          </w:p>
        </w:tc>
      </w:tr>
      <w:tr w:rsidR="007527C5" w:rsidRPr="006C677A" w14:paraId="78DC984F" w14:textId="77777777" w:rsidTr="007527C5">
        <w:trPr>
          <w:cantSplit/>
        </w:trPr>
        <w:tc>
          <w:tcPr>
            <w:tcW w:w="9464" w:type="dxa"/>
            <w:gridSpan w:val="4"/>
            <w:shd w:val="clear" w:color="auto" w:fill="EEECE1"/>
          </w:tcPr>
          <w:p w14:paraId="2520DD75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Production and consumption</w:t>
            </w:r>
          </w:p>
        </w:tc>
      </w:tr>
      <w:tr w:rsidR="00CF2CC0" w:rsidRPr="006C677A" w14:paraId="47D4D33D" w14:textId="77777777" w:rsidTr="00A83C28">
        <w:trPr>
          <w:cantSplit/>
        </w:trPr>
        <w:tc>
          <w:tcPr>
            <w:tcW w:w="675" w:type="dxa"/>
          </w:tcPr>
          <w:p w14:paraId="41CC017D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1a-b</w:t>
            </w:r>
          </w:p>
        </w:tc>
        <w:tc>
          <w:tcPr>
            <w:tcW w:w="3762" w:type="dxa"/>
          </w:tcPr>
          <w:p w14:paraId="378D6FB9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Material consumption</w:t>
            </w:r>
          </w:p>
          <w:p w14:paraId="679965FF" w14:textId="18C15266" w:rsidR="00525E31" w:rsidRPr="006C677A" w:rsidRDefault="00B3487B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1a Material footprint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(tonnes per capita)</w:t>
            </w:r>
          </w:p>
          <w:p w14:paraId="4A61FCBD" w14:textId="25A622F3" w:rsidR="00525E31" w:rsidRPr="006C677A" w:rsidRDefault="00525E31" w:rsidP="00A7135B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1b Resource productivity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(EUR</w:t>
            </w:r>
            <w:r w:rsidR="00A7135B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/kg)</w:t>
            </w:r>
          </w:p>
        </w:tc>
        <w:tc>
          <w:tcPr>
            <w:tcW w:w="3799" w:type="dxa"/>
          </w:tcPr>
          <w:p w14:paraId="2C29C0D1" w14:textId="1992EA07" w:rsidR="007527C5" w:rsidRPr="006C677A" w:rsidRDefault="008043AC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D</w:t>
            </w:r>
            <w:r w:rsidR="007527C5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ecreasing the consumption of materials 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indicates </w:t>
            </w:r>
            <w:r w:rsidR="007527C5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decoupling economic growth from resource use</w:t>
            </w:r>
            <w:r w:rsidR="006B24A1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.</w:t>
            </w:r>
          </w:p>
        </w:tc>
        <w:tc>
          <w:tcPr>
            <w:tcW w:w="1228" w:type="dxa"/>
          </w:tcPr>
          <w:p w14:paraId="58D6E9D1" w14:textId="27817121" w:rsidR="007527C5" w:rsidRPr="006C677A" w:rsidRDefault="00B3487B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Eurostat</w:t>
            </w:r>
          </w:p>
        </w:tc>
      </w:tr>
      <w:tr w:rsidR="00CF2CC0" w:rsidRPr="006C677A" w14:paraId="2517CA5F" w14:textId="77777777" w:rsidTr="00A83C28">
        <w:trPr>
          <w:cantSplit/>
        </w:trPr>
        <w:tc>
          <w:tcPr>
            <w:tcW w:w="675" w:type="dxa"/>
          </w:tcPr>
          <w:p w14:paraId="4AB89C9B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2</w:t>
            </w:r>
          </w:p>
        </w:tc>
        <w:tc>
          <w:tcPr>
            <w:tcW w:w="3762" w:type="dxa"/>
          </w:tcPr>
          <w:p w14:paraId="275CD128" w14:textId="14E42F5A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Green public procurement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*</w:t>
            </w:r>
            <w:r w:rsidR="00CF2CC0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 </w:t>
            </w:r>
          </w:p>
        </w:tc>
        <w:tc>
          <w:tcPr>
            <w:tcW w:w="3799" w:type="dxa"/>
          </w:tcPr>
          <w:p w14:paraId="2ED0C61F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Public procurement accounts for a large share of consumption and can drive the circular economy.</w:t>
            </w:r>
          </w:p>
        </w:tc>
        <w:tc>
          <w:tcPr>
            <w:tcW w:w="1228" w:type="dxa"/>
          </w:tcPr>
          <w:p w14:paraId="1A4D5DE5" w14:textId="44481B1D" w:rsidR="007527C5" w:rsidRPr="006C677A" w:rsidRDefault="00B3487B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European Commission</w:t>
            </w:r>
          </w:p>
        </w:tc>
      </w:tr>
      <w:tr w:rsidR="00CF2CC0" w:rsidRPr="006C677A" w14:paraId="7315706D" w14:textId="77777777" w:rsidTr="00A83C28">
        <w:trPr>
          <w:cantSplit/>
        </w:trPr>
        <w:tc>
          <w:tcPr>
            <w:tcW w:w="675" w:type="dxa"/>
          </w:tcPr>
          <w:p w14:paraId="1CBB707C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3a-f</w:t>
            </w:r>
          </w:p>
        </w:tc>
        <w:tc>
          <w:tcPr>
            <w:tcW w:w="3762" w:type="dxa"/>
          </w:tcPr>
          <w:p w14:paraId="6D9DC51D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Waste generation</w:t>
            </w:r>
          </w:p>
          <w:p w14:paraId="0AF963F1" w14:textId="073CE5B4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3a Total waste generation per capita 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(kg per capita)</w:t>
            </w:r>
          </w:p>
          <w:p w14:paraId="1C7BD2BE" w14:textId="5A94DD80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3b Total waste generation (excluding major mineral waste) per GDP 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(kg per EUR)</w:t>
            </w:r>
          </w:p>
          <w:p w14:paraId="555093B8" w14:textId="77777777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3c Generation of municipal waste per capita</w:t>
            </w:r>
          </w:p>
          <w:p w14:paraId="0F3FEBBD" w14:textId="42ECD083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3d Food waste 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(kg per capita)</w:t>
            </w:r>
          </w:p>
          <w:p w14:paraId="224368BC" w14:textId="27CB43ED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3e Generation of packaging waste per capita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(kg per capita)</w:t>
            </w:r>
          </w:p>
          <w:p w14:paraId="5DD713F2" w14:textId="4EF0EC99" w:rsidR="00525E31" w:rsidRPr="006C677A" w:rsidRDefault="00525E31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3f Generation of plastic packaging waste per capita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(kg per capita)</w:t>
            </w:r>
          </w:p>
        </w:tc>
        <w:tc>
          <w:tcPr>
            <w:tcW w:w="3799" w:type="dxa"/>
          </w:tcPr>
          <w:p w14:paraId="1F250F05" w14:textId="36CD964A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In a circular economy</w:t>
            </w:r>
            <w:r w:rsidR="00311BFD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,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 waste generation is minimised.</w:t>
            </w:r>
          </w:p>
        </w:tc>
        <w:tc>
          <w:tcPr>
            <w:tcW w:w="1228" w:type="dxa"/>
          </w:tcPr>
          <w:p w14:paraId="6BBE0011" w14:textId="762C7E7A" w:rsidR="007527C5" w:rsidRPr="006C677A" w:rsidRDefault="00B3487B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Eurostat</w:t>
            </w:r>
          </w:p>
        </w:tc>
      </w:tr>
      <w:tr w:rsidR="007527C5" w:rsidRPr="006C677A" w14:paraId="0F2FD8A3" w14:textId="77777777" w:rsidTr="007527C5">
        <w:trPr>
          <w:cantSplit/>
        </w:trPr>
        <w:tc>
          <w:tcPr>
            <w:tcW w:w="9464" w:type="dxa"/>
            <w:gridSpan w:val="4"/>
            <w:shd w:val="clear" w:color="auto" w:fill="EEECE1"/>
          </w:tcPr>
          <w:p w14:paraId="1887074D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Waste management</w:t>
            </w:r>
          </w:p>
        </w:tc>
      </w:tr>
      <w:tr w:rsidR="00CF2CC0" w:rsidRPr="006C677A" w14:paraId="0B3F6F44" w14:textId="77777777" w:rsidTr="00A83C28">
        <w:trPr>
          <w:cantSplit/>
        </w:trPr>
        <w:tc>
          <w:tcPr>
            <w:tcW w:w="675" w:type="dxa"/>
          </w:tcPr>
          <w:p w14:paraId="39969984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4a-b</w:t>
            </w:r>
          </w:p>
        </w:tc>
        <w:tc>
          <w:tcPr>
            <w:tcW w:w="3762" w:type="dxa"/>
          </w:tcPr>
          <w:p w14:paraId="2E7470AC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Overall recycling rates</w:t>
            </w:r>
          </w:p>
          <w:p w14:paraId="780ED019" w14:textId="36355E09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4a Recycling rate for municipal waste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(%)</w:t>
            </w:r>
          </w:p>
          <w:p w14:paraId="618C2E8C" w14:textId="1FDF815A" w:rsidR="00525E31" w:rsidRPr="006C677A" w:rsidRDefault="00525E31" w:rsidP="00CF2CC0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4b Recycling rate for all waste excluding major mineral waste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(%)</w:t>
            </w:r>
          </w:p>
        </w:tc>
        <w:tc>
          <w:tcPr>
            <w:tcW w:w="3799" w:type="dxa"/>
          </w:tcPr>
          <w:p w14:paraId="59E2A9A4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Increasing recycling is part of the transition to a circular economy.</w:t>
            </w:r>
          </w:p>
        </w:tc>
        <w:tc>
          <w:tcPr>
            <w:tcW w:w="1228" w:type="dxa"/>
          </w:tcPr>
          <w:p w14:paraId="6792F149" w14:textId="4B8E2B8D" w:rsidR="007527C5" w:rsidRPr="006C677A" w:rsidRDefault="00B3487B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Eurostat</w:t>
            </w:r>
          </w:p>
        </w:tc>
      </w:tr>
      <w:tr w:rsidR="00CF2CC0" w:rsidRPr="006C677A" w14:paraId="3F1CC47B" w14:textId="77777777" w:rsidTr="00A83C28">
        <w:trPr>
          <w:cantSplit/>
        </w:trPr>
        <w:tc>
          <w:tcPr>
            <w:tcW w:w="675" w:type="dxa"/>
          </w:tcPr>
          <w:p w14:paraId="1B9C2CD7" w14:textId="6CCB3E13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5a-</w:t>
            </w:r>
            <w:r w:rsidR="00DC5F5D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c</w:t>
            </w:r>
          </w:p>
        </w:tc>
        <w:tc>
          <w:tcPr>
            <w:tcW w:w="3762" w:type="dxa"/>
          </w:tcPr>
          <w:p w14:paraId="7C1499F8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 xml:space="preserve">Recycling rates for specific waste streams </w:t>
            </w:r>
          </w:p>
          <w:p w14:paraId="1AA60DAF" w14:textId="754EE063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5a Recycling rate for overall packaging waste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(%)</w:t>
            </w:r>
          </w:p>
          <w:p w14:paraId="6F67B88E" w14:textId="04F2E4F2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5b Recycling rate for plastic packaging waste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(%)</w:t>
            </w:r>
          </w:p>
          <w:p w14:paraId="5171033B" w14:textId="3F0EFC50" w:rsidR="00525E31" w:rsidRPr="006C677A" w:rsidRDefault="00525E31" w:rsidP="00CF2CC0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5c Recycling rate for electrical and electronic equipment waste that is separately collected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(%)</w:t>
            </w:r>
          </w:p>
        </w:tc>
        <w:tc>
          <w:tcPr>
            <w:tcW w:w="3799" w:type="dxa"/>
          </w:tcPr>
          <w:p w14:paraId="7795C114" w14:textId="4E60CBE8" w:rsidR="007527C5" w:rsidRPr="006C677A" w:rsidRDefault="008043AC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P</w:t>
            </w:r>
            <w:r w:rsidR="007527C5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rogress in recycling key waste streams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 is essential for sustainability and resilience</w:t>
            </w:r>
            <w:r w:rsidR="007527C5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.</w:t>
            </w:r>
          </w:p>
        </w:tc>
        <w:tc>
          <w:tcPr>
            <w:tcW w:w="1228" w:type="dxa"/>
          </w:tcPr>
          <w:p w14:paraId="471D0384" w14:textId="488AAFD9" w:rsidR="007527C5" w:rsidRPr="006C677A" w:rsidRDefault="00B3487B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Eurostat</w:t>
            </w:r>
          </w:p>
        </w:tc>
      </w:tr>
      <w:tr w:rsidR="007527C5" w:rsidRPr="006C677A" w14:paraId="212D0A35" w14:textId="77777777" w:rsidTr="007527C5">
        <w:trPr>
          <w:cantSplit/>
        </w:trPr>
        <w:tc>
          <w:tcPr>
            <w:tcW w:w="9464" w:type="dxa"/>
            <w:gridSpan w:val="4"/>
            <w:shd w:val="clear" w:color="auto" w:fill="EEECE1"/>
          </w:tcPr>
          <w:p w14:paraId="4DAA813E" w14:textId="0B72AA48" w:rsidR="007527C5" w:rsidRPr="006C677A" w:rsidRDefault="00DC613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Secondary raw materials</w:t>
            </w:r>
          </w:p>
        </w:tc>
      </w:tr>
      <w:tr w:rsidR="00CF2CC0" w:rsidRPr="006C677A" w14:paraId="0A5F5B11" w14:textId="77777777" w:rsidTr="00A83C28">
        <w:trPr>
          <w:cantSplit/>
        </w:trPr>
        <w:tc>
          <w:tcPr>
            <w:tcW w:w="675" w:type="dxa"/>
          </w:tcPr>
          <w:p w14:paraId="57ED4F32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6a-b</w:t>
            </w:r>
          </w:p>
        </w:tc>
        <w:tc>
          <w:tcPr>
            <w:tcW w:w="3762" w:type="dxa"/>
          </w:tcPr>
          <w:p w14:paraId="54A155D6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 xml:space="preserve">Contribution of recycled materials to </w:t>
            </w:r>
            <w:r w:rsidR="004955CB"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 xml:space="preserve">demand for </w:t>
            </w: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 xml:space="preserve">raw materials </w:t>
            </w:r>
          </w:p>
          <w:p w14:paraId="12C6F828" w14:textId="60C07C39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6a Circular material</w:t>
            </w:r>
            <w:r w:rsidR="00102F6C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</w:t>
            </w: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use rate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(%)</w:t>
            </w:r>
          </w:p>
          <w:p w14:paraId="460416FE" w14:textId="39908584" w:rsidR="00525E31" w:rsidRPr="006C677A" w:rsidRDefault="00525E31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6b End-of-life recycling input rates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(%)</w:t>
            </w:r>
          </w:p>
        </w:tc>
        <w:tc>
          <w:tcPr>
            <w:tcW w:w="3799" w:type="dxa"/>
          </w:tcPr>
          <w:p w14:paraId="25F2E258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In a circular economy, secondary raw materials are commonly used to make new products.</w:t>
            </w:r>
          </w:p>
        </w:tc>
        <w:tc>
          <w:tcPr>
            <w:tcW w:w="1228" w:type="dxa"/>
          </w:tcPr>
          <w:p w14:paraId="71E21C2A" w14:textId="39A940FF" w:rsidR="007527C5" w:rsidRPr="006C677A" w:rsidRDefault="00B3487B" w:rsidP="00B3487B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highlight w:val="yellow"/>
                <w:lang w:val="en-IE" w:eastAsia="en-GB"/>
              </w:rPr>
            </w:pPr>
            <w:r w:rsidRPr="00B3487B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Eurostat</w:t>
            </w: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, other European Commission services</w:t>
            </w:r>
          </w:p>
        </w:tc>
      </w:tr>
      <w:tr w:rsidR="00CF2CC0" w:rsidRPr="006C677A" w14:paraId="0C4727B6" w14:textId="77777777" w:rsidTr="00A83C28">
        <w:trPr>
          <w:cantSplit/>
        </w:trPr>
        <w:tc>
          <w:tcPr>
            <w:tcW w:w="675" w:type="dxa"/>
          </w:tcPr>
          <w:p w14:paraId="07354C8F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7a-c</w:t>
            </w:r>
          </w:p>
        </w:tc>
        <w:tc>
          <w:tcPr>
            <w:tcW w:w="3762" w:type="dxa"/>
          </w:tcPr>
          <w:p w14:paraId="106E0732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Trade in recyclable raw materials</w:t>
            </w:r>
          </w:p>
          <w:p w14:paraId="2C924A95" w14:textId="574CFD7C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7a Imports from outside the EU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(tonnes)</w:t>
            </w:r>
          </w:p>
          <w:p w14:paraId="0343F632" w14:textId="0D2BD8F0" w:rsidR="00525E31" w:rsidRPr="006C677A" w:rsidRDefault="00525E31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7b Exports to outside the EU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(tonnes)</w:t>
            </w:r>
          </w:p>
          <w:p w14:paraId="22C6B1F7" w14:textId="1BF53303" w:rsidR="00525E31" w:rsidRPr="00C359B2" w:rsidRDefault="00525E31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hAnsi="Times New Roman"/>
                <w:noProof/>
                <w:color w:val="000000"/>
                <w:sz w:val="20"/>
                <w:lang w:val="fr-BE"/>
              </w:rPr>
            </w:pPr>
            <w:r w:rsidRPr="00C359B2">
              <w:rPr>
                <w:rFonts w:ascii="Times New Roman" w:hAnsi="Times New Roman"/>
                <w:noProof/>
                <w:sz w:val="20"/>
                <w:lang w:val="fr-BE"/>
              </w:rPr>
              <w:t>7c Intra-EU trade</w:t>
            </w:r>
            <w:r w:rsidR="00CF2CC0" w:rsidRPr="00CF2CC0">
              <w:rPr>
                <w:rFonts w:ascii="Times New Roman" w:hAnsi="Times New Roman" w:cs="Times New Roman"/>
                <w:noProof/>
                <w:sz w:val="20"/>
                <w:szCs w:val="20"/>
                <w:lang w:val="fr-BE"/>
              </w:rPr>
              <w:t xml:space="preserve"> (tonnes)</w:t>
            </w:r>
          </w:p>
        </w:tc>
        <w:tc>
          <w:tcPr>
            <w:tcW w:w="3799" w:type="dxa"/>
          </w:tcPr>
          <w:p w14:paraId="3BA6040F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Trade in recyclables reflects the importance of the internal market and global participation in the circular economy.</w:t>
            </w:r>
          </w:p>
        </w:tc>
        <w:tc>
          <w:tcPr>
            <w:tcW w:w="1228" w:type="dxa"/>
          </w:tcPr>
          <w:p w14:paraId="6AF6772F" w14:textId="33F379C6" w:rsidR="007527C5" w:rsidRPr="006C677A" w:rsidRDefault="00B3487B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Eurostat</w:t>
            </w:r>
          </w:p>
        </w:tc>
      </w:tr>
      <w:tr w:rsidR="007527C5" w:rsidRPr="006C677A" w14:paraId="2A70421A" w14:textId="77777777" w:rsidTr="007527C5">
        <w:trPr>
          <w:cantSplit/>
        </w:trPr>
        <w:tc>
          <w:tcPr>
            <w:tcW w:w="9464" w:type="dxa"/>
            <w:gridSpan w:val="4"/>
            <w:shd w:val="clear" w:color="auto" w:fill="EEECE1"/>
          </w:tcPr>
          <w:p w14:paraId="20CB184F" w14:textId="30DC6D75" w:rsidR="007527C5" w:rsidRPr="006C677A" w:rsidRDefault="00DC613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Competitiveness and innovation</w:t>
            </w:r>
          </w:p>
        </w:tc>
      </w:tr>
      <w:tr w:rsidR="00CF2CC0" w:rsidRPr="006C677A" w14:paraId="371201C3" w14:textId="77777777" w:rsidTr="00A83C28">
        <w:trPr>
          <w:cantSplit/>
        </w:trPr>
        <w:tc>
          <w:tcPr>
            <w:tcW w:w="675" w:type="dxa"/>
          </w:tcPr>
          <w:p w14:paraId="2FA4AA26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8a-c</w:t>
            </w:r>
          </w:p>
        </w:tc>
        <w:tc>
          <w:tcPr>
            <w:tcW w:w="3762" w:type="dxa"/>
          </w:tcPr>
          <w:p w14:paraId="7E0931B9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Private investments, jobs and gross value added</w:t>
            </w:r>
            <w:r w:rsidR="00633B0F"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 xml:space="preserve"> related to circular economy sectors</w:t>
            </w:r>
          </w:p>
          <w:p w14:paraId="3F490E4B" w14:textId="26784210" w:rsidR="00B87F56" w:rsidRPr="006C677A" w:rsidRDefault="00B87F56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8a Private investments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 GDP)</w:t>
            </w:r>
          </w:p>
          <w:p w14:paraId="70B62F7B" w14:textId="2BC051D4" w:rsidR="00B87F56" w:rsidRPr="006C677A" w:rsidRDefault="00B87F56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8b Employment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 employment)</w:t>
            </w:r>
          </w:p>
          <w:p w14:paraId="5B205150" w14:textId="1C940760" w:rsidR="00B87F56" w:rsidRPr="006C677A" w:rsidRDefault="00B87F56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8c Gross value added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 GDP)</w:t>
            </w:r>
          </w:p>
        </w:tc>
        <w:tc>
          <w:tcPr>
            <w:tcW w:w="3799" w:type="dxa"/>
          </w:tcPr>
          <w:p w14:paraId="01DC5E48" w14:textId="667B9292" w:rsidR="007527C5" w:rsidRPr="006C677A" w:rsidRDefault="00772466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T</w:t>
            </w:r>
            <w:r w:rsidR="007527C5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he circular economy 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can contribute </w:t>
            </w:r>
            <w:r w:rsidR="007527C5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to the creation of jobs and growth.</w:t>
            </w:r>
          </w:p>
        </w:tc>
        <w:tc>
          <w:tcPr>
            <w:tcW w:w="1228" w:type="dxa"/>
          </w:tcPr>
          <w:p w14:paraId="7E199910" w14:textId="7B619EAD" w:rsidR="007527C5" w:rsidRPr="006C677A" w:rsidRDefault="00B3487B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Eurostat</w:t>
            </w:r>
          </w:p>
        </w:tc>
      </w:tr>
      <w:tr w:rsidR="00CF2CC0" w:rsidRPr="006C677A" w14:paraId="14E8F385" w14:textId="77777777" w:rsidTr="00A83C28">
        <w:trPr>
          <w:cantSplit/>
        </w:trPr>
        <w:tc>
          <w:tcPr>
            <w:tcW w:w="675" w:type="dxa"/>
          </w:tcPr>
          <w:p w14:paraId="48DA657D" w14:textId="123E0772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9</w:t>
            </w:r>
          </w:p>
        </w:tc>
        <w:tc>
          <w:tcPr>
            <w:tcW w:w="3762" w:type="dxa"/>
          </w:tcPr>
          <w:p w14:paraId="3115D7FD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Green innovation</w:t>
            </w:r>
          </w:p>
          <w:p w14:paraId="7D744978" w14:textId="56D5A82C" w:rsidR="00B87F56" w:rsidRPr="006C677A" w:rsidRDefault="00B87F56" w:rsidP="00CF2CC0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9 Patents related to waste management and recycling</w:t>
            </w:r>
            <w:r w:rsidR="00CF2CC0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(number and number per million inhabitants)</w:t>
            </w:r>
          </w:p>
        </w:tc>
        <w:tc>
          <w:tcPr>
            <w:tcW w:w="3799" w:type="dxa"/>
          </w:tcPr>
          <w:p w14:paraId="7133715C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Innovative technologies related to the circular economy boost the EU’s global competitiveness.</w:t>
            </w:r>
          </w:p>
        </w:tc>
        <w:tc>
          <w:tcPr>
            <w:tcW w:w="1228" w:type="dxa"/>
          </w:tcPr>
          <w:p w14:paraId="5D90BE7F" w14:textId="4EB8D7F5" w:rsidR="007527C5" w:rsidRPr="006C677A" w:rsidRDefault="00AF39FB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Joint Research Centre based on PATSTAT</w:t>
            </w:r>
          </w:p>
        </w:tc>
      </w:tr>
      <w:tr w:rsidR="007527C5" w:rsidRPr="006C677A" w14:paraId="7FD7F552" w14:textId="77777777" w:rsidTr="007527C5">
        <w:trPr>
          <w:cantSplit/>
        </w:trPr>
        <w:tc>
          <w:tcPr>
            <w:tcW w:w="9464" w:type="dxa"/>
            <w:gridSpan w:val="4"/>
            <w:shd w:val="clear" w:color="auto" w:fill="EEECE1"/>
          </w:tcPr>
          <w:p w14:paraId="47D2DF93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Global sustainability and resilience</w:t>
            </w:r>
          </w:p>
        </w:tc>
      </w:tr>
      <w:tr w:rsidR="00CF2CC0" w:rsidRPr="006C677A" w14:paraId="25A8018E" w14:textId="77777777" w:rsidTr="00A83C28">
        <w:trPr>
          <w:cantSplit/>
        </w:trPr>
        <w:tc>
          <w:tcPr>
            <w:tcW w:w="675" w:type="dxa"/>
          </w:tcPr>
          <w:p w14:paraId="1AEB52B6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10a-b</w:t>
            </w:r>
          </w:p>
        </w:tc>
        <w:tc>
          <w:tcPr>
            <w:tcW w:w="3762" w:type="dxa"/>
          </w:tcPr>
          <w:p w14:paraId="3605DD44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>Global sustainability</w:t>
            </w:r>
          </w:p>
          <w:p w14:paraId="140D4DEF" w14:textId="55E9C9FF" w:rsidR="00B87F56" w:rsidRPr="006C677A" w:rsidRDefault="00B87F56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10a Consumption footprint</w:t>
            </w:r>
            <w:r w:rsidR="00AF39FB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(index 2010=100 and times the planetary boundaries is transgressed)</w:t>
            </w:r>
          </w:p>
          <w:p w14:paraId="50D0D6C6" w14:textId="0234378D" w:rsidR="00B87F56" w:rsidRPr="006C677A" w:rsidRDefault="00B87F56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10b GHG emissions from production activities</w:t>
            </w:r>
            <w:r w:rsidR="00AF39FB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(kg per capita)</w:t>
            </w:r>
          </w:p>
        </w:tc>
        <w:tc>
          <w:tcPr>
            <w:tcW w:w="3799" w:type="dxa"/>
          </w:tcPr>
          <w:p w14:paraId="49EA0350" w14:textId="52882553" w:rsidR="00CD6BEF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Consumption footprint </w:t>
            </w:r>
            <w:r w:rsidR="00772466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indicates the extent to which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 </w:t>
            </w:r>
            <w:r w:rsidR="00071630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production and consumption systems are within 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planetary boundaries</w:t>
            </w:r>
            <w:r w:rsidR="00CD6BEF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.</w:t>
            </w:r>
          </w:p>
          <w:p w14:paraId="4C0CC362" w14:textId="77777777" w:rsidR="00CD6BEF" w:rsidRDefault="00CD6BEF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</w:p>
          <w:p w14:paraId="76CC4EC8" w14:textId="2AB88604" w:rsidR="007527C5" w:rsidRPr="006C677A" w:rsidRDefault="00CD6BEF" w:rsidP="00CD6BEF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T</w:t>
            </w:r>
            <w:r w:rsidR="00250DA3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he circular</w:t>
            </w:r>
            <w:r w:rsidR="007527C5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 economy contributes to climate neutrality</w:t>
            </w:r>
            <w:r w:rsidR="00772466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.</w:t>
            </w:r>
          </w:p>
        </w:tc>
        <w:tc>
          <w:tcPr>
            <w:tcW w:w="1228" w:type="dxa"/>
          </w:tcPr>
          <w:p w14:paraId="16F73B3B" w14:textId="067FDBFB" w:rsidR="007527C5" w:rsidRPr="006C677A" w:rsidRDefault="00B3487B" w:rsidP="00B3487B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Joint Research Centre and Eurostat</w:t>
            </w:r>
          </w:p>
        </w:tc>
      </w:tr>
      <w:tr w:rsidR="00CF2CC0" w:rsidRPr="006C677A" w14:paraId="7382162A" w14:textId="77777777" w:rsidTr="00A83C28">
        <w:trPr>
          <w:cantSplit/>
        </w:trPr>
        <w:tc>
          <w:tcPr>
            <w:tcW w:w="675" w:type="dxa"/>
          </w:tcPr>
          <w:p w14:paraId="39506420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11a-b</w:t>
            </w:r>
          </w:p>
        </w:tc>
        <w:tc>
          <w:tcPr>
            <w:tcW w:w="3762" w:type="dxa"/>
          </w:tcPr>
          <w:p w14:paraId="5FE6D492" w14:textId="7777777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b/>
                <w:noProof/>
                <w:color w:val="000000"/>
                <w:sz w:val="20"/>
                <w:szCs w:val="20"/>
                <w:lang w:val="en-IE" w:eastAsia="en-GB"/>
              </w:rPr>
              <w:t xml:space="preserve">Resilience </w:t>
            </w:r>
          </w:p>
          <w:p w14:paraId="45EC8EBD" w14:textId="2AC110F9" w:rsidR="00B87F56" w:rsidRPr="006C677A" w:rsidRDefault="00B87F56" w:rsidP="006C677A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11a Material import dependency </w:t>
            </w:r>
            <w:r w:rsidR="00AF39FB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(%)</w:t>
            </w:r>
          </w:p>
          <w:p w14:paraId="5C1DFAA9" w14:textId="135669BB" w:rsidR="00B87F56" w:rsidRPr="006C677A" w:rsidRDefault="00B87F56" w:rsidP="006C677A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>11b EU self-sufficiency for raw materials</w:t>
            </w:r>
            <w:r w:rsidR="00AF39FB">
              <w:rPr>
                <w:rFonts w:ascii="Times New Roman" w:hAnsi="Times New Roman" w:cs="Times New Roman"/>
                <w:noProof/>
                <w:sz w:val="20"/>
                <w:szCs w:val="20"/>
                <w:lang w:val="en-IE"/>
              </w:rPr>
              <w:t xml:space="preserve"> (%)</w:t>
            </w:r>
          </w:p>
        </w:tc>
        <w:tc>
          <w:tcPr>
            <w:tcW w:w="3799" w:type="dxa"/>
          </w:tcPr>
          <w:p w14:paraId="052619D6" w14:textId="03C63B07" w:rsidR="007527C5" w:rsidRPr="006C677A" w:rsidRDefault="007527C5" w:rsidP="006C677A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The circular economy </w:t>
            </w:r>
            <w:r w:rsidR="00772466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contributes to </w:t>
            </w:r>
            <w:r w:rsidR="004955CB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the </w:t>
            </w:r>
            <w:r w:rsidR="00772466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security of supply of raw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 material</w:t>
            </w:r>
            <w:r w:rsidR="00772466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s</w:t>
            </w:r>
            <w:r w:rsidR="00A83B94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 and 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help</w:t>
            </w:r>
            <w:r w:rsidR="00772466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s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 </w:t>
            </w:r>
            <w:r w:rsidR="004955CB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to 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address supply risks, in particular </w:t>
            </w:r>
            <w:r w:rsidR="004955CB"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for </w:t>
            </w:r>
            <w:r w:rsidRPr="006C677A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critical raw materials.</w:t>
            </w:r>
          </w:p>
        </w:tc>
        <w:tc>
          <w:tcPr>
            <w:tcW w:w="1228" w:type="dxa"/>
          </w:tcPr>
          <w:p w14:paraId="21B9E48F" w14:textId="5B72D70A" w:rsidR="007527C5" w:rsidRPr="006C677A" w:rsidRDefault="00B3487B" w:rsidP="00483DE0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</w:pP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Eurostat</w:t>
            </w:r>
            <w:r w:rsidR="00483DE0"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 xml:space="preserve">, </w:t>
            </w:r>
            <w:r>
              <w:rPr>
                <w:rFonts w:ascii="Times New Roman" w:eastAsia="Cambria" w:hAnsi="Times New Roman" w:cs="Times New Roman"/>
                <w:noProof/>
                <w:color w:val="000000"/>
                <w:sz w:val="20"/>
                <w:szCs w:val="20"/>
                <w:lang w:val="en-IE" w:eastAsia="en-GB"/>
              </w:rPr>
              <w:t>other European Commission services</w:t>
            </w:r>
          </w:p>
        </w:tc>
      </w:tr>
    </w:tbl>
    <w:p w14:paraId="60994FC1" w14:textId="6ADEB622" w:rsidR="007527C5" w:rsidRPr="00450685" w:rsidRDefault="007527C5" w:rsidP="007527C5">
      <w:pPr>
        <w:spacing w:after="200" w:line="276" w:lineRule="auto"/>
        <w:jc w:val="both"/>
        <w:rPr>
          <w:rFonts w:ascii="Times New Roman" w:eastAsia="Calibri" w:hAnsi="Times New Roman" w:cs="Arial"/>
          <w:noProof/>
          <w:sz w:val="20"/>
          <w:szCs w:val="20"/>
          <w:lang w:val="en-IE"/>
        </w:rPr>
      </w:pPr>
      <w:r w:rsidRPr="00450685">
        <w:rPr>
          <w:rFonts w:ascii="Times New Roman" w:eastAsia="Calibri" w:hAnsi="Times New Roman" w:cs="Arial"/>
          <w:noProof/>
          <w:sz w:val="20"/>
          <w:szCs w:val="20"/>
          <w:lang w:val="en-IE"/>
        </w:rPr>
        <w:t>* Indicator under development</w:t>
      </w:r>
      <w:r w:rsidR="000307A1" w:rsidRPr="00450685">
        <w:rPr>
          <w:rFonts w:ascii="Times New Roman" w:eastAsia="Calibri" w:hAnsi="Times New Roman" w:cs="Arial"/>
          <w:noProof/>
          <w:sz w:val="20"/>
          <w:szCs w:val="20"/>
          <w:lang w:val="en-IE"/>
        </w:rPr>
        <w:t xml:space="preserve">. CEAP2: </w:t>
      </w:r>
      <w:r w:rsidR="004955CB">
        <w:rPr>
          <w:rFonts w:ascii="Times New Roman" w:eastAsia="Calibri" w:hAnsi="Times New Roman" w:cs="Arial"/>
          <w:noProof/>
          <w:sz w:val="20"/>
          <w:szCs w:val="20"/>
          <w:lang w:val="en-IE"/>
        </w:rPr>
        <w:t>c</w:t>
      </w:r>
      <w:r w:rsidR="000307A1" w:rsidRPr="00450685">
        <w:rPr>
          <w:rFonts w:ascii="Times New Roman" w:eastAsia="Calibri" w:hAnsi="Times New Roman" w:cs="Arial"/>
          <w:noProof/>
          <w:sz w:val="20"/>
          <w:szCs w:val="20"/>
          <w:lang w:val="en-IE"/>
        </w:rPr>
        <w:t>ircular</w:t>
      </w:r>
      <w:r w:rsidR="0051231E">
        <w:rPr>
          <w:rFonts w:ascii="Times New Roman" w:eastAsia="Calibri" w:hAnsi="Times New Roman" w:cs="Arial"/>
          <w:noProof/>
          <w:sz w:val="20"/>
          <w:szCs w:val="20"/>
          <w:lang w:val="en-IE"/>
        </w:rPr>
        <w:t>-economy</w:t>
      </w:r>
      <w:r w:rsidR="00DC5F5D" w:rsidRPr="00450685">
        <w:rPr>
          <w:rFonts w:ascii="Times New Roman" w:eastAsia="Calibri" w:hAnsi="Times New Roman" w:cs="Arial"/>
          <w:noProof/>
          <w:sz w:val="20"/>
          <w:szCs w:val="20"/>
          <w:lang w:val="en-IE"/>
        </w:rPr>
        <w:t xml:space="preserve"> </w:t>
      </w:r>
      <w:r w:rsidR="004955CB">
        <w:rPr>
          <w:rFonts w:ascii="Times New Roman" w:eastAsia="Calibri" w:hAnsi="Times New Roman" w:cs="Arial"/>
          <w:noProof/>
          <w:sz w:val="20"/>
          <w:szCs w:val="20"/>
          <w:lang w:val="en-IE"/>
        </w:rPr>
        <w:t>a</w:t>
      </w:r>
      <w:r w:rsidR="00DC5F5D" w:rsidRPr="00450685">
        <w:rPr>
          <w:rFonts w:ascii="Times New Roman" w:eastAsia="Calibri" w:hAnsi="Times New Roman" w:cs="Arial"/>
          <w:noProof/>
          <w:sz w:val="20"/>
          <w:szCs w:val="20"/>
          <w:lang w:val="en-IE"/>
        </w:rPr>
        <w:t xml:space="preserve">ction </w:t>
      </w:r>
      <w:r w:rsidR="004955CB">
        <w:rPr>
          <w:rFonts w:ascii="Times New Roman" w:eastAsia="Calibri" w:hAnsi="Times New Roman" w:cs="Arial"/>
          <w:noProof/>
          <w:sz w:val="20"/>
          <w:szCs w:val="20"/>
          <w:lang w:val="en-IE"/>
        </w:rPr>
        <w:t>p</w:t>
      </w:r>
      <w:r w:rsidR="000307A1" w:rsidRPr="00450685">
        <w:rPr>
          <w:rFonts w:ascii="Times New Roman" w:eastAsia="Calibri" w:hAnsi="Times New Roman" w:cs="Arial"/>
          <w:noProof/>
          <w:sz w:val="20"/>
          <w:szCs w:val="20"/>
          <w:lang w:val="en-IE"/>
        </w:rPr>
        <w:t>lan 2 adopted in 2020.</w:t>
      </w:r>
    </w:p>
    <w:p w14:paraId="53E07CF9" w14:textId="30B05B86" w:rsidR="007527C5" w:rsidRPr="006C677A" w:rsidRDefault="00754886" w:rsidP="006C677A">
      <w:pPr>
        <w:pStyle w:val="ListParagraph"/>
        <w:keepNext/>
        <w:numPr>
          <w:ilvl w:val="0"/>
          <w:numId w:val="1"/>
        </w:numPr>
        <w:spacing w:after="120" w:line="276" w:lineRule="auto"/>
        <w:jc w:val="both"/>
        <w:outlineLvl w:val="0"/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</w:pPr>
      <w:r>
        <w:rPr>
          <w:rFonts w:ascii="Times New Roman" w:eastAsia="Calibri" w:hAnsi="Times New Roman" w:cs="Times New Roman"/>
          <w:b/>
          <w:noProof/>
          <w:sz w:val="24"/>
          <w:lang w:val="en-IE"/>
        </w:rPr>
        <w:t>Applying the monitoring framework: main trends</w:t>
      </w:r>
    </w:p>
    <w:p w14:paraId="66273E89" w14:textId="50D1A07E" w:rsidR="007527C5" w:rsidRPr="00450685" w:rsidRDefault="007527C5" w:rsidP="007527C5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The </w:t>
      </w:r>
      <w:r w:rsidR="006F05D9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11</w:t>
      </w:r>
      <w:r w:rsidR="006F05D9"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indicators </w:t>
      </w:r>
      <w:r w:rsidR="006F05D9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make it possible to</w:t>
      </w:r>
      <w:r w:rsidR="006F05D9"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measur</w:t>
      </w:r>
      <w:r w:rsidR="006F05D9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e</w:t>
      </w:r>
      <w:r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progress towards </w:t>
      </w:r>
      <w:r w:rsidR="00081BD6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both </w:t>
      </w:r>
      <w:r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legal</w:t>
      </w:r>
      <w:r w:rsidR="006F05D9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/</w:t>
      </w:r>
      <w:r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aspirational targets and </w:t>
      </w:r>
      <w:r w:rsidR="00081BD6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broader </w:t>
      </w:r>
      <w:r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policy objectives </w:t>
      </w:r>
      <w:r w:rsidR="00921A52"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in the area of the </w:t>
      </w:r>
      <w:r w:rsidR="006F74EE"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circular </w:t>
      </w:r>
      <w:r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economy. Some material-specific sub-indicators provide important information to policy makers </w:t>
      </w:r>
      <w:r w:rsidR="006F05D9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that will enable them to</w:t>
      </w:r>
      <w:r w:rsidR="006F05D9"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Pr="004506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assess progress in key supply chains and materials.</w:t>
      </w:r>
    </w:p>
    <w:p w14:paraId="0A97050F" w14:textId="77777777" w:rsidR="007527C5" w:rsidRPr="00450685" w:rsidRDefault="007527C5" w:rsidP="007527C5">
      <w:pPr>
        <w:spacing w:after="120" w:line="276" w:lineRule="auto"/>
        <w:jc w:val="both"/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</w:pPr>
      <w:r w:rsidRPr="00450685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  <w:t>Production and consumption</w:t>
      </w:r>
    </w:p>
    <w:tbl>
      <w:tblPr>
        <w:tblStyle w:val="TableGrid1"/>
        <w:tblW w:w="0" w:type="auto"/>
        <w:tblInd w:w="108" w:type="dxa"/>
        <w:shd w:val="clear" w:color="auto" w:fill="F2F2F2"/>
        <w:tblLook w:val="04A0" w:firstRow="1" w:lastRow="0" w:firstColumn="1" w:lastColumn="0" w:noHBand="0" w:noVBand="1"/>
      </w:tblPr>
      <w:tblGrid>
        <w:gridCol w:w="9072"/>
      </w:tblGrid>
      <w:tr w:rsidR="007527C5" w:rsidRPr="00FD54E7" w14:paraId="32CB2164" w14:textId="77777777" w:rsidTr="007527C5">
        <w:tc>
          <w:tcPr>
            <w:tcW w:w="9072" w:type="dxa"/>
            <w:shd w:val="clear" w:color="auto" w:fill="F2F2F2"/>
          </w:tcPr>
          <w:p w14:paraId="5EA9CA84" w14:textId="2D0ED94F" w:rsidR="007527C5" w:rsidRPr="00450685" w:rsidRDefault="007527C5" w:rsidP="00BE40D0">
            <w:pPr>
              <w:spacing w:before="120" w:after="120"/>
              <w:jc w:val="both"/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</w:pPr>
            <w:r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There </w:t>
            </w:r>
            <w:r w:rsidR="006F05D9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has been</w:t>
            </w:r>
            <w:r w:rsidR="006F05D9"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</w:t>
            </w:r>
            <w:r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mixed progress in shifting to more circular</w:t>
            </w:r>
            <w:r w:rsidR="006F05D9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forms of</w:t>
            </w:r>
            <w:r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production and consumption</w:t>
            </w:r>
            <w:r w:rsidR="006F05D9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in recent years</w:t>
            </w:r>
            <w:r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. EU production </w:t>
            </w:r>
            <w:r w:rsidR="006F05D9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has become</w:t>
            </w:r>
            <w:r w:rsidR="006F05D9"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</w:t>
            </w:r>
            <w:r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more resource</w:t>
            </w:r>
            <w:r w:rsidR="00921A52"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-</w:t>
            </w:r>
            <w:r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efficient but EU consumption of materials and generation of waste are </w:t>
            </w:r>
            <w:r w:rsidR="006F05D9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both </w:t>
            </w:r>
            <w:r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very high and </w:t>
            </w:r>
            <w:r w:rsidR="00BE40D0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need to</w:t>
            </w:r>
            <w:r w:rsidR="00BE40D0"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</w:t>
            </w:r>
            <w:r w:rsidR="00921A52"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decrease </w:t>
            </w:r>
            <w:r w:rsidRPr="004506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in the future. </w:t>
            </w:r>
          </w:p>
        </w:tc>
      </w:tr>
    </w:tbl>
    <w:p w14:paraId="35CCC156" w14:textId="77777777" w:rsidR="007527C5" w:rsidRPr="004506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</w:p>
    <w:p w14:paraId="0B21C913" w14:textId="742851C6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 w:rsidRPr="00450685">
        <w:rPr>
          <w:rFonts w:ascii="Times New Roman" w:eastAsia="Calibri" w:hAnsi="Times New Roman" w:cs="Times New Roman"/>
          <w:noProof/>
          <w:sz w:val="24"/>
          <w:lang w:val="en-IE"/>
        </w:rPr>
        <w:t xml:space="preserve">The </w:t>
      </w:r>
      <w:r w:rsidR="006F05D9" w:rsidRPr="00B95B85">
        <w:rPr>
          <w:rFonts w:ascii="Times New Roman" w:eastAsia="Calibri" w:hAnsi="Times New Roman" w:cs="Times New Roman"/>
          <w:b/>
          <w:noProof/>
          <w:sz w:val="24"/>
          <w:lang w:val="en-IE"/>
        </w:rPr>
        <w:t xml:space="preserve">EU’s 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estimated material footprint, also referred to as raw material consumption (RMC), was 13.7 tonnes per capita in 2020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Pr="00B95B85">
        <w:rPr>
          <w:rFonts w:ascii="Times New Roman" w:eastAsia="Calibri" w:hAnsi="Times New Roman" w:cs="Arial"/>
          <w:noProof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Non-metallic minerals is the largest material category, </w:t>
      </w:r>
      <w:r w:rsidR="006F05D9">
        <w:rPr>
          <w:rFonts w:ascii="Times New Roman" w:eastAsia="Calibri" w:hAnsi="Times New Roman" w:cs="Times New Roman"/>
          <w:noProof/>
          <w:sz w:val="24"/>
          <w:lang w:val="en-IE"/>
        </w:rPr>
        <w:t>and changes in this category are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highly determined by the level of construction</w:t>
      </w:r>
      <w:r w:rsidR="00081BD6">
        <w:rPr>
          <w:rFonts w:ascii="Times New Roman" w:eastAsia="Calibri" w:hAnsi="Times New Roman" w:cs="Times New Roman"/>
          <w:noProof/>
          <w:sz w:val="24"/>
          <w:lang w:val="en-IE"/>
        </w:rPr>
        <w:t xml:space="preserve"> (and activity in construction-related sectors) in different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081BD6">
        <w:rPr>
          <w:rFonts w:ascii="Times New Roman" w:eastAsia="Calibri" w:hAnsi="Times New Roman" w:cs="Times New Roman"/>
          <w:noProof/>
          <w:sz w:val="24"/>
          <w:lang w:val="en-IE"/>
        </w:rPr>
        <w:t>Member States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.</w:t>
      </w:r>
    </w:p>
    <w:p w14:paraId="2A2BA6A9" w14:textId="77777777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</w:p>
    <w:p w14:paraId="6472F2AF" w14:textId="74285F7D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B95B85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Since 2000, the resource productivity of the EU economy </w:t>
      </w:r>
      <w:r w:rsidR="006F05D9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 xml:space="preserve">has </w:t>
      </w:r>
      <w:r w:rsidRPr="00B95B85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increased by about 35%,</w:t>
      </w:r>
      <w:r w:rsidRPr="00B95B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indicating progress in decoupling economic growth from resource use. The increase can be explained by </w:t>
      </w:r>
      <w:r w:rsidR="00823333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processes that use </w:t>
      </w:r>
      <w:r w:rsidRPr="00B95B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material</w:t>
      </w:r>
      <w:r w:rsidR="00823333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s</w:t>
      </w:r>
      <w:r w:rsidRPr="00B95B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="00823333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more </w:t>
      </w:r>
      <w:r w:rsidRPr="00B95B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efficient</w:t>
      </w:r>
      <w:r w:rsidR="00823333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ly</w:t>
      </w:r>
      <w:r w:rsidRPr="00B95B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="00FD041D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but also</w:t>
      </w:r>
      <w:r w:rsidR="00FD041D" w:rsidRPr="00B95B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by the outsourcing of material-intensive production to other parts of the world. </w:t>
      </w:r>
    </w:p>
    <w:p w14:paraId="28D5013C" w14:textId="77777777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</w:p>
    <w:p w14:paraId="0E9D3696" w14:textId="4BE43BEA" w:rsidR="007527C5" w:rsidRPr="00B95B85" w:rsidRDefault="00823333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The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>EU spend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s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around 14% of GDP (around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EUR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>2 trillion per year) on the purchase of services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 and goods through p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ublic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p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>rocurement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. </w:t>
      </w:r>
      <w:r w:rsidRPr="00B95B85">
        <w:rPr>
          <w:rFonts w:ascii="Times New Roman" w:eastAsia="Calibri" w:hAnsi="Times New Roman" w:cs="Times New Roman"/>
          <w:b/>
          <w:noProof/>
          <w:sz w:val="24"/>
          <w:lang w:val="en-IE"/>
        </w:rPr>
        <w:t>G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reen public procurement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can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therefore be a powerful tool to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>boost the circular economy and green innovation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Data for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an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indicator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on green public procurement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>will become avai</w:t>
      </w:r>
      <w:r w:rsidR="00AA4A3E" w:rsidRPr="00B95B85">
        <w:rPr>
          <w:rFonts w:ascii="Times New Roman" w:eastAsia="Calibri" w:hAnsi="Times New Roman" w:cs="Times New Roman"/>
          <w:noProof/>
          <w:sz w:val="24"/>
          <w:lang w:val="en-IE"/>
        </w:rPr>
        <w:t>l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able in 2024 through a questionnaire on </w:t>
      </w:r>
      <w:r w:rsidR="00921A52" w:rsidRPr="00B95B85">
        <w:rPr>
          <w:rFonts w:ascii="Times New Roman" w:eastAsia="Calibri" w:hAnsi="Times New Roman" w:cs="Times New Roman"/>
          <w:noProof/>
          <w:sz w:val="24"/>
          <w:lang w:val="en-IE"/>
        </w:rPr>
        <w:t>p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ublic </w:t>
      </w:r>
      <w:r w:rsidR="00921A52" w:rsidRPr="00B95B85">
        <w:rPr>
          <w:rFonts w:ascii="Times New Roman" w:eastAsia="Calibri" w:hAnsi="Times New Roman" w:cs="Times New Roman"/>
          <w:noProof/>
          <w:sz w:val="24"/>
          <w:lang w:val="en-IE"/>
        </w:rPr>
        <w:t>p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rocurement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that will be completed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by Member States</w:t>
      </w:r>
      <w:r w:rsidR="007527C5"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.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</w:p>
    <w:p w14:paraId="4043DF86" w14:textId="77777777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</w:p>
    <w:p w14:paraId="06E2F904" w14:textId="2A83CA3B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In 2020, the total waste generated in the EU by all economic activities and households amounted to 2</w:t>
      </w:r>
      <w:r w:rsidR="00823333"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15</w:t>
      </w:r>
      <w:r w:rsidR="00823333">
        <w:rPr>
          <w:rFonts w:ascii="Times New Roman" w:eastAsia="Calibri" w:hAnsi="Times New Roman" w:cs="Times New Roman"/>
          <w:noProof/>
          <w:sz w:val="24"/>
          <w:lang w:val="en-IE"/>
        </w:rPr>
        <w:t xml:space="preserve"> b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illion tonnes, i.e. 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4.8 tonnes of waste were generated per EU inhabitant in 2020. Overall waste generation decrease</w:t>
      </w:r>
      <w:r w:rsidR="00AA4A3E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d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by almost 3%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823333">
        <w:rPr>
          <w:rFonts w:ascii="Times New Roman" w:eastAsia="Calibri" w:hAnsi="Times New Roman" w:cs="Times New Roman"/>
          <w:noProof/>
          <w:sz w:val="24"/>
          <w:lang w:val="en-IE"/>
        </w:rPr>
        <w:t xml:space="preserve">between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2010</w:t>
      </w:r>
      <w:r w:rsidR="00823333">
        <w:rPr>
          <w:rFonts w:ascii="Times New Roman" w:eastAsia="Calibri" w:hAnsi="Times New Roman" w:cs="Times New Roman"/>
          <w:noProof/>
          <w:sz w:val="24"/>
          <w:lang w:val="en-IE"/>
        </w:rPr>
        <w:t xml:space="preserve"> and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2020. </w:t>
      </w:r>
      <w:r w:rsidR="00B84159" w:rsidRPr="00B95B85">
        <w:rPr>
          <w:rFonts w:ascii="Times New Roman" w:eastAsia="Calibri" w:hAnsi="Times New Roman" w:cs="Times New Roman"/>
          <w:noProof/>
          <w:sz w:val="24"/>
          <w:lang w:val="en-IE"/>
        </w:rPr>
        <w:t>A</w:t>
      </w:r>
      <w:r w:rsidR="00E04485" w:rsidRPr="00B95B85">
        <w:rPr>
          <w:rFonts w:ascii="Times New Roman" w:eastAsia="Calibri" w:hAnsi="Times New Roman" w:cs="Times New Roman"/>
          <w:noProof/>
          <w:sz w:val="24"/>
          <w:lang w:val="en-IE"/>
        </w:rPr>
        <w:t>round</w:t>
      </w:r>
      <w:r w:rsidR="00B84159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two thirds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(</w:t>
      </w:r>
      <w:r w:rsidR="003018B1" w:rsidRPr="00B95B85">
        <w:rPr>
          <w:rFonts w:ascii="Times New Roman" w:eastAsia="Calibri" w:hAnsi="Times New Roman" w:cs="Times New Roman"/>
          <w:noProof/>
          <w:sz w:val="24"/>
          <w:lang w:val="en-IE"/>
        </w:rPr>
        <w:t>64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%</w:t>
      </w:r>
      <w:r w:rsidR="00E04485" w:rsidRPr="00B95B85">
        <w:rPr>
          <w:rFonts w:ascii="Times New Roman" w:eastAsia="Calibri" w:hAnsi="Times New Roman" w:cs="Times New Roman"/>
          <w:noProof/>
          <w:sz w:val="24"/>
          <w:lang w:val="en-IE"/>
        </w:rPr>
        <w:t>)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of the total waste generated in the EU in 2020 was major mineral waste. Major mineral waste is </w:t>
      </w:r>
      <w:r w:rsidR="00823333">
        <w:rPr>
          <w:rFonts w:ascii="Times New Roman" w:eastAsia="Calibri" w:hAnsi="Times New Roman" w:cs="Times New Roman"/>
          <w:noProof/>
          <w:sz w:val="24"/>
          <w:lang w:val="en-IE"/>
        </w:rPr>
        <w:t>closely</w:t>
      </w:r>
      <w:r w:rsidR="00823333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linked to construction</w:t>
      </w:r>
      <w:r w:rsidR="00823333">
        <w:rPr>
          <w:rFonts w:ascii="Times New Roman" w:eastAsia="Calibri" w:hAnsi="Times New Roman" w:cs="Times New Roman"/>
          <w:noProof/>
          <w:sz w:val="24"/>
          <w:lang w:val="en-IE"/>
        </w:rPr>
        <w:t xml:space="preserve">,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demolition</w:t>
      </w:r>
      <w:r w:rsidR="00823333">
        <w:rPr>
          <w:rFonts w:ascii="Times New Roman" w:eastAsia="Calibri" w:hAnsi="Times New Roman" w:cs="Times New Roman"/>
          <w:noProof/>
          <w:sz w:val="24"/>
          <w:lang w:val="en-IE"/>
        </w:rPr>
        <w:t xml:space="preserve">,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mining and quarrying, which are </w:t>
      </w:r>
      <w:r w:rsidR="00823333">
        <w:rPr>
          <w:rFonts w:ascii="Times New Roman" w:eastAsia="Calibri" w:hAnsi="Times New Roman" w:cs="Times New Roman"/>
          <w:noProof/>
          <w:sz w:val="24"/>
          <w:lang w:val="en-IE"/>
        </w:rPr>
        <w:t>significant</w:t>
      </w:r>
      <w:r w:rsidR="00823333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sectors in some Member States. </w:t>
      </w:r>
      <w:r w:rsidR="00823333">
        <w:rPr>
          <w:rFonts w:ascii="Times New Roman" w:eastAsia="Calibri" w:hAnsi="Times New Roman" w:cs="Times New Roman"/>
          <w:noProof/>
          <w:sz w:val="24"/>
          <w:lang w:val="en-IE"/>
        </w:rPr>
        <w:t>In this ten-year period, t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here was 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limited decoupling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of the quantity of waste generated (excluding major mineral waste) </w:t>
      </w:r>
      <w:r w:rsidR="00081BD6">
        <w:rPr>
          <w:rFonts w:ascii="Times New Roman" w:eastAsia="Calibri" w:hAnsi="Times New Roman" w:cs="Times New Roman"/>
          <w:noProof/>
          <w:sz w:val="24"/>
          <w:lang w:val="en-IE"/>
        </w:rPr>
        <w:t>from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GDP. </w:t>
      </w:r>
    </w:p>
    <w:p w14:paraId="4C77C00E" w14:textId="77777777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</w:p>
    <w:p w14:paraId="10BC202F" w14:textId="1520877F" w:rsidR="007527C5" w:rsidRPr="00B95B85" w:rsidRDefault="007527C5" w:rsidP="006C677A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EU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municipal waste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generation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per capita</w:t>
      </w:r>
      <w:r w:rsidR="00902FDB">
        <w:rPr>
          <w:rFonts w:ascii="Times New Roman" w:eastAsia="Calibri" w:hAnsi="Times New Roman" w:cs="Times New Roman"/>
          <w:noProof/>
          <w:sz w:val="24"/>
          <w:lang w:val="en-IE"/>
        </w:rPr>
        <w:t xml:space="preserve">,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representing 10% of all waste</w:t>
      </w:r>
      <w:r w:rsidR="00902FDB">
        <w:rPr>
          <w:rFonts w:ascii="Times New Roman" w:eastAsia="Calibri" w:hAnsi="Times New Roman" w:cs="Times New Roman"/>
          <w:noProof/>
          <w:sz w:val="24"/>
          <w:lang w:val="en-IE"/>
        </w:rPr>
        <w:t>,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increased to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</w:t>
      </w:r>
      <w:r w:rsidR="008C67F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530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kg in </w:t>
      </w:r>
      <w:r w:rsidR="008C67FF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2021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compared to 503 kg per capita in 2010</w:t>
      </w:r>
      <w:r w:rsidR="00902FDB"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="00902FDB" w:rsidRPr="00B95B85" w:rsidDel="00902FDB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Reducing 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food waste</w:t>
      </w:r>
      <w:r w:rsidRPr="00B95B85">
        <w:rPr>
          <w:rFonts w:ascii="Times New Roman" w:eastAsia="Calibri" w:hAnsi="Times New Roman" w:cs="Times New Roman"/>
          <w:noProof/>
          <w:sz w:val="24"/>
          <w:vertAlign w:val="superscript"/>
          <w:lang w:val="en-IE"/>
        </w:rPr>
        <w:footnoteReference w:id="28"/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has enormous potential </w:t>
      </w:r>
      <w:r w:rsidR="00EC68A0">
        <w:rPr>
          <w:rFonts w:ascii="Times New Roman" w:eastAsia="Calibri" w:hAnsi="Times New Roman" w:cs="Times New Roman"/>
          <w:noProof/>
          <w:sz w:val="24"/>
          <w:lang w:val="en-IE"/>
        </w:rPr>
        <w:t>to</w:t>
      </w:r>
      <w:r w:rsidR="00EC68A0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>sav</w:t>
      </w:r>
      <w:r w:rsidR="00EC68A0">
        <w:rPr>
          <w:rFonts w:ascii="Times New Roman" w:eastAsia="Calibri" w:hAnsi="Times New Roman" w:cs="Times New Roman"/>
          <w:noProof/>
          <w:sz w:val="24"/>
          <w:lang w:val="en-IE"/>
        </w:rPr>
        <w:t>e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the resources we use to produce the food we eat</w:t>
      </w:r>
      <w:r w:rsidR="00276604">
        <w:rPr>
          <w:rFonts w:ascii="Times New Roman" w:eastAsia="Calibri" w:hAnsi="Times New Roman" w:cs="Times New Roman"/>
          <w:noProof/>
          <w:sz w:val="24"/>
          <w:lang w:val="en-IE"/>
        </w:rPr>
        <w:t xml:space="preserve"> and is among the drivers for food security</w:t>
      </w:r>
      <w:r w:rsidR="00276604">
        <w:rPr>
          <w:rStyle w:val="FootnoteReference"/>
          <w:rFonts w:ascii="Times New Roman" w:eastAsia="Calibri" w:hAnsi="Times New Roman" w:cs="Times New Roman"/>
          <w:noProof/>
          <w:sz w:val="24"/>
          <w:lang w:val="en-IE"/>
        </w:rPr>
        <w:footnoteReference w:id="29"/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. The 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EU generated </w:t>
      </w:r>
      <w:r w:rsidR="007A5F13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59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million tonnes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of food waste 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in 2020, equivalent to </w:t>
      </w:r>
      <w:r w:rsidR="007A5F13">
        <w:rPr>
          <w:rFonts w:ascii="Times New Roman" w:eastAsia="Calibri" w:hAnsi="Times New Roman" w:cs="Times New Roman"/>
          <w:noProof/>
          <w:sz w:val="24"/>
          <w:lang w:val="en-IE"/>
        </w:rPr>
        <w:t xml:space="preserve"> 131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kg per capita.</w:t>
      </w:r>
    </w:p>
    <w:p w14:paraId="1C2B5BC8" w14:textId="77777777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</w:p>
    <w:p w14:paraId="466CBDAE" w14:textId="3635C838" w:rsidR="007527C5" w:rsidRPr="00B95B85" w:rsidRDefault="00EC68A0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The generation of p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ackaging waste</w:t>
      </w:r>
      <w:r w:rsidR="00C248C3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in the EU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>reached 17</w:t>
      </w:r>
      <w:r w:rsidR="0034062E">
        <w:rPr>
          <w:rFonts w:ascii="Times New Roman" w:eastAsia="Calibri" w:hAnsi="Times New Roman" w:cs="Times New Roman"/>
          <w:noProof/>
          <w:sz w:val="24"/>
          <w:lang w:val="en-IE"/>
        </w:rPr>
        <w:t>8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kg per capita in </w:t>
      </w:r>
      <w:r w:rsidR="004338DB" w:rsidRPr="00B95B85">
        <w:rPr>
          <w:rFonts w:ascii="Times New Roman" w:eastAsia="Calibri" w:hAnsi="Times New Roman" w:cs="Times New Roman"/>
          <w:noProof/>
          <w:sz w:val="24"/>
          <w:lang w:val="en-IE"/>
        </w:rPr>
        <w:t>2020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, up 17% since 2010</w:t>
      </w:r>
      <w:r w:rsidR="002831B9" w:rsidRPr="00B95B85"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="00AA4A3E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19% of all EU packaging waste is plastic. </w:t>
      </w:r>
      <w:r w:rsidR="00902FDB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V</w:t>
      </w:r>
      <w:r w:rsidRPr="00B95B85">
        <w:rPr>
          <w:rFonts w:ascii="Times New Roman" w:eastAsia="Calibri" w:hAnsi="Times New Roman" w:cs="Times New Roman"/>
          <w:b/>
          <w:noProof/>
          <w:sz w:val="24"/>
          <w:lang w:val="en-IE"/>
        </w:rPr>
        <w:t xml:space="preserve">olumes of </w:t>
      </w:r>
      <w:r w:rsidR="008C67FF">
        <w:rPr>
          <w:rFonts w:ascii="Times New Roman" w:eastAsia="Calibri" w:hAnsi="Times New Roman" w:cs="Times New Roman"/>
          <w:b/>
          <w:noProof/>
          <w:sz w:val="24"/>
          <w:lang w:val="en-IE"/>
        </w:rPr>
        <w:t xml:space="preserve">plastic </w:t>
      </w:r>
      <w:r w:rsidRPr="00B95B85">
        <w:rPr>
          <w:rFonts w:ascii="Times New Roman" w:eastAsia="Calibri" w:hAnsi="Times New Roman" w:cs="Times New Roman"/>
          <w:b/>
          <w:noProof/>
          <w:sz w:val="24"/>
          <w:lang w:val="en-IE"/>
        </w:rPr>
        <w:t>packaging waste</w:t>
      </w:r>
      <w:r w:rsidR="002831B9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increased by 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2</w:t>
      </w:r>
      <w:r w:rsidR="00CA769B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5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% </w:t>
      </w:r>
      <w:r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between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</w:t>
      </w:r>
      <w:r w:rsidR="00CA769B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2010</w:t>
      </w:r>
      <w:r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and 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20</w:t>
      </w:r>
      <w:r w:rsidR="004338DB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20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,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the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greatest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increase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of</w:t>
      </w:r>
      <w:r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>all packaging waste streams.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>On average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,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each European </w:t>
      </w:r>
      <w:r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was responsible for</w:t>
      </w:r>
      <w:r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</w:t>
      </w:r>
      <w:r w:rsidR="007D79C3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35</w:t>
      </w:r>
      <w:r w:rsidR="007D79C3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 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kg of plastic packaging waste in 20</w:t>
      </w:r>
      <w:r w:rsidR="004338DB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>20</w:t>
      </w:r>
      <w:r w:rsidR="007527C5" w:rsidRPr="00B95B85">
        <w:rPr>
          <w:rFonts w:ascii="Times New Roman" w:eastAsia="Calibri" w:hAnsi="Times New Roman" w:cs="Times New Roman"/>
          <w:b/>
          <w:bCs/>
          <w:noProof/>
          <w:sz w:val="24"/>
          <w:lang w:val="en-IE"/>
        </w:rPr>
        <w:t xml:space="preserve">. </w:t>
      </w:r>
      <w:r w:rsidR="004338DB" w:rsidRPr="00B95B85">
        <w:rPr>
          <w:rFonts w:ascii="Times New Roman" w:eastAsia="Calibri" w:hAnsi="Times New Roman" w:cs="Times New Roman"/>
          <w:noProof/>
          <w:sz w:val="24"/>
          <w:lang w:val="en-IE"/>
        </w:rPr>
        <w:t>Figures for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2021 will provide insights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into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 xml:space="preserve"> the effects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of 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>the COVID-19 pandemic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 on the generation of plastic packaging waste</w:t>
      </w:r>
      <w:r w:rsidR="007527C5" w:rsidRPr="00B95B85">
        <w:rPr>
          <w:rFonts w:ascii="Times New Roman" w:eastAsia="Calibri" w:hAnsi="Times New Roman" w:cs="Times New Roman"/>
          <w:noProof/>
          <w:sz w:val="24"/>
          <w:lang w:val="en-IE"/>
        </w:rPr>
        <w:t>.</w:t>
      </w:r>
      <w:r w:rsidR="007527C5" w:rsidRPr="00B95B85">
        <w:rPr>
          <w:rFonts w:ascii="Times New Roman" w:eastAsia="Calibri" w:hAnsi="Times New Roman" w:cs="Times New Roman"/>
          <w:noProof/>
          <w:sz w:val="24"/>
          <w:highlight w:val="yellow"/>
          <w:lang w:val="en-IE"/>
        </w:rPr>
        <w:t xml:space="preserve"> </w:t>
      </w:r>
    </w:p>
    <w:p w14:paraId="54B594A0" w14:textId="77777777" w:rsidR="007527C5" w:rsidRPr="00B95B85" w:rsidRDefault="007527C5" w:rsidP="007527C5">
      <w:pPr>
        <w:spacing w:after="120" w:line="276" w:lineRule="auto"/>
        <w:jc w:val="both"/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</w:pPr>
    </w:p>
    <w:p w14:paraId="6DA81A28" w14:textId="77777777" w:rsidR="007527C5" w:rsidRPr="00B95B85" w:rsidRDefault="007527C5" w:rsidP="007527C5">
      <w:pPr>
        <w:spacing w:after="120" w:line="276" w:lineRule="auto"/>
        <w:jc w:val="both"/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</w:pPr>
      <w:r w:rsidRPr="00B95B85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  <w:t>Waste management</w:t>
      </w:r>
    </w:p>
    <w:tbl>
      <w:tblPr>
        <w:tblStyle w:val="TableGrid1"/>
        <w:tblW w:w="0" w:type="auto"/>
        <w:tblInd w:w="108" w:type="dxa"/>
        <w:shd w:val="clear" w:color="auto" w:fill="F2F2F2"/>
        <w:tblLook w:val="04A0" w:firstRow="1" w:lastRow="0" w:firstColumn="1" w:lastColumn="0" w:noHBand="0" w:noVBand="1"/>
      </w:tblPr>
      <w:tblGrid>
        <w:gridCol w:w="9072"/>
      </w:tblGrid>
      <w:tr w:rsidR="007527C5" w:rsidRPr="00FD54E7" w14:paraId="5A230E60" w14:textId="77777777" w:rsidTr="007527C5">
        <w:tc>
          <w:tcPr>
            <w:tcW w:w="9072" w:type="dxa"/>
            <w:shd w:val="clear" w:color="auto" w:fill="F2F2F2"/>
          </w:tcPr>
          <w:p w14:paraId="65005E00" w14:textId="42BE32D9" w:rsidR="007527C5" w:rsidRPr="00B95B85" w:rsidRDefault="007527C5" w:rsidP="00250DA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</w:pP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Much progress </w:t>
            </w:r>
            <w:r w:rsidR="00EC68A0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has been made 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in</w:t>
            </w:r>
            <w:r w:rsidR="00EC68A0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recent years in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</w:t>
            </w:r>
            <w:r w:rsidR="00EC68A0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managing waste</w:t>
            </w:r>
            <w:r w:rsidR="00EC68A0"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</w:t>
            </w:r>
            <w:r w:rsidR="00EC68A0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more sustainably. However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, large differences among Member States remain and there is much room for improvement in some waste streams. </w:t>
            </w:r>
          </w:p>
        </w:tc>
      </w:tr>
    </w:tbl>
    <w:p w14:paraId="0DEB53B1" w14:textId="77777777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</w:pPr>
    </w:p>
    <w:p w14:paraId="2C3F8CD0" w14:textId="60947BFF" w:rsidR="005E25D2" w:rsidRPr="005E25D2" w:rsidRDefault="007527C5" w:rsidP="007527C5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color w:val="000000"/>
          <w:position w:val="-2"/>
          <w:sz w:val="24"/>
        </w:rPr>
      </w:pP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EU 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recycling rates for municipal waste increased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 xml:space="preserve">from 38% to </w:t>
      </w:r>
      <w:r w:rsidR="008C67FF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49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 xml:space="preserve">% between 2010 and </w:t>
      </w:r>
      <w:r w:rsidR="008C67FF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2021</w:t>
      </w:r>
      <w:r w:rsidR="009F2FA9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. </w:t>
      </w:r>
      <w:r w:rsidR="009F2FA9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>S</w:t>
      </w:r>
      <w:r w:rsidR="009F2FA9" w:rsidRPr="00B95B85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 xml:space="preserve">ome </w:t>
      </w:r>
      <w:r w:rsidRPr="00B95B85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 xml:space="preserve">countries </w:t>
      </w:r>
      <w:r w:rsidR="00385C52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 xml:space="preserve">have met or </w:t>
      </w:r>
      <w:r w:rsidRPr="00B95B85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 xml:space="preserve">are </w:t>
      </w:r>
      <w:r w:rsidR="009F2FA9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 xml:space="preserve">already </w:t>
      </w:r>
      <w:r w:rsidRPr="00B95B85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>approaching the 2030 recycling target of 60%</w:t>
      </w:r>
      <w:r w:rsidRPr="00B95B85">
        <w:rPr>
          <w:rFonts w:ascii="Times New Roman" w:eastAsia="Calibri" w:hAnsi="Times New Roman" w:cs="Times New Roman"/>
          <w:noProof/>
          <w:sz w:val="24"/>
          <w:vertAlign w:val="superscript"/>
          <w:lang w:val="en-IE"/>
        </w:rPr>
        <w:footnoteReference w:id="30"/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and one country has already met the 2035 target of 65%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vertAlign w:val="superscript"/>
          <w:lang w:val="en-IE"/>
        </w:rPr>
        <w:footnoteReference w:id="31"/>
      </w:r>
      <w:r w:rsidR="009F2FA9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.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="009F2FA9" w:rsidRPr="00B95B85">
        <w:rPr>
          <w:rFonts w:ascii="Times New Roman" w:eastAsia="Calibri" w:hAnsi="Times New Roman" w:cs="Arial"/>
          <w:b/>
          <w:noProof/>
          <w:color w:val="000000"/>
          <w:position w:val="-2"/>
          <w:sz w:val="24"/>
          <w:lang w:val="en-IE"/>
        </w:rPr>
        <w:t>R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 xml:space="preserve">ecycling rates for packaging waste </w:t>
      </w:r>
      <w:r w:rsidR="007D7799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was stable at 64%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in the EU</w:t>
      </w:r>
      <w:r w:rsidR="007D7799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>between 2010</w:t>
      </w:r>
      <w:r w:rsidR="009F2FA9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 xml:space="preserve"> and </w:t>
      </w:r>
      <w:r w:rsidR="004338DB" w:rsidRPr="00B95B85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>2020</w:t>
      </w:r>
      <w:r w:rsidRPr="00B95B85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>.</w:t>
      </w:r>
      <w:r w:rsidR="005E25D2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 xml:space="preserve"> </w:t>
      </w:r>
      <w:r w:rsidR="006C6A71"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  <w:t>T</w:t>
      </w:r>
      <w:r w:rsidR="006C6A71"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he EU recycling rate for </w:t>
      </w:r>
      <w:r w:rsidR="006C6A71"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plastic packaging</w:t>
      </w:r>
      <w:r w:rsidR="006C6A71"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is significantly lower </w:t>
      </w:r>
      <w:r w:rsidR="000F720B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than the rate for all packaging waste, </w:t>
      </w:r>
      <w:r w:rsidR="006C6A71"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at </w:t>
      </w:r>
      <w:r w:rsidR="006C6A71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around </w:t>
      </w:r>
      <w:r w:rsidR="006C6A71"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38%</w:t>
      </w:r>
      <w:r w:rsidR="006C6A71"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.</w:t>
      </w:r>
    </w:p>
    <w:p w14:paraId="7421798D" w14:textId="422F5A93" w:rsidR="000307A1" w:rsidRPr="00B95B85" w:rsidRDefault="007527C5" w:rsidP="007527C5">
      <w:pPr>
        <w:spacing w:after="200" w:line="276" w:lineRule="auto"/>
        <w:jc w:val="both"/>
        <w:rPr>
          <w:rFonts w:ascii="Times New Roman" w:eastAsia="Calibri" w:hAnsi="Times New Roman" w:cs="Arial"/>
          <w:noProof/>
          <w:color w:val="000000"/>
          <w:position w:val="-2"/>
          <w:sz w:val="24"/>
          <w:lang w:val="en-IE"/>
        </w:rPr>
      </w:pP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The share of 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collected waste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electrical and electronic equipment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="009F2FA9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that is either reused or recycled has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="005E7B59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increased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in the EU</w:t>
      </w:r>
      <w:r w:rsidR="009F2FA9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, 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from 81.8% in 2010 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 xml:space="preserve">to </w:t>
      </w:r>
      <w:r w:rsidR="005E7B59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83.4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 xml:space="preserve">% in </w:t>
      </w:r>
      <w:r w:rsidR="005E7B59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2020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. </w:t>
      </w:r>
    </w:p>
    <w:p w14:paraId="5C4566E5" w14:textId="77777777" w:rsidR="007527C5" w:rsidRPr="00B95B85" w:rsidRDefault="007527C5" w:rsidP="007527C5">
      <w:pPr>
        <w:spacing w:after="120" w:line="276" w:lineRule="auto"/>
        <w:contextualSpacing/>
        <w:jc w:val="both"/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</w:pPr>
    </w:p>
    <w:p w14:paraId="6D895234" w14:textId="77777777" w:rsidR="007527C5" w:rsidRPr="00B95B85" w:rsidRDefault="007527C5" w:rsidP="007527C5">
      <w:pPr>
        <w:spacing w:after="120" w:line="276" w:lineRule="auto"/>
        <w:jc w:val="both"/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</w:pPr>
      <w:r w:rsidRPr="00B95B85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  <w:t>Secondary raw materials</w:t>
      </w:r>
    </w:p>
    <w:tbl>
      <w:tblPr>
        <w:tblStyle w:val="TableGrid1"/>
        <w:tblW w:w="0" w:type="auto"/>
        <w:tblInd w:w="108" w:type="dxa"/>
        <w:shd w:val="clear" w:color="auto" w:fill="F2F2F2"/>
        <w:tblLook w:val="04A0" w:firstRow="1" w:lastRow="0" w:firstColumn="1" w:lastColumn="0" w:noHBand="0" w:noVBand="1"/>
      </w:tblPr>
      <w:tblGrid>
        <w:gridCol w:w="9072"/>
      </w:tblGrid>
      <w:tr w:rsidR="007527C5" w:rsidRPr="00FD54E7" w14:paraId="17103792" w14:textId="77777777" w:rsidTr="007527C5">
        <w:tc>
          <w:tcPr>
            <w:tcW w:w="9072" w:type="dxa"/>
            <w:shd w:val="clear" w:color="auto" w:fill="F2F2F2"/>
          </w:tcPr>
          <w:p w14:paraId="48238E20" w14:textId="3038412A" w:rsidR="007527C5" w:rsidRPr="00B95B85" w:rsidRDefault="007527C5" w:rsidP="00250DA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</w:pP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The contribution of recycled materials to overall material demand is relatively low. Trade in secondary raw materials is increasing both </w:t>
            </w:r>
            <w:r w:rsidR="009F2FA9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with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in the EU and with </w:t>
            </w:r>
            <w:r w:rsidR="00250DA3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non-</w:t>
            </w:r>
            <w:r w:rsidR="009F2FA9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EU</w:t>
            </w:r>
            <w:r w:rsidR="009F2FA9"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countries.</w:t>
            </w:r>
          </w:p>
        </w:tc>
      </w:tr>
    </w:tbl>
    <w:p w14:paraId="64309CA0" w14:textId="77777777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</w:pPr>
    </w:p>
    <w:p w14:paraId="2079B890" w14:textId="060683F8" w:rsidR="007527C5" w:rsidRPr="00B95B85" w:rsidRDefault="007527C5" w:rsidP="007527C5">
      <w:pPr>
        <w:spacing w:after="0" w:line="276" w:lineRule="auto"/>
        <w:jc w:val="both"/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</w:pP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 xml:space="preserve">In </w:t>
      </w:r>
      <w:r w:rsidR="006A2554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2021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, recycled materials only satisf</w:t>
      </w:r>
      <w:r w:rsidR="009F2FA9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ied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 xml:space="preserve"> around </w:t>
      </w:r>
      <w:r w:rsidR="006A2554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11.7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 xml:space="preserve">% of EU demand for materials, </w:t>
      </w:r>
      <w:r w:rsidR="006A2554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1.4</w:t>
      </w:r>
      <w:r w:rsidR="006A2554"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percentage points </w:t>
      </w:r>
      <w:r w:rsidR="009F2FA9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more than in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="006A2554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2011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.</w:t>
      </w:r>
      <w:r w:rsidR="00542A12"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For a large number of materials, including many critical raw materials, the contribution </w:t>
      </w:r>
      <w:r w:rsidR="00EB4483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made by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recycled materials to satisfying demand for raw materials is still small to negligible</w:t>
      </w:r>
      <w:r w:rsidR="00EB4483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.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="00EB448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F</w:t>
      </w:r>
      <w:r w:rsidR="00EB4483"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 xml:space="preserve">or </w:t>
      </w:r>
      <w:r w:rsidR="00EA67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 xml:space="preserve">many </w:t>
      </w:r>
      <w:r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speciality metals and rare</w:t>
      </w:r>
      <w:r w:rsidR="00EB448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-</w:t>
      </w:r>
      <w:r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earth elements</w:t>
      </w:r>
      <w:r w:rsidR="00EB448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,</w:t>
      </w:r>
      <w:r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 xml:space="preserve"> the end-of-life recycling input rate is around 1%</w:t>
      </w:r>
      <w:r w:rsidR="00EB448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,</w:t>
      </w:r>
      <w:r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 xml:space="preserve"> while </w:t>
      </w:r>
      <w:r w:rsidR="00EB448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end-of-life recycling rates</w:t>
      </w:r>
      <w:r w:rsidR="00EB4483"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 xml:space="preserve"> </w:t>
      </w:r>
      <w:r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reach 1</w:t>
      </w:r>
      <w:r w:rsidR="00EA67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6</w:t>
      </w:r>
      <w:r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% for nickel</w:t>
      </w:r>
      <w:r w:rsidR="00EB448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 xml:space="preserve"> and</w:t>
      </w:r>
      <w:r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 xml:space="preserve"> 22% for cobalt</w:t>
      </w:r>
      <w:r w:rsidR="00EB448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, both of which</w:t>
      </w:r>
      <w:r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 xml:space="preserve"> </w:t>
      </w:r>
      <w:r w:rsidR="00C248C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 xml:space="preserve">are </w:t>
      </w:r>
      <w:r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>raw materials</w:t>
      </w:r>
      <w:r w:rsidR="00EB448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E"/>
        </w:rPr>
        <w:t xml:space="preserve"> used in batteries</w:t>
      </w:r>
      <w:r w:rsidRPr="00B95B85">
        <w:rPr>
          <w:rFonts w:ascii="Times New Roman" w:eastAsia="Times New Roman" w:hAnsi="Times New Roman" w:cs="Times New Roman"/>
          <w:noProof/>
          <w:color w:val="000000"/>
          <w:sz w:val="24"/>
          <w:szCs w:val="24"/>
          <w:vertAlign w:val="superscript"/>
          <w:lang w:val="en-IE"/>
        </w:rPr>
        <w:footnoteReference w:id="32"/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. </w:t>
      </w:r>
    </w:p>
    <w:p w14:paraId="78AA1D76" w14:textId="77777777" w:rsidR="007527C5" w:rsidRPr="00B95B85" w:rsidRDefault="007527C5" w:rsidP="007527C5">
      <w:pPr>
        <w:spacing w:after="200" w:line="276" w:lineRule="auto"/>
        <w:contextualSpacing/>
        <w:jc w:val="both"/>
        <w:rPr>
          <w:rFonts w:ascii="Times New Roman" w:eastAsia="Cambria" w:hAnsi="Times New Roman" w:cs="Times New Roman"/>
          <w:noProof/>
          <w:color w:val="000000"/>
          <w:position w:val="-2"/>
          <w:sz w:val="24"/>
          <w:szCs w:val="24"/>
          <w:highlight w:val="yellow"/>
          <w:lang w:val="en-IE" w:eastAsia="en-GB"/>
        </w:rPr>
      </w:pPr>
    </w:p>
    <w:p w14:paraId="31393E11" w14:textId="323E0287" w:rsidR="007527C5" w:rsidRPr="00B95B85" w:rsidRDefault="007527C5" w:rsidP="007527C5">
      <w:pPr>
        <w:spacing w:after="200" w:line="276" w:lineRule="auto"/>
        <w:contextualSpacing/>
        <w:jc w:val="both"/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</w:pP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In 2021</w:t>
      </w:r>
      <w:r w:rsidR="00EB4483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,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 the EU was overall a net importer of recyclable raw materials</w:t>
      </w:r>
      <w:r w:rsidR="00D55E8A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. H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owever</w:t>
      </w:r>
      <w:r w:rsidR="00D55E8A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,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 the indicator on trade in recyclable waste shows that the EU is currently a net exporter of </w:t>
      </w:r>
      <w:r w:rsidRPr="00B95B85">
        <w:rPr>
          <w:rFonts w:ascii="Times New Roman" w:eastAsia="Cambria" w:hAnsi="Times New Roman" w:cs="Times New Roman"/>
          <w:b/>
          <w:bCs/>
          <w:noProof/>
          <w:color w:val="000000"/>
          <w:position w:val="-2"/>
          <w:sz w:val="24"/>
          <w:lang w:val="en-IE" w:eastAsia="en-GB"/>
        </w:rPr>
        <w:t>some major recyclable waste streams</w:t>
      </w:r>
      <w:r w:rsidR="00C248C3">
        <w:rPr>
          <w:rFonts w:ascii="Times New Roman" w:eastAsia="Cambria" w:hAnsi="Times New Roman" w:cs="Times New Roman"/>
          <w:b/>
          <w:bCs/>
          <w:noProof/>
          <w:color w:val="000000"/>
          <w:position w:val="-2"/>
          <w:sz w:val="24"/>
          <w:lang w:val="en-IE" w:eastAsia="en-GB"/>
        </w:rPr>
        <w:t xml:space="preserve"> </w:t>
      </w:r>
      <w:r w:rsidR="00D55E8A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(including 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‘iron and steel’, ‘copper, aluminium and nickel’ and ‘paper and cardboard’</w:t>
      </w:r>
      <w:r w:rsidR="00D55E8A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) and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 a net importer of precious</w:t>
      </w:r>
      <w:r w:rsidR="00C248C3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-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metals waste. </w:t>
      </w:r>
      <w:r w:rsidRPr="00B95B85">
        <w:rPr>
          <w:rFonts w:ascii="Times New Roman" w:eastAsia="Cambria" w:hAnsi="Times New Roman" w:cs="Times New Roman"/>
          <w:b/>
          <w:bCs/>
          <w:noProof/>
          <w:color w:val="000000"/>
          <w:position w:val="-2"/>
          <w:sz w:val="24"/>
          <w:lang w:val="en-IE" w:eastAsia="en-GB"/>
        </w:rPr>
        <w:t>Trade within the EU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 of </w:t>
      </w:r>
      <w:r w:rsidR="00D55E8A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waste 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plastics, paper</w:t>
      </w:r>
      <w:r w:rsidR="00D55E8A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, 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cardboard, copper, aluminium, nickel and precious metals </w:t>
      </w:r>
      <w:r w:rsidRPr="00B95B85">
        <w:rPr>
          <w:rFonts w:ascii="Times New Roman" w:eastAsia="Cambria" w:hAnsi="Times New Roman" w:cs="Times New Roman"/>
          <w:b/>
          <w:bCs/>
          <w:noProof/>
          <w:color w:val="000000"/>
          <w:position w:val="-2"/>
          <w:sz w:val="24"/>
          <w:lang w:val="en-IE" w:eastAsia="en-GB"/>
        </w:rPr>
        <w:t>increased considerably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 between 2004 and 2021, </w:t>
      </w:r>
      <w:r w:rsidR="00D55E8A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enabling</w:t>
      </w:r>
      <w:r w:rsidR="00D55E8A"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 </w:t>
      </w:r>
      <w:r w:rsidR="0051231E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businesses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 to reap the benefits of the EU</w:t>
      </w:r>
      <w:r w:rsidR="00D55E8A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>’s</w:t>
      </w:r>
      <w:r w:rsidRPr="00B95B85">
        <w:rPr>
          <w:rFonts w:ascii="Times New Roman" w:eastAsia="Cambria" w:hAnsi="Times New Roman" w:cs="Times New Roman"/>
          <w:noProof/>
          <w:color w:val="000000"/>
          <w:position w:val="-2"/>
          <w:sz w:val="24"/>
          <w:lang w:val="en-IE" w:eastAsia="en-GB"/>
        </w:rPr>
        <w:t xml:space="preserve"> internal market for secondary raw materials.</w:t>
      </w:r>
      <w:r w:rsidRPr="00B95B85">
        <w:rPr>
          <w:rFonts w:ascii="Verdana" w:eastAsia="Calibri" w:hAnsi="Verdana" w:cs="Arial"/>
          <w:noProof/>
          <w:color w:val="393939"/>
          <w:sz w:val="21"/>
          <w:szCs w:val="21"/>
          <w:shd w:val="clear" w:color="auto" w:fill="FFFFFF"/>
          <w:lang w:val="en-IE"/>
        </w:rPr>
        <w:t xml:space="preserve"> </w:t>
      </w:r>
    </w:p>
    <w:p w14:paraId="7C0ED1F0" w14:textId="77777777" w:rsidR="007527C5" w:rsidRPr="00B95B85" w:rsidRDefault="007527C5" w:rsidP="007527C5">
      <w:pPr>
        <w:spacing w:after="120" w:line="276" w:lineRule="auto"/>
        <w:contextualSpacing/>
        <w:jc w:val="both"/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</w:pPr>
    </w:p>
    <w:p w14:paraId="5F98D421" w14:textId="77777777" w:rsidR="007527C5" w:rsidRPr="00B95B85" w:rsidRDefault="007527C5" w:rsidP="007527C5">
      <w:pPr>
        <w:spacing w:after="120" w:line="276" w:lineRule="auto"/>
        <w:jc w:val="both"/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</w:pPr>
      <w:r w:rsidRPr="00B95B85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IE"/>
        </w:rPr>
        <w:t>Competitiveness and innovation</w:t>
      </w:r>
    </w:p>
    <w:tbl>
      <w:tblPr>
        <w:tblStyle w:val="TableGrid1"/>
        <w:tblW w:w="0" w:type="auto"/>
        <w:tblInd w:w="108" w:type="dxa"/>
        <w:shd w:val="clear" w:color="auto" w:fill="F2F2F2"/>
        <w:tblLook w:val="04A0" w:firstRow="1" w:lastRow="0" w:firstColumn="1" w:lastColumn="0" w:noHBand="0" w:noVBand="1"/>
      </w:tblPr>
      <w:tblGrid>
        <w:gridCol w:w="9072"/>
      </w:tblGrid>
      <w:tr w:rsidR="007527C5" w:rsidRPr="00FD54E7" w14:paraId="266FB0DC" w14:textId="77777777" w:rsidTr="007527C5">
        <w:tc>
          <w:tcPr>
            <w:tcW w:w="9072" w:type="dxa"/>
            <w:shd w:val="clear" w:color="auto" w:fill="F2F2F2"/>
          </w:tcPr>
          <w:p w14:paraId="050EDE38" w14:textId="06135A5E" w:rsidR="007527C5" w:rsidRPr="00B95B85" w:rsidRDefault="007527C5" w:rsidP="00250DA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</w:pP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The circular</w:t>
            </w:r>
            <w:r w:rsidR="00D55E8A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-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economy sectors have </w:t>
            </w:r>
            <w:r w:rsidR="00D55E8A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grown</w:t>
            </w:r>
            <w:r w:rsidR="00D55E8A"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</w:t>
            </w:r>
            <w:r w:rsidR="00D55E8A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in recent years when measured by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investments, value added</w:t>
            </w:r>
            <w:r w:rsidR="00D55E8A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,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</w:t>
            </w:r>
            <w:r w:rsidR="00997F12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and 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jobs</w:t>
            </w:r>
            <w:r w:rsidR="00D55E8A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. These sectors have also become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 </w:t>
            </w:r>
            <w:r w:rsidR="00D55E8A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more 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innovati</w:t>
            </w:r>
            <w:r w:rsidR="00D55E8A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>ve</w:t>
            </w:r>
            <w:r w:rsidRPr="00B95B85">
              <w:rPr>
                <w:rFonts w:ascii="Times New Roman" w:eastAsia="Calibri" w:hAnsi="Times New Roman" w:cs="Times New Roman"/>
                <w:noProof/>
                <w:sz w:val="24"/>
                <w:lang w:val="en-IE"/>
              </w:rPr>
              <w:t xml:space="preserve">. </w:t>
            </w:r>
          </w:p>
        </w:tc>
      </w:tr>
    </w:tbl>
    <w:p w14:paraId="25E0A956" w14:textId="77777777" w:rsidR="007527C5" w:rsidRPr="00B95B85" w:rsidRDefault="007527C5" w:rsidP="007527C5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</w:pPr>
    </w:p>
    <w:p w14:paraId="36CD11AC" w14:textId="4301880D" w:rsidR="007527C5" w:rsidRPr="00997CA5" w:rsidRDefault="007527C5" w:rsidP="007527C5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</w:pP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In 2021, </w:t>
      </w:r>
      <w:r w:rsidRPr="00B95B8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private investment</w:t>
      </w:r>
      <w:r w:rsidRPr="00B95B8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in specific economic sectors relevant to the circular economy</w:t>
      </w:r>
      <w:r w:rsidR="007B268E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, namely </w:t>
      </w:r>
      <w:r w:rsidR="007B268E" w:rsidRPr="007B268E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reuse and recycling activities</w:t>
      </w:r>
      <w:r w:rsidR="007B268E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,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are estimated to have been around </w:t>
      </w:r>
      <w:r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EUR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121.6 billion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in the EU (i.e. 0.8%</w:t>
      </w:r>
      <w:r w:rsidR="00D55E8A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of EU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GDP). </w:t>
      </w:r>
      <w:r w:rsidR="003743D8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In t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he same year</w:t>
      </w:r>
      <w:r w:rsidR="003743D8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,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there were </w:t>
      </w:r>
      <w:r w:rsidRPr="00997CA5">
        <w:rPr>
          <w:rFonts w:ascii="Times New Roman" w:eastAsia="Calibri" w:hAnsi="Times New Roman" w:cs="Times New Roman"/>
          <w:b/>
          <w:noProof/>
          <w:color w:val="000000"/>
          <w:position w:val="-2"/>
          <w:sz w:val="24"/>
          <w:lang w:val="en-IE"/>
        </w:rPr>
        <w:t>4.3 million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jobs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in these sectors, an </w:t>
      </w:r>
      <w:r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increase of 11%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compared </w:t>
      </w:r>
      <w:r w:rsidR="003743D8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with</w:t>
      </w:r>
      <w:r w:rsidR="003743D8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2015. The circular</w:t>
      </w:r>
      <w:r w:rsidR="003743D8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-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economy sectors created around EUR 299 billion of </w:t>
      </w:r>
      <w:r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value added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in 2021, which represents an </w:t>
      </w:r>
      <w:r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increase of 27%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compared </w:t>
      </w:r>
      <w:r w:rsidR="003743D8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with</w:t>
      </w:r>
      <w:r w:rsidR="003743D8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2015. </w:t>
      </w:r>
    </w:p>
    <w:p w14:paraId="4F7C3A4E" w14:textId="40FF20ED" w:rsidR="007527C5" w:rsidRPr="00997CA5" w:rsidRDefault="007527C5" w:rsidP="007527C5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</w:pP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The number of </w:t>
      </w:r>
      <w:r w:rsidR="003743D8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EU registered </w:t>
      </w:r>
      <w:r w:rsidRPr="00997CA5">
        <w:rPr>
          <w:rFonts w:ascii="Times New Roman" w:eastAsia="Calibri" w:hAnsi="Times New Roman" w:cs="Times New Roman"/>
          <w:b/>
          <w:noProof/>
          <w:color w:val="000000"/>
          <w:position w:val="-2"/>
          <w:sz w:val="24"/>
          <w:szCs w:val="24"/>
          <w:lang w:val="en-IE"/>
        </w:rPr>
        <w:t>patents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on recycling and secondary raw materials</w:t>
      </w:r>
      <w:r w:rsidR="003743D8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</w:t>
      </w:r>
      <w:r w:rsidRPr="00997CA5">
        <w:rPr>
          <w:rFonts w:ascii="Times New Roman" w:eastAsia="Calibri" w:hAnsi="Times New Roman" w:cs="Times New Roman"/>
          <w:b/>
          <w:noProof/>
          <w:color w:val="000000"/>
          <w:position w:val="-2"/>
          <w:sz w:val="24"/>
          <w:szCs w:val="24"/>
          <w:lang w:val="en-IE"/>
        </w:rPr>
        <w:t>increased by 14%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between 2000 and 2019.</w:t>
      </w:r>
    </w:p>
    <w:p w14:paraId="6BD5B1C1" w14:textId="77777777" w:rsidR="007527C5" w:rsidRPr="00997CA5" w:rsidRDefault="007527C5" w:rsidP="007527C5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noProof/>
          <w:color w:val="000000"/>
          <w:position w:val="-2"/>
          <w:sz w:val="24"/>
          <w:szCs w:val="24"/>
          <w:lang w:val="en-IE"/>
        </w:rPr>
      </w:pPr>
      <w:r w:rsidRPr="00997CA5">
        <w:rPr>
          <w:rFonts w:ascii="Times New Roman" w:eastAsia="Calibri" w:hAnsi="Times New Roman" w:cs="Times New Roman"/>
          <w:b/>
          <w:i/>
          <w:noProof/>
          <w:color w:val="000000"/>
          <w:position w:val="-2"/>
          <w:sz w:val="24"/>
          <w:szCs w:val="24"/>
          <w:lang w:val="en-IE"/>
        </w:rPr>
        <w:t>Global sustainability and resilience</w:t>
      </w:r>
    </w:p>
    <w:tbl>
      <w:tblPr>
        <w:tblStyle w:val="TableGrid1"/>
        <w:tblW w:w="0" w:type="auto"/>
        <w:tblInd w:w="108" w:type="dxa"/>
        <w:shd w:val="clear" w:color="auto" w:fill="F2F2F2"/>
        <w:tblLook w:val="04A0" w:firstRow="1" w:lastRow="0" w:firstColumn="1" w:lastColumn="0" w:noHBand="0" w:noVBand="1"/>
      </w:tblPr>
      <w:tblGrid>
        <w:gridCol w:w="9072"/>
      </w:tblGrid>
      <w:tr w:rsidR="007527C5" w:rsidRPr="00FD54E7" w14:paraId="2AA385DE" w14:textId="77777777" w:rsidTr="007527C5">
        <w:trPr>
          <w:trHeight w:val="1169"/>
        </w:trPr>
        <w:tc>
          <w:tcPr>
            <w:tcW w:w="9072" w:type="dxa"/>
            <w:shd w:val="clear" w:color="auto" w:fill="F2F2F2"/>
          </w:tcPr>
          <w:p w14:paraId="001116C7" w14:textId="33F01B98" w:rsidR="007527C5" w:rsidRPr="00997CA5" w:rsidRDefault="007527C5" w:rsidP="00250DA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</w:pPr>
            <w:r w:rsidRPr="00997CA5"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  <w:t xml:space="preserve">EU consumption leads to impacts which </w:t>
            </w:r>
            <w:r w:rsidR="003743D8"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  <w:t>are crossing</w:t>
            </w:r>
            <w:r w:rsidR="003743D8" w:rsidRPr="00997CA5"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  <w:t xml:space="preserve"> </w:t>
            </w:r>
            <w:r w:rsidR="00EF6BCC"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  <w:t>certain</w:t>
            </w:r>
            <w:r w:rsidR="00EF6BCC" w:rsidRPr="00997CA5"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  <w:t xml:space="preserve"> </w:t>
            </w:r>
            <w:r w:rsidRPr="00997CA5"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  <w:t>planetary boundaries</w:t>
            </w:r>
            <w:r w:rsidR="00EF6BCC"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  <w:t>,</w:t>
            </w:r>
            <w:r w:rsidRPr="00997CA5"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  <w:t xml:space="preserve"> and</w:t>
            </w:r>
            <w:r w:rsidR="00EF6BCC"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  <w:t xml:space="preserve"> the</w:t>
            </w:r>
            <w:r w:rsidRPr="00997CA5">
              <w:rPr>
                <w:rFonts w:ascii="Times New Roman" w:eastAsia="Calibri" w:hAnsi="Times New Roman" w:cs="Times New Roman"/>
                <w:noProof/>
                <w:color w:val="000000"/>
                <w:position w:val="-2"/>
                <w:sz w:val="24"/>
                <w:szCs w:val="24"/>
                <w:lang w:val="en-IE"/>
              </w:rPr>
              <w:t xml:space="preserve"> circular economy contributes to climate neutrality. The EU is dependent on material imports, in particular for some critical raw materials needed for the green and digital transition. </w:t>
            </w:r>
          </w:p>
        </w:tc>
      </w:tr>
    </w:tbl>
    <w:p w14:paraId="5E536A9E" w14:textId="394A8DA5" w:rsidR="007527C5" w:rsidRPr="00997CA5" w:rsidRDefault="00EF6BCC" w:rsidP="007527C5">
      <w:pPr>
        <w:spacing w:before="120" w:after="200" w:line="276" w:lineRule="auto"/>
        <w:jc w:val="both"/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</w:pP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The 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EU</w:t>
      </w: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’s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</w:t>
      </w:r>
      <w:r>
        <w:rPr>
          <w:rFonts w:ascii="Times New Roman" w:eastAsia="Calibri" w:hAnsi="Times New Roman" w:cs="Times New Roman"/>
          <w:b/>
          <w:noProof/>
          <w:color w:val="000000"/>
          <w:position w:val="-2"/>
          <w:sz w:val="24"/>
          <w:szCs w:val="24"/>
          <w:lang w:val="en-IE"/>
        </w:rPr>
        <w:t>c</w:t>
      </w:r>
      <w:r w:rsidR="007527C5" w:rsidRPr="00997CA5">
        <w:rPr>
          <w:rFonts w:ascii="Times New Roman" w:eastAsia="Calibri" w:hAnsi="Times New Roman" w:cs="Times New Roman"/>
          <w:b/>
          <w:noProof/>
          <w:color w:val="000000"/>
          <w:position w:val="-2"/>
          <w:sz w:val="24"/>
          <w:szCs w:val="24"/>
          <w:lang w:val="en-IE"/>
        </w:rPr>
        <w:t>onsumption footprint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increased by </w:t>
      </w:r>
      <w:r w:rsidR="00EA679C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4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% </w:t>
      </w: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between 2010 and 202</w:t>
      </w:r>
      <w:r w:rsidR="00EA679C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1</w:t>
      </w: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. T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he Commission </w:t>
      </w: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now 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estimates that </w:t>
      </w: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the 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EU has clearly tra</w:t>
      </w: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n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sgressed the planetary boundaries for </w:t>
      </w:r>
      <w:r w:rsidR="00EA679C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five</w:t>
      </w:r>
      <w:r w:rsidR="00EA679C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impacts (particulate matter, ecotoxicity in freshwater, climate change</w:t>
      </w:r>
      <w:r w:rsidR="00997F12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,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use of fossil</w:t>
      </w:r>
      <w:r w:rsidR="00997F12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-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based resources</w:t>
      </w:r>
      <w:r w:rsidR="00EA679C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, and use of mineral and metal resources</w:t>
      </w: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).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Consumption of food (in particular animal-based products) </w:t>
      </w: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is 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emerg</w:t>
      </w: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ing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as one of the main drivers of impacts generated by </w:t>
      </w:r>
      <w:r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the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average EU citizen</w:t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vertAlign w:val="superscript"/>
          <w:lang w:val="en-IE"/>
        </w:rPr>
        <w:footnoteReference w:id="33"/>
      </w:r>
      <w:r w:rsidR="007527C5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.</w:t>
      </w:r>
    </w:p>
    <w:p w14:paraId="412E1620" w14:textId="46E00BC9" w:rsidR="007527C5" w:rsidRPr="00997CA5" w:rsidRDefault="007527C5" w:rsidP="007527C5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</w:pPr>
      <w:r w:rsidRPr="00997CA5">
        <w:rPr>
          <w:rFonts w:ascii="Times New Roman" w:eastAsia="Calibri" w:hAnsi="Times New Roman" w:cs="Times New Roman"/>
          <w:b/>
          <w:noProof/>
          <w:color w:val="000000"/>
          <w:position w:val="-2"/>
          <w:sz w:val="24"/>
          <w:lang w:val="en-IE"/>
        </w:rPr>
        <w:t>EU GHG emissions from production activities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decreased by </w:t>
      </w:r>
      <w:r w:rsidR="00596524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around 25</w:t>
      </w:r>
      <w:r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 xml:space="preserve">% </w:t>
      </w:r>
      <w:r w:rsidR="00EF6BCC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in</w:t>
      </w:r>
      <w:r w:rsidR="00EF6BCC"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 xml:space="preserve"> </w:t>
      </w:r>
      <w:r w:rsidR="00586CCC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2008-2021</w:t>
      </w:r>
      <w:r w:rsidR="00AA4A3E"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.</w:t>
      </w:r>
    </w:p>
    <w:p w14:paraId="2013A497" w14:textId="3D132925" w:rsidR="007527C5" w:rsidRPr="00997CA5" w:rsidRDefault="007527C5" w:rsidP="007527C5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</w:pP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In 2021, the </w:t>
      </w:r>
      <w:r w:rsidRPr="00997CA5">
        <w:rPr>
          <w:rFonts w:ascii="Times New Roman" w:eastAsia="Calibri" w:hAnsi="Times New Roman" w:cs="Times New Roman"/>
          <w:b/>
          <w:noProof/>
          <w:color w:val="000000"/>
          <w:position w:val="-2"/>
          <w:sz w:val="24"/>
          <w:szCs w:val="24"/>
          <w:lang w:val="en-IE"/>
        </w:rPr>
        <w:t>EU’s material import dependency was 22.9%,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</w:t>
      </w:r>
      <w:r w:rsidR="00EF6BCC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a slight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increase from 2000. </w:t>
      </w:r>
      <w:r w:rsidR="00EF6BCC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The 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EU</w:t>
      </w:r>
      <w:r w:rsidR="00EF6BCC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’s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economy is almost self-sufficient in the supply of non-metallic minerals (</w:t>
      </w:r>
      <w:r w:rsidR="00E92217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such as those destined for 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construction), while for metal ores </w:t>
      </w:r>
      <w:r w:rsidR="00EF6BCC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and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</w:t>
      </w:r>
      <w:r w:rsidR="00EF6BCC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fossil</w:t>
      </w:r>
      <w:r w:rsidR="00EF6BCC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-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energy materials the EU is highly dependent on imports from the rest of the world (</w:t>
      </w:r>
      <w:r w:rsidR="00EF6BCC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>with dependencies of</w:t>
      </w:r>
      <w:r w:rsidR="00EF6BCC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 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szCs w:val="24"/>
          <w:lang w:val="en-IE"/>
        </w:rPr>
        <w:t xml:space="preserve">52% and more than 71%, respectively). </w:t>
      </w:r>
    </w:p>
    <w:p w14:paraId="43D7F4AB" w14:textId="4F9783E9" w:rsidR="007527C5" w:rsidRPr="009375D3" w:rsidRDefault="007527C5" w:rsidP="007527C5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</w:pP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The indicator on </w:t>
      </w:r>
      <w:r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self-sufficiency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="00EF6BCC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in</w:t>
      </w:r>
      <w:r w:rsidR="00EF6BCC"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the supply of raw materials shows that</w:t>
      </w:r>
      <w:r w:rsidR="00EF6BCC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,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for </w:t>
      </w:r>
      <w:r w:rsidRPr="00997CA5">
        <w:rPr>
          <w:rFonts w:ascii="Times New Roman" w:eastAsia="Calibri" w:hAnsi="Times New Roman" w:cs="Times New Roman"/>
          <w:b/>
          <w:bCs/>
          <w:noProof/>
          <w:color w:val="000000"/>
          <w:position w:val="-2"/>
          <w:sz w:val="24"/>
          <w:lang w:val="en-IE"/>
        </w:rPr>
        <w:t>critical raw materials</w:t>
      </w:r>
      <w:r w:rsidR="00EF6BCC" w:rsidRPr="00997CA5">
        <w:rPr>
          <w:rFonts w:ascii="Times New Roman" w:eastAsia="Calibri" w:hAnsi="Times New Roman" w:cs="Times New Roman"/>
          <w:bCs/>
          <w:noProof/>
          <w:color w:val="000000"/>
          <w:position w:val="-2"/>
          <w:sz w:val="24"/>
          <w:lang w:val="en-IE"/>
        </w:rPr>
        <w:t>,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the EU rel</w:t>
      </w:r>
      <w:r w:rsidR="00997F12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ies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 on imports to a large extent</w:t>
      </w:r>
      <w:r w:rsidR="00EF6BCC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. </w:t>
      </w:r>
      <w:r w:rsidR="00EA679C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For example, for refined rare earth elements and refined magnesium, the EU imports 100% of its consumption from China. </w:t>
      </w:r>
      <w:r w:rsidR="00EF6BCC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This </w:t>
      </w:r>
      <w:r w:rsidRPr="00997CA5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highlights the need for secure access and diversification of supply. Many of these materials are needed to achieve the EU’s objective of a sustainable, low-carbon, resource-efficient and competitive economy</w:t>
      </w:r>
      <w:r w:rsidR="00011D40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, for instance</w:t>
      </w:r>
      <w:r w:rsidR="00011D40" w:rsidRPr="00011D40">
        <w:rPr>
          <w:noProof/>
        </w:rPr>
        <w:t xml:space="preserve"> </w:t>
      </w:r>
      <w:r w:rsidR="00011D40" w:rsidRPr="00011D40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cobalt for batteries used in electric </w:t>
      </w:r>
      <w:r w:rsidR="00011D40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vehicles</w:t>
      </w:r>
      <w:r w:rsidR="00011D40" w:rsidRPr="00011D40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>, and silicon for solar panels</w:t>
      </w:r>
      <w:r w:rsidRPr="009375D3">
        <w:rPr>
          <w:rFonts w:ascii="Times New Roman" w:eastAsia="Calibri" w:hAnsi="Times New Roman" w:cs="Times New Roman"/>
          <w:noProof/>
          <w:color w:val="000000"/>
          <w:position w:val="-2"/>
          <w:sz w:val="24"/>
          <w:lang w:val="en-IE"/>
        </w:rPr>
        <w:t xml:space="preserve">. </w:t>
      </w:r>
    </w:p>
    <w:p w14:paraId="4ED217F7" w14:textId="77777777" w:rsidR="007527C5" w:rsidRPr="009375D3" w:rsidRDefault="007527C5" w:rsidP="007527C5">
      <w:pPr>
        <w:pStyle w:val="ListParagraph"/>
        <w:keepNext/>
        <w:numPr>
          <w:ilvl w:val="0"/>
          <w:numId w:val="1"/>
        </w:numPr>
        <w:spacing w:before="240" w:after="120" w:line="276" w:lineRule="auto"/>
        <w:jc w:val="both"/>
        <w:outlineLvl w:val="0"/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</w:pPr>
      <w:r w:rsidRPr="009375D3">
        <w:rPr>
          <w:rFonts w:ascii="Times New Roman" w:eastAsia="Calibri" w:hAnsi="Times New Roman" w:cs="Times New Roman"/>
          <w:b/>
          <w:noProof/>
          <w:sz w:val="24"/>
          <w:szCs w:val="24"/>
          <w:lang w:val="en-IE"/>
        </w:rPr>
        <w:t>Conclusions</w:t>
      </w:r>
    </w:p>
    <w:p w14:paraId="2E21E33E" w14:textId="77777777" w:rsidR="007A01A0" w:rsidRDefault="00903031" w:rsidP="006C677A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>
        <w:rPr>
          <w:rFonts w:ascii="Times New Roman" w:eastAsia="Calibri" w:hAnsi="Times New Roman" w:cs="Times New Roman"/>
          <w:noProof/>
          <w:sz w:val="24"/>
          <w:lang w:val="en-IE"/>
        </w:rPr>
        <w:t>The circular economy action plan for a cleaner and more competitive Europe emphasises that the EU</w:t>
      </w:r>
      <w:r w:rsidRPr="00903031">
        <w:rPr>
          <w:rFonts w:ascii="Times New Roman" w:eastAsia="Calibri" w:hAnsi="Times New Roman" w:cs="Times New Roman"/>
          <w:noProof/>
          <w:sz w:val="24"/>
          <w:lang w:val="en-IE"/>
        </w:rPr>
        <w:t xml:space="preserve"> need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s</w:t>
      </w:r>
      <w:r w:rsidRPr="00903031">
        <w:rPr>
          <w:rFonts w:ascii="Times New Roman" w:eastAsia="Calibri" w:hAnsi="Times New Roman" w:cs="Times New Roman"/>
          <w:noProof/>
          <w:sz w:val="24"/>
          <w:lang w:val="en-IE"/>
        </w:rPr>
        <w:t xml:space="preserve"> to accelerate the transition towards a regenerative growth model, advance towards keeping its resource consumption w</w:t>
      </w:r>
      <w:r w:rsidR="007A01A0">
        <w:rPr>
          <w:rFonts w:ascii="Times New Roman" w:eastAsia="Calibri" w:hAnsi="Times New Roman" w:cs="Times New Roman"/>
          <w:noProof/>
          <w:sz w:val="24"/>
          <w:lang w:val="en-IE"/>
        </w:rPr>
        <w:t xml:space="preserve">ithin planetary boundaries, </w:t>
      </w:r>
      <w:r w:rsidRPr="00903031">
        <w:rPr>
          <w:rFonts w:ascii="Times New Roman" w:eastAsia="Calibri" w:hAnsi="Times New Roman" w:cs="Times New Roman"/>
          <w:noProof/>
          <w:sz w:val="24"/>
          <w:lang w:val="en-IE"/>
        </w:rPr>
        <w:t>strive to reduce its consumption foo</w:t>
      </w:r>
      <w:r w:rsidR="007A01A0">
        <w:rPr>
          <w:rFonts w:ascii="Times New Roman" w:eastAsia="Calibri" w:hAnsi="Times New Roman" w:cs="Times New Roman"/>
          <w:noProof/>
          <w:sz w:val="24"/>
          <w:lang w:val="en-IE"/>
        </w:rPr>
        <w:t xml:space="preserve">tprint, </w:t>
      </w:r>
      <w:r w:rsidRPr="00903031">
        <w:rPr>
          <w:rFonts w:ascii="Times New Roman" w:eastAsia="Calibri" w:hAnsi="Times New Roman" w:cs="Times New Roman"/>
          <w:noProof/>
          <w:sz w:val="24"/>
          <w:lang w:val="en-IE"/>
        </w:rPr>
        <w:t>double its circular material use rate</w:t>
      </w:r>
      <w:r w:rsidR="007A01A0">
        <w:rPr>
          <w:rFonts w:ascii="Times New Roman" w:eastAsia="Calibri" w:hAnsi="Times New Roman" w:cs="Times New Roman"/>
          <w:noProof/>
          <w:sz w:val="24"/>
          <w:lang w:val="en-IE"/>
        </w:rPr>
        <w:t>,</w:t>
      </w:r>
      <w:r w:rsidR="007A01A0" w:rsidRPr="007A01A0">
        <w:rPr>
          <w:noProof/>
        </w:rPr>
        <w:t xml:space="preserve"> </w:t>
      </w:r>
      <w:r w:rsidR="007A01A0" w:rsidRPr="007A01A0">
        <w:rPr>
          <w:rFonts w:ascii="Times New Roman" w:eastAsia="Calibri" w:hAnsi="Times New Roman" w:cs="Times New Roman"/>
          <w:noProof/>
          <w:sz w:val="24"/>
          <w:lang w:val="en-IE"/>
        </w:rPr>
        <w:t xml:space="preserve">significantly reduce total waste generation and halve the amount of residual (non-recycled) municipal waste </w:t>
      </w:r>
      <w:r w:rsidRPr="00903031">
        <w:rPr>
          <w:rFonts w:ascii="Times New Roman" w:eastAsia="Calibri" w:hAnsi="Times New Roman" w:cs="Times New Roman"/>
          <w:noProof/>
          <w:sz w:val="24"/>
          <w:lang w:val="en-IE"/>
        </w:rPr>
        <w:t>in th</w:t>
      </w:r>
      <w:r w:rsidR="007A01A0">
        <w:rPr>
          <w:rFonts w:ascii="Times New Roman" w:eastAsia="Calibri" w:hAnsi="Times New Roman" w:cs="Times New Roman"/>
          <w:noProof/>
          <w:sz w:val="24"/>
          <w:lang w:val="en-IE"/>
        </w:rPr>
        <w:t xml:space="preserve">is </w:t>
      </w:r>
      <w:r w:rsidRPr="00903031">
        <w:rPr>
          <w:rFonts w:ascii="Times New Roman" w:eastAsia="Calibri" w:hAnsi="Times New Roman" w:cs="Times New Roman"/>
          <w:noProof/>
          <w:sz w:val="24"/>
          <w:lang w:val="en-IE"/>
        </w:rPr>
        <w:t>decade.</w:t>
      </w:r>
    </w:p>
    <w:p w14:paraId="6215D94C" w14:textId="7C7EC026" w:rsidR="00B95398" w:rsidRPr="008977BB" w:rsidRDefault="001D12DC" w:rsidP="006C677A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lang w:val="en-IE"/>
        </w:rPr>
      </w:pP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The adoption of</w:t>
      </w:r>
      <w:r w:rsidR="00FD7799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the</w:t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="00FD7799" w:rsidRPr="009375D3">
        <w:rPr>
          <w:rFonts w:ascii="Times New Roman" w:eastAsia="Calibri" w:hAnsi="Times New Roman" w:cs="Times New Roman"/>
          <w:noProof/>
          <w:sz w:val="24"/>
          <w:lang w:val="en-IE"/>
        </w:rPr>
        <w:t>revised</w:t>
      </w:r>
      <w:r w:rsidR="00FD7799">
        <w:rPr>
          <w:rFonts w:ascii="Times New Roman" w:eastAsia="Calibri" w:hAnsi="Times New Roman" w:cs="Times New Roman"/>
          <w:noProof/>
          <w:sz w:val="24"/>
          <w:lang w:val="en-IE"/>
        </w:rPr>
        <w:t xml:space="preserve"> EU</w:t>
      </w:r>
      <w:r w:rsidR="00FD7799" w:rsidRPr="009375D3">
        <w:rPr>
          <w:rFonts w:ascii="Times New Roman" w:eastAsia="Calibri" w:hAnsi="Times New Roman" w:cs="Times New Roman"/>
          <w:noProof/>
          <w:sz w:val="24"/>
          <w:lang w:val="en-IE"/>
        </w:rPr>
        <w:t xml:space="preserve"> circular</w:t>
      </w:r>
      <w:r w:rsidR="00FD7799"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="00FD7799" w:rsidRPr="009375D3">
        <w:rPr>
          <w:rFonts w:ascii="Times New Roman" w:eastAsia="Calibri" w:hAnsi="Times New Roman" w:cs="Times New Roman"/>
          <w:noProof/>
          <w:sz w:val="24"/>
          <w:lang w:val="en-IE"/>
        </w:rPr>
        <w:t>economy monitoring framework</w:t>
      </w:r>
      <w:r w:rsidR="00FD7799" w:rsidRPr="009375D3">
        <w:rPr>
          <w:rFonts w:ascii="Times New Roman" w:eastAsia="Calibri" w:hAnsi="Times New Roman" w:cs="Arial"/>
          <w:noProof/>
          <w:sz w:val="24"/>
          <w:lang w:val="en-IE"/>
        </w:rPr>
        <w:t xml:space="preserve"> </w:t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is timely as </w:t>
      </w:r>
      <w:r w:rsidR="00BC4A06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under the European Green Deal </w:t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the </w:t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Commission </w:t>
      </w:r>
      <w:r w:rsidR="0000252D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has launched</w:t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a number of legislative </w:t>
      </w:r>
      <w:r w:rsidR="0000252D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initiatives</w:t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to </w:t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accelerate the circular economy transition</w:t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, </w:t>
      </w:r>
      <w:r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such as the</w:t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regulation</w:t>
      </w:r>
      <w:r w:rsidR="000533F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s</w:t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on batteries</w:t>
      </w:r>
      <w:r w:rsidR="00B95398" w:rsidRPr="006C677A">
        <w:rPr>
          <w:rFonts w:ascii="Times New Roman" w:hAnsi="Times New Roman" w:cs="Times New Roman"/>
          <w:noProof/>
          <w:sz w:val="24"/>
          <w:szCs w:val="24"/>
          <w:vertAlign w:val="superscript"/>
          <w:lang w:val="en-IE"/>
        </w:rPr>
        <w:footnoteReference w:id="34"/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, Ecodesign for sustainable products</w:t>
      </w:r>
      <w:r w:rsidR="00B95398" w:rsidRPr="006C677A">
        <w:rPr>
          <w:rFonts w:ascii="Times New Roman" w:hAnsi="Times New Roman" w:cs="Times New Roman"/>
          <w:noProof/>
          <w:sz w:val="24"/>
          <w:szCs w:val="24"/>
          <w:vertAlign w:val="superscript"/>
          <w:lang w:val="en-IE"/>
        </w:rPr>
        <w:footnoteReference w:id="35"/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, packaging and packaging waste</w:t>
      </w:r>
      <w:r w:rsidR="00B95398" w:rsidRPr="006C677A"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val="en-IE"/>
        </w:rPr>
        <w:footnoteReference w:id="36"/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, waste shipments</w:t>
      </w:r>
      <w:r w:rsidR="00B95398" w:rsidRPr="006C677A"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val="en-IE"/>
        </w:rPr>
        <w:footnoteReference w:id="37"/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, and critical raw materials</w:t>
      </w:r>
      <w:r w:rsidR="00B95398" w:rsidRPr="006C677A"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val="en-IE"/>
        </w:rPr>
        <w:footnoteReference w:id="38"/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</w:t>
      </w:r>
      <w:r w:rsidR="00B95398" w:rsidRPr="006C677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C677A">
        <w:rPr>
          <w:rFonts w:ascii="Times New Roman" w:hAnsi="Times New Roman" w:cs="Times New Roman"/>
          <w:noProof/>
          <w:sz w:val="24"/>
          <w:szCs w:val="24"/>
        </w:rPr>
        <w:t xml:space="preserve">Member States are also implementing recent amendments to EU </w:t>
      </w:r>
      <w:r w:rsidR="00BC4A06">
        <w:rPr>
          <w:rFonts w:ascii="Times New Roman" w:hAnsi="Times New Roman" w:cs="Times New Roman"/>
          <w:noProof/>
          <w:sz w:val="24"/>
          <w:szCs w:val="24"/>
        </w:rPr>
        <w:t>law</w:t>
      </w:r>
      <w:r w:rsidRPr="006C677A">
        <w:rPr>
          <w:rFonts w:ascii="Times New Roman" w:hAnsi="Times New Roman" w:cs="Times New Roman"/>
          <w:noProof/>
          <w:sz w:val="24"/>
          <w:szCs w:val="24"/>
        </w:rPr>
        <w:t>, such as the revision of the EU rules on waste</w:t>
      </w:r>
      <w:r w:rsidR="00FD7799">
        <w:rPr>
          <w:rFonts w:ascii="Times New Roman" w:hAnsi="Times New Roman" w:cs="Times New Roman"/>
          <w:noProof/>
          <w:sz w:val="24"/>
          <w:szCs w:val="24"/>
        </w:rPr>
        <w:t xml:space="preserve"> adopted</w:t>
      </w:r>
      <w:r w:rsidRPr="006C677A">
        <w:rPr>
          <w:rFonts w:ascii="Times New Roman" w:hAnsi="Times New Roman" w:cs="Times New Roman"/>
          <w:noProof/>
          <w:sz w:val="24"/>
          <w:szCs w:val="24"/>
        </w:rPr>
        <w:t xml:space="preserve"> in 2018</w:t>
      </w:r>
      <w:r w:rsidR="007A01A0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39"/>
      </w:r>
      <w:r w:rsidRPr="006C677A">
        <w:rPr>
          <w:rFonts w:ascii="Times New Roman" w:hAnsi="Times New Roman" w:cs="Times New Roman"/>
          <w:noProof/>
          <w:sz w:val="24"/>
          <w:szCs w:val="24"/>
        </w:rPr>
        <w:t xml:space="preserve">, and </w:t>
      </w:r>
      <w:r w:rsidR="00BC4A06">
        <w:rPr>
          <w:rFonts w:ascii="Times New Roman" w:hAnsi="Times New Roman" w:cs="Times New Roman"/>
          <w:noProof/>
          <w:sz w:val="24"/>
          <w:szCs w:val="24"/>
        </w:rPr>
        <w:t xml:space="preserve">have been </w:t>
      </w:r>
      <w:r w:rsidRPr="006C677A">
        <w:rPr>
          <w:rFonts w:ascii="Times New Roman" w:hAnsi="Times New Roman" w:cs="Times New Roman"/>
          <w:noProof/>
          <w:sz w:val="24"/>
          <w:szCs w:val="24"/>
        </w:rPr>
        <w:t xml:space="preserve">developing many national and regional approached to promote the circular economy. </w:t>
      </w:r>
      <w:r w:rsidR="00B95398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Several EU funding programmes are available to support the transition</w:t>
      </w:r>
      <w:r w:rsidR="00B21A63" w:rsidRPr="006C677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to</w:t>
      </w:r>
      <w:r w:rsidR="00B21A63">
        <w:rPr>
          <w:rFonts w:ascii="Times New Roman" w:eastAsia="Calibri" w:hAnsi="Times New Roman" w:cs="Times New Roman"/>
          <w:noProof/>
          <w:sz w:val="24"/>
          <w:lang w:val="en-IE"/>
        </w:rPr>
        <w:t xml:space="preserve"> a circular economy, such as</w:t>
      </w:r>
      <w:r w:rsidR="00B95398" w:rsidRPr="007B268E">
        <w:rPr>
          <w:rFonts w:ascii="Times New Roman" w:eastAsia="Calibri" w:hAnsi="Times New Roman" w:cs="Times New Roman"/>
          <w:noProof/>
          <w:sz w:val="24"/>
          <w:lang w:val="en-IE"/>
        </w:rPr>
        <w:t xml:space="preserve"> NextGenerationEU</w:t>
      </w:r>
      <w:r w:rsidR="00B21A63">
        <w:rPr>
          <w:rFonts w:ascii="Times New Roman" w:eastAsia="Calibri" w:hAnsi="Times New Roman" w:cs="Times New Roman"/>
          <w:noProof/>
          <w:sz w:val="24"/>
          <w:lang w:val="en-IE"/>
        </w:rPr>
        <w:t xml:space="preserve"> and the reforms and investments under the Recovery and Resilience Facility</w:t>
      </w:r>
      <w:r w:rsidR="00B95398" w:rsidRPr="007B268E">
        <w:rPr>
          <w:rFonts w:ascii="Times New Roman" w:eastAsia="Calibri" w:hAnsi="Times New Roman" w:cs="Times New Roman"/>
          <w:noProof/>
          <w:sz w:val="24"/>
          <w:lang w:val="en-IE"/>
        </w:rPr>
        <w:t>; the European Cohesion Policy Funds; Horizon Europe; and the LIFE programme.</w:t>
      </w:r>
    </w:p>
    <w:p w14:paraId="52643312" w14:textId="09AA9C1C" w:rsidR="00BC4A06" w:rsidRPr="00197B97" w:rsidRDefault="00BC4A06" w:rsidP="00BC4A06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IE"/>
        </w:rPr>
      </w:pPr>
      <w:r w:rsidRPr="009375D3">
        <w:rPr>
          <w:rFonts w:ascii="Times New Roman" w:eastAsia="Calibri" w:hAnsi="Times New Roman" w:cs="Times New Roman"/>
          <w:noProof/>
          <w:sz w:val="24"/>
          <w:lang w:val="en-IE"/>
        </w:rPr>
        <w:t>The revised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 </w:t>
      </w:r>
      <w:r w:rsidRPr="009375D3">
        <w:rPr>
          <w:rFonts w:ascii="Times New Roman" w:eastAsia="Calibri" w:hAnsi="Times New Roman" w:cs="Times New Roman"/>
          <w:noProof/>
          <w:sz w:val="24"/>
          <w:lang w:val="en-IE"/>
        </w:rPr>
        <w:t>monitoring framework</w:t>
      </w:r>
      <w:r w:rsidRPr="009375D3">
        <w:rPr>
          <w:rFonts w:ascii="Times New Roman" w:eastAsia="Calibri" w:hAnsi="Times New Roman" w:cs="Arial"/>
          <w:noProof/>
          <w:sz w:val="24"/>
          <w:lang w:val="en-IE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makes it possible</w:t>
      </w:r>
      <w:r w:rsidRPr="009375D3">
        <w:rPr>
          <w:rFonts w:ascii="Times New Roman" w:eastAsia="Calibri" w:hAnsi="Times New Roman" w:cs="Times New Roman"/>
          <w:noProof/>
          <w:sz w:val="24"/>
          <w:lang w:val="en-IE"/>
        </w:rPr>
        <w:t xml:space="preserve"> to keep track of the progress 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 xml:space="preserve">made </w:t>
      </w:r>
      <w:r w:rsidRPr="009375D3">
        <w:rPr>
          <w:rFonts w:ascii="Times New Roman" w:eastAsia="Calibri" w:hAnsi="Times New Roman" w:cs="Times New Roman"/>
          <w:noProof/>
          <w:sz w:val="24"/>
          <w:lang w:val="en-IE"/>
        </w:rPr>
        <w:t>in the transition towards a resource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-</w:t>
      </w:r>
      <w:r w:rsidRPr="009375D3">
        <w:rPr>
          <w:rFonts w:ascii="Times New Roman" w:eastAsia="Calibri" w:hAnsi="Times New Roman" w:cs="Times New Roman"/>
          <w:noProof/>
          <w:sz w:val="24"/>
          <w:lang w:val="en-IE"/>
        </w:rPr>
        <w:t>efficient, climate</w:t>
      </w:r>
      <w:r>
        <w:rPr>
          <w:rFonts w:ascii="Times New Roman" w:eastAsia="Calibri" w:hAnsi="Times New Roman" w:cs="Times New Roman"/>
          <w:noProof/>
          <w:sz w:val="24"/>
          <w:lang w:val="en-IE"/>
        </w:rPr>
        <w:t>-</w:t>
      </w:r>
      <w:r w:rsidRPr="009375D3">
        <w:rPr>
          <w:rFonts w:ascii="Times New Roman" w:eastAsia="Calibri" w:hAnsi="Times New Roman" w:cs="Times New Roman"/>
          <w:noProof/>
          <w:sz w:val="24"/>
          <w:lang w:val="en-IE"/>
        </w:rPr>
        <w:t xml:space="preserve">neutral and </w:t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resilient </w:t>
      </w:r>
      <w:r w:rsidRPr="009375D3">
        <w:rPr>
          <w:rFonts w:ascii="Times New Roman" w:eastAsia="Calibri" w:hAnsi="Times New Roman" w:cs="Times New Roman"/>
          <w:noProof/>
          <w:sz w:val="24"/>
          <w:lang w:val="en-IE"/>
        </w:rPr>
        <w:t xml:space="preserve">circular </w:t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economy 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in the context</w:t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of sustainable development. 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It</w:t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will provide a key tool to assess policies put in place and to guide future actions</w:t>
      </w:r>
      <w:r w:rsidR="00002C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, including in the context of specific assessments, such as the early warning reports to identify </w:t>
      </w:r>
      <w:r w:rsidR="0028776A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M</w:t>
      </w:r>
      <w:r w:rsidR="00002CD4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ember States at risk of not meeting the EU targets on recycling and landfilling of waste</w:t>
      </w:r>
      <w:r w:rsidR="0028776A"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val="en-IE"/>
        </w:rPr>
        <w:footnoteReference w:id="40"/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. It offers a 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sound basis</w:t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for discussion at the annual circular economy stakeholder conferences</w:t>
      </w:r>
      <w:r w:rsidRPr="00197B97"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val="en-IE"/>
        </w:rPr>
        <w:footnoteReference w:id="41"/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, as well as</w:t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for</w:t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measur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ing</w:t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national performance</w:t>
      </w:r>
      <w:r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, including</w:t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 xml:space="preserve"> in the context of the Environmental Implementation Review</w:t>
      </w:r>
      <w:r w:rsidRPr="00197B97">
        <w:rPr>
          <w:rStyle w:val="FootnoteReference"/>
          <w:rFonts w:ascii="Times New Roman" w:eastAsia="Calibri" w:hAnsi="Times New Roman" w:cs="Times New Roman"/>
          <w:noProof/>
          <w:sz w:val="24"/>
          <w:szCs w:val="24"/>
          <w:lang w:val="en-IE"/>
        </w:rPr>
        <w:footnoteReference w:id="42"/>
      </w:r>
      <w:r w:rsidRPr="00197B97">
        <w:rPr>
          <w:rFonts w:ascii="Times New Roman" w:eastAsia="Calibri" w:hAnsi="Times New Roman" w:cs="Times New Roman"/>
          <w:noProof/>
          <w:sz w:val="24"/>
          <w:szCs w:val="24"/>
          <w:lang w:val="en-IE"/>
        </w:rPr>
        <w:t>.</w:t>
      </w:r>
    </w:p>
    <w:p w14:paraId="3998F142" w14:textId="77777777" w:rsidR="007527C5" w:rsidRPr="009375D3" w:rsidRDefault="007527C5" w:rsidP="007527C5">
      <w:pPr>
        <w:spacing w:after="200" w:line="276" w:lineRule="auto"/>
        <w:jc w:val="both"/>
        <w:rPr>
          <w:rFonts w:ascii="EC Square Sans Cond Pro" w:eastAsia="Calibri" w:hAnsi="EC Square Sans Cond Pro" w:cs="Arial"/>
          <w:noProof/>
          <w:sz w:val="20"/>
          <w:szCs w:val="20"/>
          <w:lang w:val="en-IE"/>
        </w:rPr>
      </w:pPr>
    </w:p>
    <w:p w14:paraId="3B6C50E3" w14:textId="77777777" w:rsidR="00772466" w:rsidRPr="009375D3" w:rsidRDefault="00772466">
      <w:pPr>
        <w:rPr>
          <w:noProof/>
          <w:lang w:val="en-IE"/>
        </w:rPr>
      </w:pPr>
    </w:p>
    <w:sectPr w:rsidR="00772466" w:rsidRPr="009375D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1E29D" w14:textId="77777777" w:rsidR="001B1013" w:rsidRDefault="001B1013" w:rsidP="00BF3E18">
      <w:pPr>
        <w:spacing w:after="0" w:line="240" w:lineRule="auto"/>
      </w:pPr>
      <w:r>
        <w:separator/>
      </w:r>
    </w:p>
  </w:endnote>
  <w:endnote w:type="continuationSeparator" w:id="0">
    <w:p w14:paraId="0EC3116E" w14:textId="77777777" w:rsidR="001B1013" w:rsidRDefault="001B1013" w:rsidP="00BF3E18">
      <w:pPr>
        <w:spacing w:after="0" w:line="240" w:lineRule="auto"/>
      </w:pPr>
      <w:r>
        <w:continuationSeparator/>
      </w:r>
    </w:p>
  </w:endnote>
  <w:endnote w:type="continuationNotice" w:id="1">
    <w:p w14:paraId="166683D5" w14:textId="77777777" w:rsidR="001B1013" w:rsidRDefault="001B10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 Square Sans Cond Pro">
    <w:altName w:val="Bahnschrift Light"/>
    <w:charset w:val="00"/>
    <w:family w:val="swiss"/>
    <w:pitch w:val="variable"/>
    <w:sig w:usb0="00000001" w:usb1="500000D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0E9FA" w14:textId="40EA31E4" w:rsidR="000F1C67" w:rsidRPr="00865C0F" w:rsidRDefault="000F1C67" w:rsidP="00865C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17AF6" w14:textId="0E08CC34" w:rsidR="000F1C67" w:rsidRPr="00865C0F" w:rsidRDefault="00865C0F" w:rsidP="00865C0F">
    <w:pPr>
      <w:pStyle w:val="FooterCoverPage"/>
      <w:rPr>
        <w:rFonts w:ascii="Arial" w:hAnsi="Arial" w:cs="Arial"/>
        <w:b/>
        <w:sz w:val="48"/>
      </w:rPr>
    </w:pPr>
    <w:r w:rsidRPr="00865C0F">
      <w:rPr>
        <w:rFonts w:ascii="Arial" w:hAnsi="Arial" w:cs="Arial"/>
        <w:b/>
        <w:sz w:val="48"/>
      </w:rPr>
      <w:t>EN</w:t>
    </w:r>
    <w:r w:rsidRPr="00865C0F">
      <w:rPr>
        <w:rFonts w:ascii="Arial" w:hAnsi="Arial" w:cs="Arial"/>
        <w:b/>
        <w:sz w:val="48"/>
      </w:rPr>
      <w:tab/>
    </w:r>
    <w:r w:rsidRPr="00865C0F">
      <w:rPr>
        <w:rFonts w:ascii="Arial" w:hAnsi="Arial" w:cs="Arial"/>
        <w:b/>
        <w:sz w:val="48"/>
      </w:rPr>
      <w:tab/>
    </w:r>
    <w:r w:rsidRPr="00865C0F">
      <w:tab/>
    </w:r>
    <w:r w:rsidRPr="00865C0F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627D3" w14:textId="77777777" w:rsidR="00865C0F" w:rsidRPr="00865C0F" w:rsidRDefault="00865C0F" w:rsidP="00865C0F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E53D7" w14:textId="77777777" w:rsidR="00102F6C" w:rsidRDefault="00102F6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6097340"/>
      <w:docPartObj>
        <w:docPartGallery w:val="Page Numbers (Bottom of Page)"/>
        <w:docPartUnique/>
      </w:docPartObj>
    </w:sdtPr>
    <w:sdtEndPr/>
    <w:sdtContent>
      <w:p w14:paraId="07D35C00" w14:textId="17E4B61B" w:rsidR="00102F6C" w:rsidRDefault="00102F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5C0F">
          <w:rPr>
            <w:noProof/>
          </w:rPr>
          <w:t>1</w:t>
        </w:r>
        <w:r>
          <w:fldChar w:fldCharType="end"/>
        </w:r>
      </w:p>
    </w:sdtContent>
  </w:sdt>
  <w:p w14:paraId="527D2E29" w14:textId="77777777" w:rsidR="00102F6C" w:rsidRDefault="00102F6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9FB9E" w14:textId="77777777" w:rsidR="00102F6C" w:rsidRDefault="00102F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3B060B" w14:textId="77777777" w:rsidR="001B1013" w:rsidRDefault="001B1013" w:rsidP="00BF3E18">
      <w:pPr>
        <w:spacing w:after="0" w:line="240" w:lineRule="auto"/>
      </w:pPr>
      <w:r>
        <w:separator/>
      </w:r>
    </w:p>
  </w:footnote>
  <w:footnote w:type="continuationSeparator" w:id="0">
    <w:p w14:paraId="5B5DD664" w14:textId="77777777" w:rsidR="001B1013" w:rsidRDefault="001B1013" w:rsidP="00BF3E18">
      <w:pPr>
        <w:spacing w:after="0" w:line="240" w:lineRule="auto"/>
      </w:pPr>
      <w:r>
        <w:continuationSeparator/>
      </w:r>
    </w:p>
  </w:footnote>
  <w:footnote w:type="continuationNotice" w:id="1">
    <w:p w14:paraId="45F4EC65" w14:textId="77777777" w:rsidR="001B1013" w:rsidRDefault="001B1013">
      <w:pPr>
        <w:spacing w:after="0" w:line="240" w:lineRule="auto"/>
      </w:pPr>
    </w:p>
  </w:footnote>
  <w:footnote w:id="2">
    <w:p w14:paraId="640EE353" w14:textId="272BD5E4" w:rsidR="00102F6C" w:rsidRPr="00334D5F" w:rsidRDefault="00102F6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334D5F">
          <w:rPr>
            <w:rStyle w:val="Hyperlink"/>
          </w:rPr>
          <w:t>Global Material Resources Outlook to 2060</w:t>
        </w:r>
      </w:hyperlink>
      <w:r>
        <w:rPr>
          <w:rStyle w:val="Hyperlink"/>
        </w:rPr>
        <w:t>.</w:t>
      </w:r>
    </w:p>
  </w:footnote>
  <w:footnote w:id="3">
    <w:p w14:paraId="779D5C45" w14:textId="4EFB0696" w:rsidR="00102F6C" w:rsidRPr="001713B4" w:rsidRDefault="00102F6C" w:rsidP="00C9597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1713B4">
        <w:rPr>
          <w:lang w:val="en-US"/>
        </w:rPr>
        <w:t xml:space="preserve"> </w:t>
      </w:r>
      <w:hyperlink r:id="rId2" w:history="1">
        <w:r w:rsidRPr="001713B4">
          <w:rPr>
            <w:rStyle w:val="Hyperlink"/>
            <w:lang w:val="en-US"/>
          </w:rPr>
          <w:t>Circularity Gap Report 2022</w:t>
        </w:r>
      </w:hyperlink>
      <w:r>
        <w:rPr>
          <w:rStyle w:val="Hyperlink"/>
          <w:lang w:val="en-US"/>
        </w:rPr>
        <w:t>.</w:t>
      </w:r>
    </w:p>
  </w:footnote>
  <w:footnote w:id="4">
    <w:p w14:paraId="1C64242E" w14:textId="30C801A8" w:rsidR="00102F6C" w:rsidRPr="001713B4" w:rsidRDefault="00102F6C" w:rsidP="007527C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1713B4">
          <w:rPr>
            <w:rStyle w:val="Hyperlink"/>
            <w:lang w:val="en-US"/>
          </w:rPr>
          <w:t>International Resource Panel report ‘Global Resources Outlook 2019’</w:t>
        </w:r>
      </w:hyperlink>
      <w:r>
        <w:rPr>
          <w:rStyle w:val="Hyperlink"/>
          <w:lang w:val="en-US"/>
        </w:rPr>
        <w:t>.</w:t>
      </w:r>
    </w:p>
  </w:footnote>
  <w:footnote w:id="5">
    <w:p w14:paraId="4FA78872" w14:textId="77777777" w:rsidR="00102F6C" w:rsidRPr="00271DD4" w:rsidRDefault="00102F6C" w:rsidP="005D06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The circularity measures the share of secondary materials on overall material input in the economy.</w:t>
      </w:r>
    </w:p>
  </w:footnote>
  <w:footnote w:id="6">
    <w:p w14:paraId="692A5A3F" w14:textId="77777777" w:rsidR="00102F6C" w:rsidRPr="00E57FD5" w:rsidRDefault="00102F6C" w:rsidP="005D06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 w:rsidRPr="00E57FD5">
          <w:rPr>
            <w:rStyle w:val="Hyperlink"/>
          </w:rPr>
          <w:t>Circularity Gap Report 2023</w:t>
        </w:r>
      </w:hyperlink>
      <w:r>
        <w:t>.</w:t>
      </w:r>
    </w:p>
  </w:footnote>
  <w:footnote w:id="7">
    <w:p w14:paraId="7129E5C2" w14:textId="4296250E" w:rsidR="00102F6C" w:rsidRPr="005A00B6" w:rsidRDefault="00102F6C" w:rsidP="007527C5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 w:rsidRPr="005A00B6">
        <w:rPr>
          <w:lang w:val="en-IE"/>
        </w:rPr>
        <w:t xml:space="preserve"> Eurostat, </w:t>
      </w:r>
      <w:hyperlink r:id="rId5" w:history="1">
        <w:r w:rsidRPr="006D76E3">
          <w:rPr>
            <w:rStyle w:val="Hyperlink"/>
            <w:lang w:val="en-IE"/>
          </w:rPr>
          <w:t>Material Flow Accounts</w:t>
        </w:r>
      </w:hyperlink>
      <w:r w:rsidRPr="005A00B6">
        <w:rPr>
          <w:lang w:val="en-IE"/>
        </w:rPr>
        <w:t xml:space="preserve"> , </w:t>
      </w:r>
      <w:hyperlink r:id="rId6" w:anchor="Physical_trade_by_stage_of_manufacturing" w:history="1">
        <w:r w:rsidRPr="005A00B6">
          <w:rPr>
            <w:rStyle w:val="Hyperlink"/>
            <w:lang w:val="en-IE"/>
          </w:rPr>
          <w:t>Statistics Explained article</w:t>
        </w:r>
      </w:hyperlink>
      <w:r>
        <w:rPr>
          <w:rStyle w:val="Hyperlink"/>
          <w:lang w:val="en-IE"/>
        </w:rPr>
        <w:t>.</w:t>
      </w:r>
    </w:p>
  </w:footnote>
  <w:footnote w:id="8">
    <w:p w14:paraId="6F604121" w14:textId="4983277B" w:rsidR="00102F6C" w:rsidRPr="005A00B6" w:rsidRDefault="00102F6C" w:rsidP="007527C5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 w:rsidRPr="005A00B6">
        <w:rPr>
          <w:lang w:val="en-IE"/>
        </w:rPr>
        <w:t xml:space="preserve"> Eurostat, </w:t>
      </w:r>
      <w:hyperlink r:id="rId7" w:history="1">
        <w:r w:rsidRPr="005A00B6">
          <w:rPr>
            <w:rStyle w:val="Hyperlink"/>
            <w:lang w:val="en-IE"/>
          </w:rPr>
          <w:t>Statistics Explained article</w:t>
        </w:r>
      </w:hyperlink>
      <w:r>
        <w:rPr>
          <w:rStyle w:val="Hyperlink"/>
          <w:lang w:val="en-IE"/>
        </w:rPr>
        <w:t>.</w:t>
      </w:r>
      <w:r w:rsidRPr="005A00B6">
        <w:rPr>
          <w:lang w:val="en-IE"/>
        </w:rPr>
        <w:t xml:space="preserve"> </w:t>
      </w:r>
    </w:p>
  </w:footnote>
  <w:footnote w:id="9">
    <w:p w14:paraId="11C3DACB" w14:textId="3E7FACF2" w:rsidR="002A2C92" w:rsidRPr="00FE26A8" w:rsidRDefault="002A2C92">
      <w:pPr>
        <w:pStyle w:val="FootnoteText"/>
        <w:rPr>
          <w:rFonts w:cs="Times New Roman"/>
        </w:rPr>
      </w:pPr>
      <w:r w:rsidRPr="00FE26A8">
        <w:rPr>
          <w:rStyle w:val="FootnoteReference"/>
        </w:rPr>
        <w:footnoteRef/>
      </w:r>
      <w:r w:rsidRPr="00FE26A8">
        <w:t xml:space="preserve"> </w:t>
      </w:r>
      <w:hyperlink r:id="rId8" w:history="1">
        <w:r w:rsidRPr="00FE26A8">
          <w:rPr>
            <w:rStyle w:val="Hyperlink"/>
            <w:rFonts w:cs="Times New Roman"/>
          </w:rPr>
          <w:t>COM(2023) 165 final.</w:t>
        </w:r>
      </w:hyperlink>
    </w:p>
  </w:footnote>
  <w:footnote w:id="10">
    <w:p w14:paraId="19B24BBE" w14:textId="668A850A" w:rsidR="00C00258" w:rsidRPr="00A171E8" w:rsidRDefault="00C00258">
      <w:pPr>
        <w:pStyle w:val="FootnoteText"/>
        <w:rPr>
          <w:rFonts w:cs="Times New Roman"/>
        </w:rPr>
      </w:pPr>
      <w:r w:rsidRPr="00FE26A8">
        <w:rPr>
          <w:rStyle w:val="FootnoteReference"/>
        </w:rPr>
        <w:footnoteRef/>
      </w:r>
      <w:r w:rsidRPr="00FE26A8">
        <w:t xml:space="preserve"> </w:t>
      </w:r>
      <w:hyperlink r:id="rId9" w:history="1">
        <w:r w:rsidRPr="00FE26A8">
          <w:rPr>
            <w:rStyle w:val="Hyperlink"/>
            <w:rFonts w:cs="Times New Roman"/>
          </w:rPr>
          <w:t>COM(2023) 160 final</w:t>
        </w:r>
      </w:hyperlink>
      <w:r w:rsidRPr="00FE26A8">
        <w:rPr>
          <w:rFonts w:cs="Times New Roman"/>
        </w:rPr>
        <w:t>.</w:t>
      </w:r>
    </w:p>
  </w:footnote>
  <w:footnote w:id="11">
    <w:p w14:paraId="19DBF628" w14:textId="2BFDA401" w:rsidR="00102F6C" w:rsidRPr="006C677A" w:rsidRDefault="00102F6C" w:rsidP="007527C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10" w:history="1">
        <w:r w:rsidRPr="006C677A">
          <w:rPr>
            <w:rStyle w:val="Hyperlink"/>
          </w:rPr>
          <w:t>In-depth reviews of strategic areas for Europe’s interests | European Commission (europa.eu)</w:t>
        </w:r>
      </w:hyperlink>
      <w:r w:rsidRPr="006C677A">
        <w:rPr>
          <w:rStyle w:val="Hyperlink"/>
        </w:rPr>
        <w:t>.</w:t>
      </w:r>
    </w:p>
  </w:footnote>
  <w:footnote w:id="12">
    <w:p w14:paraId="32174B79" w14:textId="1031A1E9" w:rsidR="00F27669" w:rsidRPr="00BA267F" w:rsidRDefault="00F27669" w:rsidP="00F2766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1" w:history="1">
        <w:r w:rsidRPr="00BA267F">
          <w:rPr>
            <w:rStyle w:val="Hyperlink"/>
          </w:rPr>
          <w:t>COM(2023) 168 final</w:t>
        </w:r>
      </w:hyperlink>
      <w:r w:rsidR="002A2C92">
        <w:t>.</w:t>
      </w:r>
    </w:p>
  </w:footnote>
  <w:footnote w:id="13">
    <w:p w14:paraId="15849B1E" w14:textId="4D412B31" w:rsidR="00102F6C" w:rsidRPr="006C677A" w:rsidRDefault="00102F6C" w:rsidP="00942A7A">
      <w:pPr>
        <w:pStyle w:val="FootnoteText"/>
        <w:rPr>
          <w:lang w:val="en-US"/>
        </w:rPr>
      </w:pPr>
      <w:r w:rsidRPr="006C677A">
        <w:rPr>
          <w:rStyle w:val="FootnoteReference"/>
        </w:rPr>
        <w:footnoteRef/>
      </w:r>
      <w:r w:rsidR="00397DD7">
        <w:rPr>
          <w:lang w:val="en-US"/>
        </w:rPr>
        <w:t xml:space="preserve"> </w:t>
      </w:r>
      <w:hyperlink r:id="rId12" w:history="1">
        <w:r w:rsidR="00302E4D" w:rsidRPr="00302E4D">
          <w:rPr>
            <w:rStyle w:val="Hyperlink"/>
            <w:lang w:val="en-US"/>
          </w:rPr>
          <w:t>https://commission.europa.eu/strategy-and-policy/international-strategies/sustainable-development-goals_en</w:t>
        </w:r>
      </w:hyperlink>
      <w:r w:rsidR="00397DD7" w:rsidRPr="00302E4D">
        <w:rPr>
          <w:lang w:val="en-US"/>
        </w:rPr>
        <w:t xml:space="preserve"> </w:t>
      </w:r>
    </w:p>
  </w:footnote>
  <w:footnote w:id="14">
    <w:p w14:paraId="3AA4A0C6" w14:textId="6F60C291" w:rsidR="00102F6C" w:rsidRPr="006C677A" w:rsidRDefault="00102F6C" w:rsidP="001A2B5D">
      <w:pPr>
        <w:pStyle w:val="FootnoteText"/>
        <w:jc w:val="both"/>
        <w:rPr>
          <w:rFonts w:cs="Times New Roman"/>
        </w:rPr>
      </w:pPr>
      <w:r w:rsidRPr="006C677A">
        <w:rPr>
          <w:rStyle w:val="FootnoteReference"/>
          <w:rFonts w:cs="Times New Roman"/>
        </w:rPr>
        <w:footnoteRef/>
      </w:r>
      <w:r w:rsidRPr="006C677A">
        <w:rPr>
          <w:rFonts w:cs="Times New Roman"/>
        </w:rPr>
        <w:t xml:space="preserve"> </w:t>
      </w:r>
      <w:hyperlink r:id="rId13" w:history="1">
        <w:r w:rsidRPr="00013DC0">
          <w:rPr>
            <w:rStyle w:val="Hyperlink"/>
            <w:rFonts w:cs="Times New Roman"/>
          </w:rPr>
          <w:t>COM(2018) 2</w:t>
        </w:r>
        <w:r w:rsidR="00C7393A">
          <w:rPr>
            <w:rStyle w:val="Hyperlink"/>
            <w:rFonts w:cs="Times New Roman"/>
          </w:rPr>
          <w:t xml:space="preserve">9 final </w:t>
        </w:r>
      </w:hyperlink>
      <w:r w:rsidRPr="006C677A">
        <w:rPr>
          <w:rFonts w:cs="Times New Roman"/>
        </w:rPr>
        <w:t xml:space="preserve"> and </w:t>
      </w:r>
      <w:hyperlink r:id="rId14" w:history="1">
        <w:r w:rsidRPr="00013DC0">
          <w:rPr>
            <w:rStyle w:val="Hyperlink"/>
            <w:rFonts w:cs="Times New Roman"/>
          </w:rPr>
          <w:t>SWD(2018) 17</w:t>
        </w:r>
      </w:hyperlink>
      <w:r w:rsidRPr="006C677A">
        <w:rPr>
          <w:rFonts w:cs="Times New Roman"/>
        </w:rPr>
        <w:t>.</w:t>
      </w:r>
    </w:p>
  </w:footnote>
  <w:footnote w:id="15">
    <w:p w14:paraId="5CBEF5D2" w14:textId="595F05A7" w:rsidR="00102F6C" w:rsidRPr="006C677A" w:rsidRDefault="00102F6C">
      <w:pPr>
        <w:pStyle w:val="FootnoteText"/>
      </w:pPr>
      <w:r w:rsidRPr="006C677A">
        <w:rPr>
          <w:rStyle w:val="FootnoteReference"/>
        </w:rPr>
        <w:footnoteRef/>
      </w:r>
      <w:r w:rsidRPr="006C677A">
        <w:t xml:space="preserve"> </w:t>
      </w:r>
      <w:hyperlink r:id="rId15" w:history="1">
        <w:r w:rsidR="00013DC0" w:rsidRPr="00013DC0">
          <w:rPr>
            <w:rStyle w:val="Hyperlink"/>
          </w:rPr>
          <w:t>COM(2020) 9</w:t>
        </w:r>
        <w:r w:rsidR="00C7393A">
          <w:rPr>
            <w:rStyle w:val="Hyperlink"/>
          </w:rPr>
          <w:t>8 final</w:t>
        </w:r>
      </w:hyperlink>
      <w:r w:rsidR="00A171E8">
        <w:rPr>
          <w:rStyle w:val="Hyperlink"/>
        </w:rPr>
        <w:t>.</w:t>
      </w:r>
    </w:p>
  </w:footnote>
  <w:footnote w:id="16">
    <w:p w14:paraId="2D8A41BC" w14:textId="16E67D71" w:rsidR="00102F6C" w:rsidRPr="001C1AF0" w:rsidRDefault="00102F6C" w:rsidP="00B95398">
      <w:pPr>
        <w:spacing w:after="0"/>
        <w:rPr>
          <w:rFonts w:ascii="Times New Roman" w:hAnsi="Times New Roman" w:cs="Times New Roman"/>
        </w:rPr>
      </w:pPr>
      <w:r w:rsidRPr="001C1AF0">
        <w:rPr>
          <w:rStyle w:val="FootnoteReference"/>
          <w:rFonts w:ascii="Times New Roman" w:hAnsi="Times New Roman" w:cs="Times New Roman"/>
        </w:rPr>
        <w:footnoteRef/>
      </w:r>
      <w:r w:rsidRPr="001C1AF0">
        <w:rPr>
          <w:rFonts w:ascii="Times New Roman" w:hAnsi="Times New Roman" w:cs="Times New Roman"/>
        </w:rPr>
        <w:t xml:space="preserve"> </w:t>
      </w:r>
      <w:hyperlink r:id="rId16" w:history="1">
        <w:r w:rsidRPr="00302E4D">
          <w:rPr>
            <w:rStyle w:val="Hyperlink"/>
            <w:rFonts w:ascii="Times New Roman" w:eastAsia="Arial" w:hAnsi="Times New Roman" w:cs="Times New Roman"/>
            <w:bCs/>
            <w:sz w:val="20"/>
            <w:szCs w:val="20"/>
          </w:rPr>
          <w:t>Shaping and securing the EU’s Open Strategic Autonomy by 2040 and beyond</w:t>
        </w:r>
      </w:hyperlink>
      <w:r w:rsidRPr="00302E4D">
        <w:rPr>
          <w:rStyle w:val="Hyperlink"/>
          <w:rFonts w:ascii="Times New Roman" w:eastAsia="Arial" w:hAnsi="Times New Roman" w:cs="Times New Roman"/>
          <w:bCs/>
          <w:sz w:val="20"/>
          <w:szCs w:val="20"/>
        </w:rPr>
        <w:t>.</w:t>
      </w:r>
    </w:p>
  </w:footnote>
  <w:footnote w:id="17">
    <w:p w14:paraId="2C089ECB" w14:textId="6C45E390" w:rsidR="00102F6C" w:rsidRPr="002D461D" w:rsidRDefault="00102F6C" w:rsidP="00B9539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F1C67">
        <w:t>For further details, see SWD</w:t>
      </w:r>
      <w:r w:rsidR="000F1C67" w:rsidRPr="000F1C67">
        <w:t>(2023)</w:t>
      </w:r>
      <w:r w:rsidR="000F1C67">
        <w:t xml:space="preserve"> </w:t>
      </w:r>
      <w:r w:rsidR="000F1C67" w:rsidRPr="000F1C67">
        <w:t>306</w:t>
      </w:r>
      <w:r w:rsidRPr="000F1C67">
        <w:t>.</w:t>
      </w:r>
    </w:p>
  </w:footnote>
  <w:footnote w:id="18">
    <w:p w14:paraId="074272C7" w14:textId="77777777" w:rsidR="00102F6C" w:rsidRDefault="00102F6C" w:rsidP="00FF2F9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7" w:history="1">
        <w:r w:rsidRPr="004851ED">
          <w:rPr>
            <w:rStyle w:val="Hyperlink"/>
          </w:rPr>
          <w:t>https://ec.europa.eu/info/law/better-regulation/have-your-say/initiatives/13465-Circular-economy-monitoring-framework-revision-/feedback_en?p_id=30764770</w:t>
        </w:r>
      </w:hyperlink>
      <w:r>
        <w:t>.</w:t>
      </w:r>
    </w:p>
  </w:footnote>
  <w:footnote w:id="19">
    <w:p w14:paraId="1A59971A" w14:textId="77777777" w:rsidR="00102F6C" w:rsidRPr="004704B2" w:rsidRDefault="00102F6C" w:rsidP="00FF2F9A">
      <w:pPr>
        <w:pStyle w:val="FootnoteText"/>
      </w:pPr>
      <w:r>
        <w:rPr>
          <w:rStyle w:val="FootnoteReference"/>
        </w:rPr>
        <w:footnoteRef/>
      </w:r>
      <w:r>
        <w:t xml:space="preserve"> In particular, the </w:t>
      </w:r>
      <w:hyperlink r:id="rId18" w:history="1">
        <w:r w:rsidRPr="005905B1">
          <w:rPr>
            <w:rStyle w:val="Hyperlink"/>
          </w:rPr>
          <w:t>Planetary pressures adjusted- Human Development Index</w:t>
        </w:r>
      </w:hyperlink>
      <w:r>
        <w:t xml:space="preserve"> from UNDP, IRP reports in 2020 and 2021, and the </w:t>
      </w:r>
      <w:hyperlink r:id="rId19" w:history="1">
        <w:r>
          <w:rPr>
            <w:rStyle w:val="Hyperlink"/>
          </w:rPr>
          <w:t>c</w:t>
        </w:r>
        <w:r w:rsidRPr="005905B1">
          <w:rPr>
            <w:rStyle w:val="Hyperlink"/>
          </w:rPr>
          <w:t>ircularity gap reports</w:t>
        </w:r>
      </w:hyperlink>
      <w:r>
        <w:rPr>
          <w:rStyle w:val="Hyperlink"/>
        </w:rPr>
        <w:t>.</w:t>
      </w:r>
    </w:p>
  </w:footnote>
  <w:footnote w:id="20">
    <w:p w14:paraId="7A06775D" w14:textId="77777777" w:rsidR="00102F6C" w:rsidRPr="004704B2" w:rsidRDefault="00102F6C" w:rsidP="00FF2F9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704B2">
        <w:rPr>
          <w:lang w:val="en-US"/>
        </w:rPr>
        <w:t>In particul</w:t>
      </w:r>
      <w:r>
        <w:rPr>
          <w:lang w:val="en-US"/>
        </w:rPr>
        <w:t>a</w:t>
      </w:r>
      <w:r w:rsidRPr="004704B2">
        <w:rPr>
          <w:lang w:val="en-US"/>
        </w:rPr>
        <w:t>r</w:t>
      </w:r>
      <w:r>
        <w:rPr>
          <w:lang w:val="en-US"/>
        </w:rPr>
        <w:t>,</w:t>
      </w:r>
      <w:r w:rsidRPr="004704B2">
        <w:rPr>
          <w:lang w:val="en-US"/>
        </w:rPr>
        <w:t xml:space="preserve"> the </w:t>
      </w:r>
      <w:hyperlink r:id="rId20" w:history="1">
        <w:r w:rsidRPr="00BC4E2D">
          <w:rPr>
            <w:rStyle w:val="Hyperlink"/>
            <w:lang w:val="en-US"/>
          </w:rPr>
          <w:t>Bellagio principles on monitoring</w:t>
        </w:r>
        <w:r>
          <w:rPr>
            <w:rStyle w:val="Hyperlink"/>
            <w:lang w:val="en-US"/>
          </w:rPr>
          <w:t xml:space="preserve"> the</w:t>
        </w:r>
        <w:r w:rsidRPr="00BC4E2D">
          <w:rPr>
            <w:rStyle w:val="Hyperlink"/>
            <w:lang w:val="en-US"/>
          </w:rPr>
          <w:t xml:space="preserve"> circular economy</w:t>
        </w:r>
      </w:hyperlink>
      <w:r>
        <w:rPr>
          <w:rStyle w:val="Hyperlink"/>
          <w:lang w:val="en-US"/>
        </w:rPr>
        <w:t>.</w:t>
      </w:r>
    </w:p>
  </w:footnote>
  <w:footnote w:id="21">
    <w:p w14:paraId="0D32A1A9" w14:textId="5037F509" w:rsidR="00102F6C" w:rsidRDefault="00102F6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F1C67">
        <w:t>For further details, see</w:t>
      </w:r>
      <w:r w:rsidR="000F1C67" w:rsidRPr="000F1C67">
        <w:t xml:space="preserve"> SWD(2023)</w:t>
      </w:r>
      <w:r w:rsidR="000F1C67">
        <w:t xml:space="preserve"> </w:t>
      </w:r>
      <w:r w:rsidR="000F1C67" w:rsidRPr="000F1C67">
        <w:t>306</w:t>
      </w:r>
      <w:r w:rsidRPr="000F1C67">
        <w:t>.</w:t>
      </w:r>
    </w:p>
  </w:footnote>
  <w:footnote w:id="22">
    <w:p w14:paraId="54999B93" w14:textId="61D90035" w:rsidR="00102F6C" w:rsidRPr="00E3328C" w:rsidRDefault="00102F6C" w:rsidP="00BC53C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1" w:history="1">
        <w:r w:rsidRPr="00E3328C">
          <w:rPr>
            <w:rStyle w:val="Hyperlink"/>
          </w:rPr>
          <w:t xml:space="preserve"> COM</w:t>
        </w:r>
        <w:r>
          <w:rPr>
            <w:rStyle w:val="Hyperlink"/>
          </w:rPr>
          <w:t>(</w:t>
        </w:r>
        <w:r w:rsidRPr="00E3328C">
          <w:rPr>
            <w:rStyle w:val="Hyperlink"/>
          </w:rPr>
          <w:t>2022</w:t>
        </w:r>
        <w:r>
          <w:rPr>
            <w:rStyle w:val="Hyperlink"/>
          </w:rPr>
          <w:t xml:space="preserve">) </w:t>
        </w:r>
        <w:r w:rsidRPr="00E3328C">
          <w:rPr>
            <w:rStyle w:val="Hyperlink"/>
          </w:rPr>
          <w:t>357 final</w:t>
        </w:r>
      </w:hyperlink>
      <w:r w:rsidR="00A171E8">
        <w:rPr>
          <w:rStyle w:val="Hyperlink"/>
        </w:rPr>
        <w:t>.</w:t>
      </w:r>
    </w:p>
  </w:footnote>
  <w:footnote w:id="23">
    <w:p w14:paraId="23F24273" w14:textId="697C8533" w:rsidR="00102F6C" w:rsidRPr="00E3328C" w:rsidRDefault="00102F6C" w:rsidP="00BC53C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2" w:history="1">
        <w:r w:rsidR="00A7135B">
          <w:rPr>
            <w:rStyle w:val="Hyperlink"/>
          </w:rPr>
          <w:t>COM(</w:t>
        </w:r>
        <w:r w:rsidRPr="00E3328C">
          <w:rPr>
            <w:rStyle w:val="Hyperlink"/>
          </w:rPr>
          <w:t>2022</w:t>
        </w:r>
        <w:r w:rsidR="00A7135B">
          <w:rPr>
            <w:rStyle w:val="Hyperlink"/>
          </w:rPr>
          <w:t xml:space="preserve">) </w:t>
        </w:r>
        <w:r w:rsidRPr="00E3328C">
          <w:rPr>
            <w:rStyle w:val="Hyperlink"/>
          </w:rPr>
          <w:t>674 final</w:t>
        </w:r>
      </w:hyperlink>
      <w:r w:rsidR="00A171E8">
        <w:rPr>
          <w:rStyle w:val="Hyperlink"/>
        </w:rPr>
        <w:t>.</w:t>
      </w:r>
    </w:p>
  </w:footnote>
  <w:footnote w:id="24">
    <w:p w14:paraId="1FEC0CC5" w14:textId="77777777" w:rsidR="00102F6C" w:rsidRPr="00E3328C" w:rsidRDefault="00102F6C" w:rsidP="00BC53C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3" w:history="1">
        <w:r w:rsidRPr="00A63398">
          <w:rPr>
            <w:rStyle w:val="Hyperlink"/>
          </w:rPr>
          <w:t>EU SDG indicators and progress monitoring report</w:t>
        </w:r>
      </w:hyperlink>
      <w:r>
        <w:t>.</w:t>
      </w:r>
    </w:p>
  </w:footnote>
  <w:footnote w:id="25">
    <w:p w14:paraId="3DB2B6FC" w14:textId="77777777" w:rsidR="00102F6C" w:rsidRPr="00952DC3" w:rsidRDefault="00102F6C" w:rsidP="00BC53C8">
      <w:pPr>
        <w:pStyle w:val="FootnoteText"/>
      </w:pPr>
      <w:r>
        <w:rPr>
          <w:rStyle w:val="FootnoteReference"/>
        </w:rPr>
        <w:footnoteRef/>
      </w:r>
      <w:r w:rsidRPr="00952DC3">
        <w:t xml:space="preserve"> </w:t>
      </w:r>
      <w:hyperlink r:id="rId24" w:history="1">
        <w:r w:rsidRPr="00952DC3">
          <w:rPr>
            <w:rStyle w:val="Hyperlink"/>
          </w:rPr>
          <w:t>EU Resilience dashboard</w:t>
        </w:r>
      </w:hyperlink>
      <w:r w:rsidRPr="00952DC3">
        <w:t xml:space="preserve">. </w:t>
      </w:r>
    </w:p>
  </w:footnote>
  <w:footnote w:id="26">
    <w:p w14:paraId="0C22BE16" w14:textId="77777777" w:rsidR="00102F6C" w:rsidRPr="00063022" w:rsidRDefault="00102F6C" w:rsidP="00BC53C8">
      <w:pPr>
        <w:pStyle w:val="FootnoteText"/>
      </w:pPr>
      <w:r>
        <w:rPr>
          <w:rStyle w:val="FootnoteReference"/>
        </w:rPr>
        <w:footnoteRef/>
      </w:r>
      <w:r>
        <w:t xml:space="preserve"> Also known as the ‘RACER’ criteria for indicators.</w:t>
      </w:r>
    </w:p>
  </w:footnote>
  <w:footnote w:id="27">
    <w:p w14:paraId="59BA6841" w14:textId="7D718D3E" w:rsidR="00102F6C" w:rsidRPr="00952DC3" w:rsidRDefault="00102F6C" w:rsidP="00011D40">
      <w:pPr>
        <w:pStyle w:val="FootnoteText"/>
      </w:pPr>
      <w:r>
        <w:rPr>
          <w:rStyle w:val="FootnoteReference"/>
        </w:rPr>
        <w:footnoteRef/>
      </w:r>
      <w:r w:rsidRPr="00952DC3">
        <w:t xml:space="preserve"> </w:t>
      </w:r>
      <w:hyperlink r:id="rId25" w:history="1">
        <w:r w:rsidR="009C79FE" w:rsidRPr="00C6645B">
          <w:rPr>
            <w:rStyle w:val="Hyperlink"/>
          </w:rPr>
          <w:t>https://ec.europa.eu/eurostat/web/circular-economy</w:t>
        </w:r>
      </w:hyperlink>
      <w:r w:rsidR="009C79FE">
        <w:t xml:space="preserve"> </w:t>
      </w:r>
      <w:r w:rsidRPr="00952DC3">
        <w:t>.</w:t>
      </w:r>
    </w:p>
  </w:footnote>
  <w:footnote w:id="28">
    <w:p w14:paraId="6C3E2DF8" w14:textId="711D1899" w:rsidR="00102F6C" w:rsidRDefault="00102F6C" w:rsidP="007527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6" w:history="1">
        <w:r w:rsidRPr="00C74B02">
          <w:rPr>
            <w:rStyle w:val="Hyperlink"/>
          </w:rPr>
          <w:t>https://ec.europa.eu/food/safety/food_waste/eu_actions_en</w:t>
        </w:r>
      </w:hyperlink>
      <w:r>
        <w:rPr>
          <w:rStyle w:val="Hyperlink"/>
        </w:rPr>
        <w:t>.</w:t>
      </w:r>
      <w:r>
        <w:t xml:space="preserve"> </w:t>
      </w:r>
    </w:p>
  </w:footnote>
  <w:footnote w:id="29">
    <w:p w14:paraId="48C3A97A" w14:textId="238E3A12" w:rsidR="00102F6C" w:rsidRPr="00276604" w:rsidRDefault="00102F6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7" w:history="1">
        <w:r w:rsidRPr="00BE23DB">
          <w:rPr>
            <w:rStyle w:val="Hyperlink"/>
          </w:rPr>
          <w:t>SWD (2023) 4 final</w:t>
        </w:r>
      </w:hyperlink>
      <w:r>
        <w:t>.</w:t>
      </w:r>
    </w:p>
  </w:footnote>
  <w:footnote w:id="30">
    <w:p w14:paraId="6244F2A3" w14:textId="22569457" w:rsidR="00102F6C" w:rsidRDefault="00102F6C" w:rsidP="007527C5">
      <w:pPr>
        <w:pStyle w:val="FootnoteText"/>
      </w:pPr>
      <w:r>
        <w:rPr>
          <w:rStyle w:val="FootnoteReference"/>
        </w:rPr>
        <w:footnoteRef/>
      </w:r>
      <w:r>
        <w:rPr>
          <w:rFonts w:cs="Times New Roman"/>
          <w:szCs w:val="24"/>
        </w:rPr>
        <w:t xml:space="preserve"> </w:t>
      </w:r>
      <w:hyperlink r:id="rId28" w:history="1">
        <w:r w:rsidRPr="00385C52">
          <w:rPr>
            <w:rStyle w:val="Hyperlink"/>
            <w:rFonts w:cs="Times New Roman"/>
            <w:szCs w:val="24"/>
          </w:rPr>
          <w:t>Directive (EU) 2018/851</w:t>
        </w:r>
      </w:hyperlink>
      <w:r>
        <w:rPr>
          <w:rFonts w:cs="Times New Roman"/>
          <w:szCs w:val="24"/>
        </w:rPr>
        <w:t>.</w:t>
      </w:r>
    </w:p>
  </w:footnote>
  <w:footnote w:id="31">
    <w:p w14:paraId="0A1D2FC9" w14:textId="352D464A" w:rsidR="00102F6C" w:rsidRDefault="00102F6C" w:rsidP="007527C5">
      <w:pPr>
        <w:pStyle w:val="FootnoteText"/>
      </w:pPr>
      <w:r>
        <w:rPr>
          <w:rStyle w:val="FootnoteReference"/>
        </w:rPr>
        <w:footnoteRef/>
      </w:r>
      <w:r>
        <w:t xml:space="preserve"> Member States’ figures are more comparable as they are based on a common method.</w:t>
      </w:r>
    </w:p>
  </w:footnote>
  <w:footnote w:id="32">
    <w:p w14:paraId="1CBED9F5" w14:textId="099B2067" w:rsidR="00102F6C" w:rsidRPr="00781DFA" w:rsidRDefault="00102F6C" w:rsidP="007527C5">
      <w:pPr>
        <w:pStyle w:val="FootnoteText"/>
      </w:pPr>
      <w:r w:rsidRPr="00483DE0">
        <w:rPr>
          <w:rStyle w:val="FootnoteReference"/>
        </w:rPr>
        <w:footnoteRef/>
      </w:r>
      <w:r w:rsidRPr="00483DE0">
        <w:t xml:space="preserve"> </w:t>
      </w:r>
      <w:r w:rsidR="00483DE0" w:rsidRPr="00483DE0">
        <w:t>Based on the assessment of the critical raw materials list 2023.</w:t>
      </w:r>
    </w:p>
  </w:footnote>
  <w:footnote w:id="33">
    <w:p w14:paraId="358ACD6D" w14:textId="7FAB53D4" w:rsidR="00102F6C" w:rsidRPr="00966646" w:rsidRDefault="00102F6C" w:rsidP="007527C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C3B53">
        <w:t xml:space="preserve"> </w:t>
      </w:r>
      <w:hyperlink r:id="rId29" w:history="1">
        <w:r w:rsidRPr="00FF263A">
          <w:rPr>
            <w:rStyle w:val="Hyperlink"/>
          </w:rPr>
          <w:t>https://eplca.jrc.ec.europa.eu/ConsumptionFootprintPlatform.html</w:t>
        </w:r>
      </w:hyperlink>
      <w:r>
        <w:t xml:space="preserve">. </w:t>
      </w:r>
      <w:hyperlink r:id="rId30" w:history="1">
        <w:r w:rsidRPr="00FF263A">
          <w:rPr>
            <w:rStyle w:val="Hyperlink"/>
          </w:rPr>
          <w:t>https://publications.jrc.ec.europa.eu/repository/handle/JRC128571</w:t>
        </w:r>
      </w:hyperlink>
      <w:r>
        <w:t xml:space="preserve"> </w:t>
      </w:r>
    </w:p>
  </w:footnote>
  <w:footnote w:id="34">
    <w:p w14:paraId="7B3E25C7" w14:textId="0050AABA" w:rsidR="00102F6C" w:rsidRPr="00C42962" w:rsidRDefault="00102F6C" w:rsidP="00B9539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013DC0">
        <w:rPr>
          <w:rStyle w:val="Hyperlink"/>
          <w:lang w:val="en-US"/>
        </w:rPr>
        <w:t xml:space="preserve"> </w:t>
      </w:r>
      <w:hyperlink r:id="rId31" w:history="1">
        <w:r w:rsidR="00013DC0" w:rsidRPr="00013DC0">
          <w:rPr>
            <w:rStyle w:val="Hyperlink"/>
            <w:lang w:val="en-US"/>
          </w:rPr>
          <w:t>COM(2020) 798</w:t>
        </w:r>
      </w:hyperlink>
      <w:r w:rsidR="00F129B2">
        <w:rPr>
          <w:rStyle w:val="Hyperlink"/>
          <w:lang w:val="en-US"/>
        </w:rPr>
        <w:t xml:space="preserve"> final</w:t>
      </w:r>
      <w:r w:rsidR="00A171E8">
        <w:rPr>
          <w:rStyle w:val="Hyperlink"/>
          <w:lang w:val="en-US"/>
        </w:rPr>
        <w:t>.</w:t>
      </w:r>
    </w:p>
  </w:footnote>
  <w:footnote w:id="35">
    <w:p w14:paraId="1A3C3616" w14:textId="7762348F" w:rsidR="00102F6C" w:rsidRPr="00DD709D" w:rsidRDefault="00102F6C" w:rsidP="00B9539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 xml:space="preserve"> </w:t>
      </w:r>
      <w:hyperlink r:id="rId32" w:history="1">
        <w:r w:rsidRPr="00A85288">
          <w:rPr>
            <w:rStyle w:val="Hyperlink"/>
            <w:lang w:val="en-US"/>
          </w:rPr>
          <w:t>COM(2022) 14</w:t>
        </w:r>
        <w:r w:rsidR="00F129B2">
          <w:rPr>
            <w:rStyle w:val="Hyperlink"/>
            <w:lang w:val="en-US"/>
          </w:rPr>
          <w:t>2 final</w:t>
        </w:r>
      </w:hyperlink>
      <w:r>
        <w:rPr>
          <w:lang w:val="en-US"/>
        </w:rPr>
        <w:t>.</w:t>
      </w:r>
    </w:p>
  </w:footnote>
  <w:footnote w:id="36">
    <w:p w14:paraId="12F3A7F6" w14:textId="66B48731" w:rsidR="00102F6C" w:rsidRPr="00271DD4" w:rsidRDefault="00102F6C" w:rsidP="00B9539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3" w:history="1">
        <w:r w:rsidRPr="00A85288">
          <w:rPr>
            <w:rStyle w:val="Hyperlink"/>
            <w:lang w:val="en-US"/>
          </w:rPr>
          <w:t>COM(2022) 67</w:t>
        </w:r>
        <w:r w:rsidR="00F129B2">
          <w:rPr>
            <w:rStyle w:val="Hyperlink"/>
            <w:lang w:val="en-US"/>
          </w:rPr>
          <w:t>7 final</w:t>
        </w:r>
      </w:hyperlink>
      <w:r w:rsidR="00F129B2">
        <w:rPr>
          <w:lang w:val="en-US"/>
        </w:rPr>
        <w:t>.</w:t>
      </w:r>
    </w:p>
  </w:footnote>
  <w:footnote w:id="37">
    <w:p w14:paraId="287F4429" w14:textId="608B0F5F" w:rsidR="00102F6C" w:rsidRPr="00271DD4" w:rsidRDefault="00102F6C" w:rsidP="00B9539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4" w:history="1">
        <w:r w:rsidRPr="00A85288">
          <w:rPr>
            <w:rStyle w:val="Hyperlink"/>
          </w:rPr>
          <w:t>COM</w:t>
        </w:r>
        <w:r w:rsidR="00A85288" w:rsidRPr="00A85288">
          <w:rPr>
            <w:rStyle w:val="Hyperlink"/>
          </w:rPr>
          <w:t>(</w:t>
        </w:r>
        <w:r w:rsidRPr="00A85288">
          <w:rPr>
            <w:rStyle w:val="Hyperlink"/>
          </w:rPr>
          <w:t>2021</w:t>
        </w:r>
        <w:r w:rsidR="00A85288" w:rsidRPr="00A85288">
          <w:rPr>
            <w:rStyle w:val="Hyperlink"/>
          </w:rPr>
          <w:t>) 70</w:t>
        </w:r>
        <w:r w:rsidR="00F129B2">
          <w:rPr>
            <w:rStyle w:val="Hyperlink"/>
          </w:rPr>
          <w:t>9 final</w:t>
        </w:r>
      </w:hyperlink>
      <w:r w:rsidR="00F129B2">
        <w:t>.</w:t>
      </w:r>
      <w:r w:rsidR="00A85288">
        <w:t xml:space="preserve">  </w:t>
      </w:r>
    </w:p>
  </w:footnote>
  <w:footnote w:id="38">
    <w:p w14:paraId="3566B0C9" w14:textId="2DAD5EB7" w:rsidR="00102F6C" w:rsidRPr="00A71E8E" w:rsidRDefault="00102F6C" w:rsidP="00A71E8E">
      <w:pPr>
        <w:autoSpaceDE w:val="0"/>
        <w:autoSpaceDN w:val="0"/>
        <w:spacing w:after="0" w:line="240" w:lineRule="auto"/>
      </w:pPr>
      <w:r w:rsidRPr="00A71E8E">
        <w:rPr>
          <w:rStyle w:val="FootnoteReference"/>
          <w:rFonts w:ascii="Times New Roman" w:hAnsi="Times New Roman" w:cs="Times New Roman"/>
        </w:rPr>
        <w:footnoteRef/>
      </w:r>
      <w:r w:rsidRPr="00A71E8E">
        <w:t xml:space="preserve"> </w:t>
      </w:r>
      <w:hyperlink r:id="rId35" w:history="1">
        <w:r w:rsidR="005D7F1B" w:rsidRPr="00302E4D">
          <w:rPr>
            <w:rStyle w:val="Hyperlink"/>
            <w:rFonts w:ascii="Times New Roman" w:hAnsi="Times New Roman" w:cs="Times New Roman"/>
            <w:sz w:val="20"/>
            <w:szCs w:val="20"/>
          </w:rPr>
          <w:t>COM(2023)160 final</w:t>
        </w:r>
      </w:hyperlink>
      <w:r w:rsidR="005D7F1B" w:rsidRPr="00302E4D">
        <w:rPr>
          <w:rFonts w:ascii="Times New Roman" w:hAnsi="Times New Roman" w:cs="Times New Roman"/>
          <w:sz w:val="20"/>
          <w:szCs w:val="20"/>
        </w:rPr>
        <w:t>.</w:t>
      </w:r>
      <w:r w:rsidR="005D7F1B" w:rsidRPr="00A71E8E">
        <w:rPr>
          <w:rFonts w:ascii="Times New Roman" w:eastAsia="Times New Roman" w:hAnsi="Times New Roman" w:cs="Times New Roman"/>
          <w:sz w:val="20"/>
          <w:szCs w:val="20"/>
          <w:lang w:eastAsia="fr-BE"/>
        </w:rPr>
        <w:t xml:space="preserve"> </w:t>
      </w:r>
    </w:p>
  </w:footnote>
  <w:footnote w:id="39">
    <w:p w14:paraId="112ECF53" w14:textId="45CBE9C9" w:rsidR="007A01A0" w:rsidRDefault="007A01A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6" w:history="1">
        <w:r w:rsidR="00483DE0" w:rsidRPr="00483DE0">
          <w:rPr>
            <w:rStyle w:val="Hyperlink"/>
          </w:rPr>
          <w:t>Directive (EU) 2018/851</w:t>
        </w:r>
      </w:hyperlink>
      <w:r w:rsidR="00A171E8">
        <w:rPr>
          <w:rStyle w:val="Hyperlink"/>
        </w:rPr>
        <w:t>.</w:t>
      </w:r>
    </w:p>
  </w:footnote>
  <w:footnote w:id="40">
    <w:p w14:paraId="71339A90" w14:textId="4B971BB6" w:rsidR="0028776A" w:rsidRDefault="0028776A">
      <w:pPr>
        <w:pStyle w:val="FootnoteText"/>
      </w:pPr>
      <w:r w:rsidRPr="00FE26A8">
        <w:rPr>
          <w:rStyle w:val="FootnoteReference"/>
        </w:rPr>
        <w:footnoteRef/>
      </w:r>
      <w:r w:rsidRPr="00FE26A8">
        <w:t xml:space="preserve"> </w:t>
      </w:r>
      <w:hyperlink r:id="rId37" w:history="1">
        <w:r w:rsidRPr="00FE26A8">
          <w:rPr>
            <w:rStyle w:val="Hyperlink"/>
          </w:rPr>
          <w:t>https://environment.ec.europa.eu/topics/waste-and-recycling/implementation-waste-framework-directive_en</w:t>
        </w:r>
      </w:hyperlink>
      <w:r>
        <w:t xml:space="preserve"> </w:t>
      </w:r>
    </w:p>
  </w:footnote>
  <w:footnote w:id="41">
    <w:p w14:paraId="69081F71" w14:textId="0B161996" w:rsidR="00102F6C" w:rsidRPr="00A82C79" w:rsidRDefault="00102F6C" w:rsidP="00BC4A06">
      <w:pPr>
        <w:pStyle w:val="FootnoteText"/>
      </w:pPr>
      <w:r>
        <w:rPr>
          <w:rStyle w:val="FootnoteReference"/>
        </w:rPr>
        <w:footnoteRef/>
      </w:r>
      <w:r w:rsidRPr="00A82C79">
        <w:t xml:space="preserve"> </w:t>
      </w:r>
      <w:hyperlink r:id="rId38" w:history="1">
        <w:r w:rsidR="00BE23DB" w:rsidRPr="00BE23DB">
          <w:rPr>
            <w:rStyle w:val="Hyperlink"/>
            <w:lang w:val="en-US"/>
          </w:rPr>
          <w:t>Press release on the Circular economy stakeholders conference 2023</w:t>
        </w:r>
      </w:hyperlink>
      <w:r w:rsidR="00BE23DB" w:rsidRPr="00BE23DB">
        <w:rPr>
          <w:lang w:val="en-US"/>
        </w:rPr>
        <w:t>.</w:t>
      </w:r>
    </w:p>
  </w:footnote>
  <w:footnote w:id="42">
    <w:p w14:paraId="77AB2417" w14:textId="6CDCA1F6" w:rsidR="00102F6C" w:rsidRDefault="00102F6C" w:rsidP="00BC4A0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9" w:anchor="overview" w:history="1">
        <w:r w:rsidR="00540FE1" w:rsidRPr="00C6645B">
          <w:rPr>
            <w:rStyle w:val="Hyperlink"/>
          </w:rPr>
          <w:t>https://environment.ec.europa.eu/law-and-governance/environmental-implementation-review_en#overview</w:t>
        </w:r>
      </w:hyperlink>
      <w:r w:rsidR="00540FE1">
        <w:t xml:space="preserve"> </w:t>
      </w:r>
      <w:r w:rsidR="00F129B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219B5" w14:textId="77777777" w:rsidR="00865C0F" w:rsidRPr="00865C0F" w:rsidRDefault="00865C0F" w:rsidP="00865C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0E819" w14:textId="77777777" w:rsidR="00865C0F" w:rsidRPr="00865C0F" w:rsidRDefault="00865C0F" w:rsidP="00865C0F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35D94" w14:textId="77777777" w:rsidR="00865C0F" w:rsidRPr="00865C0F" w:rsidRDefault="00865C0F" w:rsidP="00865C0F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E05B5" w14:textId="77777777" w:rsidR="00102F6C" w:rsidRDefault="00102F6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A8C26" w14:textId="77777777" w:rsidR="00102F6C" w:rsidRDefault="00102F6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E683C" w14:textId="77777777" w:rsidR="00102F6C" w:rsidRDefault="00102F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D5014"/>
    <w:multiLevelType w:val="hybridMultilevel"/>
    <w:tmpl w:val="CC5C9B54"/>
    <w:lvl w:ilvl="0" w:tplc="EA22D8A2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D4C0A"/>
    <w:multiLevelType w:val="hybridMultilevel"/>
    <w:tmpl w:val="BC30111C"/>
    <w:lvl w:ilvl="0" w:tplc="E730AE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25472D"/>
    <w:multiLevelType w:val="hybridMultilevel"/>
    <w:tmpl w:val="874A8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E61E46"/>
    <w:multiLevelType w:val="hybridMultilevel"/>
    <w:tmpl w:val="7FF429A8"/>
    <w:lvl w:ilvl="0" w:tplc="5D04DD9E">
      <w:start w:val="1"/>
      <w:numFmt w:val="decimal"/>
      <w:lvlText w:val="%1."/>
      <w:lvlJc w:val="left"/>
      <w:pPr>
        <w:ind w:left="4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BE" w:vendorID="64" w:dllVersion="6" w:nlCheck="1" w:checkStyle="0"/>
  <w:activeWritingStyle w:appName="MSWord" w:lang="en-IE" w:vendorID="64" w:dllVersion="6" w:nlCheck="1" w:checkStyle="1"/>
  <w:activeWritingStyle w:appName="MSWord" w:lang="it-IT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IE" w:vendorID="64" w:dllVersion="0" w:nlCheck="1" w:checkStyle="0"/>
  <w:activeWritingStyle w:appName="MSWord" w:lang="fr-BE" w:vendorID="64" w:dllVersion="0" w:nlCheck="1" w:checkStyle="0"/>
  <w:activeWritingStyle w:appName="MSWord" w:lang="pt-PT" w:vendorID="64" w:dllVersion="0" w:nlCheck="1" w:checkStyle="0"/>
  <w:activeWritingStyle w:appName="MSWord" w:lang="es-ES" w:vendorID="64" w:dllVersion="6" w:nlCheck="1" w:checkStyle="0"/>
  <w:activeWritingStyle w:appName="MSWord" w:lang="en-IE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D962BFA5-24E0-4BC7-A7A7-4334F99A0FAC"/>
    <w:docVar w:name="LW_COVERPAGE_TYPE" w:val="1"/>
    <w:docVar w:name="LW_CROSSREFERENCE" w:val="{SWD(2023) 306 final}"/>
    <w:docVar w:name="LW_DocType" w:val="NORMAL"/>
    <w:docVar w:name="LW_EMISSION" w:val="15.5.2023"/>
    <w:docVar w:name="LW_EMISSION_ISODATE" w:val="2023-05-15"/>
    <w:docVar w:name="LW_EMISSION_LOCATION" w:val="BRX"/>
    <w:docVar w:name="LW_EMISSION_PREFIX" w:val="Brussels, "/>
    <w:docVar w:name="LW_EMISSION_SUFFIX" w:val=" "/>
    <w:docVar w:name="LW_ID_DOCTYPE_NONLW" w:val="CP-014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3) 306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on a revised monitoring framework for the circular economy"/>
    <w:docVar w:name="LW_TYPE.DOC.CP" w:val="COMMUNICATION FROM THE COMMISSION TO THE EUROPEAN PARLIAMENT, THE COUNCIL, THE EUROPEAN ECONOMIC AND SOCIAL COMMITTEE AND THE COMMITTEE OF THE REGIONS"/>
    <w:docVar w:name="LW_TYPE.DOC.CP.USERTEXT" w:val="&lt;EMPTY&gt;"/>
    <w:docVar w:name="LwApiVersions" w:val="LW4CoDe 1.23.2.0; LW 8.0, Build 20211117"/>
  </w:docVars>
  <w:rsids>
    <w:rsidRoot w:val="00BF3E18"/>
    <w:rsid w:val="0000252D"/>
    <w:rsid w:val="00002CD4"/>
    <w:rsid w:val="00010F54"/>
    <w:rsid w:val="00011D40"/>
    <w:rsid w:val="00013357"/>
    <w:rsid w:val="00013DC0"/>
    <w:rsid w:val="00025022"/>
    <w:rsid w:val="000307A1"/>
    <w:rsid w:val="00031A3B"/>
    <w:rsid w:val="00031BBC"/>
    <w:rsid w:val="000348F6"/>
    <w:rsid w:val="00051BBA"/>
    <w:rsid w:val="000533FA"/>
    <w:rsid w:val="00067020"/>
    <w:rsid w:val="00071630"/>
    <w:rsid w:val="00073BBA"/>
    <w:rsid w:val="00073FAD"/>
    <w:rsid w:val="00081BD6"/>
    <w:rsid w:val="0008594D"/>
    <w:rsid w:val="00096AA1"/>
    <w:rsid w:val="000974BA"/>
    <w:rsid w:val="000D3930"/>
    <w:rsid w:val="000D5BF4"/>
    <w:rsid w:val="000F1C67"/>
    <w:rsid w:val="000F6B84"/>
    <w:rsid w:val="000F720B"/>
    <w:rsid w:val="0010191D"/>
    <w:rsid w:val="00101AB5"/>
    <w:rsid w:val="00102781"/>
    <w:rsid w:val="00102F6C"/>
    <w:rsid w:val="00105850"/>
    <w:rsid w:val="00114389"/>
    <w:rsid w:val="001253F1"/>
    <w:rsid w:val="00126620"/>
    <w:rsid w:val="00132041"/>
    <w:rsid w:val="001339E7"/>
    <w:rsid w:val="0015321E"/>
    <w:rsid w:val="001551A5"/>
    <w:rsid w:val="00156DDD"/>
    <w:rsid w:val="00164881"/>
    <w:rsid w:val="00171D54"/>
    <w:rsid w:val="00173BAA"/>
    <w:rsid w:val="001806D8"/>
    <w:rsid w:val="00197503"/>
    <w:rsid w:val="001A2B5D"/>
    <w:rsid w:val="001B1013"/>
    <w:rsid w:val="001C199A"/>
    <w:rsid w:val="001C1AF0"/>
    <w:rsid w:val="001C2D28"/>
    <w:rsid w:val="001C6772"/>
    <w:rsid w:val="001D12DC"/>
    <w:rsid w:val="001E3AFC"/>
    <w:rsid w:val="001E41C4"/>
    <w:rsid w:val="001E4A2E"/>
    <w:rsid w:val="00200D68"/>
    <w:rsid w:val="00223FAE"/>
    <w:rsid w:val="00225322"/>
    <w:rsid w:val="002466FF"/>
    <w:rsid w:val="00250DA3"/>
    <w:rsid w:val="00252D91"/>
    <w:rsid w:val="00271DD4"/>
    <w:rsid w:val="00276604"/>
    <w:rsid w:val="00276727"/>
    <w:rsid w:val="002831B9"/>
    <w:rsid w:val="0028776A"/>
    <w:rsid w:val="00290F93"/>
    <w:rsid w:val="00296D8B"/>
    <w:rsid w:val="002A2C92"/>
    <w:rsid w:val="002A677F"/>
    <w:rsid w:val="002A7AF8"/>
    <w:rsid w:val="002B02EA"/>
    <w:rsid w:val="002B172B"/>
    <w:rsid w:val="002B3E18"/>
    <w:rsid w:val="002C3297"/>
    <w:rsid w:val="003018B1"/>
    <w:rsid w:val="00302E4D"/>
    <w:rsid w:val="00311BFD"/>
    <w:rsid w:val="003345D8"/>
    <w:rsid w:val="0033483D"/>
    <w:rsid w:val="00334D5F"/>
    <w:rsid w:val="00340543"/>
    <w:rsid w:val="0034062E"/>
    <w:rsid w:val="0036177A"/>
    <w:rsid w:val="00367854"/>
    <w:rsid w:val="003743D8"/>
    <w:rsid w:val="00385C52"/>
    <w:rsid w:val="00387A1D"/>
    <w:rsid w:val="00390303"/>
    <w:rsid w:val="00396ABB"/>
    <w:rsid w:val="00397DD7"/>
    <w:rsid w:val="003C2E18"/>
    <w:rsid w:val="003C3A0A"/>
    <w:rsid w:val="003E0569"/>
    <w:rsid w:val="003E11BF"/>
    <w:rsid w:val="003F06CB"/>
    <w:rsid w:val="00403095"/>
    <w:rsid w:val="00403849"/>
    <w:rsid w:val="00411598"/>
    <w:rsid w:val="00416A7A"/>
    <w:rsid w:val="00430452"/>
    <w:rsid w:val="004338DB"/>
    <w:rsid w:val="00437651"/>
    <w:rsid w:val="0044543D"/>
    <w:rsid w:val="00450685"/>
    <w:rsid w:val="004545F8"/>
    <w:rsid w:val="00455BE0"/>
    <w:rsid w:val="004644F4"/>
    <w:rsid w:val="00470D62"/>
    <w:rsid w:val="00470E73"/>
    <w:rsid w:val="004738FF"/>
    <w:rsid w:val="00483DE0"/>
    <w:rsid w:val="00485C6A"/>
    <w:rsid w:val="00491DE1"/>
    <w:rsid w:val="0049466A"/>
    <w:rsid w:val="004955CB"/>
    <w:rsid w:val="004E787B"/>
    <w:rsid w:val="0051231E"/>
    <w:rsid w:val="005133E8"/>
    <w:rsid w:val="00521C76"/>
    <w:rsid w:val="00523954"/>
    <w:rsid w:val="00525E31"/>
    <w:rsid w:val="00540FE1"/>
    <w:rsid w:val="00542A12"/>
    <w:rsid w:val="00547E61"/>
    <w:rsid w:val="00551285"/>
    <w:rsid w:val="005649BF"/>
    <w:rsid w:val="005660FF"/>
    <w:rsid w:val="00573340"/>
    <w:rsid w:val="00586CCC"/>
    <w:rsid w:val="00586E31"/>
    <w:rsid w:val="00587E76"/>
    <w:rsid w:val="00592949"/>
    <w:rsid w:val="00596524"/>
    <w:rsid w:val="005A00B6"/>
    <w:rsid w:val="005A48B4"/>
    <w:rsid w:val="005A6769"/>
    <w:rsid w:val="005D06AC"/>
    <w:rsid w:val="005D20F1"/>
    <w:rsid w:val="005D40AF"/>
    <w:rsid w:val="005D65B2"/>
    <w:rsid w:val="005D7F1B"/>
    <w:rsid w:val="005E25D2"/>
    <w:rsid w:val="005E2AA6"/>
    <w:rsid w:val="005E6897"/>
    <w:rsid w:val="005E7B59"/>
    <w:rsid w:val="006153EA"/>
    <w:rsid w:val="00615CC7"/>
    <w:rsid w:val="00630D09"/>
    <w:rsid w:val="006315D1"/>
    <w:rsid w:val="006321B4"/>
    <w:rsid w:val="00633B0F"/>
    <w:rsid w:val="006443C8"/>
    <w:rsid w:val="0065499D"/>
    <w:rsid w:val="00662549"/>
    <w:rsid w:val="00667621"/>
    <w:rsid w:val="00671EB5"/>
    <w:rsid w:val="00676902"/>
    <w:rsid w:val="0067755E"/>
    <w:rsid w:val="0069337F"/>
    <w:rsid w:val="00696B9A"/>
    <w:rsid w:val="006A11AE"/>
    <w:rsid w:val="006A2554"/>
    <w:rsid w:val="006B24A1"/>
    <w:rsid w:val="006B5FF2"/>
    <w:rsid w:val="006C677A"/>
    <w:rsid w:val="006C6A71"/>
    <w:rsid w:val="006D76E3"/>
    <w:rsid w:val="006E44F8"/>
    <w:rsid w:val="006F05D9"/>
    <w:rsid w:val="006F74EE"/>
    <w:rsid w:val="007117C9"/>
    <w:rsid w:val="007141FC"/>
    <w:rsid w:val="00721778"/>
    <w:rsid w:val="00741C0D"/>
    <w:rsid w:val="0074264B"/>
    <w:rsid w:val="00750F16"/>
    <w:rsid w:val="007527C5"/>
    <w:rsid w:val="00754886"/>
    <w:rsid w:val="00757B48"/>
    <w:rsid w:val="007650E6"/>
    <w:rsid w:val="00772466"/>
    <w:rsid w:val="00776297"/>
    <w:rsid w:val="00780442"/>
    <w:rsid w:val="007A01A0"/>
    <w:rsid w:val="007A5F13"/>
    <w:rsid w:val="007B268E"/>
    <w:rsid w:val="007B3F39"/>
    <w:rsid w:val="007C2AC9"/>
    <w:rsid w:val="007C5FA3"/>
    <w:rsid w:val="007D0D05"/>
    <w:rsid w:val="007D7799"/>
    <w:rsid w:val="007D79C3"/>
    <w:rsid w:val="007F3146"/>
    <w:rsid w:val="007F5BF1"/>
    <w:rsid w:val="008043AC"/>
    <w:rsid w:val="008119EC"/>
    <w:rsid w:val="00817890"/>
    <w:rsid w:val="00823333"/>
    <w:rsid w:val="00831FD4"/>
    <w:rsid w:val="00852BD9"/>
    <w:rsid w:val="00863169"/>
    <w:rsid w:val="008645D2"/>
    <w:rsid w:val="00865C0F"/>
    <w:rsid w:val="008705C4"/>
    <w:rsid w:val="0087301F"/>
    <w:rsid w:val="00885C20"/>
    <w:rsid w:val="00897334"/>
    <w:rsid w:val="008B577A"/>
    <w:rsid w:val="008B6B8C"/>
    <w:rsid w:val="008C04D7"/>
    <w:rsid w:val="008C4A18"/>
    <w:rsid w:val="008C67FF"/>
    <w:rsid w:val="008E5C6C"/>
    <w:rsid w:val="008F1CC4"/>
    <w:rsid w:val="00902FDB"/>
    <w:rsid w:val="00903031"/>
    <w:rsid w:val="00904056"/>
    <w:rsid w:val="00905D90"/>
    <w:rsid w:val="00921A52"/>
    <w:rsid w:val="0092534E"/>
    <w:rsid w:val="009300F9"/>
    <w:rsid w:val="009309BF"/>
    <w:rsid w:val="009370FF"/>
    <w:rsid w:val="009375D3"/>
    <w:rsid w:val="00942A7A"/>
    <w:rsid w:val="00956A08"/>
    <w:rsid w:val="0099472C"/>
    <w:rsid w:val="00997860"/>
    <w:rsid w:val="00997CA5"/>
    <w:rsid w:val="00997F12"/>
    <w:rsid w:val="009A0B30"/>
    <w:rsid w:val="009C79FE"/>
    <w:rsid w:val="009F1FF5"/>
    <w:rsid w:val="009F2FA9"/>
    <w:rsid w:val="009F3F64"/>
    <w:rsid w:val="00A02EFF"/>
    <w:rsid w:val="00A11765"/>
    <w:rsid w:val="00A171E8"/>
    <w:rsid w:val="00A17928"/>
    <w:rsid w:val="00A203AF"/>
    <w:rsid w:val="00A25D9F"/>
    <w:rsid w:val="00A26DD5"/>
    <w:rsid w:val="00A63398"/>
    <w:rsid w:val="00A645E4"/>
    <w:rsid w:val="00A66EAC"/>
    <w:rsid w:val="00A7064B"/>
    <w:rsid w:val="00A7135B"/>
    <w:rsid w:val="00A71E8E"/>
    <w:rsid w:val="00A807E9"/>
    <w:rsid w:val="00A82C79"/>
    <w:rsid w:val="00A83B94"/>
    <w:rsid w:val="00A83C28"/>
    <w:rsid w:val="00A85288"/>
    <w:rsid w:val="00A97937"/>
    <w:rsid w:val="00A97ADD"/>
    <w:rsid w:val="00AA01C8"/>
    <w:rsid w:val="00AA4A3E"/>
    <w:rsid w:val="00AC2097"/>
    <w:rsid w:val="00AC5569"/>
    <w:rsid w:val="00AE38A8"/>
    <w:rsid w:val="00AF39FB"/>
    <w:rsid w:val="00AF763F"/>
    <w:rsid w:val="00B004CC"/>
    <w:rsid w:val="00B009A2"/>
    <w:rsid w:val="00B01F01"/>
    <w:rsid w:val="00B04B00"/>
    <w:rsid w:val="00B13F37"/>
    <w:rsid w:val="00B1716E"/>
    <w:rsid w:val="00B21A63"/>
    <w:rsid w:val="00B23131"/>
    <w:rsid w:val="00B3487B"/>
    <w:rsid w:val="00B43F48"/>
    <w:rsid w:val="00B50A68"/>
    <w:rsid w:val="00B70A42"/>
    <w:rsid w:val="00B73918"/>
    <w:rsid w:val="00B84159"/>
    <w:rsid w:val="00B8708E"/>
    <w:rsid w:val="00B87F56"/>
    <w:rsid w:val="00B95398"/>
    <w:rsid w:val="00B95B85"/>
    <w:rsid w:val="00BA20C5"/>
    <w:rsid w:val="00BA213E"/>
    <w:rsid w:val="00BA267F"/>
    <w:rsid w:val="00BA42C4"/>
    <w:rsid w:val="00BB1C4D"/>
    <w:rsid w:val="00BC4A06"/>
    <w:rsid w:val="00BC53C8"/>
    <w:rsid w:val="00BE23DB"/>
    <w:rsid w:val="00BE30ED"/>
    <w:rsid w:val="00BE40D0"/>
    <w:rsid w:val="00BE7FDA"/>
    <w:rsid w:val="00BF3E18"/>
    <w:rsid w:val="00BF70A2"/>
    <w:rsid w:val="00C00258"/>
    <w:rsid w:val="00C15F92"/>
    <w:rsid w:val="00C248C3"/>
    <w:rsid w:val="00C359B2"/>
    <w:rsid w:val="00C40EF4"/>
    <w:rsid w:val="00C462BD"/>
    <w:rsid w:val="00C51718"/>
    <w:rsid w:val="00C5180B"/>
    <w:rsid w:val="00C54F96"/>
    <w:rsid w:val="00C64342"/>
    <w:rsid w:val="00C7393A"/>
    <w:rsid w:val="00C74F04"/>
    <w:rsid w:val="00C76A9E"/>
    <w:rsid w:val="00C87BB2"/>
    <w:rsid w:val="00C90774"/>
    <w:rsid w:val="00C95977"/>
    <w:rsid w:val="00CA769B"/>
    <w:rsid w:val="00CB341C"/>
    <w:rsid w:val="00CB5E6E"/>
    <w:rsid w:val="00CC1800"/>
    <w:rsid w:val="00CC5346"/>
    <w:rsid w:val="00CD1CC6"/>
    <w:rsid w:val="00CD64AD"/>
    <w:rsid w:val="00CD6BC9"/>
    <w:rsid w:val="00CD6BEF"/>
    <w:rsid w:val="00CD7198"/>
    <w:rsid w:val="00CE1680"/>
    <w:rsid w:val="00CF0330"/>
    <w:rsid w:val="00CF2CC0"/>
    <w:rsid w:val="00D04197"/>
    <w:rsid w:val="00D0565D"/>
    <w:rsid w:val="00D07A60"/>
    <w:rsid w:val="00D11EB4"/>
    <w:rsid w:val="00D20518"/>
    <w:rsid w:val="00D348F8"/>
    <w:rsid w:val="00D403EC"/>
    <w:rsid w:val="00D443CE"/>
    <w:rsid w:val="00D53242"/>
    <w:rsid w:val="00D55CEA"/>
    <w:rsid w:val="00D55E8A"/>
    <w:rsid w:val="00D6197C"/>
    <w:rsid w:val="00D70999"/>
    <w:rsid w:val="00D75E7C"/>
    <w:rsid w:val="00D835C4"/>
    <w:rsid w:val="00D85342"/>
    <w:rsid w:val="00D96CFC"/>
    <w:rsid w:val="00DB07C4"/>
    <w:rsid w:val="00DB0FB5"/>
    <w:rsid w:val="00DB17E4"/>
    <w:rsid w:val="00DB451E"/>
    <w:rsid w:val="00DB736D"/>
    <w:rsid w:val="00DC5F5D"/>
    <w:rsid w:val="00DC6135"/>
    <w:rsid w:val="00DD7306"/>
    <w:rsid w:val="00E0199C"/>
    <w:rsid w:val="00E04485"/>
    <w:rsid w:val="00E13C55"/>
    <w:rsid w:val="00E16377"/>
    <w:rsid w:val="00E1675D"/>
    <w:rsid w:val="00E3328C"/>
    <w:rsid w:val="00E34CA7"/>
    <w:rsid w:val="00E57FD5"/>
    <w:rsid w:val="00E67001"/>
    <w:rsid w:val="00E72266"/>
    <w:rsid w:val="00E72F0C"/>
    <w:rsid w:val="00E819B9"/>
    <w:rsid w:val="00E91B03"/>
    <w:rsid w:val="00E92217"/>
    <w:rsid w:val="00E930CD"/>
    <w:rsid w:val="00EA679C"/>
    <w:rsid w:val="00EB20FE"/>
    <w:rsid w:val="00EB4483"/>
    <w:rsid w:val="00EC0164"/>
    <w:rsid w:val="00EC0DEF"/>
    <w:rsid w:val="00EC68A0"/>
    <w:rsid w:val="00EC7358"/>
    <w:rsid w:val="00EE056F"/>
    <w:rsid w:val="00EF6BCC"/>
    <w:rsid w:val="00F01CE8"/>
    <w:rsid w:val="00F06334"/>
    <w:rsid w:val="00F129B2"/>
    <w:rsid w:val="00F27669"/>
    <w:rsid w:val="00F421D3"/>
    <w:rsid w:val="00F77150"/>
    <w:rsid w:val="00F77E06"/>
    <w:rsid w:val="00F85019"/>
    <w:rsid w:val="00F90543"/>
    <w:rsid w:val="00FC3B53"/>
    <w:rsid w:val="00FD041D"/>
    <w:rsid w:val="00FD26A7"/>
    <w:rsid w:val="00FD5161"/>
    <w:rsid w:val="00FD54E7"/>
    <w:rsid w:val="00FD7799"/>
    <w:rsid w:val="00FE26A8"/>
    <w:rsid w:val="00FE2A87"/>
    <w:rsid w:val="00FF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8FEA9B"/>
  <w15:chartTrackingRefBased/>
  <w15:docId w15:val="{EDED5E29-2854-4FBD-8028-8292B429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BF3E18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BF3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E18"/>
  </w:style>
  <w:style w:type="paragraph" w:styleId="Footer">
    <w:name w:val="footer"/>
    <w:basedOn w:val="Normal"/>
    <w:link w:val="FooterChar"/>
    <w:uiPriority w:val="99"/>
    <w:unhideWhenUsed/>
    <w:rsid w:val="00BF3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E18"/>
  </w:style>
  <w:style w:type="paragraph" w:customStyle="1" w:styleId="Pagedecouverture">
    <w:name w:val="Page de couverture"/>
    <w:basedOn w:val="Normal"/>
    <w:next w:val="Normal"/>
    <w:rsid w:val="00BF3E18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BF3E18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BF3E18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BF3E1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BF3E18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BF3E18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BF3E18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BF3E1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BF3E18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BF3E18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BF3E18"/>
    <w:rPr>
      <w:rFonts w:ascii="Times New Roman" w:hAnsi="Times New Roman" w:cs="Times New Roman"/>
      <w:sz w:val="28"/>
    </w:rPr>
  </w:style>
  <w:style w:type="paragraph" w:styleId="FootnoteText">
    <w:name w:val="footnote text"/>
    <w:aliases w:val="footnote,Footnote text,fn,Schriftart: 9 pt,Schriftart: 10 pt,Schriftart: 8 pt,WB-Fußnotentext,Footnote Text_EP-LCA,Text_EP-LCA,Char5,Text,Reference,Fußnote,Footnote Text Char Char,Footnote Text Char Char Char Char,Footnote Text1,o,Fußn,f"/>
    <w:basedOn w:val="Normal"/>
    <w:link w:val="FootnoteTextChar"/>
    <w:uiPriority w:val="99"/>
    <w:unhideWhenUsed/>
    <w:qFormat/>
    <w:rsid w:val="007527C5"/>
    <w:pPr>
      <w:spacing w:after="0" w:line="240" w:lineRule="auto"/>
    </w:pPr>
    <w:rPr>
      <w:rFonts w:ascii="Times New Roman" w:hAnsi="Times New Roman"/>
      <w:sz w:val="20"/>
      <w:szCs w:val="20"/>
      <w:lang w:val="en-GB"/>
    </w:rPr>
  </w:style>
  <w:style w:type="character" w:customStyle="1" w:styleId="FootnoteTextChar">
    <w:name w:val="Footnote Text Char"/>
    <w:aliases w:val="footnote Char,Footnote text Char,fn Char,Schriftart: 9 pt Char,Schriftart: 10 pt Char,Schriftart: 8 pt Char,WB-Fußnotentext Char,Footnote Text_EP-LCA Char,Text_EP-LCA Char,Char5 Char,Text Char,Reference Char,Fußnote Char,o Char,f Char"/>
    <w:basedOn w:val="DefaultParagraphFont"/>
    <w:link w:val="FootnoteText"/>
    <w:uiPriority w:val="99"/>
    <w:rsid w:val="007527C5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number,no...,(Footnote Reference),Footnote Reference_EP-LCA"/>
    <w:basedOn w:val="DefaultParagraphFont"/>
    <w:uiPriority w:val="99"/>
    <w:unhideWhenUsed/>
    <w:rsid w:val="007527C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7527C5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527C5"/>
    <w:rPr>
      <w:color w:val="0000FF"/>
      <w:u w:val="single"/>
    </w:rPr>
  </w:style>
  <w:style w:type="table" w:styleId="TableGrid">
    <w:name w:val="Table Grid"/>
    <w:basedOn w:val="TableNormal"/>
    <w:uiPriority w:val="39"/>
    <w:rsid w:val="00752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27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7E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80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07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07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7E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90303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00B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0DA3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2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petrorn\AppData\Local\Microsoft\Windows\INetCache\Content.Outlook\GB8WGSL1\COM%20Revised%20CEMF%20post%20ISC%2016032023%20TC.docx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COM%3A2023%3A165%3AFIN&amp;qid=1679058289812" TargetMode="External"/><Relationship Id="rId13" Type="http://schemas.openxmlformats.org/officeDocument/2006/relationships/hyperlink" Target="https://eur-lex.europa.eu/legal-content/EN/TXT/?uri=COM%3A2018%3A29%3AFIN" TargetMode="External"/><Relationship Id="rId18" Type="http://schemas.openxmlformats.org/officeDocument/2006/relationships/hyperlink" Target="https://hdr.undp.org/en/content/planetary-pressures%E2%80%93adjusted-human-development-index-phdi" TargetMode="External"/><Relationship Id="rId26" Type="http://schemas.openxmlformats.org/officeDocument/2006/relationships/hyperlink" Target="https://ec.europa.eu/food/safety/food_waste/eu_actions_en" TargetMode="External"/><Relationship Id="rId39" Type="http://schemas.openxmlformats.org/officeDocument/2006/relationships/hyperlink" Target="https://environment.ec.europa.eu/law-and-governance/environmental-implementation-review_en" TargetMode="External"/><Relationship Id="rId3" Type="http://schemas.openxmlformats.org/officeDocument/2006/relationships/hyperlink" Target="https://www.resourcepanel.org/reports/global-resources-outlook" TargetMode="External"/><Relationship Id="rId21" Type="http://schemas.openxmlformats.org/officeDocument/2006/relationships/hyperlink" Target="https://eur-lex.europa.eu/legal-content/EN/TXT/?uri=COM%3A2022%3A357%3AFIN" TargetMode="External"/><Relationship Id="rId34" Type="http://schemas.openxmlformats.org/officeDocument/2006/relationships/hyperlink" Target="https://eur-lex.europa.eu/legal-content/EN/TXT/?uri=CELEX%3A52021PC0709&amp;qid=1642757230360" TargetMode="External"/><Relationship Id="rId7" Type="http://schemas.openxmlformats.org/officeDocument/2006/relationships/hyperlink" Target="https://ec.europa.eu/eurostat/statistics-explained/index.php?title=Physical_imports_and_exports" TargetMode="External"/><Relationship Id="rId12" Type="http://schemas.openxmlformats.org/officeDocument/2006/relationships/hyperlink" Target="https://commission.europa.eu/strategy-and-policy/international-strategies/sustainable-development-goals_en" TargetMode="External"/><Relationship Id="rId17" Type="http://schemas.openxmlformats.org/officeDocument/2006/relationships/hyperlink" Target="https://ec.europa.eu/info/law/better-regulation/have-your-say/initiatives/13465-Circular-economy-monitoring-framework-revision-/feedback_en?p_id=30764770" TargetMode="External"/><Relationship Id="rId25" Type="http://schemas.openxmlformats.org/officeDocument/2006/relationships/hyperlink" Target="https://ec.europa.eu/eurostat/web/circular-economy" TargetMode="External"/><Relationship Id="rId33" Type="http://schemas.openxmlformats.org/officeDocument/2006/relationships/hyperlink" Target="https://eur-lex.europa.eu/legal-content/EN/TXT/?uri=CELEX%3A52022PC0677" TargetMode="External"/><Relationship Id="rId38" Type="http://schemas.openxmlformats.org/officeDocument/2006/relationships/hyperlink" Target="https://environment.ec.europa.eu/news/circular-economy-stakeholder-conference-reinforces-role-circular-economy-driving-eus-strategic-2023-02-27_en" TargetMode="External"/><Relationship Id="rId2" Type="http://schemas.openxmlformats.org/officeDocument/2006/relationships/hyperlink" Target="https://www.circularity-gap.world/2022" TargetMode="External"/><Relationship Id="rId16" Type="http://schemas.openxmlformats.org/officeDocument/2006/relationships/hyperlink" Target="https://publications.jrc.ec.europa.eu/repository/bitstream/JRC125994/open_strategic_autonomy_2040_online_1.pdf" TargetMode="External"/><Relationship Id="rId20" Type="http://schemas.openxmlformats.org/officeDocument/2006/relationships/hyperlink" Target="https://epanet.eea.europa.eu/reports-letters/reports-and-letters/bellagio-declaration.pdf/view" TargetMode="External"/><Relationship Id="rId29" Type="http://schemas.openxmlformats.org/officeDocument/2006/relationships/hyperlink" Target="https://eplca.jrc.ec.europa.eu/ConsumptionFootprintPlatform.html" TargetMode="External"/><Relationship Id="rId1" Type="http://schemas.openxmlformats.org/officeDocument/2006/relationships/hyperlink" Target="https://www.oecd.org/environment/waste/highlights-global-material-resources-outlook-to-2060.pdf" TargetMode="External"/><Relationship Id="rId6" Type="http://schemas.openxmlformats.org/officeDocument/2006/relationships/hyperlink" Target="https://ec.europa.eu/eurostat/statistics-explained/index.php?title=Physical_imports_and_exports" TargetMode="External"/><Relationship Id="rId11" Type="http://schemas.openxmlformats.org/officeDocument/2006/relationships/hyperlink" Target="https://commission.europa.eu/system/files/2023-03/Communication_Long-term-competitiveness.pdf" TargetMode="External"/><Relationship Id="rId24" Type="http://schemas.openxmlformats.org/officeDocument/2006/relationships/hyperlink" Target="https://commission.europa.eu/strategy-and-policy/strategic-planning/strategic-foresight/2020-strategic-foresight-report/resilience-dashboards_en" TargetMode="External"/><Relationship Id="rId32" Type="http://schemas.openxmlformats.org/officeDocument/2006/relationships/hyperlink" Target="https://eur-lex.europa.eu/legal-content/EN/ALL/?uri=COM:2022:142:FIN" TargetMode="External"/><Relationship Id="rId37" Type="http://schemas.openxmlformats.org/officeDocument/2006/relationships/hyperlink" Target="https://environment.ec.europa.eu/topics/waste-and-recycling/implementation-waste-framework-directive_en" TargetMode="External"/><Relationship Id="rId5" Type="http://schemas.openxmlformats.org/officeDocument/2006/relationships/hyperlink" Target="https://ec.europa.eu/eurostat/databrowser/view/env_ac_mfa/default/table?lang=en" TargetMode="External"/><Relationship Id="rId15" Type="http://schemas.openxmlformats.org/officeDocument/2006/relationships/hyperlink" Target="https://eur-lex.europa.eu/legal-content/EN/TXT/?qid=1583933814386&amp;uri=COM:2020:98:FIN" TargetMode="External"/><Relationship Id="rId23" Type="http://schemas.openxmlformats.org/officeDocument/2006/relationships/hyperlink" Target="https://ec.europa.eu/eurostat/web/sdi" TargetMode="External"/><Relationship Id="rId28" Type="http://schemas.openxmlformats.org/officeDocument/2006/relationships/hyperlink" Target="https://eur-lex.europa.eu/legal-content/EN/TXT/?uri=celex%3A32018L0851" TargetMode="External"/><Relationship Id="rId36" Type="http://schemas.openxmlformats.org/officeDocument/2006/relationships/hyperlink" Target="https://eur-lex.europa.eu/legal-content/EN/TXT/?uri=celex%3A32018L0851" TargetMode="External"/><Relationship Id="rId10" Type="http://schemas.openxmlformats.org/officeDocument/2006/relationships/hyperlink" Target="https://ec.europa.eu/info/strategy/priorities-2019-2024/europe-fit-digital-age/european-industrial-strategy/depth-reviews-strategic-areas-europes-interests_en" TargetMode="External"/><Relationship Id="rId19" Type="http://schemas.openxmlformats.org/officeDocument/2006/relationships/hyperlink" Target="https://www.circularity-gap.world/global" TargetMode="External"/><Relationship Id="rId31" Type="http://schemas.openxmlformats.org/officeDocument/2006/relationships/hyperlink" Target="https://eur-lex.europa.eu/legal-content/EN/TXT/?uri=CELEX%3A52020PC0798&amp;qid=1608192505371" TargetMode="External"/><Relationship Id="rId4" Type="http://schemas.openxmlformats.org/officeDocument/2006/relationships/hyperlink" Target="https://www.circularity-gap.world/2023" TargetMode="External"/><Relationship Id="rId9" Type="http://schemas.openxmlformats.org/officeDocument/2006/relationships/hyperlink" Target="https://eur-lex.europa.eu/legal-content/EN/TXT/?uri=COM%3A2023%3A160%3AFIN&amp;qid=1679058289812" TargetMode="External"/><Relationship Id="rId14" Type="http://schemas.openxmlformats.org/officeDocument/2006/relationships/hyperlink" Target="https://eur-lex.europa.eu/legal-content/EN/TXT/?uri=SWD%3A2018%3A17%3AFIN" TargetMode="External"/><Relationship Id="rId22" Type="http://schemas.openxmlformats.org/officeDocument/2006/relationships/hyperlink" Target="https://eur-lex.europa.eu/legal-content/EN/TXT/?uri=COM%3A2022%3A674%3AFIN&amp;qid=1670510444610" TargetMode="External"/><Relationship Id="rId27" Type="http://schemas.openxmlformats.org/officeDocument/2006/relationships/hyperlink" Target="https://commission.europa.eu/publications/analysis-main-drivers-food-security_en" TargetMode="External"/><Relationship Id="rId30" Type="http://schemas.openxmlformats.org/officeDocument/2006/relationships/hyperlink" Target="https://publications.jrc.ec.europa.eu/repository/handle/JRC128571" TargetMode="External"/><Relationship Id="rId35" Type="http://schemas.openxmlformats.org/officeDocument/2006/relationships/hyperlink" Target="https://eur-lex.europa.eu/legal-content/EN/TXT/?uri=COM%3A2023%3A160%3AFIN&amp;qid=16790582898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8CA12-8841-4C9D-AAFF-D37FF362E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3447</Words>
  <Characters>19028</Characters>
  <Application>Microsoft Office Word</Application>
  <DocSecurity>0</DocSecurity>
  <Lines>396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30</cp:revision>
  <cp:lastPrinted>2023-02-23T18:07:00Z</cp:lastPrinted>
  <dcterms:created xsi:type="dcterms:W3CDTF">2023-05-11T14:59:00Z</dcterms:created>
  <dcterms:modified xsi:type="dcterms:W3CDTF">2023-05-15T07:17:00Z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CP-014</vt:lpwstr>
  </property>
  <property fmtid="{D5CDD505-2E9C-101B-9397-08002B2CF9AE}" pid="7" name="Last edited using">
    <vt:lpwstr>LW 9.0, Build 20230317</vt:lpwstr>
  </property>
  <property fmtid="{D5CDD505-2E9C-101B-9397-08002B2CF9AE}" pid="8" name="Created using">
    <vt:lpwstr>LW 8.1, Build 20220902</vt:lpwstr>
  </property>
  <property fmtid="{D5CDD505-2E9C-101B-9397-08002B2CF9AE}" pid="9" name="MSIP_Label_f4cdc456-5864-460f-beda-883d23b78bbb_Enabled">
    <vt:lpwstr>true</vt:lpwstr>
  </property>
  <property fmtid="{D5CDD505-2E9C-101B-9397-08002B2CF9AE}" pid="10" name="MSIP_Label_f4cdc456-5864-460f-beda-883d23b78bbb_SetDate">
    <vt:lpwstr>2023-04-27T08:03:59Z</vt:lpwstr>
  </property>
  <property fmtid="{D5CDD505-2E9C-101B-9397-08002B2CF9AE}" pid="11" name="MSIP_Label_f4cdc456-5864-460f-beda-883d23b78bbb_Method">
    <vt:lpwstr>Privileged</vt:lpwstr>
  </property>
  <property fmtid="{D5CDD505-2E9C-101B-9397-08002B2CF9AE}" pid="12" name="MSIP_Label_f4cdc456-5864-460f-beda-883d23b78bbb_Name">
    <vt:lpwstr>Publicly Available</vt:lpwstr>
  </property>
  <property fmtid="{D5CDD505-2E9C-101B-9397-08002B2CF9AE}" pid="13" name="MSIP_Label_f4cdc456-5864-460f-beda-883d23b78bbb_SiteId">
    <vt:lpwstr>b24c8b06-522c-46fe-9080-70926f8dddb1</vt:lpwstr>
  </property>
  <property fmtid="{D5CDD505-2E9C-101B-9397-08002B2CF9AE}" pid="14" name="MSIP_Label_f4cdc456-5864-460f-beda-883d23b78bbb_ActionId">
    <vt:lpwstr>112502be-15a3-41b0-8a20-3f18c2230d8c</vt:lpwstr>
  </property>
  <property fmtid="{D5CDD505-2E9C-101B-9397-08002B2CF9AE}" pid="15" name="MSIP_Label_f4cdc456-5864-460f-beda-883d23b78bbb_ContentBits">
    <vt:lpwstr>0</vt:lpwstr>
  </property>
</Properties>
</file>