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7E06D" w14:textId="7A40B77F" w:rsidR="00BF3E18" w:rsidRPr="00271DD4" w:rsidRDefault="002772E9" w:rsidP="002772E9">
      <w:pPr>
        <w:pStyle w:val="Pagedecouverture"/>
        <w:rPr>
          <w:noProof/>
        </w:rPr>
      </w:pPr>
      <w:bookmarkStart w:id="0" w:name="LW_BM_COVERPAGE"/>
      <w:r>
        <w:rPr>
          <w:noProof/>
        </w:rPr>
        <w:pict w14:anchorId="0FA2B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AA1C6A7-769F-4AC4-BAA3-02C069397B70" style="width:455.25pt;height:336.75pt">
            <v:imagedata r:id="rId8" o:title=""/>
          </v:shape>
        </w:pict>
      </w:r>
    </w:p>
    <w:bookmarkEnd w:id="0"/>
    <w:p w14:paraId="753983E5" w14:textId="77777777" w:rsidR="00BF3E18" w:rsidRPr="00271DD4" w:rsidRDefault="00BF3E18" w:rsidP="00BF3E18">
      <w:pPr>
        <w:rPr>
          <w:noProof/>
          <w:lang w:val="en-IE"/>
        </w:rPr>
        <w:sectPr w:rsidR="00BF3E18" w:rsidRPr="00271DD4" w:rsidSect="002772E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A85E147" w14:textId="77777777" w:rsidR="007527C5" w:rsidRPr="00271DD4" w:rsidRDefault="007527C5" w:rsidP="006C677A">
      <w:pPr>
        <w:pStyle w:val="ListParagraph"/>
        <w:numPr>
          <w:ilvl w:val="0"/>
          <w:numId w:val="1"/>
        </w:numPr>
        <w:spacing w:after="120" w:line="276" w:lineRule="auto"/>
        <w:contextualSpacing w:val="0"/>
        <w:jc w:val="both"/>
        <w:outlineLvl w:val="0"/>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Introduction</w:t>
      </w:r>
    </w:p>
    <w:p w14:paraId="42C1BF81" w14:textId="693C0AA5" w:rsidR="00CD64AD" w:rsidRDefault="007527C5" w:rsidP="006C677A">
      <w:pPr>
        <w:spacing w:after="120" w:line="276" w:lineRule="auto"/>
        <w:jc w:val="both"/>
        <w:rPr>
          <w:rFonts w:ascii="Times New Roman" w:eastAsia="Calibri" w:hAnsi="Times New Roman" w:cs="Times New Roman"/>
          <w:noProof/>
          <w:sz w:val="24"/>
          <w:szCs w:val="24"/>
        </w:rPr>
      </w:pPr>
      <w:r>
        <w:rPr>
          <w:rFonts w:ascii="Times New Roman" w:hAnsi="Times New Roman"/>
          <w:b/>
          <w:noProof/>
          <w:sz w:val="24"/>
        </w:rPr>
        <w:t>En 1972, dans son rapport intitulé «</w:t>
      </w:r>
      <w:r>
        <w:rPr>
          <w:rFonts w:ascii="Times New Roman" w:hAnsi="Times New Roman"/>
          <w:b/>
          <w:i/>
          <w:noProof/>
          <w:sz w:val="24"/>
        </w:rPr>
        <w:t>Les limites à la croissance</w:t>
      </w:r>
      <w:r>
        <w:rPr>
          <w:rFonts w:ascii="Times New Roman" w:hAnsi="Times New Roman"/>
          <w:b/>
          <w:noProof/>
          <w:sz w:val="24"/>
        </w:rPr>
        <w:t>», le Club de Rome mettait en garde contre les conséquences des aspects non durables du modèle de croissance actuel sur l’environnement et le climat</w:t>
      </w:r>
      <w:r>
        <w:rPr>
          <w:rFonts w:ascii="Times New Roman" w:hAnsi="Times New Roman"/>
          <w:noProof/>
          <w:sz w:val="24"/>
        </w:rPr>
        <w:t>. Ce constat reposait sur la consommation annuelle mondiale de 28,6 milliards de tonnes de matières. Au cours des 50 années qui ont suivi la publication de ce rapport, la tendance à l’augmentation constante de la demande de ressources est devenue encore plus préoccupante. Depuis 1972, l’utilisation mondiale de matières a presque quadruplé, passant à 54,9 milliards de tonnes par an en 2000 et dépassant les 100 milliards de tonnes en 2019. L’utilisation mondiale de matières devrait atteindre 167 milliards de tonnes par an en 2060</w:t>
      </w:r>
      <w:r>
        <w:rPr>
          <w:rStyle w:val="FootnoteReference"/>
          <w:rFonts w:ascii="Times New Roman" w:eastAsia="Calibri" w:hAnsi="Times New Roman" w:cs="Times New Roman"/>
          <w:noProof/>
          <w:sz w:val="24"/>
          <w:szCs w:val="24"/>
          <w:lang w:val="en-IE"/>
        </w:rPr>
        <w:footnoteReference w:id="2"/>
      </w:r>
      <w:r>
        <w:rPr>
          <w:rFonts w:ascii="Times New Roman" w:hAnsi="Times New Roman"/>
          <w:noProof/>
          <w:sz w:val="24"/>
        </w:rPr>
        <w:t xml:space="preserve">. </w:t>
      </w:r>
    </w:p>
    <w:p w14:paraId="3D2028A6" w14:textId="5C3F152A" w:rsidR="007527C5" w:rsidRDefault="00C95977" w:rsidP="006C677A">
      <w:pPr>
        <w:spacing w:after="120" w:line="276" w:lineRule="auto"/>
        <w:jc w:val="both"/>
        <w:rPr>
          <w:rFonts w:ascii="Times New Roman" w:eastAsia="Calibri" w:hAnsi="Times New Roman" w:cs="Times New Roman"/>
          <w:noProof/>
          <w:sz w:val="24"/>
          <w:szCs w:val="24"/>
        </w:rPr>
      </w:pPr>
      <w:r>
        <w:rPr>
          <w:rFonts w:ascii="Times New Roman" w:hAnsi="Times New Roman"/>
          <w:b/>
          <w:noProof/>
          <w:sz w:val="24"/>
        </w:rPr>
        <w:t>La capacité de régénération naturelle de la planète n’a pas permis d’absorber l’accroissement exponentiel de l’extraction des ressources</w:t>
      </w:r>
      <w:r>
        <w:rPr>
          <w:rFonts w:ascii="Times New Roman" w:hAnsi="Times New Roman"/>
          <w:noProof/>
          <w:sz w:val="24"/>
        </w:rPr>
        <w:t>, qui sont ensuite rapidement rejetées dans l’atmosphère, les masses d’eau et la terre</w:t>
      </w:r>
      <w:r>
        <w:rPr>
          <w:rFonts w:ascii="Times New Roman" w:eastAsia="Calibri" w:hAnsi="Times New Roman" w:cs="Times New Roman"/>
          <w:noProof/>
          <w:sz w:val="24"/>
          <w:szCs w:val="24"/>
          <w:vertAlign w:val="superscript"/>
          <w:lang w:val="en-IE"/>
        </w:rPr>
        <w:footnoteReference w:id="3"/>
      </w:r>
      <w:r>
        <w:rPr>
          <w:rFonts w:ascii="Times New Roman" w:hAnsi="Times New Roman"/>
          <w:noProof/>
          <w:sz w:val="24"/>
        </w:rPr>
        <w:t>. Le système mondial et interconnecté de la nature a été déséquilibré et atteint désormais sa limite, alors que les effets dévastateurs du changement climatique et de la perte de biodiversité se font sentir fortement partout dans le monde.</w:t>
      </w:r>
    </w:p>
    <w:p w14:paraId="2646EA50" w14:textId="0B243AA1" w:rsidR="007527C5" w:rsidRPr="00271DD4" w:rsidRDefault="007527C5" w:rsidP="006C677A">
      <w:pPr>
        <w:spacing w:after="120" w:line="276" w:lineRule="auto"/>
        <w:jc w:val="both"/>
        <w:rPr>
          <w:rFonts w:ascii="Times New Roman" w:eastAsia="Calibri" w:hAnsi="Times New Roman" w:cs="Times New Roman"/>
          <w:noProof/>
          <w:sz w:val="24"/>
          <w:szCs w:val="24"/>
        </w:rPr>
      </w:pPr>
      <w:r>
        <w:rPr>
          <w:rFonts w:ascii="Times New Roman" w:hAnsi="Times New Roman"/>
          <w:b/>
          <w:noProof/>
          <w:sz w:val="24"/>
        </w:rPr>
        <w:t>La moitié des émissions totales de gaz à effet de serre (GES) et plus de 90 % de la perte de biodiversité et du stress hydrique résultent de l’extraction et de la transformation des ressources</w:t>
      </w:r>
      <w:r>
        <w:rPr>
          <w:rFonts w:ascii="Times New Roman" w:eastAsia="Calibri" w:hAnsi="Times New Roman" w:cs="Times New Roman"/>
          <w:noProof/>
          <w:sz w:val="24"/>
          <w:szCs w:val="24"/>
          <w:vertAlign w:val="superscript"/>
          <w:lang w:val="en-IE"/>
        </w:rPr>
        <w:footnoteReference w:id="4"/>
      </w:r>
      <w:r>
        <w:rPr>
          <w:rFonts w:ascii="Times New Roman" w:hAnsi="Times New Roman"/>
          <w:noProof/>
          <w:sz w:val="24"/>
        </w:rPr>
        <w:t>. La réduction des émissions de GES et la diminution de l’utilisation des matières premières constituent les deux faces de la même médaille. Le lien important entre la biodiversité et l’économie circulaire est de plus en plus reconnu. Si nous ne transformons pas radicalement la manière dont nous utilisons les matières pour répondre à nos besoins, en favorisant l’évolution de l’ensemble de nos systèmes de production et de consommation, nous ne pourrons ni réduire sensiblement nos émissions, ni préserver la nature pour les générations actuelles et futures.</w:t>
      </w:r>
    </w:p>
    <w:p w14:paraId="6C3F337F" w14:textId="254CD758" w:rsidR="005D06AC" w:rsidRPr="002C3297" w:rsidRDefault="005D06AC" w:rsidP="006C677A">
      <w:pPr>
        <w:spacing w:after="120" w:line="276" w:lineRule="auto"/>
        <w:jc w:val="both"/>
        <w:rPr>
          <w:rFonts w:ascii="Times New Roman" w:eastAsia="Calibri" w:hAnsi="Times New Roman" w:cs="Times New Roman"/>
          <w:noProof/>
          <w:sz w:val="24"/>
          <w:szCs w:val="24"/>
        </w:rPr>
      </w:pPr>
      <w:r>
        <w:rPr>
          <w:rFonts w:ascii="Times New Roman" w:hAnsi="Times New Roman"/>
          <w:b/>
          <w:noProof/>
          <w:sz w:val="24"/>
        </w:rPr>
        <w:t>La plupart des matières, ainsi que l’énergie grise et les autres ressources utilisées dans le cadre de leur production, disparaissent à l'issue de leur premier cycle économique</w:t>
      </w:r>
      <w:r>
        <w:rPr>
          <w:rFonts w:ascii="Times New Roman" w:hAnsi="Times New Roman"/>
          <w:noProof/>
          <w:sz w:val="24"/>
        </w:rPr>
        <w:t>: le taux d’utilisation circulaire des matières global</w:t>
      </w:r>
      <w:r>
        <w:rPr>
          <w:rStyle w:val="FootnoteReference"/>
          <w:rFonts w:ascii="Times New Roman" w:eastAsia="Calibri" w:hAnsi="Times New Roman" w:cs="Times New Roman"/>
          <w:noProof/>
          <w:sz w:val="24"/>
          <w:szCs w:val="24"/>
          <w:lang w:val="en-IE"/>
        </w:rPr>
        <w:footnoteReference w:id="5"/>
      </w:r>
      <w:r>
        <w:rPr>
          <w:rFonts w:ascii="Times New Roman" w:hAnsi="Times New Roman"/>
          <w:noProof/>
          <w:sz w:val="24"/>
        </w:rPr>
        <w:t xml:space="preserve"> est passé de 9,1 % en 2018 à 7,2 % aujourd’hui</w:t>
      </w:r>
      <w:r>
        <w:rPr>
          <w:rStyle w:val="FootnoteReference"/>
          <w:rFonts w:ascii="Times New Roman" w:eastAsia="Calibri" w:hAnsi="Times New Roman" w:cs="Times New Roman"/>
          <w:noProof/>
          <w:sz w:val="24"/>
          <w:szCs w:val="24"/>
          <w:lang w:val="en-IE"/>
        </w:rPr>
        <w:footnoteReference w:id="6"/>
      </w:r>
      <w:r>
        <w:rPr>
          <w:rFonts w:ascii="Times New Roman" w:hAnsi="Times New Roman"/>
          <w:noProof/>
          <w:sz w:val="24"/>
        </w:rPr>
        <w:t>. Chaque année, 8,1 milliards de tonnes de matières sont transformées en énergie ou en produits dans l’Union, mais seulement 0,8 milliard de tonnes proviennent du recyclage. Si le taux d’utilisation circulaire des matières dans l’Union a augmenté pour atteindre 11,7 % en 2021, soit 3,4 points de pourcentage de plus qu’en 2004, il existe tout de même un considérable potentiel d’amélioration, notamment réalisable par l’augmentation de l’utilisation des matières recyclées et par la diminution de la quantité de matières utilisées dans l’économie.</w:t>
      </w:r>
    </w:p>
    <w:p w14:paraId="0DD9F181" w14:textId="000535E1" w:rsidR="00CD64AD" w:rsidRDefault="00BA213E" w:rsidP="00D53242">
      <w:pPr>
        <w:spacing w:after="120" w:line="276" w:lineRule="auto"/>
        <w:jc w:val="both"/>
        <w:rPr>
          <w:rFonts w:ascii="Times New Roman" w:eastAsia="Calibri" w:hAnsi="Times New Roman" w:cs="Times New Roman"/>
          <w:noProof/>
          <w:sz w:val="24"/>
        </w:rPr>
      </w:pPr>
      <w:r>
        <w:rPr>
          <w:rFonts w:ascii="Times New Roman" w:hAnsi="Times New Roman"/>
          <w:b/>
          <w:noProof/>
          <w:sz w:val="24"/>
        </w:rPr>
        <w:t>L’économie de l’Union dépend de matières premières provenant du reste du monde</w:t>
      </w:r>
      <w:r>
        <w:rPr>
          <w:rFonts w:ascii="Times New Roman" w:hAnsi="Times New Roman"/>
          <w:noProof/>
          <w:sz w:val="24"/>
        </w:rPr>
        <w:t>. En 2021, l’Union a importé 1,6 milliard de tonnes de matières provenant du reste du monde</w:t>
      </w:r>
      <w:r>
        <w:rPr>
          <w:rFonts w:ascii="Times New Roman" w:eastAsia="Calibri" w:hAnsi="Times New Roman" w:cs="Times New Roman"/>
          <w:noProof/>
          <w:sz w:val="24"/>
          <w:vertAlign w:val="superscript"/>
          <w:lang w:val="en-IE"/>
        </w:rPr>
        <w:footnoteReference w:id="7"/>
      </w:r>
      <w:r>
        <w:rPr>
          <w:rFonts w:ascii="Times New Roman" w:hAnsi="Times New Roman"/>
          <w:noProof/>
          <w:sz w:val="24"/>
        </w:rPr>
        <w:t>. Les minerais métalliques et les matières énergétiques fossiles représentaient 58 % de ces importations</w:t>
      </w:r>
      <w:r>
        <w:rPr>
          <w:rFonts w:ascii="Times New Roman" w:eastAsia="Calibri" w:hAnsi="Times New Roman" w:cs="Times New Roman"/>
          <w:noProof/>
          <w:sz w:val="24"/>
          <w:vertAlign w:val="superscript"/>
          <w:lang w:val="en-IE"/>
        </w:rPr>
        <w:footnoteReference w:id="8"/>
      </w:r>
      <w:r>
        <w:rPr>
          <w:rFonts w:ascii="Times New Roman" w:hAnsi="Times New Roman"/>
          <w:noProof/>
          <w:sz w:val="24"/>
        </w:rPr>
        <w:t>. En outre, l’approvisionnement de l’Union en matières premières critiques, nécessaires à la transition écologique, est exposé à des risques importants et est souvent associé à des incidences négatives sur l’environnement dans les pays tiers. Dans le cadre de ses récentes initiatives sur les matières premières critiques, l’Union intensifie ses efforts visant à garantir leur circularité au sens large</w:t>
      </w:r>
      <w:r>
        <w:rPr>
          <w:rStyle w:val="FootnoteReference"/>
          <w:rFonts w:ascii="Times New Roman" w:eastAsia="Calibri" w:hAnsi="Times New Roman" w:cs="Times New Roman"/>
          <w:noProof/>
          <w:sz w:val="24"/>
          <w:lang w:val="en-IE"/>
        </w:rPr>
        <w:footnoteReference w:id="9"/>
      </w:r>
      <w:r>
        <w:rPr>
          <w:rFonts w:ascii="Times New Roman" w:hAnsi="Times New Roman"/>
          <w:noProof/>
          <w:sz w:val="24"/>
        </w:rPr>
        <w:t xml:space="preserve"> et, en particulier, à renforcer les capacités, les systèmes et les technologies de recyclage afin de produire des matières secondaires dans l’Union européenne</w:t>
      </w:r>
      <w:r>
        <w:rPr>
          <w:rStyle w:val="FootnoteReference"/>
          <w:rFonts w:ascii="Times New Roman" w:eastAsia="Calibri" w:hAnsi="Times New Roman" w:cs="Times New Roman"/>
          <w:noProof/>
          <w:sz w:val="24"/>
          <w:lang w:val="en-IE"/>
        </w:rPr>
        <w:footnoteReference w:id="10"/>
      </w:r>
      <w:r>
        <w:rPr>
          <w:rFonts w:ascii="Times New Roman" w:hAnsi="Times New Roman"/>
          <w:noProof/>
          <w:sz w:val="24"/>
        </w:rPr>
        <w:t>.</w:t>
      </w:r>
    </w:p>
    <w:p w14:paraId="7E523CFE" w14:textId="7464AA14" w:rsidR="007527C5" w:rsidRDefault="008C4A18" w:rsidP="006C677A">
      <w:pPr>
        <w:spacing w:after="120" w:line="276" w:lineRule="auto"/>
        <w:jc w:val="both"/>
        <w:rPr>
          <w:rFonts w:ascii="Times New Roman" w:eastAsia="Calibri" w:hAnsi="Times New Roman" w:cs="Times New Roman"/>
          <w:noProof/>
          <w:sz w:val="24"/>
        </w:rPr>
      </w:pPr>
      <w:r>
        <w:rPr>
          <w:rFonts w:ascii="Times New Roman" w:hAnsi="Times New Roman"/>
          <w:b/>
          <w:noProof/>
          <w:sz w:val="24"/>
        </w:rPr>
        <w:t>Grâce à la diminution de la demande de l’Union en ressources primaires et en énergie, la transition vers une économie plus circulaire permettrait de renforcer notre résilience et de réduire nos dépendances à l’égard des importations d’énergie et de matières, tout en contribuant à la transition vers une énergie propre</w:t>
      </w:r>
      <w:r>
        <w:rPr>
          <w:rFonts w:ascii="Times New Roman" w:hAnsi="Times New Roman"/>
          <w:noProof/>
          <w:sz w:val="24"/>
        </w:rPr>
        <w:t>. Cette démarche est d’autant plus importante à la suite de la crise de la COVID-19 et dans le contexte de la guerre d’agression brutale menée actuellement par la Russie contre l’Ukraine. La contribution de l’économie circulaire à la sécurité de l’approvisionnement est particulièrement importante, car la demande de matières premières essentielles dans les énergies renouvelables et l’électromobilité connaîtra une forte augmentation entre 2030 et 2050</w:t>
      </w:r>
      <w:r>
        <w:rPr>
          <w:rFonts w:ascii="Times New Roman" w:eastAsia="Calibri" w:hAnsi="Times New Roman" w:cs="Times New Roman"/>
          <w:bCs/>
          <w:noProof/>
          <w:sz w:val="24"/>
          <w:vertAlign w:val="superscript"/>
          <w:lang w:val="en-IE"/>
        </w:rPr>
        <w:footnoteReference w:id="11"/>
      </w:r>
      <w:r>
        <w:rPr>
          <w:rFonts w:ascii="Times New Roman" w:hAnsi="Times New Roman"/>
          <w:noProof/>
          <w:sz w:val="24"/>
        </w:rPr>
        <w:t xml:space="preserve">. </w:t>
      </w:r>
    </w:p>
    <w:p w14:paraId="1A2CDD48" w14:textId="0DC03F80" w:rsidR="001A2B5D" w:rsidRPr="00271DD4" w:rsidRDefault="00942A7A" w:rsidP="00817890">
      <w:pPr>
        <w:spacing w:after="120" w:line="276" w:lineRule="auto"/>
        <w:jc w:val="both"/>
        <w:rPr>
          <w:rFonts w:ascii="Times New Roman" w:eastAsia="Calibri" w:hAnsi="Times New Roman" w:cs="Times New Roman"/>
          <w:noProof/>
          <w:sz w:val="24"/>
          <w:szCs w:val="24"/>
        </w:rPr>
      </w:pPr>
      <w:r>
        <w:rPr>
          <w:rFonts w:ascii="Times New Roman" w:hAnsi="Times New Roman"/>
          <w:b/>
          <w:noProof/>
          <w:sz w:val="24"/>
        </w:rPr>
        <w:t>La transition vers une économie circulaire est donc une occasion unique de rendre notre économie plus durable, plus compétitive et plus résiliente, dès lors qu’elle:</w:t>
      </w:r>
      <w:r>
        <w:rPr>
          <w:rFonts w:ascii="Times New Roman" w:hAnsi="Times New Roman"/>
          <w:noProof/>
          <w:sz w:val="24"/>
        </w:rPr>
        <w:t xml:space="preserve"> contribue à la neutralité climatique; protège la biodiversité et les écosystèmes; améliore la sécurité de l’approvisionnement et réduit les dépendances stratégiques à l’égard des matières premières; permet la création à l’échelle locale d’emplois verts décents; et stimule l’innovation. La circularité est un instrument essentiel pour favoriser la compétitivité et offre une occasion majeure d’accroître la productivité des ressources, l’emploi et la croissance, comme le souligne la stratégie intitulée «La compétitivité à long terme de l’UE: se projeter au-delà de 2030»</w:t>
      </w:r>
      <w:r>
        <w:rPr>
          <w:rStyle w:val="FootnoteReference"/>
          <w:rFonts w:ascii="Times New Roman" w:eastAsia="Calibri" w:hAnsi="Times New Roman" w:cs="Times New Roman"/>
          <w:bCs/>
          <w:noProof/>
          <w:sz w:val="24"/>
          <w:lang w:val="en-IE"/>
        </w:rPr>
        <w:footnoteReference w:id="12"/>
      </w:r>
      <w:r>
        <w:rPr>
          <w:rFonts w:ascii="Times New Roman" w:hAnsi="Times New Roman"/>
          <w:noProof/>
          <w:sz w:val="24"/>
        </w:rPr>
        <w:t>. Cela contribuera également à la réalisation des objectifs de développement durable des Nations unies</w:t>
      </w:r>
      <w:r>
        <w:rPr>
          <w:rFonts w:ascii="Times New Roman" w:eastAsia="Calibri" w:hAnsi="Times New Roman" w:cs="Times New Roman"/>
          <w:bCs/>
          <w:noProof/>
          <w:sz w:val="24"/>
          <w:vertAlign w:val="superscript"/>
          <w:lang w:val="en-IE"/>
        </w:rPr>
        <w:footnoteReference w:id="13"/>
      </w:r>
      <w:r>
        <w:rPr>
          <w:rFonts w:ascii="Times New Roman" w:hAnsi="Times New Roman"/>
          <w:noProof/>
          <w:sz w:val="24"/>
        </w:rPr>
        <w:t>. Il est donc nécessaire de suivre les tendances dans les domaines liés à l’économie circulaire afin d’évaluer l’efficacité des politiques et des actions et de permettre le recensement des lacunes et des exemples de réussite</w:t>
      </w:r>
      <w:r>
        <w:rPr>
          <w:noProof/>
        </w:rPr>
        <w:t xml:space="preserve"> </w:t>
      </w:r>
      <w:hyperlink r:id="rId15" w:history="1">
        <w:r>
          <w:rPr>
            <w:rFonts w:ascii="Times New Roman" w:hAnsi="Times New Roman"/>
            <w:noProof/>
            <w:sz w:val="24"/>
          </w:rPr>
          <w:t>dans l’ensemble de</w:t>
        </w:r>
      </w:hyperlink>
      <w:r>
        <w:rPr>
          <w:rFonts w:ascii="Times New Roman" w:hAnsi="Times New Roman"/>
          <w:noProof/>
          <w:sz w:val="24"/>
        </w:rPr>
        <w:t xml:space="preserve"> l’Union. </w:t>
      </w:r>
    </w:p>
    <w:p w14:paraId="43C2175E" w14:textId="0AA8906E" w:rsidR="00E13C55" w:rsidRDefault="001A2B5D" w:rsidP="006C677A">
      <w:pPr>
        <w:spacing w:after="120" w:line="276" w:lineRule="auto"/>
        <w:jc w:val="both"/>
        <w:rPr>
          <w:rFonts w:ascii="Times New Roman" w:eastAsia="Calibri" w:hAnsi="Times New Roman" w:cs="Times New Roman"/>
          <w:noProof/>
          <w:sz w:val="24"/>
        </w:rPr>
      </w:pPr>
      <w:r>
        <w:rPr>
          <w:rFonts w:ascii="Times New Roman" w:hAnsi="Times New Roman"/>
          <w:noProof/>
          <w:sz w:val="24"/>
        </w:rPr>
        <w:t xml:space="preserve">En janvier 2018, la Commission européenne a adopté </w:t>
      </w:r>
      <w:r>
        <w:rPr>
          <w:rFonts w:ascii="Times New Roman" w:hAnsi="Times New Roman"/>
          <w:b/>
          <w:noProof/>
          <w:sz w:val="24"/>
        </w:rPr>
        <w:t>le cadre de suivi pour l’économie circulaire de l’Union</w:t>
      </w:r>
      <w:r>
        <w:rPr>
          <w:rFonts w:ascii="Times New Roman" w:eastAsia="Calibri" w:hAnsi="Times New Roman" w:cs="Times New Roman"/>
          <w:noProof/>
          <w:sz w:val="24"/>
          <w:vertAlign w:val="superscript"/>
          <w:lang w:val="en-IE"/>
        </w:rPr>
        <w:footnoteReference w:id="14"/>
      </w:r>
      <w:r>
        <w:rPr>
          <w:rFonts w:ascii="Times New Roman" w:hAnsi="Times New Roman"/>
          <w:noProof/>
          <w:sz w:val="24"/>
        </w:rPr>
        <w:t xml:space="preserve">, composé d’une série d’indicateurs clés permettant de suivre les progrès réalisés dans l’Union et dans les États membres. Les autres institutions de l’Union ont salué le cadre de suivi et, dans le contexte de sa révision, ont souligné la nécessité de mettre davantage l’accent sur la production plutôt que de se concentrer sur les déchets, ainsi que d’utiliser des indicateurs relatifs à l’empreinte. </w:t>
      </w:r>
    </w:p>
    <w:p w14:paraId="3479A03A" w14:textId="3484455A" w:rsidR="00942A7A" w:rsidRDefault="00455BE0" w:rsidP="006C677A">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Conformément à l’engagement pris dans le nouveau plan d’action pour une économie circulaire – Pour une Europe plus propre et plus compétitive</w:t>
      </w:r>
      <w:r>
        <w:rPr>
          <w:rStyle w:val="FootnoteReference"/>
          <w:rFonts w:ascii="Times New Roman" w:eastAsia="Calibri" w:hAnsi="Times New Roman" w:cs="Times New Roman"/>
          <w:bCs/>
          <w:noProof/>
          <w:sz w:val="24"/>
          <w:lang w:val="en-IE"/>
        </w:rPr>
        <w:footnoteReference w:id="15"/>
      </w:r>
      <w:r>
        <w:rPr>
          <w:rFonts w:ascii="Times New Roman" w:hAnsi="Times New Roman"/>
          <w:noProof/>
          <w:sz w:val="24"/>
        </w:rPr>
        <w:t xml:space="preserve">, la présente communication propose </w:t>
      </w:r>
      <w:r>
        <w:rPr>
          <w:rFonts w:ascii="Times New Roman" w:hAnsi="Times New Roman"/>
          <w:b/>
          <w:noProof/>
          <w:sz w:val="24"/>
        </w:rPr>
        <w:t>un cadre de suivi révisé qui tient compte des domaines prioritaires de l’économie circulaire et des liens entre la circularité, la neutralité climatique et l’ambition zéro pollution</w:t>
      </w:r>
      <w:r>
        <w:rPr>
          <w:rFonts w:ascii="Times New Roman" w:hAnsi="Times New Roman"/>
          <w:noProof/>
          <w:sz w:val="24"/>
        </w:rPr>
        <w:t>. Ce cadre de suivi prend en considération les priorités de l’économie circulaire dans le contexte du pacte vert pour l’Europe, du huitième programme d’action pour l’environnement, du programme de développement durable à l’horizon 2030 et des objectifs de l’Union en matière de sécurité d’approvisionnement et de résilience.</w:t>
      </w:r>
    </w:p>
    <w:p w14:paraId="64D7229B" w14:textId="77777777" w:rsidR="00B73918" w:rsidRPr="00072EC5" w:rsidRDefault="00B73918" w:rsidP="006C677A">
      <w:pPr>
        <w:spacing w:after="120" w:line="276" w:lineRule="auto"/>
        <w:jc w:val="both"/>
        <w:rPr>
          <w:rFonts w:ascii="Times New Roman" w:eastAsia="Calibri" w:hAnsi="Times New Roman" w:cs="Times New Roman"/>
          <w:noProof/>
          <w:sz w:val="24"/>
          <w:szCs w:val="24"/>
        </w:rPr>
      </w:pPr>
    </w:p>
    <w:p w14:paraId="6CBCECE5" w14:textId="0AEE947A" w:rsidR="00662549" w:rsidRPr="006C677A" w:rsidRDefault="00662549" w:rsidP="006C677A">
      <w:pPr>
        <w:pStyle w:val="ListParagraph"/>
        <w:numPr>
          <w:ilvl w:val="0"/>
          <w:numId w:val="1"/>
        </w:numPr>
        <w:spacing w:after="120" w:line="276" w:lineRule="auto"/>
        <w:contextualSpacing w:val="0"/>
        <w:jc w:val="both"/>
        <w:outlineLvl w:val="0"/>
        <w:rPr>
          <w:rFonts w:ascii="Times New Roman" w:eastAsia="Calibri" w:hAnsi="Times New Roman" w:cs="Times New Roman"/>
          <w:b/>
          <w:noProof/>
          <w:sz w:val="24"/>
          <w:szCs w:val="24"/>
        </w:rPr>
      </w:pPr>
      <w:r>
        <w:rPr>
          <w:rFonts w:ascii="Times New Roman" w:hAnsi="Times New Roman"/>
          <w:b/>
          <w:noProof/>
          <w:sz w:val="24"/>
        </w:rPr>
        <w:t>Révision du cadre de suivi pour l’économie circulaire de l’Union</w:t>
      </w:r>
    </w:p>
    <w:p w14:paraId="0B18357C" w14:textId="77777777" w:rsidR="00B95398" w:rsidRPr="00271DD4" w:rsidRDefault="00B95398" w:rsidP="00B95398">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nouveau cadre de suivi vise à fournir une vue d’ensemble complète</w:t>
      </w:r>
      <w:r>
        <w:rPr>
          <w:rFonts w:ascii="Times New Roman" w:hAnsi="Times New Roman"/>
          <w:noProof/>
          <w:sz w:val="24"/>
        </w:rPr>
        <w:t xml:space="preserve"> en mesurant les avantages directs et indirects du renforcement de la circularité. Il comprend </w:t>
      </w:r>
      <w:r>
        <w:rPr>
          <w:rFonts w:ascii="Times New Roman" w:hAnsi="Times New Roman"/>
          <w:b/>
          <w:noProof/>
          <w:sz w:val="24"/>
        </w:rPr>
        <w:t>onze indicateurs qui couvrent cinq dimensions</w:t>
      </w:r>
      <w:r>
        <w:rPr>
          <w:rFonts w:ascii="Times New Roman" w:hAnsi="Times New Roman"/>
          <w:noProof/>
          <w:sz w:val="24"/>
        </w:rPr>
        <w:t>: 1) production et consommation; 2) gestion des déchets; 3) matières premières secondaires 4) compétitivité et innovation; et 5) durabilitié et résilience à l’échelle mondiale. Ce cadre comprend quelques nouveaux indicateurs, notamment:</w:t>
      </w:r>
    </w:p>
    <w:p w14:paraId="3AC89E94" w14:textId="21007E4E" w:rsidR="00B95398"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noProof/>
          <w:sz w:val="24"/>
        </w:rPr>
      </w:pPr>
      <w:r>
        <w:rPr>
          <w:rFonts w:ascii="Times New Roman" w:hAnsi="Times New Roman"/>
          <w:noProof/>
          <w:sz w:val="24"/>
        </w:rPr>
        <w:t>l’</w:t>
      </w:r>
      <w:r>
        <w:rPr>
          <w:rFonts w:ascii="Times New Roman" w:hAnsi="Times New Roman"/>
          <w:b/>
          <w:noProof/>
          <w:sz w:val="24"/>
        </w:rPr>
        <w:t>empreinte matérielle</w:t>
      </w:r>
      <w:r>
        <w:rPr>
          <w:rFonts w:ascii="Times New Roman" w:hAnsi="Times New Roman"/>
          <w:noProof/>
          <w:sz w:val="24"/>
        </w:rPr>
        <w:t xml:space="preserve">, qui mesure l’utilisation globale de matières et rend compte de la quantité de matières introduite dans la consommation globale, y compris les produits importés; </w:t>
      </w:r>
    </w:p>
    <w:p w14:paraId="3D786703" w14:textId="2AFA38F3" w:rsidR="00B95398" w:rsidRPr="00271DD4"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noProof/>
          <w:sz w:val="24"/>
        </w:rPr>
      </w:pPr>
      <w:r>
        <w:rPr>
          <w:rFonts w:ascii="Times New Roman" w:hAnsi="Times New Roman"/>
          <w:noProof/>
          <w:sz w:val="24"/>
        </w:rPr>
        <w:t xml:space="preserve">la </w:t>
      </w:r>
      <w:r>
        <w:rPr>
          <w:rFonts w:ascii="Times New Roman" w:hAnsi="Times New Roman"/>
          <w:b/>
          <w:noProof/>
          <w:sz w:val="24"/>
        </w:rPr>
        <w:t>productivité des ressources</w:t>
      </w:r>
      <w:r>
        <w:rPr>
          <w:rFonts w:ascii="Times New Roman" w:hAnsi="Times New Roman"/>
          <w:noProof/>
          <w:sz w:val="24"/>
        </w:rPr>
        <w:t>, qui mesure le PIB résultant de l’utilisation de matières et qui démontre l’efficacité de l’utilisation des matières dans la production de biens et de services;</w:t>
      </w:r>
    </w:p>
    <w:p w14:paraId="4F14B05C" w14:textId="77777777" w:rsidR="00B95398" w:rsidRPr="00952DC3" w:rsidRDefault="00B95398" w:rsidP="00B95398">
      <w:pPr>
        <w:pStyle w:val="ListParagraph"/>
        <w:numPr>
          <w:ilvl w:val="0"/>
          <w:numId w:val="4"/>
        </w:numPr>
        <w:spacing w:after="120" w:line="276" w:lineRule="auto"/>
        <w:contextualSpacing w:val="0"/>
        <w:jc w:val="both"/>
        <w:rPr>
          <w:rFonts w:ascii="Times New Roman" w:eastAsia="Calibri" w:hAnsi="Times New Roman" w:cs="Times New Roman"/>
          <w:b/>
          <w:bCs/>
          <w:noProof/>
          <w:sz w:val="24"/>
        </w:rPr>
      </w:pPr>
      <w:r>
        <w:rPr>
          <w:rFonts w:ascii="Times New Roman" w:hAnsi="Times New Roman"/>
          <w:noProof/>
          <w:sz w:val="24"/>
        </w:rPr>
        <w:t>l’</w:t>
      </w:r>
      <w:r>
        <w:rPr>
          <w:rFonts w:ascii="Times New Roman" w:hAnsi="Times New Roman"/>
          <w:b/>
          <w:noProof/>
          <w:sz w:val="24"/>
        </w:rPr>
        <w:t>empreinte de consommation</w:t>
      </w:r>
      <w:r>
        <w:rPr>
          <w:rFonts w:ascii="Times New Roman" w:hAnsi="Times New Roman"/>
          <w:noProof/>
          <w:sz w:val="24"/>
        </w:rPr>
        <w:t>, qui permet de comparer la consommation par rapport aux limites planétaires pour 16 catégories d’impact sur la base de l’évaluation du cycle de vie et en fonction des cinq principaux domaines de consommation (alimentation, mobilité, logement, produits ménagers et appareils électroménagers);</w:t>
      </w:r>
    </w:p>
    <w:p w14:paraId="67BEA431" w14:textId="5C67881C" w:rsidR="00B95398" w:rsidRPr="00271DD4"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b/>
          <w:bCs/>
          <w:noProof/>
          <w:sz w:val="24"/>
        </w:rPr>
      </w:pPr>
      <w:r>
        <w:rPr>
          <w:rFonts w:ascii="Times New Roman" w:hAnsi="Times New Roman"/>
          <w:noProof/>
          <w:sz w:val="24"/>
        </w:rPr>
        <w:t xml:space="preserve">les </w:t>
      </w:r>
      <w:r>
        <w:rPr>
          <w:rFonts w:ascii="Times New Roman" w:hAnsi="Times New Roman"/>
          <w:b/>
          <w:noProof/>
          <w:sz w:val="24"/>
        </w:rPr>
        <w:t>émissions de GES provenant des activités de production</w:t>
      </w:r>
      <w:r>
        <w:rPr>
          <w:rFonts w:ascii="Times New Roman" w:hAnsi="Times New Roman"/>
          <w:noProof/>
          <w:sz w:val="24"/>
        </w:rPr>
        <w:t>, qui mesurent les émissions de GES produites par les secteurs de production (à l’exclusion donc des émissions des ménages) et qui représentent la contribution de l’économie circulaire à la neutralité climatique;</w:t>
      </w:r>
    </w:p>
    <w:p w14:paraId="17ADE5C9" w14:textId="0ADD7F1B" w:rsidR="00B95398" w:rsidRPr="00271DD4" w:rsidRDefault="00B95398" w:rsidP="00B95398">
      <w:pPr>
        <w:pStyle w:val="ListParagraph"/>
        <w:numPr>
          <w:ilvl w:val="0"/>
          <w:numId w:val="4"/>
        </w:numPr>
        <w:spacing w:after="120" w:line="276" w:lineRule="auto"/>
        <w:ind w:left="714" w:hanging="357"/>
        <w:contextualSpacing w:val="0"/>
        <w:jc w:val="both"/>
        <w:rPr>
          <w:rFonts w:ascii="Times New Roman" w:eastAsia="Calibri" w:hAnsi="Times New Roman" w:cs="Times New Roman"/>
          <w:noProof/>
          <w:sz w:val="24"/>
        </w:rPr>
      </w:pPr>
      <w:r>
        <w:rPr>
          <w:rFonts w:ascii="Times New Roman" w:hAnsi="Times New Roman"/>
          <w:noProof/>
          <w:sz w:val="24"/>
        </w:rPr>
        <w:t xml:space="preserve">la </w:t>
      </w:r>
      <w:r>
        <w:rPr>
          <w:rFonts w:ascii="Times New Roman" w:hAnsi="Times New Roman"/>
          <w:b/>
          <w:noProof/>
          <w:sz w:val="24"/>
        </w:rPr>
        <w:t>dépendance à l’égard des matières</w:t>
      </w:r>
      <w:r>
        <w:rPr>
          <w:rFonts w:ascii="Times New Roman" w:hAnsi="Times New Roman"/>
          <w:noProof/>
          <w:sz w:val="24"/>
        </w:rPr>
        <w:t>, qui mesure la part des matières importées dans l’utilisation globale des matières, décrit le degré de dépendance de l’UE vis-à-vis des importations de matières et représente la contribution de l’économie circulaire à la sécurité de l’approvisionnement en matières et en énergie et à l’autonomie stratégique ouverte de l’Union</w:t>
      </w:r>
      <w:r>
        <w:rPr>
          <w:noProof/>
          <w:vertAlign w:val="superscript"/>
          <w:lang w:val="en-IE"/>
        </w:rPr>
        <w:footnoteReference w:id="16"/>
      </w:r>
      <w:r>
        <w:rPr>
          <w:rFonts w:ascii="Times New Roman" w:hAnsi="Times New Roman"/>
          <w:noProof/>
          <w:sz w:val="24"/>
        </w:rPr>
        <w:t>. Un indicateur sur l’autosuffisance pour certaines matières premières est utilisé depuis 2018.</w:t>
      </w:r>
    </w:p>
    <w:p w14:paraId="05551EC6" w14:textId="77777777" w:rsidR="00B95398" w:rsidRDefault="00B95398" w:rsidP="00B95398">
      <w:pPr>
        <w:spacing w:after="120" w:line="276" w:lineRule="auto"/>
        <w:jc w:val="both"/>
        <w:rPr>
          <w:rFonts w:ascii="Times New Roman" w:eastAsia="Calibri" w:hAnsi="Times New Roman" w:cs="Times New Roman"/>
          <w:noProof/>
          <w:sz w:val="24"/>
        </w:rPr>
      </w:pPr>
      <w:r>
        <w:rPr>
          <w:rFonts w:ascii="Times New Roman" w:hAnsi="Times New Roman"/>
          <w:noProof/>
          <w:sz w:val="24"/>
        </w:rPr>
        <w:t>D’autres modifications ont été apportées aux sous-indicateurs afin de tenir compte des évolutions méthodologiques de certains indicateurs ou de les aligner davantage sur les nouvelles stratégies</w:t>
      </w:r>
      <w:r>
        <w:rPr>
          <w:rFonts w:ascii="Times New Roman" w:eastAsia="Calibri" w:hAnsi="Times New Roman" w:cs="Times New Roman"/>
          <w:noProof/>
          <w:sz w:val="24"/>
          <w:vertAlign w:val="superscript"/>
          <w:lang w:val="en-IE"/>
        </w:rPr>
        <w:footnoteReference w:id="17"/>
      </w:r>
      <w:r>
        <w:rPr>
          <w:rFonts w:ascii="Times New Roman" w:hAnsi="Times New Roman"/>
          <w:noProof/>
          <w:sz w:val="24"/>
        </w:rPr>
        <w:t>.</w:t>
      </w:r>
    </w:p>
    <w:p w14:paraId="087B8FA5" w14:textId="766081D7" w:rsidR="00FF2F9A" w:rsidRPr="00450685" w:rsidRDefault="00E13C55" w:rsidP="006C677A">
      <w:pPr>
        <w:spacing w:after="120" w:line="276" w:lineRule="auto"/>
        <w:jc w:val="both"/>
        <w:rPr>
          <w:rFonts w:ascii="Times New Roman" w:eastAsia="Calibri" w:hAnsi="Times New Roman" w:cs="Times New Roman"/>
          <w:noProof/>
          <w:sz w:val="24"/>
        </w:rPr>
      </w:pPr>
      <w:r>
        <w:rPr>
          <w:rFonts w:ascii="Times New Roman" w:hAnsi="Times New Roman"/>
          <w:noProof/>
          <w:sz w:val="24"/>
        </w:rPr>
        <w:t>Les réponses à la consultation publique menée dans le cadre de l’appel à contribution</w:t>
      </w:r>
      <w:r>
        <w:rPr>
          <w:rFonts w:ascii="Times New Roman" w:eastAsia="Calibri" w:hAnsi="Times New Roman" w:cs="Times New Roman"/>
          <w:noProof/>
          <w:sz w:val="24"/>
          <w:vertAlign w:val="superscript"/>
          <w:lang w:val="en-IE"/>
        </w:rPr>
        <w:footnoteReference w:id="18"/>
      </w:r>
      <w:r>
        <w:rPr>
          <w:rFonts w:ascii="Times New Roman" w:hAnsi="Times New Roman"/>
          <w:noProof/>
          <w:sz w:val="24"/>
        </w:rPr>
        <w:t xml:space="preserve"> ont été prises en considération dans la révision du cadre de suivi, ainsi que les discussions avec les représentants des États membres et les experts des parties prenantes. Les indicateurs tiennent également compte des actions nationales, internationales</w:t>
      </w:r>
      <w:r>
        <w:rPr>
          <w:rFonts w:ascii="Times New Roman" w:eastAsia="Calibri" w:hAnsi="Times New Roman" w:cs="Times New Roman"/>
          <w:noProof/>
          <w:sz w:val="24"/>
          <w:vertAlign w:val="superscript"/>
          <w:lang w:val="en-IE"/>
        </w:rPr>
        <w:footnoteReference w:id="19"/>
      </w:r>
      <w:r>
        <w:rPr>
          <w:rFonts w:ascii="Times New Roman" w:hAnsi="Times New Roman"/>
          <w:noProof/>
          <w:sz w:val="24"/>
        </w:rPr>
        <w:t xml:space="preserve"> et des parties prenantes</w:t>
      </w:r>
      <w:r>
        <w:rPr>
          <w:rFonts w:ascii="Times New Roman" w:eastAsia="Calibri" w:hAnsi="Times New Roman" w:cs="Times New Roman"/>
          <w:noProof/>
          <w:sz w:val="24"/>
          <w:vertAlign w:val="superscript"/>
          <w:lang w:val="en-IE"/>
        </w:rPr>
        <w:footnoteReference w:id="20"/>
      </w:r>
      <w:r>
        <w:rPr>
          <w:rFonts w:ascii="Times New Roman" w:hAnsi="Times New Roman"/>
          <w:noProof/>
          <w:sz w:val="24"/>
        </w:rPr>
        <w:t xml:space="preserve"> en matière de suivi de l’économie circulaire et de la durabilité</w:t>
      </w:r>
      <w:r>
        <w:rPr>
          <w:rStyle w:val="FootnoteReference"/>
          <w:rFonts w:ascii="Times New Roman" w:eastAsia="Calibri" w:hAnsi="Times New Roman" w:cs="Times New Roman"/>
          <w:noProof/>
          <w:sz w:val="24"/>
          <w:lang w:val="en-IE"/>
        </w:rPr>
        <w:footnoteReference w:id="21"/>
      </w:r>
      <w:r>
        <w:rPr>
          <w:rFonts w:ascii="Times New Roman" w:hAnsi="Times New Roman"/>
          <w:noProof/>
          <w:sz w:val="24"/>
        </w:rPr>
        <w:t>.</w:t>
      </w:r>
    </w:p>
    <w:p w14:paraId="7F7AF37D" w14:textId="2DE0D6B1" w:rsidR="00BC53C8" w:rsidRDefault="00BC53C8" w:rsidP="00BC53C8">
      <w:pPr>
        <w:spacing w:after="200" w:line="276" w:lineRule="auto"/>
        <w:jc w:val="both"/>
        <w:rPr>
          <w:rFonts w:ascii="Times New Roman" w:eastAsia="Calibri" w:hAnsi="Times New Roman" w:cs="Times New Roman"/>
          <w:noProof/>
          <w:sz w:val="24"/>
        </w:rPr>
      </w:pPr>
      <w:r>
        <w:rPr>
          <w:rFonts w:ascii="Times New Roman" w:hAnsi="Times New Roman"/>
          <w:noProof/>
          <w:sz w:val="24"/>
        </w:rPr>
        <w:t>Les indicateurs du cadre révisé sont cohérents avec d’autres instruments de suivi de l’Union, en particulier le cadre de suivi du huitième programme d’action pour l’environnement</w:t>
      </w:r>
      <w:r>
        <w:rPr>
          <w:rStyle w:val="FootnoteReference"/>
          <w:rFonts w:ascii="Times New Roman" w:eastAsia="Calibri" w:hAnsi="Times New Roman" w:cs="Times New Roman"/>
          <w:noProof/>
          <w:sz w:val="24"/>
          <w:lang w:val="en-IE"/>
        </w:rPr>
        <w:footnoteReference w:id="22"/>
      </w:r>
      <w:r>
        <w:rPr>
          <w:rFonts w:ascii="Times New Roman" w:hAnsi="Times New Roman"/>
          <w:noProof/>
          <w:sz w:val="24"/>
        </w:rPr>
        <w:t>; le cadre de surveillance et de prospective «zéro pollution»</w:t>
      </w:r>
      <w:r>
        <w:rPr>
          <w:rStyle w:val="FootnoteReference"/>
          <w:rFonts w:ascii="Times New Roman" w:eastAsia="Calibri" w:hAnsi="Times New Roman" w:cs="Times New Roman"/>
          <w:noProof/>
          <w:sz w:val="24"/>
          <w:lang w:val="en-IE"/>
        </w:rPr>
        <w:footnoteReference w:id="23"/>
      </w:r>
      <w:r>
        <w:rPr>
          <w:rFonts w:ascii="Times New Roman" w:hAnsi="Times New Roman"/>
          <w:noProof/>
          <w:sz w:val="24"/>
        </w:rPr>
        <w:t>; les indicateurs de développement durable de l’Union</w:t>
      </w:r>
      <w:r>
        <w:rPr>
          <w:rStyle w:val="FootnoteReference"/>
          <w:rFonts w:ascii="Times New Roman" w:eastAsia="Calibri" w:hAnsi="Times New Roman" w:cs="Times New Roman"/>
          <w:noProof/>
          <w:sz w:val="24"/>
          <w:lang w:val="en-IE"/>
        </w:rPr>
        <w:footnoteReference w:id="24"/>
      </w:r>
      <w:r>
        <w:rPr>
          <w:rFonts w:ascii="Times New Roman" w:hAnsi="Times New Roman"/>
          <w:noProof/>
          <w:sz w:val="24"/>
        </w:rPr>
        <w:t>; les tableaux de bord de la résilience</w:t>
      </w:r>
      <w:r>
        <w:rPr>
          <w:rStyle w:val="FootnoteReference"/>
          <w:rFonts w:ascii="Times New Roman" w:eastAsia="Calibri" w:hAnsi="Times New Roman" w:cs="Times New Roman"/>
          <w:noProof/>
          <w:sz w:val="24"/>
          <w:lang w:val="en-IE"/>
        </w:rPr>
        <w:footnoteReference w:id="25"/>
      </w:r>
      <w:r>
        <w:rPr>
          <w:rFonts w:ascii="Times New Roman" w:hAnsi="Times New Roman"/>
          <w:noProof/>
          <w:sz w:val="24"/>
        </w:rPr>
        <w:t xml:space="preserve">. </w:t>
      </w:r>
    </w:p>
    <w:p w14:paraId="2ADBFD85" w14:textId="61548078" w:rsidR="00BC53C8" w:rsidRDefault="00BC53C8" w:rsidP="00BC53C8">
      <w:pPr>
        <w:spacing w:after="200" w:line="276" w:lineRule="auto"/>
        <w:jc w:val="both"/>
        <w:rPr>
          <w:rFonts w:ascii="Times New Roman" w:eastAsia="Calibri" w:hAnsi="Times New Roman" w:cs="Times New Roman"/>
          <w:noProof/>
          <w:sz w:val="24"/>
        </w:rPr>
      </w:pPr>
      <w:r>
        <w:rPr>
          <w:rFonts w:ascii="Times New Roman" w:hAnsi="Times New Roman"/>
          <w:noProof/>
          <w:sz w:val="24"/>
        </w:rPr>
        <w:t>La plupart des indicateurs, mais pas tous, reposent sur des statistiques officielles provenant d’Eurostat. Tous les indicateurs répondent aux critères de pertinence, d'acceptation, de crédibilité, de simplicité et de fiabilité</w:t>
      </w:r>
      <w:r>
        <w:rPr>
          <w:rFonts w:ascii="Times New Roman" w:eastAsia="Calibri" w:hAnsi="Times New Roman" w:cs="Times New Roman"/>
          <w:noProof/>
          <w:sz w:val="24"/>
          <w:vertAlign w:val="superscript"/>
          <w:lang w:val="en-IE"/>
        </w:rPr>
        <w:footnoteReference w:id="26"/>
      </w:r>
      <w:r>
        <w:rPr>
          <w:rFonts w:ascii="Times New Roman" w:hAnsi="Times New Roman"/>
          <w:noProof/>
          <w:sz w:val="24"/>
        </w:rPr>
        <w:t xml:space="preserve"> et reposent dans la mesure du possible sur des données disponibles. </w:t>
      </w:r>
    </w:p>
    <w:p w14:paraId="1FBAA290" w14:textId="77777777" w:rsidR="00E13C55" w:rsidRPr="009375D3" w:rsidRDefault="00E13C55" w:rsidP="00E13C55">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Le cadre repose dans une large mesure sur des statistiques de haute qualité disponibles pour tous les États membres de l’Union, principalement établies à l’aide de données provenant du système statistique européen et de la communauté des chercheurs. Le cas échéant, la Commission, en coopération avec les parties prenantes concernées, étudiera l’utilisation de nouvelles sources de données afin d’améliorer le cadre de suivi à l’avenir. </w:t>
      </w:r>
    </w:p>
    <w:p w14:paraId="0FB5BE10" w14:textId="01C544C5" w:rsidR="00B73918" w:rsidRPr="006C677A" w:rsidRDefault="00011D40" w:rsidP="006C677A">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Eurostat publiera et conservera le nouveau cadre de suivi sur son site web, en actualisant en permanence les indicateurs. Ce site web continuera à servir de point d’entrée à la Commission afin d’obtenir toutes les informations à ce sujet, notamment les indicateurs, les séries chronologiques et les outils de visualisation</w:t>
      </w:r>
      <w:r>
        <w:rPr>
          <w:rStyle w:val="FootnoteReference"/>
          <w:rFonts w:ascii="Times New Roman" w:eastAsia="Calibri" w:hAnsi="Times New Roman" w:cs="Times New Roman"/>
          <w:noProof/>
          <w:sz w:val="24"/>
          <w:lang w:val="en-IE"/>
        </w:rPr>
        <w:footnoteReference w:id="27"/>
      </w:r>
      <w:r>
        <w:rPr>
          <w:rFonts w:ascii="Times New Roman" w:hAnsi="Times New Roman"/>
          <w:noProof/>
          <w:sz w:val="24"/>
        </w:rPr>
        <w:t xml:space="preserve">. </w:t>
      </w:r>
    </w:p>
    <w:p w14:paraId="16737A20" w14:textId="00EEB0CE" w:rsidR="007527C5" w:rsidRPr="00450685" w:rsidRDefault="007527C5" w:rsidP="006C677A">
      <w:pPr>
        <w:pStyle w:val="ListParagraph"/>
        <w:numPr>
          <w:ilvl w:val="0"/>
          <w:numId w:val="1"/>
        </w:numPr>
        <w:spacing w:after="120" w:line="276" w:lineRule="auto"/>
        <w:contextualSpacing w:val="0"/>
        <w:jc w:val="both"/>
        <w:outlineLvl w:val="0"/>
        <w:rPr>
          <w:rFonts w:ascii="Times New Roman" w:eastAsia="Calibri" w:hAnsi="Times New Roman" w:cs="Times New Roman"/>
          <w:b/>
          <w:noProof/>
          <w:sz w:val="20"/>
          <w:szCs w:val="24"/>
        </w:rPr>
      </w:pPr>
      <w:r>
        <w:rPr>
          <w:rFonts w:ascii="Times New Roman" w:hAnsi="Times New Roman"/>
          <w:b/>
          <w:noProof/>
          <w:sz w:val="24"/>
        </w:rPr>
        <w:t xml:space="preserve">Indicateurs du cadre de suivi pour l’économie circulaire 2023 </w:t>
      </w:r>
    </w:p>
    <w:tbl>
      <w:tblPr>
        <w:tblStyle w:val="TableGrid1"/>
        <w:tblW w:w="9464" w:type="dxa"/>
        <w:tblLook w:val="04A0" w:firstRow="1" w:lastRow="0" w:firstColumn="1" w:lastColumn="0" w:noHBand="0" w:noVBand="1"/>
      </w:tblPr>
      <w:tblGrid>
        <w:gridCol w:w="675"/>
        <w:gridCol w:w="3762"/>
        <w:gridCol w:w="3799"/>
        <w:gridCol w:w="1228"/>
      </w:tblGrid>
      <w:tr w:rsidR="00B3487B" w:rsidRPr="006C677A" w14:paraId="696364DA" w14:textId="77777777" w:rsidTr="00A83C28">
        <w:trPr>
          <w:cantSplit/>
        </w:trPr>
        <w:tc>
          <w:tcPr>
            <w:tcW w:w="675" w:type="dxa"/>
            <w:shd w:val="clear" w:color="auto" w:fill="C4BC96"/>
          </w:tcPr>
          <w:p w14:paraId="6720ED59"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 xml:space="preserve">Nº </w:t>
            </w:r>
          </w:p>
        </w:tc>
        <w:tc>
          <w:tcPr>
            <w:tcW w:w="3762" w:type="dxa"/>
            <w:shd w:val="clear" w:color="auto" w:fill="C4BC96"/>
          </w:tcPr>
          <w:p w14:paraId="753E535C" w14:textId="5EC45E73" w:rsidR="007527C5" w:rsidRPr="006C677A" w:rsidRDefault="00B3487B"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Indicateur</w:t>
            </w:r>
          </w:p>
        </w:tc>
        <w:tc>
          <w:tcPr>
            <w:tcW w:w="3799" w:type="dxa"/>
            <w:shd w:val="clear" w:color="auto" w:fill="C4BC96"/>
          </w:tcPr>
          <w:p w14:paraId="7310DD11"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Pertinence</w:t>
            </w:r>
          </w:p>
        </w:tc>
        <w:tc>
          <w:tcPr>
            <w:tcW w:w="1228" w:type="dxa"/>
            <w:shd w:val="clear" w:color="auto" w:fill="C4BC96"/>
          </w:tcPr>
          <w:p w14:paraId="68FDBDB3" w14:textId="098B355C" w:rsidR="007527C5" w:rsidRPr="006C677A" w:rsidRDefault="00B3487B"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Source</w:t>
            </w:r>
          </w:p>
        </w:tc>
      </w:tr>
      <w:tr w:rsidR="007527C5" w:rsidRPr="006C677A" w14:paraId="78DC984F" w14:textId="77777777" w:rsidTr="007527C5">
        <w:trPr>
          <w:cantSplit/>
        </w:trPr>
        <w:tc>
          <w:tcPr>
            <w:tcW w:w="9464" w:type="dxa"/>
            <w:gridSpan w:val="4"/>
            <w:shd w:val="clear" w:color="auto" w:fill="EEECE1"/>
          </w:tcPr>
          <w:p w14:paraId="2520DD75"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Production et consommation</w:t>
            </w:r>
          </w:p>
        </w:tc>
      </w:tr>
      <w:tr w:rsidR="00CF2CC0" w:rsidRPr="006C677A" w14:paraId="47D4D33D" w14:textId="77777777" w:rsidTr="00A83C28">
        <w:trPr>
          <w:cantSplit/>
        </w:trPr>
        <w:tc>
          <w:tcPr>
            <w:tcW w:w="675" w:type="dxa"/>
          </w:tcPr>
          <w:p w14:paraId="41CC017D"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1a-b</w:t>
            </w:r>
          </w:p>
        </w:tc>
        <w:tc>
          <w:tcPr>
            <w:tcW w:w="3762" w:type="dxa"/>
          </w:tcPr>
          <w:p w14:paraId="378D6FB9"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Consommation de matières</w:t>
            </w:r>
          </w:p>
          <w:p w14:paraId="679965FF" w14:textId="18C15266" w:rsidR="00525E31" w:rsidRPr="006C677A" w:rsidRDefault="00B3487B" w:rsidP="006C677A">
            <w:pPr>
              <w:rPr>
                <w:rFonts w:ascii="Times New Roman" w:hAnsi="Times New Roman" w:cs="Times New Roman"/>
                <w:noProof/>
                <w:sz w:val="20"/>
                <w:szCs w:val="20"/>
              </w:rPr>
            </w:pPr>
            <w:r>
              <w:rPr>
                <w:rFonts w:ascii="Times New Roman" w:hAnsi="Times New Roman"/>
                <w:noProof/>
                <w:sz w:val="20"/>
              </w:rPr>
              <w:t>1a Empreinte matérielle (tonnes par habitant)</w:t>
            </w:r>
          </w:p>
          <w:p w14:paraId="4A61FCBD" w14:textId="25A622F3" w:rsidR="00525E31" w:rsidRPr="006C677A" w:rsidRDefault="00525E31" w:rsidP="00A7135B">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1b Productivité des ressources (EUR/kg)</w:t>
            </w:r>
          </w:p>
        </w:tc>
        <w:tc>
          <w:tcPr>
            <w:tcW w:w="3799" w:type="dxa"/>
          </w:tcPr>
          <w:p w14:paraId="2C29C0D1" w14:textId="1992EA07" w:rsidR="007527C5" w:rsidRPr="006C677A" w:rsidRDefault="008043AC"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La diminution de la consommation de matières premières indique une dissociation de la croissance économique de l’utilisation des ressources.</w:t>
            </w:r>
          </w:p>
        </w:tc>
        <w:tc>
          <w:tcPr>
            <w:tcW w:w="1228" w:type="dxa"/>
          </w:tcPr>
          <w:p w14:paraId="58D6E9D1" w14:textId="27817121"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CF2CC0" w:rsidRPr="006C677A" w14:paraId="2517CA5F" w14:textId="77777777" w:rsidTr="00A83C28">
        <w:trPr>
          <w:cantSplit/>
        </w:trPr>
        <w:tc>
          <w:tcPr>
            <w:tcW w:w="675" w:type="dxa"/>
          </w:tcPr>
          <w:p w14:paraId="4AB89C9B"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2</w:t>
            </w:r>
          </w:p>
        </w:tc>
        <w:tc>
          <w:tcPr>
            <w:tcW w:w="3762" w:type="dxa"/>
          </w:tcPr>
          <w:p w14:paraId="275CD128" w14:textId="14E42F5A"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b/>
                <w:noProof/>
                <w:color w:val="000000"/>
                <w:sz w:val="20"/>
              </w:rPr>
              <w:t>Marchés publics écologiques</w:t>
            </w:r>
            <w:r>
              <w:rPr>
                <w:rFonts w:ascii="Times New Roman" w:hAnsi="Times New Roman"/>
                <w:noProof/>
                <w:color w:val="000000"/>
                <w:sz w:val="20"/>
              </w:rPr>
              <w:t xml:space="preserve">* </w:t>
            </w:r>
          </w:p>
        </w:tc>
        <w:tc>
          <w:tcPr>
            <w:tcW w:w="3799" w:type="dxa"/>
          </w:tcPr>
          <w:p w14:paraId="2ED0C61F"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Les marchés publics représentent une large part de la consommation et peuvent servir de moteur à l’économie circulaire.</w:t>
            </w:r>
          </w:p>
        </w:tc>
        <w:tc>
          <w:tcPr>
            <w:tcW w:w="1228" w:type="dxa"/>
          </w:tcPr>
          <w:p w14:paraId="1A4D5DE5" w14:textId="44481B1D"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Commission européenne</w:t>
            </w:r>
          </w:p>
        </w:tc>
      </w:tr>
      <w:tr w:rsidR="00CF2CC0" w:rsidRPr="006C677A" w14:paraId="7315706D" w14:textId="77777777" w:rsidTr="00A83C28">
        <w:trPr>
          <w:cantSplit/>
        </w:trPr>
        <w:tc>
          <w:tcPr>
            <w:tcW w:w="675" w:type="dxa"/>
          </w:tcPr>
          <w:p w14:paraId="1CBB707C"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3a-f</w:t>
            </w:r>
          </w:p>
        </w:tc>
        <w:tc>
          <w:tcPr>
            <w:tcW w:w="3762" w:type="dxa"/>
          </w:tcPr>
          <w:p w14:paraId="6D9DC51D"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Production de déchets</w:t>
            </w:r>
          </w:p>
          <w:p w14:paraId="0AF963F1" w14:textId="073CE5B4"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3a Production totale de déchets par habitant (kg/habitant)</w:t>
            </w:r>
          </w:p>
          <w:p w14:paraId="1C7BD2BE" w14:textId="5A94DD80"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3b Production totale de déchets (sauf déchets minéraux principaux) par unité de PIB (kg/EUR)</w:t>
            </w:r>
          </w:p>
          <w:p w14:paraId="555093B8" w14:textId="77777777"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3c Production de déchets municipaux par habitant</w:t>
            </w:r>
          </w:p>
          <w:p w14:paraId="0F3FEBBD" w14:textId="42ECD083"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3d Déchets alimentaires (kg/habitant)</w:t>
            </w:r>
          </w:p>
          <w:p w14:paraId="224368BC" w14:textId="27CB43ED"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3e Production de déchets d’emballages par habitant (kg/habitant)</w:t>
            </w:r>
          </w:p>
          <w:p w14:paraId="5DD713F2" w14:textId="4EF0EC99" w:rsidR="00525E31" w:rsidRPr="006C677A" w:rsidRDefault="00525E31"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3f Production de déchets d’emballages en plastique par habitant (kg/habitant)</w:t>
            </w:r>
          </w:p>
        </w:tc>
        <w:tc>
          <w:tcPr>
            <w:tcW w:w="3799" w:type="dxa"/>
          </w:tcPr>
          <w:p w14:paraId="1F250F05" w14:textId="36CD964A"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Dans une économie circulaire, la production de déchets est réduite au minimum.</w:t>
            </w:r>
          </w:p>
        </w:tc>
        <w:tc>
          <w:tcPr>
            <w:tcW w:w="1228" w:type="dxa"/>
          </w:tcPr>
          <w:p w14:paraId="6BBE0011" w14:textId="762C7E7A"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7527C5" w:rsidRPr="006C677A" w14:paraId="0F2FD8A3" w14:textId="77777777" w:rsidTr="007527C5">
        <w:trPr>
          <w:cantSplit/>
        </w:trPr>
        <w:tc>
          <w:tcPr>
            <w:tcW w:w="9464" w:type="dxa"/>
            <w:gridSpan w:val="4"/>
            <w:shd w:val="clear" w:color="auto" w:fill="EEECE1"/>
          </w:tcPr>
          <w:p w14:paraId="1887074D"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Gestion des déchets</w:t>
            </w:r>
          </w:p>
        </w:tc>
      </w:tr>
      <w:tr w:rsidR="00CF2CC0" w:rsidRPr="006C677A" w14:paraId="0B3F6F44" w14:textId="77777777" w:rsidTr="00A83C28">
        <w:trPr>
          <w:cantSplit/>
        </w:trPr>
        <w:tc>
          <w:tcPr>
            <w:tcW w:w="675" w:type="dxa"/>
          </w:tcPr>
          <w:p w14:paraId="39969984"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4a-b</w:t>
            </w:r>
          </w:p>
        </w:tc>
        <w:tc>
          <w:tcPr>
            <w:tcW w:w="3762" w:type="dxa"/>
          </w:tcPr>
          <w:p w14:paraId="2E7470AC"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Taux global de recyclage</w:t>
            </w:r>
          </w:p>
          <w:p w14:paraId="780ED019" w14:textId="36355E09"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4a Taux de recyclage des déchets municipaux (%)</w:t>
            </w:r>
          </w:p>
          <w:p w14:paraId="618C2E8C" w14:textId="1FDF815A" w:rsidR="00525E31" w:rsidRPr="006C677A" w:rsidRDefault="00525E31" w:rsidP="00CF2CC0">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4b Taux de recyclage de tous les déchets sauf déchets minéraux principaux (%)</w:t>
            </w:r>
          </w:p>
        </w:tc>
        <w:tc>
          <w:tcPr>
            <w:tcW w:w="3799" w:type="dxa"/>
          </w:tcPr>
          <w:p w14:paraId="59E2A9A4"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L’augmentation du recyclage s’inscrit dans la transition vers une économie circulaire.</w:t>
            </w:r>
          </w:p>
        </w:tc>
        <w:tc>
          <w:tcPr>
            <w:tcW w:w="1228" w:type="dxa"/>
          </w:tcPr>
          <w:p w14:paraId="6792F149" w14:textId="4B8E2B8D"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CF2CC0" w:rsidRPr="006C677A" w14:paraId="3F1CC47B" w14:textId="77777777" w:rsidTr="00A83C28">
        <w:trPr>
          <w:cantSplit/>
        </w:trPr>
        <w:tc>
          <w:tcPr>
            <w:tcW w:w="675" w:type="dxa"/>
          </w:tcPr>
          <w:p w14:paraId="1B9C2CD7" w14:textId="6CCB3E13"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5a-c</w:t>
            </w:r>
          </w:p>
        </w:tc>
        <w:tc>
          <w:tcPr>
            <w:tcW w:w="3762" w:type="dxa"/>
          </w:tcPr>
          <w:p w14:paraId="7C1499F8"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 xml:space="preserve">Taux de recyclage pour des flux de déchets spécifiques </w:t>
            </w:r>
          </w:p>
          <w:p w14:paraId="1AA60DAF" w14:textId="754EE063"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5a Taux de recyclage de tous les déchets d’emballage (%)</w:t>
            </w:r>
          </w:p>
          <w:p w14:paraId="6F67B88E" w14:textId="04F2E4F2"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5b Taux de recyclage des emballages plastiques (%)</w:t>
            </w:r>
          </w:p>
          <w:p w14:paraId="5171033B" w14:textId="3F0EFC50" w:rsidR="00525E31" w:rsidRPr="006C677A" w:rsidRDefault="00525E31" w:rsidP="00CF2CC0">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5c Taux de recyclage des déchets d’équipements électriques et électroniques collectés séparément (%)</w:t>
            </w:r>
          </w:p>
        </w:tc>
        <w:tc>
          <w:tcPr>
            <w:tcW w:w="3799" w:type="dxa"/>
          </w:tcPr>
          <w:p w14:paraId="7795C114" w14:textId="4E60CBE8" w:rsidR="007527C5" w:rsidRPr="006C677A" w:rsidRDefault="008043AC"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Il est primordial pour la durabilité et la résilience d’accomplir des progrès dans le recyclage des flux de déchets essentiels.</w:t>
            </w:r>
          </w:p>
        </w:tc>
        <w:tc>
          <w:tcPr>
            <w:tcW w:w="1228" w:type="dxa"/>
          </w:tcPr>
          <w:p w14:paraId="471D0384" w14:textId="488AAFD9"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7527C5" w:rsidRPr="006C677A" w14:paraId="212D0A35" w14:textId="77777777" w:rsidTr="007527C5">
        <w:trPr>
          <w:cantSplit/>
        </w:trPr>
        <w:tc>
          <w:tcPr>
            <w:tcW w:w="9464" w:type="dxa"/>
            <w:gridSpan w:val="4"/>
            <w:shd w:val="clear" w:color="auto" w:fill="EEECE1"/>
          </w:tcPr>
          <w:p w14:paraId="4DAA813E" w14:textId="0B72AA48" w:rsidR="007527C5" w:rsidRPr="006C677A" w:rsidRDefault="00DC613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Matières premières secondaires</w:t>
            </w:r>
          </w:p>
        </w:tc>
      </w:tr>
      <w:tr w:rsidR="00CF2CC0" w:rsidRPr="006C677A" w14:paraId="0A5F5B11" w14:textId="77777777" w:rsidTr="00A83C28">
        <w:trPr>
          <w:cantSplit/>
        </w:trPr>
        <w:tc>
          <w:tcPr>
            <w:tcW w:w="675" w:type="dxa"/>
          </w:tcPr>
          <w:p w14:paraId="57ED4F32"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6a-b</w:t>
            </w:r>
          </w:p>
        </w:tc>
        <w:tc>
          <w:tcPr>
            <w:tcW w:w="3762" w:type="dxa"/>
          </w:tcPr>
          <w:p w14:paraId="54A155D6"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 xml:space="preserve">Contribution des matières recyclées à la satisfaction de la demande en matières premières </w:t>
            </w:r>
          </w:p>
          <w:p w14:paraId="12C6F828" w14:textId="60C07C39"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6a Taux d’utilisation circulaire de matières (%)</w:t>
            </w:r>
          </w:p>
          <w:p w14:paraId="460416FE" w14:textId="39908584" w:rsidR="00525E31" w:rsidRPr="006C677A" w:rsidRDefault="00525E31"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6b Taux de recyclage des matières en fin de vie (%)</w:t>
            </w:r>
          </w:p>
        </w:tc>
        <w:tc>
          <w:tcPr>
            <w:tcW w:w="3799" w:type="dxa"/>
          </w:tcPr>
          <w:p w14:paraId="25F2E258"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Dans une économie circulaire, les matières premières secondaires sont couramment utilisées pour fabriquer de nouveaux produits.</w:t>
            </w:r>
          </w:p>
        </w:tc>
        <w:tc>
          <w:tcPr>
            <w:tcW w:w="1228" w:type="dxa"/>
          </w:tcPr>
          <w:p w14:paraId="71E21C2A" w14:textId="39A940FF" w:rsidR="007527C5" w:rsidRPr="006C677A" w:rsidRDefault="00B3487B" w:rsidP="00B3487B">
            <w:pPr>
              <w:widowControl w:val="0"/>
              <w:autoSpaceDE w:val="0"/>
              <w:autoSpaceDN w:val="0"/>
              <w:adjustRightInd w:val="0"/>
              <w:textAlignment w:val="center"/>
              <w:rPr>
                <w:rFonts w:ascii="Times New Roman" w:eastAsia="Cambria" w:hAnsi="Times New Roman" w:cs="Times New Roman"/>
                <w:noProof/>
                <w:color w:val="000000"/>
                <w:sz w:val="20"/>
                <w:szCs w:val="20"/>
                <w:highlight w:val="yellow"/>
              </w:rPr>
            </w:pPr>
            <w:r>
              <w:rPr>
                <w:rFonts w:ascii="Times New Roman" w:hAnsi="Times New Roman"/>
                <w:noProof/>
                <w:color w:val="000000"/>
                <w:sz w:val="20"/>
              </w:rPr>
              <w:t>Eurostat, autres services de la Commission européenne</w:t>
            </w:r>
          </w:p>
        </w:tc>
      </w:tr>
      <w:tr w:rsidR="00CF2CC0" w:rsidRPr="006C677A" w14:paraId="0C4727B6" w14:textId="77777777" w:rsidTr="00A83C28">
        <w:trPr>
          <w:cantSplit/>
        </w:trPr>
        <w:tc>
          <w:tcPr>
            <w:tcW w:w="675" w:type="dxa"/>
          </w:tcPr>
          <w:p w14:paraId="07354C8F"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7a-c</w:t>
            </w:r>
          </w:p>
        </w:tc>
        <w:tc>
          <w:tcPr>
            <w:tcW w:w="3762" w:type="dxa"/>
          </w:tcPr>
          <w:p w14:paraId="106E0732"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Commerce des matières premières recyclables</w:t>
            </w:r>
          </w:p>
          <w:p w14:paraId="2C924A95" w14:textId="574CFD7C"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7a Importations en provenance des pays hors UE (tonnes)</w:t>
            </w:r>
          </w:p>
          <w:p w14:paraId="0343F632" w14:textId="0D2BD8F0" w:rsidR="00525E31" w:rsidRPr="006C677A" w:rsidRDefault="00525E31" w:rsidP="006C677A">
            <w:pPr>
              <w:rPr>
                <w:rFonts w:ascii="Times New Roman" w:hAnsi="Times New Roman" w:cs="Times New Roman"/>
                <w:noProof/>
                <w:sz w:val="20"/>
                <w:szCs w:val="20"/>
              </w:rPr>
            </w:pPr>
            <w:r>
              <w:rPr>
                <w:rFonts w:ascii="Times New Roman" w:hAnsi="Times New Roman"/>
                <w:noProof/>
                <w:sz w:val="20"/>
              </w:rPr>
              <w:t>7b Exportations vers des pays hors UE (tonnes)</w:t>
            </w:r>
          </w:p>
          <w:p w14:paraId="22C6B1F7" w14:textId="1BF53303" w:rsidR="00525E31" w:rsidRPr="00C359B2" w:rsidRDefault="00525E31" w:rsidP="006C677A">
            <w:pPr>
              <w:widowControl w:val="0"/>
              <w:autoSpaceDE w:val="0"/>
              <w:autoSpaceDN w:val="0"/>
              <w:adjustRightInd w:val="0"/>
              <w:textAlignment w:val="center"/>
              <w:rPr>
                <w:rFonts w:ascii="Times New Roman" w:hAnsi="Times New Roman"/>
                <w:noProof/>
                <w:color w:val="000000"/>
                <w:sz w:val="20"/>
              </w:rPr>
            </w:pPr>
            <w:r>
              <w:rPr>
                <w:rFonts w:ascii="Times New Roman" w:hAnsi="Times New Roman"/>
                <w:noProof/>
                <w:sz w:val="20"/>
              </w:rPr>
              <w:t>7c Commerce intra-UE (tonnes)</w:t>
            </w:r>
          </w:p>
        </w:tc>
        <w:tc>
          <w:tcPr>
            <w:tcW w:w="3799" w:type="dxa"/>
          </w:tcPr>
          <w:p w14:paraId="3BA6040F"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Le commerce de matières recyclables traduit l’importance du marché intérieur et de la participation à l’économie circulaire au niveau mondial.</w:t>
            </w:r>
          </w:p>
        </w:tc>
        <w:tc>
          <w:tcPr>
            <w:tcW w:w="1228" w:type="dxa"/>
          </w:tcPr>
          <w:p w14:paraId="6AF6772F" w14:textId="33F379C6"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7527C5" w:rsidRPr="006C677A" w14:paraId="2A70421A" w14:textId="77777777" w:rsidTr="007527C5">
        <w:trPr>
          <w:cantSplit/>
        </w:trPr>
        <w:tc>
          <w:tcPr>
            <w:tcW w:w="9464" w:type="dxa"/>
            <w:gridSpan w:val="4"/>
            <w:shd w:val="clear" w:color="auto" w:fill="EEECE1"/>
          </w:tcPr>
          <w:p w14:paraId="20CB184F" w14:textId="30DC6D75" w:rsidR="007527C5" w:rsidRPr="006C677A" w:rsidRDefault="00DC613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Compétitivité et innovation</w:t>
            </w:r>
          </w:p>
        </w:tc>
      </w:tr>
      <w:tr w:rsidR="00CF2CC0" w:rsidRPr="006C677A" w14:paraId="371201C3" w14:textId="77777777" w:rsidTr="00A83C28">
        <w:trPr>
          <w:cantSplit/>
        </w:trPr>
        <w:tc>
          <w:tcPr>
            <w:tcW w:w="675" w:type="dxa"/>
          </w:tcPr>
          <w:p w14:paraId="2FA4AA26"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8a-c</w:t>
            </w:r>
          </w:p>
        </w:tc>
        <w:tc>
          <w:tcPr>
            <w:tcW w:w="3762" w:type="dxa"/>
          </w:tcPr>
          <w:p w14:paraId="7E0931B9"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Investissements privés, emplois et valeur ajoutée brute liés aux secteurs de l’économie circulaire</w:t>
            </w:r>
          </w:p>
          <w:p w14:paraId="3F490E4B" w14:textId="26784210" w:rsidR="00B87F56" w:rsidRPr="006C677A" w:rsidRDefault="00B87F56" w:rsidP="006C677A">
            <w:pPr>
              <w:rPr>
                <w:rFonts w:ascii="Times New Roman" w:hAnsi="Times New Roman" w:cs="Times New Roman"/>
                <w:noProof/>
                <w:sz w:val="20"/>
                <w:szCs w:val="20"/>
              </w:rPr>
            </w:pPr>
            <w:r>
              <w:rPr>
                <w:rFonts w:ascii="Times New Roman" w:hAnsi="Times New Roman"/>
                <w:noProof/>
                <w:sz w:val="20"/>
              </w:rPr>
              <w:t>8a Investissements privés (% du PIB)</w:t>
            </w:r>
          </w:p>
          <w:p w14:paraId="70B62F7B" w14:textId="2BC051D4" w:rsidR="00B87F56" w:rsidRPr="006C677A" w:rsidRDefault="00B87F56" w:rsidP="006C677A">
            <w:pPr>
              <w:rPr>
                <w:rFonts w:ascii="Times New Roman" w:hAnsi="Times New Roman" w:cs="Times New Roman"/>
                <w:noProof/>
                <w:sz w:val="20"/>
                <w:szCs w:val="20"/>
              </w:rPr>
            </w:pPr>
            <w:r>
              <w:rPr>
                <w:rFonts w:ascii="Times New Roman" w:hAnsi="Times New Roman"/>
                <w:noProof/>
                <w:sz w:val="20"/>
              </w:rPr>
              <w:t>8b Personnes employées (% de l’emploi)</w:t>
            </w:r>
          </w:p>
          <w:p w14:paraId="5B205150" w14:textId="1C940760" w:rsidR="00B87F56" w:rsidRPr="006C677A" w:rsidRDefault="00B87F56"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8c Valeur ajoutée brute (% du PIB)</w:t>
            </w:r>
          </w:p>
        </w:tc>
        <w:tc>
          <w:tcPr>
            <w:tcW w:w="3799" w:type="dxa"/>
          </w:tcPr>
          <w:p w14:paraId="01DC5E48" w14:textId="667B9292" w:rsidR="007527C5" w:rsidRPr="006C677A" w:rsidRDefault="00772466"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L’économie circulaire peut contribuer à la création d’emplois et à la croissance.</w:t>
            </w:r>
          </w:p>
        </w:tc>
        <w:tc>
          <w:tcPr>
            <w:tcW w:w="1228" w:type="dxa"/>
          </w:tcPr>
          <w:p w14:paraId="7E199910" w14:textId="7B619EAD" w:rsidR="007527C5" w:rsidRPr="006C677A" w:rsidRDefault="00B3487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w:t>
            </w:r>
          </w:p>
        </w:tc>
      </w:tr>
      <w:tr w:rsidR="00CF2CC0" w:rsidRPr="006C677A" w14:paraId="14E8F385" w14:textId="77777777" w:rsidTr="00A83C28">
        <w:trPr>
          <w:cantSplit/>
        </w:trPr>
        <w:tc>
          <w:tcPr>
            <w:tcW w:w="675" w:type="dxa"/>
          </w:tcPr>
          <w:p w14:paraId="48DA657D" w14:textId="123E0772"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9</w:t>
            </w:r>
          </w:p>
        </w:tc>
        <w:tc>
          <w:tcPr>
            <w:tcW w:w="3762" w:type="dxa"/>
          </w:tcPr>
          <w:p w14:paraId="3115D7FD"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Innovation verte</w:t>
            </w:r>
          </w:p>
          <w:p w14:paraId="7D744978" w14:textId="56D5A82C" w:rsidR="00B87F56" w:rsidRPr="006C677A" w:rsidRDefault="00B87F56" w:rsidP="00CF2CC0">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sz w:val="20"/>
              </w:rPr>
              <w:t>Brevets relatifs à la gestion et au recyclage des déchets (nombre de brevets et nombre par million d’habitants)</w:t>
            </w:r>
          </w:p>
        </w:tc>
        <w:tc>
          <w:tcPr>
            <w:tcW w:w="3799" w:type="dxa"/>
          </w:tcPr>
          <w:p w14:paraId="7133715C"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Les technologies innovantes liées à l’économie circulaire stimulent la compétitivité de l’Union au niveau mondial.</w:t>
            </w:r>
          </w:p>
        </w:tc>
        <w:tc>
          <w:tcPr>
            <w:tcW w:w="1228" w:type="dxa"/>
          </w:tcPr>
          <w:p w14:paraId="5D90BE7F" w14:textId="4EB8D7F5" w:rsidR="007527C5" w:rsidRPr="006C677A" w:rsidRDefault="00AF39FB"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Centre commun de recherche à partir de données PATSTAT</w:t>
            </w:r>
          </w:p>
        </w:tc>
      </w:tr>
      <w:tr w:rsidR="007527C5" w:rsidRPr="006C677A" w14:paraId="7FD7F552" w14:textId="77777777" w:rsidTr="007527C5">
        <w:trPr>
          <w:cantSplit/>
        </w:trPr>
        <w:tc>
          <w:tcPr>
            <w:tcW w:w="9464" w:type="dxa"/>
            <w:gridSpan w:val="4"/>
            <w:shd w:val="clear" w:color="auto" w:fill="EEECE1"/>
          </w:tcPr>
          <w:p w14:paraId="47D2DF93"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Durabilité et résilience à l’échelle mondiale</w:t>
            </w:r>
          </w:p>
        </w:tc>
      </w:tr>
      <w:tr w:rsidR="00CF2CC0" w:rsidRPr="006C677A" w14:paraId="25A8018E" w14:textId="77777777" w:rsidTr="00A83C28">
        <w:trPr>
          <w:cantSplit/>
        </w:trPr>
        <w:tc>
          <w:tcPr>
            <w:tcW w:w="675" w:type="dxa"/>
          </w:tcPr>
          <w:p w14:paraId="1AEB52B6"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10a-b</w:t>
            </w:r>
          </w:p>
        </w:tc>
        <w:tc>
          <w:tcPr>
            <w:tcW w:w="3762" w:type="dxa"/>
          </w:tcPr>
          <w:p w14:paraId="3605DD44" w14:textId="77777777" w:rsidR="007527C5" w:rsidRPr="006C677A" w:rsidRDefault="007527C5" w:rsidP="006C677A">
            <w:pPr>
              <w:widowControl w:val="0"/>
              <w:autoSpaceDE w:val="0"/>
              <w:autoSpaceDN w:val="0"/>
              <w:adjustRightInd w:val="0"/>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Durabilité à l’échelle mondiale</w:t>
            </w:r>
          </w:p>
          <w:p w14:paraId="140D4DEF" w14:textId="55E9C9FF" w:rsidR="00B87F56" w:rsidRPr="006C677A" w:rsidRDefault="00B87F56" w:rsidP="006C677A">
            <w:pPr>
              <w:rPr>
                <w:rFonts w:ascii="Times New Roman" w:hAnsi="Times New Roman" w:cs="Times New Roman"/>
                <w:noProof/>
                <w:sz w:val="20"/>
                <w:szCs w:val="20"/>
              </w:rPr>
            </w:pPr>
            <w:r>
              <w:rPr>
                <w:rFonts w:ascii="Times New Roman" w:hAnsi="Times New Roman"/>
                <w:noProof/>
                <w:sz w:val="20"/>
              </w:rPr>
              <w:t>10a Empreinte de consommation (indice 2010 = 100 et nombre de fois où les limites de la planète sont dépassées)</w:t>
            </w:r>
          </w:p>
          <w:p w14:paraId="50D0D6C6" w14:textId="0234378D" w:rsidR="00B87F56" w:rsidRPr="006C677A" w:rsidRDefault="00B87F56"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sz w:val="20"/>
              </w:rPr>
              <w:t>10b Émissions de GES provenant des activités de production (kg/habitant)</w:t>
            </w:r>
          </w:p>
        </w:tc>
        <w:tc>
          <w:tcPr>
            <w:tcW w:w="3799" w:type="dxa"/>
          </w:tcPr>
          <w:p w14:paraId="49EA0350" w14:textId="52882553" w:rsidR="00CD6BEF"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L’empreinte de consommation indique la mesure dans laquelle les systèmes de production et de consommation respectent les limites de la planète.</w:t>
            </w:r>
          </w:p>
          <w:p w14:paraId="4C0CC362" w14:textId="77777777" w:rsidR="00CD6BEF" w:rsidRPr="00072EC5" w:rsidRDefault="00CD6BEF" w:rsidP="006C677A">
            <w:pPr>
              <w:widowControl w:val="0"/>
              <w:autoSpaceDE w:val="0"/>
              <w:autoSpaceDN w:val="0"/>
              <w:adjustRightInd w:val="0"/>
              <w:textAlignment w:val="center"/>
              <w:rPr>
                <w:rFonts w:ascii="Times New Roman" w:eastAsia="Cambria" w:hAnsi="Times New Roman" w:cs="Times New Roman"/>
                <w:noProof/>
                <w:color w:val="000000"/>
                <w:sz w:val="20"/>
                <w:szCs w:val="20"/>
                <w:lang w:eastAsia="en-GB"/>
              </w:rPr>
            </w:pPr>
          </w:p>
          <w:p w14:paraId="76CC4EC8" w14:textId="2AB88604" w:rsidR="007527C5" w:rsidRPr="006C677A" w:rsidRDefault="00CD6BEF" w:rsidP="00CD6BEF">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L’économie circulaire contribue à la neutralité climatique.</w:t>
            </w:r>
          </w:p>
        </w:tc>
        <w:tc>
          <w:tcPr>
            <w:tcW w:w="1228" w:type="dxa"/>
          </w:tcPr>
          <w:p w14:paraId="16F73B3B" w14:textId="067FDBFB" w:rsidR="007527C5" w:rsidRPr="006C677A" w:rsidRDefault="00B3487B" w:rsidP="00B3487B">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Centre commun de recherche et Eurostat</w:t>
            </w:r>
          </w:p>
        </w:tc>
      </w:tr>
      <w:tr w:rsidR="00CF2CC0" w:rsidRPr="006C677A" w14:paraId="7382162A" w14:textId="77777777" w:rsidTr="00A83C28">
        <w:trPr>
          <w:cantSplit/>
        </w:trPr>
        <w:tc>
          <w:tcPr>
            <w:tcW w:w="675" w:type="dxa"/>
          </w:tcPr>
          <w:p w14:paraId="39506420"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11a-b</w:t>
            </w:r>
          </w:p>
        </w:tc>
        <w:tc>
          <w:tcPr>
            <w:tcW w:w="3762" w:type="dxa"/>
          </w:tcPr>
          <w:p w14:paraId="5FE6D492" w14:textId="77777777" w:rsidR="007527C5" w:rsidRPr="006C677A" w:rsidRDefault="007527C5" w:rsidP="006C677A">
            <w:pPr>
              <w:widowControl w:val="0"/>
              <w:autoSpaceDE w:val="0"/>
              <w:autoSpaceDN w:val="0"/>
              <w:adjustRightInd w:val="0"/>
              <w:jc w:val="both"/>
              <w:textAlignment w:val="center"/>
              <w:rPr>
                <w:rFonts w:ascii="Times New Roman" w:eastAsia="Cambria" w:hAnsi="Times New Roman" w:cs="Times New Roman"/>
                <w:b/>
                <w:noProof/>
                <w:color w:val="000000"/>
                <w:sz w:val="20"/>
                <w:szCs w:val="20"/>
              </w:rPr>
            </w:pPr>
            <w:r>
              <w:rPr>
                <w:rFonts w:ascii="Times New Roman" w:hAnsi="Times New Roman"/>
                <w:b/>
                <w:noProof/>
                <w:color w:val="000000"/>
                <w:sz w:val="20"/>
              </w:rPr>
              <w:t xml:space="preserve">Résilience </w:t>
            </w:r>
          </w:p>
          <w:p w14:paraId="45EC8EBD" w14:textId="2AC110F9" w:rsidR="00B87F56" w:rsidRPr="006C677A" w:rsidRDefault="00B87F56" w:rsidP="006C677A">
            <w:pPr>
              <w:rPr>
                <w:rFonts w:ascii="Times New Roman" w:hAnsi="Times New Roman" w:cs="Times New Roman"/>
                <w:noProof/>
                <w:sz w:val="20"/>
                <w:szCs w:val="20"/>
              </w:rPr>
            </w:pPr>
            <w:r>
              <w:rPr>
                <w:rFonts w:ascii="Times New Roman" w:hAnsi="Times New Roman"/>
                <w:noProof/>
                <w:sz w:val="20"/>
              </w:rPr>
              <w:t>11a Dépendance à l’importation de matériaux (%)</w:t>
            </w:r>
          </w:p>
          <w:p w14:paraId="5C1DFAA9" w14:textId="135669BB" w:rsidR="00B87F56" w:rsidRPr="006C677A" w:rsidRDefault="00B87F56" w:rsidP="006C677A">
            <w:pPr>
              <w:widowControl w:val="0"/>
              <w:autoSpaceDE w:val="0"/>
              <w:autoSpaceDN w:val="0"/>
              <w:adjustRightInd w:val="0"/>
              <w:jc w:val="both"/>
              <w:textAlignment w:val="center"/>
              <w:rPr>
                <w:rFonts w:ascii="Times New Roman" w:eastAsia="Cambria" w:hAnsi="Times New Roman" w:cs="Times New Roman"/>
                <w:noProof/>
                <w:color w:val="000000"/>
                <w:sz w:val="20"/>
                <w:szCs w:val="20"/>
              </w:rPr>
            </w:pPr>
            <w:r>
              <w:rPr>
                <w:rFonts w:ascii="Times New Roman" w:hAnsi="Times New Roman"/>
                <w:noProof/>
                <w:sz w:val="20"/>
              </w:rPr>
              <w:t>11b Autosuffisance de l’UE pour les matières premières (%)</w:t>
            </w:r>
          </w:p>
        </w:tc>
        <w:tc>
          <w:tcPr>
            <w:tcW w:w="3799" w:type="dxa"/>
          </w:tcPr>
          <w:p w14:paraId="052619D6" w14:textId="03C63B07" w:rsidR="007527C5" w:rsidRPr="006C677A" w:rsidRDefault="007527C5" w:rsidP="006C677A">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L’économie circulaire contribue à la sécurité de l’approvisionnement en matières premières et contribue à atténuer les risques relatifs à l’approvisionnement, notamment en ce qui concerne les matières premières critiques.</w:t>
            </w:r>
          </w:p>
        </w:tc>
        <w:tc>
          <w:tcPr>
            <w:tcW w:w="1228" w:type="dxa"/>
          </w:tcPr>
          <w:p w14:paraId="21B9E48F" w14:textId="5B72D70A" w:rsidR="007527C5" w:rsidRPr="006C677A" w:rsidRDefault="00B3487B" w:rsidP="00483DE0">
            <w:pPr>
              <w:widowControl w:val="0"/>
              <w:autoSpaceDE w:val="0"/>
              <w:autoSpaceDN w:val="0"/>
              <w:adjustRightInd w:val="0"/>
              <w:textAlignment w:val="center"/>
              <w:rPr>
                <w:rFonts w:ascii="Times New Roman" w:eastAsia="Cambria" w:hAnsi="Times New Roman" w:cs="Times New Roman"/>
                <w:noProof/>
                <w:color w:val="000000"/>
                <w:sz w:val="20"/>
                <w:szCs w:val="20"/>
              </w:rPr>
            </w:pPr>
            <w:r>
              <w:rPr>
                <w:rFonts w:ascii="Times New Roman" w:hAnsi="Times New Roman"/>
                <w:noProof/>
                <w:color w:val="000000"/>
                <w:sz w:val="20"/>
              </w:rPr>
              <w:t>Eurostat, autres services de la Commission européenne</w:t>
            </w:r>
          </w:p>
        </w:tc>
      </w:tr>
    </w:tbl>
    <w:p w14:paraId="60994FC1" w14:textId="6ADEB622" w:rsidR="007527C5" w:rsidRPr="00450685" w:rsidRDefault="007527C5" w:rsidP="007527C5">
      <w:pPr>
        <w:spacing w:after="200" w:line="276" w:lineRule="auto"/>
        <w:jc w:val="both"/>
        <w:rPr>
          <w:rFonts w:ascii="Times New Roman" w:eastAsia="Calibri" w:hAnsi="Times New Roman" w:cs="Arial"/>
          <w:noProof/>
          <w:sz w:val="20"/>
          <w:szCs w:val="20"/>
        </w:rPr>
      </w:pPr>
      <w:r>
        <w:rPr>
          <w:rFonts w:ascii="Times New Roman" w:hAnsi="Times New Roman"/>
          <w:noProof/>
          <w:sz w:val="20"/>
        </w:rPr>
        <w:t>* Indicateur en cours de développement. Deuxième plan d’action pour une économie circulaire: adopté en 2020.</w:t>
      </w:r>
    </w:p>
    <w:p w14:paraId="53E07CF9" w14:textId="30B05B86" w:rsidR="007527C5" w:rsidRPr="006C677A" w:rsidRDefault="00754886" w:rsidP="006C677A">
      <w:pPr>
        <w:pStyle w:val="ListParagraph"/>
        <w:keepNext/>
        <w:numPr>
          <w:ilvl w:val="0"/>
          <w:numId w:val="1"/>
        </w:numPr>
        <w:spacing w:after="120" w:line="276" w:lineRule="auto"/>
        <w:jc w:val="both"/>
        <w:outlineLvl w:val="0"/>
        <w:rPr>
          <w:rFonts w:ascii="Times New Roman" w:eastAsia="Calibri" w:hAnsi="Times New Roman" w:cs="Times New Roman"/>
          <w:b/>
          <w:noProof/>
          <w:sz w:val="24"/>
          <w:szCs w:val="24"/>
        </w:rPr>
      </w:pPr>
      <w:r>
        <w:rPr>
          <w:rFonts w:ascii="Times New Roman" w:hAnsi="Times New Roman"/>
          <w:b/>
          <w:noProof/>
          <w:sz w:val="24"/>
        </w:rPr>
        <w:t>Application du cadre de suivi: les principales tendances</w:t>
      </w:r>
    </w:p>
    <w:p w14:paraId="66273E89" w14:textId="50D1A07E" w:rsidR="007527C5" w:rsidRPr="00450685" w:rsidRDefault="007527C5" w:rsidP="007527C5">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Les onze indicateurs permettent de mesurer les progrès accomplis dans la réalisation des objectifs fixés/ambitieux et des objectifs stratégiques plus larges dans le domaine de l’économie circulaire. Certains sous-indicateurs propres aux matières fournissent aux responsables politiques des informations importantes qui leur permettront d’évaluer les progrès accomplis dans les chaînes d’approvisionnement et les matières essentielles.</w:t>
      </w:r>
    </w:p>
    <w:p w14:paraId="0A97050F" w14:textId="77777777" w:rsidR="007527C5" w:rsidRPr="00450685" w:rsidRDefault="007527C5" w:rsidP="007527C5">
      <w:pPr>
        <w:spacing w:after="120" w:line="276" w:lineRule="auto"/>
        <w:jc w:val="both"/>
        <w:rPr>
          <w:rFonts w:ascii="Times New Roman" w:eastAsia="Calibri" w:hAnsi="Times New Roman" w:cs="Times New Roman"/>
          <w:b/>
          <w:i/>
          <w:noProof/>
          <w:sz w:val="24"/>
          <w:szCs w:val="24"/>
        </w:rPr>
      </w:pPr>
      <w:r>
        <w:rPr>
          <w:rFonts w:ascii="Times New Roman" w:hAnsi="Times New Roman"/>
          <w:b/>
          <w:i/>
          <w:noProof/>
          <w:sz w:val="24"/>
        </w:rPr>
        <w:t>Production et consommation</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32CB2164" w14:textId="77777777" w:rsidTr="007527C5">
        <w:tc>
          <w:tcPr>
            <w:tcW w:w="9072" w:type="dxa"/>
            <w:shd w:val="clear" w:color="auto" w:fill="F2F2F2"/>
          </w:tcPr>
          <w:p w14:paraId="5EA9CA84" w14:textId="2D0ED94F" w:rsidR="007527C5" w:rsidRPr="00450685" w:rsidRDefault="007527C5" w:rsidP="00BE40D0">
            <w:pPr>
              <w:spacing w:before="120" w:after="120"/>
              <w:jc w:val="both"/>
              <w:rPr>
                <w:rFonts w:ascii="Times New Roman" w:eastAsia="Calibri" w:hAnsi="Times New Roman" w:cs="Times New Roman"/>
                <w:noProof/>
                <w:sz w:val="24"/>
              </w:rPr>
            </w:pPr>
            <w:r>
              <w:rPr>
                <w:rFonts w:ascii="Times New Roman" w:hAnsi="Times New Roman"/>
                <w:noProof/>
                <w:sz w:val="24"/>
              </w:rPr>
              <w:t xml:space="preserve">Ces dernières années, des progrès limités ont été enregistrés en ce qui concerne la transition vers des formes de production et de consommation plus circulaires. La production de l’Union est devenue plus efficace dans l’utilisation des ressources, mais la consommation de matières et la production de déchets dans l’Union sont toutes deux très élevées et doivent diminuer à l’avenir. </w:t>
            </w:r>
          </w:p>
        </w:tc>
      </w:tr>
    </w:tbl>
    <w:p w14:paraId="35CCC156" w14:textId="77777777" w:rsidR="007527C5" w:rsidRPr="00072EC5" w:rsidRDefault="007527C5" w:rsidP="007527C5">
      <w:pPr>
        <w:spacing w:after="0" w:line="276" w:lineRule="auto"/>
        <w:jc w:val="both"/>
        <w:rPr>
          <w:rFonts w:ascii="Times New Roman" w:eastAsia="Calibri" w:hAnsi="Times New Roman" w:cs="Times New Roman"/>
          <w:noProof/>
          <w:sz w:val="24"/>
          <w:szCs w:val="24"/>
        </w:rPr>
      </w:pPr>
    </w:p>
    <w:p w14:paraId="0B21C913" w14:textId="742851C6" w:rsidR="007527C5" w:rsidRPr="00B95B85" w:rsidRDefault="007527C5" w:rsidP="007527C5">
      <w:pPr>
        <w:spacing w:after="0" w:line="276" w:lineRule="auto"/>
        <w:jc w:val="both"/>
        <w:rPr>
          <w:rFonts w:ascii="Times New Roman" w:eastAsia="Calibri" w:hAnsi="Times New Roman" w:cs="Times New Roman"/>
          <w:noProof/>
          <w:sz w:val="24"/>
        </w:rPr>
      </w:pPr>
      <w:r>
        <w:rPr>
          <w:rFonts w:ascii="Times New Roman" w:hAnsi="Times New Roman"/>
          <w:noProof/>
          <w:sz w:val="24"/>
        </w:rPr>
        <w:t>L’</w:t>
      </w:r>
      <w:r>
        <w:rPr>
          <w:rFonts w:ascii="Times New Roman" w:hAnsi="Times New Roman"/>
          <w:b/>
          <w:noProof/>
          <w:sz w:val="24"/>
        </w:rPr>
        <w:t>empreinte matérielle de l’Union, également appelée consommation de matières premières (RMC), est estimée en 2020 à 13,7 tonnes par habitant</w:t>
      </w:r>
      <w:r>
        <w:rPr>
          <w:rFonts w:ascii="Times New Roman" w:hAnsi="Times New Roman"/>
          <w:noProof/>
          <w:sz w:val="24"/>
        </w:rPr>
        <w:t>. Les minéraux non métalliques représentent la catégorie de matières la plus importante, et les évolutions observées dans cette catégorie dépendent fortement du niveau des activités de construction (et de l’activité dans les secteurs liés à la construction) dans les différents États membres.</w:t>
      </w:r>
    </w:p>
    <w:p w14:paraId="2A2BA6A9" w14:textId="77777777" w:rsidR="007527C5" w:rsidRPr="00072EC5" w:rsidRDefault="007527C5" w:rsidP="007527C5">
      <w:pPr>
        <w:spacing w:after="0" w:line="276" w:lineRule="auto"/>
        <w:jc w:val="both"/>
        <w:rPr>
          <w:rFonts w:ascii="Times New Roman" w:eastAsia="Calibri" w:hAnsi="Times New Roman" w:cs="Times New Roman"/>
          <w:noProof/>
          <w:sz w:val="24"/>
        </w:rPr>
      </w:pPr>
    </w:p>
    <w:p w14:paraId="6472F2AF" w14:textId="74285F7D" w:rsidR="007527C5" w:rsidRPr="00B95B85" w:rsidRDefault="007527C5" w:rsidP="007527C5">
      <w:pPr>
        <w:spacing w:after="0" w:line="276" w:lineRule="auto"/>
        <w:jc w:val="both"/>
        <w:rPr>
          <w:rFonts w:ascii="Times New Roman" w:eastAsia="Calibri" w:hAnsi="Times New Roman" w:cs="Times New Roman"/>
          <w:noProof/>
          <w:sz w:val="24"/>
          <w:szCs w:val="24"/>
        </w:rPr>
      </w:pPr>
      <w:r>
        <w:rPr>
          <w:rFonts w:ascii="Times New Roman" w:hAnsi="Times New Roman"/>
          <w:b/>
          <w:noProof/>
          <w:sz w:val="24"/>
        </w:rPr>
        <w:t>Depuis 2000, la productivité des ressources de l’économie de l’Union a augmenté d’environ 35 %</w:t>
      </w:r>
      <w:r>
        <w:rPr>
          <w:rFonts w:ascii="Times New Roman" w:hAnsi="Times New Roman"/>
          <w:noProof/>
          <w:sz w:val="24"/>
        </w:rPr>
        <w:t xml:space="preserve">, ce qui témoigne des progrès accomplis dans la dissociation de la croissance économique de l’utilisation des ressources. Cette hausse peut s’expliquer par une utilisation des matières plus efficace dans les procédés, mais aussi par l’externalisation de la production à forte intensité de matières vers d’autres régions du monde. </w:t>
      </w:r>
    </w:p>
    <w:p w14:paraId="28D5013C" w14:textId="77777777" w:rsidR="007527C5" w:rsidRPr="00072EC5" w:rsidRDefault="007527C5" w:rsidP="007527C5">
      <w:pPr>
        <w:spacing w:after="0" w:line="276" w:lineRule="auto"/>
        <w:jc w:val="both"/>
        <w:rPr>
          <w:rFonts w:ascii="Times New Roman" w:eastAsia="Calibri" w:hAnsi="Times New Roman" w:cs="Times New Roman"/>
          <w:noProof/>
          <w:sz w:val="24"/>
          <w:szCs w:val="24"/>
        </w:rPr>
      </w:pPr>
    </w:p>
    <w:p w14:paraId="0E9D3696" w14:textId="4BE43BEA" w:rsidR="007527C5" w:rsidRPr="00B95B85" w:rsidRDefault="00823333" w:rsidP="007527C5">
      <w:pPr>
        <w:spacing w:after="0" w:line="276" w:lineRule="auto"/>
        <w:jc w:val="both"/>
        <w:rPr>
          <w:rFonts w:ascii="Times New Roman" w:eastAsia="Calibri" w:hAnsi="Times New Roman" w:cs="Times New Roman"/>
          <w:noProof/>
          <w:sz w:val="24"/>
        </w:rPr>
      </w:pPr>
      <w:r>
        <w:rPr>
          <w:rFonts w:ascii="Times New Roman" w:hAnsi="Times New Roman"/>
          <w:noProof/>
          <w:sz w:val="24"/>
        </w:rPr>
        <w:t xml:space="preserve">L’Union européenne consacre environ 14 % de son PIB (environ 2 000 milliards d’EUR par an) à l’achat de services et de biens dans le cadre de marchés publics. Les </w:t>
      </w:r>
      <w:r>
        <w:rPr>
          <w:rFonts w:ascii="Times New Roman" w:hAnsi="Times New Roman"/>
          <w:b/>
          <w:noProof/>
          <w:sz w:val="24"/>
        </w:rPr>
        <w:t>marchés publics écologiques</w:t>
      </w:r>
      <w:r>
        <w:rPr>
          <w:rFonts w:ascii="Times New Roman" w:hAnsi="Times New Roman"/>
          <w:noProof/>
          <w:sz w:val="24"/>
        </w:rPr>
        <w:t xml:space="preserve"> peuvent donc constituer un outil puissant pour stimuler l’économie circulaire et l’innovation verte. Les données relatives à un indicateur sur les marchés publics écologiques seront disponibles en 2024 grâce à un questionnaire sur les marchés publics que les États membres compléteront. </w:t>
      </w:r>
    </w:p>
    <w:p w14:paraId="4043DF86" w14:textId="77777777" w:rsidR="007527C5" w:rsidRPr="00072EC5" w:rsidRDefault="007527C5" w:rsidP="007527C5">
      <w:pPr>
        <w:spacing w:after="0" w:line="276" w:lineRule="auto"/>
        <w:jc w:val="both"/>
        <w:rPr>
          <w:rFonts w:ascii="Times New Roman" w:eastAsia="Calibri" w:hAnsi="Times New Roman" w:cs="Times New Roman"/>
          <w:noProof/>
          <w:sz w:val="24"/>
          <w:szCs w:val="24"/>
        </w:rPr>
      </w:pPr>
    </w:p>
    <w:p w14:paraId="06E2F904" w14:textId="2A83CA3B" w:rsidR="007527C5" w:rsidRPr="00B95B85" w:rsidRDefault="007527C5" w:rsidP="007527C5">
      <w:pPr>
        <w:spacing w:after="0" w:line="276" w:lineRule="auto"/>
        <w:jc w:val="both"/>
        <w:rPr>
          <w:rFonts w:ascii="Times New Roman" w:eastAsia="Calibri" w:hAnsi="Times New Roman" w:cs="Times New Roman"/>
          <w:noProof/>
          <w:sz w:val="24"/>
        </w:rPr>
      </w:pPr>
      <w:r>
        <w:rPr>
          <w:rFonts w:ascii="Times New Roman" w:hAnsi="Times New Roman"/>
          <w:noProof/>
          <w:sz w:val="24"/>
        </w:rPr>
        <w:t xml:space="preserve">En 2020, la quantité totale de déchets produite dans l’Union européenne par l’ensemble des activités économiques et des ménages s’élevait à 2,15 milliards de tonnes, soit </w:t>
      </w:r>
      <w:r>
        <w:rPr>
          <w:rFonts w:ascii="Times New Roman" w:hAnsi="Times New Roman"/>
          <w:b/>
          <w:noProof/>
          <w:sz w:val="24"/>
        </w:rPr>
        <w:t>4,8 tonnes de déchets par habitant de l’Union en 2020</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La </w:t>
      </w:r>
      <w:r>
        <w:rPr>
          <w:rFonts w:ascii="Times New Roman" w:hAnsi="Times New Roman"/>
          <w:b/>
          <w:noProof/>
          <w:sz w:val="24"/>
        </w:rPr>
        <w:t>production globale de déchets a diminué de près de 3 %</w:t>
      </w:r>
      <w:r>
        <w:rPr>
          <w:rFonts w:ascii="Times New Roman" w:hAnsi="Times New Roman"/>
          <w:noProof/>
          <w:sz w:val="24"/>
        </w:rPr>
        <w:t xml:space="preserve"> entre 2010 et 2020. Environ deux tiers (64 %) du total des déchets produits dans l’Union européenne en 2020 étaient des déchets minéraux principaux. Les déchets minéraux principaux sont étroitement liés aux activités de construction, de démolition et d’exploitation des mines et des carrières, qui sont des secteurs importants dans certains États membres. Au cours de cette période de dix ans, la </w:t>
      </w:r>
      <w:r>
        <w:rPr>
          <w:rFonts w:ascii="Times New Roman" w:hAnsi="Times New Roman"/>
          <w:b/>
          <w:noProof/>
          <w:sz w:val="24"/>
        </w:rPr>
        <w:t>dissociation</w:t>
      </w:r>
      <w:r>
        <w:rPr>
          <w:rFonts w:ascii="Times New Roman" w:hAnsi="Times New Roman"/>
          <w:noProof/>
          <w:sz w:val="24"/>
        </w:rPr>
        <w:t xml:space="preserve"> de la quantité de déchets produits (excepté les déchets minéraux principaux) du PIB a été </w:t>
      </w:r>
      <w:r>
        <w:rPr>
          <w:rFonts w:ascii="Times New Roman" w:hAnsi="Times New Roman"/>
          <w:b/>
          <w:noProof/>
          <w:sz w:val="24"/>
        </w:rPr>
        <w:t>limitée</w:t>
      </w:r>
      <w:r>
        <w:rPr>
          <w:rFonts w:ascii="Times New Roman" w:hAnsi="Times New Roman"/>
          <w:noProof/>
          <w:sz w:val="24"/>
        </w:rPr>
        <w:t xml:space="preserve">. </w:t>
      </w:r>
    </w:p>
    <w:p w14:paraId="4C77C00E" w14:textId="77777777" w:rsidR="007527C5" w:rsidRPr="00072EC5" w:rsidRDefault="007527C5" w:rsidP="007527C5">
      <w:pPr>
        <w:spacing w:after="0" w:line="276" w:lineRule="auto"/>
        <w:jc w:val="both"/>
        <w:rPr>
          <w:rFonts w:ascii="Times New Roman" w:eastAsia="Calibri" w:hAnsi="Times New Roman" w:cs="Times New Roman"/>
          <w:noProof/>
          <w:sz w:val="24"/>
        </w:rPr>
      </w:pPr>
    </w:p>
    <w:p w14:paraId="10BC202F" w14:textId="3FE46E5B" w:rsidR="007527C5" w:rsidRPr="00B95B85" w:rsidRDefault="007527C5" w:rsidP="006C677A">
      <w:pPr>
        <w:spacing w:after="0" w:line="276" w:lineRule="auto"/>
        <w:jc w:val="both"/>
        <w:rPr>
          <w:rFonts w:ascii="Times New Roman" w:eastAsia="Calibri" w:hAnsi="Times New Roman" w:cs="Times New Roman"/>
          <w:noProof/>
          <w:sz w:val="24"/>
        </w:rPr>
      </w:pPr>
      <w:r>
        <w:rPr>
          <w:rFonts w:ascii="Times New Roman" w:hAnsi="Times New Roman"/>
          <w:noProof/>
          <w:sz w:val="24"/>
        </w:rPr>
        <w:t xml:space="preserve">La production de </w:t>
      </w:r>
      <w:r>
        <w:rPr>
          <w:rFonts w:ascii="Times New Roman" w:hAnsi="Times New Roman"/>
          <w:b/>
          <w:noProof/>
          <w:sz w:val="24"/>
        </w:rPr>
        <w:t>déchets municipaux</w:t>
      </w:r>
      <w:r>
        <w:rPr>
          <w:rFonts w:ascii="Times New Roman" w:hAnsi="Times New Roman"/>
          <w:noProof/>
          <w:sz w:val="24"/>
        </w:rPr>
        <w:t xml:space="preserve"> par habitant dans l’Union européenne, qui représente 10 % de l’ensemble de la production de déchets, est passée à </w:t>
      </w:r>
      <w:r>
        <w:rPr>
          <w:rFonts w:ascii="Times New Roman" w:hAnsi="Times New Roman"/>
          <w:b/>
          <w:noProof/>
          <w:sz w:val="24"/>
        </w:rPr>
        <w:t>530 kg en 2021</w:t>
      </w:r>
      <w:r>
        <w:rPr>
          <w:rFonts w:ascii="Times New Roman" w:hAnsi="Times New Roman"/>
          <w:noProof/>
          <w:sz w:val="24"/>
        </w:rPr>
        <w:t xml:space="preserve"> contre 503 kg par habitant en 2010. La réduction des </w:t>
      </w:r>
      <w:r>
        <w:rPr>
          <w:rFonts w:ascii="Times New Roman" w:hAnsi="Times New Roman"/>
          <w:b/>
          <w:noProof/>
          <w:sz w:val="24"/>
        </w:rPr>
        <w:t>déchets alimentaires</w:t>
      </w:r>
      <w:r>
        <w:rPr>
          <w:rFonts w:ascii="Times New Roman" w:eastAsia="Calibri" w:hAnsi="Times New Roman" w:cs="Times New Roman"/>
          <w:noProof/>
          <w:sz w:val="24"/>
          <w:vertAlign w:val="superscript"/>
          <w:lang w:val="en-IE"/>
        </w:rPr>
        <w:footnoteReference w:id="28"/>
      </w:r>
      <w:r>
        <w:rPr>
          <w:rFonts w:ascii="Times New Roman" w:hAnsi="Times New Roman"/>
          <w:noProof/>
          <w:sz w:val="24"/>
        </w:rPr>
        <w:t xml:space="preserve"> présente un énorme potentiel pour économiser les ressources que nous utilisons pour produire les denrées alimentaires que nous consommons et fait partie des moteurs de la sécurité alimentaire</w:t>
      </w:r>
      <w:r>
        <w:rPr>
          <w:rStyle w:val="FootnoteReference"/>
          <w:rFonts w:ascii="Times New Roman" w:eastAsia="Calibri" w:hAnsi="Times New Roman" w:cs="Times New Roman"/>
          <w:noProof/>
          <w:sz w:val="24"/>
          <w:lang w:val="en-IE"/>
        </w:rPr>
        <w:footnoteReference w:id="29"/>
      </w:r>
      <w:r>
        <w:rPr>
          <w:rFonts w:ascii="Times New Roman" w:hAnsi="Times New Roman"/>
          <w:noProof/>
          <w:sz w:val="24"/>
        </w:rPr>
        <w:t xml:space="preserve">. La </w:t>
      </w:r>
      <w:r>
        <w:rPr>
          <w:rFonts w:ascii="Times New Roman" w:hAnsi="Times New Roman"/>
          <w:b/>
          <w:noProof/>
          <w:sz w:val="24"/>
        </w:rPr>
        <w:t>production de déchets alimentaires dans l’Union s’élevait à 59 millions de tonnes</w:t>
      </w:r>
      <w:r>
        <w:rPr>
          <w:rFonts w:ascii="Times New Roman" w:hAnsi="Times New Roman"/>
          <w:noProof/>
          <w:sz w:val="24"/>
        </w:rPr>
        <w:t xml:space="preserve"> en 2020, soit 131 kg par habitant.</w:t>
      </w:r>
    </w:p>
    <w:p w14:paraId="1C2B5BC8" w14:textId="77777777" w:rsidR="007527C5" w:rsidRPr="00072EC5" w:rsidRDefault="007527C5" w:rsidP="007527C5">
      <w:pPr>
        <w:spacing w:after="0" w:line="276" w:lineRule="auto"/>
        <w:jc w:val="both"/>
        <w:rPr>
          <w:rFonts w:ascii="Times New Roman" w:eastAsia="Calibri" w:hAnsi="Times New Roman" w:cs="Times New Roman"/>
          <w:noProof/>
          <w:sz w:val="24"/>
          <w:szCs w:val="24"/>
        </w:rPr>
      </w:pPr>
    </w:p>
    <w:p w14:paraId="466CBDAE" w14:textId="3635C838" w:rsidR="007527C5" w:rsidRPr="00B95B85" w:rsidRDefault="00EC68A0" w:rsidP="007527C5">
      <w:pPr>
        <w:spacing w:after="0" w:line="276" w:lineRule="auto"/>
        <w:jc w:val="both"/>
        <w:rPr>
          <w:rFonts w:ascii="Times New Roman" w:eastAsia="Calibri" w:hAnsi="Times New Roman" w:cs="Times New Roman"/>
          <w:noProof/>
          <w:sz w:val="24"/>
        </w:rPr>
      </w:pPr>
      <w:r>
        <w:rPr>
          <w:rFonts w:ascii="Times New Roman" w:hAnsi="Times New Roman"/>
          <w:noProof/>
          <w:sz w:val="24"/>
        </w:rPr>
        <w:t xml:space="preserve">La </w:t>
      </w:r>
      <w:r>
        <w:rPr>
          <w:rFonts w:ascii="Times New Roman" w:hAnsi="Times New Roman"/>
          <w:b/>
          <w:noProof/>
          <w:sz w:val="24"/>
        </w:rPr>
        <w:t>production de déchets d’emballages dans l’Union</w:t>
      </w:r>
      <w:r>
        <w:rPr>
          <w:rFonts w:ascii="Times New Roman" w:hAnsi="Times New Roman"/>
          <w:noProof/>
          <w:sz w:val="24"/>
        </w:rPr>
        <w:t xml:space="preserve"> s’élevait à 178 kg par habitant en 2020, soit une hausse de 17 % par rapport à 2010. Les déchets d’emballages en plastique représentaient 19 % de l’ensemble des déchets d’emballages de l’Union. Les </w:t>
      </w:r>
      <w:r>
        <w:rPr>
          <w:rFonts w:ascii="Times New Roman" w:hAnsi="Times New Roman"/>
          <w:b/>
          <w:noProof/>
          <w:sz w:val="24"/>
        </w:rPr>
        <w:t>volumes de déchets d’emballages en plastique ont augmenté de 25 % entre 2010 et 2020</w:t>
      </w:r>
      <w:r>
        <w:rPr>
          <w:rFonts w:ascii="Times New Roman" w:hAnsi="Times New Roman"/>
          <w:noProof/>
          <w:sz w:val="24"/>
        </w:rPr>
        <w:t>. Il s’agit de l’augmentation la plus importante de tous les flux de déchets d’emballages.</w:t>
      </w:r>
      <w:r>
        <w:rPr>
          <w:rFonts w:ascii="Times New Roman" w:hAnsi="Times New Roman"/>
          <w:b/>
          <w:noProof/>
          <w:sz w:val="24"/>
        </w:rPr>
        <w:t xml:space="preserve"> </w:t>
      </w:r>
      <w:r>
        <w:rPr>
          <w:rFonts w:ascii="Times New Roman" w:hAnsi="Times New Roman"/>
          <w:noProof/>
          <w:sz w:val="24"/>
        </w:rPr>
        <w:t xml:space="preserve">En moyenne, </w:t>
      </w:r>
      <w:r>
        <w:rPr>
          <w:rFonts w:ascii="Times New Roman" w:hAnsi="Times New Roman"/>
          <w:b/>
          <w:noProof/>
          <w:sz w:val="24"/>
        </w:rPr>
        <w:t>chaque citoyen de l’Union était responsable en 2020 de 35 kg de déchets d’emballages en plastique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Les chiffres de 2021 permettront de mieux comprendre les effets de la pandémie de COVID-19 sur la production de déchets d’emballages en plastique.</w:t>
      </w:r>
      <w:r>
        <w:rPr>
          <w:rFonts w:ascii="Times New Roman" w:hAnsi="Times New Roman"/>
          <w:noProof/>
          <w:sz w:val="24"/>
          <w:highlight w:val="yellow"/>
        </w:rPr>
        <w:t xml:space="preserve"> </w:t>
      </w:r>
    </w:p>
    <w:p w14:paraId="54B594A0" w14:textId="77777777" w:rsidR="007527C5" w:rsidRPr="00072EC5" w:rsidRDefault="007527C5" w:rsidP="007527C5">
      <w:pPr>
        <w:spacing w:after="120" w:line="276" w:lineRule="auto"/>
        <w:jc w:val="both"/>
        <w:rPr>
          <w:rFonts w:ascii="Times New Roman" w:eastAsia="Calibri" w:hAnsi="Times New Roman" w:cs="Times New Roman"/>
          <w:b/>
          <w:i/>
          <w:noProof/>
          <w:sz w:val="24"/>
          <w:szCs w:val="24"/>
        </w:rPr>
      </w:pPr>
    </w:p>
    <w:p w14:paraId="6DA81A28" w14:textId="77777777" w:rsidR="007527C5" w:rsidRPr="00B95B85" w:rsidRDefault="007527C5" w:rsidP="007527C5">
      <w:pPr>
        <w:spacing w:after="120" w:line="276" w:lineRule="auto"/>
        <w:jc w:val="both"/>
        <w:rPr>
          <w:rFonts w:ascii="Times New Roman" w:eastAsia="Calibri" w:hAnsi="Times New Roman" w:cs="Times New Roman"/>
          <w:b/>
          <w:i/>
          <w:noProof/>
          <w:sz w:val="24"/>
          <w:szCs w:val="24"/>
        </w:rPr>
      </w:pPr>
      <w:r>
        <w:rPr>
          <w:rFonts w:ascii="Times New Roman" w:hAnsi="Times New Roman"/>
          <w:b/>
          <w:i/>
          <w:noProof/>
          <w:sz w:val="24"/>
        </w:rPr>
        <w:t>Gestion des déchets</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5A230E60" w14:textId="77777777" w:rsidTr="007527C5">
        <w:tc>
          <w:tcPr>
            <w:tcW w:w="9072" w:type="dxa"/>
            <w:shd w:val="clear" w:color="auto" w:fill="F2F2F2"/>
          </w:tcPr>
          <w:p w14:paraId="65005E00" w14:textId="42BE32D9" w:rsidR="007527C5" w:rsidRPr="00B95B85" w:rsidRDefault="007527C5" w:rsidP="00250DA3">
            <w:pPr>
              <w:spacing w:before="120" w:after="120"/>
              <w:jc w:val="both"/>
              <w:rPr>
                <w:rFonts w:ascii="Times New Roman" w:eastAsia="Calibri" w:hAnsi="Times New Roman" w:cs="Times New Roman"/>
                <w:noProof/>
                <w:sz w:val="24"/>
              </w:rPr>
            </w:pPr>
            <w:r>
              <w:rPr>
                <w:rFonts w:ascii="Times New Roman" w:hAnsi="Times New Roman"/>
                <w:noProof/>
                <w:sz w:val="24"/>
              </w:rPr>
              <w:t xml:space="preserve">De nombreux progrès ont été réalisés ces dernières années en matière de gestion plus durable des déchets. Toutefois, d’importantes différences persistent entre les États membres et certains flux de déchets peuvent encore être améliorés. </w:t>
            </w:r>
          </w:p>
        </w:tc>
      </w:tr>
    </w:tbl>
    <w:p w14:paraId="0DEB53B1" w14:textId="77777777" w:rsidR="007527C5" w:rsidRPr="00072EC5" w:rsidRDefault="007527C5" w:rsidP="007527C5">
      <w:pPr>
        <w:spacing w:after="0" w:line="276" w:lineRule="auto"/>
        <w:jc w:val="both"/>
        <w:rPr>
          <w:rFonts w:ascii="Times New Roman" w:eastAsia="Calibri" w:hAnsi="Times New Roman" w:cs="Times New Roman"/>
          <w:noProof/>
          <w:color w:val="000000"/>
          <w:position w:val="-2"/>
          <w:sz w:val="24"/>
          <w:szCs w:val="24"/>
        </w:rPr>
      </w:pPr>
    </w:p>
    <w:p w14:paraId="2C3F8CD0" w14:textId="60947BFF" w:rsidR="005E25D2" w:rsidRPr="005E25D2" w:rsidRDefault="007527C5" w:rsidP="007527C5">
      <w:pPr>
        <w:spacing w:after="200" w:line="276" w:lineRule="auto"/>
        <w:jc w:val="both"/>
        <w:rPr>
          <w:rFonts w:ascii="Times New Roman" w:eastAsia="Calibri" w:hAnsi="Times New Roman" w:cs="Times New Roman"/>
          <w:noProof/>
          <w:color w:val="000000"/>
          <w:position w:val="-2"/>
          <w:sz w:val="24"/>
        </w:rPr>
      </w:pPr>
      <w:r>
        <w:rPr>
          <w:rFonts w:ascii="Times New Roman" w:hAnsi="Times New Roman"/>
          <w:noProof/>
          <w:color w:val="000000"/>
          <w:sz w:val="24"/>
        </w:rPr>
        <w:t xml:space="preserve">Les </w:t>
      </w:r>
      <w:r>
        <w:rPr>
          <w:rFonts w:ascii="Times New Roman" w:hAnsi="Times New Roman"/>
          <w:b/>
          <w:noProof/>
          <w:color w:val="000000"/>
          <w:sz w:val="24"/>
        </w:rPr>
        <w:t>taux de recyclage des déchets municipaux</w:t>
      </w:r>
      <w:r>
        <w:rPr>
          <w:rFonts w:ascii="Times New Roman" w:hAnsi="Times New Roman"/>
          <w:noProof/>
          <w:color w:val="000000"/>
          <w:sz w:val="24"/>
        </w:rPr>
        <w:t xml:space="preserve"> dans l’Union </w:t>
      </w:r>
      <w:r>
        <w:rPr>
          <w:rFonts w:ascii="Times New Roman" w:hAnsi="Times New Roman"/>
          <w:b/>
          <w:noProof/>
          <w:color w:val="000000"/>
          <w:sz w:val="24"/>
        </w:rPr>
        <w:t>sont passés de 38 % à 49 % entre 2010 et 2021</w:t>
      </w:r>
      <w:r>
        <w:rPr>
          <w:rFonts w:ascii="Times New Roman" w:hAnsi="Times New Roman"/>
          <w:noProof/>
          <w:color w:val="000000"/>
          <w:sz w:val="24"/>
        </w:rPr>
        <w:t>. Certains pays ont atteint ou quasiment atteint l’objectif de recyclage de 60 % fixé pour 2030</w:t>
      </w:r>
      <w:r>
        <w:rPr>
          <w:rFonts w:ascii="Times New Roman" w:eastAsia="Calibri" w:hAnsi="Times New Roman" w:cs="Times New Roman"/>
          <w:noProof/>
          <w:sz w:val="24"/>
          <w:vertAlign w:val="superscript"/>
          <w:lang w:val="en-IE"/>
        </w:rPr>
        <w:footnoteReference w:id="30"/>
      </w:r>
      <w:r>
        <w:rPr>
          <w:rFonts w:ascii="Times New Roman" w:hAnsi="Times New Roman"/>
          <w:noProof/>
          <w:color w:val="000000"/>
          <w:sz w:val="24"/>
        </w:rPr>
        <w:t xml:space="preserve"> et un pays a déjà atteint l’objectif de 65 % fixé pour 2035</w:t>
      </w:r>
      <w:r>
        <w:rPr>
          <w:rFonts w:ascii="Times New Roman" w:eastAsia="Calibri" w:hAnsi="Times New Roman" w:cs="Times New Roman"/>
          <w:noProof/>
          <w:color w:val="000000"/>
          <w:position w:val="-2"/>
          <w:sz w:val="24"/>
          <w:vertAlign w:val="superscript"/>
          <w:lang w:val="en-IE"/>
        </w:rPr>
        <w:footnoteReference w:id="31"/>
      </w:r>
      <w:r>
        <w:rPr>
          <w:rFonts w:ascii="Times New Roman" w:hAnsi="Times New Roman"/>
          <w:noProof/>
          <w:color w:val="000000"/>
          <w:sz w:val="24"/>
        </w:rPr>
        <w:t xml:space="preserve">. Les </w:t>
      </w:r>
      <w:r>
        <w:rPr>
          <w:rFonts w:ascii="Times New Roman" w:hAnsi="Times New Roman"/>
          <w:b/>
          <w:noProof/>
          <w:color w:val="000000"/>
          <w:sz w:val="24"/>
        </w:rPr>
        <w:t>taux de recyclage des déchets d’emballages</w:t>
      </w:r>
      <w:r>
        <w:rPr>
          <w:rFonts w:ascii="Times New Roman" w:hAnsi="Times New Roman"/>
          <w:noProof/>
          <w:color w:val="000000"/>
          <w:sz w:val="24"/>
        </w:rPr>
        <w:t xml:space="preserve"> dans l’Union européenne </w:t>
      </w:r>
      <w:r>
        <w:rPr>
          <w:rFonts w:ascii="Times New Roman" w:hAnsi="Times New Roman"/>
          <w:b/>
          <w:noProof/>
          <w:color w:val="000000"/>
          <w:sz w:val="24"/>
        </w:rPr>
        <w:t>se sont maintenus à 64 %</w:t>
      </w:r>
      <w:r>
        <w:rPr>
          <w:rFonts w:ascii="Times New Roman" w:hAnsi="Times New Roman"/>
          <w:noProof/>
          <w:color w:val="000000"/>
          <w:sz w:val="24"/>
        </w:rPr>
        <w:t xml:space="preserve"> entre 2010 et 2020. Le taux de recyclage des </w:t>
      </w:r>
      <w:r>
        <w:rPr>
          <w:rFonts w:ascii="Times New Roman" w:hAnsi="Times New Roman"/>
          <w:b/>
          <w:noProof/>
          <w:color w:val="000000"/>
          <w:sz w:val="24"/>
        </w:rPr>
        <w:t>emballages en plastique</w:t>
      </w:r>
      <w:r>
        <w:rPr>
          <w:rFonts w:ascii="Times New Roman" w:hAnsi="Times New Roman"/>
          <w:noProof/>
          <w:color w:val="000000"/>
          <w:sz w:val="24"/>
        </w:rPr>
        <w:t xml:space="preserve"> dans l’Union est nettement inférieur à celui de l’ensemble des déchets d’emballages, qui est d’environ </w:t>
      </w:r>
      <w:r>
        <w:rPr>
          <w:rFonts w:ascii="Times New Roman" w:hAnsi="Times New Roman"/>
          <w:b/>
          <w:noProof/>
          <w:color w:val="000000"/>
          <w:sz w:val="24"/>
        </w:rPr>
        <w:t>38 %</w:t>
      </w:r>
      <w:r>
        <w:rPr>
          <w:rFonts w:ascii="Times New Roman" w:hAnsi="Times New Roman"/>
          <w:noProof/>
          <w:color w:val="000000"/>
          <w:sz w:val="24"/>
        </w:rPr>
        <w:t>.</w:t>
      </w:r>
    </w:p>
    <w:p w14:paraId="7421798D" w14:textId="422F5A93" w:rsidR="000307A1" w:rsidRPr="00B95B85" w:rsidRDefault="007527C5" w:rsidP="007527C5">
      <w:pPr>
        <w:spacing w:after="200" w:line="276" w:lineRule="auto"/>
        <w:jc w:val="both"/>
        <w:rPr>
          <w:rFonts w:ascii="Times New Roman" w:eastAsia="Calibri" w:hAnsi="Times New Roman" w:cs="Arial"/>
          <w:noProof/>
          <w:color w:val="000000"/>
          <w:position w:val="-2"/>
          <w:sz w:val="24"/>
        </w:rPr>
      </w:pPr>
      <w:r>
        <w:rPr>
          <w:rFonts w:ascii="Times New Roman" w:hAnsi="Times New Roman"/>
          <w:noProof/>
          <w:color w:val="000000"/>
          <w:sz w:val="24"/>
        </w:rPr>
        <w:t xml:space="preserve">La part des </w:t>
      </w:r>
      <w:r>
        <w:rPr>
          <w:rFonts w:ascii="Times New Roman" w:hAnsi="Times New Roman"/>
          <w:b/>
          <w:noProof/>
          <w:color w:val="000000"/>
          <w:sz w:val="24"/>
        </w:rPr>
        <w:t>déchets d’équipements électriques et électroniques collectés</w:t>
      </w:r>
      <w:r>
        <w:rPr>
          <w:rFonts w:ascii="Times New Roman" w:hAnsi="Times New Roman"/>
          <w:noProof/>
          <w:color w:val="000000"/>
          <w:sz w:val="24"/>
        </w:rPr>
        <w:t xml:space="preserve"> qui sont réutilisés ou recyclés a augmenté dans l’Union, passant de 81,8 % en 2010 à </w:t>
      </w:r>
      <w:r>
        <w:rPr>
          <w:rFonts w:ascii="Times New Roman" w:hAnsi="Times New Roman"/>
          <w:b/>
          <w:noProof/>
          <w:color w:val="000000"/>
          <w:sz w:val="24"/>
        </w:rPr>
        <w:t>83,4 % en 2020</w:t>
      </w:r>
      <w:r>
        <w:rPr>
          <w:rFonts w:ascii="Times New Roman" w:hAnsi="Times New Roman"/>
          <w:noProof/>
          <w:color w:val="000000"/>
          <w:sz w:val="24"/>
        </w:rPr>
        <w:t xml:space="preserve">. </w:t>
      </w:r>
    </w:p>
    <w:p w14:paraId="5C4566E5" w14:textId="77777777" w:rsidR="007527C5" w:rsidRPr="00072EC5" w:rsidRDefault="007527C5" w:rsidP="007527C5">
      <w:pPr>
        <w:spacing w:after="120" w:line="276" w:lineRule="auto"/>
        <w:contextualSpacing/>
        <w:jc w:val="both"/>
        <w:rPr>
          <w:rFonts w:ascii="Times New Roman" w:eastAsia="Calibri" w:hAnsi="Times New Roman" w:cs="Times New Roman"/>
          <w:b/>
          <w:i/>
          <w:noProof/>
          <w:sz w:val="24"/>
          <w:szCs w:val="24"/>
        </w:rPr>
      </w:pPr>
    </w:p>
    <w:p w14:paraId="6D895234" w14:textId="77777777" w:rsidR="007527C5" w:rsidRPr="00B95B85" w:rsidRDefault="007527C5" w:rsidP="007527C5">
      <w:pPr>
        <w:spacing w:after="120" w:line="276" w:lineRule="auto"/>
        <w:jc w:val="both"/>
        <w:rPr>
          <w:rFonts w:ascii="Times New Roman" w:eastAsia="Calibri" w:hAnsi="Times New Roman" w:cs="Times New Roman"/>
          <w:b/>
          <w:i/>
          <w:noProof/>
          <w:sz w:val="24"/>
          <w:szCs w:val="24"/>
        </w:rPr>
      </w:pPr>
      <w:r>
        <w:rPr>
          <w:rFonts w:ascii="Times New Roman" w:hAnsi="Times New Roman"/>
          <w:b/>
          <w:i/>
          <w:noProof/>
          <w:sz w:val="24"/>
        </w:rPr>
        <w:t>Matières premières secondaires</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17103792" w14:textId="77777777" w:rsidTr="007527C5">
        <w:tc>
          <w:tcPr>
            <w:tcW w:w="9072" w:type="dxa"/>
            <w:shd w:val="clear" w:color="auto" w:fill="F2F2F2"/>
          </w:tcPr>
          <w:p w14:paraId="48238E20" w14:textId="3038412A" w:rsidR="007527C5" w:rsidRPr="00B95B85" w:rsidRDefault="007527C5" w:rsidP="00250DA3">
            <w:pPr>
              <w:spacing w:before="120" w:after="120"/>
              <w:jc w:val="both"/>
              <w:rPr>
                <w:rFonts w:ascii="Times New Roman" w:eastAsia="Calibri" w:hAnsi="Times New Roman" w:cs="Times New Roman"/>
                <w:noProof/>
                <w:sz w:val="24"/>
              </w:rPr>
            </w:pPr>
            <w:r>
              <w:rPr>
                <w:rFonts w:ascii="Times New Roman" w:hAnsi="Times New Roman"/>
                <w:noProof/>
                <w:sz w:val="24"/>
              </w:rPr>
              <w:t>La contribution des matières recyclées à la satisfaction de la demande globale de matières premières est relativement faible. Le commerce de matières premières secondaires augmente à la fois dans l’Union et avec les pays tiers.</w:t>
            </w:r>
          </w:p>
        </w:tc>
      </w:tr>
    </w:tbl>
    <w:p w14:paraId="64309CA0" w14:textId="77777777" w:rsidR="007527C5" w:rsidRPr="00072EC5" w:rsidRDefault="007527C5" w:rsidP="007527C5">
      <w:pPr>
        <w:spacing w:after="0" w:line="276" w:lineRule="auto"/>
        <w:jc w:val="both"/>
        <w:rPr>
          <w:rFonts w:ascii="Times New Roman" w:eastAsia="Calibri" w:hAnsi="Times New Roman" w:cs="Times New Roman"/>
          <w:noProof/>
          <w:color w:val="000000"/>
          <w:position w:val="-2"/>
          <w:sz w:val="24"/>
          <w:szCs w:val="24"/>
        </w:rPr>
      </w:pPr>
    </w:p>
    <w:p w14:paraId="2079B890" w14:textId="060683F8" w:rsidR="007527C5" w:rsidRPr="00B95B85" w:rsidRDefault="007527C5" w:rsidP="007527C5">
      <w:pPr>
        <w:spacing w:after="0" w:line="276" w:lineRule="auto"/>
        <w:jc w:val="both"/>
        <w:rPr>
          <w:rFonts w:ascii="Times New Roman" w:eastAsia="Cambria" w:hAnsi="Times New Roman" w:cs="Times New Roman"/>
          <w:noProof/>
          <w:color w:val="000000"/>
          <w:position w:val="-2"/>
          <w:sz w:val="24"/>
        </w:rPr>
      </w:pPr>
      <w:r>
        <w:rPr>
          <w:rFonts w:ascii="Times New Roman" w:hAnsi="Times New Roman"/>
          <w:b/>
          <w:noProof/>
          <w:color w:val="000000"/>
          <w:sz w:val="24"/>
        </w:rPr>
        <w:t>En 2021, les matières recyclées n’ont satisfait qu’environ 11,7 % de la demande en matières de l’Union</w:t>
      </w:r>
      <w:r>
        <w:rPr>
          <w:rFonts w:ascii="Times New Roman" w:hAnsi="Times New Roman"/>
          <w:noProof/>
          <w:color w:val="000000"/>
          <w:sz w:val="24"/>
        </w:rPr>
        <w:t>, soit 1,4 point de pourcentage de plus qu’en 2011. Pour un grand nombre de matières, notamment un certain nombre de matières premières critiques, la contribution des matières recyclées à la satisfaction de la demande en matières premières reste faible, voire négligeable. Pour de nombreux métaux spéciaux et terres rares, le taux de recyclage des matières en fin de vie est d’environ 1 % contre 16 % pour le nickel et 22 % pour le cobalt, qui sont tous deux des matières premières utilisées dans les batteries</w:t>
      </w:r>
      <w:r>
        <w:rPr>
          <w:rFonts w:ascii="Times New Roman" w:eastAsia="Times New Roman" w:hAnsi="Times New Roman" w:cs="Times New Roman"/>
          <w:noProof/>
          <w:color w:val="000000"/>
          <w:sz w:val="24"/>
          <w:szCs w:val="24"/>
          <w:vertAlign w:val="superscript"/>
          <w:lang w:val="en-IE"/>
        </w:rPr>
        <w:footnoteReference w:id="32"/>
      </w:r>
      <w:r>
        <w:rPr>
          <w:rFonts w:ascii="Times New Roman" w:hAnsi="Times New Roman"/>
          <w:noProof/>
          <w:color w:val="000000"/>
          <w:sz w:val="24"/>
        </w:rPr>
        <w:t xml:space="preserve">. </w:t>
      </w:r>
    </w:p>
    <w:p w14:paraId="78AA1D76" w14:textId="77777777" w:rsidR="007527C5" w:rsidRPr="00072EC5" w:rsidRDefault="007527C5" w:rsidP="007527C5">
      <w:pPr>
        <w:spacing w:after="200" w:line="276" w:lineRule="auto"/>
        <w:contextualSpacing/>
        <w:jc w:val="both"/>
        <w:rPr>
          <w:rFonts w:ascii="Times New Roman" w:eastAsia="Cambria" w:hAnsi="Times New Roman" w:cs="Times New Roman"/>
          <w:noProof/>
          <w:color w:val="000000"/>
          <w:position w:val="-2"/>
          <w:sz w:val="24"/>
          <w:szCs w:val="24"/>
          <w:highlight w:val="yellow"/>
          <w:lang w:eastAsia="en-GB"/>
        </w:rPr>
      </w:pPr>
    </w:p>
    <w:p w14:paraId="31393E11" w14:textId="323E0287" w:rsidR="007527C5" w:rsidRPr="00B95B85" w:rsidRDefault="007527C5" w:rsidP="007527C5">
      <w:pPr>
        <w:spacing w:after="200" w:line="276" w:lineRule="auto"/>
        <w:contextualSpacing/>
        <w:jc w:val="both"/>
        <w:rPr>
          <w:rFonts w:ascii="Times New Roman" w:eastAsia="Cambria" w:hAnsi="Times New Roman" w:cs="Times New Roman"/>
          <w:noProof/>
          <w:color w:val="000000"/>
          <w:position w:val="-2"/>
          <w:sz w:val="24"/>
        </w:rPr>
      </w:pPr>
      <w:r>
        <w:rPr>
          <w:rFonts w:ascii="Times New Roman" w:hAnsi="Times New Roman"/>
          <w:noProof/>
          <w:color w:val="000000"/>
          <w:sz w:val="24"/>
        </w:rPr>
        <w:t xml:space="preserve">En 2021, l’Union européenne est globalement un importateur net de matières premières recyclables. Toutefois, l’indicateur relatif au commerce des déchets recyclables indique que l’Union est actuellement un exportateur net de </w:t>
      </w:r>
      <w:r>
        <w:rPr>
          <w:rFonts w:ascii="Times New Roman" w:hAnsi="Times New Roman"/>
          <w:b/>
          <w:noProof/>
          <w:color w:val="000000"/>
          <w:sz w:val="24"/>
        </w:rPr>
        <w:t>certains grands flux de déchets recyclables</w:t>
      </w:r>
      <w:r>
        <w:rPr>
          <w:rFonts w:ascii="Times New Roman" w:hAnsi="Times New Roman"/>
          <w:noProof/>
          <w:color w:val="000000"/>
          <w:sz w:val="24"/>
        </w:rPr>
        <w:t xml:space="preserve"> (notamment «fer et acier», «cuivre, aluminium et nickel» et «papier et carton») et un importateur net de déchets contenant des métaux précieux. Le </w:t>
      </w:r>
      <w:r>
        <w:rPr>
          <w:rFonts w:ascii="Times New Roman" w:hAnsi="Times New Roman"/>
          <w:b/>
          <w:noProof/>
          <w:color w:val="000000"/>
          <w:sz w:val="24"/>
        </w:rPr>
        <w:t>commerce au sein de l’Union</w:t>
      </w:r>
      <w:r>
        <w:rPr>
          <w:rFonts w:ascii="Times New Roman" w:hAnsi="Times New Roman"/>
          <w:noProof/>
          <w:color w:val="000000"/>
          <w:sz w:val="24"/>
        </w:rPr>
        <w:t xml:space="preserve"> de déchets de plastiques, de papier et carton, de cuivre, d’aluminium, de nickel et de métaux précieux </w:t>
      </w:r>
      <w:r>
        <w:rPr>
          <w:rFonts w:ascii="Times New Roman" w:hAnsi="Times New Roman"/>
          <w:b/>
          <w:noProof/>
          <w:color w:val="000000"/>
          <w:sz w:val="24"/>
        </w:rPr>
        <w:t>a fortement augmenté</w:t>
      </w:r>
      <w:r>
        <w:rPr>
          <w:rFonts w:ascii="Times New Roman" w:hAnsi="Times New Roman"/>
          <w:noProof/>
          <w:color w:val="000000"/>
          <w:sz w:val="24"/>
        </w:rPr>
        <w:t xml:space="preserve"> entre 2004 et 2021, ce qui a permis aux entreprises de tirer avantage du marché intérieur de l’Union pour les matières premières secondaires.</w:t>
      </w:r>
      <w:r>
        <w:rPr>
          <w:rFonts w:ascii="Verdana" w:hAnsi="Verdana"/>
          <w:noProof/>
          <w:color w:val="393939"/>
          <w:sz w:val="21"/>
          <w:shd w:val="clear" w:color="auto" w:fill="FFFFFF"/>
        </w:rPr>
        <w:t xml:space="preserve"> </w:t>
      </w:r>
    </w:p>
    <w:p w14:paraId="7C0ED1F0" w14:textId="77777777" w:rsidR="007527C5" w:rsidRPr="00072EC5" w:rsidRDefault="007527C5" w:rsidP="007527C5">
      <w:pPr>
        <w:spacing w:after="120" w:line="276" w:lineRule="auto"/>
        <w:contextualSpacing/>
        <w:jc w:val="both"/>
        <w:rPr>
          <w:rFonts w:ascii="Times New Roman" w:eastAsia="Calibri" w:hAnsi="Times New Roman" w:cs="Times New Roman"/>
          <w:b/>
          <w:i/>
          <w:noProof/>
          <w:sz w:val="24"/>
          <w:szCs w:val="24"/>
        </w:rPr>
      </w:pPr>
    </w:p>
    <w:p w14:paraId="5F98D421" w14:textId="77777777" w:rsidR="007527C5" w:rsidRPr="00B95B85" w:rsidRDefault="007527C5" w:rsidP="007527C5">
      <w:pPr>
        <w:spacing w:after="120" w:line="276" w:lineRule="auto"/>
        <w:jc w:val="both"/>
        <w:rPr>
          <w:rFonts w:ascii="Times New Roman" w:eastAsia="Calibri" w:hAnsi="Times New Roman" w:cs="Times New Roman"/>
          <w:b/>
          <w:i/>
          <w:noProof/>
          <w:sz w:val="24"/>
          <w:szCs w:val="24"/>
        </w:rPr>
      </w:pPr>
      <w:r>
        <w:rPr>
          <w:rFonts w:ascii="Times New Roman" w:hAnsi="Times New Roman"/>
          <w:b/>
          <w:i/>
          <w:noProof/>
          <w:sz w:val="24"/>
        </w:rPr>
        <w:t>Compétitivité et innovation</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266FB0DC" w14:textId="77777777" w:rsidTr="007527C5">
        <w:tc>
          <w:tcPr>
            <w:tcW w:w="9072" w:type="dxa"/>
            <w:shd w:val="clear" w:color="auto" w:fill="F2F2F2"/>
          </w:tcPr>
          <w:p w14:paraId="050EDE38" w14:textId="06135A5E" w:rsidR="007527C5" w:rsidRPr="00B95B85" w:rsidRDefault="007527C5" w:rsidP="00250DA3">
            <w:pPr>
              <w:spacing w:before="120" w:after="120"/>
              <w:jc w:val="both"/>
              <w:rPr>
                <w:rFonts w:ascii="Times New Roman" w:eastAsia="Calibri" w:hAnsi="Times New Roman" w:cs="Times New Roman"/>
                <w:noProof/>
                <w:sz w:val="24"/>
              </w:rPr>
            </w:pPr>
            <w:r>
              <w:rPr>
                <w:rFonts w:ascii="Times New Roman" w:hAnsi="Times New Roman"/>
                <w:noProof/>
                <w:sz w:val="24"/>
              </w:rPr>
              <w:t xml:space="preserve">Ces dernières années, les secteurs de l’économie circulaire ont connu une certaine croissance, mesurée par les investissements, la valeur ajoutée et le nombre d’emplois. Ces secteurs sont également devenus plus innovants. </w:t>
            </w:r>
          </w:p>
        </w:tc>
      </w:tr>
    </w:tbl>
    <w:p w14:paraId="25E0A956" w14:textId="77777777" w:rsidR="007527C5" w:rsidRPr="00B95B85" w:rsidRDefault="007527C5" w:rsidP="007527C5">
      <w:pPr>
        <w:spacing w:after="0" w:line="276" w:lineRule="auto"/>
        <w:jc w:val="both"/>
        <w:rPr>
          <w:rFonts w:ascii="Times New Roman" w:eastAsia="Calibri" w:hAnsi="Times New Roman" w:cs="Times New Roman"/>
          <w:noProof/>
          <w:color w:val="000000"/>
          <w:position w:val="-2"/>
          <w:sz w:val="24"/>
          <w:szCs w:val="24"/>
          <w:lang w:val="en-IE"/>
        </w:rPr>
      </w:pPr>
    </w:p>
    <w:p w14:paraId="36CD11AC" w14:textId="4301880D" w:rsidR="007527C5" w:rsidRPr="00997CA5" w:rsidRDefault="007527C5" w:rsidP="007527C5">
      <w:pPr>
        <w:spacing w:after="200" w:line="276" w:lineRule="auto"/>
        <w:jc w:val="both"/>
        <w:rPr>
          <w:rFonts w:ascii="Times New Roman" w:eastAsia="Calibri" w:hAnsi="Times New Roman" w:cs="Times New Roman"/>
          <w:noProof/>
          <w:color w:val="000000"/>
          <w:position w:val="-2"/>
          <w:sz w:val="24"/>
        </w:rPr>
      </w:pPr>
      <w:r>
        <w:rPr>
          <w:rFonts w:ascii="Times New Roman" w:hAnsi="Times New Roman"/>
          <w:noProof/>
          <w:color w:val="000000"/>
          <w:sz w:val="24"/>
        </w:rPr>
        <w:t xml:space="preserve">On estime qu’en 2021, les </w:t>
      </w:r>
      <w:r>
        <w:rPr>
          <w:rFonts w:ascii="Times New Roman" w:hAnsi="Times New Roman"/>
          <w:b/>
          <w:noProof/>
          <w:color w:val="000000"/>
          <w:sz w:val="24"/>
        </w:rPr>
        <w:t>investissements privés</w:t>
      </w:r>
      <w:r>
        <w:rPr>
          <w:rFonts w:ascii="Times New Roman" w:hAnsi="Times New Roman"/>
          <w:noProof/>
          <w:color w:val="000000"/>
          <w:sz w:val="24"/>
        </w:rPr>
        <w:t xml:space="preserve"> dans certains secteurs économiques pertinents pour l’économie circulaire, à savoir les activités de réemploi et de recyclage, ont avoisiné les </w:t>
      </w:r>
      <w:r>
        <w:rPr>
          <w:rFonts w:ascii="Times New Roman" w:hAnsi="Times New Roman"/>
          <w:b/>
          <w:noProof/>
          <w:color w:val="000000"/>
          <w:sz w:val="24"/>
        </w:rPr>
        <w:t>121,6 milliards d’EUR</w:t>
      </w:r>
      <w:r>
        <w:rPr>
          <w:rFonts w:ascii="Times New Roman" w:hAnsi="Times New Roman"/>
          <w:noProof/>
          <w:color w:val="000000"/>
          <w:sz w:val="24"/>
        </w:rPr>
        <w:t xml:space="preserve"> dans l’Union (soit 0,8 % du PIB de l’UE). La même année, on a recensé </w:t>
      </w:r>
      <w:r>
        <w:rPr>
          <w:rFonts w:ascii="Times New Roman" w:hAnsi="Times New Roman"/>
          <w:b/>
          <w:noProof/>
          <w:color w:val="000000"/>
          <w:sz w:val="24"/>
        </w:rPr>
        <w:t>4,3 millions d’emplois</w:t>
      </w:r>
      <w:r>
        <w:rPr>
          <w:rFonts w:ascii="Times New Roman" w:hAnsi="Times New Roman"/>
          <w:noProof/>
          <w:color w:val="000000"/>
          <w:sz w:val="24"/>
        </w:rPr>
        <w:t xml:space="preserve"> dans ces secteurs, soit une </w:t>
      </w:r>
      <w:r>
        <w:rPr>
          <w:rFonts w:ascii="Times New Roman" w:hAnsi="Times New Roman"/>
          <w:b/>
          <w:noProof/>
          <w:color w:val="000000"/>
          <w:sz w:val="24"/>
        </w:rPr>
        <w:t>augmentation de 11 %</w:t>
      </w:r>
      <w:r>
        <w:rPr>
          <w:rFonts w:ascii="Times New Roman" w:hAnsi="Times New Roman"/>
          <w:noProof/>
          <w:color w:val="000000"/>
          <w:sz w:val="24"/>
        </w:rPr>
        <w:t xml:space="preserve"> par rapport à 2015. Les secteurs de l’économie circulaire ont créé une </w:t>
      </w:r>
      <w:r>
        <w:rPr>
          <w:rFonts w:ascii="Times New Roman" w:hAnsi="Times New Roman"/>
          <w:b/>
          <w:noProof/>
          <w:color w:val="000000"/>
          <w:sz w:val="24"/>
        </w:rPr>
        <w:t>valeur ajoutée</w:t>
      </w:r>
      <w:r>
        <w:rPr>
          <w:rFonts w:ascii="Times New Roman" w:hAnsi="Times New Roman"/>
          <w:noProof/>
          <w:color w:val="000000"/>
          <w:sz w:val="24"/>
        </w:rPr>
        <w:t xml:space="preserve"> évaluée à environ 299 milliards d’EUR en 2021, ce qui représente une </w:t>
      </w:r>
      <w:r>
        <w:rPr>
          <w:rFonts w:ascii="Times New Roman" w:hAnsi="Times New Roman"/>
          <w:b/>
          <w:noProof/>
          <w:color w:val="000000"/>
          <w:sz w:val="24"/>
        </w:rPr>
        <w:t>augmentation de 27 %</w:t>
      </w:r>
      <w:r>
        <w:rPr>
          <w:rFonts w:ascii="Times New Roman" w:hAnsi="Times New Roman"/>
          <w:noProof/>
          <w:color w:val="000000"/>
          <w:sz w:val="24"/>
        </w:rPr>
        <w:t xml:space="preserve"> par rapport à 2015. </w:t>
      </w:r>
    </w:p>
    <w:p w14:paraId="4F7C3A4E" w14:textId="40FF20ED" w:rsidR="007527C5" w:rsidRPr="00997CA5" w:rsidRDefault="007527C5" w:rsidP="007527C5">
      <w:pPr>
        <w:spacing w:after="200" w:line="276" w:lineRule="auto"/>
        <w:jc w:val="both"/>
        <w:rPr>
          <w:rFonts w:ascii="Times New Roman" w:eastAsia="Calibri" w:hAnsi="Times New Roman" w:cs="Times New Roman"/>
          <w:noProof/>
          <w:color w:val="000000"/>
          <w:position w:val="-2"/>
          <w:sz w:val="24"/>
          <w:szCs w:val="24"/>
        </w:rPr>
      </w:pPr>
      <w:r>
        <w:rPr>
          <w:rFonts w:ascii="Times New Roman" w:hAnsi="Times New Roman"/>
          <w:noProof/>
          <w:color w:val="000000"/>
          <w:sz w:val="24"/>
        </w:rPr>
        <w:t xml:space="preserve">Le nombre de </w:t>
      </w:r>
      <w:r>
        <w:rPr>
          <w:rFonts w:ascii="Times New Roman" w:hAnsi="Times New Roman"/>
          <w:b/>
          <w:noProof/>
          <w:color w:val="000000"/>
          <w:sz w:val="24"/>
        </w:rPr>
        <w:t>brevets</w:t>
      </w:r>
      <w:r>
        <w:rPr>
          <w:rFonts w:ascii="Times New Roman" w:hAnsi="Times New Roman"/>
          <w:noProof/>
          <w:color w:val="000000"/>
          <w:sz w:val="24"/>
        </w:rPr>
        <w:t xml:space="preserve"> pour le recyclage et les matières premières secondaires enregistrés dans l’Union </w:t>
      </w:r>
      <w:r>
        <w:rPr>
          <w:rFonts w:ascii="Times New Roman" w:hAnsi="Times New Roman"/>
          <w:b/>
          <w:noProof/>
          <w:color w:val="000000"/>
          <w:sz w:val="24"/>
        </w:rPr>
        <w:t>a augmenté de 14 %</w:t>
      </w:r>
      <w:r>
        <w:rPr>
          <w:rFonts w:ascii="Times New Roman" w:hAnsi="Times New Roman"/>
          <w:noProof/>
          <w:color w:val="000000"/>
          <w:sz w:val="24"/>
        </w:rPr>
        <w:t xml:space="preserve"> entre 2000 et 2019.</w:t>
      </w:r>
    </w:p>
    <w:p w14:paraId="6BD5B1C1" w14:textId="77777777" w:rsidR="007527C5" w:rsidRPr="00997CA5" w:rsidRDefault="007527C5" w:rsidP="007527C5">
      <w:pPr>
        <w:spacing w:after="200" w:line="276" w:lineRule="auto"/>
        <w:jc w:val="both"/>
        <w:rPr>
          <w:rFonts w:ascii="Times New Roman" w:eastAsia="Calibri" w:hAnsi="Times New Roman" w:cs="Times New Roman"/>
          <w:b/>
          <w:i/>
          <w:noProof/>
          <w:color w:val="000000"/>
          <w:position w:val="-2"/>
          <w:sz w:val="24"/>
          <w:szCs w:val="24"/>
        </w:rPr>
      </w:pPr>
      <w:r>
        <w:rPr>
          <w:rFonts w:ascii="Times New Roman" w:hAnsi="Times New Roman"/>
          <w:b/>
          <w:i/>
          <w:noProof/>
          <w:color w:val="000000"/>
          <w:sz w:val="24"/>
        </w:rPr>
        <w:t>Durabilité et résilience à l’échelle mondiale</w:t>
      </w:r>
    </w:p>
    <w:tbl>
      <w:tblPr>
        <w:tblStyle w:val="TableGrid1"/>
        <w:tblW w:w="0" w:type="auto"/>
        <w:tblInd w:w="108" w:type="dxa"/>
        <w:shd w:val="clear" w:color="auto" w:fill="F2F2F2"/>
        <w:tblLook w:val="04A0" w:firstRow="1" w:lastRow="0" w:firstColumn="1" w:lastColumn="0" w:noHBand="0" w:noVBand="1"/>
      </w:tblPr>
      <w:tblGrid>
        <w:gridCol w:w="9072"/>
      </w:tblGrid>
      <w:tr w:rsidR="007527C5" w:rsidRPr="00FD54E7" w14:paraId="2AA385DE" w14:textId="77777777" w:rsidTr="007527C5">
        <w:trPr>
          <w:trHeight w:val="1169"/>
        </w:trPr>
        <w:tc>
          <w:tcPr>
            <w:tcW w:w="9072" w:type="dxa"/>
            <w:shd w:val="clear" w:color="auto" w:fill="F2F2F2"/>
          </w:tcPr>
          <w:p w14:paraId="001116C7" w14:textId="33F01B98" w:rsidR="007527C5" w:rsidRPr="00997CA5" w:rsidRDefault="007527C5" w:rsidP="00250DA3">
            <w:pPr>
              <w:spacing w:after="200" w:line="276" w:lineRule="auto"/>
              <w:jc w:val="both"/>
              <w:rPr>
                <w:rFonts w:ascii="Times New Roman" w:eastAsia="Calibri" w:hAnsi="Times New Roman" w:cs="Times New Roman"/>
                <w:noProof/>
                <w:color w:val="000000"/>
                <w:position w:val="-2"/>
                <w:sz w:val="24"/>
                <w:szCs w:val="24"/>
              </w:rPr>
            </w:pPr>
            <w:r>
              <w:rPr>
                <w:rFonts w:ascii="Times New Roman" w:hAnsi="Times New Roman"/>
                <w:noProof/>
                <w:color w:val="000000"/>
                <w:sz w:val="24"/>
              </w:rPr>
              <w:t xml:space="preserve">La consommation dans l’Union européenne a des répercussions qui dépassent certaines limites de la planète, et l’économie circulaire contribue à la neutralité climatique. L’Union est dépendante des importations de matières, en particulier de certaines matières premières critiques nécessaires aux transitions écologique et numérique. </w:t>
            </w:r>
          </w:p>
        </w:tc>
      </w:tr>
    </w:tbl>
    <w:p w14:paraId="5E536A9E" w14:textId="394A8DA5" w:rsidR="007527C5" w:rsidRPr="00997CA5" w:rsidRDefault="00EF6BCC" w:rsidP="007527C5">
      <w:pPr>
        <w:spacing w:before="120" w:after="200" w:line="276" w:lineRule="auto"/>
        <w:jc w:val="both"/>
        <w:rPr>
          <w:rFonts w:ascii="Times New Roman" w:eastAsia="Calibri" w:hAnsi="Times New Roman" w:cs="Times New Roman"/>
          <w:noProof/>
          <w:color w:val="000000"/>
          <w:position w:val="-2"/>
          <w:sz w:val="24"/>
          <w:szCs w:val="24"/>
        </w:rPr>
      </w:pPr>
      <w:r>
        <w:rPr>
          <w:rFonts w:ascii="Times New Roman" w:hAnsi="Times New Roman"/>
          <w:noProof/>
          <w:color w:val="000000"/>
          <w:sz w:val="24"/>
        </w:rPr>
        <w:t>L’</w:t>
      </w:r>
      <w:r>
        <w:rPr>
          <w:rFonts w:ascii="Times New Roman" w:hAnsi="Times New Roman"/>
          <w:b/>
          <w:noProof/>
          <w:color w:val="000000"/>
          <w:sz w:val="24"/>
        </w:rPr>
        <w:t>empreinte de consommation</w:t>
      </w:r>
      <w:r>
        <w:rPr>
          <w:rFonts w:ascii="Times New Roman" w:hAnsi="Times New Roman"/>
          <w:noProof/>
          <w:color w:val="000000"/>
          <w:sz w:val="24"/>
        </w:rPr>
        <w:t xml:space="preserve"> de l’Union a augmenté de 4 % entre 2010 et 2021. La Commission estime aujourd’hui que l’Union a clairement dépassé les limites de la planète pour cinq catégories d’impact (particules, écotoxicité aquatique, changement climatique, utilisation des ressources fossiles et utilisation des minéraux et métaux). La consommation de denrées alimentaires (en particulier de produits d’origine animale) apparaît comme l’un des principaux facteurs des incidences imputables au citoyen moyen de l’Union</w:t>
      </w:r>
      <w:r>
        <w:rPr>
          <w:rFonts w:ascii="Times New Roman" w:eastAsia="Calibri" w:hAnsi="Times New Roman" w:cs="Times New Roman"/>
          <w:noProof/>
          <w:color w:val="000000"/>
          <w:position w:val="-2"/>
          <w:sz w:val="24"/>
          <w:szCs w:val="24"/>
          <w:vertAlign w:val="superscript"/>
          <w:lang w:val="en-IE"/>
        </w:rPr>
        <w:footnoteReference w:id="33"/>
      </w:r>
      <w:r>
        <w:rPr>
          <w:rFonts w:ascii="Times New Roman" w:hAnsi="Times New Roman"/>
          <w:noProof/>
          <w:color w:val="000000"/>
          <w:sz w:val="24"/>
        </w:rPr>
        <w:t>.</w:t>
      </w:r>
    </w:p>
    <w:p w14:paraId="412E1620" w14:textId="46E00BC9" w:rsidR="007527C5" w:rsidRPr="00997CA5" w:rsidRDefault="007527C5" w:rsidP="007527C5">
      <w:pPr>
        <w:spacing w:after="200" w:line="276" w:lineRule="auto"/>
        <w:jc w:val="both"/>
        <w:rPr>
          <w:rFonts w:ascii="Times New Roman" w:eastAsia="Calibri" w:hAnsi="Times New Roman" w:cs="Times New Roman"/>
          <w:noProof/>
          <w:color w:val="000000"/>
          <w:position w:val="-2"/>
          <w:sz w:val="24"/>
        </w:rPr>
      </w:pPr>
      <w:r>
        <w:rPr>
          <w:rFonts w:ascii="Times New Roman" w:hAnsi="Times New Roman"/>
          <w:noProof/>
          <w:color w:val="000000"/>
          <w:sz w:val="24"/>
        </w:rPr>
        <w:t xml:space="preserve">Les </w:t>
      </w:r>
      <w:r>
        <w:rPr>
          <w:rFonts w:ascii="Times New Roman" w:hAnsi="Times New Roman"/>
          <w:b/>
          <w:noProof/>
          <w:color w:val="000000"/>
          <w:sz w:val="24"/>
        </w:rPr>
        <w:t>émissions de GES dans l’Union européenne provenant des activités de production</w:t>
      </w:r>
      <w:r>
        <w:rPr>
          <w:rFonts w:ascii="Times New Roman" w:hAnsi="Times New Roman"/>
          <w:noProof/>
          <w:color w:val="000000"/>
          <w:sz w:val="24"/>
        </w:rPr>
        <w:t xml:space="preserve"> ont diminué d’</w:t>
      </w:r>
      <w:r>
        <w:rPr>
          <w:rFonts w:ascii="Times New Roman" w:hAnsi="Times New Roman"/>
          <w:b/>
          <w:noProof/>
          <w:color w:val="000000"/>
          <w:sz w:val="24"/>
        </w:rPr>
        <w:t>environ 25 % entre 2008 et 2021</w:t>
      </w:r>
      <w:r>
        <w:rPr>
          <w:rFonts w:ascii="Times New Roman" w:hAnsi="Times New Roman"/>
          <w:noProof/>
          <w:color w:val="000000"/>
          <w:sz w:val="24"/>
        </w:rPr>
        <w:t>.</w:t>
      </w:r>
    </w:p>
    <w:p w14:paraId="2013A497" w14:textId="3D132925" w:rsidR="007527C5" w:rsidRPr="00997CA5" w:rsidRDefault="007527C5" w:rsidP="007527C5">
      <w:pPr>
        <w:spacing w:after="200" w:line="276" w:lineRule="auto"/>
        <w:jc w:val="both"/>
        <w:rPr>
          <w:rFonts w:ascii="Times New Roman" w:eastAsia="Calibri" w:hAnsi="Times New Roman" w:cs="Times New Roman"/>
          <w:noProof/>
          <w:color w:val="000000"/>
          <w:position w:val="-2"/>
          <w:sz w:val="24"/>
          <w:szCs w:val="24"/>
        </w:rPr>
      </w:pPr>
      <w:r>
        <w:rPr>
          <w:rFonts w:ascii="Times New Roman" w:hAnsi="Times New Roman"/>
          <w:noProof/>
          <w:color w:val="000000"/>
          <w:sz w:val="24"/>
        </w:rPr>
        <w:t xml:space="preserve">En 2021, la </w:t>
      </w:r>
      <w:r>
        <w:rPr>
          <w:rFonts w:ascii="Times New Roman" w:hAnsi="Times New Roman"/>
          <w:b/>
          <w:noProof/>
          <w:color w:val="000000"/>
          <w:sz w:val="24"/>
        </w:rPr>
        <w:t>dépendance de l’Union à l’égard des importations de matières s’élevait à 22,9 %</w:t>
      </w:r>
      <w:r>
        <w:rPr>
          <w:rFonts w:ascii="Times New Roman" w:hAnsi="Times New Roman"/>
          <w:noProof/>
          <w:color w:val="000000"/>
          <w:sz w:val="24"/>
        </w:rPr>
        <w:t xml:space="preserve">, soit une légère augmentation par rapport à 2000. L’économie de l’Union est presque autosuffisante en ce qui concerne l’approvisionnement en minéraux non métalliques (tels que ceux destinés à la construction), tandis que pour les minerais métalliques et les matières énergétiques fossiles, l’Union est fortement dépendante des importations en provenance du reste du monde (à hauteur de 52 % et de plus de 71 %, respectivement). </w:t>
      </w:r>
    </w:p>
    <w:p w14:paraId="43D7F4AB" w14:textId="4F9783E9" w:rsidR="007527C5" w:rsidRPr="009375D3" w:rsidRDefault="007527C5" w:rsidP="007527C5">
      <w:pPr>
        <w:spacing w:after="200" w:line="276" w:lineRule="auto"/>
        <w:jc w:val="both"/>
        <w:rPr>
          <w:rFonts w:ascii="Times New Roman" w:eastAsia="Calibri" w:hAnsi="Times New Roman" w:cs="Times New Roman"/>
          <w:noProof/>
          <w:color w:val="000000"/>
          <w:position w:val="-2"/>
          <w:sz w:val="24"/>
        </w:rPr>
      </w:pPr>
      <w:r>
        <w:rPr>
          <w:rFonts w:ascii="Times New Roman" w:hAnsi="Times New Roman"/>
          <w:noProof/>
          <w:color w:val="000000"/>
          <w:sz w:val="24"/>
        </w:rPr>
        <w:t>L’indicateur relatif à l’</w:t>
      </w:r>
      <w:r>
        <w:rPr>
          <w:rFonts w:ascii="Times New Roman" w:hAnsi="Times New Roman"/>
          <w:b/>
          <w:noProof/>
          <w:color w:val="000000"/>
          <w:sz w:val="24"/>
        </w:rPr>
        <w:t>autosuffisance</w:t>
      </w:r>
      <w:r>
        <w:rPr>
          <w:rFonts w:ascii="Times New Roman" w:hAnsi="Times New Roman"/>
          <w:noProof/>
          <w:color w:val="000000"/>
          <w:sz w:val="24"/>
        </w:rPr>
        <w:t xml:space="preserve"> pour l’approvisionnement en matières premières montre que, en ce qui concerne les </w:t>
      </w:r>
      <w:r>
        <w:rPr>
          <w:rFonts w:ascii="Times New Roman" w:hAnsi="Times New Roman"/>
          <w:b/>
          <w:noProof/>
          <w:color w:val="000000"/>
          <w:sz w:val="24"/>
        </w:rPr>
        <w:t>matières premières critiques</w:t>
      </w:r>
      <w:r>
        <w:rPr>
          <w:rFonts w:ascii="Times New Roman" w:hAnsi="Times New Roman"/>
          <w:noProof/>
          <w:color w:val="000000"/>
          <w:sz w:val="24"/>
        </w:rPr>
        <w:t xml:space="preserve">, l’Union dépend dans une large mesure des importations. Par exemple, pour les terres rares raffinées et le magnésium raffiné, l’Union importe la totalité de sa consommation de Chine. Ce constat met en évidence la nécessité de garantir un accès sûr à ces matières et d’en diversifier l’approvisionnement. Un grand nombre de ces matières sont nécessaires à l’objectif que s’est fixé l’Union en faveur d’une économie durable, à faible intensité de carbone, efficace dans l’utilisation des ressources et compétitive, par exemple le cobalt pour les batteries utilisées dans les véhicules électriques et le silicium pour les panneaux solaires. </w:t>
      </w:r>
    </w:p>
    <w:p w14:paraId="4ED217F7" w14:textId="77777777" w:rsidR="007527C5" w:rsidRPr="009375D3" w:rsidRDefault="007527C5" w:rsidP="007527C5">
      <w:pPr>
        <w:pStyle w:val="ListParagraph"/>
        <w:keepNext/>
        <w:numPr>
          <w:ilvl w:val="0"/>
          <w:numId w:val="1"/>
        </w:numPr>
        <w:spacing w:before="240" w:after="120" w:line="276" w:lineRule="auto"/>
        <w:jc w:val="both"/>
        <w:outlineLvl w:val="0"/>
        <w:rPr>
          <w:rFonts w:ascii="Times New Roman" w:eastAsia="Calibri" w:hAnsi="Times New Roman" w:cs="Times New Roman"/>
          <w:b/>
          <w:noProof/>
          <w:sz w:val="24"/>
          <w:szCs w:val="24"/>
        </w:rPr>
      </w:pPr>
      <w:r>
        <w:rPr>
          <w:rFonts w:ascii="Times New Roman" w:hAnsi="Times New Roman"/>
          <w:b/>
          <w:noProof/>
          <w:sz w:val="24"/>
        </w:rPr>
        <w:t>Conclusion</w:t>
      </w:r>
    </w:p>
    <w:p w14:paraId="2E21E33E" w14:textId="77777777" w:rsidR="007A01A0" w:rsidRDefault="00903031" w:rsidP="006C677A">
      <w:pPr>
        <w:spacing w:after="200" w:line="276" w:lineRule="auto"/>
        <w:jc w:val="both"/>
        <w:rPr>
          <w:rFonts w:ascii="Times New Roman" w:eastAsia="Calibri" w:hAnsi="Times New Roman" w:cs="Times New Roman"/>
          <w:noProof/>
          <w:sz w:val="24"/>
        </w:rPr>
      </w:pPr>
      <w:r>
        <w:rPr>
          <w:rFonts w:ascii="Times New Roman" w:hAnsi="Times New Roman"/>
          <w:noProof/>
          <w:sz w:val="24"/>
        </w:rPr>
        <w:t>Le plan d’action pour une économie circulaire – Pour une Europe plus propre et plus compétitive souligne que l’Union doit accélérer la transition vers un modèle de croissance régénérative, progresser sur la voie d’une consommation maîtrisée restant dans les limites des ressources de la planète, s’efforcer de réduire son empreinte de consommation, doubler son taux d’utilisation de matières contribuant à l’économie circulaire, réduire sensiblement la production totale de déchets et diviser par deux la quantité de déchets municipaux (non recyclés) résiduels au cours de la prochaine décennie.</w:t>
      </w:r>
    </w:p>
    <w:p w14:paraId="6215D94C" w14:textId="7C7EC026" w:rsidR="00B95398" w:rsidRPr="008977BB" w:rsidRDefault="001D12DC" w:rsidP="006C677A">
      <w:pPr>
        <w:spacing w:after="200" w:line="276" w:lineRule="auto"/>
        <w:jc w:val="both"/>
        <w:rPr>
          <w:rFonts w:ascii="Times New Roman" w:eastAsia="Calibri" w:hAnsi="Times New Roman" w:cs="Times New Roman"/>
          <w:noProof/>
          <w:sz w:val="24"/>
        </w:rPr>
      </w:pPr>
      <w:r>
        <w:rPr>
          <w:rFonts w:ascii="Times New Roman" w:hAnsi="Times New Roman"/>
          <w:noProof/>
          <w:sz w:val="24"/>
        </w:rPr>
        <w:t>L’adoption de la révision du cadre de suivi pour l’économie circulaire de l’Union est pertinente étant donné que, dans le cadre du pacte vert pour l’Europe, la Commission a annoncé un certain nombre d’initiatives législatives visant à accélérer la transition vers l’économie circulaire, telles que les règlements relatifs aux batteries</w:t>
      </w:r>
      <w:r>
        <w:rPr>
          <w:rFonts w:ascii="Times New Roman" w:hAnsi="Times New Roman" w:cs="Times New Roman"/>
          <w:noProof/>
          <w:sz w:val="24"/>
          <w:szCs w:val="24"/>
          <w:vertAlign w:val="superscript"/>
          <w:lang w:val="en-IE"/>
        </w:rPr>
        <w:footnoteReference w:id="34"/>
      </w:r>
      <w:r>
        <w:rPr>
          <w:rFonts w:ascii="Times New Roman" w:hAnsi="Times New Roman"/>
          <w:noProof/>
          <w:sz w:val="24"/>
        </w:rPr>
        <w:t>, aux exigences en matière d’écoconception applicables aux produits durables</w:t>
      </w:r>
      <w:r>
        <w:rPr>
          <w:rFonts w:ascii="Times New Roman" w:hAnsi="Times New Roman" w:cs="Times New Roman"/>
          <w:noProof/>
          <w:sz w:val="24"/>
          <w:szCs w:val="24"/>
          <w:vertAlign w:val="superscript"/>
          <w:lang w:val="en-IE"/>
        </w:rPr>
        <w:footnoteReference w:id="35"/>
      </w:r>
      <w:r>
        <w:rPr>
          <w:rFonts w:ascii="Times New Roman" w:hAnsi="Times New Roman"/>
          <w:noProof/>
          <w:sz w:val="24"/>
        </w:rPr>
        <w:t>, aux emballages et aux déchets d’emballages</w:t>
      </w:r>
      <w:r>
        <w:rPr>
          <w:rStyle w:val="FootnoteReference"/>
          <w:rFonts w:ascii="Times New Roman" w:eastAsia="Calibri" w:hAnsi="Times New Roman" w:cs="Times New Roman"/>
          <w:noProof/>
          <w:sz w:val="24"/>
          <w:szCs w:val="24"/>
          <w:lang w:val="en-IE"/>
        </w:rPr>
        <w:footnoteReference w:id="36"/>
      </w:r>
      <w:r>
        <w:rPr>
          <w:rFonts w:ascii="Times New Roman" w:hAnsi="Times New Roman"/>
          <w:noProof/>
          <w:sz w:val="24"/>
        </w:rPr>
        <w:t>, aux transferts de déchets</w:t>
      </w:r>
      <w:r>
        <w:rPr>
          <w:rStyle w:val="FootnoteReference"/>
          <w:rFonts w:ascii="Times New Roman" w:eastAsia="Calibri" w:hAnsi="Times New Roman" w:cs="Times New Roman"/>
          <w:noProof/>
          <w:sz w:val="24"/>
          <w:szCs w:val="24"/>
          <w:lang w:val="en-IE"/>
        </w:rPr>
        <w:footnoteReference w:id="37"/>
      </w:r>
      <w:r>
        <w:rPr>
          <w:rFonts w:ascii="Times New Roman" w:hAnsi="Times New Roman"/>
          <w:noProof/>
          <w:sz w:val="24"/>
        </w:rPr>
        <w:t xml:space="preserve"> et aux matières premières critiques</w:t>
      </w:r>
      <w:r>
        <w:rPr>
          <w:rStyle w:val="FootnoteReference"/>
          <w:rFonts w:ascii="Times New Roman" w:eastAsia="Calibri" w:hAnsi="Times New Roman" w:cs="Times New Roman"/>
          <w:noProof/>
          <w:sz w:val="24"/>
          <w:szCs w:val="24"/>
          <w:lang w:val="en-IE"/>
        </w:rPr>
        <w:footnoteReference w:id="38"/>
      </w:r>
      <w:r>
        <w:rPr>
          <w:rFonts w:ascii="Times New Roman" w:hAnsi="Times New Roman"/>
          <w:noProof/>
          <w:sz w:val="24"/>
        </w:rPr>
        <w:t>. Les États membres mettent également en œuvre les récentes modifications apportées au droit de l’Union, telles que la révision des règles de l’UE en matière de déchets adoptée en 2018</w:t>
      </w:r>
      <w:r>
        <w:rPr>
          <w:rStyle w:val="FootnoteReference"/>
          <w:rFonts w:ascii="Times New Roman" w:hAnsi="Times New Roman" w:cs="Times New Roman"/>
          <w:noProof/>
          <w:sz w:val="24"/>
          <w:szCs w:val="24"/>
        </w:rPr>
        <w:footnoteReference w:id="39"/>
      </w:r>
      <w:r>
        <w:rPr>
          <w:rFonts w:ascii="Times New Roman" w:hAnsi="Times New Roman"/>
          <w:noProof/>
          <w:sz w:val="24"/>
        </w:rPr>
        <w:t>, et ont mis en place de nombreuses approches nationales et régionales visant à promouvoir l’économie circulaire. Plusieurs programmes de financement de l’Union sont disponibles pour soutenir la transition vers une économie circulaire, tels que NextGenerationEU et les réformes et investissements au titre de la facilité pour la reprise et la résilience; les fonds de la politique européenne de cohésion; le programme «Horizon Europe»; et le programme LIFE.</w:t>
      </w:r>
    </w:p>
    <w:p w14:paraId="52643312" w14:textId="09AA9C1C" w:rsidR="00BC4A06" w:rsidRPr="00197B97" w:rsidRDefault="00BC4A06" w:rsidP="00BC4A06">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La révision du cadre de suivi permet de suivre les progrès réalisés dans la transition vers une économie circulaire efficace dans l’utilisation des ressources, neutre pour le climat et résiliente dans le contexte du développement durable. Le cadre révisé constituera un outil essentiel pour évaluer les politiques mises en place et pour orienter les actions futures, notamment dans le cadre d’évaluations spécifiques, telles que les rapports d’alerte précoce visant à cibler les États membres qui risquent de ne pas atteindre les objectifs fixés par l’Union en matière de recyclage et de mise en décharge des déchets</w:t>
      </w:r>
      <w:r>
        <w:rPr>
          <w:rStyle w:val="FootnoteReference"/>
          <w:rFonts w:ascii="Times New Roman" w:eastAsia="Calibri" w:hAnsi="Times New Roman" w:cs="Times New Roman"/>
          <w:noProof/>
          <w:sz w:val="24"/>
          <w:szCs w:val="24"/>
          <w:lang w:val="en-IE"/>
        </w:rPr>
        <w:footnoteReference w:id="40"/>
      </w:r>
      <w:r>
        <w:rPr>
          <w:rFonts w:ascii="Times New Roman" w:hAnsi="Times New Roman"/>
          <w:noProof/>
          <w:sz w:val="24"/>
        </w:rPr>
        <w:t>. Il offre une base solide pour les discussions lors des conférences annuelles des parties prenantes de l’économie circulaire</w:t>
      </w:r>
      <w:r>
        <w:rPr>
          <w:rStyle w:val="FootnoteReference"/>
          <w:rFonts w:ascii="Times New Roman" w:eastAsia="Calibri" w:hAnsi="Times New Roman" w:cs="Times New Roman"/>
          <w:noProof/>
          <w:sz w:val="24"/>
          <w:szCs w:val="24"/>
          <w:lang w:val="en-IE"/>
        </w:rPr>
        <w:footnoteReference w:id="41"/>
      </w:r>
      <w:r>
        <w:rPr>
          <w:rFonts w:ascii="Times New Roman" w:hAnsi="Times New Roman"/>
          <w:noProof/>
          <w:sz w:val="24"/>
        </w:rPr>
        <w:t>, ainsi que pour mesurer les performances nationales, notamment dans le cadre de l’examen de la mise en œuvre de la politique environnementale</w:t>
      </w:r>
      <w:r>
        <w:rPr>
          <w:rStyle w:val="FootnoteReference"/>
          <w:rFonts w:ascii="Times New Roman" w:eastAsia="Calibri" w:hAnsi="Times New Roman" w:cs="Times New Roman"/>
          <w:noProof/>
          <w:sz w:val="24"/>
          <w:szCs w:val="24"/>
          <w:lang w:val="en-IE"/>
        </w:rPr>
        <w:footnoteReference w:id="42"/>
      </w:r>
      <w:r>
        <w:rPr>
          <w:rFonts w:ascii="Times New Roman" w:hAnsi="Times New Roman"/>
          <w:noProof/>
          <w:sz w:val="24"/>
        </w:rPr>
        <w:t>.</w:t>
      </w:r>
    </w:p>
    <w:p w14:paraId="3998F142" w14:textId="77777777" w:rsidR="007527C5" w:rsidRPr="00072EC5" w:rsidRDefault="007527C5" w:rsidP="007527C5">
      <w:pPr>
        <w:spacing w:after="200" w:line="276" w:lineRule="auto"/>
        <w:jc w:val="both"/>
        <w:rPr>
          <w:rFonts w:ascii="EC Square Sans Cond Pro" w:eastAsia="Calibri" w:hAnsi="EC Square Sans Cond Pro" w:cs="Arial"/>
          <w:noProof/>
          <w:sz w:val="20"/>
          <w:szCs w:val="20"/>
        </w:rPr>
      </w:pPr>
    </w:p>
    <w:p w14:paraId="3B6C50E3" w14:textId="77777777" w:rsidR="00772466" w:rsidRPr="00072EC5" w:rsidRDefault="00772466">
      <w:pPr>
        <w:rPr>
          <w:noProof/>
        </w:rPr>
      </w:pPr>
    </w:p>
    <w:sectPr w:rsidR="00772466" w:rsidRPr="00072EC5">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1E29D" w14:textId="77777777" w:rsidR="001B1013" w:rsidRDefault="001B1013" w:rsidP="00BF3E18">
      <w:pPr>
        <w:spacing w:after="0" w:line="240" w:lineRule="auto"/>
      </w:pPr>
      <w:r>
        <w:separator/>
      </w:r>
    </w:p>
  </w:endnote>
  <w:endnote w:type="continuationSeparator" w:id="0">
    <w:p w14:paraId="0EC3116E" w14:textId="77777777" w:rsidR="001B1013" w:rsidRDefault="001B1013" w:rsidP="00BF3E18">
      <w:pPr>
        <w:spacing w:after="0" w:line="240" w:lineRule="auto"/>
      </w:pPr>
      <w:r>
        <w:continuationSeparator/>
      </w:r>
    </w:p>
  </w:endnote>
  <w:endnote w:type="continuationNotice" w:id="1">
    <w:p w14:paraId="166683D5" w14:textId="77777777" w:rsidR="001B1013" w:rsidRDefault="001B10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EC Square Sans Cond Pro">
    <w:altName w:val="Bahnschrift Light"/>
    <w:charset w:val="00"/>
    <w:family w:val="swiss"/>
    <w:pitch w:val="variable"/>
    <w:sig w:usb0="A00002BF" w:usb1="500000D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A3D98" w14:textId="4F2C2538" w:rsidR="00072EC5" w:rsidRPr="002772E9" w:rsidRDefault="00072EC5" w:rsidP="0027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248A6" w14:textId="4A774141" w:rsidR="00072EC5" w:rsidRPr="002772E9" w:rsidRDefault="002772E9" w:rsidP="002772E9">
    <w:pPr>
      <w:pStyle w:val="FooterCoverPage"/>
      <w:rPr>
        <w:rFonts w:ascii="Arial" w:hAnsi="Arial" w:cs="Arial"/>
        <w:b/>
        <w:sz w:val="48"/>
      </w:rPr>
    </w:pPr>
    <w:r w:rsidRPr="002772E9">
      <w:rPr>
        <w:rFonts w:ascii="Arial" w:hAnsi="Arial" w:cs="Arial"/>
        <w:b/>
        <w:sz w:val="48"/>
      </w:rPr>
      <w:t>FR</w:t>
    </w:r>
    <w:r w:rsidRPr="002772E9">
      <w:rPr>
        <w:rFonts w:ascii="Arial" w:hAnsi="Arial" w:cs="Arial"/>
        <w:b/>
        <w:sz w:val="48"/>
      </w:rPr>
      <w:tab/>
    </w:r>
    <w:r w:rsidRPr="002772E9">
      <w:rPr>
        <w:rFonts w:ascii="Arial" w:hAnsi="Arial" w:cs="Arial"/>
        <w:b/>
        <w:sz w:val="48"/>
      </w:rPr>
      <w:tab/>
    </w:r>
    <w:r w:rsidRPr="002772E9">
      <w:tab/>
    </w:r>
    <w:r w:rsidRPr="002772E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09EB" w14:textId="77777777" w:rsidR="002772E9" w:rsidRPr="002772E9" w:rsidRDefault="002772E9" w:rsidP="002772E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E53D7" w14:textId="77777777" w:rsidR="00102F6C" w:rsidRDefault="00102F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097340"/>
      <w:docPartObj>
        <w:docPartGallery w:val="Page Numbers (Bottom of Page)"/>
        <w:docPartUnique/>
      </w:docPartObj>
    </w:sdtPr>
    <w:sdtEndPr/>
    <w:sdtContent>
      <w:p w14:paraId="07D35C00" w14:textId="04692280" w:rsidR="00102F6C" w:rsidRDefault="00102F6C">
        <w:pPr>
          <w:pStyle w:val="Footer"/>
          <w:jc w:val="right"/>
        </w:pPr>
        <w:r>
          <w:fldChar w:fldCharType="begin"/>
        </w:r>
        <w:r>
          <w:instrText xml:space="preserve"> PAGE   \* MERGEFORMAT </w:instrText>
        </w:r>
        <w:r>
          <w:fldChar w:fldCharType="separate"/>
        </w:r>
        <w:r w:rsidR="002772E9">
          <w:rPr>
            <w:noProof/>
          </w:rPr>
          <w:t>1</w:t>
        </w:r>
        <w:r>
          <w:fldChar w:fldCharType="end"/>
        </w:r>
      </w:p>
    </w:sdtContent>
  </w:sdt>
  <w:p w14:paraId="527D2E29" w14:textId="77777777" w:rsidR="00102F6C" w:rsidRDefault="00102F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9FB9E" w14:textId="77777777" w:rsidR="00102F6C" w:rsidRDefault="00102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B060B" w14:textId="77777777" w:rsidR="001B1013" w:rsidRDefault="001B1013" w:rsidP="00BF3E18">
      <w:pPr>
        <w:spacing w:after="0" w:line="240" w:lineRule="auto"/>
      </w:pPr>
      <w:r>
        <w:separator/>
      </w:r>
    </w:p>
  </w:footnote>
  <w:footnote w:type="continuationSeparator" w:id="0">
    <w:p w14:paraId="5B5DD664" w14:textId="77777777" w:rsidR="001B1013" w:rsidRDefault="001B1013" w:rsidP="00BF3E18">
      <w:pPr>
        <w:spacing w:after="0" w:line="240" w:lineRule="auto"/>
      </w:pPr>
      <w:r>
        <w:continuationSeparator/>
      </w:r>
    </w:p>
  </w:footnote>
  <w:footnote w:type="continuationNotice" w:id="1">
    <w:p w14:paraId="45F4EC65" w14:textId="77777777" w:rsidR="001B1013" w:rsidRDefault="001B1013">
      <w:pPr>
        <w:spacing w:after="0" w:line="240" w:lineRule="auto"/>
      </w:pPr>
    </w:p>
  </w:footnote>
  <w:footnote w:id="2">
    <w:p w14:paraId="640EE353" w14:textId="272BD5E4" w:rsidR="00102F6C" w:rsidRPr="00334D5F" w:rsidRDefault="00102F6C">
      <w:pPr>
        <w:pStyle w:val="FootnoteText"/>
      </w:pPr>
      <w:r>
        <w:rPr>
          <w:rStyle w:val="FootnoteReference"/>
        </w:rPr>
        <w:footnoteRef/>
      </w:r>
      <w:r>
        <w:t xml:space="preserve"> </w:t>
      </w:r>
      <w:hyperlink r:id="rId1" w:history="1">
        <w:r>
          <w:rPr>
            <w:rStyle w:val="Hyperlink"/>
          </w:rPr>
          <w:t>Global Material Resources Outlook to 2060</w:t>
        </w:r>
      </w:hyperlink>
      <w:r>
        <w:t xml:space="preserve"> (Perspectives mondiales des ressources matérielles à l’horizon 2060).</w:t>
      </w:r>
    </w:p>
  </w:footnote>
  <w:footnote w:id="3">
    <w:p w14:paraId="779D5C45" w14:textId="4EFB0696" w:rsidR="00102F6C" w:rsidRPr="001713B4" w:rsidRDefault="00102F6C" w:rsidP="00C95977">
      <w:pPr>
        <w:pStyle w:val="FootnoteText"/>
      </w:pPr>
      <w:r>
        <w:rPr>
          <w:rStyle w:val="FootnoteReference"/>
        </w:rPr>
        <w:footnoteRef/>
      </w:r>
      <w:r>
        <w:t xml:space="preserve"> </w:t>
      </w:r>
      <w:hyperlink r:id="rId2" w:history="1">
        <w:r>
          <w:rPr>
            <w:rStyle w:val="Hyperlink"/>
          </w:rPr>
          <w:t>Circularity Gap Report 2022</w:t>
        </w:r>
      </w:hyperlink>
      <w:r>
        <w:t xml:space="preserve"> (Rapport sur l’écart de circularité 2022).</w:t>
      </w:r>
    </w:p>
  </w:footnote>
  <w:footnote w:id="4">
    <w:p w14:paraId="1C64242E" w14:textId="30C801A8" w:rsidR="00102F6C" w:rsidRPr="001713B4" w:rsidRDefault="00102F6C" w:rsidP="007527C5">
      <w:pPr>
        <w:pStyle w:val="FootnoteText"/>
      </w:pPr>
      <w:r>
        <w:rPr>
          <w:rStyle w:val="FootnoteReference"/>
        </w:rPr>
        <w:footnoteRef/>
      </w:r>
      <w:r>
        <w:t xml:space="preserve"> </w:t>
      </w:r>
      <w:hyperlink r:id="rId3" w:history="1">
        <w:r>
          <w:rPr>
            <w:rStyle w:val="Hyperlink"/>
          </w:rPr>
          <w:t>Panel international des ressources, «Perspectives des ressources mondiales», 2019</w:t>
        </w:r>
      </w:hyperlink>
      <w:r>
        <w:t>.</w:t>
      </w:r>
    </w:p>
  </w:footnote>
  <w:footnote w:id="5">
    <w:p w14:paraId="4FA78872" w14:textId="77777777" w:rsidR="00102F6C" w:rsidRPr="00271DD4" w:rsidRDefault="00102F6C" w:rsidP="005D06AC">
      <w:pPr>
        <w:pStyle w:val="FootnoteText"/>
      </w:pPr>
      <w:r>
        <w:rPr>
          <w:rStyle w:val="FootnoteReference"/>
        </w:rPr>
        <w:footnoteRef/>
      </w:r>
      <w:r>
        <w:t xml:space="preserve"> La circularité mesure la part des matières secondaires dans l’utilisation globale de matières dans l’économie.</w:t>
      </w:r>
    </w:p>
  </w:footnote>
  <w:footnote w:id="6">
    <w:p w14:paraId="692A5A3F" w14:textId="77777777" w:rsidR="00102F6C" w:rsidRPr="00E57FD5" w:rsidRDefault="00102F6C" w:rsidP="005D06AC">
      <w:pPr>
        <w:pStyle w:val="FootnoteText"/>
      </w:pPr>
      <w:r>
        <w:rPr>
          <w:rStyle w:val="FootnoteReference"/>
        </w:rPr>
        <w:footnoteRef/>
      </w:r>
      <w:r>
        <w:t xml:space="preserve"> </w:t>
      </w:r>
      <w:hyperlink r:id="rId4" w:history="1">
        <w:r>
          <w:rPr>
            <w:rStyle w:val="Hyperlink"/>
          </w:rPr>
          <w:t>Circularity Gap Report 2023</w:t>
        </w:r>
      </w:hyperlink>
      <w:r>
        <w:t xml:space="preserve"> (Rapport sur l’écart de circularité 2023).</w:t>
      </w:r>
    </w:p>
  </w:footnote>
  <w:footnote w:id="7">
    <w:p w14:paraId="7129E5C2" w14:textId="4296250E" w:rsidR="00102F6C" w:rsidRPr="005A00B6" w:rsidRDefault="00102F6C" w:rsidP="007527C5">
      <w:pPr>
        <w:pStyle w:val="FootnoteText"/>
      </w:pPr>
      <w:r>
        <w:rPr>
          <w:rStyle w:val="FootnoteReference"/>
        </w:rPr>
        <w:footnoteRef/>
      </w:r>
      <w:r>
        <w:t xml:space="preserve"> Eurostat, </w:t>
      </w:r>
      <w:hyperlink r:id="rId5" w:history="1">
        <w:r>
          <w:rPr>
            <w:rStyle w:val="Hyperlink"/>
          </w:rPr>
          <w:t>Comptes des flux de matières</w:t>
        </w:r>
      </w:hyperlink>
      <w:r>
        <w:t xml:space="preserve">, </w:t>
      </w:r>
      <w:hyperlink r:id="rId6" w:anchor="Physical_trade_by_stage_of_manufacturing" w:history="1">
        <w:r>
          <w:rPr>
            <w:rStyle w:val="Hyperlink"/>
          </w:rPr>
          <w:t>rubrique «Statistics Explained»</w:t>
        </w:r>
      </w:hyperlink>
      <w:r>
        <w:t>.</w:t>
      </w:r>
    </w:p>
  </w:footnote>
  <w:footnote w:id="8">
    <w:p w14:paraId="6F604121" w14:textId="4983277B" w:rsidR="00102F6C" w:rsidRPr="00072EC5" w:rsidRDefault="00102F6C" w:rsidP="007527C5">
      <w:pPr>
        <w:pStyle w:val="FootnoteText"/>
        <w:rPr>
          <w:lang w:val="en-IE"/>
        </w:rPr>
      </w:pPr>
      <w:r>
        <w:rPr>
          <w:rStyle w:val="FootnoteReference"/>
        </w:rPr>
        <w:footnoteRef/>
      </w:r>
      <w:r w:rsidRPr="00072EC5">
        <w:rPr>
          <w:lang w:val="en-IE"/>
        </w:rPr>
        <w:t xml:space="preserve"> Eurostat, </w:t>
      </w:r>
      <w:hyperlink r:id="rId7" w:history="1">
        <w:r w:rsidRPr="00072EC5">
          <w:rPr>
            <w:rStyle w:val="Hyperlink"/>
            <w:lang w:val="en-IE"/>
          </w:rPr>
          <w:t>rubrique «Statistics Explained»</w:t>
        </w:r>
      </w:hyperlink>
      <w:r w:rsidRPr="00072EC5">
        <w:rPr>
          <w:lang w:val="en-IE"/>
        </w:rPr>
        <w:t xml:space="preserve">. </w:t>
      </w:r>
    </w:p>
  </w:footnote>
  <w:footnote w:id="9">
    <w:p w14:paraId="11C3DACB" w14:textId="3E7FACF2" w:rsidR="002A2C92" w:rsidRPr="00072EC5" w:rsidRDefault="002A2C92">
      <w:pPr>
        <w:pStyle w:val="FootnoteText"/>
        <w:rPr>
          <w:rFonts w:cs="Times New Roman"/>
          <w:lang w:val="en-IE"/>
        </w:rPr>
      </w:pPr>
      <w:r>
        <w:rPr>
          <w:rStyle w:val="FootnoteReference"/>
        </w:rPr>
        <w:footnoteRef/>
      </w:r>
      <w:r w:rsidRPr="00072EC5">
        <w:rPr>
          <w:lang w:val="en-IE"/>
        </w:rPr>
        <w:t xml:space="preserve"> </w:t>
      </w:r>
      <w:hyperlink r:id="rId8" w:history="1">
        <w:r w:rsidRPr="00072EC5">
          <w:rPr>
            <w:rStyle w:val="Hyperlink"/>
            <w:lang w:val="en-IE"/>
          </w:rPr>
          <w:t>COM(2023) 165 final</w:t>
        </w:r>
      </w:hyperlink>
      <w:r w:rsidRPr="00072EC5">
        <w:rPr>
          <w:lang w:val="en-IE"/>
        </w:rPr>
        <w:t>.</w:t>
      </w:r>
    </w:p>
  </w:footnote>
  <w:footnote w:id="10">
    <w:p w14:paraId="19B24BBE" w14:textId="668A850A" w:rsidR="00C00258" w:rsidRPr="00A171E8" w:rsidRDefault="00C00258">
      <w:pPr>
        <w:pStyle w:val="FootnoteText"/>
        <w:rPr>
          <w:rFonts w:cs="Times New Roman"/>
        </w:rPr>
      </w:pPr>
      <w:r>
        <w:rPr>
          <w:rStyle w:val="FootnoteReference"/>
        </w:rPr>
        <w:footnoteRef/>
      </w:r>
      <w:r>
        <w:t xml:space="preserve"> </w:t>
      </w:r>
      <w:hyperlink r:id="rId9" w:history="1">
        <w:r>
          <w:rPr>
            <w:rStyle w:val="Hyperlink"/>
          </w:rPr>
          <w:t>COM(2023) 160 final</w:t>
        </w:r>
      </w:hyperlink>
      <w:r>
        <w:t>.</w:t>
      </w:r>
    </w:p>
  </w:footnote>
  <w:footnote w:id="11">
    <w:p w14:paraId="19DBF628" w14:textId="2BFDA401" w:rsidR="00102F6C" w:rsidRPr="006C677A" w:rsidRDefault="00102F6C" w:rsidP="007527C5">
      <w:pPr>
        <w:pStyle w:val="FootnoteText"/>
      </w:pPr>
      <w:r>
        <w:rPr>
          <w:rStyle w:val="FootnoteReference"/>
        </w:rPr>
        <w:footnoteRef/>
      </w:r>
      <w:r>
        <w:t xml:space="preserve"> </w:t>
      </w:r>
      <w:hyperlink r:id="rId10" w:history="1">
        <w:r>
          <w:rPr>
            <w:rStyle w:val="Hyperlink"/>
          </w:rPr>
          <w:t>Examens approfondis des domaines stratégiques d’intérêt européen |</w:t>
        </w:r>
      </w:hyperlink>
      <w:hyperlink r:id="rId11" w:history="1">
        <w:r>
          <w:rPr>
            <w:rStyle w:val="Hyperlink"/>
          </w:rPr>
          <w:t xml:space="preserve"> Commission européenne (europa.eu)</w:t>
        </w:r>
      </w:hyperlink>
      <w:r>
        <w:t>.</w:t>
      </w:r>
    </w:p>
  </w:footnote>
  <w:footnote w:id="12">
    <w:p w14:paraId="32174B79" w14:textId="1031A1E9" w:rsidR="00F27669" w:rsidRPr="00072EC5" w:rsidRDefault="00F27669" w:rsidP="00F27669">
      <w:pPr>
        <w:pStyle w:val="FootnoteText"/>
        <w:rPr>
          <w:lang w:val="en-IE"/>
        </w:rPr>
      </w:pPr>
      <w:r>
        <w:rPr>
          <w:rStyle w:val="FootnoteReference"/>
        </w:rPr>
        <w:footnoteRef/>
      </w:r>
      <w:r w:rsidRPr="00072EC5">
        <w:rPr>
          <w:lang w:val="en-IE"/>
        </w:rPr>
        <w:t xml:space="preserve"> </w:t>
      </w:r>
      <w:hyperlink r:id="rId12" w:history="1">
        <w:r w:rsidRPr="00072EC5">
          <w:rPr>
            <w:rStyle w:val="Hyperlink"/>
            <w:lang w:val="en-IE"/>
          </w:rPr>
          <w:t>COM(2023) 168 final</w:t>
        </w:r>
      </w:hyperlink>
      <w:r w:rsidRPr="00072EC5">
        <w:rPr>
          <w:lang w:val="en-IE"/>
        </w:rPr>
        <w:t>.</w:t>
      </w:r>
    </w:p>
  </w:footnote>
  <w:footnote w:id="13">
    <w:p w14:paraId="15849B1E" w14:textId="4D412B31" w:rsidR="00102F6C" w:rsidRPr="00072EC5" w:rsidRDefault="00102F6C" w:rsidP="00942A7A">
      <w:pPr>
        <w:pStyle w:val="FootnoteText"/>
        <w:rPr>
          <w:lang w:val="en-IE"/>
        </w:rPr>
      </w:pPr>
      <w:r>
        <w:rPr>
          <w:rStyle w:val="FootnoteReference"/>
        </w:rPr>
        <w:footnoteRef/>
      </w:r>
      <w:r w:rsidRPr="00072EC5">
        <w:rPr>
          <w:lang w:val="en-IE"/>
        </w:rPr>
        <w:t xml:space="preserve"> </w:t>
      </w:r>
      <w:hyperlink r:id="rId13" w:history="1">
        <w:r w:rsidRPr="00072EC5">
          <w:rPr>
            <w:rStyle w:val="Hyperlink"/>
            <w:lang w:val="en-IE"/>
          </w:rPr>
          <w:t>https://commission.europa.eu/strategy-and-policy/international-strategies/sustainable-development-goals_fr</w:t>
        </w:r>
      </w:hyperlink>
      <w:r w:rsidRPr="00072EC5">
        <w:rPr>
          <w:lang w:val="en-IE"/>
        </w:rPr>
        <w:t xml:space="preserve"> </w:t>
      </w:r>
    </w:p>
  </w:footnote>
  <w:footnote w:id="14">
    <w:p w14:paraId="3AA4A0C6" w14:textId="6F60C291" w:rsidR="00102F6C" w:rsidRPr="00072EC5" w:rsidRDefault="00102F6C" w:rsidP="001A2B5D">
      <w:pPr>
        <w:pStyle w:val="FootnoteText"/>
        <w:jc w:val="both"/>
        <w:rPr>
          <w:rFonts w:cs="Times New Roman"/>
          <w:lang w:val="en-IE"/>
        </w:rPr>
      </w:pPr>
      <w:r>
        <w:rPr>
          <w:rStyle w:val="FootnoteReference"/>
          <w:rFonts w:cs="Times New Roman"/>
        </w:rPr>
        <w:footnoteRef/>
      </w:r>
      <w:r w:rsidRPr="00072EC5">
        <w:rPr>
          <w:lang w:val="en-IE"/>
        </w:rPr>
        <w:t xml:space="preserve"> </w:t>
      </w:r>
      <w:hyperlink r:id="rId14" w:history="1">
        <w:r w:rsidRPr="00072EC5">
          <w:rPr>
            <w:rStyle w:val="Hyperlink"/>
            <w:lang w:val="en-IE"/>
          </w:rPr>
          <w:t>COM(2018) 29 final</w:t>
        </w:r>
      </w:hyperlink>
      <w:r w:rsidRPr="00072EC5">
        <w:rPr>
          <w:lang w:val="en-IE"/>
        </w:rPr>
        <w:t xml:space="preserve"> et </w:t>
      </w:r>
      <w:hyperlink r:id="rId15" w:history="1">
        <w:r w:rsidRPr="00072EC5">
          <w:rPr>
            <w:rStyle w:val="Hyperlink"/>
            <w:lang w:val="en-IE"/>
          </w:rPr>
          <w:t>SWD(2018) 17</w:t>
        </w:r>
      </w:hyperlink>
      <w:r w:rsidRPr="00072EC5">
        <w:rPr>
          <w:lang w:val="en-IE"/>
        </w:rPr>
        <w:t>.</w:t>
      </w:r>
    </w:p>
  </w:footnote>
  <w:footnote w:id="15">
    <w:p w14:paraId="5CBEF5D2" w14:textId="595F05A7" w:rsidR="00102F6C" w:rsidRPr="00072EC5" w:rsidRDefault="00102F6C">
      <w:pPr>
        <w:pStyle w:val="FootnoteText"/>
        <w:rPr>
          <w:lang w:val="en-IE"/>
        </w:rPr>
      </w:pPr>
      <w:r>
        <w:rPr>
          <w:rStyle w:val="FootnoteReference"/>
        </w:rPr>
        <w:footnoteRef/>
      </w:r>
      <w:r w:rsidRPr="00072EC5">
        <w:rPr>
          <w:lang w:val="en-IE"/>
        </w:rPr>
        <w:t xml:space="preserve"> </w:t>
      </w:r>
      <w:hyperlink r:id="rId16" w:history="1">
        <w:r w:rsidRPr="00072EC5">
          <w:rPr>
            <w:rStyle w:val="Hyperlink"/>
            <w:lang w:val="en-IE"/>
          </w:rPr>
          <w:t>COM(2020) 98 final</w:t>
        </w:r>
      </w:hyperlink>
      <w:r w:rsidRPr="00072EC5">
        <w:rPr>
          <w:lang w:val="en-IE"/>
        </w:rPr>
        <w:t>.</w:t>
      </w:r>
    </w:p>
  </w:footnote>
  <w:footnote w:id="16">
    <w:p w14:paraId="2D8A41BC" w14:textId="16E67D71" w:rsidR="00102F6C" w:rsidRPr="001C1AF0" w:rsidRDefault="00102F6C" w:rsidP="00B95398">
      <w:pPr>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sz w:val="20"/>
          </w:rPr>
          <w:t>Shaping &amp; securing the EU’s Open Strategic Autonomy by 2040 and beyond (Définir et garantir l’autonomie stratégique ouverte de l’UE d’ici à 2040 et au-delà)</w:t>
        </w:r>
      </w:hyperlink>
      <w:r>
        <w:t>.</w:t>
      </w:r>
    </w:p>
  </w:footnote>
  <w:footnote w:id="17">
    <w:p w14:paraId="2C089ECB" w14:textId="6C45E390" w:rsidR="00102F6C" w:rsidRPr="002D461D" w:rsidRDefault="00102F6C" w:rsidP="00B95398">
      <w:pPr>
        <w:pStyle w:val="FootnoteText"/>
      </w:pPr>
      <w:r>
        <w:rPr>
          <w:rStyle w:val="FootnoteReference"/>
        </w:rPr>
        <w:footnoteRef/>
      </w:r>
      <w:r>
        <w:t xml:space="preserve"> Pour en savoir plus, se reporter au SWD(2023) 306.</w:t>
      </w:r>
    </w:p>
  </w:footnote>
  <w:footnote w:id="18">
    <w:p w14:paraId="074272C7" w14:textId="77777777" w:rsidR="00102F6C" w:rsidRDefault="00102F6C" w:rsidP="00FF2F9A">
      <w:pPr>
        <w:pStyle w:val="FootnoteText"/>
      </w:pPr>
      <w:r>
        <w:rPr>
          <w:rStyle w:val="FootnoteReference"/>
        </w:rPr>
        <w:footnoteRef/>
      </w:r>
      <w:r>
        <w:t xml:space="preserve"> </w:t>
      </w:r>
      <w:hyperlink r:id="rId18" w:history="1">
        <w:r>
          <w:rPr>
            <w:rStyle w:val="Hyperlink"/>
          </w:rPr>
          <w:t>https://ec.europa.eu/info/law/better-regulation/have-your-say/initiatives/13465-Cadre-de-suivi-pour-leconomie-circulaire-revision-/feedback_fr?p_id=30764770</w:t>
        </w:r>
      </w:hyperlink>
      <w:r>
        <w:t>.</w:t>
      </w:r>
    </w:p>
  </w:footnote>
  <w:footnote w:id="19">
    <w:p w14:paraId="1A59971A" w14:textId="77777777" w:rsidR="00102F6C" w:rsidRPr="004704B2" w:rsidRDefault="00102F6C" w:rsidP="00FF2F9A">
      <w:pPr>
        <w:pStyle w:val="FootnoteText"/>
      </w:pPr>
      <w:r>
        <w:rPr>
          <w:rStyle w:val="FootnoteReference"/>
        </w:rPr>
        <w:footnoteRef/>
      </w:r>
      <w:r>
        <w:t xml:space="preserve"> En particulier, le </w:t>
      </w:r>
      <w:hyperlink r:id="rId19" w:history="1">
        <w:r>
          <w:rPr>
            <w:rStyle w:val="Hyperlink"/>
          </w:rPr>
          <w:t>Planetary pressures adjusted - Human Development Index</w:t>
        </w:r>
      </w:hyperlink>
      <w:r>
        <w:t xml:space="preserve"> (l’indice de développement humain ajusté aux pressions planétaires) du PNUD, les rapports du groupe international d’experts sur les ressources de 2020 et 2021, et les </w:t>
      </w:r>
      <w:hyperlink r:id="rId20" w:history="1">
        <w:r>
          <w:rPr>
            <w:rStyle w:val="Hyperlink"/>
          </w:rPr>
          <w:t>rapports sur l’écart de circularité</w:t>
        </w:r>
      </w:hyperlink>
      <w:r>
        <w:t>.</w:t>
      </w:r>
    </w:p>
  </w:footnote>
  <w:footnote w:id="20">
    <w:p w14:paraId="7A06775D" w14:textId="77777777" w:rsidR="00102F6C" w:rsidRPr="004704B2" w:rsidRDefault="00102F6C" w:rsidP="00FF2F9A">
      <w:pPr>
        <w:pStyle w:val="FootnoteText"/>
      </w:pPr>
      <w:r>
        <w:rPr>
          <w:rStyle w:val="FootnoteReference"/>
        </w:rPr>
        <w:footnoteRef/>
      </w:r>
      <w:r>
        <w:t xml:space="preserve"> En particulier, les </w:t>
      </w:r>
      <w:hyperlink r:id="rId21" w:history="1">
        <w:r>
          <w:rPr>
            <w:rStyle w:val="Hyperlink"/>
          </w:rPr>
          <w:t>principes de Bellagio permettant le suivi de l’économie circulaire</w:t>
        </w:r>
      </w:hyperlink>
      <w:r>
        <w:t>.</w:t>
      </w:r>
    </w:p>
  </w:footnote>
  <w:footnote w:id="21">
    <w:p w14:paraId="0D32A1A9" w14:textId="5037F509" w:rsidR="00102F6C" w:rsidRDefault="00102F6C">
      <w:pPr>
        <w:pStyle w:val="FootnoteText"/>
      </w:pPr>
      <w:r>
        <w:rPr>
          <w:rStyle w:val="FootnoteReference"/>
        </w:rPr>
        <w:footnoteRef/>
      </w:r>
      <w:r>
        <w:t xml:space="preserve"> Pour en savoir plus, se reporter au SWD(2023) 306.</w:t>
      </w:r>
    </w:p>
  </w:footnote>
  <w:footnote w:id="22">
    <w:p w14:paraId="54999B93" w14:textId="61D90035" w:rsidR="00102F6C" w:rsidRPr="00E3328C" w:rsidRDefault="00102F6C" w:rsidP="00BC53C8">
      <w:pPr>
        <w:pStyle w:val="FootnoteText"/>
      </w:pPr>
      <w:r>
        <w:rPr>
          <w:rStyle w:val="FootnoteReference"/>
        </w:rPr>
        <w:footnoteRef/>
      </w:r>
      <w:r>
        <w:t xml:space="preserve"> </w:t>
      </w:r>
      <w:hyperlink r:id="rId22" w:history="1">
        <w:r>
          <w:rPr>
            <w:rStyle w:val="Hyperlink"/>
          </w:rPr>
          <w:t>COM(2022) 357 final</w:t>
        </w:r>
      </w:hyperlink>
      <w:r>
        <w:t>.</w:t>
      </w:r>
    </w:p>
  </w:footnote>
  <w:footnote w:id="23">
    <w:p w14:paraId="23F24273" w14:textId="697C8533" w:rsidR="00102F6C" w:rsidRPr="00E3328C" w:rsidRDefault="00102F6C" w:rsidP="00BC53C8">
      <w:pPr>
        <w:pStyle w:val="FootnoteText"/>
      </w:pPr>
      <w:r>
        <w:rPr>
          <w:rStyle w:val="FootnoteReference"/>
        </w:rPr>
        <w:footnoteRef/>
      </w:r>
      <w:r>
        <w:t xml:space="preserve"> </w:t>
      </w:r>
      <w:hyperlink r:id="rId23" w:history="1">
        <w:r>
          <w:rPr>
            <w:rStyle w:val="Hyperlink"/>
          </w:rPr>
          <w:t>COM(2022) 674 final</w:t>
        </w:r>
      </w:hyperlink>
      <w:r>
        <w:t>.</w:t>
      </w:r>
    </w:p>
  </w:footnote>
  <w:footnote w:id="24">
    <w:p w14:paraId="1FEC0CC5" w14:textId="77777777" w:rsidR="00102F6C" w:rsidRPr="00E3328C" w:rsidRDefault="00102F6C" w:rsidP="00BC53C8">
      <w:pPr>
        <w:pStyle w:val="FootnoteText"/>
      </w:pPr>
      <w:r>
        <w:rPr>
          <w:rStyle w:val="FootnoteReference"/>
        </w:rPr>
        <w:footnoteRef/>
      </w:r>
      <w:r>
        <w:t xml:space="preserve"> </w:t>
      </w:r>
      <w:hyperlink r:id="rId24" w:history="1">
        <w:r>
          <w:rPr>
            <w:rStyle w:val="Hyperlink"/>
          </w:rPr>
          <w:t>Indicateurs des ODD de l’UE et rapport de suivi sur la réalisation des ODD</w:t>
        </w:r>
      </w:hyperlink>
      <w:r>
        <w:t>.</w:t>
      </w:r>
    </w:p>
  </w:footnote>
  <w:footnote w:id="25">
    <w:p w14:paraId="3DB2B6FC" w14:textId="77777777" w:rsidR="00102F6C" w:rsidRPr="00952DC3" w:rsidRDefault="00102F6C" w:rsidP="00BC53C8">
      <w:pPr>
        <w:pStyle w:val="FootnoteText"/>
      </w:pPr>
      <w:r>
        <w:rPr>
          <w:rStyle w:val="FootnoteReference"/>
        </w:rPr>
        <w:footnoteRef/>
      </w:r>
      <w:r>
        <w:t xml:space="preserve"> </w:t>
      </w:r>
      <w:hyperlink r:id="rId25" w:history="1">
        <w:r>
          <w:rPr>
            <w:rStyle w:val="Hyperlink"/>
          </w:rPr>
          <w:t>Tableaux de bord de la résilience</w:t>
        </w:r>
      </w:hyperlink>
      <w:r>
        <w:t xml:space="preserve">. </w:t>
      </w:r>
    </w:p>
  </w:footnote>
  <w:footnote w:id="26">
    <w:p w14:paraId="0C22BE16" w14:textId="77777777" w:rsidR="00102F6C" w:rsidRPr="00063022" w:rsidRDefault="00102F6C" w:rsidP="00BC53C8">
      <w:pPr>
        <w:pStyle w:val="FootnoteText"/>
      </w:pPr>
      <w:r>
        <w:rPr>
          <w:rStyle w:val="FootnoteReference"/>
        </w:rPr>
        <w:footnoteRef/>
      </w:r>
      <w:r>
        <w:t xml:space="preserve"> Également connus sous le nom de critères «RACER» pour évaluer les indicateurs.</w:t>
      </w:r>
    </w:p>
  </w:footnote>
  <w:footnote w:id="27">
    <w:p w14:paraId="59BA6841" w14:textId="7D718D3E" w:rsidR="00102F6C" w:rsidRPr="00952DC3" w:rsidRDefault="00102F6C" w:rsidP="00011D40">
      <w:pPr>
        <w:pStyle w:val="FootnoteText"/>
      </w:pPr>
      <w:r>
        <w:rPr>
          <w:rStyle w:val="FootnoteReference"/>
        </w:rPr>
        <w:footnoteRef/>
      </w:r>
      <w:r>
        <w:t xml:space="preserve"> </w:t>
      </w:r>
      <w:hyperlink r:id="rId26" w:history="1">
        <w:r>
          <w:rPr>
            <w:rStyle w:val="Hyperlink"/>
          </w:rPr>
          <w:t>https://ec.europa.eu/eurostat/fr/web/circular-economy</w:t>
        </w:r>
      </w:hyperlink>
    </w:p>
  </w:footnote>
  <w:footnote w:id="28">
    <w:p w14:paraId="6C3E2DF8" w14:textId="711D1899" w:rsidR="00102F6C" w:rsidRDefault="00102F6C" w:rsidP="007527C5">
      <w:pPr>
        <w:pStyle w:val="FootnoteText"/>
      </w:pPr>
      <w:r>
        <w:rPr>
          <w:rStyle w:val="FootnoteReference"/>
        </w:rPr>
        <w:footnoteRef/>
      </w:r>
      <w:r>
        <w:t xml:space="preserve"> </w:t>
      </w:r>
      <w:hyperlink r:id="rId27" w:history="1">
        <w:r>
          <w:rPr>
            <w:rStyle w:val="Hyperlink"/>
          </w:rPr>
          <w:t>https://ec.europa.eu/food/safety/food_waste/eu_actions_en</w:t>
        </w:r>
      </w:hyperlink>
      <w:r>
        <w:t xml:space="preserve"> </w:t>
      </w:r>
    </w:p>
  </w:footnote>
  <w:footnote w:id="29">
    <w:p w14:paraId="48C3A97A" w14:textId="238E3A12" w:rsidR="00102F6C" w:rsidRPr="00276604" w:rsidRDefault="00102F6C">
      <w:pPr>
        <w:pStyle w:val="FootnoteText"/>
      </w:pPr>
      <w:r>
        <w:rPr>
          <w:rStyle w:val="FootnoteReference"/>
        </w:rPr>
        <w:footnoteRef/>
      </w:r>
      <w:r>
        <w:t xml:space="preserve"> </w:t>
      </w:r>
      <w:hyperlink r:id="rId28" w:history="1">
        <w:r>
          <w:rPr>
            <w:rStyle w:val="Hyperlink"/>
          </w:rPr>
          <w:t>SWD(2023) 4 final</w:t>
        </w:r>
      </w:hyperlink>
      <w:r>
        <w:t>.</w:t>
      </w:r>
    </w:p>
  </w:footnote>
  <w:footnote w:id="30">
    <w:p w14:paraId="6244F2A3" w14:textId="22569457" w:rsidR="00102F6C" w:rsidRDefault="00102F6C" w:rsidP="007527C5">
      <w:pPr>
        <w:pStyle w:val="FootnoteText"/>
      </w:pPr>
      <w:r>
        <w:rPr>
          <w:rStyle w:val="FootnoteReference"/>
        </w:rPr>
        <w:footnoteRef/>
      </w:r>
      <w:r>
        <w:t xml:space="preserve"> </w:t>
      </w:r>
      <w:hyperlink r:id="rId29" w:history="1">
        <w:r>
          <w:rPr>
            <w:rStyle w:val="Hyperlink"/>
          </w:rPr>
          <w:t>Directive (UE) 2018/851</w:t>
        </w:r>
      </w:hyperlink>
      <w:r>
        <w:t>.</w:t>
      </w:r>
    </w:p>
  </w:footnote>
  <w:footnote w:id="31">
    <w:p w14:paraId="0A1D2FC9" w14:textId="352D464A" w:rsidR="00102F6C" w:rsidRDefault="00102F6C" w:rsidP="007527C5">
      <w:pPr>
        <w:pStyle w:val="FootnoteText"/>
      </w:pPr>
      <w:r>
        <w:rPr>
          <w:rStyle w:val="FootnoteReference"/>
        </w:rPr>
        <w:footnoteRef/>
      </w:r>
      <w:r>
        <w:t xml:space="preserve"> Il est plus facile de comparer les chiffres des États membres, car ils reposent sur une méthode commune.</w:t>
      </w:r>
    </w:p>
  </w:footnote>
  <w:footnote w:id="32">
    <w:p w14:paraId="1CBED9F5" w14:textId="099B2067" w:rsidR="00102F6C" w:rsidRPr="00781DFA" w:rsidRDefault="00102F6C" w:rsidP="007527C5">
      <w:pPr>
        <w:pStyle w:val="FootnoteText"/>
      </w:pPr>
      <w:r>
        <w:rPr>
          <w:rStyle w:val="FootnoteReference"/>
        </w:rPr>
        <w:footnoteRef/>
      </w:r>
      <w:r>
        <w:t xml:space="preserve"> Sur la base de l’évaluation de la liste des matières premières critiques de 2023.</w:t>
      </w:r>
    </w:p>
  </w:footnote>
  <w:footnote w:id="33">
    <w:p w14:paraId="358ACD6D" w14:textId="7FAB53D4" w:rsidR="00102F6C" w:rsidRPr="00072EC5" w:rsidRDefault="00102F6C" w:rsidP="007527C5">
      <w:pPr>
        <w:pStyle w:val="FootnoteText"/>
        <w:rPr>
          <w:lang w:val="en-IE"/>
        </w:rPr>
      </w:pPr>
      <w:r>
        <w:rPr>
          <w:rStyle w:val="FootnoteReference"/>
        </w:rPr>
        <w:footnoteRef/>
      </w:r>
      <w:r>
        <w:t xml:space="preserve"> </w:t>
      </w:r>
      <w:hyperlink r:id="rId30" w:history="1">
        <w:r>
          <w:rPr>
            <w:rStyle w:val="Hyperlink"/>
          </w:rPr>
          <w:t>https://eplca.jrc.ec.europa.eu/ConsumptionFootprintPlatform.html</w:t>
        </w:r>
      </w:hyperlink>
      <w:r>
        <w:t xml:space="preserve">. </w:t>
      </w:r>
      <w:hyperlink r:id="rId31" w:history="1">
        <w:r w:rsidRPr="00072EC5">
          <w:rPr>
            <w:rStyle w:val="Hyperlink"/>
            <w:lang w:val="en-IE"/>
          </w:rPr>
          <w:t>https://publications.jrc.ec.europa.eu/repository/handle/JRC128571</w:t>
        </w:r>
      </w:hyperlink>
      <w:r w:rsidRPr="00072EC5">
        <w:rPr>
          <w:lang w:val="en-IE"/>
        </w:rPr>
        <w:t xml:space="preserve"> </w:t>
      </w:r>
    </w:p>
  </w:footnote>
  <w:footnote w:id="34">
    <w:p w14:paraId="7B3E25C7" w14:textId="0050AABA" w:rsidR="00102F6C" w:rsidRPr="00072EC5" w:rsidRDefault="00102F6C" w:rsidP="00B95398">
      <w:pPr>
        <w:pStyle w:val="FootnoteText"/>
        <w:rPr>
          <w:lang w:val="en-IE"/>
        </w:rPr>
      </w:pPr>
      <w:r>
        <w:rPr>
          <w:rStyle w:val="FootnoteReference"/>
        </w:rPr>
        <w:footnoteRef/>
      </w:r>
      <w:r w:rsidRPr="00072EC5">
        <w:rPr>
          <w:rStyle w:val="Hyperlink"/>
          <w:lang w:val="en-IE"/>
        </w:rPr>
        <w:t xml:space="preserve"> </w:t>
      </w:r>
      <w:hyperlink r:id="rId32" w:history="1">
        <w:r w:rsidRPr="00072EC5">
          <w:rPr>
            <w:rStyle w:val="Hyperlink"/>
            <w:lang w:val="en-IE"/>
          </w:rPr>
          <w:t>COM(2020) 798 final</w:t>
        </w:r>
      </w:hyperlink>
      <w:r w:rsidRPr="00072EC5">
        <w:rPr>
          <w:lang w:val="en-IE"/>
        </w:rPr>
        <w:t>.</w:t>
      </w:r>
    </w:p>
  </w:footnote>
  <w:footnote w:id="35">
    <w:p w14:paraId="1A3C3616" w14:textId="7762348F" w:rsidR="00102F6C" w:rsidRPr="00072EC5" w:rsidRDefault="00102F6C" w:rsidP="00B95398">
      <w:pPr>
        <w:pStyle w:val="FootnoteText"/>
        <w:rPr>
          <w:lang w:val="en-IE"/>
        </w:rPr>
      </w:pPr>
      <w:r>
        <w:rPr>
          <w:rStyle w:val="FootnoteReference"/>
        </w:rPr>
        <w:footnoteRef/>
      </w:r>
      <w:r w:rsidRPr="00072EC5">
        <w:rPr>
          <w:lang w:val="en-IE"/>
        </w:rPr>
        <w:t xml:space="preserve"> </w:t>
      </w:r>
      <w:hyperlink r:id="rId33" w:history="1">
        <w:r w:rsidRPr="00072EC5">
          <w:rPr>
            <w:rStyle w:val="Hyperlink"/>
            <w:lang w:val="en-IE"/>
          </w:rPr>
          <w:t>COM(2022) 142 final</w:t>
        </w:r>
      </w:hyperlink>
      <w:r w:rsidRPr="00072EC5">
        <w:rPr>
          <w:lang w:val="en-IE"/>
        </w:rPr>
        <w:t>.</w:t>
      </w:r>
    </w:p>
  </w:footnote>
  <w:footnote w:id="36">
    <w:p w14:paraId="12F3A7F6" w14:textId="66B48731" w:rsidR="00102F6C" w:rsidRPr="00072EC5" w:rsidRDefault="00102F6C" w:rsidP="00B95398">
      <w:pPr>
        <w:pStyle w:val="FootnoteText"/>
        <w:rPr>
          <w:lang w:val="en-IE"/>
        </w:rPr>
      </w:pPr>
      <w:r>
        <w:rPr>
          <w:rStyle w:val="FootnoteReference"/>
        </w:rPr>
        <w:footnoteRef/>
      </w:r>
      <w:r w:rsidRPr="00072EC5">
        <w:rPr>
          <w:lang w:val="en-IE"/>
        </w:rPr>
        <w:t xml:space="preserve"> </w:t>
      </w:r>
      <w:hyperlink r:id="rId34" w:history="1">
        <w:r w:rsidRPr="00072EC5">
          <w:rPr>
            <w:rStyle w:val="Hyperlink"/>
            <w:lang w:val="en-IE"/>
          </w:rPr>
          <w:t>COM(2022) 677 final</w:t>
        </w:r>
      </w:hyperlink>
      <w:r w:rsidRPr="00072EC5">
        <w:rPr>
          <w:lang w:val="en-IE"/>
        </w:rPr>
        <w:t>.</w:t>
      </w:r>
    </w:p>
  </w:footnote>
  <w:footnote w:id="37">
    <w:p w14:paraId="287F4429" w14:textId="608B0F5F" w:rsidR="00102F6C" w:rsidRPr="00072EC5" w:rsidRDefault="00102F6C" w:rsidP="00B95398">
      <w:pPr>
        <w:pStyle w:val="FootnoteText"/>
        <w:rPr>
          <w:lang w:val="en-IE"/>
        </w:rPr>
      </w:pPr>
      <w:r>
        <w:rPr>
          <w:rStyle w:val="FootnoteReference"/>
        </w:rPr>
        <w:footnoteRef/>
      </w:r>
      <w:r w:rsidRPr="00072EC5">
        <w:rPr>
          <w:lang w:val="en-IE"/>
        </w:rPr>
        <w:t xml:space="preserve"> </w:t>
      </w:r>
      <w:hyperlink r:id="rId35" w:history="1">
        <w:r w:rsidRPr="00072EC5">
          <w:rPr>
            <w:rStyle w:val="Hyperlink"/>
            <w:lang w:val="en-IE"/>
          </w:rPr>
          <w:t>COM(2021) 709 final</w:t>
        </w:r>
      </w:hyperlink>
      <w:r w:rsidRPr="00072EC5">
        <w:rPr>
          <w:lang w:val="en-IE"/>
        </w:rPr>
        <w:t xml:space="preserve">. </w:t>
      </w:r>
    </w:p>
  </w:footnote>
  <w:footnote w:id="38">
    <w:p w14:paraId="3566B0C9" w14:textId="2DAD5EB7" w:rsidR="00102F6C" w:rsidRPr="00072EC5" w:rsidRDefault="00102F6C" w:rsidP="00A71E8E">
      <w:pPr>
        <w:autoSpaceDE w:val="0"/>
        <w:autoSpaceDN w:val="0"/>
        <w:spacing w:after="0" w:line="240" w:lineRule="auto"/>
        <w:rPr>
          <w:lang w:val="en-IE"/>
        </w:rPr>
      </w:pPr>
      <w:r>
        <w:rPr>
          <w:rStyle w:val="FootnoteReference"/>
          <w:rFonts w:ascii="Times New Roman" w:hAnsi="Times New Roman" w:cs="Times New Roman"/>
        </w:rPr>
        <w:footnoteRef/>
      </w:r>
      <w:r w:rsidRPr="00072EC5">
        <w:rPr>
          <w:lang w:val="en-IE"/>
        </w:rPr>
        <w:t xml:space="preserve"> </w:t>
      </w:r>
      <w:hyperlink r:id="rId36" w:history="1">
        <w:r w:rsidRPr="00072EC5">
          <w:rPr>
            <w:rStyle w:val="Hyperlink"/>
            <w:rFonts w:ascii="Times New Roman" w:hAnsi="Times New Roman"/>
            <w:sz w:val="20"/>
            <w:lang w:val="en-IE"/>
          </w:rPr>
          <w:t>COM(2023) 160 final</w:t>
        </w:r>
      </w:hyperlink>
      <w:r w:rsidRPr="00072EC5">
        <w:rPr>
          <w:lang w:val="en-IE"/>
        </w:rPr>
        <w:t>.</w:t>
      </w:r>
      <w:r w:rsidRPr="00072EC5">
        <w:rPr>
          <w:rFonts w:ascii="Times New Roman" w:hAnsi="Times New Roman"/>
          <w:sz w:val="20"/>
          <w:lang w:val="en-IE"/>
        </w:rPr>
        <w:t xml:space="preserve"> </w:t>
      </w:r>
    </w:p>
  </w:footnote>
  <w:footnote w:id="39">
    <w:p w14:paraId="112ECF53" w14:textId="45CBE9C9" w:rsidR="007A01A0" w:rsidRPr="00072EC5" w:rsidRDefault="007A01A0">
      <w:pPr>
        <w:pStyle w:val="FootnoteText"/>
        <w:rPr>
          <w:lang w:val="en-IE"/>
        </w:rPr>
      </w:pPr>
      <w:r>
        <w:rPr>
          <w:rStyle w:val="FootnoteReference"/>
        </w:rPr>
        <w:footnoteRef/>
      </w:r>
      <w:r w:rsidRPr="00072EC5">
        <w:rPr>
          <w:lang w:val="en-IE"/>
        </w:rPr>
        <w:t xml:space="preserve"> </w:t>
      </w:r>
      <w:hyperlink r:id="rId37" w:history="1">
        <w:r w:rsidRPr="00072EC5">
          <w:rPr>
            <w:rStyle w:val="Hyperlink"/>
            <w:lang w:val="en-IE"/>
          </w:rPr>
          <w:t>Directive (UE) 2018/851</w:t>
        </w:r>
      </w:hyperlink>
      <w:r w:rsidRPr="00072EC5">
        <w:rPr>
          <w:lang w:val="en-IE"/>
        </w:rPr>
        <w:t>.</w:t>
      </w:r>
    </w:p>
  </w:footnote>
  <w:footnote w:id="40">
    <w:p w14:paraId="71339A90" w14:textId="4B971BB6" w:rsidR="0028776A" w:rsidRPr="00072EC5" w:rsidRDefault="0028776A">
      <w:pPr>
        <w:pStyle w:val="FootnoteText"/>
        <w:rPr>
          <w:lang w:val="en-IE"/>
        </w:rPr>
      </w:pPr>
      <w:r>
        <w:rPr>
          <w:rStyle w:val="FootnoteReference"/>
        </w:rPr>
        <w:footnoteRef/>
      </w:r>
      <w:r w:rsidRPr="00072EC5">
        <w:rPr>
          <w:lang w:val="en-IE"/>
        </w:rPr>
        <w:t xml:space="preserve"> </w:t>
      </w:r>
      <w:hyperlink r:id="rId38" w:history="1">
        <w:r w:rsidRPr="00072EC5">
          <w:rPr>
            <w:rStyle w:val="Hyperlink"/>
            <w:lang w:val="en-IE"/>
          </w:rPr>
          <w:t>https://environment.ec.europa.eu/topics/waste-and-recycling/implementation-waste-framework-directive_en</w:t>
        </w:r>
      </w:hyperlink>
      <w:r w:rsidRPr="00072EC5">
        <w:rPr>
          <w:lang w:val="en-IE"/>
        </w:rPr>
        <w:t xml:space="preserve"> </w:t>
      </w:r>
    </w:p>
  </w:footnote>
  <w:footnote w:id="41">
    <w:p w14:paraId="69081F71" w14:textId="0B161996" w:rsidR="00102F6C" w:rsidRPr="00A82C79" w:rsidRDefault="00102F6C" w:rsidP="00BC4A06">
      <w:pPr>
        <w:pStyle w:val="FootnoteText"/>
      </w:pPr>
      <w:r>
        <w:rPr>
          <w:rStyle w:val="FootnoteReference"/>
        </w:rPr>
        <w:footnoteRef/>
      </w:r>
      <w:r>
        <w:t xml:space="preserve"> </w:t>
      </w:r>
      <w:hyperlink r:id="rId39" w:history="1">
        <w:r>
          <w:rPr>
            <w:rStyle w:val="Hyperlink"/>
          </w:rPr>
          <w:t>Communiqué de presse sur la conférence 2023 des parties prenantes de l’économie circulaire</w:t>
        </w:r>
      </w:hyperlink>
      <w:r>
        <w:t>.</w:t>
      </w:r>
    </w:p>
  </w:footnote>
  <w:footnote w:id="42">
    <w:p w14:paraId="77AB2417" w14:textId="6CDCA1F6" w:rsidR="00102F6C" w:rsidRDefault="00102F6C" w:rsidP="00BC4A06">
      <w:pPr>
        <w:pStyle w:val="FootnoteText"/>
      </w:pPr>
      <w:r>
        <w:rPr>
          <w:rStyle w:val="FootnoteReference"/>
        </w:rPr>
        <w:footnoteRef/>
      </w:r>
      <w:r>
        <w:t xml:space="preserve"> </w:t>
      </w:r>
      <w:hyperlink r:id="rId40" w:anchor="vue d’ensemble" w:history="1">
        <w:r>
          <w:rPr>
            <w:rStyle w:val="Hyperlink"/>
          </w:rPr>
          <w:t>https://environment.ec.europa.eu/law-and-governance/environmental-implementation-review_en#overview</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A6D2F" w14:textId="77777777" w:rsidR="002772E9" w:rsidRPr="002772E9" w:rsidRDefault="002772E9" w:rsidP="0027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FB64E" w14:textId="77777777" w:rsidR="002772E9" w:rsidRPr="002772E9" w:rsidRDefault="002772E9" w:rsidP="002772E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2BC2E" w14:textId="77777777" w:rsidR="002772E9" w:rsidRPr="002772E9" w:rsidRDefault="002772E9" w:rsidP="002772E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E05B5" w14:textId="77777777" w:rsidR="00102F6C" w:rsidRDefault="00102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A8C26" w14:textId="77777777" w:rsidR="00102F6C" w:rsidRDefault="00102F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E683C" w14:textId="77777777" w:rsidR="00102F6C" w:rsidRDefault="00102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D5014"/>
    <w:multiLevelType w:val="hybridMultilevel"/>
    <w:tmpl w:val="CC5C9B54"/>
    <w:lvl w:ilvl="0" w:tplc="EA22D8A2">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4D4C0A"/>
    <w:multiLevelType w:val="hybridMultilevel"/>
    <w:tmpl w:val="BC30111C"/>
    <w:lvl w:ilvl="0" w:tplc="E730AEF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25472D"/>
    <w:multiLevelType w:val="hybridMultilevel"/>
    <w:tmpl w:val="874A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E61E46"/>
    <w:multiLevelType w:val="hybridMultilevel"/>
    <w:tmpl w:val="7FF429A8"/>
    <w:lvl w:ilvl="0" w:tplc="5D04DD9E">
      <w:start w:val="1"/>
      <w:numFmt w:val="decimal"/>
      <w:lvlText w:val="%1."/>
      <w:lvlJc w:val="left"/>
      <w:pPr>
        <w:ind w:left="428" w:hanging="360"/>
      </w:pPr>
      <w:rPr>
        <w:rFonts w:hint="default"/>
        <w:b/>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pt-PT" w:vendorID="64" w:dllVersion="0" w:nlCheck="1" w:checkStyle="0"/>
  <w:activeWritingStyle w:appName="MSWord" w:lang="es-ES" w:vendorID="64" w:dllVersion="6"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AA1C6A7-769F-4AC4-BAA3-02C069397B70"/>
    <w:docVar w:name="LW_COVERPAGE_TYPE" w:val="1"/>
    <w:docVar w:name="LW_CROSSREFERENCE" w:val="{SWD(2023) 306 final}"/>
    <w:docVar w:name="LW_DocType" w:val="NORMAL"/>
    <w:docVar w:name="LW_EMISSION" w:val="15.5.2023"/>
    <w:docVar w:name="LW_EMISSION_ISODATE" w:val="2023-05-1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3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un cadre de suivi révisé pour l'économie circulair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BF3E18"/>
    <w:rsid w:val="0000252D"/>
    <w:rsid w:val="00002CD4"/>
    <w:rsid w:val="00011D40"/>
    <w:rsid w:val="00013357"/>
    <w:rsid w:val="00013DC0"/>
    <w:rsid w:val="00025022"/>
    <w:rsid w:val="000307A1"/>
    <w:rsid w:val="00031A3B"/>
    <w:rsid w:val="00031BBC"/>
    <w:rsid w:val="000348F6"/>
    <w:rsid w:val="00034DE6"/>
    <w:rsid w:val="00051BBA"/>
    <w:rsid w:val="000533FA"/>
    <w:rsid w:val="00067020"/>
    <w:rsid w:val="00071630"/>
    <w:rsid w:val="00072EC5"/>
    <w:rsid w:val="00073BBA"/>
    <w:rsid w:val="00073FAD"/>
    <w:rsid w:val="00081BD6"/>
    <w:rsid w:val="0008594D"/>
    <w:rsid w:val="00096AA1"/>
    <w:rsid w:val="000974BA"/>
    <w:rsid w:val="000D5BF4"/>
    <w:rsid w:val="000F118C"/>
    <w:rsid w:val="000F1C67"/>
    <w:rsid w:val="000F6B84"/>
    <w:rsid w:val="000F720B"/>
    <w:rsid w:val="0010191D"/>
    <w:rsid w:val="00101AB5"/>
    <w:rsid w:val="00102781"/>
    <w:rsid w:val="00102F6C"/>
    <w:rsid w:val="00105850"/>
    <w:rsid w:val="00114389"/>
    <w:rsid w:val="001253F1"/>
    <w:rsid w:val="00126620"/>
    <w:rsid w:val="00132041"/>
    <w:rsid w:val="001339E7"/>
    <w:rsid w:val="0015321E"/>
    <w:rsid w:val="001551A5"/>
    <w:rsid w:val="00156DDD"/>
    <w:rsid w:val="00164881"/>
    <w:rsid w:val="00171D54"/>
    <w:rsid w:val="00173BAA"/>
    <w:rsid w:val="001806D8"/>
    <w:rsid w:val="00197503"/>
    <w:rsid w:val="001A2B5D"/>
    <w:rsid w:val="001B1013"/>
    <w:rsid w:val="001C199A"/>
    <w:rsid w:val="001C1AF0"/>
    <w:rsid w:val="001C2D28"/>
    <w:rsid w:val="001C6772"/>
    <w:rsid w:val="001D12DC"/>
    <w:rsid w:val="001E3AFC"/>
    <w:rsid w:val="001E41C4"/>
    <w:rsid w:val="001E4A2E"/>
    <w:rsid w:val="00200D68"/>
    <w:rsid w:val="00223FAE"/>
    <w:rsid w:val="00225322"/>
    <w:rsid w:val="002466FF"/>
    <w:rsid w:val="00250DA3"/>
    <w:rsid w:val="00252D91"/>
    <w:rsid w:val="00271DD4"/>
    <w:rsid w:val="00276604"/>
    <w:rsid w:val="00276727"/>
    <w:rsid w:val="002772E9"/>
    <w:rsid w:val="002831B9"/>
    <w:rsid w:val="0028776A"/>
    <w:rsid w:val="00290F93"/>
    <w:rsid w:val="00296D8B"/>
    <w:rsid w:val="002A2C92"/>
    <w:rsid w:val="002A4B0B"/>
    <w:rsid w:val="002A7AF8"/>
    <w:rsid w:val="002B02EA"/>
    <w:rsid w:val="002B172B"/>
    <w:rsid w:val="002B3E18"/>
    <w:rsid w:val="002C3297"/>
    <w:rsid w:val="003018B1"/>
    <w:rsid w:val="00302E4D"/>
    <w:rsid w:val="00311BFD"/>
    <w:rsid w:val="003136BA"/>
    <w:rsid w:val="003345D8"/>
    <w:rsid w:val="0033483D"/>
    <w:rsid w:val="00334D5F"/>
    <w:rsid w:val="00340543"/>
    <w:rsid w:val="0034062E"/>
    <w:rsid w:val="003503B7"/>
    <w:rsid w:val="00350CDA"/>
    <w:rsid w:val="003576ED"/>
    <w:rsid w:val="0036177A"/>
    <w:rsid w:val="00367854"/>
    <w:rsid w:val="003743D8"/>
    <w:rsid w:val="00385C52"/>
    <w:rsid w:val="00387931"/>
    <w:rsid w:val="00387A1D"/>
    <w:rsid w:val="00390303"/>
    <w:rsid w:val="00396ABB"/>
    <w:rsid w:val="00397DD7"/>
    <w:rsid w:val="003A6323"/>
    <w:rsid w:val="003C2E18"/>
    <w:rsid w:val="003C3A0A"/>
    <w:rsid w:val="003E0569"/>
    <w:rsid w:val="003E11BF"/>
    <w:rsid w:val="003F06CB"/>
    <w:rsid w:val="00403095"/>
    <w:rsid w:val="00403849"/>
    <w:rsid w:val="00411598"/>
    <w:rsid w:val="00416A7A"/>
    <w:rsid w:val="00430452"/>
    <w:rsid w:val="004338DB"/>
    <w:rsid w:val="00437651"/>
    <w:rsid w:val="0044543D"/>
    <w:rsid w:val="00450685"/>
    <w:rsid w:val="004545F8"/>
    <w:rsid w:val="00455BE0"/>
    <w:rsid w:val="004644F4"/>
    <w:rsid w:val="00470D62"/>
    <w:rsid w:val="00470E73"/>
    <w:rsid w:val="004738FF"/>
    <w:rsid w:val="00483DE0"/>
    <w:rsid w:val="00485C6A"/>
    <w:rsid w:val="00491DE1"/>
    <w:rsid w:val="0049466A"/>
    <w:rsid w:val="004955CB"/>
    <w:rsid w:val="004E787B"/>
    <w:rsid w:val="0051231E"/>
    <w:rsid w:val="005133E8"/>
    <w:rsid w:val="00521C76"/>
    <w:rsid w:val="00525E31"/>
    <w:rsid w:val="00540FE1"/>
    <w:rsid w:val="00542A12"/>
    <w:rsid w:val="00547E61"/>
    <w:rsid w:val="00551285"/>
    <w:rsid w:val="005649BF"/>
    <w:rsid w:val="005660FF"/>
    <w:rsid w:val="00573340"/>
    <w:rsid w:val="00580BA7"/>
    <w:rsid w:val="00586CCC"/>
    <w:rsid w:val="00586E31"/>
    <w:rsid w:val="00587E76"/>
    <w:rsid w:val="00592949"/>
    <w:rsid w:val="00596524"/>
    <w:rsid w:val="005A00B6"/>
    <w:rsid w:val="005A48B4"/>
    <w:rsid w:val="005A6769"/>
    <w:rsid w:val="005D06AC"/>
    <w:rsid w:val="005D20F1"/>
    <w:rsid w:val="005D40AF"/>
    <w:rsid w:val="005D65B2"/>
    <w:rsid w:val="005D7F1B"/>
    <w:rsid w:val="005E25D2"/>
    <w:rsid w:val="005E2AA6"/>
    <w:rsid w:val="005E6897"/>
    <w:rsid w:val="005E7B59"/>
    <w:rsid w:val="006153EA"/>
    <w:rsid w:val="00615CC7"/>
    <w:rsid w:val="00630D09"/>
    <w:rsid w:val="006315D1"/>
    <w:rsid w:val="006321B4"/>
    <w:rsid w:val="00633B0F"/>
    <w:rsid w:val="006443C8"/>
    <w:rsid w:val="00662549"/>
    <w:rsid w:val="00667621"/>
    <w:rsid w:val="00671EB5"/>
    <w:rsid w:val="00676902"/>
    <w:rsid w:val="0067755E"/>
    <w:rsid w:val="0069337F"/>
    <w:rsid w:val="00696B9A"/>
    <w:rsid w:val="006A11AE"/>
    <w:rsid w:val="006A2554"/>
    <w:rsid w:val="006B24A1"/>
    <w:rsid w:val="006B5FF2"/>
    <w:rsid w:val="006C677A"/>
    <w:rsid w:val="006C6A71"/>
    <w:rsid w:val="006D76E3"/>
    <w:rsid w:val="006E44F8"/>
    <w:rsid w:val="006F05D9"/>
    <w:rsid w:val="006F74EE"/>
    <w:rsid w:val="007117C9"/>
    <w:rsid w:val="007141FC"/>
    <w:rsid w:val="00721778"/>
    <w:rsid w:val="00741C0D"/>
    <w:rsid w:val="0074264B"/>
    <w:rsid w:val="00750F16"/>
    <w:rsid w:val="007527C5"/>
    <w:rsid w:val="00754886"/>
    <w:rsid w:val="00757B48"/>
    <w:rsid w:val="007650E6"/>
    <w:rsid w:val="00772466"/>
    <w:rsid w:val="00776297"/>
    <w:rsid w:val="00780442"/>
    <w:rsid w:val="007A01A0"/>
    <w:rsid w:val="007A5F13"/>
    <w:rsid w:val="007B268E"/>
    <w:rsid w:val="007B3F39"/>
    <w:rsid w:val="007C2AC9"/>
    <w:rsid w:val="007C5FA3"/>
    <w:rsid w:val="007D0D05"/>
    <w:rsid w:val="007D7799"/>
    <w:rsid w:val="007D79C3"/>
    <w:rsid w:val="007F3146"/>
    <w:rsid w:val="007F5BF1"/>
    <w:rsid w:val="008043AC"/>
    <w:rsid w:val="008119EC"/>
    <w:rsid w:val="00817890"/>
    <w:rsid w:val="00823333"/>
    <w:rsid w:val="00831FD4"/>
    <w:rsid w:val="00852BD9"/>
    <w:rsid w:val="00863169"/>
    <w:rsid w:val="008645D2"/>
    <w:rsid w:val="008705C4"/>
    <w:rsid w:val="0087301F"/>
    <w:rsid w:val="00885C20"/>
    <w:rsid w:val="00897334"/>
    <w:rsid w:val="008B577A"/>
    <w:rsid w:val="008C04D7"/>
    <w:rsid w:val="008C4A18"/>
    <w:rsid w:val="008C67FF"/>
    <w:rsid w:val="008E5C6C"/>
    <w:rsid w:val="008F1CC4"/>
    <w:rsid w:val="00902FDB"/>
    <w:rsid w:val="00903031"/>
    <w:rsid w:val="00904056"/>
    <w:rsid w:val="00905D90"/>
    <w:rsid w:val="00921A52"/>
    <w:rsid w:val="009300F9"/>
    <w:rsid w:val="009309BF"/>
    <w:rsid w:val="009370FF"/>
    <w:rsid w:val="009375D3"/>
    <w:rsid w:val="00942A7A"/>
    <w:rsid w:val="00956A08"/>
    <w:rsid w:val="0099472C"/>
    <w:rsid w:val="00997860"/>
    <w:rsid w:val="00997CA5"/>
    <w:rsid w:val="00997F12"/>
    <w:rsid w:val="009A0B30"/>
    <w:rsid w:val="009C79FE"/>
    <w:rsid w:val="009F2FA9"/>
    <w:rsid w:val="009F3F64"/>
    <w:rsid w:val="00A02EFF"/>
    <w:rsid w:val="00A11765"/>
    <w:rsid w:val="00A171E8"/>
    <w:rsid w:val="00A17928"/>
    <w:rsid w:val="00A203AF"/>
    <w:rsid w:val="00A25D9F"/>
    <w:rsid w:val="00A26DD5"/>
    <w:rsid w:val="00A63398"/>
    <w:rsid w:val="00A645E4"/>
    <w:rsid w:val="00A66EAC"/>
    <w:rsid w:val="00A7064B"/>
    <w:rsid w:val="00A7135B"/>
    <w:rsid w:val="00A71E8E"/>
    <w:rsid w:val="00A807E9"/>
    <w:rsid w:val="00A82C79"/>
    <w:rsid w:val="00A83B94"/>
    <w:rsid w:val="00A83C28"/>
    <w:rsid w:val="00A85288"/>
    <w:rsid w:val="00A97937"/>
    <w:rsid w:val="00A97ADD"/>
    <w:rsid w:val="00AA01C8"/>
    <w:rsid w:val="00AA4A3E"/>
    <w:rsid w:val="00AC2097"/>
    <w:rsid w:val="00AC5569"/>
    <w:rsid w:val="00AE38A8"/>
    <w:rsid w:val="00AF39FB"/>
    <w:rsid w:val="00AF763F"/>
    <w:rsid w:val="00B004CC"/>
    <w:rsid w:val="00B009A2"/>
    <w:rsid w:val="00B01F01"/>
    <w:rsid w:val="00B04B00"/>
    <w:rsid w:val="00B13F37"/>
    <w:rsid w:val="00B1716E"/>
    <w:rsid w:val="00B21A63"/>
    <w:rsid w:val="00B23131"/>
    <w:rsid w:val="00B3487B"/>
    <w:rsid w:val="00B43F48"/>
    <w:rsid w:val="00B50A68"/>
    <w:rsid w:val="00B70A42"/>
    <w:rsid w:val="00B73918"/>
    <w:rsid w:val="00B84159"/>
    <w:rsid w:val="00B8708E"/>
    <w:rsid w:val="00B87F56"/>
    <w:rsid w:val="00B95398"/>
    <w:rsid w:val="00B95B85"/>
    <w:rsid w:val="00BA20C5"/>
    <w:rsid w:val="00BA213E"/>
    <w:rsid w:val="00BA267F"/>
    <w:rsid w:val="00BA42C4"/>
    <w:rsid w:val="00BB1C4D"/>
    <w:rsid w:val="00BC4A06"/>
    <w:rsid w:val="00BC53C8"/>
    <w:rsid w:val="00BE23DB"/>
    <w:rsid w:val="00BE30ED"/>
    <w:rsid w:val="00BE40D0"/>
    <w:rsid w:val="00BE7FDA"/>
    <w:rsid w:val="00BF2510"/>
    <w:rsid w:val="00BF3E18"/>
    <w:rsid w:val="00BF70A2"/>
    <w:rsid w:val="00C00258"/>
    <w:rsid w:val="00C149D4"/>
    <w:rsid w:val="00C15F92"/>
    <w:rsid w:val="00C248C3"/>
    <w:rsid w:val="00C359B2"/>
    <w:rsid w:val="00C40EF4"/>
    <w:rsid w:val="00C462BD"/>
    <w:rsid w:val="00C51718"/>
    <w:rsid w:val="00C5180B"/>
    <w:rsid w:val="00C54F96"/>
    <w:rsid w:val="00C64342"/>
    <w:rsid w:val="00C7393A"/>
    <w:rsid w:val="00C74F04"/>
    <w:rsid w:val="00C76A9E"/>
    <w:rsid w:val="00C87BB2"/>
    <w:rsid w:val="00C90774"/>
    <w:rsid w:val="00C95977"/>
    <w:rsid w:val="00CA769B"/>
    <w:rsid w:val="00CB341C"/>
    <w:rsid w:val="00CB5E6E"/>
    <w:rsid w:val="00CC1800"/>
    <w:rsid w:val="00CC5346"/>
    <w:rsid w:val="00CD1CC6"/>
    <w:rsid w:val="00CD64AD"/>
    <w:rsid w:val="00CD6BC9"/>
    <w:rsid w:val="00CD6BEF"/>
    <w:rsid w:val="00CD7198"/>
    <w:rsid w:val="00CE1FF7"/>
    <w:rsid w:val="00CF0330"/>
    <w:rsid w:val="00CF2CC0"/>
    <w:rsid w:val="00D04197"/>
    <w:rsid w:val="00D0565D"/>
    <w:rsid w:val="00D07A60"/>
    <w:rsid w:val="00D11EB4"/>
    <w:rsid w:val="00D20518"/>
    <w:rsid w:val="00D348F8"/>
    <w:rsid w:val="00D403EC"/>
    <w:rsid w:val="00D53242"/>
    <w:rsid w:val="00D55CEA"/>
    <w:rsid w:val="00D55E8A"/>
    <w:rsid w:val="00D6197C"/>
    <w:rsid w:val="00D70999"/>
    <w:rsid w:val="00D75E7C"/>
    <w:rsid w:val="00D835C4"/>
    <w:rsid w:val="00D85342"/>
    <w:rsid w:val="00D96CFC"/>
    <w:rsid w:val="00DB07C4"/>
    <w:rsid w:val="00DB0FB5"/>
    <w:rsid w:val="00DB17E4"/>
    <w:rsid w:val="00DB451E"/>
    <w:rsid w:val="00DB736D"/>
    <w:rsid w:val="00DC5F5D"/>
    <w:rsid w:val="00DC6135"/>
    <w:rsid w:val="00DD7306"/>
    <w:rsid w:val="00E0199C"/>
    <w:rsid w:val="00E04485"/>
    <w:rsid w:val="00E13C55"/>
    <w:rsid w:val="00E3328C"/>
    <w:rsid w:val="00E34CA7"/>
    <w:rsid w:val="00E57FD5"/>
    <w:rsid w:val="00E67001"/>
    <w:rsid w:val="00E72266"/>
    <w:rsid w:val="00E72F0C"/>
    <w:rsid w:val="00E819B9"/>
    <w:rsid w:val="00E91B03"/>
    <w:rsid w:val="00E92217"/>
    <w:rsid w:val="00E930CD"/>
    <w:rsid w:val="00EA679C"/>
    <w:rsid w:val="00EB20FE"/>
    <w:rsid w:val="00EB4483"/>
    <w:rsid w:val="00EC0164"/>
    <w:rsid w:val="00EC0DEF"/>
    <w:rsid w:val="00EC68A0"/>
    <w:rsid w:val="00EC7358"/>
    <w:rsid w:val="00EE056F"/>
    <w:rsid w:val="00EF6BCC"/>
    <w:rsid w:val="00F01CE8"/>
    <w:rsid w:val="00F06334"/>
    <w:rsid w:val="00F129B2"/>
    <w:rsid w:val="00F27669"/>
    <w:rsid w:val="00F421D3"/>
    <w:rsid w:val="00F77150"/>
    <w:rsid w:val="00F77E06"/>
    <w:rsid w:val="00F85019"/>
    <w:rsid w:val="00F90543"/>
    <w:rsid w:val="00FC21AD"/>
    <w:rsid w:val="00FC3B53"/>
    <w:rsid w:val="00FD041D"/>
    <w:rsid w:val="00FD26A7"/>
    <w:rsid w:val="00FD54E7"/>
    <w:rsid w:val="00FD7799"/>
    <w:rsid w:val="00FE26A8"/>
    <w:rsid w:val="00FE2A87"/>
    <w:rsid w:val="00FF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8FEA9B"/>
  <w15:chartTrackingRefBased/>
  <w15:docId w15:val="{EDED5E29-2854-4FBD-8028-8292B429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F3E18"/>
    <w:rPr>
      <w:color w:val="0000FF"/>
      <w:shd w:val="clear" w:color="auto" w:fill="auto"/>
    </w:rPr>
  </w:style>
  <w:style w:type="paragraph" w:styleId="Header">
    <w:name w:val="header"/>
    <w:basedOn w:val="Normal"/>
    <w:link w:val="HeaderChar"/>
    <w:uiPriority w:val="99"/>
    <w:unhideWhenUsed/>
    <w:rsid w:val="00BF3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E18"/>
  </w:style>
  <w:style w:type="paragraph" w:styleId="Footer">
    <w:name w:val="footer"/>
    <w:basedOn w:val="Normal"/>
    <w:link w:val="FooterChar"/>
    <w:uiPriority w:val="99"/>
    <w:unhideWhenUsed/>
    <w:rsid w:val="00BF3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E18"/>
  </w:style>
  <w:style w:type="paragraph" w:customStyle="1" w:styleId="Pagedecouverture">
    <w:name w:val="Page de couverture"/>
    <w:basedOn w:val="Normal"/>
    <w:next w:val="Normal"/>
    <w:rsid w:val="00BF3E1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F3E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F3E18"/>
    <w:rPr>
      <w:rFonts w:ascii="Times New Roman" w:hAnsi="Times New Roman" w:cs="Times New Roman"/>
      <w:sz w:val="24"/>
    </w:rPr>
  </w:style>
  <w:style w:type="paragraph" w:customStyle="1" w:styleId="FooterSensitivity">
    <w:name w:val="Footer Sensitivity"/>
    <w:basedOn w:val="Normal"/>
    <w:link w:val="FooterSensitivityChar"/>
    <w:rsid w:val="00BF3E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F3E18"/>
    <w:rPr>
      <w:rFonts w:ascii="Times New Roman" w:hAnsi="Times New Roman" w:cs="Times New Roman"/>
      <w:b/>
      <w:sz w:val="32"/>
    </w:rPr>
  </w:style>
  <w:style w:type="paragraph" w:customStyle="1" w:styleId="HeaderCoverPage">
    <w:name w:val="Header Cover Page"/>
    <w:basedOn w:val="Normal"/>
    <w:link w:val="HeaderCoverPageChar"/>
    <w:rsid w:val="00BF3E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F3E18"/>
    <w:rPr>
      <w:rFonts w:ascii="Times New Roman" w:hAnsi="Times New Roman" w:cs="Times New Roman"/>
      <w:sz w:val="24"/>
    </w:rPr>
  </w:style>
  <w:style w:type="paragraph" w:customStyle="1" w:styleId="HeaderSensitivity">
    <w:name w:val="Header Sensitivity"/>
    <w:basedOn w:val="Normal"/>
    <w:link w:val="HeaderSensitivityChar"/>
    <w:rsid w:val="00BF3E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F3E18"/>
    <w:rPr>
      <w:rFonts w:ascii="Times New Roman" w:hAnsi="Times New Roman" w:cs="Times New Roman"/>
      <w:b/>
      <w:sz w:val="32"/>
    </w:rPr>
  </w:style>
  <w:style w:type="paragraph" w:customStyle="1" w:styleId="HeaderSensitivityRight">
    <w:name w:val="Header Sensitivity Right"/>
    <w:basedOn w:val="Normal"/>
    <w:link w:val="HeaderSensitivityRightChar"/>
    <w:rsid w:val="00BF3E1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F3E18"/>
    <w:rPr>
      <w:rFonts w:ascii="Times New Roman" w:hAnsi="Times New Roman" w:cs="Times New Roman"/>
      <w:sz w:val="28"/>
    </w:rPr>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link w:val="FootnoteTextChar"/>
    <w:uiPriority w:val="99"/>
    <w:unhideWhenUsed/>
    <w:qFormat/>
    <w:rsid w:val="007527C5"/>
    <w:pPr>
      <w:spacing w:after="0" w:line="240" w:lineRule="auto"/>
    </w:pPr>
    <w:rPr>
      <w:rFonts w:ascii="Times New Roman" w:hAnsi="Times New Roman"/>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link w:val="FootnoteText"/>
    <w:uiPriority w:val="99"/>
    <w:rsid w:val="007527C5"/>
    <w:rPr>
      <w:rFonts w:ascii="Times New Roman" w:hAnsi="Times New Roman"/>
      <w:sz w:val="20"/>
      <w:szCs w:val="20"/>
      <w:lang w:val="fr-FR"/>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iPriority w:val="99"/>
    <w:unhideWhenUsed/>
    <w:rsid w:val="007527C5"/>
    <w:rPr>
      <w:vertAlign w:val="superscript"/>
    </w:rPr>
  </w:style>
  <w:style w:type="table" w:customStyle="1" w:styleId="TableGrid1">
    <w:name w:val="Table Grid1"/>
    <w:basedOn w:val="TableNormal"/>
    <w:next w:val="TableGrid"/>
    <w:uiPriority w:val="39"/>
    <w:rsid w:val="00752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27C5"/>
    <w:rPr>
      <w:color w:val="0000FF"/>
      <w:u w:val="single"/>
    </w:rPr>
  </w:style>
  <w:style w:type="table" w:styleId="TableGrid">
    <w:name w:val="Table Grid"/>
    <w:basedOn w:val="TableNormal"/>
    <w:uiPriority w:val="39"/>
    <w:rsid w:val="00752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C5"/>
    <w:pPr>
      <w:ind w:left="720"/>
      <w:contextualSpacing/>
    </w:pPr>
  </w:style>
  <w:style w:type="paragraph" w:styleId="BalloonText">
    <w:name w:val="Balloon Text"/>
    <w:basedOn w:val="Normal"/>
    <w:link w:val="BalloonTextChar"/>
    <w:uiPriority w:val="99"/>
    <w:semiHidden/>
    <w:unhideWhenUsed/>
    <w:rsid w:val="00A80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7E9"/>
    <w:rPr>
      <w:rFonts w:ascii="Segoe UI" w:hAnsi="Segoe UI" w:cs="Segoe UI"/>
      <w:sz w:val="18"/>
      <w:szCs w:val="18"/>
    </w:rPr>
  </w:style>
  <w:style w:type="character" w:styleId="CommentReference">
    <w:name w:val="annotation reference"/>
    <w:basedOn w:val="DefaultParagraphFont"/>
    <w:uiPriority w:val="99"/>
    <w:semiHidden/>
    <w:unhideWhenUsed/>
    <w:rsid w:val="00A807E9"/>
    <w:rPr>
      <w:sz w:val="16"/>
      <w:szCs w:val="16"/>
    </w:rPr>
  </w:style>
  <w:style w:type="paragraph" w:styleId="CommentText">
    <w:name w:val="annotation text"/>
    <w:basedOn w:val="Normal"/>
    <w:link w:val="CommentTextChar"/>
    <w:uiPriority w:val="99"/>
    <w:semiHidden/>
    <w:unhideWhenUsed/>
    <w:rsid w:val="00A807E9"/>
    <w:pPr>
      <w:spacing w:line="240" w:lineRule="auto"/>
    </w:pPr>
    <w:rPr>
      <w:sz w:val="20"/>
      <w:szCs w:val="20"/>
    </w:rPr>
  </w:style>
  <w:style w:type="character" w:customStyle="1" w:styleId="CommentTextChar">
    <w:name w:val="Comment Text Char"/>
    <w:basedOn w:val="DefaultParagraphFont"/>
    <w:link w:val="CommentText"/>
    <w:uiPriority w:val="99"/>
    <w:semiHidden/>
    <w:rsid w:val="00A807E9"/>
    <w:rPr>
      <w:sz w:val="20"/>
      <w:szCs w:val="20"/>
    </w:rPr>
  </w:style>
  <w:style w:type="paragraph" w:styleId="CommentSubject">
    <w:name w:val="annotation subject"/>
    <w:basedOn w:val="CommentText"/>
    <w:next w:val="CommentText"/>
    <w:link w:val="CommentSubjectChar"/>
    <w:uiPriority w:val="99"/>
    <w:semiHidden/>
    <w:unhideWhenUsed/>
    <w:rsid w:val="00A807E9"/>
    <w:rPr>
      <w:b/>
      <w:bCs/>
    </w:rPr>
  </w:style>
  <w:style w:type="character" w:customStyle="1" w:styleId="CommentSubjectChar">
    <w:name w:val="Comment Subject Char"/>
    <w:basedOn w:val="CommentTextChar"/>
    <w:link w:val="CommentSubject"/>
    <w:uiPriority w:val="99"/>
    <w:semiHidden/>
    <w:rsid w:val="00A807E9"/>
    <w:rPr>
      <w:b/>
      <w:bCs/>
      <w:sz w:val="20"/>
      <w:szCs w:val="20"/>
    </w:rPr>
  </w:style>
  <w:style w:type="character" w:styleId="FollowedHyperlink">
    <w:name w:val="FollowedHyperlink"/>
    <w:basedOn w:val="DefaultParagraphFont"/>
    <w:uiPriority w:val="99"/>
    <w:semiHidden/>
    <w:unhideWhenUsed/>
    <w:rsid w:val="00390303"/>
    <w:rPr>
      <w:color w:val="954F72" w:themeColor="followedHyperlink"/>
      <w:u w:val="single"/>
    </w:rPr>
  </w:style>
  <w:style w:type="character" w:customStyle="1" w:styleId="UnresolvedMention1">
    <w:name w:val="Unresolved Mention1"/>
    <w:basedOn w:val="DefaultParagraphFont"/>
    <w:uiPriority w:val="99"/>
    <w:semiHidden/>
    <w:unhideWhenUsed/>
    <w:rsid w:val="005A00B6"/>
    <w:rPr>
      <w:color w:val="605E5C"/>
      <w:shd w:val="clear" w:color="auto" w:fill="E1DFDD"/>
    </w:rPr>
  </w:style>
  <w:style w:type="paragraph" w:styleId="Revision">
    <w:name w:val="Revision"/>
    <w:hidden/>
    <w:uiPriority w:val="99"/>
    <w:semiHidden/>
    <w:rsid w:val="00250DA3"/>
    <w:pPr>
      <w:spacing w:after="0" w:line="240" w:lineRule="auto"/>
    </w:pPr>
  </w:style>
  <w:style w:type="character" w:customStyle="1" w:styleId="UnresolvedMention">
    <w:name w:val="Unresolved Mention"/>
    <w:basedOn w:val="DefaultParagraphFont"/>
    <w:uiPriority w:val="99"/>
    <w:semiHidden/>
    <w:unhideWhenUsed/>
    <w:rsid w:val="00302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0745">
      <w:bodyDiv w:val="1"/>
      <w:marLeft w:val="0"/>
      <w:marRight w:val="0"/>
      <w:marTop w:val="0"/>
      <w:marBottom w:val="0"/>
      <w:divBdr>
        <w:top w:val="none" w:sz="0" w:space="0" w:color="auto"/>
        <w:left w:val="none" w:sz="0" w:space="0" w:color="auto"/>
        <w:bottom w:val="none" w:sz="0" w:space="0" w:color="auto"/>
        <w:right w:val="none" w:sz="0" w:space="0" w:color="auto"/>
      </w:divBdr>
    </w:div>
    <w:div w:id="118779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petrorn\AppData\Local\Microsoft\Windows\INetCache\Content.Outlook\GB8WGSL1\COM%20Revised%20CEMF%20post%20ISC%2016032023%20TC.docx"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OM%3A2023%3A165%3AFIN&amp;qid=1679058289812" TargetMode="External"/><Relationship Id="rId13" Type="http://schemas.openxmlformats.org/officeDocument/2006/relationships/hyperlink" Target="https://commission.europa.eu/strategy-and-policy/international-strategies/sustainable-development-goals_fr" TargetMode="External"/><Relationship Id="rId18" Type="http://schemas.openxmlformats.org/officeDocument/2006/relationships/hyperlink" Target="https://ec.europa.eu/info/law/better-regulation/have-your-say/initiatives/13465-Cadre-de-suivi-pour-leconomie-circulaire-revision-/feedback_fr?p_id=30764770" TargetMode="External"/><Relationship Id="rId26" Type="http://schemas.openxmlformats.org/officeDocument/2006/relationships/hyperlink" Target="https://ec.europa.eu/eurostat/fr/web/circular-economy" TargetMode="External"/><Relationship Id="rId39" Type="http://schemas.openxmlformats.org/officeDocument/2006/relationships/hyperlink" Target="https://environment.ec.europa.eu/news/circular-economy-stakeholder-conference-reinforces-role-circular-economy-driving-eus-strategic-2023-02-27_en" TargetMode="External"/><Relationship Id="rId3" Type="http://schemas.openxmlformats.org/officeDocument/2006/relationships/hyperlink" Target="https://www.resourcepanel.org/reports/global-resources-outlook" TargetMode="External"/><Relationship Id="rId21" Type="http://schemas.openxmlformats.org/officeDocument/2006/relationships/hyperlink" Target="https://epanet.eea.europa.eu/reports-letters/reports-and-letters/bellagio-declaration.pdf/view" TargetMode="External"/><Relationship Id="rId34" Type="http://schemas.openxmlformats.org/officeDocument/2006/relationships/hyperlink" Target="https://eur-lex.europa.eu/legal-content/FR/TXT/?uri=CELEX%3A52022PC0677" TargetMode="External"/><Relationship Id="rId7" Type="http://schemas.openxmlformats.org/officeDocument/2006/relationships/hyperlink" Target="https://ec.europa.eu/eurostat/statistics-explained/index.php?title=Physical_imports_and_exports" TargetMode="External"/><Relationship Id="rId12" Type="http://schemas.openxmlformats.org/officeDocument/2006/relationships/hyperlink" Target="https://commission.europa.eu/system/files/2023-03/Communication_Long-term-competitiveness.pdf" TargetMode="External"/><Relationship Id="rId17" Type="http://schemas.openxmlformats.org/officeDocument/2006/relationships/hyperlink" Target="https://publications.jrc.ec.europa.eu/repository/bitstream/JRC125994/open_strategic_autonomy_2040_online_1.pdf" TargetMode="External"/><Relationship Id="rId25" Type="http://schemas.openxmlformats.org/officeDocument/2006/relationships/hyperlink" Target="https://commission.europa.eu/strategy-and-policy/strategic-planning/strategic-foresight/2020-strategic-foresight-report/resilience-dashboards_fr" TargetMode="External"/><Relationship Id="rId33" Type="http://schemas.openxmlformats.org/officeDocument/2006/relationships/hyperlink" Target="https://eur-lex.europa.eu/legal-content/FR/ALL/?uri=COM:2022:142:FIN" TargetMode="External"/><Relationship Id="rId38" Type="http://schemas.openxmlformats.org/officeDocument/2006/relationships/hyperlink" Target="https://environment.ec.europa.eu/topics/waste-and-recycling/implementation-waste-framework-directive_en" TargetMode="External"/><Relationship Id="rId2" Type="http://schemas.openxmlformats.org/officeDocument/2006/relationships/hyperlink" Target="https://www.circularity-gap.world/2022" TargetMode="External"/><Relationship Id="rId16" Type="http://schemas.openxmlformats.org/officeDocument/2006/relationships/hyperlink" Target="https://eur-lex.europa.eu/legal-content/FR/TXT/?qid=1583933814386&amp;uri=COM:2020:98:FIN" TargetMode="External"/><Relationship Id="rId20" Type="http://schemas.openxmlformats.org/officeDocument/2006/relationships/hyperlink" Target="https://www.circularity-gap.world/global" TargetMode="External"/><Relationship Id="rId29" Type="http://schemas.openxmlformats.org/officeDocument/2006/relationships/hyperlink" Target="https://eur-lex.europa.eu/legal-content/FR/TXT/?uri=celex%3A32018L0851" TargetMode="External"/><Relationship Id="rId1" Type="http://schemas.openxmlformats.org/officeDocument/2006/relationships/hyperlink" Target="https://www.oecd.org/environment/waste/highlights-global-material-resources-outlook-to-2060.pdf" TargetMode="External"/><Relationship Id="rId6" Type="http://schemas.openxmlformats.org/officeDocument/2006/relationships/hyperlink" Target="https://ec.europa.eu/eurostat/statistics-explained/index.php?title=Physical_imports_and_exports" TargetMode="External"/><Relationship Id="rId11" Type="http://schemas.openxmlformats.org/officeDocument/2006/relationships/hyperlink" Target="https://commission.europa.eu/strategy-and-policy/priorities-2019-2024/europe-fit-digital-age/european-industrial-strategy/depth-reviews-strategic-areas-europes-interests_fr" TargetMode="External"/><Relationship Id="rId24" Type="http://schemas.openxmlformats.org/officeDocument/2006/relationships/hyperlink" Target="https://ec.europa.eu/eurostat/fr/web/sdi/" TargetMode="External"/><Relationship Id="rId32" Type="http://schemas.openxmlformats.org/officeDocument/2006/relationships/hyperlink" Target="https://eur-lex.europa.eu/legal-content/FR/TXT/?uri=CELEX%3A52020PC0798&amp;qid=1608192505371" TargetMode="External"/><Relationship Id="rId37" Type="http://schemas.openxmlformats.org/officeDocument/2006/relationships/hyperlink" Target="https://eur-lex.europa.eu/legal-content/FR/TXT/?uri=celex%3A32018L0851" TargetMode="External"/><Relationship Id="rId40" Type="http://schemas.openxmlformats.org/officeDocument/2006/relationships/hyperlink" Target="https://environment.ec.europa.eu/law-and-governance/environmental-implementation-review_en" TargetMode="External"/><Relationship Id="rId5" Type="http://schemas.openxmlformats.org/officeDocument/2006/relationships/hyperlink" Target="https://ec.europa.eu/eurostat/databrowser/view/env_ac_mfa/default/table?lang=fr" TargetMode="External"/><Relationship Id="rId15" Type="http://schemas.openxmlformats.org/officeDocument/2006/relationships/hyperlink" Target="https://eur-lex.europa.eu/legal-content/EN/TXT/?uri=SWD%3A2018%3A17%3AFIN" TargetMode="External"/><Relationship Id="rId23" Type="http://schemas.openxmlformats.org/officeDocument/2006/relationships/hyperlink" Target="https://eur-lex.europa.eu/legal-content/FR/TXT/?uri=COM%3A2022%3A674%3AFIN&amp;qid=1670510444610" TargetMode="External"/><Relationship Id="rId28" Type="http://schemas.openxmlformats.org/officeDocument/2006/relationships/hyperlink" Target="https://commission.europa.eu/publications/analysis-main-drivers-food-security_en" TargetMode="External"/><Relationship Id="rId36" Type="http://schemas.openxmlformats.org/officeDocument/2006/relationships/hyperlink" Target="https://eur-lex.europa.eu/legal-content/EN/TXT/?uri=COM%3A2023%3A160%3AFIN&amp;qid=1679058289812" TargetMode="External"/><Relationship Id="rId10" Type="http://schemas.openxmlformats.org/officeDocument/2006/relationships/hyperlink" Target="https://commission.europa.eu/strategy-and-policy/priorities-2019-2024/europe-fit-digital-age/european-industrial-strategy/depth-reviews-strategic-areas-europes-interests_fr" TargetMode="External"/><Relationship Id="rId19" Type="http://schemas.openxmlformats.org/officeDocument/2006/relationships/hyperlink" Target="https://hdr.undp.org/en/content/planetary-pressures%E2%80%93adjusted-human-development-index-phdi" TargetMode="External"/><Relationship Id="rId31" Type="http://schemas.openxmlformats.org/officeDocument/2006/relationships/hyperlink" Target="https://publications.jrc.ec.europa.eu/repository/handle/JRC128571" TargetMode="External"/><Relationship Id="rId4" Type="http://schemas.openxmlformats.org/officeDocument/2006/relationships/hyperlink" Target="https://www.circularity-gap.world/2023" TargetMode="External"/><Relationship Id="rId9" Type="http://schemas.openxmlformats.org/officeDocument/2006/relationships/hyperlink" Target="https://eur-lex.europa.eu/legal-content/EN/TXT/?uri=COM%3A2023%3A160%3AFIN&amp;qid=1679058289812" TargetMode="External"/><Relationship Id="rId14" Type="http://schemas.openxmlformats.org/officeDocument/2006/relationships/hyperlink" Target="https://eur-lex.europa.eu/legal-content/FR/TXT/?uri=COM%3A2018%3A29%3AFIN" TargetMode="External"/><Relationship Id="rId22" Type="http://schemas.openxmlformats.org/officeDocument/2006/relationships/hyperlink" Target="https://eur-lex.europa.eu/legal-content/FR/TXT/?uri=COM%3A2022%3A357%3AFIN" TargetMode="External"/><Relationship Id="rId27" Type="http://schemas.openxmlformats.org/officeDocument/2006/relationships/hyperlink" Target="https://ec.europa.eu/food/safety/food_waste/eu_actions_en" TargetMode="External"/><Relationship Id="rId30" Type="http://schemas.openxmlformats.org/officeDocument/2006/relationships/hyperlink" Target="https://eplca.jrc.ec.europa.eu/ConsumptionFootprintPlatform.html" TargetMode="External"/><Relationship Id="rId35" Type="http://schemas.openxmlformats.org/officeDocument/2006/relationships/hyperlink" Target="https://eur-lex.europa.eu/legal-content/FR/TXT/?uri=CELEX%3A52021PC0709&amp;qid=1642757230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771C8-D758-4C73-8484-0B785A58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4188</Words>
  <Characters>23625</Characters>
  <Application>Microsoft Office Word</Application>
  <DocSecurity>0</DocSecurity>
  <Lines>472</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2023-02-23T18:07:00Z</cp:lastPrinted>
  <dcterms:created xsi:type="dcterms:W3CDTF">2023-05-11T14:59:00Z</dcterms:created>
  <dcterms:modified xsi:type="dcterms:W3CDTF">2023-05-15T07:19:00Z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8.1, Build 20220902</vt:lpwstr>
  </property>
  <property fmtid="{D5CDD505-2E9C-101B-9397-08002B2CF9AE}" pid="9" name="MSIP_Label_f4cdc456-5864-460f-beda-883d23b78bbb_Enabled">
    <vt:lpwstr>true</vt:lpwstr>
  </property>
  <property fmtid="{D5CDD505-2E9C-101B-9397-08002B2CF9AE}" pid="10" name="MSIP_Label_f4cdc456-5864-460f-beda-883d23b78bbb_SetDate">
    <vt:lpwstr>2023-04-27T08:03:59Z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112502be-15a3-41b0-8a20-3f18c2230d8c</vt:lpwstr>
  </property>
  <property fmtid="{D5CDD505-2E9C-101B-9397-08002B2CF9AE}" pid="15" name="MSIP_Label_f4cdc456-5864-460f-beda-883d23b78bbb_ContentBits">
    <vt:lpwstr>0</vt:lpwstr>
  </property>
</Properties>
</file>